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D1ECB" w14:textId="77777777" w:rsidR="00A57503" w:rsidRPr="00091F8C" w:rsidRDefault="00A57503" w:rsidP="00A57503">
      <w:pPr>
        <w:pStyle w:val="Title"/>
        <w:rPr>
          <w:rFonts w:eastAsia="Arial Unicode MS"/>
          <w:color w:val="000000" w:themeColor="text1"/>
        </w:rPr>
      </w:pPr>
      <w:r w:rsidRPr="00091F8C">
        <w:rPr>
          <w:rFonts w:eastAsia="Arial Unicode MS"/>
          <w:color w:val="000000" w:themeColor="text1"/>
        </w:rPr>
        <w:t>Waste Minimisation through Deconstruction: A BIM based Deconstructability Assessment Score (BIM-DAS)</w:t>
      </w:r>
    </w:p>
    <w:p w14:paraId="5BA332B4" w14:textId="77777777" w:rsidR="00DB7536" w:rsidRPr="00091F8C" w:rsidRDefault="00DB7536" w:rsidP="00DB7536">
      <w:pPr>
        <w:pStyle w:val="Heading1"/>
        <w:numPr>
          <w:ilvl w:val="0"/>
          <w:numId w:val="0"/>
        </w:numPr>
        <w:ind w:left="431" w:hanging="431"/>
        <w:rPr>
          <w:color w:val="000000" w:themeColor="text1"/>
        </w:rPr>
      </w:pPr>
      <w:r w:rsidRPr="00091F8C">
        <w:rPr>
          <w:color w:val="000000" w:themeColor="text1"/>
        </w:rPr>
        <w:t>Abstract</w:t>
      </w:r>
    </w:p>
    <w:p w14:paraId="1EDCFEE1" w14:textId="77777777" w:rsidR="00DB7536" w:rsidRPr="00091F8C" w:rsidRDefault="00DB7536" w:rsidP="00DB7536">
      <w:pPr>
        <w:rPr>
          <w:color w:val="000000" w:themeColor="text1"/>
        </w:rPr>
      </w:pPr>
      <w:r w:rsidRPr="00091F8C">
        <w:rPr>
          <w:color w:val="000000" w:themeColor="text1"/>
        </w:rPr>
        <w:t>The overall aim of this study is to develop a Building Information Modelling based Deconstructability Assessment Score (BIM-DAS) for determining the extent to which a building could be deconstructed right from the design stage. To achieve this, a review of extant literature was carried out to identify critical design principles influencing effectual building deconstruction and key features for assessing the performance of Design for Deconstruction (DfD). Thereafter, these key features were used to develop BIM-DAS using mathematical modelling approach based on efficient material requirement planning. BIM-DAS was later tested using case study design and the results show that the major contributing factors to DfD are use of prefabricated assemblies and demountable connections. The results of the evaluation demonstrate the practicality of BIM-DAS as an indicator to measure the deconstructability of building designs. This could provide a design requirement benchmark for effective building deconstruction. This research work will benefit all stakeholders in the construction industry especially those interested in designing for deconstruction. The eventual incorporation of BIM-DAS into existing BIM software will provide a basis for the comparison of deconstructability of building models during design.</w:t>
      </w:r>
    </w:p>
    <w:p w14:paraId="1F2ACF43" w14:textId="77777777" w:rsidR="00DB7536" w:rsidRPr="00091F8C" w:rsidRDefault="00DB7536" w:rsidP="00DB7536">
      <w:pPr>
        <w:spacing w:line="240" w:lineRule="auto"/>
        <w:rPr>
          <w:i/>
          <w:color w:val="000000" w:themeColor="text1"/>
        </w:rPr>
      </w:pPr>
      <w:r w:rsidRPr="00091F8C">
        <w:rPr>
          <w:b/>
          <w:color w:val="000000" w:themeColor="text1"/>
        </w:rPr>
        <w:t>Keywords</w:t>
      </w:r>
      <w:r w:rsidRPr="00091F8C">
        <w:rPr>
          <w:color w:val="000000" w:themeColor="text1"/>
        </w:rPr>
        <w:t>:</w:t>
      </w:r>
      <w:r w:rsidRPr="00091F8C">
        <w:rPr>
          <w:i/>
          <w:color w:val="000000" w:themeColor="text1"/>
        </w:rPr>
        <w:t xml:space="preserve"> Building Information Modelling; Building deconstruction; Design for Deconstruction; Demolition Waste Minimisation; Design performance assessment; Scoring Scheme.</w:t>
      </w:r>
    </w:p>
    <w:p w14:paraId="485E08CB" w14:textId="77777777" w:rsidR="00A57503" w:rsidRPr="00091F8C" w:rsidRDefault="00A57503" w:rsidP="00A57503">
      <w:pPr>
        <w:rPr>
          <w:color w:val="000000" w:themeColor="text1"/>
        </w:rPr>
      </w:pPr>
    </w:p>
    <w:p w14:paraId="5A842A36" w14:textId="77777777" w:rsidR="00DB7536" w:rsidRPr="00091F8C" w:rsidRDefault="00DB7536" w:rsidP="00DB7536">
      <w:pPr>
        <w:pStyle w:val="Heading1"/>
        <w:rPr>
          <w:color w:val="000000" w:themeColor="text1"/>
        </w:rPr>
      </w:pPr>
      <w:r w:rsidRPr="00091F8C">
        <w:rPr>
          <w:color w:val="000000" w:themeColor="text1"/>
        </w:rPr>
        <w:lastRenderedPageBreak/>
        <w:t>Introduction</w:t>
      </w:r>
    </w:p>
    <w:p w14:paraId="1B544AFC" w14:textId="77777777" w:rsidR="00DB7536" w:rsidRPr="00091F8C" w:rsidRDefault="00DB7536" w:rsidP="00DB7536">
      <w:pPr>
        <w:rPr>
          <w:color w:val="000000" w:themeColor="text1"/>
        </w:rPr>
      </w:pPr>
      <w:r w:rsidRPr="00091F8C">
        <w:rPr>
          <w:color w:val="000000" w:themeColor="text1"/>
        </w:rPr>
        <w:t xml:space="preserve">The increasing global urbanisation has resulted in high volume of Construction, Demolition and Excavation Waste (CDEW) from which demolition waste contributes up to 31.8 million metric tonnes yearly in the UK alone </w:t>
      </w:r>
      <w:r w:rsidRPr="00091F8C">
        <w:rPr>
          <w:noProof/>
          <w:color w:val="000000" w:themeColor="text1"/>
        </w:rPr>
        <w:t>(WRAP 2009)</w:t>
      </w:r>
      <w:r w:rsidRPr="00091F8C">
        <w:rPr>
          <w:color w:val="000000" w:themeColor="text1"/>
        </w:rPr>
        <w:t xml:space="preserve">. With so many demolitions taking place annually, its environmental and economic impacts cannot be ignored because building materials become unrecoverable and eventually sent to landfills. Tackling this problem calls for a strategic approach to planning for recovery of building materials and components for reuse or recycling. This requires dealing with the problem at source, which is usually at the design stage by designing for deconstruction (DfD) to avoid demolition after the end of life of buildings. Although literature abounds on causes and management of CDEW, only few studies have been conducted to mitigate the generation of end of life waste right from the early design stages. Even most of these few studies focus on disposal cost estimation </w:t>
      </w:r>
      <w:r w:rsidRPr="00091F8C">
        <w:rPr>
          <w:noProof/>
          <w:color w:val="000000" w:themeColor="text1"/>
        </w:rPr>
        <w:t>(Chen et al. 2006; Cheng and Ma 2011; Yuan et al. 2011)</w:t>
      </w:r>
      <w:r w:rsidRPr="00091F8C">
        <w:rPr>
          <w:color w:val="000000" w:themeColor="text1"/>
        </w:rPr>
        <w:t xml:space="preserve"> and waste quantificatio</w:t>
      </w:r>
      <w:bookmarkStart w:id="0" w:name="_GoBack"/>
      <w:bookmarkEnd w:id="0"/>
      <w:r w:rsidRPr="00091F8C">
        <w:rPr>
          <w:color w:val="000000" w:themeColor="text1"/>
        </w:rPr>
        <w:t xml:space="preserve">n during demolition </w:t>
      </w:r>
      <w:r w:rsidRPr="00091F8C">
        <w:rPr>
          <w:noProof/>
          <w:color w:val="000000" w:themeColor="text1"/>
        </w:rPr>
        <w:t>(Cochran et al. 2007; Rosmani and Hassan 2012; Wu et al. 2014)</w:t>
      </w:r>
      <w:r w:rsidRPr="00091F8C">
        <w:rPr>
          <w:color w:val="000000" w:themeColor="text1"/>
        </w:rPr>
        <w:t xml:space="preserve">. Considering the fact that end-of-life activities generate the largest volume of waste </w:t>
      </w:r>
      <w:r w:rsidRPr="00091F8C">
        <w:rPr>
          <w:noProof/>
          <w:color w:val="000000" w:themeColor="text1"/>
        </w:rPr>
        <w:t>(DEFRA 2012)</w:t>
      </w:r>
      <w:r w:rsidRPr="00091F8C">
        <w:rPr>
          <w:color w:val="000000" w:themeColor="text1"/>
        </w:rPr>
        <w:t xml:space="preserve">, there is need to plan for the end of buildings right from the design stages. </w:t>
      </w:r>
    </w:p>
    <w:p w14:paraId="0BCD7892" w14:textId="77777777" w:rsidR="00DB7536" w:rsidRPr="00091F8C" w:rsidRDefault="00DB7536" w:rsidP="00DB7536">
      <w:pPr>
        <w:rPr>
          <w:color w:val="000000" w:themeColor="text1"/>
        </w:rPr>
      </w:pPr>
      <w:r w:rsidRPr="00091F8C">
        <w:rPr>
          <w:color w:val="000000" w:themeColor="text1"/>
        </w:rPr>
        <w:t xml:space="preserve">Evidence shows that up to 50% of CDEW could be diverted from landfill through a well-planned deconstruction strategy </w:t>
      </w:r>
      <w:r w:rsidRPr="00091F8C">
        <w:rPr>
          <w:noProof/>
          <w:color w:val="000000" w:themeColor="text1"/>
        </w:rPr>
        <w:t>(Kibert 2008)</w:t>
      </w:r>
      <w:r w:rsidRPr="00091F8C">
        <w:rPr>
          <w:color w:val="000000" w:themeColor="text1"/>
        </w:rPr>
        <w:t xml:space="preserve">. This shows that in the UK alone, about 16 million tonnes of waste could be diverted from landfills </w:t>
      </w:r>
      <w:r w:rsidRPr="00091F8C">
        <w:rPr>
          <w:noProof/>
          <w:color w:val="000000" w:themeColor="text1"/>
        </w:rPr>
        <w:t>(DEFRA 2011)</w:t>
      </w:r>
      <w:r w:rsidRPr="00091F8C">
        <w:rPr>
          <w:color w:val="000000" w:themeColor="text1"/>
        </w:rPr>
        <w:t xml:space="preserve">, while saving over £1.3 billion in terms of landfill tax and waste transportation. Despite these opportunities accruable from deconstruction, research efforts on design performance assessment have been concentrated on buildability and construction waste assessment. Examples of such systems include Building Design Appraisal System – BDAS </w:t>
      </w:r>
      <w:r w:rsidRPr="00091F8C">
        <w:rPr>
          <w:noProof/>
          <w:color w:val="000000" w:themeColor="text1"/>
        </w:rPr>
        <w:t>(CIDB 1995a)</w:t>
      </w:r>
      <w:r w:rsidRPr="00091F8C">
        <w:rPr>
          <w:color w:val="000000" w:themeColor="text1"/>
        </w:rPr>
        <w:t xml:space="preserve">, Building Waste Assessment Score – BWAS </w:t>
      </w:r>
      <w:r w:rsidRPr="00091F8C">
        <w:rPr>
          <w:noProof/>
          <w:color w:val="000000" w:themeColor="text1"/>
        </w:rPr>
        <w:t>(Ekanayake and Ofori 2004)</w:t>
      </w:r>
      <w:r w:rsidRPr="00091F8C">
        <w:rPr>
          <w:color w:val="000000" w:themeColor="text1"/>
        </w:rPr>
        <w:t xml:space="preserve">, and Construction Quality Assessment System – CONQUAS </w:t>
      </w:r>
      <w:r w:rsidRPr="00091F8C">
        <w:rPr>
          <w:noProof/>
          <w:color w:val="000000" w:themeColor="text1"/>
        </w:rPr>
        <w:t>(CIDB 1995b)</w:t>
      </w:r>
      <w:r w:rsidRPr="00091F8C">
        <w:rPr>
          <w:color w:val="000000" w:themeColor="text1"/>
        </w:rPr>
        <w:t>. These performance assessment tools are concerned with the impact of design on construction stage but not with the end of life of buildings.</w:t>
      </w:r>
    </w:p>
    <w:p w14:paraId="64973667" w14:textId="77777777" w:rsidR="00DB7536" w:rsidRPr="00091F8C" w:rsidRDefault="003B5E10" w:rsidP="00DB7536">
      <w:pPr>
        <w:rPr>
          <w:color w:val="000000" w:themeColor="text1"/>
        </w:rPr>
      </w:pPr>
      <w:proofErr w:type="spellStart"/>
      <w:r w:rsidRPr="00091F8C">
        <w:rPr>
          <w:color w:val="000000" w:themeColor="text1"/>
        </w:rPr>
        <w:lastRenderedPageBreak/>
        <w:t>Blengini</w:t>
      </w:r>
      <w:proofErr w:type="spellEnd"/>
      <w:r w:rsidRPr="00091F8C">
        <w:rPr>
          <w:color w:val="000000" w:themeColor="text1"/>
        </w:rPr>
        <w:t xml:space="preserve"> &amp; Carlo </w:t>
      </w:r>
      <w:r w:rsidRPr="00091F8C">
        <w:rPr>
          <w:color w:val="000000" w:themeColor="text1"/>
        </w:rPr>
        <w:fldChar w:fldCharType="begin" w:fldLock="1"/>
      </w:r>
      <w:r w:rsidR="004027DA" w:rsidRPr="00091F8C">
        <w:rPr>
          <w:color w:val="000000" w:themeColor="text1"/>
        </w:rPr>
        <w:instrText>ADDIN CSL_CITATION { "citationItems" : [ { "id" : "ITEM-1", "itemData" : { "DOI" : "10.1016/j.enbuild.2009.12.009", "ISBN" : "03787788", "ISSN" : "03787788", "abstract" : "A detailed Life Cycle Assessment (LCA) has been conducted on a low energy family house recently built in Northern Italy. The yearly net winter heat requirement is 10 kWh/m2, while the same unit with legal standard insulation would require 110 kWh/m2. As the building was claimed to be sustainable on the basis of its outstanding energy saving performances, an ex post LCA was set up to understand whether, and to what extent, the positive judgement could be confirmed in a life cycle perspective. The dramatic contribution of materials-related impacts emerged. The shell-embedded materials represented the highest relative contribution, but maintenance operations also played a major role. The contributions of plants, building process and transportation were minor. The important role of the recycling potential also emerged. Unlike standard buildings, where heating-related impacts overshadow the rest of the life cycle, there is no single dominating item or aspect. Rather, several of them play equally important roles. The study has confirmed that the initial goal of environmental sustainability was reached, but to a much lower extent than previously thought. In comparison to a standard house, while the winter heat requirement was reduced by a ratio of 10:1, the life cycle energy was only reduced by 2.1:1 and the carbon footprint by 2.2:1. ?? 2010 Elsevier B.V. All rights reserved.", "author" : [ { "dropping-particle" : "", "family" : "Blengini", "given" : "Gian Andrea", "non-dropping-particle" : "", "parse-names" : false, "suffix" : "" }, { "dropping-particle" : "", "family" : "Carlo", "given" : "Tiziana", "non-dropping-particle" : "Di", "parse-names" : false, "suffix" : "" } ], "container-title" : "Energy and Buildings", "id" : "ITEM-1", "issue" : "6", "issued" : { "date-parts" : [ [ "2010" ] ] }, "page" : "869-880", "publisher" : "Elsevier B.V.", "title" : "The changing role of life cycle phases, subsystems and materials in the LCA of low energy buildings", "type" : "article-journal", "volume" : "42" }, "suppress-author" : 1, "uris" : [ "http://www.mendeley.com/documents/?uuid=2473622b-22a0-4381-833c-e16761c5022d" ] } ], "mendeley" : { "formattedCitation" : "(2010)", "plainTextFormattedCitation" : "(2010)", "previouslyFormattedCitation" : "(2010)" }, "properties" : { "noteIndex" : 0 }, "schema" : "https://github.com/citation-style-language/schema/raw/master/csl-citation.json" }</w:instrText>
      </w:r>
      <w:r w:rsidRPr="00091F8C">
        <w:rPr>
          <w:color w:val="000000" w:themeColor="text1"/>
        </w:rPr>
        <w:fldChar w:fldCharType="separate"/>
      </w:r>
      <w:r w:rsidRPr="00091F8C">
        <w:rPr>
          <w:noProof/>
          <w:color w:val="000000" w:themeColor="text1"/>
        </w:rPr>
        <w:t>(2010)</w:t>
      </w:r>
      <w:r w:rsidRPr="00091F8C">
        <w:rPr>
          <w:color w:val="000000" w:themeColor="text1"/>
        </w:rPr>
        <w:fldChar w:fldCharType="end"/>
      </w:r>
      <w:r w:rsidRPr="00091F8C">
        <w:rPr>
          <w:color w:val="000000" w:themeColor="text1"/>
        </w:rPr>
        <w:t xml:space="preserve"> highlighted that </w:t>
      </w:r>
      <w:r w:rsidR="00DB7536" w:rsidRPr="00091F8C">
        <w:rPr>
          <w:color w:val="000000" w:themeColor="text1"/>
        </w:rPr>
        <w:t>it is difficult to carry out life cycle analysis towards the end of life stage</w:t>
      </w:r>
      <w:r w:rsidR="00FA37D4" w:rsidRPr="00091F8C">
        <w:rPr>
          <w:color w:val="000000" w:themeColor="text1"/>
        </w:rPr>
        <w:t xml:space="preserve"> </w:t>
      </w:r>
      <w:r w:rsidR="00790FDD" w:rsidRPr="00091F8C">
        <w:rPr>
          <w:color w:val="000000" w:themeColor="text1"/>
        </w:rPr>
        <w:t xml:space="preserve">during design stage </w:t>
      </w:r>
      <w:r w:rsidRPr="00091F8C">
        <w:rPr>
          <w:color w:val="000000" w:themeColor="text1"/>
        </w:rPr>
        <w:t xml:space="preserve">because </w:t>
      </w:r>
      <w:r w:rsidR="00120180" w:rsidRPr="00091F8C">
        <w:rPr>
          <w:color w:val="000000" w:themeColor="text1"/>
        </w:rPr>
        <w:t>information is still scanty.</w:t>
      </w:r>
      <w:r w:rsidR="00DB7536" w:rsidRPr="00091F8C">
        <w:rPr>
          <w:color w:val="000000" w:themeColor="text1"/>
        </w:rPr>
        <w:t xml:space="preserve"> </w:t>
      </w:r>
      <w:r w:rsidRPr="00091F8C">
        <w:rPr>
          <w:color w:val="000000" w:themeColor="text1"/>
        </w:rPr>
        <w:t xml:space="preserve">However, </w:t>
      </w:r>
      <w:r w:rsidR="00DB7536" w:rsidRPr="00091F8C">
        <w:rPr>
          <w:color w:val="000000" w:themeColor="text1"/>
        </w:rPr>
        <w:t>construction sustainability could be achieved if considerable effort is put in design with future benefits in mind</w:t>
      </w:r>
      <w:r w:rsidR="000E5FB2" w:rsidRPr="00091F8C">
        <w:rPr>
          <w:color w:val="000000" w:themeColor="text1"/>
        </w:rPr>
        <w:t xml:space="preserve"> (</w:t>
      </w:r>
      <w:proofErr w:type="spellStart"/>
      <w:r w:rsidR="000E5FB2" w:rsidRPr="00091F8C">
        <w:rPr>
          <w:color w:val="000000" w:themeColor="text1"/>
        </w:rPr>
        <w:t>Ajayi</w:t>
      </w:r>
      <w:proofErr w:type="spellEnd"/>
      <w:r w:rsidR="000E5FB2" w:rsidRPr="00091F8C">
        <w:rPr>
          <w:color w:val="000000" w:themeColor="text1"/>
        </w:rPr>
        <w:t xml:space="preserve"> </w:t>
      </w:r>
      <w:r w:rsidR="000E5FB2" w:rsidRPr="00091F8C">
        <w:rPr>
          <w:i/>
          <w:color w:val="000000" w:themeColor="text1"/>
        </w:rPr>
        <w:t xml:space="preserve">et al., </w:t>
      </w:r>
      <w:r w:rsidR="000E5FB2" w:rsidRPr="00091F8C">
        <w:rPr>
          <w:color w:val="000000" w:themeColor="text1"/>
        </w:rPr>
        <w:t>2015)</w:t>
      </w:r>
      <w:r w:rsidR="00DB7536" w:rsidRPr="00091F8C">
        <w:rPr>
          <w:color w:val="000000" w:themeColor="text1"/>
        </w:rPr>
        <w:t xml:space="preserve">. In this way, Design for Deconstruction (DfD) will increase the cost-effectiveness of material recovery and reuse from the early design stages </w:t>
      </w:r>
      <w:r w:rsidR="00DB7536" w:rsidRPr="00091F8C">
        <w:rPr>
          <w:noProof/>
          <w:color w:val="000000" w:themeColor="text1"/>
        </w:rPr>
        <w:t>(Davison and Tingley 2011)</w:t>
      </w:r>
      <w:r w:rsidR="00DB7536" w:rsidRPr="00091F8C">
        <w:rPr>
          <w:color w:val="000000" w:themeColor="text1"/>
        </w:rPr>
        <w:t>.</w:t>
      </w:r>
      <w:r w:rsidR="00120180" w:rsidRPr="00091F8C">
        <w:rPr>
          <w:color w:val="000000" w:themeColor="text1"/>
        </w:rPr>
        <w:t xml:space="preserve"> </w:t>
      </w:r>
      <w:r w:rsidR="00DB7536" w:rsidRPr="00091F8C">
        <w:rPr>
          <w:color w:val="000000" w:themeColor="text1"/>
        </w:rPr>
        <w:t xml:space="preserve">Despite the general knowledge that design could initiate effective building deconstruction </w:t>
      </w:r>
      <w:r w:rsidR="00DB7536" w:rsidRPr="00091F8C">
        <w:rPr>
          <w:noProof/>
          <w:color w:val="000000" w:themeColor="text1"/>
        </w:rPr>
        <w:t>(Crowther 2005; Guy et al. 2006)</w:t>
      </w:r>
      <w:r w:rsidR="00120180" w:rsidRPr="00091F8C">
        <w:rPr>
          <w:noProof/>
          <w:color w:val="000000" w:themeColor="text1"/>
        </w:rPr>
        <w:t xml:space="preserve"> and the attempts to quantify the benefits of DfD</w:t>
      </w:r>
      <w:r w:rsidR="00DB7536" w:rsidRPr="00091F8C">
        <w:rPr>
          <w:color w:val="000000" w:themeColor="text1"/>
        </w:rPr>
        <w:t xml:space="preserve">, no practicable </w:t>
      </w:r>
      <w:r w:rsidR="00BB5861" w:rsidRPr="00091F8C">
        <w:rPr>
          <w:color w:val="000000" w:themeColor="text1"/>
        </w:rPr>
        <w:t xml:space="preserve">design </w:t>
      </w:r>
      <w:r w:rsidR="0000388D" w:rsidRPr="00091F8C">
        <w:rPr>
          <w:color w:val="000000" w:themeColor="text1"/>
        </w:rPr>
        <w:t xml:space="preserve">tool </w:t>
      </w:r>
      <w:r w:rsidR="00DB7536" w:rsidRPr="00091F8C">
        <w:rPr>
          <w:color w:val="000000" w:themeColor="text1"/>
        </w:rPr>
        <w:t xml:space="preserve">has been provided to substantiate </w:t>
      </w:r>
      <w:r w:rsidR="00120180" w:rsidRPr="00091F8C">
        <w:rPr>
          <w:color w:val="000000" w:themeColor="text1"/>
        </w:rPr>
        <w:t>these claims</w:t>
      </w:r>
      <w:r w:rsidR="00DB7536" w:rsidRPr="00091F8C">
        <w:rPr>
          <w:color w:val="000000" w:themeColor="text1"/>
        </w:rPr>
        <w:t xml:space="preserve">. </w:t>
      </w:r>
      <w:r w:rsidR="00E778F2" w:rsidRPr="00091F8C">
        <w:rPr>
          <w:color w:val="000000" w:themeColor="text1"/>
        </w:rPr>
        <w:t xml:space="preserve">Existing design tools for deconstruction have been design guides, such as ICE deconstruction protocol, that provide no quantifiable measure similar to BDAS, BWAS, and CONQUAS. Other </w:t>
      </w:r>
      <w:r w:rsidR="00DB7536" w:rsidRPr="00091F8C">
        <w:rPr>
          <w:color w:val="000000" w:themeColor="text1"/>
        </w:rPr>
        <w:t xml:space="preserve">tools such as building end of life analysis tool </w:t>
      </w:r>
      <w:r w:rsidR="00DB7536" w:rsidRPr="00091F8C">
        <w:rPr>
          <w:noProof/>
          <w:color w:val="000000" w:themeColor="text1"/>
        </w:rPr>
        <w:t>(Dorsthorst and Kowalczyk 2002)</w:t>
      </w:r>
      <w:r w:rsidR="00DB7536" w:rsidRPr="00091F8C">
        <w:rPr>
          <w:color w:val="000000" w:themeColor="text1"/>
        </w:rPr>
        <w:t xml:space="preserve">, </w:t>
      </w:r>
      <w:proofErr w:type="spellStart"/>
      <w:r w:rsidR="00DB7536" w:rsidRPr="00091F8C">
        <w:rPr>
          <w:color w:val="000000" w:themeColor="text1"/>
        </w:rPr>
        <w:t>NetWaste</w:t>
      </w:r>
      <w:proofErr w:type="spellEnd"/>
      <w:r w:rsidR="00DB7536" w:rsidRPr="00091F8C">
        <w:rPr>
          <w:color w:val="000000" w:themeColor="text1"/>
        </w:rPr>
        <w:t xml:space="preserve"> tool </w:t>
      </w:r>
      <w:r w:rsidR="00DB7536" w:rsidRPr="00091F8C">
        <w:rPr>
          <w:noProof/>
          <w:color w:val="000000" w:themeColor="text1"/>
        </w:rPr>
        <w:t>(WRAP 2011b)</w:t>
      </w:r>
      <w:r w:rsidR="00DB7536" w:rsidRPr="00091F8C">
        <w:rPr>
          <w:color w:val="000000" w:themeColor="text1"/>
        </w:rPr>
        <w:t xml:space="preserve">, Design out waste for buildings tool </w:t>
      </w:r>
      <w:r w:rsidR="00DB7536" w:rsidRPr="00091F8C">
        <w:rPr>
          <w:noProof/>
          <w:color w:val="000000" w:themeColor="text1"/>
        </w:rPr>
        <w:t>(WRAP 2011a)</w:t>
      </w:r>
      <w:r w:rsidR="00DB7536" w:rsidRPr="00091F8C">
        <w:rPr>
          <w:color w:val="000000" w:themeColor="text1"/>
        </w:rPr>
        <w:t xml:space="preserve">, and Sakura </w:t>
      </w:r>
      <w:r w:rsidR="00DB7536" w:rsidRPr="00091F8C">
        <w:rPr>
          <w:noProof/>
          <w:color w:val="000000" w:themeColor="text1"/>
        </w:rPr>
        <w:t>(Tingley 2012)</w:t>
      </w:r>
      <w:r w:rsidR="00DB7536" w:rsidRPr="00091F8C">
        <w:rPr>
          <w:color w:val="000000" w:themeColor="text1"/>
        </w:rPr>
        <w:t xml:space="preserve"> focus more on material analysis for investigating end of life impact of buildings.</w:t>
      </w:r>
    </w:p>
    <w:p w14:paraId="180F048F" w14:textId="77777777" w:rsidR="00DB7536" w:rsidRPr="00091F8C" w:rsidRDefault="00DB7536" w:rsidP="00DB7536">
      <w:pPr>
        <w:rPr>
          <w:color w:val="000000" w:themeColor="text1"/>
        </w:rPr>
      </w:pPr>
      <w:r w:rsidRPr="00091F8C">
        <w:rPr>
          <w:color w:val="000000" w:themeColor="text1"/>
        </w:rPr>
        <w:t>Apart from the above limitations, increasing adoption of Building Information Modelling (BIM) within Architecture, Engineering and Construction (AEC) industry</w:t>
      </w:r>
      <w:r w:rsidRPr="00091F8C">
        <w:rPr>
          <w:color w:val="000000" w:themeColor="text1"/>
        </w:rPr>
        <w:softHyphen/>
        <w:t xml:space="preserve"> </w:t>
      </w:r>
      <w:r w:rsidRPr="00091F8C">
        <w:rPr>
          <w:noProof/>
          <w:color w:val="000000" w:themeColor="text1"/>
        </w:rPr>
        <w:t>(Arayici et al. 2011)</w:t>
      </w:r>
      <w:r w:rsidRPr="00091F8C">
        <w:rPr>
          <w:color w:val="000000" w:themeColor="text1"/>
        </w:rPr>
        <w:t xml:space="preserve"> requires a holistic rethink of entire construction activities. This means that any promising innovation within the AEC industry requires BIM compliance</w:t>
      </w:r>
      <w:r w:rsidR="000E5FB2" w:rsidRPr="00091F8C">
        <w:rPr>
          <w:color w:val="000000" w:themeColor="text1"/>
        </w:rPr>
        <w:t xml:space="preserve"> (</w:t>
      </w:r>
      <w:proofErr w:type="spellStart"/>
      <w:r w:rsidR="000E5FB2" w:rsidRPr="00091F8C">
        <w:rPr>
          <w:color w:val="000000" w:themeColor="text1"/>
        </w:rPr>
        <w:t>Ajayi</w:t>
      </w:r>
      <w:proofErr w:type="spellEnd"/>
      <w:r w:rsidR="000E5FB2" w:rsidRPr="00091F8C">
        <w:rPr>
          <w:color w:val="000000" w:themeColor="text1"/>
        </w:rPr>
        <w:t xml:space="preserve"> </w:t>
      </w:r>
      <w:r w:rsidR="000E5FB2" w:rsidRPr="00091F8C">
        <w:rPr>
          <w:i/>
          <w:color w:val="000000" w:themeColor="text1"/>
        </w:rPr>
        <w:t>et al.,</w:t>
      </w:r>
      <w:r w:rsidR="000E5FB2" w:rsidRPr="00091F8C">
        <w:rPr>
          <w:color w:val="000000" w:themeColor="text1"/>
        </w:rPr>
        <w:t xml:space="preserve"> 2015)</w:t>
      </w:r>
      <w:r w:rsidRPr="00091F8C">
        <w:rPr>
          <w:color w:val="000000" w:themeColor="text1"/>
        </w:rPr>
        <w:t>. Laying on this premise, the overall aim of this paper is to detail the development of BIM based Deconstructability Assessment System (BIM-DAS) to provide an objective and measurable system for building deconstructability during the design stage. This scoring system forms a basis for comparative analysis building models to choose the option with the least end of life impact on the environment. Accordingly, the specific objectives are:</w:t>
      </w:r>
    </w:p>
    <w:p w14:paraId="132E8E16" w14:textId="77777777" w:rsidR="00DB7536" w:rsidRPr="00091F8C" w:rsidRDefault="00DB7536" w:rsidP="00DB7536">
      <w:pPr>
        <w:pStyle w:val="ListParagraph"/>
        <w:numPr>
          <w:ilvl w:val="0"/>
          <w:numId w:val="16"/>
        </w:numPr>
        <w:rPr>
          <w:color w:val="000000" w:themeColor="text1"/>
        </w:rPr>
      </w:pPr>
      <w:r w:rsidRPr="00091F8C">
        <w:rPr>
          <w:color w:val="000000" w:themeColor="text1"/>
        </w:rPr>
        <w:t>To identify critical design principles that ensures building deconstructability.</w:t>
      </w:r>
    </w:p>
    <w:p w14:paraId="7C0D94F1" w14:textId="77777777" w:rsidR="00DB7536" w:rsidRPr="00091F8C" w:rsidRDefault="00DB7536" w:rsidP="00DB7536">
      <w:pPr>
        <w:pStyle w:val="ListParagraph"/>
        <w:numPr>
          <w:ilvl w:val="0"/>
          <w:numId w:val="16"/>
        </w:numPr>
        <w:rPr>
          <w:color w:val="000000" w:themeColor="text1"/>
        </w:rPr>
      </w:pPr>
      <w:r w:rsidRPr="00091F8C">
        <w:rPr>
          <w:color w:val="000000" w:themeColor="text1"/>
        </w:rPr>
        <w:t>To develop an objective system, i.e. BIM-DAS, for scoring the degree of building deconstructability.</w:t>
      </w:r>
    </w:p>
    <w:p w14:paraId="3017CF2C" w14:textId="77777777" w:rsidR="00DB7536" w:rsidRPr="00091F8C" w:rsidRDefault="00DB7536" w:rsidP="00DB7536">
      <w:pPr>
        <w:pStyle w:val="ListParagraph"/>
        <w:numPr>
          <w:ilvl w:val="0"/>
          <w:numId w:val="16"/>
        </w:numPr>
        <w:rPr>
          <w:color w:val="000000" w:themeColor="text1"/>
        </w:rPr>
      </w:pPr>
      <w:r w:rsidRPr="00091F8C">
        <w:rPr>
          <w:color w:val="000000" w:themeColor="text1"/>
        </w:rPr>
        <w:t>To test the performance and usability of BIM-DAS.</w:t>
      </w:r>
    </w:p>
    <w:p w14:paraId="1C739AEF" w14:textId="77777777" w:rsidR="00DB7536" w:rsidRPr="00091F8C" w:rsidRDefault="00DB7536" w:rsidP="00DB7536">
      <w:pPr>
        <w:rPr>
          <w:color w:val="000000" w:themeColor="text1"/>
        </w:rPr>
      </w:pPr>
      <w:r w:rsidRPr="00091F8C">
        <w:rPr>
          <w:color w:val="000000" w:themeColor="text1"/>
        </w:rPr>
        <w:t xml:space="preserve">While adopting a positivist theoretical framework, this study uses experimental research and case study as research methodology to achieve its objectives. As such, an in-depth review of </w:t>
      </w:r>
      <w:r w:rsidRPr="00091F8C">
        <w:rPr>
          <w:color w:val="000000" w:themeColor="text1"/>
        </w:rPr>
        <w:lastRenderedPageBreak/>
        <w:t>literature was carried out to identify key features that could be used for assessing the performance of DfD. Thereafter, the key features were used to develop BIM-DAS using mathematical modelling approach, which is based on efficient material requirement planning. At the end, BIM-DAS was tested using case study design.</w:t>
      </w:r>
    </w:p>
    <w:p w14:paraId="1A0B9566" w14:textId="77777777" w:rsidR="00DB7536" w:rsidRPr="00091F8C" w:rsidRDefault="00DB7536" w:rsidP="00DB7536">
      <w:pPr>
        <w:rPr>
          <w:color w:val="000000" w:themeColor="text1"/>
        </w:rPr>
      </w:pPr>
      <w:r w:rsidRPr="00091F8C">
        <w:rPr>
          <w:color w:val="000000" w:themeColor="text1"/>
        </w:rPr>
        <w:t>The research paper starts with a discussion of the concept of design for deconstruction, key design principles influencing deconstruction, and the role of BIM in achieving effectual deconstruction. After this, a full discussion of the research methodology preceded discussion of how BIM-DAS was developed. A discussion on the evaluation of BIM-DAS through a case study design is then presented before culminating the paper ends with a conclusion and areas of further research.</w:t>
      </w:r>
    </w:p>
    <w:p w14:paraId="496F23F9" w14:textId="77777777" w:rsidR="00DB7536" w:rsidRPr="00091F8C" w:rsidRDefault="00DB7536" w:rsidP="00DB7536">
      <w:pPr>
        <w:pStyle w:val="Heading1"/>
        <w:rPr>
          <w:color w:val="000000" w:themeColor="text1"/>
        </w:rPr>
      </w:pPr>
      <w:r w:rsidRPr="00091F8C">
        <w:rPr>
          <w:color w:val="000000" w:themeColor="text1"/>
        </w:rPr>
        <w:t>Design for Deconstruction as a Means to an End</w:t>
      </w:r>
    </w:p>
    <w:p w14:paraId="47C3F0F5" w14:textId="77777777" w:rsidR="00DB7536" w:rsidRPr="00091F8C" w:rsidRDefault="00DB7536" w:rsidP="00DB7536">
      <w:pPr>
        <w:rPr>
          <w:color w:val="000000" w:themeColor="text1"/>
        </w:rPr>
      </w:pPr>
      <w:r w:rsidRPr="00091F8C">
        <w:rPr>
          <w:color w:val="000000" w:themeColor="text1"/>
        </w:rPr>
        <w:t>Deconstruction is “</w:t>
      </w:r>
      <w:r w:rsidRPr="00091F8C">
        <w:rPr>
          <w:i/>
          <w:color w:val="000000" w:themeColor="text1"/>
        </w:rPr>
        <w:t>the whole or partial disassembly of buildings to facilitate component reuse and material recycling</w:t>
      </w:r>
      <w:r w:rsidRPr="00091F8C">
        <w:rPr>
          <w:color w:val="000000" w:themeColor="text1"/>
        </w:rPr>
        <w:t>” (</w:t>
      </w:r>
      <w:r w:rsidRPr="00091F8C">
        <w:rPr>
          <w:noProof/>
          <w:color w:val="000000" w:themeColor="text1"/>
        </w:rPr>
        <w:t>Kibert, 2008)</w:t>
      </w:r>
      <w:r w:rsidRPr="00091F8C">
        <w:rPr>
          <w:color w:val="000000" w:themeColor="text1"/>
        </w:rPr>
        <w:t xml:space="preserve"> to eliminate demolition through the recovery of reusable materials </w:t>
      </w:r>
      <w:r w:rsidRPr="00091F8C">
        <w:rPr>
          <w:noProof/>
          <w:color w:val="000000" w:themeColor="text1"/>
        </w:rPr>
        <w:t>(Gorgolewski 2006)</w:t>
      </w:r>
      <w:r w:rsidRPr="00091F8C">
        <w:rPr>
          <w:color w:val="000000" w:themeColor="text1"/>
        </w:rPr>
        <w:t xml:space="preserve">. This is with the aim of rapid relocation of building, reduced demolition waste, improved flexibility and retrofitting, etc. </w:t>
      </w:r>
      <w:r w:rsidRPr="00091F8C">
        <w:rPr>
          <w:noProof/>
          <w:color w:val="000000" w:themeColor="text1"/>
        </w:rPr>
        <w:t>(Addis 2008)</w:t>
      </w:r>
      <w:r w:rsidRPr="00091F8C">
        <w:rPr>
          <w:color w:val="000000" w:themeColor="text1"/>
        </w:rPr>
        <w:t xml:space="preserve">. Despite a growing discrepancy of opinion on whether CDEW could be completely eradicated (cf. Yuan &amp; Shen, 2011; Zaman &amp; Lehmann, 2013), existing studies shows that effective deconstruction could drive construction waste eradication initiatives </w:t>
      </w:r>
      <w:r w:rsidRPr="00091F8C">
        <w:rPr>
          <w:noProof/>
          <w:color w:val="000000" w:themeColor="text1"/>
        </w:rPr>
        <w:t>(Guy et al. 2006; Densley Tingley and Davison 2012; Akbarnezhad et al. 2014)</w:t>
      </w:r>
      <w:r w:rsidRPr="00091F8C">
        <w:rPr>
          <w:color w:val="000000" w:themeColor="text1"/>
        </w:rPr>
        <w:t xml:space="preserve">. Example of such initiative is the EU target of zero waste to landfill by </w:t>
      </w:r>
      <w:proofErr w:type="gramStart"/>
      <w:r w:rsidRPr="00091F8C">
        <w:rPr>
          <w:color w:val="000000" w:themeColor="text1"/>
        </w:rPr>
        <w:t xml:space="preserve">2020  </w:t>
      </w:r>
      <w:r w:rsidRPr="00091F8C">
        <w:rPr>
          <w:noProof/>
          <w:color w:val="000000" w:themeColor="text1"/>
        </w:rPr>
        <w:t>(</w:t>
      </w:r>
      <w:proofErr w:type="gramEnd"/>
      <w:r w:rsidRPr="00091F8C">
        <w:rPr>
          <w:noProof/>
          <w:color w:val="000000" w:themeColor="text1"/>
        </w:rPr>
        <w:t>Phillips et al. 2011)</w:t>
      </w:r>
      <w:r w:rsidRPr="00091F8C">
        <w:rPr>
          <w:color w:val="000000" w:themeColor="text1"/>
        </w:rPr>
        <w:t xml:space="preserve">. Apart from helping to divert waste from landfills, deconstruction also enables other benefits, which include: (a) </w:t>
      </w:r>
      <w:r w:rsidRPr="00091F8C">
        <w:rPr>
          <w:i/>
          <w:color w:val="000000" w:themeColor="text1"/>
        </w:rPr>
        <w:t>environmental benefits</w:t>
      </w:r>
      <w:r w:rsidRPr="00091F8C">
        <w:rPr>
          <w:color w:val="000000" w:themeColor="text1"/>
        </w:rPr>
        <w:t xml:space="preserve">: by reducing site disturbance </w:t>
      </w:r>
      <w:r w:rsidRPr="00091F8C">
        <w:rPr>
          <w:noProof/>
          <w:color w:val="000000" w:themeColor="text1"/>
        </w:rPr>
        <w:t>(Lassandro 2003)</w:t>
      </w:r>
      <w:r w:rsidRPr="00091F8C">
        <w:rPr>
          <w:color w:val="000000" w:themeColor="text1"/>
        </w:rPr>
        <w:t xml:space="preserve">, harmful emission, health hazard </w:t>
      </w:r>
      <w:r w:rsidRPr="00091F8C">
        <w:rPr>
          <w:noProof/>
          <w:color w:val="000000" w:themeColor="text1"/>
        </w:rPr>
        <w:t>(Chini and Acquaye 2001)</w:t>
      </w:r>
      <w:r w:rsidRPr="00091F8C">
        <w:rPr>
          <w:color w:val="000000" w:themeColor="text1"/>
        </w:rPr>
        <w:t xml:space="preserve"> and preserving the embodied energy </w:t>
      </w:r>
      <w:r w:rsidRPr="00091F8C">
        <w:rPr>
          <w:noProof/>
          <w:color w:val="000000" w:themeColor="text1"/>
        </w:rPr>
        <w:t>(Thormark 2001)</w:t>
      </w:r>
      <w:r w:rsidRPr="00091F8C">
        <w:rPr>
          <w:color w:val="000000" w:themeColor="text1"/>
        </w:rPr>
        <w:t xml:space="preserve"> through material reuse; (b) </w:t>
      </w:r>
      <w:r w:rsidRPr="00091F8C">
        <w:rPr>
          <w:i/>
          <w:color w:val="000000" w:themeColor="text1"/>
        </w:rPr>
        <w:t>social and</w:t>
      </w:r>
      <w:r w:rsidRPr="00091F8C">
        <w:rPr>
          <w:color w:val="000000" w:themeColor="text1"/>
        </w:rPr>
        <w:t xml:space="preserve"> </w:t>
      </w:r>
      <w:r w:rsidRPr="00091F8C">
        <w:rPr>
          <w:i/>
          <w:color w:val="000000" w:themeColor="text1"/>
        </w:rPr>
        <w:t>economic benefits</w:t>
      </w:r>
      <w:r w:rsidRPr="00091F8C">
        <w:rPr>
          <w:color w:val="000000" w:themeColor="text1"/>
        </w:rPr>
        <w:t xml:space="preserve">: by providing business opportunities through material recovery, reuse and recycling; and providing employment to support deconstruction infrastructure. </w:t>
      </w:r>
    </w:p>
    <w:p w14:paraId="42FFB741" w14:textId="77777777" w:rsidR="00DB7536" w:rsidRPr="00091F8C" w:rsidRDefault="00DB7536" w:rsidP="00DB7536">
      <w:pPr>
        <w:rPr>
          <w:color w:val="000000" w:themeColor="text1"/>
        </w:rPr>
      </w:pPr>
      <w:r w:rsidRPr="00091F8C">
        <w:rPr>
          <w:color w:val="000000" w:themeColor="text1"/>
        </w:rPr>
        <w:lastRenderedPageBreak/>
        <w:t xml:space="preserve">To enable a well-planned deconstruction, conscious efforts must be taken by architects and engineers right from the design stages. </w:t>
      </w:r>
      <w:r w:rsidRPr="00091F8C">
        <w:rPr>
          <w:noProof/>
          <w:color w:val="000000" w:themeColor="text1"/>
        </w:rPr>
        <w:t>(Kibert 2008)</w:t>
      </w:r>
      <w:r w:rsidRPr="00091F8C">
        <w:rPr>
          <w:color w:val="000000" w:themeColor="text1"/>
        </w:rPr>
        <w:t>. As such, the eventual purpose of deconstruction must be identified to guarantee the success of DfD. This will enhance the understanding of relevant design strategies and tools required for deconstruction. This section therefore contains a review of extant literature on types of deconstruction, DfD techniques, theory of building layers and BIM as a tool for DfD.</w:t>
      </w:r>
    </w:p>
    <w:p w14:paraId="672600B1" w14:textId="77777777" w:rsidR="00DB7536" w:rsidRPr="00091F8C" w:rsidRDefault="00DB7536" w:rsidP="00DB7536">
      <w:pPr>
        <w:pStyle w:val="Heading2"/>
        <w:rPr>
          <w:color w:val="000000" w:themeColor="text1"/>
        </w:rPr>
      </w:pPr>
      <w:r w:rsidRPr="00091F8C">
        <w:rPr>
          <w:color w:val="000000" w:themeColor="text1"/>
        </w:rPr>
        <w:t>Types of Deconstruction</w:t>
      </w:r>
    </w:p>
    <w:p w14:paraId="37F57C77" w14:textId="77777777" w:rsidR="00DB7536" w:rsidRPr="00091F8C" w:rsidRDefault="00DB7536" w:rsidP="00DB7536">
      <w:pPr>
        <w:rPr>
          <w:noProof/>
          <w:color w:val="000000" w:themeColor="text1"/>
          <w:lang w:eastAsia="en-GB"/>
        </w:rPr>
      </w:pPr>
      <w:r w:rsidRPr="00091F8C">
        <w:rPr>
          <w:noProof/>
          <w:color w:val="000000" w:themeColor="text1"/>
          <w:lang w:eastAsia="en-GB"/>
        </w:rPr>
        <w:t>Two activities are possible at the end of life of buildings, which include demolition and deconstruction as shown in</w:t>
      </w:r>
      <w:r w:rsidR="00A002E4" w:rsidRPr="00091F8C">
        <w:rPr>
          <w:noProof/>
          <w:color w:val="000000" w:themeColor="text1"/>
          <w:lang w:eastAsia="en-GB"/>
        </w:rPr>
        <w:t xml:space="preserve"> Figure 1</w:t>
      </w:r>
      <w:r w:rsidRPr="00091F8C">
        <w:rPr>
          <w:noProof/>
          <w:color w:val="000000" w:themeColor="text1"/>
          <w:lang w:eastAsia="en-GB"/>
        </w:rPr>
        <w:t>. Demolition as a building removal strategy is primarily aimed at disposal to landfill with little consideration for material recovery. On the other hand, deconstruction is carried out to recover toxic materials from buildings for safe disposal or to divert waste from landfills through material recovery. For example, harmful substances such as asbestos needs to be safely removed through careful deconstruction from old buildings to avoid occupational exposure (Frost et al. 2008).  According to Crowther (2005), deconstruction of buildings without toxic materials could be for four main purposes, which include (i) relocation of buildings, (ii) component reuse in other</w:t>
      </w:r>
      <w:r w:rsidR="00834F8F" w:rsidRPr="00091F8C">
        <w:rPr>
          <w:noProof/>
          <w:color w:val="000000" w:themeColor="text1"/>
          <w:lang w:eastAsia="en-GB"/>
        </w:rPr>
        <w:t xml:space="preserve"> buildings, (iii) material repro</w:t>
      </w:r>
      <w:r w:rsidRPr="00091F8C">
        <w:rPr>
          <w:noProof/>
          <w:color w:val="000000" w:themeColor="text1"/>
          <w:lang w:eastAsia="en-GB"/>
        </w:rPr>
        <w:t>cessing and (iv) material recycling.</w:t>
      </w:r>
      <w:r w:rsidR="00F439EE" w:rsidRPr="00091F8C">
        <w:rPr>
          <w:noProof/>
          <w:color w:val="000000" w:themeColor="text1"/>
          <w:lang w:eastAsia="en-GB"/>
        </w:rPr>
        <w:t xml:space="preserve"> This is inline with </w:t>
      </w:r>
      <w:r w:rsidR="00F439EE" w:rsidRPr="00091F8C">
        <w:rPr>
          <w:color w:val="000000" w:themeColor="text1"/>
        </w:rPr>
        <w:t xml:space="preserve">the viewpoint of </w:t>
      </w:r>
      <w:proofErr w:type="spellStart"/>
      <w:r w:rsidR="00F439EE" w:rsidRPr="00091F8C">
        <w:rPr>
          <w:color w:val="000000" w:themeColor="text1"/>
        </w:rPr>
        <w:t>Kibert</w:t>
      </w:r>
      <w:proofErr w:type="spellEnd"/>
      <w:r w:rsidR="00F439EE" w:rsidRPr="00091F8C">
        <w:rPr>
          <w:color w:val="000000" w:themeColor="text1"/>
        </w:rPr>
        <w:t xml:space="preserve"> </w:t>
      </w:r>
      <w:r w:rsidR="00F439EE" w:rsidRPr="00091F8C">
        <w:rPr>
          <w:noProof/>
          <w:color w:val="000000" w:themeColor="text1"/>
        </w:rPr>
        <w:t>(2003)</w:t>
      </w:r>
      <w:r w:rsidR="00F439EE" w:rsidRPr="00091F8C">
        <w:rPr>
          <w:color w:val="000000" w:themeColor="text1"/>
        </w:rPr>
        <w:t xml:space="preserve"> who suggests that realisation of effective DfD for multiple purposes will significantly reduce CDEW and helps to divert waste from landfills.</w:t>
      </w:r>
    </w:p>
    <w:p w14:paraId="5FB4A5DD" w14:textId="77777777" w:rsidR="00DB7536" w:rsidRPr="00091F8C" w:rsidRDefault="004609A8" w:rsidP="00DB7536">
      <w:pPr>
        <w:rPr>
          <w:color w:val="000000" w:themeColor="text1"/>
        </w:rPr>
      </w:pPr>
      <w:r w:rsidRPr="00091F8C">
        <w:rPr>
          <w:color w:val="000000" w:themeColor="text1"/>
        </w:rPr>
        <w:t xml:space="preserve">Deconstruction for building relocation involves the recovery of all the building materials and components without generation of waste. This is only possible if all the building materials and components are separable and reusable </w:t>
      </w:r>
      <w:r w:rsidRPr="00091F8C">
        <w:rPr>
          <w:noProof/>
          <w:color w:val="000000" w:themeColor="text1"/>
        </w:rPr>
        <w:t>(Crowther 2005)</w:t>
      </w:r>
      <w:r w:rsidRPr="00091F8C">
        <w:rPr>
          <w:color w:val="000000" w:themeColor="text1"/>
        </w:rPr>
        <w:t xml:space="preserve">. Although it is impractical to achieve 100% material recovery, </w:t>
      </w:r>
      <w:r w:rsidRPr="00091F8C">
        <w:rPr>
          <w:noProof/>
          <w:color w:val="000000" w:themeColor="text1"/>
        </w:rPr>
        <w:t>McDonough &amp; Braungart</w:t>
      </w:r>
      <w:r w:rsidRPr="00091F8C">
        <w:rPr>
          <w:color w:val="000000" w:themeColor="text1"/>
        </w:rPr>
        <w:t xml:space="preserve"> </w:t>
      </w:r>
      <w:r w:rsidRPr="00091F8C">
        <w:rPr>
          <w:noProof/>
          <w:color w:val="000000" w:themeColor="text1"/>
        </w:rPr>
        <w:t>(2002)</w:t>
      </w:r>
      <w:r w:rsidRPr="00091F8C">
        <w:rPr>
          <w:color w:val="000000" w:themeColor="text1"/>
        </w:rPr>
        <w:t xml:space="preserve"> argued that recovery of building components for relocation and reuse remains the most preferred deconstruction purpose because it requires the least energy and new resources</w:t>
      </w:r>
      <w:r w:rsidR="000E5FB2" w:rsidRPr="00091F8C">
        <w:rPr>
          <w:color w:val="000000" w:themeColor="text1"/>
        </w:rPr>
        <w:t xml:space="preserve"> (</w:t>
      </w:r>
      <w:proofErr w:type="spellStart"/>
      <w:r w:rsidR="000E5FB2" w:rsidRPr="00091F8C">
        <w:rPr>
          <w:color w:val="000000" w:themeColor="text1"/>
        </w:rPr>
        <w:t>Oyedele</w:t>
      </w:r>
      <w:proofErr w:type="spellEnd"/>
      <w:r w:rsidR="000E5FB2" w:rsidRPr="00091F8C">
        <w:rPr>
          <w:color w:val="000000" w:themeColor="text1"/>
        </w:rPr>
        <w:t xml:space="preserve"> </w:t>
      </w:r>
      <w:r w:rsidR="000E5FB2" w:rsidRPr="00091F8C">
        <w:rPr>
          <w:i/>
          <w:color w:val="000000" w:themeColor="text1"/>
        </w:rPr>
        <w:t>et al.</w:t>
      </w:r>
      <w:r w:rsidR="000E5FB2" w:rsidRPr="00091F8C">
        <w:rPr>
          <w:color w:val="000000" w:themeColor="text1"/>
        </w:rPr>
        <w:t>, 2014)</w:t>
      </w:r>
      <w:r w:rsidRPr="00091F8C">
        <w:rPr>
          <w:color w:val="000000" w:themeColor="text1"/>
        </w:rPr>
        <w:t xml:space="preserve">. This is because other </w:t>
      </w:r>
      <w:r w:rsidR="000E5FB2" w:rsidRPr="00091F8C">
        <w:rPr>
          <w:color w:val="000000" w:themeColor="text1"/>
        </w:rPr>
        <w:t>purposes of deconstruction require</w:t>
      </w:r>
      <w:r w:rsidRPr="00091F8C">
        <w:rPr>
          <w:color w:val="000000" w:themeColor="text1"/>
        </w:rPr>
        <w:t xml:space="preserve"> additional energy and materials to reprocess or recycle recovered materials </w:t>
      </w:r>
      <w:r w:rsidRPr="00091F8C">
        <w:rPr>
          <w:noProof/>
          <w:color w:val="000000" w:themeColor="text1"/>
        </w:rPr>
        <w:t>(Jaillon and Poon 2014)</w:t>
      </w:r>
      <w:r w:rsidRPr="00091F8C">
        <w:rPr>
          <w:color w:val="000000" w:themeColor="text1"/>
        </w:rPr>
        <w:t xml:space="preserve">. </w:t>
      </w:r>
      <w:r w:rsidR="00317F44" w:rsidRPr="00091F8C">
        <w:rPr>
          <w:color w:val="000000" w:themeColor="text1"/>
        </w:rPr>
        <w:t>T</w:t>
      </w:r>
      <w:r w:rsidRPr="00091F8C">
        <w:rPr>
          <w:color w:val="000000" w:themeColor="text1"/>
        </w:rPr>
        <w:t>he term DfD</w:t>
      </w:r>
      <w:r w:rsidR="00317F44" w:rsidRPr="00091F8C">
        <w:rPr>
          <w:color w:val="000000" w:themeColor="text1"/>
        </w:rPr>
        <w:t xml:space="preserve"> used in this study therefore</w:t>
      </w:r>
      <w:r w:rsidRPr="00091F8C">
        <w:rPr>
          <w:color w:val="000000" w:themeColor="text1"/>
        </w:rPr>
        <w:t xml:space="preserve"> encapsulates design for the purpose of recovery for building relocation</w:t>
      </w:r>
      <w:r w:rsidR="00E778F2" w:rsidRPr="00091F8C">
        <w:rPr>
          <w:color w:val="000000" w:themeColor="text1"/>
        </w:rPr>
        <w:t xml:space="preserve"> and </w:t>
      </w:r>
      <w:r w:rsidRPr="00091F8C">
        <w:rPr>
          <w:color w:val="000000" w:themeColor="text1"/>
        </w:rPr>
        <w:t xml:space="preserve">component reuse. </w:t>
      </w:r>
      <w:r w:rsidRPr="00091F8C">
        <w:rPr>
          <w:color w:val="000000" w:themeColor="text1"/>
        </w:rPr>
        <w:lastRenderedPageBreak/>
        <w:t>This takes a cue from</w:t>
      </w:r>
      <w:r w:rsidR="00F439EE" w:rsidRPr="00091F8C">
        <w:rPr>
          <w:color w:val="000000" w:themeColor="text1"/>
        </w:rPr>
        <w:t xml:space="preserve"> the fact that it is becoming a common practice to recycle an entire building and that a more significant challenge is designing a building that could be deconstructed for component reuse with minimal reprocessing. </w:t>
      </w:r>
      <w:r w:rsidRPr="00091F8C">
        <w:rPr>
          <w:color w:val="000000" w:themeColor="text1"/>
        </w:rPr>
        <w:t xml:space="preserve">This </w:t>
      </w:r>
      <w:r w:rsidR="00F439EE" w:rsidRPr="00091F8C">
        <w:rPr>
          <w:color w:val="000000" w:themeColor="text1"/>
        </w:rPr>
        <w:t xml:space="preserve">task </w:t>
      </w:r>
      <w:r w:rsidRPr="00091F8C">
        <w:rPr>
          <w:color w:val="000000" w:themeColor="text1"/>
        </w:rPr>
        <w:t>therefore necessitates the requirement to understand the complexity of intertwined processes of building design practice, DfD techniques and associated factors. As such, next section takes a holistic approach in discussing existing perspectives on DfD principles and how interplay among them could ensure successful building deconstruction.</w:t>
      </w:r>
    </w:p>
    <w:p w14:paraId="304BF7D0" w14:textId="77777777" w:rsidR="00317F44" w:rsidRPr="00091F8C" w:rsidRDefault="00317F44" w:rsidP="00DB7536">
      <w:pPr>
        <w:rPr>
          <w:color w:val="000000" w:themeColor="text1"/>
        </w:rPr>
      </w:pPr>
      <w:r w:rsidRPr="00091F8C">
        <w:rPr>
          <w:noProof/>
          <w:color w:val="000000" w:themeColor="text1"/>
          <w:lang w:val="en-US"/>
        </w:rPr>
        <w:drawing>
          <wp:inline distT="0" distB="0" distL="0" distR="0" wp14:anchorId="1751E67A" wp14:editId="3C038899">
            <wp:extent cx="5731510" cy="38144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814445"/>
                    </a:xfrm>
                    <a:prstGeom prst="rect">
                      <a:avLst/>
                    </a:prstGeom>
                  </pic:spPr>
                </pic:pic>
              </a:graphicData>
            </a:graphic>
          </wp:inline>
        </w:drawing>
      </w:r>
    </w:p>
    <w:p w14:paraId="6D6EA8F2" w14:textId="77777777" w:rsidR="00DB7536" w:rsidRPr="00091F8C" w:rsidRDefault="00DB7536" w:rsidP="00DB7536">
      <w:pPr>
        <w:jc w:val="center"/>
        <w:rPr>
          <w:color w:val="000000" w:themeColor="text1"/>
        </w:rPr>
      </w:pPr>
      <w:r w:rsidRPr="00091F8C">
        <w:rPr>
          <w:color w:val="000000" w:themeColor="text1"/>
        </w:rPr>
        <w:t xml:space="preserve">Figure </w:t>
      </w:r>
      <w:r w:rsidR="00A25411" w:rsidRPr="00091F8C">
        <w:rPr>
          <w:color w:val="000000" w:themeColor="text1"/>
        </w:rPr>
        <w:t>1</w:t>
      </w:r>
      <w:r w:rsidRPr="00091F8C">
        <w:rPr>
          <w:color w:val="000000" w:themeColor="text1"/>
        </w:rPr>
        <w:t>: Types and purpose of buildings’ end of life</w:t>
      </w:r>
    </w:p>
    <w:p w14:paraId="49544992" w14:textId="77777777" w:rsidR="00DB7536" w:rsidRPr="00091F8C" w:rsidRDefault="00DB7536" w:rsidP="00DB7536">
      <w:pPr>
        <w:pStyle w:val="Heading2"/>
        <w:rPr>
          <w:color w:val="000000" w:themeColor="text1"/>
        </w:rPr>
      </w:pPr>
      <w:r w:rsidRPr="00091F8C">
        <w:rPr>
          <w:color w:val="000000" w:themeColor="text1"/>
        </w:rPr>
        <w:t>Design for Deconstruction Techniques</w:t>
      </w:r>
    </w:p>
    <w:p w14:paraId="4197310B" w14:textId="77777777" w:rsidR="00DB7536" w:rsidRPr="00091F8C" w:rsidRDefault="00DB7536" w:rsidP="00DB7536">
      <w:pPr>
        <w:rPr>
          <w:color w:val="000000" w:themeColor="text1"/>
        </w:rPr>
      </w:pPr>
      <w:r w:rsidRPr="00091F8C">
        <w:rPr>
          <w:color w:val="000000" w:themeColor="text1"/>
        </w:rPr>
        <w:t xml:space="preserve">According to </w:t>
      </w:r>
      <w:proofErr w:type="spellStart"/>
      <w:r w:rsidRPr="00091F8C">
        <w:rPr>
          <w:color w:val="000000" w:themeColor="text1"/>
        </w:rPr>
        <w:t>Warszawski</w:t>
      </w:r>
      <w:proofErr w:type="spellEnd"/>
      <w:r w:rsidRPr="00091F8C">
        <w:rPr>
          <w:color w:val="000000" w:themeColor="text1"/>
        </w:rPr>
        <w:t xml:space="preserve"> </w:t>
      </w:r>
      <w:r w:rsidRPr="00091F8C">
        <w:rPr>
          <w:noProof/>
          <w:color w:val="000000" w:themeColor="text1"/>
        </w:rPr>
        <w:t>(1999)</w:t>
      </w:r>
      <w:r w:rsidRPr="00091F8C">
        <w:rPr>
          <w:color w:val="000000" w:themeColor="text1"/>
        </w:rPr>
        <w:t xml:space="preserve">, there are various design rules that </w:t>
      </w:r>
      <w:r w:rsidR="0085480B" w:rsidRPr="00091F8C">
        <w:rPr>
          <w:color w:val="000000" w:themeColor="text1"/>
        </w:rPr>
        <w:t>should be followed</w:t>
      </w:r>
      <w:r w:rsidRPr="00091F8C">
        <w:rPr>
          <w:color w:val="000000" w:themeColor="text1"/>
        </w:rPr>
        <w:t xml:space="preserve"> in order to enhance deconstructability of buildings. These rules help to maximise the flexibility of designs, thereby enhancing building re-modification and disassembly. Guy </w:t>
      </w:r>
      <w:r w:rsidRPr="00091F8C">
        <w:rPr>
          <w:i/>
          <w:color w:val="000000" w:themeColor="text1"/>
        </w:rPr>
        <w:t>et al.</w:t>
      </w:r>
      <w:r w:rsidRPr="00091F8C">
        <w:rPr>
          <w:color w:val="000000" w:themeColor="text1"/>
        </w:rPr>
        <w:t xml:space="preserve"> </w:t>
      </w:r>
      <w:r w:rsidRPr="00091F8C">
        <w:rPr>
          <w:noProof/>
          <w:color w:val="000000" w:themeColor="text1"/>
        </w:rPr>
        <w:t>(2006)</w:t>
      </w:r>
      <w:r w:rsidRPr="00091F8C">
        <w:rPr>
          <w:color w:val="000000" w:themeColor="text1"/>
        </w:rPr>
        <w:t xml:space="preserve"> </w:t>
      </w:r>
      <w:r w:rsidRPr="00091F8C">
        <w:rPr>
          <w:color w:val="000000" w:themeColor="text1"/>
        </w:rPr>
        <w:lastRenderedPageBreak/>
        <w:t xml:space="preserve">argues that designing for deconstruction requires an in-depth conceptual and theoretical exploration of the make-up of building systems using both holistic and systemic approach. This is to capture the complexity and multiplicity of the makeup of buildings as well as interactions among building elements. This idea underscores the theory of building layers where parts of buildings are organised into subsystems known as layers. The layers structure building elements according to their life expectancy </w:t>
      </w:r>
      <w:r w:rsidRPr="00091F8C">
        <w:rPr>
          <w:noProof/>
          <w:color w:val="000000" w:themeColor="text1"/>
        </w:rPr>
        <w:t>(Habraken and Teicher 2000)</w:t>
      </w:r>
      <w:r w:rsidRPr="00091F8C">
        <w:rPr>
          <w:color w:val="000000" w:themeColor="text1"/>
        </w:rPr>
        <w:t xml:space="preserve">. Accordingly, Brand </w:t>
      </w:r>
      <w:r w:rsidRPr="00091F8C">
        <w:rPr>
          <w:noProof/>
          <w:color w:val="000000" w:themeColor="text1"/>
        </w:rPr>
        <w:t>(1994)</w:t>
      </w:r>
      <w:r w:rsidRPr="00091F8C">
        <w:rPr>
          <w:color w:val="000000" w:themeColor="text1"/>
        </w:rPr>
        <w:t xml:space="preserve"> highlighted six building layer which are site, structure, skin, services, space plan and stuff as shown in</w:t>
      </w:r>
      <w:r w:rsidR="00A25411" w:rsidRPr="00091F8C">
        <w:rPr>
          <w:color w:val="000000" w:themeColor="text1"/>
        </w:rPr>
        <w:t xml:space="preserve"> Figure 2.</w:t>
      </w:r>
    </w:p>
    <w:p w14:paraId="60414604" w14:textId="77777777" w:rsidR="000158BD" w:rsidRPr="00091F8C" w:rsidRDefault="00DB7536" w:rsidP="000158BD">
      <w:pPr>
        <w:jc w:val="center"/>
        <w:rPr>
          <w:color w:val="000000" w:themeColor="text1"/>
        </w:rPr>
      </w:pPr>
      <w:r w:rsidRPr="00091F8C">
        <w:rPr>
          <w:noProof/>
          <w:color w:val="000000" w:themeColor="text1"/>
          <w:lang w:val="en-US"/>
        </w:rPr>
        <w:drawing>
          <wp:inline distT="0" distB="0" distL="0" distR="0" wp14:anchorId="6E9C2AD9" wp14:editId="7824BBCB">
            <wp:extent cx="3539863" cy="372139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6813" cy="3739214"/>
                    </a:xfrm>
                    <a:prstGeom prst="rect">
                      <a:avLst/>
                    </a:prstGeom>
                  </pic:spPr>
                </pic:pic>
              </a:graphicData>
            </a:graphic>
          </wp:inline>
        </w:drawing>
      </w:r>
      <w:bookmarkStart w:id="1" w:name="_Ref424557735"/>
    </w:p>
    <w:p w14:paraId="4327EB2F" w14:textId="77777777" w:rsidR="00DB7536" w:rsidRPr="00091F8C" w:rsidRDefault="00DB7536" w:rsidP="000158BD">
      <w:pPr>
        <w:jc w:val="center"/>
        <w:rPr>
          <w:color w:val="000000" w:themeColor="text1"/>
        </w:rPr>
      </w:pPr>
      <w:r w:rsidRPr="00091F8C">
        <w:rPr>
          <w:color w:val="000000" w:themeColor="text1"/>
        </w:rPr>
        <w:t xml:space="preserve">Figure </w:t>
      </w:r>
      <w:bookmarkEnd w:id="1"/>
      <w:r w:rsidR="00A25411" w:rsidRPr="00091F8C">
        <w:rPr>
          <w:color w:val="000000" w:themeColor="text1"/>
        </w:rPr>
        <w:t>2</w:t>
      </w:r>
      <w:r w:rsidRPr="00091F8C">
        <w:rPr>
          <w:color w:val="000000" w:themeColor="text1"/>
        </w:rPr>
        <w:t>: Building layers</w:t>
      </w:r>
      <w:r w:rsidR="00317F44" w:rsidRPr="00091F8C">
        <w:rPr>
          <w:color w:val="000000" w:themeColor="text1"/>
        </w:rPr>
        <w:t>. Adapted from Brand (1994).</w:t>
      </w:r>
    </w:p>
    <w:p w14:paraId="6D763AD8" w14:textId="77777777" w:rsidR="00DB7536" w:rsidRPr="00091F8C" w:rsidRDefault="00DB7536" w:rsidP="00DB7536">
      <w:pPr>
        <w:rPr>
          <w:color w:val="000000" w:themeColor="text1"/>
        </w:rPr>
      </w:pPr>
      <w:r w:rsidRPr="00091F8C">
        <w:rPr>
          <w:color w:val="000000" w:themeColor="text1"/>
        </w:rPr>
        <w:t>The theory of building layer is important to keep building subsystems as independent as possible so that components on higher layers could be altered or replaced without affecting lowe</w:t>
      </w:r>
      <w:r w:rsidR="003B6275" w:rsidRPr="00091F8C">
        <w:rPr>
          <w:color w:val="000000" w:themeColor="text1"/>
        </w:rPr>
        <w:t xml:space="preserve">r layers. According to </w:t>
      </w:r>
      <w:proofErr w:type="spellStart"/>
      <w:r w:rsidR="003B6275" w:rsidRPr="00091F8C">
        <w:rPr>
          <w:color w:val="000000" w:themeColor="text1"/>
        </w:rPr>
        <w:t>Habraken</w:t>
      </w:r>
      <w:proofErr w:type="spellEnd"/>
      <w:r w:rsidRPr="00091F8C">
        <w:rPr>
          <w:color w:val="000000" w:themeColor="text1"/>
        </w:rPr>
        <w:t xml:space="preserve"> </w:t>
      </w:r>
      <w:r w:rsidRPr="00091F8C">
        <w:rPr>
          <w:noProof/>
          <w:color w:val="000000" w:themeColor="text1"/>
        </w:rPr>
        <w:t>(2000)</w:t>
      </w:r>
      <w:r w:rsidRPr="00091F8C">
        <w:rPr>
          <w:color w:val="000000" w:themeColor="text1"/>
        </w:rPr>
        <w:t xml:space="preserve">, building layers makes DfD technically possible because layers’ interfaces become points of deconstruction. This has led researchers to produce </w:t>
      </w:r>
      <w:r w:rsidRPr="00091F8C">
        <w:rPr>
          <w:color w:val="000000" w:themeColor="text1"/>
        </w:rPr>
        <w:lastRenderedPageBreak/>
        <w:t xml:space="preserve">design principles needed for ensuring end of life deconstruction. For example, Guy </w:t>
      </w:r>
      <w:r w:rsidRPr="00091F8C">
        <w:rPr>
          <w:i/>
          <w:color w:val="000000" w:themeColor="text1"/>
        </w:rPr>
        <w:t>et al.</w:t>
      </w:r>
      <w:r w:rsidRPr="00091F8C">
        <w:rPr>
          <w:color w:val="000000" w:themeColor="text1"/>
        </w:rPr>
        <w:t xml:space="preserve"> </w:t>
      </w:r>
      <w:r w:rsidRPr="00091F8C">
        <w:rPr>
          <w:noProof/>
          <w:color w:val="000000" w:themeColor="text1"/>
        </w:rPr>
        <w:t>(2006)</w:t>
      </w:r>
      <w:r w:rsidRPr="00091F8C">
        <w:rPr>
          <w:color w:val="000000" w:themeColor="text1"/>
        </w:rPr>
        <w:t xml:space="preserve"> and Crowther </w:t>
      </w:r>
      <w:r w:rsidRPr="00091F8C">
        <w:rPr>
          <w:noProof/>
          <w:color w:val="000000" w:themeColor="text1"/>
        </w:rPr>
        <w:t>(2005)</w:t>
      </w:r>
      <w:r w:rsidRPr="00091F8C">
        <w:rPr>
          <w:color w:val="000000" w:themeColor="text1"/>
        </w:rPr>
        <w:t xml:space="preserve"> produced a comprehensive list of general design concepts and principles for deconstruction. These research works provide a solid foundation for contemporary DfD process and are majorly driven by efficient building elements selection to facilitate easy disassembly </w:t>
      </w:r>
      <w:r w:rsidRPr="00091F8C">
        <w:rPr>
          <w:noProof/>
          <w:color w:val="000000" w:themeColor="text1"/>
        </w:rPr>
        <w:t>(Addis 2008)</w:t>
      </w:r>
      <w:r w:rsidRPr="00091F8C">
        <w:rPr>
          <w:color w:val="000000" w:themeColor="text1"/>
        </w:rPr>
        <w:t>.</w:t>
      </w:r>
    </w:p>
    <w:p w14:paraId="6BBC6953" w14:textId="77777777" w:rsidR="00DB7536" w:rsidRPr="00091F8C" w:rsidRDefault="00DB7536" w:rsidP="00DB7536">
      <w:pPr>
        <w:rPr>
          <w:color w:val="000000" w:themeColor="text1"/>
        </w:rPr>
      </w:pPr>
      <w:r w:rsidRPr="00091F8C">
        <w:rPr>
          <w:color w:val="000000" w:themeColor="text1"/>
        </w:rPr>
        <w:t>The highlight of building elements selection process include: (</w:t>
      </w:r>
      <w:proofErr w:type="spellStart"/>
      <w:r w:rsidRPr="00091F8C">
        <w:rPr>
          <w:color w:val="000000" w:themeColor="text1"/>
        </w:rPr>
        <w:t>i</w:t>
      </w:r>
      <w:proofErr w:type="spellEnd"/>
      <w:r w:rsidRPr="00091F8C">
        <w:rPr>
          <w:color w:val="000000" w:themeColor="text1"/>
        </w:rPr>
        <w:t xml:space="preserve">) the specification of durable materials </w:t>
      </w:r>
      <w:r w:rsidRPr="00091F8C">
        <w:rPr>
          <w:noProof/>
          <w:color w:val="000000" w:themeColor="text1"/>
        </w:rPr>
        <w:t>(Tingley 2012)</w:t>
      </w:r>
      <w:r w:rsidRPr="00091F8C">
        <w:rPr>
          <w:color w:val="000000" w:themeColor="text1"/>
        </w:rPr>
        <w:t xml:space="preserve">; (ii) using materials with no secondary finishes </w:t>
      </w:r>
      <w:r w:rsidRPr="00091F8C">
        <w:rPr>
          <w:noProof/>
          <w:color w:val="000000" w:themeColor="text1"/>
        </w:rPr>
        <w:t>(Guy and Ciarimboli 2008)</w:t>
      </w:r>
      <w:r w:rsidRPr="00091F8C">
        <w:rPr>
          <w:color w:val="000000" w:themeColor="text1"/>
        </w:rPr>
        <w:t xml:space="preserve">; (iii) using bolt/nuts joints instead of gluing </w:t>
      </w:r>
      <w:r w:rsidRPr="00091F8C">
        <w:rPr>
          <w:noProof/>
          <w:color w:val="000000" w:themeColor="text1"/>
        </w:rPr>
        <w:t>(Chini and Balachandran 2002; Webster and Costello 2005)</w:t>
      </w:r>
      <w:r w:rsidRPr="00091F8C">
        <w:rPr>
          <w:color w:val="000000" w:themeColor="text1"/>
        </w:rPr>
        <w:t xml:space="preserve">; (iv) avoiding toxic materials </w:t>
      </w:r>
      <w:r w:rsidRPr="00091F8C">
        <w:rPr>
          <w:noProof/>
          <w:color w:val="000000" w:themeColor="text1"/>
        </w:rPr>
        <w:t>(Guy et al. 2006)</w:t>
      </w:r>
      <w:r w:rsidRPr="00091F8C">
        <w:rPr>
          <w:color w:val="000000" w:themeColor="text1"/>
        </w:rPr>
        <w:t xml:space="preserve">; and (v) using prefabricated assemblies </w:t>
      </w:r>
      <w:r w:rsidRPr="00091F8C">
        <w:rPr>
          <w:noProof/>
          <w:color w:val="000000" w:themeColor="text1"/>
        </w:rPr>
        <w:t>(Jaillon et al. 2009)</w:t>
      </w:r>
      <w:r w:rsidRPr="00091F8C">
        <w:rPr>
          <w:color w:val="000000" w:themeColor="text1"/>
        </w:rPr>
        <w:t xml:space="preserve">. In addition to these, Guy </w:t>
      </w:r>
      <w:r w:rsidRPr="00091F8C">
        <w:rPr>
          <w:i/>
          <w:color w:val="000000" w:themeColor="text1"/>
        </w:rPr>
        <w:t>et al.</w:t>
      </w:r>
      <w:r w:rsidRPr="00091F8C">
        <w:rPr>
          <w:color w:val="000000" w:themeColor="text1"/>
        </w:rPr>
        <w:t xml:space="preserve"> </w:t>
      </w:r>
      <w:r w:rsidRPr="00091F8C">
        <w:rPr>
          <w:noProof/>
          <w:color w:val="000000" w:themeColor="text1"/>
        </w:rPr>
        <w:t>(2006)</w:t>
      </w:r>
      <w:r w:rsidRPr="00091F8C">
        <w:rPr>
          <w:color w:val="000000" w:themeColor="text1"/>
        </w:rPr>
        <w:t xml:space="preserve"> noted that the types and numbers of building materials, components and connectors must be minimised to simplify disassembly and sorting process. The use of recycled and reused materials is also encouraged </w:t>
      </w:r>
      <w:r w:rsidRPr="00091F8C">
        <w:rPr>
          <w:noProof/>
          <w:color w:val="000000" w:themeColor="text1"/>
        </w:rPr>
        <w:t>(Hobbs and Hurley 2001; Crowther 2005)</w:t>
      </w:r>
      <w:r w:rsidRPr="00091F8C">
        <w:rPr>
          <w:color w:val="000000" w:themeColor="text1"/>
        </w:rPr>
        <w:t xml:space="preserve"> during design specification to broaden existing supply-demand chain for future deconstructed products. Evidence shows that reusing concrete components could reduce material cost by 56% </w:t>
      </w:r>
      <w:r w:rsidRPr="00091F8C">
        <w:rPr>
          <w:noProof/>
          <w:color w:val="000000" w:themeColor="text1"/>
        </w:rPr>
        <w:t>(Charlson 2008)</w:t>
      </w:r>
      <w:r w:rsidRPr="00091F8C">
        <w:rPr>
          <w:color w:val="000000" w:themeColor="text1"/>
        </w:rPr>
        <w:t>. These requirements place huge responsibilities on architects and engineers at ensuring that design has the least impact on the ecosystem throughout the building’s lifecycle (</w:t>
      </w:r>
      <w:proofErr w:type="spellStart"/>
      <w:r w:rsidRPr="00091F8C">
        <w:rPr>
          <w:color w:val="000000" w:themeColor="text1"/>
        </w:rPr>
        <w:t>Yeang</w:t>
      </w:r>
      <w:proofErr w:type="spellEnd"/>
      <w:r w:rsidRPr="00091F8C">
        <w:rPr>
          <w:color w:val="000000" w:themeColor="text1"/>
        </w:rPr>
        <w:t xml:space="preserve">, 1995). Though selecting appropriate building elements that facilitate deconstruction may increase the project cost, architects and engineers must ensure that the cost of DfD does not exceed the cost of recoverable materials minus the actual cost of disposal </w:t>
      </w:r>
      <w:r w:rsidRPr="00091F8C">
        <w:rPr>
          <w:noProof/>
          <w:color w:val="000000" w:themeColor="text1"/>
        </w:rPr>
        <w:t>(Billatos and Basaly 1997)</w:t>
      </w:r>
      <w:r w:rsidRPr="00091F8C">
        <w:rPr>
          <w:color w:val="000000" w:themeColor="text1"/>
        </w:rPr>
        <w:t>, i.e.:</w:t>
      </w:r>
    </w:p>
    <w:p w14:paraId="362194E8" w14:textId="77777777" w:rsidR="00DB7536" w:rsidRPr="00091F8C" w:rsidRDefault="00DB7536" w:rsidP="00DB7536">
      <w:pPr>
        <w:jc w:val="right"/>
        <w:rPr>
          <w:color w:val="000000" w:themeColor="text1"/>
        </w:rPr>
      </w:pPr>
      <m:oMath>
        <m:r>
          <m:rPr>
            <m:sty m:val="p"/>
          </m:rPr>
          <w:rPr>
            <w:rFonts w:ascii="Cambria Math" w:hAnsi="Cambria Math"/>
            <w:color w:val="000000" w:themeColor="text1"/>
            <w:sz w:val="22"/>
          </w:rPr>
          <m:t>(</m:t>
        </m:r>
        <m:r>
          <w:rPr>
            <w:rFonts w:ascii="Cambria Math" w:hAnsi="Cambria Math"/>
            <w:color w:val="000000" w:themeColor="text1"/>
            <w:sz w:val="22"/>
          </w:rPr>
          <m:t>Cost</m:t>
        </m:r>
        <m:r>
          <m:rPr>
            <m:sty m:val="p"/>
          </m:rPr>
          <w:rPr>
            <w:rFonts w:ascii="Cambria Math" w:hAnsi="Cambria Math"/>
            <w:color w:val="000000" w:themeColor="text1"/>
            <w:sz w:val="22"/>
          </w:rPr>
          <m:t xml:space="preserve"> </m:t>
        </m:r>
        <m:r>
          <w:rPr>
            <w:rFonts w:ascii="Cambria Math" w:hAnsi="Cambria Math"/>
            <w:color w:val="000000" w:themeColor="text1"/>
            <w:sz w:val="22"/>
          </w:rPr>
          <m:t>of</m:t>
        </m:r>
        <m:r>
          <m:rPr>
            <m:sty m:val="p"/>
          </m:rPr>
          <w:rPr>
            <w:rFonts w:ascii="Cambria Math" w:hAnsi="Cambria Math"/>
            <w:color w:val="000000" w:themeColor="text1"/>
            <w:sz w:val="22"/>
          </w:rPr>
          <m:t xml:space="preserve"> </m:t>
        </m:r>
        <m:r>
          <w:rPr>
            <w:rFonts w:ascii="Cambria Math" w:hAnsi="Cambria Math"/>
            <w:color w:val="000000" w:themeColor="text1"/>
            <w:sz w:val="22"/>
          </w:rPr>
          <m:t>DfD</m:t>
        </m:r>
        <m:r>
          <m:rPr>
            <m:sty m:val="p"/>
          </m:rPr>
          <w:rPr>
            <w:rFonts w:ascii="Cambria Math" w:hAnsi="Cambria Math"/>
            <w:color w:val="000000" w:themeColor="text1"/>
            <w:sz w:val="22"/>
          </w:rPr>
          <m:t>)&lt;(</m:t>
        </m:r>
        <m:r>
          <w:rPr>
            <w:rFonts w:ascii="Cambria Math" w:hAnsi="Cambria Math"/>
            <w:color w:val="000000" w:themeColor="text1"/>
            <w:sz w:val="22"/>
          </w:rPr>
          <m:t>Value</m:t>
        </m:r>
        <m:r>
          <m:rPr>
            <m:sty m:val="p"/>
          </m:rPr>
          <w:rPr>
            <w:rFonts w:ascii="Cambria Math" w:hAnsi="Cambria Math"/>
            <w:color w:val="000000" w:themeColor="text1"/>
            <w:sz w:val="22"/>
          </w:rPr>
          <m:t xml:space="preserve"> </m:t>
        </m:r>
        <m:r>
          <w:rPr>
            <w:rFonts w:ascii="Cambria Math" w:hAnsi="Cambria Math"/>
            <w:color w:val="000000" w:themeColor="text1"/>
            <w:sz w:val="22"/>
          </w:rPr>
          <m:t>of</m:t>
        </m:r>
        <m:r>
          <m:rPr>
            <m:sty m:val="p"/>
          </m:rPr>
          <w:rPr>
            <w:rFonts w:ascii="Cambria Math" w:hAnsi="Cambria Math"/>
            <w:color w:val="000000" w:themeColor="text1"/>
            <w:sz w:val="22"/>
          </w:rPr>
          <m:t xml:space="preserve"> </m:t>
        </m:r>
        <m:r>
          <w:rPr>
            <w:rFonts w:ascii="Cambria Math" w:hAnsi="Cambria Math"/>
            <w:color w:val="000000" w:themeColor="text1"/>
            <w:sz w:val="22"/>
          </w:rPr>
          <m:t>Recovered</m:t>
        </m:r>
        <m:r>
          <m:rPr>
            <m:sty m:val="p"/>
          </m:rPr>
          <w:rPr>
            <w:rFonts w:ascii="Cambria Math" w:hAnsi="Cambria Math"/>
            <w:color w:val="000000" w:themeColor="text1"/>
            <w:sz w:val="22"/>
          </w:rPr>
          <m:t xml:space="preserve"> </m:t>
        </m:r>
        <m:r>
          <w:rPr>
            <w:rFonts w:ascii="Cambria Math" w:hAnsi="Cambria Math"/>
            <w:color w:val="000000" w:themeColor="text1"/>
            <w:sz w:val="22"/>
          </w:rPr>
          <m:t>Materials</m:t>
        </m:r>
        <m:r>
          <m:rPr>
            <m:sty m:val="p"/>
          </m:rPr>
          <w:rPr>
            <w:rFonts w:ascii="Cambria Math" w:hAnsi="Cambria Math"/>
            <w:color w:val="000000" w:themeColor="text1"/>
            <w:sz w:val="22"/>
          </w:rPr>
          <m:t>)-(</m:t>
        </m:r>
        <m:r>
          <w:rPr>
            <w:rFonts w:ascii="Cambria Math" w:hAnsi="Cambria Math"/>
            <w:color w:val="000000" w:themeColor="text1"/>
            <w:sz w:val="22"/>
          </w:rPr>
          <m:t>Cost</m:t>
        </m:r>
        <m:r>
          <m:rPr>
            <m:sty m:val="p"/>
          </m:rPr>
          <w:rPr>
            <w:rFonts w:ascii="Cambria Math" w:hAnsi="Cambria Math"/>
            <w:color w:val="000000" w:themeColor="text1"/>
            <w:sz w:val="22"/>
          </w:rPr>
          <m:t xml:space="preserve"> </m:t>
        </m:r>
        <m:r>
          <w:rPr>
            <w:rFonts w:ascii="Cambria Math" w:hAnsi="Cambria Math"/>
            <w:color w:val="000000" w:themeColor="text1"/>
            <w:sz w:val="22"/>
          </w:rPr>
          <m:t>of</m:t>
        </m:r>
        <m:r>
          <m:rPr>
            <m:sty m:val="p"/>
          </m:rPr>
          <w:rPr>
            <w:rFonts w:ascii="Cambria Math" w:hAnsi="Cambria Math"/>
            <w:color w:val="000000" w:themeColor="text1"/>
            <w:sz w:val="22"/>
          </w:rPr>
          <m:t xml:space="preserve"> </m:t>
        </m:r>
        <m:r>
          <w:rPr>
            <w:rFonts w:ascii="Cambria Math" w:hAnsi="Cambria Math"/>
            <w:color w:val="000000" w:themeColor="text1"/>
            <w:sz w:val="22"/>
          </w:rPr>
          <m:t>Disposal</m:t>
        </m:r>
        <m:r>
          <m:rPr>
            <m:sty m:val="p"/>
          </m:rPr>
          <w:rPr>
            <w:rFonts w:ascii="Cambria Math" w:hAnsi="Cambria Math"/>
            <w:color w:val="000000" w:themeColor="text1"/>
            <w:sz w:val="22"/>
          </w:rPr>
          <m:t>)</m:t>
        </m:r>
      </m:oMath>
      <w:r w:rsidRPr="00091F8C">
        <w:rPr>
          <w:color w:val="000000" w:themeColor="text1"/>
        </w:rPr>
        <w:tab/>
      </w:r>
      <w:r w:rsidR="003B6275" w:rsidRPr="00091F8C">
        <w:rPr>
          <w:color w:val="000000" w:themeColor="text1"/>
        </w:rPr>
        <w:tab/>
      </w:r>
      <w:r w:rsidRPr="00091F8C">
        <w:rPr>
          <w:color w:val="000000" w:themeColor="text1"/>
        </w:rPr>
        <w:t>(1)</w:t>
      </w:r>
    </w:p>
    <w:p w14:paraId="415A5695" w14:textId="77777777" w:rsidR="00DB7536" w:rsidRPr="00091F8C" w:rsidRDefault="0085480B" w:rsidP="00DB7536">
      <w:pPr>
        <w:rPr>
          <w:color w:val="000000" w:themeColor="text1"/>
        </w:rPr>
      </w:pPr>
      <w:r w:rsidRPr="00091F8C">
        <w:rPr>
          <w:color w:val="000000" w:themeColor="text1"/>
        </w:rPr>
        <w:t xml:space="preserve">Meanwhile, </w:t>
      </w:r>
      <w:r w:rsidR="00DB7536" w:rsidRPr="00091F8C">
        <w:rPr>
          <w:color w:val="000000" w:themeColor="text1"/>
        </w:rPr>
        <w:t xml:space="preserve">DfD principles go beyond building element selection </w:t>
      </w:r>
      <w:r w:rsidR="00DB7536" w:rsidRPr="00091F8C">
        <w:rPr>
          <w:noProof/>
          <w:color w:val="000000" w:themeColor="text1"/>
        </w:rPr>
        <w:t>(Crowther 2005)</w:t>
      </w:r>
      <w:r w:rsidR="009B583D" w:rsidRPr="00091F8C">
        <w:rPr>
          <w:color w:val="000000" w:themeColor="text1"/>
        </w:rPr>
        <w:t xml:space="preserve"> since other s</w:t>
      </w:r>
      <w:r w:rsidR="00DB7536" w:rsidRPr="00091F8C">
        <w:rPr>
          <w:color w:val="000000" w:themeColor="text1"/>
        </w:rPr>
        <w:t xml:space="preserve">tudies </w:t>
      </w:r>
      <w:r w:rsidR="009B583D" w:rsidRPr="00091F8C">
        <w:rPr>
          <w:color w:val="000000" w:themeColor="text1"/>
        </w:rPr>
        <w:t xml:space="preserve">have </w:t>
      </w:r>
      <w:r w:rsidR="00DB7536" w:rsidRPr="00091F8C">
        <w:rPr>
          <w:color w:val="000000" w:themeColor="text1"/>
        </w:rPr>
        <w:t>show</w:t>
      </w:r>
      <w:r w:rsidR="009B583D" w:rsidRPr="00091F8C">
        <w:rPr>
          <w:color w:val="000000" w:themeColor="text1"/>
        </w:rPr>
        <w:t>n</w:t>
      </w:r>
      <w:r w:rsidR="00DB7536" w:rsidRPr="00091F8C">
        <w:rPr>
          <w:color w:val="000000" w:themeColor="text1"/>
        </w:rPr>
        <w:t xml:space="preserve"> that material handling </w:t>
      </w:r>
      <w:r w:rsidR="00DB7536" w:rsidRPr="00091F8C">
        <w:rPr>
          <w:noProof/>
          <w:color w:val="000000" w:themeColor="text1"/>
        </w:rPr>
        <w:t>(Couto and Couto 2010)</w:t>
      </w:r>
      <w:r w:rsidR="00DB7536" w:rsidRPr="00091F8C">
        <w:rPr>
          <w:color w:val="000000" w:themeColor="text1"/>
        </w:rPr>
        <w:t xml:space="preserve">, building design methodology </w:t>
      </w:r>
      <w:r w:rsidR="00DB7536" w:rsidRPr="00091F8C">
        <w:rPr>
          <w:noProof/>
          <w:color w:val="000000" w:themeColor="text1"/>
        </w:rPr>
        <w:t>(Latham 1994)</w:t>
      </w:r>
      <w:r w:rsidR="00DB7536" w:rsidRPr="00091F8C">
        <w:rPr>
          <w:color w:val="000000" w:themeColor="text1"/>
        </w:rPr>
        <w:t xml:space="preserve">, and design documentation </w:t>
      </w:r>
      <w:r w:rsidR="00DB7536" w:rsidRPr="00091F8C">
        <w:rPr>
          <w:noProof/>
          <w:color w:val="000000" w:themeColor="text1"/>
        </w:rPr>
        <w:t>(Andi and Minato 2003)</w:t>
      </w:r>
      <w:r w:rsidR="009B583D" w:rsidRPr="00091F8C">
        <w:rPr>
          <w:noProof/>
          <w:color w:val="000000" w:themeColor="text1"/>
        </w:rPr>
        <w:t xml:space="preserve"> are all part of DfD principles</w:t>
      </w:r>
      <w:r w:rsidR="00BB5861" w:rsidRPr="00091F8C">
        <w:rPr>
          <w:color w:val="000000" w:themeColor="text1"/>
        </w:rPr>
        <w:t xml:space="preserve">. </w:t>
      </w:r>
      <w:r w:rsidR="00DB7536" w:rsidRPr="00091F8C">
        <w:rPr>
          <w:color w:val="000000" w:themeColor="text1"/>
        </w:rPr>
        <w:t>This study however is limited to key DfD principles required in building elements selection as presented in</w:t>
      </w:r>
      <w:r w:rsidR="009E5DCB" w:rsidRPr="00091F8C">
        <w:rPr>
          <w:color w:val="000000" w:themeColor="text1"/>
        </w:rPr>
        <w:t xml:space="preserve"> Table 1</w:t>
      </w:r>
      <w:r w:rsidR="00DB7536" w:rsidRPr="00091F8C">
        <w:rPr>
          <w:color w:val="000000" w:themeColor="text1"/>
        </w:rPr>
        <w:t>.</w:t>
      </w:r>
    </w:p>
    <w:p w14:paraId="41B864DA" w14:textId="77777777" w:rsidR="00DB7536" w:rsidRPr="00091F8C" w:rsidRDefault="00DB7536" w:rsidP="00DB7536">
      <w:pPr>
        <w:rPr>
          <w:color w:val="000000" w:themeColor="text1"/>
        </w:rPr>
      </w:pPr>
      <w:r w:rsidRPr="00091F8C">
        <w:rPr>
          <w:color w:val="000000" w:themeColor="text1"/>
        </w:rPr>
        <w:lastRenderedPageBreak/>
        <w:t>Focusing on the studies presented in</w:t>
      </w:r>
      <w:r w:rsidR="00A25411" w:rsidRPr="00091F8C">
        <w:rPr>
          <w:color w:val="000000" w:themeColor="text1"/>
        </w:rPr>
        <w:t xml:space="preserve"> Table 1</w:t>
      </w:r>
      <w:r w:rsidRPr="00091F8C">
        <w:rPr>
          <w:color w:val="000000" w:themeColor="text1"/>
        </w:rPr>
        <w:t xml:space="preserve">, through which the consciousness of deconstruction is stimulated during material specification, opens up a genuine foundational requirement for DfD. Nevertheless, these studies have their challenges. First, the set of studies only offers a conceptual framework by providing factors that must be considered during design </w:t>
      </w:r>
      <w:r w:rsidRPr="00091F8C">
        <w:rPr>
          <w:noProof/>
          <w:color w:val="000000" w:themeColor="text1"/>
        </w:rPr>
        <w:t>(Tingley 2012)</w:t>
      </w:r>
      <w:r w:rsidRPr="00091F8C">
        <w:rPr>
          <w:color w:val="000000" w:themeColor="text1"/>
        </w:rPr>
        <w:t>. As such, the studies fail to provide a methodological framework needed to understand how to implement the design principles. Another challenge is that none of the studies provides an objective measure of performance for the principles. These limitations therefore reveal the need to take a holistic approach to investigating the DfD principles empirically and develop a framework for integrating DfD performance measure into BIM.</w:t>
      </w:r>
    </w:p>
    <w:p w14:paraId="5A01C70D" w14:textId="77777777" w:rsidR="00DB7536" w:rsidRPr="00091F8C" w:rsidRDefault="00DB7536" w:rsidP="00DB7536">
      <w:pPr>
        <w:pStyle w:val="Caption"/>
        <w:rPr>
          <w:color w:val="000000" w:themeColor="text1"/>
        </w:rPr>
      </w:pPr>
      <w:bookmarkStart w:id="2" w:name="_Ref424581006"/>
      <w:r w:rsidRPr="00091F8C">
        <w:rPr>
          <w:color w:val="000000" w:themeColor="text1"/>
        </w:rPr>
        <w:t>Table</w:t>
      </w:r>
      <w:bookmarkEnd w:id="2"/>
      <w:r w:rsidR="00A25411" w:rsidRPr="00091F8C">
        <w:rPr>
          <w:color w:val="000000" w:themeColor="text1"/>
        </w:rPr>
        <w:t xml:space="preserve"> 1</w:t>
      </w:r>
      <w:r w:rsidRPr="00091F8C">
        <w:rPr>
          <w:color w:val="000000" w:themeColor="text1"/>
        </w:rPr>
        <w:t>: Material Selection Design for Deconstruction Principles</w:t>
      </w:r>
    </w:p>
    <w:tbl>
      <w:tblPr>
        <w:tblStyle w:val="TableGrid"/>
        <w:tblW w:w="9067" w:type="dxa"/>
        <w:jc w:val="center"/>
        <w:tblLook w:val="04A0" w:firstRow="1" w:lastRow="0" w:firstColumn="1" w:lastColumn="0" w:noHBand="0" w:noVBand="1"/>
      </w:tblPr>
      <w:tblGrid>
        <w:gridCol w:w="562"/>
        <w:gridCol w:w="3969"/>
        <w:gridCol w:w="4536"/>
      </w:tblGrid>
      <w:tr w:rsidR="00091F8C" w:rsidRPr="00091F8C" w14:paraId="20FF357D" w14:textId="77777777" w:rsidTr="005B0B78">
        <w:trPr>
          <w:jc w:val="center"/>
        </w:trPr>
        <w:tc>
          <w:tcPr>
            <w:tcW w:w="562" w:type="dxa"/>
          </w:tcPr>
          <w:p w14:paraId="113E1EFC" w14:textId="77777777" w:rsidR="00DB7536" w:rsidRPr="00091F8C" w:rsidRDefault="00DB7536" w:rsidP="005B0B78">
            <w:pPr>
              <w:pStyle w:val="NoSpacing"/>
              <w:rPr>
                <w:b/>
                <w:color w:val="000000" w:themeColor="text1"/>
              </w:rPr>
            </w:pPr>
            <w:r w:rsidRPr="00091F8C">
              <w:rPr>
                <w:b/>
                <w:color w:val="000000" w:themeColor="text1"/>
              </w:rPr>
              <w:t>No</w:t>
            </w:r>
          </w:p>
        </w:tc>
        <w:tc>
          <w:tcPr>
            <w:tcW w:w="3969" w:type="dxa"/>
          </w:tcPr>
          <w:p w14:paraId="1737542F" w14:textId="77777777" w:rsidR="00DB7536" w:rsidRPr="00091F8C" w:rsidRDefault="00DB7536" w:rsidP="005B0B78">
            <w:pPr>
              <w:pStyle w:val="NoSpacing"/>
              <w:rPr>
                <w:b/>
                <w:color w:val="000000" w:themeColor="text1"/>
              </w:rPr>
            </w:pPr>
            <w:r w:rsidRPr="00091F8C">
              <w:rPr>
                <w:b/>
                <w:color w:val="000000" w:themeColor="text1"/>
              </w:rPr>
              <w:t>Design Principle</w:t>
            </w:r>
          </w:p>
        </w:tc>
        <w:tc>
          <w:tcPr>
            <w:tcW w:w="4536" w:type="dxa"/>
          </w:tcPr>
          <w:p w14:paraId="40A5501D" w14:textId="77777777" w:rsidR="00DB7536" w:rsidRPr="00091F8C" w:rsidRDefault="00DB7536" w:rsidP="005B0B78">
            <w:pPr>
              <w:pStyle w:val="NoSpacing"/>
              <w:rPr>
                <w:b/>
                <w:color w:val="000000" w:themeColor="text1"/>
              </w:rPr>
            </w:pPr>
            <w:r w:rsidRPr="00091F8C">
              <w:rPr>
                <w:b/>
                <w:color w:val="000000" w:themeColor="text1"/>
              </w:rPr>
              <w:t>Reference</w:t>
            </w:r>
          </w:p>
        </w:tc>
      </w:tr>
      <w:tr w:rsidR="00091F8C" w:rsidRPr="00091F8C" w14:paraId="4C604B7A" w14:textId="77777777" w:rsidTr="005B0B78">
        <w:trPr>
          <w:jc w:val="center"/>
        </w:trPr>
        <w:tc>
          <w:tcPr>
            <w:tcW w:w="562" w:type="dxa"/>
          </w:tcPr>
          <w:p w14:paraId="79B3C4CA" w14:textId="77777777" w:rsidR="00D43D25" w:rsidRPr="00091F8C" w:rsidRDefault="00D43D25" w:rsidP="00D43D25">
            <w:pPr>
              <w:pStyle w:val="NoSpacing"/>
              <w:rPr>
                <w:color w:val="000000" w:themeColor="text1"/>
              </w:rPr>
            </w:pPr>
            <w:r w:rsidRPr="00091F8C">
              <w:rPr>
                <w:color w:val="000000" w:themeColor="text1"/>
              </w:rPr>
              <w:t>1.</w:t>
            </w:r>
          </w:p>
        </w:tc>
        <w:tc>
          <w:tcPr>
            <w:tcW w:w="3969" w:type="dxa"/>
          </w:tcPr>
          <w:p w14:paraId="0091650F" w14:textId="77777777" w:rsidR="00D43D25" w:rsidRPr="00091F8C" w:rsidRDefault="00D43D25" w:rsidP="00D43D25">
            <w:pPr>
              <w:pStyle w:val="NoSpacing"/>
              <w:rPr>
                <w:color w:val="000000" w:themeColor="text1"/>
              </w:rPr>
            </w:pPr>
            <w:r w:rsidRPr="00091F8C">
              <w:rPr>
                <w:color w:val="000000" w:themeColor="text1"/>
              </w:rPr>
              <w:t>Use reusable materials</w:t>
            </w:r>
          </w:p>
        </w:tc>
        <w:tc>
          <w:tcPr>
            <w:tcW w:w="4536" w:type="dxa"/>
          </w:tcPr>
          <w:p w14:paraId="64DEA4AC" w14:textId="77777777" w:rsidR="00D43D25" w:rsidRPr="00091F8C" w:rsidRDefault="00D43D25" w:rsidP="00D43D25">
            <w:pPr>
              <w:pStyle w:val="NoSpacing"/>
              <w:rPr>
                <w:color w:val="000000" w:themeColor="text1"/>
              </w:rPr>
            </w:pPr>
            <w:r w:rsidRPr="00091F8C">
              <w:rPr>
                <w:noProof/>
                <w:color w:val="000000" w:themeColor="text1"/>
              </w:rPr>
              <w:t>(Webster and Costello 2005; Guy et al. 2006)</w:t>
            </w:r>
          </w:p>
        </w:tc>
      </w:tr>
      <w:tr w:rsidR="00091F8C" w:rsidRPr="00091F8C" w14:paraId="248C4F81" w14:textId="77777777" w:rsidTr="005B0B78">
        <w:trPr>
          <w:jc w:val="center"/>
        </w:trPr>
        <w:tc>
          <w:tcPr>
            <w:tcW w:w="562" w:type="dxa"/>
          </w:tcPr>
          <w:p w14:paraId="253C6954" w14:textId="77777777" w:rsidR="00D43D25" w:rsidRPr="00091F8C" w:rsidRDefault="009B583D" w:rsidP="00D43D25">
            <w:pPr>
              <w:pStyle w:val="NoSpacing"/>
              <w:rPr>
                <w:color w:val="000000" w:themeColor="text1"/>
              </w:rPr>
            </w:pPr>
            <w:r w:rsidRPr="00091F8C">
              <w:rPr>
                <w:color w:val="000000" w:themeColor="text1"/>
              </w:rPr>
              <w:t>2</w:t>
            </w:r>
            <w:r w:rsidR="00D43D25" w:rsidRPr="00091F8C">
              <w:rPr>
                <w:color w:val="000000" w:themeColor="text1"/>
              </w:rPr>
              <w:t>.</w:t>
            </w:r>
          </w:p>
        </w:tc>
        <w:tc>
          <w:tcPr>
            <w:tcW w:w="3969" w:type="dxa"/>
          </w:tcPr>
          <w:p w14:paraId="19A18579" w14:textId="77777777" w:rsidR="00D43D25" w:rsidRPr="00091F8C" w:rsidRDefault="00D43D25" w:rsidP="00D43D25">
            <w:pPr>
              <w:pStyle w:val="NoSpacing"/>
              <w:rPr>
                <w:color w:val="000000" w:themeColor="text1"/>
              </w:rPr>
            </w:pPr>
            <w:r w:rsidRPr="00091F8C">
              <w:rPr>
                <w:color w:val="000000" w:themeColor="text1"/>
              </w:rPr>
              <w:t>Use nut/bolt joints instead of nails and gluing</w:t>
            </w:r>
          </w:p>
        </w:tc>
        <w:tc>
          <w:tcPr>
            <w:tcW w:w="4536" w:type="dxa"/>
          </w:tcPr>
          <w:p w14:paraId="648A3125" w14:textId="77777777" w:rsidR="00D43D25" w:rsidRPr="00091F8C" w:rsidRDefault="00D43D25" w:rsidP="00D43D25">
            <w:pPr>
              <w:pStyle w:val="NoSpacing"/>
              <w:rPr>
                <w:color w:val="000000" w:themeColor="text1"/>
              </w:rPr>
            </w:pPr>
            <w:r w:rsidRPr="00091F8C">
              <w:rPr>
                <w:noProof/>
                <w:color w:val="000000" w:themeColor="text1"/>
              </w:rPr>
              <w:t>(Crowther 2005; Webster and Costello 2005; Guy et al. 2006)</w:t>
            </w:r>
          </w:p>
        </w:tc>
      </w:tr>
      <w:tr w:rsidR="00091F8C" w:rsidRPr="00091F8C" w14:paraId="250C6D8A" w14:textId="77777777" w:rsidTr="005B0B78">
        <w:trPr>
          <w:jc w:val="center"/>
        </w:trPr>
        <w:tc>
          <w:tcPr>
            <w:tcW w:w="562" w:type="dxa"/>
          </w:tcPr>
          <w:p w14:paraId="35D2D364" w14:textId="77777777" w:rsidR="00D43D25" w:rsidRPr="00091F8C" w:rsidRDefault="009B583D" w:rsidP="00D43D25">
            <w:pPr>
              <w:pStyle w:val="NoSpacing"/>
              <w:rPr>
                <w:color w:val="000000" w:themeColor="text1"/>
              </w:rPr>
            </w:pPr>
            <w:r w:rsidRPr="00091F8C">
              <w:rPr>
                <w:color w:val="000000" w:themeColor="text1"/>
              </w:rPr>
              <w:t>3</w:t>
            </w:r>
            <w:r w:rsidR="00D43D25" w:rsidRPr="00091F8C">
              <w:rPr>
                <w:color w:val="000000" w:themeColor="text1"/>
              </w:rPr>
              <w:t>.</w:t>
            </w:r>
          </w:p>
        </w:tc>
        <w:tc>
          <w:tcPr>
            <w:tcW w:w="3969" w:type="dxa"/>
          </w:tcPr>
          <w:p w14:paraId="740480C3" w14:textId="77777777" w:rsidR="00D43D25" w:rsidRPr="00091F8C" w:rsidRDefault="00D43D25" w:rsidP="00D43D25">
            <w:pPr>
              <w:pStyle w:val="NoSpacing"/>
              <w:rPr>
                <w:color w:val="000000" w:themeColor="text1"/>
              </w:rPr>
            </w:pPr>
            <w:r w:rsidRPr="00091F8C">
              <w:rPr>
                <w:color w:val="000000" w:themeColor="text1"/>
              </w:rPr>
              <w:t>Use prefabricated assemblies</w:t>
            </w:r>
          </w:p>
        </w:tc>
        <w:tc>
          <w:tcPr>
            <w:tcW w:w="4536" w:type="dxa"/>
          </w:tcPr>
          <w:p w14:paraId="6BCCA615" w14:textId="77777777" w:rsidR="00D43D25" w:rsidRPr="00091F8C" w:rsidRDefault="00D43D25" w:rsidP="00D43D25">
            <w:pPr>
              <w:pStyle w:val="NoSpacing"/>
              <w:rPr>
                <w:color w:val="000000" w:themeColor="text1"/>
              </w:rPr>
            </w:pPr>
            <w:r w:rsidRPr="00091F8C">
              <w:rPr>
                <w:noProof/>
                <w:color w:val="000000" w:themeColor="text1"/>
              </w:rPr>
              <w:t>(Crowther 2005; Guy and Ciarimboli 2008)</w:t>
            </w:r>
          </w:p>
        </w:tc>
      </w:tr>
      <w:tr w:rsidR="00091F8C" w:rsidRPr="00091F8C" w14:paraId="15BF37CD" w14:textId="77777777" w:rsidTr="005B0B78">
        <w:trPr>
          <w:jc w:val="center"/>
        </w:trPr>
        <w:tc>
          <w:tcPr>
            <w:tcW w:w="562" w:type="dxa"/>
          </w:tcPr>
          <w:p w14:paraId="68D30EFD" w14:textId="77777777" w:rsidR="00D43D25" w:rsidRPr="00091F8C" w:rsidRDefault="009B583D" w:rsidP="00D43D25">
            <w:pPr>
              <w:pStyle w:val="NoSpacing"/>
              <w:rPr>
                <w:color w:val="000000" w:themeColor="text1"/>
              </w:rPr>
            </w:pPr>
            <w:r w:rsidRPr="00091F8C">
              <w:rPr>
                <w:color w:val="000000" w:themeColor="text1"/>
              </w:rPr>
              <w:t>4</w:t>
            </w:r>
            <w:r w:rsidR="00D43D25" w:rsidRPr="00091F8C">
              <w:rPr>
                <w:color w:val="000000" w:themeColor="text1"/>
              </w:rPr>
              <w:t>.</w:t>
            </w:r>
          </w:p>
        </w:tc>
        <w:tc>
          <w:tcPr>
            <w:tcW w:w="3969" w:type="dxa"/>
          </w:tcPr>
          <w:p w14:paraId="03F2E12C" w14:textId="77777777" w:rsidR="00D43D25" w:rsidRPr="00091F8C" w:rsidRDefault="00D43D25" w:rsidP="00D43D25">
            <w:pPr>
              <w:pStyle w:val="NoSpacing"/>
              <w:rPr>
                <w:color w:val="000000" w:themeColor="text1"/>
              </w:rPr>
            </w:pPr>
            <w:r w:rsidRPr="00091F8C">
              <w:rPr>
                <w:color w:val="000000" w:themeColor="text1"/>
              </w:rPr>
              <w:t>Avoid composite materials during design specification</w:t>
            </w:r>
          </w:p>
        </w:tc>
        <w:tc>
          <w:tcPr>
            <w:tcW w:w="4536" w:type="dxa"/>
          </w:tcPr>
          <w:p w14:paraId="17B4FF9F" w14:textId="77777777" w:rsidR="00D43D25" w:rsidRPr="00091F8C" w:rsidRDefault="00D43D25" w:rsidP="00D43D25">
            <w:pPr>
              <w:pStyle w:val="NoSpacing"/>
              <w:rPr>
                <w:color w:val="000000" w:themeColor="text1"/>
              </w:rPr>
            </w:pPr>
            <w:r w:rsidRPr="00091F8C">
              <w:rPr>
                <w:noProof/>
                <w:color w:val="000000" w:themeColor="text1"/>
              </w:rPr>
              <w:t>(Crowther 2005; Webster and Costello 2005; Guy et al. 2006; Guy and Ciarimboli 2008)</w:t>
            </w:r>
          </w:p>
        </w:tc>
      </w:tr>
      <w:tr w:rsidR="00091F8C" w:rsidRPr="00091F8C" w14:paraId="193C9B4A" w14:textId="77777777" w:rsidTr="005B0B78">
        <w:trPr>
          <w:jc w:val="center"/>
        </w:trPr>
        <w:tc>
          <w:tcPr>
            <w:tcW w:w="562" w:type="dxa"/>
          </w:tcPr>
          <w:p w14:paraId="63CC806C" w14:textId="77777777" w:rsidR="00D43D25" w:rsidRPr="00091F8C" w:rsidRDefault="009B583D" w:rsidP="00D43D25">
            <w:pPr>
              <w:pStyle w:val="NoSpacing"/>
              <w:rPr>
                <w:color w:val="000000" w:themeColor="text1"/>
              </w:rPr>
            </w:pPr>
            <w:r w:rsidRPr="00091F8C">
              <w:rPr>
                <w:color w:val="000000" w:themeColor="text1"/>
              </w:rPr>
              <w:t>5</w:t>
            </w:r>
            <w:r w:rsidR="00D43D25" w:rsidRPr="00091F8C">
              <w:rPr>
                <w:color w:val="000000" w:themeColor="text1"/>
              </w:rPr>
              <w:t>.</w:t>
            </w:r>
          </w:p>
        </w:tc>
        <w:tc>
          <w:tcPr>
            <w:tcW w:w="3969" w:type="dxa"/>
          </w:tcPr>
          <w:p w14:paraId="37679DFB" w14:textId="77777777" w:rsidR="00D43D25" w:rsidRPr="00091F8C" w:rsidRDefault="00D43D25" w:rsidP="00D43D25">
            <w:pPr>
              <w:pStyle w:val="NoSpacing"/>
              <w:rPr>
                <w:color w:val="000000" w:themeColor="text1"/>
              </w:rPr>
            </w:pPr>
            <w:r w:rsidRPr="00091F8C">
              <w:rPr>
                <w:color w:val="000000" w:themeColor="text1"/>
              </w:rPr>
              <w:t>Minimise number of building components</w:t>
            </w:r>
          </w:p>
        </w:tc>
        <w:tc>
          <w:tcPr>
            <w:tcW w:w="4536" w:type="dxa"/>
          </w:tcPr>
          <w:p w14:paraId="1D246B7F" w14:textId="77777777" w:rsidR="00D43D25" w:rsidRPr="00091F8C" w:rsidRDefault="00D43D25" w:rsidP="00D43D25">
            <w:pPr>
              <w:pStyle w:val="NoSpacing"/>
              <w:rPr>
                <w:color w:val="000000" w:themeColor="text1"/>
              </w:rPr>
            </w:pPr>
            <w:r w:rsidRPr="00091F8C">
              <w:rPr>
                <w:noProof/>
                <w:color w:val="000000" w:themeColor="text1"/>
              </w:rPr>
              <w:t>(Crowther 2005; Webster and Costello 2005; Guy and Ciarimboli 2008)</w:t>
            </w:r>
          </w:p>
        </w:tc>
      </w:tr>
      <w:tr w:rsidR="00091F8C" w:rsidRPr="00091F8C" w14:paraId="32CB4632" w14:textId="77777777" w:rsidTr="005B0B78">
        <w:trPr>
          <w:jc w:val="center"/>
        </w:trPr>
        <w:tc>
          <w:tcPr>
            <w:tcW w:w="562" w:type="dxa"/>
          </w:tcPr>
          <w:p w14:paraId="451E298B" w14:textId="77777777" w:rsidR="00D43D25" w:rsidRPr="00091F8C" w:rsidRDefault="009B583D" w:rsidP="00D43D25">
            <w:pPr>
              <w:pStyle w:val="NoSpacing"/>
              <w:rPr>
                <w:color w:val="000000" w:themeColor="text1"/>
              </w:rPr>
            </w:pPr>
            <w:r w:rsidRPr="00091F8C">
              <w:rPr>
                <w:color w:val="000000" w:themeColor="text1"/>
              </w:rPr>
              <w:t>6</w:t>
            </w:r>
            <w:r w:rsidR="00D43D25" w:rsidRPr="00091F8C">
              <w:rPr>
                <w:color w:val="000000" w:themeColor="text1"/>
              </w:rPr>
              <w:t>.</w:t>
            </w:r>
          </w:p>
        </w:tc>
        <w:tc>
          <w:tcPr>
            <w:tcW w:w="3969" w:type="dxa"/>
          </w:tcPr>
          <w:p w14:paraId="312C9429" w14:textId="77777777" w:rsidR="00D43D25" w:rsidRPr="00091F8C" w:rsidRDefault="00D43D25" w:rsidP="00D43D25">
            <w:pPr>
              <w:pStyle w:val="NoSpacing"/>
              <w:rPr>
                <w:color w:val="000000" w:themeColor="text1"/>
              </w:rPr>
            </w:pPr>
            <w:r w:rsidRPr="00091F8C">
              <w:rPr>
                <w:color w:val="000000" w:themeColor="text1"/>
              </w:rPr>
              <w:t>Minimise types of building components</w:t>
            </w:r>
          </w:p>
        </w:tc>
        <w:tc>
          <w:tcPr>
            <w:tcW w:w="4536" w:type="dxa"/>
          </w:tcPr>
          <w:p w14:paraId="163CBA7F" w14:textId="77777777" w:rsidR="00D43D25" w:rsidRPr="00091F8C" w:rsidRDefault="00D43D25" w:rsidP="00D43D25">
            <w:pPr>
              <w:pStyle w:val="NoSpacing"/>
              <w:rPr>
                <w:color w:val="000000" w:themeColor="text1"/>
              </w:rPr>
            </w:pPr>
            <w:r w:rsidRPr="00091F8C">
              <w:rPr>
                <w:noProof/>
                <w:color w:val="000000" w:themeColor="text1"/>
              </w:rPr>
              <w:t>(Chini and Balachandran 2002; Crowther 2005; Webster and Costello 2005; Guy et al. 2006; Guy and Ciarimboli 2008)</w:t>
            </w:r>
          </w:p>
        </w:tc>
      </w:tr>
      <w:tr w:rsidR="00091F8C" w:rsidRPr="00091F8C" w14:paraId="0E758D59" w14:textId="77777777" w:rsidTr="005B0B78">
        <w:trPr>
          <w:jc w:val="center"/>
        </w:trPr>
        <w:tc>
          <w:tcPr>
            <w:tcW w:w="562" w:type="dxa"/>
          </w:tcPr>
          <w:p w14:paraId="3B50BE83" w14:textId="77777777" w:rsidR="00D43D25" w:rsidRPr="00091F8C" w:rsidRDefault="009B583D" w:rsidP="00D43D25">
            <w:pPr>
              <w:pStyle w:val="NoSpacing"/>
              <w:rPr>
                <w:color w:val="000000" w:themeColor="text1"/>
              </w:rPr>
            </w:pPr>
            <w:r w:rsidRPr="00091F8C">
              <w:rPr>
                <w:color w:val="000000" w:themeColor="text1"/>
              </w:rPr>
              <w:t>7</w:t>
            </w:r>
            <w:r w:rsidR="00D43D25" w:rsidRPr="00091F8C">
              <w:rPr>
                <w:color w:val="000000" w:themeColor="text1"/>
              </w:rPr>
              <w:t>.</w:t>
            </w:r>
          </w:p>
        </w:tc>
        <w:tc>
          <w:tcPr>
            <w:tcW w:w="3969" w:type="dxa"/>
          </w:tcPr>
          <w:p w14:paraId="23A972F8" w14:textId="77777777" w:rsidR="00D43D25" w:rsidRPr="00091F8C" w:rsidRDefault="00D43D25" w:rsidP="00D43D25">
            <w:pPr>
              <w:pStyle w:val="NoSpacing"/>
              <w:rPr>
                <w:color w:val="000000" w:themeColor="text1"/>
              </w:rPr>
            </w:pPr>
            <w:r w:rsidRPr="00091F8C">
              <w:rPr>
                <w:color w:val="000000" w:themeColor="text1"/>
              </w:rPr>
              <w:t>Avoid toxic and hazardous materials</w:t>
            </w:r>
          </w:p>
        </w:tc>
        <w:tc>
          <w:tcPr>
            <w:tcW w:w="4536" w:type="dxa"/>
          </w:tcPr>
          <w:p w14:paraId="36AC6398" w14:textId="77777777" w:rsidR="00D43D25" w:rsidRPr="00091F8C" w:rsidRDefault="00D43D25" w:rsidP="00D43D25">
            <w:pPr>
              <w:pStyle w:val="NoSpacing"/>
              <w:rPr>
                <w:color w:val="000000" w:themeColor="text1"/>
              </w:rPr>
            </w:pPr>
            <w:r w:rsidRPr="00091F8C">
              <w:rPr>
                <w:noProof/>
                <w:color w:val="000000" w:themeColor="text1"/>
              </w:rPr>
              <w:t>(Crowther 2005; Guy et al. 2006)</w:t>
            </w:r>
          </w:p>
        </w:tc>
      </w:tr>
      <w:tr w:rsidR="00091F8C" w:rsidRPr="00091F8C" w14:paraId="7C0B2E2D" w14:textId="77777777" w:rsidTr="005B0B78">
        <w:trPr>
          <w:jc w:val="center"/>
        </w:trPr>
        <w:tc>
          <w:tcPr>
            <w:tcW w:w="562" w:type="dxa"/>
          </w:tcPr>
          <w:p w14:paraId="4EBC3B9D" w14:textId="77777777" w:rsidR="009B583D" w:rsidRPr="00091F8C" w:rsidRDefault="009B583D" w:rsidP="009B583D">
            <w:pPr>
              <w:pStyle w:val="NoSpacing"/>
              <w:rPr>
                <w:color w:val="000000" w:themeColor="text1"/>
              </w:rPr>
            </w:pPr>
            <w:r w:rsidRPr="00091F8C">
              <w:rPr>
                <w:color w:val="000000" w:themeColor="text1"/>
              </w:rPr>
              <w:t>8.</w:t>
            </w:r>
          </w:p>
        </w:tc>
        <w:tc>
          <w:tcPr>
            <w:tcW w:w="3969" w:type="dxa"/>
          </w:tcPr>
          <w:p w14:paraId="2647DD4A" w14:textId="77777777" w:rsidR="009B583D" w:rsidRPr="00091F8C" w:rsidRDefault="009B583D" w:rsidP="009B583D">
            <w:pPr>
              <w:pStyle w:val="NoSpacing"/>
              <w:rPr>
                <w:color w:val="000000" w:themeColor="text1"/>
              </w:rPr>
            </w:pPr>
            <w:r w:rsidRPr="00091F8C">
              <w:rPr>
                <w:color w:val="000000" w:themeColor="text1"/>
              </w:rPr>
              <w:t>Use of recyclable materials</w:t>
            </w:r>
          </w:p>
        </w:tc>
        <w:tc>
          <w:tcPr>
            <w:tcW w:w="4536" w:type="dxa"/>
          </w:tcPr>
          <w:p w14:paraId="2E011EE6" w14:textId="77777777" w:rsidR="009B583D" w:rsidRPr="00091F8C" w:rsidRDefault="009B583D" w:rsidP="009B583D">
            <w:pPr>
              <w:pStyle w:val="NoSpacing"/>
              <w:rPr>
                <w:noProof/>
                <w:color w:val="000000" w:themeColor="text1"/>
              </w:rPr>
            </w:pPr>
            <w:r w:rsidRPr="00091F8C">
              <w:rPr>
                <w:noProof/>
                <w:color w:val="000000" w:themeColor="text1"/>
              </w:rPr>
              <w:t>(Chini and Bruening 2003; Crowther 2005; Guy et al. 2006)</w:t>
            </w:r>
          </w:p>
        </w:tc>
      </w:tr>
      <w:tr w:rsidR="00091F8C" w:rsidRPr="00091F8C" w14:paraId="3EE51AA9" w14:textId="77777777" w:rsidTr="005B0B78">
        <w:trPr>
          <w:jc w:val="center"/>
        </w:trPr>
        <w:tc>
          <w:tcPr>
            <w:tcW w:w="562" w:type="dxa"/>
          </w:tcPr>
          <w:p w14:paraId="53F75F45" w14:textId="77777777" w:rsidR="009B583D" w:rsidRPr="00091F8C" w:rsidRDefault="009B583D" w:rsidP="009B583D">
            <w:pPr>
              <w:pStyle w:val="NoSpacing"/>
              <w:rPr>
                <w:color w:val="000000" w:themeColor="text1"/>
              </w:rPr>
            </w:pPr>
            <w:r w:rsidRPr="00091F8C">
              <w:rPr>
                <w:color w:val="000000" w:themeColor="text1"/>
              </w:rPr>
              <w:t>9.</w:t>
            </w:r>
          </w:p>
        </w:tc>
        <w:tc>
          <w:tcPr>
            <w:tcW w:w="3969" w:type="dxa"/>
          </w:tcPr>
          <w:p w14:paraId="540EBBB2" w14:textId="77777777" w:rsidR="009B583D" w:rsidRPr="00091F8C" w:rsidRDefault="009B583D" w:rsidP="009B583D">
            <w:pPr>
              <w:pStyle w:val="NoSpacing"/>
              <w:rPr>
                <w:color w:val="000000" w:themeColor="text1"/>
              </w:rPr>
            </w:pPr>
            <w:r w:rsidRPr="00091F8C">
              <w:rPr>
                <w:color w:val="000000" w:themeColor="text1"/>
              </w:rPr>
              <w:t>Avoid materials with secondary finishes</w:t>
            </w:r>
          </w:p>
        </w:tc>
        <w:tc>
          <w:tcPr>
            <w:tcW w:w="4536" w:type="dxa"/>
          </w:tcPr>
          <w:p w14:paraId="54438F81" w14:textId="77777777" w:rsidR="009B583D" w:rsidRPr="00091F8C" w:rsidRDefault="009B583D" w:rsidP="009B583D">
            <w:pPr>
              <w:pStyle w:val="NoSpacing"/>
              <w:rPr>
                <w:color w:val="000000" w:themeColor="text1"/>
              </w:rPr>
            </w:pPr>
            <w:r w:rsidRPr="00091F8C">
              <w:rPr>
                <w:noProof/>
                <w:color w:val="000000" w:themeColor="text1"/>
              </w:rPr>
              <w:t>(Crowther 2005; Guy and Ciarimboli 2008)</w:t>
            </w:r>
          </w:p>
        </w:tc>
      </w:tr>
    </w:tbl>
    <w:p w14:paraId="763C9437" w14:textId="77777777" w:rsidR="00DB7536" w:rsidRPr="00091F8C" w:rsidRDefault="00DB7536" w:rsidP="00DB7536">
      <w:pPr>
        <w:pStyle w:val="Heading2"/>
        <w:rPr>
          <w:color w:val="000000" w:themeColor="text1"/>
        </w:rPr>
      </w:pPr>
      <w:r w:rsidRPr="00091F8C">
        <w:rPr>
          <w:color w:val="000000" w:themeColor="text1"/>
        </w:rPr>
        <w:t>Roles of BIM in Design for Deconstruction</w:t>
      </w:r>
    </w:p>
    <w:p w14:paraId="0D0F057C" w14:textId="77777777" w:rsidR="00DB7536" w:rsidRPr="00091F8C" w:rsidRDefault="00DB7536" w:rsidP="00DB7536">
      <w:pPr>
        <w:rPr>
          <w:color w:val="000000" w:themeColor="text1"/>
        </w:rPr>
      </w:pPr>
      <w:r w:rsidRPr="00091F8C">
        <w:rPr>
          <w:color w:val="000000" w:themeColor="text1"/>
        </w:rPr>
        <w:t>BIM, as Integrated Product Delivery (IPD) approach, enables effective communication and collaboration among stakeholders</w:t>
      </w:r>
      <w:r w:rsidR="00216021" w:rsidRPr="00091F8C">
        <w:rPr>
          <w:color w:val="000000" w:themeColor="text1"/>
        </w:rPr>
        <w:t>. This</w:t>
      </w:r>
      <w:r w:rsidRPr="00091F8C">
        <w:rPr>
          <w:color w:val="000000" w:themeColor="text1"/>
        </w:rPr>
        <w:t xml:space="preserve"> facilitate</w:t>
      </w:r>
      <w:r w:rsidR="00216021" w:rsidRPr="00091F8C">
        <w:rPr>
          <w:color w:val="000000" w:themeColor="text1"/>
        </w:rPr>
        <w:t>s</w:t>
      </w:r>
      <w:r w:rsidRPr="00091F8C">
        <w:rPr>
          <w:color w:val="000000" w:themeColor="text1"/>
        </w:rPr>
        <w:t xml:space="preserve"> transparent access to shared information, controlled coordination and monitoring of construction processes </w:t>
      </w:r>
      <w:r w:rsidRPr="00091F8C">
        <w:rPr>
          <w:noProof/>
          <w:color w:val="000000" w:themeColor="text1"/>
        </w:rPr>
        <w:t>(Grilo and Jardim-Goncalves 2010)</w:t>
      </w:r>
      <w:r w:rsidRPr="00091F8C">
        <w:rPr>
          <w:color w:val="000000" w:themeColor="text1"/>
        </w:rPr>
        <w:t xml:space="preserve">. </w:t>
      </w:r>
      <w:r w:rsidR="003B6275" w:rsidRPr="00091F8C">
        <w:rPr>
          <w:color w:val="000000" w:themeColor="text1"/>
        </w:rPr>
        <w:t xml:space="preserve">These capabilities encourage the involvement of all stakeholders’ right from the conception of the building project through the entire lifecycle </w:t>
      </w:r>
      <w:r w:rsidR="003B6275" w:rsidRPr="00091F8C">
        <w:rPr>
          <w:noProof/>
          <w:color w:val="000000" w:themeColor="text1"/>
        </w:rPr>
        <w:t>(Eastman et al. 2011)</w:t>
      </w:r>
      <w:r w:rsidR="003B6275" w:rsidRPr="00091F8C">
        <w:rPr>
          <w:color w:val="000000" w:themeColor="text1"/>
        </w:rPr>
        <w:t xml:space="preserve"> and allow</w:t>
      </w:r>
      <w:r w:rsidRPr="00091F8C">
        <w:rPr>
          <w:color w:val="000000" w:themeColor="text1"/>
        </w:rPr>
        <w:t xml:space="preserve"> </w:t>
      </w:r>
      <w:r w:rsidRPr="00091F8C">
        <w:rPr>
          <w:color w:val="000000" w:themeColor="text1"/>
        </w:rPr>
        <w:lastRenderedPageBreak/>
        <w:t xml:space="preserve">partners across various disciplines to collaborate effectively on building projects. According to </w:t>
      </w:r>
      <w:proofErr w:type="spellStart"/>
      <w:r w:rsidRPr="00091F8C">
        <w:rPr>
          <w:color w:val="000000" w:themeColor="text1"/>
        </w:rPr>
        <w:t>Eadie</w:t>
      </w:r>
      <w:proofErr w:type="spellEnd"/>
      <w:r w:rsidRPr="00091F8C">
        <w:rPr>
          <w:color w:val="000000" w:themeColor="text1"/>
        </w:rPr>
        <w:t xml:space="preserve"> </w:t>
      </w:r>
      <w:r w:rsidRPr="00091F8C">
        <w:rPr>
          <w:i/>
          <w:color w:val="000000" w:themeColor="text1"/>
        </w:rPr>
        <w:t>et al.</w:t>
      </w:r>
      <w:r w:rsidRPr="00091F8C">
        <w:rPr>
          <w:color w:val="000000" w:themeColor="text1"/>
        </w:rPr>
        <w:t xml:space="preserve"> </w:t>
      </w:r>
      <w:r w:rsidRPr="00091F8C">
        <w:rPr>
          <w:noProof/>
          <w:color w:val="000000" w:themeColor="text1"/>
        </w:rPr>
        <w:t>(2013)</w:t>
      </w:r>
      <w:r w:rsidRPr="00091F8C">
        <w:rPr>
          <w:color w:val="000000" w:themeColor="text1"/>
        </w:rPr>
        <w:t>, a distinguishing feature that makes BIM applicable to all work stages is the accumulation of building lifecycle information. As such, information on building requirements, planning, design, construction and operations related information can be accumulated and accessed at the end of life of buildings.</w:t>
      </w:r>
    </w:p>
    <w:p w14:paraId="14521122" w14:textId="77777777" w:rsidR="00DB7536" w:rsidRPr="00091F8C" w:rsidRDefault="00DB7536" w:rsidP="00DB7536">
      <w:pPr>
        <w:rPr>
          <w:color w:val="000000" w:themeColor="text1"/>
        </w:rPr>
      </w:pPr>
      <w:r w:rsidRPr="00091F8C">
        <w:rPr>
          <w:color w:val="000000" w:themeColor="text1"/>
        </w:rPr>
        <w:t xml:space="preserve">Another functionality of BIM that aids its wide acceptability is the ability to simulate building performances such as cost estimation, energy consumption, lighting analysis, etc. According to Eastman </w:t>
      </w:r>
      <w:r w:rsidRPr="00091F8C">
        <w:rPr>
          <w:i/>
          <w:color w:val="000000" w:themeColor="text1"/>
        </w:rPr>
        <w:t>et al.</w:t>
      </w:r>
      <w:r w:rsidRPr="00091F8C">
        <w:rPr>
          <w:color w:val="000000" w:themeColor="text1"/>
        </w:rPr>
        <w:t xml:space="preserve"> </w:t>
      </w:r>
      <w:r w:rsidRPr="00091F8C">
        <w:rPr>
          <w:noProof/>
          <w:color w:val="000000" w:themeColor="text1"/>
        </w:rPr>
        <w:t>(2011)</w:t>
      </w:r>
      <w:r w:rsidRPr="00091F8C">
        <w:rPr>
          <w:color w:val="000000" w:themeColor="text1"/>
        </w:rPr>
        <w:t>, building performance analysis provides a platform for functional evaluation of building models before the commencement of construction. This allows comparison of design options to identify potential design errors and to select the most cost-effective and sustainable solution. Despite the benefits of building performance analysis and the environmental/economic impacts of end of life waste, none of the existing BIM software has capabilities for end of life waste performance analysis. This gap calls for a rethink of BIM functionalities towards capacity for end of life waste analysis and simulation right from early design stages. This will help to capture and address end of life concerns at a stage where design changes are cheaper.</w:t>
      </w:r>
    </w:p>
    <w:p w14:paraId="2B6809D6" w14:textId="77777777" w:rsidR="00DB7536" w:rsidRPr="00091F8C" w:rsidRDefault="00DB7536" w:rsidP="00DB7536">
      <w:pPr>
        <w:pStyle w:val="Heading1"/>
        <w:rPr>
          <w:color w:val="000000" w:themeColor="text1"/>
        </w:rPr>
      </w:pPr>
      <w:r w:rsidRPr="00091F8C">
        <w:rPr>
          <w:color w:val="000000" w:themeColor="text1"/>
        </w:rPr>
        <w:t>Research Methodology</w:t>
      </w:r>
    </w:p>
    <w:p w14:paraId="514E3154" w14:textId="77777777" w:rsidR="00DB7536" w:rsidRPr="00091F8C" w:rsidRDefault="00DB7536" w:rsidP="00DB7536">
      <w:pPr>
        <w:rPr>
          <w:color w:val="000000" w:themeColor="text1"/>
        </w:rPr>
      </w:pPr>
      <w:r w:rsidRPr="00091F8C">
        <w:rPr>
          <w:color w:val="000000" w:themeColor="text1"/>
        </w:rPr>
        <w:t xml:space="preserve">After a review of extant literature, it became clear that a methodology that drives objectivity is needed for developing a framework to realise BIM-DAS. This reveals the need for systemic operationalisation of practices in driving genuine understanding of actions </w:t>
      </w:r>
      <w:r w:rsidRPr="00091F8C">
        <w:rPr>
          <w:noProof/>
          <w:color w:val="000000" w:themeColor="text1"/>
        </w:rPr>
        <w:t>(Gray 2009)</w:t>
      </w:r>
      <w:r w:rsidRPr="00091F8C">
        <w:rPr>
          <w:color w:val="000000" w:themeColor="text1"/>
        </w:rPr>
        <w:t xml:space="preserve">. According to Creswell </w:t>
      </w:r>
      <w:r w:rsidRPr="00091F8C">
        <w:rPr>
          <w:noProof/>
          <w:color w:val="000000" w:themeColor="text1"/>
        </w:rPr>
        <w:t>(2014)</w:t>
      </w:r>
      <w:r w:rsidRPr="00091F8C">
        <w:rPr>
          <w:color w:val="000000" w:themeColor="text1"/>
        </w:rPr>
        <w:t xml:space="preserve">, a study that requires such degree of objectivity in driving an acceptable consensus necessitates a positivist worldview. This therefore positions the study within an objectivist epistemology where a single “real reality” exists </w:t>
      </w:r>
      <w:r w:rsidRPr="00091F8C">
        <w:rPr>
          <w:noProof/>
          <w:color w:val="000000" w:themeColor="text1"/>
        </w:rPr>
        <w:t>(Crotty 1998)</w:t>
      </w:r>
      <w:r w:rsidRPr="00091F8C">
        <w:rPr>
          <w:color w:val="000000" w:themeColor="text1"/>
        </w:rPr>
        <w:t xml:space="preserve">. This perspective helps to operationalise concepts into measurable entities </w:t>
      </w:r>
      <w:r w:rsidRPr="00091F8C">
        <w:rPr>
          <w:noProof/>
          <w:color w:val="000000" w:themeColor="text1"/>
        </w:rPr>
        <w:t>(Guba and Lincoln 1994)</w:t>
      </w:r>
      <w:r w:rsidRPr="00091F8C">
        <w:rPr>
          <w:color w:val="000000" w:themeColor="text1"/>
        </w:rPr>
        <w:t xml:space="preserve">. In line with positivism, the paper adopts review of literature, mathematical modelling and case study design as research methods. After a thorough review of extant literature, key principles for DfD were identified and developed into a framework. This framework was then used to </w:t>
      </w:r>
      <w:r w:rsidRPr="00091F8C">
        <w:rPr>
          <w:color w:val="000000" w:themeColor="text1"/>
        </w:rPr>
        <w:lastRenderedPageBreak/>
        <w:t>develop BIM-DAS using mathematical modelling techniques. After this, BIM-DAS was tested using case study approach t</w:t>
      </w:r>
      <w:r w:rsidRPr="00091F8C">
        <w:rPr>
          <w:rFonts w:hint="eastAsia"/>
          <w:color w:val="000000" w:themeColor="text1"/>
        </w:rPr>
        <w:t xml:space="preserve">o demonstrate its capabilities </w:t>
      </w:r>
      <w:r w:rsidRPr="00091F8C">
        <w:rPr>
          <w:color w:val="000000" w:themeColor="text1"/>
        </w:rPr>
        <w:t>and to evaluate its overall performance.</w:t>
      </w:r>
    </w:p>
    <w:p w14:paraId="3FC75482" w14:textId="77777777" w:rsidR="00DB7536" w:rsidRPr="00091F8C" w:rsidRDefault="00DB7536" w:rsidP="00DB7536">
      <w:pPr>
        <w:rPr>
          <w:color w:val="000000" w:themeColor="text1"/>
        </w:rPr>
      </w:pPr>
      <w:r w:rsidRPr="00091F8C">
        <w:rPr>
          <w:color w:val="000000" w:themeColor="text1"/>
        </w:rPr>
        <w:t>In deciding the degree of deconstructability of design, architects and engineers must adopt an automat</w:t>
      </w:r>
      <w:r w:rsidR="007748FE" w:rsidRPr="00091F8C">
        <w:rPr>
          <w:color w:val="000000" w:themeColor="text1"/>
        </w:rPr>
        <w:t>ed</w:t>
      </w:r>
      <w:r w:rsidRPr="00091F8C">
        <w:rPr>
          <w:color w:val="000000" w:themeColor="text1"/>
        </w:rPr>
        <w:t xml:space="preserve">, but objective, approach with </w:t>
      </w:r>
      <w:r w:rsidR="007748FE" w:rsidRPr="00091F8C">
        <w:rPr>
          <w:color w:val="000000" w:themeColor="text1"/>
        </w:rPr>
        <w:t xml:space="preserve">general </w:t>
      </w:r>
      <w:r w:rsidRPr="00091F8C">
        <w:rPr>
          <w:color w:val="000000" w:themeColor="text1"/>
        </w:rPr>
        <w:t>acceptability. To accomplish this, design principles for deconstruction must be conceptualised, mathematically captured and developed into a model. This will reduce effort and time required for analysis as well as eliminating human errors. As such, the BIM-DAS model development follows the processes of problem description, formulation of a mathematical modelling, obtaining mathematical solutions to model, simulation with the model and interpretation of the results. This approach helps to characterise building materials and their properties such that given a BIM design, the mathematical model could assess its DfD performance by assigning a BIM-DAS score to the design. To evaluate BIM-DAS</w:t>
      </w:r>
      <w:r w:rsidR="00631E24" w:rsidRPr="00091F8C">
        <w:rPr>
          <w:color w:val="000000" w:themeColor="text1"/>
        </w:rPr>
        <w:t>, t</w:t>
      </w:r>
      <w:r w:rsidRPr="00091F8C">
        <w:rPr>
          <w:color w:val="000000" w:themeColor="text1"/>
        </w:rPr>
        <w:t>his study adopts a case study approach using a comparative analysis of design typologies to evaluate the performance of BIM-DAS. As such, three case studies of a two-storey residential building located in the UK were developed with a ground floor area of 492 m</w:t>
      </w:r>
      <w:r w:rsidRPr="00091F8C">
        <w:rPr>
          <w:color w:val="000000" w:themeColor="text1"/>
          <w:vertAlign w:val="superscript"/>
        </w:rPr>
        <w:t>2</w:t>
      </w:r>
      <w:r w:rsidRPr="00091F8C">
        <w:rPr>
          <w:color w:val="000000" w:themeColor="text1"/>
        </w:rPr>
        <w:t>. The floor plan of the case study is shown in Figure 3</w:t>
      </w:r>
      <w:r w:rsidR="00E55B9F" w:rsidRPr="00091F8C">
        <w:rPr>
          <w:color w:val="000000" w:themeColor="text1"/>
        </w:rPr>
        <w:t xml:space="preserve"> and the design </w:t>
      </w:r>
      <w:r w:rsidR="007A5E10" w:rsidRPr="00091F8C">
        <w:rPr>
          <w:color w:val="000000" w:themeColor="text1"/>
        </w:rPr>
        <w:t>characteristics are</w:t>
      </w:r>
      <w:r w:rsidR="00E55B9F" w:rsidRPr="00091F8C">
        <w:rPr>
          <w:color w:val="000000" w:themeColor="text1"/>
        </w:rPr>
        <w:t xml:space="preserve"> presented in Table 2</w:t>
      </w:r>
      <w:r w:rsidRPr="00091F8C">
        <w:rPr>
          <w:color w:val="000000" w:themeColor="text1"/>
        </w:rPr>
        <w:t>.</w:t>
      </w:r>
      <w:bookmarkStart w:id="3" w:name="_Ref422221868"/>
      <w:r w:rsidR="00631E24" w:rsidRPr="00091F8C">
        <w:rPr>
          <w:color w:val="000000" w:themeColor="text1"/>
        </w:rPr>
        <w:t xml:space="preserve"> </w:t>
      </w:r>
      <w:r w:rsidR="0082418C" w:rsidRPr="00091F8C">
        <w:rPr>
          <w:color w:val="000000" w:themeColor="text1"/>
        </w:rPr>
        <w:t xml:space="preserve">While it is generally believed that residential buildings have long serviceable life, </w:t>
      </w:r>
      <w:r w:rsidR="008713A8" w:rsidRPr="00091F8C">
        <w:rPr>
          <w:color w:val="000000" w:themeColor="text1"/>
        </w:rPr>
        <w:t>houses built to be deconstructed are becoming more popular to aid future metropolitan planning and relocation</w:t>
      </w:r>
      <w:r w:rsidR="00BF3FCF" w:rsidRPr="00091F8C">
        <w:rPr>
          <w:color w:val="000000" w:themeColor="text1"/>
        </w:rPr>
        <w:t xml:space="preserve"> (</w:t>
      </w:r>
      <w:proofErr w:type="spellStart"/>
      <w:r w:rsidR="00BF3FCF" w:rsidRPr="00091F8C">
        <w:rPr>
          <w:color w:val="000000" w:themeColor="text1"/>
        </w:rPr>
        <w:t>Kibert</w:t>
      </w:r>
      <w:proofErr w:type="spellEnd"/>
      <w:r w:rsidR="00BF3FCF" w:rsidRPr="00091F8C">
        <w:rPr>
          <w:color w:val="000000" w:themeColor="text1"/>
        </w:rPr>
        <w:t>, 2008)</w:t>
      </w:r>
      <w:r w:rsidR="008713A8" w:rsidRPr="00091F8C">
        <w:rPr>
          <w:color w:val="000000" w:themeColor="text1"/>
        </w:rPr>
        <w:t xml:space="preserve">. Examples of </w:t>
      </w:r>
      <w:proofErr w:type="spellStart"/>
      <w:r w:rsidR="008713A8" w:rsidRPr="00091F8C">
        <w:rPr>
          <w:color w:val="000000" w:themeColor="text1"/>
        </w:rPr>
        <w:t>deconstructable</w:t>
      </w:r>
      <w:proofErr w:type="spellEnd"/>
      <w:r w:rsidR="008713A8" w:rsidRPr="00091F8C">
        <w:rPr>
          <w:color w:val="000000" w:themeColor="text1"/>
        </w:rPr>
        <w:t xml:space="preserve"> residential buildings include block of flats and condominiums in city centres (</w:t>
      </w:r>
      <w:r w:rsidR="00BF3FCF" w:rsidRPr="00091F8C">
        <w:rPr>
          <w:color w:val="000000" w:themeColor="text1"/>
        </w:rPr>
        <w:t>Budge, 2013</w:t>
      </w:r>
      <w:r w:rsidR="008713A8" w:rsidRPr="00091F8C">
        <w:rPr>
          <w:color w:val="000000" w:themeColor="text1"/>
        </w:rPr>
        <w:t>).</w:t>
      </w:r>
    </w:p>
    <w:p w14:paraId="5D01D5C4" w14:textId="77777777" w:rsidR="00833E0F" w:rsidRPr="00091F8C" w:rsidRDefault="00833E0F" w:rsidP="00DB7536">
      <w:pPr>
        <w:rPr>
          <w:color w:val="000000" w:themeColor="text1"/>
        </w:rPr>
      </w:pPr>
    </w:p>
    <w:p w14:paraId="2A72B88A" w14:textId="77777777" w:rsidR="00DB7536" w:rsidRPr="00091F8C" w:rsidRDefault="002413A8" w:rsidP="00DB7536">
      <w:pPr>
        <w:jc w:val="center"/>
        <w:rPr>
          <w:color w:val="000000" w:themeColor="text1"/>
        </w:rPr>
      </w:pPr>
      <w:r w:rsidRPr="00091F8C">
        <w:rPr>
          <w:noProof/>
          <w:color w:val="000000" w:themeColor="text1"/>
          <w:lang w:val="en-US"/>
        </w:rPr>
        <w:lastRenderedPageBreak/>
        <w:drawing>
          <wp:inline distT="0" distB="0" distL="0" distR="0" wp14:anchorId="3445496B" wp14:editId="611E4C49">
            <wp:extent cx="4591691" cy="3258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691" cy="3258005"/>
                    </a:xfrm>
                    <a:prstGeom prst="rect">
                      <a:avLst/>
                    </a:prstGeom>
                  </pic:spPr>
                </pic:pic>
              </a:graphicData>
            </a:graphic>
          </wp:inline>
        </w:drawing>
      </w:r>
    </w:p>
    <w:p w14:paraId="0E1E5509" w14:textId="77777777" w:rsidR="00DB7536" w:rsidRPr="00091F8C" w:rsidRDefault="00DB7536" w:rsidP="00DB7536">
      <w:pPr>
        <w:jc w:val="center"/>
        <w:rPr>
          <w:color w:val="000000" w:themeColor="text1"/>
        </w:rPr>
      </w:pPr>
      <w:r w:rsidRPr="00091F8C">
        <w:rPr>
          <w:color w:val="000000" w:themeColor="text1"/>
        </w:rPr>
        <w:t>Figure</w:t>
      </w:r>
      <w:r w:rsidR="009E5DCB" w:rsidRPr="00091F8C">
        <w:rPr>
          <w:color w:val="000000" w:themeColor="text1"/>
        </w:rPr>
        <w:t xml:space="preserve"> 3</w:t>
      </w:r>
      <w:r w:rsidRPr="00091F8C">
        <w:rPr>
          <w:color w:val="000000" w:themeColor="text1"/>
        </w:rPr>
        <w:t>: Floor Plan of Case Study</w:t>
      </w:r>
      <w:r w:rsidR="005A06AD" w:rsidRPr="00091F8C">
        <w:rPr>
          <w:color w:val="000000" w:themeColor="text1"/>
        </w:rPr>
        <w:t xml:space="preserve"> (Source: Author)</w:t>
      </w:r>
    </w:p>
    <w:p w14:paraId="3CB0F803" w14:textId="77777777" w:rsidR="002537D0" w:rsidRPr="00091F8C" w:rsidRDefault="002537D0" w:rsidP="00A25411">
      <w:pPr>
        <w:pStyle w:val="Caption"/>
        <w:rPr>
          <w:color w:val="000000" w:themeColor="text1"/>
        </w:rPr>
      </w:pPr>
      <w:r w:rsidRPr="00091F8C">
        <w:rPr>
          <w:color w:val="000000" w:themeColor="text1"/>
        </w:rPr>
        <w:t>Table</w:t>
      </w:r>
      <w:r w:rsidR="009E5DCB" w:rsidRPr="00091F8C">
        <w:rPr>
          <w:color w:val="000000" w:themeColor="text1"/>
        </w:rPr>
        <w:t xml:space="preserve"> 2</w:t>
      </w:r>
      <w:r w:rsidRPr="00091F8C">
        <w:rPr>
          <w:color w:val="000000" w:themeColor="text1"/>
        </w:rPr>
        <w:t>: Design Characteristics of Case Study</w:t>
      </w:r>
    </w:p>
    <w:tbl>
      <w:tblPr>
        <w:tblStyle w:val="ListTable6Colorful1"/>
        <w:tblW w:w="0" w:type="auto"/>
        <w:jc w:val="center"/>
        <w:tblLook w:val="04A0" w:firstRow="1" w:lastRow="0" w:firstColumn="1" w:lastColumn="0" w:noHBand="0" w:noVBand="1"/>
      </w:tblPr>
      <w:tblGrid>
        <w:gridCol w:w="5387"/>
      </w:tblGrid>
      <w:tr w:rsidR="00091F8C" w:rsidRPr="00091F8C" w14:paraId="1F2F4F10" w14:textId="77777777" w:rsidTr="00A254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tcPr>
          <w:p w14:paraId="6C275857" w14:textId="77777777" w:rsidR="00493585" w:rsidRPr="00091F8C" w:rsidRDefault="00493585" w:rsidP="00A25411">
            <w:pPr>
              <w:spacing w:before="0" w:line="240" w:lineRule="auto"/>
              <w:rPr>
                <w:b w:val="0"/>
              </w:rPr>
            </w:pPr>
            <w:r w:rsidRPr="00091F8C">
              <w:rPr>
                <w:b w:val="0"/>
              </w:rPr>
              <w:t>Building type: Residential</w:t>
            </w:r>
          </w:p>
          <w:p w14:paraId="3C74E5DC" w14:textId="77777777" w:rsidR="00493585" w:rsidRPr="00091F8C" w:rsidRDefault="00493585" w:rsidP="00A25411">
            <w:pPr>
              <w:spacing w:before="0" w:line="240" w:lineRule="auto"/>
              <w:rPr>
                <w:b w:val="0"/>
              </w:rPr>
            </w:pPr>
            <w:r w:rsidRPr="00091F8C">
              <w:rPr>
                <w:b w:val="0"/>
              </w:rPr>
              <w:t>Number of floors: 3</w:t>
            </w:r>
          </w:p>
          <w:p w14:paraId="6BA30442" w14:textId="77777777" w:rsidR="002537D0" w:rsidRPr="00091F8C" w:rsidRDefault="002537D0" w:rsidP="00A25411">
            <w:pPr>
              <w:spacing w:before="0" w:line="240" w:lineRule="auto"/>
              <w:rPr>
                <w:b w:val="0"/>
              </w:rPr>
            </w:pPr>
            <w:r w:rsidRPr="00091F8C">
              <w:rPr>
                <w:b w:val="0"/>
              </w:rPr>
              <w:t xml:space="preserve">Ground floor area: </w:t>
            </w:r>
            <w:r w:rsidR="00493585" w:rsidRPr="00091F8C">
              <w:rPr>
                <w:b w:val="0"/>
              </w:rPr>
              <w:t>492m</w:t>
            </w:r>
            <w:r w:rsidR="00493585" w:rsidRPr="00091F8C">
              <w:rPr>
                <w:b w:val="0"/>
                <w:vertAlign w:val="superscript"/>
              </w:rPr>
              <w:t>2</w:t>
            </w:r>
          </w:p>
          <w:p w14:paraId="67E741EC" w14:textId="77777777" w:rsidR="002537D0" w:rsidRPr="00091F8C" w:rsidRDefault="002537D0" w:rsidP="00A25411">
            <w:pPr>
              <w:spacing w:before="0" w:line="240" w:lineRule="auto"/>
              <w:rPr>
                <w:b w:val="0"/>
                <w:vertAlign w:val="superscript"/>
              </w:rPr>
            </w:pPr>
            <w:r w:rsidRPr="00091F8C">
              <w:rPr>
                <w:b w:val="0"/>
              </w:rPr>
              <w:t xml:space="preserve">First floor ground floor area: </w:t>
            </w:r>
            <w:r w:rsidR="00493585" w:rsidRPr="00091F8C">
              <w:rPr>
                <w:b w:val="0"/>
              </w:rPr>
              <w:t>351m</w:t>
            </w:r>
            <w:r w:rsidR="00493585" w:rsidRPr="00091F8C">
              <w:rPr>
                <w:b w:val="0"/>
                <w:vertAlign w:val="superscript"/>
              </w:rPr>
              <w:t>2</w:t>
            </w:r>
          </w:p>
          <w:p w14:paraId="2DD8F4F2" w14:textId="77777777" w:rsidR="002537D0" w:rsidRPr="00091F8C" w:rsidRDefault="002537D0" w:rsidP="00A25411">
            <w:pPr>
              <w:spacing w:before="0" w:line="240" w:lineRule="auto"/>
              <w:rPr>
                <w:b w:val="0"/>
                <w:vertAlign w:val="superscript"/>
              </w:rPr>
            </w:pPr>
            <w:r w:rsidRPr="00091F8C">
              <w:rPr>
                <w:b w:val="0"/>
              </w:rPr>
              <w:t xml:space="preserve">Second floor ground floor area: </w:t>
            </w:r>
            <w:r w:rsidR="00493585" w:rsidRPr="00091F8C">
              <w:rPr>
                <w:b w:val="0"/>
              </w:rPr>
              <w:t>351m</w:t>
            </w:r>
            <w:r w:rsidR="00493585" w:rsidRPr="00091F8C">
              <w:rPr>
                <w:b w:val="0"/>
                <w:vertAlign w:val="superscript"/>
              </w:rPr>
              <w:t>2</w:t>
            </w:r>
          </w:p>
          <w:p w14:paraId="7739A534" w14:textId="77777777" w:rsidR="002537D0" w:rsidRPr="00091F8C" w:rsidRDefault="002537D0" w:rsidP="00A25411">
            <w:pPr>
              <w:spacing w:before="0" w:line="240" w:lineRule="auto"/>
              <w:rPr>
                <w:b w:val="0"/>
              </w:rPr>
            </w:pPr>
            <w:r w:rsidRPr="00091F8C">
              <w:rPr>
                <w:b w:val="0"/>
              </w:rPr>
              <w:t>Floor to ceiling height</w:t>
            </w:r>
            <w:r w:rsidR="00493585" w:rsidRPr="00091F8C">
              <w:rPr>
                <w:b w:val="0"/>
              </w:rPr>
              <w:t xml:space="preserve">: </w:t>
            </w:r>
            <w:r w:rsidR="00BD35CF" w:rsidRPr="00091F8C">
              <w:rPr>
                <w:b w:val="0"/>
              </w:rPr>
              <w:t>2.8m</w:t>
            </w:r>
          </w:p>
          <w:p w14:paraId="7983AC0E" w14:textId="77777777" w:rsidR="00493585" w:rsidRPr="00091F8C" w:rsidRDefault="00493585" w:rsidP="00A25411">
            <w:pPr>
              <w:spacing w:before="0" w:line="240" w:lineRule="auto"/>
              <w:rPr>
                <w:b w:val="0"/>
                <w:vertAlign w:val="superscript"/>
              </w:rPr>
            </w:pPr>
            <w:r w:rsidRPr="00091F8C">
              <w:rPr>
                <w:b w:val="0"/>
              </w:rPr>
              <w:t>Second floor roof area: 402m</w:t>
            </w:r>
            <w:r w:rsidRPr="00091F8C">
              <w:rPr>
                <w:b w:val="0"/>
                <w:vertAlign w:val="superscript"/>
              </w:rPr>
              <w:t>2</w:t>
            </w:r>
          </w:p>
          <w:p w14:paraId="4B6C9224" w14:textId="77777777" w:rsidR="00493585" w:rsidRPr="00091F8C" w:rsidRDefault="00493585" w:rsidP="00A25411">
            <w:pPr>
              <w:spacing w:before="0" w:line="240" w:lineRule="auto"/>
              <w:rPr>
                <w:b w:val="0"/>
                <w:vertAlign w:val="superscript"/>
              </w:rPr>
            </w:pPr>
            <w:r w:rsidRPr="00091F8C">
              <w:rPr>
                <w:b w:val="0"/>
              </w:rPr>
              <w:t>Low level roof: 168m</w:t>
            </w:r>
            <w:r w:rsidRPr="00091F8C">
              <w:rPr>
                <w:b w:val="0"/>
                <w:vertAlign w:val="superscript"/>
              </w:rPr>
              <w:t>2</w:t>
            </w:r>
          </w:p>
        </w:tc>
      </w:tr>
    </w:tbl>
    <w:p w14:paraId="74F8E66F" w14:textId="77777777" w:rsidR="0082418C" w:rsidRPr="00091F8C" w:rsidRDefault="00E55B9F" w:rsidP="0082418C">
      <w:pPr>
        <w:rPr>
          <w:color w:val="000000" w:themeColor="text1"/>
        </w:rPr>
      </w:pPr>
      <w:r w:rsidRPr="00091F8C">
        <w:rPr>
          <w:color w:val="000000" w:themeColor="text1"/>
        </w:rPr>
        <w:t xml:space="preserve">Using the design </w:t>
      </w:r>
      <w:r w:rsidR="009E5DCB" w:rsidRPr="00091F8C">
        <w:rPr>
          <w:color w:val="000000" w:themeColor="text1"/>
        </w:rPr>
        <w:t>characteristics shown in Table 2</w:t>
      </w:r>
      <w:r w:rsidRPr="00091F8C">
        <w:rPr>
          <w:color w:val="000000" w:themeColor="text1"/>
        </w:rPr>
        <w:t>, three</w:t>
      </w:r>
      <w:r w:rsidR="0082418C" w:rsidRPr="00091F8C">
        <w:rPr>
          <w:color w:val="000000" w:themeColor="text1"/>
        </w:rPr>
        <w:t xml:space="preserve"> case studies were designed with three different major material types, i.e., steel, timber and concrete. This approach was used to assess and compare the building deconstructability score of the three building types. The aim of the comparative evaluation is to ascertain which of the building types has greater deconstructability potential.</w:t>
      </w:r>
    </w:p>
    <w:p w14:paraId="0BAD376C" w14:textId="77777777" w:rsidR="00DB7536" w:rsidRPr="00091F8C" w:rsidRDefault="00DB7536" w:rsidP="00DB7536">
      <w:pPr>
        <w:pStyle w:val="Heading1"/>
        <w:rPr>
          <w:color w:val="000000" w:themeColor="text1"/>
        </w:rPr>
      </w:pPr>
      <w:r w:rsidRPr="00091F8C">
        <w:rPr>
          <w:color w:val="000000" w:themeColor="text1"/>
        </w:rPr>
        <w:lastRenderedPageBreak/>
        <w:t>BIM-DAS Model Development</w:t>
      </w:r>
    </w:p>
    <w:p w14:paraId="0F33F0E5" w14:textId="77777777" w:rsidR="00DB7536" w:rsidRPr="00091F8C" w:rsidRDefault="00DB7536" w:rsidP="00DB7536">
      <w:pPr>
        <w:rPr>
          <w:color w:val="000000" w:themeColor="text1"/>
        </w:rPr>
      </w:pPr>
      <w:r w:rsidRPr="00091F8C">
        <w:rPr>
          <w:color w:val="000000" w:themeColor="text1"/>
        </w:rPr>
        <w:t>This section presents the general characteristics of the mathematical model developed for assessing the performance of DfD. The variables used in the development of the model are presented in</w:t>
      </w:r>
      <w:r w:rsidR="009E5DCB" w:rsidRPr="00091F8C">
        <w:rPr>
          <w:color w:val="000000" w:themeColor="text1"/>
        </w:rPr>
        <w:t xml:space="preserve"> Table 3</w:t>
      </w:r>
      <w:r w:rsidRPr="00091F8C">
        <w:rPr>
          <w:color w:val="000000" w:themeColor="text1"/>
        </w:rPr>
        <w:t>. Although building parametric models are composed of n-D spatial distribution of materials and components, however, the focus of the model development is to employ elemental breakdown of material take-off. First, a formal definition of design model for deconstruction based on material specification is presented. This helps to identify independent variables contributing to BIM-DAS. Second, deconstruction related variables are incorporated in BIM design models using Revit software. Lastly, BIM-DAS was developed and evaluated.</w:t>
      </w:r>
    </w:p>
    <w:p w14:paraId="56AD3FAE" w14:textId="77777777" w:rsidR="004609A8" w:rsidRPr="00091F8C" w:rsidRDefault="004609A8" w:rsidP="004609A8">
      <w:pPr>
        <w:pStyle w:val="Caption"/>
        <w:rPr>
          <w:color w:val="000000" w:themeColor="text1"/>
        </w:rPr>
      </w:pPr>
      <w:bookmarkStart w:id="4" w:name="_Ref423087546"/>
      <w:r w:rsidRPr="00091F8C">
        <w:rPr>
          <w:color w:val="000000" w:themeColor="text1"/>
        </w:rPr>
        <w:t xml:space="preserve">Table </w:t>
      </w:r>
      <w:bookmarkEnd w:id="4"/>
      <w:r w:rsidR="009E5DCB" w:rsidRPr="00091F8C">
        <w:rPr>
          <w:color w:val="000000" w:themeColor="text1"/>
        </w:rPr>
        <w:t>3</w:t>
      </w:r>
      <w:r w:rsidRPr="00091F8C">
        <w:rPr>
          <w:color w:val="000000" w:themeColor="text1"/>
        </w:rPr>
        <w:t>: Notations and Descriptions of Variables</w:t>
      </w:r>
    </w:p>
    <w:tbl>
      <w:tblPr>
        <w:tblStyle w:val="TableGrid"/>
        <w:tblW w:w="7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096"/>
      </w:tblGrid>
      <w:tr w:rsidR="00091F8C" w:rsidRPr="00091F8C" w14:paraId="2A77E8C0" w14:textId="77777777" w:rsidTr="007748FE">
        <w:trPr>
          <w:jc w:val="center"/>
        </w:trPr>
        <w:tc>
          <w:tcPr>
            <w:tcW w:w="1134" w:type="dxa"/>
            <w:tcBorders>
              <w:top w:val="single" w:sz="4" w:space="0" w:color="auto"/>
              <w:bottom w:val="single" w:sz="4" w:space="0" w:color="auto"/>
            </w:tcBorders>
          </w:tcPr>
          <w:p w14:paraId="4F70E2C8" w14:textId="77777777" w:rsidR="004609A8" w:rsidRPr="00091F8C" w:rsidRDefault="004609A8" w:rsidP="005B0B78">
            <w:pPr>
              <w:pStyle w:val="NoSpacing"/>
              <w:rPr>
                <w:color w:val="000000" w:themeColor="text1"/>
              </w:rPr>
            </w:pPr>
            <w:r w:rsidRPr="00091F8C">
              <w:rPr>
                <w:color w:val="000000" w:themeColor="text1"/>
              </w:rPr>
              <w:t>Notation</w:t>
            </w:r>
          </w:p>
        </w:tc>
        <w:tc>
          <w:tcPr>
            <w:tcW w:w="6096" w:type="dxa"/>
            <w:tcBorders>
              <w:top w:val="single" w:sz="4" w:space="0" w:color="auto"/>
              <w:bottom w:val="single" w:sz="4" w:space="0" w:color="auto"/>
            </w:tcBorders>
          </w:tcPr>
          <w:p w14:paraId="38B8F410" w14:textId="77777777" w:rsidR="004609A8" w:rsidRPr="00091F8C" w:rsidRDefault="004609A8" w:rsidP="005B0B78">
            <w:pPr>
              <w:pStyle w:val="NoSpacing"/>
              <w:rPr>
                <w:color w:val="000000" w:themeColor="text1"/>
              </w:rPr>
            </w:pPr>
            <w:r w:rsidRPr="00091F8C">
              <w:rPr>
                <w:color w:val="000000" w:themeColor="text1"/>
              </w:rPr>
              <w:t>Description</w:t>
            </w:r>
          </w:p>
        </w:tc>
      </w:tr>
      <w:tr w:rsidR="00091F8C" w:rsidRPr="00091F8C" w14:paraId="2B4973A7" w14:textId="77777777" w:rsidTr="007748FE">
        <w:trPr>
          <w:jc w:val="center"/>
        </w:trPr>
        <w:tc>
          <w:tcPr>
            <w:tcW w:w="1134" w:type="dxa"/>
            <w:tcBorders>
              <w:top w:val="single" w:sz="4" w:space="0" w:color="auto"/>
            </w:tcBorders>
          </w:tcPr>
          <w:p w14:paraId="5528C68B" w14:textId="77777777" w:rsidR="004609A8" w:rsidRPr="00091F8C" w:rsidRDefault="004609A8" w:rsidP="005B0B78">
            <w:pPr>
              <w:pStyle w:val="NoSpacing"/>
              <w:rPr>
                <w:i/>
                <w:color w:val="000000" w:themeColor="text1"/>
              </w:rPr>
            </w:pPr>
            <w:r w:rsidRPr="00091F8C">
              <w:rPr>
                <w:i/>
                <w:color w:val="000000" w:themeColor="text1"/>
              </w:rPr>
              <w:t>M</w:t>
            </w:r>
          </w:p>
        </w:tc>
        <w:tc>
          <w:tcPr>
            <w:tcW w:w="6096" w:type="dxa"/>
            <w:tcBorders>
              <w:top w:val="single" w:sz="4" w:space="0" w:color="auto"/>
            </w:tcBorders>
          </w:tcPr>
          <w:p w14:paraId="1855B690" w14:textId="77777777" w:rsidR="004609A8" w:rsidRPr="00091F8C" w:rsidRDefault="004609A8" w:rsidP="005B0B78">
            <w:pPr>
              <w:pStyle w:val="NoSpacing"/>
              <w:rPr>
                <w:color w:val="000000" w:themeColor="text1"/>
              </w:rPr>
            </w:pPr>
            <w:r w:rsidRPr="00091F8C">
              <w:rPr>
                <w:color w:val="000000" w:themeColor="text1"/>
              </w:rPr>
              <w:t xml:space="preserve">Set of materials, i.e., </w:t>
            </w:r>
            <w:r w:rsidRPr="00091F8C">
              <w:rPr>
                <w:i/>
                <w:color w:val="000000" w:themeColor="text1"/>
              </w:rPr>
              <w:t>M = {M</w:t>
            </w:r>
            <w:r w:rsidRPr="00091F8C">
              <w:rPr>
                <w:i/>
                <w:color w:val="000000" w:themeColor="text1"/>
                <w:vertAlign w:val="subscript"/>
              </w:rPr>
              <w:t>1</w:t>
            </w:r>
            <w:r w:rsidRPr="00091F8C">
              <w:rPr>
                <w:i/>
                <w:color w:val="000000" w:themeColor="text1"/>
              </w:rPr>
              <w:t>, M</w:t>
            </w:r>
            <w:r w:rsidRPr="00091F8C">
              <w:rPr>
                <w:i/>
                <w:color w:val="000000" w:themeColor="text1"/>
                <w:vertAlign w:val="subscript"/>
              </w:rPr>
              <w:t>2</w:t>
            </w:r>
            <w:r w:rsidRPr="00091F8C">
              <w:rPr>
                <w:i/>
                <w:color w:val="000000" w:themeColor="text1"/>
              </w:rPr>
              <w:t xml:space="preserve">, …, </w:t>
            </w:r>
            <w:proofErr w:type="spellStart"/>
            <w:r w:rsidRPr="00091F8C">
              <w:rPr>
                <w:i/>
                <w:color w:val="000000" w:themeColor="text1"/>
              </w:rPr>
              <w:t>M</w:t>
            </w:r>
            <w:r w:rsidRPr="00091F8C">
              <w:rPr>
                <w:i/>
                <w:color w:val="000000" w:themeColor="text1"/>
                <w:vertAlign w:val="subscript"/>
              </w:rPr>
              <w:t>n</w:t>
            </w:r>
            <w:proofErr w:type="spellEnd"/>
            <w:r w:rsidRPr="00091F8C">
              <w:rPr>
                <w:i/>
                <w:color w:val="000000" w:themeColor="text1"/>
              </w:rPr>
              <w:t>}</w:t>
            </w:r>
          </w:p>
        </w:tc>
      </w:tr>
      <w:tr w:rsidR="00091F8C" w:rsidRPr="00091F8C" w14:paraId="45C5FE0F" w14:textId="77777777" w:rsidTr="007748FE">
        <w:trPr>
          <w:jc w:val="center"/>
        </w:trPr>
        <w:tc>
          <w:tcPr>
            <w:tcW w:w="1134" w:type="dxa"/>
          </w:tcPr>
          <w:p w14:paraId="3BE69021" w14:textId="77777777" w:rsidR="004609A8" w:rsidRPr="00091F8C" w:rsidRDefault="004609A8" w:rsidP="005B0B78">
            <w:pPr>
              <w:pStyle w:val="NoSpacing"/>
              <w:rPr>
                <w:i/>
                <w:color w:val="000000" w:themeColor="text1"/>
              </w:rPr>
            </w:pPr>
            <w:r w:rsidRPr="00091F8C">
              <w:rPr>
                <w:i/>
                <w:color w:val="000000" w:themeColor="text1"/>
              </w:rPr>
              <w:t>C</w:t>
            </w:r>
          </w:p>
        </w:tc>
        <w:tc>
          <w:tcPr>
            <w:tcW w:w="6096" w:type="dxa"/>
          </w:tcPr>
          <w:p w14:paraId="17342040" w14:textId="77777777" w:rsidR="004609A8" w:rsidRPr="00091F8C" w:rsidRDefault="004609A8" w:rsidP="005B0B78">
            <w:pPr>
              <w:pStyle w:val="NoSpacing"/>
              <w:rPr>
                <w:color w:val="000000" w:themeColor="text1"/>
              </w:rPr>
            </w:pPr>
            <w:r w:rsidRPr="00091F8C">
              <w:rPr>
                <w:color w:val="000000" w:themeColor="text1"/>
              </w:rPr>
              <w:t xml:space="preserve">Set of components, i.e., </w:t>
            </w:r>
            <w:r w:rsidRPr="00091F8C">
              <w:rPr>
                <w:i/>
                <w:color w:val="000000" w:themeColor="text1"/>
              </w:rPr>
              <w:t>C = {C</w:t>
            </w:r>
            <w:r w:rsidRPr="00091F8C">
              <w:rPr>
                <w:i/>
                <w:color w:val="000000" w:themeColor="text1"/>
                <w:vertAlign w:val="subscript"/>
              </w:rPr>
              <w:t>1</w:t>
            </w:r>
            <w:r w:rsidRPr="00091F8C">
              <w:rPr>
                <w:i/>
                <w:color w:val="000000" w:themeColor="text1"/>
              </w:rPr>
              <w:t>, C</w:t>
            </w:r>
            <w:r w:rsidRPr="00091F8C">
              <w:rPr>
                <w:i/>
                <w:color w:val="000000" w:themeColor="text1"/>
                <w:vertAlign w:val="subscript"/>
              </w:rPr>
              <w:t>2</w:t>
            </w:r>
            <w:r w:rsidRPr="00091F8C">
              <w:rPr>
                <w:i/>
                <w:color w:val="000000" w:themeColor="text1"/>
              </w:rPr>
              <w:t>, …, C</w:t>
            </w:r>
            <w:r w:rsidRPr="00091F8C">
              <w:rPr>
                <w:i/>
                <w:color w:val="000000" w:themeColor="text1"/>
                <w:vertAlign w:val="subscript"/>
              </w:rPr>
              <w:t>n</w:t>
            </w:r>
            <w:r w:rsidRPr="00091F8C">
              <w:rPr>
                <w:i/>
                <w:color w:val="000000" w:themeColor="text1"/>
              </w:rPr>
              <w:t>}</w:t>
            </w:r>
          </w:p>
        </w:tc>
      </w:tr>
      <w:tr w:rsidR="00091F8C" w:rsidRPr="00091F8C" w14:paraId="54A2F58C" w14:textId="77777777" w:rsidTr="007748FE">
        <w:trPr>
          <w:jc w:val="center"/>
        </w:trPr>
        <w:tc>
          <w:tcPr>
            <w:tcW w:w="1134" w:type="dxa"/>
          </w:tcPr>
          <w:p w14:paraId="57B051E0" w14:textId="77777777" w:rsidR="004609A8" w:rsidRPr="00091F8C" w:rsidRDefault="004609A8" w:rsidP="005B0B78">
            <w:pPr>
              <w:pStyle w:val="NoSpacing"/>
              <w:rPr>
                <w:i/>
                <w:color w:val="000000" w:themeColor="text1"/>
              </w:rPr>
            </w:pPr>
            <w:r w:rsidRPr="00091F8C">
              <w:rPr>
                <w:i/>
                <w:color w:val="000000" w:themeColor="text1"/>
              </w:rPr>
              <w:t>E</w:t>
            </w:r>
          </w:p>
        </w:tc>
        <w:tc>
          <w:tcPr>
            <w:tcW w:w="6096" w:type="dxa"/>
          </w:tcPr>
          <w:p w14:paraId="2241E2B5" w14:textId="77777777" w:rsidR="004609A8" w:rsidRPr="00091F8C" w:rsidRDefault="004609A8" w:rsidP="005B0B78">
            <w:pPr>
              <w:pStyle w:val="NoSpacing"/>
              <w:rPr>
                <w:color w:val="000000" w:themeColor="text1"/>
              </w:rPr>
            </w:pPr>
            <w:r w:rsidRPr="00091F8C">
              <w:rPr>
                <w:color w:val="000000" w:themeColor="text1"/>
              </w:rPr>
              <w:t xml:space="preserve">Set of connector, i.e., </w:t>
            </w:r>
            <w:r w:rsidRPr="00091F8C">
              <w:rPr>
                <w:i/>
                <w:color w:val="000000" w:themeColor="text1"/>
              </w:rPr>
              <w:t>E = {E</w:t>
            </w:r>
            <w:r w:rsidRPr="00091F8C">
              <w:rPr>
                <w:i/>
                <w:color w:val="000000" w:themeColor="text1"/>
                <w:vertAlign w:val="subscript"/>
              </w:rPr>
              <w:t>1</w:t>
            </w:r>
            <w:r w:rsidRPr="00091F8C">
              <w:rPr>
                <w:i/>
                <w:color w:val="000000" w:themeColor="text1"/>
              </w:rPr>
              <w:t>, E</w:t>
            </w:r>
            <w:r w:rsidRPr="00091F8C">
              <w:rPr>
                <w:i/>
                <w:color w:val="000000" w:themeColor="text1"/>
                <w:vertAlign w:val="subscript"/>
              </w:rPr>
              <w:t>2</w:t>
            </w:r>
            <w:r w:rsidRPr="00091F8C">
              <w:rPr>
                <w:i/>
                <w:color w:val="000000" w:themeColor="text1"/>
              </w:rPr>
              <w:t>, …, E</w:t>
            </w:r>
            <w:r w:rsidRPr="00091F8C">
              <w:rPr>
                <w:i/>
                <w:color w:val="000000" w:themeColor="text1"/>
                <w:vertAlign w:val="subscript"/>
              </w:rPr>
              <w:t>n</w:t>
            </w:r>
            <w:r w:rsidRPr="00091F8C">
              <w:rPr>
                <w:i/>
                <w:color w:val="000000" w:themeColor="text1"/>
              </w:rPr>
              <w:t>}</w:t>
            </w:r>
          </w:p>
        </w:tc>
      </w:tr>
      <w:tr w:rsidR="00091F8C" w:rsidRPr="00091F8C" w14:paraId="0069BC44" w14:textId="77777777" w:rsidTr="007748FE">
        <w:trPr>
          <w:jc w:val="center"/>
        </w:trPr>
        <w:tc>
          <w:tcPr>
            <w:tcW w:w="1134" w:type="dxa"/>
          </w:tcPr>
          <w:p w14:paraId="0AB2D3C1" w14:textId="77777777" w:rsidR="004609A8" w:rsidRPr="00091F8C" w:rsidRDefault="004609A8" w:rsidP="005B0B78">
            <w:pPr>
              <w:pStyle w:val="NoSpacing"/>
              <w:rPr>
                <w:i/>
                <w:color w:val="000000" w:themeColor="text1"/>
              </w:rPr>
            </w:pPr>
            <w:r w:rsidRPr="00091F8C">
              <w:rPr>
                <w:i/>
                <w:color w:val="000000" w:themeColor="text1"/>
              </w:rPr>
              <w:t>r</w:t>
            </w:r>
            <w:r w:rsidRPr="00091F8C">
              <w:rPr>
                <w:i/>
                <w:color w:val="000000" w:themeColor="text1"/>
                <w:vertAlign w:val="subscript"/>
              </w:rPr>
              <w:t>1</w:t>
            </w:r>
          </w:p>
        </w:tc>
        <w:tc>
          <w:tcPr>
            <w:tcW w:w="6096" w:type="dxa"/>
          </w:tcPr>
          <w:p w14:paraId="09724911" w14:textId="77777777" w:rsidR="004609A8" w:rsidRPr="00091F8C" w:rsidRDefault="004609A8" w:rsidP="00A25411">
            <w:pPr>
              <w:pStyle w:val="NoSpacing"/>
              <w:rPr>
                <w:color w:val="000000" w:themeColor="text1"/>
              </w:rPr>
            </w:pPr>
            <w:r w:rsidRPr="00091F8C">
              <w:rPr>
                <w:color w:val="000000" w:themeColor="text1"/>
              </w:rPr>
              <w:t xml:space="preserve">Is </w:t>
            </w:r>
            <w:r w:rsidRPr="00091F8C">
              <w:rPr>
                <w:i/>
                <w:color w:val="000000" w:themeColor="text1"/>
              </w:rPr>
              <w:t>true</w:t>
            </w:r>
            <w:r w:rsidRPr="00091F8C">
              <w:rPr>
                <w:color w:val="000000" w:themeColor="text1"/>
              </w:rPr>
              <w:t xml:space="preserve"> if specimen is </w:t>
            </w:r>
            <w:r w:rsidR="00EA3D3D" w:rsidRPr="00091F8C">
              <w:rPr>
                <w:color w:val="000000" w:themeColor="text1"/>
              </w:rPr>
              <w:t>reusable</w:t>
            </w:r>
          </w:p>
        </w:tc>
      </w:tr>
      <w:tr w:rsidR="00091F8C" w:rsidRPr="00091F8C" w14:paraId="7222829C" w14:textId="77777777" w:rsidTr="007748FE">
        <w:trPr>
          <w:jc w:val="center"/>
        </w:trPr>
        <w:tc>
          <w:tcPr>
            <w:tcW w:w="1134" w:type="dxa"/>
          </w:tcPr>
          <w:p w14:paraId="73681AD2" w14:textId="77777777" w:rsidR="004609A8" w:rsidRPr="00091F8C" w:rsidRDefault="004609A8" w:rsidP="005B0B78">
            <w:pPr>
              <w:pStyle w:val="NoSpacing"/>
              <w:rPr>
                <w:i/>
                <w:color w:val="000000" w:themeColor="text1"/>
              </w:rPr>
            </w:pPr>
            <w:r w:rsidRPr="00091F8C">
              <w:rPr>
                <w:i/>
                <w:color w:val="000000" w:themeColor="text1"/>
              </w:rPr>
              <w:t>r</w:t>
            </w:r>
            <w:r w:rsidRPr="00091F8C">
              <w:rPr>
                <w:i/>
                <w:color w:val="000000" w:themeColor="text1"/>
                <w:vertAlign w:val="subscript"/>
              </w:rPr>
              <w:t>2</w:t>
            </w:r>
          </w:p>
        </w:tc>
        <w:tc>
          <w:tcPr>
            <w:tcW w:w="6096" w:type="dxa"/>
          </w:tcPr>
          <w:p w14:paraId="7BD9EB3D" w14:textId="77777777" w:rsidR="004609A8" w:rsidRPr="00091F8C" w:rsidRDefault="004609A8" w:rsidP="00A25411">
            <w:pPr>
              <w:pStyle w:val="NoSpacing"/>
              <w:rPr>
                <w:color w:val="000000" w:themeColor="text1"/>
              </w:rPr>
            </w:pPr>
            <w:r w:rsidRPr="00091F8C">
              <w:rPr>
                <w:color w:val="000000" w:themeColor="text1"/>
              </w:rPr>
              <w:t xml:space="preserve">Is </w:t>
            </w:r>
            <w:r w:rsidRPr="00091F8C">
              <w:rPr>
                <w:i/>
                <w:color w:val="000000" w:themeColor="text1"/>
              </w:rPr>
              <w:t>true</w:t>
            </w:r>
            <w:r w:rsidRPr="00091F8C">
              <w:rPr>
                <w:color w:val="000000" w:themeColor="text1"/>
              </w:rPr>
              <w:t xml:space="preserve"> if specimen is </w:t>
            </w:r>
            <w:r w:rsidR="00EA3D3D" w:rsidRPr="00091F8C">
              <w:rPr>
                <w:color w:val="000000" w:themeColor="text1"/>
              </w:rPr>
              <w:t>recyclable</w:t>
            </w:r>
          </w:p>
        </w:tc>
      </w:tr>
      <w:tr w:rsidR="00091F8C" w:rsidRPr="00091F8C" w14:paraId="766F9C26" w14:textId="77777777" w:rsidTr="007748FE">
        <w:trPr>
          <w:jc w:val="center"/>
        </w:trPr>
        <w:tc>
          <w:tcPr>
            <w:tcW w:w="1134" w:type="dxa"/>
          </w:tcPr>
          <w:p w14:paraId="30F999D4" w14:textId="77777777" w:rsidR="004609A8" w:rsidRPr="00091F8C" w:rsidRDefault="004609A8" w:rsidP="005B0B78">
            <w:pPr>
              <w:pStyle w:val="NoSpacing"/>
              <w:rPr>
                <w:i/>
                <w:color w:val="000000" w:themeColor="text1"/>
              </w:rPr>
            </w:pPr>
            <w:r w:rsidRPr="00091F8C">
              <w:rPr>
                <w:i/>
                <w:color w:val="000000" w:themeColor="text1"/>
              </w:rPr>
              <w:t>P</w:t>
            </w:r>
          </w:p>
        </w:tc>
        <w:tc>
          <w:tcPr>
            <w:tcW w:w="6096" w:type="dxa"/>
          </w:tcPr>
          <w:p w14:paraId="728F16EE" w14:textId="77777777" w:rsidR="004609A8" w:rsidRPr="00091F8C" w:rsidRDefault="004609A8" w:rsidP="005B0B78">
            <w:pPr>
              <w:pStyle w:val="NoSpacing"/>
              <w:rPr>
                <w:color w:val="000000" w:themeColor="text1"/>
              </w:rPr>
            </w:pPr>
            <w:r w:rsidRPr="00091F8C">
              <w:rPr>
                <w:color w:val="000000" w:themeColor="text1"/>
              </w:rPr>
              <w:t>Is true if specimen is prefabricated</w:t>
            </w:r>
          </w:p>
        </w:tc>
      </w:tr>
      <w:tr w:rsidR="00091F8C" w:rsidRPr="00091F8C" w14:paraId="3778E4EE" w14:textId="77777777" w:rsidTr="007748FE">
        <w:trPr>
          <w:jc w:val="center"/>
        </w:trPr>
        <w:tc>
          <w:tcPr>
            <w:tcW w:w="1134" w:type="dxa"/>
          </w:tcPr>
          <w:p w14:paraId="32C64907" w14:textId="77777777" w:rsidR="004609A8" w:rsidRPr="00091F8C" w:rsidRDefault="004609A8" w:rsidP="005B0B78">
            <w:pPr>
              <w:pStyle w:val="NoSpacing"/>
              <w:rPr>
                <w:i/>
                <w:color w:val="000000" w:themeColor="text1"/>
              </w:rPr>
            </w:pPr>
            <w:r w:rsidRPr="00091F8C">
              <w:rPr>
                <w:i/>
                <w:color w:val="000000" w:themeColor="text1"/>
              </w:rPr>
              <w:t>c</w:t>
            </w:r>
          </w:p>
        </w:tc>
        <w:tc>
          <w:tcPr>
            <w:tcW w:w="6096" w:type="dxa"/>
          </w:tcPr>
          <w:p w14:paraId="7BEC68AE" w14:textId="77777777" w:rsidR="004609A8" w:rsidRPr="00091F8C" w:rsidRDefault="004609A8" w:rsidP="005B0B78">
            <w:pPr>
              <w:pStyle w:val="NoSpacing"/>
              <w:rPr>
                <w:color w:val="000000" w:themeColor="text1"/>
              </w:rPr>
            </w:pPr>
            <w:r w:rsidRPr="00091F8C">
              <w:rPr>
                <w:color w:val="000000" w:themeColor="text1"/>
              </w:rPr>
              <w:t>Connection type; c = {</w:t>
            </w:r>
            <w:proofErr w:type="spellStart"/>
            <w:r w:rsidRPr="00091F8C">
              <w:rPr>
                <w:color w:val="000000" w:themeColor="text1"/>
              </w:rPr>
              <w:t>c</w:t>
            </w:r>
            <w:r w:rsidRPr="00091F8C">
              <w:rPr>
                <w:color w:val="000000" w:themeColor="text1"/>
                <w:vertAlign w:val="subscript"/>
              </w:rPr>
              <w:t>f</w:t>
            </w:r>
            <w:proofErr w:type="spellEnd"/>
            <w:r w:rsidRPr="00091F8C">
              <w:rPr>
                <w:color w:val="000000" w:themeColor="text1"/>
              </w:rPr>
              <w:t xml:space="preserve">, </w:t>
            </w:r>
            <w:proofErr w:type="spellStart"/>
            <w:r w:rsidRPr="00091F8C">
              <w:rPr>
                <w:color w:val="000000" w:themeColor="text1"/>
              </w:rPr>
              <w:t>c</w:t>
            </w:r>
            <w:r w:rsidRPr="00091F8C">
              <w:rPr>
                <w:color w:val="000000" w:themeColor="text1"/>
                <w:vertAlign w:val="subscript"/>
              </w:rPr>
              <w:t>b</w:t>
            </w:r>
            <w:proofErr w:type="spellEnd"/>
            <w:r w:rsidRPr="00091F8C">
              <w:rPr>
                <w:color w:val="000000" w:themeColor="text1"/>
              </w:rPr>
              <w:t xml:space="preserve">, </w:t>
            </w:r>
            <w:proofErr w:type="spellStart"/>
            <w:r w:rsidRPr="00091F8C">
              <w:rPr>
                <w:color w:val="000000" w:themeColor="text1"/>
              </w:rPr>
              <w:t>c</w:t>
            </w:r>
            <w:r w:rsidRPr="00091F8C">
              <w:rPr>
                <w:color w:val="000000" w:themeColor="text1"/>
                <w:vertAlign w:val="subscript"/>
              </w:rPr>
              <w:t>n</w:t>
            </w:r>
            <w:proofErr w:type="spellEnd"/>
            <w:r w:rsidRPr="00091F8C">
              <w:rPr>
                <w:color w:val="000000" w:themeColor="text1"/>
              </w:rPr>
              <w:t>, c</w:t>
            </w:r>
            <w:r w:rsidRPr="00091F8C">
              <w:rPr>
                <w:color w:val="000000" w:themeColor="text1"/>
                <w:vertAlign w:val="subscript"/>
              </w:rPr>
              <w:t>d</w:t>
            </w:r>
            <w:r w:rsidRPr="00091F8C">
              <w:rPr>
                <w:color w:val="000000" w:themeColor="text1"/>
              </w:rPr>
              <w:t>}*</w:t>
            </w:r>
          </w:p>
        </w:tc>
      </w:tr>
      <w:tr w:rsidR="00091F8C" w:rsidRPr="00091F8C" w14:paraId="26BAF234" w14:textId="77777777" w:rsidTr="007748FE">
        <w:trPr>
          <w:jc w:val="center"/>
        </w:trPr>
        <w:tc>
          <w:tcPr>
            <w:tcW w:w="1134" w:type="dxa"/>
          </w:tcPr>
          <w:p w14:paraId="33F352E8" w14:textId="77777777" w:rsidR="004609A8" w:rsidRPr="00091F8C" w:rsidRDefault="004609A8" w:rsidP="005B0B78">
            <w:pPr>
              <w:pStyle w:val="NoSpacing"/>
              <w:rPr>
                <w:i/>
                <w:color w:val="000000" w:themeColor="text1"/>
              </w:rPr>
            </w:pPr>
            <w:r w:rsidRPr="00091F8C">
              <w:rPr>
                <w:i/>
                <w:color w:val="000000" w:themeColor="text1"/>
              </w:rPr>
              <w:t>n</w:t>
            </w:r>
          </w:p>
        </w:tc>
        <w:tc>
          <w:tcPr>
            <w:tcW w:w="6096" w:type="dxa"/>
          </w:tcPr>
          <w:p w14:paraId="18C05CF5" w14:textId="77777777" w:rsidR="004609A8" w:rsidRPr="00091F8C" w:rsidRDefault="004609A8" w:rsidP="005B0B78">
            <w:pPr>
              <w:pStyle w:val="NoSpacing"/>
              <w:rPr>
                <w:color w:val="000000" w:themeColor="text1"/>
              </w:rPr>
            </w:pPr>
            <w:r w:rsidRPr="00091F8C">
              <w:rPr>
                <w:color w:val="000000" w:themeColor="text1"/>
              </w:rPr>
              <w:t>Total number of specimen</w:t>
            </w:r>
          </w:p>
        </w:tc>
      </w:tr>
      <w:tr w:rsidR="00091F8C" w:rsidRPr="00091F8C" w14:paraId="5F106F19" w14:textId="77777777" w:rsidTr="007748FE">
        <w:trPr>
          <w:jc w:val="center"/>
        </w:trPr>
        <w:tc>
          <w:tcPr>
            <w:tcW w:w="1134" w:type="dxa"/>
          </w:tcPr>
          <w:p w14:paraId="6CEA8E81" w14:textId="77777777" w:rsidR="004609A8" w:rsidRPr="00091F8C" w:rsidRDefault="004609A8" w:rsidP="005B0B78">
            <w:pPr>
              <w:pStyle w:val="NoSpacing"/>
              <w:rPr>
                <w:i/>
                <w:color w:val="000000" w:themeColor="text1"/>
              </w:rPr>
            </w:pPr>
            <w:r w:rsidRPr="00091F8C">
              <w:rPr>
                <w:i/>
                <w:color w:val="000000" w:themeColor="text1"/>
              </w:rPr>
              <w:t>t</w:t>
            </w:r>
          </w:p>
        </w:tc>
        <w:tc>
          <w:tcPr>
            <w:tcW w:w="6096" w:type="dxa"/>
          </w:tcPr>
          <w:p w14:paraId="7D69CDFD" w14:textId="77777777" w:rsidR="004609A8" w:rsidRPr="00091F8C" w:rsidRDefault="007748FE" w:rsidP="00C64F7F">
            <w:pPr>
              <w:pStyle w:val="NoSpacing"/>
              <w:rPr>
                <w:color w:val="000000" w:themeColor="text1"/>
              </w:rPr>
            </w:pPr>
            <w:r w:rsidRPr="00091F8C">
              <w:rPr>
                <w:color w:val="000000" w:themeColor="text1"/>
              </w:rPr>
              <w:t>Material t</w:t>
            </w:r>
            <w:r w:rsidR="004609A8" w:rsidRPr="00091F8C">
              <w:rPr>
                <w:color w:val="000000" w:themeColor="text1"/>
              </w:rPr>
              <w:t>ype of specimen</w:t>
            </w:r>
            <w:r w:rsidRPr="00091F8C">
              <w:rPr>
                <w:color w:val="000000" w:themeColor="text1"/>
              </w:rPr>
              <w:t xml:space="preserve">; t = {steel, concrete, timber, </w:t>
            </w:r>
            <w:proofErr w:type="spellStart"/>
            <w:r w:rsidRPr="00091F8C">
              <w:rPr>
                <w:color w:val="000000" w:themeColor="text1"/>
              </w:rPr>
              <w:t>etc</w:t>
            </w:r>
            <w:proofErr w:type="spellEnd"/>
            <w:r w:rsidRPr="00091F8C">
              <w:rPr>
                <w:color w:val="000000" w:themeColor="text1"/>
              </w:rPr>
              <w:t>,}</w:t>
            </w:r>
          </w:p>
        </w:tc>
      </w:tr>
      <w:tr w:rsidR="00091F8C" w:rsidRPr="00091F8C" w14:paraId="09CD5D81" w14:textId="77777777" w:rsidTr="007748FE">
        <w:trPr>
          <w:trHeight w:val="66"/>
          <w:jc w:val="center"/>
        </w:trPr>
        <w:tc>
          <w:tcPr>
            <w:tcW w:w="1134" w:type="dxa"/>
          </w:tcPr>
          <w:p w14:paraId="14830C98" w14:textId="77777777" w:rsidR="004609A8" w:rsidRPr="00091F8C" w:rsidRDefault="004609A8" w:rsidP="005B0B78">
            <w:pPr>
              <w:pStyle w:val="NoSpacing"/>
              <w:rPr>
                <w:i/>
                <w:color w:val="000000" w:themeColor="text1"/>
              </w:rPr>
            </w:pPr>
            <w:r w:rsidRPr="00091F8C">
              <w:rPr>
                <w:i/>
                <w:color w:val="000000" w:themeColor="text1"/>
              </w:rPr>
              <w:t>x</w:t>
            </w:r>
          </w:p>
        </w:tc>
        <w:tc>
          <w:tcPr>
            <w:tcW w:w="6096" w:type="dxa"/>
          </w:tcPr>
          <w:p w14:paraId="0286D606" w14:textId="77777777" w:rsidR="004609A8" w:rsidRPr="00091F8C" w:rsidRDefault="004609A8" w:rsidP="005B0B78">
            <w:pPr>
              <w:pStyle w:val="NoSpacing"/>
              <w:rPr>
                <w:color w:val="000000" w:themeColor="text1"/>
              </w:rPr>
            </w:pPr>
            <w:r w:rsidRPr="00091F8C">
              <w:rPr>
                <w:color w:val="000000" w:themeColor="text1"/>
              </w:rPr>
              <w:t xml:space="preserve">Is </w:t>
            </w:r>
            <w:r w:rsidRPr="00091F8C">
              <w:rPr>
                <w:i/>
                <w:color w:val="000000" w:themeColor="text1"/>
              </w:rPr>
              <w:t>true</w:t>
            </w:r>
            <w:r w:rsidRPr="00091F8C">
              <w:rPr>
                <w:color w:val="000000" w:themeColor="text1"/>
              </w:rPr>
              <w:t xml:space="preserve"> if specimen is toxic</w:t>
            </w:r>
          </w:p>
        </w:tc>
      </w:tr>
      <w:tr w:rsidR="00091F8C" w:rsidRPr="00091F8C" w14:paraId="17D5BE06" w14:textId="77777777" w:rsidTr="007748FE">
        <w:trPr>
          <w:trHeight w:val="66"/>
          <w:jc w:val="center"/>
        </w:trPr>
        <w:tc>
          <w:tcPr>
            <w:tcW w:w="1134" w:type="dxa"/>
          </w:tcPr>
          <w:p w14:paraId="2688CF9F" w14:textId="77777777" w:rsidR="004609A8" w:rsidRPr="00091F8C" w:rsidRDefault="004609A8" w:rsidP="005B0B78">
            <w:pPr>
              <w:pStyle w:val="NoSpacing"/>
              <w:rPr>
                <w:i/>
                <w:color w:val="000000" w:themeColor="text1"/>
              </w:rPr>
            </w:pPr>
            <w:r w:rsidRPr="00091F8C">
              <w:rPr>
                <w:i/>
                <w:color w:val="000000" w:themeColor="text1"/>
              </w:rPr>
              <w:t>s</w:t>
            </w:r>
          </w:p>
        </w:tc>
        <w:tc>
          <w:tcPr>
            <w:tcW w:w="6096" w:type="dxa"/>
          </w:tcPr>
          <w:p w14:paraId="6991C23E" w14:textId="77777777" w:rsidR="004609A8" w:rsidRPr="00091F8C" w:rsidRDefault="004609A8" w:rsidP="005B0B78">
            <w:pPr>
              <w:pStyle w:val="NoSpacing"/>
              <w:rPr>
                <w:color w:val="000000" w:themeColor="text1"/>
              </w:rPr>
            </w:pPr>
            <w:r w:rsidRPr="00091F8C">
              <w:rPr>
                <w:color w:val="000000" w:themeColor="text1"/>
              </w:rPr>
              <w:t>Is true if material has secondary finishes</w:t>
            </w:r>
          </w:p>
        </w:tc>
      </w:tr>
      <w:tr w:rsidR="00091F8C" w:rsidRPr="00091F8C" w14:paraId="0E082438" w14:textId="77777777" w:rsidTr="007748FE">
        <w:trPr>
          <w:trHeight w:val="66"/>
          <w:jc w:val="center"/>
        </w:trPr>
        <w:tc>
          <w:tcPr>
            <w:tcW w:w="1134" w:type="dxa"/>
          </w:tcPr>
          <w:p w14:paraId="7DE7A0C7" w14:textId="77777777" w:rsidR="004609A8" w:rsidRPr="00091F8C" w:rsidRDefault="004609A8" w:rsidP="005B0B78">
            <w:pPr>
              <w:pStyle w:val="NoSpacing"/>
              <w:rPr>
                <w:i/>
                <w:color w:val="000000" w:themeColor="text1"/>
              </w:rPr>
            </w:pPr>
            <w:r w:rsidRPr="00091F8C">
              <w:rPr>
                <w:i/>
                <w:color w:val="000000" w:themeColor="text1"/>
              </w:rPr>
              <w:t>v</w:t>
            </w:r>
          </w:p>
        </w:tc>
        <w:tc>
          <w:tcPr>
            <w:tcW w:w="6096" w:type="dxa"/>
          </w:tcPr>
          <w:p w14:paraId="3A0FDFC4" w14:textId="77777777" w:rsidR="004609A8" w:rsidRPr="00091F8C" w:rsidRDefault="004609A8" w:rsidP="005B0B78">
            <w:pPr>
              <w:pStyle w:val="NoSpacing"/>
              <w:rPr>
                <w:i/>
                <w:color w:val="000000" w:themeColor="text1"/>
              </w:rPr>
            </w:pPr>
            <w:r w:rsidRPr="00091F8C">
              <w:rPr>
                <w:color w:val="000000" w:themeColor="text1"/>
              </w:rPr>
              <w:t>Volume of specimen (</w:t>
            </w:r>
            <w:r w:rsidRPr="00091F8C">
              <w:rPr>
                <w:i/>
                <w:color w:val="000000" w:themeColor="text1"/>
              </w:rPr>
              <w:t>mm</w:t>
            </w:r>
            <w:r w:rsidRPr="00091F8C">
              <w:rPr>
                <w:i/>
                <w:color w:val="000000" w:themeColor="text1"/>
                <w:vertAlign w:val="superscript"/>
              </w:rPr>
              <w:t>3</w:t>
            </w:r>
            <w:r w:rsidRPr="00091F8C">
              <w:rPr>
                <w:i/>
                <w:color w:val="000000" w:themeColor="text1"/>
              </w:rPr>
              <w:t>)</w:t>
            </w:r>
          </w:p>
        </w:tc>
      </w:tr>
      <w:tr w:rsidR="00091F8C" w:rsidRPr="00091F8C" w14:paraId="73845F55" w14:textId="77777777" w:rsidTr="007748FE">
        <w:trPr>
          <w:trHeight w:val="66"/>
          <w:jc w:val="center"/>
        </w:trPr>
        <w:tc>
          <w:tcPr>
            <w:tcW w:w="1134" w:type="dxa"/>
          </w:tcPr>
          <w:p w14:paraId="69622CCB" w14:textId="77777777" w:rsidR="004609A8" w:rsidRPr="00091F8C" w:rsidRDefault="002B6A09" w:rsidP="005B0B78">
            <w:pPr>
              <w:pStyle w:val="NoSpacing"/>
              <w:rPr>
                <w:i/>
                <w:color w:val="000000" w:themeColor="text1"/>
              </w:rPr>
            </w:pPr>
            <m:oMathPara>
              <m:oMathParaPr>
                <m:jc m:val="left"/>
              </m:oMathParaPr>
              <m:oMath>
                <m:r>
                  <w:rPr>
                    <w:rFonts w:ascii="Cambria Math" w:hAnsi="Cambria Math"/>
                    <w:color w:val="000000" w:themeColor="text1"/>
                  </w:rPr>
                  <m:t>φ</m:t>
                </m:r>
              </m:oMath>
            </m:oMathPara>
          </w:p>
        </w:tc>
        <w:tc>
          <w:tcPr>
            <w:tcW w:w="6096" w:type="dxa"/>
          </w:tcPr>
          <w:p w14:paraId="765D4747" w14:textId="77777777" w:rsidR="004609A8" w:rsidRPr="00091F8C" w:rsidRDefault="004609A8" w:rsidP="005B0B78">
            <w:pPr>
              <w:pStyle w:val="NoSpacing"/>
              <w:rPr>
                <w:color w:val="000000" w:themeColor="text1"/>
              </w:rPr>
            </w:pPr>
            <w:r w:rsidRPr="00091F8C">
              <w:rPr>
                <w:color w:val="000000" w:themeColor="text1"/>
              </w:rPr>
              <w:t>Spatial position and orientation of specimen</w:t>
            </w:r>
          </w:p>
        </w:tc>
      </w:tr>
      <w:tr w:rsidR="00091F8C" w:rsidRPr="00091F8C" w14:paraId="29E9D7DB" w14:textId="77777777" w:rsidTr="007748FE">
        <w:trPr>
          <w:trHeight w:val="66"/>
          <w:jc w:val="center"/>
        </w:trPr>
        <w:tc>
          <w:tcPr>
            <w:tcW w:w="1134" w:type="dxa"/>
          </w:tcPr>
          <w:p w14:paraId="384A397D" w14:textId="77777777" w:rsidR="004609A8" w:rsidRPr="00091F8C" w:rsidRDefault="004609A8" w:rsidP="005B0B78">
            <w:pPr>
              <w:pStyle w:val="NoSpacing"/>
              <w:rPr>
                <w:i/>
                <w:color w:val="000000" w:themeColor="text1"/>
              </w:rPr>
            </w:pPr>
            <w:r w:rsidRPr="00091F8C">
              <w:rPr>
                <w:i/>
                <w:color w:val="000000" w:themeColor="text1"/>
              </w:rPr>
              <w:t>p</w:t>
            </w:r>
          </w:p>
        </w:tc>
        <w:tc>
          <w:tcPr>
            <w:tcW w:w="6096" w:type="dxa"/>
          </w:tcPr>
          <w:p w14:paraId="128C42C2" w14:textId="77777777" w:rsidR="004609A8" w:rsidRPr="00091F8C" w:rsidRDefault="004609A8" w:rsidP="005B0B78">
            <w:pPr>
              <w:pStyle w:val="NoSpacing"/>
              <w:rPr>
                <w:color w:val="000000" w:themeColor="text1"/>
              </w:rPr>
            </w:pPr>
            <w:r w:rsidRPr="00091F8C">
              <w:rPr>
                <w:color w:val="000000" w:themeColor="text1"/>
              </w:rPr>
              <w:t>Position of specimen in 3D space</w:t>
            </w:r>
          </w:p>
        </w:tc>
      </w:tr>
      <w:tr w:rsidR="00091F8C" w:rsidRPr="00091F8C" w14:paraId="07E88C0D" w14:textId="77777777" w:rsidTr="007748FE">
        <w:trPr>
          <w:trHeight w:val="66"/>
          <w:jc w:val="center"/>
        </w:trPr>
        <w:tc>
          <w:tcPr>
            <w:tcW w:w="1134" w:type="dxa"/>
            <w:tcBorders>
              <w:bottom w:val="single" w:sz="4" w:space="0" w:color="auto"/>
            </w:tcBorders>
          </w:tcPr>
          <w:p w14:paraId="0B0ABC10" w14:textId="77777777" w:rsidR="004609A8" w:rsidRPr="00091F8C" w:rsidRDefault="004609A8" w:rsidP="005B0B78">
            <w:pPr>
              <w:pStyle w:val="NoSpacing"/>
              <w:rPr>
                <w:i/>
                <w:color w:val="000000" w:themeColor="text1"/>
              </w:rPr>
            </w:pPr>
            <w:r w:rsidRPr="00091F8C">
              <w:rPr>
                <w:i/>
                <w:color w:val="000000" w:themeColor="text1"/>
              </w:rPr>
              <w:t>r</w:t>
            </w:r>
          </w:p>
        </w:tc>
        <w:tc>
          <w:tcPr>
            <w:tcW w:w="6096" w:type="dxa"/>
            <w:tcBorders>
              <w:bottom w:val="single" w:sz="4" w:space="0" w:color="auto"/>
            </w:tcBorders>
          </w:tcPr>
          <w:p w14:paraId="35DD5A93" w14:textId="77777777" w:rsidR="004609A8" w:rsidRPr="00091F8C" w:rsidRDefault="004609A8" w:rsidP="005B0B78">
            <w:pPr>
              <w:pStyle w:val="NoSpacing"/>
              <w:rPr>
                <w:color w:val="000000" w:themeColor="text1"/>
              </w:rPr>
            </w:pPr>
            <w:r w:rsidRPr="00091F8C">
              <w:rPr>
                <w:color w:val="000000" w:themeColor="text1"/>
              </w:rPr>
              <w:t>Rotation of specimen in 3D space</w:t>
            </w:r>
          </w:p>
        </w:tc>
      </w:tr>
    </w:tbl>
    <w:p w14:paraId="7F518F9B" w14:textId="77777777" w:rsidR="004609A8" w:rsidRPr="00091F8C" w:rsidRDefault="004609A8" w:rsidP="004609A8">
      <w:pPr>
        <w:pStyle w:val="NoSpacing"/>
        <w:rPr>
          <w:color w:val="000000" w:themeColor="text1"/>
          <w:sz w:val="20"/>
          <w:szCs w:val="20"/>
        </w:rPr>
      </w:pPr>
      <w:r w:rsidRPr="00091F8C">
        <w:rPr>
          <w:color w:val="000000" w:themeColor="text1"/>
          <w:sz w:val="20"/>
          <w:szCs w:val="20"/>
        </w:rPr>
        <w:t xml:space="preserve">* </w:t>
      </w:r>
      <w:proofErr w:type="spellStart"/>
      <w:r w:rsidRPr="00091F8C">
        <w:rPr>
          <w:i/>
          <w:color w:val="000000" w:themeColor="text1"/>
          <w:sz w:val="20"/>
          <w:szCs w:val="20"/>
        </w:rPr>
        <w:t>c</w:t>
      </w:r>
      <w:r w:rsidRPr="00091F8C">
        <w:rPr>
          <w:i/>
          <w:color w:val="000000" w:themeColor="text1"/>
          <w:sz w:val="20"/>
          <w:szCs w:val="20"/>
          <w:vertAlign w:val="subscript"/>
        </w:rPr>
        <w:t>f</w:t>
      </w:r>
      <w:proofErr w:type="spellEnd"/>
      <w:r w:rsidRPr="00091F8C">
        <w:rPr>
          <w:color w:val="000000" w:themeColor="text1"/>
          <w:sz w:val="20"/>
          <w:szCs w:val="20"/>
        </w:rPr>
        <w:t xml:space="preserve"> = Fixed connection, </w:t>
      </w:r>
      <w:proofErr w:type="spellStart"/>
      <w:r w:rsidRPr="00091F8C">
        <w:rPr>
          <w:i/>
          <w:color w:val="000000" w:themeColor="text1"/>
          <w:sz w:val="20"/>
          <w:szCs w:val="20"/>
        </w:rPr>
        <w:t>c</w:t>
      </w:r>
      <w:r w:rsidRPr="00091F8C">
        <w:rPr>
          <w:i/>
          <w:color w:val="000000" w:themeColor="text1"/>
          <w:sz w:val="20"/>
          <w:szCs w:val="20"/>
          <w:vertAlign w:val="subscript"/>
        </w:rPr>
        <w:t>b</w:t>
      </w:r>
      <w:proofErr w:type="spellEnd"/>
      <w:r w:rsidRPr="00091F8C">
        <w:rPr>
          <w:color w:val="000000" w:themeColor="text1"/>
          <w:sz w:val="20"/>
          <w:szCs w:val="20"/>
        </w:rPr>
        <w:t xml:space="preserve"> = bolted connection, </w:t>
      </w:r>
      <w:proofErr w:type="spellStart"/>
      <w:r w:rsidRPr="00091F8C">
        <w:rPr>
          <w:i/>
          <w:color w:val="000000" w:themeColor="text1"/>
          <w:sz w:val="20"/>
          <w:szCs w:val="20"/>
        </w:rPr>
        <w:t>c</w:t>
      </w:r>
      <w:r w:rsidRPr="00091F8C">
        <w:rPr>
          <w:i/>
          <w:color w:val="000000" w:themeColor="text1"/>
          <w:sz w:val="20"/>
          <w:szCs w:val="20"/>
          <w:vertAlign w:val="subscript"/>
        </w:rPr>
        <w:t>n</w:t>
      </w:r>
      <w:proofErr w:type="spellEnd"/>
      <w:r w:rsidRPr="00091F8C">
        <w:rPr>
          <w:color w:val="000000" w:themeColor="text1"/>
          <w:sz w:val="20"/>
          <w:szCs w:val="20"/>
        </w:rPr>
        <w:t xml:space="preserve"> = nailed connection and </w:t>
      </w:r>
      <w:proofErr w:type="spellStart"/>
      <w:r w:rsidRPr="00091F8C">
        <w:rPr>
          <w:i/>
          <w:color w:val="000000" w:themeColor="text1"/>
          <w:sz w:val="20"/>
          <w:szCs w:val="20"/>
        </w:rPr>
        <w:t>c</w:t>
      </w:r>
      <w:r w:rsidRPr="00091F8C">
        <w:rPr>
          <w:i/>
          <w:color w:val="000000" w:themeColor="text1"/>
          <w:sz w:val="20"/>
          <w:szCs w:val="20"/>
          <w:vertAlign w:val="subscript"/>
        </w:rPr>
        <w:t>b</w:t>
      </w:r>
      <w:proofErr w:type="spellEnd"/>
      <w:r w:rsidRPr="00091F8C">
        <w:rPr>
          <w:color w:val="000000" w:themeColor="text1"/>
          <w:sz w:val="20"/>
          <w:szCs w:val="20"/>
        </w:rPr>
        <w:t xml:space="preserve"> = dowel connection</w:t>
      </w:r>
    </w:p>
    <w:bookmarkEnd w:id="3"/>
    <w:p w14:paraId="76FF390C" w14:textId="77777777" w:rsidR="00DB7536" w:rsidRPr="00091F8C" w:rsidRDefault="00DB7536" w:rsidP="00DB7536">
      <w:pPr>
        <w:pStyle w:val="Heading2"/>
        <w:rPr>
          <w:color w:val="000000" w:themeColor="text1"/>
        </w:rPr>
      </w:pPr>
      <w:r w:rsidRPr="00091F8C">
        <w:rPr>
          <w:color w:val="000000" w:themeColor="text1"/>
        </w:rPr>
        <w:lastRenderedPageBreak/>
        <w:t xml:space="preserve">Design Model for Deconstruction (DMD) </w:t>
      </w:r>
    </w:p>
    <w:p w14:paraId="383C786C" w14:textId="77777777" w:rsidR="00DB7536" w:rsidRPr="00091F8C" w:rsidRDefault="00DB7536" w:rsidP="00DB7536">
      <w:pPr>
        <w:rPr>
          <w:color w:val="000000" w:themeColor="text1"/>
        </w:rPr>
      </w:pPr>
      <w:r w:rsidRPr="00091F8C">
        <w:rPr>
          <w:color w:val="000000" w:themeColor="text1"/>
        </w:rPr>
        <w:t>Given a 3D building model with a well-defined bill of quantity of materials (</w:t>
      </w:r>
      <w:r w:rsidRPr="00091F8C">
        <w:rPr>
          <w:i/>
          <w:color w:val="000000" w:themeColor="text1"/>
        </w:rPr>
        <w:t>M</w:t>
      </w:r>
      <w:r w:rsidRPr="00091F8C">
        <w:rPr>
          <w:color w:val="000000" w:themeColor="text1"/>
        </w:rPr>
        <w:t>), components (</w:t>
      </w:r>
      <w:r w:rsidRPr="00091F8C">
        <w:rPr>
          <w:i/>
          <w:color w:val="000000" w:themeColor="text1"/>
        </w:rPr>
        <w:t>C</w:t>
      </w:r>
      <w:r w:rsidRPr="00091F8C">
        <w:rPr>
          <w:color w:val="000000" w:themeColor="text1"/>
        </w:rPr>
        <w:t>) and connectors (</w:t>
      </w:r>
      <w:r w:rsidRPr="00091F8C">
        <w:rPr>
          <w:i/>
          <w:color w:val="000000" w:themeColor="text1"/>
        </w:rPr>
        <w:t>E</w:t>
      </w:r>
      <w:r w:rsidRPr="00091F8C">
        <w:rPr>
          <w:color w:val="000000" w:themeColor="text1"/>
        </w:rPr>
        <w:t>), then a Design Model for Deconstruction (</w:t>
      </w:r>
      <w:r w:rsidRPr="00091F8C">
        <w:rPr>
          <w:i/>
          <w:color w:val="000000" w:themeColor="text1"/>
        </w:rPr>
        <w:t>DMD</w:t>
      </w:r>
      <w:r w:rsidRPr="00091F8C">
        <w:rPr>
          <w:color w:val="000000" w:themeColor="text1"/>
        </w:rPr>
        <w:t>) can be formally defined as three (3) tuple:</w:t>
      </w:r>
    </w:p>
    <w:p w14:paraId="02E492D7" w14:textId="77777777" w:rsidR="00DB7536" w:rsidRPr="00091F8C" w:rsidRDefault="00DB7536" w:rsidP="00DB7536">
      <w:pPr>
        <w:pStyle w:val="NoSpacing"/>
        <w:jc w:val="right"/>
        <w:rPr>
          <w:color w:val="000000" w:themeColor="text1"/>
        </w:rPr>
      </w:pPr>
      <m:oMath>
        <m:r>
          <w:rPr>
            <w:rFonts w:ascii="Cambria Math" w:hAnsi="Cambria Math"/>
            <w:color w:val="000000" w:themeColor="text1"/>
          </w:rPr>
          <m:t>DMD</m:t>
        </m:r>
        <m:r>
          <m:rPr>
            <m:sty m:val="p"/>
          </m:rPr>
          <w:rPr>
            <w:rFonts w:ascii="Cambria Math" w:hAnsi="Cambria Math"/>
            <w:color w:val="000000" w:themeColor="text1"/>
          </w:rPr>
          <m:t>=&lt;</m:t>
        </m:r>
        <m:r>
          <w:rPr>
            <w:rFonts w:ascii="Cambria Math" w:hAnsi="Cambria Math"/>
            <w:color w:val="000000" w:themeColor="text1"/>
          </w:rPr>
          <m:t>M</m:t>
        </m:r>
        <m:r>
          <m:rPr>
            <m:sty m:val="p"/>
          </m:rPr>
          <w:rPr>
            <w:rFonts w:ascii="Cambria Math" w:hAnsi="Cambria Math"/>
            <w:color w:val="000000" w:themeColor="text1"/>
          </w:rPr>
          <m:t xml:space="preserve">, </m:t>
        </m:r>
        <m:r>
          <w:rPr>
            <w:rFonts w:ascii="Cambria Math" w:hAnsi="Cambria Math"/>
            <w:color w:val="000000" w:themeColor="text1"/>
          </w:rPr>
          <m:t>C</m:t>
        </m:r>
        <m:r>
          <m:rPr>
            <m:sty m:val="p"/>
          </m:rPr>
          <w:rPr>
            <w:rFonts w:ascii="Cambria Math" w:hAnsi="Cambria Math"/>
            <w:color w:val="000000" w:themeColor="text1"/>
          </w:rPr>
          <m:t xml:space="preserve">, </m:t>
        </m:r>
        <m:r>
          <w:rPr>
            <w:rFonts w:ascii="Cambria Math" w:hAnsi="Cambria Math"/>
            <w:color w:val="000000" w:themeColor="text1"/>
          </w:rPr>
          <m:t>E</m:t>
        </m:r>
        <m:r>
          <m:rPr>
            <m:sty m:val="p"/>
          </m:rPr>
          <w:rPr>
            <w:rFonts w:ascii="Cambria Math" w:hAnsi="Cambria Math"/>
            <w:color w:val="000000" w:themeColor="text1"/>
          </w:rPr>
          <m:t>&gt;</m:t>
        </m:r>
      </m:oMath>
      <w:r w:rsidRPr="00091F8C">
        <w:rPr>
          <w:color w:val="000000" w:themeColor="text1"/>
        </w:rPr>
        <w:tab/>
      </w:r>
      <w:r w:rsidRPr="00091F8C">
        <w:rPr>
          <w:color w:val="000000" w:themeColor="text1"/>
        </w:rPr>
        <w:tab/>
      </w:r>
      <w:r w:rsidRPr="00091F8C">
        <w:rPr>
          <w:color w:val="000000" w:themeColor="text1"/>
        </w:rPr>
        <w:tab/>
      </w:r>
      <w:r w:rsidRPr="00091F8C">
        <w:rPr>
          <w:color w:val="000000" w:themeColor="text1"/>
        </w:rPr>
        <w:tab/>
      </w:r>
      <w:r w:rsidRPr="00091F8C">
        <w:rPr>
          <w:color w:val="000000" w:themeColor="text1"/>
        </w:rPr>
        <w:tab/>
        <w:t>(2)</w:t>
      </w:r>
    </w:p>
    <w:p w14:paraId="15E20026" w14:textId="77777777" w:rsidR="00DB7536" w:rsidRPr="00091F8C" w:rsidRDefault="00DB7536" w:rsidP="00DB7536">
      <w:pPr>
        <w:rPr>
          <w:color w:val="000000" w:themeColor="text1"/>
        </w:rPr>
      </w:pPr>
      <w:r w:rsidRPr="00091F8C">
        <w:rPr>
          <w:color w:val="000000" w:themeColor="text1"/>
        </w:rPr>
        <w:t>This definition is restricted to the four main assumptions:</w:t>
      </w:r>
    </w:p>
    <w:p w14:paraId="1A2C7492" w14:textId="77777777" w:rsidR="00DB7536" w:rsidRPr="00091F8C" w:rsidRDefault="00DB7536" w:rsidP="00DB7536">
      <w:pPr>
        <w:pStyle w:val="ListParagraph"/>
        <w:numPr>
          <w:ilvl w:val="0"/>
          <w:numId w:val="21"/>
        </w:numPr>
        <w:rPr>
          <w:color w:val="000000" w:themeColor="text1"/>
        </w:rPr>
      </w:pPr>
      <w:r w:rsidRPr="00091F8C">
        <w:rPr>
          <w:color w:val="000000" w:themeColor="text1"/>
        </w:rPr>
        <w:t xml:space="preserve">All specimen, i.e., </w:t>
      </w:r>
      <m:oMath>
        <m:r>
          <w:rPr>
            <w:rFonts w:ascii="Cambria Math" w:hAnsi="Cambria Math"/>
            <w:color w:val="000000" w:themeColor="text1"/>
          </w:rPr>
          <m:t>S= (M∪C∪E)</m:t>
        </m:r>
      </m:oMath>
      <w:r w:rsidRPr="00091F8C">
        <w:rPr>
          <w:color w:val="000000" w:themeColor="text1"/>
        </w:rPr>
        <w:t xml:space="preserve"> are represented within the building model using a spatial function </w:t>
      </w:r>
      <m:oMath>
        <m:r>
          <w:rPr>
            <w:rFonts w:ascii="Cambria Math" w:hAnsi="Cambria Math"/>
            <w:color w:val="000000" w:themeColor="text1"/>
          </w:rPr>
          <m:t>φ</m:t>
        </m:r>
      </m:oMath>
      <w:r w:rsidRPr="00091F8C">
        <w:rPr>
          <w:color w:val="000000" w:themeColor="text1"/>
        </w:rPr>
        <w:t xml:space="preserve"> that determines the position </w:t>
      </w:r>
      <m:oMath>
        <m:r>
          <w:rPr>
            <w:rFonts w:ascii="Cambria Math" w:hAnsi="Cambria Math"/>
            <w:color w:val="000000" w:themeColor="text1"/>
          </w:rPr>
          <m:t>p</m:t>
        </m:r>
      </m:oMath>
      <w:r w:rsidRPr="00091F8C">
        <w:rPr>
          <w:color w:val="000000" w:themeColor="text1"/>
        </w:rPr>
        <w:t xml:space="preserve"> and rotation </w:t>
      </w:r>
      <m:oMath>
        <m:r>
          <w:rPr>
            <w:rFonts w:ascii="Cambria Math" w:hAnsi="Cambria Math"/>
            <w:color w:val="000000" w:themeColor="text1"/>
          </w:rPr>
          <m:t>r</m:t>
        </m:r>
      </m:oMath>
      <w:r w:rsidRPr="00091F8C">
        <w:rPr>
          <w:color w:val="000000" w:themeColor="text1"/>
        </w:rPr>
        <w:t xml:space="preserve"> of such specimen, i.e., </w:t>
      </w:r>
    </w:p>
    <w:p w14:paraId="3680C973" w14:textId="77777777" w:rsidR="00DB7536" w:rsidRPr="00091F8C" w:rsidRDefault="00DB7536" w:rsidP="00DB7536">
      <w:pPr>
        <w:pStyle w:val="ListParagraph"/>
        <w:jc w:val="right"/>
        <w:rPr>
          <w:color w:val="000000" w:themeColor="text1"/>
        </w:rPr>
      </w:pPr>
      <m:oMath>
        <m:r>
          <w:rPr>
            <w:rFonts w:ascii="Cambria Math" w:hAnsi="Cambria Math"/>
            <w:color w:val="000000" w:themeColor="text1"/>
          </w:rPr>
          <m:t>M</m:t>
        </m:r>
        <m:r>
          <m:rPr>
            <m:sty m:val="p"/>
          </m:rPr>
          <w:rPr>
            <w:rFonts w:ascii="Cambria Math" w:hAnsi="Cambria Math"/>
            <w:color w:val="000000" w:themeColor="text1"/>
          </w:rPr>
          <m:t>∪</m:t>
        </m:r>
        <m:r>
          <w:rPr>
            <w:rFonts w:ascii="Cambria Math" w:hAnsi="Cambria Math"/>
            <w:color w:val="000000" w:themeColor="text1"/>
          </w:rPr>
          <m:t>C</m:t>
        </m:r>
        <m:r>
          <m:rPr>
            <m:sty m:val="p"/>
          </m:rPr>
          <w:rPr>
            <w:rFonts w:ascii="Cambria Math" w:hAnsi="Cambria Math"/>
            <w:color w:val="000000" w:themeColor="text1"/>
          </w:rPr>
          <m:t>∪</m:t>
        </m:r>
        <m:r>
          <w:rPr>
            <w:rFonts w:ascii="Cambria Math" w:hAnsi="Cambria Math"/>
            <w:color w:val="000000" w:themeColor="text1"/>
          </w:rPr>
          <m:t>E</m:t>
        </m:r>
        <m:r>
          <m:rPr>
            <m:sty m:val="p"/>
          </m:rPr>
          <w:rPr>
            <w:rFonts w:ascii="Cambria Math" w:hAnsi="Cambria Math"/>
            <w:color w:val="000000" w:themeColor="text1"/>
          </w:rPr>
          <m:t>=</m:t>
        </m:r>
        <m:d>
          <m:dPr>
            <m:begChr m:val="{"/>
            <m:endChr m:val="|"/>
            <m:ctrlPr>
              <w:rPr>
                <w:rFonts w:ascii="Cambria Math" w:hAnsi="Cambria Math"/>
                <w:color w:val="000000" w:themeColor="text1"/>
              </w:rPr>
            </m:ctrlPr>
          </m:dPr>
          <m:e>
            <m:r>
              <w:rPr>
                <w:rFonts w:ascii="Cambria Math" w:hAnsi="Cambria Math"/>
                <w:color w:val="000000" w:themeColor="text1"/>
              </w:rPr>
              <m:t>S</m:t>
            </m:r>
            <m:r>
              <m:rPr>
                <m:sty m:val="p"/>
              </m:rPr>
              <w:rPr>
                <w:rFonts w:ascii="Cambria Math" w:hAnsi="Cambria Math"/>
                <w:color w:val="000000" w:themeColor="text1"/>
              </w:rPr>
              <m:t xml:space="preserve"> </m:t>
            </m:r>
          </m:e>
        </m:d>
        <m:r>
          <m:rPr>
            <m:sty m:val="p"/>
          </m:rPr>
          <w:rPr>
            <w:rFonts w:ascii="Cambria Math" w:hAnsi="Cambria Math"/>
            <w:color w:val="000000" w:themeColor="text1"/>
          </w:rPr>
          <m:t xml:space="preserve"> </m:t>
        </m:r>
        <m:r>
          <w:rPr>
            <w:rFonts w:ascii="Cambria Math" w:hAnsi="Cambria Math"/>
            <w:color w:val="000000" w:themeColor="text1"/>
          </w:rPr>
          <m:t>S</m:t>
        </m:r>
        <m:r>
          <m:rPr>
            <m:sty m:val="p"/>
          </m:rPr>
          <w:rPr>
            <w:rFonts w:ascii="Cambria Math" w:hAnsi="Cambria Math"/>
            <w:color w:val="000000" w:themeColor="text1"/>
          </w:rPr>
          <m:t>∈</m:t>
        </m:r>
        <m:r>
          <w:rPr>
            <w:rFonts w:ascii="Cambria Math" w:hAnsi="Cambria Math"/>
            <w:color w:val="000000" w:themeColor="text1"/>
          </w:rPr>
          <m:t>M</m:t>
        </m:r>
        <m:r>
          <m:rPr>
            <m:sty m:val="p"/>
          </m:rPr>
          <w:rPr>
            <w:rFonts w:ascii="Cambria Math" w:hAnsi="Cambria Math"/>
            <w:color w:val="000000" w:themeColor="text1"/>
          </w:rPr>
          <m:t xml:space="preserve"> </m:t>
        </m:r>
        <m:r>
          <w:rPr>
            <w:rFonts w:ascii="Cambria Math" w:hAnsi="Cambria Math"/>
            <w:color w:val="000000" w:themeColor="text1"/>
          </w:rPr>
          <m:t>or</m:t>
        </m:r>
        <m:r>
          <m:rPr>
            <m:sty m:val="p"/>
          </m:rPr>
          <w:rPr>
            <w:rFonts w:ascii="Cambria Math" w:hAnsi="Cambria Math"/>
            <w:color w:val="000000" w:themeColor="text1"/>
          </w:rPr>
          <m:t xml:space="preserve"> </m:t>
        </m:r>
        <m:r>
          <w:rPr>
            <w:rFonts w:ascii="Cambria Math" w:hAnsi="Cambria Math"/>
            <w:color w:val="000000" w:themeColor="text1"/>
          </w:rPr>
          <m:t>S</m:t>
        </m:r>
        <m:r>
          <m:rPr>
            <m:sty m:val="p"/>
          </m:rPr>
          <w:rPr>
            <w:rFonts w:ascii="Cambria Math" w:hAnsi="Cambria Math"/>
            <w:color w:val="000000" w:themeColor="text1"/>
          </w:rPr>
          <m:t>∈</m:t>
        </m:r>
        <m:r>
          <w:rPr>
            <w:rFonts w:ascii="Cambria Math" w:hAnsi="Cambria Math"/>
            <w:color w:val="000000" w:themeColor="text1"/>
          </w:rPr>
          <m:t>C</m:t>
        </m:r>
        <m:r>
          <m:rPr>
            <m:sty m:val="p"/>
          </m:rPr>
          <w:rPr>
            <w:rFonts w:ascii="Cambria Math" w:hAnsi="Cambria Math"/>
            <w:color w:val="000000" w:themeColor="text1"/>
          </w:rPr>
          <m:t xml:space="preserve"> </m:t>
        </m:r>
        <m:r>
          <w:rPr>
            <w:rFonts w:ascii="Cambria Math" w:hAnsi="Cambria Math"/>
            <w:color w:val="000000" w:themeColor="text1"/>
          </w:rPr>
          <m:t>or</m:t>
        </m:r>
        <m:r>
          <m:rPr>
            <m:sty m:val="p"/>
          </m:rPr>
          <w:rPr>
            <w:rFonts w:ascii="Cambria Math" w:hAnsi="Cambria Math"/>
            <w:color w:val="000000" w:themeColor="text1"/>
          </w:rPr>
          <m:t xml:space="preserve"> </m:t>
        </m:r>
        <m:r>
          <w:rPr>
            <w:rFonts w:ascii="Cambria Math" w:hAnsi="Cambria Math"/>
            <w:color w:val="000000" w:themeColor="text1"/>
          </w:rPr>
          <m:t>S</m:t>
        </m:r>
        <m:r>
          <m:rPr>
            <m:sty m:val="p"/>
          </m:rPr>
          <w:rPr>
            <w:rFonts w:ascii="Cambria Math" w:hAnsi="Cambria Math"/>
            <w:color w:val="000000" w:themeColor="text1"/>
          </w:rPr>
          <m:t>∈</m:t>
        </m:r>
        <m:r>
          <w:rPr>
            <w:rFonts w:ascii="Cambria Math" w:hAnsi="Cambria Math"/>
            <w:color w:val="000000" w:themeColor="text1"/>
          </w:rPr>
          <m:t>E</m:t>
        </m:r>
        <m:r>
          <m:rPr>
            <m:sty m:val="p"/>
          </m:rPr>
          <w:rPr>
            <w:rFonts w:ascii="Cambria Math" w:hAnsi="Cambria Math"/>
            <w:color w:val="000000" w:themeColor="text1"/>
          </w:rPr>
          <m:t>}</m:t>
        </m:r>
      </m:oMath>
      <w:r w:rsidRPr="00091F8C">
        <w:rPr>
          <w:color w:val="000000" w:themeColor="text1"/>
        </w:rPr>
        <w:t xml:space="preserve"> </w:t>
      </w:r>
      <w:r w:rsidRPr="00091F8C">
        <w:rPr>
          <w:color w:val="000000" w:themeColor="text1"/>
        </w:rPr>
        <w:tab/>
      </w:r>
      <w:r w:rsidRPr="00091F8C">
        <w:rPr>
          <w:color w:val="000000" w:themeColor="text1"/>
        </w:rPr>
        <w:tab/>
        <w:t>(3)</w:t>
      </w:r>
    </w:p>
    <w:p w14:paraId="05BD1467" w14:textId="77777777" w:rsidR="00DB7536" w:rsidRPr="00091F8C" w:rsidRDefault="00DB7536" w:rsidP="00DB7536">
      <w:pPr>
        <w:pStyle w:val="ListParagraph"/>
        <w:jc w:val="right"/>
        <w:rPr>
          <w:color w:val="000000" w:themeColor="text1"/>
        </w:rPr>
      </w:pPr>
      <m:oMath>
        <m:r>
          <w:rPr>
            <w:rFonts w:ascii="Cambria Math" w:hAnsi="Cambria Math"/>
            <w:color w:val="000000" w:themeColor="text1"/>
          </w:rPr>
          <m:t>φ</m:t>
        </m:r>
        <m:r>
          <m:rPr>
            <m:sty m:val="p"/>
          </m:rPr>
          <w:rPr>
            <w:rFonts w:ascii="Cambria Math" w:hAnsi="Cambria Math"/>
            <w:color w:val="000000" w:themeColor="text1"/>
          </w:rPr>
          <m:t>:</m:t>
        </m:r>
        <m:r>
          <w:rPr>
            <w:rFonts w:ascii="Cambria Math" w:hAnsi="Cambria Math"/>
            <w:color w:val="000000" w:themeColor="text1"/>
          </w:rPr>
          <m:t>S</m:t>
        </m:r>
        <m:r>
          <m:rPr>
            <m:sty m:val="p"/>
          </m:rPr>
          <w:rPr>
            <w:rFonts w:ascii="Cambria Math" w:hAnsi="Cambria Math"/>
            <w:color w:val="000000" w:themeColor="text1"/>
          </w:rPr>
          <m:t xml:space="preserve"> </m:t>
        </m:r>
        <m:r>
          <w:rPr>
            <w:rFonts w:ascii="Cambria Math" w:hAnsi="Cambria Math"/>
            <w:color w:val="000000" w:themeColor="text1"/>
          </w:rPr>
          <m:t>ϵ</m:t>
        </m:r>
        <m:r>
          <m:rPr>
            <m:sty m:val="p"/>
          </m:rPr>
          <w:rPr>
            <w:rFonts w:ascii="Cambria Math" w:hAnsi="Cambria Math"/>
            <w:color w:val="000000" w:themeColor="text1"/>
          </w:rPr>
          <m:t xml:space="preserve"> (</m:t>
        </m:r>
        <m:r>
          <w:rPr>
            <w:rFonts w:ascii="Cambria Math" w:hAnsi="Cambria Math"/>
            <w:color w:val="000000" w:themeColor="text1"/>
          </w:rPr>
          <m:t>M</m:t>
        </m:r>
        <m:r>
          <m:rPr>
            <m:sty m:val="p"/>
          </m:rPr>
          <w:rPr>
            <w:rFonts w:ascii="Cambria Math" w:hAnsi="Cambria Math"/>
            <w:color w:val="000000" w:themeColor="text1"/>
          </w:rPr>
          <m:t>∪</m:t>
        </m:r>
        <m:r>
          <w:rPr>
            <w:rFonts w:ascii="Cambria Math" w:hAnsi="Cambria Math"/>
            <w:color w:val="000000" w:themeColor="text1"/>
          </w:rPr>
          <m:t>C</m:t>
        </m:r>
        <m:r>
          <m:rPr>
            <m:sty m:val="p"/>
          </m:rPr>
          <w:rPr>
            <w:rFonts w:ascii="Cambria Math" w:hAnsi="Cambria Math"/>
            <w:color w:val="000000" w:themeColor="text1"/>
          </w:rPr>
          <m:t>∪</m:t>
        </m:r>
        <m:r>
          <w:rPr>
            <w:rFonts w:ascii="Cambria Math" w:hAnsi="Cambria Math"/>
            <w:color w:val="000000" w:themeColor="text1"/>
          </w:rPr>
          <m:t>E</m:t>
        </m:r>
        <m:r>
          <m:rPr>
            <m:sty m:val="p"/>
          </m:rPr>
          <w:rPr>
            <w:rFonts w:ascii="Cambria Math" w:hAnsi="Cambria Math"/>
            <w:color w:val="000000" w:themeColor="text1"/>
          </w:rPr>
          <m:t>)×(</m:t>
        </m:r>
        <m:r>
          <w:rPr>
            <w:rFonts w:ascii="Cambria Math" w:hAnsi="Cambria Math"/>
            <w:color w:val="000000" w:themeColor="text1"/>
          </w:rPr>
          <m:t>p</m:t>
        </m:r>
        <m:r>
          <m:rPr>
            <m:sty m:val="p"/>
          </m:rPr>
          <w:rPr>
            <w:rFonts w:ascii="Cambria Math" w:hAnsi="Cambria Math"/>
            <w:color w:val="000000" w:themeColor="text1"/>
          </w:rPr>
          <m:t xml:space="preserve">, </m:t>
        </m:r>
        <m:r>
          <w:rPr>
            <w:rFonts w:ascii="Cambria Math" w:hAnsi="Cambria Math"/>
            <w:color w:val="000000" w:themeColor="text1"/>
          </w:rPr>
          <m:t>r</m:t>
        </m:r>
        <m:r>
          <m:rPr>
            <m:sty m:val="p"/>
          </m:rPr>
          <w:rPr>
            <w:rFonts w:ascii="Cambria Math" w:hAnsi="Cambria Math"/>
            <w:color w:val="000000" w:themeColor="text1"/>
          </w:rPr>
          <m:t>)</m:t>
        </m:r>
      </m:oMath>
      <w:r w:rsidRPr="00091F8C">
        <w:rPr>
          <w:color w:val="000000" w:themeColor="text1"/>
        </w:rPr>
        <w:tab/>
      </w:r>
      <w:r w:rsidRPr="00091F8C">
        <w:rPr>
          <w:color w:val="000000" w:themeColor="text1"/>
        </w:rPr>
        <w:tab/>
      </w:r>
      <w:r w:rsidRPr="00091F8C">
        <w:rPr>
          <w:color w:val="000000" w:themeColor="text1"/>
        </w:rPr>
        <w:tab/>
      </w:r>
      <w:r w:rsidRPr="00091F8C">
        <w:rPr>
          <w:color w:val="000000" w:themeColor="text1"/>
        </w:rPr>
        <w:tab/>
        <w:t>(4)</w:t>
      </w:r>
    </w:p>
    <w:p w14:paraId="41C45BCE" w14:textId="77777777" w:rsidR="00DB7536" w:rsidRPr="00091F8C" w:rsidRDefault="00DB7536" w:rsidP="004609A8">
      <w:pPr>
        <w:pStyle w:val="ListParagraph"/>
        <w:numPr>
          <w:ilvl w:val="0"/>
          <w:numId w:val="21"/>
        </w:numPr>
        <w:jc w:val="left"/>
        <w:rPr>
          <w:color w:val="000000" w:themeColor="text1"/>
        </w:rPr>
      </w:pPr>
      <w:r w:rsidRPr="00091F8C">
        <w:rPr>
          <w:color w:val="000000" w:themeColor="text1"/>
        </w:rPr>
        <w:t xml:space="preserve">A set of specimen </w:t>
      </w:r>
      <m:oMath>
        <m:r>
          <w:rPr>
            <w:rFonts w:ascii="Cambria Math" w:hAnsi="Cambria Math"/>
            <w:color w:val="000000" w:themeColor="text1"/>
          </w:rPr>
          <m:t xml:space="preserve">S </m:t>
        </m:r>
      </m:oMath>
      <w:r w:rsidRPr="00091F8C">
        <w:rPr>
          <w:color w:val="000000" w:themeColor="text1"/>
        </w:rPr>
        <w:t xml:space="preserve">cannot be empty, </w:t>
      </w:r>
      <w:proofErr w:type="spellStart"/>
      <w:r w:rsidRPr="00091F8C">
        <w:rPr>
          <w:color w:val="000000" w:themeColor="text1"/>
        </w:rPr>
        <w:t>i.e</w:t>
      </w:r>
      <w:proofErr w:type="spellEnd"/>
      <w:r w:rsidRPr="00091F8C">
        <w:rPr>
          <w:color w:val="000000" w:themeColor="text1"/>
        </w:rPr>
        <w:t>:</w:t>
      </w:r>
      <w:r w:rsidR="004609A8" w:rsidRPr="00091F8C">
        <w:rPr>
          <w:color w:val="000000" w:themeColor="text1"/>
        </w:rPr>
        <w:t xml:space="preserve"> </w:t>
      </w:r>
      <m:oMath>
        <m:r>
          <w:rPr>
            <w:rFonts w:ascii="Cambria Math" w:hAnsi="Cambria Math"/>
            <w:color w:val="000000" w:themeColor="text1"/>
          </w:rPr>
          <m:t>S</m:t>
        </m:r>
        <m:r>
          <m:rPr>
            <m:sty m:val="p"/>
          </m:rPr>
          <w:rPr>
            <w:rFonts w:ascii="Cambria Math" w:hAnsi="Cambria Math"/>
            <w:color w:val="000000" w:themeColor="text1"/>
          </w:rPr>
          <m:t>≠∅</m:t>
        </m:r>
      </m:oMath>
    </w:p>
    <w:p w14:paraId="2502C401" w14:textId="77777777" w:rsidR="00DB7536" w:rsidRPr="00091F8C" w:rsidRDefault="00DB7536" w:rsidP="00DB7536">
      <w:pPr>
        <w:pStyle w:val="ListParagraph"/>
        <w:numPr>
          <w:ilvl w:val="0"/>
          <w:numId w:val="21"/>
        </w:numPr>
        <w:rPr>
          <w:color w:val="000000" w:themeColor="text1"/>
        </w:rPr>
      </w:pPr>
      <w:r w:rsidRPr="00091F8C">
        <w:rPr>
          <w:color w:val="000000" w:themeColor="text1"/>
        </w:rPr>
        <w:t xml:space="preserve">A set of specimen </w:t>
      </w:r>
      <m:oMath>
        <m:r>
          <w:rPr>
            <w:rFonts w:ascii="Cambria Math" w:hAnsi="Cambria Math"/>
            <w:color w:val="000000" w:themeColor="text1"/>
          </w:rPr>
          <m:t xml:space="preserve">S </m:t>
        </m:r>
      </m:oMath>
      <w:r w:rsidRPr="00091F8C">
        <w:rPr>
          <w:color w:val="000000" w:themeColor="text1"/>
        </w:rPr>
        <w:t xml:space="preserve">must be composed of tangible object and properties of all specimen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 xml:space="preserve"> </m:t>
        </m:r>
        <m:r>
          <w:rPr>
            <w:rFonts w:ascii="Cambria Math" w:hAnsi="Cambria Math"/>
            <w:color w:val="000000" w:themeColor="text1"/>
          </w:rPr>
          <m:t xml:space="preserve"> ϵ S</m:t>
        </m:r>
      </m:oMath>
      <w:r w:rsidRPr="00091F8C">
        <w:rPr>
          <w:color w:val="000000" w:themeColor="text1"/>
        </w:rPr>
        <w:t xml:space="preserve"> must be identifiable:</w:t>
      </w:r>
    </w:p>
    <w:p w14:paraId="76262FDA" w14:textId="77777777" w:rsidR="00DB7536" w:rsidRPr="00091F8C" w:rsidRDefault="009D3111" w:rsidP="00DB7536">
      <w:pPr>
        <w:pStyle w:val="ListParagraph"/>
        <w:jc w:val="right"/>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m:t>
            </m:r>
          </m:e>
          <m:sub>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m:t>
            </m:r>
            <m:r>
              <w:rPr>
                <w:rFonts w:ascii="Cambria Math" w:hAnsi="Cambria Math"/>
                <w:color w:val="000000" w:themeColor="text1"/>
              </w:rPr>
              <m:t>S</m:t>
            </m:r>
          </m:sub>
        </m:sSub>
        <m:r>
          <m:rPr>
            <m:sty m:val="p"/>
          </m:rPr>
          <w:rPr>
            <w:rFonts w:ascii="Cambria Math" w:hAnsi="Cambria Math"/>
            <w:color w:val="000000" w:themeColor="text1"/>
          </w:rPr>
          <m:t xml:space="preserve">  [</m:t>
        </m:r>
        <m:r>
          <w:rPr>
            <w:rFonts w:ascii="Cambria Math" w:hAnsi="Cambria Math"/>
            <w:color w:val="000000" w:themeColor="text1"/>
          </w:rPr>
          <m:t>tangible</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m:t>
        </m:r>
      </m:oMath>
      <w:r w:rsidR="00DB7536" w:rsidRPr="00091F8C">
        <w:rPr>
          <w:color w:val="000000" w:themeColor="text1"/>
        </w:rPr>
        <w:tab/>
      </w:r>
      <w:r w:rsidR="00DB7536" w:rsidRPr="00091F8C">
        <w:rPr>
          <w:color w:val="000000" w:themeColor="text1"/>
        </w:rPr>
        <w:tab/>
      </w:r>
      <w:r w:rsidR="00DB7536" w:rsidRPr="00091F8C">
        <w:rPr>
          <w:color w:val="000000" w:themeColor="text1"/>
        </w:rPr>
        <w:tab/>
      </w:r>
      <w:r w:rsidR="00DB7536" w:rsidRPr="00091F8C">
        <w:rPr>
          <w:color w:val="000000" w:themeColor="text1"/>
        </w:rPr>
        <w:tab/>
      </w:r>
      <w:r w:rsidR="00DB7536" w:rsidRPr="00091F8C">
        <w:rPr>
          <w:color w:val="000000" w:themeColor="text1"/>
        </w:rPr>
        <w:tab/>
        <w:t>(5)</w:t>
      </w:r>
    </w:p>
    <w:p w14:paraId="3206C811" w14:textId="77777777" w:rsidR="00DB7536" w:rsidRPr="00091F8C" w:rsidRDefault="00DB7536" w:rsidP="00DB7536">
      <w:pPr>
        <w:pStyle w:val="ListParagraph"/>
        <w:numPr>
          <w:ilvl w:val="0"/>
          <w:numId w:val="21"/>
        </w:numPr>
        <w:rPr>
          <w:color w:val="000000" w:themeColor="text1"/>
        </w:rPr>
      </w:pPr>
      <w:r w:rsidRPr="00091F8C">
        <w:rPr>
          <w:color w:val="000000" w:themeColor="text1"/>
        </w:rPr>
        <w:t xml:space="preserve">The boundary of all specimen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 xml:space="preserve"> </m:t>
        </m:r>
        <m:r>
          <w:rPr>
            <w:rFonts w:ascii="Cambria Math" w:hAnsi="Cambria Math"/>
            <w:color w:val="000000" w:themeColor="text1"/>
          </w:rPr>
          <m:t xml:space="preserve"> ϵ (M∪C∪E)</m:t>
        </m:r>
      </m:oMath>
      <w:r w:rsidRPr="00091F8C">
        <w:rPr>
          <w:color w:val="000000" w:themeColor="text1"/>
        </w:rPr>
        <w:t xml:space="preserve"> must not empty, i.e., a specimen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oMath>
      <w:r w:rsidRPr="00091F8C">
        <w:rPr>
          <w:color w:val="000000" w:themeColor="text1"/>
        </w:rPr>
        <w:t xml:space="preserve"> cannot be self-interacting. As such,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oMath>
      <w:r w:rsidRPr="00091F8C">
        <w:rPr>
          <w:color w:val="000000" w:themeColor="text1"/>
        </w:rPr>
        <w:t xml:space="preserve"> must be connected to one or more specimen</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j</m:t>
            </m:r>
          </m:sub>
        </m:sSub>
        <m:r>
          <w:rPr>
            <w:rFonts w:ascii="Cambria Math" w:hAnsi="Cambria Math"/>
            <w:color w:val="000000" w:themeColor="text1"/>
          </w:rPr>
          <m:t>∈S</m:t>
        </m:r>
      </m:oMath>
      <w:r w:rsidRPr="00091F8C">
        <w:rPr>
          <w:color w:val="000000" w:themeColor="text1"/>
        </w:rPr>
        <w:t>.</w:t>
      </w:r>
    </w:p>
    <w:p w14:paraId="4935F00B" w14:textId="77777777" w:rsidR="00DB7536" w:rsidRPr="00091F8C" w:rsidRDefault="00DB7536" w:rsidP="00DB7536">
      <w:pPr>
        <w:rPr>
          <w:color w:val="000000" w:themeColor="text1"/>
        </w:rPr>
      </w:pPr>
      <w:r w:rsidRPr="00091F8C">
        <w:rPr>
          <w:color w:val="000000" w:themeColor="text1"/>
        </w:rPr>
        <w:t>Based on these assumptions and the set of variables defined in</w:t>
      </w:r>
      <w:r w:rsidR="009E5DCB" w:rsidRPr="00091F8C">
        <w:rPr>
          <w:color w:val="000000" w:themeColor="text1"/>
        </w:rPr>
        <w:t xml:space="preserve"> Table 3</w:t>
      </w:r>
      <w:r w:rsidRPr="00091F8C">
        <w:rPr>
          <w:color w:val="000000" w:themeColor="text1"/>
        </w:rPr>
        <w:t xml:space="preserve">, we can define the properties of a specimen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oMath>
      <w:r w:rsidRPr="00091F8C">
        <w:rPr>
          <w:color w:val="000000" w:themeColor="text1"/>
        </w:rPr>
        <w:t xml:space="preserve"> using an eight (8) tuple:</w:t>
      </w:r>
    </w:p>
    <w:p w14:paraId="3546B4DB" w14:textId="77777777" w:rsidR="00DB7536" w:rsidRPr="00091F8C" w:rsidRDefault="009D3111" w:rsidP="00DB7536">
      <w:pPr>
        <w:pStyle w:val="ListParagraph"/>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 xml:space="preserve"> =&lt;</m:t>
        </m:r>
        <m:sSub>
          <m:sSubPr>
            <m:ctrlPr>
              <w:rPr>
                <w:rFonts w:ascii="Cambria Math" w:hAnsi="Cambria Math"/>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2</m:t>
            </m:r>
          </m:sub>
        </m:sSub>
        <m:r>
          <m:rPr>
            <m:sty m:val="p"/>
          </m:rPr>
          <w:rPr>
            <w:rFonts w:ascii="Cambria Math" w:hAnsi="Cambria Math"/>
            <w:color w:val="000000" w:themeColor="text1"/>
          </w:rPr>
          <m:t xml:space="preserve">, </m:t>
        </m:r>
        <m:r>
          <w:rPr>
            <w:rFonts w:ascii="Cambria Math" w:hAnsi="Cambria Math"/>
            <w:color w:val="000000" w:themeColor="text1"/>
          </w:rPr>
          <m:t>c</m:t>
        </m:r>
        <m:r>
          <m:rPr>
            <m:sty m:val="p"/>
          </m:rPr>
          <w:rPr>
            <w:rFonts w:ascii="Cambria Math" w:hAnsi="Cambria Math"/>
            <w:color w:val="000000" w:themeColor="text1"/>
          </w:rPr>
          <m:t xml:space="preserve">, </m:t>
        </m:r>
        <m:r>
          <w:rPr>
            <w:rFonts w:ascii="Cambria Math" w:hAnsi="Cambria Math"/>
            <w:color w:val="000000" w:themeColor="text1"/>
          </w:rPr>
          <m:t>P</m:t>
        </m:r>
        <m:r>
          <m:rPr>
            <m:sty m:val="p"/>
          </m:rPr>
          <w:rPr>
            <w:rFonts w:ascii="Cambria Math" w:hAnsi="Cambria Math"/>
            <w:color w:val="000000" w:themeColor="text1"/>
          </w:rPr>
          <m:t xml:space="preserve">, </m:t>
        </m:r>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t</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s</m:t>
        </m:r>
        <m:r>
          <m:rPr>
            <m:sty m:val="p"/>
          </m:rPr>
          <w:rPr>
            <w:rFonts w:ascii="Cambria Math" w:hAnsi="Cambria Math"/>
            <w:color w:val="000000" w:themeColor="text1"/>
          </w:rPr>
          <m:t>&gt;</m:t>
        </m:r>
      </m:oMath>
      <w:r w:rsidR="00DB7536" w:rsidRPr="00091F8C">
        <w:rPr>
          <w:color w:val="000000" w:themeColor="text1"/>
        </w:rPr>
        <w:tab/>
      </w:r>
      <w:r w:rsidR="00DB7536" w:rsidRPr="00091F8C">
        <w:rPr>
          <w:color w:val="000000" w:themeColor="text1"/>
        </w:rPr>
        <w:tab/>
      </w:r>
      <w:r w:rsidR="00DB7536" w:rsidRPr="00091F8C">
        <w:rPr>
          <w:color w:val="000000" w:themeColor="text1"/>
        </w:rPr>
        <w:tab/>
      </w:r>
      <w:r w:rsidR="00DB7536" w:rsidRPr="00091F8C">
        <w:rPr>
          <w:color w:val="000000" w:themeColor="text1"/>
        </w:rPr>
        <w:tab/>
      </w:r>
      <w:r w:rsidR="00DB7536" w:rsidRPr="00091F8C">
        <w:rPr>
          <w:color w:val="000000" w:themeColor="text1"/>
        </w:rPr>
        <w:tab/>
        <w:t>(6)</w:t>
      </w:r>
    </w:p>
    <w:p w14:paraId="74950DBF" w14:textId="77777777" w:rsidR="00DB7536" w:rsidRPr="00091F8C" w:rsidRDefault="00DB7536" w:rsidP="00DB7536">
      <w:pPr>
        <w:rPr>
          <w:color w:val="000000" w:themeColor="text1"/>
        </w:rPr>
      </w:pPr>
      <w:r w:rsidRPr="00091F8C">
        <w:rPr>
          <w:color w:val="000000" w:themeColor="text1"/>
        </w:rPr>
        <w:t xml:space="preserve">Equation (6) identifies specimen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w:rPr>
            <w:rFonts w:ascii="Cambria Math" w:hAnsi="Cambria Math"/>
            <w:color w:val="000000" w:themeColor="text1"/>
          </w:rPr>
          <m:t xml:space="preserve"> </m:t>
        </m:r>
      </m:oMath>
      <w:r w:rsidRPr="00091F8C">
        <w:rPr>
          <w:color w:val="000000" w:themeColor="text1"/>
        </w:rPr>
        <w:t xml:space="preserve"> as an object with a fixed set of properties that uniquely describes</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oMath>
      <w:r w:rsidRPr="00091F8C">
        <w:rPr>
          <w:color w:val="000000" w:themeColor="text1"/>
        </w:rPr>
        <w:t>. To facilitate easy access of relevant properties of specimen</w:t>
      </w:r>
      <m:oMath>
        <m:sSub>
          <m:sSubPr>
            <m:ctrlPr>
              <w:rPr>
                <w:rFonts w:ascii="Cambria Math" w:hAnsi="Cambria Math"/>
                <w:i/>
                <w:color w:val="000000" w:themeColor="text1"/>
              </w:rPr>
            </m:ctrlPr>
          </m:sSubPr>
          <m:e>
            <m:r>
              <w:rPr>
                <w:rFonts w:ascii="Cambria Math" w:hAnsi="Cambria Math"/>
                <w:color w:val="000000" w:themeColor="text1"/>
              </w:rPr>
              <m:t xml:space="preserve"> S</m:t>
            </m:r>
          </m:e>
          <m:sub>
            <m:r>
              <w:rPr>
                <w:rFonts w:ascii="Cambria Math" w:hAnsi="Cambria Math"/>
                <w:color w:val="000000" w:themeColor="text1"/>
              </w:rPr>
              <m:t>i</m:t>
            </m:r>
          </m:sub>
        </m:sSub>
      </m:oMath>
      <w:r w:rsidRPr="00091F8C">
        <w:rPr>
          <w:color w:val="000000" w:themeColor="text1"/>
        </w:rPr>
        <w:t xml:space="preserve">, the study adopts an object-oriented notation. For example, the connection type of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 xml:space="preserve"> </m:t>
        </m:r>
        <m:r>
          <w:rPr>
            <w:rFonts w:ascii="Cambria Math" w:hAnsi="Cambria Math"/>
            <w:color w:val="000000" w:themeColor="text1"/>
          </w:rPr>
          <m:t xml:space="preserve"> </m:t>
        </m:r>
      </m:oMath>
      <w:r w:rsidRPr="00091F8C">
        <w:rPr>
          <w:color w:val="000000" w:themeColor="text1"/>
        </w:rPr>
        <w:t xml:space="preserve">could be assessed using the notation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m:t>
        </m:r>
        <m:r>
          <w:rPr>
            <w:rFonts w:ascii="Cambria Math" w:hAnsi="Cambria Math"/>
            <w:color w:val="000000" w:themeColor="text1"/>
          </w:rPr>
          <m:t xml:space="preserve"> c</m:t>
        </m:r>
      </m:oMath>
      <w:r w:rsidRPr="00091F8C">
        <w:rPr>
          <w:color w:val="000000" w:themeColor="text1"/>
        </w:rPr>
        <w:t xml:space="preserve"> and the type of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 xml:space="preserve"> </m:t>
        </m:r>
        <m:r>
          <w:rPr>
            <w:rFonts w:ascii="Cambria Math" w:hAnsi="Cambria Math"/>
            <w:color w:val="000000" w:themeColor="text1"/>
          </w:rPr>
          <m:t xml:space="preserve"> </m:t>
        </m:r>
      </m:oMath>
      <w:r w:rsidRPr="00091F8C">
        <w:rPr>
          <w:color w:val="000000" w:themeColor="text1"/>
        </w:rPr>
        <w:t>will be</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r>
          <m:rPr>
            <m:sty m:val="p"/>
          </m:rPr>
          <w:rPr>
            <w:rFonts w:ascii="Cambria Math" w:hAnsi="Cambria Math"/>
            <w:color w:val="000000" w:themeColor="text1"/>
          </w:rPr>
          <m:t>.</m:t>
        </m:r>
        <m:r>
          <w:rPr>
            <w:rFonts w:ascii="Cambria Math" w:hAnsi="Cambria Math"/>
            <w:color w:val="000000" w:themeColor="text1"/>
          </w:rPr>
          <m:t>t</m:t>
        </m:r>
      </m:oMath>
      <w:r w:rsidRPr="00091F8C">
        <w:rPr>
          <w:color w:val="000000" w:themeColor="text1"/>
        </w:rPr>
        <w:t xml:space="preserve">. Having provided the formal definition of a </w:t>
      </w:r>
      <w:r w:rsidRPr="00091F8C">
        <w:rPr>
          <w:color w:val="000000" w:themeColor="text1"/>
        </w:rPr>
        <w:lastRenderedPageBreak/>
        <w:t>design model for deconstruction and described the properties of each element, a BIM based approach was used to incorporate all the deconstruction related parameters into the building model. This is to enable the automated computation of DDAS. The process for achieving this is detailed in the following section.</w:t>
      </w:r>
    </w:p>
    <w:p w14:paraId="153D5093" w14:textId="77777777" w:rsidR="00DB7536" w:rsidRPr="00091F8C" w:rsidRDefault="00DB7536" w:rsidP="00DB7536">
      <w:pPr>
        <w:pStyle w:val="Heading2"/>
        <w:rPr>
          <w:color w:val="000000" w:themeColor="text1"/>
        </w:rPr>
      </w:pPr>
      <w:r w:rsidRPr="00091F8C">
        <w:rPr>
          <w:color w:val="000000" w:themeColor="text1"/>
        </w:rPr>
        <w:t xml:space="preserve">BIM-based Deconstructability Assessment System </w:t>
      </w:r>
    </w:p>
    <w:p w14:paraId="6C48D85D" w14:textId="77777777" w:rsidR="00DB7536" w:rsidRPr="00091F8C" w:rsidRDefault="00DB7536" w:rsidP="00DB7536">
      <w:pPr>
        <w:rPr>
          <w:color w:val="000000" w:themeColor="text1"/>
        </w:rPr>
      </w:pPr>
      <w:r w:rsidRPr="00091F8C">
        <w:rPr>
          <w:color w:val="000000" w:themeColor="text1"/>
        </w:rPr>
        <w:t>An important factor that makes BIM relevant in building design is its ability to capture object parameters automatically for simulating building performances. To leverage upon this, current BIM parametric modelling software allows user-specific object parameters to extend built-in parameters. Accordingly, custom parameters were created to capture various aspects of building deconstructability. This includes recyclability attributes, reusability attributes, expected life of specimen, toxicity of specimen, assemblage attribute, finishing on specimen and Joint/connector attributes.</w:t>
      </w:r>
      <w:r w:rsidR="009E5DCB" w:rsidRPr="00091F8C">
        <w:rPr>
          <w:color w:val="000000" w:themeColor="text1"/>
        </w:rPr>
        <w:t xml:space="preserve"> Figure 4</w:t>
      </w:r>
      <w:r w:rsidRPr="00091F8C">
        <w:rPr>
          <w:color w:val="000000" w:themeColor="text1"/>
        </w:rPr>
        <w:t xml:space="preserve"> shows a specimen property tab showing the custom parameters. </w:t>
      </w:r>
    </w:p>
    <w:p w14:paraId="41A15422" w14:textId="77777777" w:rsidR="00DB7536" w:rsidRPr="00091F8C" w:rsidRDefault="00DB7536" w:rsidP="00DB7536">
      <w:pPr>
        <w:jc w:val="center"/>
        <w:rPr>
          <w:color w:val="000000" w:themeColor="text1"/>
        </w:rPr>
      </w:pPr>
      <w:r w:rsidRPr="00091F8C">
        <w:rPr>
          <w:noProof/>
          <w:color w:val="000000" w:themeColor="text1"/>
          <w:lang w:val="en-US"/>
        </w:rPr>
        <w:drawing>
          <wp:inline distT="0" distB="0" distL="0" distR="0" wp14:anchorId="6261721F" wp14:editId="4F63F4CA">
            <wp:extent cx="2797727" cy="28984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9180" cy="2910341"/>
                    </a:xfrm>
                    <a:prstGeom prst="rect">
                      <a:avLst/>
                    </a:prstGeom>
                  </pic:spPr>
                </pic:pic>
              </a:graphicData>
            </a:graphic>
          </wp:inline>
        </w:drawing>
      </w:r>
      <w:bookmarkStart w:id="5" w:name="_Ref423344401"/>
    </w:p>
    <w:p w14:paraId="65256900" w14:textId="77777777" w:rsidR="00DB7536" w:rsidRPr="00091F8C" w:rsidRDefault="00DB7536" w:rsidP="00DB7536">
      <w:pPr>
        <w:jc w:val="center"/>
        <w:rPr>
          <w:color w:val="000000" w:themeColor="text1"/>
        </w:rPr>
      </w:pPr>
      <w:r w:rsidRPr="00091F8C">
        <w:rPr>
          <w:color w:val="000000" w:themeColor="text1"/>
        </w:rPr>
        <w:t>Figure</w:t>
      </w:r>
      <w:bookmarkEnd w:id="5"/>
      <w:r w:rsidR="009E5DCB" w:rsidRPr="00091F8C">
        <w:rPr>
          <w:color w:val="000000" w:themeColor="text1"/>
        </w:rPr>
        <w:t xml:space="preserve"> 4</w:t>
      </w:r>
      <w:r w:rsidRPr="00091F8C">
        <w:rPr>
          <w:color w:val="000000" w:themeColor="text1"/>
        </w:rPr>
        <w:t>: Custom Parameters in Revit</w:t>
      </w:r>
    </w:p>
    <w:p w14:paraId="673A1E3B" w14:textId="77777777" w:rsidR="00DB7536" w:rsidRPr="00091F8C" w:rsidRDefault="00DB7536" w:rsidP="00DB7536">
      <w:pPr>
        <w:rPr>
          <w:color w:val="000000" w:themeColor="text1"/>
        </w:rPr>
      </w:pPr>
      <w:r w:rsidRPr="00091F8C">
        <w:rPr>
          <w:color w:val="000000" w:themeColor="text1"/>
        </w:rPr>
        <w:lastRenderedPageBreak/>
        <w:t>During a deconstruction process, the total End of life waste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w</m:t>
            </m:r>
          </m:sub>
        </m:sSub>
      </m:oMath>
      <w:r w:rsidRPr="00091F8C">
        <w:rPr>
          <w:color w:val="000000" w:themeColor="text1"/>
        </w:rPr>
        <w:t xml:space="preserve">), which is the </w:t>
      </w:r>
      <w:r w:rsidR="00535E6D" w:rsidRPr="00091F8C">
        <w:rPr>
          <w:color w:val="000000" w:themeColor="text1"/>
        </w:rPr>
        <w:t xml:space="preserve">amount of building elements </w:t>
      </w:r>
      <w:r w:rsidR="00C81DA7" w:rsidRPr="00091F8C">
        <w:rPr>
          <w:color w:val="000000" w:themeColor="text1"/>
        </w:rPr>
        <w:t xml:space="preserve">(measured in tonnes) </w:t>
      </w:r>
      <w:r w:rsidR="00535E6D" w:rsidRPr="00091F8C">
        <w:rPr>
          <w:color w:val="000000" w:themeColor="text1"/>
        </w:rPr>
        <w:t xml:space="preserve">that </w:t>
      </w:r>
      <w:r w:rsidRPr="00091F8C">
        <w:rPr>
          <w:color w:val="000000" w:themeColor="text1"/>
        </w:rPr>
        <w:t>cannot be recovered, could be computed as:</w:t>
      </w:r>
    </w:p>
    <w:p w14:paraId="3BA6B997" w14:textId="77777777" w:rsidR="0093237A" w:rsidRPr="00091F8C" w:rsidRDefault="009D3111" w:rsidP="0093237A">
      <w:pPr>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w</m:t>
            </m:r>
          </m:sub>
        </m:sSub>
        <m:r>
          <m:rPr>
            <m:sty m:val="p"/>
          </m:rPr>
          <w:rPr>
            <w:rFonts w:ascii="Cambria Math" w:hAnsi="Cambria Math"/>
            <w:color w:val="000000" w:themeColor="text1"/>
          </w:rPr>
          <m:t xml:space="preserve">(tonnes)= </m:t>
        </m:r>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r>
          <m:rPr>
            <m:sty m:val="p"/>
          </m:rPr>
          <w:rPr>
            <w:rFonts w:ascii="Cambria Math" w:hAnsi="Cambria Math"/>
            <w:color w:val="000000" w:themeColor="text1"/>
          </w:rPr>
          <m:t xml:space="preserve">+ </m:t>
        </m:r>
        <m:r>
          <w:rPr>
            <w:rFonts w:ascii="Cambria Math" w:hAnsi="Cambria Math"/>
            <w:color w:val="000000" w:themeColor="text1"/>
          </w:rPr>
          <m:t>ε</m:t>
        </m:r>
      </m:oMath>
      <w:r w:rsidR="0093237A" w:rsidRPr="00091F8C">
        <w:rPr>
          <w:color w:val="000000" w:themeColor="text1"/>
        </w:rPr>
        <w:tab/>
      </w:r>
      <w:r w:rsidR="0093237A" w:rsidRPr="00091F8C">
        <w:rPr>
          <w:color w:val="000000" w:themeColor="text1"/>
        </w:rPr>
        <w:tab/>
      </w:r>
      <w:r w:rsidR="0093237A" w:rsidRPr="00091F8C">
        <w:rPr>
          <w:color w:val="000000" w:themeColor="text1"/>
        </w:rPr>
        <w:tab/>
      </w:r>
      <w:r w:rsidR="0093237A" w:rsidRPr="00091F8C">
        <w:rPr>
          <w:color w:val="000000" w:themeColor="text1"/>
        </w:rPr>
        <w:tab/>
      </w:r>
      <w:r w:rsidR="0093237A" w:rsidRPr="00091F8C">
        <w:rPr>
          <w:color w:val="000000" w:themeColor="text1"/>
        </w:rPr>
        <w:tab/>
        <w:t>(7)</w:t>
      </w:r>
    </w:p>
    <w:p w14:paraId="062AAEE0" w14:textId="77777777" w:rsidR="0082418C" w:rsidRPr="00091F8C" w:rsidRDefault="0082418C" w:rsidP="0082418C">
      <w:pPr>
        <w:rPr>
          <w:color w:val="000000" w:themeColor="text1"/>
        </w:rPr>
      </w:pPr>
      <w:r w:rsidRPr="00091F8C">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oMath>
      <w:r w:rsidRPr="00091F8C">
        <w:rPr>
          <w:color w:val="000000" w:themeColor="text1"/>
        </w:rPr>
        <w:t xml:space="preserve"> is the bill of quantity (tonnes),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oMath>
      <w:r w:rsidRPr="00091F8C">
        <w:rPr>
          <w:color w:val="000000" w:themeColor="text1"/>
        </w:rPr>
        <w:t xml:space="preserve"> (tonnes) is the total recoverable items from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oMath>
      <w:r w:rsidRPr="00091F8C">
        <w:rPr>
          <w:color w:val="000000" w:themeColor="text1"/>
        </w:rPr>
        <w:t xml:space="preserve"> and </w:t>
      </w:r>
      <m:oMath>
        <m:r>
          <w:rPr>
            <w:rFonts w:ascii="Cambria Math" w:hAnsi="Cambria Math"/>
            <w:color w:val="000000" w:themeColor="text1"/>
          </w:rPr>
          <m:t>ε</m:t>
        </m:r>
      </m:oMath>
      <w:r w:rsidRPr="00091F8C">
        <w:rPr>
          <w:color w:val="000000" w:themeColor="text1"/>
        </w:rPr>
        <w:t xml:space="preserve"> is the residual. </w:t>
      </w:r>
      <m:oMath>
        <m:r>
          <w:rPr>
            <w:rFonts w:ascii="Cambria Math" w:hAnsi="Cambria Math"/>
            <w:color w:val="000000" w:themeColor="text1"/>
          </w:rPr>
          <m:t>ε</m:t>
        </m:r>
      </m:oMath>
      <w:r w:rsidR="009E5DCB" w:rsidRPr="00091F8C">
        <w:rPr>
          <w:color w:val="000000" w:themeColor="text1"/>
        </w:rPr>
        <w:t xml:space="preserve"> is included in Eq</w:t>
      </w:r>
      <w:r w:rsidR="00DA4F4F" w:rsidRPr="00091F8C">
        <w:rPr>
          <w:color w:val="000000" w:themeColor="text1"/>
        </w:rPr>
        <w:t>uation</w:t>
      </w:r>
      <w:r w:rsidR="009E5DCB" w:rsidRPr="00091F8C">
        <w:rPr>
          <w:color w:val="000000" w:themeColor="text1"/>
        </w:rPr>
        <w:t xml:space="preserve"> (7</w:t>
      </w:r>
      <w:r w:rsidRPr="00091F8C">
        <w:rPr>
          <w:color w:val="000000" w:themeColor="text1"/>
        </w:rPr>
        <w:t xml:space="preserve">) to capture waste due to transportation, human errors and natural disaster. The use of weight metrics here is because materials used on projects and </w:t>
      </w:r>
      <w:r w:rsidR="00EA3D3D" w:rsidRPr="00091F8C">
        <w:rPr>
          <w:color w:val="000000" w:themeColor="text1"/>
        </w:rPr>
        <w:t xml:space="preserve">CDEW </w:t>
      </w:r>
      <w:r w:rsidRPr="00091F8C">
        <w:rPr>
          <w:color w:val="000000" w:themeColor="text1"/>
        </w:rPr>
        <w:t xml:space="preserve">from project site are quantified in weights. </w:t>
      </w:r>
      <w:r w:rsidR="00EA3D3D" w:rsidRPr="00091F8C">
        <w:rPr>
          <w:color w:val="000000" w:themeColor="text1"/>
        </w:rPr>
        <w:t>The use of weight of elements may be</w:t>
      </w:r>
      <w:r w:rsidRPr="00091F8C">
        <w:rPr>
          <w:color w:val="000000" w:themeColor="text1"/>
        </w:rPr>
        <w:t xml:space="preserve"> biased towards heavyweight elements </w:t>
      </w:r>
      <w:r w:rsidR="00EA3D3D" w:rsidRPr="00091F8C">
        <w:rPr>
          <w:color w:val="000000" w:themeColor="text1"/>
        </w:rPr>
        <w:t>whereas</w:t>
      </w:r>
      <w:r w:rsidRPr="00091F8C">
        <w:rPr>
          <w:color w:val="000000" w:themeColor="text1"/>
        </w:rPr>
        <w:t xml:space="preserve"> deconstruction is more concerned with the recovery of high-embodied impact elements. However, since the associated embodied energy (MJ) of an element is directly proportional to its mass (kg), the recoverable end of life energy could be computed as a product of the embodied energy (MJ/kg) and mass. Therefore, the lost energy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E</m:t>
            </m:r>
          </m:sub>
        </m:sSub>
      </m:oMath>
      <w:r w:rsidRPr="00091F8C">
        <w:rPr>
          <w:color w:val="000000" w:themeColor="text1"/>
        </w:rPr>
        <w:t>) at the end of life could be calculated from Equation (7) as:</w:t>
      </w:r>
    </w:p>
    <w:p w14:paraId="2E8372C3" w14:textId="77777777" w:rsidR="0082418C" w:rsidRPr="00091F8C" w:rsidRDefault="009D3111" w:rsidP="0082418C">
      <w:pPr>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E</m:t>
            </m:r>
          </m:sub>
        </m:sSub>
        <m:r>
          <m:rPr>
            <m:sty m:val="p"/>
          </m:rPr>
          <w:rPr>
            <w:rFonts w:ascii="Cambria Math" w:hAnsi="Cambria Math"/>
            <w:color w:val="000000" w:themeColor="text1"/>
          </w:rPr>
          <m:t xml:space="preserve">(MJ)= </m:t>
        </m:r>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C</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D</m:t>
            </m:r>
          </m:sub>
        </m:sSub>
        <m:r>
          <m:rPr>
            <m:sty m:val="p"/>
          </m:rPr>
          <w:rPr>
            <w:rFonts w:ascii="Cambria Math" w:hAnsi="Cambria Math"/>
            <w:color w:val="000000" w:themeColor="text1"/>
          </w:rPr>
          <m:t xml:space="preserve">+ </m:t>
        </m:r>
        <m:r>
          <w:rPr>
            <w:rFonts w:ascii="Cambria Math" w:hAnsi="Cambria Math"/>
            <w:color w:val="000000" w:themeColor="text1"/>
          </w:rPr>
          <m:t>ε</m:t>
        </m:r>
      </m:oMath>
      <w:r w:rsidR="0082418C" w:rsidRPr="00091F8C">
        <w:rPr>
          <w:color w:val="000000" w:themeColor="text1"/>
        </w:rPr>
        <w:tab/>
      </w:r>
      <w:r w:rsidR="0082418C" w:rsidRPr="00091F8C">
        <w:rPr>
          <w:color w:val="000000" w:themeColor="text1"/>
        </w:rPr>
        <w:tab/>
      </w:r>
      <w:r w:rsidR="00E61257" w:rsidRPr="00091F8C">
        <w:rPr>
          <w:color w:val="000000" w:themeColor="text1"/>
        </w:rPr>
        <w:tab/>
      </w:r>
      <w:r w:rsidR="0082418C" w:rsidRPr="00091F8C">
        <w:rPr>
          <w:color w:val="000000" w:themeColor="text1"/>
        </w:rPr>
        <w:tab/>
      </w:r>
      <w:r w:rsidR="0082418C" w:rsidRPr="00091F8C">
        <w:rPr>
          <w:color w:val="000000" w:themeColor="text1"/>
        </w:rPr>
        <w:tab/>
        <w:t>(8)</w:t>
      </w:r>
    </w:p>
    <w:p w14:paraId="03D65CD7" w14:textId="77777777" w:rsidR="0082418C" w:rsidRPr="00091F8C" w:rsidRDefault="0082418C" w:rsidP="0082418C">
      <w:pPr>
        <w:rPr>
          <w:color w:val="000000" w:themeColor="text1"/>
        </w:rPr>
      </w:pPr>
      <w:r w:rsidRPr="00091F8C">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C</m:t>
            </m:r>
          </m:sub>
        </m:sSub>
      </m:oMath>
      <w:r w:rsidRPr="00091F8C">
        <w:rPr>
          <w:color w:val="000000" w:themeColor="text1"/>
        </w:rPr>
        <w:t xml:space="preserve"> is the total embodied energy and energy needed for building construction, </w:t>
      </w: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D</m:t>
            </m:r>
          </m:sub>
        </m:sSub>
      </m:oMath>
      <w:r w:rsidRPr="00091F8C">
        <w:rPr>
          <w:color w:val="000000" w:themeColor="text1"/>
        </w:rPr>
        <w:t xml:space="preserve"> is the total embodied energy plus the energy needed for building deconstruction. </w:t>
      </w:r>
      <m:oMath>
        <m:r>
          <w:rPr>
            <w:rFonts w:ascii="Cambria Math" w:hAnsi="Cambria Math"/>
            <w:color w:val="000000" w:themeColor="text1"/>
          </w:rPr>
          <m:t>ε</m:t>
        </m:r>
      </m:oMath>
      <w:r w:rsidRPr="00091F8C">
        <w:rPr>
          <w:color w:val="000000" w:themeColor="text1"/>
        </w:rPr>
        <w:t xml:space="preserve"> remains the residual.</w:t>
      </w:r>
      <w:r w:rsidR="00EA3D3D" w:rsidRPr="00091F8C">
        <w:rPr>
          <w:color w:val="000000" w:themeColor="text1"/>
        </w:rPr>
        <w:t xml:space="preserve"> T</w:t>
      </w:r>
      <w:r w:rsidRPr="00091F8C">
        <w:rPr>
          <w:color w:val="000000" w:themeColor="text1"/>
        </w:rPr>
        <w:t>he aim of an effective deconstruction activity, especially for building relocation, is to make</w:t>
      </w:r>
      <m:oMath>
        <m: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w</m:t>
            </m:r>
          </m:sub>
        </m:sSub>
        <m:r>
          <w:rPr>
            <w:rFonts w:ascii="Cambria Math" w:hAnsi="Cambria Math"/>
            <w:color w:val="000000" w:themeColor="text1"/>
          </w:rPr>
          <m:t>+ε=0</m:t>
        </m:r>
      </m:oMath>
      <w:r w:rsidRPr="00091F8C">
        <w:rPr>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E</m:t>
            </m:r>
          </m:sub>
        </m:sSub>
        <m:r>
          <m:rPr>
            <m:sty m:val="p"/>
          </m:rPr>
          <w:rPr>
            <w:rFonts w:ascii="Cambria Math" w:hAnsi="Cambria Math"/>
            <w:color w:val="000000" w:themeColor="text1"/>
          </w:rPr>
          <m:t xml:space="preserve">+ </m:t>
        </m:r>
        <m:r>
          <w:rPr>
            <w:rFonts w:ascii="Cambria Math" w:hAnsi="Cambria Math"/>
            <w:color w:val="000000" w:themeColor="text1"/>
          </w:rPr>
          <m:t>ε=0</m:t>
        </m:r>
      </m:oMath>
      <w:r w:rsidRPr="00091F8C">
        <w:rPr>
          <w:color w:val="000000" w:themeColor="text1"/>
        </w:rPr>
        <w:t xml:space="preserve"> i.e. zero waste generation and zero energy loss. To incline this study towards a metric that AEC practitioners can easily relate to and to simplify the process of model development, Equation (7) becomes: </w:t>
      </w:r>
    </w:p>
    <w:p w14:paraId="51B447D8" w14:textId="77777777" w:rsidR="00DB7536" w:rsidRPr="00091F8C" w:rsidRDefault="009D3111" w:rsidP="00DB7536">
      <w:pPr>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oMath>
      <w:r w:rsidR="00E91591" w:rsidRPr="00091F8C">
        <w:rPr>
          <w:color w:val="000000" w:themeColor="text1"/>
        </w:rPr>
        <w:tab/>
      </w:r>
      <w:r w:rsidR="00E91591" w:rsidRPr="00091F8C">
        <w:rPr>
          <w:color w:val="000000" w:themeColor="text1"/>
        </w:rPr>
        <w:tab/>
      </w:r>
      <w:r w:rsidR="00E91591" w:rsidRPr="00091F8C">
        <w:rPr>
          <w:color w:val="000000" w:themeColor="text1"/>
        </w:rPr>
        <w:tab/>
      </w:r>
      <w:r w:rsidR="00E91591" w:rsidRPr="00091F8C">
        <w:rPr>
          <w:color w:val="000000" w:themeColor="text1"/>
        </w:rPr>
        <w:tab/>
      </w:r>
      <w:r w:rsidR="00E91591" w:rsidRPr="00091F8C">
        <w:rPr>
          <w:color w:val="000000" w:themeColor="text1"/>
        </w:rPr>
        <w:tab/>
      </w:r>
      <w:r w:rsidR="00E91591" w:rsidRPr="00091F8C">
        <w:rPr>
          <w:color w:val="000000" w:themeColor="text1"/>
        </w:rPr>
        <w:tab/>
        <w:t>(9</w:t>
      </w:r>
      <w:r w:rsidR="00DB7536" w:rsidRPr="00091F8C">
        <w:rPr>
          <w:color w:val="000000" w:themeColor="text1"/>
        </w:rPr>
        <w:t>)</w:t>
      </w:r>
    </w:p>
    <w:p w14:paraId="0C351BF6" w14:textId="77777777" w:rsidR="00DB7536" w:rsidRPr="00091F8C" w:rsidRDefault="009E5DCB" w:rsidP="00DB7536">
      <w:pPr>
        <w:rPr>
          <w:color w:val="000000" w:themeColor="text1"/>
        </w:rPr>
      </w:pPr>
      <w:r w:rsidRPr="00091F8C">
        <w:rPr>
          <w:color w:val="000000" w:themeColor="text1"/>
        </w:rPr>
        <w:t>Equation (9</w:t>
      </w:r>
      <w:r w:rsidR="00797DA1" w:rsidRPr="00091F8C">
        <w:rPr>
          <w:color w:val="000000" w:themeColor="text1"/>
        </w:rPr>
        <w:t xml:space="preserve">) </w:t>
      </w:r>
      <w:r w:rsidR="00A37302" w:rsidRPr="00091F8C">
        <w:rPr>
          <w:color w:val="000000" w:themeColor="text1"/>
        </w:rPr>
        <w:t xml:space="preserve">shows an ideal situation of a fully reusable building where all elements with environmental burden are recovered. </w:t>
      </w:r>
      <w:r w:rsidR="00DB7536" w:rsidRPr="00091F8C">
        <w:rPr>
          <w:color w:val="000000" w:themeColor="text1"/>
        </w:rPr>
        <w:t>In realising a DAS score, the higher the score the higher the total recoverable items</w:t>
      </w:r>
      <w:r w:rsidR="00350FA2" w:rsidRPr="00091F8C">
        <w:rPr>
          <w:color w:val="000000" w:themeColor="text1"/>
        </w:rPr>
        <w:t xml:space="preserve"> with high-embodied impact</w:t>
      </w:r>
      <w:r w:rsidR="00DB7536" w:rsidRPr="00091F8C">
        <w:rPr>
          <w:color w:val="000000" w:themeColor="text1"/>
        </w:rPr>
        <w:t>, i.e.:</w:t>
      </w:r>
    </w:p>
    <w:p w14:paraId="6C7E74D2" w14:textId="77777777" w:rsidR="00DB7536" w:rsidRPr="00091F8C" w:rsidRDefault="009D3111" w:rsidP="00DB7536">
      <w:pPr>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r>
          <m:rPr>
            <m:sty m:val="p"/>
          </m:rPr>
          <w:rPr>
            <w:rFonts w:ascii="Cambria Math" w:hAnsi="Cambria Math"/>
            <w:color w:val="000000" w:themeColor="text1"/>
          </w:rPr>
          <m:t xml:space="preserve"> </m:t>
        </m:r>
        <m:r>
          <w:rPr>
            <w:rFonts w:ascii="Cambria Math" w:hAnsi="Cambria Math"/>
            <w:color w:val="000000" w:themeColor="text1"/>
          </w:rPr>
          <m:t>α</m:t>
        </m:r>
        <m:r>
          <m:rPr>
            <m:sty m:val="p"/>
          </m:rPr>
          <w:rPr>
            <w:rFonts w:ascii="Cambria Math" w:hAnsi="Cambria Math"/>
            <w:color w:val="000000" w:themeColor="text1"/>
          </w:rPr>
          <m:t xml:space="preserve"> </m:t>
        </m:r>
        <m:r>
          <w:rPr>
            <w:rFonts w:ascii="Cambria Math" w:hAnsi="Cambria Math"/>
            <w:color w:val="000000" w:themeColor="text1"/>
          </w:rPr>
          <m:t>DAS</m:t>
        </m:r>
      </m:oMath>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t>(10</w:t>
      </w:r>
      <w:r w:rsidR="00DB7536" w:rsidRPr="00091F8C">
        <w:rPr>
          <w:color w:val="000000" w:themeColor="text1"/>
        </w:rPr>
        <w:t>)</w:t>
      </w:r>
    </w:p>
    <w:p w14:paraId="4A548EEE" w14:textId="77777777" w:rsidR="00DB7536" w:rsidRPr="00091F8C" w:rsidRDefault="00DB7536" w:rsidP="00DB7536">
      <w:pPr>
        <w:rPr>
          <w:color w:val="000000" w:themeColor="text1"/>
        </w:rPr>
      </w:pPr>
      <w:r w:rsidRPr="00091F8C">
        <w:rPr>
          <w:color w:val="000000" w:themeColor="text1"/>
        </w:rPr>
        <w:t xml:space="preserve">Since </w:t>
      </w:r>
      <m:oMath>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oMath>
      <w:r w:rsidRPr="00091F8C">
        <w:rPr>
          <w:color w:val="000000" w:themeColor="text1"/>
        </w:rPr>
        <w:t xml:space="preserve"> is constant,</w:t>
      </w:r>
      <m:oMath>
        <m:sSub>
          <m:sSubPr>
            <m:ctrlPr>
              <w:rPr>
                <w:rFonts w:ascii="Cambria Math" w:hAnsi="Cambria Math"/>
                <w:i/>
                <w:color w:val="000000" w:themeColor="text1"/>
              </w:rPr>
            </m:ctrlPr>
          </m:sSubPr>
          <m:e>
            <m:r>
              <w:rPr>
                <w:rFonts w:ascii="Cambria Math" w:hAnsi="Cambria Math"/>
                <w:color w:val="000000" w:themeColor="text1"/>
              </w:rPr>
              <m:t xml:space="preserve"> T</m:t>
            </m:r>
          </m:e>
          <m:sub>
            <m:r>
              <w:rPr>
                <w:rFonts w:ascii="Cambria Math" w:hAnsi="Cambria Math"/>
                <w:color w:val="000000" w:themeColor="text1"/>
              </w:rPr>
              <m:t>r</m:t>
            </m:r>
          </m:sub>
        </m:sSub>
      </m:oMath>
      <w:r w:rsidRPr="00091F8C">
        <w:rPr>
          <w:color w:val="000000" w:themeColor="text1"/>
        </w:rPr>
        <w:t xml:space="preserve"> must be maximised towards the value of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oMath>
      <w:r w:rsidRPr="00091F8C">
        <w:rPr>
          <w:color w:val="000000" w:themeColor="text1"/>
        </w:rPr>
        <w:t xml:space="preserve"> in order to minimise</w:t>
      </w:r>
      <m:oMath>
        <m: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w</m:t>
            </m:r>
          </m:sub>
        </m:sSub>
        <m:r>
          <w:rPr>
            <w:rFonts w:ascii="Cambria Math" w:hAnsi="Cambria Math"/>
            <w:color w:val="000000" w:themeColor="text1"/>
          </w:rPr>
          <m:t xml:space="preserve">. </m:t>
        </m:r>
      </m:oMath>
      <w:r w:rsidRPr="00091F8C">
        <w:rPr>
          <w:color w:val="000000" w:themeColor="text1"/>
        </w:rPr>
        <w:t xml:space="preserve">Therefore, setting the maximum DAS score at 1.0, which reflects the highest level of building </w:t>
      </w:r>
      <w:proofErr w:type="spellStart"/>
      <w:r w:rsidRPr="00091F8C">
        <w:rPr>
          <w:color w:val="000000" w:themeColor="text1"/>
        </w:rPr>
        <w:t>deconstru</w:t>
      </w:r>
      <w:r w:rsidR="004F4236" w:rsidRPr="00091F8C">
        <w:rPr>
          <w:color w:val="000000" w:themeColor="text1"/>
        </w:rPr>
        <w:t>ctability</w:t>
      </w:r>
      <w:proofErr w:type="spellEnd"/>
      <w:r w:rsidR="004F4236" w:rsidRPr="00091F8C">
        <w:rPr>
          <w:color w:val="000000" w:themeColor="text1"/>
        </w:rPr>
        <w:t>, will make Equation (10</w:t>
      </w:r>
      <w:r w:rsidRPr="00091F8C">
        <w:rPr>
          <w:color w:val="000000" w:themeColor="text1"/>
        </w:rPr>
        <w:t>) to become:</w:t>
      </w:r>
    </w:p>
    <w:p w14:paraId="28FC1701" w14:textId="77777777" w:rsidR="00DB7536" w:rsidRPr="00091F8C" w:rsidRDefault="009D3111" w:rsidP="00DB7536">
      <w:pPr>
        <w:jc w:val="right"/>
        <w:rPr>
          <w:color w:val="000000" w:themeColor="text1"/>
        </w:rPr>
      </w:pPr>
      <m:oMathPara>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num>
            <m:den>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den>
          </m:f>
          <m:r>
            <m:rPr>
              <m:sty m:val="p"/>
            </m:rPr>
            <w:rPr>
              <w:rFonts w:ascii="Cambria Math" w:hAnsi="Cambria Math"/>
              <w:color w:val="000000" w:themeColor="text1"/>
            </w:rPr>
            <m:t>=</m:t>
          </m:r>
          <m:r>
            <w:rPr>
              <w:rFonts w:ascii="Cambria Math" w:hAnsi="Cambria Math"/>
              <w:color w:val="000000" w:themeColor="text1"/>
            </w:rPr>
            <m:t>DAS</m:t>
          </m:r>
          <m:r>
            <m:rPr>
              <m:sty m:val="p"/>
            </m:rPr>
            <w:rPr>
              <w:rFonts w:ascii="Cambria Math" w:hAnsi="Cambria Math"/>
              <w:color w:val="000000" w:themeColor="text1"/>
            </w:rPr>
            <m:t>=1.0</m:t>
          </m:r>
          <m:r>
            <m:rPr>
              <m:sty m:val="p"/>
            </m:rPr>
            <w:rPr>
              <w:rFonts w:ascii="Cambria Math" w:hAnsi="Cambria Math"/>
              <w:color w:val="000000" w:themeColor="text1"/>
            </w:rPr>
            <w:br/>
          </m:r>
        </m:oMath>
      </m:oMathPara>
      <w:r w:rsidR="00DB7536" w:rsidRPr="00091F8C">
        <w:rPr>
          <w:color w:val="000000" w:themeColor="text1"/>
        </w:rPr>
        <w:tab/>
      </w:r>
      <w:r w:rsidR="00DB7536" w:rsidRPr="00091F8C">
        <w:rPr>
          <w:color w:val="000000" w:themeColor="text1"/>
        </w:rPr>
        <w:tab/>
      </w:r>
      <w:r w:rsidR="00DB7536" w:rsidRPr="00091F8C">
        <w:rPr>
          <w:color w:val="000000" w:themeColor="text1"/>
        </w:rPr>
        <w:tab/>
      </w:r>
      <w:r w:rsidR="00DB7536" w:rsidRPr="00091F8C">
        <w:rPr>
          <w:color w:val="000000" w:themeColor="text1"/>
        </w:rPr>
        <w:tab/>
      </w:r>
      <w:r w:rsidR="00DB7536" w:rsidRPr="00091F8C">
        <w:rPr>
          <w:color w:val="000000" w:themeColor="text1"/>
        </w:rPr>
        <w:tab/>
        <w:t>(1</w:t>
      </w:r>
      <w:r w:rsidR="004F4236" w:rsidRPr="00091F8C">
        <w:rPr>
          <w:color w:val="000000" w:themeColor="text1"/>
        </w:rPr>
        <w:t>1</w:t>
      </w:r>
      <w:r w:rsidR="00DB7536" w:rsidRPr="00091F8C">
        <w:rPr>
          <w:color w:val="000000" w:themeColor="text1"/>
        </w:rPr>
        <w:t>)</w:t>
      </w:r>
    </w:p>
    <w:p w14:paraId="6A0B5355" w14:textId="77777777" w:rsidR="00A74C5C" w:rsidRPr="00091F8C" w:rsidRDefault="00A74C5C" w:rsidP="00A74C5C">
      <w:pPr>
        <w:jc w:val="left"/>
        <w:rPr>
          <w:color w:val="000000" w:themeColor="text1"/>
        </w:rPr>
      </w:pPr>
      <w:r w:rsidRPr="00091F8C">
        <w:rPr>
          <w:color w:val="000000" w:themeColor="text1"/>
        </w:rPr>
        <w:t>Equation (1</w:t>
      </w:r>
      <w:r w:rsidR="004F4236" w:rsidRPr="00091F8C">
        <w:rPr>
          <w:color w:val="000000" w:themeColor="text1"/>
        </w:rPr>
        <w:t>1</w:t>
      </w:r>
      <w:r w:rsidRPr="00091F8C">
        <w:rPr>
          <w:color w:val="000000" w:themeColor="text1"/>
        </w:rPr>
        <w:t>) shows that DDAS is a percentage of total recoverable material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r>
          <w:rPr>
            <w:rFonts w:ascii="Cambria Math" w:hAnsi="Cambria Math"/>
            <w:color w:val="000000" w:themeColor="text1"/>
          </w:rPr>
          <m:t>)</m:t>
        </m:r>
      </m:oMath>
      <w:r w:rsidRPr="00091F8C">
        <w:rPr>
          <w:color w:val="000000" w:themeColor="text1"/>
        </w:rPr>
        <w:t xml:space="preserve"> to the total quantity of material used in building. Therefore,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r>
          <w:rPr>
            <w:rFonts w:ascii="Cambria Math" w:hAnsi="Cambria Math"/>
            <w:color w:val="000000" w:themeColor="text1"/>
          </w:rPr>
          <m:t xml:space="preserve"> </m:t>
        </m:r>
      </m:oMath>
      <w:r w:rsidRPr="00091F8C">
        <w:rPr>
          <w:color w:val="000000" w:themeColor="text1"/>
        </w:rPr>
        <w:t>could be calculated as:</w:t>
      </w:r>
    </w:p>
    <w:p w14:paraId="4F88D924" w14:textId="77777777" w:rsidR="00A74C5C" w:rsidRPr="00091F8C" w:rsidRDefault="009D3111" w:rsidP="00A74C5C">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q</m:t>
            </m:r>
          </m:sub>
        </m:sSub>
        <m:r>
          <w:rPr>
            <w:rFonts w:ascii="Cambria Math" w:hAnsi="Cambria Math"/>
            <w:color w:val="000000" w:themeColor="text1"/>
          </w:rPr>
          <m:t>×DDAS</m:t>
        </m:r>
      </m:oMath>
      <w:r w:rsidR="00A74C5C" w:rsidRPr="00091F8C">
        <w:rPr>
          <w:color w:val="000000" w:themeColor="text1"/>
        </w:rPr>
        <w:tab/>
      </w:r>
      <w:r w:rsidR="00A74C5C" w:rsidRPr="00091F8C">
        <w:rPr>
          <w:color w:val="000000" w:themeColor="text1"/>
        </w:rPr>
        <w:tab/>
      </w:r>
      <w:r w:rsidR="00A74C5C" w:rsidRPr="00091F8C">
        <w:rPr>
          <w:color w:val="000000" w:themeColor="text1"/>
        </w:rPr>
        <w:tab/>
      </w:r>
      <w:r w:rsidR="00A74C5C" w:rsidRPr="00091F8C">
        <w:rPr>
          <w:color w:val="000000" w:themeColor="text1"/>
        </w:rPr>
        <w:tab/>
      </w:r>
      <w:r w:rsidR="00A74C5C" w:rsidRPr="00091F8C">
        <w:rPr>
          <w:color w:val="000000" w:themeColor="text1"/>
        </w:rPr>
        <w:tab/>
        <w:t>(</w:t>
      </w:r>
      <w:r w:rsidR="004F4236" w:rsidRPr="00091F8C">
        <w:rPr>
          <w:color w:val="000000" w:themeColor="text1"/>
        </w:rPr>
        <w:t>12</w:t>
      </w:r>
      <w:r w:rsidR="00A74C5C" w:rsidRPr="00091F8C">
        <w:rPr>
          <w:color w:val="000000" w:themeColor="text1"/>
        </w:rPr>
        <w:t>)</w:t>
      </w:r>
    </w:p>
    <w:p w14:paraId="4FFF1E2F" w14:textId="77777777" w:rsidR="00DB7536" w:rsidRPr="00091F8C" w:rsidRDefault="00DB7536" w:rsidP="00DB7536">
      <w:pPr>
        <w:rPr>
          <w:color w:val="000000" w:themeColor="text1"/>
        </w:rPr>
      </w:pPr>
      <w:r w:rsidRPr="00091F8C">
        <w:rPr>
          <w:color w:val="000000" w:themeColor="text1"/>
        </w:rPr>
        <w:t xml:space="preserve">Meanwhile, it is impractical to calculate DAS score for individual constituent of a building structure because building elements are matrix of interacting objects. As such, DAS score will be calculated for the entire building. This is done using a sum of </w:t>
      </w:r>
      <w:proofErr w:type="spellStart"/>
      <w:r w:rsidRPr="00091F8C">
        <w:rPr>
          <w:color w:val="000000" w:themeColor="text1"/>
        </w:rPr>
        <w:t>Deconstructability</w:t>
      </w:r>
      <w:proofErr w:type="spellEnd"/>
      <w:r w:rsidRPr="00091F8C">
        <w:rPr>
          <w:color w:val="000000" w:themeColor="text1"/>
        </w:rPr>
        <w:t xml:space="preserve"> score (</w:t>
      </w:r>
      <w:proofErr w:type="spellStart"/>
      <w:r w:rsidRPr="00091F8C">
        <w:rPr>
          <w:i/>
          <w:color w:val="000000" w:themeColor="text1"/>
        </w:rPr>
        <w:t>D</w:t>
      </w:r>
      <w:r w:rsidRPr="00091F8C">
        <w:rPr>
          <w:i/>
          <w:color w:val="000000" w:themeColor="text1"/>
          <w:vertAlign w:val="subscript"/>
        </w:rPr>
        <w:t>score</w:t>
      </w:r>
      <w:proofErr w:type="spellEnd"/>
      <w:r w:rsidRPr="00091F8C">
        <w:rPr>
          <w:color w:val="000000" w:themeColor="text1"/>
        </w:rPr>
        <w:t>) and Recovery score (</w:t>
      </w:r>
      <w:proofErr w:type="spellStart"/>
      <w:r w:rsidRPr="00091F8C">
        <w:rPr>
          <w:i/>
          <w:color w:val="000000" w:themeColor="text1"/>
        </w:rPr>
        <w:t>R</w:t>
      </w:r>
      <w:r w:rsidRPr="00091F8C">
        <w:rPr>
          <w:i/>
          <w:color w:val="000000" w:themeColor="text1"/>
          <w:vertAlign w:val="subscript"/>
        </w:rPr>
        <w:t>score</w:t>
      </w:r>
      <w:proofErr w:type="spellEnd"/>
      <w:r w:rsidRPr="00091F8C">
        <w:rPr>
          <w:color w:val="000000" w:themeColor="text1"/>
        </w:rPr>
        <w:t xml:space="preserve">) as shown in </w:t>
      </w:r>
      <w:r w:rsidR="009E5DCB" w:rsidRPr="00091F8C">
        <w:rPr>
          <w:color w:val="000000" w:themeColor="text1"/>
        </w:rPr>
        <w:t>Figure 5</w:t>
      </w:r>
      <w:r w:rsidRPr="00091F8C">
        <w:rPr>
          <w:color w:val="000000" w:themeColor="text1"/>
        </w:rPr>
        <w:t xml:space="preserve">. </w:t>
      </w:r>
      <w:proofErr w:type="spellStart"/>
      <w:r w:rsidRPr="00091F8C">
        <w:rPr>
          <w:i/>
          <w:color w:val="000000" w:themeColor="text1"/>
        </w:rPr>
        <w:t>D</w:t>
      </w:r>
      <w:r w:rsidRPr="00091F8C">
        <w:rPr>
          <w:i/>
          <w:color w:val="000000" w:themeColor="text1"/>
          <w:vertAlign w:val="subscript"/>
        </w:rPr>
        <w:t>score</w:t>
      </w:r>
      <w:proofErr w:type="spellEnd"/>
      <w:r w:rsidRPr="00091F8C">
        <w:rPr>
          <w:color w:val="000000" w:themeColor="text1"/>
        </w:rPr>
        <w:t xml:space="preserve"> determines the extent to which a building could be disassembled for reuse or relocation while </w:t>
      </w:r>
      <w:proofErr w:type="spellStart"/>
      <w:r w:rsidRPr="00091F8C">
        <w:rPr>
          <w:i/>
          <w:color w:val="000000" w:themeColor="text1"/>
        </w:rPr>
        <w:t>R</w:t>
      </w:r>
      <w:r w:rsidRPr="00091F8C">
        <w:rPr>
          <w:i/>
          <w:color w:val="000000" w:themeColor="text1"/>
          <w:vertAlign w:val="subscript"/>
        </w:rPr>
        <w:t>Score</w:t>
      </w:r>
      <w:proofErr w:type="spellEnd"/>
      <w:r w:rsidRPr="00091F8C">
        <w:rPr>
          <w:color w:val="000000" w:themeColor="text1"/>
        </w:rPr>
        <w:t xml:space="preserve"> represents the ease of material recovery </w:t>
      </w:r>
      <w:r w:rsidR="0009377F" w:rsidRPr="00091F8C">
        <w:rPr>
          <w:color w:val="000000" w:themeColor="text1"/>
        </w:rPr>
        <w:t xml:space="preserve">and reuse </w:t>
      </w:r>
      <w:r w:rsidRPr="00091F8C">
        <w:rPr>
          <w:color w:val="000000" w:themeColor="text1"/>
        </w:rPr>
        <w:t>after end of life of</w:t>
      </w:r>
      <w:r w:rsidR="002049AB" w:rsidRPr="00091F8C">
        <w:rPr>
          <w:color w:val="000000" w:themeColor="text1"/>
        </w:rPr>
        <w:t xml:space="preserve"> the</w:t>
      </w:r>
      <w:r w:rsidRPr="00091F8C">
        <w:rPr>
          <w:color w:val="000000" w:themeColor="text1"/>
        </w:rPr>
        <w:t xml:space="preserve"> building.</w:t>
      </w:r>
      <w:r w:rsidR="00466D57" w:rsidRPr="00091F8C">
        <w:rPr>
          <w:color w:val="000000" w:themeColor="text1"/>
        </w:rPr>
        <w:t xml:space="preserve"> </w:t>
      </w:r>
      <w:r w:rsidR="00C17ABA" w:rsidRPr="00091F8C">
        <w:rPr>
          <w:color w:val="000000" w:themeColor="text1"/>
        </w:rPr>
        <w:t>Although there are certain issues that bothers on the concept of materials reuse</w:t>
      </w:r>
      <w:r w:rsidR="00251F6F" w:rsidRPr="00091F8C">
        <w:rPr>
          <w:color w:val="000000" w:themeColor="text1"/>
        </w:rPr>
        <w:t xml:space="preserve"> and recyclability</w:t>
      </w:r>
      <w:r w:rsidR="00C17ABA" w:rsidRPr="00091F8C">
        <w:rPr>
          <w:color w:val="000000" w:themeColor="text1"/>
        </w:rPr>
        <w:t>. In particular, t</w:t>
      </w:r>
      <w:r w:rsidR="00AE0CB3" w:rsidRPr="00091F8C">
        <w:rPr>
          <w:color w:val="000000" w:themeColor="text1"/>
        </w:rPr>
        <w:t xml:space="preserve">he area of residual performance, </w:t>
      </w:r>
      <w:r w:rsidR="001A75B8" w:rsidRPr="00091F8C">
        <w:rPr>
          <w:color w:val="000000" w:themeColor="text1"/>
        </w:rPr>
        <w:t>recertification,</w:t>
      </w:r>
      <w:r w:rsidR="00AE0CB3" w:rsidRPr="00091F8C">
        <w:rPr>
          <w:color w:val="000000" w:themeColor="text1"/>
        </w:rPr>
        <w:t xml:space="preserve"> and legal warranties </w:t>
      </w:r>
      <w:r w:rsidR="00C17ABA" w:rsidRPr="00091F8C">
        <w:rPr>
          <w:color w:val="000000" w:themeColor="text1"/>
        </w:rPr>
        <w:t xml:space="preserve">of </w:t>
      </w:r>
      <w:r w:rsidR="00350E75" w:rsidRPr="00091F8C">
        <w:rPr>
          <w:color w:val="000000" w:themeColor="text1"/>
        </w:rPr>
        <w:t xml:space="preserve">recovered </w:t>
      </w:r>
      <w:r w:rsidR="00C17ABA" w:rsidRPr="00091F8C">
        <w:rPr>
          <w:color w:val="000000" w:themeColor="text1"/>
        </w:rPr>
        <w:t>building elements after several years of usage</w:t>
      </w:r>
      <w:r w:rsidR="001A75B8" w:rsidRPr="00091F8C">
        <w:rPr>
          <w:color w:val="000000" w:themeColor="text1"/>
        </w:rPr>
        <w:t xml:space="preserve"> (</w:t>
      </w:r>
      <w:proofErr w:type="spellStart"/>
      <w:r w:rsidR="001A75B8" w:rsidRPr="00091F8C">
        <w:rPr>
          <w:color w:val="000000" w:themeColor="text1"/>
        </w:rPr>
        <w:t>Kibert</w:t>
      </w:r>
      <w:proofErr w:type="spellEnd"/>
      <w:r w:rsidR="001A75B8" w:rsidRPr="00091F8C">
        <w:rPr>
          <w:color w:val="000000" w:themeColor="text1"/>
        </w:rPr>
        <w:t xml:space="preserve"> </w:t>
      </w:r>
      <w:r w:rsidR="001A75B8" w:rsidRPr="00091F8C">
        <w:rPr>
          <w:i/>
          <w:color w:val="000000" w:themeColor="text1"/>
        </w:rPr>
        <w:t xml:space="preserve">et al., </w:t>
      </w:r>
      <w:r w:rsidR="001A75B8" w:rsidRPr="00091F8C">
        <w:rPr>
          <w:color w:val="000000" w:themeColor="text1"/>
        </w:rPr>
        <w:t>2001)</w:t>
      </w:r>
      <w:r w:rsidR="00C17ABA" w:rsidRPr="00091F8C">
        <w:rPr>
          <w:color w:val="000000" w:themeColor="text1"/>
        </w:rPr>
        <w:t xml:space="preserve">. </w:t>
      </w:r>
      <w:r w:rsidR="00350E75" w:rsidRPr="00091F8C">
        <w:rPr>
          <w:color w:val="000000" w:themeColor="text1"/>
        </w:rPr>
        <w:t>For example, e</w:t>
      </w:r>
      <w:r w:rsidR="00C17ABA" w:rsidRPr="00091F8C">
        <w:rPr>
          <w:color w:val="000000" w:themeColor="text1"/>
        </w:rPr>
        <w:t xml:space="preserve">vidence shows that recovered elements such as wood cannot be regraded and can only be used for low market applications and non-structural use (Falk, 2002). With this in mind, this study is based on the presupposition that the reusability </w:t>
      </w:r>
      <w:r w:rsidR="00251F6F" w:rsidRPr="00091F8C">
        <w:rPr>
          <w:color w:val="000000" w:themeColor="text1"/>
        </w:rPr>
        <w:t xml:space="preserve">and recyclability </w:t>
      </w:r>
      <w:r w:rsidR="00C17ABA" w:rsidRPr="00091F8C">
        <w:rPr>
          <w:color w:val="000000" w:themeColor="text1"/>
        </w:rPr>
        <w:t>of building elements could be determined during design and that the value of building items is retained at the end of life.</w:t>
      </w:r>
      <w:r w:rsidR="00350E75" w:rsidRPr="00091F8C">
        <w:rPr>
          <w:color w:val="000000" w:themeColor="text1"/>
        </w:rPr>
        <w:t xml:space="preserve"> As impractical as this may be, it provides a grip on achieving the objectives of the current study.</w:t>
      </w:r>
    </w:p>
    <w:p w14:paraId="0935BE54" w14:textId="77777777" w:rsidR="00A002E4" w:rsidRPr="00091F8C" w:rsidRDefault="00C43D45" w:rsidP="00A002E4">
      <w:pPr>
        <w:jc w:val="center"/>
        <w:rPr>
          <w:color w:val="000000" w:themeColor="text1"/>
        </w:rPr>
      </w:pPr>
      <w:bookmarkStart w:id="6" w:name="_Ref423348568"/>
      <w:r w:rsidRPr="00091F8C">
        <w:rPr>
          <w:noProof/>
          <w:color w:val="000000" w:themeColor="text1"/>
          <w:lang w:val="en-US"/>
        </w:rPr>
        <w:lastRenderedPageBreak/>
        <w:drawing>
          <wp:inline distT="0" distB="0" distL="0" distR="0" wp14:anchorId="48B2C7F1" wp14:editId="0DAD4B3C">
            <wp:extent cx="4600575" cy="2686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686050"/>
                    </a:xfrm>
                    <a:prstGeom prst="rect">
                      <a:avLst/>
                    </a:prstGeom>
                    <a:noFill/>
                    <a:ln>
                      <a:noFill/>
                    </a:ln>
                  </pic:spPr>
                </pic:pic>
              </a:graphicData>
            </a:graphic>
          </wp:inline>
        </w:drawing>
      </w:r>
    </w:p>
    <w:p w14:paraId="6DD35A67" w14:textId="77777777" w:rsidR="00DB7536" w:rsidRPr="00091F8C" w:rsidRDefault="00DB7536" w:rsidP="00A002E4">
      <w:pPr>
        <w:jc w:val="center"/>
        <w:rPr>
          <w:color w:val="000000" w:themeColor="text1"/>
        </w:rPr>
      </w:pPr>
      <w:r w:rsidRPr="00091F8C">
        <w:rPr>
          <w:color w:val="000000" w:themeColor="text1"/>
        </w:rPr>
        <w:t>Figure</w:t>
      </w:r>
      <w:bookmarkEnd w:id="6"/>
      <w:r w:rsidR="009E5DCB" w:rsidRPr="00091F8C">
        <w:rPr>
          <w:color w:val="000000" w:themeColor="text1"/>
        </w:rPr>
        <w:t xml:space="preserve"> 5</w:t>
      </w:r>
      <w:r w:rsidRPr="00091F8C">
        <w:rPr>
          <w:color w:val="000000" w:themeColor="text1"/>
        </w:rPr>
        <w:t>: Parameters for Calculating DAS for Subsystem</w:t>
      </w:r>
    </w:p>
    <w:p w14:paraId="604022F8" w14:textId="77777777" w:rsidR="00DB7536" w:rsidRPr="00091F8C" w:rsidRDefault="00DB7536" w:rsidP="00DB7536">
      <w:pPr>
        <w:rPr>
          <w:color w:val="000000" w:themeColor="text1"/>
        </w:rPr>
      </w:pPr>
      <w:r w:rsidRPr="00091F8C">
        <w:rPr>
          <w:color w:val="000000" w:themeColor="text1"/>
        </w:rPr>
        <w:t xml:space="preserve">Separating DAS score into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score</m:t>
            </m:r>
          </m:sub>
        </m:sSub>
      </m:oMath>
      <w:r w:rsidRPr="00091F8C">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score</m:t>
            </m:r>
          </m:sub>
        </m:sSub>
      </m:oMath>
      <w:r w:rsidRPr="00091F8C">
        <w:rPr>
          <w:color w:val="000000" w:themeColor="text1"/>
        </w:rPr>
        <w:t xml:space="preserve"> is because Crowther </w:t>
      </w:r>
      <w:r w:rsidRPr="00091F8C">
        <w:rPr>
          <w:noProof/>
          <w:color w:val="000000" w:themeColor="text1"/>
        </w:rPr>
        <w:t>(2005)</w:t>
      </w:r>
      <w:r w:rsidRPr="00091F8C">
        <w:rPr>
          <w:color w:val="000000" w:themeColor="text1"/>
        </w:rPr>
        <w:t xml:space="preserve"> highlighted that not all principles that guarantees material reusability or recyclability contribute towards building deconstructability. In the same way, there are principles that encourages deconstructability but do not guarantee that the material recovered will be useful. For example, specifying materials without secondary materials enables reusability but does not contribute to building deconstructability. Using this approach, the DAS score could be computed as a weighted sum of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score</m:t>
            </m:r>
          </m:sub>
        </m:sSub>
      </m:oMath>
      <w:r w:rsidRPr="00091F8C">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score</m:t>
            </m:r>
          </m:sub>
        </m:sSub>
      </m:oMath>
      <w:r w:rsidRPr="00091F8C">
        <w:rPr>
          <w:color w:val="000000" w:themeColor="text1"/>
        </w:rPr>
        <w:t>, i.e.:</w:t>
      </w:r>
    </w:p>
    <w:p w14:paraId="178A602F" w14:textId="77777777" w:rsidR="00DB7536" w:rsidRPr="00091F8C" w:rsidRDefault="00DB7536" w:rsidP="00DB7536">
      <w:pPr>
        <w:jc w:val="right"/>
        <w:rPr>
          <w:color w:val="000000" w:themeColor="text1"/>
        </w:rPr>
      </w:pPr>
      <m:oMath>
        <m:r>
          <w:rPr>
            <w:rFonts w:ascii="Cambria Math" w:hAnsi="Cambria Math"/>
            <w:color w:val="000000" w:themeColor="text1"/>
          </w:rPr>
          <m:t>DAS</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αD</m:t>
            </m:r>
          </m:e>
          <m:sub>
            <m:r>
              <w:rPr>
                <w:rFonts w:ascii="Cambria Math" w:hAnsi="Cambria Math"/>
                <w:color w:val="000000" w:themeColor="text1"/>
              </w:rPr>
              <m:t>score</m:t>
            </m:r>
          </m:sub>
        </m:sSub>
        <m:r>
          <m:rPr>
            <m:sty m:val="p"/>
          </m:rPr>
          <w:rPr>
            <w:rFonts w:ascii="Cambria Math" w:hAnsi="Cambria Math"/>
            <w:color w:val="000000" w:themeColor="text1"/>
          </w:rPr>
          <m:t>+</m:t>
        </m:r>
        <m:r>
          <w:rPr>
            <w:rFonts w:ascii="Cambria Math" w:hAnsi="Cambria Math"/>
            <w:color w:val="000000" w:themeColor="text1"/>
          </w:rPr>
          <m:t>β</m:t>
        </m:r>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score</m:t>
            </m:r>
          </m:sub>
        </m:sSub>
      </m:oMath>
      <w:r w:rsidRPr="00091F8C">
        <w:rPr>
          <w:color w:val="000000" w:themeColor="text1"/>
        </w:rPr>
        <w:tab/>
      </w:r>
      <w:r w:rsidRPr="00091F8C">
        <w:rPr>
          <w:color w:val="000000" w:themeColor="text1"/>
        </w:rPr>
        <w:tab/>
      </w:r>
      <w:r w:rsidRPr="00091F8C">
        <w:rPr>
          <w:color w:val="000000" w:themeColor="text1"/>
        </w:rPr>
        <w:tab/>
      </w:r>
      <w:r w:rsidRPr="00091F8C">
        <w:rPr>
          <w:color w:val="000000" w:themeColor="text1"/>
        </w:rPr>
        <w:tab/>
        <w:t>(1</w:t>
      </w:r>
      <w:r w:rsidR="004F4236" w:rsidRPr="00091F8C">
        <w:rPr>
          <w:color w:val="000000" w:themeColor="text1"/>
        </w:rPr>
        <w:t>3</w:t>
      </w:r>
      <w:r w:rsidRPr="00091F8C">
        <w:rPr>
          <w:color w:val="000000" w:themeColor="text1"/>
        </w:rPr>
        <w:t>)</w:t>
      </w:r>
    </w:p>
    <w:p w14:paraId="3298A79E" w14:textId="77777777" w:rsidR="00DB7536" w:rsidRPr="00091F8C" w:rsidRDefault="00DB7536" w:rsidP="00DB7536">
      <w:pPr>
        <w:rPr>
          <w:color w:val="000000" w:themeColor="text1"/>
        </w:rPr>
      </w:pPr>
      <w:r w:rsidRPr="00091F8C">
        <w:rPr>
          <w:color w:val="000000" w:themeColor="text1"/>
        </w:rPr>
        <w:t xml:space="preserve">The maximum value for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score</m:t>
            </m:r>
          </m:sub>
        </m:sSub>
      </m:oMath>
      <w:r w:rsidRPr="00091F8C">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score</m:t>
            </m:r>
          </m:sub>
        </m:sSub>
      </m:oMath>
      <w:r w:rsidRPr="00091F8C">
        <w:rPr>
          <w:color w:val="000000" w:themeColor="text1"/>
        </w:rPr>
        <w:t xml:space="preserve"> is also set at 1.0. Parameters </w:t>
      </w:r>
      <m:oMath>
        <m:r>
          <w:rPr>
            <w:rFonts w:ascii="Cambria Math" w:hAnsi="Cambria Math"/>
            <w:color w:val="000000" w:themeColor="text1"/>
          </w:rPr>
          <m:t xml:space="preserve">α and  β </m:t>
        </m:r>
      </m:oMath>
      <w:r w:rsidRPr="00091F8C">
        <w:rPr>
          <w:color w:val="000000" w:themeColor="text1"/>
        </w:rPr>
        <w:t xml:space="preserve">are the weighting function that determines the level of significance of the constituents of </w:t>
      </w:r>
      <w:r w:rsidRPr="00091F8C">
        <w:rPr>
          <w:i/>
          <w:color w:val="000000" w:themeColor="text1"/>
        </w:rPr>
        <w:t>DAS</w:t>
      </w:r>
      <w:r w:rsidRPr="00091F8C">
        <w:rPr>
          <w:color w:val="000000" w:themeColor="text1"/>
        </w:rPr>
        <w:t>. In this study, the same level of significance of 0.5 was assumed for the individual scores, i.e.:</w:t>
      </w:r>
    </w:p>
    <w:p w14:paraId="2563293F" w14:textId="77777777" w:rsidR="00DB7536" w:rsidRPr="00091F8C" w:rsidRDefault="00DB7536" w:rsidP="00DB7536">
      <w:pPr>
        <w:jc w:val="right"/>
        <w:rPr>
          <w:color w:val="000000" w:themeColor="text1"/>
        </w:rPr>
      </w:pPr>
      <m:oMath>
        <m:r>
          <w:rPr>
            <w:rFonts w:ascii="Cambria Math" w:hAnsi="Cambria Math"/>
            <w:color w:val="000000" w:themeColor="text1"/>
          </w:rPr>
          <m:t>DAS</m:t>
        </m:r>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0.5</m:t>
            </m:r>
            <m:r>
              <w:rPr>
                <w:rFonts w:ascii="Cambria Math" w:hAnsi="Cambria Math"/>
                <w:color w:val="000000" w:themeColor="text1"/>
              </w:rPr>
              <m:t>D</m:t>
            </m:r>
          </m:e>
          <m:sub>
            <m:r>
              <w:rPr>
                <w:rFonts w:ascii="Cambria Math" w:hAnsi="Cambria Math"/>
                <w:color w:val="000000" w:themeColor="text1"/>
              </w:rPr>
              <m:t>score</m:t>
            </m:r>
          </m:sub>
        </m:sSub>
        <m:r>
          <m:rPr>
            <m:sty m:val="p"/>
          </m:rPr>
          <w:rPr>
            <w:rFonts w:ascii="Cambria Math" w:hAnsi="Cambria Math"/>
            <w:color w:val="000000" w:themeColor="text1"/>
          </w:rPr>
          <m:t>+0.5</m:t>
        </m:r>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score</m:t>
            </m:r>
          </m:sub>
        </m:sSub>
      </m:oMath>
      <w:r w:rsidR="004F4236" w:rsidRPr="00091F8C">
        <w:rPr>
          <w:color w:val="000000" w:themeColor="text1"/>
        </w:rPr>
        <w:tab/>
      </w:r>
      <w:r w:rsidR="004F4236" w:rsidRPr="00091F8C">
        <w:rPr>
          <w:color w:val="000000" w:themeColor="text1"/>
        </w:rPr>
        <w:tab/>
      </w:r>
      <w:r w:rsidR="004F4236" w:rsidRPr="00091F8C">
        <w:rPr>
          <w:color w:val="000000" w:themeColor="text1"/>
        </w:rPr>
        <w:tab/>
        <w:t>(14</w:t>
      </w:r>
      <w:r w:rsidRPr="00091F8C">
        <w:rPr>
          <w:color w:val="000000" w:themeColor="text1"/>
        </w:rPr>
        <w:t>)</w:t>
      </w:r>
    </w:p>
    <w:p w14:paraId="68322F59" w14:textId="77777777" w:rsidR="00DB7536" w:rsidRPr="00091F8C" w:rsidRDefault="00DB7536" w:rsidP="00DB7536">
      <w:pPr>
        <w:rPr>
          <w:color w:val="000000" w:themeColor="text1"/>
        </w:rPr>
      </w:pPr>
      <w:r w:rsidRPr="00091F8C">
        <w:rPr>
          <w:color w:val="000000" w:themeColor="text1"/>
        </w:rPr>
        <w:lastRenderedPageBreak/>
        <w:t xml:space="preserve">Although, assuming the same weight for the two factors may be impractical as </w:t>
      </w: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score</m:t>
            </m:r>
          </m:sub>
        </m:sSub>
      </m:oMath>
      <w:r w:rsidRPr="00091F8C">
        <w:rPr>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score</m:t>
            </m:r>
          </m:sub>
        </m:sSub>
      </m:oMath>
      <w:r w:rsidRPr="00091F8C">
        <w:rPr>
          <w:color w:val="000000" w:themeColor="text1"/>
        </w:rPr>
        <w:t xml:space="preserve"> may have varying level of significance, yet this assumption provides a reference point for computing </w:t>
      </w:r>
      <w:r w:rsidRPr="00091F8C">
        <w:rPr>
          <w:i/>
          <w:color w:val="000000" w:themeColor="text1"/>
        </w:rPr>
        <w:t>DAS</w:t>
      </w:r>
      <w:r w:rsidRPr="00091F8C">
        <w:rPr>
          <w:color w:val="000000" w:themeColor="text1"/>
        </w:rPr>
        <w:t xml:space="preserve"> score. Based on the assertion that every object in a building model can be uniquely identified and described, the constituents of </w:t>
      </w:r>
      <w:r w:rsidRPr="00091F8C">
        <w:rPr>
          <w:i/>
          <w:color w:val="000000" w:themeColor="text1"/>
        </w:rPr>
        <w:t>DAS</w:t>
      </w:r>
      <w:r w:rsidRPr="00091F8C">
        <w:rPr>
          <w:color w:val="000000" w:themeColor="text1"/>
        </w:rPr>
        <w:t xml:space="preserve"> score for subsystems can be computed as follows:</w:t>
      </w:r>
    </w:p>
    <w:p w14:paraId="684F64E3" w14:textId="77777777" w:rsidR="00DB7536" w:rsidRPr="00091F8C" w:rsidRDefault="009D3111" w:rsidP="00DB7536">
      <w:pPr>
        <w:jc w:val="right"/>
        <w:rPr>
          <w:color w:val="000000" w:themeColor="text1"/>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D</m:t>
            </m:r>
          </m:e>
          <m:sub>
            <m:r>
              <w:rPr>
                <w:rFonts w:ascii="Cambria Math" w:hAnsi="Cambria Math"/>
                <w:color w:val="000000" w:themeColor="text1"/>
                <w:sz w:val="28"/>
                <w:szCs w:val="28"/>
              </w:rPr>
              <m:t>score</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t</m:t>
                </m:r>
              </m:e>
              <m:sub>
                <m:r>
                  <w:rPr>
                    <w:rFonts w:ascii="Cambria Math" w:hAnsi="Cambria Math"/>
                    <w:color w:val="000000" w:themeColor="text1"/>
                    <w:sz w:val="28"/>
                    <w:szCs w:val="28"/>
                  </w:rPr>
                  <m:t>n</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d</m:t>
                </m:r>
              </m:e>
              <m:sub>
                <m:r>
                  <w:rPr>
                    <w:rFonts w:ascii="Cambria Math" w:hAnsi="Cambria Math"/>
                    <w:color w:val="000000" w:themeColor="text1"/>
                    <w:sz w:val="28"/>
                    <w:szCs w:val="28"/>
                  </w:rPr>
                  <m:t>c</m:t>
                </m:r>
              </m:sub>
            </m:sSub>
            <m:r>
              <m:rPr>
                <m:sty m:val="p"/>
              </m:rP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P</m:t>
                </m:r>
              </m:sub>
            </m:sSub>
          </m:num>
          <m:den>
            <m:r>
              <m:rPr>
                <m:sty m:val="p"/>
              </m:rPr>
              <w:rPr>
                <w:rFonts w:ascii="Cambria Math" w:hAnsi="Cambria Math"/>
                <w:color w:val="000000" w:themeColor="text1"/>
                <w:sz w:val="28"/>
                <w:szCs w:val="28"/>
              </w:rPr>
              <m:t>3</m:t>
            </m:r>
          </m:den>
        </m:f>
      </m:oMath>
      <w:r w:rsidR="00DB7536" w:rsidRPr="00091F8C">
        <w:rPr>
          <w:color w:val="000000" w:themeColor="text1"/>
          <w:sz w:val="38"/>
        </w:rPr>
        <w:t xml:space="preserve"> </w:t>
      </w:r>
      <w:r w:rsidR="00DB7536" w:rsidRPr="00091F8C">
        <w:rPr>
          <w:color w:val="000000" w:themeColor="text1"/>
        </w:rPr>
        <w:tab/>
      </w:r>
      <w:r w:rsidR="00DB7536" w:rsidRPr="00091F8C">
        <w:rPr>
          <w:color w:val="000000" w:themeColor="text1"/>
        </w:rPr>
        <w:tab/>
      </w:r>
      <w:r w:rsidR="003E127E" w:rsidRPr="00091F8C">
        <w:rPr>
          <w:color w:val="000000" w:themeColor="text1"/>
        </w:rPr>
        <w:tab/>
      </w:r>
      <w:r w:rsidR="00DB7536" w:rsidRPr="00091F8C">
        <w:rPr>
          <w:color w:val="000000" w:themeColor="text1"/>
        </w:rPr>
        <w:tab/>
      </w:r>
      <w:r w:rsidR="00DB7536" w:rsidRPr="00091F8C">
        <w:rPr>
          <w:color w:val="000000" w:themeColor="text1"/>
        </w:rPr>
        <w:tab/>
        <w:t>(1</w:t>
      </w:r>
      <w:r w:rsidR="004F4236" w:rsidRPr="00091F8C">
        <w:rPr>
          <w:color w:val="000000" w:themeColor="text1"/>
        </w:rPr>
        <w:t>5</w:t>
      </w:r>
      <w:r w:rsidR="00DB7536" w:rsidRPr="00091F8C">
        <w:rPr>
          <w:color w:val="000000" w:themeColor="text1"/>
        </w:rPr>
        <w:t>)</w:t>
      </w:r>
    </w:p>
    <w:p w14:paraId="48DE4676" w14:textId="77777777" w:rsidR="00DB7536" w:rsidRPr="00091F8C" w:rsidRDefault="009D3111" w:rsidP="00DB7536">
      <w:pPr>
        <w:jc w:val="right"/>
        <w:rPr>
          <w:color w:val="000000" w:themeColor="text1"/>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score</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1</m:t>
                </m:r>
              </m:sub>
            </m:sSub>
            <m:r>
              <m:rPr>
                <m:sty m:val="p"/>
              </m:rP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2</m:t>
                </m:r>
              </m:sub>
            </m:sSub>
            <m:r>
              <m:rPr>
                <m:sty m:val="p"/>
              </m:rP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s</m:t>
                    </m:r>
                  </m:e>
                </m:acc>
              </m:sub>
            </m:sSub>
            <m:r>
              <m:rPr>
                <m:sty m:val="p"/>
              </m:rP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sub>
            </m:sSub>
          </m:num>
          <m:den>
            <m:r>
              <w:rPr>
                <w:rFonts w:ascii="Cambria Math" w:hAnsi="Cambria Math"/>
                <w:color w:val="000000" w:themeColor="text1"/>
                <w:sz w:val="28"/>
                <w:szCs w:val="28"/>
              </w:rPr>
              <m:t>4</m:t>
            </m:r>
          </m:den>
        </m:f>
      </m:oMath>
      <w:r w:rsidR="00DB7536" w:rsidRPr="00091F8C">
        <w:rPr>
          <w:color w:val="000000" w:themeColor="text1"/>
          <w:sz w:val="28"/>
          <w:szCs w:val="28"/>
        </w:rPr>
        <w:t xml:space="preserve"> </w:t>
      </w:r>
      <w:r w:rsidR="00DB7536" w:rsidRPr="00091F8C">
        <w:rPr>
          <w:color w:val="000000" w:themeColor="text1"/>
          <w:sz w:val="28"/>
          <w:szCs w:val="28"/>
        </w:rPr>
        <w:tab/>
      </w:r>
      <w:r w:rsidR="004F4236" w:rsidRPr="00091F8C">
        <w:rPr>
          <w:color w:val="000000" w:themeColor="text1"/>
        </w:rPr>
        <w:tab/>
      </w:r>
      <w:r w:rsidR="004F4236" w:rsidRPr="00091F8C">
        <w:rPr>
          <w:color w:val="000000" w:themeColor="text1"/>
        </w:rPr>
        <w:tab/>
      </w:r>
      <w:r w:rsidR="004F4236" w:rsidRPr="00091F8C">
        <w:rPr>
          <w:color w:val="000000" w:themeColor="text1"/>
        </w:rPr>
        <w:tab/>
        <w:t>(16</w:t>
      </w:r>
      <w:r w:rsidR="00DB7536" w:rsidRPr="00091F8C">
        <w:rPr>
          <w:color w:val="000000" w:themeColor="text1"/>
        </w:rPr>
        <w:t>)</w:t>
      </w:r>
    </w:p>
    <w:p w14:paraId="1241E939" w14:textId="77777777" w:rsidR="00DB7536" w:rsidRPr="00091F8C" w:rsidRDefault="00DB7536" w:rsidP="00DB7536">
      <w:pPr>
        <w:rPr>
          <w:color w:val="000000" w:themeColor="text1"/>
        </w:rPr>
      </w:pPr>
      <w:r w:rsidRPr="00091F8C">
        <w:rPr>
          <w:color w:val="000000" w:themeColor="text1"/>
        </w:rPr>
        <w:t xml:space="preserve">Where: </w:t>
      </w:r>
    </w:p>
    <w:p w14:paraId="059CE6B5" w14:textId="77777777" w:rsidR="00DB7536" w:rsidRPr="00091F8C" w:rsidRDefault="00DB7536" w:rsidP="00DB7536">
      <w:pPr>
        <w:rPr>
          <w:color w:val="000000" w:themeColor="text1"/>
        </w:rPr>
      </w:pPr>
      <w:r w:rsidRPr="00091F8C">
        <w:rPr>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t</m:t>
            </m:r>
          </m:e>
          <m:sub>
            <m:r>
              <w:rPr>
                <w:rFonts w:ascii="Cambria Math" w:hAnsi="Cambria Math"/>
                <w:color w:val="000000" w:themeColor="text1"/>
              </w:rPr>
              <m:t>n</m:t>
            </m:r>
          </m:sub>
        </m:sSub>
      </m:oMath>
      <w:r w:rsidRPr="00091F8C">
        <w:rPr>
          <w:color w:val="000000" w:themeColor="text1"/>
        </w:rPr>
        <w:t xml:space="preserve"> is the material type–number ratio for subsystem and it is calculated as:</w:t>
      </w:r>
    </w:p>
    <w:p w14:paraId="6F4B6DAA" w14:textId="77777777" w:rsidR="00DB7536" w:rsidRPr="00091F8C" w:rsidRDefault="009D3111" w:rsidP="00DB7536">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r>
          <w:rPr>
            <w:rFonts w:ascii="Cambria Math" w:hAnsi="Cambria Math"/>
            <w:color w:val="000000" w:themeColor="text1"/>
          </w:rPr>
          <m:t>=1.0-</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t</m:t>
                </m:r>
              </m:num>
              <m:den>
                <m:r>
                  <w:rPr>
                    <w:rFonts w:ascii="Cambria Math" w:hAnsi="Cambria Math"/>
                    <w:color w:val="000000" w:themeColor="text1"/>
                  </w:rPr>
                  <m:t>n</m:t>
                </m:r>
              </m:den>
            </m:f>
          </m:e>
        </m:d>
      </m:oMath>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t>(17</w:t>
      </w:r>
      <w:r w:rsidR="00DB7536" w:rsidRPr="00091F8C">
        <w:rPr>
          <w:color w:val="000000" w:themeColor="text1"/>
        </w:rPr>
        <w:t>)</w:t>
      </w:r>
    </w:p>
    <w:p w14:paraId="3BBB10A3" w14:textId="77777777" w:rsidR="00DB7536" w:rsidRPr="00091F8C" w:rsidRDefault="009D3111" w:rsidP="00DB7536">
      <w:pPr>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c</m:t>
            </m:r>
          </m:sub>
        </m:sSub>
        <m:r>
          <w:rPr>
            <w:rFonts w:ascii="Cambria Math" w:hAnsi="Cambria Math"/>
            <w:color w:val="000000" w:themeColor="text1"/>
          </w:rPr>
          <m:t xml:space="preserve"> </m:t>
        </m:r>
      </m:oMath>
      <w:r w:rsidR="00DB7536" w:rsidRPr="00091F8C">
        <w:rPr>
          <w:color w:val="000000" w:themeColor="text1"/>
        </w:rPr>
        <w:t xml:space="preserve">is the ratio of demountable connections, </w:t>
      </w:r>
      <w:proofErr w:type="gramStart"/>
      <w:r w:rsidR="00DB7536" w:rsidRPr="00091F8C">
        <w:rPr>
          <w:color w:val="000000" w:themeColor="text1"/>
        </w:rPr>
        <w:t>i.e.,</w:t>
      </w:r>
      <w:proofErr w:type="gramEnd"/>
    </w:p>
    <w:p w14:paraId="127A1D0D" w14:textId="77777777" w:rsidR="00DB7536" w:rsidRPr="00091F8C" w:rsidRDefault="009D3111" w:rsidP="00DB7536">
      <w:pPr>
        <w:jc w:val="right"/>
        <w:rPr>
          <w:color w:val="000000" w:themeColor="text1"/>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d</m:t>
            </m:r>
          </m:e>
          <m:sub>
            <m:r>
              <w:rPr>
                <w:rFonts w:ascii="Cambria Math" w:hAnsi="Cambria Math"/>
                <w:color w:val="000000" w:themeColor="text1"/>
                <w:sz w:val="28"/>
                <w:szCs w:val="28"/>
              </w:rPr>
              <m:t>c</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w:rPr>
                    <w:rFonts w:ascii="Cambria Math" w:hAnsi="Cambria Math"/>
                    <w:color w:val="000000" w:themeColor="text1"/>
                    <w:sz w:val="28"/>
                    <w:szCs w:val="28"/>
                  </w:rPr>
                  <m:t>b</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w:rPr>
                    <w:rFonts w:ascii="Cambria Math" w:hAnsi="Cambria Math"/>
                    <w:color w:val="000000" w:themeColor="text1"/>
                    <w:sz w:val="28"/>
                    <w:szCs w:val="28"/>
                  </w:rPr>
                  <m:t>d</m:t>
                </m:r>
              </m:sub>
            </m:sSub>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w:rPr>
                    <w:rFonts w:ascii="Cambria Math" w:hAnsi="Cambria Math"/>
                    <w:color w:val="000000" w:themeColor="text1"/>
                    <w:sz w:val="28"/>
                    <w:szCs w:val="28"/>
                  </w:rPr>
                  <m:t>b</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w:rPr>
                    <w:rFonts w:ascii="Cambria Math" w:hAnsi="Cambria Math"/>
                    <w:color w:val="000000" w:themeColor="text1"/>
                    <w:sz w:val="28"/>
                    <w:szCs w:val="28"/>
                  </w:rPr>
                  <m:t>d</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w:rPr>
                    <w:rFonts w:ascii="Cambria Math" w:hAnsi="Cambria Math"/>
                    <w:color w:val="000000" w:themeColor="text1"/>
                    <w:sz w:val="28"/>
                    <w:szCs w:val="28"/>
                  </w:rPr>
                  <m:t>n</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w:rPr>
                    <w:rFonts w:ascii="Cambria Math" w:hAnsi="Cambria Math"/>
                    <w:color w:val="000000" w:themeColor="text1"/>
                    <w:sz w:val="28"/>
                    <w:szCs w:val="28"/>
                  </w:rPr>
                  <m:t>f</m:t>
                </m:r>
              </m:sub>
            </m:sSub>
          </m:den>
        </m:f>
      </m:oMath>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t>(18</w:t>
      </w:r>
      <w:r w:rsidR="00DB7536" w:rsidRPr="00091F8C">
        <w:rPr>
          <w:color w:val="000000" w:themeColor="text1"/>
        </w:rPr>
        <w:t>)</w:t>
      </w:r>
    </w:p>
    <w:p w14:paraId="71B93B69" w14:textId="77777777" w:rsidR="00DB7536" w:rsidRPr="00091F8C" w:rsidRDefault="009D3111" w:rsidP="00DB7536">
      <w:pPr>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oMath>
      <w:r w:rsidR="00C64F7F" w:rsidRPr="00091F8C">
        <w:rPr>
          <w:color w:val="000000" w:themeColor="text1"/>
          <w:sz w:val="30"/>
          <w:szCs w:val="28"/>
        </w:rPr>
        <w:t xml:space="preserve"> </w:t>
      </w:r>
      <w:r w:rsidR="00DB7536" w:rsidRPr="00091F8C">
        <w:rPr>
          <w:color w:val="000000" w:themeColor="text1"/>
        </w:rPr>
        <w:t>is ratio of prefabricated elements</w:t>
      </w:r>
      <w:r w:rsidR="000636C6" w:rsidRPr="00091F8C">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1</m:t>
            </m:r>
          </m:sub>
        </m:sSub>
      </m:oMath>
      <w:r w:rsidR="00C64F7F" w:rsidRPr="00091F8C">
        <w:rPr>
          <w:color w:val="000000" w:themeColor="text1"/>
          <w:sz w:val="30"/>
          <w:szCs w:val="28"/>
        </w:rPr>
        <w:t xml:space="preserve"> </w:t>
      </w:r>
      <w:r w:rsidR="00DB7536" w:rsidRPr="00091F8C">
        <w:rPr>
          <w:color w:val="000000" w:themeColor="text1"/>
        </w:rPr>
        <w:t xml:space="preserve">is ratio of </w:t>
      </w:r>
      <w:r w:rsidR="00F11C8E" w:rsidRPr="00091F8C">
        <w:rPr>
          <w:color w:val="000000" w:themeColor="text1"/>
        </w:rPr>
        <w:t>reusable</w:t>
      </w:r>
      <w:r w:rsidR="00DB7536" w:rsidRPr="00091F8C">
        <w:rPr>
          <w:color w:val="000000" w:themeColor="text1"/>
        </w:rPr>
        <w:t xml:space="preserve"> elements,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2</m:t>
            </m:r>
          </m:sub>
        </m:sSub>
      </m:oMath>
      <w:r w:rsidR="00DB7536" w:rsidRPr="00091F8C">
        <w:rPr>
          <w:color w:val="000000" w:themeColor="text1"/>
        </w:rPr>
        <w:t xml:space="preserve"> is the ratio of </w:t>
      </w:r>
      <w:r w:rsidR="00F11C8E" w:rsidRPr="00091F8C">
        <w:rPr>
          <w:color w:val="000000" w:themeColor="text1"/>
        </w:rPr>
        <w:t>recyclable</w:t>
      </w:r>
      <w:r w:rsidR="00DB7536" w:rsidRPr="00091F8C">
        <w:rPr>
          <w:color w:val="000000" w:themeColor="text1"/>
        </w:rPr>
        <w:t xml:space="preserve"> elements, </w:t>
      </w:r>
      <m:oMath>
        <m:sSub>
          <m:sSubPr>
            <m:ctrlPr>
              <w:rPr>
                <w:rFonts w:ascii="Cambria Math" w:hAnsi="Cambria Math"/>
                <w:i/>
                <w:color w:val="000000" w:themeColor="text1"/>
                <w:sz w:val="26"/>
              </w:rPr>
            </m:ctrlPr>
          </m:sSubPr>
          <m:e>
            <m:r>
              <w:rPr>
                <w:rFonts w:ascii="Cambria Math" w:hAnsi="Cambria Math"/>
                <w:color w:val="000000" w:themeColor="text1"/>
                <w:sz w:val="26"/>
              </w:rPr>
              <m:t>R</m:t>
            </m:r>
          </m:e>
          <m:sub>
            <m:acc>
              <m:accPr>
                <m:chr m:val="̅"/>
                <m:ctrlPr>
                  <w:rPr>
                    <w:rFonts w:ascii="Cambria Math" w:hAnsi="Cambria Math"/>
                    <w:color w:val="000000" w:themeColor="text1"/>
                    <w:sz w:val="26"/>
                  </w:rPr>
                </m:ctrlPr>
              </m:accPr>
              <m:e>
                <m:r>
                  <m:rPr>
                    <m:sty m:val="p"/>
                  </m:rPr>
                  <w:rPr>
                    <w:rFonts w:ascii="Cambria Math" w:hAnsi="Cambria Math"/>
                    <w:color w:val="000000" w:themeColor="text1"/>
                    <w:sz w:val="26"/>
                  </w:rPr>
                  <m:t>s</m:t>
                </m:r>
              </m:e>
            </m:acc>
          </m:sub>
        </m:sSub>
      </m:oMath>
      <w:r w:rsidR="00C64F7F" w:rsidRPr="00091F8C">
        <w:rPr>
          <w:color w:val="000000" w:themeColor="text1"/>
        </w:rPr>
        <w:t xml:space="preserve"> </w:t>
      </w:r>
      <w:r w:rsidR="00DB7536" w:rsidRPr="00091F8C">
        <w:rPr>
          <w:color w:val="000000" w:themeColor="text1"/>
        </w:rPr>
        <w:t>is ratio eleme</w:t>
      </w:r>
      <w:r w:rsidR="00C64F7F" w:rsidRPr="00091F8C">
        <w:rPr>
          <w:color w:val="000000" w:themeColor="text1"/>
        </w:rPr>
        <w:t>nts without secondary finishing</w:t>
      </w:r>
      <w:r w:rsidR="00DB7536" w:rsidRPr="00091F8C">
        <w:rPr>
          <w:color w:val="000000" w:themeColor="text1"/>
        </w:rPr>
        <w:t xml:space="preserve"> and </w:t>
      </w:r>
      <m:oMath>
        <m:sSub>
          <m:sSubPr>
            <m:ctrlPr>
              <w:rPr>
                <w:rFonts w:ascii="Cambria Math" w:hAnsi="Cambria Math"/>
                <w:i/>
                <w:color w:val="000000" w:themeColor="text1"/>
                <w:sz w:val="26"/>
              </w:rPr>
            </m:ctrlPr>
          </m:sSubPr>
          <m:e>
            <m:r>
              <w:rPr>
                <w:rFonts w:ascii="Cambria Math" w:hAnsi="Cambria Math"/>
                <w:color w:val="000000" w:themeColor="text1"/>
                <w:sz w:val="26"/>
              </w:rPr>
              <m:t>R</m:t>
            </m:r>
          </m:e>
          <m:sub>
            <m:acc>
              <m:accPr>
                <m:chr m:val="̅"/>
                <m:ctrlPr>
                  <w:rPr>
                    <w:rFonts w:ascii="Cambria Math" w:hAnsi="Cambria Math"/>
                    <w:color w:val="000000" w:themeColor="text1"/>
                    <w:sz w:val="26"/>
                  </w:rPr>
                </m:ctrlPr>
              </m:accPr>
              <m:e>
                <m:r>
                  <m:rPr>
                    <m:sty m:val="p"/>
                  </m:rPr>
                  <w:rPr>
                    <w:rFonts w:ascii="Cambria Math" w:hAnsi="Cambria Math"/>
                    <w:color w:val="000000" w:themeColor="text1"/>
                    <w:sz w:val="26"/>
                  </w:rPr>
                  <m:t>x</m:t>
                </m:r>
              </m:e>
            </m:acc>
          </m:sub>
        </m:sSub>
      </m:oMath>
      <w:r w:rsidR="00DB7536" w:rsidRPr="00091F8C">
        <w:rPr>
          <w:color w:val="000000" w:themeColor="text1"/>
        </w:rPr>
        <w:t xml:space="preserve"> is ratio of non-toxic elements.</w:t>
      </w:r>
    </w:p>
    <w:p w14:paraId="6A29141E" w14:textId="77777777" w:rsidR="00DB7536" w:rsidRPr="00091F8C" w:rsidRDefault="009E5DCB" w:rsidP="00DB7536">
      <w:pPr>
        <w:rPr>
          <w:color w:val="000000" w:themeColor="text1"/>
        </w:rPr>
      </w:pPr>
      <w:r w:rsidRPr="00091F8C">
        <w:rPr>
          <w:color w:val="000000" w:themeColor="text1"/>
        </w:rPr>
        <w:t>Equation (14</w:t>
      </w:r>
      <w:r w:rsidR="00DB7536" w:rsidRPr="00091F8C">
        <w:rPr>
          <w:color w:val="000000" w:themeColor="text1"/>
        </w:rPr>
        <w:t>) thus becomes:</w:t>
      </w:r>
    </w:p>
    <w:p w14:paraId="44F5AF2B" w14:textId="77777777" w:rsidR="00DB7536" w:rsidRPr="00091F8C" w:rsidRDefault="00DB7536" w:rsidP="00DB7536">
      <w:pPr>
        <w:jc w:val="right"/>
        <w:rPr>
          <w:color w:val="000000" w:themeColor="text1"/>
        </w:rPr>
      </w:pPr>
      <m:oMath>
        <m:r>
          <w:rPr>
            <w:rFonts w:ascii="Cambria Math" w:hAnsi="Cambria Math"/>
            <w:color w:val="000000" w:themeColor="text1"/>
            <w:sz w:val="26"/>
          </w:rPr>
          <m:t>DAS</m:t>
        </m:r>
        <m:r>
          <m:rPr>
            <m:sty m:val="p"/>
          </m:rPr>
          <w:rPr>
            <w:rFonts w:ascii="Cambria Math" w:hAnsi="Cambria Math"/>
            <w:color w:val="000000" w:themeColor="text1"/>
            <w:sz w:val="26"/>
          </w:rPr>
          <m:t>=0.5</m:t>
        </m:r>
        <m:f>
          <m:fPr>
            <m:ctrlPr>
              <w:rPr>
                <w:rFonts w:ascii="Cambria Math" w:hAnsi="Cambria Math"/>
                <w:color w:val="000000" w:themeColor="text1"/>
                <w:sz w:val="26"/>
              </w:rPr>
            </m:ctrlPr>
          </m:fPr>
          <m:num>
            <m:sSub>
              <m:sSubPr>
                <m:ctrlPr>
                  <w:rPr>
                    <w:rFonts w:ascii="Cambria Math" w:hAnsi="Cambria Math"/>
                    <w:color w:val="000000" w:themeColor="text1"/>
                    <w:sz w:val="26"/>
                  </w:rPr>
                </m:ctrlPr>
              </m:sSubPr>
              <m:e>
                <m:r>
                  <m:rPr>
                    <m:sty m:val="p"/>
                  </m:rPr>
                  <w:rPr>
                    <w:rFonts w:ascii="Cambria Math" w:hAnsi="Cambria Math"/>
                    <w:color w:val="000000" w:themeColor="text1"/>
                    <w:sz w:val="26"/>
                  </w:rPr>
                  <m:t>t</m:t>
                </m:r>
              </m:e>
              <m:sub>
                <m:r>
                  <w:rPr>
                    <w:rFonts w:ascii="Cambria Math" w:hAnsi="Cambria Math"/>
                    <w:color w:val="000000" w:themeColor="text1"/>
                    <w:sz w:val="26"/>
                  </w:rPr>
                  <m:t>n</m:t>
                </m:r>
              </m:sub>
            </m:sSub>
            <m:r>
              <m:rPr>
                <m:sty m:val="p"/>
              </m:rPr>
              <w:rPr>
                <w:rFonts w:ascii="Cambria Math" w:hAnsi="Cambria Math"/>
                <w:color w:val="000000" w:themeColor="text1"/>
                <w:sz w:val="26"/>
              </w:rPr>
              <m:t>+</m:t>
            </m:r>
            <m:sSub>
              <m:sSubPr>
                <m:ctrlPr>
                  <w:rPr>
                    <w:rFonts w:ascii="Cambria Math" w:hAnsi="Cambria Math"/>
                    <w:color w:val="000000" w:themeColor="text1"/>
                    <w:sz w:val="26"/>
                  </w:rPr>
                </m:ctrlPr>
              </m:sSubPr>
              <m:e>
                <m:r>
                  <w:rPr>
                    <w:rFonts w:ascii="Cambria Math" w:hAnsi="Cambria Math"/>
                    <w:color w:val="000000" w:themeColor="text1"/>
                    <w:sz w:val="26"/>
                  </w:rPr>
                  <m:t>d</m:t>
                </m:r>
              </m:e>
              <m:sub>
                <m:r>
                  <w:rPr>
                    <w:rFonts w:ascii="Cambria Math" w:hAnsi="Cambria Math"/>
                    <w:color w:val="000000" w:themeColor="text1"/>
                    <w:sz w:val="26"/>
                  </w:rPr>
                  <m:t>c</m:t>
                </m:r>
              </m:sub>
            </m:sSub>
            <m:r>
              <m:rPr>
                <m:sty m:val="p"/>
              </m:rPr>
              <w:rPr>
                <w:rFonts w:ascii="Cambria Math" w:hAnsi="Cambria Math"/>
                <w:color w:val="000000" w:themeColor="text1"/>
                <w:sz w:val="26"/>
              </w:rPr>
              <m:t>+</m:t>
            </m:r>
            <m:sSub>
              <m:sSubPr>
                <m:ctrlPr>
                  <w:rPr>
                    <w:rFonts w:ascii="Cambria Math" w:hAnsi="Cambria Math"/>
                    <w:i/>
                    <w:color w:val="000000" w:themeColor="text1"/>
                    <w:sz w:val="32"/>
                    <w:szCs w:val="28"/>
                  </w:rPr>
                </m:ctrlPr>
              </m:sSubPr>
              <m:e>
                <m:r>
                  <w:rPr>
                    <w:rFonts w:ascii="Cambria Math" w:hAnsi="Cambria Math"/>
                    <w:color w:val="000000" w:themeColor="text1"/>
                    <w:sz w:val="32"/>
                    <w:szCs w:val="28"/>
                  </w:rPr>
                  <m:t>R</m:t>
                </m:r>
              </m:e>
              <m:sub>
                <m:r>
                  <w:rPr>
                    <w:rFonts w:ascii="Cambria Math" w:hAnsi="Cambria Math"/>
                    <w:color w:val="000000" w:themeColor="text1"/>
                    <w:sz w:val="32"/>
                    <w:szCs w:val="28"/>
                  </w:rPr>
                  <m:t>P</m:t>
                </m:r>
              </m:sub>
            </m:sSub>
          </m:num>
          <m:den>
            <m:r>
              <m:rPr>
                <m:sty m:val="p"/>
              </m:rPr>
              <w:rPr>
                <w:rFonts w:ascii="Cambria Math" w:hAnsi="Cambria Math"/>
                <w:color w:val="000000" w:themeColor="text1"/>
                <w:sz w:val="26"/>
              </w:rPr>
              <m:t>3</m:t>
            </m:r>
          </m:den>
        </m:f>
        <m:r>
          <m:rPr>
            <m:sty m:val="p"/>
          </m:rPr>
          <w:rPr>
            <w:rFonts w:ascii="Cambria Math" w:hAnsi="Cambria Math"/>
            <w:color w:val="000000" w:themeColor="text1"/>
            <w:sz w:val="26"/>
          </w:rPr>
          <m:t xml:space="preserve"> +0.5</m:t>
        </m:r>
        <m:f>
          <m:fPr>
            <m:ctrlPr>
              <w:rPr>
                <w:rFonts w:ascii="Cambria Math" w:hAnsi="Cambria Math"/>
                <w:color w:val="000000" w:themeColor="text1"/>
                <w:sz w:val="26"/>
              </w:rPr>
            </m:ctrlPr>
          </m:fPr>
          <m:num>
            <m:sSub>
              <m:sSubPr>
                <m:ctrlPr>
                  <w:rPr>
                    <w:rFonts w:ascii="Cambria Math" w:hAnsi="Cambria Math"/>
                    <w:i/>
                    <w:color w:val="000000" w:themeColor="text1"/>
                    <w:sz w:val="32"/>
                    <w:szCs w:val="28"/>
                  </w:rPr>
                </m:ctrlPr>
              </m:sSubPr>
              <m:e>
                <m:r>
                  <w:rPr>
                    <w:rFonts w:ascii="Cambria Math" w:hAnsi="Cambria Math"/>
                    <w:color w:val="000000" w:themeColor="text1"/>
                    <w:sz w:val="32"/>
                    <w:szCs w:val="28"/>
                  </w:rPr>
                  <m:t>R</m:t>
                </m:r>
              </m:e>
              <m:sub>
                <m:r>
                  <w:rPr>
                    <w:rFonts w:ascii="Cambria Math" w:hAnsi="Cambria Math"/>
                    <w:color w:val="000000" w:themeColor="text1"/>
                    <w:sz w:val="32"/>
                    <w:szCs w:val="28"/>
                  </w:rPr>
                  <m:t>1</m:t>
                </m:r>
              </m:sub>
            </m:sSub>
            <m:r>
              <m:rPr>
                <m:sty m:val="p"/>
              </m:rPr>
              <w:rPr>
                <w:rFonts w:ascii="Cambria Math" w:hAnsi="Cambria Math"/>
                <w:color w:val="000000" w:themeColor="text1"/>
                <w:sz w:val="26"/>
              </w:rPr>
              <m:t>+</m:t>
            </m:r>
            <m:sSub>
              <m:sSubPr>
                <m:ctrlPr>
                  <w:rPr>
                    <w:rFonts w:ascii="Cambria Math" w:hAnsi="Cambria Math"/>
                    <w:i/>
                    <w:color w:val="000000" w:themeColor="text1"/>
                    <w:sz w:val="32"/>
                    <w:szCs w:val="28"/>
                  </w:rPr>
                </m:ctrlPr>
              </m:sSubPr>
              <m:e>
                <m:r>
                  <w:rPr>
                    <w:rFonts w:ascii="Cambria Math" w:hAnsi="Cambria Math"/>
                    <w:color w:val="000000" w:themeColor="text1"/>
                    <w:sz w:val="32"/>
                    <w:szCs w:val="28"/>
                  </w:rPr>
                  <m:t>R</m:t>
                </m:r>
              </m:e>
              <m:sub>
                <m:r>
                  <w:rPr>
                    <w:rFonts w:ascii="Cambria Math" w:hAnsi="Cambria Math"/>
                    <w:color w:val="000000" w:themeColor="text1"/>
                    <w:sz w:val="32"/>
                    <w:szCs w:val="28"/>
                  </w:rPr>
                  <m:t>2</m:t>
                </m:r>
              </m:sub>
            </m:sSub>
            <m:r>
              <m:rPr>
                <m:sty m:val="p"/>
              </m:rPr>
              <w:rPr>
                <w:rFonts w:ascii="Cambria Math" w:hAnsi="Cambria Math"/>
                <w:color w:val="000000" w:themeColor="text1"/>
                <w:sz w:val="26"/>
              </w:rPr>
              <m:t xml:space="preserve"> +</m:t>
            </m:r>
            <m:sSub>
              <m:sSubPr>
                <m:ctrlPr>
                  <w:rPr>
                    <w:rFonts w:ascii="Cambria Math" w:hAnsi="Cambria Math"/>
                    <w:i/>
                    <w:color w:val="000000" w:themeColor="text1"/>
                    <w:sz w:val="28"/>
                  </w:rPr>
                </m:ctrlPr>
              </m:sSubPr>
              <m:e>
                <m:r>
                  <w:rPr>
                    <w:rFonts w:ascii="Cambria Math" w:hAnsi="Cambria Math"/>
                    <w:color w:val="000000" w:themeColor="text1"/>
                    <w:sz w:val="28"/>
                  </w:rPr>
                  <m:t>R</m:t>
                </m:r>
              </m:e>
              <m:sub>
                <m:acc>
                  <m:accPr>
                    <m:chr m:val="̅"/>
                    <m:ctrlPr>
                      <w:rPr>
                        <w:rFonts w:ascii="Cambria Math" w:hAnsi="Cambria Math"/>
                        <w:color w:val="000000" w:themeColor="text1"/>
                        <w:sz w:val="28"/>
                      </w:rPr>
                    </m:ctrlPr>
                  </m:accPr>
                  <m:e>
                    <m:r>
                      <m:rPr>
                        <m:sty m:val="p"/>
                      </m:rPr>
                      <w:rPr>
                        <w:rFonts w:ascii="Cambria Math" w:hAnsi="Cambria Math"/>
                        <w:color w:val="000000" w:themeColor="text1"/>
                        <w:sz w:val="28"/>
                      </w:rPr>
                      <m:t>s</m:t>
                    </m:r>
                  </m:e>
                </m:acc>
              </m:sub>
            </m:sSub>
            <m:r>
              <m:rPr>
                <m:sty m:val="p"/>
              </m:rPr>
              <w:rPr>
                <w:rFonts w:ascii="Cambria Math" w:hAnsi="Cambria Math"/>
                <w:color w:val="000000" w:themeColor="text1"/>
                <w:sz w:val="26"/>
              </w:rPr>
              <m:t>+</m:t>
            </m:r>
            <m:acc>
              <m:accPr>
                <m:chr m:val="̅"/>
                <m:ctrlPr>
                  <w:rPr>
                    <w:rFonts w:ascii="Cambria Math" w:hAnsi="Cambria Math"/>
                    <w:color w:val="000000" w:themeColor="text1"/>
                    <w:sz w:val="26"/>
                  </w:rPr>
                </m:ctrlPr>
              </m:accPr>
              <m:e>
                <m:sSub>
                  <m:sSubPr>
                    <m:ctrlPr>
                      <w:rPr>
                        <w:rFonts w:ascii="Cambria Math" w:hAnsi="Cambria Math"/>
                        <w:i/>
                        <w:color w:val="000000" w:themeColor="text1"/>
                        <w:sz w:val="28"/>
                      </w:rPr>
                    </m:ctrlPr>
                  </m:sSubPr>
                  <m:e>
                    <m:r>
                      <w:rPr>
                        <w:rFonts w:ascii="Cambria Math" w:hAnsi="Cambria Math"/>
                        <w:color w:val="000000" w:themeColor="text1"/>
                        <w:sz w:val="28"/>
                      </w:rPr>
                      <m:t>R</m:t>
                    </m:r>
                  </m:e>
                  <m:sub>
                    <m:acc>
                      <m:accPr>
                        <m:chr m:val="̅"/>
                        <m:ctrlPr>
                          <w:rPr>
                            <w:rFonts w:ascii="Cambria Math" w:hAnsi="Cambria Math"/>
                            <w:color w:val="000000" w:themeColor="text1"/>
                            <w:sz w:val="28"/>
                          </w:rPr>
                        </m:ctrlPr>
                      </m:accPr>
                      <m:e>
                        <m:r>
                          <m:rPr>
                            <m:sty m:val="p"/>
                          </m:rPr>
                          <w:rPr>
                            <w:rFonts w:ascii="Cambria Math" w:hAnsi="Cambria Math"/>
                            <w:color w:val="000000" w:themeColor="text1"/>
                            <w:sz w:val="28"/>
                          </w:rPr>
                          <m:t>x</m:t>
                        </m:r>
                      </m:e>
                    </m:acc>
                  </m:sub>
                </m:sSub>
                <m:r>
                  <m:rPr>
                    <m:sty m:val="p"/>
                  </m:rPr>
                  <w:rPr>
                    <w:rFonts w:ascii="Cambria Math" w:hAnsi="Cambria Math"/>
                    <w:color w:val="000000" w:themeColor="text1"/>
                    <w:sz w:val="26"/>
                  </w:rPr>
                  <m:t xml:space="preserve"> </m:t>
                </m:r>
              </m:e>
            </m:acc>
          </m:num>
          <m:den>
            <m:r>
              <m:rPr>
                <m:sty m:val="p"/>
              </m:rPr>
              <w:rPr>
                <w:rFonts w:ascii="Cambria Math" w:hAnsi="Cambria Math"/>
                <w:color w:val="000000" w:themeColor="text1"/>
                <w:sz w:val="26"/>
              </w:rPr>
              <m:t>4</m:t>
            </m:r>
          </m:den>
        </m:f>
      </m:oMath>
      <w:r w:rsidRPr="00091F8C">
        <w:rPr>
          <w:color w:val="000000" w:themeColor="text1"/>
          <w:sz w:val="36"/>
        </w:rPr>
        <w:t xml:space="preserve"> </w:t>
      </w:r>
      <w:r w:rsidR="000636C6" w:rsidRPr="00091F8C">
        <w:rPr>
          <w:color w:val="000000" w:themeColor="text1"/>
        </w:rPr>
        <w:tab/>
      </w:r>
      <w:r w:rsidR="004F4236" w:rsidRPr="00091F8C">
        <w:rPr>
          <w:color w:val="000000" w:themeColor="text1"/>
        </w:rPr>
        <w:tab/>
      </w:r>
      <w:r w:rsidR="004F4236" w:rsidRPr="00091F8C">
        <w:rPr>
          <w:color w:val="000000" w:themeColor="text1"/>
        </w:rPr>
        <w:tab/>
        <w:t>(19</w:t>
      </w:r>
      <w:r w:rsidRPr="00091F8C">
        <w:rPr>
          <w:color w:val="000000" w:themeColor="text1"/>
        </w:rPr>
        <w:t>)</w:t>
      </w:r>
    </w:p>
    <w:p w14:paraId="204DF085" w14:textId="77777777" w:rsidR="00DB7536" w:rsidRPr="00091F8C" w:rsidRDefault="00DB7536" w:rsidP="00DB7536">
      <w:pPr>
        <w:rPr>
          <w:color w:val="000000" w:themeColor="text1"/>
        </w:rPr>
      </w:pPr>
      <w:r w:rsidRPr="00091F8C">
        <w:rPr>
          <w:color w:val="000000" w:themeColor="text1"/>
        </w:rPr>
        <w:lastRenderedPageBreak/>
        <w:t>The mathemat</w:t>
      </w:r>
      <w:r w:rsidR="004F4236" w:rsidRPr="00091F8C">
        <w:rPr>
          <w:color w:val="000000" w:themeColor="text1"/>
        </w:rPr>
        <w:t>ical model shown in Equation (19</w:t>
      </w:r>
      <w:r w:rsidRPr="00091F8C">
        <w:rPr>
          <w:color w:val="000000" w:themeColor="text1"/>
        </w:rPr>
        <w:t xml:space="preserve">) represents the final equation for calculating </w:t>
      </w:r>
      <w:r w:rsidRPr="00091F8C">
        <w:rPr>
          <w:i/>
          <w:color w:val="000000" w:themeColor="text1"/>
        </w:rPr>
        <w:t>DAS</w:t>
      </w:r>
      <w:r w:rsidRPr="00091F8C">
        <w:rPr>
          <w:color w:val="000000" w:themeColor="text1"/>
        </w:rPr>
        <w:t>. This model will thus be used to assess the performance of DfD using case studies.</w:t>
      </w:r>
    </w:p>
    <w:p w14:paraId="6910E75F" w14:textId="77777777" w:rsidR="00DB7536" w:rsidRPr="00091F8C" w:rsidRDefault="00DB7536" w:rsidP="00DB7536">
      <w:pPr>
        <w:pStyle w:val="Heading1"/>
        <w:rPr>
          <w:color w:val="000000" w:themeColor="text1"/>
        </w:rPr>
      </w:pPr>
      <w:r w:rsidRPr="00091F8C">
        <w:rPr>
          <w:color w:val="000000" w:themeColor="text1"/>
        </w:rPr>
        <w:t>Model Evaluation and Results</w:t>
      </w:r>
    </w:p>
    <w:p w14:paraId="4889052C" w14:textId="77777777" w:rsidR="00DB7536" w:rsidRPr="00091F8C" w:rsidRDefault="00DB7536" w:rsidP="00DB7536">
      <w:pPr>
        <w:rPr>
          <w:color w:val="000000" w:themeColor="text1"/>
        </w:rPr>
      </w:pPr>
      <w:r w:rsidRPr="00091F8C">
        <w:rPr>
          <w:color w:val="000000" w:themeColor="text1"/>
        </w:rPr>
        <w:t xml:space="preserve">This section presents the results of the evaluation of </w:t>
      </w:r>
      <w:r w:rsidRPr="00091F8C">
        <w:rPr>
          <w:i/>
          <w:color w:val="000000" w:themeColor="text1"/>
        </w:rPr>
        <w:t>DAS</w:t>
      </w:r>
      <w:r w:rsidRPr="00091F8C">
        <w:rPr>
          <w:color w:val="000000" w:themeColor="text1"/>
        </w:rPr>
        <w:t xml:space="preserve"> using a hypothetical case study approach. This was achieved using three case studies of a building model with different material specifications. The case studies include a steel structure, a timber structure and a concrete structure. The building models were developed in Revit and the inventory of materials is as shown in</w:t>
      </w:r>
      <w:r w:rsidR="009E5DCB" w:rsidRPr="00091F8C">
        <w:rPr>
          <w:color w:val="000000" w:themeColor="text1"/>
        </w:rPr>
        <w:t xml:space="preserve"> Table 4</w:t>
      </w:r>
      <w:r w:rsidRPr="00091F8C">
        <w:rPr>
          <w:color w:val="000000" w:themeColor="text1"/>
        </w:rPr>
        <w:t xml:space="preserve">. Accordingly, a bill of quantity schedule for each model was estimated to determine the details of the constituents of the buildings. This was exported into a Microsoft Excel sheet to aggregate the building constituents for the initial analysis. </w:t>
      </w:r>
      <w:r w:rsidRPr="00091F8C">
        <w:rPr>
          <w:i/>
          <w:color w:val="000000" w:themeColor="text1"/>
        </w:rPr>
        <w:t>DAS</w:t>
      </w:r>
      <w:r w:rsidRPr="00091F8C">
        <w:rPr>
          <w:color w:val="000000" w:themeColor="text1"/>
        </w:rPr>
        <w:t xml:space="preserve"> score for each design typology was then calculated using the mathematical model developed. </w:t>
      </w:r>
    </w:p>
    <w:p w14:paraId="4B9844C5" w14:textId="77777777" w:rsidR="00DB7536" w:rsidRPr="00091F8C" w:rsidRDefault="00DB7536" w:rsidP="00DB7536">
      <w:pPr>
        <w:rPr>
          <w:color w:val="000000" w:themeColor="text1"/>
        </w:rPr>
      </w:pPr>
      <w:r w:rsidRPr="00091F8C">
        <w:rPr>
          <w:color w:val="000000" w:themeColor="text1"/>
        </w:rPr>
        <w:t xml:space="preserve">At this point, it is important to show how values of parameters needed for the calculation of </w:t>
      </w:r>
      <w:r w:rsidRPr="00091F8C">
        <w:rPr>
          <w:i/>
          <w:color w:val="000000" w:themeColor="text1"/>
        </w:rPr>
        <w:t>DAS</w:t>
      </w:r>
      <w:r w:rsidRPr="00091F8C">
        <w:rPr>
          <w:color w:val="000000" w:themeColor="text1"/>
        </w:rPr>
        <w:t xml:space="preserve"> score will be derived. This was done using a lookup table of possible materials types for building subsystems as shown in</w:t>
      </w:r>
      <w:r w:rsidR="009E5DCB" w:rsidRPr="00091F8C">
        <w:rPr>
          <w:color w:val="000000" w:themeColor="text1"/>
        </w:rPr>
        <w:t xml:space="preserve"> Table 5</w:t>
      </w:r>
      <w:r w:rsidRPr="00091F8C">
        <w:rPr>
          <w:color w:val="000000" w:themeColor="text1"/>
        </w:rPr>
        <w:t xml:space="preserve">. Accordingly, </w:t>
      </w:r>
      <w:r w:rsidRPr="00091F8C">
        <w:rPr>
          <w:i/>
          <w:color w:val="000000" w:themeColor="text1"/>
        </w:rPr>
        <w:t>DAS</w:t>
      </w:r>
      <w:r w:rsidRPr="00091F8C">
        <w:rPr>
          <w:color w:val="000000" w:themeColor="text1"/>
        </w:rPr>
        <w:t xml:space="preserve"> score of each building was calculated based on the design specifications to achieve the objectives of the study. Table </w:t>
      </w:r>
      <w:r w:rsidR="000C4F5B" w:rsidRPr="00091F8C">
        <w:rPr>
          <w:color w:val="000000" w:themeColor="text1"/>
        </w:rPr>
        <w:t>6</w:t>
      </w:r>
      <w:r w:rsidRPr="00091F8C">
        <w:rPr>
          <w:color w:val="000000" w:themeColor="text1"/>
        </w:rPr>
        <w:t xml:space="preserve"> shows the values of the parameters and </w:t>
      </w:r>
      <w:r w:rsidRPr="00091F8C">
        <w:rPr>
          <w:i/>
          <w:color w:val="000000" w:themeColor="text1"/>
        </w:rPr>
        <w:t>DAS</w:t>
      </w:r>
      <w:r w:rsidRPr="00091F8C">
        <w:rPr>
          <w:color w:val="000000" w:themeColor="text1"/>
        </w:rPr>
        <w:t xml:space="preserve"> score for the three case studies. From this result, the steel structure building has the highest </w:t>
      </w:r>
      <w:r w:rsidRPr="00091F8C">
        <w:rPr>
          <w:i/>
          <w:color w:val="000000" w:themeColor="text1"/>
        </w:rPr>
        <w:t>DAS</w:t>
      </w:r>
      <w:r w:rsidRPr="00091F8C">
        <w:rPr>
          <w:color w:val="000000" w:themeColor="text1"/>
        </w:rPr>
        <w:t xml:space="preserve"> score of 0.935 due to very high demountable connections and prefabricated components. In addition, the steel structure has minimal materials with secondary finishing, thus contributing to the high </w:t>
      </w:r>
      <w:proofErr w:type="spellStart"/>
      <w:r w:rsidRPr="00091F8C">
        <w:rPr>
          <w:i/>
          <w:color w:val="000000" w:themeColor="text1"/>
        </w:rPr>
        <w:t>R</w:t>
      </w:r>
      <w:r w:rsidRPr="00091F8C">
        <w:rPr>
          <w:i/>
          <w:color w:val="000000" w:themeColor="text1"/>
          <w:vertAlign w:val="subscript"/>
        </w:rPr>
        <w:t>score</w:t>
      </w:r>
      <w:proofErr w:type="spellEnd"/>
      <w:r w:rsidRPr="00091F8C">
        <w:rPr>
          <w:color w:val="000000" w:themeColor="text1"/>
        </w:rPr>
        <w:t xml:space="preserve">. Although the timber structure has no demountable connection and lower prefabricated elements, it has a higher </w:t>
      </w:r>
      <w:r w:rsidRPr="00091F8C">
        <w:rPr>
          <w:i/>
          <w:color w:val="000000" w:themeColor="text1"/>
        </w:rPr>
        <w:t>DAS</w:t>
      </w:r>
      <w:r w:rsidRPr="00091F8C">
        <w:rPr>
          <w:color w:val="000000" w:themeColor="text1"/>
        </w:rPr>
        <w:t xml:space="preserve"> score than the concrete structure. This is primarily because the timber structure has higher recyclable and reusable potentials than concrete structures. </w:t>
      </w:r>
    </w:p>
    <w:p w14:paraId="2B9326F7" w14:textId="77777777" w:rsidR="00EA3D3D" w:rsidRPr="00091F8C" w:rsidRDefault="00EA3D3D" w:rsidP="00DB7536">
      <w:pPr>
        <w:rPr>
          <w:color w:val="000000" w:themeColor="text1"/>
        </w:rPr>
      </w:pPr>
    </w:p>
    <w:p w14:paraId="474A8CB3" w14:textId="77777777" w:rsidR="00DB7536" w:rsidRPr="00091F8C" w:rsidRDefault="00DB7536" w:rsidP="00DB7536">
      <w:pPr>
        <w:pStyle w:val="Caption"/>
        <w:rPr>
          <w:color w:val="000000" w:themeColor="text1"/>
        </w:rPr>
      </w:pPr>
      <w:bookmarkStart w:id="7" w:name="_Ref423707780"/>
      <w:r w:rsidRPr="00091F8C">
        <w:rPr>
          <w:color w:val="000000" w:themeColor="text1"/>
        </w:rPr>
        <w:lastRenderedPageBreak/>
        <w:t>Table</w:t>
      </w:r>
      <w:bookmarkEnd w:id="7"/>
      <w:r w:rsidR="005763C9" w:rsidRPr="00091F8C">
        <w:rPr>
          <w:color w:val="000000" w:themeColor="text1"/>
        </w:rPr>
        <w:t xml:space="preserve"> 4</w:t>
      </w:r>
      <w:r w:rsidRPr="00091F8C">
        <w:rPr>
          <w:color w:val="000000" w:themeColor="text1"/>
        </w:rPr>
        <w:t>: Inventory of materials for design options</w:t>
      </w:r>
    </w:p>
    <w:tbl>
      <w:tblPr>
        <w:tblStyle w:val="TableGrid"/>
        <w:tblW w:w="8642" w:type="dxa"/>
        <w:jc w:val="center"/>
        <w:tblLook w:val="04A0" w:firstRow="1" w:lastRow="0" w:firstColumn="1" w:lastColumn="0" w:noHBand="0" w:noVBand="1"/>
      </w:tblPr>
      <w:tblGrid>
        <w:gridCol w:w="1598"/>
        <w:gridCol w:w="7044"/>
      </w:tblGrid>
      <w:tr w:rsidR="00091F8C" w:rsidRPr="00091F8C" w14:paraId="033191EA" w14:textId="77777777" w:rsidTr="005B0B78">
        <w:trPr>
          <w:jc w:val="center"/>
        </w:trPr>
        <w:tc>
          <w:tcPr>
            <w:tcW w:w="1598" w:type="dxa"/>
          </w:tcPr>
          <w:p w14:paraId="120486FF" w14:textId="77777777" w:rsidR="00DB7536" w:rsidRPr="00091F8C" w:rsidRDefault="00DB7536" w:rsidP="005B0B78">
            <w:pPr>
              <w:pStyle w:val="NoSpacing"/>
              <w:rPr>
                <w:color w:val="000000" w:themeColor="text1"/>
              </w:rPr>
            </w:pPr>
            <w:r w:rsidRPr="00091F8C">
              <w:rPr>
                <w:color w:val="000000" w:themeColor="text1"/>
              </w:rPr>
              <w:t>Item</w:t>
            </w:r>
          </w:p>
        </w:tc>
        <w:tc>
          <w:tcPr>
            <w:tcW w:w="7044" w:type="dxa"/>
          </w:tcPr>
          <w:p w14:paraId="52BBA18D" w14:textId="77777777" w:rsidR="00DB7536" w:rsidRPr="00091F8C" w:rsidRDefault="00DB7536" w:rsidP="005B0B78">
            <w:pPr>
              <w:pStyle w:val="NoSpacing"/>
              <w:rPr>
                <w:color w:val="000000" w:themeColor="text1"/>
              </w:rPr>
            </w:pPr>
            <w:r w:rsidRPr="00091F8C">
              <w:rPr>
                <w:color w:val="000000" w:themeColor="text1"/>
              </w:rPr>
              <w:t>Specific characteristics</w:t>
            </w:r>
          </w:p>
        </w:tc>
      </w:tr>
      <w:tr w:rsidR="00091F8C" w:rsidRPr="00091F8C" w14:paraId="32F940DF" w14:textId="77777777" w:rsidTr="005B0B78">
        <w:trPr>
          <w:jc w:val="center"/>
        </w:trPr>
        <w:tc>
          <w:tcPr>
            <w:tcW w:w="1598" w:type="dxa"/>
            <w:vMerge w:val="restart"/>
          </w:tcPr>
          <w:p w14:paraId="1FB782DF" w14:textId="77777777" w:rsidR="00DB7536" w:rsidRPr="00091F8C" w:rsidRDefault="00DB7536" w:rsidP="005B0B78">
            <w:pPr>
              <w:pStyle w:val="NoSpacing"/>
              <w:rPr>
                <w:color w:val="000000" w:themeColor="text1"/>
              </w:rPr>
            </w:pPr>
            <w:r w:rsidRPr="00091F8C">
              <w:rPr>
                <w:color w:val="000000" w:themeColor="text1"/>
              </w:rPr>
              <w:t>Structural frame system</w:t>
            </w:r>
          </w:p>
        </w:tc>
        <w:tc>
          <w:tcPr>
            <w:tcW w:w="7044" w:type="dxa"/>
          </w:tcPr>
          <w:p w14:paraId="5E2455B7" w14:textId="77777777" w:rsidR="00DB7536" w:rsidRPr="00091F8C" w:rsidRDefault="00DB7536" w:rsidP="005B0B78">
            <w:pPr>
              <w:pStyle w:val="NoSpacing"/>
              <w:rPr>
                <w:color w:val="000000" w:themeColor="text1"/>
              </w:rPr>
            </w:pPr>
            <w:r w:rsidRPr="00091F8C">
              <w:rPr>
                <w:color w:val="000000" w:themeColor="text1"/>
              </w:rPr>
              <w:t>A. Prefabricated steel with bolted connections</w:t>
            </w:r>
          </w:p>
        </w:tc>
      </w:tr>
      <w:tr w:rsidR="00091F8C" w:rsidRPr="00091F8C" w14:paraId="20FFE559" w14:textId="77777777" w:rsidTr="005B0B78">
        <w:trPr>
          <w:trHeight w:val="74"/>
          <w:jc w:val="center"/>
        </w:trPr>
        <w:tc>
          <w:tcPr>
            <w:tcW w:w="1598" w:type="dxa"/>
            <w:vMerge/>
          </w:tcPr>
          <w:p w14:paraId="1F3A7A5D" w14:textId="77777777" w:rsidR="00DB7536" w:rsidRPr="00091F8C" w:rsidRDefault="00DB7536" w:rsidP="005B0B78">
            <w:pPr>
              <w:pStyle w:val="NoSpacing"/>
              <w:rPr>
                <w:color w:val="000000" w:themeColor="text1"/>
              </w:rPr>
            </w:pPr>
          </w:p>
        </w:tc>
        <w:tc>
          <w:tcPr>
            <w:tcW w:w="7044" w:type="dxa"/>
          </w:tcPr>
          <w:p w14:paraId="217502FA" w14:textId="77777777" w:rsidR="00DB7536" w:rsidRPr="00091F8C" w:rsidRDefault="00DB7536" w:rsidP="005B0B78">
            <w:pPr>
              <w:pStyle w:val="NoSpacing"/>
              <w:rPr>
                <w:color w:val="000000" w:themeColor="text1"/>
              </w:rPr>
            </w:pPr>
            <w:r w:rsidRPr="00091F8C">
              <w:rPr>
                <w:color w:val="000000" w:themeColor="text1"/>
              </w:rPr>
              <w:t>B. Hardwood timber post with nailed connections</w:t>
            </w:r>
          </w:p>
        </w:tc>
      </w:tr>
      <w:tr w:rsidR="00091F8C" w:rsidRPr="00091F8C" w14:paraId="4E5873EC" w14:textId="77777777" w:rsidTr="005B0B78">
        <w:trPr>
          <w:jc w:val="center"/>
        </w:trPr>
        <w:tc>
          <w:tcPr>
            <w:tcW w:w="1598" w:type="dxa"/>
            <w:vMerge/>
          </w:tcPr>
          <w:p w14:paraId="140E4779" w14:textId="77777777" w:rsidR="00DB7536" w:rsidRPr="00091F8C" w:rsidRDefault="00DB7536" w:rsidP="005B0B78">
            <w:pPr>
              <w:pStyle w:val="NoSpacing"/>
              <w:rPr>
                <w:color w:val="000000" w:themeColor="text1"/>
              </w:rPr>
            </w:pPr>
          </w:p>
        </w:tc>
        <w:tc>
          <w:tcPr>
            <w:tcW w:w="7044" w:type="dxa"/>
          </w:tcPr>
          <w:p w14:paraId="02D8B305" w14:textId="77777777" w:rsidR="00DB7536" w:rsidRPr="00091F8C" w:rsidRDefault="00DB7536" w:rsidP="005B0B78">
            <w:pPr>
              <w:pStyle w:val="NoSpacing"/>
              <w:rPr>
                <w:color w:val="000000" w:themeColor="text1"/>
              </w:rPr>
            </w:pPr>
            <w:r w:rsidRPr="00091F8C">
              <w:rPr>
                <w:color w:val="000000" w:themeColor="text1"/>
              </w:rPr>
              <w:t>C. Concrete with bolted connections</w:t>
            </w:r>
          </w:p>
        </w:tc>
      </w:tr>
      <w:tr w:rsidR="00091F8C" w:rsidRPr="00091F8C" w14:paraId="385F0E21" w14:textId="77777777" w:rsidTr="005B0B78">
        <w:trPr>
          <w:jc w:val="center"/>
        </w:trPr>
        <w:tc>
          <w:tcPr>
            <w:tcW w:w="1598" w:type="dxa"/>
            <w:vMerge w:val="restart"/>
          </w:tcPr>
          <w:p w14:paraId="32640BEA" w14:textId="77777777" w:rsidR="00DB7536" w:rsidRPr="00091F8C" w:rsidRDefault="00DB7536" w:rsidP="005B0B78">
            <w:pPr>
              <w:pStyle w:val="NoSpacing"/>
              <w:rPr>
                <w:color w:val="000000" w:themeColor="text1"/>
              </w:rPr>
            </w:pPr>
            <w:r w:rsidRPr="00091F8C">
              <w:rPr>
                <w:color w:val="000000" w:themeColor="text1"/>
              </w:rPr>
              <w:t>Foundation system</w:t>
            </w:r>
          </w:p>
        </w:tc>
        <w:tc>
          <w:tcPr>
            <w:tcW w:w="7044" w:type="dxa"/>
          </w:tcPr>
          <w:p w14:paraId="4329DF0F" w14:textId="77777777" w:rsidR="00DB7536" w:rsidRPr="00091F8C" w:rsidRDefault="00DB7536" w:rsidP="005B0B78">
            <w:pPr>
              <w:pStyle w:val="NoSpacing"/>
              <w:rPr>
                <w:color w:val="000000" w:themeColor="text1"/>
              </w:rPr>
            </w:pPr>
            <w:r w:rsidRPr="00091F8C">
              <w:rPr>
                <w:color w:val="000000" w:themeColor="text1"/>
              </w:rPr>
              <w:t>A. H-pile foundation</w:t>
            </w:r>
          </w:p>
        </w:tc>
      </w:tr>
      <w:tr w:rsidR="00091F8C" w:rsidRPr="00091F8C" w14:paraId="17C962BA" w14:textId="77777777" w:rsidTr="005B0B78">
        <w:trPr>
          <w:jc w:val="center"/>
        </w:trPr>
        <w:tc>
          <w:tcPr>
            <w:tcW w:w="1598" w:type="dxa"/>
            <w:vMerge/>
          </w:tcPr>
          <w:p w14:paraId="31ADCD00" w14:textId="77777777" w:rsidR="00DB7536" w:rsidRPr="00091F8C" w:rsidRDefault="00DB7536" w:rsidP="005B0B78">
            <w:pPr>
              <w:pStyle w:val="NoSpacing"/>
              <w:rPr>
                <w:color w:val="000000" w:themeColor="text1"/>
              </w:rPr>
            </w:pPr>
          </w:p>
        </w:tc>
        <w:tc>
          <w:tcPr>
            <w:tcW w:w="7044" w:type="dxa"/>
          </w:tcPr>
          <w:p w14:paraId="739E37A3" w14:textId="77777777" w:rsidR="00DB7536" w:rsidRPr="00091F8C" w:rsidRDefault="00DB7536" w:rsidP="005B0B78">
            <w:pPr>
              <w:pStyle w:val="NoSpacing"/>
              <w:rPr>
                <w:color w:val="000000" w:themeColor="text1"/>
              </w:rPr>
            </w:pPr>
            <w:r w:rsidRPr="00091F8C">
              <w:rPr>
                <w:color w:val="000000" w:themeColor="text1"/>
              </w:rPr>
              <w:t>B&amp;C. Concrete ground beam</w:t>
            </w:r>
          </w:p>
        </w:tc>
      </w:tr>
      <w:tr w:rsidR="00091F8C" w:rsidRPr="00091F8C" w14:paraId="2E7F782C" w14:textId="77777777" w:rsidTr="005B0B78">
        <w:trPr>
          <w:jc w:val="center"/>
        </w:trPr>
        <w:tc>
          <w:tcPr>
            <w:tcW w:w="1598" w:type="dxa"/>
            <w:vMerge w:val="restart"/>
          </w:tcPr>
          <w:p w14:paraId="23DD2C73" w14:textId="77777777" w:rsidR="00DB7536" w:rsidRPr="00091F8C" w:rsidRDefault="00DB7536" w:rsidP="005B0B78">
            <w:pPr>
              <w:pStyle w:val="NoSpacing"/>
              <w:rPr>
                <w:color w:val="000000" w:themeColor="text1"/>
              </w:rPr>
            </w:pPr>
            <w:r w:rsidRPr="00091F8C">
              <w:rPr>
                <w:color w:val="000000" w:themeColor="text1"/>
              </w:rPr>
              <w:t>Wall system</w:t>
            </w:r>
          </w:p>
        </w:tc>
        <w:tc>
          <w:tcPr>
            <w:tcW w:w="7044" w:type="dxa"/>
          </w:tcPr>
          <w:p w14:paraId="76FEF810" w14:textId="77777777" w:rsidR="00DB7536" w:rsidRPr="00091F8C" w:rsidRDefault="00DB7536" w:rsidP="005B0B78">
            <w:pPr>
              <w:pStyle w:val="NoSpacing"/>
              <w:rPr>
                <w:color w:val="000000" w:themeColor="text1"/>
              </w:rPr>
            </w:pPr>
            <w:r w:rsidRPr="00091F8C">
              <w:rPr>
                <w:color w:val="000000" w:themeColor="text1"/>
              </w:rPr>
              <w:t>A. Curtain walls with bolted connections</w:t>
            </w:r>
          </w:p>
        </w:tc>
      </w:tr>
      <w:tr w:rsidR="00091F8C" w:rsidRPr="00091F8C" w14:paraId="536FCBC1" w14:textId="77777777" w:rsidTr="005B0B78">
        <w:trPr>
          <w:jc w:val="center"/>
        </w:trPr>
        <w:tc>
          <w:tcPr>
            <w:tcW w:w="1598" w:type="dxa"/>
            <w:vMerge/>
          </w:tcPr>
          <w:p w14:paraId="6B31FB49" w14:textId="77777777" w:rsidR="00DB7536" w:rsidRPr="00091F8C" w:rsidRDefault="00DB7536" w:rsidP="005B0B78">
            <w:pPr>
              <w:pStyle w:val="NoSpacing"/>
              <w:rPr>
                <w:color w:val="000000" w:themeColor="text1"/>
              </w:rPr>
            </w:pPr>
          </w:p>
        </w:tc>
        <w:tc>
          <w:tcPr>
            <w:tcW w:w="7044" w:type="dxa"/>
          </w:tcPr>
          <w:p w14:paraId="77820E69" w14:textId="77777777" w:rsidR="00DB7536" w:rsidRPr="00091F8C" w:rsidRDefault="00DB7536" w:rsidP="005B0B78">
            <w:pPr>
              <w:pStyle w:val="NoSpacing"/>
              <w:rPr>
                <w:color w:val="000000" w:themeColor="text1"/>
              </w:rPr>
            </w:pPr>
            <w:r w:rsidRPr="00091F8C">
              <w:rPr>
                <w:color w:val="000000" w:themeColor="text1"/>
              </w:rPr>
              <w:t>B. Cladded timber cavity walls filled with nailed connections</w:t>
            </w:r>
          </w:p>
        </w:tc>
      </w:tr>
      <w:tr w:rsidR="00091F8C" w:rsidRPr="00091F8C" w14:paraId="2B17B764" w14:textId="77777777" w:rsidTr="005B0B78">
        <w:trPr>
          <w:jc w:val="center"/>
        </w:trPr>
        <w:tc>
          <w:tcPr>
            <w:tcW w:w="1598" w:type="dxa"/>
            <w:vMerge/>
          </w:tcPr>
          <w:p w14:paraId="02E87D77" w14:textId="77777777" w:rsidR="00DB7536" w:rsidRPr="00091F8C" w:rsidRDefault="00DB7536" w:rsidP="005B0B78">
            <w:pPr>
              <w:pStyle w:val="NoSpacing"/>
              <w:rPr>
                <w:color w:val="000000" w:themeColor="text1"/>
              </w:rPr>
            </w:pPr>
          </w:p>
        </w:tc>
        <w:tc>
          <w:tcPr>
            <w:tcW w:w="7044" w:type="dxa"/>
          </w:tcPr>
          <w:p w14:paraId="2C21E33F" w14:textId="77777777" w:rsidR="00DB7536" w:rsidRPr="00091F8C" w:rsidRDefault="00DB7536" w:rsidP="005B0B78">
            <w:pPr>
              <w:pStyle w:val="NoSpacing"/>
              <w:rPr>
                <w:color w:val="000000" w:themeColor="text1"/>
              </w:rPr>
            </w:pPr>
            <w:r w:rsidRPr="00091F8C">
              <w:rPr>
                <w:color w:val="000000" w:themeColor="text1"/>
              </w:rPr>
              <w:t>C. Concrete wall with paint finishing</w:t>
            </w:r>
          </w:p>
        </w:tc>
      </w:tr>
      <w:tr w:rsidR="00091F8C" w:rsidRPr="00091F8C" w14:paraId="189914B0" w14:textId="77777777" w:rsidTr="005B0B78">
        <w:trPr>
          <w:jc w:val="center"/>
        </w:trPr>
        <w:tc>
          <w:tcPr>
            <w:tcW w:w="1598" w:type="dxa"/>
            <w:vMerge w:val="restart"/>
          </w:tcPr>
          <w:p w14:paraId="47E33718" w14:textId="77777777" w:rsidR="00DB7536" w:rsidRPr="00091F8C" w:rsidRDefault="00DB7536" w:rsidP="005B0B78">
            <w:pPr>
              <w:pStyle w:val="NoSpacing"/>
              <w:rPr>
                <w:color w:val="000000" w:themeColor="text1"/>
              </w:rPr>
            </w:pPr>
            <w:r w:rsidRPr="00091F8C">
              <w:rPr>
                <w:color w:val="000000" w:themeColor="text1"/>
              </w:rPr>
              <w:t xml:space="preserve">Floor system </w:t>
            </w:r>
          </w:p>
        </w:tc>
        <w:tc>
          <w:tcPr>
            <w:tcW w:w="7044" w:type="dxa"/>
          </w:tcPr>
          <w:p w14:paraId="72C55D4C" w14:textId="77777777" w:rsidR="00DB7536" w:rsidRPr="00091F8C" w:rsidRDefault="00DB7536" w:rsidP="005B0B78">
            <w:pPr>
              <w:pStyle w:val="NoSpacing"/>
              <w:rPr>
                <w:color w:val="000000" w:themeColor="text1"/>
              </w:rPr>
            </w:pPr>
            <w:r w:rsidRPr="00091F8C">
              <w:rPr>
                <w:color w:val="000000" w:themeColor="text1"/>
              </w:rPr>
              <w:t xml:space="preserve">A. </w:t>
            </w:r>
            <w:proofErr w:type="spellStart"/>
            <w:r w:rsidRPr="00091F8C">
              <w:rPr>
                <w:color w:val="000000" w:themeColor="text1"/>
              </w:rPr>
              <w:t>Gypframe</w:t>
            </w:r>
            <w:proofErr w:type="spellEnd"/>
            <w:r w:rsidRPr="00091F8C">
              <w:rPr>
                <w:color w:val="000000" w:themeColor="text1"/>
              </w:rPr>
              <w:t xml:space="preserve"> steel flooring with carpet</w:t>
            </w:r>
          </w:p>
        </w:tc>
      </w:tr>
      <w:tr w:rsidR="00091F8C" w:rsidRPr="00091F8C" w14:paraId="73E72442" w14:textId="77777777" w:rsidTr="005B0B78">
        <w:trPr>
          <w:jc w:val="center"/>
        </w:trPr>
        <w:tc>
          <w:tcPr>
            <w:tcW w:w="1598" w:type="dxa"/>
            <w:vMerge/>
          </w:tcPr>
          <w:p w14:paraId="43BB62F4" w14:textId="77777777" w:rsidR="00DB7536" w:rsidRPr="00091F8C" w:rsidRDefault="00DB7536" w:rsidP="005B0B78">
            <w:pPr>
              <w:pStyle w:val="NoSpacing"/>
              <w:rPr>
                <w:color w:val="000000" w:themeColor="text1"/>
              </w:rPr>
            </w:pPr>
          </w:p>
        </w:tc>
        <w:tc>
          <w:tcPr>
            <w:tcW w:w="7044" w:type="dxa"/>
          </w:tcPr>
          <w:p w14:paraId="06CFFB44" w14:textId="77777777" w:rsidR="00DB7536" w:rsidRPr="00091F8C" w:rsidRDefault="00DB7536" w:rsidP="005B0B78">
            <w:pPr>
              <w:pStyle w:val="NoSpacing"/>
              <w:rPr>
                <w:color w:val="000000" w:themeColor="text1"/>
              </w:rPr>
            </w:pPr>
            <w:r w:rsidRPr="00091F8C">
              <w:rPr>
                <w:color w:val="000000" w:themeColor="text1"/>
              </w:rPr>
              <w:t>B. Timber board with I-section timber frames with ceramic tiles</w:t>
            </w:r>
          </w:p>
        </w:tc>
      </w:tr>
      <w:tr w:rsidR="00091F8C" w:rsidRPr="00091F8C" w14:paraId="0793B979" w14:textId="77777777" w:rsidTr="005B0B78">
        <w:trPr>
          <w:jc w:val="center"/>
        </w:trPr>
        <w:tc>
          <w:tcPr>
            <w:tcW w:w="1598" w:type="dxa"/>
            <w:vMerge/>
          </w:tcPr>
          <w:p w14:paraId="0566FFE7" w14:textId="77777777" w:rsidR="00DB7536" w:rsidRPr="00091F8C" w:rsidRDefault="00DB7536" w:rsidP="005B0B78">
            <w:pPr>
              <w:pStyle w:val="NoSpacing"/>
              <w:rPr>
                <w:color w:val="000000" w:themeColor="text1"/>
              </w:rPr>
            </w:pPr>
          </w:p>
        </w:tc>
        <w:tc>
          <w:tcPr>
            <w:tcW w:w="7044" w:type="dxa"/>
          </w:tcPr>
          <w:p w14:paraId="5B73E136" w14:textId="77777777" w:rsidR="00DB7536" w:rsidRPr="00091F8C" w:rsidRDefault="00DB7536" w:rsidP="005B0B78">
            <w:pPr>
              <w:pStyle w:val="NoSpacing"/>
              <w:rPr>
                <w:color w:val="000000" w:themeColor="text1"/>
              </w:rPr>
            </w:pPr>
            <w:r w:rsidRPr="00091F8C">
              <w:rPr>
                <w:color w:val="000000" w:themeColor="text1"/>
              </w:rPr>
              <w:t>C. Concrete floor with carpet</w:t>
            </w:r>
          </w:p>
        </w:tc>
      </w:tr>
      <w:tr w:rsidR="00091F8C" w:rsidRPr="00091F8C" w14:paraId="079C19B2" w14:textId="77777777" w:rsidTr="005B0B78">
        <w:trPr>
          <w:jc w:val="center"/>
        </w:trPr>
        <w:tc>
          <w:tcPr>
            <w:tcW w:w="1598" w:type="dxa"/>
            <w:vMerge w:val="restart"/>
          </w:tcPr>
          <w:p w14:paraId="493F1D2A" w14:textId="77777777" w:rsidR="00DB7536" w:rsidRPr="00091F8C" w:rsidRDefault="00DB7536" w:rsidP="005B0B78">
            <w:pPr>
              <w:pStyle w:val="NoSpacing"/>
              <w:rPr>
                <w:color w:val="000000" w:themeColor="text1"/>
              </w:rPr>
            </w:pPr>
            <w:r w:rsidRPr="00091F8C">
              <w:rPr>
                <w:color w:val="000000" w:themeColor="text1"/>
              </w:rPr>
              <w:t>Ceiling system</w:t>
            </w:r>
          </w:p>
        </w:tc>
        <w:tc>
          <w:tcPr>
            <w:tcW w:w="7044" w:type="dxa"/>
          </w:tcPr>
          <w:p w14:paraId="154EB5AB" w14:textId="77777777" w:rsidR="00DB7536" w:rsidRPr="00091F8C" w:rsidRDefault="00DB7536" w:rsidP="005B0B78">
            <w:pPr>
              <w:pStyle w:val="NoSpacing"/>
              <w:rPr>
                <w:color w:val="000000" w:themeColor="text1"/>
              </w:rPr>
            </w:pPr>
            <w:r w:rsidRPr="00091F8C">
              <w:rPr>
                <w:color w:val="000000" w:themeColor="text1"/>
              </w:rPr>
              <w:t>A. Aluminium strips on prefabricated steel frame</w:t>
            </w:r>
          </w:p>
        </w:tc>
      </w:tr>
      <w:tr w:rsidR="00091F8C" w:rsidRPr="00091F8C" w14:paraId="72B17860" w14:textId="77777777" w:rsidTr="005B0B78">
        <w:trPr>
          <w:jc w:val="center"/>
        </w:trPr>
        <w:tc>
          <w:tcPr>
            <w:tcW w:w="1598" w:type="dxa"/>
            <w:vMerge/>
          </w:tcPr>
          <w:p w14:paraId="0A927A77" w14:textId="77777777" w:rsidR="00DB7536" w:rsidRPr="00091F8C" w:rsidRDefault="00DB7536" w:rsidP="005B0B78">
            <w:pPr>
              <w:pStyle w:val="NoSpacing"/>
              <w:rPr>
                <w:color w:val="000000" w:themeColor="text1"/>
              </w:rPr>
            </w:pPr>
          </w:p>
        </w:tc>
        <w:tc>
          <w:tcPr>
            <w:tcW w:w="7044" w:type="dxa"/>
          </w:tcPr>
          <w:p w14:paraId="3070CE92" w14:textId="77777777" w:rsidR="00DB7536" w:rsidRPr="00091F8C" w:rsidRDefault="00DB7536" w:rsidP="005B0B78">
            <w:pPr>
              <w:pStyle w:val="NoSpacing"/>
              <w:rPr>
                <w:color w:val="000000" w:themeColor="text1"/>
              </w:rPr>
            </w:pPr>
            <w:r w:rsidRPr="00091F8C">
              <w:rPr>
                <w:color w:val="000000" w:themeColor="text1"/>
              </w:rPr>
              <w:t>B. Pressured-treated timber planks on timber frames free of copper chromium acetate</w:t>
            </w:r>
          </w:p>
        </w:tc>
      </w:tr>
      <w:tr w:rsidR="00091F8C" w:rsidRPr="00091F8C" w14:paraId="0BD04590" w14:textId="77777777" w:rsidTr="005B0B78">
        <w:trPr>
          <w:jc w:val="center"/>
        </w:trPr>
        <w:tc>
          <w:tcPr>
            <w:tcW w:w="1598" w:type="dxa"/>
            <w:vMerge/>
          </w:tcPr>
          <w:p w14:paraId="1D63E3B4" w14:textId="77777777" w:rsidR="00DB7536" w:rsidRPr="00091F8C" w:rsidRDefault="00DB7536" w:rsidP="005B0B78">
            <w:pPr>
              <w:pStyle w:val="NoSpacing"/>
              <w:rPr>
                <w:color w:val="000000" w:themeColor="text1"/>
              </w:rPr>
            </w:pPr>
          </w:p>
        </w:tc>
        <w:tc>
          <w:tcPr>
            <w:tcW w:w="7044" w:type="dxa"/>
          </w:tcPr>
          <w:p w14:paraId="1C23285D" w14:textId="77777777" w:rsidR="00DB7536" w:rsidRPr="00091F8C" w:rsidRDefault="00DB7536" w:rsidP="005B0B78">
            <w:pPr>
              <w:pStyle w:val="NoSpacing"/>
              <w:rPr>
                <w:color w:val="000000" w:themeColor="text1"/>
              </w:rPr>
            </w:pPr>
            <w:r w:rsidRPr="00091F8C">
              <w:rPr>
                <w:color w:val="000000" w:themeColor="text1"/>
              </w:rPr>
              <w:t>C. Soffit plaster and paint finishing</w:t>
            </w:r>
          </w:p>
        </w:tc>
      </w:tr>
      <w:tr w:rsidR="00091F8C" w:rsidRPr="00091F8C" w14:paraId="6F16DFE9" w14:textId="77777777" w:rsidTr="005B0B78">
        <w:trPr>
          <w:jc w:val="center"/>
        </w:trPr>
        <w:tc>
          <w:tcPr>
            <w:tcW w:w="1598" w:type="dxa"/>
            <w:vMerge w:val="restart"/>
          </w:tcPr>
          <w:p w14:paraId="50096D9E" w14:textId="77777777" w:rsidR="00DB7536" w:rsidRPr="00091F8C" w:rsidRDefault="00DB7536" w:rsidP="005B0B78">
            <w:pPr>
              <w:pStyle w:val="NoSpacing"/>
              <w:rPr>
                <w:color w:val="000000" w:themeColor="text1"/>
              </w:rPr>
            </w:pPr>
            <w:r w:rsidRPr="00091F8C">
              <w:rPr>
                <w:color w:val="000000" w:themeColor="text1"/>
              </w:rPr>
              <w:t>Roof system</w:t>
            </w:r>
          </w:p>
          <w:p w14:paraId="14BF2B1B" w14:textId="77777777" w:rsidR="00DB7536" w:rsidRPr="00091F8C" w:rsidRDefault="00DB7536" w:rsidP="005B0B78">
            <w:pPr>
              <w:pStyle w:val="NoSpacing"/>
              <w:rPr>
                <w:color w:val="000000" w:themeColor="text1"/>
              </w:rPr>
            </w:pPr>
            <w:r w:rsidRPr="00091F8C">
              <w:rPr>
                <w:color w:val="000000" w:themeColor="text1"/>
              </w:rPr>
              <w:t>floor</w:t>
            </w:r>
          </w:p>
        </w:tc>
        <w:tc>
          <w:tcPr>
            <w:tcW w:w="7044" w:type="dxa"/>
          </w:tcPr>
          <w:p w14:paraId="04E56315" w14:textId="77777777" w:rsidR="00DB7536" w:rsidRPr="00091F8C" w:rsidRDefault="00DB7536" w:rsidP="005B0B78">
            <w:pPr>
              <w:pStyle w:val="NoSpacing"/>
              <w:rPr>
                <w:color w:val="000000" w:themeColor="text1"/>
              </w:rPr>
            </w:pPr>
            <w:r w:rsidRPr="00091F8C">
              <w:rPr>
                <w:color w:val="000000" w:themeColor="text1"/>
              </w:rPr>
              <w:t>A. Insulated steel plate flat roof on steel truss</w:t>
            </w:r>
          </w:p>
        </w:tc>
      </w:tr>
      <w:tr w:rsidR="00091F8C" w:rsidRPr="00091F8C" w14:paraId="565E5EC8" w14:textId="77777777" w:rsidTr="005B0B78">
        <w:trPr>
          <w:jc w:val="center"/>
        </w:trPr>
        <w:tc>
          <w:tcPr>
            <w:tcW w:w="1598" w:type="dxa"/>
            <w:vMerge/>
          </w:tcPr>
          <w:p w14:paraId="5B98F231" w14:textId="77777777" w:rsidR="00DB7536" w:rsidRPr="00091F8C" w:rsidRDefault="00DB7536" w:rsidP="005B0B78">
            <w:pPr>
              <w:pStyle w:val="NoSpacing"/>
              <w:rPr>
                <w:color w:val="000000" w:themeColor="text1"/>
              </w:rPr>
            </w:pPr>
          </w:p>
        </w:tc>
        <w:tc>
          <w:tcPr>
            <w:tcW w:w="7044" w:type="dxa"/>
          </w:tcPr>
          <w:p w14:paraId="15902815" w14:textId="77777777" w:rsidR="00DB7536" w:rsidRPr="00091F8C" w:rsidRDefault="00DB7536" w:rsidP="005B0B78">
            <w:pPr>
              <w:pStyle w:val="NoSpacing"/>
              <w:rPr>
                <w:color w:val="000000" w:themeColor="text1"/>
              </w:rPr>
            </w:pPr>
            <w:r w:rsidRPr="00091F8C">
              <w:rPr>
                <w:color w:val="000000" w:themeColor="text1"/>
              </w:rPr>
              <w:t>B. Insulated slate roofing sheet on timber truss</w:t>
            </w:r>
          </w:p>
        </w:tc>
      </w:tr>
      <w:tr w:rsidR="00091F8C" w:rsidRPr="00091F8C" w14:paraId="28E582FE" w14:textId="77777777" w:rsidTr="005B0B78">
        <w:trPr>
          <w:jc w:val="center"/>
        </w:trPr>
        <w:tc>
          <w:tcPr>
            <w:tcW w:w="1598" w:type="dxa"/>
            <w:vMerge/>
          </w:tcPr>
          <w:p w14:paraId="7D66FE7C" w14:textId="77777777" w:rsidR="00DB7536" w:rsidRPr="00091F8C" w:rsidRDefault="00DB7536" w:rsidP="005B0B78">
            <w:pPr>
              <w:pStyle w:val="NoSpacing"/>
              <w:rPr>
                <w:color w:val="000000" w:themeColor="text1"/>
              </w:rPr>
            </w:pPr>
          </w:p>
        </w:tc>
        <w:tc>
          <w:tcPr>
            <w:tcW w:w="7044" w:type="dxa"/>
          </w:tcPr>
          <w:p w14:paraId="733DE776" w14:textId="77777777" w:rsidR="00DB7536" w:rsidRPr="00091F8C" w:rsidRDefault="00DB7536" w:rsidP="005B0B78">
            <w:pPr>
              <w:pStyle w:val="NoSpacing"/>
              <w:rPr>
                <w:color w:val="000000" w:themeColor="text1"/>
              </w:rPr>
            </w:pPr>
            <w:r w:rsidRPr="00091F8C">
              <w:rPr>
                <w:color w:val="000000" w:themeColor="text1"/>
              </w:rPr>
              <w:t>C. Concrete roof with sand and cement screed</w:t>
            </w:r>
          </w:p>
        </w:tc>
      </w:tr>
      <w:tr w:rsidR="00091F8C" w:rsidRPr="00091F8C" w14:paraId="4E533964" w14:textId="77777777" w:rsidTr="005B0B78">
        <w:trPr>
          <w:jc w:val="center"/>
        </w:trPr>
        <w:tc>
          <w:tcPr>
            <w:tcW w:w="1598" w:type="dxa"/>
            <w:vMerge w:val="restart"/>
          </w:tcPr>
          <w:p w14:paraId="07DF1E1F" w14:textId="77777777" w:rsidR="00DB7536" w:rsidRPr="00091F8C" w:rsidRDefault="00DB7536" w:rsidP="005B0B78">
            <w:pPr>
              <w:pStyle w:val="NoSpacing"/>
              <w:rPr>
                <w:color w:val="000000" w:themeColor="text1"/>
              </w:rPr>
            </w:pPr>
            <w:r w:rsidRPr="00091F8C">
              <w:rPr>
                <w:color w:val="000000" w:themeColor="text1"/>
              </w:rPr>
              <w:t>Window and doors</w:t>
            </w:r>
          </w:p>
        </w:tc>
        <w:tc>
          <w:tcPr>
            <w:tcW w:w="7044" w:type="dxa"/>
          </w:tcPr>
          <w:p w14:paraId="1593488E" w14:textId="77777777" w:rsidR="00DB7536" w:rsidRPr="00091F8C" w:rsidRDefault="00DB7536" w:rsidP="005B0B78">
            <w:pPr>
              <w:pStyle w:val="NoSpacing"/>
              <w:rPr>
                <w:color w:val="000000" w:themeColor="text1"/>
              </w:rPr>
            </w:pPr>
            <w:r w:rsidRPr="00091F8C">
              <w:rPr>
                <w:color w:val="000000" w:themeColor="text1"/>
              </w:rPr>
              <w:t>A. Steel windows and doors with steel frame</w:t>
            </w:r>
          </w:p>
        </w:tc>
      </w:tr>
      <w:tr w:rsidR="00091F8C" w:rsidRPr="00091F8C" w14:paraId="4E36C756" w14:textId="77777777" w:rsidTr="005B0B78">
        <w:trPr>
          <w:jc w:val="center"/>
        </w:trPr>
        <w:tc>
          <w:tcPr>
            <w:tcW w:w="1598" w:type="dxa"/>
            <w:vMerge/>
          </w:tcPr>
          <w:p w14:paraId="69CD87F1" w14:textId="77777777" w:rsidR="00DB7536" w:rsidRPr="00091F8C" w:rsidRDefault="00DB7536" w:rsidP="005B0B78">
            <w:pPr>
              <w:pStyle w:val="NoSpacing"/>
              <w:rPr>
                <w:color w:val="000000" w:themeColor="text1"/>
              </w:rPr>
            </w:pPr>
          </w:p>
        </w:tc>
        <w:tc>
          <w:tcPr>
            <w:tcW w:w="7044" w:type="dxa"/>
          </w:tcPr>
          <w:p w14:paraId="0CE527DB" w14:textId="77777777" w:rsidR="00DB7536" w:rsidRPr="00091F8C" w:rsidRDefault="00DB7536" w:rsidP="005B0B78">
            <w:pPr>
              <w:pStyle w:val="NoSpacing"/>
              <w:rPr>
                <w:color w:val="000000" w:themeColor="text1"/>
              </w:rPr>
            </w:pPr>
            <w:r w:rsidRPr="00091F8C">
              <w:rPr>
                <w:color w:val="000000" w:themeColor="text1"/>
              </w:rPr>
              <w:t>B. Timber windows and doors with timber frame</w:t>
            </w:r>
          </w:p>
        </w:tc>
      </w:tr>
      <w:tr w:rsidR="00091F8C" w:rsidRPr="00091F8C" w14:paraId="1BE622D7" w14:textId="77777777" w:rsidTr="005B0B78">
        <w:trPr>
          <w:jc w:val="center"/>
        </w:trPr>
        <w:tc>
          <w:tcPr>
            <w:tcW w:w="1598" w:type="dxa"/>
            <w:vMerge/>
          </w:tcPr>
          <w:p w14:paraId="268A12B9" w14:textId="77777777" w:rsidR="00DB7536" w:rsidRPr="00091F8C" w:rsidRDefault="00DB7536" w:rsidP="005B0B78">
            <w:pPr>
              <w:pStyle w:val="NoSpacing"/>
              <w:rPr>
                <w:color w:val="000000" w:themeColor="text1"/>
              </w:rPr>
            </w:pPr>
          </w:p>
        </w:tc>
        <w:tc>
          <w:tcPr>
            <w:tcW w:w="7044" w:type="dxa"/>
          </w:tcPr>
          <w:p w14:paraId="19FD0CF0" w14:textId="77777777" w:rsidR="00DB7536" w:rsidRPr="00091F8C" w:rsidRDefault="00DB7536" w:rsidP="005B0B78">
            <w:pPr>
              <w:pStyle w:val="NoSpacing"/>
              <w:rPr>
                <w:color w:val="000000" w:themeColor="text1"/>
              </w:rPr>
            </w:pPr>
            <w:r w:rsidRPr="00091F8C">
              <w:rPr>
                <w:color w:val="000000" w:themeColor="text1"/>
              </w:rPr>
              <w:t>C. Double-glazed glass with aluminium frame</w:t>
            </w:r>
          </w:p>
        </w:tc>
      </w:tr>
    </w:tbl>
    <w:p w14:paraId="66D348CD" w14:textId="77777777" w:rsidR="00DB7536" w:rsidRPr="00091F8C" w:rsidRDefault="00DB7536" w:rsidP="00DB7536">
      <w:pPr>
        <w:pStyle w:val="NoSpacing"/>
        <w:rPr>
          <w:color w:val="000000" w:themeColor="text1"/>
        </w:rPr>
      </w:pPr>
      <w:r w:rsidRPr="00091F8C">
        <w:rPr>
          <w:color w:val="000000" w:themeColor="text1"/>
          <w:sz w:val="20"/>
          <w:szCs w:val="20"/>
        </w:rPr>
        <w:t xml:space="preserve">Note: </w:t>
      </w:r>
      <w:r w:rsidRPr="00091F8C">
        <w:rPr>
          <w:b/>
          <w:color w:val="000000" w:themeColor="text1"/>
          <w:sz w:val="20"/>
          <w:szCs w:val="20"/>
        </w:rPr>
        <w:t xml:space="preserve">A. </w:t>
      </w:r>
      <w:r w:rsidRPr="00091F8C">
        <w:rPr>
          <w:color w:val="000000" w:themeColor="text1"/>
          <w:sz w:val="20"/>
          <w:szCs w:val="20"/>
        </w:rPr>
        <w:t xml:space="preserve">is a steel structure; </w:t>
      </w:r>
      <w:r w:rsidRPr="00091F8C">
        <w:rPr>
          <w:b/>
          <w:color w:val="000000" w:themeColor="text1"/>
          <w:sz w:val="20"/>
          <w:szCs w:val="20"/>
        </w:rPr>
        <w:t>B.</w:t>
      </w:r>
      <w:r w:rsidRPr="00091F8C">
        <w:rPr>
          <w:color w:val="000000" w:themeColor="text1"/>
          <w:sz w:val="20"/>
          <w:szCs w:val="20"/>
        </w:rPr>
        <w:t xml:space="preserve"> is a timber structure; and </w:t>
      </w:r>
      <w:r w:rsidRPr="00091F8C">
        <w:rPr>
          <w:b/>
          <w:color w:val="000000" w:themeColor="text1"/>
          <w:sz w:val="20"/>
          <w:szCs w:val="20"/>
        </w:rPr>
        <w:t>C.</w:t>
      </w:r>
      <w:r w:rsidRPr="00091F8C">
        <w:rPr>
          <w:color w:val="000000" w:themeColor="text1"/>
          <w:sz w:val="20"/>
          <w:szCs w:val="20"/>
        </w:rPr>
        <w:t xml:space="preserve"> is a concrete structure</w:t>
      </w:r>
      <w:r w:rsidRPr="00091F8C">
        <w:rPr>
          <w:color w:val="000000" w:themeColor="text1"/>
        </w:rPr>
        <w:t>.</w:t>
      </w:r>
    </w:p>
    <w:p w14:paraId="529CD13D" w14:textId="77777777" w:rsidR="00DB7536" w:rsidRPr="00091F8C" w:rsidRDefault="00DB7536" w:rsidP="00DB7536">
      <w:pPr>
        <w:rPr>
          <w:color w:val="000000" w:themeColor="text1"/>
        </w:rPr>
      </w:pPr>
      <w:r w:rsidRPr="00091F8C">
        <w:rPr>
          <w:color w:val="000000" w:themeColor="text1"/>
        </w:rPr>
        <w:t xml:space="preserve">To understand the resultant effect of individual factors on </w:t>
      </w:r>
      <w:proofErr w:type="spellStart"/>
      <w:r w:rsidRPr="00091F8C">
        <w:rPr>
          <w:i/>
          <w:color w:val="000000" w:themeColor="text1"/>
        </w:rPr>
        <w:t>D</w:t>
      </w:r>
      <w:r w:rsidRPr="00091F8C">
        <w:rPr>
          <w:i/>
          <w:color w:val="000000" w:themeColor="text1"/>
          <w:vertAlign w:val="subscript"/>
        </w:rPr>
        <w:t>score</w:t>
      </w:r>
      <w:proofErr w:type="spellEnd"/>
      <w:r w:rsidRPr="00091F8C">
        <w:rPr>
          <w:color w:val="000000" w:themeColor="text1"/>
        </w:rPr>
        <w:t xml:space="preserve">, </w:t>
      </w:r>
      <w:proofErr w:type="spellStart"/>
      <w:r w:rsidRPr="00091F8C">
        <w:rPr>
          <w:i/>
          <w:color w:val="000000" w:themeColor="text1"/>
        </w:rPr>
        <w:t>R</w:t>
      </w:r>
      <w:r w:rsidRPr="00091F8C">
        <w:rPr>
          <w:i/>
          <w:color w:val="000000" w:themeColor="text1"/>
          <w:vertAlign w:val="subscript"/>
        </w:rPr>
        <w:t>score</w:t>
      </w:r>
      <w:proofErr w:type="spellEnd"/>
      <w:r w:rsidRPr="00091F8C">
        <w:rPr>
          <w:color w:val="000000" w:themeColor="text1"/>
        </w:rPr>
        <w:t xml:space="preserve"> and </w:t>
      </w:r>
      <w:r w:rsidRPr="00091F8C">
        <w:rPr>
          <w:i/>
          <w:color w:val="000000" w:themeColor="text1"/>
        </w:rPr>
        <w:t>DAS</w:t>
      </w:r>
      <w:r w:rsidRPr="00091F8C">
        <w:rPr>
          <w:color w:val="000000" w:themeColor="text1"/>
        </w:rPr>
        <w:t xml:space="preserve">, factor selection process was carried out. This was done by omitting certain factors in the model to see how the results are affected. This will help to identify key factors contributing to the calculation of </w:t>
      </w:r>
      <w:proofErr w:type="spellStart"/>
      <w:r w:rsidRPr="00091F8C">
        <w:rPr>
          <w:i/>
          <w:color w:val="000000" w:themeColor="text1"/>
        </w:rPr>
        <w:t>D</w:t>
      </w:r>
      <w:r w:rsidRPr="00091F8C">
        <w:rPr>
          <w:i/>
          <w:color w:val="000000" w:themeColor="text1"/>
          <w:vertAlign w:val="subscript"/>
        </w:rPr>
        <w:t>score</w:t>
      </w:r>
      <w:proofErr w:type="spellEnd"/>
      <w:r w:rsidRPr="00091F8C">
        <w:rPr>
          <w:color w:val="000000" w:themeColor="text1"/>
        </w:rPr>
        <w:t xml:space="preserve">, </w:t>
      </w:r>
      <w:proofErr w:type="spellStart"/>
      <w:r w:rsidRPr="00091F8C">
        <w:rPr>
          <w:i/>
          <w:color w:val="000000" w:themeColor="text1"/>
        </w:rPr>
        <w:t>R</w:t>
      </w:r>
      <w:r w:rsidRPr="00091F8C">
        <w:rPr>
          <w:i/>
          <w:color w:val="000000" w:themeColor="text1"/>
          <w:vertAlign w:val="subscript"/>
        </w:rPr>
        <w:t>score</w:t>
      </w:r>
      <w:proofErr w:type="spellEnd"/>
      <w:r w:rsidRPr="00091F8C">
        <w:rPr>
          <w:color w:val="000000" w:themeColor="text1"/>
        </w:rPr>
        <w:t xml:space="preserve"> and </w:t>
      </w:r>
      <w:r w:rsidRPr="00091F8C">
        <w:rPr>
          <w:i/>
          <w:color w:val="000000" w:themeColor="text1"/>
        </w:rPr>
        <w:t>DAS</w:t>
      </w:r>
      <w:r w:rsidRPr="00091F8C">
        <w:rPr>
          <w:color w:val="000000" w:themeColor="text1"/>
        </w:rPr>
        <w:t>. To achieve this, Mean Squared Error (MSE) between the actual and the new values we</w:t>
      </w:r>
      <w:r w:rsidR="004F4236" w:rsidRPr="00091F8C">
        <w:rPr>
          <w:color w:val="000000" w:themeColor="text1"/>
        </w:rPr>
        <w:t>re calculated using Equation (20</w:t>
      </w:r>
      <w:r w:rsidRPr="00091F8C">
        <w:rPr>
          <w:color w:val="000000" w:themeColor="text1"/>
        </w:rPr>
        <w:t xml:space="preserve">). Where </w:t>
      </w:r>
      <m:oMath>
        <m:r>
          <w:rPr>
            <w:rFonts w:ascii="Cambria Math" w:hAnsi="Cambria Math"/>
            <w:color w:val="000000" w:themeColor="text1"/>
          </w:rPr>
          <m:t>DAS</m:t>
        </m:r>
      </m:oMath>
      <w:r w:rsidRPr="00091F8C">
        <w:rPr>
          <w:color w:val="000000" w:themeColor="text1"/>
        </w:rPr>
        <w:t xml:space="preserve"> is the actual value and </w:t>
      </w:r>
      <m:oMath>
        <m:acc>
          <m:accPr>
            <m:ctrlPr>
              <w:rPr>
                <w:rFonts w:ascii="Cambria Math" w:hAnsi="Cambria Math"/>
                <w:i/>
                <w:color w:val="000000" w:themeColor="text1"/>
              </w:rPr>
            </m:ctrlPr>
          </m:accPr>
          <m:e>
            <m:r>
              <w:rPr>
                <w:rFonts w:ascii="Cambria Math" w:hAnsi="Cambria Math"/>
                <w:color w:val="000000" w:themeColor="text1"/>
              </w:rPr>
              <m:t>DAS</m:t>
            </m:r>
          </m:e>
        </m:acc>
      </m:oMath>
      <w:r w:rsidRPr="00091F8C">
        <w:rPr>
          <w:color w:val="000000" w:themeColor="text1"/>
        </w:rPr>
        <w:t xml:space="preserve"> is the calculated value.</w:t>
      </w:r>
    </w:p>
    <w:p w14:paraId="6513F929" w14:textId="77777777" w:rsidR="00DB7536" w:rsidRPr="00091F8C" w:rsidRDefault="00DB7536" w:rsidP="00DB7536">
      <w:pPr>
        <w:jc w:val="right"/>
        <w:rPr>
          <w:color w:val="000000" w:themeColor="text1"/>
        </w:rPr>
      </w:pPr>
      <m:oMath>
        <m:r>
          <w:rPr>
            <w:rFonts w:ascii="Cambria Math" w:hAnsi="Cambria Math"/>
            <w:color w:val="000000" w:themeColor="text1"/>
          </w:rPr>
          <m:t>MSE</m:t>
        </m:r>
        <m:r>
          <m:rPr>
            <m:sty m:val="p"/>
          </m:rPr>
          <w:rPr>
            <w:rFonts w:ascii="Cambria Math" w:hAnsi="Cambria Math"/>
            <w:color w:val="000000" w:themeColor="text1"/>
          </w:rPr>
          <m:t>=</m:t>
        </m:r>
        <m:nary>
          <m:naryPr>
            <m:chr m:val="∑"/>
            <m:limLoc m:val="undOvr"/>
            <m:ctrlPr>
              <w:rPr>
                <w:rFonts w:ascii="Cambria Math" w:hAnsi="Cambria Math"/>
                <w:color w:val="000000" w:themeColor="text1"/>
              </w:rPr>
            </m:ctrlPr>
          </m:naryPr>
          <m:sub>
            <m:r>
              <w:rPr>
                <w:rFonts w:ascii="Cambria Math" w:hAnsi="Cambria Math"/>
                <w:color w:val="000000" w:themeColor="text1"/>
              </w:rPr>
              <m:t>i</m:t>
            </m:r>
            <m:r>
              <m:rPr>
                <m:sty m:val="p"/>
              </m:rPr>
              <w:rPr>
                <w:rFonts w:ascii="Cambria Math" w:hAnsi="Cambria Math"/>
                <w:color w:val="000000" w:themeColor="text1"/>
              </w:rPr>
              <m:t>=1</m:t>
            </m:r>
          </m:sub>
          <m:sup>
            <m:r>
              <w:rPr>
                <w:rFonts w:ascii="Cambria Math" w:hAnsi="Cambria Math"/>
                <w:color w:val="000000" w:themeColor="text1"/>
              </w:rPr>
              <m:t>n</m:t>
            </m:r>
          </m:sup>
          <m:e>
            <m:sSup>
              <m:sSupPr>
                <m:ctrlPr>
                  <w:rPr>
                    <w:rFonts w:ascii="Cambria Math" w:hAnsi="Cambria Math"/>
                    <w:color w:val="000000" w:themeColor="text1"/>
                  </w:rPr>
                </m:ctrlPr>
              </m:sSupPr>
              <m:e>
                <m:r>
                  <m:rPr>
                    <m:sty m:val="p"/>
                  </m:rPr>
                  <w:rPr>
                    <w:rFonts w:ascii="Cambria Math" w:hAnsi="Cambria Math"/>
                    <w:color w:val="000000" w:themeColor="text1"/>
                  </w:rPr>
                  <m:t>(</m:t>
                </m:r>
                <m:acc>
                  <m:accPr>
                    <m:ctrlPr>
                      <w:rPr>
                        <w:rFonts w:ascii="Cambria Math" w:hAnsi="Cambria Math"/>
                        <w:color w:val="000000" w:themeColor="text1"/>
                      </w:rPr>
                    </m:ctrlPr>
                  </m:accPr>
                  <m:e>
                    <m:r>
                      <w:rPr>
                        <w:rFonts w:ascii="Cambria Math" w:hAnsi="Cambria Math"/>
                        <w:color w:val="000000" w:themeColor="text1"/>
                      </w:rPr>
                      <m:t>DAS</m:t>
                    </m:r>
                  </m:e>
                </m:acc>
                <m:r>
                  <m:rPr>
                    <m:sty m:val="p"/>
                  </m:rPr>
                  <w:rPr>
                    <w:rFonts w:ascii="Cambria Math" w:hAnsi="Cambria Math"/>
                    <w:color w:val="000000" w:themeColor="text1"/>
                  </w:rPr>
                  <m:t>-</m:t>
                </m:r>
                <m:r>
                  <w:rPr>
                    <w:rFonts w:ascii="Cambria Math" w:hAnsi="Cambria Math"/>
                    <w:color w:val="000000" w:themeColor="text1"/>
                  </w:rPr>
                  <m:t>DAS</m:t>
                </m:r>
                <m:r>
                  <m:rPr>
                    <m:sty m:val="p"/>
                  </m:rPr>
                  <w:rPr>
                    <w:rFonts w:ascii="Cambria Math" w:hAnsi="Cambria Math"/>
                    <w:color w:val="000000" w:themeColor="text1"/>
                  </w:rPr>
                  <m:t>)</m:t>
                </m:r>
              </m:e>
              <m:sup>
                <m:r>
                  <m:rPr>
                    <m:sty m:val="p"/>
                  </m:rPr>
                  <w:rPr>
                    <w:rFonts w:ascii="Cambria Math" w:hAnsi="Cambria Math"/>
                    <w:color w:val="000000" w:themeColor="text1"/>
                  </w:rPr>
                  <m:t>2</m:t>
                </m:r>
              </m:sup>
            </m:sSup>
          </m:e>
        </m:nary>
      </m:oMath>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r>
      <w:r w:rsidR="004F4236" w:rsidRPr="00091F8C">
        <w:rPr>
          <w:color w:val="000000" w:themeColor="text1"/>
        </w:rPr>
        <w:tab/>
        <w:t>(20</w:t>
      </w:r>
      <w:r w:rsidRPr="00091F8C">
        <w:rPr>
          <w:color w:val="000000" w:themeColor="text1"/>
        </w:rPr>
        <w:t>)</w:t>
      </w:r>
    </w:p>
    <w:p w14:paraId="4A4A783B" w14:textId="77777777" w:rsidR="00DB7536" w:rsidRPr="00091F8C" w:rsidRDefault="00DB7536" w:rsidP="00DB7536">
      <w:pPr>
        <w:jc w:val="left"/>
        <w:rPr>
          <w:color w:val="000000" w:themeColor="text1"/>
        </w:rPr>
      </w:pPr>
    </w:p>
    <w:p w14:paraId="25F33D36" w14:textId="77777777" w:rsidR="00DB7536" w:rsidRPr="00091F8C" w:rsidRDefault="00DB7536" w:rsidP="00DB7536">
      <w:pPr>
        <w:pStyle w:val="Caption"/>
        <w:rPr>
          <w:color w:val="000000" w:themeColor="text1"/>
        </w:rPr>
      </w:pPr>
      <w:r w:rsidRPr="00091F8C">
        <w:rPr>
          <w:color w:val="000000" w:themeColor="text1"/>
        </w:rPr>
        <w:lastRenderedPageBreak/>
        <w:t>Table</w:t>
      </w:r>
      <w:r w:rsidR="009E5DCB" w:rsidRPr="00091F8C">
        <w:rPr>
          <w:color w:val="000000" w:themeColor="text1"/>
        </w:rPr>
        <w:t xml:space="preserve"> </w:t>
      </w:r>
      <w:r w:rsidR="005763C9" w:rsidRPr="00091F8C">
        <w:rPr>
          <w:color w:val="000000" w:themeColor="text1"/>
        </w:rPr>
        <w:t>5</w:t>
      </w:r>
      <w:r w:rsidRPr="00091F8C">
        <w:rPr>
          <w:color w:val="000000" w:themeColor="text1"/>
        </w:rPr>
        <w:t>: Material options for building system</w:t>
      </w:r>
    </w:p>
    <w:tbl>
      <w:tblPr>
        <w:tblStyle w:val="ListTable6Colorful1"/>
        <w:tblW w:w="9080" w:type="dxa"/>
        <w:jc w:val="center"/>
        <w:tblLook w:val="04A0" w:firstRow="1" w:lastRow="0" w:firstColumn="1" w:lastColumn="0" w:noHBand="0" w:noVBand="1"/>
      </w:tblPr>
      <w:tblGrid>
        <w:gridCol w:w="3602"/>
        <w:gridCol w:w="1231"/>
        <w:gridCol w:w="1072"/>
        <w:gridCol w:w="742"/>
        <w:gridCol w:w="1141"/>
        <w:gridCol w:w="1292"/>
      </w:tblGrid>
      <w:tr w:rsidR="00091F8C" w:rsidRPr="00091F8C" w14:paraId="39693B5E" w14:textId="77777777" w:rsidTr="005B0B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7F8008EB" w14:textId="77777777" w:rsidR="00DB7536" w:rsidRPr="00091F8C" w:rsidRDefault="00DB7536" w:rsidP="005B0B78">
            <w:pPr>
              <w:pStyle w:val="NoSpacing"/>
              <w:rPr>
                <w:sz w:val="22"/>
                <w:szCs w:val="22"/>
              </w:rPr>
            </w:pPr>
            <w:r w:rsidRPr="00091F8C">
              <w:rPr>
                <w:sz w:val="22"/>
                <w:szCs w:val="22"/>
              </w:rPr>
              <w:t>Systems and options</w:t>
            </w:r>
          </w:p>
        </w:tc>
        <w:tc>
          <w:tcPr>
            <w:tcW w:w="1194" w:type="dxa"/>
          </w:tcPr>
          <w:p w14:paraId="6DE32A6F"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091F8C">
              <w:rPr>
                <w:sz w:val="22"/>
                <w:szCs w:val="22"/>
              </w:rPr>
              <w:t>Recyclable</w:t>
            </w:r>
          </w:p>
          <w:p w14:paraId="3EDFE953"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091F8C">
              <w:rPr>
                <w:sz w:val="22"/>
                <w:szCs w:val="22"/>
              </w:rPr>
              <w:t>(r</w:t>
            </w:r>
            <w:r w:rsidRPr="00091F8C">
              <w:rPr>
                <w:sz w:val="22"/>
                <w:szCs w:val="22"/>
                <w:vertAlign w:val="subscript"/>
              </w:rPr>
              <w:t>1</w:t>
            </w:r>
            <w:r w:rsidRPr="00091F8C">
              <w:rPr>
                <w:sz w:val="22"/>
                <w:szCs w:val="22"/>
              </w:rPr>
              <w:t>)</w:t>
            </w:r>
          </w:p>
        </w:tc>
        <w:tc>
          <w:tcPr>
            <w:tcW w:w="1048" w:type="dxa"/>
          </w:tcPr>
          <w:p w14:paraId="2F06D884"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091F8C">
              <w:rPr>
                <w:sz w:val="22"/>
                <w:szCs w:val="22"/>
              </w:rPr>
              <w:t>Reusable (r</w:t>
            </w:r>
            <w:r w:rsidRPr="00091F8C">
              <w:rPr>
                <w:sz w:val="22"/>
                <w:szCs w:val="22"/>
                <w:vertAlign w:val="subscript"/>
              </w:rPr>
              <w:t>2</w:t>
            </w:r>
            <w:r w:rsidRPr="00091F8C">
              <w:rPr>
                <w:sz w:val="22"/>
                <w:szCs w:val="22"/>
              </w:rPr>
              <w:t>)</w:t>
            </w:r>
          </w:p>
        </w:tc>
        <w:tc>
          <w:tcPr>
            <w:tcW w:w="730" w:type="dxa"/>
          </w:tcPr>
          <w:p w14:paraId="34ACFEBE"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091F8C">
              <w:rPr>
                <w:sz w:val="22"/>
                <w:szCs w:val="22"/>
              </w:rPr>
              <w:t>Toxic (x)</w:t>
            </w:r>
          </w:p>
        </w:tc>
        <w:tc>
          <w:tcPr>
            <w:tcW w:w="1154" w:type="dxa"/>
          </w:tcPr>
          <w:p w14:paraId="6BB5A11A"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091F8C">
              <w:rPr>
                <w:sz w:val="22"/>
                <w:szCs w:val="22"/>
              </w:rPr>
              <w:t>Sec. Finish (s)</w:t>
            </w:r>
          </w:p>
        </w:tc>
        <w:tc>
          <w:tcPr>
            <w:tcW w:w="1268" w:type="dxa"/>
          </w:tcPr>
          <w:p w14:paraId="31F259BB"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091F8C">
              <w:rPr>
                <w:sz w:val="22"/>
                <w:szCs w:val="22"/>
              </w:rPr>
              <w:t>Connection type</w:t>
            </w:r>
          </w:p>
        </w:tc>
      </w:tr>
      <w:tr w:rsidR="00091F8C" w:rsidRPr="00091F8C" w14:paraId="6D3E0CE1"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5175639" w14:textId="77777777" w:rsidR="00DB7536" w:rsidRPr="00091F8C" w:rsidRDefault="00DB7536" w:rsidP="005B0B78">
            <w:pPr>
              <w:pStyle w:val="NoSpacing"/>
              <w:rPr>
                <w:sz w:val="22"/>
                <w:szCs w:val="22"/>
              </w:rPr>
            </w:pPr>
            <w:r w:rsidRPr="00091F8C">
              <w:rPr>
                <w:sz w:val="22"/>
                <w:szCs w:val="22"/>
              </w:rPr>
              <w:t>1. Structural frame system</w:t>
            </w:r>
          </w:p>
        </w:tc>
        <w:tc>
          <w:tcPr>
            <w:tcW w:w="1194" w:type="dxa"/>
          </w:tcPr>
          <w:p w14:paraId="3B5390B7"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048" w:type="dxa"/>
          </w:tcPr>
          <w:p w14:paraId="0FE3855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730" w:type="dxa"/>
          </w:tcPr>
          <w:p w14:paraId="267E16D2"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154" w:type="dxa"/>
          </w:tcPr>
          <w:p w14:paraId="4E3E381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268" w:type="dxa"/>
          </w:tcPr>
          <w:p w14:paraId="43FA1D2C"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r>
      <w:tr w:rsidR="00091F8C" w:rsidRPr="00091F8C" w14:paraId="1302EA0F"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00810329" w14:textId="77777777" w:rsidR="00DB7536" w:rsidRPr="00091F8C" w:rsidRDefault="00DB7536" w:rsidP="005B0B78">
            <w:pPr>
              <w:pStyle w:val="NoSpacing"/>
              <w:jc w:val="left"/>
              <w:rPr>
                <w:b w:val="0"/>
                <w:sz w:val="22"/>
                <w:szCs w:val="22"/>
              </w:rPr>
            </w:pPr>
            <w:r w:rsidRPr="00091F8C">
              <w:rPr>
                <w:b w:val="0"/>
                <w:sz w:val="22"/>
                <w:szCs w:val="22"/>
              </w:rPr>
              <w:t>Steel with fixed connections</w:t>
            </w:r>
          </w:p>
        </w:tc>
        <w:tc>
          <w:tcPr>
            <w:tcW w:w="1194" w:type="dxa"/>
          </w:tcPr>
          <w:p w14:paraId="7062F344"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1F1B5A76"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776A2F5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3FA6171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61D066C1"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55A420BC"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71DA0329" w14:textId="77777777" w:rsidR="00DB7536" w:rsidRPr="00091F8C" w:rsidRDefault="00DB7536" w:rsidP="005B0B78">
            <w:pPr>
              <w:pStyle w:val="NoSpacing"/>
              <w:jc w:val="left"/>
              <w:rPr>
                <w:b w:val="0"/>
                <w:sz w:val="22"/>
                <w:szCs w:val="22"/>
              </w:rPr>
            </w:pPr>
            <w:r w:rsidRPr="00091F8C">
              <w:rPr>
                <w:b w:val="0"/>
                <w:sz w:val="22"/>
                <w:szCs w:val="22"/>
              </w:rPr>
              <w:t>Steel with bolted connections</w:t>
            </w:r>
          </w:p>
        </w:tc>
        <w:tc>
          <w:tcPr>
            <w:tcW w:w="1194" w:type="dxa"/>
          </w:tcPr>
          <w:p w14:paraId="53B82132"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59DE6B2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44C2B2C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7C50774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35FD68A4"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787E2567"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488BF3D" w14:textId="77777777" w:rsidR="00DB7536" w:rsidRPr="00091F8C" w:rsidRDefault="00DB7536" w:rsidP="005B0B78">
            <w:pPr>
              <w:pStyle w:val="NoSpacing"/>
              <w:jc w:val="left"/>
              <w:rPr>
                <w:b w:val="0"/>
                <w:sz w:val="22"/>
                <w:szCs w:val="22"/>
              </w:rPr>
            </w:pPr>
            <w:r w:rsidRPr="00091F8C">
              <w:rPr>
                <w:b w:val="0"/>
                <w:sz w:val="22"/>
                <w:szCs w:val="22"/>
              </w:rPr>
              <w:t>Timber with steel dowels connections</w:t>
            </w:r>
          </w:p>
        </w:tc>
        <w:tc>
          <w:tcPr>
            <w:tcW w:w="1194" w:type="dxa"/>
          </w:tcPr>
          <w:p w14:paraId="5D1D531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490866B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6259C63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2915DAE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467B0511"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d</m:t>
                    </m:r>
                  </m:sub>
                </m:sSub>
              </m:oMath>
            </m:oMathPara>
          </w:p>
        </w:tc>
      </w:tr>
      <w:tr w:rsidR="00091F8C" w:rsidRPr="00091F8C" w14:paraId="364772B6"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A6DE485" w14:textId="77777777" w:rsidR="00DB7536" w:rsidRPr="00091F8C" w:rsidRDefault="00DB7536" w:rsidP="005B0B78">
            <w:pPr>
              <w:pStyle w:val="NoSpacing"/>
              <w:jc w:val="left"/>
              <w:rPr>
                <w:b w:val="0"/>
                <w:sz w:val="22"/>
                <w:szCs w:val="22"/>
              </w:rPr>
            </w:pPr>
            <w:r w:rsidRPr="00091F8C">
              <w:rPr>
                <w:b w:val="0"/>
                <w:sz w:val="22"/>
                <w:szCs w:val="22"/>
              </w:rPr>
              <w:t>Timber with bolted connections</w:t>
            </w:r>
          </w:p>
        </w:tc>
        <w:tc>
          <w:tcPr>
            <w:tcW w:w="1194" w:type="dxa"/>
          </w:tcPr>
          <w:p w14:paraId="04E47EC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4CE0AEE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62A28B2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10C0B8E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4C821AB5"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56D11491"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E088B9A" w14:textId="77777777" w:rsidR="00DB7536" w:rsidRPr="00091F8C" w:rsidRDefault="00DB7536" w:rsidP="005B0B78">
            <w:pPr>
              <w:pStyle w:val="NoSpacing"/>
              <w:jc w:val="left"/>
              <w:rPr>
                <w:b w:val="0"/>
                <w:sz w:val="22"/>
                <w:szCs w:val="22"/>
              </w:rPr>
            </w:pPr>
            <w:r w:rsidRPr="00091F8C">
              <w:rPr>
                <w:b w:val="0"/>
                <w:sz w:val="22"/>
                <w:szCs w:val="22"/>
              </w:rPr>
              <w:t>Timber with nailed connections</w:t>
            </w:r>
          </w:p>
        </w:tc>
        <w:tc>
          <w:tcPr>
            <w:tcW w:w="1194" w:type="dxa"/>
          </w:tcPr>
          <w:p w14:paraId="58E08AD4"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393AD8D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219D39D9"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27C104D6"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32E358C4"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662FF7AF"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E0EF5D0" w14:textId="77777777" w:rsidR="00DB7536" w:rsidRPr="00091F8C" w:rsidRDefault="00DB7536" w:rsidP="005B0B78">
            <w:pPr>
              <w:pStyle w:val="NoSpacing"/>
              <w:jc w:val="left"/>
              <w:rPr>
                <w:b w:val="0"/>
                <w:sz w:val="22"/>
                <w:szCs w:val="22"/>
              </w:rPr>
            </w:pPr>
            <w:r w:rsidRPr="00091F8C">
              <w:rPr>
                <w:b w:val="0"/>
                <w:sz w:val="22"/>
                <w:szCs w:val="22"/>
              </w:rPr>
              <w:t>Concrete with fixed connections</w:t>
            </w:r>
          </w:p>
        </w:tc>
        <w:tc>
          <w:tcPr>
            <w:tcW w:w="1194" w:type="dxa"/>
          </w:tcPr>
          <w:p w14:paraId="0EF8FF1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015DBBC5"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730" w:type="dxa"/>
          </w:tcPr>
          <w:p w14:paraId="03F91577"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05B91FB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268" w:type="dxa"/>
          </w:tcPr>
          <w:p w14:paraId="2A039320"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1A803671"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93DE0C5" w14:textId="77777777" w:rsidR="00DB7536" w:rsidRPr="00091F8C" w:rsidRDefault="00DB7536" w:rsidP="005B0B78">
            <w:pPr>
              <w:pStyle w:val="NoSpacing"/>
              <w:jc w:val="left"/>
              <w:rPr>
                <w:b w:val="0"/>
                <w:sz w:val="22"/>
                <w:szCs w:val="22"/>
              </w:rPr>
            </w:pPr>
            <w:r w:rsidRPr="00091F8C">
              <w:rPr>
                <w:b w:val="0"/>
                <w:sz w:val="22"/>
                <w:szCs w:val="22"/>
              </w:rPr>
              <w:t>Concrete with bolted connections</w:t>
            </w:r>
          </w:p>
        </w:tc>
        <w:tc>
          <w:tcPr>
            <w:tcW w:w="1194" w:type="dxa"/>
          </w:tcPr>
          <w:p w14:paraId="35E4CA7F"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25393751"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1F0BD55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240496A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268" w:type="dxa"/>
          </w:tcPr>
          <w:p w14:paraId="5F13ED37"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1E1F85BD"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43B55043" w14:textId="77777777" w:rsidR="00DB7536" w:rsidRPr="00091F8C" w:rsidRDefault="00DB7536" w:rsidP="005B0B78">
            <w:pPr>
              <w:pStyle w:val="NoSpacing"/>
              <w:rPr>
                <w:sz w:val="22"/>
                <w:szCs w:val="22"/>
              </w:rPr>
            </w:pPr>
          </w:p>
        </w:tc>
        <w:tc>
          <w:tcPr>
            <w:tcW w:w="1194" w:type="dxa"/>
          </w:tcPr>
          <w:p w14:paraId="1DD4F18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048" w:type="dxa"/>
          </w:tcPr>
          <w:p w14:paraId="0D43BEE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730" w:type="dxa"/>
          </w:tcPr>
          <w:p w14:paraId="7AFFC0D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154" w:type="dxa"/>
          </w:tcPr>
          <w:p w14:paraId="4094F967"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268" w:type="dxa"/>
          </w:tcPr>
          <w:p w14:paraId="2E30B86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r>
      <w:tr w:rsidR="00091F8C" w:rsidRPr="00091F8C" w14:paraId="51E0F792"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A5A6539" w14:textId="77777777" w:rsidR="00DB7536" w:rsidRPr="00091F8C" w:rsidRDefault="00DB7536" w:rsidP="005B0B78">
            <w:pPr>
              <w:pStyle w:val="NoSpacing"/>
              <w:rPr>
                <w:b w:val="0"/>
                <w:sz w:val="22"/>
                <w:szCs w:val="22"/>
              </w:rPr>
            </w:pPr>
            <w:r w:rsidRPr="00091F8C">
              <w:rPr>
                <w:sz w:val="22"/>
                <w:szCs w:val="22"/>
              </w:rPr>
              <w:t>2. Structural Foundations</w:t>
            </w:r>
          </w:p>
        </w:tc>
        <w:tc>
          <w:tcPr>
            <w:tcW w:w="1194" w:type="dxa"/>
          </w:tcPr>
          <w:p w14:paraId="38EA131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048" w:type="dxa"/>
          </w:tcPr>
          <w:p w14:paraId="06EA91CE"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730" w:type="dxa"/>
          </w:tcPr>
          <w:p w14:paraId="6FE82D67"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154" w:type="dxa"/>
          </w:tcPr>
          <w:p w14:paraId="3922B0A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268" w:type="dxa"/>
          </w:tcPr>
          <w:p w14:paraId="02DF76E6"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r>
      <w:tr w:rsidR="00091F8C" w:rsidRPr="00091F8C" w14:paraId="508D3C41"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E8687B7" w14:textId="77777777" w:rsidR="00DB7536" w:rsidRPr="00091F8C" w:rsidRDefault="00DB7536" w:rsidP="005B0B78">
            <w:pPr>
              <w:pStyle w:val="NoSpacing"/>
              <w:rPr>
                <w:b w:val="0"/>
                <w:sz w:val="22"/>
                <w:szCs w:val="22"/>
              </w:rPr>
            </w:pPr>
            <w:r w:rsidRPr="00091F8C">
              <w:rPr>
                <w:b w:val="0"/>
                <w:sz w:val="22"/>
                <w:szCs w:val="22"/>
              </w:rPr>
              <w:t>H-Pile foundation</w:t>
            </w:r>
          </w:p>
        </w:tc>
        <w:tc>
          <w:tcPr>
            <w:tcW w:w="1194" w:type="dxa"/>
          </w:tcPr>
          <w:p w14:paraId="4A1142A2"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133621D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1EBBDDB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28347A7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004ACC53"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4099DD1C"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54D7AFB" w14:textId="77777777" w:rsidR="00DB7536" w:rsidRPr="00091F8C" w:rsidRDefault="00DB7536" w:rsidP="005B0B78">
            <w:pPr>
              <w:pStyle w:val="NoSpacing"/>
              <w:rPr>
                <w:b w:val="0"/>
                <w:sz w:val="22"/>
                <w:szCs w:val="22"/>
              </w:rPr>
            </w:pPr>
            <w:r w:rsidRPr="00091F8C">
              <w:rPr>
                <w:b w:val="0"/>
                <w:sz w:val="22"/>
                <w:szCs w:val="22"/>
              </w:rPr>
              <w:t>Concrete ground beam</w:t>
            </w:r>
          </w:p>
        </w:tc>
        <w:tc>
          <w:tcPr>
            <w:tcW w:w="1194" w:type="dxa"/>
          </w:tcPr>
          <w:p w14:paraId="1873D09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2E160FCB"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730" w:type="dxa"/>
          </w:tcPr>
          <w:p w14:paraId="1F68978B"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0A8A7D3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7DF1CEDD"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6C7DCEF4" w14:textId="77777777" w:rsidTr="005B0B7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3686" w:type="dxa"/>
          </w:tcPr>
          <w:p w14:paraId="69C45981" w14:textId="77777777" w:rsidR="00DB7536" w:rsidRPr="00091F8C" w:rsidRDefault="00DB7536" w:rsidP="005B0B78">
            <w:pPr>
              <w:pStyle w:val="NoSpacing"/>
              <w:rPr>
                <w:sz w:val="22"/>
                <w:szCs w:val="22"/>
              </w:rPr>
            </w:pPr>
          </w:p>
        </w:tc>
        <w:tc>
          <w:tcPr>
            <w:tcW w:w="1194" w:type="dxa"/>
          </w:tcPr>
          <w:p w14:paraId="2CAA9E0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048" w:type="dxa"/>
          </w:tcPr>
          <w:p w14:paraId="287C54AC"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730" w:type="dxa"/>
          </w:tcPr>
          <w:p w14:paraId="44C908D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154" w:type="dxa"/>
          </w:tcPr>
          <w:p w14:paraId="6F646549"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268" w:type="dxa"/>
          </w:tcPr>
          <w:p w14:paraId="798E8B2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r>
      <w:tr w:rsidR="00091F8C" w:rsidRPr="00091F8C" w14:paraId="0DE3BD89"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1795ADB" w14:textId="77777777" w:rsidR="00DB7536" w:rsidRPr="00091F8C" w:rsidRDefault="00DB7536" w:rsidP="005B0B78">
            <w:pPr>
              <w:pStyle w:val="NoSpacing"/>
              <w:rPr>
                <w:sz w:val="22"/>
                <w:szCs w:val="22"/>
              </w:rPr>
            </w:pPr>
            <w:r w:rsidRPr="00091F8C">
              <w:rPr>
                <w:sz w:val="22"/>
                <w:szCs w:val="22"/>
              </w:rPr>
              <w:t>3. Wall system</w:t>
            </w:r>
          </w:p>
        </w:tc>
        <w:tc>
          <w:tcPr>
            <w:tcW w:w="1194" w:type="dxa"/>
          </w:tcPr>
          <w:p w14:paraId="179F52E9"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048" w:type="dxa"/>
          </w:tcPr>
          <w:p w14:paraId="563C75D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730" w:type="dxa"/>
          </w:tcPr>
          <w:p w14:paraId="68814744"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154" w:type="dxa"/>
          </w:tcPr>
          <w:p w14:paraId="4297E23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268" w:type="dxa"/>
          </w:tcPr>
          <w:p w14:paraId="57CDD15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r>
      <w:tr w:rsidR="00091F8C" w:rsidRPr="00091F8C" w14:paraId="50AB7BBB"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74EAF194" w14:textId="77777777" w:rsidR="00DB7536" w:rsidRPr="00091F8C" w:rsidRDefault="00DB7536" w:rsidP="005B0B78">
            <w:pPr>
              <w:pStyle w:val="NoSpacing"/>
              <w:rPr>
                <w:b w:val="0"/>
                <w:sz w:val="22"/>
                <w:szCs w:val="22"/>
              </w:rPr>
            </w:pPr>
            <w:r w:rsidRPr="00091F8C">
              <w:rPr>
                <w:b w:val="0"/>
                <w:sz w:val="22"/>
                <w:szCs w:val="22"/>
              </w:rPr>
              <w:t>Demountable dry internal wall</w:t>
            </w:r>
          </w:p>
        </w:tc>
        <w:tc>
          <w:tcPr>
            <w:tcW w:w="1194" w:type="dxa"/>
          </w:tcPr>
          <w:p w14:paraId="7442BF89"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3FBAE5E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0011AD0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41269EA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268" w:type="dxa"/>
          </w:tcPr>
          <w:p w14:paraId="01A27692"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1BFD6BF7"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DB693B8" w14:textId="77777777" w:rsidR="00DB7536" w:rsidRPr="00091F8C" w:rsidRDefault="00DB7536" w:rsidP="005B0B78">
            <w:pPr>
              <w:pStyle w:val="NoSpacing"/>
              <w:rPr>
                <w:b w:val="0"/>
                <w:sz w:val="22"/>
                <w:szCs w:val="22"/>
              </w:rPr>
            </w:pPr>
            <w:r w:rsidRPr="00091F8C">
              <w:rPr>
                <w:b w:val="0"/>
                <w:sz w:val="22"/>
                <w:szCs w:val="22"/>
              </w:rPr>
              <w:t xml:space="preserve">Curtain wall </w:t>
            </w:r>
          </w:p>
        </w:tc>
        <w:tc>
          <w:tcPr>
            <w:tcW w:w="1194" w:type="dxa"/>
          </w:tcPr>
          <w:p w14:paraId="404DD68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052BED56"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013CAC2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0FA3FDB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21498198"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3B881906"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423A65A" w14:textId="77777777" w:rsidR="00DB7536" w:rsidRPr="00091F8C" w:rsidRDefault="00DB7536" w:rsidP="005B0B78">
            <w:pPr>
              <w:pStyle w:val="NoSpacing"/>
              <w:rPr>
                <w:b w:val="0"/>
                <w:sz w:val="22"/>
                <w:szCs w:val="22"/>
              </w:rPr>
            </w:pPr>
            <w:r w:rsidRPr="00091F8C">
              <w:rPr>
                <w:b w:val="0"/>
                <w:sz w:val="22"/>
                <w:szCs w:val="22"/>
              </w:rPr>
              <w:t xml:space="preserve">Brick/block cavity wall </w:t>
            </w:r>
          </w:p>
        </w:tc>
        <w:tc>
          <w:tcPr>
            <w:tcW w:w="1194" w:type="dxa"/>
          </w:tcPr>
          <w:p w14:paraId="46B1B50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2A7BC0E4"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730" w:type="dxa"/>
          </w:tcPr>
          <w:p w14:paraId="68A3A665"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69335A0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268" w:type="dxa"/>
          </w:tcPr>
          <w:p w14:paraId="72121A4E"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6E3E7E3A"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F34CA3A" w14:textId="77777777" w:rsidR="00DB7536" w:rsidRPr="00091F8C" w:rsidRDefault="00DB7536" w:rsidP="005B0B78">
            <w:pPr>
              <w:pStyle w:val="NoSpacing"/>
              <w:rPr>
                <w:b w:val="0"/>
                <w:sz w:val="22"/>
                <w:szCs w:val="22"/>
              </w:rPr>
            </w:pPr>
            <w:r w:rsidRPr="00091F8C">
              <w:rPr>
                <w:b w:val="0"/>
                <w:sz w:val="22"/>
                <w:szCs w:val="22"/>
              </w:rPr>
              <w:t xml:space="preserve">Cladded timber cavity wall </w:t>
            </w:r>
          </w:p>
        </w:tc>
        <w:tc>
          <w:tcPr>
            <w:tcW w:w="1194" w:type="dxa"/>
          </w:tcPr>
          <w:p w14:paraId="573F051C"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27B3EEB2"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730" w:type="dxa"/>
          </w:tcPr>
          <w:p w14:paraId="3CD8EF3E"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695EE96C"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268" w:type="dxa"/>
          </w:tcPr>
          <w:p w14:paraId="792DD482"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1C849F18"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E7D72C6" w14:textId="77777777" w:rsidR="00DB7536" w:rsidRPr="00091F8C" w:rsidRDefault="00DB7536" w:rsidP="005B0B78">
            <w:pPr>
              <w:pStyle w:val="NoSpacing"/>
              <w:rPr>
                <w:b w:val="0"/>
                <w:sz w:val="22"/>
                <w:szCs w:val="22"/>
              </w:rPr>
            </w:pPr>
            <w:r w:rsidRPr="00091F8C">
              <w:rPr>
                <w:b w:val="0"/>
                <w:sz w:val="22"/>
                <w:szCs w:val="22"/>
              </w:rPr>
              <w:t>Steel framed wall</w:t>
            </w:r>
          </w:p>
        </w:tc>
        <w:tc>
          <w:tcPr>
            <w:tcW w:w="1194" w:type="dxa"/>
          </w:tcPr>
          <w:p w14:paraId="5DA911E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3A21EF57"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42E7BD9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4F6018CD"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34A441FF"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1D995D2E"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6D80BD3" w14:textId="77777777" w:rsidR="00DB7536" w:rsidRPr="00091F8C" w:rsidRDefault="00DB7536" w:rsidP="005B0B78">
            <w:pPr>
              <w:pStyle w:val="NoSpacing"/>
              <w:rPr>
                <w:b w:val="0"/>
                <w:sz w:val="22"/>
                <w:szCs w:val="22"/>
              </w:rPr>
            </w:pPr>
            <w:r w:rsidRPr="00091F8C">
              <w:rPr>
                <w:b w:val="0"/>
                <w:sz w:val="22"/>
                <w:szCs w:val="22"/>
              </w:rPr>
              <w:t>Concrete wall with paint finish</w:t>
            </w:r>
          </w:p>
        </w:tc>
        <w:tc>
          <w:tcPr>
            <w:tcW w:w="1194" w:type="dxa"/>
          </w:tcPr>
          <w:p w14:paraId="494A68A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469DC80D"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730" w:type="dxa"/>
          </w:tcPr>
          <w:p w14:paraId="2E107E74"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49CFF8E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268" w:type="dxa"/>
          </w:tcPr>
          <w:p w14:paraId="4A8CFB81"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3C01AEB6"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F9874F8" w14:textId="77777777" w:rsidR="00DB7536" w:rsidRPr="00091F8C" w:rsidRDefault="00DB7536" w:rsidP="005B0B78">
            <w:pPr>
              <w:pStyle w:val="NoSpacing"/>
              <w:rPr>
                <w:sz w:val="22"/>
                <w:szCs w:val="22"/>
              </w:rPr>
            </w:pPr>
          </w:p>
        </w:tc>
        <w:tc>
          <w:tcPr>
            <w:tcW w:w="1194" w:type="dxa"/>
          </w:tcPr>
          <w:p w14:paraId="36CC1DF8"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048" w:type="dxa"/>
          </w:tcPr>
          <w:p w14:paraId="4FA67EB2"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730" w:type="dxa"/>
          </w:tcPr>
          <w:p w14:paraId="4157571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154" w:type="dxa"/>
          </w:tcPr>
          <w:p w14:paraId="4EB4104D"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268" w:type="dxa"/>
          </w:tcPr>
          <w:p w14:paraId="6CE22DBD"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r>
      <w:tr w:rsidR="00091F8C" w:rsidRPr="00091F8C" w14:paraId="3D07C4A3"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7984A1F" w14:textId="77777777" w:rsidR="00DB7536" w:rsidRPr="00091F8C" w:rsidRDefault="00DB7536" w:rsidP="005B0B78">
            <w:pPr>
              <w:pStyle w:val="NoSpacing"/>
              <w:rPr>
                <w:sz w:val="22"/>
                <w:szCs w:val="22"/>
              </w:rPr>
            </w:pPr>
            <w:r w:rsidRPr="00091F8C">
              <w:rPr>
                <w:sz w:val="22"/>
                <w:szCs w:val="22"/>
              </w:rPr>
              <w:t>4. Floor system</w:t>
            </w:r>
          </w:p>
        </w:tc>
        <w:tc>
          <w:tcPr>
            <w:tcW w:w="1194" w:type="dxa"/>
          </w:tcPr>
          <w:p w14:paraId="18603E1D"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048" w:type="dxa"/>
          </w:tcPr>
          <w:p w14:paraId="3F3B908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730" w:type="dxa"/>
          </w:tcPr>
          <w:p w14:paraId="6B23D159"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154" w:type="dxa"/>
          </w:tcPr>
          <w:p w14:paraId="5823226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268" w:type="dxa"/>
          </w:tcPr>
          <w:p w14:paraId="56EC29AD"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r>
      <w:tr w:rsidR="00091F8C" w:rsidRPr="00091F8C" w14:paraId="723510D8"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E0F858B" w14:textId="77777777" w:rsidR="00DB7536" w:rsidRPr="00091F8C" w:rsidRDefault="00DB7536" w:rsidP="005B0B78">
            <w:pPr>
              <w:pStyle w:val="NoSpacing"/>
              <w:rPr>
                <w:b w:val="0"/>
                <w:sz w:val="22"/>
                <w:szCs w:val="22"/>
              </w:rPr>
            </w:pPr>
            <w:r w:rsidRPr="00091F8C">
              <w:rPr>
                <w:b w:val="0"/>
                <w:sz w:val="22"/>
                <w:szCs w:val="22"/>
              </w:rPr>
              <w:t>Concrete floor with ceramic tiles</w:t>
            </w:r>
          </w:p>
        </w:tc>
        <w:tc>
          <w:tcPr>
            <w:tcW w:w="1194" w:type="dxa"/>
          </w:tcPr>
          <w:p w14:paraId="648307A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11C969B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730" w:type="dxa"/>
          </w:tcPr>
          <w:p w14:paraId="76E92F0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6ABD029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70186058"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302893CD"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78D4187D" w14:textId="77777777" w:rsidR="00DB7536" w:rsidRPr="00091F8C" w:rsidRDefault="00DB7536" w:rsidP="005B0B78">
            <w:pPr>
              <w:pStyle w:val="NoSpacing"/>
              <w:rPr>
                <w:b w:val="0"/>
                <w:sz w:val="22"/>
                <w:szCs w:val="22"/>
              </w:rPr>
            </w:pPr>
            <w:r w:rsidRPr="00091F8C">
              <w:rPr>
                <w:b w:val="0"/>
                <w:sz w:val="22"/>
                <w:szCs w:val="22"/>
              </w:rPr>
              <w:t xml:space="preserve">Concrete floor with carpet </w:t>
            </w:r>
          </w:p>
        </w:tc>
        <w:tc>
          <w:tcPr>
            <w:tcW w:w="1194" w:type="dxa"/>
          </w:tcPr>
          <w:p w14:paraId="7BBC7482"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07CE9E3C"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730" w:type="dxa"/>
          </w:tcPr>
          <w:p w14:paraId="1C9912C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377231DD"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32EFAF65"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140C6C55"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FBAFEB5" w14:textId="77777777" w:rsidR="00DB7536" w:rsidRPr="00091F8C" w:rsidRDefault="00DB7536" w:rsidP="005B0B78">
            <w:pPr>
              <w:pStyle w:val="NoSpacing"/>
              <w:rPr>
                <w:b w:val="0"/>
                <w:sz w:val="22"/>
                <w:szCs w:val="22"/>
              </w:rPr>
            </w:pPr>
            <w:r w:rsidRPr="00091F8C">
              <w:rPr>
                <w:b w:val="0"/>
                <w:sz w:val="22"/>
                <w:szCs w:val="22"/>
              </w:rPr>
              <w:t xml:space="preserve">Timber floor with carpet </w:t>
            </w:r>
          </w:p>
        </w:tc>
        <w:tc>
          <w:tcPr>
            <w:tcW w:w="1194" w:type="dxa"/>
          </w:tcPr>
          <w:p w14:paraId="63CA3A6C"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603024D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320128C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71859B9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2DAE5555"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1A991B31"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BA4B32C" w14:textId="77777777" w:rsidR="00DB7536" w:rsidRPr="00091F8C" w:rsidRDefault="00DB7536" w:rsidP="005B0B78">
            <w:pPr>
              <w:pStyle w:val="NoSpacing"/>
              <w:rPr>
                <w:b w:val="0"/>
                <w:sz w:val="22"/>
                <w:szCs w:val="22"/>
              </w:rPr>
            </w:pPr>
            <w:r w:rsidRPr="00091F8C">
              <w:rPr>
                <w:b w:val="0"/>
                <w:sz w:val="22"/>
                <w:szCs w:val="22"/>
              </w:rPr>
              <w:t>Timber floor with ceramic tiles</w:t>
            </w:r>
          </w:p>
        </w:tc>
        <w:tc>
          <w:tcPr>
            <w:tcW w:w="1194" w:type="dxa"/>
          </w:tcPr>
          <w:p w14:paraId="387A84F6"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4F4BB35F"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262D33D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2F2A3092"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009621BE"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7B8AEA9E"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7EB4DDDF" w14:textId="77777777" w:rsidR="00DB7536" w:rsidRPr="00091F8C" w:rsidRDefault="00DB7536" w:rsidP="005B0B78">
            <w:pPr>
              <w:pStyle w:val="NoSpacing"/>
              <w:rPr>
                <w:sz w:val="22"/>
                <w:szCs w:val="22"/>
              </w:rPr>
            </w:pPr>
          </w:p>
        </w:tc>
        <w:tc>
          <w:tcPr>
            <w:tcW w:w="1194" w:type="dxa"/>
          </w:tcPr>
          <w:p w14:paraId="7BB0ACC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048" w:type="dxa"/>
          </w:tcPr>
          <w:p w14:paraId="43E0708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730" w:type="dxa"/>
          </w:tcPr>
          <w:p w14:paraId="144AEEF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154" w:type="dxa"/>
          </w:tcPr>
          <w:p w14:paraId="19BDA15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268" w:type="dxa"/>
          </w:tcPr>
          <w:p w14:paraId="1AE26D6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r>
      <w:tr w:rsidR="00091F8C" w:rsidRPr="00091F8C" w14:paraId="1542E6DF"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B579B13" w14:textId="77777777" w:rsidR="00DB7536" w:rsidRPr="00091F8C" w:rsidRDefault="00DB7536" w:rsidP="005B0B78">
            <w:pPr>
              <w:pStyle w:val="NoSpacing"/>
              <w:rPr>
                <w:sz w:val="22"/>
                <w:szCs w:val="22"/>
              </w:rPr>
            </w:pPr>
            <w:r w:rsidRPr="00091F8C">
              <w:rPr>
                <w:sz w:val="22"/>
                <w:szCs w:val="22"/>
              </w:rPr>
              <w:t>5. Ceiling system</w:t>
            </w:r>
          </w:p>
        </w:tc>
        <w:tc>
          <w:tcPr>
            <w:tcW w:w="1194" w:type="dxa"/>
          </w:tcPr>
          <w:p w14:paraId="0AE4DC22"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048" w:type="dxa"/>
          </w:tcPr>
          <w:p w14:paraId="08DDA89F"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730" w:type="dxa"/>
          </w:tcPr>
          <w:p w14:paraId="3A9A8BF1"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154" w:type="dxa"/>
          </w:tcPr>
          <w:p w14:paraId="55F76E8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268" w:type="dxa"/>
          </w:tcPr>
          <w:p w14:paraId="1057D99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r>
      <w:tr w:rsidR="00091F8C" w:rsidRPr="00091F8C" w14:paraId="0663A597"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429FC643" w14:textId="77777777" w:rsidR="00DB7536" w:rsidRPr="00091F8C" w:rsidRDefault="00DB7536" w:rsidP="005B0B78">
            <w:pPr>
              <w:pStyle w:val="NoSpacing"/>
              <w:rPr>
                <w:b w:val="0"/>
                <w:sz w:val="22"/>
                <w:szCs w:val="22"/>
              </w:rPr>
            </w:pPr>
            <w:r w:rsidRPr="00091F8C">
              <w:rPr>
                <w:b w:val="0"/>
                <w:sz w:val="22"/>
                <w:szCs w:val="22"/>
              </w:rPr>
              <w:t>Gypsum ceiling with steel frame</w:t>
            </w:r>
          </w:p>
        </w:tc>
        <w:tc>
          <w:tcPr>
            <w:tcW w:w="1194" w:type="dxa"/>
          </w:tcPr>
          <w:p w14:paraId="0685DC99"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586C8E68"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730" w:type="dxa"/>
          </w:tcPr>
          <w:p w14:paraId="57A007C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3157D2A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268" w:type="dxa"/>
          </w:tcPr>
          <w:p w14:paraId="113A588C"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22D49B3B"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7D44435" w14:textId="77777777" w:rsidR="00DB7536" w:rsidRPr="00091F8C" w:rsidRDefault="00DB7536" w:rsidP="005B0B78">
            <w:pPr>
              <w:pStyle w:val="NoSpacing"/>
              <w:rPr>
                <w:b w:val="0"/>
                <w:sz w:val="22"/>
                <w:szCs w:val="22"/>
              </w:rPr>
            </w:pPr>
            <w:r w:rsidRPr="00091F8C">
              <w:rPr>
                <w:b w:val="0"/>
                <w:sz w:val="22"/>
                <w:szCs w:val="22"/>
              </w:rPr>
              <w:t>Aluminium strips with steel frame</w:t>
            </w:r>
          </w:p>
        </w:tc>
        <w:tc>
          <w:tcPr>
            <w:tcW w:w="1194" w:type="dxa"/>
          </w:tcPr>
          <w:p w14:paraId="6549817D"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4FF9894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33134B3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06397D9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6692A519"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49145B00"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153F688" w14:textId="77777777" w:rsidR="00DB7536" w:rsidRPr="00091F8C" w:rsidRDefault="00DB7536" w:rsidP="005B0B78">
            <w:pPr>
              <w:pStyle w:val="NoSpacing"/>
              <w:rPr>
                <w:b w:val="0"/>
                <w:sz w:val="22"/>
                <w:szCs w:val="22"/>
              </w:rPr>
            </w:pPr>
            <w:r w:rsidRPr="00091F8C">
              <w:rPr>
                <w:b w:val="0"/>
                <w:sz w:val="22"/>
                <w:szCs w:val="22"/>
              </w:rPr>
              <w:t>Soffit plaster and paint</w:t>
            </w:r>
          </w:p>
        </w:tc>
        <w:tc>
          <w:tcPr>
            <w:tcW w:w="1194" w:type="dxa"/>
          </w:tcPr>
          <w:p w14:paraId="1D259FE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048" w:type="dxa"/>
          </w:tcPr>
          <w:p w14:paraId="4774AC0C"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730" w:type="dxa"/>
          </w:tcPr>
          <w:p w14:paraId="61F9329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301753E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268" w:type="dxa"/>
          </w:tcPr>
          <w:p w14:paraId="09F9A3FA"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537DDF19"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CF3FD25" w14:textId="77777777" w:rsidR="00DB7536" w:rsidRPr="00091F8C" w:rsidRDefault="00DB7536" w:rsidP="005B0B78">
            <w:pPr>
              <w:pStyle w:val="NoSpacing"/>
              <w:rPr>
                <w:b w:val="0"/>
                <w:sz w:val="22"/>
                <w:szCs w:val="22"/>
              </w:rPr>
            </w:pPr>
            <w:r w:rsidRPr="00091F8C">
              <w:rPr>
                <w:b w:val="0"/>
                <w:sz w:val="22"/>
                <w:szCs w:val="22"/>
              </w:rPr>
              <w:t>Timber planks with timber frame</w:t>
            </w:r>
          </w:p>
        </w:tc>
        <w:tc>
          <w:tcPr>
            <w:tcW w:w="1194" w:type="dxa"/>
          </w:tcPr>
          <w:p w14:paraId="27434EBB"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5C30310D"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3FD6A6C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28C7E43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268" w:type="dxa"/>
          </w:tcPr>
          <w:p w14:paraId="178B3BB2"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503927FB"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EE4AE35" w14:textId="77777777" w:rsidR="00DB7536" w:rsidRPr="00091F8C" w:rsidRDefault="00DB7536" w:rsidP="005B0B78">
            <w:pPr>
              <w:pStyle w:val="NoSpacing"/>
              <w:rPr>
                <w:b w:val="0"/>
                <w:sz w:val="22"/>
                <w:szCs w:val="22"/>
              </w:rPr>
            </w:pPr>
            <w:r w:rsidRPr="00091F8C">
              <w:rPr>
                <w:b w:val="0"/>
                <w:sz w:val="22"/>
                <w:szCs w:val="22"/>
              </w:rPr>
              <w:t>Ceiling tiles with metal frame</w:t>
            </w:r>
          </w:p>
        </w:tc>
        <w:tc>
          <w:tcPr>
            <w:tcW w:w="1194" w:type="dxa"/>
          </w:tcPr>
          <w:p w14:paraId="45FBDED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6AA1227D"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42B518A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3880D468"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416163A9"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73DE707B"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BBF9D01" w14:textId="77777777" w:rsidR="00DB7536" w:rsidRPr="00091F8C" w:rsidRDefault="00DB7536" w:rsidP="005B0B78">
            <w:pPr>
              <w:pStyle w:val="NoSpacing"/>
              <w:rPr>
                <w:sz w:val="22"/>
                <w:szCs w:val="22"/>
              </w:rPr>
            </w:pPr>
          </w:p>
        </w:tc>
        <w:tc>
          <w:tcPr>
            <w:tcW w:w="1194" w:type="dxa"/>
          </w:tcPr>
          <w:p w14:paraId="40F6FA84"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048" w:type="dxa"/>
          </w:tcPr>
          <w:p w14:paraId="5DF57AE9"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730" w:type="dxa"/>
          </w:tcPr>
          <w:p w14:paraId="2D791822"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154" w:type="dxa"/>
          </w:tcPr>
          <w:p w14:paraId="199FA1E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268" w:type="dxa"/>
          </w:tcPr>
          <w:p w14:paraId="1C11D9D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r>
      <w:tr w:rsidR="00091F8C" w:rsidRPr="00091F8C" w14:paraId="181AE07B"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78E100D" w14:textId="77777777" w:rsidR="00DB7536" w:rsidRPr="00091F8C" w:rsidRDefault="00DB7536" w:rsidP="005B0B78">
            <w:pPr>
              <w:pStyle w:val="NoSpacing"/>
              <w:rPr>
                <w:sz w:val="22"/>
                <w:szCs w:val="22"/>
              </w:rPr>
            </w:pPr>
            <w:r w:rsidRPr="00091F8C">
              <w:rPr>
                <w:sz w:val="22"/>
                <w:szCs w:val="22"/>
              </w:rPr>
              <w:t>6. Roof system</w:t>
            </w:r>
          </w:p>
        </w:tc>
        <w:tc>
          <w:tcPr>
            <w:tcW w:w="1194" w:type="dxa"/>
          </w:tcPr>
          <w:p w14:paraId="600A95D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048" w:type="dxa"/>
          </w:tcPr>
          <w:p w14:paraId="11225DA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730" w:type="dxa"/>
          </w:tcPr>
          <w:p w14:paraId="6E6E8FC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154" w:type="dxa"/>
          </w:tcPr>
          <w:p w14:paraId="228E982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268" w:type="dxa"/>
          </w:tcPr>
          <w:p w14:paraId="5370593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r>
      <w:tr w:rsidR="00091F8C" w:rsidRPr="00091F8C" w14:paraId="2B610BDD"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A229830" w14:textId="77777777" w:rsidR="00DB7536" w:rsidRPr="00091F8C" w:rsidRDefault="00DB7536" w:rsidP="005B0B78">
            <w:pPr>
              <w:pStyle w:val="NoSpacing"/>
              <w:rPr>
                <w:b w:val="0"/>
                <w:sz w:val="22"/>
                <w:szCs w:val="22"/>
              </w:rPr>
            </w:pPr>
            <w:r w:rsidRPr="00091F8C">
              <w:rPr>
                <w:b w:val="0"/>
                <w:sz w:val="22"/>
                <w:szCs w:val="22"/>
              </w:rPr>
              <w:t>Tiled roof on timber beam</w:t>
            </w:r>
          </w:p>
        </w:tc>
        <w:tc>
          <w:tcPr>
            <w:tcW w:w="1194" w:type="dxa"/>
          </w:tcPr>
          <w:p w14:paraId="7C354A8B"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23799FEC"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0BF8EA1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67394786"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1B79D159"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47C5FCA7"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4510F088" w14:textId="77777777" w:rsidR="00DB7536" w:rsidRPr="00091F8C" w:rsidRDefault="00DB7536" w:rsidP="005B0B78">
            <w:pPr>
              <w:pStyle w:val="NoSpacing"/>
              <w:rPr>
                <w:b w:val="0"/>
                <w:sz w:val="22"/>
                <w:szCs w:val="22"/>
              </w:rPr>
            </w:pPr>
            <w:r w:rsidRPr="00091F8C">
              <w:rPr>
                <w:b w:val="0"/>
                <w:sz w:val="22"/>
                <w:szCs w:val="22"/>
              </w:rPr>
              <w:t>Metal panel on steel truss</w:t>
            </w:r>
          </w:p>
        </w:tc>
        <w:tc>
          <w:tcPr>
            <w:tcW w:w="1194" w:type="dxa"/>
          </w:tcPr>
          <w:p w14:paraId="35E863A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2F44CE9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7DB77D61"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0351E75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78253DEF"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r w:rsidR="00091F8C" w:rsidRPr="00091F8C" w14:paraId="2C7E80A5"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17A62C5" w14:textId="77777777" w:rsidR="00DB7536" w:rsidRPr="00091F8C" w:rsidRDefault="00DB7536" w:rsidP="005B0B78">
            <w:pPr>
              <w:pStyle w:val="NoSpacing"/>
              <w:rPr>
                <w:b w:val="0"/>
                <w:sz w:val="22"/>
                <w:szCs w:val="22"/>
              </w:rPr>
            </w:pPr>
            <w:r w:rsidRPr="00091F8C">
              <w:rPr>
                <w:b w:val="0"/>
                <w:sz w:val="22"/>
                <w:szCs w:val="22"/>
              </w:rPr>
              <w:t>Metal panel on timber truss</w:t>
            </w:r>
          </w:p>
        </w:tc>
        <w:tc>
          <w:tcPr>
            <w:tcW w:w="1194" w:type="dxa"/>
          </w:tcPr>
          <w:p w14:paraId="1F2BD9B7"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704BF32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2CBC2FC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4A81D50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268" w:type="dxa"/>
          </w:tcPr>
          <w:p w14:paraId="71D5A742"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1CB4D341"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0C1A028D" w14:textId="77777777" w:rsidR="00DB7536" w:rsidRPr="00091F8C" w:rsidRDefault="00DB7536" w:rsidP="005B0B78">
            <w:pPr>
              <w:pStyle w:val="NoSpacing"/>
              <w:rPr>
                <w:b w:val="0"/>
                <w:sz w:val="22"/>
                <w:szCs w:val="22"/>
              </w:rPr>
            </w:pPr>
            <w:r w:rsidRPr="00091F8C">
              <w:rPr>
                <w:b w:val="0"/>
                <w:sz w:val="22"/>
                <w:szCs w:val="22"/>
              </w:rPr>
              <w:t>Slate roofing sheet on timber truss</w:t>
            </w:r>
          </w:p>
        </w:tc>
        <w:tc>
          <w:tcPr>
            <w:tcW w:w="1194" w:type="dxa"/>
          </w:tcPr>
          <w:p w14:paraId="5CE08F12"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2DDD9A0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296BCFDF"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28126E1D"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661708AD"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148C7452"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019287F" w14:textId="77777777" w:rsidR="00DB7536" w:rsidRPr="00091F8C" w:rsidRDefault="00DB7536" w:rsidP="005B0B78">
            <w:pPr>
              <w:pStyle w:val="NoSpacing"/>
              <w:rPr>
                <w:b w:val="0"/>
                <w:sz w:val="22"/>
                <w:szCs w:val="22"/>
              </w:rPr>
            </w:pPr>
            <w:r w:rsidRPr="00091F8C">
              <w:rPr>
                <w:b w:val="0"/>
                <w:sz w:val="22"/>
                <w:szCs w:val="22"/>
              </w:rPr>
              <w:t>Concrete roof with sand/cement screed</w:t>
            </w:r>
          </w:p>
        </w:tc>
        <w:tc>
          <w:tcPr>
            <w:tcW w:w="1194" w:type="dxa"/>
          </w:tcPr>
          <w:p w14:paraId="40337FB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12B707FE"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730" w:type="dxa"/>
          </w:tcPr>
          <w:p w14:paraId="12BA4875"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0F7A784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268" w:type="dxa"/>
          </w:tcPr>
          <w:p w14:paraId="686562CE"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163651D0"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B572E73" w14:textId="77777777" w:rsidR="00DB7536" w:rsidRPr="00091F8C" w:rsidRDefault="00DB7536" w:rsidP="005B0B78">
            <w:pPr>
              <w:pStyle w:val="NoSpacing"/>
              <w:rPr>
                <w:sz w:val="22"/>
                <w:szCs w:val="22"/>
              </w:rPr>
            </w:pPr>
          </w:p>
        </w:tc>
        <w:tc>
          <w:tcPr>
            <w:tcW w:w="1194" w:type="dxa"/>
          </w:tcPr>
          <w:p w14:paraId="0A9DE89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048" w:type="dxa"/>
          </w:tcPr>
          <w:p w14:paraId="66F1AC2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730" w:type="dxa"/>
          </w:tcPr>
          <w:p w14:paraId="6066E55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154" w:type="dxa"/>
          </w:tcPr>
          <w:p w14:paraId="6679B7F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c>
          <w:tcPr>
            <w:tcW w:w="1268" w:type="dxa"/>
          </w:tcPr>
          <w:p w14:paraId="669250E5"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p>
        </w:tc>
      </w:tr>
      <w:tr w:rsidR="00091F8C" w:rsidRPr="00091F8C" w14:paraId="5737D5AF"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CED4C43" w14:textId="77777777" w:rsidR="00DB7536" w:rsidRPr="00091F8C" w:rsidRDefault="00DB7536" w:rsidP="005B0B78">
            <w:pPr>
              <w:pStyle w:val="NoSpacing"/>
              <w:rPr>
                <w:sz w:val="22"/>
                <w:szCs w:val="22"/>
              </w:rPr>
            </w:pPr>
            <w:r w:rsidRPr="00091F8C">
              <w:rPr>
                <w:sz w:val="22"/>
                <w:szCs w:val="22"/>
              </w:rPr>
              <w:t>7. Doors and windows</w:t>
            </w:r>
          </w:p>
        </w:tc>
        <w:tc>
          <w:tcPr>
            <w:tcW w:w="1194" w:type="dxa"/>
          </w:tcPr>
          <w:p w14:paraId="76938CE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048" w:type="dxa"/>
          </w:tcPr>
          <w:p w14:paraId="1591E066"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730" w:type="dxa"/>
          </w:tcPr>
          <w:p w14:paraId="185A786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154" w:type="dxa"/>
          </w:tcPr>
          <w:p w14:paraId="61C9EEF8"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c>
          <w:tcPr>
            <w:tcW w:w="1268" w:type="dxa"/>
          </w:tcPr>
          <w:p w14:paraId="1AE17AFC"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p>
        </w:tc>
      </w:tr>
      <w:tr w:rsidR="00091F8C" w:rsidRPr="00091F8C" w14:paraId="3EE5ACE7"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40D8700" w14:textId="77777777" w:rsidR="00DB7536" w:rsidRPr="00091F8C" w:rsidRDefault="00DB7536" w:rsidP="005B0B78">
            <w:pPr>
              <w:pStyle w:val="NoSpacing"/>
              <w:rPr>
                <w:b w:val="0"/>
                <w:sz w:val="22"/>
                <w:szCs w:val="22"/>
              </w:rPr>
            </w:pPr>
            <w:r w:rsidRPr="00091F8C">
              <w:rPr>
                <w:b w:val="0"/>
                <w:sz w:val="22"/>
                <w:szCs w:val="22"/>
              </w:rPr>
              <w:t>Glass with aluminium frame</w:t>
            </w:r>
          </w:p>
        </w:tc>
        <w:tc>
          <w:tcPr>
            <w:tcW w:w="1194" w:type="dxa"/>
          </w:tcPr>
          <w:p w14:paraId="6600B81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44A3CAFC"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5AAF03F5"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0737A2C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7C6B63EE"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f</m:t>
                    </m:r>
                  </m:sub>
                </m:sSub>
              </m:oMath>
            </m:oMathPara>
          </w:p>
        </w:tc>
      </w:tr>
      <w:tr w:rsidR="00091F8C" w:rsidRPr="00091F8C" w14:paraId="64EDF8F8" w14:textId="77777777" w:rsidTr="005B0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0C26F51C" w14:textId="77777777" w:rsidR="00DB7536" w:rsidRPr="00091F8C" w:rsidRDefault="00DB7536" w:rsidP="005B0B78">
            <w:pPr>
              <w:pStyle w:val="NoSpacing"/>
              <w:rPr>
                <w:b w:val="0"/>
                <w:sz w:val="22"/>
                <w:szCs w:val="22"/>
              </w:rPr>
            </w:pPr>
            <w:r w:rsidRPr="00091F8C">
              <w:rPr>
                <w:b w:val="0"/>
                <w:sz w:val="22"/>
                <w:szCs w:val="22"/>
              </w:rPr>
              <w:t>Timber with timber frame</w:t>
            </w:r>
          </w:p>
        </w:tc>
        <w:tc>
          <w:tcPr>
            <w:tcW w:w="1194" w:type="dxa"/>
          </w:tcPr>
          <w:p w14:paraId="4D95E8D2"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048" w:type="dxa"/>
          </w:tcPr>
          <w:p w14:paraId="0B119C3B"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730" w:type="dxa"/>
          </w:tcPr>
          <w:p w14:paraId="3DA3320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B"/>
            </w:r>
          </w:p>
        </w:tc>
        <w:tc>
          <w:tcPr>
            <w:tcW w:w="1154" w:type="dxa"/>
          </w:tcPr>
          <w:p w14:paraId="38C382B9"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w:r w:rsidRPr="00091F8C">
              <w:rPr>
                <w:sz w:val="22"/>
                <w:szCs w:val="22"/>
              </w:rPr>
              <w:sym w:font="Wingdings" w:char="F0FC"/>
            </w:r>
          </w:p>
        </w:tc>
        <w:tc>
          <w:tcPr>
            <w:tcW w:w="1268" w:type="dxa"/>
          </w:tcPr>
          <w:p w14:paraId="3F7ACBEC" w14:textId="77777777" w:rsidR="00DB7536" w:rsidRPr="00091F8C" w:rsidRDefault="009D3111" w:rsidP="005B0B78">
            <w:pPr>
              <w:pStyle w:val="NoSpacing"/>
              <w:cnfStyle w:val="000000010000" w:firstRow="0" w:lastRow="0" w:firstColumn="0" w:lastColumn="0" w:oddVBand="0" w:evenVBand="0" w:oddHBand="0" w:evenHBand="1"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n</m:t>
                    </m:r>
                  </m:sub>
                </m:sSub>
              </m:oMath>
            </m:oMathPara>
          </w:p>
        </w:tc>
      </w:tr>
      <w:tr w:rsidR="00091F8C" w:rsidRPr="00091F8C" w14:paraId="470821BF" w14:textId="77777777" w:rsidTr="005B0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87532F0" w14:textId="77777777" w:rsidR="00DB7536" w:rsidRPr="00091F8C" w:rsidRDefault="00DB7536" w:rsidP="005B0B78">
            <w:pPr>
              <w:pStyle w:val="NoSpacing"/>
              <w:rPr>
                <w:b w:val="0"/>
                <w:sz w:val="22"/>
                <w:szCs w:val="22"/>
              </w:rPr>
            </w:pPr>
            <w:r w:rsidRPr="00091F8C">
              <w:rPr>
                <w:b w:val="0"/>
                <w:sz w:val="22"/>
                <w:szCs w:val="22"/>
              </w:rPr>
              <w:t>Steel with steel frame</w:t>
            </w:r>
          </w:p>
        </w:tc>
        <w:tc>
          <w:tcPr>
            <w:tcW w:w="1194" w:type="dxa"/>
          </w:tcPr>
          <w:p w14:paraId="632FE9C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1048" w:type="dxa"/>
          </w:tcPr>
          <w:p w14:paraId="4028EAF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C"/>
            </w:r>
          </w:p>
        </w:tc>
        <w:tc>
          <w:tcPr>
            <w:tcW w:w="730" w:type="dxa"/>
          </w:tcPr>
          <w:p w14:paraId="7CCAAD84"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154" w:type="dxa"/>
          </w:tcPr>
          <w:p w14:paraId="066F8C1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091F8C">
              <w:rPr>
                <w:sz w:val="22"/>
                <w:szCs w:val="22"/>
              </w:rPr>
              <w:sym w:font="Wingdings" w:char="F0FB"/>
            </w:r>
          </w:p>
        </w:tc>
        <w:tc>
          <w:tcPr>
            <w:tcW w:w="1268" w:type="dxa"/>
          </w:tcPr>
          <w:p w14:paraId="005E91B3" w14:textId="77777777" w:rsidR="00DB7536" w:rsidRPr="00091F8C" w:rsidRDefault="009D3111" w:rsidP="005B0B78">
            <w:pPr>
              <w:pStyle w:val="NoSpacing"/>
              <w:cnfStyle w:val="000000100000" w:firstRow="0" w:lastRow="0" w:firstColumn="0" w:lastColumn="0" w:oddVBand="0" w:evenVBand="0" w:oddHBand="1" w:evenHBand="0" w:firstRowFirstColumn="0" w:firstRowLastColumn="0" w:lastRowFirstColumn="0" w:lastRowLastColumn="0"/>
              <w:rPr>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b</m:t>
                    </m:r>
                  </m:sub>
                </m:sSub>
              </m:oMath>
            </m:oMathPara>
          </w:p>
        </w:tc>
      </w:tr>
    </w:tbl>
    <w:p w14:paraId="1E036C30" w14:textId="77777777" w:rsidR="00DB7536" w:rsidRPr="00091F8C" w:rsidRDefault="00DB7536" w:rsidP="00DB7536">
      <w:pPr>
        <w:pStyle w:val="Caption"/>
        <w:rPr>
          <w:color w:val="000000" w:themeColor="text1"/>
        </w:rPr>
      </w:pPr>
      <w:r w:rsidRPr="00091F8C">
        <w:rPr>
          <w:color w:val="000000" w:themeColor="text1"/>
        </w:rPr>
        <w:lastRenderedPageBreak/>
        <w:t>Table</w:t>
      </w:r>
      <w:r w:rsidR="009E5DCB" w:rsidRPr="00091F8C">
        <w:rPr>
          <w:color w:val="000000" w:themeColor="text1"/>
        </w:rPr>
        <w:t xml:space="preserve"> 6:</w:t>
      </w:r>
      <w:r w:rsidRPr="00091F8C">
        <w:rPr>
          <w:color w:val="000000" w:themeColor="text1"/>
        </w:rPr>
        <w:t xml:space="preserve"> </w:t>
      </w:r>
      <w:r w:rsidRPr="00091F8C">
        <w:rPr>
          <w:i/>
          <w:color w:val="000000" w:themeColor="text1"/>
        </w:rPr>
        <w:t>DAS</w:t>
      </w:r>
      <w:r w:rsidRPr="00091F8C">
        <w:rPr>
          <w:color w:val="000000" w:themeColor="text1"/>
        </w:rPr>
        <w:t xml:space="preserve"> score for Case Studies</w:t>
      </w:r>
    </w:p>
    <w:tbl>
      <w:tblPr>
        <w:tblStyle w:val="ListTable6Colorful1"/>
        <w:tblW w:w="8870" w:type="dxa"/>
        <w:jc w:val="center"/>
        <w:tblLook w:val="04A0" w:firstRow="1" w:lastRow="0" w:firstColumn="1" w:lastColumn="0" w:noHBand="0" w:noVBand="1"/>
      </w:tblPr>
      <w:tblGrid>
        <w:gridCol w:w="1386"/>
        <w:gridCol w:w="456"/>
        <w:gridCol w:w="576"/>
        <w:gridCol w:w="636"/>
        <w:gridCol w:w="636"/>
        <w:gridCol w:w="636"/>
        <w:gridCol w:w="636"/>
        <w:gridCol w:w="636"/>
        <w:gridCol w:w="516"/>
        <w:gridCol w:w="636"/>
        <w:gridCol w:w="745"/>
        <w:gridCol w:w="745"/>
        <w:gridCol w:w="756"/>
      </w:tblGrid>
      <w:tr w:rsidR="00091F8C" w:rsidRPr="00091F8C" w14:paraId="038ABAD6" w14:textId="77777777" w:rsidTr="005B0B7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386" w:type="dxa"/>
            <w:noWrap/>
            <w:hideMark/>
          </w:tcPr>
          <w:p w14:paraId="045A4076" w14:textId="77777777" w:rsidR="00DB7536" w:rsidRPr="00091F8C" w:rsidRDefault="00DB7536" w:rsidP="005B0B78">
            <w:pPr>
              <w:pStyle w:val="NoSpacing"/>
            </w:pPr>
            <w:r w:rsidRPr="00091F8C">
              <w:t>Case Study</w:t>
            </w:r>
          </w:p>
        </w:tc>
        <w:tc>
          <w:tcPr>
            <w:tcW w:w="446" w:type="dxa"/>
            <w:hideMark/>
          </w:tcPr>
          <w:p w14:paraId="1567AC3D"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t</m:t>
                </m:r>
              </m:oMath>
            </m:oMathPara>
          </w:p>
        </w:tc>
        <w:tc>
          <w:tcPr>
            <w:tcW w:w="560" w:type="dxa"/>
            <w:hideMark/>
          </w:tcPr>
          <w:p w14:paraId="45474A92"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n</m:t>
                </m:r>
              </m:oMath>
            </m:oMathPara>
          </w:p>
        </w:tc>
        <w:tc>
          <w:tcPr>
            <w:tcW w:w="617" w:type="dxa"/>
            <w:hideMark/>
          </w:tcPr>
          <w:p w14:paraId="5B049589" w14:textId="77777777" w:rsidR="00DB7536" w:rsidRPr="00091F8C" w:rsidRDefault="009D3111" w:rsidP="005B0B78">
            <w:pPr>
              <w:pStyle w:val="NoSpacing"/>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oMath>
            </m:oMathPara>
          </w:p>
        </w:tc>
        <w:tc>
          <w:tcPr>
            <w:tcW w:w="617" w:type="dxa"/>
            <w:hideMark/>
          </w:tcPr>
          <w:p w14:paraId="59E98215" w14:textId="77777777" w:rsidR="00DB7536" w:rsidRPr="00091F8C" w:rsidRDefault="009D3111" w:rsidP="005B0B78">
            <w:pPr>
              <w:pStyle w:val="NoSpacing"/>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c</m:t>
                    </m:r>
                  </m:sub>
                </m:sSub>
              </m:oMath>
            </m:oMathPara>
          </w:p>
        </w:tc>
        <w:tc>
          <w:tcPr>
            <w:tcW w:w="601" w:type="dxa"/>
            <w:hideMark/>
          </w:tcPr>
          <w:p w14:paraId="6E304D3F" w14:textId="77777777" w:rsidR="00DB7536" w:rsidRPr="00091F8C" w:rsidRDefault="009D3111" w:rsidP="00F11C8E">
            <w:pPr>
              <w:pStyle w:val="NoSpacing"/>
              <w:cnfStyle w:val="100000000000" w:firstRow="1"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p</m:t>
                  </m:r>
                </m:sub>
              </m:sSub>
            </m:oMath>
            <w:r w:rsidR="00DB7536" w:rsidRPr="00091F8C">
              <w:t xml:space="preserve"> </w:t>
            </w:r>
          </w:p>
        </w:tc>
        <w:tc>
          <w:tcPr>
            <w:tcW w:w="617" w:type="dxa"/>
            <w:hideMark/>
          </w:tcPr>
          <w:p w14:paraId="4E10601F" w14:textId="77777777" w:rsidR="00DB7536" w:rsidRPr="00091F8C" w:rsidRDefault="009D3111" w:rsidP="005B0B78">
            <w:pPr>
              <w:pStyle w:val="NoSpacing"/>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rPr>
                    </m:ctrlPr>
                  </m:sSubPr>
                  <m:e>
                    <m:r>
                      <m:rPr>
                        <m:sty m:val="bi"/>
                      </m:rPr>
                      <w:rPr>
                        <w:rFonts w:ascii="Cambria Math" w:hAnsi="Cambria Math"/>
                      </w:rPr>
                      <m:t>r</m:t>
                    </m:r>
                  </m:e>
                  <m:sub>
                    <m:r>
                      <m:rPr>
                        <m:sty m:val="b"/>
                      </m:rPr>
                      <w:rPr>
                        <w:rFonts w:ascii="Cambria Math" w:hAnsi="Cambria Math"/>
                      </w:rPr>
                      <m:t>1</m:t>
                    </m:r>
                  </m:sub>
                </m:sSub>
              </m:oMath>
            </m:oMathPara>
          </w:p>
        </w:tc>
        <w:tc>
          <w:tcPr>
            <w:tcW w:w="617" w:type="dxa"/>
            <w:hideMark/>
          </w:tcPr>
          <w:p w14:paraId="65447760" w14:textId="77777777" w:rsidR="00DB7536" w:rsidRPr="00091F8C" w:rsidRDefault="009D3111" w:rsidP="005B0B78">
            <w:pPr>
              <w:pStyle w:val="NoSpacing"/>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rPr>
                    </m:ctrlPr>
                  </m:sSubPr>
                  <m:e>
                    <m:r>
                      <m:rPr>
                        <m:sty m:val="bi"/>
                      </m:rPr>
                      <w:rPr>
                        <w:rFonts w:ascii="Cambria Math" w:hAnsi="Cambria Math"/>
                      </w:rPr>
                      <m:t>r</m:t>
                    </m:r>
                  </m:e>
                  <m:sub>
                    <m:r>
                      <m:rPr>
                        <m:sty m:val="b"/>
                      </m:rPr>
                      <w:rPr>
                        <w:rFonts w:ascii="Cambria Math" w:hAnsi="Cambria Math"/>
                      </w:rPr>
                      <m:t>2</m:t>
                    </m:r>
                  </m:sub>
                </m:sSub>
              </m:oMath>
            </m:oMathPara>
          </w:p>
        </w:tc>
        <w:tc>
          <w:tcPr>
            <w:tcW w:w="601" w:type="dxa"/>
            <w:hideMark/>
          </w:tcPr>
          <w:p w14:paraId="0EA49038"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x</m:t>
                </m:r>
              </m:oMath>
            </m:oMathPara>
          </w:p>
        </w:tc>
        <w:tc>
          <w:tcPr>
            <w:tcW w:w="601" w:type="dxa"/>
            <w:hideMark/>
          </w:tcPr>
          <w:p w14:paraId="5A3D6EDD"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s</m:t>
                </m:r>
              </m:oMath>
            </m:oMathPara>
          </w:p>
        </w:tc>
        <w:tc>
          <w:tcPr>
            <w:tcW w:w="736" w:type="dxa"/>
            <w:hideMark/>
          </w:tcPr>
          <w:p w14:paraId="01D2E8CF"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pPr>
            <w:proofErr w:type="spellStart"/>
            <w:r w:rsidRPr="00091F8C">
              <w:t>D</w:t>
            </w:r>
            <w:r w:rsidRPr="00091F8C">
              <w:rPr>
                <w:vertAlign w:val="subscript"/>
              </w:rPr>
              <w:t>score</w:t>
            </w:r>
            <w:proofErr w:type="spellEnd"/>
          </w:p>
        </w:tc>
        <w:tc>
          <w:tcPr>
            <w:tcW w:w="723" w:type="dxa"/>
            <w:hideMark/>
          </w:tcPr>
          <w:p w14:paraId="1339FC7B"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pPr>
            <w:proofErr w:type="spellStart"/>
            <w:r w:rsidRPr="00091F8C">
              <w:t>R</w:t>
            </w:r>
            <w:r w:rsidRPr="00091F8C">
              <w:rPr>
                <w:vertAlign w:val="subscript"/>
              </w:rPr>
              <w:t>score</w:t>
            </w:r>
            <w:proofErr w:type="spellEnd"/>
          </w:p>
        </w:tc>
        <w:tc>
          <w:tcPr>
            <w:tcW w:w="748" w:type="dxa"/>
          </w:tcPr>
          <w:p w14:paraId="3297C5C4" w14:textId="77777777" w:rsidR="00DB7536" w:rsidRPr="00091F8C" w:rsidRDefault="00DB7536" w:rsidP="005B0B78">
            <w:pPr>
              <w:pStyle w:val="NoSpacing"/>
              <w:cnfStyle w:val="100000000000" w:firstRow="1" w:lastRow="0" w:firstColumn="0" w:lastColumn="0" w:oddVBand="0" w:evenVBand="0" w:oddHBand="0" w:evenHBand="0" w:firstRowFirstColumn="0" w:firstRowLastColumn="0" w:lastRowFirstColumn="0" w:lastRowLastColumn="0"/>
            </w:pPr>
            <w:r w:rsidRPr="00091F8C">
              <w:t>DAS</w:t>
            </w:r>
          </w:p>
        </w:tc>
      </w:tr>
      <w:tr w:rsidR="00091F8C" w:rsidRPr="00091F8C" w14:paraId="72EEF00E" w14:textId="77777777" w:rsidTr="005B0B7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386" w:type="dxa"/>
            <w:noWrap/>
            <w:hideMark/>
          </w:tcPr>
          <w:p w14:paraId="7C2E53EB" w14:textId="77777777" w:rsidR="00DB7536" w:rsidRPr="00091F8C" w:rsidRDefault="00A002E4" w:rsidP="005B0B78">
            <w:pPr>
              <w:pStyle w:val="NoSpacing"/>
            </w:pPr>
            <w:r w:rsidRPr="00091F8C">
              <w:t>A</w:t>
            </w:r>
          </w:p>
        </w:tc>
        <w:tc>
          <w:tcPr>
            <w:tcW w:w="446" w:type="dxa"/>
            <w:hideMark/>
          </w:tcPr>
          <w:p w14:paraId="185656B5"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25</w:t>
            </w:r>
          </w:p>
        </w:tc>
        <w:tc>
          <w:tcPr>
            <w:tcW w:w="560" w:type="dxa"/>
            <w:hideMark/>
          </w:tcPr>
          <w:p w14:paraId="43492CC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256</w:t>
            </w:r>
          </w:p>
        </w:tc>
        <w:tc>
          <w:tcPr>
            <w:tcW w:w="617" w:type="dxa"/>
            <w:hideMark/>
          </w:tcPr>
          <w:p w14:paraId="6948A68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0.90</w:t>
            </w:r>
          </w:p>
        </w:tc>
        <w:tc>
          <w:tcPr>
            <w:tcW w:w="617" w:type="dxa"/>
            <w:hideMark/>
          </w:tcPr>
          <w:p w14:paraId="2328DAF7"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0.71</w:t>
            </w:r>
          </w:p>
        </w:tc>
        <w:tc>
          <w:tcPr>
            <w:tcW w:w="601" w:type="dxa"/>
            <w:hideMark/>
          </w:tcPr>
          <w:p w14:paraId="7164F45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1.00</w:t>
            </w:r>
          </w:p>
        </w:tc>
        <w:tc>
          <w:tcPr>
            <w:tcW w:w="617" w:type="dxa"/>
            <w:hideMark/>
          </w:tcPr>
          <w:p w14:paraId="48FFB4A8"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1.00</w:t>
            </w:r>
          </w:p>
        </w:tc>
        <w:tc>
          <w:tcPr>
            <w:tcW w:w="617" w:type="dxa"/>
            <w:hideMark/>
          </w:tcPr>
          <w:p w14:paraId="14C26A4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1.00</w:t>
            </w:r>
          </w:p>
        </w:tc>
        <w:tc>
          <w:tcPr>
            <w:tcW w:w="601" w:type="dxa"/>
            <w:hideMark/>
          </w:tcPr>
          <w:p w14:paraId="0173BFB9"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1.0</w:t>
            </w:r>
          </w:p>
        </w:tc>
        <w:tc>
          <w:tcPr>
            <w:tcW w:w="601" w:type="dxa"/>
            <w:hideMark/>
          </w:tcPr>
          <w:p w14:paraId="508EC9D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1.00</w:t>
            </w:r>
          </w:p>
        </w:tc>
        <w:tc>
          <w:tcPr>
            <w:tcW w:w="736" w:type="dxa"/>
            <w:noWrap/>
            <w:hideMark/>
          </w:tcPr>
          <w:p w14:paraId="10E2085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0.87</w:t>
            </w:r>
          </w:p>
        </w:tc>
        <w:tc>
          <w:tcPr>
            <w:tcW w:w="723" w:type="dxa"/>
            <w:noWrap/>
            <w:hideMark/>
          </w:tcPr>
          <w:p w14:paraId="4A669845"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1.00</w:t>
            </w:r>
          </w:p>
        </w:tc>
        <w:tc>
          <w:tcPr>
            <w:tcW w:w="748" w:type="dxa"/>
          </w:tcPr>
          <w:p w14:paraId="5CEC5E6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0.935</w:t>
            </w:r>
          </w:p>
        </w:tc>
      </w:tr>
      <w:tr w:rsidR="00091F8C" w:rsidRPr="00091F8C" w14:paraId="21C87EDF" w14:textId="77777777" w:rsidTr="005B0B78">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386" w:type="dxa"/>
            <w:noWrap/>
            <w:hideMark/>
          </w:tcPr>
          <w:p w14:paraId="537C4A56" w14:textId="77777777" w:rsidR="00DB7536" w:rsidRPr="00091F8C" w:rsidRDefault="00A002E4" w:rsidP="005B0B78">
            <w:pPr>
              <w:pStyle w:val="NoSpacing"/>
            </w:pPr>
            <w:r w:rsidRPr="00091F8C">
              <w:t>B</w:t>
            </w:r>
          </w:p>
        </w:tc>
        <w:tc>
          <w:tcPr>
            <w:tcW w:w="446" w:type="dxa"/>
            <w:hideMark/>
          </w:tcPr>
          <w:p w14:paraId="623CABD1"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20</w:t>
            </w:r>
          </w:p>
        </w:tc>
        <w:tc>
          <w:tcPr>
            <w:tcW w:w="560" w:type="dxa"/>
            <w:hideMark/>
          </w:tcPr>
          <w:p w14:paraId="4C986451"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256</w:t>
            </w:r>
          </w:p>
        </w:tc>
        <w:tc>
          <w:tcPr>
            <w:tcW w:w="617" w:type="dxa"/>
            <w:hideMark/>
          </w:tcPr>
          <w:p w14:paraId="0D4D46C7"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0.92</w:t>
            </w:r>
          </w:p>
        </w:tc>
        <w:tc>
          <w:tcPr>
            <w:tcW w:w="617" w:type="dxa"/>
            <w:hideMark/>
          </w:tcPr>
          <w:p w14:paraId="68A1017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0.00</w:t>
            </w:r>
          </w:p>
        </w:tc>
        <w:tc>
          <w:tcPr>
            <w:tcW w:w="601" w:type="dxa"/>
            <w:hideMark/>
          </w:tcPr>
          <w:p w14:paraId="03C2A69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0.28</w:t>
            </w:r>
          </w:p>
        </w:tc>
        <w:tc>
          <w:tcPr>
            <w:tcW w:w="617" w:type="dxa"/>
            <w:hideMark/>
          </w:tcPr>
          <w:p w14:paraId="5D7D158A"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1.00</w:t>
            </w:r>
          </w:p>
        </w:tc>
        <w:tc>
          <w:tcPr>
            <w:tcW w:w="617" w:type="dxa"/>
            <w:hideMark/>
          </w:tcPr>
          <w:p w14:paraId="22B03B8E"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0.71</w:t>
            </w:r>
          </w:p>
        </w:tc>
        <w:tc>
          <w:tcPr>
            <w:tcW w:w="601" w:type="dxa"/>
            <w:hideMark/>
          </w:tcPr>
          <w:p w14:paraId="5DE98A0E"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1.0</w:t>
            </w:r>
          </w:p>
        </w:tc>
        <w:tc>
          <w:tcPr>
            <w:tcW w:w="601" w:type="dxa"/>
            <w:hideMark/>
          </w:tcPr>
          <w:p w14:paraId="6362224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0.57</w:t>
            </w:r>
          </w:p>
        </w:tc>
        <w:tc>
          <w:tcPr>
            <w:tcW w:w="736" w:type="dxa"/>
            <w:noWrap/>
            <w:hideMark/>
          </w:tcPr>
          <w:p w14:paraId="46C942C0"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0.40</w:t>
            </w:r>
          </w:p>
        </w:tc>
        <w:tc>
          <w:tcPr>
            <w:tcW w:w="723" w:type="dxa"/>
            <w:noWrap/>
            <w:hideMark/>
          </w:tcPr>
          <w:p w14:paraId="3212947F"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0.82</w:t>
            </w:r>
          </w:p>
        </w:tc>
        <w:tc>
          <w:tcPr>
            <w:tcW w:w="748" w:type="dxa"/>
          </w:tcPr>
          <w:p w14:paraId="0DD79053" w14:textId="77777777" w:rsidR="00DB7536" w:rsidRPr="00091F8C" w:rsidRDefault="00DB7536" w:rsidP="005B0B78">
            <w:pPr>
              <w:pStyle w:val="NoSpacing"/>
              <w:cnfStyle w:val="000000010000" w:firstRow="0" w:lastRow="0" w:firstColumn="0" w:lastColumn="0" w:oddVBand="0" w:evenVBand="0" w:oddHBand="0" w:evenHBand="1" w:firstRowFirstColumn="0" w:firstRowLastColumn="0" w:lastRowFirstColumn="0" w:lastRowLastColumn="0"/>
            </w:pPr>
            <w:r w:rsidRPr="00091F8C">
              <w:t>0.610</w:t>
            </w:r>
          </w:p>
        </w:tc>
      </w:tr>
      <w:tr w:rsidR="00091F8C" w:rsidRPr="00091F8C" w14:paraId="5CB8B784" w14:textId="77777777" w:rsidTr="005B0B7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386" w:type="dxa"/>
            <w:noWrap/>
            <w:hideMark/>
          </w:tcPr>
          <w:p w14:paraId="23B7E5C3" w14:textId="77777777" w:rsidR="00DB7536" w:rsidRPr="00091F8C" w:rsidRDefault="00A002E4" w:rsidP="005B0B78">
            <w:pPr>
              <w:pStyle w:val="NoSpacing"/>
            </w:pPr>
            <w:r w:rsidRPr="00091F8C">
              <w:t>C</w:t>
            </w:r>
          </w:p>
        </w:tc>
        <w:tc>
          <w:tcPr>
            <w:tcW w:w="446" w:type="dxa"/>
            <w:hideMark/>
          </w:tcPr>
          <w:p w14:paraId="60F63EE2"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23</w:t>
            </w:r>
          </w:p>
        </w:tc>
        <w:tc>
          <w:tcPr>
            <w:tcW w:w="560" w:type="dxa"/>
            <w:hideMark/>
          </w:tcPr>
          <w:p w14:paraId="61D74428"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256</w:t>
            </w:r>
          </w:p>
        </w:tc>
        <w:tc>
          <w:tcPr>
            <w:tcW w:w="617" w:type="dxa"/>
            <w:hideMark/>
          </w:tcPr>
          <w:p w14:paraId="1A5EAD7E"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0.91</w:t>
            </w:r>
          </w:p>
        </w:tc>
        <w:tc>
          <w:tcPr>
            <w:tcW w:w="617" w:type="dxa"/>
            <w:hideMark/>
          </w:tcPr>
          <w:p w14:paraId="3D32710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0.14</w:t>
            </w:r>
          </w:p>
        </w:tc>
        <w:tc>
          <w:tcPr>
            <w:tcW w:w="601" w:type="dxa"/>
            <w:hideMark/>
          </w:tcPr>
          <w:p w14:paraId="5326BA23"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0.42</w:t>
            </w:r>
          </w:p>
        </w:tc>
        <w:tc>
          <w:tcPr>
            <w:tcW w:w="617" w:type="dxa"/>
            <w:hideMark/>
          </w:tcPr>
          <w:p w14:paraId="0FBFAB15"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0.85</w:t>
            </w:r>
          </w:p>
        </w:tc>
        <w:tc>
          <w:tcPr>
            <w:tcW w:w="617" w:type="dxa"/>
            <w:hideMark/>
          </w:tcPr>
          <w:p w14:paraId="4712FA5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0.28</w:t>
            </w:r>
          </w:p>
        </w:tc>
        <w:tc>
          <w:tcPr>
            <w:tcW w:w="601" w:type="dxa"/>
            <w:hideMark/>
          </w:tcPr>
          <w:p w14:paraId="3E1B319A"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1.0</w:t>
            </w:r>
          </w:p>
        </w:tc>
        <w:tc>
          <w:tcPr>
            <w:tcW w:w="601" w:type="dxa"/>
            <w:hideMark/>
          </w:tcPr>
          <w:p w14:paraId="344AB1CB"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0.43</w:t>
            </w:r>
          </w:p>
        </w:tc>
        <w:tc>
          <w:tcPr>
            <w:tcW w:w="736" w:type="dxa"/>
            <w:noWrap/>
            <w:hideMark/>
          </w:tcPr>
          <w:p w14:paraId="30939236"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0.49</w:t>
            </w:r>
          </w:p>
        </w:tc>
        <w:tc>
          <w:tcPr>
            <w:tcW w:w="723" w:type="dxa"/>
            <w:noWrap/>
            <w:hideMark/>
          </w:tcPr>
          <w:p w14:paraId="285CF6D0"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0.64</w:t>
            </w:r>
          </w:p>
        </w:tc>
        <w:tc>
          <w:tcPr>
            <w:tcW w:w="748" w:type="dxa"/>
          </w:tcPr>
          <w:p w14:paraId="11755132" w14:textId="77777777" w:rsidR="00DB7536" w:rsidRPr="00091F8C" w:rsidRDefault="00DB7536" w:rsidP="005B0B78">
            <w:pPr>
              <w:pStyle w:val="NoSpacing"/>
              <w:cnfStyle w:val="000000100000" w:firstRow="0" w:lastRow="0" w:firstColumn="0" w:lastColumn="0" w:oddVBand="0" w:evenVBand="0" w:oddHBand="1" w:evenHBand="0" w:firstRowFirstColumn="0" w:firstRowLastColumn="0" w:lastRowFirstColumn="0" w:lastRowLastColumn="0"/>
            </w:pPr>
            <w:r w:rsidRPr="00091F8C">
              <w:t>0.565</w:t>
            </w:r>
          </w:p>
        </w:tc>
      </w:tr>
    </w:tbl>
    <w:p w14:paraId="35652051" w14:textId="77777777" w:rsidR="00DB7536" w:rsidRPr="00091F8C" w:rsidRDefault="00DB7536" w:rsidP="00DB7536">
      <w:pPr>
        <w:rPr>
          <w:color w:val="000000" w:themeColor="text1"/>
        </w:rPr>
      </w:pPr>
      <w:r w:rsidRPr="00091F8C">
        <w:rPr>
          <w:color w:val="000000" w:themeColor="text1"/>
        </w:rPr>
        <w:t xml:space="preserve">The result of the factor selection shows that </w:t>
      </w:r>
      <w:r w:rsidR="00C64F7F" w:rsidRPr="00091F8C">
        <w:rPr>
          <w:color w:val="000000" w:themeColor="text1"/>
        </w:rPr>
        <w:t xml:space="preserve">ratio </w:t>
      </w:r>
      <w:r w:rsidR="00B75EE2" w:rsidRPr="00091F8C">
        <w:rPr>
          <w:color w:val="000000" w:themeColor="text1"/>
        </w:rPr>
        <w:t>prefabricated elements (</w:t>
      </w:r>
      <m:oMath>
        <m:sSub>
          <m:sSubPr>
            <m:ctrlPr>
              <w:rPr>
                <w:rFonts w:ascii="Cambria Math" w:hAnsi="Cambria Math"/>
                <w:b/>
                <w:bCs/>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oMath>
      <w:r w:rsidR="00F11C8E" w:rsidRPr="00091F8C">
        <w:rPr>
          <w:color w:val="000000" w:themeColor="text1"/>
        </w:rPr>
        <w:t xml:space="preserve"> </w:t>
      </w:r>
      <w:r w:rsidR="00B75EE2" w:rsidRPr="00091F8C">
        <w:rPr>
          <w:color w:val="000000" w:themeColor="text1"/>
        </w:rPr>
        <w:t>)</w:t>
      </w:r>
      <w:r w:rsidRPr="00091F8C">
        <w:rPr>
          <w:color w:val="000000" w:themeColor="text1"/>
        </w:rPr>
        <w:t xml:space="preserve"> and</w:t>
      </w:r>
      <w:r w:rsidR="00B75EE2" w:rsidRPr="00091F8C">
        <w:rPr>
          <w:color w:val="000000" w:themeColor="text1"/>
        </w:rPr>
        <w:t xml:space="preserve"> ratio </w:t>
      </w:r>
      <w:r w:rsidR="00C64F7F" w:rsidRPr="00091F8C">
        <w:rPr>
          <w:color w:val="000000" w:themeColor="text1"/>
        </w:rPr>
        <w:t>of demountable</w:t>
      </w:r>
      <w:r w:rsidRPr="00091F8C">
        <w:rPr>
          <w:color w:val="000000" w:themeColor="text1"/>
        </w:rPr>
        <w:t xml:space="preserve"> </w:t>
      </w:r>
      <w:r w:rsidR="00F11C8E" w:rsidRPr="00091F8C">
        <w:rPr>
          <w:color w:val="000000" w:themeColor="text1"/>
        </w:rPr>
        <w:t>(</w:t>
      </w:r>
      <w:r w:rsidRPr="00091F8C">
        <w:rPr>
          <w:i/>
          <w:color w:val="000000" w:themeColor="text1"/>
        </w:rPr>
        <w:t>d</w:t>
      </w:r>
      <w:r w:rsidRPr="00091F8C">
        <w:rPr>
          <w:i/>
          <w:color w:val="000000" w:themeColor="text1"/>
          <w:vertAlign w:val="subscript"/>
        </w:rPr>
        <w:t>c</w:t>
      </w:r>
      <w:r w:rsidR="00F11C8E" w:rsidRPr="00091F8C">
        <w:rPr>
          <w:color w:val="000000" w:themeColor="text1"/>
        </w:rPr>
        <w:t>)</w:t>
      </w:r>
      <w:r w:rsidRPr="00091F8C">
        <w:rPr>
          <w:color w:val="000000" w:themeColor="text1"/>
        </w:rPr>
        <w:t xml:space="preserve"> have the highest significance as shown in</w:t>
      </w:r>
      <w:r w:rsidR="009E5DCB" w:rsidRPr="00091F8C">
        <w:rPr>
          <w:color w:val="000000" w:themeColor="text1"/>
        </w:rPr>
        <w:t xml:space="preserve"> Figure 6</w:t>
      </w:r>
      <w:r w:rsidRPr="00091F8C">
        <w:rPr>
          <w:color w:val="000000" w:themeColor="text1"/>
        </w:rPr>
        <w:t xml:space="preserve"> since removing ‘</w:t>
      </w:r>
      <m:oMath>
        <m:sSub>
          <m:sSubPr>
            <m:ctrlPr>
              <w:rPr>
                <w:rFonts w:ascii="Cambria Math" w:hAnsi="Cambria Math"/>
                <w:b/>
                <w:bCs/>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oMath>
      <w:r w:rsidRPr="00091F8C">
        <w:rPr>
          <w:color w:val="000000" w:themeColor="text1"/>
        </w:rPr>
        <w:t>’ and ‘</w:t>
      </w:r>
      <w:r w:rsidRPr="00091F8C">
        <w:rPr>
          <w:i/>
          <w:color w:val="000000" w:themeColor="text1"/>
        </w:rPr>
        <w:t>d</w:t>
      </w:r>
      <w:r w:rsidRPr="00091F8C">
        <w:rPr>
          <w:i/>
          <w:color w:val="000000" w:themeColor="text1"/>
          <w:vertAlign w:val="subscript"/>
        </w:rPr>
        <w:t>c</w:t>
      </w:r>
      <w:r w:rsidRPr="00091F8C">
        <w:rPr>
          <w:color w:val="000000" w:themeColor="text1"/>
        </w:rPr>
        <w:t>’ results in a high MSE value of 0.13353 and 0.1145 respectively. This thus shows that removing ‘</w:t>
      </w:r>
      <m:oMath>
        <m:sSub>
          <m:sSubPr>
            <m:ctrlPr>
              <w:rPr>
                <w:rFonts w:ascii="Cambria Math" w:hAnsi="Cambria Math"/>
                <w:b/>
                <w:bCs/>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oMath>
      <w:r w:rsidRPr="00091F8C">
        <w:rPr>
          <w:color w:val="000000" w:themeColor="text1"/>
        </w:rPr>
        <w:t>’ and ‘</w:t>
      </w:r>
      <w:r w:rsidRPr="00091F8C">
        <w:rPr>
          <w:i/>
          <w:color w:val="000000" w:themeColor="text1"/>
        </w:rPr>
        <w:t>d</w:t>
      </w:r>
      <w:r w:rsidRPr="00091F8C">
        <w:rPr>
          <w:i/>
          <w:color w:val="000000" w:themeColor="text1"/>
          <w:vertAlign w:val="subscript"/>
        </w:rPr>
        <w:t>c</w:t>
      </w:r>
      <w:r w:rsidRPr="00091F8C">
        <w:rPr>
          <w:color w:val="000000" w:themeColor="text1"/>
        </w:rPr>
        <w:t xml:space="preserve">’ from the model will considerably affect the value of </w:t>
      </w:r>
      <w:r w:rsidRPr="00091F8C">
        <w:rPr>
          <w:i/>
          <w:color w:val="000000" w:themeColor="text1"/>
        </w:rPr>
        <w:t>DAS</w:t>
      </w:r>
      <w:r w:rsidRPr="00091F8C">
        <w:rPr>
          <w:color w:val="000000" w:themeColor="text1"/>
        </w:rPr>
        <w:t xml:space="preserve">. After this, a simple logistic regression analysis was carried out to obtain an equation such that </w:t>
      </w:r>
      <m:oMath>
        <m:r>
          <w:rPr>
            <w:rFonts w:ascii="Cambria Math" w:hAnsi="Cambria Math"/>
            <w:color w:val="000000" w:themeColor="text1"/>
          </w:rPr>
          <m:t>DAS=f(</m:t>
        </m:r>
        <m:sSub>
          <m:sSubPr>
            <m:ctrlPr>
              <w:rPr>
                <w:rFonts w:ascii="Cambria Math" w:hAnsi="Cambria Math"/>
                <w:b/>
                <w:bCs/>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r>
          <m:rPr>
            <m:sty m:val="p"/>
          </m:rPr>
          <w:rPr>
            <w:rFonts w:ascii="Cambria Math" w:hAnsi="Cambria Math"/>
            <w:color w:val="000000" w:themeColor="text1"/>
          </w:rPr>
          <m:t xml:space="preserve"> </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c</m:t>
            </m:r>
          </m:sub>
        </m:sSub>
        <m:r>
          <w:rPr>
            <w:rFonts w:ascii="Cambria Math" w:hAnsi="Cambria Math"/>
            <w:color w:val="000000" w:themeColor="text1"/>
          </w:rPr>
          <m:t>)</m:t>
        </m:r>
      </m:oMath>
      <w:r w:rsidRPr="00091F8C">
        <w:rPr>
          <w:color w:val="000000" w:themeColor="text1"/>
        </w:rPr>
        <w:t>. This yield a mathematical representation of statistical correlation between DAS and ratio of prefabricated element and ratio of demountable connections given as:</w:t>
      </w:r>
    </w:p>
    <w:p w14:paraId="03958358" w14:textId="77777777" w:rsidR="00DB7536" w:rsidRPr="00091F8C" w:rsidRDefault="00DB7536" w:rsidP="00DB7536">
      <w:pPr>
        <w:jc w:val="right"/>
        <w:rPr>
          <w:color w:val="000000" w:themeColor="text1"/>
        </w:rPr>
      </w:pPr>
      <m:oMath>
        <m:r>
          <w:rPr>
            <w:rFonts w:ascii="Cambria Math" w:hAnsi="Cambria Math"/>
            <w:color w:val="000000" w:themeColor="text1"/>
          </w:rPr>
          <m:t>DAS</m:t>
        </m:r>
        <m:r>
          <m:rPr>
            <m:sty m:val="p"/>
          </m:rPr>
          <w:rPr>
            <w:rFonts w:ascii="Cambria Math" w:hAnsi="Cambria Math"/>
            <w:color w:val="000000" w:themeColor="text1"/>
          </w:rPr>
          <m:t>=0.43+(0.605×</m:t>
        </m:r>
        <m:sSub>
          <m:sSubPr>
            <m:ctrlPr>
              <w:rPr>
                <w:rFonts w:ascii="Cambria Math" w:hAnsi="Cambria Math"/>
                <w:b/>
                <w:bCs/>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r>
          <m:rPr>
            <m:sty m:val="p"/>
          </m:rPr>
          <w:rPr>
            <w:rFonts w:ascii="Cambria Math" w:hAnsi="Cambria Math"/>
            <w:color w:val="000000" w:themeColor="text1"/>
          </w:rPr>
          <m:t xml:space="preserve"> )+(0.18×</m:t>
        </m:r>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c</m:t>
            </m:r>
          </m:sub>
        </m:sSub>
        <m:r>
          <m:rPr>
            <m:sty m:val="p"/>
          </m:rPr>
          <w:rPr>
            <w:rFonts w:ascii="Cambria Math" w:hAnsi="Cambria Math"/>
            <w:color w:val="000000" w:themeColor="text1"/>
          </w:rPr>
          <m:t>)</m:t>
        </m:r>
      </m:oMath>
      <w:r w:rsidR="004F4236" w:rsidRPr="00091F8C">
        <w:rPr>
          <w:color w:val="000000" w:themeColor="text1"/>
        </w:rPr>
        <w:tab/>
      </w:r>
      <w:r w:rsidR="004F4236" w:rsidRPr="00091F8C">
        <w:rPr>
          <w:color w:val="000000" w:themeColor="text1"/>
        </w:rPr>
        <w:tab/>
      </w:r>
      <w:r w:rsidR="004F4236" w:rsidRPr="00091F8C">
        <w:rPr>
          <w:color w:val="000000" w:themeColor="text1"/>
        </w:rPr>
        <w:tab/>
        <w:t>(21</w:t>
      </w:r>
      <w:r w:rsidRPr="00091F8C">
        <w:rPr>
          <w:color w:val="000000" w:themeColor="text1"/>
        </w:rPr>
        <w:t>)</w:t>
      </w:r>
    </w:p>
    <w:p w14:paraId="19DC7820" w14:textId="77777777" w:rsidR="00DB7536" w:rsidRPr="00091F8C" w:rsidRDefault="00DB7536" w:rsidP="00DB7536">
      <w:pPr>
        <w:jc w:val="center"/>
        <w:rPr>
          <w:color w:val="000000" w:themeColor="text1"/>
        </w:rPr>
      </w:pPr>
      <w:r w:rsidRPr="00091F8C">
        <w:rPr>
          <w:noProof/>
          <w:color w:val="000000" w:themeColor="text1"/>
          <w:lang w:val="en-US"/>
        </w:rPr>
        <w:drawing>
          <wp:inline distT="0" distB="0" distL="0" distR="0" wp14:anchorId="4C2BF8BD" wp14:editId="4DF2507D">
            <wp:extent cx="3571336" cy="1985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8775" cy="1989956"/>
                    </a:xfrm>
                    <a:prstGeom prst="rect">
                      <a:avLst/>
                    </a:prstGeom>
                  </pic:spPr>
                </pic:pic>
              </a:graphicData>
            </a:graphic>
          </wp:inline>
        </w:drawing>
      </w:r>
    </w:p>
    <w:p w14:paraId="39F91D18" w14:textId="77777777" w:rsidR="00DB7536" w:rsidRPr="00091F8C" w:rsidRDefault="00DB7536" w:rsidP="00DB7536">
      <w:pPr>
        <w:pStyle w:val="Caption"/>
        <w:rPr>
          <w:color w:val="000000" w:themeColor="text1"/>
        </w:rPr>
      </w:pPr>
      <w:bookmarkStart w:id="8" w:name="_Ref424653604"/>
      <w:r w:rsidRPr="00091F8C">
        <w:rPr>
          <w:color w:val="000000" w:themeColor="text1"/>
        </w:rPr>
        <w:t>Figure</w:t>
      </w:r>
      <w:bookmarkEnd w:id="8"/>
      <w:r w:rsidR="004B2973" w:rsidRPr="00091F8C">
        <w:rPr>
          <w:color w:val="000000" w:themeColor="text1"/>
        </w:rPr>
        <w:t xml:space="preserve"> 6</w:t>
      </w:r>
      <w:r w:rsidRPr="00091F8C">
        <w:rPr>
          <w:color w:val="000000" w:themeColor="text1"/>
        </w:rPr>
        <w:t>: Mean squared error from factor analysis</w:t>
      </w:r>
    </w:p>
    <w:p w14:paraId="24DE07C6" w14:textId="77777777" w:rsidR="00DB7536" w:rsidRPr="00091F8C" w:rsidRDefault="00DB7536" w:rsidP="00DB7536">
      <w:pPr>
        <w:rPr>
          <w:color w:val="000000" w:themeColor="text1"/>
        </w:rPr>
      </w:pPr>
      <w:r w:rsidRPr="00091F8C">
        <w:rPr>
          <w:color w:val="000000" w:themeColor="text1"/>
        </w:rPr>
        <w:t>To verify the accuracy of this model, Equation (20) was validated against the initial case study and the result is presented in</w:t>
      </w:r>
      <w:r w:rsidR="009E5DCB" w:rsidRPr="00091F8C">
        <w:rPr>
          <w:color w:val="000000" w:themeColor="text1"/>
        </w:rPr>
        <w:t xml:space="preserve"> Table 7</w:t>
      </w:r>
      <w:r w:rsidRPr="00091F8C">
        <w:rPr>
          <w:color w:val="000000" w:themeColor="text1"/>
        </w:rPr>
        <w:t xml:space="preserve">. The nature of the residuals shows that the model performs well in predicting the value of </w:t>
      </w:r>
      <w:r w:rsidRPr="00091F8C">
        <w:rPr>
          <w:i/>
          <w:color w:val="000000" w:themeColor="text1"/>
        </w:rPr>
        <w:t xml:space="preserve">DAS </w:t>
      </w:r>
      <w:r w:rsidRPr="00091F8C">
        <w:rPr>
          <w:color w:val="000000" w:themeColor="text1"/>
        </w:rPr>
        <w:t xml:space="preserve">since the residual is negligible in all cases. </w:t>
      </w:r>
      <w:r w:rsidR="00DE1BF9" w:rsidRPr="00091F8C">
        <w:rPr>
          <w:color w:val="000000" w:themeColor="text1"/>
        </w:rPr>
        <w:t xml:space="preserve">The nature of </w:t>
      </w:r>
      <w:r w:rsidR="00DE1BF9" w:rsidRPr="00091F8C">
        <w:rPr>
          <w:color w:val="000000" w:themeColor="text1"/>
        </w:rPr>
        <w:lastRenderedPageBreak/>
        <w:t xml:space="preserve">the residuals shows that it is possible to predict DAS </w:t>
      </w:r>
      <w:r w:rsidR="00DD31CD" w:rsidRPr="00091F8C">
        <w:rPr>
          <w:color w:val="000000" w:themeColor="text1"/>
        </w:rPr>
        <w:t>with minimal error using</w:t>
      </w:r>
      <w:r w:rsidR="00DE1BF9" w:rsidRPr="00091F8C">
        <w:rPr>
          <w:color w:val="000000" w:themeColor="text1"/>
        </w:rPr>
        <w:t xml:space="preserve"> two parameters instead of the initial set of nine parameters. </w:t>
      </w:r>
      <w:r w:rsidRPr="00091F8C">
        <w:rPr>
          <w:color w:val="000000" w:themeColor="text1"/>
        </w:rPr>
        <w:t xml:space="preserve">This result clearly demonstrates that there exists a strong linear and positive relationship among the </w:t>
      </w:r>
      <w:r w:rsidRPr="00091F8C">
        <w:rPr>
          <w:i/>
          <w:color w:val="000000" w:themeColor="text1"/>
        </w:rPr>
        <w:t>DAS</w:t>
      </w:r>
      <w:r w:rsidRPr="00091F8C">
        <w:rPr>
          <w:color w:val="000000" w:themeColor="text1"/>
        </w:rPr>
        <w:t xml:space="preserve"> predicted by the model, ‘</w:t>
      </w:r>
      <w:r w:rsidRPr="00091F8C">
        <w:rPr>
          <w:i/>
          <w:color w:val="000000" w:themeColor="text1"/>
        </w:rPr>
        <w:t>P</w:t>
      </w:r>
      <w:r w:rsidRPr="00091F8C">
        <w:rPr>
          <w:color w:val="000000" w:themeColor="text1"/>
        </w:rPr>
        <w:t>’ and ‘</w:t>
      </w:r>
      <w:r w:rsidRPr="00091F8C">
        <w:rPr>
          <w:i/>
          <w:color w:val="000000" w:themeColor="text1"/>
        </w:rPr>
        <w:t>d</w:t>
      </w:r>
      <w:r w:rsidRPr="00091F8C">
        <w:rPr>
          <w:i/>
          <w:color w:val="000000" w:themeColor="text1"/>
          <w:vertAlign w:val="subscript"/>
        </w:rPr>
        <w:t>c</w:t>
      </w:r>
      <w:r w:rsidRPr="00091F8C">
        <w:rPr>
          <w:color w:val="000000" w:themeColor="text1"/>
        </w:rPr>
        <w:t>’.</w:t>
      </w:r>
      <w:r w:rsidR="00DE1BF9" w:rsidRPr="00091F8C">
        <w:rPr>
          <w:color w:val="000000" w:themeColor="text1"/>
        </w:rPr>
        <w:t xml:space="preserve"> </w:t>
      </w:r>
    </w:p>
    <w:p w14:paraId="74DCF98A" w14:textId="77777777" w:rsidR="00DB7536" w:rsidRPr="00091F8C" w:rsidRDefault="00DB7536" w:rsidP="00DB7536">
      <w:pPr>
        <w:pStyle w:val="Caption"/>
        <w:rPr>
          <w:color w:val="000000" w:themeColor="text1"/>
        </w:rPr>
      </w:pPr>
      <w:bookmarkStart w:id="9" w:name="_Ref424659651"/>
      <w:bookmarkStart w:id="10" w:name="_Ref424659646"/>
      <w:r w:rsidRPr="00091F8C">
        <w:rPr>
          <w:color w:val="000000" w:themeColor="text1"/>
        </w:rPr>
        <w:t>Table</w:t>
      </w:r>
      <w:bookmarkEnd w:id="9"/>
      <w:r w:rsidR="004B2973" w:rsidRPr="00091F8C">
        <w:rPr>
          <w:color w:val="000000" w:themeColor="text1"/>
        </w:rPr>
        <w:t xml:space="preserve"> 7</w:t>
      </w:r>
      <w:r w:rsidRPr="00091F8C">
        <w:rPr>
          <w:color w:val="000000" w:themeColor="text1"/>
        </w:rPr>
        <w:t>: Model Validation</w:t>
      </w:r>
      <w:bookmarkEnd w:id="10"/>
    </w:p>
    <w:tbl>
      <w:tblPr>
        <w:tblW w:w="8706" w:type="dxa"/>
        <w:jc w:val="center"/>
        <w:tblLook w:val="04A0" w:firstRow="1" w:lastRow="0" w:firstColumn="1" w:lastColumn="0" w:noHBand="0" w:noVBand="1"/>
      </w:tblPr>
      <w:tblGrid>
        <w:gridCol w:w="1490"/>
        <w:gridCol w:w="711"/>
        <w:gridCol w:w="821"/>
        <w:gridCol w:w="821"/>
        <w:gridCol w:w="1783"/>
        <w:gridCol w:w="1540"/>
        <w:gridCol w:w="1540"/>
      </w:tblGrid>
      <w:tr w:rsidR="00091F8C" w:rsidRPr="00091F8C" w14:paraId="223742FE" w14:textId="77777777" w:rsidTr="00A25411">
        <w:trPr>
          <w:trHeight w:val="300"/>
          <w:jc w:val="center"/>
        </w:trPr>
        <w:tc>
          <w:tcPr>
            <w:tcW w:w="1490" w:type="dxa"/>
            <w:tcBorders>
              <w:top w:val="single" w:sz="8" w:space="0" w:color="auto"/>
              <w:left w:val="nil"/>
              <w:bottom w:val="single" w:sz="4" w:space="0" w:color="auto"/>
              <w:right w:val="nil"/>
            </w:tcBorders>
            <w:shd w:val="clear" w:color="auto" w:fill="auto"/>
            <w:noWrap/>
            <w:vAlign w:val="bottom"/>
            <w:hideMark/>
          </w:tcPr>
          <w:p w14:paraId="5C5E0F54" w14:textId="77777777" w:rsidR="000C4F5B" w:rsidRPr="00091F8C" w:rsidRDefault="000C4F5B" w:rsidP="005B0B78">
            <w:pPr>
              <w:pStyle w:val="NoSpacing"/>
              <w:rPr>
                <w:b/>
                <w:color w:val="000000" w:themeColor="text1"/>
                <w:lang w:eastAsia="en-GB"/>
              </w:rPr>
            </w:pPr>
            <w:r w:rsidRPr="00091F8C">
              <w:rPr>
                <w:b/>
                <w:color w:val="000000" w:themeColor="text1"/>
                <w:lang w:eastAsia="en-GB"/>
              </w:rPr>
              <w:t>Case Study</w:t>
            </w:r>
          </w:p>
        </w:tc>
        <w:tc>
          <w:tcPr>
            <w:tcW w:w="711" w:type="dxa"/>
            <w:tcBorders>
              <w:top w:val="single" w:sz="8" w:space="0" w:color="auto"/>
              <w:left w:val="nil"/>
              <w:bottom w:val="single" w:sz="4" w:space="0" w:color="auto"/>
              <w:right w:val="nil"/>
            </w:tcBorders>
          </w:tcPr>
          <w:p w14:paraId="1F7EEE72" w14:textId="77777777" w:rsidR="000C4F5B" w:rsidRPr="00091F8C" w:rsidRDefault="000C4F5B" w:rsidP="005B0B78">
            <w:pPr>
              <w:pStyle w:val="NoSpacing"/>
              <w:rPr>
                <w:rFonts w:eastAsia="Times New Roman"/>
                <w:b/>
                <w:iCs/>
                <w:color w:val="000000" w:themeColor="text1"/>
                <w:lang w:eastAsia="en-GB"/>
              </w:rPr>
            </w:pPr>
            <w:r w:rsidRPr="00091F8C">
              <w:rPr>
                <w:b/>
                <w:color w:val="000000" w:themeColor="text1"/>
              </w:rPr>
              <w:t>d</w:t>
            </w:r>
            <w:r w:rsidRPr="00091F8C">
              <w:rPr>
                <w:b/>
                <w:color w:val="000000" w:themeColor="text1"/>
                <w:vertAlign w:val="subscript"/>
              </w:rPr>
              <w:t>c</w:t>
            </w:r>
          </w:p>
        </w:tc>
        <w:tc>
          <w:tcPr>
            <w:tcW w:w="821" w:type="dxa"/>
            <w:tcBorders>
              <w:top w:val="single" w:sz="8" w:space="0" w:color="auto"/>
              <w:left w:val="nil"/>
              <w:bottom w:val="single" w:sz="4" w:space="0" w:color="auto"/>
              <w:right w:val="nil"/>
            </w:tcBorders>
          </w:tcPr>
          <w:p w14:paraId="638E5897" w14:textId="77777777" w:rsidR="000C4F5B" w:rsidRPr="00091F8C" w:rsidRDefault="009D3111" w:rsidP="005B0B78">
            <w:pPr>
              <w:pStyle w:val="NoSpacing"/>
              <w:rPr>
                <w:b/>
                <w:color w:val="000000" w:themeColor="text1"/>
                <w:lang w:eastAsia="en-GB"/>
              </w:rPr>
            </w:pPr>
            <m:oMathPara>
              <m:oMath>
                <m:sSub>
                  <m:sSubPr>
                    <m:ctrlPr>
                      <w:rPr>
                        <w:rFonts w:ascii="Cambria Math" w:hAnsi="Cambria Math"/>
                        <w:b/>
                        <w:bCs/>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oMath>
            </m:oMathPara>
          </w:p>
        </w:tc>
        <w:tc>
          <w:tcPr>
            <w:tcW w:w="821" w:type="dxa"/>
            <w:tcBorders>
              <w:top w:val="single" w:sz="8" w:space="0" w:color="auto"/>
              <w:left w:val="nil"/>
              <w:bottom w:val="single" w:sz="4" w:space="0" w:color="auto"/>
              <w:right w:val="nil"/>
            </w:tcBorders>
          </w:tcPr>
          <w:p w14:paraId="66E97624" w14:textId="77777777" w:rsidR="000C4F5B" w:rsidRPr="00091F8C" w:rsidRDefault="000C4F5B" w:rsidP="005B0B78">
            <w:pPr>
              <w:pStyle w:val="NoSpacing"/>
              <w:rPr>
                <w:b/>
                <w:color w:val="000000" w:themeColor="text1"/>
                <w:lang w:eastAsia="en-GB"/>
              </w:rPr>
            </w:pPr>
            <w:r w:rsidRPr="00091F8C">
              <w:rPr>
                <w:b/>
                <w:color w:val="000000" w:themeColor="text1"/>
                <w:lang w:eastAsia="en-GB"/>
              </w:rPr>
              <w:t>DAS</w:t>
            </w:r>
          </w:p>
        </w:tc>
        <w:tc>
          <w:tcPr>
            <w:tcW w:w="1783" w:type="dxa"/>
            <w:tcBorders>
              <w:top w:val="single" w:sz="8" w:space="0" w:color="auto"/>
              <w:left w:val="nil"/>
              <w:bottom w:val="single" w:sz="4" w:space="0" w:color="auto"/>
              <w:right w:val="nil"/>
            </w:tcBorders>
            <w:shd w:val="clear" w:color="auto" w:fill="auto"/>
            <w:noWrap/>
            <w:vAlign w:val="bottom"/>
            <w:hideMark/>
          </w:tcPr>
          <w:p w14:paraId="25662264" w14:textId="77777777" w:rsidR="000C4F5B" w:rsidRPr="00091F8C" w:rsidRDefault="000C4F5B" w:rsidP="005B0B78">
            <w:pPr>
              <w:pStyle w:val="NoSpacing"/>
              <w:rPr>
                <w:b/>
                <w:color w:val="000000" w:themeColor="text1"/>
                <w:lang w:eastAsia="en-GB"/>
              </w:rPr>
            </w:pPr>
            <w:r w:rsidRPr="00091F8C">
              <w:rPr>
                <w:b/>
                <w:color w:val="000000" w:themeColor="text1"/>
                <w:lang w:eastAsia="en-GB"/>
              </w:rPr>
              <w:t>Predicted DAS</w:t>
            </w:r>
          </w:p>
        </w:tc>
        <w:tc>
          <w:tcPr>
            <w:tcW w:w="1540" w:type="dxa"/>
            <w:tcBorders>
              <w:top w:val="single" w:sz="8" w:space="0" w:color="auto"/>
              <w:left w:val="nil"/>
              <w:bottom w:val="single" w:sz="4" w:space="0" w:color="auto"/>
              <w:right w:val="nil"/>
            </w:tcBorders>
          </w:tcPr>
          <w:p w14:paraId="5A420B9A" w14:textId="77777777" w:rsidR="000C4F5B" w:rsidRPr="00091F8C" w:rsidRDefault="000C4F5B" w:rsidP="005B0B78">
            <w:pPr>
              <w:pStyle w:val="NoSpacing"/>
              <w:rPr>
                <w:b/>
                <w:color w:val="000000" w:themeColor="text1"/>
                <w:lang w:eastAsia="en-GB"/>
              </w:rPr>
            </w:pPr>
          </w:p>
        </w:tc>
        <w:tc>
          <w:tcPr>
            <w:tcW w:w="1540" w:type="dxa"/>
            <w:tcBorders>
              <w:top w:val="single" w:sz="8" w:space="0" w:color="auto"/>
              <w:left w:val="nil"/>
              <w:bottom w:val="single" w:sz="4" w:space="0" w:color="auto"/>
              <w:right w:val="nil"/>
            </w:tcBorders>
            <w:shd w:val="clear" w:color="auto" w:fill="auto"/>
            <w:noWrap/>
            <w:vAlign w:val="bottom"/>
            <w:hideMark/>
          </w:tcPr>
          <w:p w14:paraId="32C3F268" w14:textId="77777777" w:rsidR="000C4F5B" w:rsidRPr="00091F8C" w:rsidRDefault="000C4F5B" w:rsidP="005B0B78">
            <w:pPr>
              <w:pStyle w:val="NoSpacing"/>
              <w:rPr>
                <w:b/>
                <w:color w:val="000000" w:themeColor="text1"/>
                <w:lang w:eastAsia="en-GB"/>
              </w:rPr>
            </w:pPr>
            <w:r w:rsidRPr="00091F8C">
              <w:rPr>
                <w:b/>
                <w:color w:val="000000" w:themeColor="text1"/>
                <w:lang w:eastAsia="en-GB"/>
              </w:rPr>
              <w:t>Residuals</w:t>
            </w:r>
          </w:p>
        </w:tc>
      </w:tr>
      <w:tr w:rsidR="00091F8C" w:rsidRPr="00091F8C" w14:paraId="3BF6B4FF" w14:textId="77777777" w:rsidTr="00A25411">
        <w:trPr>
          <w:trHeight w:val="300"/>
          <w:jc w:val="center"/>
        </w:trPr>
        <w:tc>
          <w:tcPr>
            <w:tcW w:w="1490" w:type="dxa"/>
            <w:tcBorders>
              <w:top w:val="nil"/>
              <w:left w:val="nil"/>
              <w:bottom w:val="nil"/>
              <w:right w:val="nil"/>
            </w:tcBorders>
            <w:shd w:val="clear" w:color="auto" w:fill="auto"/>
            <w:noWrap/>
            <w:vAlign w:val="bottom"/>
            <w:hideMark/>
          </w:tcPr>
          <w:p w14:paraId="3D11E17E" w14:textId="77777777" w:rsidR="000C4F5B" w:rsidRPr="00091F8C" w:rsidRDefault="000C4F5B" w:rsidP="00C310F7">
            <w:pPr>
              <w:pStyle w:val="NoSpacing"/>
              <w:rPr>
                <w:color w:val="000000" w:themeColor="text1"/>
                <w:lang w:eastAsia="en-GB"/>
              </w:rPr>
            </w:pPr>
            <w:r w:rsidRPr="00091F8C">
              <w:rPr>
                <w:color w:val="000000" w:themeColor="text1"/>
                <w:lang w:eastAsia="en-GB"/>
              </w:rPr>
              <w:t>A</w:t>
            </w:r>
          </w:p>
        </w:tc>
        <w:tc>
          <w:tcPr>
            <w:tcW w:w="711" w:type="dxa"/>
            <w:tcBorders>
              <w:top w:val="nil"/>
              <w:left w:val="nil"/>
              <w:bottom w:val="nil"/>
              <w:right w:val="nil"/>
            </w:tcBorders>
          </w:tcPr>
          <w:p w14:paraId="720462BB" w14:textId="77777777" w:rsidR="000C4F5B" w:rsidRPr="00091F8C" w:rsidRDefault="000C4F5B" w:rsidP="00C310F7">
            <w:pPr>
              <w:pStyle w:val="NoSpacing"/>
              <w:rPr>
                <w:rFonts w:eastAsia="Times New Roman"/>
                <w:color w:val="000000" w:themeColor="text1"/>
                <w:lang w:eastAsia="en-GB"/>
              </w:rPr>
            </w:pPr>
            <w:r w:rsidRPr="00091F8C">
              <w:rPr>
                <w:color w:val="000000" w:themeColor="text1"/>
              </w:rPr>
              <w:t>0.71</w:t>
            </w:r>
          </w:p>
        </w:tc>
        <w:tc>
          <w:tcPr>
            <w:tcW w:w="821" w:type="dxa"/>
            <w:tcBorders>
              <w:top w:val="nil"/>
              <w:left w:val="nil"/>
              <w:bottom w:val="nil"/>
              <w:right w:val="nil"/>
            </w:tcBorders>
          </w:tcPr>
          <w:p w14:paraId="2D4C9679" w14:textId="77777777" w:rsidR="000C4F5B" w:rsidRPr="00091F8C" w:rsidRDefault="000C4F5B" w:rsidP="00C310F7">
            <w:pPr>
              <w:pStyle w:val="NoSpacing"/>
              <w:rPr>
                <w:color w:val="000000" w:themeColor="text1"/>
              </w:rPr>
            </w:pPr>
            <w:r w:rsidRPr="00091F8C">
              <w:rPr>
                <w:color w:val="000000" w:themeColor="text1"/>
              </w:rPr>
              <w:t>1.00</w:t>
            </w:r>
          </w:p>
        </w:tc>
        <w:tc>
          <w:tcPr>
            <w:tcW w:w="821" w:type="dxa"/>
            <w:tcBorders>
              <w:top w:val="nil"/>
              <w:left w:val="nil"/>
              <w:bottom w:val="nil"/>
              <w:right w:val="nil"/>
            </w:tcBorders>
            <w:vAlign w:val="bottom"/>
          </w:tcPr>
          <w:p w14:paraId="6E356138" w14:textId="77777777" w:rsidR="000C4F5B" w:rsidRPr="00091F8C" w:rsidRDefault="000C4F5B" w:rsidP="00C310F7">
            <w:pPr>
              <w:pStyle w:val="NoSpacing"/>
              <w:rPr>
                <w:rFonts w:eastAsia="Times New Roman"/>
                <w:color w:val="000000" w:themeColor="text1"/>
                <w:lang w:eastAsia="en-GB"/>
              </w:rPr>
            </w:pPr>
            <w:r w:rsidRPr="00091F8C">
              <w:rPr>
                <w:color w:val="000000" w:themeColor="text1"/>
              </w:rPr>
              <w:t>0.935</w:t>
            </w:r>
          </w:p>
        </w:tc>
        <w:tc>
          <w:tcPr>
            <w:tcW w:w="1783" w:type="dxa"/>
            <w:tcBorders>
              <w:top w:val="nil"/>
              <w:left w:val="nil"/>
              <w:bottom w:val="nil"/>
              <w:right w:val="nil"/>
            </w:tcBorders>
            <w:shd w:val="clear" w:color="auto" w:fill="auto"/>
            <w:noWrap/>
            <w:vAlign w:val="bottom"/>
          </w:tcPr>
          <w:p w14:paraId="10DF8334" w14:textId="77777777" w:rsidR="000C4F5B" w:rsidRPr="00091F8C" w:rsidRDefault="000C4F5B" w:rsidP="00C310F7">
            <w:pPr>
              <w:pStyle w:val="NoSpacing"/>
              <w:rPr>
                <w:color w:val="000000" w:themeColor="text1"/>
                <w:lang w:eastAsia="en-GB"/>
              </w:rPr>
            </w:pPr>
            <w:r w:rsidRPr="00091F8C">
              <w:rPr>
                <w:color w:val="000000" w:themeColor="text1"/>
                <w:lang w:eastAsia="en-GB"/>
              </w:rPr>
              <w:t>0.935</w:t>
            </w:r>
          </w:p>
        </w:tc>
        <w:tc>
          <w:tcPr>
            <w:tcW w:w="1540" w:type="dxa"/>
            <w:tcBorders>
              <w:top w:val="nil"/>
              <w:left w:val="nil"/>
              <w:bottom w:val="nil"/>
              <w:right w:val="nil"/>
            </w:tcBorders>
          </w:tcPr>
          <w:p w14:paraId="69B91E0E" w14:textId="77777777" w:rsidR="000C4F5B" w:rsidRPr="00091F8C" w:rsidRDefault="000C4F5B" w:rsidP="00C310F7">
            <w:pPr>
              <w:pStyle w:val="NoSpacing"/>
              <w:rPr>
                <w:color w:val="000000" w:themeColor="text1"/>
                <w:lang w:eastAsia="en-GB"/>
              </w:rPr>
            </w:pPr>
          </w:p>
        </w:tc>
        <w:tc>
          <w:tcPr>
            <w:tcW w:w="1540" w:type="dxa"/>
            <w:tcBorders>
              <w:top w:val="nil"/>
              <w:left w:val="nil"/>
              <w:bottom w:val="nil"/>
              <w:right w:val="nil"/>
            </w:tcBorders>
            <w:shd w:val="clear" w:color="auto" w:fill="auto"/>
            <w:noWrap/>
            <w:vAlign w:val="bottom"/>
          </w:tcPr>
          <w:p w14:paraId="7DC2F9D1" w14:textId="77777777" w:rsidR="000C4F5B" w:rsidRPr="00091F8C" w:rsidRDefault="000C4F5B" w:rsidP="00C310F7">
            <w:pPr>
              <w:pStyle w:val="NoSpacing"/>
              <w:rPr>
                <w:color w:val="000000" w:themeColor="text1"/>
                <w:lang w:eastAsia="en-GB"/>
              </w:rPr>
            </w:pPr>
            <w:r w:rsidRPr="00091F8C">
              <w:rPr>
                <w:color w:val="000000" w:themeColor="text1"/>
                <w:lang w:eastAsia="en-GB"/>
              </w:rPr>
              <w:t>1.11e-16</w:t>
            </w:r>
          </w:p>
        </w:tc>
      </w:tr>
      <w:tr w:rsidR="00091F8C" w:rsidRPr="00091F8C" w14:paraId="4BDE7041" w14:textId="77777777" w:rsidTr="00A25411">
        <w:trPr>
          <w:trHeight w:val="300"/>
          <w:jc w:val="center"/>
        </w:trPr>
        <w:tc>
          <w:tcPr>
            <w:tcW w:w="1490" w:type="dxa"/>
            <w:tcBorders>
              <w:top w:val="nil"/>
              <w:left w:val="nil"/>
              <w:bottom w:val="nil"/>
              <w:right w:val="nil"/>
            </w:tcBorders>
            <w:shd w:val="clear" w:color="auto" w:fill="auto"/>
            <w:noWrap/>
            <w:vAlign w:val="bottom"/>
            <w:hideMark/>
          </w:tcPr>
          <w:p w14:paraId="028A6E09" w14:textId="77777777" w:rsidR="000C4F5B" w:rsidRPr="00091F8C" w:rsidRDefault="000C4F5B" w:rsidP="00C310F7">
            <w:pPr>
              <w:pStyle w:val="NoSpacing"/>
              <w:rPr>
                <w:color w:val="000000" w:themeColor="text1"/>
                <w:lang w:eastAsia="en-GB"/>
              </w:rPr>
            </w:pPr>
            <w:r w:rsidRPr="00091F8C">
              <w:rPr>
                <w:color w:val="000000" w:themeColor="text1"/>
                <w:lang w:eastAsia="en-GB"/>
              </w:rPr>
              <w:t>B</w:t>
            </w:r>
          </w:p>
        </w:tc>
        <w:tc>
          <w:tcPr>
            <w:tcW w:w="711" w:type="dxa"/>
            <w:tcBorders>
              <w:top w:val="nil"/>
              <w:left w:val="nil"/>
              <w:bottom w:val="nil"/>
              <w:right w:val="nil"/>
            </w:tcBorders>
          </w:tcPr>
          <w:p w14:paraId="13AC091E" w14:textId="77777777" w:rsidR="000C4F5B" w:rsidRPr="00091F8C" w:rsidRDefault="000C4F5B" w:rsidP="00C310F7">
            <w:pPr>
              <w:pStyle w:val="NoSpacing"/>
              <w:rPr>
                <w:rFonts w:eastAsia="Times New Roman"/>
                <w:color w:val="000000" w:themeColor="text1"/>
                <w:lang w:eastAsia="en-GB"/>
              </w:rPr>
            </w:pPr>
            <w:r w:rsidRPr="00091F8C">
              <w:rPr>
                <w:color w:val="000000" w:themeColor="text1"/>
              </w:rPr>
              <w:t>0.00</w:t>
            </w:r>
          </w:p>
        </w:tc>
        <w:tc>
          <w:tcPr>
            <w:tcW w:w="821" w:type="dxa"/>
            <w:tcBorders>
              <w:top w:val="nil"/>
              <w:left w:val="nil"/>
              <w:bottom w:val="nil"/>
              <w:right w:val="nil"/>
            </w:tcBorders>
          </w:tcPr>
          <w:p w14:paraId="49E68011" w14:textId="77777777" w:rsidR="000C4F5B" w:rsidRPr="00091F8C" w:rsidRDefault="000C4F5B" w:rsidP="00C310F7">
            <w:pPr>
              <w:pStyle w:val="NoSpacing"/>
              <w:rPr>
                <w:color w:val="000000" w:themeColor="text1"/>
              </w:rPr>
            </w:pPr>
            <w:r w:rsidRPr="00091F8C">
              <w:rPr>
                <w:color w:val="000000" w:themeColor="text1"/>
              </w:rPr>
              <w:t>0.28</w:t>
            </w:r>
          </w:p>
        </w:tc>
        <w:tc>
          <w:tcPr>
            <w:tcW w:w="821" w:type="dxa"/>
            <w:tcBorders>
              <w:top w:val="nil"/>
              <w:left w:val="nil"/>
              <w:bottom w:val="nil"/>
              <w:right w:val="nil"/>
            </w:tcBorders>
            <w:vAlign w:val="bottom"/>
          </w:tcPr>
          <w:p w14:paraId="2ACBF78D" w14:textId="77777777" w:rsidR="000C4F5B" w:rsidRPr="00091F8C" w:rsidRDefault="000C4F5B" w:rsidP="00C310F7">
            <w:pPr>
              <w:pStyle w:val="NoSpacing"/>
              <w:rPr>
                <w:rFonts w:eastAsia="Times New Roman"/>
                <w:color w:val="000000" w:themeColor="text1"/>
                <w:lang w:eastAsia="en-GB"/>
              </w:rPr>
            </w:pPr>
            <w:r w:rsidRPr="00091F8C">
              <w:rPr>
                <w:color w:val="000000" w:themeColor="text1"/>
              </w:rPr>
              <w:t>0.610</w:t>
            </w:r>
          </w:p>
        </w:tc>
        <w:tc>
          <w:tcPr>
            <w:tcW w:w="1783" w:type="dxa"/>
            <w:tcBorders>
              <w:top w:val="nil"/>
              <w:left w:val="nil"/>
              <w:bottom w:val="nil"/>
              <w:right w:val="nil"/>
            </w:tcBorders>
            <w:shd w:val="clear" w:color="auto" w:fill="auto"/>
            <w:noWrap/>
            <w:vAlign w:val="bottom"/>
          </w:tcPr>
          <w:p w14:paraId="6DE49ADC" w14:textId="77777777" w:rsidR="000C4F5B" w:rsidRPr="00091F8C" w:rsidRDefault="000C4F5B" w:rsidP="00C310F7">
            <w:pPr>
              <w:pStyle w:val="NoSpacing"/>
              <w:rPr>
                <w:color w:val="000000" w:themeColor="text1"/>
                <w:lang w:eastAsia="en-GB"/>
              </w:rPr>
            </w:pPr>
            <w:r w:rsidRPr="00091F8C">
              <w:rPr>
                <w:color w:val="000000" w:themeColor="text1"/>
                <w:lang w:eastAsia="en-GB"/>
              </w:rPr>
              <w:t>0.610</w:t>
            </w:r>
          </w:p>
        </w:tc>
        <w:tc>
          <w:tcPr>
            <w:tcW w:w="1540" w:type="dxa"/>
            <w:tcBorders>
              <w:top w:val="nil"/>
              <w:left w:val="nil"/>
              <w:bottom w:val="nil"/>
              <w:right w:val="nil"/>
            </w:tcBorders>
          </w:tcPr>
          <w:p w14:paraId="7615E46D" w14:textId="77777777" w:rsidR="000C4F5B" w:rsidRPr="00091F8C" w:rsidRDefault="000C4F5B" w:rsidP="00C310F7">
            <w:pPr>
              <w:pStyle w:val="NoSpacing"/>
              <w:rPr>
                <w:color w:val="000000" w:themeColor="text1"/>
                <w:lang w:eastAsia="en-GB"/>
              </w:rPr>
            </w:pPr>
          </w:p>
        </w:tc>
        <w:tc>
          <w:tcPr>
            <w:tcW w:w="1540" w:type="dxa"/>
            <w:tcBorders>
              <w:top w:val="nil"/>
              <w:left w:val="nil"/>
              <w:bottom w:val="nil"/>
              <w:right w:val="nil"/>
            </w:tcBorders>
            <w:shd w:val="clear" w:color="auto" w:fill="auto"/>
            <w:noWrap/>
            <w:vAlign w:val="bottom"/>
          </w:tcPr>
          <w:p w14:paraId="40E92933" w14:textId="77777777" w:rsidR="000C4F5B" w:rsidRPr="00091F8C" w:rsidRDefault="000C4F5B" w:rsidP="00C310F7">
            <w:pPr>
              <w:pStyle w:val="NoSpacing"/>
              <w:rPr>
                <w:color w:val="000000" w:themeColor="text1"/>
                <w:lang w:eastAsia="en-GB"/>
              </w:rPr>
            </w:pPr>
            <w:r w:rsidRPr="00091F8C">
              <w:rPr>
                <w:color w:val="000000" w:themeColor="text1"/>
                <w:lang w:eastAsia="en-GB"/>
              </w:rPr>
              <w:t>0</w:t>
            </w:r>
          </w:p>
        </w:tc>
      </w:tr>
      <w:tr w:rsidR="00091F8C" w:rsidRPr="00091F8C" w14:paraId="14D9D7B7" w14:textId="77777777" w:rsidTr="00A25411">
        <w:trPr>
          <w:trHeight w:val="315"/>
          <w:jc w:val="center"/>
        </w:trPr>
        <w:tc>
          <w:tcPr>
            <w:tcW w:w="1490" w:type="dxa"/>
            <w:tcBorders>
              <w:top w:val="nil"/>
              <w:left w:val="nil"/>
              <w:bottom w:val="single" w:sz="4" w:space="0" w:color="auto"/>
              <w:right w:val="nil"/>
            </w:tcBorders>
            <w:shd w:val="clear" w:color="auto" w:fill="auto"/>
            <w:noWrap/>
            <w:vAlign w:val="bottom"/>
            <w:hideMark/>
          </w:tcPr>
          <w:p w14:paraId="2F854894" w14:textId="77777777" w:rsidR="000C4F5B" w:rsidRPr="00091F8C" w:rsidRDefault="000C4F5B" w:rsidP="00C310F7">
            <w:pPr>
              <w:pStyle w:val="NoSpacing"/>
              <w:rPr>
                <w:color w:val="000000" w:themeColor="text1"/>
                <w:lang w:eastAsia="en-GB"/>
              </w:rPr>
            </w:pPr>
            <w:r w:rsidRPr="00091F8C">
              <w:rPr>
                <w:color w:val="000000" w:themeColor="text1"/>
                <w:lang w:eastAsia="en-GB"/>
              </w:rPr>
              <w:t>C</w:t>
            </w:r>
          </w:p>
        </w:tc>
        <w:tc>
          <w:tcPr>
            <w:tcW w:w="711" w:type="dxa"/>
            <w:tcBorders>
              <w:top w:val="nil"/>
              <w:left w:val="nil"/>
              <w:bottom w:val="single" w:sz="4" w:space="0" w:color="auto"/>
              <w:right w:val="nil"/>
            </w:tcBorders>
          </w:tcPr>
          <w:p w14:paraId="273E1CE0" w14:textId="77777777" w:rsidR="000C4F5B" w:rsidRPr="00091F8C" w:rsidRDefault="000C4F5B" w:rsidP="00C310F7">
            <w:pPr>
              <w:pStyle w:val="NoSpacing"/>
              <w:rPr>
                <w:rFonts w:eastAsia="Times New Roman"/>
                <w:color w:val="000000" w:themeColor="text1"/>
                <w:lang w:eastAsia="en-GB"/>
              </w:rPr>
            </w:pPr>
            <w:r w:rsidRPr="00091F8C">
              <w:rPr>
                <w:color w:val="000000" w:themeColor="text1"/>
              </w:rPr>
              <w:t>0.14</w:t>
            </w:r>
          </w:p>
        </w:tc>
        <w:tc>
          <w:tcPr>
            <w:tcW w:w="821" w:type="dxa"/>
            <w:tcBorders>
              <w:top w:val="nil"/>
              <w:left w:val="nil"/>
              <w:bottom w:val="single" w:sz="4" w:space="0" w:color="auto"/>
              <w:right w:val="nil"/>
            </w:tcBorders>
          </w:tcPr>
          <w:p w14:paraId="14E67F51" w14:textId="77777777" w:rsidR="000C4F5B" w:rsidRPr="00091F8C" w:rsidRDefault="000C4F5B" w:rsidP="00C310F7">
            <w:pPr>
              <w:pStyle w:val="NoSpacing"/>
              <w:rPr>
                <w:color w:val="000000" w:themeColor="text1"/>
              </w:rPr>
            </w:pPr>
            <w:r w:rsidRPr="00091F8C">
              <w:rPr>
                <w:color w:val="000000" w:themeColor="text1"/>
              </w:rPr>
              <w:t>0.42</w:t>
            </w:r>
          </w:p>
        </w:tc>
        <w:tc>
          <w:tcPr>
            <w:tcW w:w="821" w:type="dxa"/>
            <w:tcBorders>
              <w:top w:val="nil"/>
              <w:left w:val="nil"/>
              <w:bottom w:val="single" w:sz="4" w:space="0" w:color="auto"/>
              <w:right w:val="nil"/>
            </w:tcBorders>
            <w:vAlign w:val="bottom"/>
          </w:tcPr>
          <w:p w14:paraId="69AEF3E8" w14:textId="77777777" w:rsidR="000C4F5B" w:rsidRPr="00091F8C" w:rsidRDefault="000C4F5B" w:rsidP="00C310F7">
            <w:pPr>
              <w:pStyle w:val="NoSpacing"/>
              <w:rPr>
                <w:rFonts w:eastAsia="Times New Roman"/>
                <w:color w:val="000000" w:themeColor="text1"/>
                <w:lang w:eastAsia="en-GB"/>
              </w:rPr>
            </w:pPr>
            <w:r w:rsidRPr="00091F8C">
              <w:rPr>
                <w:color w:val="000000" w:themeColor="text1"/>
              </w:rPr>
              <w:t>0.565</w:t>
            </w:r>
          </w:p>
        </w:tc>
        <w:tc>
          <w:tcPr>
            <w:tcW w:w="1783" w:type="dxa"/>
            <w:tcBorders>
              <w:top w:val="nil"/>
              <w:left w:val="nil"/>
              <w:bottom w:val="single" w:sz="4" w:space="0" w:color="auto"/>
              <w:right w:val="nil"/>
            </w:tcBorders>
            <w:shd w:val="clear" w:color="auto" w:fill="auto"/>
            <w:noWrap/>
            <w:vAlign w:val="bottom"/>
          </w:tcPr>
          <w:p w14:paraId="77CFEEEF" w14:textId="77777777" w:rsidR="000C4F5B" w:rsidRPr="00091F8C" w:rsidRDefault="000C4F5B" w:rsidP="00C310F7">
            <w:pPr>
              <w:pStyle w:val="NoSpacing"/>
              <w:rPr>
                <w:color w:val="000000" w:themeColor="text1"/>
                <w:lang w:eastAsia="en-GB"/>
              </w:rPr>
            </w:pPr>
            <w:r w:rsidRPr="00091F8C">
              <w:rPr>
                <w:color w:val="000000" w:themeColor="text1"/>
                <w:lang w:eastAsia="en-GB"/>
              </w:rPr>
              <w:t>0.565</w:t>
            </w:r>
          </w:p>
        </w:tc>
        <w:tc>
          <w:tcPr>
            <w:tcW w:w="1540" w:type="dxa"/>
            <w:tcBorders>
              <w:top w:val="nil"/>
              <w:left w:val="nil"/>
              <w:bottom w:val="single" w:sz="4" w:space="0" w:color="auto"/>
              <w:right w:val="nil"/>
            </w:tcBorders>
          </w:tcPr>
          <w:p w14:paraId="7F0E36FD" w14:textId="77777777" w:rsidR="000C4F5B" w:rsidRPr="00091F8C" w:rsidRDefault="000C4F5B" w:rsidP="00C310F7">
            <w:pPr>
              <w:pStyle w:val="NoSpacing"/>
              <w:rPr>
                <w:color w:val="000000" w:themeColor="text1"/>
                <w:lang w:eastAsia="en-GB"/>
              </w:rPr>
            </w:pPr>
          </w:p>
        </w:tc>
        <w:tc>
          <w:tcPr>
            <w:tcW w:w="1540" w:type="dxa"/>
            <w:tcBorders>
              <w:top w:val="nil"/>
              <w:left w:val="nil"/>
              <w:bottom w:val="single" w:sz="4" w:space="0" w:color="auto"/>
              <w:right w:val="nil"/>
            </w:tcBorders>
            <w:shd w:val="clear" w:color="auto" w:fill="auto"/>
            <w:noWrap/>
            <w:vAlign w:val="bottom"/>
          </w:tcPr>
          <w:p w14:paraId="5F6084F7" w14:textId="77777777" w:rsidR="000C4F5B" w:rsidRPr="00091F8C" w:rsidRDefault="000C4F5B" w:rsidP="00C310F7">
            <w:pPr>
              <w:pStyle w:val="NoSpacing"/>
              <w:rPr>
                <w:color w:val="000000" w:themeColor="text1"/>
                <w:lang w:eastAsia="en-GB"/>
              </w:rPr>
            </w:pPr>
            <w:r w:rsidRPr="00091F8C">
              <w:rPr>
                <w:color w:val="000000" w:themeColor="text1"/>
                <w:lang w:eastAsia="en-GB"/>
              </w:rPr>
              <w:t>0</w:t>
            </w:r>
          </w:p>
        </w:tc>
      </w:tr>
    </w:tbl>
    <w:p w14:paraId="0435551C" w14:textId="77777777" w:rsidR="00DB7536" w:rsidRPr="00091F8C" w:rsidRDefault="00DB7536" w:rsidP="00DB7536">
      <w:pPr>
        <w:pStyle w:val="Heading1"/>
        <w:rPr>
          <w:color w:val="000000" w:themeColor="text1"/>
        </w:rPr>
      </w:pPr>
      <w:r w:rsidRPr="00091F8C">
        <w:rPr>
          <w:color w:val="000000" w:themeColor="text1"/>
        </w:rPr>
        <w:t>Discussion</w:t>
      </w:r>
    </w:p>
    <w:p w14:paraId="0D0ECD8B" w14:textId="77777777" w:rsidR="00DB7536" w:rsidRPr="00091F8C" w:rsidRDefault="00DB7536" w:rsidP="00DB7536">
      <w:pPr>
        <w:rPr>
          <w:color w:val="000000" w:themeColor="text1"/>
        </w:rPr>
      </w:pPr>
      <w:r w:rsidRPr="00091F8C">
        <w:rPr>
          <w:color w:val="000000" w:themeColor="text1"/>
        </w:rPr>
        <w:t xml:space="preserve">Using the approach discussed in this paper, BIM-DAS score of design models could be calculated to assist designers in making appropriate decisions and compare alternative designs. This is towards the delivery of the most sustainable design in terms of building deconstruction. Accordingly, the study shows that the use of prefabricated assemblies and demountable connections are essential factors that ensure building deconstructability. These two factors signify several implications for the AEC industry in addition to confirming best practices. First, the use of prefabricated assemblies helps to reduce on-site waste and material use. Evidence shows that 84.7% of on-site construction waste could be avoided by adopting prefabrication. In addition, </w:t>
      </w:r>
      <w:proofErr w:type="spellStart"/>
      <w:r w:rsidRPr="00091F8C">
        <w:rPr>
          <w:color w:val="000000" w:themeColor="text1"/>
        </w:rPr>
        <w:t>Jaillon</w:t>
      </w:r>
      <w:proofErr w:type="spellEnd"/>
      <w:r w:rsidRPr="00091F8C">
        <w:rPr>
          <w:color w:val="000000" w:themeColor="text1"/>
        </w:rPr>
        <w:t xml:space="preserve"> and Poon </w:t>
      </w:r>
      <w:r w:rsidRPr="00091F8C">
        <w:rPr>
          <w:noProof/>
          <w:color w:val="000000" w:themeColor="text1"/>
        </w:rPr>
        <w:t>(2014)</w:t>
      </w:r>
      <w:r w:rsidRPr="00091F8C">
        <w:rPr>
          <w:color w:val="000000" w:themeColor="text1"/>
        </w:rPr>
        <w:t xml:space="preserve"> highlight other benefits of prefabrication in ensuring design for deconstruction. These include improved quality control, improved on-site environment, improved health and safety, and improved ease of construction. Although it is true that the use of prefabrication is limited by the initial high cost </w:t>
      </w:r>
      <w:r w:rsidRPr="00091F8C">
        <w:rPr>
          <w:noProof/>
          <w:color w:val="000000" w:themeColor="text1"/>
        </w:rPr>
        <w:t>(Hsieh 1997)</w:t>
      </w:r>
      <w:r w:rsidRPr="00091F8C">
        <w:rPr>
          <w:color w:val="000000" w:themeColor="text1"/>
        </w:rPr>
        <w:t>, however, it must also be recognised that the benefits outweighs the cost</w:t>
      </w:r>
      <w:r w:rsidR="004027DA" w:rsidRPr="00091F8C">
        <w:rPr>
          <w:color w:val="000000" w:themeColor="text1"/>
        </w:rPr>
        <w:t xml:space="preserve"> (Baldwin </w:t>
      </w:r>
      <w:r w:rsidR="004027DA" w:rsidRPr="00091F8C">
        <w:rPr>
          <w:i/>
          <w:color w:val="000000" w:themeColor="text1"/>
        </w:rPr>
        <w:t>et al.</w:t>
      </w:r>
      <w:r w:rsidR="004027DA" w:rsidRPr="00091F8C">
        <w:rPr>
          <w:color w:val="000000" w:themeColor="text1"/>
        </w:rPr>
        <w:t>,</w:t>
      </w:r>
      <w:r w:rsidR="004027DA" w:rsidRPr="00091F8C">
        <w:rPr>
          <w:i/>
          <w:color w:val="000000" w:themeColor="text1"/>
        </w:rPr>
        <w:t xml:space="preserve"> </w:t>
      </w:r>
      <w:r w:rsidR="004027DA" w:rsidRPr="00091F8C">
        <w:rPr>
          <w:color w:val="000000" w:themeColor="text1"/>
        </w:rPr>
        <w:t>2008)</w:t>
      </w:r>
      <w:r w:rsidR="00385E21" w:rsidRPr="00091F8C">
        <w:rPr>
          <w:color w:val="000000" w:themeColor="text1"/>
        </w:rPr>
        <w:t xml:space="preserve">. </w:t>
      </w:r>
      <w:r w:rsidR="008F44CA" w:rsidRPr="00091F8C">
        <w:rPr>
          <w:color w:val="000000" w:themeColor="text1"/>
        </w:rPr>
        <w:t xml:space="preserve">Several studies (Baldwin </w:t>
      </w:r>
      <w:r w:rsidR="008F44CA" w:rsidRPr="00091F8C">
        <w:rPr>
          <w:i/>
          <w:color w:val="000000" w:themeColor="text1"/>
        </w:rPr>
        <w:t>et al.</w:t>
      </w:r>
      <w:r w:rsidR="008F44CA" w:rsidRPr="00091F8C">
        <w:rPr>
          <w:color w:val="000000" w:themeColor="text1"/>
        </w:rPr>
        <w:t xml:space="preserve">, 2008; </w:t>
      </w:r>
      <w:r w:rsidR="008F44CA" w:rsidRPr="00091F8C">
        <w:rPr>
          <w:noProof/>
          <w:color w:val="000000" w:themeColor="text1"/>
        </w:rPr>
        <w:t xml:space="preserve">Tam </w:t>
      </w:r>
      <w:r w:rsidR="008F44CA" w:rsidRPr="00091F8C">
        <w:rPr>
          <w:i/>
          <w:noProof/>
          <w:color w:val="000000" w:themeColor="text1"/>
        </w:rPr>
        <w:t>et al.</w:t>
      </w:r>
      <w:r w:rsidR="008F44CA" w:rsidRPr="00091F8C">
        <w:rPr>
          <w:noProof/>
          <w:color w:val="000000" w:themeColor="text1"/>
        </w:rPr>
        <w:t xml:space="preserve"> 2005; Lu &amp; Yuan 2013</w:t>
      </w:r>
      <w:r w:rsidR="008F44CA" w:rsidRPr="00091F8C">
        <w:rPr>
          <w:color w:val="000000" w:themeColor="text1"/>
        </w:rPr>
        <w:t xml:space="preserve">) </w:t>
      </w:r>
      <w:r w:rsidR="000F743F" w:rsidRPr="00091F8C">
        <w:rPr>
          <w:color w:val="000000" w:themeColor="text1"/>
        </w:rPr>
        <w:t>have shown that the use of prefabricated elements, such as prefab</w:t>
      </w:r>
      <w:r w:rsidR="00F35F31" w:rsidRPr="00091F8C">
        <w:rPr>
          <w:color w:val="000000" w:themeColor="text1"/>
        </w:rPr>
        <w:t>ricated</w:t>
      </w:r>
      <w:r w:rsidR="000F743F" w:rsidRPr="00091F8C">
        <w:rPr>
          <w:color w:val="000000" w:themeColor="text1"/>
        </w:rPr>
        <w:t xml:space="preserve"> concrete, reduces CDEW.</w:t>
      </w:r>
      <w:r w:rsidR="008F44CA" w:rsidRPr="00091F8C">
        <w:rPr>
          <w:color w:val="000000" w:themeColor="text1"/>
        </w:rPr>
        <w:t xml:space="preserve"> </w:t>
      </w:r>
      <w:r w:rsidRPr="00091F8C">
        <w:rPr>
          <w:color w:val="000000" w:themeColor="text1"/>
        </w:rPr>
        <w:t xml:space="preserve">According to </w:t>
      </w:r>
      <w:proofErr w:type="spellStart"/>
      <w:r w:rsidR="00385E21" w:rsidRPr="00091F8C">
        <w:rPr>
          <w:color w:val="000000" w:themeColor="text1"/>
        </w:rPr>
        <w:t>Jaillon</w:t>
      </w:r>
      <w:proofErr w:type="spellEnd"/>
      <w:r w:rsidR="00385E21" w:rsidRPr="00091F8C">
        <w:rPr>
          <w:color w:val="000000" w:themeColor="text1"/>
        </w:rPr>
        <w:t xml:space="preserve"> </w:t>
      </w:r>
      <w:r w:rsidRPr="00091F8C">
        <w:rPr>
          <w:i/>
          <w:color w:val="000000" w:themeColor="text1"/>
        </w:rPr>
        <w:t xml:space="preserve">et al. </w:t>
      </w:r>
      <w:r w:rsidRPr="00091F8C">
        <w:rPr>
          <w:noProof/>
          <w:color w:val="000000" w:themeColor="text1"/>
        </w:rPr>
        <w:t>(20</w:t>
      </w:r>
      <w:r w:rsidR="00385E21" w:rsidRPr="00091F8C">
        <w:rPr>
          <w:noProof/>
          <w:color w:val="000000" w:themeColor="text1"/>
        </w:rPr>
        <w:t>09</w:t>
      </w:r>
      <w:r w:rsidRPr="00091F8C">
        <w:rPr>
          <w:noProof/>
          <w:color w:val="000000" w:themeColor="text1"/>
        </w:rPr>
        <w:t>)</w:t>
      </w:r>
      <w:r w:rsidRPr="00091F8C">
        <w:rPr>
          <w:color w:val="000000" w:themeColor="text1"/>
        </w:rPr>
        <w:t xml:space="preserve">, the </w:t>
      </w:r>
      <w:r w:rsidR="00385E21" w:rsidRPr="00091F8C">
        <w:rPr>
          <w:color w:val="000000" w:themeColor="text1"/>
        </w:rPr>
        <w:t xml:space="preserve">use </w:t>
      </w:r>
      <w:r w:rsidRPr="00091F8C">
        <w:rPr>
          <w:color w:val="000000" w:themeColor="text1"/>
        </w:rPr>
        <w:t xml:space="preserve">of </w:t>
      </w:r>
      <w:r w:rsidR="007B46C1" w:rsidRPr="00091F8C">
        <w:rPr>
          <w:color w:val="000000" w:themeColor="text1"/>
        </w:rPr>
        <w:t>precast construction</w:t>
      </w:r>
      <w:r w:rsidRPr="00091F8C">
        <w:rPr>
          <w:color w:val="000000" w:themeColor="text1"/>
        </w:rPr>
        <w:t xml:space="preserve"> could result in 5</w:t>
      </w:r>
      <w:r w:rsidR="00385E21" w:rsidRPr="00091F8C">
        <w:rPr>
          <w:color w:val="000000" w:themeColor="text1"/>
        </w:rPr>
        <w:t>2</w:t>
      </w:r>
      <w:r w:rsidRPr="00091F8C">
        <w:rPr>
          <w:color w:val="000000" w:themeColor="text1"/>
        </w:rPr>
        <w:t xml:space="preserve">% </w:t>
      </w:r>
      <w:r w:rsidR="007B46C1" w:rsidRPr="00091F8C">
        <w:rPr>
          <w:color w:val="000000" w:themeColor="text1"/>
        </w:rPr>
        <w:t xml:space="preserve">reduction </w:t>
      </w:r>
      <w:r w:rsidRPr="00091F8C">
        <w:rPr>
          <w:color w:val="000000" w:themeColor="text1"/>
        </w:rPr>
        <w:t xml:space="preserve">in </w:t>
      </w:r>
      <w:r w:rsidR="007B46C1" w:rsidRPr="00091F8C">
        <w:rPr>
          <w:color w:val="000000" w:themeColor="text1"/>
        </w:rPr>
        <w:t>CDEW</w:t>
      </w:r>
      <w:r w:rsidRPr="00091F8C">
        <w:rPr>
          <w:color w:val="000000" w:themeColor="text1"/>
        </w:rPr>
        <w:t>.</w:t>
      </w:r>
    </w:p>
    <w:p w14:paraId="0BF01415" w14:textId="77777777" w:rsidR="00DB7536" w:rsidRPr="00091F8C" w:rsidRDefault="00DB7536" w:rsidP="00DB7536">
      <w:pPr>
        <w:rPr>
          <w:color w:val="000000" w:themeColor="text1"/>
        </w:rPr>
      </w:pPr>
      <w:r w:rsidRPr="00091F8C">
        <w:rPr>
          <w:color w:val="000000" w:themeColor="text1"/>
        </w:rPr>
        <w:lastRenderedPageBreak/>
        <w:t xml:space="preserve">Second, the use of demountable connections ensures deconstruction by allowing building subsystems to be easily disconnected from each other without damage. Based on this, the use of mechanical joints (such as bolts and nuts and </w:t>
      </w:r>
      <w:r w:rsidR="0010742E" w:rsidRPr="00091F8C">
        <w:rPr>
          <w:color w:val="000000" w:themeColor="text1"/>
        </w:rPr>
        <w:t>d</w:t>
      </w:r>
      <w:r w:rsidRPr="00091F8C">
        <w:rPr>
          <w:color w:val="000000" w:themeColor="text1"/>
        </w:rPr>
        <w:t xml:space="preserve">owels) should be encouraged instead of chemical joints (adhesives) and fixed joints (welding and riveting) </w:t>
      </w:r>
      <w:r w:rsidRPr="00091F8C">
        <w:rPr>
          <w:noProof/>
          <w:color w:val="000000" w:themeColor="text1"/>
        </w:rPr>
        <w:t>(Crowther 2005)</w:t>
      </w:r>
      <w:r w:rsidRPr="00091F8C">
        <w:rPr>
          <w:color w:val="000000" w:themeColor="text1"/>
        </w:rPr>
        <w:t xml:space="preserve">. Using mechanical joints allows the recovery of building elements in prime conditions for reuse. </w:t>
      </w:r>
      <w:r w:rsidRPr="00091F8C">
        <w:rPr>
          <w:noProof/>
          <w:color w:val="000000" w:themeColor="text1"/>
        </w:rPr>
        <w:t xml:space="preserve">Akbarnezhad </w:t>
      </w:r>
      <w:r w:rsidRPr="00091F8C">
        <w:rPr>
          <w:i/>
          <w:noProof/>
          <w:color w:val="000000" w:themeColor="text1"/>
        </w:rPr>
        <w:t xml:space="preserve">et al. </w:t>
      </w:r>
      <w:r w:rsidRPr="00091F8C">
        <w:rPr>
          <w:noProof/>
          <w:color w:val="000000" w:themeColor="text1"/>
        </w:rPr>
        <w:t>(2014)</w:t>
      </w:r>
      <w:r w:rsidRPr="00091F8C">
        <w:rPr>
          <w:color w:val="000000" w:themeColor="text1"/>
        </w:rPr>
        <w:t xml:space="preserve"> highlighted that using mechanical connections engenders environmental sustainability through waste minimisation, resource usage reduction and embodied energy preservation. Embodied energy is preserved because demountable connections allow material reuse rather than recycling or remanufacture. Accordingly, demountable connections should be encouraged in building elements such as structural frames and beams, curtain walls, internal walls, ceilings, roofs etc. </w:t>
      </w:r>
    </w:p>
    <w:p w14:paraId="143F2127" w14:textId="77777777" w:rsidR="00DB7536" w:rsidRPr="00091F8C" w:rsidRDefault="00DB7536" w:rsidP="00DB7536">
      <w:pPr>
        <w:rPr>
          <w:color w:val="000000" w:themeColor="text1"/>
        </w:rPr>
      </w:pPr>
      <w:r w:rsidRPr="00091F8C">
        <w:rPr>
          <w:color w:val="000000" w:themeColor="text1"/>
        </w:rPr>
        <w:t xml:space="preserve">While </w:t>
      </w:r>
      <w:r w:rsidRPr="00091F8C">
        <w:rPr>
          <w:noProof/>
          <w:color w:val="000000" w:themeColor="text1"/>
        </w:rPr>
        <w:t>Gorgolewski</w:t>
      </w:r>
      <w:r w:rsidRPr="00091F8C">
        <w:rPr>
          <w:color w:val="000000" w:themeColor="text1"/>
        </w:rPr>
        <w:t xml:space="preserve"> </w:t>
      </w:r>
      <w:r w:rsidRPr="00091F8C">
        <w:rPr>
          <w:noProof/>
          <w:color w:val="000000" w:themeColor="text1"/>
        </w:rPr>
        <w:t>(2006)</w:t>
      </w:r>
      <w:r w:rsidRPr="00091F8C">
        <w:rPr>
          <w:color w:val="000000" w:themeColor="text1"/>
        </w:rPr>
        <w:t xml:space="preserve"> claims that bolted connections are easily achievable in steel structures, it is also possible in other structures such as timber and concrete. In steel structures, the use of demountable H-pile foundation, bolted structural frames and beams, and bolted curtain walls should be particularly promoted to enable prefabrication and easier deconstruction. In the case of timber structures, not only the use of prefabricated assemblies and demountable connections must be considered, but also the durability of the wood. This is to enable the reusability of timber components because wood has more value in reuse than in recycling. On the other hand, evidence shows that reinforced concrete structures are not suitable for deconstruction because the structures are difficult to take apart without any damage </w:t>
      </w:r>
      <w:r w:rsidRPr="00091F8C">
        <w:rPr>
          <w:noProof/>
          <w:color w:val="000000" w:themeColor="text1"/>
        </w:rPr>
        <w:t>(Tingley 2012)</w:t>
      </w:r>
      <w:r w:rsidRPr="00091F8C">
        <w:rPr>
          <w:color w:val="000000" w:themeColor="text1"/>
        </w:rPr>
        <w:t xml:space="preserve">. This makes reuse of concrete structures generally difficult and inflexible </w:t>
      </w:r>
      <w:r w:rsidRPr="00091F8C">
        <w:rPr>
          <w:noProof/>
          <w:color w:val="000000" w:themeColor="text1"/>
        </w:rPr>
        <w:t>(Davison and Tingley 2011)</w:t>
      </w:r>
      <w:r w:rsidRPr="00091F8C">
        <w:rPr>
          <w:color w:val="000000" w:themeColor="text1"/>
        </w:rPr>
        <w:t xml:space="preserve"> but readily recyclable. In this way, recycling concrete elements should be prioritized over reuse. Reinforcement steel must therefore be separated from the concrete so that it could be recycled and the concrete could be crushed and used as a </w:t>
      </w:r>
      <w:r w:rsidR="004F4236" w:rsidRPr="00091F8C">
        <w:rPr>
          <w:color w:val="000000" w:themeColor="text1"/>
        </w:rPr>
        <w:t>roadbed</w:t>
      </w:r>
      <w:r w:rsidRPr="00091F8C">
        <w:rPr>
          <w:color w:val="000000" w:themeColor="text1"/>
        </w:rPr>
        <w:t xml:space="preserve"> or as aggregates </w:t>
      </w:r>
      <w:r w:rsidRPr="00091F8C">
        <w:rPr>
          <w:noProof/>
          <w:color w:val="000000" w:themeColor="text1"/>
        </w:rPr>
        <w:t>(Nakajima et al. 2005)</w:t>
      </w:r>
    </w:p>
    <w:p w14:paraId="54E79F7F" w14:textId="77777777" w:rsidR="00DB7536" w:rsidRPr="00091F8C" w:rsidRDefault="00DB7536" w:rsidP="00DB7536">
      <w:pPr>
        <w:rPr>
          <w:color w:val="000000" w:themeColor="text1"/>
        </w:rPr>
      </w:pPr>
      <w:r w:rsidRPr="00091F8C">
        <w:rPr>
          <w:color w:val="000000" w:themeColor="text1"/>
        </w:rPr>
        <w:t xml:space="preserve">Moreover, the use of prefabrication and demountable connections must be considered right from the design brief stage. This is to allow ample time for making right decision in achieving design for deconstruction. As such, BIM-DAS must be fully integrated with existing BIM design software to provide adequate support in decision-making. Integrating BIM-DAS into </w:t>
      </w:r>
      <w:r w:rsidRPr="00091F8C">
        <w:rPr>
          <w:color w:val="000000" w:themeColor="text1"/>
        </w:rPr>
        <w:lastRenderedPageBreak/>
        <w:t xml:space="preserve">BIM software will favour automatic capture of design parameter for building deconstruction analysis to eliminate errors caused by manually entering design parameters. In addition, integrating BIM-DAS with BIM software will leverage on current BIM capabilities such as parametric modelling, visualisation, material database, etc. to analyse and visualise the effects of design decisions on deconstruction. </w:t>
      </w:r>
    </w:p>
    <w:p w14:paraId="54DEAC2B" w14:textId="77777777" w:rsidR="0035573A" w:rsidRPr="00091F8C" w:rsidRDefault="0035573A" w:rsidP="0035573A">
      <w:pPr>
        <w:rPr>
          <w:color w:val="000000" w:themeColor="text1"/>
        </w:rPr>
      </w:pPr>
      <w:r w:rsidRPr="00091F8C">
        <w:rPr>
          <w:color w:val="000000" w:themeColor="text1"/>
        </w:rPr>
        <w:t>BIM-DAS is intended to be adapted by industrial practitioners to suit their design for deconstruction needs. In this way, BIM-DAS will be useful from the concept design stage (RIBA work stage 2) to the technical design stage (RIBA work stage 4) for measuring the deconstructability of a building. Future research will involve further refinement and implementation improvement on the prediction potentials of BIM-DAS. It is anticipated that BIM-DAS will be institutionalised with the national BIM implementation programme and guidelines. Achieving this will boost the incorporation of BIM-DAS into the construction practice.</w:t>
      </w:r>
    </w:p>
    <w:p w14:paraId="7D7FD013" w14:textId="77777777" w:rsidR="00DB7536" w:rsidRPr="00091F8C" w:rsidRDefault="00DB7536" w:rsidP="00DB7536">
      <w:pPr>
        <w:pStyle w:val="Heading1"/>
        <w:rPr>
          <w:color w:val="000000" w:themeColor="text1"/>
        </w:rPr>
      </w:pPr>
      <w:r w:rsidRPr="00091F8C">
        <w:rPr>
          <w:color w:val="000000" w:themeColor="text1"/>
        </w:rPr>
        <w:t>Conclusion</w:t>
      </w:r>
    </w:p>
    <w:p w14:paraId="2B5E5CAB" w14:textId="77777777" w:rsidR="00DB7536" w:rsidRPr="00091F8C" w:rsidRDefault="00DB7536" w:rsidP="00DB7536">
      <w:pPr>
        <w:rPr>
          <w:color w:val="000000" w:themeColor="text1"/>
        </w:rPr>
      </w:pPr>
      <w:r w:rsidRPr="00091F8C">
        <w:rPr>
          <w:color w:val="000000" w:themeColor="text1"/>
        </w:rPr>
        <w:t>This study describes the development of BIM-DAS score as an objective measure of degree of building deconstructability during design. This was done using a mathematical modelling approach based on the building design’s bill of quantity. In addition, the study examines and compares the BIM-DAS score of three case studies of a building model with primary material of steel, timber and concrete structures. The results identify the use of prefabricated building elements and the use of demountable connection as the key factors to be considered in designing for deconstruction. The contribution of this study is therefore three-fold: (</w:t>
      </w:r>
      <w:proofErr w:type="spellStart"/>
      <w:r w:rsidRPr="00091F8C">
        <w:rPr>
          <w:color w:val="000000" w:themeColor="text1"/>
        </w:rPr>
        <w:t>i</w:t>
      </w:r>
      <w:proofErr w:type="spellEnd"/>
      <w:r w:rsidRPr="00091F8C">
        <w:rPr>
          <w:color w:val="000000" w:themeColor="text1"/>
        </w:rPr>
        <w:t xml:space="preserve">) it creates awareness on the roles of design in building deconstruction; (ii) it broadens the understanding of how design factors influence deconstruction; and (iii) it provides BIM-DAS score as an objective measure of </w:t>
      </w:r>
      <w:proofErr w:type="spellStart"/>
      <w:r w:rsidRPr="00091F8C">
        <w:rPr>
          <w:color w:val="000000" w:themeColor="text1"/>
        </w:rPr>
        <w:t>deconstructability</w:t>
      </w:r>
      <w:proofErr w:type="spellEnd"/>
      <w:r w:rsidRPr="00091F8C">
        <w:rPr>
          <w:color w:val="000000" w:themeColor="text1"/>
        </w:rPr>
        <w:t xml:space="preserve"> of building models. The BIM-DAS score provides a basis for comparative analysis of building models for selecting the most deconstructable design among options without affecting building forms or function. In addition, the BIM-DAS score could drive a guideline or benchmark for monitoring building construction towards end of life </w:t>
      </w:r>
      <w:r w:rsidRPr="00091F8C">
        <w:rPr>
          <w:color w:val="000000" w:themeColor="text1"/>
        </w:rPr>
        <w:lastRenderedPageBreak/>
        <w:t>sustainability. The results of this study also help to understand how BIM functionalities could be employed to improve the effectiveness of existing CDEW management tools and BIM software.</w:t>
      </w:r>
    </w:p>
    <w:p w14:paraId="5E15D806" w14:textId="77777777" w:rsidR="00DB7536" w:rsidRPr="00091F8C" w:rsidRDefault="00F35F31" w:rsidP="00DB7536">
      <w:pPr>
        <w:rPr>
          <w:color w:val="000000" w:themeColor="text1"/>
        </w:rPr>
      </w:pPr>
      <w:r w:rsidRPr="00091F8C">
        <w:rPr>
          <w:color w:val="000000" w:themeColor="text1"/>
        </w:rPr>
        <w:t>Existing</w:t>
      </w:r>
      <w:r w:rsidR="00C5529B" w:rsidRPr="00091F8C">
        <w:rPr>
          <w:color w:val="000000" w:themeColor="text1"/>
        </w:rPr>
        <w:t xml:space="preserve"> </w:t>
      </w:r>
      <w:r w:rsidR="00DB7536" w:rsidRPr="00091F8C">
        <w:rPr>
          <w:color w:val="000000" w:themeColor="text1"/>
        </w:rPr>
        <w:t>literature shows that design for deconstruction is more complex tha</w:t>
      </w:r>
      <w:r w:rsidRPr="00091F8C">
        <w:rPr>
          <w:color w:val="000000" w:themeColor="text1"/>
        </w:rPr>
        <w:t>n</w:t>
      </w:r>
      <w:r w:rsidR="00DB7536" w:rsidRPr="00091F8C">
        <w:rPr>
          <w:color w:val="000000" w:themeColor="text1"/>
        </w:rPr>
        <w:t xml:space="preserve"> material specification and </w:t>
      </w:r>
      <w:r w:rsidR="002B6A09" w:rsidRPr="00091F8C">
        <w:rPr>
          <w:color w:val="000000" w:themeColor="text1"/>
        </w:rPr>
        <w:t xml:space="preserve">that </w:t>
      </w:r>
      <w:r w:rsidR="00DB7536" w:rsidRPr="00091F8C">
        <w:rPr>
          <w:color w:val="000000" w:themeColor="text1"/>
        </w:rPr>
        <w:t xml:space="preserve">there are </w:t>
      </w:r>
      <w:r w:rsidR="002B6A09" w:rsidRPr="00091F8C">
        <w:rPr>
          <w:color w:val="000000" w:themeColor="text1"/>
        </w:rPr>
        <w:t xml:space="preserve">other </w:t>
      </w:r>
      <w:r w:rsidR="00DB7536" w:rsidRPr="00091F8C">
        <w:rPr>
          <w:color w:val="000000" w:themeColor="text1"/>
        </w:rPr>
        <w:t>f</w:t>
      </w:r>
      <w:r w:rsidR="00216021" w:rsidRPr="00091F8C">
        <w:rPr>
          <w:color w:val="000000" w:themeColor="text1"/>
        </w:rPr>
        <w:t>actors that could influence it. However,</w:t>
      </w:r>
      <w:r w:rsidR="00DB7536" w:rsidRPr="00091F8C">
        <w:rPr>
          <w:color w:val="000000" w:themeColor="text1"/>
        </w:rPr>
        <w:t xml:space="preserve"> the procedure demonstrated in this paper shows the practicality of objectively measuring the degree of building deconstructability. Further studies are needed to consider more categories of factors such as material handling, building design methodology, etc.</w:t>
      </w:r>
      <w:r w:rsidR="00AE0CB3" w:rsidRPr="00091F8C">
        <w:rPr>
          <w:color w:val="000000" w:themeColor="text1"/>
        </w:rPr>
        <w:t xml:space="preserve"> and to assess the residual performances of building elements.</w:t>
      </w:r>
      <w:r w:rsidR="00DB7536" w:rsidRPr="00091F8C">
        <w:rPr>
          <w:color w:val="000000" w:themeColor="text1"/>
        </w:rPr>
        <w:t xml:space="preserve"> Further research could also investigate the correlation between BIM-DAS and other building scores such as BDAS, CONQUAS and BWAS. </w:t>
      </w:r>
      <w:r w:rsidRPr="00091F8C">
        <w:rPr>
          <w:color w:val="000000" w:themeColor="text1"/>
        </w:rPr>
        <w:t xml:space="preserve">While this study has been focused and biased towards </w:t>
      </w:r>
      <w:proofErr w:type="spellStart"/>
      <w:r w:rsidRPr="00091F8C">
        <w:rPr>
          <w:color w:val="000000" w:themeColor="text1"/>
        </w:rPr>
        <w:t>deconstructability</w:t>
      </w:r>
      <w:proofErr w:type="spellEnd"/>
      <w:r w:rsidR="00F61D40" w:rsidRPr="00091F8C">
        <w:rPr>
          <w:color w:val="000000" w:themeColor="text1"/>
        </w:rPr>
        <w:t>, the relationship between BIM-DAS and other building performance indicators (such as cost, sustainability, etc</w:t>
      </w:r>
      <w:r w:rsidR="004552D3" w:rsidRPr="00091F8C">
        <w:rPr>
          <w:color w:val="000000" w:themeColor="text1"/>
        </w:rPr>
        <w:t>.</w:t>
      </w:r>
      <w:r w:rsidR="00F61D40" w:rsidRPr="00091F8C">
        <w:rPr>
          <w:color w:val="000000" w:themeColor="text1"/>
        </w:rPr>
        <w:t>) could be explored</w:t>
      </w:r>
      <w:r w:rsidR="004552D3" w:rsidRPr="00091F8C">
        <w:rPr>
          <w:color w:val="000000" w:themeColor="text1"/>
        </w:rPr>
        <w:t xml:space="preserve"> by future studies</w:t>
      </w:r>
      <w:r w:rsidR="00F61D40" w:rsidRPr="00091F8C">
        <w:rPr>
          <w:color w:val="000000" w:themeColor="text1"/>
        </w:rPr>
        <w:t xml:space="preserve">. </w:t>
      </w:r>
      <w:r w:rsidR="00DB7536" w:rsidRPr="00091F8C">
        <w:rPr>
          <w:color w:val="000000" w:themeColor="text1"/>
        </w:rPr>
        <w:t>Lastly, assuming equal weighting for model parameter</w:t>
      </w:r>
      <w:r w:rsidR="00AE0CB3" w:rsidRPr="00091F8C">
        <w:rPr>
          <w:color w:val="000000" w:themeColor="text1"/>
        </w:rPr>
        <w:t>s</w:t>
      </w:r>
      <w:r w:rsidR="00DB7536" w:rsidRPr="00091F8C">
        <w:rPr>
          <w:color w:val="000000" w:themeColor="text1"/>
        </w:rPr>
        <w:t xml:space="preserve"> seems impractical. A quantitative survey research is therefore needed to understand the weighting of parameters of BIM-DAS. This will help to understand to what extend each of the factors contributes towards the BIM-DAS of a building. To ensure the usability of the model, further studies are needed to integrate BIM-DAS into existing BIM software such as Autodesk Revit as a plugin to enable deconstruction performance simulation.</w:t>
      </w:r>
    </w:p>
    <w:p w14:paraId="070D3819" w14:textId="77777777" w:rsidR="00A80843" w:rsidRPr="00091F8C" w:rsidRDefault="00A80843" w:rsidP="00A80843">
      <w:pPr>
        <w:pStyle w:val="Heading1"/>
        <w:rPr>
          <w:color w:val="000000" w:themeColor="text1"/>
        </w:rPr>
      </w:pPr>
      <w:r w:rsidRPr="00091F8C">
        <w:rPr>
          <w:color w:val="000000" w:themeColor="text1"/>
        </w:rPr>
        <w:t>Acknowledgement</w:t>
      </w:r>
    </w:p>
    <w:p w14:paraId="212DC95C" w14:textId="77777777" w:rsidR="00A80843" w:rsidRPr="00091F8C" w:rsidRDefault="00A80843" w:rsidP="00DB7536">
      <w:pPr>
        <w:rPr>
          <w:color w:val="000000" w:themeColor="text1"/>
        </w:rPr>
      </w:pPr>
      <w:r w:rsidRPr="00091F8C">
        <w:rPr>
          <w:color w:val="000000" w:themeColor="text1"/>
        </w:rPr>
        <w:t>The authors would like to express their sincere gratitude to Innovate UK and Balfour Beatty PLC for  providing the financial support for the research through grant (Application) No. 22883–158278 and File No 101346.</w:t>
      </w:r>
    </w:p>
    <w:p w14:paraId="7492A3B0" w14:textId="77777777" w:rsidR="00DB7536" w:rsidRPr="00091F8C" w:rsidRDefault="00DB7536" w:rsidP="00DB7536">
      <w:pPr>
        <w:pStyle w:val="Heading1"/>
        <w:numPr>
          <w:ilvl w:val="0"/>
          <w:numId w:val="0"/>
        </w:numPr>
        <w:ind w:left="431" w:hanging="431"/>
        <w:rPr>
          <w:color w:val="000000" w:themeColor="text1"/>
        </w:rPr>
      </w:pPr>
      <w:r w:rsidRPr="00091F8C">
        <w:rPr>
          <w:color w:val="000000" w:themeColor="text1"/>
        </w:rPr>
        <w:t>References</w:t>
      </w:r>
    </w:p>
    <w:p w14:paraId="389E8BE7"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Addis B. Briefing: Design for deconstruction. Proc ICE - Waste Resour Manag. 2008 Jan 2;161(1):9–12. </w:t>
      </w:r>
    </w:p>
    <w:p w14:paraId="3569E53A" w14:textId="77777777" w:rsidR="00E8748C" w:rsidRPr="00091F8C" w:rsidRDefault="00E8748C">
      <w:pPr>
        <w:pStyle w:val="NormalWeb"/>
        <w:ind w:left="480" w:hanging="480"/>
        <w:divId w:val="1568104382"/>
        <w:rPr>
          <w:noProof/>
          <w:color w:val="000000" w:themeColor="text1"/>
        </w:rPr>
      </w:pPr>
      <w:proofErr w:type="spellStart"/>
      <w:r w:rsidRPr="00091F8C">
        <w:rPr>
          <w:color w:val="000000" w:themeColor="text1"/>
        </w:rPr>
        <w:lastRenderedPageBreak/>
        <w:t>Ajayi</w:t>
      </w:r>
      <w:proofErr w:type="spellEnd"/>
      <w:r w:rsidRPr="00091F8C">
        <w:rPr>
          <w:color w:val="000000" w:themeColor="text1"/>
        </w:rPr>
        <w:t xml:space="preserve">, </w:t>
      </w:r>
      <w:proofErr w:type="spellStart"/>
      <w:r w:rsidRPr="00091F8C">
        <w:rPr>
          <w:color w:val="000000" w:themeColor="text1"/>
        </w:rPr>
        <w:t>Saheed</w:t>
      </w:r>
      <w:proofErr w:type="spellEnd"/>
      <w:r w:rsidRPr="00091F8C">
        <w:rPr>
          <w:color w:val="000000" w:themeColor="text1"/>
        </w:rPr>
        <w:t xml:space="preserve"> O., Lukumon O. </w:t>
      </w:r>
      <w:proofErr w:type="spellStart"/>
      <w:r w:rsidRPr="00091F8C">
        <w:rPr>
          <w:color w:val="000000" w:themeColor="text1"/>
        </w:rPr>
        <w:t>Oyedele</w:t>
      </w:r>
      <w:proofErr w:type="spellEnd"/>
      <w:r w:rsidRPr="00091F8C">
        <w:rPr>
          <w:color w:val="000000" w:themeColor="text1"/>
        </w:rPr>
        <w:t xml:space="preserve">, Olugbenga O. Akinade, Muhammad Bilal, Hakeem O. </w:t>
      </w:r>
      <w:proofErr w:type="spellStart"/>
      <w:r w:rsidRPr="00091F8C">
        <w:rPr>
          <w:color w:val="000000" w:themeColor="text1"/>
        </w:rPr>
        <w:t>Owolabi</w:t>
      </w:r>
      <w:proofErr w:type="spellEnd"/>
      <w:r w:rsidRPr="00091F8C">
        <w:rPr>
          <w:color w:val="000000" w:themeColor="text1"/>
        </w:rPr>
        <w:t xml:space="preserve">, And Hafiz A. </w:t>
      </w:r>
      <w:proofErr w:type="spellStart"/>
      <w:r w:rsidRPr="00091F8C">
        <w:rPr>
          <w:color w:val="000000" w:themeColor="text1"/>
        </w:rPr>
        <w:t>Alaka</w:t>
      </w:r>
      <w:proofErr w:type="spellEnd"/>
      <w:r w:rsidRPr="00091F8C">
        <w:rPr>
          <w:color w:val="000000" w:themeColor="text1"/>
        </w:rPr>
        <w:t xml:space="preserve">. "Ineffectiveness of Construction Waste Management Strategies: Knowledge Gap Analysis." In: </w:t>
      </w:r>
      <w:proofErr w:type="spellStart"/>
      <w:r w:rsidRPr="00091F8C">
        <w:rPr>
          <w:color w:val="000000" w:themeColor="text1"/>
        </w:rPr>
        <w:t>Okeil</w:t>
      </w:r>
      <w:proofErr w:type="spellEnd"/>
      <w:r w:rsidRPr="00091F8C">
        <w:rPr>
          <w:color w:val="000000" w:themeColor="text1"/>
        </w:rPr>
        <w:t>, M. Smart, sustainable and healthy city, proceedings of the First International Conference of the CIB Middle East and North Africa Research Network (CIBMENA 2014), December 14 -16; 2014; 261 – 280.</w:t>
      </w:r>
    </w:p>
    <w:p w14:paraId="3A8BA069" w14:textId="77777777" w:rsidR="00A912F3" w:rsidRPr="00091F8C" w:rsidRDefault="00A912F3">
      <w:pPr>
        <w:pStyle w:val="NormalWeb"/>
        <w:ind w:left="480" w:hanging="480"/>
        <w:divId w:val="1568104382"/>
        <w:rPr>
          <w:noProof/>
          <w:color w:val="000000" w:themeColor="text1"/>
        </w:rPr>
      </w:pPr>
      <w:r w:rsidRPr="00091F8C">
        <w:rPr>
          <w:noProof/>
          <w:color w:val="000000" w:themeColor="text1"/>
        </w:rPr>
        <w:t>Ajayi, S. O., Oyedele, L. O., Ceranic, B., Gallanagh, M., &amp; Kadiri, K. O.  Life cycle environmental performance of material specification: a BIM-enhanced comparative assessment. International Journal of Sustainable Building Technology and Urban Development; 2015; 6(1): 14-24.</w:t>
      </w:r>
    </w:p>
    <w:p w14:paraId="1995BAC8"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Akbarnezhad a., Ong KCG, Chandra LR. Economic and environmental assessment of deconstruction strategies using building information modeling. Autom Constr [Internet]. Elsevier B.V.; 2014 Jan [cited 2014 Dec 18];37:131–44. Available from: http://linkinghub.elsevier.com/retrieve/pii/S0926580513001854</w:t>
      </w:r>
    </w:p>
    <w:p w14:paraId="202B4DF2"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Andi, Minato T. Design documents quality in the Japanese construction industry: factors influencing and impacts on construction process. Int J Proj Manag [Internet]. 2003 Oct [cited 2015 Jun 21];21(7):537–46. Available from: http://www.sciencedirect.com/science/article/pii/S0263786302000832</w:t>
      </w:r>
    </w:p>
    <w:p w14:paraId="3859F4BD"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Arayici Y, Coates P, Koskela L, Kagioglou M, Usher C, O’Reilly K. BIM adoption and implementation for architectural practices. Struct Surv. Emerald Group Publishing Limited; 2011;29(1):7–25. </w:t>
      </w:r>
    </w:p>
    <w:p w14:paraId="6E0EB67F"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Aye L, Ngo T, Crawford RH, Gammampila R, Mendis P. Life cycle greenhouse gas emissions and energy analysis of prefabricated reusable building modules. Energy Build [Internet]. Elsevier B.V.; 2012 Apr [cited 2015 Jan 11];47:159–68. Available from: </w:t>
      </w:r>
      <w:hyperlink r:id="rId14" w:history="1">
        <w:r w:rsidR="007E0F76" w:rsidRPr="00091F8C">
          <w:rPr>
            <w:rStyle w:val="Hyperlink"/>
            <w:noProof/>
            <w:color w:val="000000" w:themeColor="text1"/>
          </w:rPr>
          <w:t>http://linkinghub.elsevier.com/retrieve/pii/S0378778811005950</w:t>
        </w:r>
      </w:hyperlink>
    </w:p>
    <w:p w14:paraId="457C1D0C" w14:textId="77777777" w:rsidR="007E0F76" w:rsidRPr="00091F8C" w:rsidRDefault="007E0F76" w:rsidP="00BF3FCF">
      <w:pPr>
        <w:spacing w:line="240" w:lineRule="auto"/>
        <w:ind w:left="318" w:hanging="318"/>
        <w:divId w:val="1568104382"/>
        <w:rPr>
          <w:color w:val="000000" w:themeColor="text1"/>
        </w:rPr>
      </w:pPr>
      <w:r w:rsidRPr="00091F8C">
        <w:rPr>
          <w:color w:val="000000" w:themeColor="text1"/>
        </w:rPr>
        <w:t xml:space="preserve">Baldwin, a. N. et al., 2008. Modelling design information to evaluate pre-fabricated and pre-cast design solutions for reducing construction waste in high rise residential buildings. </w:t>
      </w:r>
      <w:r w:rsidRPr="00091F8C">
        <w:rPr>
          <w:i/>
          <w:color w:val="000000" w:themeColor="text1"/>
        </w:rPr>
        <w:t>Automation in Construction</w:t>
      </w:r>
      <w:r w:rsidRPr="00091F8C">
        <w:rPr>
          <w:color w:val="000000" w:themeColor="text1"/>
        </w:rPr>
        <w:t>, 17(3), pp.333–341.</w:t>
      </w:r>
    </w:p>
    <w:p w14:paraId="4573396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Billatos S, Basaly N. Green Technology and Design for the Environment. Washington DC: Taylor and Francis; 1997. </w:t>
      </w:r>
    </w:p>
    <w:p w14:paraId="706D779C" w14:textId="77777777" w:rsidR="00DB7536" w:rsidRPr="00091F8C" w:rsidRDefault="00DB7536">
      <w:pPr>
        <w:pStyle w:val="NormalWeb"/>
        <w:ind w:left="480" w:hanging="480"/>
        <w:divId w:val="1568104382"/>
        <w:rPr>
          <w:noProof/>
          <w:color w:val="000000" w:themeColor="text1"/>
        </w:rPr>
      </w:pPr>
      <w:bookmarkStart w:id="11" w:name="OLE_LINK8"/>
      <w:bookmarkStart w:id="12" w:name="OLE_LINK9"/>
      <w:bookmarkStart w:id="13" w:name="OLE_LINK10"/>
      <w:r w:rsidRPr="00091F8C">
        <w:rPr>
          <w:noProof/>
          <w:color w:val="000000" w:themeColor="text1"/>
        </w:rPr>
        <w:t xml:space="preserve">Brand S. How Buildings Learn: What Happens After They are Built. New York: Viking; 1994. </w:t>
      </w:r>
    </w:p>
    <w:p w14:paraId="3292840C" w14:textId="77777777" w:rsidR="00BF3FCF" w:rsidRPr="00091F8C" w:rsidRDefault="00BF3FCF">
      <w:pPr>
        <w:pStyle w:val="NormalWeb"/>
        <w:ind w:left="480" w:hanging="480"/>
        <w:divId w:val="1568104382"/>
        <w:rPr>
          <w:noProof/>
          <w:color w:val="000000" w:themeColor="text1"/>
        </w:rPr>
      </w:pPr>
      <w:r w:rsidRPr="00091F8C">
        <w:rPr>
          <w:noProof/>
          <w:color w:val="000000" w:themeColor="text1"/>
        </w:rPr>
        <w:t>Budge, G. (2013). 100-mile home: deconstruction and material reuse as source and sink of single-family home building materials. Research in Environmental Geography. Project Conclusion Reports. University of British Columbia.. Available from: https://circle.ubc.ca/handle/2429/44458</w:t>
      </w:r>
    </w:p>
    <w:bookmarkEnd w:id="11"/>
    <w:bookmarkEnd w:id="12"/>
    <w:bookmarkEnd w:id="13"/>
    <w:p w14:paraId="39E09B40"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lastRenderedPageBreak/>
        <w:t xml:space="preserve">Charlson A. Recycling and reuse of waste in the construction industry. Struct Eng. 2008;86(4):32–7. </w:t>
      </w:r>
    </w:p>
    <w:p w14:paraId="78B0A66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Chen Z, Li H, Kong SCW, Hong J, Xu Q. E-commerce system simulation for construction and demolition waste exchange. Autom Constr. 2006 Nov;15(6):706–18. </w:t>
      </w:r>
    </w:p>
    <w:p w14:paraId="2BEC106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Cheng JCP, Ma LYH. A BIM-based System for Demolition and Renovation Waste Quantification and Planning. 14th Int Conf Comput Civ Eng. 2011. </w:t>
      </w:r>
    </w:p>
    <w:p w14:paraId="1A3D798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Chini AR, Acquaye L. Grading and mechanical properties of salvaged lumber. Proc CIB Task Gr 39-Deconstruction Meet. 2001. p. 138–62. </w:t>
      </w:r>
    </w:p>
    <w:p w14:paraId="436B5E5F"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Chini AR, Balachandran S. Anticipating and responding to deconstruction through building design. Des Deconstruction Mater Reuse, CIB Publ. 2002;272. </w:t>
      </w:r>
    </w:p>
    <w:p w14:paraId="09103CCE"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Chini AR, Bruening S. Deconstruction and materials reuse in the United States. Futur Sustain Constr. 2003;(3). </w:t>
      </w:r>
    </w:p>
    <w:p w14:paraId="4EF95997"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CIDB. Buildable design appraisal system (BDAS), 3rd ed. Industry Development Board (CIDB), Singapore. Construction; 1995a. </w:t>
      </w:r>
    </w:p>
    <w:p w14:paraId="4EEEDCE2"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CIDB. CONQUAS scores as quality benchmark. Constr. Focus. Constr. Ind. Dev. Board Singapore. Singapore: Construction Industry Development Board Singapore; 1995b. </w:t>
      </w:r>
    </w:p>
    <w:p w14:paraId="3C9C9A9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Cochran K, Townsend T, Reinhart D, Heck H. Estimation of regional building-related C&amp;D debris generation and composition: case study for Florida, US. Waste Manag. 2007 Jan;27(7):921–31. </w:t>
      </w:r>
    </w:p>
    <w:p w14:paraId="5EE2D66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Couto J, Couto A. Analysis of barriers and the potential for exploration of deconstruction techniques in Portuguese construction sites. Sustainability. 2010. p. 428–42. </w:t>
      </w:r>
    </w:p>
    <w:p w14:paraId="3F477DC4"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Creswell JW. Research design: Qualitative, quantitative, and mixed methods approaches. Sage Publications; 2014. </w:t>
      </w:r>
    </w:p>
    <w:p w14:paraId="34B08DF6"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Crotty M. The Foundations of Social Research. SAGE publications: Australia; 1998. </w:t>
      </w:r>
    </w:p>
    <w:p w14:paraId="7442F45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Crowther P. Design for disassembly - themes and principles. RAIA/BDP Environ Des Guid. 2005;(August):Australia. </w:t>
      </w:r>
    </w:p>
    <w:p w14:paraId="47A40BD0"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Davison B, Tingley DD. Design for deconstruction and material reuse. Proc ICE - Energy. 2011;164:195–204. </w:t>
      </w:r>
    </w:p>
    <w:p w14:paraId="7B66078C"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DEFRA. Total UK Waste Generation by Sector 2004 to 2008. Available from https//www.gov.uk/government/uploads/system/uploads/ Attach data/file/141980/wrfg01 gensec.xls [Internet]. 2011 [cited 2014 Jun 16]; </w:t>
      </w:r>
    </w:p>
    <w:p w14:paraId="143C6FA9"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lastRenderedPageBreak/>
        <w:t xml:space="preserve">DEFRA. Construction, Demolition and Excavation waste generation estimate: England, 2008 to 2010. Available from https//www.gov.uk/government/uploads/system/uploads/attachment data/ file/142006/CDE-generation-estimates.xls [Internet]. 2012 [cited 2014 Jun 16]; </w:t>
      </w:r>
    </w:p>
    <w:p w14:paraId="6D946C26"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Densley Tingley D, Davison B. Developing an LCA methodology to account for the environmental benefits of design for deconstruction. Build Environ. Elsevier Ltd; 2012 Nov;57:387–95. </w:t>
      </w:r>
    </w:p>
    <w:p w14:paraId="7205F220"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Dorsthorst B, Kowalczyk T. Design for recycling. Design for deconstruction and materials reuse. Proc Int Counc Res Innov Build Constr Task Gr 39 – Deconstruction Meet. Karlsruhe; 2002. p. 70–80. </w:t>
      </w:r>
    </w:p>
    <w:p w14:paraId="6926AD6F"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Eadie R, Browne M, Odeyinka H, McKeown C, McNiff S. BIM implementation throughout the UK construction project lifecycle: An analysis. Autom Constr. 2013;36:145–51. </w:t>
      </w:r>
    </w:p>
    <w:p w14:paraId="0BD86640"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Eastman C, Teicholz P, Sacks R, Liston K. BIM handbook: A guide to building information modeling for owners, managers, designers, engineers and contractors. John Wiley &amp; Sons; 2011. </w:t>
      </w:r>
    </w:p>
    <w:p w14:paraId="07D76072"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Ekanayake LL, Ofori G. Building waste assessment score: design-based tool. Build Environ. Elsevier; 2004;39(7):851–61. </w:t>
      </w:r>
    </w:p>
    <w:p w14:paraId="6C9BBBEB" w14:textId="77777777" w:rsidR="00DD773F" w:rsidRPr="00091F8C" w:rsidRDefault="00CF18E3">
      <w:pPr>
        <w:pStyle w:val="NormalWeb"/>
        <w:ind w:left="480" w:hanging="480"/>
        <w:divId w:val="1568104382"/>
        <w:rPr>
          <w:noProof/>
          <w:color w:val="000000" w:themeColor="text1"/>
        </w:rPr>
      </w:pPr>
      <w:r w:rsidRPr="00091F8C">
        <w:rPr>
          <w:noProof/>
          <w:color w:val="000000" w:themeColor="text1"/>
        </w:rPr>
        <w:t>Falk, B</w:t>
      </w:r>
      <w:r w:rsidR="00DD773F" w:rsidRPr="00091F8C">
        <w:rPr>
          <w:noProof/>
          <w:color w:val="000000" w:themeColor="text1"/>
        </w:rPr>
        <w:t xml:space="preserve">. Wood-Framed Building Deconstruction: A source of Lumber for Construction? </w:t>
      </w:r>
      <w:r w:rsidR="00DD773F" w:rsidRPr="00091F8C">
        <w:rPr>
          <w:i/>
          <w:noProof/>
          <w:color w:val="000000" w:themeColor="text1"/>
        </w:rPr>
        <w:t>Forest Products Journal</w:t>
      </w:r>
      <w:r w:rsidRPr="00091F8C">
        <w:rPr>
          <w:noProof/>
          <w:color w:val="000000" w:themeColor="text1"/>
        </w:rPr>
        <w:t>, 2002;52(3): 8-15</w:t>
      </w:r>
      <w:r w:rsidR="00DD773F" w:rsidRPr="00091F8C">
        <w:rPr>
          <w:noProof/>
          <w:color w:val="000000" w:themeColor="text1"/>
        </w:rPr>
        <w:t>.</w:t>
      </w:r>
    </w:p>
    <w:p w14:paraId="2D8523A7"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Frost G, Harding AH, Darnton A, McElvenny D, Morgan D. Occupational exposure to asbestos and mortality among asbestos removal workers: a Poisson regression analysis. Br J Cancer. Nature Publishing Group; 2008;99(5):822–9. </w:t>
      </w:r>
    </w:p>
    <w:p w14:paraId="67B58C1E"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Gorgolewski M. The implications of reuse and recycling for the design of steel buildings. Can J Civ Eng. NRC Research Press; 2006;33(4):489–96. </w:t>
      </w:r>
    </w:p>
    <w:p w14:paraId="3ACD3B8E"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Gray DE. Doing Research in the Real World. World. London: Sage Publications Ltd; 2009. </w:t>
      </w:r>
    </w:p>
    <w:p w14:paraId="6E729C90"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Grilo A, Jardim-Goncalves R. Value proposition on interoperability of BIM and collaborative working environments. Autom Constr [Internet]. 2010 Aug [cited 2014 Oct 13];19(5):522–30. Available from: http://www.sciencedirect.com/science/article/pii/S0926580509001733</w:t>
      </w:r>
    </w:p>
    <w:p w14:paraId="3DED2252"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Guba E, Lincoln Y. Competing paradigms in qualitative research. Handb Qual Res. Thousand Oaks, CA: Sage; 1994;105–17. </w:t>
      </w:r>
    </w:p>
    <w:p w14:paraId="4D4A6DBE"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Guy B, Ciarimboli N. DfD: Design for Disassembly in the Built Environment: a Guide to Closed-loop Design and Building. Hamer Center; 2008. </w:t>
      </w:r>
    </w:p>
    <w:p w14:paraId="3B60F694"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lastRenderedPageBreak/>
        <w:t xml:space="preserve">Guy B, Shell S, Esherick H. Design for Deconstruction and Materials Reuse. Proc CIB Task Gr 39. 2006. p. 189–209. </w:t>
      </w:r>
    </w:p>
    <w:p w14:paraId="11E05C77"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Habraken NJ, Teicher J. The structure of the ordinary: form and control in the built environment. Cambridge: MIT press; 2000. </w:t>
      </w:r>
    </w:p>
    <w:p w14:paraId="67480CC2"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Hobbs G, Hurley J. Deconstruction and the reuse of construction materials. Deconstruction Mater Reuse Technol Econ Policy. Citeseer; 2001;98. </w:t>
      </w:r>
    </w:p>
    <w:p w14:paraId="521E4BE9"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Hsieh TY. The economic implications of subcontracting practice on building prefabrication. Autom Constr. 1997;6:163–74. </w:t>
      </w:r>
    </w:p>
    <w:p w14:paraId="6F5316E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Jaillon L, Poon CS. Life cycle design and prefabrication in buildings: A review and case studies in Hong Kong. Autom Constr [Internet]. Elsevier B.V.; 2014 Apr [cited 2014 Dec 23];39:195–202. Available from: http://linkinghub.elsevier.com/retrieve/pii/S0926580513001556</w:t>
      </w:r>
    </w:p>
    <w:p w14:paraId="61A1FC39"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Jaillon L, Poon CS, Chiang YH. Quantifying the waste reduction potential of using prefabrication in building construction in Hong Kong. Waste Manag. Elsevier Ltd; 2009 Jan;29(1):309–20. </w:t>
      </w:r>
    </w:p>
    <w:p w14:paraId="1E55F6FE" w14:textId="77777777" w:rsidR="00AE0CB3" w:rsidRPr="00091F8C" w:rsidRDefault="00AE0CB3">
      <w:pPr>
        <w:pStyle w:val="NormalWeb"/>
        <w:ind w:left="480" w:hanging="480"/>
        <w:divId w:val="1568104382"/>
        <w:rPr>
          <w:noProof/>
          <w:color w:val="000000" w:themeColor="text1"/>
        </w:rPr>
      </w:pPr>
      <w:r w:rsidRPr="00091F8C">
        <w:rPr>
          <w:noProof/>
          <w:color w:val="000000" w:themeColor="text1"/>
        </w:rPr>
        <w:t>Kibert, CJ., Chini AR. and Languell J. Deconstruction as an essential component of sustainable construction. CIB World Congress, Wellington, New Zealand. 2001.</w:t>
      </w:r>
      <w:r w:rsidR="001A75B8" w:rsidRPr="00091F8C">
        <w:rPr>
          <w:noProof/>
          <w:color w:val="000000" w:themeColor="text1"/>
        </w:rPr>
        <w:t xml:space="preserve"> Available from: http://www.irbnet.de/daten/iconda/CIB3122.pdf </w:t>
      </w:r>
    </w:p>
    <w:p w14:paraId="62F13168"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Kibert CJ. Deconstruction: the start of a sustainable materials strategy for the built environment. Ind Environ. 2003;26(2-3):84–8. </w:t>
      </w:r>
    </w:p>
    <w:p w14:paraId="5A015964"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Kibert CJ. Sustainable Construction: Green Building Design and Delivery: Green Building Design and Delivery. John Wiley &amp; Sons; 2008. </w:t>
      </w:r>
    </w:p>
    <w:p w14:paraId="00CF3FC7"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Lassandro P. Deconstruction case study in Southern Italy: economic and environmental assessment. CIB Publ. 2003. </w:t>
      </w:r>
    </w:p>
    <w:p w14:paraId="29CE5EBB"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Latham M. Constructing the team: joint review of procurement and contractual arrangements in the United Kingdom construction industry: final report. Available from http//www.cewales.org.uk/cew/wp-content/uploads/Constructing-the-team-The-Latham-Report.pdf [Internet]. HM Stationery Office; 1994; Available from: </w:t>
      </w:r>
      <w:hyperlink r:id="rId15" w:history="1">
        <w:r w:rsidR="007E0F76" w:rsidRPr="00091F8C">
          <w:rPr>
            <w:rStyle w:val="Hyperlink"/>
            <w:noProof/>
            <w:color w:val="000000" w:themeColor="text1"/>
          </w:rPr>
          <w:t>http://www.cewales.org.uk/cew/wp-content/uploads/Constructing-the-team-The-Latham-Report.pdf</w:t>
        </w:r>
      </w:hyperlink>
    </w:p>
    <w:p w14:paraId="6D14F091" w14:textId="77777777" w:rsidR="007E0F76" w:rsidRPr="00091F8C" w:rsidRDefault="007E0F76" w:rsidP="007E0F76">
      <w:pPr>
        <w:spacing w:line="240" w:lineRule="auto"/>
        <w:ind w:left="318" w:hanging="318"/>
        <w:divId w:val="1568104382"/>
        <w:rPr>
          <w:color w:val="000000" w:themeColor="text1"/>
        </w:rPr>
      </w:pPr>
      <w:r w:rsidRPr="00091F8C">
        <w:rPr>
          <w:color w:val="000000" w:themeColor="text1"/>
        </w:rPr>
        <w:t xml:space="preserve">Lu, W. &amp; Yuan, H., 2013. Investigating waste reduction potential in the upstream processes of offshore prefabrication construction. </w:t>
      </w:r>
      <w:r w:rsidRPr="00091F8C">
        <w:rPr>
          <w:i/>
          <w:color w:val="000000" w:themeColor="text1"/>
        </w:rPr>
        <w:t>Renewable and Sustainable Energy Reviews</w:t>
      </w:r>
      <w:r w:rsidRPr="00091F8C">
        <w:rPr>
          <w:color w:val="000000" w:themeColor="text1"/>
        </w:rPr>
        <w:t xml:space="preserve">, 28, pp.804–811. </w:t>
      </w:r>
    </w:p>
    <w:p w14:paraId="575DDEB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lastRenderedPageBreak/>
        <w:t xml:space="preserve">McDonough W, Braungart M. Remaking the way we make things: Cradle to cradle. New York: North Point Press; 2002. </w:t>
      </w:r>
    </w:p>
    <w:p w14:paraId="4735708A"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Nakajima S, Arikawa S, Koga J, Futaki M. The state of deconstruction in Japan. Deconstruction Mater Reuse–an Int Overv Gainesv CIB Univ Florida. 2005;300:99–162. </w:t>
      </w:r>
    </w:p>
    <w:p w14:paraId="682B2D1B" w14:textId="77777777" w:rsidR="00C52CD9" w:rsidRPr="00091F8C" w:rsidRDefault="00C52CD9">
      <w:pPr>
        <w:pStyle w:val="NormalWeb"/>
        <w:ind w:left="480" w:hanging="480"/>
        <w:divId w:val="1568104382"/>
        <w:rPr>
          <w:noProof/>
          <w:color w:val="000000" w:themeColor="text1"/>
        </w:rPr>
      </w:pPr>
      <w:r w:rsidRPr="00091F8C">
        <w:rPr>
          <w:noProof/>
          <w:color w:val="000000" w:themeColor="text1"/>
        </w:rPr>
        <w:t>Oyedele, Lukumon O., Saheed O. Ajayi, and Kabir O. Kadiri. Use of recycled products in UK construction industry: An empirical investigation into critical impediments and strategies for improvement. Resources, Conservation and Recycling; 2014;  93: 23-31.</w:t>
      </w:r>
    </w:p>
    <w:p w14:paraId="5B6E4FE1"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Phillips PS, Tudor T, Bird H, Bates M. A critical review of a key waste strategy initiative in England: Zero waste places projects 2008–2009. </w:t>
      </w:r>
      <w:r w:rsidR="00C52CD9" w:rsidRPr="00091F8C">
        <w:rPr>
          <w:noProof/>
          <w:color w:val="000000" w:themeColor="text1"/>
        </w:rPr>
        <w:t>Resources, Conservation and Recycling</w:t>
      </w:r>
      <w:r w:rsidRPr="00091F8C">
        <w:rPr>
          <w:noProof/>
          <w:color w:val="000000" w:themeColor="text1"/>
        </w:rPr>
        <w:t xml:space="preserve">; 2011;55(3):335–43. </w:t>
      </w:r>
    </w:p>
    <w:p w14:paraId="31FB5A3C"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Rosmani C, Hassan C. Waste quantification models for estimation of construction and demolition waste generation : a review Ahmad Firman Masudi * and Noor Zalina Mahmood and Siti Nazziera Mokhtar Nik Meriam Sulaiman. 2012;12:269–81. </w:t>
      </w:r>
    </w:p>
    <w:p w14:paraId="12C16E11" w14:textId="77777777" w:rsidR="007E0F76" w:rsidRPr="00091F8C" w:rsidRDefault="007E0F76" w:rsidP="007E0F76">
      <w:pPr>
        <w:spacing w:line="240" w:lineRule="auto"/>
        <w:ind w:left="318" w:hanging="318"/>
        <w:divId w:val="1568104382"/>
        <w:rPr>
          <w:color w:val="000000" w:themeColor="text1"/>
        </w:rPr>
      </w:pPr>
      <w:r w:rsidRPr="00091F8C">
        <w:rPr>
          <w:color w:val="000000" w:themeColor="text1"/>
        </w:rPr>
        <w:t xml:space="preserve">Tam, C.M. et al., 2005. Use of prefabrication to minimize construction waste-a case study approach. </w:t>
      </w:r>
      <w:r w:rsidRPr="00091F8C">
        <w:rPr>
          <w:i/>
          <w:color w:val="000000" w:themeColor="text1"/>
        </w:rPr>
        <w:t>International Journal of Construction Management</w:t>
      </w:r>
      <w:r w:rsidRPr="00091F8C">
        <w:rPr>
          <w:color w:val="000000" w:themeColor="text1"/>
        </w:rPr>
        <w:t>, 5(1), pp.91–101.</w:t>
      </w:r>
    </w:p>
    <w:p w14:paraId="21A8337B"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Thormark C. Assessing the recycling potential in buildings. CIB Task Gr 39 Deconstruction Mater Reuse Technol Econ Policy. University of Florida; 2001. p. 78–86. </w:t>
      </w:r>
    </w:p>
    <w:p w14:paraId="4CCBBD17"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Tingley DD. Design for Deconstruction: An Appraisal. The University of Sheffield; 2012. </w:t>
      </w:r>
    </w:p>
    <w:p w14:paraId="3F21F92B"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Warszawski A. Industrialized and automated building systems: A managerial approach. 2nd ed. New York: Routledge; 1999. </w:t>
      </w:r>
    </w:p>
    <w:p w14:paraId="1560A9FC"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Webster MD, Costello D. Designing structural systems for deconstruction: How to extend a new building’s useful life and prevent it from going to waste when the end finally comes. Greenbuild Conf Atlanta, GA. 2005. </w:t>
      </w:r>
    </w:p>
    <w:p w14:paraId="3865E756"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WRAP. Overview of Demolition Waste in the UK [Internet]. 2009 [cited 2015 May 7]. Available from: http://www.wrap.org.uk/sites/files/wrap/CRWP-Demolition-Report-2009.pdf</w:t>
      </w:r>
    </w:p>
    <w:p w14:paraId="3868B053"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WRAP. Designing-out Waste Tool for Buildings. Available from http//dowtb.wrap.org.uk/ [Internet]. 2011a [cited 2014 Apr 14]; Available from: http://dowtb.wrap.org.uk/</w:t>
      </w:r>
    </w:p>
    <w:p w14:paraId="23413114"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WRAP. Net Waste Tool. Available from http//nwtool.wrap.org.uk/ [Internet]. 2011b [cited 2014 Apr 14]; Available from: http://nwtool.wrap.org.uk/</w:t>
      </w:r>
    </w:p>
    <w:p w14:paraId="17048656" w14:textId="77777777" w:rsidR="00DB7536" w:rsidRPr="00091F8C" w:rsidRDefault="00DB7536">
      <w:pPr>
        <w:pStyle w:val="NormalWeb"/>
        <w:ind w:left="480" w:hanging="480"/>
        <w:divId w:val="1568104382"/>
        <w:rPr>
          <w:noProof/>
          <w:color w:val="000000" w:themeColor="text1"/>
        </w:rPr>
      </w:pPr>
      <w:r w:rsidRPr="00091F8C">
        <w:rPr>
          <w:noProof/>
          <w:color w:val="000000" w:themeColor="text1"/>
        </w:rPr>
        <w:t xml:space="preserve">Wu Z, Yu ATW, Shen L, Liu G. Quantifying construction and demolition waste: an analytical review. Waste Manag. Elsevier Ltd; 2014 Sep;34(9):1683–92. </w:t>
      </w:r>
    </w:p>
    <w:p w14:paraId="23A26251" w14:textId="77777777" w:rsidR="00DB7536" w:rsidRPr="00091F8C" w:rsidRDefault="00DB7536" w:rsidP="002A496E">
      <w:pPr>
        <w:pStyle w:val="NormalWeb"/>
        <w:ind w:left="480" w:hanging="480"/>
        <w:divId w:val="1568104382"/>
        <w:rPr>
          <w:noProof/>
          <w:color w:val="000000" w:themeColor="text1"/>
        </w:rPr>
      </w:pPr>
      <w:r w:rsidRPr="00091F8C">
        <w:rPr>
          <w:noProof/>
          <w:color w:val="000000" w:themeColor="text1"/>
        </w:rPr>
        <w:lastRenderedPageBreak/>
        <w:t>Yuan HP, Shen LY, Hao JJL, Lu WS. A model for cost–benefit analysis of construction and demolition waste management throughout the waste chain. Resour Conserv</w:t>
      </w:r>
      <w:r w:rsidR="002A496E" w:rsidRPr="00091F8C">
        <w:rPr>
          <w:noProof/>
          <w:color w:val="000000" w:themeColor="text1"/>
        </w:rPr>
        <w:t xml:space="preserve"> Recycl. 2011 Apr;55(6):604–12.</w:t>
      </w:r>
    </w:p>
    <w:sectPr w:rsidR="00DB7536" w:rsidRPr="00091F8C" w:rsidSect="00DB7536">
      <w:footerReference w:type="default" r:id="rId16"/>
      <w:pgSz w:w="11906" w:h="16838"/>
      <w:pgMar w:top="156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ADD0E" w14:textId="77777777" w:rsidR="009D3111" w:rsidRDefault="009D3111" w:rsidP="00361672">
      <w:r>
        <w:separator/>
      </w:r>
    </w:p>
  </w:endnote>
  <w:endnote w:type="continuationSeparator" w:id="0">
    <w:p w14:paraId="4E3AEE74" w14:textId="77777777" w:rsidR="009D3111" w:rsidRDefault="009D3111" w:rsidP="0036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MU Serif">
    <w:altName w:val="Cambria Math"/>
    <w:charset w:val="00"/>
    <w:family w:val="auto"/>
    <w:pitch w:val="variable"/>
    <w:sig w:usb0="00000001" w:usb1="5201E1EB" w:usb2="00020004" w:usb3="00000000" w:csb0="0000011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87317"/>
      <w:docPartObj>
        <w:docPartGallery w:val="Page Numbers (Bottom of Page)"/>
        <w:docPartUnique/>
      </w:docPartObj>
    </w:sdtPr>
    <w:sdtEndPr>
      <w:rPr>
        <w:noProof/>
      </w:rPr>
    </w:sdtEndPr>
    <w:sdtContent>
      <w:p w14:paraId="50F5933E" w14:textId="77777777" w:rsidR="00EA3D3D" w:rsidRDefault="00EA3D3D">
        <w:pPr>
          <w:pStyle w:val="Footer"/>
          <w:jc w:val="right"/>
        </w:pPr>
        <w:r>
          <w:fldChar w:fldCharType="begin"/>
        </w:r>
        <w:r>
          <w:instrText xml:space="preserve"> PAGE   \* MERGEFORMAT </w:instrText>
        </w:r>
        <w:r>
          <w:fldChar w:fldCharType="separate"/>
        </w:r>
        <w:r w:rsidR="00091F8C">
          <w:rPr>
            <w:noProof/>
          </w:rPr>
          <w:t>1</w:t>
        </w:r>
        <w:r>
          <w:rPr>
            <w:noProof/>
          </w:rPr>
          <w:fldChar w:fldCharType="end"/>
        </w:r>
      </w:p>
    </w:sdtContent>
  </w:sdt>
  <w:p w14:paraId="781E8451" w14:textId="77777777" w:rsidR="00EA3D3D" w:rsidRDefault="00EA3D3D" w:rsidP="003616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1130" w14:textId="77777777" w:rsidR="009D3111" w:rsidRDefault="009D3111" w:rsidP="00361672">
      <w:r>
        <w:separator/>
      </w:r>
    </w:p>
  </w:footnote>
  <w:footnote w:type="continuationSeparator" w:id="0">
    <w:p w14:paraId="3ACE14DA" w14:textId="77777777" w:rsidR="009D3111" w:rsidRDefault="009D3111" w:rsidP="003616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A53"/>
    <w:multiLevelType w:val="hybridMultilevel"/>
    <w:tmpl w:val="DDC8DE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72756"/>
    <w:multiLevelType w:val="hybridMultilevel"/>
    <w:tmpl w:val="6EB8E7FC"/>
    <w:lvl w:ilvl="0" w:tplc="5BBEE2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5560E"/>
    <w:multiLevelType w:val="hybridMultilevel"/>
    <w:tmpl w:val="797E5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1257B"/>
    <w:multiLevelType w:val="hybridMultilevel"/>
    <w:tmpl w:val="489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12720"/>
    <w:multiLevelType w:val="hybridMultilevel"/>
    <w:tmpl w:val="3FC2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21764"/>
    <w:multiLevelType w:val="hybridMultilevel"/>
    <w:tmpl w:val="24B82E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850721"/>
    <w:multiLevelType w:val="hybridMultilevel"/>
    <w:tmpl w:val="9F74C868"/>
    <w:lvl w:ilvl="0" w:tplc="816A3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FB01F9"/>
    <w:multiLevelType w:val="hybridMultilevel"/>
    <w:tmpl w:val="A390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434E8"/>
    <w:multiLevelType w:val="hybridMultilevel"/>
    <w:tmpl w:val="0A32923A"/>
    <w:lvl w:ilvl="0" w:tplc="CEA060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ECD0516"/>
    <w:multiLevelType w:val="hybridMultilevel"/>
    <w:tmpl w:val="99EEB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C22910"/>
    <w:multiLevelType w:val="hybridMultilevel"/>
    <w:tmpl w:val="0D6E8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3E7596"/>
    <w:multiLevelType w:val="hybridMultilevel"/>
    <w:tmpl w:val="AAB2DF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971E33"/>
    <w:multiLevelType w:val="hybridMultilevel"/>
    <w:tmpl w:val="8B8E413E"/>
    <w:lvl w:ilvl="0" w:tplc="08090017">
      <w:start w:val="1"/>
      <w:numFmt w:val="lowerLetter"/>
      <w:lvlText w:val="%1)"/>
      <w:lvlJc w:val="left"/>
      <w:pPr>
        <w:ind w:left="720" w:hanging="360"/>
      </w:pPr>
      <w:rPr>
        <w:b/>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5C595F"/>
    <w:multiLevelType w:val="hybridMultilevel"/>
    <w:tmpl w:val="D43C8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C94CB5"/>
    <w:multiLevelType w:val="hybridMultilevel"/>
    <w:tmpl w:val="E160E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3110E5"/>
    <w:multiLevelType w:val="hybridMultilevel"/>
    <w:tmpl w:val="EBA82734"/>
    <w:lvl w:ilvl="0" w:tplc="5406F776">
      <w:start w:val="1"/>
      <w:numFmt w:val="decimal"/>
      <w:lvlText w:val="%1)"/>
      <w:lvlJc w:val="left"/>
      <w:pPr>
        <w:ind w:left="720" w:hanging="360"/>
      </w:pPr>
      <w:rPr>
        <w:b/>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976F40"/>
    <w:multiLevelType w:val="hybridMultilevel"/>
    <w:tmpl w:val="70DA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7118C"/>
    <w:multiLevelType w:val="hybridMultilevel"/>
    <w:tmpl w:val="AEE64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05349"/>
    <w:multiLevelType w:val="hybridMultilevel"/>
    <w:tmpl w:val="CAF84A40"/>
    <w:lvl w:ilvl="0" w:tplc="6E9A6C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FF423F"/>
    <w:multiLevelType w:val="hybridMultilevel"/>
    <w:tmpl w:val="474EF3B2"/>
    <w:lvl w:ilvl="0" w:tplc="0809000F">
      <w:start w:val="1"/>
      <w:numFmt w:val="decimal"/>
      <w:lvlText w:val="%1."/>
      <w:lvlJc w:val="left"/>
      <w:pPr>
        <w:ind w:left="75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825C4D"/>
    <w:multiLevelType w:val="hybridMultilevel"/>
    <w:tmpl w:val="6F74390A"/>
    <w:lvl w:ilvl="0" w:tplc="6E9A6C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623C48"/>
    <w:multiLevelType w:val="hybridMultilevel"/>
    <w:tmpl w:val="985C8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867358"/>
    <w:multiLevelType w:val="hybridMultilevel"/>
    <w:tmpl w:val="AB3C9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04747A"/>
    <w:multiLevelType w:val="multilevel"/>
    <w:tmpl w:val="4DE003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7E679C6"/>
    <w:multiLevelType w:val="hybridMultilevel"/>
    <w:tmpl w:val="FD380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BE5344"/>
    <w:multiLevelType w:val="hybridMultilevel"/>
    <w:tmpl w:val="3A9E27C4"/>
    <w:lvl w:ilvl="0" w:tplc="CEA060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23"/>
  </w:num>
  <w:num w:numId="4">
    <w:abstractNumId w:val="17"/>
  </w:num>
  <w:num w:numId="5">
    <w:abstractNumId w:val="4"/>
  </w:num>
  <w:num w:numId="6">
    <w:abstractNumId w:val="8"/>
  </w:num>
  <w:num w:numId="7">
    <w:abstractNumId w:val="10"/>
  </w:num>
  <w:num w:numId="8">
    <w:abstractNumId w:val="21"/>
  </w:num>
  <w:num w:numId="9">
    <w:abstractNumId w:val="15"/>
  </w:num>
  <w:num w:numId="10">
    <w:abstractNumId w:val="12"/>
  </w:num>
  <w:num w:numId="11">
    <w:abstractNumId w:val="25"/>
  </w:num>
  <w:num w:numId="12">
    <w:abstractNumId w:val="7"/>
  </w:num>
  <w:num w:numId="13">
    <w:abstractNumId w:val="2"/>
  </w:num>
  <w:num w:numId="14">
    <w:abstractNumId w:val="5"/>
  </w:num>
  <w:num w:numId="15">
    <w:abstractNumId w:val="9"/>
  </w:num>
  <w:num w:numId="16">
    <w:abstractNumId w:val="1"/>
  </w:num>
  <w:num w:numId="17">
    <w:abstractNumId w:val="19"/>
  </w:num>
  <w:num w:numId="18">
    <w:abstractNumId w:val="16"/>
  </w:num>
  <w:num w:numId="19">
    <w:abstractNumId w:val="3"/>
  </w:num>
  <w:num w:numId="20">
    <w:abstractNumId w:val="0"/>
  </w:num>
  <w:num w:numId="21">
    <w:abstractNumId w:val="11"/>
  </w:num>
  <w:num w:numId="22">
    <w:abstractNumId w:val="18"/>
  </w:num>
  <w:num w:numId="23">
    <w:abstractNumId w:val="20"/>
  </w:num>
  <w:num w:numId="24">
    <w:abstractNumId w:val="6"/>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35"/>
    <w:rsid w:val="000022FF"/>
    <w:rsid w:val="00002E54"/>
    <w:rsid w:val="0000388D"/>
    <w:rsid w:val="000040B6"/>
    <w:rsid w:val="00005A2B"/>
    <w:rsid w:val="000063A2"/>
    <w:rsid w:val="00006ABA"/>
    <w:rsid w:val="00013A76"/>
    <w:rsid w:val="00013C31"/>
    <w:rsid w:val="00014AA7"/>
    <w:rsid w:val="00014E0F"/>
    <w:rsid w:val="000158BD"/>
    <w:rsid w:val="000162F3"/>
    <w:rsid w:val="000169E6"/>
    <w:rsid w:val="00016E39"/>
    <w:rsid w:val="000171CA"/>
    <w:rsid w:val="00017EB5"/>
    <w:rsid w:val="00020218"/>
    <w:rsid w:val="00020C7E"/>
    <w:rsid w:val="00020FC0"/>
    <w:rsid w:val="000224E9"/>
    <w:rsid w:val="00022950"/>
    <w:rsid w:val="00023593"/>
    <w:rsid w:val="00024706"/>
    <w:rsid w:val="00024EA2"/>
    <w:rsid w:val="0002689B"/>
    <w:rsid w:val="00027788"/>
    <w:rsid w:val="00033A2F"/>
    <w:rsid w:val="00035B03"/>
    <w:rsid w:val="00036063"/>
    <w:rsid w:val="00037CC7"/>
    <w:rsid w:val="0004286F"/>
    <w:rsid w:val="000455DF"/>
    <w:rsid w:val="00050E52"/>
    <w:rsid w:val="00051CA1"/>
    <w:rsid w:val="00053972"/>
    <w:rsid w:val="00053E9F"/>
    <w:rsid w:val="00055404"/>
    <w:rsid w:val="00056DEE"/>
    <w:rsid w:val="000578DE"/>
    <w:rsid w:val="000627BE"/>
    <w:rsid w:val="00063474"/>
    <w:rsid w:val="000636C6"/>
    <w:rsid w:val="00063A87"/>
    <w:rsid w:val="000725DA"/>
    <w:rsid w:val="0008133C"/>
    <w:rsid w:val="00082857"/>
    <w:rsid w:val="00083DEF"/>
    <w:rsid w:val="00084469"/>
    <w:rsid w:val="00084A3F"/>
    <w:rsid w:val="000852F1"/>
    <w:rsid w:val="00085527"/>
    <w:rsid w:val="00086C1A"/>
    <w:rsid w:val="00090B27"/>
    <w:rsid w:val="000913C8"/>
    <w:rsid w:val="00091F8C"/>
    <w:rsid w:val="0009377F"/>
    <w:rsid w:val="000944AF"/>
    <w:rsid w:val="0009463A"/>
    <w:rsid w:val="00094992"/>
    <w:rsid w:val="00095D0D"/>
    <w:rsid w:val="000960C0"/>
    <w:rsid w:val="000A0391"/>
    <w:rsid w:val="000A2A67"/>
    <w:rsid w:val="000A2B92"/>
    <w:rsid w:val="000A37DA"/>
    <w:rsid w:val="000A6339"/>
    <w:rsid w:val="000B04A7"/>
    <w:rsid w:val="000B1F7E"/>
    <w:rsid w:val="000B3488"/>
    <w:rsid w:val="000B3AB4"/>
    <w:rsid w:val="000B54F5"/>
    <w:rsid w:val="000B6521"/>
    <w:rsid w:val="000B7531"/>
    <w:rsid w:val="000C08EB"/>
    <w:rsid w:val="000C275F"/>
    <w:rsid w:val="000C29C6"/>
    <w:rsid w:val="000C4F5B"/>
    <w:rsid w:val="000C51BF"/>
    <w:rsid w:val="000C51CD"/>
    <w:rsid w:val="000C5A67"/>
    <w:rsid w:val="000C5E79"/>
    <w:rsid w:val="000C6262"/>
    <w:rsid w:val="000C66DF"/>
    <w:rsid w:val="000C71AD"/>
    <w:rsid w:val="000D009F"/>
    <w:rsid w:val="000D2289"/>
    <w:rsid w:val="000D445F"/>
    <w:rsid w:val="000D6520"/>
    <w:rsid w:val="000D6D37"/>
    <w:rsid w:val="000E0109"/>
    <w:rsid w:val="000E4A71"/>
    <w:rsid w:val="000E5FB2"/>
    <w:rsid w:val="000F01C6"/>
    <w:rsid w:val="000F0D7F"/>
    <w:rsid w:val="000F4B1A"/>
    <w:rsid w:val="000F743A"/>
    <w:rsid w:val="000F743F"/>
    <w:rsid w:val="00101031"/>
    <w:rsid w:val="00101170"/>
    <w:rsid w:val="00102908"/>
    <w:rsid w:val="00103469"/>
    <w:rsid w:val="00103FB1"/>
    <w:rsid w:val="00104AF1"/>
    <w:rsid w:val="00104D16"/>
    <w:rsid w:val="00106495"/>
    <w:rsid w:val="0010742E"/>
    <w:rsid w:val="00107E3F"/>
    <w:rsid w:val="001135F4"/>
    <w:rsid w:val="0011398B"/>
    <w:rsid w:val="00114745"/>
    <w:rsid w:val="00114ACF"/>
    <w:rsid w:val="001154A2"/>
    <w:rsid w:val="001159BF"/>
    <w:rsid w:val="00116200"/>
    <w:rsid w:val="00117DD0"/>
    <w:rsid w:val="00120180"/>
    <w:rsid w:val="00120184"/>
    <w:rsid w:val="001229CF"/>
    <w:rsid w:val="00125946"/>
    <w:rsid w:val="0013000D"/>
    <w:rsid w:val="00131EA4"/>
    <w:rsid w:val="00133981"/>
    <w:rsid w:val="001464D7"/>
    <w:rsid w:val="0014692C"/>
    <w:rsid w:val="0015318B"/>
    <w:rsid w:val="0015532F"/>
    <w:rsid w:val="001572F5"/>
    <w:rsid w:val="00157AB2"/>
    <w:rsid w:val="00162A5F"/>
    <w:rsid w:val="00163A35"/>
    <w:rsid w:val="0016482E"/>
    <w:rsid w:val="00164E85"/>
    <w:rsid w:val="00164F22"/>
    <w:rsid w:val="00164F74"/>
    <w:rsid w:val="00166FB9"/>
    <w:rsid w:val="001708E2"/>
    <w:rsid w:val="00170A41"/>
    <w:rsid w:val="00176AF1"/>
    <w:rsid w:val="00176DB9"/>
    <w:rsid w:val="00183C5A"/>
    <w:rsid w:val="00184F68"/>
    <w:rsid w:val="001857C8"/>
    <w:rsid w:val="00186F80"/>
    <w:rsid w:val="001876CF"/>
    <w:rsid w:val="00190918"/>
    <w:rsid w:val="00192302"/>
    <w:rsid w:val="00192320"/>
    <w:rsid w:val="001925D9"/>
    <w:rsid w:val="00192946"/>
    <w:rsid w:val="00194760"/>
    <w:rsid w:val="001A0027"/>
    <w:rsid w:val="001A04B0"/>
    <w:rsid w:val="001A17B9"/>
    <w:rsid w:val="001A2309"/>
    <w:rsid w:val="001A2E12"/>
    <w:rsid w:val="001A381F"/>
    <w:rsid w:val="001A3B5D"/>
    <w:rsid w:val="001A75B8"/>
    <w:rsid w:val="001B2D1E"/>
    <w:rsid w:val="001B4AC4"/>
    <w:rsid w:val="001B5EC7"/>
    <w:rsid w:val="001B72C7"/>
    <w:rsid w:val="001C1AF5"/>
    <w:rsid w:val="001D297A"/>
    <w:rsid w:val="001D37E9"/>
    <w:rsid w:val="001D392C"/>
    <w:rsid w:val="001D466C"/>
    <w:rsid w:val="001D55C7"/>
    <w:rsid w:val="001D57A9"/>
    <w:rsid w:val="001E2A91"/>
    <w:rsid w:val="001E431F"/>
    <w:rsid w:val="001E50E0"/>
    <w:rsid w:val="001E53D4"/>
    <w:rsid w:val="001E712A"/>
    <w:rsid w:val="001F1470"/>
    <w:rsid w:val="001F16BC"/>
    <w:rsid w:val="001F2BC2"/>
    <w:rsid w:val="001F2EBE"/>
    <w:rsid w:val="001F306D"/>
    <w:rsid w:val="001F4CDB"/>
    <w:rsid w:val="001F4D71"/>
    <w:rsid w:val="001F6211"/>
    <w:rsid w:val="00200AD9"/>
    <w:rsid w:val="0020189A"/>
    <w:rsid w:val="00203A9E"/>
    <w:rsid w:val="002049AB"/>
    <w:rsid w:val="00204EC2"/>
    <w:rsid w:val="00207DAF"/>
    <w:rsid w:val="00212F5D"/>
    <w:rsid w:val="00215694"/>
    <w:rsid w:val="00216021"/>
    <w:rsid w:val="00216387"/>
    <w:rsid w:val="00220524"/>
    <w:rsid w:val="00222670"/>
    <w:rsid w:val="00225016"/>
    <w:rsid w:val="00231119"/>
    <w:rsid w:val="002338A6"/>
    <w:rsid w:val="00233C99"/>
    <w:rsid w:val="002413A8"/>
    <w:rsid w:val="00242109"/>
    <w:rsid w:val="00242E83"/>
    <w:rsid w:val="00246D2E"/>
    <w:rsid w:val="00247E57"/>
    <w:rsid w:val="00250270"/>
    <w:rsid w:val="00251F6F"/>
    <w:rsid w:val="002537D0"/>
    <w:rsid w:val="00257A3D"/>
    <w:rsid w:val="00260867"/>
    <w:rsid w:val="00261B2A"/>
    <w:rsid w:val="002629B6"/>
    <w:rsid w:val="00263215"/>
    <w:rsid w:val="002645E9"/>
    <w:rsid w:val="00264999"/>
    <w:rsid w:val="00266095"/>
    <w:rsid w:val="00273A30"/>
    <w:rsid w:val="00274649"/>
    <w:rsid w:val="002755B0"/>
    <w:rsid w:val="00275BF5"/>
    <w:rsid w:val="002765AD"/>
    <w:rsid w:val="002803CA"/>
    <w:rsid w:val="00281D2A"/>
    <w:rsid w:val="00282F97"/>
    <w:rsid w:val="00286979"/>
    <w:rsid w:val="00286AAD"/>
    <w:rsid w:val="002877F2"/>
    <w:rsid w:val="002916AC"/>
    <w:rsid w:val="00291931"/>
    <w:rsid w:val="00293F26"/>
    <w:rsid w:val="00294C84"/>
    <w:rsid w:val="002964DF"/>
    <w:rsid w:val="0029668B"/>
    <w:rsid w:val="00296A16"/>
    <w:rsid w:val="00297924"/>
    <w:rsid w:val="00297ADF"/>
    <w:rsid w:val="002A1125"/>
    <w:rsid w:val="002A496E"/>
    <w:rsid w:val="002A6B3B"/>
    <w:rsid w:val="002B0806"/>
    <w:rsid w:val="002B155A"/>
    <w:rsid w:val="002B1C4D"/>
    <w:rsid w:val="002B4A79"/>
    <w:rsid w:val="002B4C55"/>
    <w:rsid w:val="002B6A09"/>
    <w:rsid w:val="002C09F2"/>
    <w:rsid w:val="002C0DCC"/>
    <w:rsid w:val="002C0F1C"/>
    <w:rsid w:val="002C0F20"/>
    <w:rsid w:val="002C1FA5"/>
    <w:rsid w:val="002C2AE2"/>
    <w:rsid w:val="002C2F4B"/>
    <w:rsid w:val="002C41D5"/>
    <w:rsid w:val="002D0803"/>
    <w:rsid w:val="002D2DDB"/>
    <w:rsid w:val="002D3F3F"/>
    <w:rsid w:val="002D40C7"/>
    <w:rsid w:val="002D5B45"/>
    <w:rsid w:val="002D769F"/>
    <w:rsid w:val="002E1A36"/>
    <w:rsid w:val="002E34EE"/>
    <w:rsid w:val="002E3DC5"/>
    <w:rsid w:val="002E3DFD"/>
    <w:rsid w:val="002E471B"/>
    <w:rsid w:val="002E5399"/>
    <w:rsid w:val="002E5C61"/>
    <w:rsid w:val="002E694E"/>
    <w:rsid w:val="002F39EB"/>
    <w:rsid w:val="002F42B5"/>
    <w:rsid w:val="002F6824"/>
    <w:rsid w:val="0030043A"/>
    <w:rsid w:val="0030439F"/>
    <w:rsid w:val="0030501D"/>
    <w:rsid w:val="00305594"/>
    <w:rsid w:val="00305975"/>
    <w:rsid w:val="003079FC"/>
    <w:rsid w:val="003107C4"/>
    <w:rsid w:val="00317F44"/>
    <w:rsid w:val="00320182"/>
    <w:rsid w:val="003257FD"/>
    <w:rsid w:val="00330686"/>
    <w:rsid w:val="003306E4"/>
    <w:rsid w:val="003321C1"/>
    <w:rsid w:val="003345AB"/>
    <w:rsid w:val="00335276"/>
    <w:rsid w:val="00335598"/>
    <w:rsid w:val="00335F0A"/>
    <w:rsid w:val="003372B3"/>
    <w:rsid w:val="003402B1"/>
    <w:rsid w:val="003415BB"/>
    <w:rsid w:val="003429FD"/>
    <w:rsid w:val="00342E2F"/>
    <w:rsid w:val="003442F5"/>
    <w:rsid w:val="003444B3"/>
    <w:rsid w:val="00345257"/>
    <w:rsid w:val="00347D88"/>
    <w:rsid w:val="00350E75"/>
    <w:rsid w:val="00350FA2"/>
    <w:rsid w:val="00354178"/>
    <w:rsid w:val="0035573A"/>
    <w:rsid w:val="003615BC"/>
    <w:rsid w:val="00361672"/>
    <w:rsid w:val="00362CC1"/>
    <w:rsid w:val="00363B56"/>
    <w:rsid w:val="00365961"/>
    <w:rsid w:val="00365D12"/>
    <w:rsid w:val="00366D82"/>
    <w:rsid w:val="00372271"/>
    <w:rsid w:val="003726D6"/>
    <w:rsid w:val="003727E0"/>
    <w:rsid w:val="00373243"/>
    <w:rsid w:val="003748B2"/>
    <w:rsid w:val="00382E64"/>
    <w:rsid w:val="00382F73"/>
    <w:rsid w:val="00385055"/>
    <w:rsid w:val="00385E21"/>
    <w:rsid w:val="00386093"/>
    <w:rsid w:val="003865D7"/>
    <w:rsid w:val="003911E6"/>
    <w:rsid w:val="0039369B"/>
    <w:rsid w:val="0039389A"/>
    <w:rsid w:val="00395D7A"/>
    <w:rsid w:val="003A14C1"/>
    <w:rsid w:val="003A18A7"/>
    <w:rsid w:val="003A1A25"/>
    <w:rsid w:val="003A26E3"/>
    <w:rsid w:val="003A4BFE"/>
    <w:rsid w:val="003A6217"/>
    <w:rsid w:val="003B20E0"/>
    <w:rsid w:val="003B2BD1"/>
    <w:rsid w:val="003B3E9A"/>
    <w:rsid w:val="003B45A9"/>
    <w:rsid w:val="003B4FC7"/>
    <w:rsid w:val="003B5037"/>
    <w:rsid w:val="003B5E10"/>
    <w:rsid w:val="003B5E62"/>
    <w:rsid w:val="003B5F3D"/>
    <w:rsid w:val="003B6275"/>
    <w:rsid w:val="003B7069"/>
    <w:rsid w:val="003C00E8"/>
    <w:rsid w:val="003C0DD6"/>
    <w:rsid w:val="003C146E"/>
    <w:rsid w:val="003C1D09"/>
    <w:rsid w:val="003C2C3E"/>
    <w:rsid w:val="003C3C9F"/>
    <w:rsid w:val="003C429B"/>
    <w:rsid w:val="003C4FB3"/>
    <w:rsid w:val="003D1896"/>
    <w:rsid w:val="003D1908"/>
    <w:rsid w:val="003D2340"/>
    <w:rsid w:val="003D3950"/>
    <w:rsid w:val="003D43AF"/>
    <w:rsid w:val="003D4B1E"/>
    <w:rsid w:val="003E08F3"/>
    <w:rsid w:val="003E127E"/>
    <w:rsid w:val="003E2B29"/>
    <w:rsid w:val="003E2D9A"/>
    <w:rsid w:val="003F090D"/>
    <w:rsid w:val="003F2914"/>
    <w:rsid w:val="003F3B0A"/>
    <w:rsid w:val="00401C7A"/>
    <w:rsid w:val="004027DA"/>
    <w:rsid w:val="00403EB3"/>
    <w:rsid w:val="00405230"/>
    <w:rsid w:val="00406042"/>
    <w:rsid w:val="00411E24"/>
    <w:rsid w:val="00413393"/>
    <w:rsid w:val="004136E4"/>
    <w:rsid w:val="004164DA"/>
    <w:rsid w:val="00416885"/>
    <w:rsid w:val="00416D5D"/>
    <w:rsid w:val="00417424"/>
    <w:rsid w:val="004178D2"/>
    <w:rsid w:val="00417C58"/>
    <w:rsid w:val="00420432"/>
    <w:rsid w:val="00420DC3"/>
    <w:rsid w:val="004213C2"/>
    <w:rsid w:val="00422557"/>
    <w:rsid w:val="004235DC"/>
    <w:rsid w:val="0042377C"/>
    <w:rsid w:val="00423F3D"/>
    <w:rsid w:val="004255F4"/>
    <w:rsid w:val="00425A69"/>
    <w:rsid w:val="00430BE8"/>
    <w:rsid w:val="00431404"/>
    <w:rsid w:val="00432AF6"/>
    <w:rsid w:val="004374A9"/>
    <w:rsid w:val="0044211C"/>
    <w:rsid w:val="004430DB"/>
    <w:rsid w:val="00443848"/>
    <w:rsid w:val="00445798"/>
    <w:rsid w:val="00446700"/>
    <w:rsid w:val="00447401"/>
    <w:rsid w:val="0045143D"/>
    <w:rsid w:val="004552D3"/>
    <w:rsid w:val="00457830"/>
    <w:rsid w:val="004608E5"/>
    <w:rsid w:val="004609A8"/>
    <w:rsid w:val="00460CC4"/>
    <w:rsid w:val="00462F97"/>
    <w:rsid w:val="004641CD"/>
    <w:rsid w:val="00464842"/>
    <w:rsid w:val="00466D57"/>
    <w:rsid w:val="0046729E"/>
    <w:rsid w:val="00467602"/>
    <w:rsid w:val="0047387A"/>
    <w:rsid w:val="00475267"/>
    <w:rsid w:val="00481871"/>
    <w:rsid w:val="00482F3D"/>
    <w:rsid w:val="00482FEE"/>
    <w:rsid w:val="004838AB"/>
    <w:rsid w:val="00483925"/>
    <w:rsid w:val="00485113"/>
    <w:rsid w:val="00485DD6"/>
    <w:rsid w:val="004877C8"/>
    <w:rsid w:val="00490848"/>
    <w:rsid w:val="004933A7"/>
    <w:rsid w:val="00493585"/>
    <w:rsid w:val="004A40B8"/>
    <w:rsid w:val="004A4EF9"/>
    <w:rsid w:val="004A5F76"/>
    <w:rsid w:val="004B01B3"/>
    <w:rsid w:val="004B2351"/>
    <w:rsid w:val="004B2973"/>
    <w:rsid w:val="004B4D68"/>
    <w:rsid w:val="004B594B"/>
    <w:rsid w:val="004C0388"/>
    <w:rsid w:val="004C07C1"/>
    <w:rsid w:val="004C0F69"/>
    <w:rsid w:val="004C1827"/>
    <w:rsid w:val="004C183B"/>
    <w:rsid w:val="004C2F51"/>
    <w:rsid w:val="004C58A3"/>
    <w:rsid w:val="004C6218"/>
    <w:rsid w:val="004D0A01"/>
    <w:rsid w:val="004D1D3D"/>
    <w:rsid w:val="004D59CF"/>
    <w:rsid w:val="004E13BE"/>
    <w:rsid w:val="004E3984"/>
    <w:rsid w:val="004F01F4"/>
    <w:rsid w:val="004F2071"/>
    <w:rsid w:val="004F2A05"/>
    <w:rsid w:val="004F3A32"/>
    <w:rsid w:val="004F41ED"/>
    <w:rsid w:val="004F4236"/>
    <w:rsid w:val="004F54F7"/>
    <w:rsid w:val="004F668B"/>
    <w:rsid w:val="005008D0"/>
    <w:rsid w:val="00500BDD"/>
    <w:rsid w:val="005064FC"/>
    <w:rsid w:val="00511B04"/>
    <w:rsid w:val="0051349F"/>
    <w:rsid w:val="005150A5"/>
    <w:rsid w:val="00515D6C"/>
    <w:rsid w:val="005178AE"/>
    <w:rsid w:val="00524B2E"/>
    <w:rsid w:val="00525532"/>
    <w:rsid w:val="00525F6C"/>
    <w:rsid w:val="005268BE"/>
    <w:rsid w:val="005307D0"/>
    <w:rsid w:val="00535E6D"/>
    <w:rsid w:val="0054247A"/>
    <w:rsid w:val="005432C9"/>
    <w:rsid w:val="00543442"/>
    <w:rsid w:val="00543AF2"/>
    <w:rsid w:val="00543B79"/>
    <w:rsid w:val="00545B1F"/>
    <w:rsid w:val="00553248"/>
    <w:rsid w:val="0055520B"/>
    <w:rsid w:val="00555933"/>
    <w:rsid w:val="0055653F"/>
    <w:rsid w:val="005567BC"/>
    <w:rsid w:val="00556CCB"/>
    <w:rsid w:val="0056131D"/>
    <w:rsid w:val="0056318E"/>
    <w:rsid w:val="0056321C"/>
    <w:rsid w:val="00564FC8"/>
    <w:rsid w:val="0056532D"/>
    <w:rsid w:val="005725A9"/>
    <w:rsid w:val="00573335"/>
    <w:rsid w:val="00573978"/>
    <w:rsid w:val="00573D7C"/>
    <w:rsid w:val="00573F52"/>
    <w:rsid w:val="005763C9"/>
    <w:rsid w:val="00577660"/>
    <w:rsid w:val="005824E8"/>
    <w:rsid w:val="00582FDD"/>
    <w:rsid w:val="00583E94"/>
    <w:rsid w:val="00584EE0"/>
    <w:rsid w:val="00585F6C"/>
    <w:rsid w:val="005905D1"/>
    <w:rsid w:val="00592812"/>
    <w:rsid w:val="00592FCC"/>
    <w:rsid w:val="00594876"/>
    <w:rsid w:val="005A0525"/>
    <w:rsid w:val="005A06AD"/>
    <w:rsid w:val="005A22AC"/>
    <w:rsid w:val="005A2764"/>
    <w:rsid w:val="005A438A"/>
    <w:rsid w:val="005A6C2E"/>
    <w:rsid w:val="005A7C54"/>
    <w:rsid w:val="005B0521"/>
    <w:rsid w:val="005B0B78"/>
    <w:rsid w:val="005B233D"/>
    <w:rsid w:val="005B40EC"/>
    <w:rsid w:val="005B424F"/>
    <w:rsid w:val="005B5A67"/>
    <w:rsid w:val="005C0B03"/>
    <w:rsid w:val="005C4118"/>
    <w:rsid w:val="005C499B"/>
    <w:rsid w:val="005C4BB4"/>
    <w:rsid w:val="005C4EF7"/>
    <w:rsid w:val="005C5139"/>
    <w:rsid w:val="005C664A"/>
    <w:rsid w:val="005D0427"/>
    <w:rsid w:val="005D0A45"/>
    <w:rsid w:val="005D1409"/>
    <w:rsid w:val="005D2DCF"/>
    <w:rsid w:val="005D56C3"/>
    <w:rsid w:val="005D6983"/>
    <w:rsid w:val="005E260F"/>
    <w:rsid w:val="005E4CA0"/>
    <w:rsid w:val="005E5D50"/>
    <w:rsid w:val="005F0DC3"/>
    <w:rsid w:val="005F192E"/>
    <w:rsid w:val="005F287A"/>
    <w:rsid w:val="005F2BDC"/>
    <w:rsid w:val="005F49D5"/>
    <w:rsid w:val="005F6286"/>
    <w:rsid w:val="005F6CC9"/>
    <w:rsid w:val="00602BE7"/>
    <w:rsid w:val="00606309"/>
    <w:rsid w:val="00606BE5"/>
    <w:rsid w:val="0060712C"/>
    <w:rsid w:val="006076D4"/>
    <w:rsid w:val="00611236"/>
    <w:rsid w:val="0061177E"/>
    <w:rsid w:val="0061242E"/>
    <w:rsid w:val="0061562D"/>
    <w:rsid w:val="006156E7"/>
    <w:rsid w:val="00615B97"/>
    <w:rsid w:val="0061772B"/>
    <w:rsid w:val="00617BEA"/>
    <w:rsid w:val="006243FC"/>
    <w:rsid w:val="0062507C"/>
    <w:rsid w:val="006265E4"/>
    <w:rsid w:val="00627825"/>
    <w:rsid w:val="006300E2"/>
    <w:rsid w:val="00631CA5"/>
    <w:rsid w:val="00631E24"/>
    <w:rsid w:val="0063354D"/>
    <w:rsid w:val="0063390B"/>
    <w:rsid w:val="00637C2B"/>
    <w:rsid w:val="006403E0"/>
    <w:rsid w:val="00640745"/>
    <w:rsid w:val="0064451B"/>
    <w:rsid w:val="00644607"/>
    <w:rsid w:val="00645ADD"/>
    <w:rsid w:val="00646B64"/>
    <w:rsid w:val="00646C07"/>
    <w:rsid w:val="00647656"/>
    <w:rsid w:val="00650876"/>
    <w:rsid w:val="00650F5F"/>
    <w:rsid w:val="006539C3"/>
    <w:rsid w:val="00653D94"/>
    <w:rsid w:val="0065519C"/>
    <w:rsid w:val="00655C87"/>
    <w:rsid w:val="0066161F"/>
    <w:rsid w:val="0066430C"/>
    <w:rsid w:val="00664BAD"/>
    <w:rsid w:val="00672B3A"/>
    <w:rsid w:val="0067637D"/>
    <w:rsid w:val="0067727B"/>
    <w:rsid w:val="0067740F"/>
    <w:rsid w:val="00677D9C"/>
    <w:rsid w:val="0068077C"/>
    <w:rsid w:val="00683BE5"/>
    <w:rsid w:val="00684007"/>
    <w:rsid w:val="00686412"/>
    <w:rsid w:val="00687B20"/>
    <w:rsid w:val="00690379"/>
    <w:rsid w:val="0069230B"/>
    <w:rsid w:val="00692AF1"/>
    <w:rsid w:val="006952D7"/>
    <w:rsid w:val="00695CB1"/>
    <w:rsid w:val="00695E36"/>
    <w:rsid w:val="00695FA0"/>
    <w:rsid w:val="00696D8B"/>
    <w:rsid w:val="006A1A88"/>
    <w:rsid w:val="006A4644"/>
    <w:rsid w:val="006A5932"/>
    <w:rsid w:val="006A6C29"/>
    <w:rsid w:val="006B03DE"/>
    <w:rsid w:val="006B1271"/>
    <w:rsid w:val="006B1894"/>
    <w:rsid w:val="006B1F33"/>
    <w:rsid w:val="006B3613"/>
    <w:rsid w:val="006B3A3F"/>
    <w:rsid w:val="006B74D6"/>
    <w:rsid w:val="006C0D75"/>
    <w:rsid w:val="006C0EDB"/>
    <w:rsid w:val="006C28EC"/>
    <w:rsid w:val="006C3735"/>
    <w:rsid w:val="006C3A32"/>
    <w:rsid w:val="006C4226"/>
    <w:rsid w:val="006C54FA"/>
    <w:rsid w:val="006C6274"/>
    <w:rsid w:val="006C678C"/>
    <w:rsid w:val="006C6D74"/>
    <w:rsid w:val="006D03D2"/>
    <w:rsid w:val="006D3B6C"/>
    <w:rsid w:val="006D4AC8"/>
    <w:rsid w:val="006D4DBF"/>
    <w:rsid w:val="006D562B"/>
    <w:rsid w:val="006D573A"/>
    <w:rsid w:val="006D7D07"/>
    <w:rsid w:val="006E18D2"/>
    <w:rsid w:val="006E1E56"/>
    <w:rsid w:val="006E34D9"/>
    <w:rsid w:val="006E4B78"/>
    <w:rsid w:val="006E7422"/>
    <w:rsid w:val="006F1B7D"/>
    <w:rsid w:val="006F39AB"/>
    <w:rsid w:val="00701551"/>
    <w:rsid w:val="00701B2D"/>
    <w:rsid w:val="00706A6A"/>
    <w:rsid w:val="00706DC9"/>
    <w:rsid w:val="0071123E"/>
    <w:rsid w:val="00711511"/>
    <w:rsid w:val="00711A06"/>
    <w:rsid w:val="007125D3"/>
    <w:rsid w:val="00712F80"/>
    <w:rsid w:val="00717543"/>
    <w:rsid w:val="0073247E"/>
    <w:rsid w:val="0073296D"/>
    <w:rsid w:val="00734F43"/>
    <w:rsid w:val="0073570A"/>
    <w:rsid w:val="0073575F"/>
    <w:rsid w:val="0074179C"/>
    <w:rsid w:val="00746F9E"/>
    <w:rsid w:val="00747AE7"/>
    <w:rsid w:val="007505ED"/>
    <w:rsid w:val="00750A8A"/>
    <w:rsid w:val="00751B74"/>
    <w:rsid w:val="00761860"/>
    <w:rsid w:val="007628A0"/>
    <w:rsid w:val="00763B22"/>
    <w:rsid w:val="00763FB6"/>
    <w:rsid w:val="0076451B"/>
    <w:rsid w:val="00765BD9"/>
    <w:rsid w:val="0077331D"/>
    <w:rsid w:val="007748FE"/>
    <w:rsid w:val="0077508A"/>
    <w:rsid w:val="00776810"/>
    <w:rsid w:val="00777841"/>
    <w:rsid w:val="00783F49"/>
    <w:rsid w:val="0078559F"/>
    <w:rsid w:val="00785DAB"/>
    <w:rsid w:val="00790FDD"/>
    <w:rsid w:val="00794329"/>
    <w:rsid w:val="007943D7"/>
    <w:rsid w:val="00797D98"/>
    <w:rsid w:val="00797DA1"/>
    <w:rsid w:val="007A0CE4"/>
    <w:rsid w:val="007A133B"/>
    <w:rsid w:val="007A299E"/>
    <w:rsid w:val="007A4D10"/>
    <w:rsid w:val="007A5341"/>
    <w:rsid w:val="007A5E10"/>
    <w:rsid w:val="007A6DD2"/>
    <w:rsid w:val="007B14FF"/>
    <w:rsid w:val="007B4638"/>
    <w:rsid w:val="007B46C1"/>
    <w:rsid w:val="007B6D1A"/>
    <w:rsid w:val="007C12BF"/>
    <w:rsid w:val="007C1EF6"/>
    <w:rsid w:val="007C5082"/>
    <w:rsid w:val="007C6215"/>
    <w:rsid w:val="007D48C9"/>
    <w:rsid w:val="007E0F76"/>
    <w:rsid w:val="007E1115"/>
    <w:rsid w:val="007E2DD7"/>
    <w:rsid w:val="007E541F"/>
    <w:rsid w:val="007F2CF5"/>
    <w:rsid w:val="007F4581"/>
    <w:rsid w:val="007F5DD8"/>
    <w:rsid w:val="007F649D"/>
    <w:rsid w:val="00804259"/>
    <w:rsid w:val="0080501B"/>
    <w:rsid w:val="0080541D"/>
    <w:rsid w:val="00807B56"/>
    <w:rsid w:val="00811A78"/>
    <w:rsid w:val="008162B0"/>
    <w:rsid w:val="00816B3F"/>
    <w:rsid w:val="0082062F"/>
    <w:rsid w:val="0082418C"/>
    <w:rsid w:val="0082516B"/>
    <w:rsid w:val="00825319"/>
    <w:rsid w:val="00825DA6"/>
    <w:rsid w:val="00826ED1"/>
    <w:rsid w:val="00826F45"/>
    <w:rsid w:val="0082767C"/>
    <w:rsid w:val="008311D4"/>
    <w:rsid w:val="008313E2"/>
    <w:rsid w:val="00833E0F"/>
    <w:rsid w:val="00834302"/>
    <w:rsid w:val="00834F8F"/>
    <w:rsid w:val="00837224"/>
    <w:rsid w:val="00841753"/>
    <w:rsid w:val="008428AB"/>
    <w:rsid w:val="00842AF6"/>
    <w:rsid w:val="0084359C"/>
    <w:rsid w:val="008439C8"/>
    <w:rsid w:val="00844EDC"/>
    <w:rsid w:val="0084715C"/>
    <w:rsid w:val="00850542"/>
    <w:rsid w:val="008509D6"/>
    <w:rsid w:val="0085102A"/>
    <w:rsid w:val="00852090"/>
    <w:rsid w:val="00852E0B"/>
    <w:rsid w:val="00853D4F"/>
    <w:rsid w:val="0085480B"/>
    <w:rsid w:val="00854CEB"/>
    <w:rsid w:val="0086193B"/>
    <w:rsid w:val="00862B96"/>
    <w:rsid w:val="00863439"/>
    <w:rsid w:val="008648FE"/>
    <w:rsid w:val="00865D01"/>
    <w:rsid w:val="00866BDF"/>
    <w:rsid w:val="008713A8"/>
    <w:rsid w:val="0087370D"/>
    <w:rsid w:val="008754EA"/>
    <w:rsid w:val="008756D9"/>
    <w:rsid w:val="008836AC"/>
    <w:rsid w:val="00883D3C"/>
    <w:rsid w:val="00886BA3"/>
    <w:rsid w:val="00887B7F"/>
    <w:rsid w:val="008917D2"/>
    <w:rsid w:val="00892999"/>
    <w:rsid w:val="00895971"/>
    <w:rsid w:val="00897A01"/>
    <w:rsid w:val="008A1852"/>
    <w:rsid w:val="008A3458"/>
    <w:rsid w:val="008A5CFF"/>
    <w:rsid w:val="008A730E"/>
    <w:rsid w:val="008B04BA"/>
    <w:rsid w:val="008B1E89"/>
    <w:rsid w:val="008B262E"/>
    <w:rsid w:val="008B3146"/>
    <w:rsid w:val="008B5127"/>
    <w:rsid w:val="008B57D9"/>
    <w:rsid w:val="008C13AA"/>
    <w:rsid w:val="008C13EF"/>
    <w:rsid w:val="008C3011"/>
    <w:rsid w:val="008C4D12"/>
    <w:rsid w:val="008C6020"/>
    <w:rsid w:val="008D201C"/>
    <w:rsid w:val="008D2F83"/>
    <w:rsid w:val="008E0A0D"/>
    <w:rsid w:val="008E237A"/>
    <w:rsid w:val="008E2599"/>
    <w:rsid w:val="008E2D6B"/>
    <w:rsid w:val="008E3A57"/>
    <w:rsid w:val="008E3BA1"/>
    <w:rsid w:val="008E3D40"/>
    <w:rsid w:val="008E44C2"/>
    <w:rsid w:val="008E6019"/>
    <w:rsid w:val="008E6C64"/>
    <w:rsid w:val="008E6EF1"/>
    <w:rsid w:val="008F1788"/>
    <w:rsid w:val="008F2128"/>
    <w:rsid w:val="008F2E1A"/>
    <w:rsid w:val="008F44CA"/>
    <w:rsid w:val="008F5CE4"/>
    <w:rsid w:val="008F6528"/>
    <w:rsid w:val="008F6E18"/>
    <w:rsid w:val="008F7814"/>
    <w:rsid w:val="009040B6"/>
    <w:rsid w:val="0090602E"/>
    <w:rsid w:val="00913096"/>
    <w:rsid w:val="0091572A"/>
    <w:rsid w:val="00916CC0"/>
    <w:rsid w:val="0092028D"/>
    <w:rsid w:val="00920B0F"/>
    <w:rsid w:val="00921E67"/>
    <w:rsid w:val="00924319"/>
    <w:rsid w:val="00925098"/>
    <w:rsid w:val="00926835"/>
    <w:rsid w:val="0093237A"/>
    <w:rsid w:val="00932C26"/>
    <w:rsid w:val="00940F46"/>
    <w:rsid w:val="0094102F"/>
    <w:rsid w:val="0094114C"/>
    <w:rsid w:val="00943719"/>
    <w:rsid w:val="009437D9"/>
    <w:rsid w:val="00944818"/>
    <w:rsid w:val="00944C14"/>
    <w:rsid w:val="00945F8F"/>
    <w:rsid w:val="009506E3"/>
    <w:rsid w:val="009515E3"/>
    <w:rsid w:val="00953D71"/>
    <w:rsid w:val="00955889"/>
    <w:rsid w:val="00955C18"/>
    <w:rsid w:val="00955CCC"/>
    <w:rsid w:val="00956943"/>
    <w:rsid w:val="009569C7"/>
    <w:rsid w:val="00960E4E"/>
    <w:rsid w:val="0096382B"/>
    <w:rsid w:val="00965F9D"/>
    <w:rsid w:val="00967F14"/>
    <w:rsid w:val="00970867"/>
    <w:rsid w:val="0097355A"/>
    <w:rsid w:val="00975ACE"/>
    <w:rsid w:val="009760F3"/>
    <w:rsid w:val="0097642D"/>
    <w:rsid w:val="0097658B"/>
    <w:rsid w:val="00977CB3"/>
    <w:rsid w:val="00981696"/>
    <w:rsid w:val="009873E4"/>
    <w:rsid w:val="00990589"/>
    <w:rsid w:val="0099278C"/>
    <w:rsid w:val="009929C8"/>
    <w:rsid w:val="00992B13"/>
    <w:rsid w:val="00992B4F"/>
    <w:rsid w:val="0099519B"/>
    <w:rsid w:val="00996548"/>
    <w:rsid w:val="0099688C"/>
    <w:rsid w:val="00996AFA"/>
    <w:rsid w:val="00996E71"/>
    <w:rsid w:val="009A1D44"/>
    <w:rsid w:val="009A32F9"/>
    <w:rsid w:val="009A517F"/>
    <w:rsid w:val="009A6C83"/>
    <w:rsid w:val="009A7016"/>
    <w:rsid w:val="009A71CB"/>
    <w:rsid w:val="009A7BED"/>
    <w:rsid w:val="009B0077"/>
    <w:rsid w:val="009B0D40"/>
    <w:rsid w:val="009B20E3"/>
    <w:rsid w:val="009B2918"/>
    <w:rsid w:val="009B326F"/>
    <w:rsid w:val="009B583D"/>
    <w:rsid w:val="009C41B1"/>
    <w:rsid w:val="009C51ED"/>
    <w:rsid w:val="009C7511"/>
    <w:rsid w:val="009C7BCA"/>
    <w:rsid w:val="009D3111"/>
    <w:rsid w:val="009D440A"/>
    <w:rsid w:val="009D4EDA"/>
    <w:rsid w:val="009D5785"/>
    <w:rsid w:val="009E1B4C"/>
    <w:rsid w:val="009E1E77"/>
    <w:rsid w:val="009E1FD7"/>
    <w:rsid w:val="009E341E"/>
    <w:rsid w:val="009E4EEF"/>
    <w:rsid w:val="009E5DCB"/>
    <w:rsid w:val="009F3564"/>
    <w:rsid w:val="009F36E7"/>
    <w:rsid w:val="009F3B5D"/>
    <w:rsid w:val="009F4336"/>
    <w:rsid w:val="009F512D"/>
    <w:rsid w:val="009F5826"/>
    <w:rsid w:val="009F64B9"/>
    <w:rsid w:val="009F6B04"/>
    <w:rsid w:val="009F6B4F"/>
    <w:rsid w:val="00A00102"/>
    <w:rsid w:val="00A002E4"/>
    <w:rsid w:val="00A02946"/>
    <w:rsid w:val="00A037D3"/>
    <w:rsid w:val="00A04FAF"/>
    <w:rsid w:val="00A051F7"/>
    <w:rsid w:val="00A07C7D"/>
    <w:rsid w:val="00A13FD9"/>
    <w:rsid w:val="00A162C0"/>
    <w:rsid w:val="00A20356"/>
    <w:rsid w:val="00A22CAD"/>
    <w:rsid w:val="00A24DCE"/>
    <w:rsid w:val="00A25411"/>
    <w:rsid w:val="00A259A1"/>
    <w:rsid w:val="00A26BF5"/>
    <w:rsid w:val="00A26E98"/>
    <w:rsid w:val="00A27103"/>
    <w:rsid w:val="00A310A9"/>
    <w:rsid w:val="00A3221A"/>
    <w:rsid w:val="00A37302"/>
    <w:rsid w:val="00A373B2"/>
    <w:rsid w:val="00A37D52"/>
    <w:rsid w:val="00A43700"/>
    <w:rsid w:val="00A46B71"/>
    <w:rsid w:val="00A46D0B"/>
    <w:rsid w:val="00A50EAC"/>
    <w:rsid w:val="00A5149E"/>
    <w:rsid w:val="00A53F97"/>
    <w:rsid w:val="00A553C4"/>
    <w:rsid w:val="00A5602D"/>
    <w:rsid w:val="00A57503"/>
    <w:rsid w:val="00A57E68"/>
    <w:rsid w:val="00A6108F"/>
    <w:rsid w:val="00A62846"/>
    <w:rsid w:val="00A6469A"/>
    <w:rsid w:val="00A6569D"/>
    <w:rsid w:val="00A66674"/>
    <w:rsid w:val="00A669F6"/>
    <w:rsid w:val="00A70841"/>
    <w:rsid w:val="00A71804"/>
    <w:rsid w:val="00A73F34"/>
    <w:rsid w:val="00A74C5C"/>
    <w:rsid w:val="00A767E6"/>
    <w:rsid w:val="00A76BEA"/>
    <w:rsid w:val="00A77613"/>
    <w:rsid w:val="00A80843"/>
    <w:rsid w:val="00A8324C"/>
    <w:rsid w:val="00A832FE"/>
    <w:rsid w:val="00A841FF"/>
    <w:rsid w:val="00A848A8"/>
    <w:rsid w:val="00A84E0C"/>
    <w:rsid w:val="00A86086"/>
    <w:rsid w:val="00A8612B"/>
    <w:rsid w:val="00A863A5"/>
    <w:rsid w:val="00A912F3"/>
    <w:rsid w:val="00A92E1D"/>
    <w:rsid w:val="00A97022"/>
    <w:rsid w:val="00A97459"/>
    <w:rsid w:val="00A97636"/>
    <w:rsid w:val="00AA0C18"/>
    <w:rsid w:val="00AA19CE"/>
    <w:rsid w:val="00AA2191"/>
    <w:rsid w:val="00AA255D"/>
    <w:rsid w:val="00AA4B23"/>
    <w:rsid w:val="00AA4E44"/>
    <w:rsid w:val="00AA665E"/>
    <w:rsid w:val="00AB0D80"/>
    <w:rsid w:val="00AB273C"/>
    <w:rsid w:val="00AB7238"/>
    <w:rsid w:val="00AC0A55"/>
    <w:rsid w:val="00AC1A35"/>
    <w:rsid w:val="00AC3EBE"/>
    <w:rsid w:val="00AC5212"/>
    <w:rsid w:val="00AC5FAB"/>
    <w:rsid w:val="00AC7DFC"/>
    <w:rsid w:val="00AD0CEA"/>
    <w:rsid w:val="00AD2A36"/>
    <w:rsid w:val="00AD36DD"/>
    <w:rsid w:val="00AD391B"/>
    <w:rsid w:val="00AD3DC9"/>
    <w:rsid w:val="00AD4699"/>
    <w:rsid w:val="00AD6FF3"/>
    <w:rsid w:val="00AE0779"/>
    <w:rsid w:val="00AE0CB3"/>
    <w:rsid w:val="00AE2713"/>
    <w:rsid w:val="00AE4700"/>
    <w:rsid w:val="00AE55CE"/>
    <w:rsid w:val="00AE6EA6"/>
    <w:rsid w:val="00AE7CD7"/>
    <w:rsid w:val="00AE7F14"/>
    <w:rsid w:val="00AF00DA"/>
    <w:rsid w:val="00AF4180"/>
    <w:rsid w:val="00AF7765"/>
    <w:rsid w:val="00B03799"/>
    <w:rsid w:val="00B06C94"/>
    <w:rsid w:val="00B07261"/>
    <w:rsid w:val="00B107FB"/>
    <w:rsid w:val="00B11951"/>
    <w:rsid w:val="00B1222F"/>
    <w:rsid w:val="00B12271"/>
    <w:rsid w:val="00B13925"/>
    <w:rsid w:val="00B13B1F"/>
    <w:rsid w:val="00B165B5"/>
    <w:rsid w:val="00B20229"/>
    <w:rsid w:val="00B209C0"/>
    <w:rsid w:val="00B21799"/>
    <w:rsid w:val="00B225A9"/>
    <w:rsid w:val="00B227AE"/>
    <w:rsid w:val="00B244E4"/>
    <w:rsid w:val="00B3249A"/>
    <w:rsid w:val="00B32A9F"/>
    <w:rsid w:val="00B3771E"/>
    <w:rsid w:val="00B40723"/>
    <w:rsid w:val="00B43451"/>
    <w:rsid w:val="00B454D7"/>
    <w:rsid w:val="00B4561A"/>
    <w:rsid w:val="00B45BB0"/>
    <w:rsid w:val="00B475D4"/>
    <w:rsid w:val="00B51D5A"/>
    <w:rsid w:val="00B52065"/>
    <w:rsid w:val="00B5360D"/>
    <w:rsid w:val="00B544B1"/>
    <w:rsid w:val="00B54872"/>
    <w:rsid w:val="00B55AC3"/>
    <w:rsid w:val="00B577BE"/>
    <w:rsid w:val="00B63051"/>
    <w:rsid w:val="00B66767"/>
    <w:rsid w:val="00B676BD"/>
    <w:rsid w:val="00B70189"/>
    <w:rsid w:val="00B704DB"/>
    <w:rsid w:val="00B71326"/>
    <w:rsid w:val="00B71B23"/>
    <w:rsid w:val="00B74049"/>
    <w:rsid w:val="00B74AE9"/>
    <w:rsid w:val="00B74C45"/>
    <w:rsid w:val="00B75EE2"/>
    <w:rsid w:val="00B75F8B"/>
    <w:rsid w:val="00B76E60"/>
    <w:rsid w:val="00B7777F"/>
    <w:rsid w:val="00B80B8E"/>
    <w:rsid w:val="00B845D0"/>
    <w:rsid w:val="00B84E9E"/>
    <w:rsid w:val="00B92493"/>
    <w:rsid w:val="00B93BF1"/>
    <w:rsid w:val="00B95385"/>
    <w:rsid w:val="00B96309"/>
    <w:rsid w:val="00B969BB"/>
    <w:rsid w:val="00B97C32"/>
    <w:rsid w:val="00BA42C9"/>
    <w:rsid w:val="00BA499F"/>
    <w:rsid w:val="00BA6A43"/>
    <w:rsid w:val="00BA6C95"/>
    <w:rsid w:val="00BB383B"/>
    <w:rsid w:val="00BB468F"/>
    <w:rsid w:val="00BB5861"/>
    <w:rsid w:val="00BB66CB"/>
    <w:rsid w:val="00BB71BD"/>
    <w:rsid w:val="00BB7320"/>
    <w:rsid w:val="00BB7FBA"/>
    <w:rsid w:val="00BC12B4"/>
    <w:rsid w:val="00BC1CC6"/>
    <w:rsid w:val="00BD35CF"/>
    <w:rsid w:val="00BD59E2"/>
    <w:rsid w:val="00BD7E99"/>
    <w:rsid w:val="00BE4E24"/>
    <w:rsid w:val="00BE52AD"/>
    <w:rsid w:val="00BE54F6"/>
    <w:rsid w:val="00BE6CFE"/>
    <w:rsid w:val="00BE7BBA"/>
    <w:rsid w:val="00BF131E"/>
    <w:rsid w:val="00BF32EF"/>
    <w:rsid w:val="00BF3FCF"/>
    <w:rsid w:val="00BF540E"/>
    <w:rsid w:val="00C00829"/>
    <w:rsid w:val="00C00872"/>
    <w:rsid w:val="00C00E22"/>
    <w:rsid w:val="00C017FB"/>
    <w:rsid w:val="00C01AAB"/>
    <w:rsid w:val="00C024AC"/>
    <w:rsid w:val="00C03831"/>
    <w:rsid w:val="00C053B0"/>
    <w:rsid w:val="00C0725E"/>
    <w:rsid w:val="00C072DA"/>
    <w:rsid w:val="00C11DB4"/>
    <w:rsid w:val="00C1228B"/>
    <w:rsid w:val="00C1252B"/>
    <w:rsid w:val="00C13B1D"/>
    <w:rsid w:val="00C1420D"/>
    <w:rsid w:val="00C17ABA"/>
    <w:rsid w:val="00C23E05"/>
    <w:rsid w:val="00C24CBE"/>
    <w:rsid w:val="00C25572"/>
    <w:rsid w:val="00C26127"/>
    <w:rsid w:val="00C2763F"/>
    <w:rsid w:val="00C310F7"/>
    <w:rsid w:val="00C31EFA"/>
    <w:rsid w:val="00C33AB5"/>
    <w:rsid w:val="00C35378"/>
    <w:rsid w:val="00C40007"/>
    <w:rsid w:val="00C407C7"/>
    <w:rsid w:val="00C41615"/>
    <w:rsid w:val="00C41FD5"/>
    <w:rsid w:val="00C43D45"/>
    <w:rsid w:val="00C43D68"/>
    <w:rsid w:val="00C44AFD"/>
    <w:rsid w:val="00C479EC"/>
    <w:rsid w:val="00C47B2F"/>
    <w:rsid w:val="00C47E74"/>
    <w:rsid w:val="00C51295"/>
    <w:rsid w:val="00C51579"/>
    <w:rsid w:val="00C52CD9"/>
    <w:rsid w:val="00C54B3F"/>
    <w:rsid w:val="00C54B88"/>
    <w:rsid w:val="00C5529B"/>
    <w:rsid w:val="00C6039F"/>
    <w:rsid w:val="00C60A25"/>
    <w:rsid w:val="00C60FA4"/>
    <w:rsid w:val="00C642BC"/>
    <w:rsid w:val="00C64F7F"/>
    <w:rsid w:val="00C650F8"/>
    <w:rsid w:val="00C657E1"/>
    <w:rsid w:val="00C65B1F"/>
    <w:rsid w:val="00C66A47"/>
    <w:rsid w:val="00C72A23"/>
    <w:rsid w:val="00C74175"/>
    <w:rsid w:val="00C75459"/>
    <w:rsid w:val="00C754A3"/>
    <w:rsid w:val="00C75B3A"/>
    <w:rsid w:val="00C764E9"/>
    <w:rsid w:val="00C76944"/>
    <w:rsid w:val="00C777A2"/>
    <w:rsid w:val="00C77F45"/>
    <w:rsid w:val="00C77FF6"/>
    <w:rsid w:val="00C815B4"/>
    <w:rsid w:val="00C81DA7"/>
    <w:rsid w:val="00C82A5F"/>
    <w:rsid w:val="00C864E4"/>
    <w:rsid w:val="00C901C6"/>
    <w:rsid w:val="00C9035E"/>
    <w:rsid w:val="00C90BBF"/>
    <w:rsid w:val="00C90C45"/>
    <w:rsid w:val="00C915AE"/>
    <w:rsid w:val="00C91D0D"/>
    <w:rsid w:val="00C942A8"/>
    <w:rsid w:val="00C95949"/>
    <w:rsid w:val="00C95BCB"/>
    <w:rsid w:val="00CA265A"/>
    <w:rsid w:val="00CA27E0"/>
    <w:rsid w:val="00CA38D6"/>
    <w:rsid w:val="00CB01BF"/>
    <w:rsid w:val="00CB197E"/>
    <w:rsid w:val="00CB2576"/>
    <w:rsid w:val="00CB3575"/>
    <w:rsid w:val="00CB40DE"/>
    <w:rsid w:val="00CC00A0"/>
    <w:rsid w:val="00CC3286"/>
    <w:rsid w:val="00CC336C"/>
    <w:rsid w:val="00CD0EB5"/>
    <w:rsid w:val="00CD173E"/>
    <w:rsid w:val="00CD41CB"/>
    <w:rsid w:val="00CD47B3"/>
    <w:rsid w:val="00CD49BB"/>
    <w:rsid w:val="00CD5CDD"/>
    <w:rsid w:val="00CE0F30"/>
    <w:rsid w:val="00CE550C"/>
    <w:rsid w:val="00CF18E3"/>
    <w:rsid w:val="00CF244D"/>
    <w:rsid w:val="00CF2A2F"/>
    <w:rsid w:val="00CF3083"/>
    <w:rsid w:val="00CF6331"/>
    <w:rsid w:val="00CF6D54"/>
    <w:rsid w:val="00CF74CF"/>
    <w:rsid w:val="00CF76E8"/>
    <w:rsid w:val="00D00993"/>
    <w:rsid w:val="00D01583"/>
    <w:rsid w:val="00D0184F"/>
    <w:rsid w:val="00D01D25"/>
    <w:rsid w:val="00D037C4"/>
    <w:rsid w:val="00D03D9F"/>
    <w:rsid w:val="00D062C6"/>
    <w:rsid w:val="00D077DF"/>
    <w:rsid w:val="00D110BE"/>
    <w:rsid w:val="00D12779"/>
    <w:rsid w:val="00D12B26"/>
    <w:rsid w:val="00D146CF"/>
    <w:rsid w:val="00D14C03"/>
    <w:rsid w:val="00D14EA8"/>
    <w:rsid w:val="00D16271"/>
    <w:rsid w:val="00D17D2D"/>
    <w:rsid w:val="00D2049E"/>
    <w:rsid w:val="00D22FE7"/>
    <w:rsid w:val="00D23468"/>
    <w:rsid w:val="00D234CA"/>
    <w:rsid w:val="00D239F4"/>
    <w:rsid w:val="00D24D17"/>
    <w:rsid w:val="00D25DCE"/>
    <w:rsid w:val="00D27D0F"/>
    <w:rsid w:val="00D31E4F"/>
    <w:rsid w:val="00D350FD"/>
    <w:rsid w:val="00D3581F"/>
    <w:rsid w:val="00D366FF"/>
    <w:rsid w:val="00D36B7C"/>
    <w:rsid w:val="00D4127C"/>
    <w:rsid w:val="00D41414"/>
    <w:rsid w:val="00D43D25"/>
    <w:rsid w:val="00D43D3D"/>
    <w:rsid w:val="00D442DE"/>
    <w:rsid w:val="00D447DC"/>
    <w:rsid w:val="00D45465"/>
    <w:rsid w:val="00D45547"/>
    <w:rsid w:val="00D50091"/>
    <w:rsid w:val="00D52EAE"/>
    <w:rsid w:val="00D53D70"/>
    <w:rsid w:val="00D54244"/>
    <w:rsid w:val="00D545DD"/>
    <w:rsid w:val="00D6160D"/>
    <w:rsid w:val="00D62B37"/>
    <w:rsid w:val="00D63733"/>
    <w:rsid w:val="00D65890"/>
    <w:rsid w:val="00D658A4"/>
    <w:rsid w:val="00D663CB"/>
    <w:rsid w:val="00D67BB4"/>
    <w:rsid w:val="00D7598C"/>
    <w:rsid w:val="00D80478"/>
    <w:rsid w:val="00D83BF3"/>
    <w:rsid w:val="00D850C5"/>
    <w:rsid w:val="00D85F1C"/>
    <w:rsid w:val="00D8646A"/>
    <w:rsid w:val="00D866C5"/>
    <w:rsid w:val="00D87028"/>
    <w:rsid w:val="00D92749"/>
    <w:rsid w:val="00D93BB6"/>
    <w:rsid w:val="00D9558F"/>
    <w:rsid w:val="00D95638"/>
    <w:rsid w:val="00D95FEA"/>
    <w:rsid w:val="00D96C18"/>
    <w:rsid w:val="00DA0810"/>
    <w:rsid w:val="00DA0A83"/>
    <w:rsid w:val="00DA10AB"/>
    <w:rsid w:val="00DA1380"/>
    <w:rsid w:val="00DA2CC3"/>
    <w:rsid w:val="00DA49AF"/>
    <w:rsid w:val="00DA4F4F"/>
    <w:rsid w:val="00DA7BCE"/>
    <w:rsid w:val="00DB333A"/>
    <w:rsid w:val="00DB434D"/>
    <w:rsid w:val="00DB4AA4"/>
    <w:rsid w:val="00DB507D"/>
    <w:rsid w:val="00DB5751"/>
    <w:rsid w:val="00DB68C2"/>
    <w:rsid w:val="00DB7536"/>
    <w:rsid w:val="00DC02CD"/>
    <w:rsid w:val="00DC0879"/>
    <w:rsid w:val="00DC196B"/>
    <w:rsid w:val="00DC5064"/>
    <w:rsid w:val="00DC636C"/>
    <w:rsid w:val="00DD0781"/>
    <w:rsid w:val="00DD2CA8"/>
    <w:rsid w:val="00DD31CD"/>
    <w:rsid w:val="00DD3636"/>
    <w:rsid w:val="00DD3D83"/>
    <w:rsid w:val="00DD4B56"/>
    <w:rsid w:val="00DD5225"/>
    <w:rsid w:val="00DD6350"/>
    <w:rsid w:val="00DD686F"/>
    <w:rsid w:val="00DD773F"/>
    <w:rsid w:val="00DE1BF9"/>
    <w:rsid w:val="00DE4CF0"/>
    <w:rsid w:val="00DE580B"/>
    <w:rsid w:val="00DE677E"/>
    <w:rsid w:val="00DE78FD"/>
    <w:rsid w:val="00DF011B"/>
    <w:rsid w:val="00DF17FF"/>
    <w:rsid w:val="00DF5C1A"/>
    <w:rsid w:val="00E02A52"/>
    <w:rsid w:val="00E03616"/>
    <w:rsid w:val="00E03F2F"/>
    <w:rsid w:val="00E05E3E"/>
    <w:rsid w:val="00E0722A"/>
    <w:rsid w:val="00E114BF"/>
    <w:rsid w:val="00E12F1D"/>
    <w:rsid w:val="00E135B5"/>
    <w:rsid w:val="00E14DB7"/>
    <w:rsid w:val="00E14EB5"/>
    <w:rsid w:val="00E151B2"/>
    <w:rsid w:val="00E17F67"/>
    <w:rsid w:val="00E20A92"/>
    <w:rsid w:val="00E20AAE"/>
    <w:rsid w:val="00E219E1"/>
    <w:rsid w:val="00E21DAF"/>
    <w:rsid w:val="00E21FAC"/>
    <w:rsid w:val="00E23583"/>
    <w:rsid w:val="00E27001"/>
    <w:rsid w:val="00E305A9"/>
    <w:rsid w:val="00E30B71"/>
    <w:rsid w:val="00E31871"/>
    <w:rsid w:val="00E342C6"/>
    <w:rsid w:val="00E35E93"/>
    <w:rsid w:val="00E4290A"/>
    <w:rsid w:val="00E42F64"/>
    <w:rsid w:val="00E43842"/>
    <w:rsid w:val="00E44EC6"/>
    <w:rsid w:val="00E4597D"/>
    <w:rsid w:val="00E50591"/>
    <w:rsid w:val="00E50801"/>
    <w:rsid w:val="00E54717"/>
    <w:rsid w:val="00E55715"/>
    <w:rsid w:val="00E55B9F"/>
    <w:rsid w:val="00E578D1"/>
    <w:rsid w:val="00E603C5"/>
    <w:rsid w:val="00E60C85"/>
    <w:rsid w:val="00E61257"/>
    <w:rsid w:val="00E65F5C"/>
    <w:rsid w:val="00E70EFC"/>
    <w:rsid w:val="00E71C53"/>
    <w:rsid w:val="00E732E5"/>
    <w:rsid w:val="00E73CFB"/>
    <w:rsid w:val="00E748EC"/>
    <w:rsid w:val="00E75BA6"/>
    <w:rsid w:val="00E76068"/>
    <w:rsid w:val="00E778F2"/>
    <w:rsid w:val="00E81001"/>
    <w:rsid w:val="00E8341D"/>
    <w:rsid w:val="00E83D7F"/>
    <w:rsid w:val="00E85C62"/>
    <w:rsid w:val="00E85D23"/>
    <w:rsid w:val="00E86835"/>
    <w:rsid w:val="00E8748C"/>
    <w:rsid w:val="00E91408"/>
    <w:rsid w:val="00E91591"/>
    <w:rsid w:val="00E92318"/>
    <w:rsid w:val="00E923CE"/>
    <w:rsid w:val="00E92A04"/>
    <w:rsid w:val="00E940AC"/>
    <w:rsid w:val="00E958FD"/>
    <w:rsid w:val="00E95A09"/>
    <w:rsid w:val="00EA025D"/>
    <w:rsid w:val="00EA13BB"/>
    <w:rsid w:val="00EA1CAB"/>
    <w:rsid w:val="00EA39A2"/>
    <w:rsid w:val="00EA3D3D"/>
    <w:rsid w:val="00EA3DA7"/>
    <w:rsid w:val="00EA4EAF"/>
    <w:rsid w:val="00EB22B0"/>
    <w:rsid w:val="00EB3D9C"/>
    <w:rsid w:val="00EB47F0"/>
    <w:rsid w:val="00EB5EFF"/>
    <w:rsid w:val="00EB7999"/>
    <w:rsid w:val="00EC0077"/>
    <w:rsid w:val="00EC315A"/>
    <w:rsid w:val="00EC3FCA"/>
    <w:rsid w:val="00EC49DC"/>
    <w:rsid w:val="00EC4A92"/>
    <w:rsid w:val="00ED0204"/>
    <w:rsid w:val="00ED0B92"/>
    <w:rsid w:val="00ED4144"/>
    <w:rsid w:val="00ED5AD1"/>
    <w:rsid w:val="00EE79F3"/>
    <w:rsid w:val="00EF0824"/>
    <w:rsid w:val="00EF3D6C"/>
    <w:rsid w:val="00EF50F3"/>
    <w:rsid w:val="00EF54C8"/>
    <w:rsid w:val="00EF6DB2"/>
    <w:rsid w:val="00EF79A0"/>
    <w:rsid w:val="00F00013"/>
    <w:rsid w:val="00F00A3B"/>
    <w:rsid w:val="00F00E69"/>
    <w:rsid w:val="00F114F0"/>
    <w:rsid w:val="00F11C8E"/>
    <w:rsid w:val="00F13215"/>
    <w:rsid w:val="00F15470"/>
    <w:rsid w:val="00F17306"/>
    <w:rsid w:val="00F22624"/>
    <w:rsid w:val="00F24B16"/>
    <w:rsid w:val="00F3129C"/>
    <w:rsid w:val="00F31553"/>
    <w:rsid w:val="00F3228A"/>
    <w:rsid w:val="00F32A89"/>
    <w:rsid w:val="00F33036"/>
    <w:rsid w:val="00F3355B"/>
    <w:rsid w:val="00F33F4A"/>
    <w:rsid w:val="00F3475A"/>
    <w:rsid w:val="00F35498"/>
    <w:rsid w:val="00F35F31"/>
    <w:rsid w:val="00F36A2B"/>
    <w:rsid w:val="00F439EE"/>
    <w:rsid w:val="00F43A02"/>
    <w:rsid w:val="00F457C7"/>
    <w:rsid w:val="00F45B14"/>
    <w:rsid w:val="00F45E6E"/>
    <w:rsid w:val="00F4666C"/>
    <w:rsid w:val="00F46A26"/>
    <w:rsid w:val="00F4722C"/>
    <w:rsid w:val="00F4754D"/>
    <w:rsid w:val="00F50164"/>
    <w:rsid w:val="00F50847"/>
    <w:rsid w:val="00F51E31"/>
    <w:rsid w:val="00F5239E"/>
    <w:rsid w:val="00F53B16"/>
    <w:rsid w:val="00F557BC"/>
    <w:rsid w:val="00F55E38"/>
    <w:rsid w:val="00F61BA3"/>
    <w:rsid w:val="00F61D40"/>
    <w:rsid w:val="00F62FF0"/>
    <w:rsid w:val="00F6499B"/>
    <w:rsid w:val="00F6691E"/>
    <w:rsid w:val="00F7255B"/>
    <w:rsid w:val="00F72AA1"/>
    <w:rsid w:val="00F74906"/>
    <w:rsid w:val="00F74ABB"/>
    <w:rsid w:val="00F801BD"/>
    <w:rsid w:val="00F801F8"/>
    <w:rsid w:val="00F826B3"/>
    <w:rsid w:val="00F83D45"/>
    <w:rsid w:val="00F859F3"/>
    <w:rsid w:val="00F86441"/>
    <w:rsid w:val="00F86965"/>
    <w:rsid w:val="00F87041"/>
    <w:rsid w:val="00F90460"/>
    <w:rsid w:val="00F92052"/>
    <w:rsid w:val="00F938CE"/>
    <w:rsid w:val="00F945F2"/>
    <w:rsid w:val="00F94843"/>
    <w:rsid w:val="00F94F3E"/>
    <w:rsid w:val="00FA03F5"/>
    <w:rsid w:val="00FA26AA"/>
    <w:rsid w:val="00FA3483"/>
    <w:rsid w:val="00FA37D4"/>
    <w:rsid w:val="00FA3B6E"/>
    <w:rsid w:val="00FA4679"/>
    <w:rsid w:val="00FA66B1"/>
    <w:rsid w:val="00FA71FA"/>
    <w:rsid w:val="00FA7DEA"/>
    <w:rsid w:val="00FB1BFC"/>
    <w:rsid w:val="00FB1CAF"/>
    <w:rsid w:val="00FB1F31"/>
    <w:rsid w:val="00FC0DE1"/>
    <w:rsid w:val="00FC32ED"/>
    <w:rsid w:val="00FC3D84"/>
    <w:rsid w:val="00FC4D75"/>
    <w:rsid w:val="00FC4DA5"/>
    <w:rsid w:val="00FC4E16"/>
    <w:rsid w:val="00FC5384"/>
    <w:rsid w:val="00FC60A2"/>
    <w:rsid w:val="00FC6332"/>
    <w:rsid w:val="00FC6AC4"/>
    <w:rsid w:val="00FC74B8"/>
    <w:rsid w:val="00FC7D81"/>
    <w:rsid w:val="00FD07EB"/>
    <w:rsid w:val="00FD1C48"/>
    <w:rsid w:val="00FD301B"/>
    <w:rsid w:val="00FD425B"/>
    <w:rsid w:val="00FD44B7"/>
    <w:rsid w:val="00FD4FF5"/>
    <w:rsid w:val="00FD6577"/>
    <w:rsid w:val="00FE2AA7"/>
    <w:rsid w:val="00FE2D55"/>
    <w:rsid w:val="00FE4D07"/>
    <w:rsid w:val="00FE51F8"/>
    <w:rsid w:val="00FE74CA"/>
    <w:rsid w:val="00FE7C15"/>
    <w:rsid w:val="00FF5EEC"/>
    <w:rsid w:val="00FF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6BF0"/>
  <w15:docId w15:val="{C5DED628-F7CD-4543-A8F0-F07FA4C8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72"/>
    <w:pPr>
      <w:spacing w:before="480" w:line="360" w:lineRule="auto"/>
      <w:jc w:val="both"/>
    </w:pPr>
    <w:rPr>
      <w:rFonts w:ascii="Times New Roman" w:eastAsia="Arial Unicode MS" w:hAnsi="Times New Roman" w:cs="Times New Roman"/>
      <w:sz w:val="24"/>
      <w:szCs w:val="24"/>
    </w:rPr>
  </w:style>
  <w:style w:type="paragraph" w:styleId="Heading1">
    <w:name w:val="heading 1"/>
    <w:basedOn w:val="Normal"/>
    <w:next w:val="Normal"/>
    <w:link w:val="Heading1Char"/>
    <w:uiPriority w:val="9"/>
    <w:qFormat/>
    <w:rsid w:val="00020218"/>
    <w:pPr>
      <w:keepNext/>
      <w:keepLines/>
      <w:numPr>
        <w:numId w:val="3"/>
      </w:numPr>
      <w:spacing w:before="720" w:after="120"/>
      <w:ind w:left="431" w:hanging="431"/>
      <w:outlineLvl w:val="0"/>
    </w:pPr>
    <w:rPr>
      <w:b/>
      <w:sz w:val="32"/>
      <w:szCs w:val="32"/>
    </w:rPr>
  </w:style>
  <w:style w:type="paragraph" w:styleId="Heading2">
    <w:name w:val="heading 2"/>
    <w:basedOn w:val="Normal"/>
    <w:next w:val="Normal"/>
    <w:link w:val="Heading2Char"/>
    <w:uiPriority w:val="9"/>
    <w:unhideWhenUsed/>
    <w:qFormat/>
    <w:rsid w:val="00361672"/>
    <w:pPr>
      <w:keepNext/>
      <w:keepLines/>
      <w:numPr>
        <w:ilvl w:val="1"/>
        <w:numId w:val="3"/>
      </w:numPr>
      <w:spacing w:before="720" w:after="240" w:line="240" w:lineRule="auto"/>
      <w:ind w:left="578" w:hanging="578"/>
      <w:outlineLvl w:val="1"/>
    </w:pPr>
    <w:rPr>
      <w:rFonts w:eastAsiaTheme="majorEastAsia"/>
      <w:b/>
      <w:sz w:val="26"/>
      <w:szCs w:val="26"/>
    </w:rPr>
  </w:style>
  <w:style w:type="paragraph" w:styleId="Heading3">
    <w:name w:val="heading 3"/>
    <w:basedOn w:val="Normal"/>
    <w:next w:val="Normal"/>
    <w:link w:val="Heading3Char"/>
    <w:uiPriority w:val="9"/>
    <w:unhideWhenUsed/>
    <w:qFormat/>
    <w:rsid w:val="00C00E22"/>
    <w:pPr>
      <w:keepNext/>
      <w:keepLines/>
      <w:numPr>
        <w:ilvl w:val="2"/>
        <w:numId w:val="3"/>
      </w:numPr>
      <w:spacing w:before="200" w:after="0"/>
      <w:outlineLvl w:val="2"/>
    </w:pPr>
    <w:rPr>
      <w:b/>
    </w:rPr>
  </w:style>
  <w:style w:type="paragraph" w:styleId="Heading4">
    <w:name w:val="heading 4"/>
    <w:basedOn w:val="Normal"/>
    <w:next w:val="Normal"/>
    <w:link w:val="Heading4Char"/>
    <w:uiPriority w:val="9"/>
    <w:semiHidden/>
    <w:unhideWhenUsed/>
    <w:qFormat/>
    <w:rsid w:val="000C51C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C51C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51C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51C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51C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1C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B03"/>
    <w:pPr>
      <w:spacing w:after="0" w:line="240" w:lineRule="auto"/>
      <w:contextualSpacing/>
      <w:jc w:val="center"/>
    </w:pPr>
    <w:rPr>
      <w:rFonts w:eastAsiaTheme="majorEastAsia"/>
      <w:spacing w:val="-10"/>
      <w:kern w:val="28"/>
      <w:sz w:val="36"/>
      <w:szCs w:val="56"/>
    </w:rPr>
  </w:style>
  <w:style w:type="character" w:customStyle="1" w:styleId="TitleChar">
    <w:name w:val="Title Char"/>
    <w:basedOn w:val="DefaultParagraphFont"/>
    <w:link w:val="Title"/>
    <w:uiPriority w:val="10"/>
    <w:rsid w:val="00035B03"/>
    <w:rPr>
      <w:rFonts w:ascii="Times New Roman" w:eastAsiaTheme="majorEastAsia" w:hAnsi="Times New Roman" w:cs="Times New Roman"/>
      <w:spacing w:val="-10"/>
      <w:kern w:val="28"/>
      <w:sz w:val="36"/>
      <w:szCs w:val="56"/>
    </w:rPr>
  </w:style>
  <w:style w:type="paragraph" w:styleId="ListParagraph">
    <w:name w:val="List Paragraph"/>
    <w:basedOn w:val="Normal"/>
    <w:uiPriority w:val="34"/>
    <w:qFormat/>
    <w:rsid w:val="00CB197E"/>
    <w:pPr>
      <w:ind w:left="720"/>
      <w:contextualSpacing/>
    </w:pPr>
  </w:style>
  <w:style w:type="character" w:customStyle="1" w:styleId="Heading1Char">
    <w:name w:val="Heading 1 Char"/>
    <w:basedOn w:val="DefaultParagraphFont"/>
    <w:link w:val="Heading1"/>
    <w:uiPriority w:val="9"/>
    <w:rsid w:val="00020218"/>
    <w:rPr>
      <w:rFonts w:ascii="Times New Roman" w:eastAsia="Arial Unicode MS" w:hAnsi="Times New Roman" w:cs="Times New Roman"/>
      <w:b/>
      <w:sz w:val="32"/>
      <w:szCs w:val="32"/>
    </w:rPr>
  </w:style>
  <w:style w:type="character" w:customStyle="1" w:styleId="Heading2Char">
    <w:name w:val="Heading 2 Char"/>
    <w:basedOn w:val="DefaultParagraphFont"/>
    <w:link w:val="Heading2"/>
    <w:uiPriority w:val="9"/>
    <w:rsid w:val="00361672"/>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C00E22"/>
    <w:rPr>
      <w:rFonts w:ascii="CMU Serif" w:eastAsia="Arial Unicode MS" w:hAnsi="CMU Serif" w:cs="CMU Serif"/>
      <w:b/>
      <w:sz w:val="24"/>
      <w:szCs w:val="24"/>
    </w:rPr>
  </w:style>
  <w:style w:type="character" w:customStyle="1" w:styleId="Heading4Char">
    <w:name w:val="Heading 4 Char"/>
    <w:basedOn w:val="DefaultParagraphFont"/>
    <w:link w:val="Heading4"/>
    <w:uiPriority w:val="9"/>
    <w:semiHidden/>
    <w:rsid w:val="000C51C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0C51C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0C51CD"/>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0C51C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0C51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1C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8313E2"/>
    <w:pPr>
      <w:spacing w:before="100" w:beforeAutospacing="1" w:after="100" w:afterAutospacing="1" w:line="240" w:lineRule="auto"/>
      <w:jc w:val="left"/>
    </w:pPr>
    <w:rPr>
      <w:rFonts w:eastAsiaTheme="minorEastAsia"/>
      <w:lang w:eastAsia="en-GB"/>
    </w:rPr>
  </w:style>
  <w:style w:type="paragraph" w:styleId="Caption">
    <w:name w:val="caption"/>
    <w:basedOn w:val="Normal"/>
    <w:next w:val="Normal"/>
    <w:uiPriority w:val="35"/>
    <w:unhideWhenUsed/>
    <w:qFormat/>
    <w:rsid w:val="000852F1"/>
    <w:pPr>
      <w:keepNext/>
      <w:spacing w:after="0" w:line="480" w:lineRule="auto"/>
      <w:jc w:val="center"/>
    </w:pPr>
    <w:rPr>
      <w:bCs/>
    </w:rPr>
  </w:style>
  <w:style w:type="table" w:customStyle="1" w:styleId="ListTable6Colorful1">
    <w:name w:val="List Table 6 Colorful1"/>
    <w:aliases w:val="ManuTable"/>
    <w:basedOn w:val="TableNormal"/>
    <w:uiPriority w:val="51"/>
    <w:rsid w:val="00162A5F"/>
    <w:pPr>
      <w:spacing w:after="0" w:line="240" w:lineRule="auto"/>
    </w:pPr>
    <w:rPr>
      <w:rFonts w:ascii="Times New Roman" w:hAnsi="Times New Roman"/>
      <w:color w:val="000000" w:themeColor="text1"/>
      <w:sz w:val="24"/>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TableGrid">
    <w:name w:val="Table Grid"/>
    <w:basedOn w:val="TableNormal"/>
    <w:uiPriority w:val="39"/>
    <w:rsid w:val="0080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14F0"/>
    <w:rPr>
      <w:color w:val="808080"/>
    </w:rPr>
  </w:style>
  <w:style w:type="table" w:customStyle="1" w:styleId="PlainTable21">
    <w:name w:val="Plain Table 21"/>
    <w:basedOn w:val="TableNormal"/>
    <w:uiPriority w:val="42"/>
    <w:rsid w:val="00C0725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varticle">
    <w:name w:val="svarticle"/>
    <w:basedOn w:val="Normal"/>
    <w:rsid w:val="00D31E4F"/>
    <w:pPr>
      <w:spacing w:before="100" w:beforeAutospacing="1" w:after="100" w:afterAutospacing="1" w:line="240" w:lineRule="auto"/>
      <w:jc w:val="left"/>
    </w:pPr>
    <w:rPr>
      <w:rFonts w:eastAsia="Times New Roman"/>
      <w:lang w:eastAsia="en-GB"/>
    </w:rPr>
  </w:style>
  <w:style w:type="character" w:customStyle="1" w:styleId="apple-converted-space">
    <w:name w:val="apple-converted-space"/>
    <w:basedOn w:val="DefaultParagraphFont"/>
    <w:rsid w:val="00D31E4F"/>
  </w:style>
  <w:style w:type="character" w:styleId="Hyperlink">
    <w:name w:val="Hyperlink"/>
    <w:basedOn w:val="DefaultParagraphFont"/>
    <w:uiPriority w:val="99"/>
    <w:unhideWhenUsed/>
    <w:rsid w:val="00D31E4F"/>
    <w:rPr>
      <w:color w:val="0000FF"/>
      <w:u w:val="single"/>
    </w:rPr>
  </w:style>
  <w:style w:type="character" w:styleId="SubtleEmphasis">
    <w:name w:val="Subtle Emphasis"/>
    <w:uiPriority w:val="19"/>
    <w:qFormat/>
    <w:rsid w:val="00163A35"/>
    <w:rPr>
      <w:rFonts w:ascii="CMU Serif" w:hAnsi="CMU Serif"/>
      <w:b/>
      <w:i/>
      <w:u w:val="single"/>
    </w:rPr>
  </w:style>
  <w:style w:type="paragraph" w:styleId="NoSpacing">
    <w:name w:val="No Spacing"/>
    <w:uiPriority w:val="1"/>
    <w:qFormat/>
    <w:rsid w:val="00361672"/>
    <w:pPr>
      <w:spacing w:after="0" w:line="240" w:lineRule="auto"/>
      <w:jc w:val="both"/>
    </w:pPr>
    <w:rPr>
      <w:rFonts w:ascii="Times New Roman" w:eastAsia="Arial Unicode MS" w:hAnsi="Times New Roman" w:cs="Times New Roman"/>
      <w:sz w:val="24"/>
      <w:szCs w:val="24"/>
    </w:rPr>
  </w:style>
  <w:style w:type="paragraph" w:customStyle="1" w:styleId="MiniHead">
    <w:name w:val="Mini Head"/>
    <w:basedOn w:val="Normal"/>
    <w:next w:val="Normal"/>
    <w:link w:val="MiniHeadChar"/>
    <w:qFormat/>
    <w:rsid w:val="00050E52"/>
    <w:rPr>
      <w:b/>
      <w:i/>
      <w:color w:val="FF0000"/>
      <w:u w:val="single"/>
    </w:rPr>
  </w:style>
  <w:style w:type="character" w:customStyle="1" w:styleId="MiniHeadChar">
    <w:name w:val="Mini Head Char"/>
    <w:basedOn w:val="DefaultParagraphFont"/>
    <w:link w:val="MiniHead"/>
    <w:rsid w:val="00050E52"/>
    <w:rPr>
      <w:rFonts w:ascii="CMU Serif" w:eastAsia="Arial Unicode MS" w:hAnsi="CMU Serif" w:cs="CMU Serif"/>
      <w:b/>
      <w:i/>
      <w:color w:val="FF0000"/>
      <w:sz w:val="24"/>
      <w:szCs w:val="24"/>
      <w:u w:val="single"/>
    </w:rPr>
  </w:style>
  <w:style w:type="character" w:styleId="FollowedHyperlink">
    <w:name w:val="FollowedHyperlink"/>
    <w:basedOn w:val="DefaultParagraphFont"/>
    <w:uiPriority w:val="99"/>
    <w:semiHidden/>
    <w:unhideWhenUsed/>
    <w:rsid w:val="000C66DF"/>
    <w:rPr>
      <w:color w:val="954F72" w:themeColor="followedHyperlink"/>
      <w:u w:val="single"/>
    </w:rPr>
  </w:style>
  <w:style w:type="paragraph" w:styleId="BalloonText">
    <w:name w:val="Balloon Text"/>
    <w:basedOn w:val="Normal"/>
    <w:link w:val="BalloonTextChar"/>
    <w:uiPriority w:val="99"/>
    <w:semiHidden/>
    <w:unhideWhenUsed/>
    <w:rsid w:val="0069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0B"/>
    <w:rPr>
      <w:rFonts w:ascii="Segoe UI" w:eastAsia="Arial Unicode MS" w:hAnsi="Segoe UI" w:cs="Segoe UI"/>
      <w:sz w:val="18"/>
      <w:szCs w:val="18"/>
    </w:rPr>
  </w:style>
  <w:style w:type="table" w:styleId="ListTable6Colorful">
    <w:name w:val="List Table 6 Colorful"/>
    <w:basedOn w:val="TableNormal"/>
    <w:uiPriority w:val="51"/>
    <w:rsid w:val="004255F4"/>
    <w:pPr>
      <w:spacing w:after="0" w:line="240" w:lineRule="auto"/>
    </w:pPr>
    <w:rPr>
      <w:rFonts w:ascii="Times New Roman" w:hAnsi="Times New Roman"/>
      <w:color w:val="000000" w:themeColor="text1"/>
      <w:sz w:val="24"/>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0539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3972"/>
    <w:rPr>
      <w:rFonts w:ascii="Arial" w:eastAsia="Arial Unicode MS" w:hAnsi="Arial" w:cs="Arial"/>
      <w:vanish/>
      <w:sz w:val="16"/>
      <w:szCs w:val="16"/>
    </w:rPr>
  </w:style>
  <w:style w:type="paragraph" w:styleId="z-BottomofForm">
    <w:name w:val="HTML Bottom of Form"/>
    <w:basedOn w:val="Normal"/>
    <w:next w:val="Normal"/>
    <w:link w:val="z-BottomofFormChar"/>
    <w:hidden/>
    <w:uiPriority w:val="99"/>
    <w:semiHidden/>
    <w:unhideWhenUsed/>
    <w:rsid w:val="000539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3972"/>
    <w:rPr>
      <w:rFonts w:ascii="Arial" w:eastAsia="Arial Unicode MS" w:hAnsi="Arial" w:cs="Arial"/>
      <w:vanish/>
      <w:sz w:val="16"/>
      <w:szCs w:val="16"/>
    </w:rPr>
  </w:style>
  <w:style w:type="paragraph" w:styleId="Header">
    <w:name w:val="header"/>
    <w:basedOn w:val="Normal"/>
    <w:link w:val="HeaderChar"/>
    <w:uiPriority w:val="99"/>
    <w:unhideWhenUsed/>
    <w:rsid w:val="009E3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41E"/>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9E3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41E"/>
    <w:rPr>
      <w:rFonts w:ascii="Times New Roman" w:eastAsia="Arial Unicode MS" w:hAnsi="Times New Roman" w:cs="Times New Roman"/>
      <w:sz w:val="24"/>
      <w:szCs w:val="24"/>
    </w:rPr>
  </w:style>
  <w:style w:type="paragraph" w:styleId="Revision">
    <w:name w:val="Revision"/>
    <w:hidden/>
    <w:uiPriority w:val="99"/>
    <w:semiHidden/>
    <w:rsid w:val="00DA1380"/>
    <w:pPr>
      <w:spacing w:after="0" w:line="240" w:lineRule="auto"/>
    </w:pPr>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DA1380"/>
    <w:rPr>
      <w:sz w:val="16"/>
      <w:szCs w:val="16"/>
    </w:rPr>
  </w:style>
  <w:style w:type="paragraph" w:styleId="CommentText">
    <w:name w:val="annotation text"/>
    <w:basedOn w:val="Normal"/>
    <w:link w:val="CommentTextChar"/>
    <w:uiPriority w:val="99"/>
    <w:semiHidden/>
    <w:unhideWhenUsed/>
    <w:rsid w:val="00DA1380"/>
    <w:pPr>
      <w:spacing w:line="240" w:lineRule="auto"/>
    </w:pPr>
    <w:rPr>
      <w:sz w:val="20"/>
      <w:szCs w:val="20"/>
    </w:rPr>
  </w:style>
  <w:style w:type="character" w:customStyle="1" w:styleId="CommentTextChar">
    <w:name w:val="Comment Text Char"/>
    <w:basedOn w:val="DefaultParagraphFont"/>
    <w:link w:val="CommentText"/>
    <w:uiPriority w:val="99"/>
    <w:semiHidden/>
    <w:rsid w:val="00DA1380"/>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1380"/>
    <w:rPr>
      <w:b/>
      <w:bCs/>
    </w:rPr>
  </w:style>
  <w:style w:type="character" w:customStyle="1" w:styleId="CommentSubjectChar">
    <w:name w:val="Comment Subject Char"/>
    <w:basedOn w:val="CommentTextChar"/>
    <w:link w:val="CommentSubject"/>
    <w:uiPriority w:val="99"/>
    <w:semiHidden/>
    <w:rsid w:val="00DA1380"/>
    <w:rPr>
      <w:rFonts w:ascii="Times New Roman" w:eastAsia="Arial Unicode MS" w:hAnsi="Times New Roman" w:cs="Times New Roman"/>
      <w:b/>
      <w:bCs/>
      <w:sz w:val="20"/>
      <w:szCs w:val="20"/>
    </w:rPr>
  </w:style>
  <w:style w:type="character" w:styleId="LineNumber">
    <w:name w:val="line number"/>
    <w:basedOn w:val="DefaultParagraphFont"/>
    <w:uiPriority w:val="99"/>
    <w:semiHidden/>
    <w:unhideWhenUsed/>
    <w:rsid w:val="00361672"/>
  </w:style>
  <w:style w:type="paragraph" w:customStyle="1" w:styleId="ManuscriptTitle">
    <w:name w:val="Manuscript Title"/>
    <w:basedOn w:val="Normal"/>
    <w:link w:val="ManuscriptTitleChar"/>
    <w:qFormat/>
    <w:rsid w:val="00F3355B"/>
    <w:pPr>
      <w:spacing w:before="0" w:after="360"/>
      <w:jc w:val="center"/>
    </w:pPr>
    <w:rPr>
      <w:rFonts w:eastAsiaTheme="minorHAnsi"/>
      <w:b/>
      <w:sz w:val="32"/>
    </w:rPr>
  </w:style>
  <w:style w:type="character" w:customStyle="1" w:styleId="ManuscriptTitleChar">
    <w:name w:val="Manuscript Title Char"/>
    <w:basedOn w:val="DefaultParagraphFont"/>
    <w:link w:val="ManuscriptTitle"/>
    <w:rsid w:val="00F3355B"/>
    <w:rPr>
      <w:rFonts w:ascii="Times New Roman" w:hAnsi="Times New Roman" w:cs="Times New Roman"/>
      <w:b/>
      <w:sz w:val="32"/>
      <w:szCs w:val="24"/>
    </w:rPr>
  </w:style>
  <w:style w:type="paragraph" w:styleId="FootnoteText">
    <w:name w:val="footnote text"/>
    <w:basedOn w:val="Normal"/>
    <w:link w:val="FootnoteTextChar"/>
    <w:uiPriority w:val="99"/>
    <w:semiHidden/>
    <w:unhideWhenUsed/>
    <w:rsid w:val="00F3355B"/>
    <w:pPr>
      <w:spacing w:before="0"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3355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33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9576">
      <w:bodyDiv w:val="1"/>
      <w:marLeft w:val="0"/>
      <w:marRight w:val="0"/>
      <w:marTop w:val="0"/>
      <w:marBottom w:val="0"/>
      <w:divBdr>
        <w:top w:val="none" w:sz="0" w:space="0" w:color="auto"/>
        <w:left w:val="none" w:sz="0" w:space="0" w:color="auto"/>
        <w:bottom w:val="none" w:sz="0" w:space="0" w:color="auto"/>
        <w:right w:val="none" w:sz="0" w:space="0" w:color="auto"/>
      </w:divBdr>
    </w:div>
    <w:div w:id="437717181">
      <w:bodyDiv w:val="1"/>
      <w:marLeft w:val="0"/>
      <w:marRight w:val="0"/>
      <w:marTop w:val="0"/>
      <w:marBottom w:val="0"/>
      <w:divBdr>
        <w:top w:val="none" w:sz="0" w:space="0" w:color="auto"/>
        <w:left w:val="none" w:sz="0" w:space="0" w:color="auto"/>
        <w:bottom w:val="none" w:sz="0" w:space="0" w:color="auto"/>
        <w:right w:val="none" w:sz="0" w:space="0" w:color="auto"/>
      </w:divBdr>
    </w:div>
    <w:div w:id="466238874">
      <w:bodyDiv w:val="1"/>
      <w:marLeft w:val="0"/>
      <w:marRight w:val="0"/>
      <w:marTop w:val="0"/>
      <w:marBottom w:val="0"/>
      <w:divBdr>
        <w:top w:val="none" w:sz="0" w:space="0" w:color="auto"/>
        <w:left w:val="none" w:sz="0" w:space="0" w:color="auto"/>
        <w:bottom w:val="none" w:sz="0" w:space="0" w:color="auto"/>
        <w:right w:val="none" w:sz="0" w:space="0" w:color="auto"/>
      </w:divBdr>
    </w:div>
    <w:div w:id="493226885">
      <w:bodyDiv w:val="1"/>
      <w:marLeft w:val="0"/>
      <w:marRight w:val="0"/>
      <w:marTop w:val="0"/>
      <w:marBottom w:val="0"/>
      <w:divBdr>
        <w:top w:val="none" w:sz="0" w:space="0" w:color="auto"/>
        <w:left w:val="none" w:sz="0" w:space="0" w:color="auto"/>
        <w:bottom w:val="none" w:sz="0" w:space="0" w:color="auto"/>
        <w:right w:val="none" w:sz="0" w:space="0" w:color="auto"/>
      </w:divBdr>
      <w:divsChild>
        <w:div w:id="2061781283">
          <w:marLeft w:val="547"/>
          <w:marRight w:val="0"/>
          <w:marTop w:val="0"/>
          <w:marBottom w:val="0"/>
          <w:divBdr>
            <w:top w:val="none" w:sz="0" w:space="0" w:color="auto"/>
            <w:left w:val="none" w:sz="0" w:space="0" w:color="auto"/>
            <w:bottom w:val="none" w:sz="0" w:space="0" w:color="auto"/>
            <w:right w:val="none" w:sz="0" w:space="0" w:color="auto"/>
          </w:divBdr>
        </w:div>
        <w:div w:id="350686480">
          <w:marLeft w:val="547"/>
          <w:marRight w:val="0"/>
          <w:marTop w:val="0"/>
          <w:marBottom w:val="0"/>
          <w:divBdr>
            <w:top w:val="none" w:sz="0" w:space="0" w:color="auto"/>
            <w:left w:val="none" w:sz="0" w:space="0" w:color="auto"/>
            <w:bottom w:val="none" w:sz="0" w:space="0" w:color="auto"/>
            <w:right w:val="none" w:sz="0" w:space="0" w:color="auto"/>
          </w:divBdr>
        </w:div>
      </w:divsChild>
    </w:div>
    <w:div w:id="709260927">
      <w:bodyDiv w:val="1"/>
      <w:marLeft w:val="0"/>
      <w:marRight w:val="0"/>
      <w:marTop w:val="0"/>
      <w:marBottom w:val="0"/>
      <w:divBdr>
        <w:top w:val="none" w:sz="0" w:space="0" w:color="auto"/>
        <w:left w:val="none" w:sz="0" w:space="0" w:color="auto"/>
        <w:bottom w:val="none" w:sz="0" w:space="0" w:color="auto"/>
        <w:right w:val="none" w:sz="0" w:space="0" w:color="auto"/>
      </w:divBdr>
      <w:divsChild>
        <w:div w:id="1521746658">
          <w:marLeft w:val="547"/>
          <w:marRight w:val="0"/>
          <w:marTop w:val="0"/>
          <w:marBottom w:val="0"/>
          <w:divBdr>
            <w:top w:val="none" w:sz="0" w:space="0" w:color="auto"/>
            <w:left w:val="none" w:sz="0" w:space="0" w:color="auto"/>
            <w:bottom w:val="none" w:sz="0" w:space="0" w:color="auto"/>
            <w:right w:val="none" w:sz="0" w:space="0" w:color="auto"/>
          </w:divBdr>
        </w:div>
        <w:div w:id="1296133969">
          <w:marLeft w:val="547"/>
          <w:marRight w:val="0"/>
          <w:marTop w:val="0"/>
          <w:marBottom w:val="0"/>
          <w:divBdr>
            <w:top w:val="none" w:sz="0" w:space="0" w:color="auto"/>
            <w:left w:val="none" w:sz="0" w:space="0" w:color="auto"/>
            <w:bottom w:val="none" w:sz="0" w:space="0" w:color="auto"/>
            <w:right w:val="none" w:sz="0" w:space="0" w:color="auto"/>
          </w:divBdr>
        </w:div>
        <w:div w:id="1298412254">
          <w:marLeft w:val="547"/>
          <w:marRight w:val="0"/>
          <w:marTop w:val="0"/>
          <w:marBottom w:val="0"/>
          <w:divBdr>
            <w:top w:val="none" w:sz="0" w:space="0" w:color="auto"/>
            <w:left w:val="none" w:sz="0" w:space="0" w:color="auto"/>
            <w:bottom w:val="none" w:sz="0" w:space="0" w:color="auto"/>
            <w:right w:val="none" w:sz="0" w:space="0" w:color="auto"/>
          </w:divBdr>
        </w:div>
        <w:div w:id="714084766">
          <w:marLeft w:val="547"/>
          <w:marRight w:val="0"/>
          <w:marTop w:val="0"/>
          <w:marBottom w:val="0"/>
          <w:divBdr>
            <w:top w:val="none" w:sz="0" w:space="0" w:color="auto"/>
            <w:left w:val="none" w:sz="0" w:space="0" w:color="auto"/>
            <w:bottom w:val="none" w:sz="0" w:space="0" w:color="auto"/>
            <w:right w:val="none" w:sz="0" w:space="0" w:color="auto"/>
          </w:divBdr>
        </w:div>
        <w:div w:id="1984692703">
          <w:marLeft w:val="547"/>
          <w:marRight w:val="0"/>
          <w:marTop w:val="0"/>
          <w:marBottom w:val="0"/>
          <w:divBdr>
            <w:top w:val="none" w:sz="0" w:space="0" w:color="auto"/>
            <w:left w:val="none" w:sz="0" w:space="0" w:color="auto"/>
            <w:bottom w:val="none" w:sz="0" w:space="0" w:color="auto"/>
            <w:right w:val="none" w:sz="0" w:space="0" w:color="auto"/>
          </w:divBdr>
        </w:div>
        <w:div w:id="1758745453">
          <w:marLeft w:val="547"/>
          <w:marRight w:val="0"/>
          <w:marTop w:val="0"/>
          <w:marBottom w:val="0"/>
          <w:divBdr>
            <w:top w:val="none" w:sz="0" w:space="0" w:color="auto"/>
            <w:left w:val="none" w:sz="0" w:space="0" w:color="auto"/>
            <w:bottom w:val="none" w:sz="0" w:space="0" w:color="auto"/>
            <w:right w:val="none" w:sz="0" w:space="0" w:color="auto"/>
          </w:divBdr>
        </w:div>
        <w:div w:id="988173469">
          <w:marLeft w:val="547"/>
          <w:marRight w:val="0"/>
          <w:marTop w:val="0"/>
          <w:marBottom w:val="0"/>
          <w:divBdr>
            <w:top w:val="none" w:sz="0" w:space="0" w:color="auto"/>
            <w:left w:val="none" w:sz="0" w:space="0" w:color="auto"/>
            <w:bottom w:val="none" w:sz="0" w:space="0" w:color="auto"/>
            <w:right w:val="none" w:sz="0" w:space="0" w:color="auto"/>
          </w:divBdr>
        </w:div>
        <w:div w:id="1900750928">
          <w:marLeft w:val="547"/>
          <w:marRight w:val="0"/>
          <w:marTop w:val="0"/>
          <w:marBottom w:val="0"/>
          <w:divBdr>
            <w:top w:val="none" w:sz="0" w:space="0" w:color="auto"/>
            <w:left w:val="none" w:sz="0" w:space="0" w:color="auto"/>
            <w:bottom w:val="none" w:sz="0" w:space="0" w:color="auto"/>
            <w:right w:val="none" w:sz="0" w:space="0" w:color="auto"/>
          </w:divBdr>
        </w:div>
      </w:divsChild>
    </w:div>
    <w:div w:id="823550129">
      <w:bodyDiv w:val="1"/>
      <w:marLeft w:val="0"/>
      <w:marRight w:val="0"/>
      <w:marTop w:val="0"/>
      <w:marBottom w:val="0"/>
      <w:divBdr>
        <w:top w:val="none" w:sz="0" w:space="0" w:color="auto"/>
        <w:left w:val="none" w:sz="0" w:space="0" w:color="auto"/>
        <w:bottom w:val="none" w:sz="0" w:space="0" w:color="auto"/>
        <w:right w:val="none" w:sz="0" w:space="0" w:color="auto"/>
      </w:divBdr>
    </w:div>
    <w:div w:id="927539578">
      <w:bodyDiv w:val="1"/>
      <w:marLeft w:val="0"/>
      <w:marRight w:val="0"/>
      <w:marTop w:val="0"/>
      <w:marBottom w:val="0"/>
      <w:divBdr>
        <w:top w:val="none" w:sz="0" w:space="0" w:color="auto"/>
        <w:left w:val="none" w:sz="0" w:space="0" w:color="auto"/>
        <w:bottom w:val="none" w:sz="0" w:space="0" w:color="auto"/>
        <w:right w:val="none" w:sz="0" w:space="0" w:color="auto"/>
      </w:divBdr>
      <w:divsChild>
        <w:div w:id="1992249952">
          <w:marLeft w:val="0"/>
          <w:marRight w:val="0"/>
          <w:marTop w:val="0"/>
          <w:marBottom w:val="0"/>
          <w:divBdr>
            <w:top w:val="none" w:sz="0" w:space="0" w:color="auto"/>
            <w:left w:val="none" w:sz="0" w:space="0" w:color="auto"/>
            <w:bottom w:val="none" w:sz="0" w:space="0" w:color="auto"/>
            <w:right w:val="none" w:sz="0" w:space="0" w:color="auto"/>
          </w:divBdr>
        </w:div>
      </w:divsChild>
    </w:div>
    <w:div w:id="944383017">
      <w:bodyDiv w:val="1"/>
      <w:marLeft w:val="0"/>
      <w:marRight w:val="0"/>
      <w:marTop w:val="0"/>
      <w:marBottom w:val="0"/>
      <w:divBdr>
        <w:top w:val="none" w:sz="0" w:space="0" w:color="auto"/>
        <w:left w:val="none" w:sz="0" w:space="0" w:color="auto"/>
        <w:bottom w:val="none" w:sz="0" w:space="0" w:color="auto"/>
        <w:right w:val="none" w:sz="0" w:space="0" w:color="auto"/>
      </w:divBdr>
    </w:div>
    <w:div w:id="994529830">
      <w:bodyDiv w:val="1"/>
      <w:marLeft w:val="0"/>
      <w:marRight w:val="0"/>
      <w:marTop w:val="0"/>
      <w:marBottom w:val="0"/>
      <w:divBdr>
        <w:top w:val="none" w:sz="0" w:space="0" w:color="auto"/>
        <w:left w:val="none" w:sz="0" w:space="0" w:color="auto"/>
        <w:bottom w:val="none" w:sz="0" w:space="0" w:color="auto"/>
        <w:right w:val="none" w:sz="0" w:space="0" w:color="auto"/>
      </w:divBdr>
      <w:divsChild>
        <w:div w:id="712267408">
          <w:marLeft w:val="0"/>
          <w:marRight w:val="0"/>
          <w:marTop w:val="0"/>
          <w:marBottom w:val="0"/>
          <w:divBdr>
            <w:top w:val="none" w:sz="0" w:space="0" w:color="auto"/>
            <w:left w:val="none" w:sz="0" w:space="0" w:color="auto"/>
            <w:bottom w:val="none" w:sz="0" w:space="0" w:color="auto"/>
            <w:right w:val="none" w:sz="0" w:space="0" w:color="auto"/>
          </w:divBdr>
          <w:divsChild>
            <w:div w:id="1517037380">
              <w:marLeft w:val="0"/>
              <w:marRight w:val="0"/>
              <w:marTop w:val="0"/>
              <w:marBottom w:val="0"/>
              <w:divBdr>
                <w:top w:val="none" w:sz="0" w:space="0" w:color="auto"/>
                <w:left w:val="none" w:sz="0" w:space="0" w:color="auto"/>
                <w:bottom w:val="none" w:sz="0" w:space="0" w:color="auto"/>
                <w:right w:val="none" w:sz="0" w:space="0" w:color="auto"/>
              </w:divBdr>
              <w:divsChild>
                <w:div w:id="1400902846">
                  <w:marLeft w:val="0"/>
                  <w:marRight w:val="0"/>
                  <w:marTop w:val="0"/>
                  <w:marBottom w:val="0"/>
                  <w:divBdr>
                    <w:top w:val="none" w:sz="0" w:space="0" w:color="auto"/>
                    <w:left w:val="none" w:sz="0" w:space="0" w:color="auto"/>
                    <w:bottom w:val="none" w:sz="0" w:space="0" w:color="auto"/>
                    <w:right w:val="none" w:sz="0" w:space="0" w:color="auto"/>
                  </w:divBdr>
                  <w:divsChild>
                    <w:div w:id="931936640">
                      <w:marLeft w:val="0"/>
                      <w:marRight w:val="0"/>
                      <w:marTop w:val="0"/>
                      <w:marBottom w:val="0"/>
                      <w:divBdr>
                        <w:top w:val="none" w:sz="0" w:space="0" w:color="auto"/>
                        <w:left w:val="none" w:sz="0" w:space="0" w:color="auto"/>
                        <w:bottom w:val="none" w:sz="0" w:space="0" w:color="auto"/>
                        <w:right w:val="none" w:sz="0" w:space="0" w:color="auto"/>
                      </w:divBdr>
                      <w:divsChild>
                        <w:div w:id="298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50349">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96177763">
      <w:bodyDiv w:val="1"/>
      <w:marLeft w:val="0"/>
      <w:marRight w:val="0"/>
      <w:marTop w:val="0"/>
      <w:marBottom w:val="0"/>
      <w:divBdr>
        <w:top w:val="none" w:sz="0" w:space="0" w:color="auto"/>
        <w:left w:val="none" w:sz="0" w:space="0" w:color="auto"/>
        <w:bottom w:val="none" w:sz="0" w:space="0" w:color="auto"/>
        <w:right w:val="none" w:sz="0" w:space="0" w:color="auto"/>
      </w:divBdr>
      <w:divsChild>
        <w:div w:id="1530336829">
          <w:marLeft w:val="0"/>
          <w:marRight w:val="0"/>
          <w:marTop w:val="0"/>
          <w:marBottom w:val="0"/>
          <w:divBdr>
            <w:top w:val="none" w:sz="0" w:space="0" w:color="auto"/>
            <w:left w:val="none" w:sz="0" w:space="0" w:color="auto"/>
            <w:bottom w:val="none" w:sz="0" w:space="0" w:color="auto"/>
            <w:right w:val="none" w:sz="0" w:space="0" w:color="auto"/>
          </w:divBdr>
        </w:div>
      </w:divsChild>
    </w:div>
    <w:div w:id="1330329330">
      <w:bodyDiv w:val="1"/>
      <w:marLeft w:val="0"/>
      <w:marRight w:val="0"/>
      <w:marTop w:val="0"/>
      <w:marBottom w:val="0"/>
      <w:divBdr>
        <w:top w:val="none" w:sz="0" w:space="0" w:color="auto"/>
        <w:left w:val="none" w:sz="0" w:space="0" w:color="auto"/>
        <w:bottom w:val="none" w:sz="0" w:space="0" w:color="auto"/>
        <w:right w:val="none" w:sz="0" w:space="0" w:color="auto"/>
      </w:divBdr>
      <w:divsChild>
        <w:div w:id="107899755">
          <w:marLeft w:val="0"/>
          <w:marRight w:val="0"/>
          <w:marTop w:val="0"/>
          <w:marBottom w:val="0"/>
          <w:divBdr>
            <w:top w:val="none" w:sz="0" w:space="0" w:color="auto"/>
            <w:left w:val="none" w:sz="0" w:space="0" w:color="auto"/>
            <w:bottom w:val="none" w:sz="0" w:space="0" w:color="auto"/>
            <w:right w:val="none" w:sz="0" w:space="0" w:color="auto"/>
          </w:divBdr>
          <w:divsChild>
            <w:div w:id="1115908444">
              <w:marLeft w:val="0"/>
              <w:marRight w:val="0"/>
              <w:marTop w:val="0"/>
              <w:marBottom w:val="0"/>
              <w:divBdr>
                <w:top w:val="none" w:sz="0" w:space="0" w:color="auto"/>
                <w:left w:val="none" w:sz="0" w:space="0" w:color="auto"/>
                <w:bottom w:val="none" w:sz="0" w:space="0" w:color="auto"/>
                <w:right w:val="none" w:sz="0" w:space="0" w:color="auto"/>
              </w:divBdr>
              <w:divsChild>
                <w:div w:id="730036248">
                  <w:marLeft w:val="0"/>
                  <w:marRight w:val="0"/>
                  <w:marTop w:val="0"/>
                  <w:marBottom w:val="0"/>
                  <w:divBdr>
                    <w:top w:val="none" w:sz="0" w:space="0" w:color="auto"/>
                    <w:left w:val="none" w:sz="0" w:space="0" w:color="auto"/>
                    <w:bottom w:val="none" w:sz="0" w:space="0" w:color="auto"/>
                    <w:right w:val="none" w:sz="0" w:space="0" w:color="auto"/>
                  </w:divBdr>
                  <w:divsChild>
                    <w:div w:id="1856991829">
                      <w:marLeft w:val="0"/>
                      <w:marRight w:val="0"/>
                      <w:marTop w:val="0"/>
                      <w:marBottom w:val="0"/>
                      <w:divBdr>
                        <w:top w:val="none" w:sz="0" w:space="0" w:color="auto"/>
                        <w:left w:val="none" w:sz="0" w:space="0" w:color="auto"/>
                        <w:bottom w:val="none" w:sz="0" w:space="0" w:color="auto"/>
                        <w:right w:val="none" w:sz="0" w:space="0" w:color="auto"/>
                      </w:divBdr>
                      <w:divsChild>
                        <w:div w:id="1839808024">
                          <w:marLeft w:val="0"/>
                          <w:marRight w:val="0"/>
                          <w:marTop w:val="0"/>
                          <w:marBottom w:val="0"/>
                          <w:divBdr>
                            <w:top w:val="none" w:sz="0" w:space="0" w:color="auto"/>
                            <w:left w:val="none" w:sz="0" w:space="0" w:color="auto"/>
                            <w:bottom w:val="none" w:sz="0" w:space="0" w:color="auto"/>
                            <w:right w:val="none" w:sz="0" w:space="0" w:color="auto"/>
                          </w:divBdr>
                          <w:divsChild>
                            <w:div w:id="1491600484">
                              <w:marLeft w:val="0"/>
                              <w:marRight w:val="0"/>
                              <w:marTop w:val="0"/>
                              <w:marBottom w:val="0"/>
                              <w:divBdr>
                                <w:top w:val="none" w:sz="0" w:space="0" w:color="auto"/>
                                <w:left w:val="none" w:sz="0" w:space="0" w:color="auto"/>
                                <w:bottom w:val="none" w:sz="0" w:space="0" w:color="auto"/>
                                <w:right w:val="none" w:sz="0" w:space="0" w:color="auto"/>
                              </w:divBdr>
                              <w:divsChild>
                                <w:div w:id="139810696">
                                  <w:marLeft w:val="0"/>
                                  <w:marRight w:val="0"/>
                                  <w:marTop w:val="0"/>
                                  <w:marBottom w:val="0"/>
                                  <w:divBdr>
                                    <w:top w:val="none" w:sz="0" w:space="0" w:color="auto"/>
                                    <w:left w:val="none" w:sz="0" w:space="0" w:color="auto"/>
                                    <w:bottom w:val="none" w:sz="0" w:space="0" w:color="auto"/>
                                    <w:right w:val="none" w:sz="0" w:space="0" w:color="auto"/>
                                  </w:divBdr>
                                  <w:divsChild>
                                    <w:div w:id="1638073643">
                                      <w:marLeft w:val="0"/>
                                      <w:marRight w:val="0"/>
                                      <w:marTop w:val="0"/>
                                      <w:marBottom w:val="0"/>
                                      <w:divBdr>
                                        <w:top w:val="none" w:sz="0" w:space="0" w:color="auto"/>
                                        <w:left w:val="none" w:sz="0" w:space="0" w:color="auto"/>
                                        <w:bottom w:val="none" w:sz="0" w:space="0" w:color="auto"/>
                                        <w:right w:val="none" w:sz="0" w:space="0" w:color="auto"/>
                                      </w:divBdr>
                                      <w:divsChild>
                                        <w:div w:id="946036675">
                                          <w:marLeft w:val="0"/>
                                          <w:marRight w:val="0"/>
                                          <w:marTop w:val="0"/>
                                          <w:marBottom w:val="0"/>
                                          <w:divBdr>
                                            <w:top w:val="none" w:sz="0" w:space="0" w:color="auto"/>
                                            <w:left w:val="none" w:sz="0" w:space="0" w:color="auto"/>
                                            <w:bottom w:val="none" w:sz="0" w:space="0" w:color="auto"/>
                                            <w:right w:val="none" w:sz="0" w:space="0" w:color="auto"/>
                                          </w:divBdr>
                                          <w:divsChild>
                                            <w:div w:id="1175345229">
                                              <w:marLeft w:val="0"/>
                                              <w:marRight w:val="0"/>
                                              <w:marTop w:val="0"/>
                                              <w:marBottom w:val="0"/>
                                              <w:divBdr>
                                                <w:top w:val="none" w:sz="0" w:space="0" w:color="auto"/>
                                                <w:left w:val="none" w:sz="0" w:space="0" w:color="auto"/>
                                                <w:bottom w:val="none" w:sz="0" w:space="0" w:color="auto"/>
                                                <w:right w:val="none" w:sz="0" w:space="0" w:color="auto"/>
                                              </w:divBdr>
                                              <w:divsChild>
                                                <w:div w:id="964313904">
                                                  <w:marLeft w:val="0"/>
                                                  <w:marRight w:val="0"/>
                                                  <w:marTop w:val="0"/>
                                                  <w:marBottom w:val="0"/>
                                                  <w:divBdr>
                                                    <w:top w:val="none" w:sz="0" w:space="0" w:color="auto"/>
                                                    <w:left w:val="none" w:sz="0" w:space="0" w:color="auto"/>
                                                    <w:bottom w:val="none" w:sz="0" w:space="0" w:color="auto"/>
                                                    <w:right w:val="none" w:sz="0" w:space="0" w:color="auto"/>
                                                  </w:divBdr>
                                                  <w:divsChild>
                                                    <w:div w:id="1656101486">
                                                      <w:marLeft w:val="0"/>
                                                      <w:marRight w:val="0"/>
                                                      <w:marTop w:val="0"/>
                                                      <w:marBottom w:val="0"/>
                                                      <w:divBdr>
                                                        <w:top w:val="none" w:sz="0" w:space="0" w:color="auto"/>
                                                        <w:left w:val="none" w:sz="0" w:space="0" w:color="auto"/>
                                                        <w:bottom w:val="none" w:sz="0" w:space="0" w:color="auto"/>
                                                        <w:right w:val="none" w:sz="0" w:space="0" w:color="auto"/>
                                                      </w:divBdr>
                                                      <w:divsChild>
                                                        <w:div w:id="268588809">
                                                          <w:marLeft w:val="0"/>
                                                          <w:marRight w:val="0"/>
                                                          <w:marTop w:val="0"/>
                                                          <w:marBottom w:val="0"/>
                                                          <w:divBdr>
                                                            <w:top w:val="none" w:sz="0" w:space="0" w:color="auto"/>
                                                            <w:left w:val="none" w:sz="0" w:space="0" w:color="auto"/>
                                                            <w:bottom w:val="none" w:sz="0" w:space="0" w:color="auto"/>
                                                            <w:right w:val="none" w:sz="0" w:space="0" w:color="auto"/>
                                                          </w:divBdr>
                                                          <w:divsChild>
                                                            <w:div w:id="381101795">
                                                              <w:marLeft w:val="0"/>
                                                              <w:marRight w:val="0"/>
                                                              <w:marTop w:val="0"/>
                                                              <w:marBottom w:val="0"/>
                                                              <w:divBdr>
                                                                <w:top w:val="none" w:sz="0" w:space="0" w:color="auto"/>
                                                                <w:left w:val="none" w:sz="0" w:space="0" w:color="auto"/>
                                                                <w:bottom w:val="none" w:sz="0" w:space="0" w:color="auto"/>
                                                                <w:right w:val="none" w:sz="0" w:space="0" w:color="auto"/>
                                                              </w:divBdr>
                                                              <w:divsChild>
                                                                <w:div w:id="631134411">
                                                                  <w:marLeft w:val="0"/>
                                                                  <w:marRight w:val="0"/>
                                                                  <w:marTop w:val="0"/>
                                                                  <w:marBottom w:val="0"/>
                                                                  <w:divBdr>
                                                                    <w:top w:val="none" w:sz="0" w:space="0" w:color="auto"/>
                                                                    <w:left w:val="none" w:sz="0" w:space="0" w:color="auto"/>
                                                                    <w:bottom w:val="none" w:sz="0" w:space="0" w:color="auto"/>
                                                                    <w:right w:val="none" w:sz="0" w:space="0" w:color="auto"/>
                                                                  </w:divBdr>
                                                                  <w:divsChild>
                                                                    <w:div w:id="2117284521">
                                                                      <w:marLeft w:val="0"/>
                                                                      <w:marRight w:val="0"/>
                                                                      <w:marTop w:val="0"/>
                                                                      <w:marBottom w:val="0"/>
                                                                      <w:divBdr>
                                                                        <w:top w:val="none" w:sz="0" w:space="0" w:color="auto"/>
                                                                        <w:left w:val="none" w:sz="0" w:space="0" w:color="auto"/>
                                                                        <w:bottom w:val="none" w:sz="0" w:space="0" w:color="auto"/>
                                                                        <w:right w:val="none" w:sz="0" w:space="0" w:color="auto"/>
                                                                      </w:divBdr>
                                                                      <w:divsChild>
                                                                        <w:div w:id="1902058666">
                                                                          <w:marLeft w:val="0"/>
                                                                          <w:marRight w:val="0"/>
                                                                          <w:marTop w:val="0"/>
                                                                          <w:marBottom w:val="0"/>
                                                                          <w:divBdr>
                                                                            <w:top w:val="none" w:sz="0" w:space="0" w:color="auto"/>
                                                                            <w:left w:val="none" w:sz="0" w:space="0" w:color="auto"/>
                                                                            <w:bottom w:val="none" w:sz="0" w:space="0" w:color="auto"/>
                                                                            <w:right w:val="none" w:sz="0" w:space="0" w:color="auto"/>
                                                                          </w:divBdr>
                                                                          <w:divsChild>
                                                                            <w:div w:id="2129003736">
                                                                              <w:marLeft w:val="0"/>
                                                                              <w:marRight w:val="0"/>
                                                                              <w:marTop w:val="0"/>
                                                                              <w:marBottom w:val="0"/>
                                                                              <w:divBdr>
                                                                                <w:top w:val="none" w:sz="0" w:space="0" w:color="auto"/>
                                                                                <w:left w:val="none" w:sz="0" w:space="0" w:color="auto"/>
                                                                                <w:bottom w:val="none" w:sz="0" w:space="0" w:color="auto"/>
                                                                                <w:right w:val="none" w:sz="0" w:space="0" w:color="auto"/>
                                                                              </w:divBdr>
                                                                              <w:divsChild>
                                                                                <w:div w:id="1189686486">
                                                                                  <w:marLeft w:val="0"/>
                                                                                  <w:marRight w:val="0"/>
                                                                                  <w:marTop w:val="0"/>
                                                                                  <w:marBottom w:val="0"/>
                                                                                  <w:divBdr>
                                                                                    <w:top w:val="none" w:sz="0" w:space="0" w:color="auto"/>
                                                                                    <w:left w:val="none" w:sz="0" w:space="0" w:color="auto"/>
                                                                                    <w:bottom w:val="none" w:sz="0" w:space="0" w:color="auto"/>
                                                                                    <w:right w:val="none" w:sz="0" w:space="0" w:color="auto"/>
                                                                                  </w:divBdr>
                                                                                  <w:divsChild>
                                                                                    <w:div w:id="432676156">
                                                                                      <w:marLeft w:val="0"/>
                                                                                      <w:marRight w:val="0"/>
                                                                                      <w:marTop w:val="0"/>
                                                                                      <w:marBottom w:val="0"/>
                                                                                      <w:divBdr>
                                                                                        <w:top w:val="none" w:sz="0" w:space="0" w:color="auto"/>
                                                                                        <w:left w:val="none" w:sz="0" w:space="0" w:color="auto"/>
                                                                                        <w:bottom w:val="none" w:sz="0" w:space="0" w:color="auto"/>
                                                                                        <w:right w:val="none" w:sz="0" w:space="0" w:color="auto"/>
                                                                                      </w:divBdr>
                                                                                      <w:divsChild>
                                                                                        <w:div w:id="1229728485">
                                                                                          <w:marLeft w:val="0"/>
                                                                                          <w:marRight w:val="0"/>
                                                                                          <w:marTop w:val="0"/>
                                                                                          <w:marBottom w:val="0"/>
                                                                                          <w:divBdr>
                                                                                            <w:top w:val="none" w:sz="0" w:space="0" w:color="auto"/>
                                                                                            <w:left w:val="none" w:sz="0" w:space="0" w:color="auto"/>
                                                                                            <w:bottom w:val="none" w:sz="0" w:space="0" w:color="auto"/>
                                                                                            <w:right w:val="none" w:sz="0" w:space="0" w:color="auto"/>
                                                                                          </w:divBdr>
                                                                                          <w:divsChild>
                                                                                            <w:div w:id="1619989179">
                                                                                              <w:marLeft w:val="0"/>
                                                                                              <w:marRight w:val="0"/>
                                                                                              <w:marTop w:val="0"/>
                                                                                              <w:marBottom w:val="0"/>
                                                                                              <w:divBdr>
                                                                                                <w:top w:val="none" w:sz="0" w:space="0" w:color="auto"/>
                                                                                                <w:left w:val="none" w:sz="0" w:space="0" w:color="auto"/>
                                                                                                <w:bottom w:val="none" w:sz="0" w:space="0" w:color="auto"/>
                                                                                                <w:right w:val="none" w:sz="0" w:space="0" w:color="auto"/>
                                                                                              </w:divBdr>
                                                                                              <w:divsChild>
                                                                                                <w:div w:id="704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49986">
      <w:bodyDiv w:val="1"/>
      <w:marLeft w:val="0"/>
      <w:marRight w:val="0"/>
      <w:marTop w:val="0"/>
      <w:marBottom w:val="0"/>
      <w:divBdr>
        <w:top w:val="none" w:sz="0" w:space="0" w:color="auto"/>
        <w:left w:val="none" w:sz="0" w:space="0" w:color="auto"/>
        <w:bottom w:val="none" w:sz="0" w:space="0" w:color="auto"/>
        <w:right w:val="none" w:sz="0" w:space="0" w:color="auto"/>
      </w:divBdr>
    </w:div>
    <w:div w:id="1368993699">
      <w:bodyDiv w:val="1"/>
      <w:marLeft w:val="0"/>
      <w:marRight w:val="0"/>
      <w:marTop w:val="0"/>
      <w:marBottom w:val="0"/>
      <w:divBdr>
        <w:top w:val="none" w:sz="0" w:space="0" w:color="auto"/>
        <w:left w:val="none" w:sz="0" w:space="0" w:color="auto"/>
        <w:bottom w:val="none" w:sz="0" w:space="0" w:color="auto"/>
        <w:right w:val="none" w:sz="0" w:space="0" w:color="auto"/>
      </w:divBdr>
      <w:divsChild>
        <w:div w:id="1769042810">
          <w:marLeft w:val="0"/>
          <w:marRight w:val="0"/>
          <w:marTop w:val="0"/>
          <w:marBottom w:val="0"/>
          <w:divBdr>
            <w:top w:val="none" w:sz="0" w:space="0" w:color="auto"/>
            <w:left w:val="none" w:sz="0" w:space="0" w:color="auto"/>
            <w:bottom w:val="none" w:sz="0" w:space="0" w:color="auto"/>
            <w:right w:val="none" w:sz="0" w:space="0" w:color="auto"/>
          </w:divBdr>
          <w:divsChild>
            <w:div w:id="91362852">
              <w:marLeft w:val="0"/>
              <w:marRight w:val="0"/>
              <w:marTop w:val="0"/>
              <w:marBottom w:val="0"/>
              <w:divBdr>
                <w:top w:val="none" w:sz="0" w:space="0" w:color="auto"/>
                <w:left w:val="none" w:sz="0" w:space="0" w:color="auto"/>
                <w:bottom w:val="none" w:sz="0" w:space="0" w:color="auto"/>
                <w:right w:val="none" w:sz="0" w:space="0" w:color="auto"/>
              </w:divBdr>
              <w:divsChild>
                <w:div w:id="311183636">
                  <w:marLeft w:val="0"/>
                  <w:marRight w:val="0"/>
                  <w:marTop w:val="0"/>
                  <w:marBottom w:val="0"/>
                  <w:divBdr>
                    <w:top w:val="none" w:sz="0" w:space="0" w:color="auto"/>
                    <w:left w:val="none" w:sz="0" w:space="0" w:color="auto"/>
                    <w:bottom w:val="none" w:sz="0" w:space="0" w:color="auto"/>
                    <w:right w:val="none" w:sz="0" w:space="0" w:color="auto"/>
                  </w:divBdr>
                  <w:divsChild>
                    <w:div w:id="1044327635">
                      <w:marLeft w:val="0"/>
                      <w:marRight w:val="0"/>
                      <w:marTop w:val="0"/>
                      <w:marBottom w:val="0"/>
                      <w:divBdr>
                        <w:top w:val="none" w:sz="0" w:space="0" w:color="auto"/>
                        <w:left w:val="none" w:sz="0" w:space="0" w:color="auto"/>
                        <w:bottom w:val="none" w:sz="0" w:space="0" w:color="auto"/>
                        <w:right w:val="none" w:sz="0" w:space="0" w:color="auto"/>
                      </w:divBdr>
                      <w:divsChild>
                        <w:div w:id="1237518929">
                          <w:marLeft w:val="0"/>
                          <w:marRight w:val="0"/>
                          <w:marTop w:val="0"/>
                          <w:marBottom w:val="0"/>
                          <w:divBdr>
                            <w:top w:val="none" w:sz="0" w:space="0" w:color="auto"/>
                            <w:left w:val="none" w:sz="0" w:space="0" w:color="auto"/>
                            <w:bottom w:val="none" w:sz="0" w:space="0" w:color="auto"/>
                            <w:right w:val="none" w:sz="0" w:space="0" w:color="auto"/>
                          </w:divBdr>
                          <w:divsChild>
                            <w:div w:id="1622686801">
                              <w:marLeft w:val="0"/>
                              <w:marRight w:val="0"/>
                              <w:marTop w:val="0"/>
                              <w:marBottom w:val="0"/>
                              <w:divBdr>
                                <w:top w:val="none" w:sz="0" w:space="0" w:color="auto"/>
                                <w:left w:val="none" w:sz="0" w:space="0" w:color="auto"/>
                                <w:bottom w:val="none" w:sz="0" w:space="0" w:color="auto"/>
                                <w:right w:val="none" w:sz="0" w:space="0" w:color="auto"/>
                              </w:divBdr>
                              <w:divsChild>
                                <w:div w:id="1471481842">
                                  <w:marLeft w:val="0"/>
                                  <w:marRight w:val="0"/>
                                  <w:marTop w:val="0"/>
                                  <w:marBottom w:val="0"/>
                                  <w:divBdr>
                                    <w:top w:val="none" w:sz="0" w:space="0" w:color="auto"/>
                                    <w:left w:val="none" w:sz="0" w:space="0" w:color="auto"/>
                                    <w:bottom w:val="none" w:sz="0" w:space="0" w:color="auto"/>
                                    <w:right w:val="none" w:sz="0" w:space="0" w:color="auto"/>
                                  </w:divBdr>
                                  <w:divsChild>
                                    <w:div w:id="2826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04382">
      <w:bodyDiv w:val="1"/>
      <w:marLeft w:val="0"/>
      <w:marRight w:val="0"/>
      <w:marTop w:val="0"/>
      <w:marBottom w:val="0"/>
      <w:divBdr>
        <w:top w:val="none" w:sz="0" w:space="0" w:color="auto"/>
        <w:left w:val="none" w:sz="0" w:space="0" w:color="auto"/>
        <w:bottom w:val="none" w:sz="0" w:space="0" w:color="auto"/>
        <w:right w:val="none" w:sz="0" w:space="0" w:color="auto"/>
      </w:divBdr>
    </w:div>
    <w:div w:id="1868835971">
      <w:bodyDiv w:val="1"/>
      <w:marLeft w:val="0"/>
      <w:marRight w:val="0"/>
      <w:marTop w:val="0"/>
      <w:marBottom w:val="0"/>
      <w:divBdr>
        <w:top w:val="none" w:sz="0" w:space="0" w:color="auto"/>
        <w:left w:val="none" w:sz="0" w:space="0" w:color="auto"/>
        <w:bottom w:val="none" w:sz="0" w:space="0" w:color="auto"/>
        <w:right w:val="none" w:sz="0" w:space="0" w:color="auto"/>
      </w:divBdr>
      <w:divsChild>
        <w:div w:id="551158414">
          <w:marLeft w:val="547"/>
          <w:marRight w:val="0"/>
          <w:marTop w:val="0"/>
          <w:marBottom w:val="0"/>
          <w:divBdr>
            <w:top w:val="none" w:sz="0" w:space="0" w:color="auto"/>
            <w:left w:val="none" w:sz="0" w:space="0" w:color="auto"/>
            <w:bottom w:val="none" w:sz="0" w:space="0" w:color="auto"/>
            <w:right w:val="none" w:sz="0" w:space="0" w:color="auto"/>
          </w:divBdr>
        </w:div>
        <w:div w:id="263878687">
          <w:marLeft w:val="547"/>
          <w:marRight w:val="0"/>
          <w:marTop w:val="0"/>
          <w:marBottom w:val="0"/>
          <w:divBdr>
            <w:top w:val="none" w:sz="0" w:space="0" w:color="auto"/>
            <w:left w:val="none" w:sz="0" w:space="0" w:color="auto"/>
            <w:bottom w:val="none" w:sz="0" w:space="0" w:color="auto"/>
            <w:right w:val="none" w:sz="0" w:space="0" w:color="auto"/>
          </w:divBdr>
        </w:div>
      </w:divsChild>
    </w:div>
    <w:div w:id="18806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linkinghub.elsevier.com/retrieve/pii/S0378778811005950" TargetMode="External"/><Relationship Id="rId15" Type="http://schemas.openxmlformats.org/officeDocument/2006/relationships/hyperlink" Target="http://www.cewales.org.uk/cew/wp-content/uploads/Constructing-the-team-The-Latham-Report.pdf"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D5A2-B983-1548-AED3-4C8A7168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9263</Words>
  <Characters>52805</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Olugbenga Akinade</cp:lastModifiedBy>
  <cp:revision>2</cp:revision>
  <cp:lastPrinted>2015-07-22T23:29:00Z</cp:lastPrinted>
  <dcterms:created xsi:type="dcterms:W3CDTF">2017-02-20T23:05:00Z</dcterms:created>
  <dcterms:modified xsi:type="dcterms:W3CDTF">2017-02-20T23:05:00Z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http://www.zotero.org/styles/harvard-university-of-the-west-of-england</vt:lpwstr>
  </property>
  <property fmtid="{D5CDD505-2E9C-101B-9397-08002B2CF9AE}" pid="13" name="Mendeley Recent Style Name 5_1">
    <vt:lpwstr>Harvard - University of the West of England (Bristol)</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ser Name_1">
    <vt:lpwstr>agbenga28@gmail.com@www.mendeley.com</vt:lpwstr>
  </property>
  <property fmtid="{D5CDD505-2E9C-101B-9397-08002B2CF9AE}" pid="24" name="Mendeley Citation Style_1">
    <vt:lpwstr>http://www.zotero.org/styles/harvard1</vt:lpwstr>
  </property>
</Properties>
</file>