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9166" w14:textId="77777777" w:rsidR="00E93210" w:rsidRPr="00B5373E" w:rsidRDefault="00B1598C" w:rsidP="00E93210">
      <w:pPr>
        <w:pStyle w:val="MDPI11articletype"/>
      </w:pPr>
      <w:r w:rsidRPr="00B5373E">
        <w:t>Systematic Review</w:t>
      </w:r>
    </w:p>
    <w:p w14:paraId="0FC2B5F9" w14:textId="77777777" w:rsidR="00E93210" w:rsidRPr="00B5373E" w:rsidRDefault="00B1598C" w:rsidP="00E93210">
      <w:pPr>
        <w:pStyle w:val="MDPI12title"/>
      </w:pPr>
      <w:r w:rsidRPr="00B5373E">
        <w:rPr>
          <w:rFonts w:ascii="Calibri" w:eastAsia="Calibri" w:hAnsi="Calibri" w:cs="Calibri"/>
          <w:bCs/>
          <w:color w:val="333333"/>
        </w:rPr>
        <w:t>Neurocognitive Function Following Out-of-Hospital Cardiac Arrest: A systematic review</w:t>
      </w:r>
    </w:p>
    <w:p w14:paraId="3BCBC29C" w14:textId="3077A831" w:rsidR="00897848" w:rsidRPr="00B5373E" w:rsidRDefault="00B1598C" w:rsidP="00E93210">
      <w:pPr>
        <w:pStyle w:val="MDPI13authornames"/>
      </w:pPr>
      <w:r w:rsidRPr="00B5373E">
        <w:t>Nancy Zook</w:t>
      </w:r>
      <w:r w:rsidR="00E93210" w:rsidRPr="00B5373E">
        <w:rPr>
          <w:vertAlign w:val="superscript"/>
        </w:rPr>
        <w:t>1</w:t>
      </w:r>
      <w:r w:rsidR="00E93210" w:rsidRPr="00B5373E">
        <w:t xml:space="preserve">, </w:t>
      </w:r>
      <w:r w:rsidRPr="00B5373E">
        <w:t>Sarah Voss</w:t>
      </w:r>
      <w:r w:rsidR="00FD0981" w:rsidRPr="00B5373E">
        <w:rPr>
          <w:vertAlign w:val="superscript"/>
        </w:rPr>
        <w:t>1</w:t>
      </w:r>
      <w:r w:rsidRPr="00B5373E">
        <w:t>,</w:t>
      </w:r>
      <w:r w:rsidR="00E93210" w:rsidRPr="00B5373E">
        <w:t xml:space="preserve"> </w:t>
      </w:r>
      <w:r w:rsidRPr="00B5373E">
        <w:t>Erik Blennow</w:t>
      </w:r>
      <w:r w:rsidR="630B63F6" w:rsidRPr="00B5373E">
        <w:t xml:space="preserve"> </w:t>
      </w:r>
      <w:r w:rsidRPr="00B5373E">
        <w:t>Nordstr</w:t>
      </w:r>
      <w:r w:rsidR="75189116" w:rsidRPr="00B5373E">
        <w:t>ö</w:t>
      </w:r>
      <w:r w:rsidRPr="00B5373E">
        <w:t>m</w:t>
      </w:r>
      <w:r w:rsidR="00E56CA1" w:rsidRPr="00B5373E">
        <w:rPr>
          <w:vertAlign w:val="superscript"/>
        </w:rPr>
        <w:t>2</w:t>
      </w:r>
      <w:r w:rsidRPr="00B5373E">
        <w:t xml:space="preserve">, Stephen </w:t>
      </w:r>
      <w:r w:rsidR="00577CDF" w:rsidRPr="00B5373E">
        <w:t xml:space="preserve">J. </w:t>
      </w:r>
      <w:r w:rsidRPr="00B5373E">
        <w:t>Brett</w:t>
      </w:r>
      <w:r w:rsidR="00E56CA1" w:rsidRPr="00B5373E">
        <w:rPr>
          <w:vertAlign w:val="superscript"/>
        </w:rPr>
        <w:t>3</w:t>
      </w:r>
      <w:r w:rsidRPr="00B5373E">
        <w:t>, Elizabeth Jenkinson</w:t>
      </w:r>
      <w:r w:rsidR="00FD0981" w:rsidRPr="00B5373E">
        <w:rPr>
          <w:vertAlign w:val="superscript"/>
        </w:rPr>
        <w:t>1</w:t>
      </w:r>
      <w:r w:rsidRPr="00B5373E">
        <w:t>, Pauline Shaw</w:t>
      </w:r>
      <w:r w:rsidR="00FD0981" w:rsidRPr="00B5373E">
        <w:rPr>
          <w:vertAlign w:val="superscript"/>
        </w:rPr>
        <w:t>1</w:t>
      </w:r>
      <w:r w:rsidRPr="00B5373E">
        <w:t>, Paul White</w:t>
      </w:r>
      <w:r w:rsidR="00FD0981" w:rsidRPr="00B5373E">
        <w:rPr>
          <w:vertAlign w:val="superscript"/>
        </w:rPr>
        <w:t>1</w:t>
      </w:r>
      <w:r w:rsidRPr="00B5373E">
        <w:t xml:space="preserve"> </w:t>
      </w:r>
      <w:r w:rsidR="00E93210" w:rsidRPr="00B5373E">
        <w:t xml:space="preserve">and </w:t>
      </w:r>
      <w:r w:rsidR="00F15B61" w:rsidRPr="00B5373E">
        <w:t xml:space="preserve">Jonathan </w:t>
      </w:r>
      <w:r w:rsidRPr="00B5373E">
        <w:t>Benger</w:t>
      </w:r>
      <w:proofErr w:type="gramStart"/>
      <w:r w:rsidR="00FD0981" w:rsidRPr="00B5373E">
        <w:rPr>
          <w:vertAlign w:val="superscript"/>
        </w:rPr>
        <w:t>1</w:t>
      </w:r>
      <w:r w:rsidR="00E93210" w:rsidRPr="00B5373E">
        <w:rPr>
          <w:vertAlign w:val="superscript"/>
        </w:rPr>
        <w:t>,</w:t>
      </w:r>
      <w:r w:rsidR="00E93210" w:rsidRPr="00B5373E">
        <w:t>*</w:t>
      </w:r>
      <w:proofErr w:type="gramEnd"/>
    </w:p>
    <w:tbl>
      <w:tblPr>
        <w:tblpPr w:leftFromText="198" w:rightFromText="198" w:vertAnchor="page" w:horzAnchor="margin" w:tblpY="9526"/>
        <w:tblW w:w="2410" w:type="dxa"/>
        <w:tblLayout w:type="fixed"/>
        <w:tblCellMar>
          <w:left w:w="0" w:type="dxa"/>
          <w:right w:w="0" w:type="dxa"/>
        </w:tblCellMar>
        <w:tblLook w:val="04A0" w:firstRow="1" w:lastRow="0" w:firstColumn="1" w:lastColumn="0" w:noHBand="0" w:noVBand="1"/>
      </w:tblPr>
      <w:tblGrid>
        <w:gridCol w:w="2410"/>
      </w:tblGrid>
      <w:tr w:rsidR="00897848" w:rsidRPr="00B5373E" w14:paraId="2ED8E58C" w14:textId="77777777" w:rsidTr="05B98B2E">
        <w:tc>
          <w:tcPr>
            <w:tcW w:w="2410" w:type="dxa"/>
            <w:shd w:val="clear" w:color="auto" w:fill="auto"/>
          </w:tcPr>
          <w:p w14:paraId="12F5BA82" w14:textId="32AB956E" w:rsidR="00897848" w:rsidRPr="00B5373E" w:rsidRDefault="00897848" w:rsidP="00DD2C50">
            <w:pPr>
              <w:pStyle w:val="MDPI61Citation"/>
              <w:spacing w:line="240" w:lineRule="exact"/>
            </w:pPr>
            <w:r w:rsidRPr="00B5373E">
              <w:rPr>
                <w:b/>
              </w:rPr>
              <w:t>Citation:</w:t>
            </w:r>
            <w:r w:rsidRPr="00B5373E">
              <w:t xml:space="preserve"> </w:t>
            </w:r>
          </w:p>
          <w:p w14:paraId="51C215FB" w14:textId="77777777" w:rsidR="00897848" w:rsidRPr="00B5373E" w:rsidRDefault="00897848" w:rsidP="00DD2C50">
            <w:pPr>
              <w:pStyle w:val="MDPI14history"/>
              <w:rPr>
                <w:rFonts w:ascii="SimSun" w:eastAsia="SimSun" w:hAnsi="SimSun" w:cs="SimSun"/>
              </w:rPr>
            </w:pPr>
            <w:r w:rsidRPr="00B5373E">
              <w:rPr>
                <w:szCs w:val="14"/>
              </w:rPr>
              <w:t>Received: date</w:t>
            </w:r>
          </w:p>
          <w:p w14:paraId="1DD22A75" w14:textId="77777777" w:rsidR="00897848" w:rsidRPr="00B5373E" w:rsidRDefault="00897848" w:rsidP="00DD2C50">
            <w:pPr>
              <w:pStyle w:val="MDPI14history"/>
              <w:rPr>
                <w:szCs w:val="14"/>
              </w:rPr>
            </w:pPr>
            <w:r w:rsidRPr="00B5373E">
              <w:rPr>
                <w:szCs w:val="14"/>
              </w:rPr>
              <w:t>Accepted: date</w:t>
            </w:r>
          </w:p>
          <w:p w14:paraId="22B3900A" w14:textId="77777777" w:rsidR="00897848" w:rsidRPr="00B5373E" w:rsidRDefault="00897848" w:rsidP="00DD2C50">
            <w:pPr>
              <w:pStyle w:val="MDPI14history"/>
              <w:spacing w:after="240"/>
              <w:rPr>
                <w:szCs w:val="14"/>
              </w:rPr>
            </w:pPr>
            <w:r w:rsidRPr="00B5373E">
              <w:rPr>
                <w:szCs w:val="14"/>
              </w:rPr>
              <w:t>Published: date</w:t>
            </w:r>
          </w:p>
          <w:p w14:paraId="4E537599" w14:textId="19590236" w:rsidR="00897848" w:rsidRPr="00B5373E" w:rsidRDefault="00897848" w:rsidP="00DD2C50">
            <w:pPr>
              <w:adjustRightInd w:val="0"/>
              <w:snapToGrid w:val="0"/>
              <w:spacing w:before="240" w:line="240" w:lineRule="atLeast"/>
              <w:ind w:right="113"/>
              <w:jc w:val="left"/>
              <w:rPr>
                <w:rFonts w:eastAsia="DengXian"/>
                <w:bCs/>
                <w:sz w:val="14"/>
                <w:szCs w:val="14"/>
                <w:lang w:bidi="en-US"/>
              </w:rPr>
            </w:pPr>
          </w:p>
          <w:p w14:paraId="72D34A5E" w14:textId="307DD470" w:rsidR="00897848" w:rsidRPr="00B5373E" w:rsidRDefault="00897848" w:rsidP="00DD2C50">
            <w:pPr>
              <w:adjustRightInd w:val="0"/>
              <w:snapToGrid w:val="0"/>
              <w:spacing w:before="60" w:line="240" w:lineRule="atLeast"/>
              <w:ind w:right="113"/>
              <w:rPr>
                <w:rFonts w:eastAsia="DengXian"/>
                <w:bCs/>
                <w:sz w:val="14"/>
                <w:szCs w:val="14"/>
                <w:lang w:bidi="en-US"/>
              </w:rPr>
            </w:pPr>
          </w:p>
        </w:tc>
      </w:tr>
    </w:tbl>
    <w:p w14:paraId="51EAE6D4" w14:textId="132F4253" w:rsidR="00E93210" w:rsidRPr="00B5373E" w:rsidRDefault="00897848" w:rsidP="00E93210">
      <w:pPr>
        <w:pStyle w:val="MDPI16affiliation"/>
      </w:pPr>
      <w:r w:rsidRPr="00B5373E">
        <w:rPr>
          <w:vertAlign w:val="superscript"/>
        </w:rPr>
        <w:t>1</w:t>
      </w:r>
      <w:r w:rsidR="00E93210" w:rsidRPr="00B5373E">
        <w:tab/>
      </w:r>
      <w:r w:rsidR="00FD0981" w:rsidRPr="00B5373E">
        <w:t>Health and Applied Science</w:t>
      </w:r>
      <w:r w:rsidR="00F15B61" w:rsidRPr="00B5373E">
        <w:t>s</w:t>
      </w:r>
      <w:r w:rsidR="00FD0981" w:rsidRPr="00B5373E">
        <w:t>, University of the West of England, Bristol, UK</w:t>
      </w:r>
    </w:p>
    <w:p w14:paraId="42F47121" w14:textId="7EC76A0F" w:rsidR="00FD0981" w:rsidRPr="00B5373E" w:rsidRDefault="00E93210" w:rsidP="00E93210">
      <w:pPr>
        <w:pStyle w:val="MDPI16affiliation"/>
      </w:pPr>
      <w:r w:rsidRPr="00B5373E">
        <w:rPr>
          <w:vertAlign w:val="superscript"/>
        </w:rPr>
        <w:t>2</w:t>
      </w:r>
      <w:r w:rsidRPr="00B5373E">
        <w:tab/>
      </w:r>
      <w:r w:rsidR="00FD0981" w:rsidRPr="00B5373E">
        <w:t xml:space="preserve">Lund University, </w:t>
      </w:r>
      <w:proofErr w:type="spellStart"/>
      <w:r w:rsidR="00FD0981" w:rsidRPr="00B5373E">
        <w:t>Skane</w:t>
      </w:r>
      <w:proofErr w:type="spellEnd"/>
      <w:r w:rsidR="00FD0981" w:rsidRPr="00B5373E">
        <w:t xml:space="preserve"> University Hospital, Department of Clinical Sciences Lund, </w:t>
      </w:r>
      <w:r w:rsidR="6644BC48" w:rsidRPr="00B5373E">
        <w:t xml:space="preserve">Neurology, Lund, </w:t>
      </w:r>
      <w:r w:rsidR="00FD0981" w:rsidRPr="00B5373E">
        <w:t>Sweden</w:t>
      </w:r>
    </w:p>
    <w:p w14:paraId="22853738" w14:textId="0C680C8F" w:rsidR="00FD0981" w:rsidRPr="00B5373E" w:rsidRDefault="00E56CA1" w:rsidP="00E93210">
      <w:pPr>
        <w:pStyle w:val="MDPI16affiliation"/>
      </w:pPr>
      <w:r w:rsidRPr="00B5373E">
        <w:rPr>
          <w:vertAlign w:val="superscript"/>
        </w:rPr>
        <w:t>3</w:t>
      </w:r>
      <w:r w:rsidR="00FD0981" w:rsidRPr="00B5373E">
        <w:t xml:space="preserve"> </w:t>
      </w:r>
      <w:r w:rsidRPr="00B5373E">
        <w:tab/>
      </w:r>
      <w:r w:rsidR="00577CDF" w:rsidRPr="00B5373E">
        <w:t>Department of Surgery and Cancer</w:t>
      </w:r>
      <w:r w:rsidR="00FD0981" w:rsidRPr="00B5373E">
        <w:t xml:space="preserve">, Imperial College </w:t>
      </w:r>
      <w:r w:rsidR="00577CDF" w:rsidRPr="00B5373E">
        <w:t>London</w:t>
      </w:r>
      <w:r w:rsidR="00FD0981" w:rsidRPr="00B5373E">
        <w:t>, London, UK</w:t>
      </w:r>
    </w:p>
    <w:p w14:paraId="70CBC276" w14:textId="5E8FB05C" w:rsidR="00E93210" w:rsidRPr="00B5373E" w:rsidRDefault="00E93210" w:rsidP="00E93210">
      <w:pPr>
        <w:pStyle w:val="MDPI16affiliation"/>
      </w:pPr>
      <w:r w:rsidRPr="00B5373E">
        <w:t>*</w:t>
      </w:r>
      <w:r w:rsidRPr="00B5373E">
        <w:tab/>
        <w:t xml:space="preserve">Correspondence: </w:t>
      </w:r>
      <w:r w:rsidR="00780C09" w:rsidRPr="00B5373E">
        <w:t>n</w:t>
      </w:r>
      <w:r w:rsidR="00B1598C" w:rsidRPr="00B5373E">
        <w:t>ancy.zook@uwe.ac.uk</w:t>
      </w:r>
    </w:p>
    <w:p w14:paraId="62453E02" w14:textId="77777777" w:rsidR="00FD0981" w:rsidRPr="00B5373E" w:rsidRDefault="00E93210" w:rsidP="00E93210">
      <w:pPr>
        <w:pStyle w:val="MDPI17abstract"/>
        <w:rPr>
          <w:b/>
          <w:szCs w:val="18"/>
        </w:rPr>
      </w:pPr>
      <w:r w:rsidRPr="00B5373E">
        <w:rPr>
          <w:b/>
          <w:szCs w:val="18"/>
        </w:rPr>
        <w:t xml:space="preserve">Abstract: </w:t>
      </w:r>
    </w:p>
    <w:p w14:paraId="3D845ECF" w14:textId="7243E1B3" w:rsidR="00E93210" w:rsidRPr="00B5373E" w:rsidRDefault="00FD0981" w:rsidP="00781F68">
      <w:pPr>
        <w:pStyle w:val="MDPI17abstract"/>
      </w:pPr>
      <w:r w:rsidRPr="00B5373E">
        <w:rPr>
          <w:i/>
          <w:iCs/>
        </w:rPr>
        <w:t>Objectives:</w:t>
      </w:r>
      <w:r w:rsidR="00E56CA1" w:rsidRPr="00B5373E">
        <w:t xml:space="preserve"> The primary aim of this review </w:t>
      </w:r>
      <w:r w:rsidR="00F15B61" w:rsidRPr="00B5373E">
        <w:t xml:space="preserve">was </w:t>
      </w:r>
      <w:r w:rsidR="00E56CA1" w:rsidRPr="00B5373E">
        <w:t xml:space="preserve">to </w:t>
      </w:r>
      <w:r w:rsidR="00F15B61" w:rsidRPr="00B5373E">
        <w:t xml:space="preserve">investigate </w:t>
      </w:r>
      <w:r w:rsidR="00E56CA1" w:rsidRPr="00B5373E">
        <w:t>neurocognitive outcomes following out-of-hospital cardiac arrest</w:t>
      </w:r>
      <w:r w:rsidR="00AC63B5" w:rsidRPr="00B5373E">
        <w:t xml:space="preserve"> (OHCA)</w:t>
      </w:r>
      <w:r w:rsidR="00E56CA1" w:rsidRPr="00B5373E">
        <w:t xml:space="preserve">. Specifically, the focus was on identifying the </w:t>
      </w:r>
      <w:r w:rsidR="00781F68" w:rsidRPr="00B5373E">
        <w:t>different neurocognitive domains that are assessed</w:t>
      </w:r>
      <w:r w:rsidR="00E56CA1" w:rsidRPr="00B5373E">
        <w:t xml:space="preserve">, </w:t>
      </w:r>
      <w:r w:rsidR="00781F68" w:rsidRPr="00B5373E">
        <w:t xml:space="preserve">the </w:t>
      </w:r>
      <w:r w:rsidR="00E56CA1" w:rsidRPr="00B5373E">
        <w:t xml:space="preserve">measures used, and the level of, and criteria for, impairment. </w:t>
      </w:r>
      <w:r w:rsidRPr="00B5373E">
        <w:br/>
      </w:r>
      <w:r w:rsidRPr="00B5373E">
        <w:rPr>
          <w:i/>
          <w:iCs/>
        </w:rPr>
        <w:t>Design and review methods</w:t>
      </w:r>
      <w:r w:rsidRPr="00B5373E">
        <w:t>:</w:t>
      </w:r>
      <w:r w:rsidR="00E56CA1" w:rsidRPr="00B5373E">
        <w:t xml:space="preserve"> A systematic review of the literature from 20</w:t>
      </w:r>
      <w:r w:rsidR="00455B7C" w:rsidRPr="00B5373E">
        <w:t>0</w:t>
      </w:r>
      <w:r w:rsidR="00E56CA1" w:rsidRPr="00B5373E">
        <w:t>6 to 20</w:t>
      </w:r>
      <w:r w:rsidR="000E2F3E" w:rsidRPr="00B5373E">
        <w:t>21</w:t>
      </w:r>
      <w:r w:rsidR="00E56CA1" w:rsidRPr="00B5373E">
        <w:t xml:space="preserve"> was co</w:t>
      </w:r>
      <w:r w:rsidR="00AC63B5" w:rsidRPr="00B5373E">
        <w:t>mpleted</w:t>
      </w:r>
      <w:r w:rsidR="00E56CA1" w:rsidRPr="00B5373E">
        <w:t xml:space="preserve"> using Medline, </w:t>
      </w:r>
      <w:proofErr w:type="spellStart"/>
      <w:r w:rsidR="00E56CA1" w:rsidRPr="00B5373E">
        <w:t>Cinahl</w:t>
      </w:r>
      <w:proofErr w:type="spellEnd"/>
      <w:r w:rsidR="00E56CA1" w:rsidRPr="00B5373E">
        <w:t xml:space="preserve"> and </w:t>
      </w:r>
      <w:proofErr w:type="spellStart"/>
      <w:r w:rsidR="00E56CA1" w:rsidRPr="00B5373E">
        <w:t>Psychinfo</w:t>
      </w:r>
      <w:proofErr w:type="spellEnd"/>
      <w:r w:rsidR="00E56CA1" w:rsidRPr="00B5373E">
        <w:t>. Criteria for inclu</w:t>
      </w:r>
      <w:r w:rsidR="00AC63B5" w:rsidRPr="00B5373E">
        <w:t>sion</w:t>
      </w:r>
      <w:r w:rsidR="00E56CA1" w:rsidRPr="00B5373E">
        <w:t xml:space="preserve"> were studies with participants over the age of 18, OHCA and at least one </w:t>
      </w:r>
      <w:r w:rsidR="00897F2E" w:rsidRPr="00B5373E">
        <w:t>neuro</w:t>
      </w:r>
      <w:r w:rsidR="00E56CA1" w:rsidRPr="00B5373E">
        <w:t>cognitive function measure. Qualitative and case studies were excluded. Reviewers assessed criteria and risk of bias</w:t>
      </w:r>
      <w:r w:rsidR="00C30EBA" w:rsidRPr="00B5373E">
        <w:t xml:space="preserve"> using a modified version of Downs and </w:t>
      </w:r>
      <w:r w:rsidR="00B131FE" w:rsidRPr="00B5373E">
        <w:t>Black</w:t>
      </w:r>
      <w:r w:rsidR="00C30EBA" w:rsidRPr="00B5373E">
        <w:t>.</w:t>
      </w:r>
      <w:r w:rsidRPr="00B5373E">
        <w:br/>
      </w:r>
      <w:r w:rsidR="00E56CA1" w:rsidRPr="00B5373E">
        <w:rPr>
          <w:i/>
          <w:iCs/>
        </w:rPr>
        <w:t xml:space="preserve">Results: </w:t>
      </w:r>
      <w:r w:rsidR="65FE54E1" w:rsidRPr="00B5373E">
        <w:t>Forty-three</w:t>
      </w:r>
      <w:r w:rsidR="00E56CA1" w:rsidRPr="00B5373E">
        <w:t xml:space="preserve"> studies were identified. Most studies had a low risk of bias</w:t>
      </w:r>
      <w:r w:rsidR="00B131FE" w:rsidRPr="00B5373E">
        <w:t xml:space="preserve"> (n=</w:t>
      </w:r>
      <w:r w:rsidR="63AAE889" w:rsidRPr="00B5373E">
        <w:t>31</w:t>
      </w:r>
      <w:r w:rsidR="00B131FE" w:rsidRPr="00B5373E">
        <w:t>) or moderate risk of bias (n=1</w:t>
      </w:r>
      <w:r w:rsidR="395F62E7" w:rsidRPr="00B5373E">
        <w:t>1</w:t>
      </w:r>
      <w:r w:rsidR="00B131FE" w:rsidRPr="00B5373E">
        <w:t>) and one had a high risk; however,</w:t>
      </w:r>
      <w:r w:rsidR="00021273" w:rsidRPr="00B5373E">
        <w:t xml:space="preserve"> </w:t>
      </w:r>
      <w:r w:rsidR="00B131FE" w:rsidRPr="00B5373E">
        <w:t>only s</w:t>
      </w:r>
      <w:r w:rsidR="000564A3" w:rsidRPr="00B5373E">
        <w:t>ix</w:t>
      </w:r>
      <w:r w:rsidR="00B131FE" w:rsidRPr="00B5373E">
        <w:t xml:space="preserve"> </w:t>
      </w:r>
      <w:r w:rsidR="00021273" w:rsidRPr="00B5373E">
        <w:t>report</w:t>
      </w:r>
      <w:r w:rsidR="00B131FE" w:rsidRPr="00B5373E">
        <w:t>ed</w:t>
      </w:r>
      <w:r w:rsidR="00021273" w:rsidRPr="00B5373E">
        <w:t xml:space="preserve"> effect sizes or power analyses</w:t>
      </w:r>
      <w:r w:rsidR="00E56CA1" w:rsidRPr="00B5373E">
        <w:t xml:space="preserve">. Multiple measures of </w:t>
      </w:r>
      <w:r w:rsidR="001B564D" w:rsidRPr="00B5373E">
        <w:t>neuro</w:t>
      </w:r>
      <w:r w:rsidR="00E56CA1" w:rsidRPr="00B5373E">
        <w:t xml:space="preserve">cognitive outcomes were used </w:t>
      </w:r>
      <w:r w:rsidR="00021273" w:rsidRPr="00B5373E">
        <w:t xml:space="preserve">(&gt;50) and level of impairment criteria varied considerably. Memory impairments were </w:t>
      </w:r>
      <w:r w:rsidR="00C30EBA" w:rsidRPr="00B5373E">
        <w:t>frequently</w:t>
      </w:r>
      <w:r w:rsidR="00B131FE" w:rsidRPr="00B5373E">
        <w:t xml:space="preserve"> </w:t>
      </w:r>
      <w:r w:rsidR="3479BDC7" w:rsidRPr="00B5373E">
        <w:t>found and</w:t>
      </w:r>
      <w:r w:rsidR="00021273" w:rsidRPr="00B5373E">
        <w:t xml:space="preserve"> were also more likely to be impaired followed by executive function and processing speed.</w:t>
      </w:r>
      <w:r w:rsidRPr="00B5373E">
        <w:br/>
      </w:r>
      <w:r w:rsidR="00021273" w:rsidRPr="00B5373E">
        <w:rPr>
          <w:i/>
          <w:iCs/>
        </w:rPr>
        <w:t>Discussion:</w:t>
      </w:r>
      <w:r w:rsidR="00021273" w:rsidRPr="00B5373E">
        <w:t xml:space="preserve"> </w:t>
      </w:r>
      <w:r w:rsidR="00F15B61" w:rsidRPr="00B5373E">
        <w:t>T</w:t>
      </w:r>
      <w:r w:rsidR="00021273" w:rsidRPr="00B5373E">
        <w:t xml:space="preserve">his review highlights the heterogeneity of measures and approaches used to assess neurocognitive outcomes following </w:t>
      </w:r>
      <w:r w:rsidR="00AC63B5" w:rsidRPr="00B5373E">
        <w:t>OHCA</w:t>
      </w:r>
      <w:r w:rsidR="00C30EBA" w:rsidRPr="00B5373E">
        <w:t xml:space="preserve"> as well as the need to improve risk of bias</w:t>
      </w:r>
      <w:r w:rsidR="00B131FE" w:rsidRPr="00B5373E">
        <w:t xml:space="preserve"> concerning generalizability</w:t>
      </w:r>
      <w:r w:rsidR="00D564AB" w:rsidRPr="00B5373E">
        <w:t xml:space="preserve">. </w:t>
      </w:r>
      <w:r w:rsidR="00207082" w:rsidRPr="00B5373E">
        <w:t>Improv</w:t>
      </w:r>
      <w:r w:rsidR="00AC63B5" w:rsidRPr="00B5373E">
        <w:t>ed</w:t>
      </w:r>
      <w:r w:rsidR="00781F68" w:rsidRPr="00B5373E">
        <w:t xml:space="preserve"> understanding of the approaches used for assessment and the subsequent findings will facilitate </w:t>
      </w:r>
      <w:r w:rsidR="00AC63B5" w:rsidRPr="00B5373E">
        <w:t>a</w:t>
      </w:r>
      <w:r w:rsidR="00781F68" w:rsidRPr="00B5373E">
        <w:t xml:space="preserve"> standardized evaluation of neurocognitive outcomes following OHCA.</w:t>
      </w:r>
      <w:r w:rsidRPr="00B5373E">
        <w:br/>
      </w:r>
      <w:r w:rsidR="00E93210" w:rsidRPr="00B5373E">
        <w:rPr>
          <w:b/>
          <w:bCs/>
        </w:rPr>
        <w:t xml:space="preserve">Keywords: </w:t>
      </w:r>
      <w:r w:rsidR="00B1598C" w:rsidRPr="00B5373E">
        <w:t>out-of-hospital cardiac arrest, neurocognitive outcomes, memory, executive functions</w:t>
      </w:r>
    </w:p>
    <w:p w14:paraId="1A360245" w14:textId="77777777" w:rsidR="00E93210" w:rsidRPr="00B5373E" w:rsidRDefault="00E93210" w:rsidP="00E93210">
      <w:pPr>
        <w:pStyle w:val="MDPI19line"/>
      </w:pPr>
    </w:p>
    <w:p w14:paraId="2501C717" w14:textId="77777777" w:rsidR="00E93210" w:rsidRPr="00B5373E" w:rsidRDefault="00E93210" w:rsidP="00E93210">
      <w:pPr>
        <w:pStyle w:val="MDPI21heading1"/>
        <w:rPr>
          <w:lang w:eastAsia="zh-CN"/>
        </w:rPr>
      </w:pPr>
      <w:r w:rsidRPr="00B5373E">
        <w:rPr>
          <w:lang w:eastAsia="zh-CN"/>
        </w:rPr>
        <w:t>1. Introduction</w:t>
      </w:r>
    </w:p>
    <w:p w14:paraId="503F95C5" w14:textId="0B1FF192" w:rsidR="00B1598C" w:rsidRPr="00B5373E" w:rsidRDefault="00B1598C" w:rsidP="004B261F">
      <w:pPr>
        <w:pStyle w:val="MDPI31text"/>
      </w:pPr>
      <w:r w:rsidRPr="00B5373E">
        <w:t>Outcomes from out of hospital cardiac arrest (OHCA) are poor with high mortality</w:t>
      </w:r>
      <w:r w:rsidR="00F15B61" w:rsidRPr="00B5373E">
        <w:t xml:space="preserve">; </w:t>
      </w:r>
      <w:r w:rsidR="000955FC" w:rsidRPr="00B5373E">
        <w:t>survival rates at hospital discharge are on average 8%, varying from 0% to 18%</w:t>
      </w:r>
      <w:r w:rsidR="008A5E0A" w:rsidRPr="00B5373E">
        <w:rPr>
          <w:vertAlign w:val="superscript"/>
        </w:rPr>
        <w:t>1</w:t>
      </w:r>
      <w:r w:rsidR="00370916" w:rsidRPr="00B5373E">
        <w:t>.</w:t>
      </w:r>
      <w:r w:rsidRPr="00B5373E">
        <w:t xml:space="preserve"> For those who survive, neurocognitive impairment </w:t>
      </w:r>
      <w:r w:rsidR="00AC63B5" w:rsidRPr="00B5373E">
        <w:t xml:space="preserve">is often </w:t>
      </w:r>
      <w:r w:rsidRPr="00B5373E">
        <w:t xml:space="preserve">a concern; however, </w:t>
      </w:r>
      <w:r w:rsidR="00AC63B5" w:rsidRPr="00B5373E">
        <w:t xml:space="preserve">understanding of the </w:t>
      </w:r>
      <w:r w:rsidRPr="00B5373E">
        <w:t xml:space="preserve">type and level of impairment </w:t>
      </w:r>
      <w:r w:rsidR="00AC63B5" w:rsidRPr="00B5373E">
        <w:t>is limited</w:t>
      </w:r>
      <w:r w:rsidRPr="00B5373E">
        <w:t xml:space="preserve">. </w:t>
      </w:r>
      <w:r w:rsidR="00F15B61" w:rsidRPr="00B5373E">
        <w:t xml:space="preserve">A </w:t>
      </w:r>
      <w:r w:rsidRPr="00B5373E">
        <w:t xml:space="preserve">systematic review by </w:t>
      </w:r>
      <w:proofErr w:type="spellStart"/>
      <w:r w:rsidRPr="00B5373E">
        <w:t>Moulaert</w:t>
      </w:r>
      <w:proofErr w:type="spellEnd"/>
      <w:r w:rsidRPr="00B5373E">
        <w:t xml:space="preserve"> et al</w:t>
      </w:r>
      <w:r w:rsidR="008A5E0A" w:rsidRPr="00B5373E">
        <w:rPr>
          <w:vertAlign w:val="superscript"/>
        </w:rPr>
        <w:t>2</w:t>
      </w:r>
      <w:r w:rsidR="00664D9A" w:rsidRPr="00B5373E">
        <w:t xml:space="preserve"> </w:t>
      </w:r>
      <w:r w:rsidRPr="00B5373E">
        <w:t>found that the frequency of impairments reported after OHCA varied considerably, from 6% to 100%. The authors note the paucity of high-quality studies assessing neurocognitive outcomes. Specific weaknesses included</w:t>
      </w:r>
      <w:r w:rsidR="00F15B61" w:rsidRPr="00B5373E">
        <w:t>:</w:t>
      </w:r>
      <w:r w:rsidRPr="00B5373E">
        <w:t xml:space="preserve"> concerns with the patient populations used, the small sample size, the heterogeneity of assessments, and the lack of consideration of factors such as age, sex, and treatment. A more recent review over a seven-year period also notes the difficulty of </w:t>
      </w:r>
      <w:r w:rsidR="00664D9A" w:rsidRPr="00B5373E">
        <w:t>generalizing</w:t>
      </w:r>
      <w:r w:rsidRPr="00B5373E">
        <w:t xml:space="preserve"> findings across </w:t>
      </w:r>
      <w:r w:rsidR="000E1380" w:rsidRPr="00B5373E">
        <w:t xml:space="preserve">cardiac arrest </w:t>
      </w:r>
      <w:r w:rsidRPr="00B5373E">
        <w:t>studies</w:t>
      </w:r>
      <w:r w:rsidR="008A5E0A" w:rsidRPr="00B5373E">
        <w:rPr>
          <w:vertAlign w:val="superscript"/>
        </w:rPr>
        <w:t>3</w:t>
      </w:r>
      <w:r w:rsidR="00370916" w:rsidRPr="00B5373E">
        <w:t>.</w:t>
      </w:r>
    </w:p>
    <w:p w14:paraId="32618D4B" w14:textId="3EE6004C" w:rsidR="00B1598C" w:rsidRPr="00B5373E" w:rsidRDefault="00B1598C" w:rsidP="004B261F">
      <w:pPr>
        <w:pStyle w:val="MDPI31text"/>
      </w:pPr>
      <w:r w:rsidRPr="00B5373E">
        <w:t>Deficits in neuropsychological domains (e.g., attention, memory, executive function) are likely associated with damage to areas</w:t>
      </w:r>
      <w:r w:rsidR="000E1380" w:rsidRPr="00B5373E">
        <w:t xml:space="preserve"> that</w:t>
      </w:r>
      <w:r w:rsidRPr="00B5373E">
        <w:t xml:space="preserve"> are particularly vulnerable to the effects of </w:t>
      </w:r>
      <w:r w:rsidRPr="00B5373E">
        <w:lastRenderedPageBreak/>
        <w:t>hypoxia</w:t>
      </w:r>
      <w:r w:rsidR="00A6369A" w:rsidRPr="00B5373E">
        <w:t>,</w:t>
      </w:r>
      <w:r w:rsidRPr="00B5373E">
        <w:t xml:space="preserve"> </w:t>
      </w:r>
      <w:r w:rsidR="00F15B61" w:rsidRPr="00B5373E">
        <w:t xml:space="preserve">associated with </w:t>
      </w:r>
      <w:r w:rsidRPr="00B5373E">
        <w:t xml:space="preserve">out-of-hospital cardiac arrest. </w:t>
      </w:r>
      <w:r w:rsidR="000E1380" w:rsidRPr="00B5373E">
        <w:t>This is</w:t>
      </w:r>
      <w:r w:rsidRPr="00B5373E">
        <w:t xml:space="preserve"> supported by studies showing specific decreases in </w:t>
      </w:r>
      <w:r w:rsidR="000E1380" w:rsidRPr="00B5373E">
        <w:t xml:space="preserve">the </w:t>
      </w:r>
      <w:r w:rsidRPr="00B5373E">
        <w:t xml:space="preserve">volume of areas </w:t>
      </w:r>
      <w:r w:rsidR="000E1380" w:rsidRPr="00B5373E">
        <w:t xml:space="preserve">of the brain </w:t>
      </w:r>
      <w:r w:rsidRPr="00B5373E">
        <w:t>such as the hippocamp</w:t>
      </w:r>
      <w:r w:rsidR="000E1380" w:rsidRPr="00B5373E">
        <w:t>us</w:t>
      </w:r>
      <w:r w:rsidRPr="00B5373E">
        <w:t>, the anterior cingulate cortex, the dorsolateral prefrontal cortex, and the striatum</w:t>
      </w:r>
      <w:r w:rsidR="000C7977" w:rsidRPr="00B5373E">
        <w:t xml:space="preserve"> </w:t>
      </w:r>
      <w:r w:rsidR="00CD7CC2" w:rsidRPr="00B5373E">
        <w:rPr>
          <w:vertAlign w:val="superscript"/>
        </w:rPr>
        <w:t>4,5</w:t>
      </w:r>
      <w:r w:rsidR="00CD7CC2" w:rsidRPr="00B5373E">
        <w:t>.</w:t>
      </w:r>
      <w:r w:rsidRPr="00B5373E">
        <w:t xml:space="preserve"> These areas are associated with core deficits identified following OHCA in the neuropsychological domains of memory, attention and executive functions. Deficits in these areas </w:t>
      </w:r>
      <w:r w:rsidR="00781F68" w:rsidRPr="00B5373E">
        <w:t>for</w:t>
      </w:r>
      <w:r w:rsidRPr="00B5373E">
        <w:t xml:space="preserve"> </w:t>
      </w:r>
      <w:r w:rsidR="00781F68" w:rsidRPr="00B5373E">
        <w:t xml:space="preserve">patients </w:t>
      </w:r>
      <w:r w:rsidRPr="00B5373E">
        <w:t xml:space="preserve">classified as </w:t>
      </w:r>
      <w:r w:rsidR="00781F68" w:rsidRPr="00B5373E">
        <w:t xml:space="preserve">having a </w:t>
      </w:r>
      <w:r w:rsidRPr="00B5373E">
        <w:t>‘good outcome’ may be overlooked or underestimated, particularly when</w:t>
      </w:r>
      <w:r w:rsidR="0AD0F721" w:rsidRPr="00B5373E">
        <w:t xml:space="preserve"> measures are used that are not sensitive to minor or subtle changes in </w:t>
      </w:r>
      <w:r w:rsidR="00897F2E" w:rsidRPr="00B5373E">
        <w:t>neuro</w:t>
      </w:r>
      <w:r w:rsidRPr="00B5373E">
        <w:t>cognitive function are used</w:t>
      </w:r>
      <w:r w:rsidR="000E1380" w:rsidRPr="00B5373E">
        <w:t>, creating a “ceiling effect”</w:t>
      </w:r>
      <w:r w:rsidR="003A7EF7" w:rsidRPr="00B5373E">
        <w:t xml:space="preserve"> </w:t>
      </w:r>
      <w:r w:rsidR="000C7977" w:rsidRPr="00B5373E">
        <w:rPr>
          <w:vertAlign w:val="superscript"/>
        </w:rPr>
        <w:t>6</w:t>
      </w:r>
      <w:r w:rsidR="00A6369A" w:rsidRPr="00B5373E">
        <w:t>.</w:t>
      </w:r>
      <w:r w:rsidRPr="00B5373E">
        <w:t xml:space="preserve"> The patient may therefore be discharged without appropriate rehabilitation</w:t>
      </w:r>
      <w:r w:rsidR="000E1380" w:rsidRPr="00B5373E">
        <w:t>,</w:t>
      </w:r>
      <w:r w:rsidRPr="00B5373E">
        <w:t xml:space="preserve"> or </w:t>
      </w:r>
      <w:r w:rsidR="000E1380" w:rsidRPr="00B5373E">
        <w:t xml:space="preserve">inadequately </w:t>
      </w:r>
      <w:r w:rsidRPr="00B5373E">
        <w:t xml:space="preserve">prepared to deal with the challenges that will follow in carrying out daily activities. </w:t>
      </w:r>
    </w:p>
    <w:p w14:paraId="4D164BB9" w14:textId="244216F1" w:rsidR="00E93210" w:rsidRPr="00B5373E" w:rsidRDefault="00B1598C" w:rsidP="002D7D5E">
      <w:pPr>
        <w:pStyle w:val="MDPI31text"/>
      </w:pPr>
      <w:r w:rsidRPr="00B5373E">
        <w:t>Th</w:t>
      </w:r>
      <w:r w:rsidR="000E1380" w:rsidRPr="00B5373E">
        <w:t>is</w:t>
      </w:r>
      <w:r w:rsidRPr="00B5373E">
        <w:t xml:space="preserve"> systematic review of recent studies extends findings </w:t>
      </w:r>
      <w:r w:rsidR="000E1380" w:rsidRPr="00B5373E">
        <w:t xml:space="preserve">from the previous </w:t>
      </w:r>
      <w:r w:rsidRPr="00B5373E">
        <w:t xml:space="preserve">review by considering recent studies specifically focused on OHCA. The primary aims of this review </w:t>
      </w:r>
      <w:proofErr w:type="gramStart"/>
      <w:r w:rsidRPr="00B5373E">
        <w:t>were</w:t>
      </w:r>
      <w:proofErr w:type="gramEnd"/>
      <w:r w:rsidRPr="00B5373E">
        <w:t xml:space="preserve"> to identify</w:t>
      </w:r>
      <w:r w:rsidR="000E1380" w:rsidRPr="00B5373E">
        <w:t>:</w:t>
      </w:r>
      <w:r w:rsidRPr="00B5373E">
        <w:t xml:space="preserve"> (1) the areas of </w:t>
      </w:r>
      <w:r w:rsidR="00781F68" w:rsidRPr="00B5373E">
        <w:t xml:space="preserve">neurocognitive </w:t>
      </w:r>
      <w:r w:rsidRPr="00B5373E">
        <w:t>function assessed following OHCA</w:t>
      </w:r>
      <w:r w:rsidR="000E1380" w:rsidRPr="00B5373E">
        <w:t>;</w:t>
      </w:r>
      <w:r w:rsidRPr="00B5373E">
        <w:t xml:space="preserve"> (2) the specific measures used</w:t>
      </w:r>
      <w:r w:rsidR="000E1380" w:rsidRPr="00B5373E">
        <w:t>;</w:t>
      </w:r>
      <w:r w:rsidRPr="00B5373E">
        <w:t xml:space="preserve"> (3) the timing of the assessment</w:t>
      </w:r>
      <w:r w:rsidR="000E1380" w:rsidRPr="00B5373E">
        <w:t>;</w:t>
      </w:r>
      <w:r w:rsidRPr="00B5373E">
        <w:t xml:space="preserve"> (4) the prevalence </w:t>
      </w:r>
      <w:r w:rsidR="000E1380" w:rsidRPr="00B5373E">
        <w:t xml:space="preserve">and degree </w:t>
      </w:r>
      <w:r w:rsidRPr="00B5373E">
        <w:t>of impairment identified</w:t>
      </w:r>
      <w:r w:rsidR="000E1380" w:rsidRPr="00B5373E">
        <w:t>,</w:t>
      </w:r>
      <w:r w:rsidR="00F61515" w:rsidRPr="00B5373E">
        <w:t xml:space="preserve"> and the criteria used to identify impairment</w:t>
      </w:r>
      <w:r w:rsidRPr="00B5373E">
        <w:t>.</w:t>
      </w:r>
      <w:r w:rsidR="009033B4" w:rsidRPr="00B5373E">
        <w:t xml:space="preserve"> </w:t>
      </w:r>
      <w:r w:rsidR="00A6369A" w:rsidRPr="00B5373E">
        <w:t xml:space="preserve">Studies were also reviewed for risk of bias in order to determine the strength of the evidence. </w:t>
      </w:r>
    </w:p>
    <w:p w14:paraId="6B63E081" w14:textId="77777777" w:rsidR="00E93210" w:rsidRPr="00B5373E" w:rsidRDefault="00E93210" w:rsidP="00E93210">
      <w:pPr>
        <w:pStyle w:val="MDPI21heading1"/>
      </w:pPr>
      <w:r w:rsidRPr="00B5373E">
        <w:rPr>
          <w:lang w:eastAsia="zh-CN"/>
        </w:rPr>
        <w:t xml:space="preserve">2. </w:t>
      </w:r>
      <w:r w:rsidRPr="00B5373E">
        <w:t>Methods</w:t>
      </w:r>
    </w:p>
    <w:p w14:paraId="71A8AF12" w14:textId="77777777" w:rsidR="004B261F" w:rsidRPr="00B5373E" w:rsidRDefault="004B261F" w:rsidP="004B261F">
      <w:pPr>
        <w:pStyle w:val="MDPI31text"/>
        <w:ind w:firstLine="86"/>
        <w:rPr>
          <w:i/>
          <w:iCs/>
        </w:rPr>
      </w:pPr>
      <w:r w:rsidRPr="00B5373E">
        <w:rPr>
          <w:i/>
          <w:iCs/>
        </w:rPr>
        <w:t>2.1 Search Strategy</w:t>
      </w:r>
    </w:p>
    <w:p w14:paraId="6F512944" w14:textId="66405A7C" w:rsidR="004B261F" w:rsidRPr="00B5373E" w:rsidRDefault="004B261F" w:rsidP="004B261F">
      <w:pPr>
        <w:pStyle w:val="MDPI31text"/>
      </w:pPr>
      <w:r w:rsidRPr="00B5373E">
        <w:t xml:space="preserve">Using Medline, </w:t>
      </w:r>
      <w:proofErr w:type="spellStart"/>
      <w:r w:rsidRPr="00B5373E">
        <w:t>Cinahl</w:t>
      </w:r>
      <w:proofErr w:type="spellEnd"/>
      <w:r w:rsidRPr="00B5373E">
        <w:t xml:space="preserve"> and </w:t>
      </w:r>
      <w:proofErr w:type="spellStart"/>
      <w:r w:rsidRPr="00B5373E">
        <w:t>PsycInfo</w:t>
      </w:r>
      <w:proofErr w:type="spellEnd"/>
      <w:r w:rsidRPr="00B5373E">
        <w:t xml:space="preserve"> a systematic literature review was c</w:t>
      </w:r>
      <w:r w:rsidR="000E1380" w:rsidRPr="00B5373E">
        <w:t>ompleted</w:t>
      </w:r>
      <w:r w:rsidRPr="00B5373E">
        <w:t xml:space="preserve"> (Prospero CRD42019149075)</w:t>
      </w:r>
      <w:r w:rsidR="000E1380" w:rsidRPr="00B5373E">
        <w:t>. This</w:t>
      </w:r>
      <w:r w:rsidRPr="00B5373E">
        <w:t xml:space="preserve"> included articles from January 20</w:t>
      </w:r>
      <w:r w:rsidR="00455B7C" w:rsidRPr="00B5373E">
        <w:t>0</w:t>
      </w:r>
      <w:r w:rsidRPr="00B5373E">
        <w:t xml:space="preserve">6 to </w:t>
      </w:r>
      <w:r w:rsidR="000B7E2D" w:rsidRPr="00B5373E">
        <w:t>August 2021</w:t>
      </w:r>
      <w:r w:rsidRPr="00B5373E">
        <w:t>. Additional searches were conducted</w:t>
      </w:r>
      <w:r w:rsidR="545E1015" w:rsidRPr="00B5373E">
        <w:t xml:space="preserve"> over this time period</w:t>
      </w:r>
      <w:r w:rsidRPr="00B5373E">
        <w:t xml:space="preserve"> using reference lists from papers selected and Google scholar</w:t>
      </w:r>
      <w:r w:rsidR="000B7E2D" w:rsidRPr="00B5373E">
        <w:t xml:space="preserve"> (NZ)</w:t>
      </w:r>
      <w:r w:rsidRPr="00B5373E">
        <w:t xml:space="preserve">. No additional papers were identified through these searches. The search terms included both cardiac arrest population terms and </w:t>
      </w:r>
      <w:r w:rsidR="001B564D" w:rsidRPr="00B5373E">
        <w:t>neuro</w:t>
      </w:r>
      <w:r w:rsidRPr="00B5373E">
        <w:t>cognitive outcomes (</w:t>
      </w:r>
      <w:r w:rsidRPr="00B5373E">
        <w:rPr>
          <w:b/>
          <w:bCs/>
        </w:rPr>
        <w:t>Appendix 1</w:t>
      </w:r>
      <w:r w:rsidRPr="00B5373E">
        <w:t xml:space="preserve">). Articles were selected if they included at least one </w:t>
      </w:r>
      <w:r w:rsidR="00897F2E" w:rsidRPr="00B5373E">
        <w:t>neuro</w:t>
      </w:r>
      <w:r w:rsidRPr="00B5373E">
        <w:t xml:space="preserve">cognitive assessment </w:t>
      </w:r>
      <w:r w:rsidR="000E1380" w:rsidRPr="00B5373E">
        <w:t>in</w:t>
      </w:r>
      <w:r w:rsidRPr="00B5373E">
        <w:t xml:space="preserve"> OHCA survivors over the age of 18 </w:t>
      </w:r>
      <w:r w:rsidR="00DB0F5E" w:rsidRPr="00B5373E">
        <w:t xml:space="preserve">years </w:t>
      </w:r>
      <w:r w:rsidRPr="00B5373E">
        <w:t xml:space="preserve">and were either written in English or there was a translation available. Studies </w:t>
      </w:r>
      <w:r w:rsidR="008F489A" w:rsidRPr="00B5373E">
        <w:t xml:space="preserve">including </w:t>
      </w:r>
      <w:r w:rsidRPr="00B5373E">
        <w:t>both in</w:t>
      </w:r>
      <w:r w:rsidR="008F489A" w:rsidRPr="00B5373E">
        <w:t>-</w:t>
      </w:r>
      <w:r w:rsidRPr="00B5373E">
        <w:t xml:space="preserve"> and out-of-hospital cardiac arrest were excluded </w:t>
      </w:r>
      <w:r w:rsidR="008F489A" w:rsidRPr="00B5373E">
        <w:t xml:space="preserve">if it was not possible to identify </w:t>
      </w:r>
      <w:r w:rsidR="001B564D" w:rsidRPr="00B5373E">
        <w:t>neuro</w:t>
      </w:r>
      <w:r w:rsidR="008F489A" w:rsidRPr="00B5373E">
        <w:t>cognitive outcomes specific to the OHCA group</w:t>
      </w:r>
      <w:r w:rsidR="00EF6AD9" w:rsidRPr="00B5373E">
        <w:t>. F</w:t>
      </w:r>
      <w:r w:rsidRPr="00B5373E">
        <w:t>unctional outcome measures</w:t>
      </w:r>
      <w:r w:rsidR="000B7E2D" w:rsidRPr="00B5373E">
        <w:t xml:space="preserve"> </w:t>
      </w:r>
      <w:r w:rsidR="00EF6AD9" w:rsidRPr="00B5373E">
        <w:t>typically used at discharge -</w:t>
      </w:r>
      <w:r w:rsidRPr="00B5373E">
        <w:t>i.e., C</w:t>
      </w:r>
      <w:r w:rsidR="000E1380" w:rsidRPr="00B5373E">
        <w:t xml:space="preserve">erebral </w:t>
      </w:r>
      <w:r w:rsidRPr="00B5373E">
        <w:t>P</w:t>
      </w:r>
      <w:r w:rsidR="000E1380" w:rsidRPr="00B5373E">
        <w:t xml:space="preserve">erformance </w:t>
      </w:r>
      <w:r w:rsidRPr="00B5373E">
        <w:t>C</w:t>
      </w:r>
      <w:r w:rsidR="000E1380" w:rsidRPr="00B5373E">
        <w:t>ategory</w:t>
      </w:r>
      <w:r w:rsidR="00417180" w:rsidRPr="00B5373E">
        <w:t xml:space="preserve"> (CPC)</w:t>
      </w:r>
      <w:r w:rsidR="000C7977" w:rsidRPr="00B5373E">
        <w:rPr>
          <w:vertAlign w:val="superscript"/>
        </w:rPr>
        <w:t>7</w:t>
      </w:r>
      <w:r w:rsidRPr="00B5373E">
        <w:t xml:space="preserve">, Glasgow </w:t>
      </w:r>
      <w:r w:rsidR="000E1380" w:rsidRPr="00B5373E">
        <w:t>Outcome</w:t>
      </w:r>
      <w:r w:rsidRPr="00B5373E">
        <w:t xml:space="preserve"> Scale</w:t>
      </w:r>
      <w:r w:rsidR="009033B4" w:rsidRPr="00B5373E">
        <w:rPr>
          <w:vertAlign w:val="superscript"/>
        </w:rPr>
        <w:t>8</w:t>
      </w:r>
      <w:r w:rsidR="00417180" w:rsidRPr="00B5373E">
        <w:t xml:space="preserve"> (GOS)</w:t>
      </w:r>
      <w:r w:rsidRPr="00B5373E">
        <w:t xml:space="preserve"> and m</w:t>
      </w:r>
      <w:r w:rsidR="000E1380" w:rsidRPr="00B5373E">
        <w:t xml:space="preserve">odified </w:t>
      </w:r>
      <w:r w:rsidRPr="00B5373E">
        <w:t>R</w:t>
      </w:r>
      <w:r w:rsidR="000E1380" w:rsidRPr="00B5373E">
        <w:t xml:space="preserve">ankin </w:t>
      </w:r>
      <w:r w:rsidRPr="00B5373E">
        <w:t>S</w:t>
      </w:r>
      <w:r w:rsidR="000E1380" w:rsidRPr="00B5373E">
        <w:t>cale</w:t>
      </w:r>
      <w:r w:rsidR="00F93070" w:rsidRPr="00B5373E">
        <w:t xml:space="preserve"> </w:t>
      </w:r>
      <w:r w:rsidR="00417180" w:rsidRPr="00B5373E">
        <w:t>(</w:t>
      </w:r>
      <w:proofErr w:type="spellStart"/>
      <w:r w:rsidR="00417180" w:rsidRPr="00B5373E">
        <w:t>mRS</w:t>
      </w:r>
      <w:proofErr w:type="spellEnd"/>
      <w:r w:rsidRPr="00B5373E">
        <w:t>)</w:t>
      </w:r>
      <w:r w:rsidR="000C7977" w:rsidRPr="00B5373E">
        <w:rPr>
          <w:vertAlign w:val="superscript"/>
        </w:rPr>
        <w:t>9</w:t>
      </w:r>
      <w:r w:rsidR="00EF6AD9" w:rsidRPr="00B5373E">
        <w:rPr>
          <w:vertAlign w:val="superscript"/>
        </w:rPr>
        <w:t xml:space="preserve"> </w:t>
      </w:r>
      <w:r w:rsidR="00EF6AD9" w:rsidRPr="00B5373E">
        <w:t>– were also</w:t>
      </w:r>
      <w:r w:rsidR="00EF6AD9" w:rsidRPr="00B5373E">
        <w:rPr>
          <w:vertAlign w:val="superscript"/>
        </w:rPr>
        <w:t xml:space="preserve"> </w:t>
      </w:r>
      <w:r w:rsidR="00EF6AD9" w:rsidRPr="00B5373E">
        <w:t>excluded as the focus here was on measures of neurocognitive performance beyond discharge</w:t>
      </w:r>
      <w:r w:rsidR="000B7E2D" w:rsidRPr="00B5373E">
        <w:t xml:space="preserve">. </w:t>
      </w:r>
      <w:r w:rsidRPr="00B5373E">
        <w:t xml:space="preserve">Case studies and qualitative studies were also excluded. </w:t>
      </w:r>
    </w:p>
    <w:p w14:paraId="17A90CEB" w14:textId="4BB09AF2" w:rsidR="004B261F" w:rsidRPr="00B5373E" w:rsidRDefault="004B261F" w:rsidP="004B261F">
      <w:pPr>
        <w:pStyle w:val="MDPI31text"/>
        <w:rPr>
          <w:b/>
          <w:bCs/>
        </w:rPr>
      </w:pPr>
      <w:r w:rsidRPr="00B5373E">
        <w:t>Initially, articles were reviewed for inclusion and exclusion criteria using titles and abstracts (NZ). Following this, full texts were reviewed independently by two researchers (NZ, SV). Where consensus was not reached, input was sought from other reviewers (JB, S</w:t>
      </w:r>
      <w:r w:rsidR="00577CDF" w:rsidRPr="00B5373E">
        <w:t>J</w:t>
      </w:r>
      <w:r w:rsidRPr="00B5373E">
        <w:t xml:space="preserve">B, EJ). </w:t>
      </w:r>
    </w:p>
    <w:p w14:paraId="4B61468C" w14:textId="77777777" w:rsidR="004B261F" w:rsidRPr="00B5373E" w:rsidRDefault="004B261F" w:rsidP="004B261F">
      <w:pPr>
        <w:rPr>
          <w:i/>
          <w:iCs/>
        </w:rPr>
      </w:pPr>
    </w:p>
    <w:p w14:paraId="6DDC4505" w14:textId="77777777" w:rsidR="004B261F" w:rsidRPr="00B5373E" w:rsidRDefault="004B261F" w:rsidP="004B261F">
      <w:pPr>
        <w:pStyle w:val="MDPI31text"/>
        <w:ind w:firstLine="86"/>
        <w:rPr>
          <w:i/>
          <w:iCs/>
        </w:rPr>
      </w:pPr>
      <w:r w:rsidRPr="00B5373E">
        <w:rPr>
          <w:i/>
          <w:iCs/>
        </w:rPr>
        <w:t>2.2 Quality appraisal</w:t>
      </w:r>
    </w:p>
    <w:p w14:paraId="3650BAB1" w14:textId="20732AB6" w:rsidR="004B261F" w:rsidRPr="00B5373E" w:rsidRDefault="004B261F" w:rsidP="004B261F">
      <w:pPr>
        <w:pStyle w:val="MDPI31text"/>
      </w:pPr>
      <w:r w:rsidRPr="00B5373E">
        <w:t xml:space="preserve">Quality was independently assessed using a modified version of </w:t>
      </w:r>
      <w:r w:rsidR="007D7187" w:rsidRPr="00B5373E">
        <w:t xml:space="preserve">a </w:t>
      </w:r>
      <w:r w:rsidRPr="00B5373E">
        <w:t>Downs and Black</w:t>
      </w:r>
      <w:r w:rsidR="0078729D" w:rsidRPr="00B5373E">
        <w:t xml:space="preserve"> </w:t>
      </w:r>
      <w:r w:rsidR="007D7187" w:rsidRPr="00B5373E">
        <w:t>checklist</w:t>
      </w:r>
      <w:r w:rsidR="49E48EF5" w:rsidRPr="00B5373E">
        <w:t xml:space="preserve"> for nonintervention studies</w:t>
      </w:r>
      <w:r w:rsidR="00A1257B" w:rsidRPr="00B5373E">
        <w:rPr>
          <w:vertAlign w:val="superscript"/>
        </w:rPr>
        <w:t>10,11</w:t>
      </w:r>
      <w:r w:rsidRPr="00B5373E">
        <w:t xml:space="preserve"> by two reviewers (NZ, EBN). A third reviewer (SV) assessed articles by EBN and co-authors. Quality was assessed using fifteen items scored as either 0 (absent or unable to determine) or 1 in the following categories: reporting</w:t>
      </w:r>
      <w:r w:rsidR="7616C585" w:rsidRPr="00B5373E">
        <w:t xml:space="preserve"> (</w:t>
      </w:r>
      <w:r w:rsidR="6416DCA9" w:rsidRPr="00B5373E">
        <w:t>0-</w:t>
      </w:r>
      <w:r w:rsidR="7616C585" w:rsidRPr="00B5373E">
        <w:t>7)</w:t>
      </w:r>
      <w:r w:rsidRPr="00B5373E">
        <w:t xml:space="preserve">, </w:t>
      </w:r>
      <w:r w:rsidR="030EA831" w:rsidRPr="00B5373E">
        <w:t>ex</w:t>
      </w:r>
      <w:r w:rsidRPr="00B5373E">
        <w:t>ternal validity</w:t>
      </w:r>
      <w:r w:rsidR="791A8411" w:rsidRPr="00B5373E">
        <w:t xml:space="preserve"> (</w:t>
      </w:r>
      <w:r w:rsidR="63A813FF" w:rsidRPr="00B5373E">
        <w:t>0-</w:t>
      </w:r>
      <w:r w:rsidR="2AE7D92F" w:rsidRPr="00B5373E">
        <w:t>3</w:t>
      </w:r>
      <w:r w:rsidR="791A8411" w:rsidRPr="00B5373E">
        <w:t>)</w:t>
      </w:r>
      <w:r w:rsidRPr="00B5373E">
        <w:t xml:space="preserve">, </w:t>
      </w:r>
      <w:r w:rsidR="77D041AF" w:rsidRPr="00B5373E">
        <w:t>in</w:t>
      </w:r>
      <w:r w:rsidRPr="00B5373E">
        <w:t>ternal validity</w:t>
      </w:r>
      <w:r w:rsidR="667A2349" w:rsidRPr="00B5373E">
        <w:t xml:space="preserve"> (</w:t>
      </w:r>
      <w:r w:rsidR="6A5188AC" w:rsidRPr="00B5373E">
        <w:t>0-</w:t>
      </w:r>
      <w:r w:rsidR="12E4FDDE" w:rsidRPr="00B5373E">
        <w:t>4)</w:t>
      </w:r>
      <w:r w:rsidRPr="00B5373E">
        <w:t xml:space="preserve"> and </w:t>
      </w:r>
      <w:r w:rsidR="005276B2" w:rsidRPr="00B5373E">
        <w:t xml:space="preserve">statistical </w:t>
      </w:r>
      <w:r w:rsidRPr="00B5373E">
        <w:t>power</w:t>
      </w:r>
      <w:r w:rsidR="1B1A241B" w:rsidRPr="00B5373E">
        <w:t xml:space="preserve"> (</w:t>
      </w:r>
      <w:r w:rsidR="781BD032" w:rsidRPr="00B5373E">
        <w:t>0-</w:t>
      </w:r>
      <w:r w:rsidR="1B1A241B" w:rsidRPr="00B5373E">
        <w:t>1)</w:t>
      </w:r>
      <w:r w:rsidRPr="00B5373E">
        <w:t xml:space="preserve">. Overall scores were used to identify </w:t>
      </w:r>
      <w:r w:rsidR="36142616" w:rsidRPr="00B5373E">
        <w:t xml:space="preserve">the quality of the study in relation to the </w:t>
      </w:r>
      <w:r w:rsidRPr="00B5373E">
        <w:t>risk of bias</w:t>
      </w:r>
      <w:r w:rsidR="11220E06" w:rsidRPr="00B5373E">
        <w:t>. T</w:t>
      </w:r>
      <w:r w:rsidRPr="00B5373E">
        <w:t xml:space="preserve">hose </w:t>
      </w:r>
      <w:r w:rsidR="3711193D" w:rsidRPr="00B5373E">
        <w:t>scoring</w:t>
      </w:r>
      <w:r w:rsidRPr="00B5373E">
        <w:t xml:space="preserve"> 0-</w:t>
      </w:r>
      <w:r w:rsidR="00757B59" w:rsidRPr="00B5373E">
        <w:t>6 (40%)</w:t>
      </w:r>
      <w:r w:rsidRPr="00B5373E">
        <w:t xml:space="preserve"> </w:t>
      </w:r>
      <w:r w:rsidR="12FEB2EC" w:rsidRPr="00B5373E">
        <w:t>were</w:t>
      </w:r>
      <w:r w:rsidRPr="00B5373E">
        <w:t xml:space="preserve"> considered low quality</w:t>
      </w:r>
      <w:r w:rsidR="4C99E07B" w:rsidRPr="00B5373E">
        <w:t>/high risk of bias</w:t>
      </w:r>
      <w:r w:rsidRPr="00B5373E">
        <w:t xml:space="preserve">, </w:t>
      </w:r>
      <w:r w:rsidR="3EB1F0FA" w:rsidRPr="00B5373E">
        <w:t xml:space="preserve">those scoring </w:t>
      </w:r>
      <w:r w:rsidR="00757B59" w:rsidRPr="00B5373E">
        <w:t>7-9 (40-60%)</w:t>
      </w:r>
      <w:r w:rsidRPr="00B5373E">
        <w:t xml:space="preserve"> being medium quality and over 10 as high quality</w:t>
      </w:r>
      <w:r w:rsidR="00757B59" w:rsidRPr="00B5373E">
        <w:t>/low risk for bias (60%)</w:t>
      </w:r>
      <w:r w:rsidRPr="00B5373E">
        <w:t xml:space="preserve">. </w:t>
      </w:r>
      <w:r w:rsidR="000E1380" w:rsidRPr="00B5373E">
        <w:t xml:space="preserve">This </w:t>
      </w:r>
      <w:r w:rsidRPr="00B5373E">
        <w:t xml:space="preserve">quality </w:t>
      </w:r>
      <w:r w:rsidR="00DB0F5E" w:rsidRPr="00B5373E">
        <w:t>appraisal was</w:t>
      </w:r>
      <w:r w:rsidRPr="00B5373E">
        <w:t xml:space="preserve"> based </w:t>
      </w:r>
      <w:r w:rsidR="17865DEE" w:rsidRPr="00B5373E">
        <w:t xml:space="preserve">specifically </w:t>
      </w:r>
      <w:r w:rsidRPr="00B5373E">
        <w:t xml:space="preserve">on </w:t>
      </w:r>
      <w:r w:rsidR="0078729D" w:rsidRPr="00B5373E">
        <w:t>the reporting of</w:t>
      </w:r>
      <w:r w:rsidRPr="00B5373E">
        <w:t xml:space="preserve"> </w:t>
      </w:r>
      <w:r w:rsidR="001B564D" w:rsidRPr="00B5373E">
        <w:t>neuro</w:t>
      </w:r>
      <w:r w:rsidRPr="00B5373E">
        <w:t>cognitive assessments rather than the overall focus of the study</w:t>
      </w:r>
      <w:r w:rsidR="556BA584" w:rsidRPr="00B5373E">
        <w:t xml:space="preserve"> (e.g., other outcomes)</w:t>
      </w:r>
      <w:r w:rsidR="004E1533" w:rsidRPr="00B5373E">
        <w:t>. Therefore</w:t>
      </w:r>
      <w:r w:rsidRPr="00B5373E">
        <w:t xml:space="preserve">, some studies with low ratings for the purposes of this review </w:t>
      </w:r>
      <w:r w:rsidR="000E1380" w:rsidRPr="00B5373E">
        <w:t xml:space="preserve">may be considered </w:t>
      </w:r>
      <w:r w:rsidRPr="00B5373E">
        <w:t xml:space="preserve">high quality when rated on </w:t>
      </w:r>
      <w:r w:rsidR="004E1533" w:rsidRPr="00B5373E">
        <w:t xml:space="preserve">other </w:t>
      </w:r>
      <w:r w:rsidRPr="00B5373E">
        <w:t xml:space="preserve">criteria for the study overall. </w:t>
      </w:r>
      <w:r w:rsidR="00757B59" w:rsidRPr="00B5373E">
        <w:t xml:space="preserve">Where quality appraisal differed, a third reviewer </w:t>
      </w:r>
      <w:r w:rsidR="004E1533" w:rsidRPr="00B5373E">
        <w:t>arbitrated</w:t>
      </w:r>
      <w:r w:rsidR="00757B59" w:rsidRPr="00B5373E">
        <w:t xml:space="preserve"> (SV).</w:t>
      </w:r>
    </w:p>
    <w:p w14:paraId="5216E51A" w14:textId="77777777" w:rsidR="004B261F" w:rsidRPr="00B5373E" w:rsidRDefault="004B261F" w:rsidP="004B261F"/>
    <w:p w14:paraId="535FF740" w14:textId="77777777" w:rsidR="004B261F" w:rsidRPr="00B5373E" w:rsidRDefault="004B261F" w:rsidP="004B261F">
      <w:pPr>
        <w:pStyle w:val="MDPI31text"/>
        <w:ind w:firstLine="86"/>
        <w:rPr>
          <w:i/>
          <w:iCs/>
        </w:rPr>
      </w:pPr>
      <w:r w:rsidRPr="00B5373E">
        <w:rPr>
          <w:i/>
          <w:iCs/>
        </w:rPr>
        <w:lastRenderedPageBreak/>
        <w:t xml:space="preserve">2.3 Data </w:t>
      </w:r>
      <w:r w:rsidRPr="00B5373E">
        <w:rPr>
          <w:i/>
        </w:rPr>
        <w:t>extraction</w:t>
      </w:r>
    </w:p>
    <w:p w14:paraId="63999305" w14:textId="71325993" w:rsidR="00E93210" w:rsidRPr="00B5373E" w:rsidRDefault="004B261F" w:rsidP="007F0CD0">
      <w:pPr>
        <w:pStyle w:val="MDPI31text"/>
      </w:pPr>
      <w:r w:rsidRPr="00B5373E">
        <w:t>Data extracted from articles included the following: authors and date</w:t>
      </w:r>
      <w:r w:rsidR="004E1533" w:rsidRPr="00B5373E">
        <w:t>;</w:t>
      </w:r>
      <w:r w:rsidRPr="00B5373E">
        <w:t xml:space="preserve"> study type</w:t>
      </w:r>
      <w:r w:rsidR="004E1533" w:rsidRPr="00B5373E">
        <w:t>;</w:t>
      </w:r>
      <w:r w:rsidRPr="00B5373E">
        <w:t xml:space="preserve"> criteria for inclusion/exclusion</w:t>
      </w:r>
      <w:r w:rsidR="004E1533" w:rsidRPr="00B5373E">
        <w:t>;</w:t>
      </w:r>
      <w:r w:rsidRPr="00B5373E">
        <w:t xml:space="preserve"> participant numbers and characteristics (age, sex, ethnicity, therapeutic hypothermia)</w:t>
      </w:r>
      <w:r w:rsidR="004E1533" w:rsidRPr="00B5373E">
        <w:t>;</w:t>
      </w:r>
      <w:r w:rsidRPr="00B5373E">
        <w:t xml:space="preserve"> functional outcome measures</w:t>
      </w:r>
      <w:r w:rsidR="004E1533" w:rsidRPr="00B5373E">
        <w:t>;</w:t>
      </w:r>
      <w:r w:rsidRPr="00B5373E">
        <w:t xml:space="preserve"> follow-up times</w:t>
      </w:r>
      <w:r w:rsidR="004E1533" w:rsidRPr="00B5373E">
        <w:t>;</w:t>
      </w:r>
      <w:r w:rsidRPr="00B5373E">
        <w:t xml:space="preserve"> objective and subjective </w:t>
      </w:r>
      <w:r w:rsidR="001B564D" w:rsidRPr="00B5373E">
        <w:t>neuro</w:t>
      </w:r>
      <w:r w:rsidRPr="00B5373E">
        <w:t>cognitive outcome measures</w:t>
      </w:r>
      <w:r w:rsidR="004E1533" w:rsidRPr="00B5373E">
        <w:t>;</w:t>
      </w:r>
      <w:r w:rsidRPr="00B5373E">
        <w:t xml:space="preserve"> other measures</w:t>
      </w:r>
      <w:r w:rsidR="00757B59" w:rsidRPr="00B5373E">
        <w:t xml:space="preserve"> used</w:t>
      </w:r>
      <w:r w:rsidR="004E1533" w:rsidRPr="00B5373E">
        <w:t>;</w:t>
      </w:r>
      <w:r w:rsidRPr="00B5373E">
        <w:t xml:space="preserve"> how impairment was </w:t>
      </w:r>
      <w:r w:rsidR="004E1533" w:rsidRPr="00B5373E">
        <w:t xml:space="preserve">defined; </w:t>
      </w:r>
      <w:r w:rsidRPr="00B5373E">
        <w:t xml:space="preserve">the </w:t>
      </w:r>
      <w:r w:rsidR="004E1533" w:rsidRPr="00B5373E">
        <w:t xml:space="preserve">type and degree </w:t>
      </w:r>
      <w:r w:rsidRPr="00B5373E">
        <w:t xml:space="preserve">of impairment found. </w:t>
      </w:r>
    </w:p>
    <w:p w14:paraId="15AA17E3" w14:textId="77777777" w:rsidR="00E93210" w:rsidRPr="00B5373E" w:rsidRDefault="00E93210" w:rsidP="002D7D5E">
      <w:pPr>
        <w:pStyle w:val="MDPI21heading1"/>
      </w:pPr>
      <w:r w:rsidRPr="00B5373E">
        <w:t>3. Results</w:t>
      </w:r>
    </w:p>
    <w:p w14:paraId="3963169D" w14:textId="32D4586D" w:rsidR="004B261F" w:rsidRPr="00B5373E" w:rsidRDefault="004B261F" w:rsidP="004B261F">
      <w:pPr>
        <w:pStyle w:val="MDPI31text"/>
      </w:pPr>
      <w:r w:rsidRPr="00B5373E">
        <w:t xml:space="preserve">The initial search yielded </w:t>
      </w:r>
      <w:r w:rsidR="51A2C8F4" w:rsidRPr="00B5373E">
        <w:t>5393</w:t>
      </w:r>
      <w:r w:rsidRPr="00B5373E">
        <w:t xml:space="preserve"> </w:t>
      </w:r>
      <w:r w:rsidR="00061139" w:rsidRPr="00B5373E">
        <w:t>records which were</w:t>
      </w:r>
      <w:r w:rsidRPr="00B5373E">
        <w:t xml:space="preserve"> imported for screening. Prior to review, </w:t>
      </w:r>
      <w:r w:rsidR="6B120157" w:rsidRPr="00B5373E">
        <w:t>177</w:t>
      </w:r>
      <w:r w:rsidRPr="00B5373E">
        <w:t xml:space="preserve"> duplicates were removed leaving </w:t>
      </w:r>
      <w:r w:rsidR="418B10B3" w:rsidRPr="00B5373E">
        <w:t>5216</w:t>
      </w:r>
      <w:r w:rsidRPr="00B5373E">
        <w:t xml:space="preserve"> studies for title and abstract</w:t>
      </w:r>
      <w:r w:rsidR="00061139" w:rsidRPr="00B5373E">
        <w:t xml:space="preserve"> screening</w:t>
      </w:r>
      <w:r w:rsidRPr="00B5373E">
        <w:t xml:space="preserve">. From these, </w:t>
      </w:r>
      <w:r w:rsidR="57A430DD" w:rsidRPr="00B5373E">
        <w:t>517</w:t>
      </w:r>
      <w:r w:rsidRPr="00B5373E">
        <w:t xml:space="preserve"> studies were assessed for full-text eligibility; 4</w:t>
      </w:r>
      <w:r w:rsidR="118DE733" w:rsidRPr="00B5373E">
        <w:t>74</w:t>
      </w:r>
      <w:r w:rsidRPr="00B5373E">
        <w:t xml:space="preserve"> studies were excluded leaving 4</w:t>
      </w:r>
      <w:r w:rsidR="0AE2EE70" w:rsidRPr="00B5373E">
        <w:t>4</w:t>
      </w:r>
      <w:r w:rsidRPr="00B5373E">
        <w:t xml:space="preserve"> studies for inclusion. Two articles</w:t>
      </w:r>
      <w:r w:rsidR="00445542" w:rsidRPr="00B5373E">
        <w:rPr>
          <w:vertAlign w:val="superscript"/>
        </w:rPr>
        <w:t>12,13</w:t>
      </w:r>
      <w:r w:rsidRPr="00B5373E">
        <w:t xml:space="preserve"> contained overlapping results and only </w:t>
      </w:r>
      <w:r w:rsidR="00061139" w:rsidRPr="00B5373E">
        <w:t xml:space="preserve">one </w:t>
      </w:r>
      <w:r w:rsidRPr="00B5373E">
        <w:t xml:space="preserve">was included in the </w:t>
      </w:r>
      <w:r w:rsidR="00061139" w:rsidRPr="00B5373E">
        <w:t xml:space="preserve">full </w:t>
      </w:r>
      <w:r w:rsidRPr="00B5373E">
        <w:t xml:space="preserve">review </w:t>
      </w:r>
      <w:r w:rsidR="00417180" w:rsidRPr="00B5373E">
        <w:t xml:space="preserve">to give </w:t>
      </w:r>
      <w:r w:rsidRPr="00B5373E">
        <w:t xml:space="preserve">a total of </w:t>
      </w:r>
      <w:r w:rsidR="1DC121B6" w:rsidRPr="00B5373E">
        <w:t>43</w:t>
      </w:r>
      <w:r w:rsidRPr="00B5373E">
        <w:t xml:space="preserve"> studies (see </w:t>
      </w:r>
      <w:r w:rsidRPr="00B5373E">
        <w:rPr>
          <w:b/>
          <w:bCs/>
        </w:rPr>
        <w:t>Figure 1</w:t>
      </w:r>
      <w:r w:rsidRPr="00B5373E">
        <w:t xml:space="preserve"> for Prisma flowchart</w:t>
      </w:r>
      <w:r w:rsidR="000E1380" w:rsidRPr="00B5373E">
        <w:t xml:space="preserve"> and </w:t>
      </w:r>
      <w:r w:rsidR="000E1380" w:rsidRPr="00B5373E">
        <w:rPr>
          <w:b/>
          <w:bCs/>
        </w:rPr>
        <w:t>Table 1</w:t>
      </w:r>
      <w:r w:rsidR="000E1380" w:rsidRPr="00B5373E">
        <w:t xml:space="preserve"> for the included studies</w:t>
      </w:r>
      <w:r w:rsidRPr="00B5373E">
        <w:t>). The study designs varied and included prospective studies (</w:t>
      </w:r>
      <w:r w:rsidR="2483D7A9" w:rsidRPr="00B5373E">
        <w:t>32</w:t>
      </w:r>
      <w:r w:rsidRPr="00B5373E">
        <w:t>)</w:t>
      </w:r>
      <w:r w:rsidR="5B107BFC" w:rsidRPr="00B5373E">
        <w:t xml:space="preserve"> and</w:t>
      </w:r>
      <w:r w:rsidRPr="00B5373E">
        <w:t xml:space="preserve"> retrospective studies (</w:t>
      </w:r>
      <w:r w:rsidR="4E65BD71" w:rsidRPr="00B5373E">
        <w:t>11</w:t>
      </w:r>
      <w:r w:rsidRPr="00B5373E">
        <w:t xml:space="preserve">). </w:t>
      </w:r>
    </w:p>
    <w:p w14:paraId="296752E3" w14:textId="77777777" w:rsidR="004B261F" w:rsidRPr="00B5373E" w:rsidRDefault="004B261F" w:rsidP="004B261F">
      <w:pPr>
        <w:pStyle w:val="MDPI22heading2"/>
        <w:spacing w:before="240"/>
        <w:rPr>
          <w:i w:val="0"/>
          <w:iCs/>
        </w:rPr>
      </w:pPr>
      <w:r w:rsidRPr="00B5373E">
        <w:rPr>
          <w:iCs/>
        </w:rPr>
        <w:t xml:space="preserve">3.1 </w:t>
      </w:r>
      <w:r w:rsidRPr="00B5373E">
        <w:t>Quality</w:t>
      </w:r>
      <w:r w:rsidRPr="00B5373E">
        <w:rPr>
          <w:iCs/>
        </w:rPr>
        <w:t xml:space="preserve"> Assessment</w:t>
      </w:r>
    </w:p>
    <w:p w14:paraId="7BE39DBC" w14:textId="155D6FE9" w:rsidR="004B261F" w:rsidRPr="00B5373E" w:rsidRDefault="004B261F" w:rsidP="004B261F">
      <w:pPr>
        <w:pStyle w:val="MDPI31text"/>
      </w:pPr>
      <w:r w:rsidRPr="00B5373E">
        <w:t xml:space="preserve">Quality assessment scores from the Modified Downs and Black were found </w:t>
      </w:r>
      <w:r w:rsidR="000620C1" w:rsidRPr="00B5373E">
        <w:t>to have quality (risk of bias) percentage ranges from 33%</w:t>
      </w:r>
      <w:r w:rsidRPr="00B5373E">
        <w:t xml:space="preserve"> to </w:t>
      </w:r>
      <w:r w:rsidR="000620C1" w:rsidRPr="00B5373E">
        <w:t xml:space="preserve">93% with higher </w:t>
      </w:r>
      <w:r w:rsidR="00061139" w:rsidRPr="00B5373E">
        <w:t xml:space="preserve">scores </w:t>
      </w:r>
      <w:r w:rsidR="000620C1" w:rsidRPr="00B5373E">
        <w:t>indicating l</w:t>
      </w:r>
      <w:r w:rsidR="006B2C93" w:rsidRPr="00B5373E">
        <w:t>ower</w:t>
      </w:r>
      <w:r w:rsidR="000620C1" w:rsidRPr="00B5373E">
        <w:t xml:space="preserve"> risk of bias</w:t>
      </w:r>
      <w:r w:rsidRPr="00B5373E">
        <w:t xml:space="preserve">. </w:t>
      </w:r>
      <w:r w:rsidR="000620C1" w:rsidRPr="00B5373E">
        <w:t>Papers were then rated as having</w:t>
      </w:r>
      <w:r w:rsidRPr="00B5373E">
        <w:t xml:space="preserve"> either</w:t>
      </w:r>
      <w:r w:rsidR="000620C1" w:rsidRPr="00B5373E">
        <w:t xml:space="preserve"> a</w:t>
      </w:r>
      <w:r w:rsidRPr="00B5373E">
        <w:t xml:space="preserve"> </w:t>
      </w:r>
      <w:r w:rsidR="000620C1" w:rsidRPr="00B5373E">
        <w:t>high (&lt;40%)</w:t>
      </w:r>
      <w:r w:rsidR="00CD763A" w:rsidRPr="00B5373E">
        <w:t xml:space="preserve">, </w:t>
      </w:r>
      <w:r w:rsidRPr="00B5373E">
        <w:t>moderate</w:t>
      </w:r>
      <w:r w:rsidR="000620C1" w:rsidRPr="00B5373E">
        <w:t xml:space="preserve"> (40-60%)</w:t>
      </w:r>
      <w:r w:rsidRPr="00B5373E">
        <w:t xml:space="preserve"> or</w:t>
      </w:r>
      <w:r w:rsidR="000620C1" w:rsidRPr="00B5373E">
        <w:t xml:space="preserve"> low level</w:t>
      </w:r>
      <w:r w:rsidR="00764747" w:rsidRPr="00B5373E">
        <w:t xml:space="preserve"> (&gt;60%)</w:t>
      </w:r>
      <w:r w:rsidR="000620C1" w:rsidRPr="00B5373E">
        <w:t xml:space="preserve"> </w:t>
      </w:r>
      <w:r w:rsidR="00352210" w:rsidRPr="00B5373E">
        <w:t xml:space="preserve">of </w:t>
      </w:r>
      <w:r w:rsidR="000620C1" w:rsidRPr="00B5373E">
        <w:t>risk of bias</w:t>
      </w:r>
      <w:r w:rsidR="00757B59" w:rsidRPr="00B5373E">
        <w:t xml:space="preserve"> (</w:t>
      </w:r>
      <w:r w:rsidR="00E25831" w:rsidRPr="00B5373E">
        <w:t xml:space="preserve">see </w:t>
      </w:r>
      <w:r w:rsidR="00757B59" w:rsidRPr="00B5373E">
        <w:rPr>
          <w:b/>
          <w:bCs/>
        </w:rPr>
        <w:t>Table 1</w:t>
      </w:r>
      <w:r w:rsidR="00757B59" w:rsidRPr="00B5373E">
        <w:t>)</w:t>
      </w:r>
      <w:r w:rsidRPr="00B5373E">
        <w:t xml:space="preserve">. </w:t>
      </w:r>
      <w:r w:rsidR="5F4EE312" w:rsidRPr="00B5373E">
        <w:t xml:space="preserve">There were twenty-eight studies rated as low risk of bias, ten as moderate, and one as high. </w:t>
      </w:r>
      <w:r w:rsidR="000620C1" w:rsidRPr="00B5373E">
        <w:t xml:space="preserve">Cohen’s K was run to identify agreement between the rater’s </w:t>
      </w:r>
      <w:r w:rsidR="00764747" w:rsidRPr="00B5373E">
        <w:t>judgment</w:t>
      </w:r>
      <w:r w:rsidR="00417180" w:rsidRPr="00B5373E">
        <w:t>;</w:t>
      </w:r>
      <w:r w:rsidR="000620C1" w:rsidRPr="00B5373E">
        <w:t xml:space="preserve"> K= </w:t>
      </w:r>
      <w:r w:rsidR="00417180" w:rsidRPr="00B5373E">
        <w:t>0</w:t>
      </w:r>
      <w:r w:rsidR="000620C1" w:rsidRPr="00B5373E">
        <w:t>.8</w:t>
      </w:r>
      <w:r w:rsidR="701FA45F" w:rsidRPr="00B5373E">
        <w:t>9</w:t>
      </w:r>
      <w:r w:rsidR="000620C1" w:rsidRPr="00B5373E">
        <w:t>, p &lt;</w:t>
      </w:r>
      <w:r w:rsidR="00417180" w:rsidRPr="00B5373E">
        <w:t>0</w:t>
      </w:r>
      <w:r w:rsidR="000620C1" w:rsidRPr="00B5373E">
        <w:t xml:space="preserve"> .01. </w:t>
      </w:r>
      <w:r w:rsidR="6014F93C" w:rsidRPr="00B5373E">
        <w:t>The mean score across the 15-items was 10.08 (SD=2.84)</w:t>
      </w:r>
      <w:r w:rsidR="05C868FF" w:rsidRPr="00B5373E">
        <w:t>. For the reporting subscale</w:t>
      </w:r>
      <w:r w:rsidR="5E3E4C2B" w:rsidRPr="00B5373E">
        <w:t xml:space="preserve"> (7 questions)</w:t>
      </w:r>
      <w:r w:rsidR="05C868FF" w:rsidRPr="00B5373E">
        <w:t>, the mean was 5.4</w:t>
      </w:r>
      <w:r w:rsidR="66F6AA81" w:rsidRPr="00B5373E">
        <w:t>5</w:t>
      </w:r>
      <w:r w:rsidR="05C868FF" w:rsidRPr="00B5373E">
        <w:t xml:space="preserve"> (SD=1.77); </w:t>
      </w:r>
      <w:r w:rsidR="2675F666" w:rsidRPr="00B5373E">
        <w:t xml:space="preserve">for </w:t>
      </w:r>
      <w:r w:rsidR="05C868FF" w:rsidRPr="00B5373E">
        <w:t>external validity</w:t>
      </w:r>
      <w:r w:rsidR="75CF0D91" w:rsidRPr="00B5373E">
        <w:t xml:space="preserve"> subscale</w:t>
      </w:r>
      <w:r w:rsidR="0E187FD8" w:rsidRPr="00B5373E">
        <w:t xml:space="preserve"> (3 questions)</w:t>
      </w:r>
      <w:r w:rsidR="72BF5D5B" w:rsidRPr="00B5373E">
        <w:t xml:space="preserve"> the mean was 1.5</w:t>
      </w:r>
      <w:r w:rsidR="26E1C8C0" w:rsidRPr="00B5373E">
        <w:t>2</w:t>
      </w:r>
      <w:r w:rsidR="72BF5D5B" w:rsidRPr="00B5373E">
        <w:t xml:space="preserve"> (SD=0.90); for internal validity</w:t>
      </w:r>
      <w:r w:rsidR="664DE4D5" w:rsidRPr="00B5373E">
        <w:t xml:space="preserve"> (4 questions)</w:t>
      </w:r>
      <w:r w:rsidR="72BF5D5B" w:rsidRPr="00B5373E">
        <w:t xml:space="preserve"> the mean was </w:t>
      </w:r>
      <w:r w:rsidR="200F6002" w:rsidRPr="00B5373E">
        <w:t>2.95 (SD= 1.06)</w:t>
      </w:r>
      <w:r w:rsidR="6014F93C" w:rsidRPr="00B5373E">
        <w:t xml:space="preserve">. </w:t>
      </w:r>
      <w:r w:rsidR="00462E79" w:rsidRPr="00B5373E">
        <w:t>O</w:t>
      </w:r>
      <w:r w:rsidRPr="00B5373E">
        <w:t xml:space="preserve">nly </w:t>
      </w:r>
      <w:r w:rsidR="00462E79" w:rsidRPr="00B5373E">
        <w:t>s</w:t>
      </w:r>
      <w:r w:rsidR="68FC585F" w:rsidRPr="00B5373E">
        <w:t>ix</w:t>
      </w:r>
      <w:r w:rsidRPr="00B5373E">
        <w:t xml:space="preserve"> studies</w:t>
      </w:r>
      <w:r w:rsidR="00764747" w:rsidRPr="00B5373E">
        <w:t xml:space="preserve"> </w:t>
      </w:r>
      <w:r w:rsidRPr="00B5373E">
        <w:t xml:space="preserve">reported a power </w:t>
      </w:r>
      <w:r w:rsidR="00417180" w:rsidRPr="00B5373E">
        <w:t>calculation</w:t>
      </w:r>
      <w:r w:rsidR="00F55E01" w:rsidRPr="00B5373E">
        <w:rPr>
          <w:vertAlign w:val="superscript"/>
        </w:rPr>
        <w:t>14-</w:t>
      </w:r>
      <w:r w:rsidR="001E102C" w:rsidRPr="00B5373E">
        <w:rPr>
          <w:vertAlign w:val="superscript"/>
        </w:rPr>
        <w:t>19</w:t>
      </w:r>
      <w:r w:rsidRPr="00B5373E">
        <w:t>.</w:t>
      </w:r>
      <w:r w:rsidR="00757B59" w:rsidRPr="00B5373E">
        <w:t xml:space="preserve"> </w:t>
      </w:r>
      <w:r w:rsidR="16811879" w:rsidRPr="00B5373E">
        <w:t>Proportions on the external validity scores</w:t>
      </w:r>
      <w:r w:rsidR="001E102C" w:rsidRPr="00B5373E">
        <w:t xml:space="preserve"> (.51)</w:t>
      </w:r>
      <w:r w:rsidR="16811879" w:rsidRPr="00B5373E">
        <w:t xml:space="preserve"> were lower than those on the reporting</w:t>
      </w:r>
      <w:r w:rsidR="001E102C" w:rsidRPr="00B5373E">
        <w:t xml:space="preserve"> (.77)</w:t>
      </w:r>
      <w:r w:rsidR="16811879" w:rsidRPr="00B5373E">
        <w:t xml:space="preserve"> and internal </w:t>
      </w:r>
      <w:r w:rsidR="001E102C" w:rsidRPr="00B5373E">
        <w:t>validity (.73)</w:t>
      </w:r>
      <w:r w:rsidR="16811879" w:rsidRPr="00B5373E">
        <w:t xml:space="preserve"> subscales. </w:t>
      </w:r>
      <w:r w:rsidR="14C79942" w:rsidRPr="00B5373E">
        <w:t xml:space="preserve"> </w:t>
      </w:r>
    </w:p>
    <w:p w14:paraId="66273C3E" w14:textId="77777777" w:rsidR="004B261F" w:rsidRPr="00B5373E" w:rsidRDefault="004B261F" w:rsidP="004B261F">
      <w:pPr>
        <w:pStyle w:val="MDPI22heading2"/>
        <w:spacing w:before="240"/>
        <w:rPr>
          <w:i w:val="0"/>
          <w:iCs/>
        </w:rPr>
      </w:pPr>
      <w:r w:rsidRPr="00B5373E">
        <w:rPr>
          <w:iCs/>
        </w:rPr>
        <w:t>3.2 Study population</w:t>
      </w:r>
    </w:p>
    <w:p w14:paraId="0A3EF59C" w14:textId="43723BC1" w:rsidR="004B261F" w:rsidRPr="00B5373E" w:rsidRDefault="00417180" w:rsidP="004B261F">
      <w:pPr>
        <w:pStyle w:val="MDPI31text"/>
      </w:pPr>
      <w:r w:rsidRPr="00B5373E">
        <w:t>The mean age of p</w:t>
      </w:r>
      <w:r w:rsidR="004B261F" w:rsidRPr="00B5373E">
        <w:t>articipants ranged from 50 (SD=15)</w:t>
      </w:r>
      <w:r w:rsidR="00F02A50" w:rsidRPr="00B5373E">
        <w:rPr>
          <w:vertAlign w:val="superscript"/>
        </w:rPr>
        <w:t>2</w:t>
      </w:r>
      <w:r w:rsidR="00D93B62" w:rsidRPr="00B5373E">
        <w:rPr>
          <w:vertAlign w:val="superscript"/>
        </w:rPr>
        <w:t>0</w:t>
      </w:r>
      <w:r w:rsidR="004B261F" w:rsidRPr="00B5373E">
        <w:t xml:space="preserve"> to 72</w:t>
      </w:r>
      <w:r w:rsidR="00F836AB" w:rsidRPr="00B5373E">
        <w:rPr>
          <w:vertAlign w:val="superscript"/>
        </w:rPr>
        <w:t>2</w:t>
      </w:r>
      <w:r w:rsidR="00D93B62" w:rsidRPr="00B5373E">
        <w:rPr>
          <w:vertAlign w:val="superscript"/>
        </w:rPr>
        <w:t>1</w:t>
      </w:r>
      <w:r w:rsidR="004B261F" w:rsidRPr="00B5373E">
        <w:t>. The number of OHCA participants varied from 8</w:t>
      </w:r>
      <w:r w:rsidR="00F836AB" w:rsidRPr="00B5373E">
        <w:rPr>
          <w:vertAlign w:val="superscript"/>
        </w:rPr>
        <w:t>2</w:t>
      </w:r>
      <w:r w:rsidR="00D93B62" w:rsidRPr="00B5373E">
        <w:rPr>
          <w:vertAlign w:val="superscript"/>
        </w:rPr>
        <w:t>1</w:t>
      </w:r>
      <w:r w:rsidR="00F836AB" w:rsidRPr="00B5373E">
        <w:t xml:space="preserve"> </w:t>
      </w:r>
      <w:r w:rsidR="004B261F" w:rsidRPr="00B5373E">
        <w:t>to 287</w:t>
      </w:r>
      <w:r w:rsidR="00F836AB" w:rsidRPr="00B5373E">
        <w:t xml:space="preserve"> </w:t>
      </w:r>
      <w:r w:rsidR="00E365F7" w:rsidRPr="00B5373E">
        <w:rPr>
          <w:vertAlign w:val="superscript"/>
        </w:rPr>
        <w:t>2</w:t>
      </w:r>
      <w:r w:rsidR="00D93B62" w:rsidRPr="00B5373E">
        <w:rPr>
          <w:vertAlign w:val="superscript"/>
        </w:rPr>
        <w:t>2</w:t>
      </w:r>
      <w:r w:rsidR="004B261F" w:rsidRPr="00B5373E">
        <w:t>. All the articles reviewed reported a higher percentage of males than females</w:t>
      </w:r>
      <w:r w:rsidRPr="00B5373E">
        <w:t>,</w:t>
      </w:r>
      <w:r w:rsidR="004B261F" w:rsidRPr="00B5373E">
        <w:t xml:space="preserve"> ranging from 66</w:t>
      </w:r>
      <w:r w:rsidR="00E365F7" w:rsidRPr="00B5373E">
        <w:rPr>
          <w:vertAlign w:val="superscript"/>
        </w:rPr>
        <w:t>14</w:t>
      </w:r>
      <w:r w:rsidR="00E01037" w:rsidRPr="00B5373E">
        <w:rPr>
          <w:vertAlign w:val="superscript"/>
        </w:rPr>
        <w:t>,</w:t>
      </w:r>
      <w:r w:rsidR="00E365F7" w:rsidRPr="00B5373E">
        <w:rPr>
          <w:vertAlign w:val="superscript"/>
        </w:rPr>
        <w:t xml:space="preserve"> </w:t>
      </w:r>
      <w:r w:rsidR="009B2BBF" w:rsidRPr="00B5373E">
        <w:rPr>
          <w:vertAlign w:val="superscript"/>
        </w:rPr>
        <w:t>16</w:t>
      </w:r>
      <w:r w:rsidR="00E01037" w:rsidRPr="00B5373E">
        <w:rPr>
          <w:vertAlign w:val="superscript"/>
        </w:rPr>
        <w:t>,2</w:t>
      </w:r>
      <w:r w:rsidR="00BD63DB" w:rsidRPr="00B5373E">
        <w:rPr>
          <w:vertAlign w:val="superscript"/>
        </w:rPr>
        <w:t>3</w:t>
      </w:r>
      <w:r w:rsidR="004B261F" w:rsidRPr="00B5373E">
        <w:t xml:space="preserve"> to 100%.</w:t>
      </w:r>
      <w:r w:rsidR="004B261F" w:rsidRPr="00B5373E">
        <w:rPr>
          <w:vertAlign w:val="superscript"/>
        </w:rPr>
        <w:t>2</w:t>
      </w:r>
      <w:r w:rsidR="00BD63DB" w:rsidRPr="00B5373E">
        <w:rPr>
          <w:vertAlign w:val="superscript"/>
        </w:rPr>
        <w:t>1</w:t>
      </w:r>
      <w:r w:rsidR="004B261F" w:rsidRPr="00B5373E">
        <w:t xml:space="preserve"> Ethnicity was not reported in </w:t>
      </w:r>
      <w:r w:rsidR="69ACE01E" w:rsidRPr="00B5373E">
        <w:t>most</w:t>
      </w:r>
      <w:r w:rsidR="004B261F" w:rsidRPr="00B5373E">
        <w:t xml:space="preserve"> studies. Most (</w:t>
      </w:r>
      <w:r w:rsidR="00CF799B" w:rsidRPr="00B5373E">
        <w:t>n=29</w:t>
      </w:r>
      <w:r w:rsidR="004B261F" w:rsidRPr="00B5373E">
        <w:t xml:space="preserve">) studies </w:t>
      </w:r>
      <w:r w:rsidR="00CF799B" w:rsidRPr="00B5373E">
        <w:t>reported that</w:t>
      </w:r>
      <w:r w:rsidR="004B261F" w:rsidRPr="00B5373E">
        <w:t xml:space="preserve"> participants, or a subset of participants, had received some form of therapeutic hypothermia. The inclusion and exclusion criteria </w:t>
      </w:r>
      <w:r w:rsidR="002C4460" w:rsidRPr="00B5373E">
        <w:t xml:space="preserve">for OHCA patients </w:t>
      </w:r>
      <w:r w:rsidR="004B261F" w:rsidRPr="00B5373E">
        <w:t xml:space="preserve">varied </w:t>
      </w:r>
      <w:r w:rsidR="002C4460" w:rsidRPr="00B5373E">
        <w:t>between studies,</w:t>
      </w:r>
      <w:r w:rsidR="004B261F" w:rsidRPr="00B5373E">
        <w:t xml:space="preserve"> </w:t>
      </w:r>
      <w:r w:rsidR="007F0CD0" w:rsidRPr="00B5373E">
        <w:t xml:space="preserve">with some restricting inclusion to </w:t>
      </w:r>
      <w:r w:rsidR="004B261F" w:rsidRPr="00B5373E">
        <w:t>a CPC of 1 or 2</w:t>
      </w:r>
      <w:r w:rsidR="007F0CD0" w:rsidRPr="00B5373E">
        <w:t xml:space="preserve"> </w:t>
      </w:r>
      <w:r w:rsidR="00CF799B" w:rsidRPr="00B5373E">
        <w:t>(good outcome)</w:t>
      </w:r>
      <w:r w:rsidR="007F0CD0" w:rsidRPr="00B5373E">
        <w:t xml:space="preserve">; however, </w:t>
      </w:r>
      <w:r w:rsidR="004B261F" w:rsidRPr="00B5373E">
        <w:t>others</w:t>
      </w:r>
      <w:r w:rsidR="007F0CD0" w:rsidRPr="00B5373E">
        <w:t xml:space="preserve"> either did not specify </w:t>
      </w:r>
      <w:r w:rsidR="004F6991" w:rsidRPr="00B5373E">
        <w:t>criteria</w:t>
      </w:r>
      <w:r w:rsidR="007F0CD0" w:rsidRPr="00B5373E">
        <w:t xml:space="preserve"> </w:t>
      </w:r>
      <w:r w:rsidR="001E102C" w:rsidRPr="00B5373E">
        <w:t>and</w:t>
      </w:r>
      <w:r w:rsidR="007F0CD0" w:rsidRPr="00B5373E">
        <w:t xml:space="preserve"> </w:t>
      </w:r>
      <w:r w:rsidR="00C83B6B" w:rsidRPr="00B5373E">
        <w:t xml:space="preserve">likely </w:t>
      </w:r>
      <w:r w:rsidR="004B261F" w:rsidRPr="00B5373E">
        <w:t>included survivors with more severe outcome</w:t>
      </w:r>
      <w:r w:rsidR="00C83B6B" w:rsidRPr="00B5373E">
        <w:t>s</w:t>
      </w:r>
      <w:r w:rsidR="00CF799B" w:rsidRPr="00B5373E">
        <w:t xml:space="preserve">. </w:t>
      </w:r>
      <w:r w:rsidR="004B261F" w:rsidRPr="00B5373E">
        <w:t xml:space="preserve"> </w:t>
      </w:r>
    </w:p>
    <w:p w14:paraId="2C612868" w14:textId="77777777" w:rsidR="004B261F" w:rsidRPr="00B5373E" w:rsidRDefault="004B261F" w:rsidP="71ED72E1">
      <w:pPr>
        <w:pStyle w:val="MDPI22heading2"/>
        <w:spacing w:before="240"/>
        <w:rPr>
          <w:i w:val="0"/>
        </w:rPr>
      </w:pPr>
      <w:r w:rsidRPr="00B5373E">
        <w:t>3.3 Outcome measures and follow-up</w:t>
      </w:r>
    </w:p>
    <w:p w14:paraId="2657E33E" w14:textId="39C77EAE" w:rsidR="004B261F" w:rsidRPr="00B5373E" w:rsidRDefault="004B261F" w:rsidP="004B261F">
      <w:pPr>
        <w:pStyle w:val="MDPI31text"/>
      </w:pPr>
      <w:r w:rsidRPr="00B5373E">
        <w:t xml:space="preserve">Follow-up time for the </w:t>
      </w:r>
      <w:r w:rsidR="001B564D" w:rsidRPr="00B5373E">
        <w:t>neuro</w:t>
      </w:r>
      <w:r w:rsidRPr="00B5373E">
        <w:t>cognitive measures varied from hospital discharge</w:t>
      </w:r>
      <w:r w:rsidR="00BD63DB" w:rsidRPr="00B5373E">
        <w:rPr>
          <w:vertAlign w:val="superscript"/>
        </w:rPr>
        <w:t>24</w:t>
      </w:r>
      <w:r w:rsidR="00E01037" w:rsidRPr="00B5373E">
        <w:t xml:space="preserve"> </w:t>
      </w:r>
      <w:r w:rsidRPr="00B5373E">
        <w:t>to eighteen years</w:t>
      </w:r>
      <w:r w:rsidR="00E01037" w:rsidRPr="00B5373E">
        <w:rPr>
          <w:vertAlign w:val="superscript"/>
        </w:rPr>
        <w:t>2</w:t>
      </w:r>
      <w:r w:rsidR="00BD63DB" w:rsidRPr="00B5373E">
        <w:rPr>
          <w:vertAlign w:val="superscript"/>
        </w:rPr>
        <w:t>1</w:t>
      </w:r>
      <w:r w:rsidRPr="00B5373E">
        <w:t>.</w:t>
      </w:r>
      <w:r w:rsidR="63E8640E" w:rsidRPr="00B5373E">
        <w:t xml:space="preserve"> Fifty</w:t>
      </w:r>
      <w:r w:rsidRPr="00B5373E">
        <w:t xml:space="preserve">-four different measures were used to assess </w:t>
      </w:r>
      <w:r w:rsidR="00780C09" w:rsidRPr="00B5373E">
        <w:t>neuro</w:t>
      </w:r>
      <w:r w:rsidRPr="00B5373E">
        <w:t xml:space="preserve">cognitive function. The types of measures ranged both in relation to the </w:t>
      </w:r>
      <w:r w:rsidR="00A069DF" w:rsidRPr="00B5373E">
        <w:t>method of administration</w:t>
      </w:r>
      <w:r w:rsidRPr="00B5373E">
        <w:t xml:space="preserve"> (interview, self-report questionnaire, informant questionnaire, neuropsychological test) and the </w:t>
      </w:r>
      <w:r w:rsidR="00CF799B" w:rsidRPr="00B5373E">
        <w:t>domain</w:t>
      </w:r>
      <w:r w:rsidRPr="00B5373E">
        <w:t xml:space="preserve"> of function being measured</w:t>
      </w:r>
      <w:r w:rsidR="00C33FB8" w:rsidRPr="00B5373E">
        <w:t xml:space="preserve"> (see </w:t>
      </w:r>
      <w:r w:rsidR="00C33FB8" w:rsidRPr="00B5373E">
        <w:rPr>
          <w:b/>
          <w:bCs/>
        </w:rPr>
        <w:t>Table 1)</w:t>
      </w:r>
      <w:r w:rsidR="00831620" w:rsidRPr="00B5373E">
        <w:t>.</w:t>
      </w:r>
      <w:r w:rsidR="00D519D1" w:rsidRPr="00B5373E">
        <w:t xml:space="preserve"> The criteria used to identify impairment varied across studies</w:t>
      </w:r>
      <w:r w:rsidR="00AB6362" w:rsidRPr="00B5373E">
        <w:t xml:space="preserve"> making direct comparisons, even when using similar measures, difficult</w:t>
      </w:r>
      <w:r w:rsidR="00D519D1" w:rsidRPr="00B5373E">
        <w:t>.</w:t>
      </w:r>
      <w:r w:rsidR="00CF799B" w:rsidRPr="00B5373E">
        <w:t xml:space="preserve"> Given the heterogeneity of studies reviewed, a narrative synthesis approach is used to </w:t>
      </w:r>
      <w:proofErr w:type="spellStart"/>
      <w:r w:rsidR="00CF799B" w:rsidRPr="00B5373E">
        <w:t>summarise</w:t>
      </w:r>
      <w:proofErr w:type="spellEnd"/>
      <w:r w:rsidR="00CF799B" w:rsidRPr="00B5373E">
        <w:t xml:space="preserve"> main findings.</w:t>
      </w:r>
    </w:p>
    <w:p w14:paraId="14B5839D" w14:textId="4903963A" w:rsidR="004B261F" w:rsidRPr="00B5373E" w:rsidRDefault="004B261F" w:rsidP="004B261F">
      <w:pPr>
        <w:pStyle w:val="MDPI31text"/>
      </w:pPr>
      <w:r w:rsidRPr="00B5373E">
        <w:t>When assessing overall</w:t>
      </w:r>
      <w:r w:rsidR="00A069DF" w:rsidRPr="00B5373E">
        <w:t xml:space="preserve"> and</w:t>
      </w:r>
      <w:r w:rsidRPr="00B5373E">
        <w:t xml:space="preserve"> </w:t>
      </w:r>
      <w:r w:rsidR="00CF799B" w:rsidRPr="00B5373E">
        <w:t>global cognitive</w:t>
      </w:r>
      <w:r w:rsidRPr="00B5373E">
        <w:t xml:space="preserve"> function</w:t>
      </w:r>
      <w:r w:rsidR="00D60F74" w:rsidRPr="00B5373E">
        <w:t xml:space="preserve"> screening tools</w:t>
      </w:r>
      <w:r w:rsidRPr="00B5373E">
        <w:t>, the Mini-</w:t>
      </w:r>
      <w:r w:rsidR="00E01037" w:rsidRPr="00B5373E">
        <w:t>M</w:t>
      </w:r>
      <w:r w:rsidRPr="00B5373E">
        <w:t>ental Status Exam (MMSE)</w:t>
      </w:r>
      <w:r w:rsidR="00BD63DB" w:rsidRPr="00B5373E">
        <w:rPr>
          <w:vertAlign w:val="superscript"/>
        </w:rPr>
        <w:t>25</w:t>
      </w:r>
      <w:r w:rsidR="00746E69" w:rsidRPr="00B5373E">
        <w:t xml:space="preserve">, </w:t>
      </w:r>
      <w:r w:rsidRPr="00B5373E">
        <w:t xml:space="preserve">the adapted version for use via telephone </w:t>
      </w:r>
      <w:r w:rsidR="00746E69" w:rsidRPr="00B5373E">
        <w:t>(</w:t>
      </w:r>
      <w:r w:rsidRPr="00B5373E">
        <w:t>MMSE-Adult Lifestyles and Function Interview</w:t>
      </w:r>
      <w:r w:rsidR="00746E69" w:rsidRPr="00B5373E">
        <w:t>, M</w:t>
      </w:r>
      <w:r w:rsidRPr="00B5373E">
        <w:t>MSE-ALFI)</w:t>
      </w:r>
      <w:r w:rsidR="00BD63DB" w:rsidRPr="00B5373E">
        <w:rPr>
          <w:vertAlign w:val="superscript"/>
        </w:rPr>
        <w:t>26</w:t>
      </w:r>
      <w:r w:rsidR="00746E69" w:rsidRPr="00B5373E">
        <w:t xml:space="preserve">, </w:t>
      </w:r>
      <w:r w:rsidRPr="00B5373E">
        <w:t>and the Montreal Cognitive Assessment (</w:t>
      </w:r>
      <w:proofErr w:type="spellStart"/>
      <w:r w:rsidRPr="00B5373E">
        <w:t>MoCA</w:t>
      </w:r>
      <w:proofErr w:type="spellEnd"/>
      <w:r w:rsidRPr="00B5373E">
        <w:t>)</w:t>
      </w:r>
      <w:r w:rsidR="00BD63DB" w:rsidRPr="00B5373E">
        <w:rPr>
          <w:vertAlign w:val="superscript"/>
        </w:rPr>
        <w:t>27</w:t>
      </w:r>
      <w:r w:rsidRPr="00B5373E">
        <w:t xml:space="preserve"> were used. Where MMSE was reported, the percentage ranged from no participants showing impairment</w:t>
      </w:r>
      <w:r w:rsidR="006C2089" w:rsidRPr="00B5373E">
        <w:rPr>
          <w:vertAlign w:val="superscript"/>
        </w:rPr>
        <w:t>28</w:t>
      </w:r>
      <w:r w:rsidR="00D60F74" w:rsidRPr="00B5373E">
        <w:t xml:space="preserve"> (cut-off of 28)</w:t>
      </w:r>
      <w:r w:rsidRPr="00B5373E">
        <w:t xml:space="preserve"> to 50% of participants</w:t>
      </w:r>
      <w:r w:rsidR="00D60F74" w:rsidRPr="00B5373E">
        <w:t xml:space="preserve"> (cut-off of 26)</w:t>
      </w:r>
      <w:r w:rsidRPr="00B5373E">
        <w:t xml:space="preserve"> showing </w:t>
      </w:r>
      <w:r w:rsidRPr="00B5373E">
        <w:lastRenderedPageBreak/>
        <w:t>impairment.</w:t>
      </w:r>
      <w:r w:rsidRPr="00B5373E">
        <w:rPr>
          <w:vertAlign w:val="superscript"/>
        </w:rPr>
        <w:t>2</w:t>
      </w:r>
      <w:r w:rsidR="006C2089" w:rsidRPr="00B5373E">
        <w:rPr>
          <w:vertAlign w:val="superscript"/>
        </w:rPr>
        <w:t>1</w:t>
      </w:r>
      <w:r w:rsidRPr="00B5373E">
        <w:t xml:space="preserve"> </w:t>
      </w:r>
      <w:r w:rsidR="00AD2BB4" w:rsidRPr="00B5373E">
        <w:t xml:space="preserve">The </w:t>
      </w:r>
      <w:proofErr w:type="spellStart"/>
      <w:r w:rsidR="00AD2BB4" w:rsidRPr="00B5373E">
        <w:t>MoCA</w:t>
      </w:r>
      <w:proofErr w:type="spellEnd"/>
      <w:r w:rsidR="00AD2BB4" w:rsidRPr="00B5373E">
        <w:t xml:space="preserve"> impairment rate ranged from 54</w:t>
      </w:r>
      <w:r w:rsidR="00C07EFB" w:rsidRPr="00B5373E">
        <w:t>%</w:t>
      </w:r>
      <w:r w:rsidR="006C2089" w:rsidRPr="00B5373E">
        <w:rPr>
          <w:vertAlign w:val="superscript"/>
        </w:rPr>
        <w:t>29</w:t>
      </w:r>
      <w:r w:rsidR="004D5948" w:rsidRPr="00B5373E">
        <w:t xml:space="preserve"> to </w:t>
      </w:r>
      <w:r w:rsidR="00AD2BB4" w:rsidRPr="00B5373E">
        <w:t>88%</w:t>
      </w:r>
      <w:r w:rsidR="00DA2B0B" w:rsidRPr="00B5373E">
        <w:rPr>
          <w:vertAlign w:val="superscript"/>
        </w:rPr>
        <w:t>2</w:t>
      </w:r>
      <w:r w:rsidR="006C2089" w:rsidRPr="00B5373E">
        <w:rPr>
          <w:vertAlign w:val="superscript"/>
        </w:rPr>
        <w:t>1</w:t>
      </w:r>
      <w:r w:rsidR="00D60F74" w:rsidRPr="00B5373E">
        <w:t xml:space="preserve"> using the standard cut-off criteria of 26</w:t>
      </w:r>
      <w:r w:rsidR="00AD2BB4" w:rsidRPr="00B5373E">
        <w:t>.</w:t>
      </w:r>
      <w:r w:rsidR="00D60F74" w:rsidRPr="00B5373E">
        <w:t xml:space="preserve"> It should be noted that the higher rates of impairment reported by Andersson</w:t>
      </w:r>
      <w:r w:rsidR="006C2089" w:rsidRPr="00B5373E">
        <w:t xml:space="preserve"> et al</w:t>
      </w:r>
      <w:r w:rsidR="006C2089" w:rsidRPr="00B5373E">
        <w:rPr>
          <w:vertAlign w:val="superscript"/>
        </w:rPr>
        <w:t>21</w:t>
      </w:r>
      <w:r w:rsidR="00D60F74" w:rsidRPr="00B5373E">
        <w:t xml:space="preserve"> need to be interpreted with caution due to the low sample size (n=8) and long follow-up time (15</w:t>
      </w:r>
      <w:r w:rsidR="00C07EFB" w:rsidRPr="00B5373E">
        <w:t>-18</w:t>
      </w:r>
      <w:r w:rsidR="00D60F74" w:rsidRPr="00B5373E">
        <w:t xml:space="preserve"> years)</w:t>
      </w:r>
      <w:r w:rsidR="00C60A24" w:rsidRPr="00B5373E">
        <w:t xml:space="preserve"> compared with other studies</w:t>
      </w:r>
      <w:r w:rsidR="00D60F74" w:rsidRPr="00B5373E">
        <w:t>.</w:t>
      </w:r>
    </w:p>
    <w:p w14:paraId="2A6F931C" w14:textId="0247755E" w:rsidR="004B261F" w:rsidRPr="00B5373E" w:rsidRDefault="10BED78F" w:rsidP="00E84FFE">
      <w:pPr>
        <w:pStyle w:val="MDPI31text"/>
      </w:pPr>
      <w:r w:rsidRPr="00B5373E">
        <w:t xml:space="preserve">When assessing specific </w:t>
      </w:r>
      <w:r w:rsidR="74FF16D5" w:rsidRPr="00B5373E">
        <w:t xml:space="preserve">domains of </w:t>
      </w:r>
      <w:r w:rsidR="21939BD0" w:rsidRPr="00B5373E">
        <w:t>neuro</w:t>
      </w:r>
      <w:r w:rsidRPr="00B5373E">
        <w:t>cognitive impairment, memory</w:t>
      </w:r>
      <w:r w:rsidR="7A8EB2DE" w:rsidRPr="00B5373E">
        <w:t xml:space="preserve"> (2</w:t>
      </w:r>
      <w:r w:rsidR="36F22624" w:rsidRPr="00B5373E">
        <w:t>3</w:t>
      </w:r>
      <w:r w:rsidR="7A8EB2DE" w:rsidRPr="00B5373E">
        <w:t>)</w:t>
      </w:r>
      <w:r w:rsidRPr="00B5373E">
        <w:t>, executive function</w:t>
      </w:r>
      <w:r w:rsidR="7A8EB2DE" w:rsidRPr="00B5373E">
        <w:t xml:space="preserve"> (1</w:t>
      </w:r>
      <w:r w:rsidR="00CCCAA8" w:rsidRPr="00B5373E">
        <w:t>7</w:t>
      </w:r>
      <w:r w:rsidR="7A8EB2DE" w:rsidRPr="00B5373E">
        <w:t>)</w:t>
      </w:r>
      <w:r w:rsidRPr="00B5373E">
        <w:t xml:space="preserve"> and attention</w:t>
      </w:r>
      <w:r w:rsidR="7A8EB2DE" w:rsidRPr="00B5373E">
        <w:t>/information processing (</w:t>
      </w:r>
      <w:r w:rsidR="52FAFD06" w:rsidRPr="00B5373E">
        <w:t>10</w:t>
      </w:r>
      <w:r w:rsidR="7A8EB2DE" w:rsidRPr="00B5373E">
        <w:t>)</w:t>
      </w:r>
      <w:r w:rsidRPr="00B5373E">
        <w:t xml:space="preserve"> </w:t>
      </w:r>
      <w:r w:rsidR="7A8EB2DE" w:rsidRPr="00B5373E">
        <w:t>were</w:t>
      </w:r>
      <w:r w:rsidRPr="00B5373E">
        <w:t xml:space="preserve"> assessed</w:t>
      </w:r>
      <w:r w:rsidR="329CE722" w:rsidRPr="00B5373E">
        <w:t xml:space="preserve"> </w:t>
      </w:r>
      <w:r w:rsidR="7A8EB2DE" w:rsidRPr="00B5373E">
        <w:t>most</w:t>
      </w:r>
      <w:r w:rsidR="0BE0AB36" w:rsidRPr="00B5373E">
        <w:t xml:space="preserve"> </w:t>
      </w:r>
      <w:r w:rsidR="02D409B8" w:rsidRPr="00B5373E">
        <w:t>frequently</w:t>
      </w:r>
      <w:r w:rsidR="7A8EB2DE" w:rsidRPr="00B5373E">
        <w:t xml:space="preserve">. Studies also included measures of general </w:t>
      </w:r>
      <w:r w:rsidR="21939BD0" w:rsidRPr="00B5373E">
        <w:t>neuro</w:t>
      </w:r>
      <w:r w:rsidR="7A8EB2DE" w:rsidRPr="00B5373E">
        <w:t xml:space="preserve">cognitive ability, motor function, language, and visuo-perceptual measures. Memory measures varied and included both short- and long-term memory measures as well as working memory and visuospatial memory. </w:t>
      </w:r>
      <w:r w:rsidR="02D409B8" w:rsidRPr="00B5373E">
        <w:t>Participants showing</w:t>
      </w:r>
      <w:r w:rsidR="07F479F8" w:rsidRPr="00B5373E">
        <w:t xml:space="preserve"> memory</w:t>
      </w:r>
      <w:r w:rsidR="02D409B8" w:rsidRPr="00B5373E">
        <w:t xml:space="preserve"> i</w:t>
      </w:r>
      <w:r w:rsidR="245B5499" w:rsidRPr="00B5373E">
        <w:t xml:space="preserve">mpairment ranged from </w:t>
      </w:r>
      <w:r w:rsidR="47C63015" w:rsidRPr="00B5373E">
        <w:t xml:space="preserve">10% on the </w:t>
      </w:r>
      <w:r w:rsidR="6C52D09C" w:rsidRPr="00B5373E">
        <w:rPr>
          <w:sz w:val="18"/>
          <w:szCs w:val="18"/>
          <w:lang w:val="en-GB" w:eastAsia="en-GB"/>
        </w:rPr>
        <w:t>Rey CF</w:t>
      </w:r>
      <w:r w:rsidR="369A011F" w:rsidRPr="00B5373E">
        <w:rPr>
          <w:vertAlign w:val="superscript"/>
        </w:rPr>
        <w:t>3</w:t>
      </w:r>
      <w:r w:rsidR="06C5448F" w:rsidRPr="00B5373E">
        <w:rPr>
          <w:vertAlign w:val="superscript"/>
        </w:rPr>
        <w:t>0</w:t>
      </w:r>
      <w:r w:rsidR="47C63015" w:rsidRPr="00B5373E">
        <w:t xml:space="preserve"> to 94%</w:t>
      </w:r>
      <w:r w:rsidR="48EED201" w:rsidRPr="00B5373E">
        <w:rPr>
          <w:vertAlign w:val="superscript"/>
        </w:rPr>
        <w:t>3</w:t>
      </w:r>
      <w:r w:rsidR="06C5448F" w:rsidRPr="00B5373E">
        <w:rPr>
          <w:vertAlign w:val="superscript"/>
        </w:rPr>
        <w:t>1</w:t>
      </w:r>
      <w:r w:rsidR="47C63015" w:rsidRPr="00B5373E">
        <w:t xml:space="preserve"> using </w:t>
      </w:r>
      <w:r w:rsidR="07F479F8" w:rsidRPr="00B5373E">
        <w:t xml:space="preserve">a </w:t>
      </w:r>
      <w:r w:rsidR="47C63015" w:rsidRPr="00B5373E">
        <w:t>memory composite variable</w:t>
      </w:r>
      <w:r w:rsidR="07F479F8" w:rsidRPr="00B5373E">
        <w:t xml:space="preserve"> (</w:t>
      </w:r>
      <w:r w:rsidR="47C63015" w:rsidRPr="00B5373E">
        <w:t>RAVLT, DSF, and BVRT</w:t>
      </w:r>
      <w:r w:rsidR="07F479F8" w:rsidRPr="00B5373E">
        <w:t>)</w:t>
      </w:r>
      <w:r w:rsidR="47C63015" w:rsidRPr="00B5373E">
        <w:t>. The most common memory measures were verbal learning tests (i.e., CVLT, RAVLT) which assess both episodic learning and memory and delayed recall</w:t>
      </w:r>
      <w:r w:rsidR="48EED201" w:rsidRPr="00B5373E">
        <w:t xml:space="preserve">. All of the studies reviewed identified some degree of </w:t>
      </w:r>
      <w:r w:rsidR="15F43FAC" w:rsidRPr="00B5373E">
        <w:t>impairment</w:t>
      </w:r>
      <w:r w:rsidR="47C63015" w:rsidRPr="00B5373E">
        <w:t xml:space="preserve">. </w:t>
      </w:r>
      <w:r w:rsidR="15F43FAC" w:rsidRPr="00B5373E">
        <w:t>Participants showing e</w:t>
      </w:r>
      <w:r w:rsidR="1EF94B37" w:rsidRPr="00B5373E">
        <w:t xml:space="preserve">xecutive function impairment </w:t>
      </w:r>
      <w:r w:rsidR="15F43FAC" w:rsidRPr="00B5373E">
        <w:t>ranged</w:t>
      </w:r>
      <w:r w:rsidR="1EF94B37" w:rsidRPr="00B5373E">
        <w:t xml:space="preserve"> from 8%</w:t>
      </w:r>
      <w:r w:rsidR="48EED201" w:rsidRPr="00B5373E">
        <w:rPr>
          <w:vertAlign w:val="superscript"/>
        </w:rPr>
        <w:t>3</w:t>
      </w:r>
      <w:r w:rsidR="5C2358C6" w:rsidRPr="00B5373E">
        <w:rPr>
          <w:vertAlign w:val="superscript"/>
        </w:rPr>
        <w:t>2</w:t>
      </w:r>
      <w:r w:rsidR="1EF94B37" w:rsidRPr="00B5373E">
        <w:t xml:space="preserve"> to 62%</w:t>
      </w:r>
      <w:r w:rsidR="48EED201" w:rsidRPr="00B5373E">
        <w:rPr>
          <w:vertAlign w:val="superscript"/>
        </w:rPr>
        <w:t>3</w:t>
      </w:r>
      <w:r w:rsidR="5C2358C6" w:rsidRPr="00B5373E">
        <w:rPr>
          <w:vertAlign w:val="superscript"/>
        </w:rPr>
        <w:t>1</w:t>
      </w:r>
      <w:r w:rsidR="1EF94B37" w:rsidRPr="00B5373E">
        <w:t xml:space="preserve">. For attention and information processing, impairment levels ranged from </w:t>
      </w:r>
      <w:r w:rsidR="7309F5AD" w:rsidRPr="00B5373E">
        <w:t>0%</w:t>
      </w:r>
      <w:r w:rsidR="5C2358C6" w:rsidRPr="00B5373E">
        <w:rPr>
          <w:vertAlign w:val="superscript"/>
        </w:rPr>
        <w:t>31,20</w:t>
      </w:r>
      <w:r w:rsidR="7309F5AD" w:rsidRPr="00B5373E">
        <w:t xml:space="preserve"> to 57%</w:t>
      </w:r>
      <w:r w:rsidR="5C2358C6" w:rsidRPr="00B5373E">
        <w:rPr>
          <w:vertAlign w:val="superscript"/>
        </w:rPr>
        <w:t>33</w:t>
      </w:r>
      <w:r w:rsidR="7309F5AD" w:rsidRPr="00B5373E">
        <w:t xml:space="preserve">. </w:t>
      </w:r>
      <w:r w:rsidRPr="00B5373E">
        <w:t>Most studies used performance-based measures</w:t>
      </w:r>
      <w:r w:rsidR="0BE0AB36" w:rsidRPr="00B5373E">
        <w:t>,</w:t>
      </w:r>
      <w:r w:rsidRPr="00B5373E">
        <w:t xml:space="preserve"> though others used self-report measures (</w:t>
      </w:r>
      <w:r w:rsidR="5C2358C6" w:rsidRPr="00B5373E">
        <w:t xml:space="preserve">e.g., </w:t>
      </w:r>
      <w:r w:rsidRPr="00B5373E">
        <w:t>CFQ</w:t>
      </w:r>
      <w:r w:rsidR="368D329A" w:rsidRPr="00B5373E">
        <w:rPr>
          <w:vertAlign w:val="superscript"/>
        </w:rPr>
        <w:t>34</w:t>
      </w:r>
      <w:r w:rsidRPr="00B5373E">
        <w:t>, DEX</w:t>
      </w:r>
      <w:r w:rsidR="368D329A" w:rsidRPr="00B5373E">
        <w:rPr>
          <w:vertAlign w:val="superscript"/>
        </w:rPr>
        <w:t>19</w:t>
      </w:r>
      <w:r w:rsidRPr="00B5373E">
        <w:t>) from survivors or informants (</w:t>
      </w:r>
      <w:r w:rsidR="5C2358C6" w:rsidRPr="00B5373E">
        <w:t xml:space="preserve">e.g., </w:t>
      </w:r>
      <w:r w:rsidRPr="00B5373E">
        <w:t>IQCODE</w:t>
      </w:r>
      <w:r w:rsidR="6F92D44D" w:rsidRPr="00B5373E">
        <w:rPr>
          <w:vertAlign w:val="superscript"/>
        </w:rPr>
        <w:t>6,29,33,35</w:t>
      </w:r>
      <w:r w:rsidR="368D329A" w:rsidRPr="00B5373E">
        <w:t xml:space="preserve">, </w:t>
      </w:r>
      <w:r w:rsidRPr="00B5373E">
        <w:t>IQCODE-CA</w:t>
      </w:r>
      <w:r w:rsidR="6F92D44D" w:rsidRPr="00B5373E">
        <w:rPr>
          <w:vertAlign w:val="superscript"/>
        </w:rPr>
        <w:t>36,37</w:t>
      </w:r>
      <w:r w:rsidRPr="00B5373E">
        <w:t>)</w:t>
      </w:r>
      <w:r w:rsidR="7309F5AD" w:rsidRPr="00B5373E">
        <w:t xml:space="preserve"> or questions relating to recovery (</w:t>
      </w:r>
      <w:r w:rsidR="6F92D44D" w:rsidRPr="00B5373E">
        <w:t xml:space="preserve">e.g., </w:t>
      </w:r>
      <w:r w:rsidR="7309F5AD" w:rsidRPr="00B5373E">
        <w:t>2SQs</w:t>
      </w:r>
      <w:r w:rsidR="6F92D44D" w:rsidRPr="00B5373E">
        <w:rPr>
          <w:vertAlign w:val="superscript"/>
        </w:rPr>
        <w:t>35</w:t>
      </w:r>
      <w:r w:rsidR="7309F5AD" w:rsidRPr="00B5373E">
        <w:t>, Perception of Recovery</w:t>
      </w:r>
      <w:r w:rsidR="5F42B81C" w:rsidRPr="00B5373E">
        <w:rPr>
          <w:vertAlign w:val="superscript"/>
        </w:rPr>
        <w:t>38</w:t>
      </w:r>
      <w:r w:rsidR="7309F5AD" w:rsidRPr="00B5373E">
        <w:t>). Again, there was a range of impairment reported</w:t>
      </w:r>
      <w:r w:rsidR="0BE0AB36" w:rsidRPr="00B5373E">
        <w:t>;</w:t>
      </w:r>
      <w:r w:rsidR="7309F5AD" w:rsidRPr="00B5373E">
        <w:t xml:space="preserve"> from 0% (DEX)</w:t>
      </w:r>
      <w:r w:rsidR="5F42B81C" w:rsidRPr="00B5373E">
        <w:rPr>
          <w:vertAlign w:val="superscript"/>
        </w:rPr>
        <w:t>19</w:t>
      </w:r>
      <w:r w:rsidR="7309F5AD" w:rsidRPr="00B5373E">
        <w:t xml:space="preserve"> to 62% (IQCODE)</w:t>
      </w:r>
      <w:r w:rsidR="5F42B81C" w:rsidRPr="00B5373E">
        <w:rPr>
          <w:vertAlign w:val="superscript"/>
        </w:rPr>
        <w:t>35</w:t>
      </w:r>
      <w:r w:rsidR="7309F5AD" w:rsidRPr="00B5373E">
        <w:t xml:space="preserve">. </w:t>
      </w:r>
    </w:p>
    <w:p w14:paraId="76848362" w14:textId="115428EF" w:rsidR="00D45C5C" w:rsidRPr="00B5373E" w:rsidRDefault="001F152F" w:rsidP="00E84FFE">
      <w:pPr>
        <w:pStyle w:val="MDPI31text"/>
      </w:pPr>
      <w:r w:rsidRPr="00B5373E">
        <w:t>Participant characteristics (age, sex) and treatment varied (therapeutic hypothermia, type of CPR, etc</w:t>
      </w:r>
      <w:r w:rsidR="00335211" w:rsidRPr="00B5373E">
        <w:t>.</w:t>
      </w:r>
      <w:r w:rsidRPr="00B5373E">
        <w:t>)</w:t>
      </w:r>
      <w:r w:rsidR="00335211" w:rsidRPr="00B5373E">
        <w:t>,</w:t>
      </w:r>
      <w:r w:rsidRPr="00B5373E">
        <w:t xml:space="preserve"> as did the time to follow-up (</w:t>
      </w:r>
      <w:r w:rsidR="0059606B" w:rsidRPr="00B5373E">
        <w:t xml:space="preserve">e.g., </w:t>
      </w:r>
      <w:r w:rsidRPr="00B5373E">
        <w:t>discharge</w:t>
      </w:r>
      <w:r w:rsidR="00AB6362" w:rsidRPr="00B5373E">
        <w:rPr>
          <w:vertAlign w:val="superscript"/>
        </w:rPr>
        <w:t>38</w:t>
      </w:r>
      <w:r w:rsidRPr="00B5373E">
        <w:t xml:space="preserve"> to 18 years</w:t>
      </w:r>
      <w:r w:rsidR="00AB6362" w:rsidRPr="00B5373E">
        <w:rPr>
          <w:vertAlign w:val="superscript"/>
        </w:rPr>
        <w:t>21</w:t>
      </w:r>
      <w:r w:rsidRPr="00B5373E">
        <w:t xml:space="preserve">). Multiple studies included measures of depression, anxiety and quality of life. </w:t>
      </w:r>
    </w:p>
    <w:p w14:paraId="156B5258" w14:textId="77777777" w:rsidR="004B261F" w:rsidRPr="00B5373E" w:rsidRDefault="004B261F" w:rsidP="004B261F"/>
    <w:p w14:paraId="3B2BAF93" w14:textId="659C36E2" w:rsidR="00E93210" w:rsidRPr="00B5373E" w:rsidRDefault="40303311" w:rsidP="3DD830A6">
      <w:pPr>
        <w:pStyle w:val="MDPI51figurecaption"/>
      </w:pPr>
      <w:r w:rsidRPr="00B5373E">
        <w:rPr>
          <w:b/>
          <w:bCs/>
        </w:rPr>
        <w:t xml:space="preserve">Figure 1. </w:t>
      </w:r>
      <w:r w:rsidR="75A2D577" w:rsidRPr="00B5373E">
        <w:t>Prisma flowchart of the literature search and selection process</w:t>
      </w:r>
      <w:r w:rsidRPr="00B5373E">
        <w:t>.</w:t>
      </w:r>
    </w:p>
    <w:p w14:paraId="354ED900" w14:textId="3703D10F" w:rsidR="00831620" w:rsidRPr="00B5373E" w:rsidRDefault="57077E18" w:rsidP="00CC220A">
      <w:pPr>
        <w:pStyle w:val="MDPI51figurecaption"/>
      </w:pPr>
      <w:r w:rsidRPr="00B5373E">
        <w:rPr>
          <w:noProof/>
        </w:rPr>
        <w:drawing>
          <wp:inline distT="0" distB="0" distL="0" distR="0" wp14:anchorId="7F5448B6" wp14:editId="6523F6DD">
            <wp:extent cx="4572000" cy="4562475"/>
            <wp:effectExtent l="0" t="0" r="0" b="0"/>
            <wp:docPr id="302771806" name="Picture 30277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562475"/>
                    </a:xfrm>
                    <a:prstGeom prst="rect">
                      <a:avLst/>
                    </a:prstGeom>
                  </pic:spPr>
                </pic:pic>
              </a:graphicData>
            </a:graphic>
          </wp:inline>
        </w:drawing>
      </w:r>
    </w:p>
    <w:p w14:paraId="3F9D56C5" w14:textId="77777777" w:rsidR="003E77E9" w:rsidRPr="00B5373E" w:rsidRDefault="003E77E9" w:rsidP="00E93210">
      <w:pPr>
        <w:pStyle w:val="MDPI41tablecaption"/>
        <w:ind w:left="0"/>
        <w:jc w:val="center"/>
        <w:rPr>
          <w:b/>
        </w:rPr>
        <w:sectPr w:rsidR="003E77E9" w:rsidRPr="00B5373E" w:rsidSect="00CA1D7B">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34BEDDA6" w14:textId="7DEFFA8D" w:rsidR="00E93210" w:rsidRPr="00B5373E" w:rsidRDefault="00E93210" w:rsidP="00445542">
      <w:pPr>
        <w:pStyle w:val="MDPI41tablecaption"/>
        <w:ind w:left="0"/>
      </w:pPr>
      <w:r w:rsidRPr="00B5373E">
        <w:rPr>
          <w:b/>
        </w:rPr>
        <w:lastRenderedPageBreak/>
        <w:t xml:space="preserve">Table </w:t>
      </w:r>
      <w:r w:rsidR="00FA4FA2" w:rsidRPr="00B5373E">
        <w:rPr>
          <w:b/>
        </w:rPr>
        <w:t>1</w:t>
      </w:r>
      <w:r w:rsidRPr="00B5373E">
        <w:rPr>
          <w:b/>
        </w:rPr>
        <w:t xml:space="preserve">. </w:t>
      </w:r>
      <w:r w:rsidR="00F61515" w:rsidRPr="00B5373E">
        <w:t>Summary of studies and outcome measures, level of impairment and criteria used.</w:t>
      </w:r>
    </w:p>
    <w:tbl>
      <w:tblPr>
        <w:tblW w:w="15386" w:type="dxa"/>
        <w:tblInd w:w="-5" w:type="dxa"/>
        <w:tblLayout w:type="fixed"/>
        <w:tblLook w:val="04A0" w:firstRow="1" w:lastRow="0" w:firstColumn="1" w:lastColumn="0" w:noHBand="0" w:noVBand="1"/>
      </w:tblPr>
      <w:tblGrid>
        <w:gridCol w:w="1693"/>
        <w:gridCol w:w="707"/>
        <w:gridCol w:w="847"/>
        <w:gridCol w:w="1271"/>
        <w:gridCol w:w="1338"/>
        <w:gridCol w:w="4449"/>
        <w:gridCol w:w="3246"/>
        <w:gridCol w:w="1835"/>
      </w:tblGrid>
      <w:tr w:rsidR="007814FC" w:rsidRPr="00B5373E" w14:paraId="7B9838BD" w14:textId="77777777" w:rsidTr="00CC220A">
        <w:trPr>
          <w:trHeight w:val="580"/>
        </w:trPr>
        <w:tc>
          <w:tcPr>
            <w:tcW w:w="1693" w:type="dxa"/>
            <w:tcBorders>
              <w:top w:val="single" w:sz="4" w:space="0" w:color="8EA9DB"/>
              <w:left w:val="single" w:sz="4" w:space="0" w:color="8EA9DB"/>
              <w:bottom w:val="single" w:sz="4" w:space="0" w:color="8EA9DB"/>
              <w:right w:val="nil"/>
            </w:tcBorders>
            <w:shd w:val="clear" w:color="auto" w:fill="000000" w:themeFill="text1"/>
            <w:noWrap/>
            <w:vAlign w:val="bottom"/>
            <w:hideMark/>
          </w:tcPr>
          <w:p w14:paraId="678053CB" w14:textId="77777777" w:rsidR="007814FC" w:rsidRPr="00B5373E" w:rsidRDefault="007814FC" w:rsidP="007814FC">
            <w:pPr>
              <w:spacing w:line="240" w:lineRule="auto"/>
              <w:jc w:val="left"/>
              <w:rPr>
                <w:rFonts w:ascii="Calibri" w:eastAsia="Times New Roman" w:hAnsi="Calibri" w:cs="Calibri"/>
                <w:b/>
                <w:bCs/>
                <w:noProof w:val="0"/>
                <w:color w:val="FFFFFF"/>
                <w:sz w:val="22"/>
                <w:szCs w:val="22"/>
                <w:lang w:val="en-GB" w:eastAsia="en-GB"/>
              </w:rPr>
            </w:pPr>
            <w:bookmarkStart w:id="0" w:name="_Hlk70511719"/>
            <w:r w:rsidRPr="00B5373E">
              <w:rPr>
                <w:rFonts w:ascii="Calibri" w:eastAsia="Times New Roman" w:hAnsi="Calibri" w:cs="Calibri"/>
                <w:b/>
                <w:bCs/>
                <w:noProof w:val="0"/>
                <w:color w:val="FFFFFF"/>
                <w:sz w:val="22"/>
                <w:szCs w:val="22"/>
                <w:lang w:val="en-GB" w:eastAsia="en-GB"/>
              </w:rPr>
              <w:t>Reference (author &amp; year)</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27F8F356" w14:textId="462A7396" w:rsidR="007814FC" w:rsidRPr="00B5373E" w:rsidRDefault="007814FC" w:rsidP="007814FC">
            <w:pPr>
              <w:spacing w:line="240" w:lineRule="auto"/>
              <w:jc w:val="left"/>
              <w:rPr>
                <w:rFonts w:ascii="Calibri" w:eastAsia="Times New Roman" w:hAnsi="Calibri" w:cs="Calibri"/>
                <w:b/>
                <w:bCs/>
                <w:noProof w:val="0"/>
                <w:color w:val="FFFFFF" w:themeColor="background1"/>
                <w:sz w:val="22"/>
                <w:szCs w:val="22"/>
                <w:lang w:val="en-GB" w:eastAsia="en-GB"/>
              </w:rPr>
            </w:pPr>
            <w:r w:rsidRPr="00B5373E">
              <w:rPr>
                <w:rFonts w:ascii="Calibri" w:hAnsi="Calibri" w:cs="Calibri"/>
                <w:b/>
                <w:bCs/>
                <w:color w:val="FFFFFF" w:themeColor="background1"/>
                <w:sz w:val="22"/>
                <w:szCs w:val="22"/>
              </w:rPr>
              <w:t>Risk of Bias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26352949" w14:textId="65A11BC7" w:rsidR="007814FC" w:rsidRPr="00B5373E" w:rsidRDefault="007814FC" w:rsidP="007814FC">
            <w:pPr>
              <w:spacing w:line="240" w:lineRule="auto"/>
              <w:jc w:val="left"/>
              <w:rPr>
                <w:rFonts w:ascii="Calibri" w:eastAsia="Times New Roman" w:hAnsi="Calibri" w:cs="Calibri"/>
                <w:b/>
                <w:bCs/>
                <w:noProof w:val="0"/>
                <w:color w:val="FFFFFF" w:themeColor="background1"/>
                <w:sz w:val="22"/>
                <w:szCs w:val="22"/>
                <w:lang w:val="en-GB" w:eastAsia="en-GB"/>
              </w:rPr>
            </w:pPr>
            <w:r w:rsidRPr="00B5373E">
              <w:rPr>
                <w:rFonts w:ascii="Calibri" w:hAnsi="Calibri" w:cs="Calibri"/>
                <w:b/>
                <w:bCs/>
                <w:color w:val="FFFFFF" w:themeColor="background1"/>
                <w:sz w:val="18"/>
                <w:szCs w:val="18"/>
              </w:rPr>
              <w:t>study type</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5AB5269A" w14:textId="4561321D" w:rsidR="007814FC" w:rsidRPr="00B5373E" w:rsidRDefault="007814FC" w:rsidP="007814FC">
            <w:pPr>
              <w:spacing w:line="240" w:lineRule="auto"/>
              <w:jc w:val="left"/>
              <w:rPr>
                <w:rFonts w:ascii="Calibri" w:eastAsia="Times New Roman" w:hAnsi="Calibri" w:cs="Calibri"/>
                <w:b/>
                <w:bCs/>
                <w:noProof w:val="0"/>
                <w:color w:val="FFFFFF" w:themeColor="background1"/>
                <w:sz w:val="22"/>
                <w:szCs w:val="22"/>
                <w:lang w:val="en-GB" w:eastAsia="en-GB"/>
              </w:rPr>
            </w:pPr>
            <w:r w:rsidRPr="00B5373E">
              <w:rPr>
                <w:rFonts w:ascii="Calibri" w:hAnsi="Calibri" w:cs="Calibri"/>
                <w:b/>
                <w:bCs/>
                <w:color w:val="FFFFFF" w:themeColor="background1"/>
                <w:sz w:val="18"/>
                <w:szCs w:val="18"/>
              </w:rPr>
              <w:t>N (cog tests)</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4D821BBB" w14:textId="099A2518" w:rsidR="007814FC" w:rsidRPr="00B5373E" w:rsidRDefault="007814FC" w:rsidP="007814FC">
            <w:pPr>
              <w:spacing w:line="240" w:lineRule="auto"/>
              <w:jc w:val="left"/>
              <w:rPr>
                <w:rFonts w:ascii="Calibri" w:eastAsia="Times New Roman" w:hAnsi="Calibri" w:cs="Calibri"/>
                <w:b/>
                <w:bCs/>
                <w:noProof w:val="0"/>
                <w:color w:val="FFFFFF" w:themeColor="background1"/>
                <w:sz w:val="22"/>
                <w:szCs w:val="22"/>
                <w:lang w:val="en-GB" w:eastAsia="en-GB"/>
              </w:rPr>
            </w:pPr>
            <w:r w:rsidRPr="00B5373E">
              <w:rPr>
                <w:rFonts w:ascii="Calibri" w:hAnsi="Calibri" w:cs="Calibri"/>
                <w:b/>
                <w:bCs/>
                <w:color w:val="FFFFFF" w:themeColor="background1"/>
                <w:sz w:val="18"/>
                <w:szCs w:val="18"/>
              </w:rPr>
              <w:t>Follow-up (days/months)</w:t>
            </w:r>
          </w:p>
        </w:tc>
        <w:tc>
          <w:tcPr>
            <w:tcW w:w="4449"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000000" w:themeFill="text1"/>
            <w:vAlign w:val="bottom"/>
            <w:hideMark/>
          </w:tcPr>
          <w:p w14:paraId="411B77C0" w14:textId="2A1D66C4" w:rsidR="007814FC" w:rsidRPr="00B5373E" w:rsidRDefault="007814FC" w:rsidP="007814FC">
            <w:pPr>
              <w:spacing w:line="240" w:lineRule="auto"/>
              <w:jc w:val="left"/>
              <w:rPr>
                <w:rFonts w:ascii="Calibri" w:eastAsia="Times New Roman" w:hAnsi="Calibri" w:cs="Calibri"/>
                <w:b/>
                <w:bCs/>
                <w:noProof w:val="0"/>
                <w:color w:val="FFFFFF"/>
                <w:sz w:val="22"/>
                <w:szCs w:val="22"/>
                <w:lang w:val="en-GB" w:eastAsia="en-GB"/>
              </w:rPr>
            </w:pPr>
            <w:r w:rsidRPr="00B5373E">
              <w:rPr>
                <w:rFonts w:ascii="Calibri" w:eastAsia="Times New Roman" w:hAnsi="Calibri" w:cs="Calibri"/>
                <w:b/>
                <w:bCs/>
                <w:noProof w:val="0"/>
                <w:color w:val="FFFFFF"/>
                <w:sz w:val="22"/>
                <w:szCs w:val="22"/>
                <w:lang w:val="en-GB" w:eastAsia="en-GB"/>
              </w:rPr>
              <w:t>Cognitive domain assessed (measure)</w:t>
            </w:r>
            <w:r w:rsidR="00FA0C89" w:rsidRPr="00B5373E">
              <w:rPr>
                <w:rFonts w:ascii="Calibri" w:eastAsia="Times New Roman" w:hAnsi="Calibri" w:cs="Calibri"/>
                <w:b/>
                <w:bCs/>
                <w:noProof w:val="0"/>
                <w:color w:val="FFFFFF"/>
                <w:sz w:val="22"/>
                <w:szCs w:val="22"/>
                <w:vertAlign w:val="superscript"/>
                <w:lang w:val="en-GB" w:eastAsia="en-GB"/>
              </w:rPr>
              <w:t>a</w:t>
            </w:r>
          </w:p>
        </w:tc>
        <w:tc>
          <w:tcPr>
            <w:tcW w:w="3246" w:type="dxa"/>
            <w:tcBorders>
              <w:top w:val="single" w:sz="4" w:space="0" w:color="8EA9DB"/>
              <w:left w:val="nil"/>
              <w:bottom w:val="single" w:sz="4" w:space="0" w:color="8EA9DB"/>
              <w:right w:val="nil"/>
            </w:tcBorders>
            <w:shd w:val="clear" w:color="auto" w:fill="000000" w:themeFill="text1"/>
            <w:vAlign w:val="bottom"/>
            <w:hideMark/>
          </w:tcPr>
          <w:p w14:paraId="55CDD4E5" w14:textId="77777777" w:rsidR="007814FC" w:rsidRPr="00B5373E" w:rsidRDefault="007814FC" w:rsidP="007814FC">
            <w:pPr>
              <w:spacing w:line="240" w:lineRule="auto"/>
              <w:jc w:val="left"/>
              <w:rPr>
                <w:rFonts w:ascii="Calibri" w:eastAsia="Times New Roman" w:hAnsi="Calibri" w:cs="Calibri"/>
                <w:b/>
                <w:bCs/>
                <w:noProof w:val="0"/>
                <w:color w:val="FFFFFF"/>
                <w:sz w:val="22"/>
                <w:szCs w:val="22"/>
                <w:lang w:val="en-GB" w:eastAsia="en-GB"/>
              </w:rPr>
            </w:pPr>
            <w:r w:rsidRPr="00B5373E">
              <w:rPr>
                <w:rFonts w:ascii="Calibri" w:eastAsia="Times New Roman" w:hAnsi="Calibri" w:cs="Calibri"/>
                <w:b/>
                <w:bCs/>
                <w:noProof w:val="0"/>
                <w:color w:val="FFFFFF"/>
                <w:sz w:val="22"/>
                <w:szCs w:val="22"/>
                <w:lang w:val="en-GB" w:eastAsia="en-GB"/>
              </w:rPr>
              <w:t>Impairment and/or differences from other populations</w:t>
            </w:r>
          </w:p>
        </w:tc>
        <w:tc>
          <w:tcPr>
            <w:tcW w:w="1835" w:type="dxa"/>
            <w:tcBorders>
              <w:top w:val="single" w:sz="4" w:space="0" w:color="8EA9DB"/>
              <w:left w:val="nil"/>
              <w:bottom w:val="single" w:sz="4" w:space="0" w:color="8EA9DB"/>
              <w:right w:val="nil"/>
            </w:tcBorders>
            <w:shd w:val="clear" w:color="auto" w:fill="000000" w:themeFill="text1"/>
            <w:noWrap/>
            <w:vAlign w:val="bottom"/>
            <w:hideMark/>
          </w:tcPr>
          <w:p w14:paraId="546D2E5B" w14:textId="589B34BF" w:rsidR="007814FC" w:rsidRPr="00B5373E" w:rsidRDefault="007814FC" w:rsidP="007814FC">
            <w:pPr>
              <w:spacing w:line="240" w:lineRule="auto"/>
              <w:jc w:val="left"/>
              <w:rPr>
                <w:rFonts w:ascii="Calibri" w:eastAsia="Times New Roman" w:hAnsi="Calibri" w:cs="Calibri"/>
                <w:b/>
                <w:bCs/>
                <w:noProof w:val="0"/>
                <w:color w:val="FFFFFF"/>
                <w:sz w:val="22"/>
                <w:szCs w:val="22"/>
                <w:lang w:val="en-GB" w:eastAsia="en-GB"/>
              </w:rPr>
            </w:pPr>
            <w:r w:rsidRPr="00B5373E">
              <w:rPr>
                <w:rFonts w:ascii="Calibri" w:eastAsia="Times New Roman" w:hAnsi="Calibri" w:cs="Calibri"/>
                <w:b/>
                <w:bCs/>
                <w:noProof w:val="0"/>
                <w:color w:val="FFFFFF"/>
                <w:sz w:val="22"/>
                <w:szCs w:val="22"/>
                <w:lang w:val="en-GB" w:eastAsia="en-GB"/>
              </w:rPr>
              <w:t>Criteria Used</w:t>
            </w:r>
          </w:p>
        </w:tc>
      </w:tr>
      <w:tr w:rsidR="007814FC" w:rsidRPr="00B5373E" w14:paraId="1C205EA4" w14:textId="77777777" w:rsidTr="00CC220A">
        <w:trPr>
          <w:trHeight w:val="1340"/>
        </w:trPr>
        <w:tc>
          <w:tcPr>
            <w:tcW w:w="1693"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9C5A924" w14:textId="19BA7A3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Alexander et al., 2011</w:t>
            </w:r>
            <w:r w:rsidR="00F529BC" w:rsidRPr="00B5373E">
              <w:rPr>
                <w:rFonts w:eastAsia="Times New Roman" w:cs="Calibri"/>
                <w:noProof w:val="0"/>
                <w:sz w:val="18"/>
                <w:szCs w:val="18"/>
                <w:vertAlign w:val="superscript"/>
                <w:lang w:val="en-GB" w:eastAsia="en-GB"/>
              </w:rPr>
              <w:t>39</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4F9926" w14:textId="46860D8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2E1960F" w14:textId="1FC2BE2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067E92E" w14:textId="0E2EA47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OHCA: 30, Controls:30</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7394AFA" w14:textId="50BF30B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Ps: 113 days (26.5), Cs: 109 (17.5)</w:t>
            </w:r>
          </w:p>
        </w:tc>
        <w:tc>
          <w:tcPr>
            <w:tcW w:w="44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F694EE" w14:textId="7DFF1E8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Premorbid function (NART) </w:t>
            </w:r>
            <w:r w:rsidRPr="00B5373E">
              <w:rPr>
                <w:rFonts w:eastAsia="Times New Roman" w:cs="Calibri"/>
                <w:noProof w:val="0"/>
                <w:sz w:val="18"/>
                <w:szCs w:val="18"/>
                <w:lang w:val="en-GB" w:eastAsia="en-GB"/>
              </w:rPr>
              <w:br/>
              <w:t xml:space="preserve">Memory (RAVLT, BVMT-R); </w:t>
            </w:r>
            <w:r w:rsidRPr="00B5373E">
              <w:rPr>
                <w:rFonts w:eastAsia="Times New Roman" w:cs="Calibri"/>
                <w:noProof w:val="0"/>
                <w:sz w:val="18"/>
                <w:szCs w:val="18"/>
                <w:lang w:val="en-GB" w:eastAsia="en-GB"/>
              </w:rPr>
              <w:br/>
              <w:t xml:space="preserve">EF (Trails B, VF, WCST); </w:t>
            </w:r>
            <w:r w:rsidRPr="00B5373E">
              <w:rPr>
                <w:rFonts w:eastAsia="Times New Roman" w:cs="Calibri"/>
                <w:noProof w:val="0"/>
                <w:sz w:val="18"/>
                <w:szCs w:val="18"/>
                <w:lang w:val="en-GB" w:eastAsia="en-GB"/>
              </w:rPr>
              <w:br/>
              <w:t xml:space="preserve">Semantic (BNT, PPV); </w:t>
            </w:r>
            <w:r w:rsidRPr="00B5373E">
              <w:rPr>
                <w:rFonts w:eastAsia="Times New Roman" w:cs="Calibri"/>
                <w:noProof w:val="0"/>
                <w:sz w:val="18"/>
                <w:szCs w:val="18"/>
                <w:lang w:val="en-GB" w:eastAsia="en-GB"/>
              </w:rPr>
              <w:br/>
              <w:t xml:space="preserve">Perceptual (JOL, Number location, Visual Discrimination); </w:t>
            </w:r>
            <w:r w:rsidRPr="00B5373E">
              <w:rPr>
                <w:rFonts w:eastAsia="Times New Roman" w:cs="Calibri"/>
                <w:noProof w:val="0"/>
                <w:sz w:val="18"/>
                <w:szCs w:val="18"/>
                <w:lang w:val="en-GB" w:eastAsia="en-GB"/>
              </w:rPr>
              <w:br/>
              <w:t xml:space="preserve">Psychomotor (Trails A,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 Finger tapping)</w:t>
            </w:r>
          </w:p>
        </w:tc>
        <w:tc>
          <w:tcPr>
            <w:tcW w:w="3246"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4BC59E8" w14:textId="68F8F25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OHCA composite scores lower than coronary controls on all domains; Memory 37%; Motor 27%; Semantic (21%), EF 13%</w:t>
            </w:r>
          </w:p>
        </w:tc>
        <w:tc>
          <w:tcPr>
            <w:tcW w:w="1835"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8D20541" w14:textId="782A3A59" w:rsidR="007814FC" w:rsidRPr="00B5373E" w:rsidRDefault="193134D4"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Norms; </w:t>
            </w:r>
            <w:r w:rsidR="00623873" w:rsidRPr="00B5373E">
              <w:rPr>
                <w:rFonts w:eastAsia="Times New Roman" w:cs="Calibri"/>
                <w:noProof w:val="0"/>
                <w:sz w:val="18"/>
                <w:szCs w:val="18"/>
                <w:lang w:val="en-GB" w:eastAsia="en-GB"/>
              </w:rPr>
              <w:t>2 SDs</w:t>
            </w:r>
          </w:p>
        </w:tc>
      </w:tr>
      <w:tr w:rsidR="007814FC" w:rsidRPr="00B5373E" w14:paraId="1A959BA7" w14:textId="77777777" w:rsidTr="00CC220A">
        <w:trPr>
          <w:trHeight w:val="290"/>
        </w:trPr>
        <w:tc>
          <w:tcPr>
            <w:tcW w:w="169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20DB6CC2" w14:textId="6D13B53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Anderrson</w:t>
            </w:r>
            <w:proofErr w:type="spellEnd"/>
            <w:r w:rsidRPr="00B5373E">
              <w:rPr>
                <w:rFonts w:eastAsia="Times New Roman" w:cs="Calibri"/>
                <w:noProof w:val="0"/>
                <w:sz w:val="18"/>
                <w:szCs w:val="18"/>
                <w:lang w:val="en-GB" w:eastAsia="en-GB"/>
              </w:rPr>
              <w:t xml:space="preserve"> et al., 2015</w:t>
            </w:r>
            <w:r w:rsidR="00F529BC" w:rsidRPr="00B5373E">
              <w:rPr>
                <w:rFonts w:eastAsia="Times New Roman" w:cs="Calibri"/>
                <w:noProof w:val="0"/>
                <w:sz w:val="18"/>
                <w:szCs w:val="18"/>
                <w:vertAlign w:val="superscript"/>
                <w:lang w:val="en-GB" w:eastAsia="en-GB"/>
              </w:rPr>
              <w:t>21</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0CA01DC" w14:textId="78158B4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E3059F9" w14:textId="6D8D529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Retro</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E8641E2" w14:textId="2E675EF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8</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147946B" w14:textId="10699DC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15-18 years</w:t>
            </w:r>
          </w:p>
        </w:tc>
        <w:tc>
          <w:tcPr>
            <w:tcW w:w="4449"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1CE80447" w14:textId="067FD629"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Global cognitive function (MMSE, </w:t>
            </w:r>
            <w:proofErr w:type="spellStart"/>
            <w:r w:rsidRPr="00B5373E">
              <w:rPr>
                <w:rFonts w:eastAsia="Times New Roman" w:cs="Calibri"/>
                <w:noProof w:val="0"/>
                <w:sz w:val="18"/>
                <w:szCs w:val="18"/>
                <w:lang w:val="en-GB" w:eastAsia="en-GB"/>
              </w:rPr>
              <w:t>MoCA</w:t>
            </w:r>
            <w:proofErr w:type="spellEnd"/>
            <w:r w:rsidRPr="00B5373E">
              <w:rPr>
                <w:rFonts w:eastAsia="Times New Roman" w:cs="Calibri"/>
                <w:noProof w:val="0"/>
                <w:sz w:val="18"/>
                <w:szCs w:val="18"/>
                <w:lang w:val="en-GB" w:eastAsia="en-GB"/>
              </w:rPr>
              <w:t>)</w:t>
            </w:r>
          </w:p>
        </w:tc>
        <w:tc>
          <w:tcPr>
            <w:tcW w:w="324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0BF8DB4F"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MMSE 50%; </w:t>
            </w:r>
            <w:proofErr w:type="spellStart"/>
            <w:r w:rsidRPr="00B5373E">
              <w:rPr>
                <w:rFonts w:eastAsia="Times New Roman" w:cs="Calibri"/>
                <w:noProof w:val="0"/>
                <w:sz w:val="18"/>
                <w:szCs w:val="18"/>
                <w:lang w:val="en-GB" w:eastAsia="en-GB"/>
              </w:rPr>
              <w:t>MoCA</w:t>
            </w:r>
            <w:proofErr w:type="spellEnd"/>
            <w:r w:rsidRPr="00B5373E">
              <w:rPr>
                <w:rFonts w:eastAsia="Times New Roman" w:cs="Calibri"/>
                <w:noProof w:val="0"/>
                <w:sz w:val="18"/>
                <w:szCs w:val="18"/>
                <w:lang w:val="en-GB" w:eastAsia="en-GB"/>
              </w:rPr>
              <w:t xml:space="preserve"> 88%</w:t>
            </w:r>
          </w:p>
        </w:tc>
        <w:tc>
          <w:tcPr>
            <w:tcW w:w="1835"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65020C10"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MMSE &lt;27; </w:t>
            </w:r>
            <w:proofErr w:type="spellStart"/>
            <w:r w:rsidRPr="00B5373E">
              <w:rPr>
                <w:rFonts w:eastAsia="Times New Roman" w:cs="Calibri"/>
                <w:noProof w:val="0"/>
                <w:sz w:val="18"/>
                <w:szCs w:val="18"/>
                <w:lang w:val="en-GB" w:eastAsia="en-GB"/>
              </w:rPr>
              <w:t>MoCA</w:t>
            </w:r>
            <w:proofErr w:type="spellEnd"/>
            <w:r w:rsidRPr="00B5373E">
              <w:rPr>
                <w:rFonts w:eastAsia="Times New Roman" w:cs="Calibri"/>
                <w:noProof w:val="0"/>
                <w:sz w:val="18"/>
                <w:szCs w:val="18"/>
                <w:lang w:val="en-GB" w:eastAsia="en-GB"/>
              </w:rPr>
              <w:t xml:space="preserve"> &lt; 26</w:t>
            </w:r>
          </w:p>
        </w:tc>
      </w:tr>
      <w:tr w:rsidR="007814FC" w:rsidRPr="00B5373E" w14:paraId="78F41C7F" w14:textId="77777777" w:rsidTr="00CC220A">
        <w:trPr>
          <w:trHeight w:val="490"/>
        </w:trPr>
        <w:tc>
          <w:tcPr>
            <w:tcW w:w="169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78812756" w14:textId="3B2F2A4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Aufderheide</w:t>
            </w:r>
            <w:proofErr w:type="spellEnd"/>
            <w:r w:rsidRPr="00B5373E">
              <w:rPr>
                <w:rFonts w:eastAsia="Times New Roman" w:cs="Calibri"/>
                <w:noProof w:val="0"/>
                <w:sz w:val="18"/>
                <w:szCs w:val="18"/>
                <w:lang w:val="en-GB" w:eastAsia="en-GB"/>
              </w:rPr>
              <w:t xml:space="preserve"> et al., 2011</w:t>
            </w:r>
            <w:r w:rsidR="00F529BC" w:rsidRPr="00B5373E">
              <w:rPr>
                <w:rFonts w:eastAsia="Times New Roman" w:cs="Calibri"/>
                <w:noProof w:val="0"/>
                <w:sz w:val="18"/>
                <w:szCs w:val="18"/>
                <w:vertAlign w:val="superscript"/>
                <w:lang w:val="en-GB" w:eastAsia="en-GB"/>
              </w:rPr>
              <w:t>14</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9747CA8" w14:textId="144DC6F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26FCDF1" w14:textId="06D7BB7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Pros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1D2158" w14:textId="2115C7E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OHCA: 48 </w:t>
            </w:r>
            <w:r w:rsidRPr="00B5373E">
              <w:rPr>
                <w:rFonts w:cs="Calibri"/>
                <w:sz w:val="18"/>
                <w:szCs w:val="18"/>
              </w:rPr>
              <w:br/>
              <w:t>Controls: 74</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0506BD1" w14:textId="0E5A8A8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90 days, 365 days</w:t>
            </w:r>
          </w:p>
        </w:tc>
        <w:tc>
          <w:tcPr>
            <w:tcW w:w="4449"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0DCF0E00" w14:textId="089A3E3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(CASI)</w:t>
            </w:r>
          </w:p>
        </w:tc>
        <w:tc>
          <w:tcPr>
            <w:tcW w:w="324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5B58BDEF"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NR, did not find a </w:t>
            </w:r>
            <w:proofErr w:type="spellStart"/>
            <w:r w:rsidRPr="00B5373E">
              <w:rPr>
                <w:rFonts w:eastAsia="Times New Roman" w:cs="Calibri"/>
                <w:noProof w:val="0"/>
                <w:sz w:val="18"/>
                <w:szCs w:val="18"/>
                <w:lang w:val="en-GB" w:eastAsia="en-GB"/>
              </w:rPr>
              <w:t>sig</w:t>
            </w:r>
            <w:proofErr w:type="spellEnd"/>
            <w:r w:rsidRPr="00B5373E">
              <w:rPr>
                <w:rFonts w:eastAsia="Times New Roman" w:cs="Calibri"/>
                <w:noProof w:val="0"/>
                <w:sz w:val="18"/>
                <w:szCs w:val="18"/>
                <w:lang w:val="en-GB" w:eastAsia="en-GB"/>
              </w:rPr>
              <w:t xml:space="preserve"> difference between treatment groups (CPR/Intervention)</w:t>
            </w:r>
          </w:p>
        </w:tc>
        <w:tc>
          <w:tcPr>
            <w:tcW w:w="1835"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767B72E8" w14:textId="7A394046" w:rsidR="007814FC" w:rsidRPr="00B5373E" w:rsidRDefault="00623873"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C</w:t>
            </w:r>
            <w:r w:rsidR="007814FC" w:rsidRPr="00B5373E">
              <w:rPr>
                <w:rFonts w:eastAsia="Times New Roman" w:cs="Calibri"/>
                <w:noProof w:val="0"/>
                <w:sz w:val="18"/>
                <w:szCs w:val="18"/>
                <w:lang w:val="en-GB" w:eastAsia="en-GB"/>
              </w:rPr>
              <w:t>ut-off scores</w:t>
            </w:r>
          </w:p>
        </w:tc>
      </w:tr>
      <w:tr w:rsidR="007814FC" w:rsidRPr="00B5373E" w14:paraId="67E47BE6" w14:textId="77777777" w:rsidTr="00CC220A">
        <w:trPr>
          <w:trHeight w:val="290"/>
        </w:trPr>
        <w:tc>
          <w:tcPr>
            <w:tcW w:w="169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7F63BD5" w14:textId="1B76D00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Beesems</w:t>
            </w:r>
            <w:proofErr w:type="spellEnd"/>
            <w:r w:rsidRPr="00B5373E">
              <w:rPr>
                <w:rFonts w:eastAsia="Times New Roman" w:cs="Calibri"/>
                <w:noProof w:val="0"/>
                <w:sz w:val="18"/>
                <w:szCs w:val="18"/>
                <w:lang w:val="en-GB" w:eastAsia="en-GB"/>
              </w:rPr>
              <w:t xml:space="preserve"> et al., 2014</w:t>
            </w:r>
            <w:r w:rsidR="00F529BC" w:rsidRPr="00B5373E">
              <w:rPr>
                <w:rFonts w:eastAsia="Times New Roman" w:cs="Calibri"/>
                <w:noProof w:val="0"/>
                <w:sz w:val="18"/>
                <w:szCs w:val="18"/>
                <w:vertAlign w:val="superscript"/>
                <w:lang w:val="en-GB" w:eastAsia="en-GB"/>
              </w:rPr>
              <w:t>6</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EC149B3" w14:textId="29426EB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9C444BE" w14:textId="749E0A6A"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EA9B846" w14:textId="694753C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220</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EC9D62A" w14:textId="3FA6AE0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6-13 mos, median 9</w:t>
            </w:r>
          </w:p>
        </w:tc>
        <w:tc>
          <w:tcPr>
            <w:tcW w:w="4449"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4C62326B" w14:textId="09B7E49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(IQCODE or TICs)</w:t>
            </w:r>
          </w:p>
        </w:tc>
        <w:tc>
          <w:tcPr>
            <w:tcW w:w="324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6E351D1E"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IQCODE/TICS 18%</w:t>
            </w:r>
          </w:p>
        </w:tc>
        <w:tc>
          <w:tcPr>
            <w:tcW w:w="1835" w:type="dxa"/>
            <w:tcBorders>
              <w:top w:val="nil"/>
              <w:left w:val="nil"/>
              <w:bottom w:val="single" w:sz="4" w:space="0" w:color="000000" w:themeColor="text1"/>
              <w:right w:val="single" w:sz="4" w:space="0" w:color="000000" w:themeColor="text1"/>
            </w:tcBorders>
            <w:shd w:val="clear" w:color="auto" w:fill="auto"/>
            <w:vAlign w:val="bottom"/>
            <w:hideMark/>
          </w:tcPr>
          <w:p w14:paraId="06AAF778"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NR</w:t>
            </w:r>
          </w:p>
        </w:tc>
      </w:tr>
      <w:tr w:rsidR="007814FC" w:rsidRPr="00B5373E" w14:paraId="43059367" w14:textId="77777777" w:rsidTr="00CC220A">
        <w:trPr>
          <w:trHeight w:val="730"/>
        </w:trPr>
        <w:tc>
          <w:tcPr>
            <w:tcW w:w="169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372276E" w14:textId="49722DA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Blennow Nordstrom et al., 2017</w:t>
            </w:r>
            <w:r w:rsidR="00F529BC" w:rsidRPr="00B5373E">
              <w:rPr>
                <w:rFonts w:eastAsia="Times New Roman" w:cs="Calibri"/>
                <w:noProof w:val="0"/>
                <w:sz w:val="18"/>
                <w:szCs w:val="18"/>
                <w:vertAlign w:val="superscript"/>
                <w:lang w:val="en-GB" w:eastAsia="en-GB"/>
              </w:rPr>
              <w:t>36</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46F5E1D" w14:textId="3771D23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DE8B68A" w14:textId="249B1FD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950C628" w14:textId="5FBC66E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268</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D150B19" w14:textId="7D7B878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180 days +/- 14</w:t>
            </w:r>
          </w:p>
        </w:tc>
        <w:tc>
          <w:tcPr>
            <w:tcW w:w="4449"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0D5F90FD" w14:textId="4549036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Global cognitive function (MMSE, IQCODE-CA), </w:t>
            </w:r>
            <w:r w:rsidRPr="00B5373E">
              <w:rPr>
                <w:rFonts w:eastAsia="Times New Roman" w:cs="Calibri"/>
                <w:noProof w:val="0"/>
                <w:sz w:val="18"/>
                <w:szCs w:val="18"/>
                <w:lang w:val="en-GB" w:eastAsia="en-GB"/>
              </w:rPr>
              <w:br/>
              <w:t>Memory (RBMT)</w:t>
            </w:r>
          </w:p>
        </w:tc>
        <w:tc>
          <w:tcPr>
            <w:tcW w:w="324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2649EE36"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53%</w:t>
            </w:r>
          </w:p>
        </w:tc>
        <w:tc>
          <w:tcPr>
            <w:tcW w:w="1835"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7D445F36" w14:textId="001FB93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&lt;27 and RBMT profile score &lt;17; IQCODE CA: &gt;3.04</w:t>
            </w:r>
          </w:p>
        </w:tc>
      </w:tr>
      <w:tr w:rsidR="007814FC" w:rsidRPr="00B5373E" w14:paraId="146EA1AF" w14:textId="77777777" w:rsidTr="00CC220A">
        <w:trPr>
          <w:trHeight w:val="290"/>
        </w:trPr>
        <w:tc>
          <w:tcPr>
            <w:tcW w:w="1693" w:type="dxa"/>
            <w:tcBorders>
              <w:top w:val="single" w:sz="4" w:space="0" w:color="8EA9DB"/>
              <w:left w:val="single" w:sz="4" w:space="0" w:color="000000" w:themeColor="text1"/>
              <w:bottom w:val="single" w:sz="4" w:space="0" w:color="auto"/>
              <w:right w:val="single" w:sz="4" w:space="0" w:color="000000" w:themeColor="text1"/>
            </w:tcBorders>
            <w:shd w:val="clear" w:color="auto" w:fill="FFFFFF" w:themeFill="background1"/>
            <w:vAlign w:val="bottom"/>
            <w:hideMark/>
          </w:tcPr>
          <w:p w14:paraId="47F4A8C4" w14:textId="283D5AE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Bro-Jeppesen et al., 2009</w:t>
            </w:r>
            <w:r w:rsidR="00F529BC" w:rsidRPr="00B5373E">
              <w:rPr>
                <w:rFonts w:eastAsia="Times New Roman" w:cs="Calibri"/>
                <w:noProof w:val="0"/>
                <w:sz w:val="18"/>
                <w:szCs w:val="18"/>
                <w:vertAlign w:val="superscript"/>
                <w:lang w:val="en-GB" w:eastAsia="en-GB"/>
              </w:rPr>
              <w:t>15</w:t>
            </w:r>
            <w:r w:rsidRPr="00B5373E">
              <w:rPr>
                <w:rFonts w:eastAsia="Times New Roman" w:cs="Calibri"/>
                <w:noProof w:val="0"/>
                <w:sz w:val="18"/>
                <w:szCs w:val="18"/>
                <w:lang w:val="en-GB" w:eastAsia="en-GB"/>
              </w:rPr>
              <w:t xml:space="preserve">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52E3B31" w14:textId="4DADB6F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380BE1F" w14:textId="70B84B9C" w:rsidR="007814FC" w:rsidRPr="00B5373E" w:rsidRDefault="007814FC" w:rsidP="261FA80A">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9D1D5FB" w14:textId="0194015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G1: 28; G2: 26</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26F93E3" w14:textId="6832255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 mos</w:t>
            </w:r>
          </w:p>
        </w:tc>
        <w:tc>
          <w:tcPr>
            <w:tcW w:w="4449"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FFB3296" w14:textId="20D6FB3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(MMSE)</w:t>
            </w:r>
          </w:p>
        </w:tc>
        <w:tc>
          <w:tcPr>
            <w:tcW w:w="3246"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32D04DA1"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&lt;1%</w:t>
            </w:r>
          </w:p>
        </w:tc>
        <w:tc>
          <w:tcPr>
            <w:tcW w:w="1835" w:type="dxa"/>
            <w:tcBorders>
              <w:top w:val="single" w:sz="4" w:space="0" w:color="8EA9DB"/>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7C3EE89C" w14:textId="0206D0A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MMSE </w:t>
            </w:r>
            <w:r w:rsidR="00623873" w:rsidRPr="00B5373E">
              <w:rPr>
                <w:rFonts w:eastAsia="Times New Roman" w:cs="Calibri"/>
                <w:noProof w:val="0"/>
                <w:sz w:val="18"/>
                <w:szCs w:val="18"/>
                <w:lang w:val="en-GB" w:eastAsia="en-GB"/>
              </w:rPr>
              <w:t>&lt;</w:t>
            </w:r>
            <w:r w:rsidRPr="00B5373E">
              <w:rPr>
                <w:rFonts w:eastAsia="Times New Roman" w:cs="Calibri"/>
                <w:noProof w:val="0"/>
                <w:sz w:val="18"/>
                <w:szCs w:val="18"/>
                <w:lang w:val="en-GB" w:eastAsia="en-GB"/>
              </w:rPr>
              <w:t xml:space="preserve"> 24</w:t>
            </w:r>
          </w:p>
        </w:tc>
      </w:tr>
      <w:tr w:rsidR="1608CFC8" w:rsidRPr="00B5373E" w14:paraId="76274527"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65350D" w14:textId="21EF3389" w:rsidR="1E853BB9" w:rsidRPr="00B5373E" w:rsidRDefault="35FF7CE9" w:rsidP="7A679DD0">
            <w:pPr>
              <w:spacing w:line="240" w:lineRule="auto"/>
              <w:jc w:val="left"/>
              <w:rPr>
                <w:rFonts w:eastAsia="Palatino Linotype" w:cs="Palatino Linotype"/>
                <w:noProof w:val="0"/>
                <w:sz w:val="18"/>
                <w:szCs w:val="18"/>
                <w:vertAlign w:val="superscript"/>
                <w:lang w:val="en-GB" w:eastAsia="en-GB"/>
              </w:rPr>
            </w:pPr>
            <w:proofErr w:type="spellStart"/>
            <w:r w:rsidRPr="00B5373E">
              <w:rPr>
                <w:rFonts w:eastAsia="Palatino Linotype" w:cs="Palatino Linotype"/>
                <w:noProof w:val="0"/>
                <w:sz w:val="18"/>
                <w:szCs w:val="18"/>
                <w:lang w:val="en-GB" w:eastAsia="en-GB"/>
              </w:rPr>
              <w:t>Br</w:t>
            </w:r>
            <w:r w:rsidR="01130339" w:rsidRPr="00B5373E">
              <w:rPr>
                <w:rFonts w:eastAsia="Palatino Linotype" w:cs="Palatino Linotype"/>
                <w:noProof w:val="0"/>
                <w:color w:val="222222"/>
                <w:sz w:val="18"/>
                <w:szCs w:val="18"/>
                <w:lang w:val="en-GB"/>
              </w:rPr>
              <w:t>ø</w:t>
            </w:r>
            <w:r w:rsidRPr="00B5373E">
              <w:rPr>
                <w:rFonts w:eastAsia="Palatino Linotype" w:cs="Palatino Linotype"/>
                <w:noProof w:val="0"/>
                <w:sz w:val="18"/>
                <w:szCs w:val="18"/>
                <w:lang w:val="en-GB" w:eastAsia="en-GB"/>
              </w:rPr>
              <w:t>nnick</w:t>
            </w:r>
            <w:proofErr w:type="spellEnd"/>
            <w:r w:rsidRPr="00B5373E">
              <w:rPr>
                <w:rFonts w:eastAsia="Palatino Linotype" w:cs="Palatino Linotype"/>
                <w:noProof w:val="0"/>
                <w:sz w:val="18"/>
                <w:szCs w:val="18"/>
                <w:lang w:val="en-GB" w:eastAsia="en-GB"/>
              </w:rPr>
              <w:t xml:space="preserve"> et al., 2021</w:t>
            </w:r>
            <w:r w:rsidR="6A3ABEE0" w:rsidRPr="00B5373E">
              <w:rPr>
                <w:rFonts w:eastAsia="Palatino Linotype" w:cs="Palatino Linotype"/>
                <w:noProof w:val="0"/>
                <w:sz w:val="18"/>
                <w:szCs w:val="18"/>
                <w:vertAlign w:val="superscript"/>
                <w:lang w:val="en-GB" w:eastAsia="en-GB"/>
              </w:rPr>
              <w:t>40</w:t>
            </w:r>
          </w:p>
        </w:tc>
        <w:tc>
          <w:tcPr>
            <w:tcW w:w="707"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vAlign w:val="bottom"/>
          </w:tcPr>
          <w:p w14:paraId="18FB8F3E" w14:textId="32F0E2CE" w:rsidR="1608CFC8" w:rsidRPr="00B5373E" w:rsidRDefault="40224B65" w:rsidP="1608CFC8">
            <w:pPr>
              <w:spacing w:line="240" w:lineRule="auto"/>
              <w:jc w:val="left"/>
              <w:rPr>
                <w:rFonts w:cs="Calibri"/>
                <w:sz w:val="18"/>
                <w:szCs w:val="18"/>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157C1DA3" w14:textId="7F91B6C6" w:rsidR="0BD5AAAF" w:rsidRPr="00B5373E" w:rsidRDefault="4542F567" w:rsidP="261FA80A">
            <w:pPr>
              <w:spacing w:line="240" w:lineRule="auto"/>
              <w:jc w:val="left"/>
              <w:rPr>
                <w:rFonts w:cs="Calibri"/>
                <w:sz w:val="18"/>
                <w:szCs w:val="18"/>
              </w:rPr>
            </w:pPr>
            <w:r w:rsidRPr="00B5373E">
              <w:rPr>
                <w:rFonts w:cs="Calibri"/>
                <w:sz w:val="18"/>
                <w:szCs w:val="18"/>
              </w:rPr>
              <w:t>Retro</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50EB9F7C" w14:textId="4F8C3814" w:rsidR="008DE3EF" w:rsidRPr="00B5373E" w:rsidRDefault="008DE3EF" w:rsidP="1608CFC8">
            <w:pPr>
              <w:spacing w:line="240" w:lineRule="auto"/>
              <w:jc w:val="left"/>
              <w:rPr>
                <w:rFonts w:cs="Calibri"/>
                <w:sz w:val="18"/>
                <w:szCs w:val="18"/>
              </w:rPr>
            </w:pPr>
            <w:r w:rsidRPr="00B5373E">
              <w:rPr>
                <w:rFonts w:cs="Calibri"/>
                <w:sz w:val="18"/>
                <w:szCs w:val="18"/>
              </w:rPr>
              <w:t>*see Evald et al., 2019</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23BE713E" w14:textId="21313845" w:rsidR="1608CFC8" w:rsidRPr="00B5373E" w:rsidRDefault="1608CFC8" w:rsidP="1608CFC8">
            <w:pPr>
              <w:spacing w:line="240" w:lineRule="auto"/>
              <w:jc w:val="left"/>
              <w:rPr>
                <w:rFonts w:cs="Calibri"/>
                <w:sz w:val="18"/>
                <w:szCs w:val="18"/>
              </w:rPr>
            </w:pPr>
          </w:p>
        </w:tc>
        <w:tc>
          <w:tcPr>
            <w:tcW w:w="4449" w:type="dxa"/>
            <w:tcBorders>
              <w:top w:val="nil"/>
              <w:left w:val="nil"/>
              <w:bottom w:val="single" w:sz="4" w:space="0" w:color="auto"/>
              <w:right w:val="single" w:sz="4" w:space="0" w:color="000000" w:themeColor="text1"/>
            </w:tcBorders>
            <w:shd w:val="clear" w:color="auto" w:fill="FFFFFF" w:themeFill="background1"/>
            <w:vAlign w:val="bottom"/>
            <w:hideMark/>
          </w:tcPr>
          <w:p w14:paraId="1DF89D6B" w14:textId="4BDEFF52" w:rsidR="008DE3EF" w:rsidRPr="00B5373E" w:rsidRDefault="008DE3EF" w:rsidP="1608CFC8">
            <w:pPr>
              <w:spacing w:line="240" w:lineRule="auto"/>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Premorbid function (Vocabulary, WAIS-IV);</w:t>
            </w:r>
          </w:p>
          <w:p w14:paraId="768EFC87" w14:textId="1AD57033" w:rsidR="008DE3EF" w:rsidRPr="00B5373E" w:rsidRDefault="008DE3EF" w:rsidP="1608CFC8">
            <w:pPr>
              <w:spacing w:line="240" w:lineRule="auto"/>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lastRenderedPageBreak/>
              <w:t xml:space="preserve">Memory (RAVLT, Rey CF); </w:t>
            </w:r>
            <w:r w:rsidRPr="00B5373E">
              <w:br/>
            </w:r>
            <w:r w:rsidRPr="00B5373E">
              <w:rPr>
                <w:rFonts w:eastAsia="Times New Roman" w:cs="Calibri"/>
                <w:noProof w:val="0"/>
                <w:sz w:val="18"/>
                <w:szCs w:val="18"/>
                <w:lang w:val="en-GB" w:eastAsia="en-GB"/>
              </w:rPr>
              <w:t xml:space="preserve">Attention (Trails A &amp; B; DS WAIS-IV); </w:t>
            </w:r>
            <w:r w:rsidRPr="00B5373E">
              <w:br/>
            </w:r>
            <w:r w:rsidRPr="00B5373E">
              <w:rPr>
                <w:rFonts w:eastAsia="Times New Roman" w:cs="Calibri"/>
                <w:noProof w:val="0"/>
                <w:sz w:val="18"/>
                <w:szCs w:val="18"/>
                <w:lang w:val="en-GB" w:eastAsia="en-GB"/>
              </w:rPr>
              <w:t>EF (D-KEFs verbal fluency)</w:t>
            </w:r>
          </w:p>
        </w:tc>
        <w:tc>
          <w:tcPr>
            <w:tcW w:w="3246" w:type="dxa"/>
            <w:tcBorders>
              <w:top w:val="nil"/>
              <w:left w:val="nil"/>
              <w:bottom w:val="single" w:sz="4" w:space="0" w:color="auto"/>
              <w:right w:val="single" w:sz="4" w:space="0" w:color="000000" w:themeColor="text1"/>
            </w:tcBorders>
            <w:shd w:val="clear" w:color="auto" w:fill="FFFFFF" w:themeFill="background1"/>
            <w:vAlign w:val="bottom"/>
            <w:hideMark/>
          </w:tcPr>
          <w:p w14:paraId="0D29E4F7" w14:textId="0E066E2C" w:rsidR="1608CFC8" w:rsidRPr="00B5373E" w:rsidRDefault="3B4690C0" w:rsidP="390B9766">
            <w:pPr>
              <w:spacing w:line="240" w:lineRule="auto"/>
              <w:ind w:right="57"/>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lastRenderedPageBreak/>
              <w:t>22%</w:t>
            </w:r>
          </w:p>
        </w:tc>
        <w:tc>
          <w:tcPr>
            <w:tcW w:w="1835" w:type="dxa"/>
            <w:tcBorders>
              <w:top w:val="nil"/>
              <w:left w:val="nil"/>
              <w:bottom w:val="single" w:sz="4" w:space="0" w:color="auto"/>
              <w:right w:val="single" w:sz="4" w:space="0" w:color="000000" w:themeColor="text1"/>
            </w:tcBorders>
            <w:shd w:val="clear" w:color="auto" w:fill="FFFFFF" w:themeFill="background1"/>
            <w:vAlign w:val="bottom"/>
            <w:hideMark/>
          </w:tcPr>
          <w:p w14:paraId="35B5F472" w14:textId="77777777" w:rsidR="008DE3EF" w:rsidRPr="00B5373E" w:rsidRDefault="008DE3EF" w:rsidP="1608CFC8">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Norms; impaired = below cut-off ≥ 3 measures</w:t>
            </w:r>
          </w:p>
          <w:p w14:paraId="2796E612" w14:textId="367DB335" w:rsidR="1608CFC8" w:rsidRPr="00B5373E" w:rsidRDefault="1608CFC8" w:rsidP="1608CFC8">
            <w:pPr>
              <w:spacing w:line="240" w:lineRule="auto"/>
              <w:jc w:val="left"/>
              <w:rPr>
                <w:rFonts w:eastAsia="Times New Roman" w:cs="Calibri"/>
                <w:noProof w:val="0"/>
                <w:sz w:val="18"/>
                <w:szCs w:val="18"/>
                <w:lang w:val="en-GB" w:eastAsia="en-GB"/>
              </w:rPr>
            </w:pPr>
          </w:p>
        </w:tc>
      </w:tr>
      <w:tr w:rsidR="390B9766" w:rsidRPr="00B5373E" w14:paraId="08E2A084"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7034C2" w14:textId="3B3D80FA" w:rsidR="390B9766" w:rsidRPr="00B5373E" w:rsidRDefault="49AED476" w:rsidP="3DD830A6">
            <w:pPr>
              <w:spacing w:line="240" w:lineRule="auto"/>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Byron-Alhassan et al., 2020</w:t>
            </w:r>
            <w:r w:rsidR="728702F5" w:rsidRPr="00B5373E">
              <w:rPr>
                <w:rFonts w:eastAsia="Palatino Linotype" w:cs="Palatino Linotype"/>
                <w:noProof w:val="0"/>
                <w:sz w:val="18"/>
                <w:szCs w:val="18"/>
                <w:vertAlign w:val="superscript"/>
                <w:lang w:val="en-GB" w:eastAsia="en-GB"/>
              </w:rPr>
              <w:t>41</w:t>
            </w:r>
          </w:p>
        </w:tc>
        <w:tc>
          <w:tcPr>
            <w:tcW w:w="707"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vAlign w:val="bottom"/>
          </w:tcPr>
          <w:p w14:paraId="7607A534" w14:textId="4AB7124E" w:rsidR="390B9766" w:rsidRPr="00B5373E" w:rsidRDefault="60304077" w:rsidP="3DD830A6">
            <w:pPr>
              <w:spacing w:line="240" w:lineRule="auto"/>
              <w:jc w:val="left"/>
              <w:rPr>
                <w:rFonts w:eastAsia="Palatino Linotype" w:cs="Palatino Linotype"/>
                <w:sz w:val="18"/>
                <w:szCs w:val="18"/>
              </w:rPr>
            </w:pPr>
            <w:r w:rsidRPr="00B5373E">
              <w:rPr>
                <w:rFonts w:eastAsia="Palatino Linotype" w:cs="Palatino Linotype"/>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60F2AE85" w14:textId="3716CC73" w:rsidR="390B9766" w:rsidRPr="00B5373E" w:rsidRDefault="5370DB75" w:rsidP="3DD830A6">
            <w:pPr>
              <w:spacing w:line="240" w:lineRule="auto"/>
              <w:jc w:val="left"/>
              <w:rPr>
                <w:rFonts w:eastAsia="Palatino Linotype" w:cs="Palatino Linotype"/>
                <w:sz w:val="18"/>
                <w:szCs w:val="18"/>
              </w:rPr>
            </w:pPr>
            <w:r w:rsidRPr="00B5373E">
              <w:rPr>
                <w:rFonts w:eastAsia="Palatino Linotype" w:cs="Palatino Linotype"/>
                <w:sz w:val="18"/>
                <w:szCs w:val="18"/>
              </w:rPr>
              <w:t>Pros</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59C9C5D5" w14:textId="642EEA81" w:rsidR="390B9766" w:rsidRPr="00B5373E" w:rsidRDefault="5FADEE1B" w:rsidP="3DD830A6">
            <w:pPr>
              <w:spacing w:line="240" w:lineRule="auto"/>
              <w:jc w:val="left"/>
              <w:rPr>
                <w:rFonts w:eastAsia="Palatino Linotype" w:cs="Palatino Linotype"/>
                <w:sz w:val="18"/>
                <w:szCs w:val="18"/>
              </w:rPr>
            </w:pPr>
            <w:r w:rsidRPr="00B5373E">
              <w:rPr>
                <w:rFonts w:eastAsia="Palatino Linotype" w:cs="Palatino Linotype"/>
                <w:sz w:val="18"/>
                <w:szCs w:val="18"/>
              </w:rPr>
              <w:t xml:space="preserve">OHCA: </w:t>
            </w:r>
            <w:r w:rsidR="75F941FF" w:rsidRPr="00B5373E">
              <w:rPr>
                <w:rFonts w:eastAsia="Palatino Linotype" w:cs="Palatino Linotype"/>
                <w:sz w:val="18"/>
                <w:szCs w:val="18"/>
              </w:rPr>
              <w:t>9,</w:t>
            </w:r>
            <w:r w:rsidR="390B9766" w:rsidRPr="00B5373E">
              <w:br/>
            </w:r>
            <w:r w:rsidR="60A68088" w:rsidRPr="00B5373E">
              <w:rPr>
                <w:rFonts w:eastAsia="Palatino Linotype" w:cs="Palatino Linotype"/>
                <w:sz w:val="18"/>
                <w:szCs w:val="18"/>
              </w:rPr>
              <w:t>Controls: 12</w:t>
            </w:r>
            <w:r w:rsidR="390B9766" w:rsidRPr="00B5373E">
              <w:br/>
            </w:r>
            <w:r w:rsidR="7FAAEC92" w:rsidRPr="00B5373E">
              <w:rPr>
                <w:rFonts w:eastAsia="Palatino Linotype" w:cs="Palatino Linotype"/>
                <w:sz w:val="18"/>
                <w:szCs w:val="18"/>
              </w:rPr>
              <w:t>MI: 19</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0101B36E" w14:textId="63BE7630" w:rsidR="390B9766" w:rsidRPr="00B5373E" w:rsidRDefault="014F41DA" w:rsidP="3DD830A6">
            <w:pPr>
              <w:spacing w:line="240" w:lineRule="auto"/>
              <w:jc w:val="left"/>
              <w:rPr>
                <w:rFonts w:eastAsia="Palatino Linotype" w:cs="Palatino Linotype"/>
                <w:sz w:val="18"/>
                <w:szCs w:val="18"/>
              </w:rPr>
            </w:pPr>
            <w:r w:rsidRPr="00B5373E">
              <w:rPr>
                <w:rFonts w:eastAsia="Palatino Linotype" w:cs="Palatino Linotype"/>
                <w:sz w:val="18"/>
                <w:szCs w:val="18"/>
              </w:rPr>
              <w:t>OHCA: 13.78 (13.04), MI: 40.52 (21.96)</w:t>
            </w:r>
          </w:p>
        </w:tc>
        <w:tc>
          <w:tcPr>
            <w:tcW w:w="4449" w:type="dxa"/>
            <w:tcBorders>
              <w:top w:val="nil"/>
              <w:left w:val="nil"/>
              <w:bottom w:val="single" w:sz="4" w:space="0" w:color="auto"/>
              <w:right w:val="single" w:sz="4" w:space="0" w:color="000000" w:themeColor="text1"/>
            </w:tcBorders>
            <w:shd w:val="clear" w:color="auto" w:fill="FFFFFF" w:themeFill="background1"/>
            <w:vAlign w:val="bottom"/>
            <w:hideMark/>
          </w:tcPr>
          <w:p w14:paraId="434024FB" w14:textId="66946F59" w:rsidR="390B9766" w:rsidRPr="00B5373E" w:rsidRDefault="195D0504" w:rsidP="3DD830A6">
            <w:pPr>
              <w:spacing w:line="240" w:lineRule="auto"/>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NAB</w:t>
            </w:r>
            <w:r w:rsidR="7C7E5C49" w:rsidRPr="00B5373E">
              <w:rPr>
                <w:rFonts w:eastAsia="Palatino Linotype" w:cs="Palatino Linotype"/>
                <w:noProof w:val="0"/>
                <w:sz w:val="18"/>
                <w:szCs w:val="18"/>
                <w:lang w:val="en-GB" w:eastAsia="en-GB"/>
              </w:rPr>
              <w:t xml:space="preserve"> Global Score</w:t>
            </w:r>
          </w:p>
        </w:tc>
        <w:tc>
          <w:tcPr>
            <w:tcW w:w="3246" w:type="dxa"/>
            <w:tcBorders>
              <w:top w:val="nil"/>
              <w:left w:val="nil"/>
              <w:bottom w:val="single" w:sz="4" w:space="0" w:color="auto"/>
              <w:right w:val="single" w:sz="4" w:space="0" w:color="000000" w:themeColor="text1"/>
            </w:tcBorders>
            <w:shd w:val="clear" w:color="auto" w:fill="FFFFFF" w:themeFill="background1"/>
            <w:vAlign w:val="bottom"/>
            <w:hideMark/>
          </w:tcPr>
          <w:p w14:paraId="28B9D91C" w14:textId="6C7F2A54" w:rsidR="390B9766" w:rsidRPr="00B5373E" w:rsidRDefault="33B9657F" w:rsidP="3DD830A6">
            <w:pPr>
              <w:spacing w:line="240" w:lineRule="auto"/>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NR, mean scores did not show impairment</w:t>
            </w:r>
          </w:p>
        </w:tc>
        <w:tc>
          <w:tcPr>
            <w:tcW w:w="1835" w:type="dxa"/>
            <w:tcBorders>
              <w:top w:val="nil"/>
              <w:left w:val="nil"/>
              <w:bottom w:val="single" w:sz="4" w:space="0" w:color="auto"/>
              <w:right w:val="single" w:sz="4" w:space="0" w:color="000000" w:themeColor="text1"/>
            </w:tcBorders>
            <w:shd w:val="clear" w:color="auto" w:fill="FFFFFF" w:themeFill="background1"/>
            <w:vAlign w:val="bottom"/>
            <w:hideMark/>
          </w:tcPr>
          <w:p w14:paraId="44E1DD07" w14:textId="27B99233" w:rsidR="390B9766" w:rsidRPr="00B5373E" w:rsidRDefault="5A70988B" w:rsidP="3DD830A6">
            <w:pPr>
              <w:spacing w:line="240" w:lineRule="auto"/>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Norms</w:t>
            </w:r>
          </w:p>
        </w:tc>
      </w:tr>
      <w:tr w:rsidR="390B9766" w:rsidRPr="00B5373E" w14:paraId="5A86C05F"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F13C99F" w14:textId="527307EF" w:rsidR="390B9766" w:rsidRPr="00B5373E" w:rsidRDefault="49AED476" w:rsidP="7A679DD0">
            <w:pPr>
              <w:spacing w:line="240" w:lineRule="auto"/>
              <w:ind w:right="57"/>
              <w:jc w:val="left"/>
              <w:rPr>
                <w:rFonts w:eastAsia="Palatino Linotype" w:cs="Palatino Linotype"/>
                <w:noProof w:val="0"/>
                <w:sz w:val="18"/>
                <w:szCs w:val="18"/>
                <w:vertAlign w:val="superscript"/>
                <w:lang w:val="en-GB" w:eastAsia="en-GB"/>
              </w:rPr>
            </w:pPr>
            <w:r w:rsidRPr="00B5373E">
              <w:rPr>
                <w:rFonts w:eastAsia="Palatino Linotype" w:cs="Palatino Linotype"/>
                <w:noProof w:val="0"/>
                <w:sz w:val="18"/>
                <w:szCs w:val="18"/>
                <w:lang w:val="en-GB" w:eastAsia="en-GB"/>
              </w:rPr>
              <w:t>Byron-Alhassan et al., 2021</w:t>
            </w:r>
            <w:r w:rsidR="628D72D2" w:rsidRPr="00B5373E">
              <w:rPr>
                <w:rFonts w:eastAsia="Palatino Linotype" w:cs="Palatino Linotype"/>
                <w:noProof w:val="0"/>
                <w:sz w:val="18"/>
                <w:szCs w:val="18"/>
                <w:vertAlign w:val="superscript"/>
                <w:lang w:val="en-GB" w:eastAsia="en-GB"/>
              </w:rPr>
              <w:t>42</w:t>
            </w:r>
          </w:p>
        </w:tc>
        <w:tc>
          <w:tcPr>
            <w:tcW w:w="707"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vAlign w:val="bottom"/>
          </w:tcPr>
          <w:p w14:paraId="75E3E91F" w14:textId="228566DE" w:rsidR="390B9766" w:rsidRPr="00B5373E" w:rsidRDefault="60304077" w:rsidP="3DD830A6">
            <w:pPr>
              <w:spacing w:line="240" w:lineRule="auto"/>
              <w:ind w:right="57"/>
              <w:jc w:val="left"/>
              <w:rPr>
                <w:rFonts w:eastAsia="Palatino Linotype" w:cs="Palatino Linotype"/>
                <w:sz w:val="18"/>
                <w:szCs w:val="18"/>
                <w:lang w:eastAsia="en-GB"/>
              </w:rPr>
            </w:pPr>
            <w:r w:rsidRPr="00B5373E">
              <w:rPr>
                <w:rFonts w:eastAsia="Palatino Linotype" w:cs="Palatino Linotype"/>
                <w:sz w:val="18"/>
                <w:szCs w:val="18"/>
                <w:lang w:eastAsia="en-GB"/>
              </w:rPr>
              <w:t>mod</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4D446A2" w14:textId="0AE405A8" w:rsidR="390B9766" w:rsidRPr="00B5373E" w:rsidRDefault="20D58A25" w:rsidP="3DD830A6">
            <w:pPr>
              <w:spacing w:line="240" w:lineRule="auto"/>
              <w:ind w:right="57"/>
              <w:jc w:val="left"/>
              <w:rPr>
                <w:rFonts w:eastAsia="Palatino Linotype" w:cs="Palatino Linotype"/>
                <w:sz w:val="18"/>
                <w:szCs w:val="18"/>
                <w:lang w:eastAsia="en-GB"/>
              </w:rPr>
            </w:pPr>
            <w:r w:rsidRPr="00B5373E">
              <w:rPr>
                <w:rFonts w:eastAsia="Palatino Linotype" w:cs="Palatino Linotype"/>
                <w:sz w:val="18"/>
                <w:szCs w:val="18"/>
                <w:lang w:eastAsia="en-GB"/>
              </w:rPr>
              <w:t>Pros</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4209E254" w14:textId="4DB00422" w:rsidR="390B9766" w:rsidRPr="00B5373E" w:rsidRDefault="390B9766" w:rsidP="3DD830A6">
            <w:pPr>
              <w:spacing w:line="240" w:lineRule="auto"/>
              <w:ind w:right="57"/>
              <w:jc w:val="left"/>
              <w:rPr>
                <w:rFonts w:eastAsia="Palatino Linotype" w:cs="Palatino Linotype"/>
                <w:sz w:val="18"/>
                <w:szCs w:val="18"/>
                <w:lang w:eastAsia="en-GB"/>
              </w:rPr>
            </w:pP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2D6BAB5" w14:textId="5D425495" w:rsidR="390B9766" w:rsidRPr="00B5373E" w:rsidRDefault="390B9766" w:rsidP="3DD830A6">
            <w:pPr>
              <w:spacing w:line="240" w:lineRule="auto"/>
              <w:ind w:right="57"/>
              <w:jc w:val="left"/>
              <w:rPr>
                <w:rFonts w:eastAsia="Palatino Linotype" w:cs="Palatino Linotype"/>
                <w:sz w:val="18"/>
                <w:szCs w:val="18"/>
                <w:lang w:eastAsia="en-GB"/>
              </w:rPr>
            </w:pPr>
          </w:p>
        </w:tc>
        <w:tc>
          <w:tcPr>
            <w:tcW w:w="4449" w:type="dxa"/>
            <w:tcBorders>
              <w:top w:val="nil"/>
              <w:left w:val="nil"/>
              <w:bottom w:val="single" w:sz="4" w:space="0" w:color="auto"/>
              <w:right w:val="single" w:sz="4" w:space="0" w:color="000000" w:themeColor="text1"/>
            </w:tcBorders>
            <w:shd w:val="clear" w:color="auto" w:fill="FFFFFF" w:themeFill="background1"/>
            <w:vAlign w:val="bottom"/>
            <w:hideMark/>
          </w:tcPr>
          <w:p w14:paraId="7A6D18CB" w14:textId="2E858187" w:rsidR="390B9766" w:rsidRPr="00B5373E" w:rsidRDefault="14181BB3" w:rsidP="3DD830A6">
            <w:pPr>
              <w:spacing w:line="240" w:lineRule="auto"/>
              <w:ind w:right="57"/>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NAB</w:t>
            </w:r>
            <w:r w:rsidR="5BD0CEE2" w:rsidRPr="00B5373E">
              <w:rPr>
                <w:rFonts w:eastAsia="Palatino Linotype" w:cs="Palatino Linotype"/>
                <w:noProof w:val="0"/>
                <w:sz w:val="18"/>
                <w:szCs w:val="18"/>
                <w:lang w:val="en-GB" w:eastAsia="en-GB"/>
              </w:rPr>
              <w:t xml:space="preserve"> (Attention, Memory, Language, Executive, Spatial)</w:t>
            </w:r>
          </w:p>
        </w:tc>
        <w:tc>
          <w:tcPr>
            <w:tcW w:w="3246" w:type="dxa"/>
            <w:tcBorders>
              <w:top w:val="nil"/>
              <w:left w:val="nil"/>
              <w:bottom w:val="single" w:sz="4" w:space="0" w:color="auto"/>
              <w:right w:val="single" w:sz="4" w:space="0" w:color="000000" w:themeColor="text1"/>
            </w:tcBorders>
            <w:shd w:val="clear" w:color="auto" w:fill="FFFFFF" w:themeFill="background1"/>
            <w:vAlign w:val="bottom"/>
            <w:hideMark/>
          </w:tcPr>
          <w:p w14:paraId="63396488" w14:textId="7EDC4823" w:rsidR="390B9766" w:rsidRPr="00B5373E" w:rsidRDefault="63E1BFE7" w:rsidP="3DD830A6">
            <w:pPr>
              <w:spacing w:line="240" w:lineRule="auto"/>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 xml:space="preserve">Overall 42.9%; </w:t>
            </w:r>
            <w:r w:rsidR="0499F465" w:rsidRPr="00B5373E">
              <w:rPr>
                <w:rFonts w:eastAsia="Palatino Linotype" w:cs="Palatino Linotype"/>
                <w:noProof w:val="0"/>
                <w:sz w:val="18"/>
                <w:szCs w:val="18"/>
                <w:lang w:val="en-GB" w:eastAsia="en-GB"/>
              </w:rPr>
              <w:t>Attention 55.8%; Memory 45.5%</w:t>
            </w:r>
            <w:r w:rsidR="05137F71" w:rsidRPr="00B5373E">
              <w:rPr>
                <w:rFonts w:eastAsia="Palatino Linotype" w:cs="Palatino Linotype"/>
                <w:noProof w:val="0"/>
                <w:sz w:val="18"/>
                <w:szCs w:val="18"/>
                <w:lang w:val="en-GB" w:eastAsia="en-GB"/>
              </w:rPr>
              <w:t>; Language 41.6%; EF 29.9%</w:t>
            </w:r>
            <w:r w:rsidR="5FFD6667" w:rsidRPr="00B5373E">
              <w:rPr>
                <w:rFonts w:eastAsia="Palatino Linotype" w:cs="Palatino Linotype"/>
                <w:noProof w:val="0"/>
                <w:sz w:val="18"/>
                <w:szCs w:val="18"/>
                <w:lang w:val="en-GB" w:eastAsia="en-GB"/>
              </w:rPr>
              <w:t>; Spatial 16.9%</w:t>
            </w:r>
          </w:p>
        </w:tc>
        <w:tc>
          <w:tcPr>
            <w:tcW w:w="1835" w:type="dxa"/>
            <w:tcBorders>
              <w:top w:val="nil"/>
              <w:left w:val="nil"/>
              <w:bottom w:val="single" w:sz="4" w:space="0" w:color="auto"/>
              <w:right w:val="single" w:sz="4" w:space="0" w:color="000000" w:themeColor="text1"/>
            </w:tcBorders>
            <w:shd w:val="clear" w:color="auto" w:fill="FFFFFF" w:themeFill="background1"/>
            <w:vAlign w:val="bottom"/>
            <w:hideMark/>
          </w:tcPr>
          <w:p w14:paraId="1ECCD65D" w14:textId="1D99E072" w:rsidR="390B9766" w:rsidRPr="00B5373E" w:rsidRDefault="75890201" w:rsidP="3DD830A6">
            <w:pPr>
              <w:spacing w:line="240" w:lineRule="auto"/>
              <w:jc w:val="left"/>
              <w:rPr>
                <w:rFonts w:eastAsia="Palatino Linotype" w:cs="Palatino Linotype"/>
                <w:noProof w:val="0"/>
                <w:sz w:val="18"/>
                <w:szCs w:val="18"/>
                <w:lang w:val="en-GB" w:eastAsia="en-GB"/>
              </w:rPr>
            </w:pPr>
            <w:r w:rsidRPr="00B5373E">
              <w:rPr>
                <w:rFonts w:eastAsia="Palatino Linotype" w:cs="Palatino Linotype"/>
                <w:noProof w:val="0"/>
                <w:sz w:val="18"/>
                <w:szCs w:val="18"/>
                <w:lang w:val="en-GB" w:eastAsia="en-GB"/>
              </w:rPr>
              <w:t>Norms</w:t>
            </w:r>
          </w:p>
        </w:tc>
      </w:tr>
      <w:tr w:rsidR="007814FC" w:rsidRPr="00B5373E" w14:paraId="70E76082"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3D7789" w14:textId="58D5CA4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Caro-Codon et al., 2018</w:t>
            </w:r>
            <w:r w:rsidR="00F529BC" w:rsidRPr="00B5373E">
              <w:rPr>
                <w:rFonts w:eastAsia="Times New Roman" w:cs="Calibri"/>
                <w:noProof w:val="0"/>
                <w:sz w:val="18"/>
                <w:szCs w:val="18"/>
                <w:vertAlign w:val="superscript"/>
                <w:lang w:val="en-GB" w:eastAsia="en-GB"/>
              </w:rPr>
              <w:t>29</w:t>
            </w:r>
          </w:p>
        </w:tc>
        <w:tc>
          <w:tcPr>
            <w:tcW w:w="707"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vAlign w:val="bottom"/>
          </w:tcPr>
          <w:p w14:paraId="29A2B0FB" w14:textId="23B3DDF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08D09456" w14:textId="46582BB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4889AFE7" w14:textId="1A7B507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79</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5F074C4" w14:textId="19C31B6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3.1 yrs (1.7-4.4)</w:t>
            </w:r>
          </w:p>
        </w:tc>
        <w:tc>
          <w:tcPr>
            <w:tcW w:w="4449" w:type="dxa"/>
            <w:tcBorders>
              <w:top w:val="nil"/>
              <w:left w:val="nil"/>
              <w:bottom w:val="single" w:sz="4" w:space="0" w:color="auto"/>
              <w:right w:val="single" w:sz="4" w:space="0" w:color="000000" w:themeColor="text1"/>
            </w:tcBorders>
            <w:shd w:val="clear" w:color="auto" w:fill="FFFFFF" w:themeFill="background1"/>
            <w:vAlign w:val="bottom"/>
            <w:hideMark/>
          </w:tcPr>
          <w:p w14:paraId="181FAF1E" w14:textId="3CF2493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w:t>
            </w:r>
            <w:proofErr w:type="spellStart"/>
            <w:r w:rsidRPr="00B5373E">
              <w:rPr>
                <w:rFonts w:eastAsia="Times New Roman" w:cs="Calibri"/>
                <w:noProof w:val="0"/>
                <w:sz w:val="18"/>
                <w:szCs w:val="18"/>
                <w:lang w:val="en-GB" w:eastAsia="en-GB"/>
              </w:rPr>
              <w:t>MoCA</w:t>
            </w:r>
            <w:proofErr w:type="spellEnd"/>
            <w:r w:rsidRPr="00B5373E">
              <w:rPr>
                <w:rFonts w:eastAsia="Times New Roman" w:cs="Calibri"/>
                <w:noProof w:val="0"/>
                <w:sz w:val="18"/>
                <w:szCs w:val="18"/>
                <w:lang w:val="en-GB" w:eastAsia="en-GB"/>
              </w:rPr>
              <w:t xml:space="preserve">; Modified IQCODE); </w:t>
            </w:r>
            <w:r w:rsidRPr="00B5373E">
              <w:rPr>
                <w:rFonts w:eastAsia="Times New Roman" w:cs="Calibri"/>
                <w:noProof w:val="0"/>
                <w:sz w:val="18"/>
                <w:szCs w:val="18"/>
                <w:lang w:val="en-GB" w:eastAsia="en-GB"/>
              </w:rPr>
              <w:br/>
              <w:t xml:space="preserve">Executive function (Trails B) </w:t>
            </w:r>
          </w:p>
        </w:tc>
        <w:tc>
          <w:tcPr>
            <w:tcW w:w="3246" w:type="dxa"/>
            <w:tcBorders>
              <w:top w:val="nil"/>
              <w:left w:val="nil"/>
              <w:bottom w:val="single" w:sz="4" w:space="0" w:color="auto"/>
              <w:right w:val="single" w:sz="4" w:space="0" w:color="000000" w:themeColor="text1"/>
            </w:tcBorders>
            <w:shd w:val="clear" w:color="auto" w:fill="FFFFFF" w:themeFill="background1"/>
            <w:vAlign w:val="bottom"/>
            <w:hideMark/>
          </w:tcPr>
          <w:p w14:paraId="128DDE8E"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MoCA</w:t>
            </w:r>
            <w:proofErr w:type="spellEnd"/>
            <w:r w:rsidRPr="00B5373E">
              <w:rPr>
                <w:rFonts w:eastAsia="Times New Roman" w:cs="Calibri"/>
                <w:noProof w:val="0"/>
                <w:sz w:val="18"/>
                <w:szCs w:val="18"/>
                <w:lang w:val="en-GB" w:eastAsia="en-GB"/>
              </w:rPr>
              <w:t xml:space="preserve"> 54.4%; Trails B: 24%; IQCODE 12%</w:t>
            </w:r>
          </w:p>
        </w:tc>
        <w:tc>
          <w:tcPr>
            <w:tcW w:w="1835" w:type="dxa"/>
            <w:tcBorders>
              <w:top w:val="nil"/>
              <w:left w:val="nil"/>
              <w:bottom w:val="single" w:sz="4" w:space="0" w:color="auto"/>
              <w:right w:val="single" w:sz="4" w:space="0" w:color="000000" w:themeColor="text1"/>
            </w:tcBorders>
            <w:shd w:val="clear" w:color="auto" w:fill="FFFFFF" w:themeFill="background1"/>
            <w:vAlign w:val="bottom"/>
            <w:hideMark/>
          </w:tcPr>
          <w:p w14:paraId="679F9A17"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Trails: Population Norms; </w:t>
            </w:r>
            <w:proofErr w:type="spellStart"/>
            <w:r w:rsidRPr="00B5373E">
              <w:rPr>
                <w:rFonts w:eastAsia="Times New Roman" w:cs="Calibri"/>
                <w:noProof w:val="0"/>
                <w:sz w:val="18"/>
                <w:szCs w:val="18"/>
                <w:lang w:val="en-GB" w:eastAsia="en-GB"/>
              </w:rPr>
              <w:t>MoCA</w:t>
            </w:r>
            <w:proofErr w:type="spellEnd"/>
            <w:r w:rsidRPr="00B5373E">
              <w:rPr>
                <w:rFonts w:eastAsia="Times New Roman" w:cs="Calibri"/>
                <w:noProof w:val="0"/>
                <w:sz w:val="18"/>
                <w:szCs w:val="18"/>
                <w:lang w:val="en-GB" w:eastAsia="en-GB"/>
              </w:rPr>
              <w:t xml:space="preserve"> &lt;26; </w:t>
            </w:r>
          </w:p>
        </w:tc>
      </w:tr>
      <w:tr w:rsidR="007814FC" w:rsidRPr="00B5373E" w14:paraId="22535E56"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6E5A9A" w14:textId="5917438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Cronberg et al., 2015</w:t>
            </w:r>
            <w:r w:rsidR="00F529BC" w:rsidRPr="00B5373E">
              <w:rPr>
                <w:rFonts w:eastAsia="Times New Roman" w:cs="Calibri"/>
                <w:noProof w:val="0"/>
                <w:sz w:val="18"/>
                <w:szCs w:val="18"/>
                <w:vertAlign w:val="superscript"/>
                <w:lang w:val="en-GB" w:eastAsia="en-GB"/>
              </w:rPr>
              <w:t>35</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E4E3E" w14:textId="5438DF1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AA0D3" w14:textId="6D57162A" w:rsidR="007814FC" w:rsidRPr="00B5373E" w:rsidRDefault="607CE736" w:rsidP="261FA80A">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00A435" w14:textId="040CC68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G1: 213; G2: 206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46996" w14:textId="1E27F539"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 mos (median: 186 days)</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96BE0E" w14:textId="5094441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(MMSE; MMSE ALFI, IQCODE, 2 Simple Questions, recovery)</w:t>
            </w:r>
          </w:p>
        </w:tc>
        <w:tc>
          <w:tcPr>
            <w:tcW w:w="3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05FF85"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31%; IQCODE 62%; 2SQ 33.5%</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286264"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&lt;27; IQCODE &gt;78</w:t>
            </w:r>
          </w:p>
        </w:tc>
      </w:tr>
      <w:tr w:rsidR="007814FC" w:rsidRPr="00B5373E" w14:paraId="326896F9" w14:textId="77777777" w:rsidTr="00CC220A">
        <w:trPr>
          <w:trHeight w:val="490"/>
        </w:trPr>
        <w:tc>
          <w:tcPr>
            <w:tcW w:w="16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7356D212" w14:textId="746C7546" w:rsidR="007814FC" w:rsidRPr="00B5373E" w:rsidRDefault="05EF0168"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Davies et al., 2017</w:t>
            </w:r>
            <w:r w:rsidR="00F529BC" w:rsidRPr="00B5373E">
              <w:rPr>
                <w:rFonts w:eastAsia="Times New Roman" w:cs="Calibri"/>
                <w:noProof w:val="0"/>
                <w:sz w:val="18"/>
                <w:szCs w:val="18"/>
                <w:vertAlign w:val="superscript"/>
                <w:lang w:val="en-GB" w:eastAsia="en-GB"/>
              </w:rPr>
              <w:t>4</w:t>
            </w:r>
            <w:r w:rsidR="7741594B" w:rsidRPr="00B5373E">
              <w:rPr>
                <w:rFonts w:eastAsia="Times New Roman" w:cs="Calibri"/>
                <w:noProof w:val="0"/>
                <w:sz w:val="18"/>
                <w:szCs w:val="18"/>
                <w:vertAlign w:val="superscript"/>
                <w:lang w:val="en-GB" w:eastAsia="en-GB"/>
              </w:rPr>
              <w:t>4</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726AD5B" w14:textId="0362726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62C8640" w14:textId="72CB83A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Retro</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010E530" w14:textId="120EB67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41</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EE299D6" w14:textId="15C69C8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~3 months, 4 at mos, 1 </w:t>
            </w:r>
            <w:r w:rsidR="1E7F7AE0" w:rsidRPr="00B5373E">
              <w:rPr>
                <w:rFonts w:cs="Calibri"/>
                <w:sz w:val="18"/>
                <w:szCs w:val="18"/>
              </w:rPr>
              <w:t xml:space="preserve">at </w:t>
            </w:r>
            <w:r w:rsidRPr="00B5373E">
              <w:rPr>
                <w:rFonts w:cs="Calibri"/>
                <w:sz w:val="18"/>
                <w:szCs w:val="18"/>
              </w:rPr>
              <w:t>9 mos</w:t>
            </w:r>
          </w:p>
        </w:tc>
        <w:tc>
          <w:tcPr>
            <w:tcW w:w="4449" w:type="dxa"/>
            <w:tcBorders>
              <w:top w:val="single" w:sz="4" w:space="0" w:color="auto"/>
              <w:left w:val="nil"/>
              <w:bottom w:val="single" w:sz="4" w:space="0" w:color="000000" w:themeColor="text1"/>
              <w:right w:val="single" w:sz="4" w:space="0" w:color="000000" w:themeColor="text1"/>
            </w:tcBorders>
            <w:shd w:val="clear" w:color="auto" w:fill="FFFFFF" w:themeFill="background1"/>
            <w:vAlign w:val="bottom"/>
            <w:hideMark/>
          </w:tcPr>
          <w:p w14:paraId="64C5EBA8" w14:textId="4975950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(MMSE);</w:t>
            </w:r>
            <w:r w:rsidRPr="00B5373E">
              <w:rPr>
                <w:rFonts w:eastAsia="Times New Roman" w:cs="Calibri"/>
                <w:noProof w:val="0"/>
                <w:sz w:val="18"/>
                <w:szCs w:val="18"/>
                <w:lang w:val="en-GB" w:eastAsia="en-GB"/>
              </w:rPr>
              <w:br/>
              <w:t>Visuo-spatial memory (</w:t>
            </w:r>
            <w:proofErr w:type="spellStart"/>
            <w:proofErr w:type="gramStart"/>
            <w:r w:rsidRPr="00B5373E">
              <w:rPr>
                <w:rFonts w:eastAsia="Times New Roman" w:cs="Calibri"/>
                <w:noProof w:val="0"/>
                <w:sz w:val="18"/>
                <w:szCs w:val="18"/>
                <w:lang w:val="en-GB" w:eastAsia="en-GB"/>
              </w:rPr>
              <w:t>DMS:Cantab</w:t>
            </w:r>
            <w:proofErr w:type="spellEnd"/>
            <w:proofErr w:type="gramEnd"/>
            <w:r w:rsidRPr="00B5373E">
              <w:rPr>
                <w:rFonts w:eastAsia="Times New Roman" w:cs="Calibri"/>
                <w:noProof w:val="0"/>
                <w:sz w:val="18"/>
                <w:szCs w:val="18"/>
                <w:lang w:val="en-GB" w:eastAsia="en-GB"/>
              </w:rPr>
              <w:t>)</w:t>
            </w:r>
          </w:p>
        </w:tc>
        <w:tc>
          <w:tcPr>
            <w:tcW w:w="3246" w:type="dxa"/>
            <w:tcBorders>
              <w:top w:val="single" w:sz="4" w:space="0" w:color="auto"/>
              <w:left w:val="nil"/>
              <w:bottom w:val="single" w:sz="4" w:space="0" w:color="000000" w:themeColor="text1"/>
              <w:right w:val="single" w:sz="4" w:space="0" w:color="000000" w:themeColor="text1"/>
            </w:tcBorders>
            <w:shd w:val="clear" w:color="auto" w:fill="FFFFFF" w:themeFill="background1"/>
            <w:vAlign w:val="bottom"/>
            <w:hideMark/>
          </w:tcPr>
          <w:p w14:paraId="17EE7442"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MMSE M=27.5 (2.37); % under </w:t>
            </w:r>
            <w:proofErr w:type="spellStart"/>
            <w:r w:rsidRPr="00B5373E">
              <w:rPr>
                <w:rFonts w:eastAsia="Times New Roman" w:cs="Calibri"/>
                <w:noProof w:val="0"/>
                <w:sz w:val="18"/>
                <w:szCs w:val="18"/>
                <w:lang w:val="en-GB" w:eastAsia="en-GB"/>
              </w:rPr>
              <w:t>cutoff</w:t>
            </w:r>
            <w:proofErr w:type="spellEnd"/>
            <w:r w:rsidRPr="00B5373E">
              <w:rPr>
                <w:rFonts w:eastAsia="Times New Roman" w:cs="Calibri"/>
                <w:noProof w:val="0"/>
                <w:sz w:val="18"/>
                <w:szCs w:val="18"/>
                <w:lang w:val="en-GB" w:eastAsia="en-GB"/>
              </w:rPr>
              <w:t xml:space="preserve"> NR</w:t>
            </w:r>
          </w:p>
        </w:tc>
        <w:tc>
          <w:tcPr>
            <w:tcW w:w="1835" w:type="dxa"/>
            <w:tcBorders>
              <w:top w:val="single" w:sz="4" w:space="0" w:color="auto"/>
              <w:left w:val="nil"/>
              <w:bottom w:val="single" w:sz="4" w:space="0" w:color="000000" w:themeColor="text1"/>
              <w:right w:val="single" w:sz="4" w:space="0" w:color="000000" w:themeColor="text1"/>
            </w:tcBorders>
            <w:shd w:val="clear" w:color="auto" w:fill="FFFFFF" w:themeFill="background1"/>
            <w:vAlign w:val="bottom"/>
            <w:hideMark/>
          </w:tcPr>
          <w:p w14:paraId="31EED4DB"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NR</w:t>
            </w:r>
          </w:p>
        </w:tc>
      </w:tr>
      <w:tr w:rsidR="007814FC" w:rsidRPr="00B5373E" w14:paraId="427674D3" w14:textId="77777777" w:rsidTr="00CC220A">
        <w:trPr>
          <w:trHeight w:val="493"/>
        </w:trPr>
        <w:tc>
          <w:tcPr>
            <w:tcW w:w="1693"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FFFFFF" w:themeFill="background1"/>
            <w:vAlign w:val="bottom"/>
            <w:hideMark/>
          </w:tcPr>
          <w:p w14:paraId="717497E2" w14:textId="520A293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Evald</w:t>
            </w:r>
            <w:proofErr w:type="spellEnd"/>
            <w:r w:rsidRPr="00B5373E">
              <w:rPr>
                <w:rFonts w:eastAsia="Times New Roman" w:cs="Calibri"/>
                <w:noProof w:val="0"/>
                <w:sz w:val="18"/>
                <w:szCs w:val="18"/>
                <w:lang w:val="en-GB" w:eastAsia="en-GB"/>
              </w:rPr>
              <w:t xml:space="preserve"> et al, 2019</w:t>
            </w:r>
            <w:r w:rsidR="00F529BC" w:rsidRPr="00B5373E">
              <w:rPr>
                <w:rFonts w:eastAsia="Times New Roman" w:cs="Calibri"/>
                <w:noProof w:val="0"/>
                <w:sz w:val="18"/>
                <w:szCs w:val="18"/>
                <w:vertAlign w:val="superscript"/>
                <w:lang w:val="en-GB" w:eastAsia="en-GB"/>
              </w:rPr>
              <w:t>16</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44C4655" w14:textId="61513B0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46C2B54" w14:textId="2BA27498" w:rsidR="007814FC" w:rsidRPr="00B5373E" w:rsidRDefault="007F0CD0"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Retro</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44B04AD" w14:textId="51F5692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79</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257CE62" w14:textId="476D058A"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G1: M=187 (181-204 days); G2; 188 (181-198)</w:t>
            </w:r>
          </w:p>
        </w:tc>
        <w:tc>
          <w:tcPr>
            <w:tcW w:w="4449"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FFFFFF" w:themeFill="background1"/>
            <w:vAlign w:val="bottom"/>
            <w:hideMark/>
          </w:tcPr>
          <w:p w14:paraId="20F3B99B" w14:textId="16218A4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Premorbid function (Vocabulary, WAIS-IV); Memory (RAVLT, Rey</w:t>
            </w:r>
            <w:r w:rsidR="0058104E" w:rsidRPr="00B5373E">
              <w:rPr>
                <w:rFonts w:eastAsia="Times New Roman" w:cs="Calibri"/>
                <w:noProof w:val="0"/>
                <w:sz w:val="18"/>
                <w:szCs w:val="18"/>
                <w:lang w:val="en-GB" w:eastAsia="en-GB"/>
              </w:rPr>
              <w:t xml:space="preserve"> CF</w:t>
            </w:r>
            <w:r w:rsidRPr="00B5373E">
              <w:rPr>
                <w:rFonts w:eastAsia="Times New Roman" w:cs="Calibri"/>
                <w:noProof w:val="0"/>
                <w:sz w:val="18"/>
                <w:szCs w:val="18"/>
                <w:lang w:val="en-GB" w:eastAsia="en-GB"/>
              </w:rPr>
              <w:t xml:space="preserve">); </w:t>
            </w:r>
            <w:r w:rsidRPr="00B5373E">
              <w:rPr>
                <w:rFonts w:eastAsia="Times New Roman" w:cs="Calibri"/>
                <w:noProof w:val="0"/>
                <w:sz w:val="18"/>
                <w:szCs w:val="18"/>
                <w:lang w:val="en-GB" w:eastAsia="en-GB"/>
              </w:rPr>
              <w:br/>
              <w:t xml:space="preserve">Attention (Trails A &amp; B; DS WAIS-IV); </w:t>
            </w:r>
            <w:r w:rsidRPr="00B5373E">
              <w:rPr>
                <w:rFonts w:eastAsia="Times New Roman" w:cs="Calibri"/>
                <w:noProof w:val="0"/>
                <w:sz w:val="18"/>
                <w:szCs w:val="18"/>
                <w:lang w:val="en-GB" w:eastAsia="en-GB"/>
              </w:rPr>
              <w:br/>
              <w:t>EF (D-KEFs verbal fluency)</w:t>
            </w:r>
          </w:p>
        </w:tc>
        <w:tc>
          <w:tcPr>
            <w:tcW w:w="3246"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FFFFFF" w:themeFill="background1"/>
            <w:vAlign w:val="bottom"/>
            <w:hideMark/>
          </w:tcPr>
          <w:p w14:paraId="41243691"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G1: 33%; G2: 12%</w:t>
            </w:r>
          </w:p>
        </w:tc>
        <w:tc>
          <w:tcPr>
            <w:tcW w:w="1835"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FFFFFF" w:themeFill="background1"/>
            <w:vAlign w:val="bottom"/>
            <w:hideMark/>
          </w:tcPr>
          <w:p w14:paraId="254E288D"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Norms; impaired = below cut-off ≥ 3 measures</w:t>
            </w:r>
          </w:p>
        </w:tc>
      </w:tr>
      <w:tr w:rsidR="1608CFC8" w:rsidRPr="00B5373E" w14:paraId="71807FCB"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8DFC27" w14:textId="793AC2D4" w:rsidR="6EE0E57B" w:rsidRPr="00B5373E" w:rsidRDefault="0D218021" w:rsidP="7A679DD0">
            <w:pPr>
              <w:spacing w:line="240" w:lineRule="auto"/>
              <w:jc w:val="left"/>
              <w:rPr>
                <w:rFonts w:eastAsia="Times New Roman" w:cs="Calibri"/>
                <w:noProof w:val="0"/>
                <w:sz w:val="18"/>
                <w:szCs w:val="18"/>
                <w:vertAlign w:val="superscript"/>
                <w:lang w:val="en-GB" w:eastAsia="en-GB"/>
              </w:rPr>
            </w:pPr>
            <w:proofErr w:type="spellStart"/>
            <w:r w:rsidRPr="00B5373E">
              <w:rPr>
                <w:rFonts w:eastAsia="Times New Roman" w:cs="Calibri"/>
                <w:noProof w:val="0"/>
                <w:sz w:val="18"/>
                <w:szCs w:val="18"/>
                <w:lang w:val="en-GB" w:eastAsia="en-GB"/>
              </w:rPr>
              <w:t>Evald</w:t>
            </w:r>
            <w:proofErr w:type="spellEnd"/>
            <w:r w:rsidRPr="00B5373E">
              <w:rPr>
                <w:rFonts w:eastAsia="Times New Roman" w:cs="Calibri"/>
                <w:noProof w:val="0"/>
                <w:sz w:val="18"/>
                <w:szCs w:val="18"/>
                <w:lang w:val="en-GB" w:eastAsia="en-GB"/>
              </w:rPr>
              <w:t xml:space="preserve"> et al., 2021</w:t>
            </w:r>
            <w:r w:rsidR="17BC56DF" w:rsidRPr="00B5373E">
              <w:rPr>
                <w:rFonts w:eastAsia="Times New Roman" w:cs="Calibri"/>
                <w:noProof w:val="0"/>
                <w:sz w:val="18"/>
                <w:szCs w:val="18"/>
                <w:vertAlign w:val="superscript"/>
                <w:lang w:val="en-GB" w:eastAsia="en-GB"/>
              </w:rPr>
              <w:t>4</w:t>
            </w:r>
            <w:r w:rsidR="24F9A125" w:rsidRPr="00B5373E">
              <w:rPr>
                <w:rFonts w:eastAsia="Times New Roman" w:cs="Calibri"/>
                <w:noProof w:val="0"/>
                <w:sz w:val="18"/>
                <w:szCs w:val="18"/>
                <w:vertAlign w:val="superscript"/>
                <w:lang w:val="en-GB" w:eastAsia="en-GB"/>
              </w:rPr>
              <w:t>4</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8371219" w14:textId="03287EF1" w:rsidR="1608CFC8" w:rsidRPr="00B5373E" w:rsidRDefault="220B9322" w:rsidP="1608CFC8">
            <w:pPr>
              <w:spacing w:line="240" w:lineRule="auto"/>
              <w:jc w:val="left"/>
              <w:rPr>
                <w:rFonts w:cs="Calibri"/>
                <w:sz w:val="18"/>
                <w:szCs w:val="18"/>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AAAC67F" w14:textId="1F484ED4" w:rsidR="303C004A" w:rsidRPr="00B5373E" w:rsidRDefault="3A4EB5B5" w:rsidP="261FA80A">
            <w:pPr>
              <w:spacing w:line="240" w:lineRule="auto"/>
              <w:jc w:val="left"/>
              <w:rPr>
                <w:rFonts w:cs="Calibri"/>
                <w:sz w:val="18"/>
                <w:szCs w:val="18"/>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BD11BFD" w14:textId="03D7EDB6" w:rsidR="0DFD844F" w:rsidRPr="00B5373E" w:rsidRDefault="0DFD844F" w:rsidP="1608CFC8">
            <w:pPr>
              <w:spacing w:line="240" w:lineRule="auto"/>
              <w:jc w:val="left"/>
              <w:rPr>
                <w:rFonts w:cs="Calibri"/>
                <w:sz w:val="18"/>
                <w:szCs w:val="18"/>
              </w:rPr>
            </w:pPr>
            <w:r w:rsidRPr="00B5373E">
              <w:rPr>
                <w:rFonts w:cs="Calibri"/>
                <w:sz w:val="18"/>
                <w:szCs w:val="18"/>
              </w:rPr>
              <w:t>79</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AB6FB1E" w14:textId="43D0B00A" w:rsidR="0DFD844F" w:rsidRPr="00B5373E" w:rsidRDefault="0DFD844F" w:rsidP="1608CFC8">
            <w:pPr>
              <w:spacing w:line="240" w:lineRule="auto"/>
              <w:jc w:val="left"/>
              <w:rPr>
                <w:rFonts w:cs="Calibri"/>
                <w:sz w:val="18"/>
                <w:szCs w:val="18"/>
              </w:rPr>
            </w:pPr>
            <w:r w:rsidRPr="00B5373E">
              <w:rPr>
                <w:rFonts w:cs="Calibri"/>
                <w:sz w:val="18"/>
                <w:szCs w:val="18"/>
              </w:rPr>
              <w:t>187 (181-201)</w:t>
            </w:r>
          </w:p>
        </w:tc>
        <w:tc>
          <w:tcPr>
            <w:tcW w:w="4449" w:type="dxa"/>
            <w:tcBorders>
              <w:top w:val="single" w:sz="4" w:space="0" w:color="auto"/>
              <w:left w:val="nil"/>
              <w:bottom w:val="single" w:sz="4" w:space="0" w:color="auto"/>
              <w:right w:val="single" w:sz="4" w:space="0" w:color="auto"/>
            </w:tcBorders>
            <w:shd w:val="clear" w:color="auto" w:fill="FFFFFF" w:themeFill="background1"/>
            <w:vAlign w:val="bottom"/>
            <w:hideMark/>
          </w:tcPr>
          <w:p w14:paraId="2676FB91" w14:textId="5C5B7EFF" w:rsidR="0FA597F6" w:rsidRPr="00B5373E" w:rsidRDefault="0FA597F6" w:rsidP="1608CFC8">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Subjective Cognitive Function: CFQ</w:t>
            </w:r>
            <w:r w:rsidR="15DF782D" w:rsidRPr="00B5373E">
              <w:rPr>
                <w:rFonts w:eastAsia="Times New Roman" w:cs="Calibri"/>
                <w:noProof w:val="0"/>
                <w:sz w:val="18"/>
                <w:szCs w:val="18"/>
                <w:lang w:val="en-GB" w:eastAsia="en-GB"/>
              </w:rPr>
              <w:t xml:space="preserve"> </w:t>
            </w:r>
          </w:p>
        </w:tc>
        <w:tc>
          <w:tcPr>
            <w:tcW w:w="3246" w:type="dxa"/>
            <w:tcBorders>
              <w:top w:val="single" w:sz="4" w:space="0" w:color="auto"/>
              <w:left w:val="nil"/>
              <w:bottom w:val="single" w:sz="4" w:space="0" w:color="auto"/>
              <w:right w:val="single" w:sz="4" w:space="0" w:color="auto"/>
            </w:tcBorders>
            <w:shd w:val="clear" w:color="auto" w:fill="FFFFFF" w:themeFill="background1"/>
            <w:vAlign w:val="bottom"/>
            <w:hideMark/>
          </w:tcPr>
          <w:p w14:paraId="2EFF0C1E" w14:textId="62FA814A" w:rsidR="15DF782D" w:rsidRPr="00B5373E" w:rsidRDefault="15DF782D" w:rsidP="1608CFC8">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6.8%</w:t>
            </w:r>
          </w:p>
        </w:tc>
        <w:tc>
          <w:tcPr>
            <w:tcW w:w="183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E12E244" w14:textId="2DFA7E2D" w:rsidR="0FA597F6" w:rsidRPr="00B5373E" w:rsidRDefault="0FA597F6" w:rsidP="1608CFC8">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CFQ raw scores</w:t>
            </w:r>
          </w:p>
        </w:tc>
      </w:tr>
      <w:tr w:rsidR="007814FC" w:rsidRPr="00B5373E" w14:paraId="564D6298"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6CA70E" w14:textId="34D8A1C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Fugate et al, 2013</w:t>
            </w:r>
            <w:r w:rsidR="00104745" w:rsidRPr="00B5373E">
              <w:rPr>
                <w:rFonts w:eastAsia="Times New Roman" w:cs="Calibri"/>
                <w:noProof w:val="0"/>
                <w:sz w:val="18"/>
                <w:szCs w:val="18"/>
                <w:vertAlign w:val="superscript"/>
                <w:lang w:val="en-GB" w:eastAsia="en-GB"/>
              </w:rPr>
              <w:t>23</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0E840F1" w14:textId="6C7B948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4119AA5" w14:textId="5BFEEF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Pros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834AA71" w14:textId="3A91F2B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56</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2D86B5E" w14:textId="28AAF9F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19.5 mos (14.3-24 mos)</w:t>
            </w:r>
          </w:p>
        </w:tc>
        <w:tc>
          <w:tcPr>
            <w:tcW w:w="4449" w:type="dxa"/>
            <w:tcBorders>
              <w:top w:val="single" w:sz="4" w:space="0" w:color="auto"/>
              <w:left w:val="nil"/>
              <w:bottom w:val="single" w:sz="4" w:space="0" w:color="auto"/>
              <w:right w:val="single" w:sz="4" w:space="0" w:color="auto"/>
            </w:tcBorders>
            <w:shd w:val="clear" w:color="auto" w:fill="FFFFFF" w:themeFill="background1"/>
            <w:vAlign w:val="bottom"/>
            <w:hideMark/>
          </w:tcPr>
          <w:p w14:paraId="4451AD36" w14:textId="4FEA194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(TICs)</w:t>
            </w:r>
          </w:p>
        </w:tc>
        <w:tc>
          <w:tcPr>
            <w:tcW w:w="3246" w:type="dxa"/>
            <w:tcBorders>
              <w:top w:val="single" w:sz="4" w:space="0" w:color="auto"/>
              <w:left w:val="nil"/>
              <w:bottom w:val="single" w:sz="4" w:space="0" w:color="auto"/>
              <w:right w:val="single" w:sz="4" w:space="0" w:color="auto"/>
            </w:tcBorders>
            <w:shd w:val="clear" w:color="auto" w:fill="FFFFFF" w:themeFill="background1"/>
            <w:vAlign w:val="bottom"/>
            <w:hideMark/>
          </w:tcPr>
          <w:p w14:paraId="0C6EC464"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40%</w:t>
            </w:r>
          </w:p>
        </w:tc>
        <w:tc>
          <w:tcPr>
            <w:tcW w:w="1835" w:type="dxa"/>
            <w:tcBorders>
              <w:top w:val="single" w:sz="4" w:space="0" w:color="auto"/>
              <w:left w:val="nil"/>
              <w:bottom w:val="single" w:sz="4" w:space="0" w:color="auto"/>
              <w:right w:val="single" w:sz="4" w:space="0" w:color="auto"/>
            </w:tcBorders>
            <w:shd w:val="clear" w:color="auto" w:fill="FFFFFF" w:themeFill="background1"/>
            <w:vAlign w:val="bottom"/>
            <w:hideMark/>
          </w:tcPr>
          <w:p w14:paraId="1070E6A8"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TICs &lt;32</w:t>
            </w:r>
          </w:p>
        </w:tc>
      </w:tr>
      <w:tr w:rsidR="007814FC" w:rsidRPr="00B5373E" w14:paraId="23980104" w14:textId="77777777" w:rsidTr="00CC220A">
        <w:trPr>
          <w:trHeight w:val="29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1CC3775" w14:textId="7A68071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Grand et al., 2019</w:t>
            </w:r>
            <w:r w:rsidR="00712FFF" w:rsidRPr="00B5373E">
              <w:rPr>
                <w:rFonts w:eastAsia="Times New Roman" w:cs="Calibri"/>
                <w:noProof w:val="0"/>
                <w:sz w:val="18"/>
                <w:szCs w:val="18"/>
                <w:vertAlign w:val="superscript"/>
                <w:lang w:val="en-GB" w:eastAsia="en-GB"/>
              </w:rPr>
              <w:t>37</w:t>
            </w:r>
          </w:p>
        </w:tc>
        <w:tc>
          <w:tcPr>
            <w:tcW w:w="70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264A85AE" w14:textId="227443C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7947843F" w14:textId="6159835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Retro  </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125FCC45" w14:textId="5509E29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237</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A2A5D9A" w14:textId="394BF97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 mos</w:t>
            </w:r>
          </w:p>
        </w:tc>
        <w:tc>
          <w:tcPr>
            <w:tcW w:w="4449" w:type="dxa"/>
            <w:tcBorders>
              <w:top w:val="nil"/>
              <w:left w:val="nil"/>
              <w:bottom w:val="single" w:sz="4" w:space="0" w:color="auto"/>
              <w:right w:val="single" w:sz="4" w:space="0" w:color="auto"/>
            </w:tcBorders>
            <w:shd w:val="clear" w:color="auto" w:fill="FFFFFF" w:themeFill="background1"/>
            <w:vAlign w:val="bottom"/>
            <w:hideMark/>
          </w:tcPr>
          <w:p w14:paraId="42788654" w14:textId="2A487E8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IQCODE-CA</w:t>
            </w:r>
          </w:p>
        </w:tc>
        <w:tc>
          <w:tcPr>
            <w:tcW w:w="3246" w:type="dxa"/>
            <w:tcBorders>
              <w:top w:val="nil"/>
              <w:left w:val="nil"/>
              <w:bottom w:val="single" w:sz="4" w:space="0" w:color="auto"/>
              <w:right w:val="single" w:sz="4" w:space="0" w:color="auto"/>
            </w:tcBorders>
            <w:shd w:val="clear" w:color="auto" w:fill="FFFFFF" w:themeFill="background1"/>
            <w:vAlign w:val="bottom"/>
            <w:hideMark/>
          </w:tcPr>
          <w:p w14:paraId="24C6240D"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35%; IQCODE-CA 28%</w:t>
            </w:r>
          </w:p>
        </w:tc>
        <w:tc>
          <w:tcPr>
            <w:tcW w:w="1835" w:type="dxa"/>
            <w:tcBorders>
              <w:top w:val="nil"/>
              <w:left w:val="nil"/>
              <w:bottom w:val="single" w:sz="4" w:space="0" w:color="auto"/>
              <w:right w:val="single" w:sz="4" w:space="0" w:color="auto"/>
            </w:tcBorders>
            <w:shd w:val="clear" w:color="auto" w:fill="FFFFFF" w:themeFill="background1"/>
            <w:vAlign w:val="bottom"/>
            <w:hideMark/>
          </w:tcPr>
          <w:p w14:paraId="6061D0E6" w14:textId="73E4DBA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&lt;27; IQCODE &gt;83</w:t>
            </w:r>
          </w:p>
        </w:tc>
      </w:tr>
      <w:tr w:rsidR="007814FC" w:rsidRPr="00B5373E" w14:paraId="0AB61608"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6BBACA" w14:textId="09AE1A5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lastRenderedPageBreak/>
              <w:t>Grubb et al., 2007</w:t>
            </w:r>
            <w:r w:rsidR="00712FFF" w:rsidRPr="00B5373E">
              <w:rPr>
                <w:rFonts w:eastAsia="Times New Roman" w:cs="Calibri"/>
                <w:noProof w:val="0"/>
                <w:sz w:val="18"/>
                <w:szCs w:val="18"/>
                <w:vertAlign w:val="superscript"/>
                <w:lang w:val="en-GB" w:eastAsia="en-GB"/>
              </w:rPr>
              <w:t>38</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678E76" w14:textId="7F6EE63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E58335" w14:textId="5C81FBC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31E519" w14:textId="3C00DBE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49</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234E40" w14:textId="52E4C00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within 24-hrs of discharge, (5-26 days postarrest)</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E9A409" w14:textId="69DE3EF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Premorbid function (NART); </w:t>
            </w:r>
            <w:r w:rsidRPr="00B5373E">
              <w:rPr>
                <w:rFonts w:eastAsia="Times New Roman" w:cs="Calibri"/>
                <w:noProof w:val="0"/>
                <w:sz w:val="18"/>
                <w:szCs w:val="18"/>
                <w:lang w:val="en-GB" w:eastAsia="en-GB"/>
              </w:rPr>
              <w:br/>
              <w:t>Memory (RBMT, WMS-R D-S)</w:t>
            </w:r>
          </w:p>
        </w:tc>
        <w:tc>
          <w:tcPr>
            <w:tcW w:w="3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246C024"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RBMT:57%</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F45FAE0" w14:textId="63C8646A" w:rsidR="007814FC" w:rsidRPr="00B5373E" w:rsidRDefault="6A4EFA72"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RBMT </w:t>
            </w:r>
            <w:r w:rsidR="54FB6EF4" w:rsidRPr="00B5373E">
              <w:rPr>
                <w:rFonts w:eastAsia="Times New Roman" w:cs="Calibri"/>
                <w:noProof w:val="0"/>
                <w:sz w:val="18"/>
                <w:szCs w:val="18"/>
                <w:lang w:val="en-GB" w:eastAsia="en-GB"/>
              </w:rPr>
              <w:t>Norms &gt;21</w:t>
            </w:r>
          </w:p>
        </w:tc>
      </w:tr>
      <w:tr w:rsidR="007814FC" w:rsidRPr="00B5373E" w14:paraId="467E54DB"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77DC4B" w14:textId="3D872C29"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Harve</w:t>
            </w:r>
            <w:proofErr w:type="spellEnd"/>
            <w:r w:rsidRPr="00B5373E">
              <w:rPr>
                <w:rFonts w:eastAsia="Times New Roman" w:cs="Calibri"/>
                <w:noProof w:val="0"/>
                <w:sz w:val="18"/>
                <w:szCs w:val="18"/>
                <w:lang w:val="en-GB" w:eastAsia="en-GB"/>
              </w:rPr>
              <w:t xml:space="preserve"> et al., 2007</w:t>
            </w:r>
            <w:r w:rsidR="00712FFF" w:rsidRPr="00B5373E">
              <w:rPr>
                <w:rFonts w:eastAsia="Times New Roman" w:cs="Calibri"/>
                <w:noProof w:val="0"/>
                <w:sz w:val="18"/>
                <w:szCs w:val="18"/>
                <w:vertAlign w:val="superscript"/>
                <w:lang w:val="en-GB" w:eastAsia="en-GB"/>
              </w:rPr>
              <w:t>20</w:t>
            </w:r>
          </w:p>
        </w:tc>
        <w:tc>
          <w:tcPr>
            <w:tcW w:w="70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bottom"/>
          </w:tcPr>
          <w:p w14:paraId="25C3B9EE" w14:textId="5B86806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high</w:t>
            </w:r>
          </w:p>
        </w:tc>
        <w:tc>
          <w:tcPr>
            <w:tcW w:w="84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bottom"/>
          </w:tcPr>
          <w:p w14:paraId="38EA15E7" w14:textId="51F8F8C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Retro</w:t>
            </w:r>
          </w:p>
        </w:tc>
        <w:tc>
          <w:tcPr>
            <w:tcW w:w="127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bottom"/>
          </w:tcPr>
          <w:p w14:paraId="2FA523E2" w14:textId="63B9082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10</w:t>
            </w:r>
          </w:p>
        </w:tc>
        <w:tc>
          <w:tcPr>
            <w:tcW w:w="1338"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vAlign w:val="bottom"/>
          </w:tcPr>
          <w:p w14:paraId="03851E76" w14:textId="20C7996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~15 yrs</w:t>
            </w:r>
          </w:p>
        </w:tc>
        <w:tc>
          <w:tcPr>
            <w:tcW w:w="4449" w:type="dxa"/>
            <w:tcBorders>
              <w:top w:val="single" w:sz="4" w:space="0" w:color="auto"/>
              <w:left w:val="nil"/>
              <w:bottom w:val="single" w:sz="4" w:space="0" w:color="auto"/>
              <w:right w:val="single" w:sz="4" w:space="0" w:color="auto"/>
            </w:tcBorders>
            <w:shd w:val="clear" w:color="auto" w:fill="FFFFFF" w:themeFill="background1"/>
            <w:vAlign w:val="bottom"/>
            <w:hideMark/>
          </w:tcPr>
          <w:p w14:paraId="3F4AE33E" w14:textId="3D9E789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Memory (Logical memory WMS),</w:t>
            </w:r>
            <w:r w:rsidRPr="00B5373E">
              <w:rPr>
                <w:rFonts w:eastAsia="Times New Roman" w:cs="Calibri"/>
                <w:noProof w:val="0"/>
                <w:sz w:val="18"/>
                <w:szCs w:val="18"/>
                <w:lang w:val="en-GB" w:eastAsia="en-GB"/>
              </w:rPr>
              <w:br/>
              <w:t>Visuo-constructive and visuomotor speed (Block design and Dig-</w:t>
            </w:r>
            <w:proofErr w:type="spellStart"/>
            <w:r w:rsidRPr="00B5373E">
              <w:rPr>
                <w:rFonts w:eastAsia="Times New Roman" w:cs="Calibri"/>
                <w:noProof w:val="0"/>
                <w:sz w:val="18"/>
                <w:szCs w:val="18"/>
                <w:lang w:val="en-GB" w:eastAsia="en-GB"/>
              </w:rPr>
              <w:t>Sym</w:t>
            </w:r>
            <w:proofErr w:type="spellEnd"/>
            <w:r w:rsidRPr="00B5373E">
              <w:rPr>
                <w:rFonts w:eastAsia="Times New Roman" w:cs="Calibri"/>
                <w:noProof w:val="0"/>
                <w:sz w:val="18"/>
                <w:szCs w:val="18"/>
                <w:lang w:val="en-GB" w:eastAsia="en-GB"/>
              </w:rPr>
              <w:t xml:space="preserve"> WAIS)</w:t>
            </w:r>
          </w:p>
        </w:tc>
        <w:tc>
          <w:tcPr>
            <w:tcW w:w="3246"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FC8BA1"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Memory 40%; Visuo-constructive 20%</w:t>
            </w:r>
          </w:p>
        </w:tc>
        <w:tc>
          <w:tcPr>
            <w:tcW w:w="1835" w:type="dxa"/>
            <w:tcBorders>
              <w:top w:val="single" w:sz="4" w:space="0" w:color="auto"/>
              <w:left w:val="nil"/>
              <w:bottom w:val="single" w:sz="4" w:space="0" w:color="auto"/>
              <w:right w:val="single" w:sz="4" w:space="0" w:color="auto"/>
            </w:tcBorders>
            <w:shd w:val="clear" w:color="auto" w:fill="FFFFFF" w:themeFill="background1"/>
            <w:vAlign w:val="bottom"/>
            <w:hideMark/>
          </w:tcPr>
          <w:p w14:paraId="11856B9E" w14:textId="13930963"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Norms, 2 SD</w:t>
            </w:r>
            <w:r w:rsidR="00623873" w:rsidRPr="00B5373E">
              <w:rPr>
                <w:rFonts w:eastAsia="Times New Roman" w:cs="Calibri"/>
                <w:noProof w:val="0"/>
                <w:sz w:val="18"/>
                <w:szCs w:val="18"/>
                <w:lang w:val="en-GB" w:eastAsia="en-GB"/>
              </w:rPr>
              <w:t>s</w:t>
            </w:r>
          </w:p>
        </w:tc>
      </w:tr>
      <w:tr w:rsidR="007814FC" w:rsidRPr="00B5373E" w14:paraId="3F852F13"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8A21D5" w14:textId="3177CEE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Heradstveit</w:t>
            </w:r>
            <w:proofErr w:type="spellEnd"/>
            <w:r w:rsidRPr="00B5373E">
              <w:rPr>
                <w:rFonts w:eastAsia="Times New Roman" w:cs="Calibri"/>
                <w:noProof w:val="0"/>
                <w:sz w:val="18"/>
                <w:szCs w:val="18"/>
                <w:lang w:val="en-GB" w:eastAsia="en-GB"/>
              </w:rPr>
              <w:t xml:space="preserve"> et al., 2011</w:t>
            </w:r>
            <w:r w:rsidR="00712FFF" w:rsidRPr="00B5373E">
              <w:rPr>
                <w:rFonts w:eastAsia="Times New Roman" w:cs="Calibri"/>
                <w:noProof w:val="0"/>
                <w:sz w:val="18"/>
                <w:szCs w:val="18"/>
                <w:vertAlign w:val="superscript"/>
                <w:lang w:val="en-GB" w:eastAsia="en-GB"/>
              </w:rPr>
              <w:t>28</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C37855" w14:textId="71A95A7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CDAE4C" w14:textId="08FF8BA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Arial"/>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57F4E" w14:textId="0945177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9</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6244F2" w14:textId="12D272DC" w:rsidR="007814FC" w:rsidRPr="00B5373E" w:rsidRDefault="007814FC" w:rsidP="007F0CD0">
            <w:pPr>
              <w:spacing w:line="240" w:lineRule="auto"/>
              <w:ind w:right="57"/>
              <w:jc w:val="left"/>
              <w:outlineLvl w:val="0"/>
              <w:rPr>
                <w:rFonts w:eastAsia="Times New Roman" w:cs="Calibri"/>
                <w:noProof w:val="0"/>
                <w:sz w:val="18"/>
                <w:szCs w:val="18"/>
                <w:lang w:val="pt-PT" w:eastAsia="en-GB"/>
              </w:rPr>
            </w:pPr>
            <w:r w:rsidRPr="00B5373E">
              <w:rPr>
                <w:rFonts w:cs="Calibri"/>
                <w:sz w:val="18"/>
                <w:szCs w:val="18"/>
                <w:lang w:val="pt-PT"/>
              </w:rPr>
              <w:t>MRIs at 2 h, 24 h and 96 h; M=22 (15-26) mos</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40E523" w14:textId="24E4D8EA"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w:t>
            </w:r>
          </w:p>
        </w:tc>
        <w:tc>
          <w:tcPr>
            <w:tcW w:w="3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A333D4"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0%</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0803C4"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 &lt;27</w:t>
            </w:r>
          </w:p>
        </w:tc>
      </w:tr>
      <w:tr w:rsidR="007814FC" w:rsidRPr="00B5373E" w14:paraId="438C8E3F"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6BC092" w14:textId="0A7675C9" w:rsidR="007814FC" w:rsidRPr="00B5373E" w:rsidRDefault="05EF0168" w:rsidP="7A679DD0">
            <w:pPr>
              <w:spacing w:line="240" w:lineRule="auto"/>
              <w:ind w:right="57"/>
              <w:jc w:val="left"/>
              <w:outlineLvl w:val="0"/>
              <w:rPr>
                <w:rFonts w:eastAsia="Times New Roman" w:cs="Calibri"/>
                <w:noProof w:val="0"/>
                <w:sz w:val="18"/>
                <w:szCs w:val="18"/>
                <w:vertAlign w:val="superscript"/>
                <w:lang w:val="en-GB" w:eastAsia="en-GB"/>
              </w:rPr>
            </w:pPr>
            <w:r w:rsidRPr="00B5373E">
              <w:rPr>
                <w:rFonts w:eastAsia="Times New Roman" w:cs="Calibri"/>
                <w:noProof w:val="0"/>
                <w:sz w:val="18"/>
                <w:szCs w:val="18"/>
                <w:lang w:val="en-GB" w:eastAsia="en-GB"/>
              </w:rPr>
              <w:t>Ji et al., 2017</w:t>
            </w:r>
            <w:r w:rsidR="37266591" w:rsidRPr="00B5373E">
              <w:rPr>
                <w:rFonts w:eastAsia="Times New Roman" w:cs="Calibri"/>
                <w:noProof w:val="0"/>
                <w:sz w:val="18"/>
                <w:szCs w:val="18"/>
                <w:vertAlign w:val="superscript"/>
                <w:lang w:val="en-GB" w:eastAsia="en-GB"/>
              </w:rPr>
              <w:t>13</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6176774" w14:textId="6625595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9A467A1" w14:textId="7C0868AD" w:rsidR="007814FC" w:rsidRPr="00B5373E" w:rsidRDefault="004617C7" w:rsidP="1608CFC8">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5E3A9DD" w14:textId="772148B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3 mos: G1:96, G2: 182 at 12 mos G1(mech): 89; G2:175</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9A30E85" w14:textId="478A646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3 mos, 12 mos</w:t>
            </w:r>
          </w:p>
        </w:tc>
        <w:tc>
          <w:tcPr>
            <w:tcW w:w="4449" w:type="dxa"/>
            <w:tcBorders>
              <w:top w:val="single" w:sz="4" w:space="0" w:color="auto"/>
              <w:left w:val="nil"/>
              <w:bottom w:val="single" w:sz="4" w:space="0" w:color="auto"/>
              <w:right w:val="single" w:sz="4" w:space="0" w:color="auto"/>
            </w:tcBorders>
            <w:shd w:val="clear" w:color="auto" w:fill="FFFFFF" w:themeFill="background1"/>
            <w:vAlign w:val="bottom"/>
            <w:hideMark/>
          </w:tcPr>
          <w:p w14:paraId="07C7849F" w14:textId="183F90C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MMSE</w:t>
            </w:r>
          </w:p>
        </w:tc>
        <w:tc>
          <w:tcPr>
            <w:tcW w:w="3246" w:type="dxa"/>
            <w:tcBorders>
              <w:top w:val="single" w:sz="4" w:space="0" w:color="auto"/>
              <w:left w:val="nil"/>
              <w:bottom w:val="single" w:sz="4" w:space="0" w:color="auto"/>
              <w:right w:val="single" w:sz="4" w:space="0" w:color="auto"/>
            </w:tcBorders>
            <w:shd w:val="clear" w:color="auto" w:fill="FFFFFF" w:themeFill="background1"/>
            <w:vAlign w:val="bottom"/>
            <w:hideMark/>
          </w:tcPr>
          <w:p w14:paraId="0C378AAD"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M=26.9 (3.7) &amp; M=28 (2.3); % under </w:t>
            </w:r>
            <w:proofErr w:type="spellStart"/>
            <w:r w:rsidRPr="00B5373E">
              <w:rPr>
                <w:rFonts w:eastAsia="Times New Roman" w:cs="Calibri"/>
                <w:noProof w:val="0"/>
                <w:sz w:val="18"/>
                <w:szCs w:val="18"/>
                <w:lang w:val="en-GB" w:eastAsia="en-GB"/>
              </w:rPr>
              <w:t>cutoff</w:t>
            </w:r>
            <w:proofErr w:type="spellEnd"/>
            <w:r w:rsidRPr="00B5373E">
              <w:rPr>
                <w:rFonts w:eastAsia="Times New Roman" w:cs="Calibri"/>
                <w:noProof w:val="0"/>
                <w:sz w:val="18"/>
                <w:szCs w:val="18"/>
                <w:lang w:val="en-GB" w:eastAsia="en-GB"/>
              </w:rPr>
              <w:t xml:space="preserve"> NR</w:t>
            </w:r>
          </w:p>
        </w:tc>
        <w:tc>
          <w:tcPr>
            <w:tcW w:w="1835" w:type="dxa"/>
            <w:tcBorders>
              <w:top w:val="single" w:sz="4" w:space="0" w:color="auto"/>
              <w:left w:val="nil"/>
              <w:bottom w:val="single" w:sz="4" w:space="0" w:color="auto"/>
              <w:right w:val="single" w:sz="4" w:space="0" w:color="auto"/>
            </w:tcBorders>
            <w:shd w:val="clear" w:color="auto" w:fill="FFFFFF" w:themeFill="background1"/>
            <w:vAlign w:val="bottom"/>
            <w:hideMark/>
          </w:tcPr>
          <w:p w14:paraId="49CFCA31"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NR</w:t>
            </w:r>
          </w:p>
        </w:tc>
      </w:tr>
      <w:tr w:rsidR="007814FC" w:rsidRPr="00B5373E" w14:paraId="47179AD0" w14:textId="77777777" w:rsidTr="00CC220A">
        <w:trPr>
          <w:trHeight w:val="145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239D591" w14:textId="6D529E3C" w:rsidR="007814FC" w:rsidRPr="00B5373E" w:rsidRDefault="05EF0168" w:rsidP="7A679DD0">
            <w:pPr>
              <w:spacing w:line="240" w:lineRule="auto"/>
              <w:ind w:right="57"/>
              <w:jc w:val="left"/>
              <w:outlineLvl w:val="0"/>
              <w:rPr>
                <w:rFonts w:eastAsia="Times New Roman" w:cs="Calibri"/>
                <w:noProof w:val="0"/>
                <w:sz w:val="18"/>
                <w:szCs w:val="18"/>
                <w:vertAlign w:val="superscript"/>
                <w:lang w:val="en-GB" w:eastAsia="en-GB"/>
              </w:rPr>
            </w:pPr>
            <w:r w:rsidRPr="00B5373E">
              <w:rPr>
                <w:rFonts w:eastAsia="Times New Roman" w:cs="Calibri"/>
                <w:noProof w:val="0"/>
                <w:sz w:val="18"/>
                <w:szCs w:val="18"/>
                <w:lang w:val="en-GB" w:eastAsia="en-GB"/>
              </w:rPr>
              <w:t>Juan et al., 2018</w:t>
            </w:r>
            <w:r w:rsidR="097746C6" w:rsidRPr="00B5373E">
              <w:rPr>
                <w:rFonts w:eastAsia="Times New Roman" w:cs="Calibri"/>
                <w:noProof w:val="0"/>
                <w:sz w:val="18"/>
                <w:szCs w:val="18"/>
                <w:vertAlign w:val="superscript"/>
                <w:lang w:val="en-GB" w:eastAsia="en-GB"/>
              </w:rPr>
              <w:t>45</w:t>
            </w:r>
          </w:p>
        </w:tc>
        <w:tc>
          <w:tcPr>
            <w:tcW w:w="70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03D55348" w14:textId="0C9DAD0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18592272" w14:textId="18042D7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AF3ADC8" w14:textId="15BC17A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50 (42 complete)</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100D9DB9" w14:textId="581DB47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 mos</w:t>
            </w:r>
          </w:p>
        </w:tc>
        <w:tc>
          <w:tcPr>
            <w:tcW w:w="4449" w:type="dxa"/>
            <w:tcBorders>
              <w:top w:val="nil"/>
              <w:left w:val="nil"/>
              <w:bottom w:val="single" w:sz="4" w:space="0" w:color="auto"/>
              <w:right w:val="single" w:sz="4" w:space="0" w:color="auto"/>
            </w:tcBorders>
            <w:shd w:val="clear" w:color="auto" w:fill="FFFFFF" w:themeFill="background1"/>
            <w:vAlign w:val="bottom"/>
            <w:hideMark/>
          </w:tcPr>
          <w:p w14:paraId="7FC2C482" w14:textId="38FAFEC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Subjective general function (Perception of recovery); </w:t>
            </w:r>
            <w:r w:rsidRPr="00B5373E">
              <w:rPr>
                <w:rFonts w:eastAsia="Times New Roman" w:cs="Calibri"/>
                <w:noProof w:val="0"/>
                <w:sz w:val="18"/>
                <w:szCs w:val="18"/>
                <w:lang w:val="en-GB" w:eastAsia="en-GB"/>
              </w:rPr>
              <w:br/>
              <w:t xml:space="preserve">Memory (CVLT, Doors and People, DSF WAIS-IV, block tapping WMS-3rd); </w:t>
            </w:r>
            <w:r w:rsidRPr="00B5373E">
              <w:rPr>
                <w:rFonts w:eastAsia="Times New Roman" w:cs="Calibri"/>
                <w:noProof w:val="0"/>
                <w:sz w:val="18"/>
                <w:szCs w:val="18"/>
                <w:lang w:val="en-GB" w:eastAsia="en-GB"/>
              </w:rPr>
              <w:br/>
              <w:t xml:space="preserve">Language (Naming subtest Lexis); </w:t>
            </w:r>
            <w:r w:rsidRPr="00B5373E">
              <w:rPr>
                <w:rFonts w:eastAsia="Times New Roman" w:cs="Calibri"/>
                <w:noProof w:val="0"/>
                <w:sz w:val="18"/>
                <w:szCs w:val="18"/>
                <w:lang w:val="en-GB" w:eastAsia="en-GB"/>
              </w:rPr>
              <w:br/>
              <w:t xml:space="preserve">Productivity (5 points test), </w:t>
            </w:r>
            <w:r w:rsidRPr="00B5373E">
              <w:rPr>
                <w:rFonts w:eastAsia="Times New Roman" w:cs="Calibri"/>
                <w:noProof w:val="0"/>
                <w:sz w:val="18"/>
                <w:szCs w:val="18"/>
                <w:lang w:val="en-GB" w:eastAsia="en-GB"/>
              </w:rPr>
              <w:br/>
              <w:t>Processing Speed (D-</w:t>
            </w:r>
            <w:proofErr w:type="spellStart"/>
            <w:r w:rsidRPr="00B5373E">
              <w:rPr>
                <w:rFonts w:eastAsia="Times New Roman" w:cs="Calibri"/>
                <w:noProof w:val="0"/>
                <w:sz w:val="18"/>
                <w:szCs w:val="18"/>
                <w:lang w:val="en-GB" w:eastAsia="en-GB"/>
              </w:rPr>
              <w:t>Sym</w:t>
            </w:r>
            <w:proofErr w:type="spellEnd"/>
            <w:r w:rsidRPr="00B5373E">
              <w:rPr>
                <w:rFonts w:eastAsia="Times New Roman" w:cs="Calibri"/>
                <w:noProof w:val="0"/>
                <w:sz w:val="18"/>
                <w:szCs w:val="18"/>
                <w:lang w:val="en-GB" w:eastAsia="en-GB"/>
              </w:rPr>
              <w:t xml:space="preserve"> WAIS-IV), </w:t>
            </w:r>
            <w:r w:rsidRPr="00B5373E">
              <w:rPr>
                <w:rFonts w:eastAsia="Times New Roman" w:cs="Calibri"/>
                <w:noProof w:val="0"/>
                <w:sz w:val="18"/>
                <w:szCs w:val="18"/>
                <w:lang w:val="en-GB" w:eastAsia="en-GB"/>
              </w:rPr>
              <w:br/>
              <w:t xml:space="preserve">Attention (Alert and Divided </w:t>
            </w:r>
            <w:proofErr w:type="spellStart"/>
            <w:proofErr w:type="gramStart"/>
            <w:r w:rsidRPr="00B5373E">
              <w:rPr>
                <w:rFonts w:eastAsia="Times New Roman" w:cs="Calibri"/>
                <w:noProof w:val="0"/>
                <w:sz w:val="18"/>
                <w:szCs w:val="18"/>
                <w:lang w:val="en-GB" w:eastAsia="en-GB"/>
              </w:rPr>
              <w:t>subtest,Test</w:t>
            </w:r>
            <w:proofErr w:type="spellEnd"/>
            <w:proofErr w:type="gramEnd"/>
            <w:r w:rsidRPr="00B5373E">
              <w:rPr>
                <w:rFonts w:eastAsia="Times New Roman" w:cs="Calibri"/>
                <w:noProof w:val="0"/>
                <w:sz w:val="18"/>
                <w:szCs w:val="18"/>
                <w:lang w:val="en-GB" w:eastAsia="en-GB"/>
              </w:rPr>
              <w:t xml:space="preserve"> battery for attn performance),</w:t>
            </w:r>
            <w:r w:rsidRPr="00B5373E">
              <w:rPr>
                <w:rFonts w:eastAsia="Times New Roman" w:cs="Calibri"/>
                <w:noProof w:val="0"/>
                <w:sz w:val="18"/>
                <w:szCs w:val="18"/>
                <w:lang w:val="en-GB" w:eastAsia="en-GB"/>
              </w:rPr>
              <w:br/>
              <w:t>EF (verbal fluency, Trails, Stroop, FAB GREFEX)</w:t>
            </w:r>
          </w:p>
        </w:tc>
        <w:tc>
          <w:tcPr>
            <w:tcW w:w="3246" w:type="dxa"/>
            <w:tcBorders>
              <w:top w:val="nil"/>
              <w:left w:val="nil"/>
              <w:bottom w:val="single" w:sz="4" w:space="0" w:color="auto"/>
              <w:right w:val="single" w:sz="4" w:space="0" w:color="auto"/>
            </w:tcBorders>
            <w:shd w:val="clear" w:color="auto" w:fill="FFFFFF" w:themeFill="background1"/>
            <w:vAlign w:val="bottom"/>
            <w:hideMark/>
          </w:tcPr>
          <w:p w14:paraId="6DF9AF34" w14:textId="48505D3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Subj function: 30%; </w:t>
            </w:r>
            <w:r w:rsidR="00780C09" w:rsidRPr="00B5373E">
              <w:rPr>
                <w:rFonts w:eastAsia="Times New Roman" w:cs="Calibri"/>
                <w:noProof w:val="0"/>
                <w:sz w:val="18"/>
                <w:szCs w:val="18"/>
                <w:lang w:val="en-GB" w:eastAsia="en-GB"/>
              </w:rPr>
              <w:t>Neuroc</w:t>
            </w:r>
            <w:r w:rsidRPr="00B5373E">
              <w:rPr>
                <w:rFonts w:eastAsia="Times New Roman" w:cs="Calibri"/>
                <w:noProof w:val="0"/>
                <w:sz w:val="18"/>
                <w:szCs w:val="18"/>
                <w:lang w:val="en-GB" w:eastAsia="en-GB"/>
              </w:rPr>
              <w:t>ognitive tests: 26% overall; Processing speed 21%, Language 21%, LTM 19%, EF 19%, STM verbal 5%, attention 5-29%</w:t>
            </w:r>
          </w:p>
        </w:tc>
        <w:tc>
          <w:tcPr>
            <w:tcW w:w="1835" w:type="dxa"/>
            <w:tcBorders>
              <w:top w:val="nil"/>
              <w:left w:val="nil"/>
              <w:bottom w:val="single" w:sz="4" w:space="0" w:color="auto"/>
              <w:right w:val="single" w:sz="4" w:space="0" w:color="auto"/>
            </w:tcBorders>
            <w:shd w:val="clear" w:color="auto" w:fill="FFFFFF" w:themeFill="background1"/>
            <w:vAlign w:val="bottom"/>
            <w:hideMark/>
          </w:tcPr>
          <w:p w14:paraId="1EC3581A" w14:textId="4C30979A" w:rsidR="007814FC" w:rsidRPr="00B5373E" w:rsidRDefault="7F1DA816"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Norms, </w:t>
            </w:r>
            <w:r w:rsidR="6A4EFA72" w:rsidRPr="00B5373E">
              <w:rPr>
                <w:rFonts w:eastAsia="Times New Roman" w:cs="Calibri"/>
                <w:noProof w:val="0"/>
                <w:sz w:val="18"/>
                <w:szCs w:val="18"/>
                <w:lang w:val="en-GB" w:eastAsia="en-GB"/>
              </w:rPr>
              <w:t>SDs</w:t>
            </w:r>
            <w:r w:rsidRPr="00B5373E">
              <w:rPr>
                <w:rFonts w:eastAsia="Times New Roman" w:cs="Calibri"/>
                <w:noProof w:val="0"/>
                <w:sz w:val="18"/>
                <w:szCs w:val="18"/>
                <w:lang w:val="en-GB" w:eastAsia="en-GB"/>
              </w:rPr>
              <w:t xml:space="preserve"> 1.65; Global Cognitive Impairment: # of domains impaired out of 13, &gt;3 substantial cog impair</w:t>
            </w:r>
            <w:r w:rsidR="70FDC296" w:rsidRPr="00B5373E">
              <w:rPr>
                <w:rFonts w:eastAsia="Times New Roman" w:cs="Calibri"/>
                <w:noProof w:val="0"/>
                <w:sz w:val="18"/>
                <w:szCs w:val="18"/>
                <w:lang w:val="en-GB" w:eastAsia="en-GB"/>
              </w:rPr>
              <w:t>ment</w:t>
            </w:r>
          </w:p>
        </w:tc>
      </w:tr>
      <w:tr w:rsidR="007814FC" w:rsidRPr="00B5373E" w14:paraId="2C035908"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9AEE55" w14:textId="38D2717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lastRenderedPageBreak/>
              <w:t>Lilja</w:t>
            </w:r>
            <w:proofErr w:type="spellEnd"/>
            <w:r w:rsidRPr="00B5373E">
              <w:rPr>
                <w:rFonts w:eastAsia="Times New Roman" w:cs="Calibri"/>
                <w:noProof w:val="0"/>
                <w:sz w:val="18"/>
                <w:szCs w:val="18"/>
                <w:lang w:val="en-GB" w:eastAsia="en-GB"/>
              </w:rPr>
              <w:t>, Nilsson, et al., 2015</w:t>
            </w:r>
            <w:r w:rsidR="00712FFF" w:rsidRPr="00B5373E">
              <w:rPr>
                <w:rFonts w:eastAsia="Times New Roman" w:cs="Calibri"/>
                <w:noProof w:val="0"/>
                <w:sz w:val="18"/>
                <w:szCs w:val="18"/>
                <w:vertAlign w:val="superscript"/>
                <w:lang w:val="en-GB" w:eastAsia="en-GB"/>
              </w:rPr>
              <w:t>33</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E8E327" w14:textId="7E72C286"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DEAA88" w14:textId="60E7B885" w:rsidR="007814FC" w:rsidRPr="00B5373E" w:rsidRDefault="5A9A82F4" w:rsidP="261FA80A">
            <w:pPr>
              <w:spacing w:line="240" w:lineRule="auto"/>
              <w:ind w:right="57"/>
              <w:jc w:val="left"/>
              <w:rPr>
                <w:rFonts w:cs="Calibri"/>
                <w:sz w:val="18"/>
                <w:szCs w:val="18"/>
              </w:rPr>
            </w:pPr>
            <w:r w:rsidRPr="00B5373E">
              <w:rPr>
                <w:rFonts w:cs="Calibri"/>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2655F3" w14:textId="72D1A13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G1: 278; control STEMI: 119</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5B1554" w14:textId="3C91DF0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180 days</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B62BBD" w14:textId="6E43F6A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Global cognitive function (MMSE, IQCODE, 2SQ); </w:t>
            </w:r>
            <w:r w:rsidRPr="00B5373E">
              <w:rPr>
                <w:rFonts w:eastAsia="Times New Roman" w:cs="Calibri"/>
                <w:noProof w:val="0"/>
                <w:sz w:val="18"/>
                <w:szCs w:val="18"/>
                <w:lang w:val="en-GB" w:eastAsia="en-GB"/>
              </w:rPr>
              <w:br/>
              <w:t>Memory (RBMT); EF (FAB); Processing Speed (SDMT)</w:t>
            </w:r>
          </w:p>
        </w:tc>
        <w:tc>
          <w:tcPr>
            <w:tcW w:w="3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B8CB0C" w14:textId="3073012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NR; Sig correlations between </w:t>
            </w:r>
            <w:r w:rsidR="00780C09" w:rsidRPr="00B5373E">
              <w:rPr>
                <w:rFonts w:eastAsia="Times New Roman" w:cs="Calibri"/>
                <w:noProof w:val="0"/>
                <w:sz w:val="18"/>
                <w:szCs w:val="18"/>
                <w:lang w:val="en-GB" w:eastAsia="en-GB"/>
              </w:rPr>
              <w:t>neuro</w:t>
            </w:r>
            <w:r w:rsidRPr="00B5373E">
              <w:rPr>
                <w:rFonts w:eastAsia="Times New Roman" w:cs="Calibri"/>
                <w:noProof w:val="0"/>
                <w:sz w:val="18"/>
                <w:szCs w:val="18"/>
                <w:lang w:val="en-GB" w:eastAsia="en-GB"/>
              </w:rPr>
              <w:t xml:space="preserve">cognitive performance and psychological distress (HADS) </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4527FF3"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NR</w:t>
            </w:r>
          </w:p>
        </w:tc>
      </w:tr>
      <w:tr w:rsidR="007814FC" w:rsidRPr="00B5373E" w14:paraId="2587515F" w14:textId="77777777" w:rsidTr="00CC220A">
        <w:trPr>
          <w:trHeight w:val="4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7B53E3" w14:textId="3E15BA2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Lilja</w:t>
            </w:r>
            <w:proofErr w:type="spellEnd"/>
            <w:r w:rsidRPr="00B5373E">
              <w:rPr>
                <w:rFonts w:eastAsia="Times New Roman" w:cs="Calibri"/>
                <w:noProof w:val="0"/>
                <w:sz w:val="18"/>
                <w:szCs w:val="18"/>
                <w:lang w:val="en-GB" w:eastAsia="en-GB"/>
              </w:rPr>
              <w:t xml:space="preserve"> et al., 2018</w:t>
            </w:r>
            <w:r w:rsidR="00712FFF" w:rsidRPr="00B5373E">
              <w:rPr>
                <w:rFonts w:eastAsia="Times New Roman" w:cs="Calibri"/>
                <w:noProof w:val="0"/>
                <w:sz w:val="18"/>
                <w:szCs w:val="18"/>
                <w:vertAlign w:val="superscript"/>
                <w:lang w:val="en-GB" w:eastAsia="en-GB"/>
              </w:rPr>
              <w:t>22</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41CA99E" w14:textId="1515CF5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DD9D8C" w14:textId="1CB53671" w:rsidR="007814FC" w:rsidRPr="00B5373E" w:rsidRDefault="0FB4FAFB" w:rsidP="261FA80A">
            <w:pPr>
              <w:spacing w:line="240" w:lineRule="auto"/>
              <w:ind w:right="57"/>
              <w:jc w:val="left"/>
              <w:rPr>
                <w:rFonts w:cs="Calibri"/>
                <w:sz w:val="18"/>
                <w:szCs w:val="18"/>
              </w:rPr>
            </w:pPr>
            <w:r w:rsidRPr="00B5373E">
              <w:rPr>
                <w:rFonts w:cs="Calibri"/>
                <w:sz w:val="18"/>
                <w:szCs w:val="18"/>
              </w:rPr>
              <w:t>Pros</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D4F11AB" w14:textId="057E9CE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G1: 287; G2(control) 119</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C4C47A5" w14:textId="45FCD37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 mos</w:t>
            </w:r>
          </w:p>
        </w:tc>
        <w:tc>
          <w:tcPr>
            <w:tcW w:w="4449" w:type="dxa"/>
            <w:tcBorders>
              <w:top w:val="single" w:sz="4" w:space="0" w:color="auto"/>
              <w:left w:val="nil"/>
              <w:bottom w:val="single" w:sz="4" w:space="0" w:color="auto"/>
              <w:right w:val="single" w:sz="4" w:space="0" w:color="auto"/>
            </w:tcBorders>
            <w:shd w:val="clear" w:color="auto" w:fill="FFFFFF" w:themeFill="background1"/>
            <w:vAlign w:val="bottom"/>
            <w:hideMark/>
          </w:tcPr>
          <w:p w14:paraId="714DE5FB" w14:textId="021F0D4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Memory (RBMT); EF (FAB); Processing Speed (SDMT) </w:t>
            </w:r>
          </w:p>
        </w:tc>
        <w:tc>
          <w:tcPr>
            <w:tcW w:w="3246"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7CC911"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47%; specific details NR</w:t>
            </w:r>
          </w:p>
        </w:tc>
        <w:tc>
          <w:tcPr>
            <w:tcW w:w="1835" w:type="dxa"/>
            <w:tcBorders>
              <w:top w:val="single" w:sz="4" w:space="0" w:color="auto"/>
              <w:left w:val="nil"/>
              <w:bottom w:val="single" w:sz="4" w:space="0" w:color="auto"/>
              <w:right w:val="single" w:sz="4" w:space="0" w:color="auto"/>
            </w:tcBorders>
            <w:shd w:val="clear" w:color="auto" w:fill="FFFFFF" w:themeFill="background1"/>
            <w:vAlign w:val="bottom"/>
            <w:hideMark/>
          </w:tcPr>
          <w:p w14:paraId="523A66D1" w14:textId="66A33DCA"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RBMT &lt; 22; FAB &lt; 14; SDMT </w:t>
            </w:r>
            <w:r w:rsidR="00623873" w:rsidRPr="00B5373E">
              <w:rPr>
                <w:rFonts w:eastAsia="Times New Roman" w:cs="Calibri"/>
                <w:noProof w:val="0"/>
                <w:sz w:val="18"/>
                <w:szCs w:val="18"/>
                <w:lang w:val="en-GB" w:eastAsia="en-GB"/>
              </w:rPr>
              <w:t>1.5 SDs</w:t>
            </w:r>
          </w:p>
        </w:tc>
      </w:tr>
      <w:tr w:rsidR="007814FC" w:rsidRPr="00B5373E" w14:paraId="0704B2FE" w14:textId="77777777" w:rsidTr="00CC220A">
        <w:trPr>
          <w:trHeight w:val="49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3495D23" w14:textId="277CDEF5" w:rsidR="007814FC" w:rsidRPr="00B5373E" w:rsidRDefault="05EF0168"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Lilja</w:t>
            </w:r>
            <w:proofErr w:type="spellEnd"/>
            <w:r w:rsidRPr="00B5373E">
              <w:rPr>
                <w:rFonts w:eastAsia="Times New Roman" w:cs="Calibri"/>
                <w:noProof w:val="0"/>
                <w:sz w:val="18"/>
                <w:szCs w:val="18"/>
                <w:lang w:val="en-GB" w:eastAsia="en-GB"/>
              </w:rPr>
              <w:t>, Nielsen et al., 2015</w:t>
            </w:r>
            <w:r w:rsidR="00712FFF" w:rsidRPr="00B5373E">
              <w:rPr>
                <w:rFonts w:eastAsia="Times New Roman" w:cs="Calibri"/>
                <w:noProof w:val="0"/>
                <w:sz w:val="18"/>
                <w:szCs w:val="18"/>
                <w:vertAlign w:val="superscript"/>
                <w:lang w:val="en-GB" w:eastAsia="en-GB"/>
              </w:rPr>
              <w:t>4</w:t>
            </w:r>
            <w:r w:rsidR="2BDE9ED1" w:rsidRPr="00B5373E">
              <w:rPr>
                <w:rFonts w:eastAsia="Times New Roman" w:cs="Calibri"/>
                <w:noProof w:val="0"/>
                <w:sz w:val="18"/>
                <w:szCs w:val="18"/>
                <w:vertAlign w:val="superscript"/>
                <w:lang w:val="en-GB" w:eastAsia="en-GB"/>
              </w:rPr>
              <w:t>6</w:t>
            </w:r>
          </w:p>
        </w:tc>
        <w:tc>
          <w:tcPr>
            <w:tcW w:w="70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5E07CF55" w14:textId="7BB0C5B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4F231D8D" w14:textId="547F3F17" w:rsidR="007814FC" w:rsidRPr="00B5373E" w:rsidRDefault="447A68E4" w:rsidP="261FA80A">
            <w:pPr>
              <w:spacing w:line="240" w:lineRule="auto"/>
              <w:ind w:right="57"/>
              <w:jc w:val="left"/>
              <w:rPr>
                <w:rFonts w:cs="Calibri"/>
                <w:sz w:val="18"/>
                <w:szCs w:val="18"/>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16C19B6C" w14:textId="11F53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as above</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62420112" w14:textId="28FD0F2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 mos</w:t>
            </w:r>
          </w:p>
        </w:tc>
        <w:tc>
          <w:tcPr>
            <w:tcW w:w="4449" w:type="dxa"/>
            <w:tcBorders>
              <w:top w:val="nil"/>
              <w:left w:val="nil"/>
              <w:bottom w:val="single" w:sz="4" w:space="0" w:color="auto"/>
              <w:right w:val="single" w:sz="4" w:space="0" w:color="auto"/>
            </w:tcBorders>
            <w:shd w:val="clear" w:color="auto" w:fill="FFFFFF" w:themeFill="background1"/>
            <w:vAlign w:val="bottom"/>
            <w:hideMark/>
          </w:tcPr>
          <w:p w14:paraId="4086E753" w14:textId="620E864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Memory (RBMT); EF (FAB); Processing Speed (SDMT) </w:t>
            </w:r>
          </w:p>
        </w:tc>
        <w:tc>
          <w:tcPr>
            <w:tcW w:w="3246" w:type="dxa"/>
            <w:tcBorders>
              <w:top w:val="nil"/>
              <w:left w:val="nil"/>
              <w:bottom w:val="single" w:sz="4" w:space="0" w:color="auto"/>
              <w:right w:val="single" w:sz="4" w:space="0" w:color="auto"/>
            </w:tcBorders>
            <w:shd w:val="clear" w:color="auto" w:fill="FFFFFF" w:themeFill="background1"/>
            <w:vAlign w:val="bottom"/>
            <w:hideMark/>
          </w:tcPr>
          <w:p w14:paraId="12652C4E"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RBMT 51-58%; FAB 20-23%; SDMT 52-57% </w:t>
            </w:r>
          </w:p>
        </w:tc>
        <w:tc>
          <w:tcPr>
            <w:tcW w:w="1835" w:type="dxa"/>
            <w:tcBorders>
              <w:top w:val="nil"/>
              <w:left w:val="nil"/>
              <w:bottom w:val="single" w:sz="4" w:space="0" w:color="auto"/>
              <w:right w:val="single" w:sz="4" w:space="0" w:color="auto"/>
            </w:tcBorders>
            <w:shd w:val="clear" w:color="auto" w:fill="FFFFFF" w:themeFill="background1"/>
            <w:vAlign w:val="bottom"/>
            <w:hideMark/>
          </w:tcPr>
          <w:p w14:paraId="4E6154F2" w14:textId="7E602A5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RBMT &lt; 22; FAB &lt; 14; </w:t>
            </w:r>
            <w:r w:rsidR="00623873" w:rsidRPr="00B5373E">
              <w:rPr>
                <w:rFonts w:eastAsia="Times New Roman" w:cs="Calibri"/>
                <w:noProof w:val="0"/>
                <w:sz w:val="18"/>
                <w:szCs w:val="18"/>
                <w:lang w:val="en-GB" w:eastAsia="en-GB"/>
              </w:rPr>
              <w:t>SDMT 1.5 SDs</w:t>
            </w:r>
          </w:p>
        </w:tc>
      </w:tr>
      <w:tr w:rsidR="007814FC" w:rsidRPr="00B5373E" w14:paraId="417D8D3D" w14:textId="77777777" w:rsidTr="00CC220A">
        <w:trPr>
          <w:trHeight w:val="145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535D0A" w14:textId="64DA15CD" w:rsidR="007814FC" w:rsidRPr="00B5373E" w:rsidRDefault="05EF0168" w:rsidP="7A679DD0">
            <w:pPr>
              <w:spacing w:line="240" w:lineRule="auto"/>
              <w:ind w:right="57"/>
              <w:jc w:val="left"/>
              <w:outlineLvl w:val="0"/>
              <w:rPr>
                <w:rFonts w:eastAsia="Times New Roman" w:cs="Calibri"/>
                <w:noProof w:val="0"/>
                <w:sz w:val="18"/>
                <w:szCs w:val="18"/>
                <w:vertAlign w:val="superscript"/>
                <w:lang w:val="en-GB" w:eastAsia="en-GB"/>
              </w:rPr>
            </w:pPr>
            <w:r w:rsidRPr="00B5373E">
              <w:rPr>
                <w:rFonts w:eastAsia="Times New Roman" w:cs="Calibri"/>
                <w:noProof w:val="0"/>
                <w:sz w:val="18"/>
                <w:szCs w:val="18"/>
                <w:lang w:val="en-GB" w:eastAsia="en-GB"/>
              </w:rPr>
              <w:t>Lim et al., 2014</w:t>
            </w:r>
            <w:r w:rsidR="006A3154" w:rsidRPr="00B5373E">
              <w:rPr>
                <w:rFonts w:eastAsia="Times New Roman" w:cs="Calibri"/>
                <w:noProof w:val="0"/>
                <w:sz w:val="18"/>
                <w:szCs w:val="18"/>
                <w:vertAlign w:val="superscript"/>
                <w:lang w:val="en-GB" w:eastAsia="en-GB"/>
              </w:rPr>
              <w:t>4</w:t>
            </w:r>
            <w:r w:rsidR="42801892" w:rsidRPr="00B5373E">
              <w:rPr>
                <w:rFonts w:eastAsia="Times New Roman" w:cs="Calibri"/>
                <w:noProof w:val="0"/>
                <w:sz w:val="18"/>
                <w:szCs w:val="18"/>
                <w:vertAlign w:val="superscript"/>
                <w:lang w:val="en-GB" w:eastAsia="en-GB"/>
              </w:rPr>
              <w:t>7</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B1CCF8" w14:textId="3072BE7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827A17" w14:textId="4ED8318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Pros </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36572D" w14:textId="6894EB9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G1: 25; G2 (con, ACS): 27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4A425E" w14:textId="20E8387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3 mos, 12 mos</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252D43" w14:textId="3B307A2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Premorbid function (ANART); </w:t>
            </w:r>
            <w:r w:rsidRPr="00B5373E">
              <w:rPr>
                <w:rFonts w:eastAsia="Times New Roman" w:cs="Calibri"/>
                <w:noProof w:val="0"/>
                <w:sz w:val="18"/>
                <w:szCs w:val="18"/>
                <w:lang w:val="en-GB" w:eastAsia="en-GB"/>
              </w:rPr>
              <w:br/>
              <w:t xml:space="preserve">Memory (RAVLT, BVMT-R); </w:t>
            </w:r>
            <w:r w:rsidRPr="00B5373E">
              <w:rPr>
                <w:rFonts w:eastAsia="Times New Roman" w:cs="Calibri"/>
                <w:noProof w:val="0"/>
                <w:sz w:val="18"/>
                <w:szCs w:val="18"/>
                <w:lang w:val="en-GB" w:eastAsia="en-GB"/>
              </w:rPr>
              <w:br/>
              <w:t>EF (Trails</w:t>
            </w:r>
            <w:r w:rsidR="00FF262D" w:rsidRPr="00B5373E">
              <w:rPr>
                <w:rFonts w:eastAsia="Times New Roman" w:cs="Calibri"/>
                <w:noProof w:val="0"/>
                <w:sz w:val="18"/>
                <w:szCs w:val="18"/>
                <w:lang w:val="en-GB" w:eastAsia="en-GB"/>
              </w:rPr>
              <w:t xml:space="preserve"> </w:t>
            </w:r>
            <w:r w:rsidRPr="00B5373E">
              <w:rPr>
                <w:rFonts w:eastAsia="Times New Roman" w:cs="Calibri"/>
                <w:noProof w:val="0"/>
                <w:sz w:val="18"/>
                <w:szCs w:val="18"/>
                <w:lang w:val="en-GB" w:eastAsia="en-GB"/>
              </w:rPr>
              <w:t xml:space="preserve">B, VF, WCST); </w:t>
            </w:r>
            <w:r w:rsidRPr="00B5373E">
              <w:rPr>
                <w:rFonts w:eastAsia="Times New Roman" w:cs="Calibri"/>
                <w:noProof w:val="0"/>
                <w:sz w:val="18"/>
                <w:szCs w:val="18"/>
                <w:lang w:val="en-GB" w:eastAsia="en-GB"/>
              </w:rPr>
              <w:br/>
              <w:t xml:space="preserve">Language (BNT, PPV); </w:t>
            </w:r>
            <w:r w:rsidRPr="00B5373E">
              <w:rPr>
                <w:rFonts w:eastAsia="Times New Roman" w:cs="Calibri"/>
                <w:noProof w:val="0"/>
                <w:sz w:val="18"/>
                <w:szCs w:val="18"/>
                <w:lang w:val="en-GB" w:eastAsia="en-GB"/>
              </w:rPr>
              <w:br/>
              <w:t xml:space="preserve">Visuo-perceptual (JOL, Number location, Visual discrimination); </w:t>
            </w:r>
            <w:r w:rsidRPr="00B5373E">
              <w:rPr>
                <w:rFonts w:eastAsia="Times New Roman" w:cs="Calibri"/>
                <w:noProof w:val="0"/>
                <w:sz w:val="18"/>
                <w:szCs w:val="18"/>
                <w:lang w:val="en-GB" w:eastAsia="en-GB"/>
              </w:rPr>
              <w:br/>
            </w:r>
            <w:r w:rsidR="00FB0CB2" w:rsidRPr="00B5373E">
              <w:rPr>
                <w:rFonts w:eastAsia="Times New Roman" w:cs="Calibri"/>
                <w:noProof w:val="0"/>
                <w:sz w:val="18"/>
                <w:szCs w:val="18"/>
                <w:lang w:val="en-GB" w:eastAsia="en-GB"/>
              </w:rPr>
              <w:t>Psychomotor</w:t>
            </w:r>
            <w:r w:rsidRPr="00B5373E">
              <w:rPr>
                <w:rFonts w:eastAsia="Times New Roman" w:cs="Calibri"/>
                <w:noProof w:val="0"/>
                <w:sz w:val="18"/>
                <w:szCs w:val="18"/>
                <w:lang w:val="en-GB" w:eastAsia="en-GB"/>
              </w:rPr>
              <w:t xml:space="preserve"> (Trails</w:t>
            </w:r>
            <w:r w:rsidR="00FF262D" w:rsidRPr="00B5373E">
              <w:rPr>
                <w:rFonts w:eastAsia="Times New Roman" w:cs="Calibri"/>
                <w:noProof w:val="0"/>
                <w:sz w:val="18"/>
                <w:szCs w:val="18"/>
                <w:lang w:val="en-GB" w:eastAsia="en-GB"/>
              </w:rPr>
              <w:t xml:space="preserve"> </w:t>
            </w:r>
            <w:r w:rsidRPr="00B5373E">
              <w:rPr>
                <w:rFonts w:eastAsia="Times New Roman" w:cs="Calibri"/>
                <w:noProof w:val="0"/>
                <w:sz w:val="18"/>
                <w:szCs w:val="18"/>
                <w:lang w:val="en-GB" w:eastAsia="en-GB"/>
              </w:rPr>
              <w:t xml:space="preserve">A,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 Finger tapping)</w:t>
            </w:r>
          </w:p>
        </w:tc>
        <w:tc>
          <w:tcPr>
            <w:tcW w:w="3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463B01" w14:textId="029ACD6F"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T1</w:t>
            </w:r>
            <w:r w:rsidR="00FB0CB2" w:rsidRPr="00B5373E">
              <w:rPr>
                <w:rFonts w:eastAsia="Times New Roman" w:cs="Calibri"/>
                <w:noProof w:val="0"/>
                <w:sz w:val="18"/>
                <w:szCs w:val="18"/>
                <w:lang w:val="en-GB" w:eastAsia="en-GB"/>
              </w:rPr>
              <w:t xml:space="preserve">: see </w:t>
            </w:r>
            <w:r w:rsidRPr="00B5373E">
              <w:rPr>
                <w:rFonts w:eastAsia="Times New Roman" w:cs="Calibri"/>
                <w:noProof w:val="0"/>
                <w:sz w:val="18"/>
                <w:szCs w:val="18"/>
                <w:lang w:val="en-GB" w:eastAsia="en-GB"/>
              </w:rPr>
              <w:t xml:space="preserve">Alexander </w:t>
            </w:r>
            <w:r w:rsidR="00FB0CB2" w:rsidRPr="00B5373E">
              <w:rPr>
                <w:rFonts w:eastAsia="Times New Roman" w:cs="Calibri"/>
                <w:noProof w:val="0"/>
                <w:sz w:val="18"/>
                <w:szCs w:val="18"/>
                <w:lang w:val="en-GB" w:eastAsia="en-GB"/>
              </w:rPr>
              <w:t>et</w:t>
            </w:r>
            <w:r w:rsidRPr="00B5373E">
              <w:rPr>
                <w:rFonts w:eastAsia="Times New Roman" w:cs="Calibri"/>
                <w:noProof w:val="0"/>
                <w:sz w:val="18"/>
                <w:szCs w:val="18"/>
                <w:lang w:val="en-GB" w:eastAsia="en-GB"/>
              </w:rPr>
              <w:t xml:space="preserve"> al., 2011; </w:t>
            </w:r>
            <w:r w:rsidR="00FB0CB2" w:rsidRPr="00B5373E">
              <w:rPr>
                <w:rFonts w:eastAsia="Times New Roman" w:cs="Calibri"/>
                <w:noProof w:val="0"/>
                <w:sz w:val="18"/>
                <w:szCs w:val="18"/>
                <w:lang w:val="en-GB" w:eastAsia="en-GB"/>
              </w:rPr>
              <w:br/>
            </w:r>
            <w:r w:rsidRPr="00B5373E">
              <w:rPr>
                <w:rFonts w:eastAsia="Times New Roman" w:cs="Calibri"/>
                <w:noProof w:val="0"/>
                <w:sz w:val="18"/>
                <w:szCs w:val="18"/>
                <w:lang w:val="en-GB" w:eastAsia="en-GB"/>
              </w:rPr>
              <w:t>T2</w:t>
            </w:r>
            <w:r w:rsidR="00FB0CB2" w:rsidRPr="00B5373E">
              <w:rPr>
                <w:rFonts w:eastAsia="Times New Roman" w:cs="Calibri"/>
                <w:noProof w:val="0"/>
                <w:sz w:val="18"/>
                <w:szCs w:val="18"/>
                <w:lang w:val="en-GB" w:eastAsia="en-GB"/>
              </w:rPr>
              <w:t xml:space="preserve">: </w:t>
            </w:r>
            <w:r w:rsidRPr="00B5373E">
              <w:rPr>
                <w:rFonts w:eastAsia="Times New Roman" w:cs="Calibri"/>
                <w:noProof w:val="0"/>
                <w:sz w:val="18"/>
                <w:szCs w:val="18"/>
                <w:lang w:val="en-GB" w:eastAsia="en-GB"/>
              </w:rPr>
              <w:t>Memory 64%</w:t>
            </w:r>
            <w:r w:rsidR="00FB0CB2" w:rsidRPr="00B5373E">
              <w:rPr>
                <w:rFonts w:eastAsia="Times New Roman" w:cs="Calibri"/>
                <w:noProof w:val="0"/>
                <w:sz w:val="18"/>
                <w:szCs w:val="18"/>
                <w:lang w:val="en-GB" w:eastAsia="en-GB"/>
              </w:rPr>
              <w:t>;</w:t>
            </w:r>
            <w:r w:rsidRPr="00B5373E">
              <w:rPr>
                <w:rFonts w:eastAsia="Times New Roman" w:cs="Calibri"/>
                <w:noProof w:val="0"/>
                <w:sz w:val="18"/>
                <w:szCs w:val="18"/>
                <w:lang w:val="en-GB" w:eastAsia="en-GB"/>
              </w:rPr>
              <w:t xml:space="preserve"> E</w:t>
            </w:r>
            <w:r w:rsidR="00FB0CB2" w:rsidRPr="00B5373E">
              <w:rPr>
                <w:rFonts w:eastAsia="Times New Roman" w:cs="Calibri"/>
                <w:noProof w:val="0"/>
                <w:sz w:val="18"/>
                <w:szCs w:val="18"/>
                <w:lang w:val="en-GB" w:eastAsia="en-GB"/>
              </w:rPr>
              <w:t>F</w:t>
            </w:r>
            <w:r w:rsidRPr="00B5373E">
              <w:rPr>
                <w:rFonts w:eastAsia="Times New Roman" w:cs="Calibri"/>
                <w:noProof w:val="0"/>
                <w:sz w:val="18"/>
                <w:szCs w:val="18"/>
                <w:lang w:val="en-GB" w:eastAsia="en-GB"/>
              </w:rPr>
              <w:t xml:space="preserve"> 32</w:t>
            </w:r>
            <w:r w:rsidR="00FB0CB2" w:rsidRPr="00B5373E">
              <w:rPr>
                <w:rFonts w:eastAsia="Times New Roman" w:cs="Calibri"/>
                <w:noProof w:val="0"/>
                <w:sz w:val="18"/>
                <w:szCs w:val="18"/>
                <w:lang w:val="en-GB" w:eastAsia="en-GB"/>
              </w:rPr>
              <w:t>%;</w:t>
            </w:r>
            <w:r w:rsidRPr="00B5373E">
              <w:rPr>
                <w:rFonts w:eastAsia="Times New Roman" w:cs="Calibri"/>
                <w:noProof w:val="0"/>
                <w:sz w:val="18"/>
                <w:szCs w:val="18"/>
                <w:lang w:val="en-GB" w:eastAsia="en-GB"/>
              </w:rPr>
              <w:t xml:space="preserve"> Semantic</w:t>
            </w:r>
            <w:r w:rsidR="00FB0CB2" w:rsidRPr="00B5373E">
              <w:rPr>
                <w:rFonts w:eastAsia="Times New Roman" w:cs="Calibri"/>
                <w:noProof w:val="0"/>
                <w:sz w:val="18"/>
                <w:szCs w:val="18"/>
                <w:lang w:val="en-GB" w:eastAsia="en-GB"/>
              </w:rPr>
              <w:t xml:space="preserve"> 24%; V-P 2</w:t>
            </w:r>
            <w:r w:rsidRPr="00B5373E">
              <w:rPr>
                <w:rFonts w:eastAsia="Times New Roman" w:cs="Calibri"/>
                <w:noProof w:val="0"/>
                <w:sz w:val="18"/>
                <w:szCs w:val="18"/>
                <w:lang w:val="en-GB" w:eastAsia="en-GB"/>
              </w:rPr>
              <w:t>8</w:t>
            </w:r>
            <w:r w:rsidR="00FB0CB2" w:rsidRPr="00B5373E">
              <w:rPr>
                <w:rFonts w:eastAsia="Times New Roman" w:cs="Calibri"/>
                <w:noProof w:val="0"/>
                <w:sz w:val="18"/>
                <w:szCs w:val="18"/>
                <w:lang w:val="en-GB" w:eastAsia="en-GB"/>
              </w:rPr>
              <w:t xml:space="preserve">%; </w:t>
            </w:r>
            <w:r w:rsidRPr="00B5373E">
              <w:rPr>
                <w:rFonts w:eastAsia="Times New Roman" w:cs="Calibri"/>
                <w:noProof w:val="0"/>
                <w:sz w:val="18"/>
                <w:szCs w:val="18"/>
                <w:lang w:val="en-GB" w:eastAsia="en-GB"/>
              </w:rPr>
              <w:t>Psychomotor</w:t>
            </w:r>
            <w:r w:rsidR="00FB0CB2" w:rsidRPr="00B5373E">
              <w:rPr>
                <w:rFonts w:eastAsia="Times New Roman" w:cs="Calibri"/>
                <w:noProof w:val="0"/>
                <w:sz w:val="18"/>
                <w:szCs w:val="18"/>
                <w:lang w:val="en-GB" w:eastAsia="en-GB"/>
              </w:rPr>
              <w:t xml:space="preserve"> 52%</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528322" w14:textId="061795F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Norms, Composite z-score</w:t>
            </w:r>
          </w:p>
        </w:tc>
      </w:tr>
      <w:tr w:rsidR="007814FC" w:rsidRPr="00B5373E" w14:paraId="25342752"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A0277E" w14:textId="6784CD58" w:rsidR="007814FC" w:rsidRPr="00B5373E" w:rsidRDefault="05EF0168"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Longstreth</w:t>
            </w:r>
            <w:proofErr w:type="spellEnd"/>
            <w:r w:rsidRPr="00B5373E">
              <w:rPr>
                <w:rFonts w:eastAsia="Times New Roman" w:cs="Calibri"/>
                <w:noProof w:val="0"/>
                <w:sz w:val="18"/>
                <w:szCs w:val="18"/>
                <w:lang w:val="en-GB" w:eastAsia="en-GB"/>
              </w:rPr>
              <w:t xml:space="preserve"> et al., 2010</w:t>
            </w:r>
            <w:r w:rsidR="006A3154" w:rsidRPr="00B5373E">
              <w:rPr>
                <w:rFonts w:eastAsia="Times New Roman" w:cs="Calibri"/>
                <w:noProof w:val="0"/>
                <w:sz w:val="18"/>
                <w:szCs w:val="18"/>
                <w:vertAlign w:val="superscript"/>
                <w:lang w:val="en-GB" w:eastAsia="en-GB"/>
              </w:rPr>
              <w:t>4</w:t>
            </w:r>
            <w:r w:rsidR="40433192" w:rsidRPr="00B5373E">
              <w:rPr>
                <w:rFonts w:eastAsia="Times New Roman" w:cs="Calibri"/>
                <w:noProof w:val="0"/>
                <w:sz w:val="18"/>
                <w:szCs w:val="18"/>
                <w:vertAlign w:val="superscript"/>
                <w:lang w:val="en-GB" w:eastAsia="en-GB"/>
              </w:rPr>
              <w:t>8</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2F248B9" w14:textId="028F9F2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F7D89BB" w14:textId="0A281EDE" w:rsidR="007814FC" w:rsidRPr="00B5373E" w:rsidRDefault="007814FC" w:rsidP="261FA80A">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Pros </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8B83FC2" w14:textId="6891B64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32</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9AD0824" w14:textId="41DC935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~3 mos</w:t>
            </w:r>
          </w:p>
        </w:tc>
        <w:tc>
          <w:tcPr>
            <w:tcW w:w="4449"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17C772" w14:textId="0D0D136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Global cognitive function (ALFI-MMSE; 2SQs)</w:t>
            </w:r>
          </w:p>
        </w:tc>
        <w:tc>
          <w:tcPr>
            <w:tcW w:w="3246" w:type="dxa"/>
            <w:tcBorders>
              <w:top w:val="single" w:sz="4" w:space="0" w:color="auto"/>
              <w:left w:val="nil"/>
              <w:bottom w:val="single" w:sz="4" w:space="0" w:color="auto"/>
              <w:right w:val="single" w:sz="4" w:space="0" w:color="auto"/>
            </w:tcBorders>
            <w:shd w:val="clear" w:color="auto" w:fill="FFFFFF" w:themeFill="background1"/>
            <w:vAlign w:val="bottom"/>
            <w:hideMark/>
          </w:tcPr>
          <w:p w14:paraId="424B1C82"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2SQs 25%</w:t>
            </w:r>
          </w:p>
        </w:tc>
        <w:tc>
          <w:tcPr>
            <w:tcW w:w="1835" w:type="dxa"/>
            <w:tcBorders>
              <w:top w:val="single" w:sz="4" w:space="0" w:color="auto"/>
              <w:left w:val="nil"/>
              <w:bottom w:val="single" w:sz="4" w:space="0" w:color="auto"/>
              <w:right w:val="single" w:sz="4" w:space="0" w:color="auto"/>
            </w:tcBorders>
            <w:shd w:val="clear" w:color="auto" w:fill="FFFFFF" w:themeFill="background1"/>
            <w:vAlign w:val="bottom"/>
            <w:hideMark/>
          </w:tcPr>
          <w:p w14:paraId="569174A1"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Raw scores</w:t>
            </w:r>
          </w:p>
        </w:tc>
      </w:tr>
      <w:tr w:rsidR="007814FC" w:rsidRPr="00B5373E" w14:paraId="75E9158A" w14:textId="77777777" w:rsidTr="00CC220A">
        <w:trPr>
          <w:trHeight w:val="73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CD53EAB" w14:textId="37647DF3" w:rsidR="007814FC" w:rsidRPr="00B5373E" w:rsidRDefault="05EF0168"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Mateen et al., 2011</w:t>
            </w:r>
            <w:r w:rsidR="006A3154" w:rsidRPr="00B5373E">
              <w:rPr>
                <w:rFonts w:eastAsia="Times New Roman" w:cs="Calibri"/>
                <w:noProof w:val="0"/>
                <w:sz w:val="18"/>
                <w:szCs w:val="18"/>
                <w:vertAlign w:val="superscript"/>
                <w:lang w:val="en-GB" w:eastAsia="en-GB"/>
              </w:rPr>
              <w:t>4</w:t>
            </w:r>
            <w:r w:rsidR="2A679FE4" w:rsidRPr="00B5373E">
              <w:rPr>
                <w:rFonts w:eastAsia="Times New Roman" w:cs="Calibri"/>
                <w:noProof w:val="0"/>
                <w:sz w:val="18"/>
                <w:szCs w:val="18"/>
                <w:vertAlign w:val="superscript"/>
                <w:lang w:val="en-GB" w:eastAsia="en-GB"/>
              </w:rPr>
              <w:t>9</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4836D03" w14:textId="79468D9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D83C224" w14:textId="22B3C230"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Retro</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AC0BA35" w14:textId="7D62770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47</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337804F" w14:textId="572C738D"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7.8 yrs (median)</w:t>
            </w:r>
          </w:p>
        </w:tc>
        <w:tc>
          <w:tcPr>
            <w:tcW w:w="4449" w:type="dxa"/>
            <w:tcBorders>
              <w:top w:val="nil"/>
              <w:left w:val="nil"/>
              <w:bottom w:val="single" w:sz="4" w:space="0" w:color="auto"/>
              <w:right w:val="single" w:sz="4" w:space="0" w:color="auto"/>
            </w:tcBorders>
            <w:shd w:val="clear" w:color="auto" w:fill="FFFFFF" w:themeFill="background1"/>
            <w:vAlign w:val="bottom"/>
            <w:hideMark/>
          </w:tcPr>
          <w:p w14:paraId="7BD203B4" w14:textId="50979B8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Global cognitive function (MMSE), </w:t>
            </w:r>
            <w:r w:rsidRPr="00B5373E">
              <w:rPr>
                <w:rFonts w:eastAsia="Times New Roman" w:cs="Calibri"/>
                <w:noProof w:val="0"/>
                <w:sz w:val="18"/>
                <w:szCs w:val="18"/>
                <w:lang w:val="en-GB" w:eastAsia="en-GB"/>
              </w:rPr>
              <w:br/>
              <w:t xml:space="preserve">General cognitive ability (WASI -MR, block design), </w:t>
            </w:r>
            <w:r w:rsidRPr="00B5373E">
              <w:rPr>
                <w:rFonts w:eastAsia="Times New Roman" w:cs="Calibri"/>
                <w:noProof w:val="0"/>
                <w:sz w:val="18"/>
                <w:szCs w:val="18"/>
                <w:lang w:val="en-GB" w:eastAsia="en-GB"/>
              </w:rPr>
              <w:br/>
              <w:t xml:space="preserve">Memory (RAVLT), </w:t>
            </w:r>
            <w:r w:rsidRPr="00B5373E">
              <w:rPr>
                <w:rFonts w:eastAsia="Times New Roman" w:cs="Calibri"/>
                <w:noProof w:val="0"/>
                <w:sz w:val="18"/>
                <w:szCs w:val="18"/>
                <w:lang w:val="en-GB" w:eastAsia="en-GB"/>
              </w:rPr>
              <w:br/>
              <w:t xml:space="preserve">Language (COWAT), </w:t>
            </w:r>
            <w:r w:rsidRPr="00B5373E">
              <w:rPr>
                <w:rFonts w:eastAsia="Times New Roman" w:cs="Calibri"/>
                <w:noProof w:val="0"/>
                <w:sz w:val="18"/>
                <w:szCs w:val="18"/>
                <w:lang w:val="en-GB" w:eastAsia="en-GB"/>
              </w:rPr>
              <w:br/>
              <w:t>EF (Stroop, Trails A &amp; B)</w:t>
            </w:r>
          </w:p>
        </w:tc>
        <w:tc>
          <w:tcPr>
            <w:tcW w:w="3246" w:type="dxa"/>
            <w:tcBorders>
              <w:top w:val="nil"/>
              <w:left w:val="nil"/>
              <w:bottom w:val="single" w:sz="4" w:space="0" w:color="auto"/>
              <w:right w:val="single" w:sz="4" w:space="0" w:color="auto"/>
            </w:tcBorders>
            <w:shd w:val="clear" w:color="auto" w:fill="FFFFFF" w:themeFill="background1"/>
            <w:vAlign w:val="bottom"/>
            <w:hideMark/>
          </w:tcPr>
          <w:p w14:paraId="42E50B93" w14:textId="77777777" w:rsidR="007814FC" w:rsidRPr="00B5373E" w:rsidRDefault="007814FC" w:rsidP="007F0CD0">
            <w:pPr>
              <w:spacing w:line="240" w:lineRule="auto"/>
              <w:ind w:right="57"/>
              <w:jc w:val="left"/>
              <w:outlineLvl w:val="0"/>
              <w:rPr>
                <w:rFonts w:eastAsia="Times New Roman" w:cs="Calibri"/>
                <w:noProof w:val="0"/>
                <w:color w:val="444444"/>
                <w:sz w:val="18"/>
                <w:szCs w:val="18"/>
                <w:lang w:val="en-GB" w:eastAsia="en-GB"/>
              </w:rPr>
            </w:pPr>
            <w:r w:rsidRPr="00B5373E">
              <w:rPr>
                <w:rFonts w:eastAsia="Times New Roman" w:cs="Calibri"/>
                <w:noProof w:val="0"/>
                <w:color w:val="444444"/>
                <w:sz w:val="18"/>
                <w:szCs w:val="18"/>
                <w:lang w:val="en-GB" w:eastAsia="en-GB"/>
              </w:rPr>
              <w:t>MMSE 4%; WASI: 4%; AVLT: 24-38%; Trails 17%, Stroop 11%</w:t>
            </w:r>
          </w:p>
        </w:tc>
        <w:tc>
          <w:tcPr>
            <w:tcW w:w="1835" w:type="dxa"/>
            <w:tcBorders>
              <w:top w:val="nil"/>
              <w:left w:val="nil"/>
              <w:bottom w:val="single" w:sz="4" w:space="0" w:color="auto"/>
              <w:right w:val="single" w:sz="4" w:space="0" w:color="auto"/>
            </w:tcBorders>
            <w:shd w:val="clear" w:color="auto" w:fill="FFFFFF" w:themeFill="background1"/>
            <w:vAlign w:val="bottom"/>
            <w:hideMark/>
          </w:tcPr>
          <w:p w14:paraId="67F9D18E" w14:textId="4C2662E6" w:rsidR="007814FC" w:rsidRPr="00B5373E" w:rsidRDefault="5A28C999"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Norms; </w:t>
            </w:r>
            <w:r w:rsidR="75340CCD" w:rsidRPr="00B5373E">
              <w:rPr>
                <w:rFonts w:eastAsia="Times New Roman" w:cs="Calibri"/>
                <w:noProof w:val="0"/>
                <w:sz w:val="18"/>
                <w:szCs w:val="18"/>
                <w:lang w:val="en-GB" w:eastAsia="en-GB"/>
              </w:rPr>
              <w:t>1</w:t>
            </w:r>
            <w:r w:rsidRPr="00B5373E">
              <w:rPr>
                <w:rFonts w:eastAsia="Times New Roman" w:cs="Calibri"/>
                <w:noProof w:val="0"/>
                <w:sz w:val="18"/>
                <w:szCs w:val="18"/>
                <w:lang w:val="en-GB" w:eastAsia="en-GB"/>
              </w:rPr>
              <w:t xml:space="preserve"> SD</w:t>
            </w:r>
            <w:r w:rsidR="007814FC" w:rsidRPr="00B5373E">
              <w:br/>
            </w:r>
          </w:p>
        </w:tc>
      </w:tr>
      <w:tr w:rsidR="007814FC" w:rsidRPr="00B5373E" w14:paraId="090B804F" w14:textId="77777777" w:rsidTr="00CC220A">
        <w:trPr>
          <w:trHeight w:val="29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9EC50FD" w14:textId="7CF49342"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Moulaert</w:t>
            </w:r>
            <w:proofErr w:type="spellEnd"/>
            <w:r w:rsidRPr="00B5373E">
              <w:rPr>
                <w:rFonts w:eastAsia="Times New Roman" w:cs="Calibri"/>
                <w:noProof w:val="0"/>
                <w:sz w:val="18"/>
                <w:szCs w:val="18"/>
                <w:lang w:val="en-GB" w:eastAsia="en-GB"/>
              </w:rPr>
              <w:t xml:space="preserve"> et al., 2010</w:t>
            </w:r>
            <w:r w:rsidR="006A3154" w:rsidRPr="00B5373E">
              <w:rPr>
                <w:rFonts w:eastAsia="Times New Roman" w:cs="Calibri"/>
                <w:noProof w:val="0"/>
                <w:sz w:val="18"/>
                <w:szCs w:val="18"/>
                <w:vertAlign w:val="superscript"/>
                <w:lang w:val="en-GB" w:eastAsia="en-GB"/>
              </w:rPr>
              <w:t>34</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780B979" w14:textId="042D33F5"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C4EFB91" w14:textId="552EFB4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 xml:space="preserve">Retro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BDEC6A8" w14:textId="108DDBF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63</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8254CE9" w14:textId="7A95257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Mean: 60 mos (18.8); range 1-6 yrs</w:t>
            </w:r>
          </w:p>
        </w:tc>
        <w:tc>
          <w:tcPr>
            <w:tcW w:w="4449" w:type="dxa"/>
            <w:tcBorders>
              <w:top w:val="nil"/>
              <w:left w:val="nil"/>
              <w:bottom w:val="single" w:sz="4" w:space="0" w:color="auto"/>
              <w:right w:val="single" w:sz="4" w:space="0" w:color="auto"/>
            </w:tcBorders>
            <w:shd w:val="clear" w:color="auto" w:fill="FFFFFF" w:themeFill="background1"/>
            <w:vAlign w:val="bottom"/>
            <w:hideMark/>
          </w:tcPr>
          <w:p w14:paraId="49EBA525" w14:textId="172100B8"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CFQ</w:t>
            </w:r>
          </w:p>
        </w:tc>
        <w:tc>
          <w:tcPr>
            <w:tcW w:w="3246" w:type="dxa"/>
            <w:tcBorders>
              <w:top w:val="nil"/>
              <w:left w:val="nil"/>
              <w:bottom w:val="single" w:sz="4" w:space="0" w:color="auto"/>
              <w:right w:val="single" w:sz="4" w:space="0" w:color="auto"/>
            </w:tcBorders>
            <w:shd w:val="clear" w:color="auto" w:fill="FFFFFF" w:themeFill="background1"/>
            <w:vAlign w:val="bottom"/>
            <w:hideMark/>
          </w:tcPr>
          <w:p w14:paraId="702B4EDC"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Mean 29.8 (18.4), %NR</w:t>
            </w:r>
          </w:p>
        </w:tc>
        <w:tc>
          <w:tcPr>
            <w:tcW w:w="1835" w:type="dxa"/>
            <w:tcBorders>
              <w:top w:val="nil"/>
              <w:left w:val="nil"/>
              <w:bottom w:val="single" w:sz="4" w:space="0" w:color="auto"/>
              <w:right w:val="single" w:sz="4" w:space="0" w:color="auto"/>
            </w:tcBorders>
            <w:shd w:val="clear" w:color="auto" w:fill="FFFFFF" w:themeFill="background1"/>
            <w:vAlign w:val="bottom"/>
            <w:hideMark/>
          </w:tcPr>
          <w:p w14:paraId="487D46A2"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CFQ &gt;43</w:t>
            </w:r>
          </w:p>
        </w:tc>
      </w:tr>
    </w:tbl>
    <w:p w14:paraId="25786C2D" w14:textId="77777777" w:rsidR="00CC220A" w:rsidRDefault="00CC220A">
      <w:r>
        <w:br w:type="page"/>
      </w:r>
    </w:p>
    <w:tbl>
      <w:tblPr>
        <w:tblW w:w="15451" w:type="dxa"/>
        <w:tblInd w:w="-5" w:type="dxa"/>
        <w:tblLayout w:type="fixed"/>
        <w:tblLook w:val="04A0" w:firstRow="1" w:lastRow="0" w:firstColumn="1" w:lastColumn="0" w:noHBand="0" w:noVBand="1"/>
      </w:tblPr>
      <w:tblGrid>
        <w:gridCol w:w="1693"/>
        <w:gridCol w:w="707"/>
        <w:gridCol w:w="847"/>
        <w:gridCol w:w="1271"/>
        <w:gridCol w:w="14"/>
        <w:gridCol w:w="1316"/>
        <w:gridCol w:w="8"/>
        <w:gridCol w:w="4442"/>
        <w:gridCol w:w="7"/>
        <w:gridCol w:w="38"/>
        <w:gridCol w:w="3199"/>
        <w:gridCol w:w="9"/>
        <w:gridCol w:w="18"/>
        <w:gridCol w:w="1810"/>
        <w:gridCol w:w="7"/>
        <w:gridCol w:w="65"/>
      </w:tblGrid>
      <w:tr w:rsidR="007814FC" w:rsidRPr="00B5373E" w14:paraId="5A74DCE8" w14:textId="77777777" w:rsidTr="00CC220A">
        <w:trPr>
          <w:gridAfter w:val="1"/>
          <w:wAfter w:w="65" w:type="dxa"/>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4606CE" w14:textId="50A001F8" w:rsidR="007814FC" w:rsidRPr="00B5373E" w:rsidRDefault="05EF0168" w:rsidP="7A679DD0">
            <w:pPr>
              <w:spacing w:line="240" w:lineRule="auto"/>
              <w:ind w:right="57"/>
              <w:jc w:val="left"/>
              <w:outlineLvl w:val="0"/>
              <w:rPr>
                <w:rFonts w:eastAsia="Times New Roman" w:cs="Calibri"/>
                <w:noProof w:val="0"/>
                <w:sz w:val="18"/>
                <w:szCs w:val="18"/>
                <w:vertAlign w:val="superscript"/>
                <w:lang w:val="en-GB" w:eastAsia="en-GB"/>
              </w:rPr>
            </w:pPr>
            <w:r w:rsidRPr="00B5373E">
              <w:rPr>
                <w:rFonts w:eastAsia="Times New Roman" w:cs="Calibri"/>
                <w:noProof w:val="0"/>
                <w:sz w:val="18"/>
                <w:szCs w:val="18"/>
                <w:lang w:val="en-GB" w:eastAsia="en-GB"/>
              </w:rPr>
              <w:lastRenderedPageBreak/>
              <w:t>Nichol et al., 2015</w:t>
            </w:r>
            <w:r w:rsidR="781F1814" w:rsidRPr="00B5373E">
              <w:rPr>
                <w:rFonts w:eastAsia="Times New Roman" w:cs="Calibri"/>
                <w:noProof w:val="0"/>
                <w:sz w:val="18"/>
                <w:szCs w:val="18"/>
                <w:vertAlign w:val="superscript"/>
                <w:lang w:val="en-GB" w:eastAsia="en-GB"/>
              </w:rPr>
              <w:t>50</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02E5E2" w14:textId="292E1591"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E99B56" w14:textId="67FE2674"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DA0E8A" w14:textId="1C7D328C"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644 (completed at least 1 assessment)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9A9DFD" w14:textId="13C725BB"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cs="Calibri"/>
                <w:sz w:val="18"/>
                <w:szCs w:val="18"/>
              </w:rPr>
              <w:t>1, 3, 6 mos</w:t>
            </w:r>
          </w:p>
        </w:tc>
        <w:tc>
          <w:tcPr>
            <w:tcW w:w="44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7FD7D7" w14:textId="6DA93D1E"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ALFI MMSE</w:t>
            </w:r>
          </w:p>
        </w:tc>
        <w:tc>
          <w:tcPr>
            <w:tcW w:w="32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88261F"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17.30%</w:t>
            </w:r>
          </w:p>
        </w:tc>
        <w:tc>
          <w:tcPr>
            <w:tcW w:w="1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2B7D5A" w14:textId="77777777" w:rsidR="007814FC" w:rsidRPr="00B5373E" w:rsidRDefault="007814FC" w:rsidP="007F0CD0">
            <w:pPr>
              <w:spacing w:line="240" w:lineRule="auto"/>
              <w:ind w:right="57"/>
              <w:jc w:val="left"/>
              <w:outlineLvl w:val="0"/>
              <w:rPr>
                <w:rFonts w:eastAsia="Times New Roman" w:cs="Calibri"/>
                <w:noProof w:val="0"/>
                <w:sz w:val="18"/>
                <w:szCs w:val="18"/>
                <w:lang w:val="en-GB" w:eastAsia="en-GB"/>
              </w:rPr>
            </w:pPr>
            <w:r w:rsidRPr="00B5373E">
              <w:rPr>
                <w:rFonts w:eastAsia="Times New Roman" w:cs="Calibri"/>
                <w:noProof w:val="0"/>
                <w:sz w:val="18"/>
                <w:szCs w:val="18"/>
                <w:lang w:val="en-GB" w:eastAsia="en-GB"/>
              </w:rPr>
              <w:t>&lt;17</w:t>
            </w:r>
          </w:p>
        </w:tc>
      </w:tr>
      <w:tr w:rsidR="007814FC" w:rsidRPr="00B5373E" w14:paraId="33720D67" w14:textId="77777777" w:rsidTr="00CC220A">
        <w:trPr>
          <w:gridAfter w:val="2"/>
          <w:wAfter w:w="72" w:type="dxa"/>
          <w:trHeight w:val="73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4B89D2" w14:textId="326FDA89" w:rsidR="007814FC" w:rsidRPr="00B5373E" w:rsidRDefault="05EF0168" w:rsidP="7A679DD0">
            <w:pPr>
              <w:spacing w:line="240" w:lineRule="auto"/>
              <w:jc w:val="left"/>
              <w:rPr>
                <w:rFonts w:eastAsia="Times New Roman" w:cs="Calibri"/>
                <w:noProof w:val="0"/>
                <w:sz w:val="18"/>
                <w:szCs w:val="18"/>
                <w:vertAlign w:val="superscript"/>
                <w:lang w:val="en-GB" w:eastAsia="en-GB"/>
              </w:rPr>
            </w:pPr>
            <w:proofErr w:type="spellStart"/>
            <w:r w:rsidRPr="00B5373E">
              <w:rPr>
                <w:rFonts w:eastAsia="Times New Roman" w:cs="Calibri"/>
                <w:noProof w:val="0"/>
                <w:sz w:val="18"/>
                <w:szCs w:val="18"/>
                <w:lang w:val="en-GB" w:eastAsia="en-GB"/>
              </w:rPr>
              <w:t>Orbo</w:t>
            </w:r>
            <w:proofErr w:type="spellEnd"/>
            <w:r w:rsidRPr="00B5373E">
              <w:rPr>
                <w:rFonts w:eastAsia="Times New Roman" w:cs="Calibri"/>
                <w:noProof w:val="0"/>
                <w:sz w:val="18"/>
                <w:szCs w:val="18"/>
                <w:lang w:val="en-GB" w:eastAsia="en-GB"/>
              </w:rPr>
              <w:t xml:space="preserve"> et al., 2014</w:t>
            </w:r>
            <w:r w:rsidR="7688A022" w:rsidRPr="00B5373E">
              <w:rPr>
                <w:rFonts w:eastAsia="Times New Roman" w:cs="Calibri"/>
                <w:noProof w:val="0"/>
                <w:sz w:val="18"/>
                <w:szCs w:val="18"/>
                <w:vertAlign w:val="superscript"/>
                <w:lang w:val="en-GB" w:eastAsia="en-GB"/>
              </w:rPr>
              <w:t>51</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AC43717" w14:textId="2CD46E6C"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CB141BF" w14:textId="6C9D024B"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ED89223" w14:textId="2F9192B8"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45</w:t>
            </w:r>
          </w:p>
        </w:tc>
        <w:tc>
          <w:tcPr>
            <w:tcW w:w="131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bottom"/>
          </w:tcPr>
          <w:p w14:paraId="69A86F1C" w14:textId="37E89546"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3 mos (114 days, range 80-131)</w:t>
            </w:r>
          </w:p>
        </w:tc>
        <w:tc>
          <w:tcPr>
            <w:tcW w:w="44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F31973" w14:textId="49D08C80"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General cognitive ability (WASI); </w:t>
            </w:r>
            <w:r w:rsidRPr="00B5373E">
              <w:rPr>
                <w:rFonts w:eastAsia="Times New Roman" w:cs="Calibri"/>
                <w:noProof w:val="0"/>
                <w:sz w:val="18"/>
                <w:szCs w:val="18"/>
                <w:lang w:val="en-GB" w:eastAsia="en-GB"/>
              </w:rPr>
              <w:br/>
              <w:t xml:space="preserve">Memory (CVLT; Rey CF; WMS-3 DS); </w:t>
            </w:r>
            <w:r w:rsidRPr="00B5373E">
              <w:rPr>
                <w:rFonts w:eastAsia="Times New Roman" w:cs="Calibri"/>
                <w:noProof w:val="0"/>
                <w:sz w:val="18"/>
                <w:szCs w:val="18"/>
                <w:lang w:val="en-GB" w:eastAsia="en-GB"/>
              </w:rPr>
              <w:br/>
              <w:t>EF (D-</w:t>
            </w:r>
            <w:proofErr w:type="spellStart"/>
            <w:r w:rsidRPr="00B5373E">
              <w:rPr>
                <w:rFonts w:eastAsia="Times New Roman" w:cs="Calibri"/>
                <w:noProof w:val="0"/>
                <w:sz w:val="18"/>
                <w:szCs w:val="18"/>
                <w:lang w:val="en-GB" w:eastAsia="en-GB"/>
              </w:rPr>
              <w:t>Kefs</w:t>
            </w:r>
            <w:proofErr w:type="spellEnd"/>
            <w:r w:rsidRPr="00B5373E">
              <w:rPr>
                <w:rFonts w:eastAsia="Times New Roman" w:cs="Calibri"/>
                <w:noProof w:val="0"/>
                <w:sz w:val="18"/>
                <w:szCs w:val="18"/>
                <w:lang w:val="en-GB" w:eastAsia="en-GB"/>
              </w:rPr>
              <w:t xml:space="preserve"> Trail-making test, </w:t>
            </w:r>
            <w:proofErr w:type="spellStart"/>
            <w:r w:rsidRPr="00B5373E">
              <w:rPr>
                <w:rFonts w:eastAsia="Times New Roman" w:cs="Calibri"/>
                <w:noProof w:val="0"/>
                <w:sz w:val="18"/>
                <w:szCs w:val="18"/>
                <w:lang w:val="en-GB" w:eastAsia="en-GB"/>
              </w:rPr>
              <w:t>Color</w:t>
            </w:r>
            <w:proofErr w:type="spellEnd"/>
            <w:r w:rsidRPr="00B5373E">
              <w:rPr>
                <w:rFonts w:eastAsia="Times New Roman" w:cs="Calibri"/>
                <w:noProof w:val="0"/>
                <w:sz w:val="18"/>
                <w:szCs w:val="18"/>
                <w:lang w:val="en-GB" w:eastAsia="en-GB"/>
              </w:rPr>
              <w:t xml:space="preserve">-Word, Verbal fluency); </w:t>
            </w:r>
            <w:r w:rsidRPr="00B5373E">
              <w:rPr>
                <w:rFonts w:eastAsia="Times New Roman" w:cs="Calibri"/>
                <w:noProof w:val="0"/>
                <w:sz w:val="18"/>
                <w:szCs w:val="18"/>
                <w:lang w:val="en-GB" w:eastAsia="en-GB"/>
              </w:rPr>
              <w:br/>
              <w:t>Psychomotor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w:t>
            </w:r>
          </w:p>
        </w:tc>
        <w:tc>
          <w:tcPr>
            <w:tcW w:w="3244"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14:paraId="15243AA7" w14:textId="0A652924"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Overall 44%; WASI 15.9%; CVLT 13.3%; Rey</w:t>
            </w:r>
            <w:r w:rsidR="0058104E" w:rsidRPr="00B5373E">
              <w:rPr>
                <w:rFonts w:eastAsia="Times New Roman" w:cs="Calibri"/>
                <w:noProof w:val="0"/>
                <w:sz w:val="18"/>
                <w:szCs w:val="18"/>
                <w:lang w:val="en-GB" w:eastAsia="en-GB"/>
              </w:rPr>
              <w:t xml:space="preserve"> CF</w:t>
            </w:r>
            <w:r w:rsidRPr="00B5373E">
              <w:rPr>
                <w:rFonts w:eastAsia="Times New Roman" w:cs="Calibri"/>
                <w:noProof w:val="0"/>
                <w:sz w:val="18"/>
                <w:szCs w:val="18"/>
                <w:lang w:val="en-GB" w:eastAsia="en-GB"/>
              </w:rPr>
              <w:t xml:space="preserve"> 30.8%; WMS -DS 9.8%; D-</w:t>
            </w:r>
            <w:proofErr w:type="spellStart"/>
            <w:r w:rsidRPr="00B5373E">
              <w:rPr>
                <w:rFonts w:eastAsia="Times New Roman" w:cs="Calibri"/>
                <w:noProof w:val="0"/>
                <w:sz w:val="18"/>
                <w:szCs w:val="18"/>
                <w:lang w:val="en-GB" w:eastAsia="en-GB"/>
              </w:rPr>
              <w:t>Kefs</w:t>
            </w:r>
            <w:proofErr w:type="spellEnd"/>
            <w:r w:rsidRPr="00B5373E">
              <w:rPr>
                <w:rFonts w:eastAsia="Times New Roman" w:cs="Calibri"/>
                <w:noProof w:val="0"/>
                <w:sz w:val="18"/>
                <w:szCs w:val="18"/>
                <w:lang w:val="en-GB" w:eastAsia="en-GB"/>
              </w:rPr>
              <w:t xml:space="preserve"> TMT 8.9%, </w:t>
            </w:r>
            <w:proofErr w:type="spellStart"/>
            <w:r w:rsidRPr="00B5373E">
              <w:rPr>
                <w:rFonts w:eastAsia="Times New Roman" w:cs="Calibri"/>
                <w:noProof w:val="0"/>
                <w:sz w:val="18"/>
                <w:szCs w:val="18"/>
                <w:lang w:val="en-GB" w:eastAsia="en-GB"/>
              </w:rPr>
              <w:t>color</w:t>
            </w:r>
            <w:proofErr w:type="spellEnd"/>
            <w:r w:rsidRPr="00B5373E">
              <w:rPr>
                <w:rFonts w:eastAsia="Times New Roman" w:cs="Calibri"/>
                <w:noProof w:val="0"/>
                <w:sz w:val="18"/>
                <w:szCs w:val="18"/>
                <w:lang w:val="en-GB" w:eastAsia="en-GB"/>
              </w:rPr>
              <w:t>-word 15.4%, verbal fluency, 12.5%; grooved peg board 12.2%</w:t>
            </w:r>
          </w:p>
        </w:tc>
        <w:tc>
          <w:tcPr>
            <w:tcW w:w="1837"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14:paraId="29EAE579" w14:textId="09744D50"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Norms, 1.5 SDs </w:t>
            </w:r>
          </w:p>
        </w:tc>
      </w:tr>
      <w:tr w:rsidR="007814FC" w:rsidRPr="00B5373E" w14:paraId="16409BF0" w14:textId="77777777" w:rsidTr="00CC220A">
        <w:trPr>
          <w:gridAfter w:val="2"/>
          <w:wAfter w:w="72" w:type="dxa"/>
          <w:trHeight w:val="73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978F5F8" w14:textId="41E9F066" w:rsidR="007814FC" w:rsidRPr="00B5373E" w:rsidRDefault="007814FC" w:rsidP="007814FC">
            <w:pPr>
              <w:spacing w:line="240" w:lineRule="auto"/>
              <w:jc w:val="left"/>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Orbo</w:t>
            </w:r>
            <w:proofErr w:type="spellEnd"/>
            <w:r w:rsidRPr="00B5373E">
              <w:rPr>
                <w:rFonts w:eastAsia="Times New Roman" w:cs="Calibri"/>
                <w:noProof w:val="0"/>
                <w:sz w:val="18"/>
                <w:szCs w:val="18"/>
                <w:lang w:val="en-GB" w:eastAsia="en-GB"/>
              </w:rPr>
              <w:t xml:space="preserve"> et al., 2016</w:t>
            </w:r>
            <w:r w:rsidR="004742A5" w:rsidRPr="00B5373E">
              <w:rPr>
                <w:rFonts w:eastAsia="Times New Roman" w:cs="Calibri"/>
                <w:noProof w:val="0"/>
                <w:sz w:val="18"/>
                <w:szCs w:val="18"/>
                <w:vertAlign w:val="superscript"/>
                <w:lang w:val="en-GB" w:eastAsia="en-GB"/>
              </w:rPr>
              <w:t>30</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2217203" w14:textId="4B02678F"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553366" w14:textId="364BC8F8"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4FCAA33" w14:textId="2FFD0208"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33</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B36FDD0" w14:textId="7B885AEB"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cog 3 &amp; 12 mos, QoL 12 mos</w:t>
            </w:r>
          </w:p>
        </w:tc>
        <w:tc>
          <w:tcPr>
            <w:tcW w:w="4450" w:type="dxa"/>
            <w:gridSpan w:val="2"/>
            <w:tcBorders>
              <w:top w:val="nil"/>
              <w:left w:val="nil"/>
              <w:bottom w:val="single" w:sz="4" w:space="0" w:color="auto"/>
              <w:right w:val="single" w:sz="4" w:space="0" w:color="auto"/>
            </w:tcBorders>
            <w:shd w:val="clear" w:color="auto" w:fill="FFFFFF" w:themeFill="background1"/>
            <w:vAlign w:val="bottom"/>
            <w:hideMark/>
          </w:tcPr>
          <w:p w14:paraId="708104DB" w14:textId="16EED39F"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General cognitive ability (WASI); </w:t>
            </w:r>
            <w:r w:rsidRPr="00B5373E">
              <w:rPr>
                <w:rFonts w:eastAsia="Times New Roman" w:cs="Calibri"/>
                <w:noProof w:val="0"/>
                <w:sz w:val="18"/>
                <w:szCs w:val="18"/>
                <w:lang w:val="en-GB" w:eastAsia="en-GB"/>
              </w:rPr>
              <w:br/>
              <w:t xml:space="preserve">Memory (CVLT; Rey CF; WMS-3 DS; </w:t>
            </w:r>
            <w:r w:rsidRPr="00B5373E">
              <w:rPr>
                <w:rFonts w:eastAsia="Times New Roman" w:cs="Calibri"/>
                <w:noProof w:val="0"/>
                <w:sz w:val="18"/>
                <w:szCs w:val="18"/>
                <w:lang w:val="en-GB" w:eastAsia="en-GB"/>
              </w:rPr>
              <w:br/>
              <w:t>EF (D-</w:t>
            </w:r>
            <w:proofErr w:type="spellStart"/>
            <w:r w:rsidRPr="00B5373E">
              <w:rPr>
                <w:rFonts w:eastAsia="Times New Roman" w:cs="Calibri"/>
                <w:noProof w:val="0"/>
                <w:sz w:val="18"/>
                <w:szCs w:val="18"/>
                <w:lang w:val="en-GB" w:eastAsia="en-GB"/>
              </w:rPr>
              <w:t>Kefs</w:t>
            </w:r>
            <w:proofErr w:type="spellEnd"/>
            <w:r w:rsidRPr="00B5373E">
              <w:rPr>
                <w:rFonts w:eastAsia="Times New Roman" w:cs="Calibri"/>
                <w:noProof w:val="0"/>
                <w:sz w:val="18"/>
                <w:szCs w:val="18"/>
                <w:lang w:val="en-GB" w:eastAsia="en-GB"/>
              </w:rPr>
              <w:t xml:space="preserve"> Trail-making test, </w:t>
            </w:r>
            <w:proofErr w:type="spellStart"/>
            <w:r w:rsidRPr="00B5373E">
              <w:rPr>
                <w:rFonts w:eastAsia="Times New Roman" w:cs="Calibri"/>
                <w:noProof w:val="0"/>
                <w:sz w:val="18"/>
                <w:szCs w:val="18"/>
                <w:lang w:val="en-GB" w:eastAsia="en-GB"/>
              </w:rPr>
              <w:t>Color</w:t>
            </w:r>
            <w:proofErr w:type="spellEnd"/>
            <w:r w:rsidRPr="00B5373E">
              <w:rPr>
                <w:rFonts w:eastAsia="Times New Roman" w:cs="Calibri"/>
                <w:noProof w:val="0"/>
                <w:sz w:val="18"/>
                <w:szCs w:val="18"/>
                <w:lang w:val="en-GB" w:eastAsia="en-GB"/>
              </w:rPr>
              <w:t xml:space="preserve">-Word, Verbal fluency); </w:t>
            </w:r>
            <w:r w:rsidRPr="00B5373E">
              <w:rPr>
                <w:rFonts w:eastAsia="Times New Roman" w:cs="Calibri"/>
                <w:noProof w:val="0"/>
                <w:sz w:val="18"/>
                <w:szCs w:val="18"/>
                <w:lang w:val="en-GB" w:eastAsia="en-GB"/>
              </w:rPr>
              <w:br/>
              <w:t>Psychomotor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w:t>
            </w:r>
          </w:p>
        </w:tc>
        <w:tc>
          <w:tcPr>
            <w:tcW w:w="3244" w:type="dxa"/>
            <w:gridSpan w:val="3"/>
            <w:tcBorders>
              <w:top w:val="nil"/>
              <w:left w:val="nil"/>
              <w:bottom w:val="single" w:sz="4" w:space="0" w:color="auto"/>
              <w:right w:val="single" w:sz="4" w:space="0" w:color="auto"/>
            </w:tcBorders>
            <w:shd w:val="clear" w:color="auto" w:fill="FFFFFF" w:themeFill="background1"/>
            <w:vAlign w:val="bottom"/>
            <w:hideMark/>
          </w:tcPr>
          <w:p w14:paraId="20A436A1" w14:textId="77777777" w:rsidR="007814FC" w:rsidRPr="00B5373E" w:rsidRDefault="007814FC" w:rsidP="007814FC">
            <w:pPr>
              <w:spacing w:line="240" w:lineRule="auto"/>
              <w:jc w:val="left"/>
              <w:rPr>
                <w:rFonts w:eastAsia="Times New Roman" w:cs="Calibri"/>
                <w:noProof w:val="0"/>
                <w:sz w:val="18"/>
                <w:szCs w:val="18"/>
                <w:lang w:val="fr-FR" w:eastAsia="en-GB"/>
              </w:rPr>
            </w:pPr>
            <w:r w:rsidRPr="00B5373E">
              <w:rPr>
                <w:rFonts w:eastAsia="Times New Roman" w:cs="Calibri"/>
                <w:noProof w:val="0"/>
                <w:sz w:val="18"/>
                <w:szCs w:val="18"/>
                <w:lang w:val="fr-FR" w:eastAsia="en-GB"/>
              </w:rPr>
              <w:t xml:space="preserve">Composite </w:t>
            </w:r>
            <w:proofErr w:type="gramStart"/>
            <w:r w:rsidRPr="00B5373E">
              <w:rPr>
                <w:rFonts w:eastAsia="Times New Roman" w:cs="Calibri"/>
                <w:noProof w:val="0"/>
                <w:sz w:val="18"/>
                <w:szCs w:val="18"/>
                <w:lang w:val="fr-FR" w:eastAsia="en-GB"/>
              </w:rPr>
              <w:t>scores:</w:t>
            </w:r>
            <w:proofErr w:type="gramEnd"/>
            <w:r w:rsidRPr="00B5373E">
              <w:rPr>
                <w:rFonts w:eastAsia="Times New Roman" w:cs="Calibri"/>
                <w:noProof w:val="0"/>
                <w:sz w:val="18"/>
                <w:szCs w:val="18"/>
                <w:lang w:val="fr-FR" w:eastAsia="en-GB"/>
              </w:rPr>
              <w:t xml:space="preserve"> Visual memory T1: 21%, T2: 10%; Verbal memory T1: 18%, T2: 15%; </w:t>
            </w:r>
            <w:proofErr w:type="spellStart"/>
            <w:r w:rsidRPr="00B5373E">
              <w:rPr>
                <w:rFonts w:eastAsia="Times New Roman" w:cs="Calibri"/>
                <w:noProof w:val="0"/>
                <w:sz w:val="18"/>
                <w:szCs w:val="18"/>
                <w:lang w:val="fr-FR" w:eastAsia="en-GB"/>
              </w:rPr>
              <w:t>Psychomotor</w:t>
            </w:r>
            <w:proofErr w:type="spellEnd"/>
            <w:r w:rsidRPr="00B5373E">
              <w:rPr>
                <w:rFonts w:eastAsia="Times New Roman" w:cs="Calibri"/>
                <w:noProof w:val="0"/>
                <w:sz w:val="18"/>
                <w:szCs w:val="18"/>
                <w:lang w:val="fr-FR" w:eastAsia="en-GB"/>
              </w:rPr>
              <w:t xml:space="preserve"> T1:3%, T2: 0; EF T1: 12%, T2 10%; WASI T1 and T2 12%</w:t>
            </w:r>
          </w:p>
        </w:tc>
        <w:tc>
          <w:tcPr>
            <w:tcW w:w="1837" w:type="dxa"/>
            <w:gridSpan w:val="3"/>
            <w:tcBorders>
              <w:top w:val="nil"/>
              <w:left w:val="nil"/>
              <w:bottom w:val="single" w:sz="4" w:space="0" w:color="auto"/>
              <w:right w:val="single" w:sz="4" w:space="0" w:color="auto"/>
            </w:tcBorders>
            <w:shd w:val="clear" w:color="auto" w:fill="FFFFFF" w:themeFill="background1"/>
            <w:vAlign w:val="bottom"/>
            <w:hideMark/>
          </w:tcPr>
          <w:p w14:paraId="56D075B6" w14:textId="572F7E2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Norms, 1.5 SDs </w:t>
            </w:r>
          </w:p>
        </w:tc>
      </w:tr>
      <w:tr w:rsidR="007814FC" w:rsidRPr="00B5373E" w14:paraId="16276118" w14:textId="77777777" w:rsidTr="00CC220A">
        <w:trPr>
          <w:gridAfter w:val="2"/>
          <w:wAfter w:w="72" w:type="dxa"/>
          <w:trHeight w:val="49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47AB1157" w14:textId="2ABAF10F" w:rsidR="007814FC" w:rsidRPr="00B5373E" w:rsidRDefault="007814FC" w:rsidP="007814FC">
            <w:pPr>
              <w:spacing w:line="240" w:lineRule="auto"/>
              <w:jc w:val="left"/>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Orbo</w:t>
            </w:r>
            <w:proofErr w:type="spellEnd"/>
            <w:r w:rsidRPr="00B5373E">
              <w:rPr>
                <w:rFonts w:eastAsia="Times New Roman" w:cs="Calibri"/>
                <w:noProof w:val="0"/>
                <w:sz w:val="18"/>
                <w:szCs w:val="18"/>
                <w:lang w:val="en-GB" w:eastAsia="en-GB"/>
              </w:rPr>
              <w:t xml:space="preserve"> et al., 2015</w:t>
            </w:r>
            <w:r w:rsidR="004742A5" w:rsidRPr="00B5373E">
              <w:rPr>
                <w:rFonts w:eastAsia="Times New Roman" w:cs="Calibri"/>
                <w:noProof w:val="0"/>
                <w:sz w:val="18"/>
                <w:szCs w:val="18"/>
                <w:vertAlign w:val="superscript"/>
                <w:lang w:val="en-GB" w:eastAsia="en-GB"/>
              </w:rPr>
              <w:t>32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C548D96" w14:textId="2E104591"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C48EF3" w14:textId="414990D6"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3F0E95D" w14:textId="6FBC5BE4"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42</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294C19F" w14:textId="29EFFEB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3 months</w:t>
            </w:r>
          </w:p>
        </w:tc>
        <w:tc>
          <w:tcPr>
            <w:tcW w:w="4450" w:type="dxa"/>
            <w:gridSpan w:val="2"/>
            <w:tcBorders>
              <w:top w:val="nil"/>
              <w:left w:val="nil"/>
              <w:bottom w:val="single" w:sz="4" w:space="0" w:color="auto"/>
              <w:right w:val="single" w:sz="4" w:space="0" w:color="auto"/>
            </w:tcBorders>
            <w:shd w:val="clear" w:color="auto" w:fill="FFFFFF" w:themeFill="background1"/>
            <w:vAlign w:val="bottom"/>
            <w:hideMark/>
          </w:tcPr>
          <w:p w14:paraId="08C51791" w14:textId="38A3069F"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Memory (CVLT, Rey CF); </w:t>
            </w:r>
            <w:r w:rsidRPr="00B5373E">
              <w:rPr>
                <w:rFonts w:eastAsia="Times New Roman" w:cs="Calibri"/>
                <w:noProof w:val="0"/>
                <w:sz w:val="18"/>
                <w:szCs w:val="18"/>
                <w:lang w:val="en-GB" w:eastAsia="en-GB"/>
              </w:rPr>
              <w:br/>
              <w:t xml:space="preserve">Executive (D-KEFs TMT, </w:t>
            </w:r>
            <w:proofErr w:type="spellStart"/>
            <w:r w:rsidRPr="00B5373E">
              <w:rPr>
                <w:rFonts w:eastAsia="Times New Roman" w:cs="Calibri"/>
                <w:noProof w:val="0"/>
                <w:sz w:val="18"/>
                <w:szCs w:val="18"/>
                <w:lang w:val="en-GB" w:eastAsia="en-GB"/>
              </w:rPr>
              <w:t>Color</w:t>
            </w:r>
            <w:proofErr w:type="spellEnd"/>
            <w:r w:rsidRPr="00B5373E">
              <w:rPr>
                <w:rFonts w:eastAsia="Times New Roman" w:cs="Calibri"/>
                <w:noProof w:val="0"/>
                <w:sz w:val="18"/>
                <w:szCs w:val="18"/>
                <w:lang w:val="en-GB" w:eastAsia="en-GB"/>
              </w:rPr>
              <w:t xml:space="preserve">-Word); </w:t>
            </w:r>
            <w:r w:rsidRPr="00B5373E">
              <w:rPr>
                <w:rFonts w:eastAsia="Times New Roman" w:cs="Calibri"/>
                <w:noProof w:val="0"/>
                <w:sz w:val="18"/>
                <w:szCs w:val="18"/>
                <w:lang w:val="en-GB" w:eastAsia="en-GB"/>
              </w:rPr>
              <w:br/>
              <w:t>Psychomotor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w:t>
            </w:r>
          </w:p>
        </w:tc>
        <w:tc>
          <w:tcPr>
            <w:tcW w:w="3244" w:type="dxa"/>
            <w:gridSpan w:val="3"/>
            <w:tcBorders>
              <w:top w:val="nil"/>
              <w:left w:val="nil"/>
              <w:bottom w:val="single" w:sz="4" w:space="0" w:color="auto"/>
              <w:right w:val="single" w:sz="4" w:space="0" w:color="auto"/>
            </w:tcBorders>
            <w:shd w:val="clear" w:color="auto" w:fill="FFFFFF" w:themeFill="background1"/>
            <w:vAlign w:val="bottom"/>
            <w:hideMark/>
          </w:tcPr>
          <w:p w14:paraId="0C25CACE"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CVLT 10-33%; Rey CF 17%, D-KEFs TMT 5-8%, </w:t>
            </w:r>
            <w:proofErr w:type="spellStart"/>
            <w:r w:rsidRPr="00B5373E">
              <w:rPr>
                <w:rFonts w:eastAsia="Times New Roman" w:cs="Calibri"/>
                <w:noProof w:val="0"/>
                <w:sz w:val="18"/>
                <w:szCs w:val="18"/>
                <w:lang w:val="en-GB" w:eastAsia="en-GB"/>
              </w:rPr>
              <w:t>Color</w:t>
            </w:r>
            <w:proofErr w:type="spellEnd"/>
            <w:r w:rsidRPr="00B5373E">
              <w:rPr>
                <w:rFonts w:eastAsia="Times New Roman" w:cs="Calibri"/>
                <w:noProof w:val="0"/>
                <w:sz w:val="18"/>
                <w:szCs w:val="18"/>
                <w:lang w:val="en-GB" w:eastAsia="en-GB"/>
              </w:rPr>
              <w:t>-word 10%; Grooved pegboard 7-10%</w:t>
            </w:r>
          </w:p>
        </w:tc>
        <w:tc>
          <w:tcPr>
            <w:tcW w:w="1837" w:type="dxa"/>
            <w:gridSpan w:val="3"/>
            <w:tcBorders>
              <w:top w:val="nil"/>
              <w:left w:val="nil"/>
              <w:bottom w:val="single" w:sz="4" w:space="0" w:color="auto"/>
              <w:right w:val="single" w:sz="4" w:space="0" w:color="auto"/>
            </w:tcBorders>
            <w:shd w:val="clear" w:color="auto" w:fill="FFFFFF" w:themeFill="background1"/>
            <w:vAlign w:val="bottom"/>
            <w:hideMark/>
          </w:tcPr>
          <w:p w14:paraId="20E1EBFF" w14:textId="1A49081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Norms, 1.5 SDs </w:t>
            </w:r>
          </w:p>
        </w:tc>
      </w:tr>
      <w:tr w:rsidR="007814FC" w:rsidRPr="00B5373E" w14:paraId="363BFCCE" w14:textId="77777777" w:rsidTr="00CC220A">
        <w:trPr>
          <w:gridAfter w:val="2"/>
          <w:wAfter w:w="72" w:type="dxa"/>
          <w:trHeight w:val="49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7FC485D2" w14:textId="6C01CBF7" w:rsidR="007814FC" w:rsidRPr="00B5373E" w:rsidRDefault="05EF0168" w:rsidP="7A679DD0">
            <w:pPr>
              <w:spacing w:line="240" w:lineRule="auto"/>
              <w:jc w:val="left"/>
              <w:rPr>
                <w:rFonts w:eastAsia="Times New Roman" w:cs="Calibri"/>
                <w:noProof w:val="0"/>
                <w:sz w:val="18"/>
                <w:szCs w:val="18"/>
                <w:vertAlign w:val="superscript"/>
                <w:lang w:val="en-GB" w:eastAsia="en-GB"/>
              </w:rPr>
            </w:pPr>
            <w:proofErr w:type="spellStart"/>
            <w:r w:rsidRPr="00B5373E">
              <w:rPr>
                <w:rFonts w:eastAsia="Times New Roman" w:cs="Calibri"/>
                <w:noProof w:val="0"/>
                <w:sz w:val="18"/>
                <w:szCs w:val="18"/>
                <w:lang w:val="en-GB" w:eastAsia="en-GB"/>
              </w:rPr>
              <w:t>Orbo</w:t>
            </w:r>
            <w:proofErr w:type="spellEnd"/>
            <w:r w:rsidRPr="00B5373E">
              <w:rPr>
                <w:rFonts w:eastAsia="Times New Roman" w:cs="Calibri"/>
                <w:noProof w:val="0"/>
                <w:sz w:val="18"/>
                <w:szCs w:val="18"/>
                <w:lang w:val="en-GB" w:eastAsia="en-GB"/>
              </w:rPr>
              <w:t xml:space="preserve"> et al., 2019</w:t>
            </w:r>
            <w:r w:rsidR="16871144" w:rsidRPr="00B5373E">
              <w:rPr>
                <w:rFonts w:eastAsia="Times New Roman" w:cs="Calibri"/>
                <w:noProof w:val="0"/>
                <w:sz w:val="18"/>
                <w:szCs w:val="18"/>
                <w:vertAlign w:val="superscript"/>
                <w:lang w:val="en-GB" w:eastAsia="en-GB"/>
              </w:rPr>
              <w:t>52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5B0CF75" w14:textId="33721F3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6E7147D" w14:textId="1A0BAF8D" w:rsidR="007814FC" w:rsidRPr="00B5373E" w:rsidRDefault="2DA3FAE7" w:rsidP="261FA80A">
            <w:pPr>
              <w:spacing w:line="240" w:lineRule="auto"/>
              <w:jc w:val="left"/>
            </w:pPr>
            <w:r w:rsidRPr="00B5373E">
              <w:rPr>
                <w:rFonts w:cs="Calibri"/>
                <w:sz w:val="18"/>
                <w:szCs w:val="18"/>
              </w:rPr>
              <w:t>Pros</w:t>
            </w:r>
          </w:p>
        </w:tc>
        <w:tc>
          <w:tcPr>
            <w:tcW w:w="1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B30E802" w14:textId="20EAE0FC"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13 ohca; 19 controls</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94154D8" w14:textId="5C3DF72D"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3 months</w:t>
            </w:r>
          </w:p>
        </w:tc>
        <w:tc>
          <w:tcPr>
            <w:tcW w:w="4450" w:type="dxa"/>
            <w:gridSpan w:val="2"/>
            <w:tcBorders>
              <w:top w:val="nil"/>
              <w:left w:val="nil"/>
              <w:bottom w:val="single" w:sz="4" w:space="0" w:color="auto"/>
              <w:right w:val="single" w:sz="4" w:space="0" w:color="auto"/>
            </w:tcBorders>
            <w:shd w:val="clear" w:color="auto" w:fill="FFFFFF" w:themeFill="background1"/>
            <w:vAlign w:val="bottom"/>
            <w:hideMark/>
          </w:tcPr>
          <w:p w14:paraId="314EBAA8" w14:textId="2D96ABF6"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Memory (CVLT, Rey CF); </w:t>
            </w:r>
            <w:r w:rsidRPr="00B5373E">
              <w:rPr>
                <w:rFonts w:eastAsia="Times New Roman" w:cs="Calibri"/>
                <w:noProof w:val="0"/>
                <w:sz w:val="18"/>
                <w:szCs w:val="18"/>
                <w:lang w:val="en-GB" w:eastAsia="en-GB"/>
              </w:rPr>
              <w:br/>
              <w:t xml:space="preserve">Executive (D-KEFs TMT); </w:t>
            </w:r>
            <w:r w:rsidRPr="00B5373E">
              <w:rPr>
                <w:rFonts w:eastAsia="Times New Roman" w:cs="Calibri"/>
                <w:noProof w:val="0"/>
                <w:sz w:val="18"/>
                <w:szCs w:val="18"/>
                <w:lang w:val="en-GB" w:eastAsia="en-GB"/>
              </w:rPr>
              <w:br/>
              <w:t>Psychomotor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w:t>
            </w:r>
          </w:p>
        </w:tc>
        <w:tc>
          <w:tcPr>
            <w:tcW w:w="3244" w:type="dxa"/>
            <w:gridSpan w:val="3"/>
            <w:tcBorders>
              <w:top w:val="nil"/>
              <w:left w:val="nil"/>
              <w:bottom w:val="single" w:sz="4" w:space="0" w:color="auto"/>
              <w:right w:val="single" w:sz="4" w:space="0" w:color="auto"/>
            </w:tcBorders>
            <w:shd w:val="clear" w:color="auto" w:fill="FFFFFF" w:themeFill="background1"/>
            <w:vAlign w:val="bottom"/>
            <w:hideMark/>
          </w:tcPr>
          <w:p w14:paraId="345B9221"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Compared with healthy controls: significantly lower performance on verbal memory and psychomotor measures</w:t>
            </w:r>
          </w:p>
        </w:tc>
        <w:tc>
          <w:tcPr>
            <w:tcW w:w="1837" w:type="dxa"/>
            <w:gridSpan w:val="3"/>
            <w:tcBorders>
              <w:top w:val="nil"/>
              <w:left w:val="nil"/>
              <w:bottom w:val="single" w:sz="4" w:space="0" w:color="auto"/>
              <w:right w:val="single" w:sz="4" w:space="0" w:color="auto"/>
            </w:tcBorders>
            <w:shd w:val="clear" w:color="auto" w:fill="FFFFFF" w:themeFill="background1"/>
            <w:vAlign w:val="bottom"/>
            <w:hideMark/>
          </w:tcPr>
          <w:p w14:paraId="3801C053"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NR</w:t>
            </w:r>
          </w:p>
        </w:tc>
      </w:tr>
      <w:tr w:rsidR="007814FC" w:rsidRPr="00B5373E" w14:paraId="2C9DBD9F" w14:textId="77777777" w:rsidTr="00CC220A">
        <w:trPr>
          <w:gridAfter w:val="2"/>
          <w:wAfter w:w="72" w:type="dxa"/>
          <w:trHeight w:val="49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65E3DB5" w14:textId="15421FCB" w:rsidR="007814FC" w:rsidRPr="00B5373E" w:rsidRDefault="007814FC" w:rsidP="007814FC">
            <w:pPr>
              <w:spacing w:line="240" w:lineRule="auto"/>
              <w:jc w:val="left"/>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Orbo</w:t>
            </w:r>
            <w:proofErr w:type="spellEnd"/>
            <w:r w:rsidRPr="00B5373E">
              <w:rPr>
                <w:rFonts w:eastAsia="Times New Roman" w:cs="Calibri"/>
                <w:noProof w:val="0"/>
                <w:sz w:val="18"/>
                <w:szCs w:val="18"/>
                <w:lang w:val="en-GB" w:eastAsia="en-GB"/>
              </w:rPr>
              <w:t xml:space="preserve"> et al., 2018</w:t>
            </w:r>
            <w:r w:rsidR="007224B9" w:rsidRPr="00B5373E">
              <w:rPr>
                <w:rFonts w:eastAsia="Times New Roman" w:cs="Calibri"/>
                <w:noProof w:val="0"/>
                <w:sz w:val="18"/>
                <w:szCs w:val="18"/>
                <w:vertAlign w:val="superscript"/>
                <w:lang w:val="en-GB" w:eastAsia="en-GB"/>
              </w:rPr>
              <w:t>17</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0696161" w14:textId="68280E75"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075333C" w14:textId="63BF7C3D"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B648CD2" w14:textId="647BDCC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G1: 13, G2: 13; Controls: 19</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4A38E63" w14:textId="78FC5B89"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3 months</w:t>
            </w:r>
          </w:p>
        </w:tc>
        <w:tc>
          <w:tcPr>
            <w:tcW w:w="4450" w:type="dxa"/>
            <w:gridSpan w:val="2"/>
            <w:tcBorders>
              <w:top w:val="nil"/>
              <w:left w:val="nil"/>
              <w:bottom w:val="single" w:sz="4" w:space="0" w:color="auto"/>
              <w:right w:val="single" w:sz="4" w:space="0" w:color="auto"/>
            </w:tcBorders>
            <w:shd w:val="clear" w:color="auto" w:fill="FFFFFF" w:themeFill="background1"/>
            <w:vAlign w:val="bottom"/>
            <w:hideMark/>
          </w:tcPr>
          <w:p w14:paraId="58721E8C" w14:textId="53894832"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Memory (CVLT)</w:t>
            </w:r>
          </w:p>
        </w:tc>
        <w:tc>
          <w:tcPr>
            <w:tcW w:w="3244" w:type="dxa"/>
            <w:gridSpan w:val="3"/>
            <w:tcBorders>
              <w:top w:val="nil"/>
              <w:left w:val="nil"/>
              <w:bottom w:val="single" w:sz="4" w:space="0" w:color="auto"/>
              <w:right w:val="single" w:sz="4" w:space="0" w:color="auto"/>
            </w:tcBorders>
            <w:shd w:val="clear" w:color="auto" w:fill="FFFFFF" w:themeFill="background1"/>
            <w:vAlign w:val="bottom"/>
            <w:hideMark/>
          </w:tcPr>
          <w:p w14:paraId="2D0AB9E0"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Sig lower OHCA-</w:t>
            </w:r>
            <w:proofErr w:type="spellStart"/>
            <w:r w:rsidRPr="00B5373E">
              <w:rPr>
                <w:rFonts w:eastAsia="Times New Roman" w:cs="Calibri"/>
                <w:noProof w:val="0"/>
                <w:sz w:val="18"/>
                <w:szCs w:val="18"/>
                <w:lang w:val="en-GB" w:eastAsia="en-GB"/>
              </w:rPr>
              <w:t>unconsious</w:t>
            </w:r>
            <w:proofErr w:type="spellEnd"/>
            <w:r w:rsidRPr="00B5373E">
              <w:rPr>
                <w:rFonts w:eastAsia="Times New Roman" w:cs="Calibri"/>
                <w:noProof w:val="0"/>
                <w:sz w:val="18"/>
                <w:szCs w:val="18"/>
                <w:lang w:val="en-GB" w:eastAsia="en-GB"/>
              </w:rPr>
              <w:t xml:space="preserve"> arrival compared with conscious arrival/controls</w:t>
            </w:r>
          </w:p>
        </w:tc>
        <w:tc>
          <w:tcPr>
            <w:tcW w:w="1837" w:type="dxa"/>
            <w:gridSpan w:val="3"/>
            <w:tcBorders>
              <w:top w:val="nil"/>
              <w:left w:val="nil"/>
              <w:bottom w:val="single" w:sz="4" w:space="0" w:color="auto"/>
              <w:right w:val="single" w:sz="4" w:space="0" w:color="auto"/>
            </w:tcBorders>
            <w:shd w:val="clear" w:color="auto" w:fill="FFFFFF" w:themeFill="background1"/>
            <w:vAlign w:val="bottom"/>
            <w:hideMark/>
          </w:tcPr>
          <w:p w14:paraId="0F899820"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NR</w:t>
            </w:r>
          </w:p>
        </w:tc>
      </w:tr>
      <w:tr w:rsidR="007814FC" w:rsidRPr="00B5373E" w14:paraId="26424CF0" w14:textId="77777777" w:rsidTr="00CC220A">
        <w:trPr>
          <w:gridAfter w:val="2"/>
          <w:wAfter w:w="72" w:type="dxa"/>
          <w:trHeight w:val="707"/>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8046DE" w14:textId="54185FC9" w:rsidR="007814FC" w:rsidRPr="00B5373E" w:rsidRDefault="007814FC" w:rsidP="007814FC">
            <w:pPr>
              <w:spacing w:line="240" w:lineRule="auto"/>
              <w:jc w:val="left"/>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Polanowska</w:t>
            </w:r>
            <w:proofErr w:type="spellEnd"/>
            <w:r w:rsidRPr="00B5373E">
              <w:rPr>
                <w:rFonts w:eastAsia="Times New Roman" w:cs="Calibri"/>
                <w:noProof w:val="0"/>
                <w:sz w:val="18"/>
                <w:szCs w:val="18"/>
                <w:lang w:val="en-GB" w:eastAsia="en-GB"/>
              </w:rPr>
              <w:t xml:space="preserve"> et al., 2014</w:t>
            </w:r>
            <w:r w:rsidR="007224B9" w:rsidRPr="00B5373E">
              <w:rPr>
                <w:rFonts w:eastAsia="Times New Roman" w:cs="Calibri"/>
                <w:noProof w:val="0"/>
                <w:sz w:val="18"/>
                <w:szCs w:val="18"/>
                <w:vertAlign w:val="superscript"/>
                <w:lang w:val="en-GB" w:eastAsia="en-GB"/>
              </w:rPr>
              <w:t>31</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CFEBC4" w14:textId="5AF79FDD"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797A3" w14:textId="68BCB5B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824B6D" w14:textId="20A03885"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few days; 3 mos:21; 6 mos: 17; 12 mos: 14</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91BD5D" w14:textId="7F293A3B"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OHCA, 3, 6, 12 mos</w:t>
            </w:r>
          </w:p>
        </w:tc>
        <w:tc>
          <w:tcPr>
            <w:tcW w:w="44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2B7EC6" w14:textId="565CE626" w:rsidR="007814FC" w:rsidRPr="00B5373E" w:rsidRDefault="5B3BB312"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General cognitive ability (ACE-R)</w:t>
            </w:r>
            <w:r w:rsidR="007814FC" w:rsidRPr="00B5373E">
              <w:rPr>
                <w:sz w:val="18"/>
                <w:szCs w:val="18"/>
              </w:rPr>
              <w:br/>
            </w:r>
            <w:r w:rsidR="7F1DA816" w:rsidRPr="00B5373E">
              <w:rPr>
                <w:rFonts w:eastAsia="Times New Roman" w:cs="Calibri"/>
                <w:noProof w:val="0"/>
                <w:sz w:val="18"/>
                <w:szCs w:val="18"/>
                <w:lang w:val="en-GB" w:eastAsia="en-GB"/>
              </w:rPr>
              <w:t xml:space="preserve">Memory (RAVLT, DSF, </w:t>
            </w:r>
            <w:proofErr w:type="spellStart"/>
            <w:r w:rsidR="7F1DA816" w:rsidRPr="00B5373E">
              <w:rPr>
                <w:rFonts w:eastAsia="Times New Roman" w:cs="Calibri"/>
                <w:noProof w:val="0"/>
                <w:sz w:val="18"/>
                <w:szCs w:val="18"/>
                <w:lang w:val="en-GB" w:eastAsia="en-GB"/>
              </w:rPr>
              <w:t>BentonVRT</w:t>
            </w:r>
            <w:proofErr w:type="spellEnd"/>
            <w:r w:rsidR="7F1DA816" w:rsidRPr="00B5373E">
              <w:rPr>
                <w:rFonts w:eastAsia="Times New Roman" w:cs="Calibri"/>
                <w:noProof w:val="0"/>
                <w:sz w:val="18"/>
                <w:szCs w:val="18"/>
                <w:lang w:val="en-GB" w:eastAsia="en-GB"/>
              </w:rPr>
              <w:t>);</w:t>
            </w:r>
            <w:r w:rsidR="007814FC" w:rsidRPr="00B5373E">
              <w:rPr>
                <w:sz w:val="18"/>
                <w:szCs w:val="18"/>
              </w:rPr>
              <w:br/>
            </w:r>
            <w:r w:rsidR="7F1DA816" w:rsidRPr="00B5373E">
              <w:rPr>
                <w:rFonts w:eastAsia="Times New Roman" w:cs="Calibri"/>
                <w:noProof w:val="0"/>
                <w:sz w:val="18"/>
                <w:szCs w:val="18"/>
                <w:lang w:val="en-GB" w:eastAsia="en-GB"/>
              </w:rPr>
              <w:t xml:space="preserve">Attention (Trails A); </w:t>
            </w:r>
            <w:r w:rsidR="007814FC" w:rsidRPr="00B5373E">
              <w:rPr>
                <w:sz w:val="18"/>
                <w:szCs w:val="18"/>
              </w:rPr>
              <w:br/>
            </w:r>
            <w:r w:rsidR="7F1DA816" w:rsidRPr="00B5373E">
              <w:rPr>
                <w:rFonts w:eastAsia="Times New Roman" w:cs="Calibri"/>
                <w:noProof w:val="0"/>
                <w:sz w:val="18"/>
                <w:szCs w:val="18"/>
                <w:lang w:val="en-GB" w:eastAsia="en-GB"/>
              </w:rPr>
              <w:t xml:space="preserve">EF (WCST, Trails B); </w:t>
            </w:r>
            <w:r w:rsidR="007814FC" w:rsidRPr="00B5373E">
              <w:rPr>
                <w:sz w:val="18"/>
                <w:szCs w:val="18"/>
              </w:rPr>
              <w:br/>
            </w:r>
            <w:r w:rsidR="7F1DA816" w:rsidRPr="00B5373E">
              <w:rPr>
                <w:rFonts w:eastAsia="Times New Roman" w:cs="Calibri"/>
                <w:noProof w:val="0"/>
                <w:sz w:val="18"/>
                <w:szCs w:val="18"/>
                <w:lang w:val="en-GB" w:eastAsia="en-GB"/>
              </w:rPr>
              <w:lastRenderedPageBreak/>
              <w:t xml:space="preserve">Language (speech/naming); </w:t>
            </w:r>
            <w:r w:rsidR="007814FC" w:rsidRPr="00B5373E">
              <w:rPr>
                <w:sz w:val="18"/>
                <w:szCs w:val="18"/>
              </w:rPr>
              <w:br/>
            </w:r>
            <w:r w:rsidR="7F1DA816" w:rsidRPr="00B5373E">
              <w:rPr>
                <w:rFonts w:eastAsia="Times New Roman" w:cs="Calibri"/>
                <w:noProof w:val="0"/>
                <w:sz w:val="18"/>
                <w:szCs w:val="18"/>
                <w:lang w:val="en-GB" w:eastAsia="en-GB"/>
              </w:rPr>
              <w:t xml:space="preserve">Visuo-spatial (Rey </w:t>
            </w:r>
            <w:r w:rsidR="0058104E" w:rsidRPr="00B5373E">
              <w:rPr>
                <w:rFonts w:eastAsia="Times New Roman" w:cs="Calibri"/>
                <w:noProof w:val="0"/>
                <w:sz w:val="18"/>
                <w:szCs w:val="18"/>
                <w:lang w:val="en-GB" w:eastAsia="en-GB"/>
              </w:rPr>
              <w:t>C</w:t>
            </w:r>
            <w:r w:rsidR="7F1DA816" w:rsidRPr="00B5373E">
              <w:rPr>
                <w:rFonts w:eastAsia="Times New Roman" w:cs="Calibri"/>
                <w:noProof w:val="0"/>
                <w:sz w:val="18"/>
                <w:szCs w:val="18"/>
                <w:lang w:val="en-GB" w:eastAsia="en-GB"/>
              </w:rPr>
              <w:t>F)</w:t>
            </w:r>
          </w:p>
        </w:tc>
        <w:tc>
          <w:tcPr>
            <w:tcW w:w="32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AB60C0" w14:textId="28906A75"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lastRenderedPageBreak/>
              <w:t>Overall 57.2%; Memory</w:t>
            </w:r>
            <w:r w:rsidR="00DC47A9" w:rsidRPr="00B5373E">
              <w:rPr>
                <w:rFonts w:eastAsia="Times New Roman" w:cs="Calibri"/>
                <w:noProof w:val="0"/>
                <w:sz w:val="18"/>
                <w:szCs w:val="18"/>
                <w:lang w:val="en-GB" w:eastAsia="en-GB"/>
              </w:rPr>
              <w:t xml:space="preserve"> 64-94%; </w:t>
            </w:r>
            <w:r w:rsidRPr="00B5373E">
              <w:rPr>
                <w:rFonts w:eastAsia="Times New Roman" w:cs="Calibri"/>
                <w:noProof w:val="0"/>
                <w:sz w:val="18"/>
                <w:szCs w:val="18"/>
                <w:lang w:val="en-GB" w:eastAsia="en-GB"/>
              </w:rPr>
              <w:t>Attention</w:t>
            </w:r>
            <w:r w:rsidR="00DC47A9" w:rsidRPr="00B5373E">
              <w:rPr>
                <w:rFonts w:eastAsia="Times New Roman" w:cs="Calibri"/>
                <w:noProof w:val="0"/>
                <w:sz w:val="18"/>
                <w:szCs w:val="18"/>
                <w:lang w:val="en-GB" w:eastAsia="en-GB"/>
              </w:rPr>
              <w:t xml:space="preserve"> 0-48%; EF 21-62%; Visuo-spatial 14-33%; Language 14-48% </w:t>
            </w:r>
          </w:p>
        </w:tc>
        <w:tc>
          <w:tcPr>
            <w:tcW w:w="183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2AB7207" w14:textId="3FFF8DA8"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Norms</w:t>
            </w:r>
          </w:p>
        </w:tc>
      </w:tr>
      <w:tr w:rsidR="007814FC" w:rsidRPr="00B5373E" w14:paraId="7E045208"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8E5739" w14:textId="7B9E81DC"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Rosen et al., 2014</w:t>
            </w:r>
            <w:r w:rsidR="007224B9" w:rsidRPr="00B5373E">
              <w:rPr>
                <w:rFonts w:eastAsia="Times New Roman" w:cs="Calibri"/>
                <w:noProof w:val="0"/>
                <w:sz w:val="18"/>
                <w:szCs w:val="18"/>
                <w:vertAlign w:val="superscript"/>
                <w:lang w:val="en-GB" w:eastAsia="en-GB"/>
              </w:rPr>
              <w:t>24</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43BAF5" w14:textId="21F754A1"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2EBAC8" w14:textId="28766142"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7878E0" w14:textId="3C9C4A7C"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OHCA=21; control = 21</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E4763E" w14:textId="4C032C31"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 xml:space="preserve">T1=2-4 days; T2=12-14 days; T3=45 days; T4=3 months; T5=1 year </w:t>
            </w:r>
          </w:p>
        </w:tc>
        <w:tc>
          <w:tcPr>
            <w:tcW w:w="44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B4FCD9" w14:textId="351BADB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MMSE</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54F430"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60%</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28A9BB"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&lt;28 </w:t>
            </w:r>
          </w:p>
        </w:tc>
      </w:tr>
      <w:tr w:rsidR="007814FC" w:rsidRPr="00B5373E" w14:paraId="40659AF4" w14:textId="77777777" w:rsidTr="00CC220A">
        <w:trPr>
          <w:trHeight w:val="121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CBFAB7" w14:textId="7C6C1FFE" w:rsidR="007814FC" w:rsidRPr="00B5373E" w:rsidRDefault="007814FC" w:rsidP="007814FC">
            <w:pPr>
              <w:spacing w:line="240" w:lineRule="auto"/>
              <w:jc w:val="left"/>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Stamenova</w:t>
            </w:r>
            <w:proofErr w:type="spellEnd"/>
            <w:r w:rsidRPr="00B5373E">
              <w:rPr>
                <w:rFonts w:eastAsia="Times New Roman" w:cs="Calibri"/>
                <w:noProof w:val="0"/>
                <w:sz w:val="18"/>
                <w:szCs w:val="18"/>
                <w:lang w:val="en-GB" w:eastAsia="en-GB"/>
              </w:rPr>
              <w:t xml:space="preserve"> et al., 2018</w:t>
            </w:r>
            <w:r w:rsidR="007224B9" w:rsidRPr="00B5373E">
              <w:rPr>
                <w:rFonts w:eastAsia="Times New Roman" w:cs="Calibri"/>
                <w:noProof w:val="0"/>
                <w:sz w:val="18"/>
                <w:szCs w:val="18"/>
                <w:vertAlign w:val="superscript"/>
                <w:lang w:val="en-GB" w:eastAsia="en-GB"/>
              </w:rPr>
              <w:t>5</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6A4CBEB" w14:textId="42C1C491"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3885908" w14:textId="3B5B9AA2" w:rsidR="007814FC" w:rsidRPr="00B5373E" w:rsidRDefault="16893289" w:rsidP="261FA80A">
            <w:pPr>
              <w:spacing w:line="240" w:lineRule="auto"/>
              <w:jc w:val="left"/>
              <w:rPr>
                <w:rFonts w:cs="Calibri"/>
                <w:sz w:val="18"/>
                <w:szCs w:val="18"/>
              </w:rPr>
            </w:pPr>
            <w:r w:rsidRPr="00B5373E">
              <w:rPr>
                <w:rFonts w:cs="Calibri"/>
                <w:sz w:val="18"/>
                <w:szCs w:val="18"/>
              </w:rPr>
              <w:t>Pros</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5D77043" w14:textId="11CDF0E2"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OHCA=9, 8 for neuropsych: MI = 7</w:t>
            </w:r>
          </w:p>
        </w:tc>
        <w:tc>
          <w:tcPr>
            <w:tcW w:w="133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3AE3AFA" w14:textId="7CEA749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5 mos, one at 20 days, average: 46 months for MI; 27 mos for OHCA</w:t>
            </w:r>
          </w:p>
        </w:tc>
        <w:tc>
          <w:tcPr>
            <w:tcW w:w="449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14:paraId="5A5DF10E" w14:textId="327B6A6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General cognitive ability (WAIS-III MR); </w:t>
            </w:r>
            <w:r w:rsidRPr="00B5373E">
              <w:rPr>
                <w:rFonts w:eastAsia="Times New Roman" w:cs="Calibri"/>
                <w:noProof w:val="0"/>
                <w:sz w:val="18"/>
                <w:szCs w:val="18"/>
                <w:lang w:val="en-GB" w:eastAsia="en-GB"/>
              </w:rPr>
              <w:br/>
              <w:t xml:space="preserve">Visual processing (Hooper, Rey CF); </w:t>
            </w:r>
            <w:r w:rsidRPr="00B5373E">
              <w:rPr>
                <w:rFonts w:eastAsia="Times New Roman" w:cs="Calibri"/>
                <w:noProof w:val="0"/>
                <w:sz w:val="18"/>
                <w:szCs w:val="18"/>
                <w:lang w:val="en-GB" w:eastAsia="en-GB"/>
              </w:rPr>
              <w:br/>
              <w:t>Memory (Rey CF, CVLT, CANTAB-Paired Associate Learning, Camden Memory Test, WMS-III Verbal Paired Associates and Logical Memory); EF (Trails, PASAT, COWAT, CANTAB Intra-Extra Dimensional Set Shift, WAIS-III DS)</w:t>
            </w:r>
          </w:p>
        </w:tc>
        <w:tc>
          <w:tcPr>
            <w:tcW w:w="3226"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14:paraId="60F5973A"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Sig difference between groups (OHCA lower than MI) on memory </w:t>
            </w:r>
          </w:p>
        </w:tc>
        <w:tc>
          <w:tcPr>
            <w:tcW w:w="1882"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14:paraId="48B7708D"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Norms</w:t>
            </w:r>
          </w:p>
        </w:tc>
      </w:tr>
      <w:tr w:rsidR="007814FC" w:rsidRPr="00B5373E" w14:paraId="2C18E1EF" w14:textId="77777777" w:rsidTr="00CC220A">
        <w:trPr>
          <w:trHeight w:val="73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14F6524B" w14:textId="38463698" w:rsidR="007814FC" w:rsidRPr="00B5373E" w:rsidRDefault="05EF0168" w:rsidP="7A679DD0">
            <w:pPr>
              <w:spacing w:line="240" w:lineRule="auto"/>
              <w:jc w:val="left"/>
              <w:rPr>
                <w:rFonts w:eastAsia="Times New Roman" w:cs="Calibri"/>
                <w:noProof w:val="0"/>
                <w:sz w:val="18"/>
                <w:szCs w:val="18"/>
                <w:vertAlign w:val="superscript"/>
                <w:lang w:val="en-GB" w:eastAsia="en-GB"/>
              </w:rPr>
            </w:pPr>
            <w:proofErr w:type="spellStart"/>
            <w:r w:rsidRPr="00B5373E">
              <w:rPr>
                <w:rFonts w:eastAsia="Times New Roman" w:cs="Calibri"/>
                <w:noProof w:val="0"/>
                <w:sz w:val="18"/>
                <w:szCs w:val="18"/>
                <w:lang w:val="en-GB" w:eastAsia="en-GB"/>
              </w:rPr>
              <w:t>Sulzgruber</w:t>
            </w:r>
            <w:proofErr w:type="spellEnd"/>
            <w:r w:rsidRPr="00B5373E">
              <w:rPr>
                <w:rFonts w:eastAsia="Times New Roman" w:cs="Calibri"/>
                <w:noProof w:val="0"/>
                <w:sz w:val="18"/>
                <w:szCs w:val="18"/>
                <w:lang w:val="en-GB" w:eastAsia="en-GB"/>
              </w:rPr>
              <w:t xml:space="preserve"> et al., 2015</w:t>
            </w:r>
            <w:r w:rsidR="0DAB8789" w:rsidRPr="00B5373E">
              <w:rPr>
                <w:rFonts w:eastAsia="Times New Roman" w:cs="Calibri"/>
                <w:noProof w:val="0"/>
                <w:sz w:val="18"/>
                <w:szCs w:val="18"/>
                <w:vertAlign w:val="superscript"/>
                <w:lang w:val="en-GB" w:eastAsia="en-GB"/>
              </w:rPr>
              <w:t>53</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731E60F" w14:textId="16E26023"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043623B" w14:textId="058ECDB3"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 xml:space="preserve">Pros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A8D622B" w14:textId="094F2205"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OHCA: 33; controls (age/ed/sex matched): 33</w:t>
            </w:r>
          </w:p>
        </w:tc>
        <w:tc>
          <w:tcPr>
            <w:tcW w:w="13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20528D5" w14:textId="0A64C419"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4 weeks post</w:t>
            </w:r>
          </w:p>
        </w:tc>
        <w:tc>
          <w:tcPr>
            <w:tcW w:w="4495" w:type="dxa"/>
            <w:gridSpan w:val="4"/>
            <w:tcBorders>
              <w:top w:val="nil"/>
              <w:left w:val="nil"/>
              <w:bottom w:val="single" w:sz="4" w:space="0" w:color="auto"/>
              <w:right w:val="single" w:sz="4" w:space="0" w:color="auto"/>
            </w:tcBorders>
            <w:shd w:val="clear" w:color="auto" w:fill="FFFFFF" w:themeFill="background1"/>
            <w:vAlign w:val="bottom"/>
            <w:hideMark/>
          </w:tcPr>
          <w:p w14:paraId="48BFBDF2" w14:textId="443AE23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Memory (RAVLT, WAIS-R DSB, red-pencil-test, WMS logical memory)</w:t>
            </w:r>
          </w:p>
        </w:tc>
        <w:tc>
          <w:tcPr>
            <w:tcW w:w="3226" w:type="dxa"/>
            <w:gridSpan w:val="3"/>
            <w:tcBorders>
              <w:top w:val="nil"/>
              <w:left w:val="nil"/>
              <w:bottom w:val="single" w:sz="4" w:space="0" w:color="auto"/>
              <w:right w:val="single" w:sz="4" w:space="0" w:color="auto"/>
            </w:tcBorders>
            <w:shd w:val="clear" w:color="auto" w:fill="FFFFFF" w:themeFill="background1"/>
            <w:vAlign w:val="bottom"/>
            <w:hideMark/>
          </w:tcPr>
          <w:p w14:paraId="7EE6B750" w14:textId="479AED50"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Sig difference between groups (OHCA lower than healthy controls) on immediate and delayed recall, working memory, </w:t>
            </w:r>
            <w:r w:rsidR="00FF262D" w:rsidRPr="00B5373E">
              <w:rPr>
                <w:rFonts w:eastAsia="Times New Roman" w:cs="Calibri"/>
                <w:noProof w:val="0"/>
                <w:sz w:val="18"/>
                <w:szCs w:val="18"/>
                <w:lang w:val="en-GB" w:eastAsia="en-GB"/>
              </w:rPr>
              <w:t>prospective</w:t>
            </w:r>
            <w:r w:rsidRPr="00B5373E">
              <w:rPr>
                <w:rFonts w:eastAsia="Times New Roman" w:cs="Calibri"/>
                <w:noProof w:val="0"/>
                <w:sz w:val="18"/>
                <w:szCs w:val="18"/>
                <w:lang w:val="en-GB" w:eastAsia="en-GB"/>
              </w:rPr>
              <w:t xml:space="preserve"> memory </w:t>
            </w:r>
          </w:p>
        </w:tc>
        <w:tc>
          <w:tcPr>
            <w:tcW w:w="1882" w:type="dxa"/>
            <w:gridSpan w:val="3"/>
            <w:tcBorders>
              <w:top w:val="nil"/>
              <w:left w:val="nil"/>
              <w:bottom w:val="single" w:sz="4" w:space="0" w:color="auto"/>
              <w:right w:val="single" w:sz="4" w:space="0" w:color="auto"/>
            </w:tcBorders>
            <w:shd w:val="clear" w:color="auto" w:fill="FFFFFF" w:themeFill="background1"/>
            <w:vAlign w:val="bottom"/>
            <w:hideMark/>
          </w:tcPr>
          <w:p w14:paraId="7413866C"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Raw scores by group</w:t>
            </w:r>
          </w:p>
        </w:tc>
      </w:tr>
      <w:tr w:rsidR="007814FC" w:rsidRPr="00B5373E" w14:paraId="63B7BB72" w14:textId="77777777" w:rsidTr="00CC220A">
        <w:trPr>
          <w:trHeight w:val="1450"/>
        </w:trPr>
        <w:tc>
          <w:tcPr>
            <w:tcW w:w="169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1A05BAD" w14:textId="5C5CC2B2" w:rsidR="007814FC" w:rsidRPr="00B5373E" w:rsidRDefault="007814FC" w:rsidP="007814FC">
            <w:pPr>
              <w:spacing w:line="240" w:lineRule="auto"/>
              <w:jc w:val="left"/>
              <w:rPr>
                <w:rFonts w:eastAsia="Times New Roman" w:cs="Calibri"/>
                <w:noProof w:val="0"/>
                <w:sz w:val="18"/>
                <w:szCs w:val="18"/>
                <w:lang w:val="en-GB" w:eastAsia="en-GB"/>
              </w:rPr>
            </w:pPr>
            <w:proofErr w:type="spellStart"/>
            <w:r w:rsidRPr="00B5373E">
              <w:rPr>
                <w:rFonts w:eastAsia="Times New Roman" w:cs="Calibri"/>
                <w:noProof w:val="0"/>
                <w:sz w:val="18"/>
                <w:szCs w:val="18"/>
                <w:lang w:val="en-GB" w:eastAsia="en-GB"/>
              </w:rPr>
              <w:t>Tiainen</w:t>
            </w:r>
            <w:proofErr w:type="spellEnd"/>
            <w:r w:rsidRPr="00B5373E">
              <w:rPr>
                <w:rFonts w:eastAsia="Times New Roman" w:cs="Calibri"/>
                <w:noProof w:val="0"/>
                <w:sz w:val="18"/>
                <w:szCs w:val="18"/>
                <w:lang w:val="en-GB" w:eastAsia="en-GB"/>
              </w:rPr>
              <w:t xml:space="preserve"> et al., 2007</w:t>
            </w:r>
            <w:r w:rsidR="007524E3" w:rsidRPr="00B5373E">
              <w:rPr>
                <w:rFonts w:eastAsia="Times New Roman" w:cs="Calibri"/>
                <w:noProof w:val="0"/>
                <w:sz w:val="18"/>
                <w:szCs w:val="18"/>
                <w:vertAlign w:val="superscript"/>
                <w:lang w:val="en-GB" w:eastAsia="en-GB"/>
              </w:rPr>
              <w:t>50</w:t>
            </w:r>
          </w:p>
        </w:tc>
        <w:tc>
          <w:tcPr>
            <w:tcW w:w="70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6B477212" w14:textId="4AADD264"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low</w:t>
            </w:r>
          </w:p>
        </w:tc>
        <w:tc>
          <w:tcPr>
            <w:tcW w:w="8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A1792E6" w14:textId="06B0A1C0"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0F82A457" w14:textId="2C2F9E3C"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hypothermia: 27; non: 18</w:t>
            </w:r>
          </w:p>
        </w:tc>
        <w:tc>
          <w:tcPr>
            <w:tcW w:w="13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bottom"/>
          </w:tcPr>
          <w:p w14:paraId="357884DD" w14:textId="66757C85"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MMSE: day 14; cog tests: 3 months</w:t>
            </w:r>
          </w:p>
        </w:tc>
        <w:tc>
          <w:tcPr>
            <w:tcW w:w="4495" w:type="dxa"/>
            <w:gridSpan w:val="4"/>
            <w:tcBorders>
              <w:top w:val="nil"/>
              <w:left w:val="nil"/>
              <w:bottom w:val="single" w:sz="4" w:space="0" w:color="auto"/>
              <w:right w:val="single" w:sz="4" w:space="0" w:color="auto"/>
            </w:tcBorders>
            <w:shd w:val="clear" w:color="auto" w:fill="FFFFFF" w:themeFill="background1"/>
            <w:vAlign w:val="bottom"/>
            <w:hideMark/>
          </w:tcPr>
          <w:p w14:paraId="0FE9CB20" w14:textId="3AE8F3EF"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Global cognitive function (MMSE); </w:t>
            </w:r>
            <w:r w:rsidRPr="00B5373E">
              <w:rPr>
                <w:rFonts w:eastAsia="Times New Roman" w:cs="Calibri"/>
                <w:noProof w:val="0"/>
                <w:sz w:val="18"/>
                <w:szCs w:val="18"/>
                <w:lang w:val="en-GB" w:eastAsia="en-GB"/>
              </w:rPr>
              <w:br/>
              <w:t xml:space="preserve">Memory (WMS-R logical memory; AVLT, RBMT); </w:t>
            </w:r>
            <w:r w:rsidRPr="00B5373E">
              <w:rPr>
                <w:rFonts w:eastAsia="Times New Roman" w:cs="Calibri"/>
                <w:noProof w:val="0"/>
                <w:sz w:val="18"/>
                <w:szCs w:val="18"/>
                <w:lang w:val="en-GB" w:eastAsia="en-GB"/>
              </w:rPr>
              <w:br/>
              <w:t xml:space="preserve">EF (Stroop, Trails B, verbal fluency); </w:t>
            </w:r>
            <w:r w:rsidRPr="00B5373E">
              <w:rPr>
                <w:rFonts w:eastAsia="Times New Roman" w:cs="Calibri"/>
                <w:noProof w:val="0"/>
                <w:sz w:val="18"/>
                <w:szCs w:val="18"/>
                <w:lang w:val="en-GB" w:eastAsia="en-GB"/>
              </w:rPr>
              <w:br/>
              <w:t xml:space="preserve">Processing Speed (WAIS-R digit-symbol, Trails A, Stroop-congruent, </w:t>
            </w:r>
            <w:r w:rsidR="00FA4FA2" w:rsidRPr="00B5373E">
              <w:rPr>
                <w:rFonts w:eastAsia="Times New Roman" w:cs="Calibri"/>
                <w:noProof w:val="0"/>
                <w:sz w:val="18"/>
                <w:szCs w:val="18"/>
                <w:lang w:val="en-GB" w:eastAsia="en-GB"/>
              </w:rPr>
              <w:t>GP</w:t>
            </w:r>
            <w:r w:rsidRPr="00B5373E">
              <w:rPr>
                <w:rFonts w:eastAsia="Times New Roman" w:cs="Calibri"/>
                <w:noProof w:val="0"/>
                <w:sz w:val="18"/>
                <w:szCs w:val="18"/>
                <w:lang w:val="en-GB" w:eastAsia="en-GB"/>
              </w:rPr>
              <w:t>)</w:t>
            </w:r>
          </w:p>
        </w:tc>
        <w:tc>
          <w:tcPr>
            <w:tcW w:w="3226" w:type="dxa"/>
            <w:gridSpan w:val="3"/>
            <w:tcBorders>
              <w:top w:val="nil"/>
              <w:left w:val="nil"/>
              <w:bottom w:val="single" w:sz="4" w:space="0" w:color="auto"/>
              <w:right w:val="single" w:sz="4" w:space="0" w:color="auto"/>
            </w:tcBorders>
            <w:shd w:val="clear" w:color="auto" w:fill="FFFFFF" w:themeFill="background1"/>
            <w:vAlign w:val="bottom"/>
            <w:hideMark/>
          </w:tcPr>
          <w:p w14:paraId="172244D9" w14:textId="0A2029EC" w:rsidR="007814FC" w:rsidRPr="00B5373E" w:rsidRDefault="5A28C999"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Overall: 33-56%; Learning and memory 24%; EF: 33%, 19% speed</w:t>
            </w:r>
          </w:p>
        </w:tc>
        <w:tc>
          <w:tcPr>
            <w:tcW w:w="1882" w:type="dxa"/>
            <w:gridSpan w:val="3"/>
            <w:tcBorders>
              <w:top w:val="nil"/>
              <w:left w:val="nil"/>
              <w:bottom w:val="single" w:sz="4" w:space="0" w:color="auto"/>
              <w:right w:val="single" w:sz="4" w:space="0" w:color="auto"/>
            </w:tcBorders>
            <w:shd w:val="clear" w:color="auto" w:fill="FFFFFF" w:themeFill="background1"/>
            <w:vAlign w:val="bottom"/>
            <w:hideMark/>
          </w:tcPr>
          <w:p w14:paraId="18B7F17B" w14:textId="7D52D630"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Norms, 1.5 SD</w:t>
            </w:r>
            <w:r w:rsidR="00902873" w:rsidRPr="00B5373E">
              <w:rPr>
                <w:rFonts w:eastAsia="Times New Roman" w:cs="Calibri"/>
                <w:noProof w:val="0"/>
                <w:sz w:val="18"/>
                <w:szCs w:val="18"/>
                <w:lang w:val="en-GB" w:eastAsia="en-GB"/>
              </w:rPr>
              <w:t>s</w:t>
            </w:r>
            <w:r w:rsidRPr="00B5373E">
              <w:rPr>
                <w:rFonts w:eastAsia="Times New Roman" w:cs="Calibri"/>
                <w:noProof w:val="0"/>
                <w:sz w:val="18"/>
                <w:szCs w:val="18"/>
                <w:lang w:val="en-GB" w:eastAsia="en-GB"/>
              </w:rPr>
              <w:t xml:space="preserve">; patient's intact if 70% (6/8) scores above cut-off; specific cog functions impaired if 50% of tests below cut-off </w:t>
            </w:r>
          </w:p>
        </w:tc>
      </w:tr>
      <w:tr w:rsidR="007814FC" w:rsidRPr="00B5373E" w14:paraId="6B6C169E" w14:textId="77777777" w:rsidTr="00CC220A">
        <w:trPr>
          <w:trHeight w:val="73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9EF45C" w14:textId="7A9DFE5D" w:rsidR="007814FC" w:rsidRPr="00B5373E" w:rsidRDefault="05EF0168" w:rsidP="7A679DD0">
            <w:pPr>
              <w:spacing w:line="240" w:lineRule="auto"/>
              <w:jc w:val="left"/>
              <w:rPr>
                <w:rFonts w:eastAsia="Times New Roman" w:cs="Calibri"/>
                <w:noProof w:val="0"/>
                <w:sz w:val="18"/>
                <w:szCs w:val="18"/>
                <w:vertAlign w:val="superscript"/>
                <w:lang w:val="en-GB" w:eastAsia="en-GB"/>
              </w:rPr>
            </w:pPr>
            <w:bookmarkStart w:id="1" w:name="_GoBack"/>
            <w:proofErr w:type="spellStart"/>
            <w:r w:rsidRPr="00B5373E">
              <w:rPr>
                <w:rFonts w:eastAsia="Times New Roman" w:cs="Calibri"/>
                <w:noProof w:val="0"/>
                <w:sz w:val="18"/>
                <w:szCs w:val="18"/>
                <w:lang w:val="en-GB" w:eastAsia="en-GB"/>
              </w:rPr>
              <w:lastRenderedPageBreak/>
              <w:t>Tiainen</w:t>
            </w:r>
            <w:proofErr w:type="spellEnd"/>
            <w:r w:rsidRPr="00B5373E">
              <w:rPr>
                <w:rFonts w:eastAsia="Times New Roman" w:cs="Calibri"/>
                <w:noProof w:val="0"/>
                <w:sz w:val="18"/>
                <w:szCs w:val="18"/>
                <w:lang w:val="en-GB" w:eastAsia="en-GB"/>
              </w:rPr>
              <w:t xml:space="preserve"> et al., 2015</w:t>
            </w:r>
            <w:r w:rsidR="007524E3" w:rsidRPr="00B5373E">
              <w:rPr>
                <w:rFonts w:eastAsia="Times New Roman" w:cs="Calibri"/>
                <w:noProof w:val="0"/>
                <w:sz w:val="18"/>
                <w:szCs w:val="18"/>
                <w:vertAlign w:val="superscript"/>
                <w:lang w:val="en-GB" w:eastAsia="en-GB"/>
              </w:rPr>
              <w:t>5</w:t>
            </w:r>
            <w:r w:rsidR="142BE8ED" w:rsidRPr="00B5373E">
              <w:rPr>
                <w:rFonts w:eastAsia="Times New Roman" w:cs="Calibri"/>
                <w:noProof w:val="0"/>
                <w:sz w:val="18"/>
                <w:szCs w:val="18"/>
                <w:vertAlign w:val="superscript"/>
                <w:lang w:val="en-GB" w:eastAsia="en-GB"/>
              </w:rPr>
              <w:t>4</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DDB529" w14:textId="3B58030A"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mod</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AB7CD5" w14:textId="6D73379F"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Pros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14454" w14:textId="0A894543"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n=41</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20A1B4" w14:textId="6B2C59FC"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cs="Calibri"/>
                <w:sz w:val="18"/>
                <w:szCs w:val="18"/>
              </w:rPr>
              <w:t>6-8 mos, median 7 mos</w:t>
            </w:r>
          </w:p>
        </w:tc>
        <w:tc>
          <w:tcPr>
            <w:tcW w:w="44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112F22" w14:textId="08AA6CE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 xml:space="preserve">General cognitive ability (WAIS-R: Similarities, Blocks, digit-symbol, visual search); </w:t>
            </w:r>
            <w:r w:rsidRPr="00B5373E">
              <w:rPr>
                <w:rFonts w:eastAsia="Times New Roman" w:cs="Calibri"/>
                <w:noProof w:val="0"/>
                <w:sz w:val="18"/>
                <w:szCs w:val="18"/>
                <w:lang w:val="en-GB" w:eastAsia="en-GB"/>
              </w:rPr>
              <w:br/>
              <w:t xml:space="preserve">Memory (WMS-R (logical passages, list learning); </w:t>
            </w:r>
            <w:r w:rsidRPr="00B5373E">
              <w:rPr>
                <w:rFonts w:eastAsia="Times New Roman" w:cs="Calibri"/>
                <w:noProof w:val="0"/>
                <w:sz w:val="18"/>
                <w:szCs w:val="18"/>
                <w:lang w:val="en-GB" w:eastAsia="en-GB"/>
              </w:rPr>
              <w:br/>
              <w:t>EF (Trails, Stroop, semantic fluency)</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4A10A8" w14:textId="77777777"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51%, specific area NR</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6DC6B1" w14:textId="675DF498" w:rsidR="007814FC" w:rsidRPr="00B5373E" w:rsidRDefault="007814FC" w:rsidP="007814FC">
            <w:pPr>
              <w:spacing w:line="240" w:lineRule="auto"/>
              <w:jc w:val="left"/>
              <w:rPr>
                <w:rFonts w:eastAsia="Times New Roman" w:cs="Calibri"/>
                <w:noProof w:val="0"/>
                <w:sz w:val="18"/>
                <w:szCs w:val="18"/>
                <w:lang w:val="en-GB" w:eastAsia="en-GB"/>
              </w:rPr>
            </w:pPr>
            <w:r w:rsidRPr="00B5373E">
              <w:rPr>
                <w:rFonts w:eastAsia="Times New Roman" w:cs="Calibri"/>
                <w:noProof w:val="0"/>
                <w:sz w:val="18"/>
                <w:szCs w:val="18"/>
                <w:lang w:val="en-GB" w:eastAsia="en-GB"/>
              </w:rPr>
              <w:t>Norms, 1 SD; Impaired if performance on &gt;1 test was below norms</w:t>
            </w:r>
          </w:p>
        </w:tc>
      </w:tr>
      <w:bookmarkEnd w:id="1"/>
      <w:tr w:rsidR="007814FC" w:rsidRPr="00B5373E" w14:paraId="09B561D5" w14:textId="77777777" w:rsidTr="00CC220A">
        <w:trPr>
          <w:trHeight w:val="73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AC8C95" w14:textId="78B0AEFC" w:rsidR="007814FC" w:rsidRPr="00B5373E" w:rsidRDefault="05EF0168"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Torgersen et al., 2010</w:t>
            </w:r>
            <w:r w:rsidR="66D3233B" w:rsidRPr="00B5373E">
              <w:rPr>
                <w:rFonts w:eastAsia="Times New Roman" w:cs="Calibri"/>
                <w:noProof w:val="0"/>
                <w:color w:val="000000" w:themeColor="text1"/>
                <w:sz w:val="18"/>
                <w:szCs w:val="18"/>
                <w:vertAlign w:val="superscript"/>
                <w:lang w:val="en-GB" w:eastAsia="en-GB"/>
              </w:rPr>
              <w:t>55</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1B8E80" w14:textId="61B9B865"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D0A85" w14:textId="2E815D74"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Retro</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3068FA" w14:textId="4C1C9D39"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26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2F5E27" w14:textId="25AEF38F"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13-28 mos (mean=20.4 mos)</w:t>
            </w:r>
          </w:p>
        </w:tc>
        <w:tc>
          <w:tcPr>
            <w:tcW w:w="44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9A05C5" w14:textId="4A4ECD86"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 xml:space="preserve">Global cognitive function (MMSE); </w:t>
            </w:r>
            <w:r w:rsidRPr="00B5373E">
              <w:rPr>
                <w:rFonts w:eastAsia="Times New Roman" w:cs="Calibri"/>
                <w:noProof w:val="0"/>
                <w:color w:val="000000" w:themeColor="text1"/>
                <w:sz w:val="18"/>
                <w:szCs w:val="18"/>
                <w:lang w:val="en-GB" w:eastAsia="en-GB"/>
              </w:rPr>
              <w:br/>
              <w:t>General cognitive ability (CANTAB motor screening test, delayed matching to sample, stockings, PAL)</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DC4803" w14:textId="77777777"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52%; deficits in EF and episodic memory compared with norm data</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C34EDE" w14:textId="59DBF9CE"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MMSE &lt;24; Norms, 1.5</w:t>
            </w:r>
            <w:r w:rsidR="00623873" w:rsidRPr="00B5373E">
              <w:rPr>
                <w:rFonts w:eastAsia="Times New Roman" w:cs="Calibri"/>
                <w:noProof w:val="0"/>
                <w:color w:val="000000" w:themeColor="text1"/>
                <w:sz w:val="18"/>
                <w:szCs w:val="18"/>
                <w:lang w:val="en-GB" w:eastAsia="en-GB"/>
              </w:rPr>
              <w:t xml:space="preserve"> SD</w:t>
            </w:r>
            <w:r w:rsidRPr="00B5373E">
              <w:rPr>
                <w:rFonts w:eastAsia="Times New Roman" w:cs="Calibri"/>
                <w:noProof w:val="0"/>
                <w:color w:val="000000" w:themeColor="text1"/>
                <w:sz w:val="18"/>
                <w:szCs w:val="18"/>
                <w:lang w:val="en-GB" w:eastAsia="en-GB"/>
              </w:rPr>
              <w:t xml:space="preserve"> on at least 3</w:t>
            </w:r>
            <w:r w:rsidR="00623873" w:rsidRPr="00B5373E">
              <w:rPr>
                <w:rFonts w:eastAsia="Times New Roman" w:cs="Calibri"/>
                <w:noProof w:val="0"/>
                <w:color w:val="000000" w:themeColor="text1"/>
                <w:sz w:val="18"/>
                <w:szCs w:val="18"/>
                <w:lang w:val="en-GB" w:eastAsia="en-GB"/>
              </w:rPr>
              <w:t xml:space="preserve"> measures</w:t>
            </w:r>
            <w:r w:rsidRPr="00B5373E">
              <w:rPr>
                <w:rFonts w:eastAsia="Times New Roman" w:cs="Calibri"/>
                <w:noProof w:val="0"/>
                <w:color w:val="000000" w:themeColor="text1"/>
                <w:sz w:val="18"/>
                <w:szCs w:val="18"/>
                <w:lang w:val="en-GB" w:eastAsia="en-GB"/>
              </w:rPr>
              <w:t xml:space="preserve"> or 2</w:t>
            </w:r>
            <w:r w:rsidR="00623873" w:rsidRPr="00B5373E">
              <w:rPr>
                <w:rFonts w:eastAsia="Times New Roman" w:cs="Calibri"/>
                <w:noProof w:val="0"/>
                <w:color w:val="000000" w:themeColor="text1"/>
                <w:sz w:val="18"/>
                <w:szCs w:val="18"/>
                <w:lang w:val="en-GB" w:eastAsia="en-GB"/>
              </w:rPr>
              <w:t xml:space="preserve"> SDs</w:t>
            </w:r>
            <w:r w:rsidRPr="00B5373E">
              <w:rPr>
                <w:rFonts w:eastAsia="Times New Roman" w:cs="Calibri"/>
                <w:noProof w:val="0"/>
                <w:color w:val="000000" w:themeColor="text1"/>
                <w:sz w:val="18"/>
                <w:szCs w:val="18"/>
                <w:lang w:val="en-GB" w:eastAsia="en-GB"/>
              </w:rPr>
              <w:t xml:space="preserve"> on 2 measures (out of 10)</w:t>
            </w:r>
          </w:p>
        </w:tc>
      </w:tr>
      <w:tr w:rsidR="00491962" w:rsidRPr="00B5373E" w14:paraId="1A63852D"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76F14A" w14:textId="091D29C2" w:rsidR="007814FC" w:rsidRPr="00B5373E" w:rsidRDefault="05EF0168" w:rsidP="007814FC">
            <w:pPr>
              <w:spacing w:line="240" w:lineRule="auto"/>
              <w:jc w:val="left"/>
              <w:rPr>
                <w:rFonts w:eastAsia="Times New Roman" w:cs="Calibri"/>
                <w:noProof w:val="0"/>
                <w:color w:val="000000" w:themeColor="text1"/>
                <w:sz w:val="18"/>
                <w:szCs w:val="18"/>
                <w:lang w:val="en-GB" w:eastAsia="en-GB"/>
              </w:rPr>
            </w:pPr>
            <w:proofErr w:type="spellStart"/>
            <w:r w:rsidRPr="00B5373E">
              <w:rPr>
                <w:rFonts w:eastAsia="Times New Roman" w:cs="Calibri"/>
                <w:noProof w:val="0"/>
                <w:color w:val="000000" w:themeColor="text1"/>
                <w:sz w:val="18"/>
                <w:szCs w:val="18"/>
                <w:lang w:val="en-GB" w:eastAsia="en-GB"/>
              </w:rPr>
              <w:t>Wachelder</w:t>
            </w:r>
            <w:proofErr w:type="spellEnd"/>
            <w:r w:rsidRPr="00B5373E">
              <w:rPr>
                <w:rFonts w:eastAsia="Times New Roman" w:cs="Calibri"/>
                <w:noProof w:val="0"/>
                <w:color w:val="000000" w:themeColor="text1"/>
                <w:sz w:val="18"/>
                <w:szCs w:val="18"/>
                <w:lang w:val="en-GB" w:eastAsia="en-GB"/>
              </w:rPr>
              <w:t xml:space="preserve"> et al., 2009</w:t>
            </w:r>
            <w:r w:rsidR="007524E3" w:rsidRPr="00B5373E">
              <w:rPr>
                <w:rFonts w:eastAsia="Times New Roman" w:cs="Calibri"/>
                <w:noProof w:val="0"/>
                <w:color w:val="000000" w:themeColor="text1"/>
                <w:sz w:val="18"/>
                <w:szCs w:val="18"/>
                <w:vertAlign w:val="superscript"/>
                <w:lang w:val="en-GB" w:eastAsia="en-GB"/>
              </w:rPr>
              <w:t>5</w:t>
            </w:r>
            <w:r w:rsidR="127E79A1" w:rsidRPr="00B5373E">
              <w:rPr>
                <w:rFonts w:eastAsia="Times New Roman" w:cs="Calibri"/>
                <w:noProof w:val="0"/>
                <w:color w:val="000000" w:themeColor="text1"/>
                <w:sz w:val="18"/>
                <w:szCs w:val="18"/>
                <w:vertAlign w:val="superscript"/>
                <w:lang w:val="en-GB" w:eastAsia="en-GB"/>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CACF75" w14:textId="41D7D969"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4C4E47" w14:textId="10BC5E19"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Retro</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A43C31" w14:textId="14805706"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63</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452C28" w14:textId="374471C3"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36 mos (18.8)</w:t>
            </w:r>
          </w:p>
        </w:tc>
        <w:tc>
          <w:tcPr>
            <w:tcW w:w="44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134D3F" w14:textId="4E55FFDA"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CFQ</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87278D" w14:textId="77777777"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21%</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0538DF" w14:textId="77777777"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 xml:space="preserve"> &gt;/= 44</w:t>
            </w:r>
          </w:p>
        </w:tc>
      </w:tr>
      <w:tr w:rsidR="00491962" w:rsidRPr="00B5373E" w14:paraId="78FC1647" w14:textId="77777777" w:rsidTr="00CC220A">
        <w:trPr>
          <w:trHeight w:val="290"/>
        </w:trPr>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F8D1BB" w14:textId="6BFC6553"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Wilson et al., 2014</w:t>
            </w:r>
            <w:r w:rsidR="007524E3" w:rsidRPr="00B5373E">
              <w:rPr>
                <w:rFonts w:eastAsia="Times New Roman" w:cs="Calibri"/>
                <w:noProof w:val="0"/>
                <w:color w:val="000000" w:themeColor="text1"/>
                <w:sz w:val="18"/>
                <w:szCs w:val="18"/>
                <w:vertAlign w:val="superscript"/>
                <w:lang w:val="en-GB" w:eastAsia="en-GB"/>
              </w:rPr>
              <w:t>19</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E59075" w14:textId="23DE4FA6"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low</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5B5BC5" w14:textId="7829C18C"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Retro</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938DAA" w14:textId="5CF1CB8B" w:rsidR="007814FC" w:rsidRPr="00B5373E" w:rsidRDefault="000A6CF4"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56</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13E258" w14:textId="326B7F85" w:rsidR="007814FC" w:rsidRPr="00B5373E" w:rsidRDefault="00402228" w:rsidP="007814FC">
            <w:pPr>
              <w:spacing w:line="240" w:lineRule="auto"/>
              <w:jc w:val="left"/>
              <w:rPr>
                <w:rFonts w:eastAsia="Times New Roman" w:cs="Calibri"/>
                <w:noProof w:val="0"/>
                <w:color w:val="000000" w:themeColor="text1"/>
                <w:sz w:val="18"/>
                <w:szCs w:val="18"/>
                <w:lang w:val="en-GB" w:eastAsia="en-GB"/>
              </w:rPr>
            </w:pPr>
            <w:r w:rsidRPr="00B5373E">
              <w:rPr>
                <w:rFonts w:cs="Calibri"/>
                <w:color w:val="000000" w:themeColor="text1"/>
                <w:sz w:val="18"/>
                <w:szCs w:val="18"/>
              </w:rPr>
              <w:t>25.81 - 2</w:t>
            </w:r>
            <w:r w:rsidR="007814FC" w:rsidRPr="00B5373E">
              <w:rPr>
                <w:rFonts w:cs="Calibri"/>
                <w:color w:val="000000" w:themeColor="text1"/>
                <w:sz w:val="18"/>
                <w:szCs w:val="18"/>
              </w:rPr>
              <w:t>7.78 mos</w:t>
            </w:r>
          </w:p>
        </w:tc>
        <w:tc>
          <w:tcPr>
            <w:tcW w:w="44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92F097" w14:textId="239E46EE"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DEX, EMQ-R</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249BDC" w14:textId="77777777"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EMQ-R 9-16%</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7C19F2" w14:textId="77777777" w:rsidR="007814FC" w:rsidRPr="00B5373E" w:rsidRDefault="007814FC" w:rsidP="007814FC">
            <w:pPr>
              <w:spacing w:line="240" w:lineRule="auto"/>
              <w:jc w:val="left"/>
              <w:rPr>
                <w:rFonts w:eastAsia="Times New Roman" w:cs="Calibri"/>
                <w:noProof w:val="0"/>
                <w:color w:val="000000" w:themeColor="text1"/>
                <w:sz w:val="18"/>
                <w:szCs w:val="18"/>
                <w:lang w:val="en-GB" w:eastAsia="en-GB"/>
              </w:rPr>
            </w:pPr>
            <w:r w:rsidRPr="00B5373E">
              <w:rPr>
                <w:rFonts w:eastAsia="Times New Roman" w:cs="Calibri"/>
                <w:noProof w:val="0"/>
                <w:color w:val="000000" w:themeColor="text1"/>
                <w:sz w:val="18"/>
                <w:szCs w:val="18"/>
                <w:lang w:val="en-GB" w:eastAsia="en-GB"/>
              </w:rPr>
              <w:t>NR</w:t>
            </w:r>
          </w:p>
        </w:tc>
      </w:tr>
    </w:tbl>
    <w:bookmarkEnd w:id="0"/>
    <w:p w14:paraId="6DA1F485" w14:textId="6A6BA30B" w:rsidR="004617C7" w:rsidRPr="00B5373E" w:rsidRDefault="38FFBBB4" w:rsidP="1608CFC8">
      <w:pPr>
        <w:spacing w:line="240" w:lineRule="auto"/>
        <w:jc w:val="left"/>
        <w:rPr>
          <w:rFonts w:eastAsia="Times New Roman" w:cs="Calibri"/>
          <w:noProof w:val="0"/>
          <w:sz w:val="18"/>
          <w:szCs w:val="18"/>
          <w:lang w:val="en-GB" w:eastAsia="en-GB"/>
        </w:rPr>
      </w:pPr>
      <w:r w:rsidRPr="00B5373E">
        <w:rPr>
          <w:rFonts w:eastAsia="Times New Roman" w:cs="Calibri"/>
          <w:b/>
          <w:bCs/>
          <w:noProof w:val="0"/>
          <w:sz w:val="18"/>
          <w:szCs w:val="18"/>
          <w:lang w:val="en-GB" w:eastAsia="en-GB"/>
        </w:rPr>
        <w:t xml:space="preserve">Note: </w:t>
      </w:r>
      <w:r w:rsidRPr="00B5373E">
        <w:rPr>
          <w:rFonts w:eastAsia="Times New Roman" w:cs="Calibri"/>
          <w:noProof w:val="0"/>
          <w:sz w:val="18"/>
          <w:szCs w:val="18"/>
          <w:lang w:val="en-GB" w:eastAsia="en-GB"/>
        </w:rPr>
        <w:t xml:space="preserve">Norms=normative data; SD = </w:t>
      </w:r>
      <w:r w:rsidR="69FF3BB7" w:rsidRPr="00B5373E">
        <w:rPr>
          <w:rFonts w:eastAsia="Times New Roman" w:cs="Calibri"/>
          <w:noProof w:val="0"/>
          <w:sz w:val="18"/>
          <w:szCs w:val="18"/>
          <w:lang w:val="en-GB" w:eastAsia="en-GB"/>
        </w:rPr>
        <w:t>s</w:t>
      </w:r>
      <w:r w:rsidRPr="00B5373E">
        <w:rPr>
          <w:rFonts w:eastAsia="Times New Roman" w:cs="Calibri"/>
          <w:noProof w:val="0"/>
          <w:sz w:val="18"/>
          <w:szCs w:val="18"/>
          <w:lang w:val="en-GB" w:eastAsia="en-GB"/>
        </w:rPr>
        <w:t xml:space="preserve">tandard </w:t>
      </w:r>
      <w:r w:rsidR="6278B0EB" w:rsidRPr="00B5373E">
        <w:rPr>
          <w:rFonts w:eastAsia="Times New Roman" w:cs="Calibri"/>
          <w:noProof w:val="0"/>
          <w:sz w:val="18"/>
          <w:szCs w:val="18"/>
          <w:lang w:val="en-GB" w:eastAsia="en-GB"/>
        </w:rPr>
        <w:t>d</w:t>
      </w:r>
      <w:r w:rsidRPr="00B5373E">
        <w:rPr>
          <w:rFonts w:eastAsia="Times New Roman" w:cs="Calibri"/>
          <w:noProof w:val="0"/>
          <w:sz w:val="18"/>
          <w:szCs w:val="18"/>
          <w:lang w:val="en-GB" w:eastAsia="en-GB"/>
        </w:rPr>
        <w:t>eviation</w:t>
      </w:r>
      <w:r w:rsidR="7BFB0333" w:rsidRPr="00B5373E">
        <w:rPr>
          <w:rFonts w:eastAsia="Times New Roman" w:cs="Calibri"/>
          <w:noProof w:val="0"/>
          <w:sz w:val="18"/>
          <w:szCs w:val="18"/>
          <w:lang w:val="en-GB" w:eastAsia="en-GB"/>
        </w:rPr>
        <w:t xml:space="preserve">; </w:t>
      </w:r>
      <w:r w:rsidR="7E743F00" w:rsidRPr="00B5373E">
        <w:rPr>
          <w:rFonts w:eastAsia="Times New Roman" w:cs="Calibri"/>
          <w:noProof w:val="0"/>
          <w:sz w:val="18"/>
          <w:szCs w:val="18"/>
          <w:lang w:val="en-GB" w:eastAsia="en-GB"/>
        </w:rPr>
        <w:t xml:space="preserve">Pros = </w:t>
      </w:r>
      <w:r w:rsidR="05499E0F" w:rsidRPr="00B5373E">
        <w:rPr>
          <w:rFonts w:eastAsia="Times New Roman" w:cs="Calibri"/>
          <w:noProof w:val="0"/>
          <w:sz w:val="18"/>
          <w:szCs w:val="18"/>
          <w:lang w:val="en-GB" w:eastAsia="en-GB"/>
        </w:rPr>
        <w:t>p</w:t>
      </w:r>
      <w:r w:rsidR="7E743F00" w:rsidRPr="00B5373E">
        <w:rPr>
          <w:rFonts w:eastAsia="Times New Roman" w:cs="Calibri"/>
          <w:noProof w:val="0"/>
          <w:sz w:val="18"/>
          <w:szCs w:val="18"/>
          <w:lang w:val="en-GB" w:eastAsia="en-GB"/>
        </w:rPr>
        <w:t>rospective design; Retro =</w:t>
      </w:r>
      <w:r w:rsidR="795E1D0D" w:rsidRPr="00B5373E">
        <w:rPr>
          <w:rFonts w:eastAsia="Times New Roman" w:cs="Calibri"/>
          <w:noProof w:val="0"/>
          <w:sz w:val="18"/>
          <w:szCs w:val="18"/>
          <w:lang w:val="en-GB" w:eastAsia="en-GB"/>
        </w:rPr>
        <w:t xml:space="preserve"> </w:t>
      </w:r>
      <w:r w:rsidR="61DECE0E" w:rsidRPr="00B5373E">
        <w:rPr>
          <w:rFonts w:eastAsia="Times New Roman" w:cs="Calibri"/>
          <w:noProof w:val="0"/>
          <w:sz w:val="18"/>
          <w:szCs w:val="18"/>
          <w:lang w:val="en-GB" w:eastAsia="en-GB"/>
        </w:rPr>
        <w:t>r</w:t>
      </w:r>
      <w:r w:rsidR="7E743F00" w:rsidRPr="00B5373E">
        <w:rPr>
          <w:rFonts w:eastAsia="Times New Roman" w:cs="Calibri"/>
          <w:noProof w:val="0"/>
          <w:sz w:val="18"/>
          <w:szCs w:val="18"/>
          <w:lang w:val="en-GB" w:eastAsia="en-GB"/>
        </w:rPr>
        <w:t>etrospective design</w:t>
      </w:r>
      <w:r w:rsidR="3D1E83C4" w:rsidRPr="00B5373E">
        <w:rPr>
          <w:rFonts w:eastAsia="Times New Roman" w:cs="Calibri"/>
          <w:noProof w:val="0"/>
          <w:sz w:val="18"/>
          <w:szCs w:val="18"/>
          <w:lang w:val="en-GB" w:eastAsia="en-GB"/>
        </w:rPr>
        <w:t>; MI=Myocardial Infarction</w:t>
      </w:r>
    </w:p>
    <w:p w14:paraId="61086BD9" w14:textId="494F5CFD" w:rsidR="003E77E9" w:rsidRPr="00B5373E" w:rsidRDefault="01CC439E" w:rsidP="7A679DD0">
      <w:pPr>
        <w:spacing w:line="240" w:lineRule="auto"/>
        <w:jc w:val="left"/>
        <w:rPr>
          <w:rFonts w:eastAsia="Times New Roman" w:cs="Calibri"/>
          <w:noProof w:val="0"/>
          <w:sz w:val="18"/>
          <w:szCs w:val="18"/>
          <w:lang w:val="en-GB" w:eastAsia="en-GB"/>
        </w:rPr>
        <w:sectPr w:rsidR="003E77E9" w:rsidRPr="00B5373E" w:rsidSect="00FA4FA2">
          <w:endnotePr>
            <w:numFmt w:val="decimal"/>
          </w:endnotePr>
          <w:pgSz w:w="16838" w:h="11906" w:orient="landscape" w:code="9"/>
          <w:pgMar w:top="720" w:right="1245" w:bottom="720" w:left="1077" w:header="1020" w:footer="340" w:gutter="0"/>
          <w:lnNumType w:countBy="1" w:distance="255" w:restart="continuous"/>
          <w:pgNumType w:start="1"/>
          <w:cols w:space="425"/>
          <w:titlePg/>
          <w:bidi/>
          <w:docGrid w:type="lines" w:linePitch="326"/>
        </w:sectPr>
      </w:pPr>
      <w:r w:rsidRPr="00B5373E">
        <w:rPr>
          <w:rFonts w:eastAsia="Times New Roman" w:cs="Calibri"/>
          <w:b/>
          <w:bCs/>
          <w:noProof w:val="0"/>
          <w:sz w:val="18"/>
          <w:szCs w:val="18"/>
          <w:lang w:val="en-GB" w:eastAsia="en-GB"/>
        </w:rPr>
        <w:t>Key</w:t>
      </w:r>
      <w:r w:rsidR="778B55C8" w:rsidRPr="00B5373E">
        <w:rPr>
          <w:rFonts w:eastAsia="Times New Roman" w:cs="Calibri"/>
          <w:b/>
          <w:bCs/>
          <w:noProof w:val="0"/>
          <w:sz w:val="18"/>
          <w:szCs w:val="18"/>
          <w:lang w:val="en-GB" w:eastAsia="en-GB"/>
        </w:rPr>
        <w:t xml:space="preserve"> for Measures</w:t>
      </w:r>
      <w:r w:rsidRPr="00B5373E">
        <w:rPr>
          <w:rFonts w:eastAsia="Times New Roman" w:cs="Calibri"/>
          <w:b/>
          <w:bCs/>
          <w:noProof w:val="0"/>
          <w:sz w:val="18"/>
          <w:szCs w:val="18"/>
          <w:lang w:val="en-GB" w:eastAsia="en-GB"/>
        </w:rPr>
        <w:t>:</w:t>
      </w:r>
      <w:r w:rsidRPr="00B5373E">
        <w:rPr>
          <w:rFonts w:eastAsia="Times New Roman" w:cs="Calibri"/>
          <w:noProof w:val="0"/>
          <w:sz w:val="18"/>
          <w:szCs w:val="18"/>
          <w:lang w:val="en-GB" w:eastAsia="en-GB"/>
        </w:rPr>
        <w:t xml:space="preserve"> ACE-R, Addenbrooke's Cognitive Examination-Revised; </w:t>
      </w:r>
      <w:r w:rsidR="47E784AB" w:rsidRPr="00B5373E">
        <w:rPr>
          <w:rFonts w:eastAsia="Times New Roman" w:cs="Calibri"/>
          <w:noProof w:val="0"/>
          <w:sz w:val="18"/>
          <w:szCs w:val="18"/>
          <w:lang w:val="en-GB" w:eastAsia="en-GB"/>
        </w:rPr>
        <w:t xml:space="preserve">AVLT, Auditory Verbal Learning Test; </w:t>
      </w:r>
      <w:r w:rsidRPr="00B5373E">
        <w:rPr>
          <w:rFonts w:eastAsia="Times New Roman" w:cs="Calibri"/>
          <w:noProof w:val="0"/>
          <w:sz w:val="18"/>
          <w:szCs w:val="18"/>
          <w:lang w:val="en-GB" w:eastAsia="en-GB"/>
        </w:rPr>
        <w:t xml:space="preserve">BNT, Boston Naming Test; BT, Block tapping, Weschler Memory Scale; BVMT, Brief Visual Memory Test; BVRT, Benton Visual Retention Test; CANTAB, Cambridge Neuropsychological Test Automated Battery; CASI, Cognitive Abilities Screening Instrument; </w:t>
      </w:r>
      <w:r w:rsidR="6BA2B04C" w:rsidRPr="00B5373E">
        <w:rPr>
          <w:rFonts w:eastAsia="Times New Roman" w:cs="Calibri"/>
          <w:noProof w:val="0"/>
          <w:sz w:val="18"/>
          <w:szCs w:val="18"/>
          <w:lang w:val="en-GB" w:eastAsia="en-GB"/>
        </w:rPr>
        <w:t xml:space="preserve">CFQ, Cognitive Failures Questionnaire; CMT, Camden Memory Test; CNB, Computerized Neurocognitive Battery; COWAT, </w:t>
      </w:r>
      <w:r w:rsidR="6BA2B04C" w:rsidRPr="00B5373E">
        <w:rPr>
          <w:rFonts w:eastAsia="Times New Roman"/>
          <w:noProof w:val="0"/>
          <w:sz w:val="18"/>
          <w:szCs w:val="18"/>
          <w:lang w:val="en-GB" w:eastAsia="en-GB"/>
        </w:rPr>
        <w:t>Controlled oral word association test; CVLT, California Verbal Learning Test;</w:t>
      </w:r>
      <w:r w:rsidR="6BA2B04C" w:rsidRPr="00B5373E">
        <w:rPr>
          <w:rFonts w:eastAsia="Times New Roman" w:cs="Calibri"/>
          <w:noProof w:val="0"/>
          <w:sz w:val="18"/>
          <w:szCs w:val="18"/>
          <w:lang w:val="en-GB" w:eastAsia="en-GB"/>
        </w:rPr>
        <w:t xml:space="preserve"> </w:t>
      </w:r>
      <w:r w:rsidRPr="00B5373E">
        <w:rPr>
          <w:rFonts w:eastAsia="Times New Roman" w:cs="Calibri"/>
          <w:noProof w:val="0"/>
          <w:sz w:val="18"/>
          <w:szCs w:val="18"/>
          <w:lang w:val="en-GB" w:eastAsia="en-GB"/>
        </w:rPr>
        <w:t>DEX, Dysexecutive Questionnaire</w:t>
      </w:r>
      <w:r w:rsidR="6BA2B04C" w:rsidRPr="00B5373E">
        <w:rPr>
          <w:rFonts w:eastAsia="Times New Roman" w:cs="Calibri"/>
          <w:noProof w:val="0"/>
          <w:sz w:val="18"/>
          <w:szCs w:val="18"/>
          <w:lang w:val="en-GB" w:eastAsia="en-GB"/>
        </w:rPr>
        <w:t xml:space="preserve">; D-KEFs, Delis-Kaplan Executive Function System; EMQ-R, Everyday Memory Questionnaire; </w:t>
      </w:r>
      <w:r w:rsidR="47E784AB" w:rsidRPr="00B5373E">
        <w:rPr>
          <w:rFonts w:eastAsia="Times New Roman" w:cs="Calibri"/>
          <w:noProof w:val="0"/>
          <w:sz w:val="18"/>
          <w:szCs w:val="18"/>
          <w:lang w:val="en-GB" w:eastAsia="en-GB"/>
        </w:rPr>
        <w:t xml:space="preserve">FAB, Frontal Assessment Battery; HVOT, Hooper Visual Organisation Test; IQCODE/IQCODE-CA, Informant Questionnaire on Cognitive Decline in the Elderly-Cardiac Arrest; JOL, Judgement of Line Orientation; </w:t>
      </w:r>
      <w:r w:rsidR="6EDAE003" w:rsidRPr="00B5373E">
        <w:rPr>
          <w:rFonts w:eastAsia="Times New Roman" w:cs="Calibri"/>
          <w:noProof w:val="0"/>
          <w:sz w:val="18"/>
          <w:szCs w:val="18"/>
          <w:lang w:val="en-GB" w:eastAsia="en-GB"/>
        </w:rPr>
        <w:t xml:space="preserve">NAB, Neuropsychological Assessment Battery, </w:t>
      </w:r>
      <w:r w:rsidR="47E784AB" w:rsidRPr="00B5373E">
        <w:rPr>
          <w:rFonts w:eastAsia="Times New Roman" w:cs="Calibri"/>
          <w:noProof w:val="0"/>
          <w:sz w:val="18"/>
          <w:szCs w:val="18"/>
          <w:lang w:val="en-GB" w:eastAsia="en-GB"/>
        </w:rPr>
        <w:t xml:space="preserve">NART/ANART, National Adult Reading Test; PAL, Paired Associates Learning; PASAT, Paced Auditory Serial Addition Test; PPV, Peabody Picture Vocabulary; RAVLT, Rey Auditory </w:t>
      </w:r>
      <w:r w:rsidR="47E784AB" w:rsidRPr="00B5373E">
        <w:rPr>
          <w:rFonts w:eastAsia="Times New Roman"/>
          <w:noProof w:val="0"/>
          <w:sz w:val="18"/>
          <w:szCs w:val="18"/>
          <w:lang w:val="en-GB" w:eastAsia="en-GB"/>
        </w:rPr>
        <w:t xml:space="preserve">Verbal Learning Test; </w:t>
      </w:r>
      <w:r w:rsidR="6C52D09C" w:rsidRPr="00B5373E">
        <w:rPr>
          <w:rFonts w:eastAsia="Times New Roman"/>
          <w:noProof w:val="0"/>
          <w:sz w:val="18"/>
          <w:szCs w:val="18"/>
          <w:lang w:val="en-GB" w:eastAsia="en-GB"/>
        </w:rPr>
        <w:t>Rey CF, Rey-</w:t>
      </w:r>
      <w:proofErr w:type="spellStart"/>
      <w:r w:rsidR="6C52D09C" w:rsidRPr="00B5373E">
        <w:rPr>
          <w:rFonts w:eastAsia="Times New Roman"/>
          <w:noProof w:val="0"/>
          <w:sz w:val="18"/>
          <w:szCs w:val="18"/>
          <w:lang w:val="en-GB" w:eastAsia="en-GB"/>
        </w:rPr>
        <w:t>Osterrieth</w:t>
      </w:r>
      <w:proofErr w:type="spellEnd"/>
      <w:r w:rsidR="6C52D09C" w:rsidRPr="00B5373E">
        <w:rPr>
          <w:rFonts w:eastAsia="Times New Roman"/>
          <w:noProof w:val="0"/>
          <w:sz w:val="18"/>
          <w:szCs w:val="18"/>
          <w:lang w:val="en-GB" w:eastAsia="en-GB"/>
        </w:rPr>
        <w:t xml:space="preserve"> Complex Figure Test; </w:t>
      </w:r>
      <w:r w:rsidR="47E784AB" w:rsidRPr="00B5373E">
        <w:rPr>
          <w:rFonts w:eastAsia="Times New Roman"/>
          <w:noProof w:val="0"/>
          <w:sz w:val="18"/>
          <w:szCs w:val="18"/>
          <w:lang w:val="en-GB" w:eastAsia="en-GB"/>
        </w:rPr>
        <w:t xml:space="preserve">RBMT, </w:t>
      </w:r>
      <w:proofErr w:type="spellStart"/>
      <w:r w:rsidR="47E784AB" w:rsidRPr="00B5373E">
        <w:rPr>
          <w:rFonts w:eastAsia="Times New Roman"/>
          <w:noProof w:val="0"/>
          <w:sz w:val="18"/>
          <w:szCs w:val="18"/>
          <w:lang w:val="en-GB" w:eastAsia="en-GB"/>
        </w:rPr>
        <w:t>Rivermead</w:t>
      </w:r>
      <w:proofErr w:type="spellEnd"/>
      <w:r w:rsidR="47E784AB" w:rsidRPr="00B5373E">
        <w:rPr>
          <w:rFonts w:eastAsia="Times New Roman"/>
          <w:noProof w:val="0"/>
          <w:sz w:val="18"/>
          <w:szCs w:val="18"/>
          <w:lang w:val="en-GB" w:eastAsia="en-GB"/>
        </w:rPr>
        <w:t xml:space="preserve"> Behavioural Memory Test; SDMT, Symbol digit modalities test; TICs, Telephone Interview for Cognitive Status; VF, Verbal Fluency; WAIS, Wechsler Adult Intelligence Scale: Dig-</w:t>
      </w:r>
      <w:proofErr w:type="spellStart"/>
      <w:r w:rsidR="47E784AB" w:rsidRPr="00B5373E">
        <w:rPr>
          <w:rFonts w:eastAsia="Times New Roman"/>
          <w:noProof w:val="0"/>
          <w:sz w:val="18"/>
          <w:szCs w:val="18"/>
          <w:lang w:val="en-GB" w:eastAsia="en-GB"/>
        </w:rPr>
        <w:t>Sym</w:t>
      </w:r>
      <w:proofErr w:type="spellEnd"/>
      <w:r w:rsidR="47E784AB" w:rsidRPr="00B5373E">
        <w:rPr>
          <w:rFonts w:eastAsia="Times New Roman"/>
          <w:noProof w:val="0"/>
          <w:sz w:val="18"/>
          <w:szCs w:val="18"/>
          <w:lang w:val="en-GB" w:eastAsia="en-GB"/>
        </w:rPr>
        <w:t>, digit symbol, DS, Digit Span; WASI, Wechsler Abbreviated Scale of Intelligence; WCST, Wisconsin Card Sorting Test; WMS, Wechsler Memory Scale.</w:t>
      </w:r>
    </w:p>
    <w:p w14:paraId="17DC2024" w14:textId="5884283C" w:rsidR="00E93210" w:rsidRPr="00B5373E" w:rsidRDefault="00E93210" w:rsidP="00E93210">
      <w:pPr>
        <w:pStyle w:val="MDPI21heading1"/>
      </w:pPr>
      <w:r w:rsidRPr="00B5373E">
        <w:lastRenderedPageBreak/>
        <w:t>4. Discussion</w:t>
      </w:r>
    </w:p>
    <w:p w14:paraId="201A08E0" w14:textId="273D7197" w:rsidR="7A679DD0" w:rsidRPr="00B5373E" w:rsidRDefault="7A679DD0" w:rsidP="7A679DD0">
      <w:pPr>
        <w:pStyle w:val="MDPI31text"/>
      </w:pPr>
    </w:p>
    <w:p w14:paraId="5232101B" w14:textId="2BA2D3AB" w:rsidR="00C005DC" w:rsidRPr="00B5373E" w:rsidRDefault="7EB2EB05" w:rsidP="004B261F">
      <w:pPr>
        <w:pStyle w:val="MDPI31text"/>
      </w:pPr>
      <w:r w:rsidRPr="00B5373E">
        <w:t>Forty-three</w:t>
      </w:r>
      <w:r w:rsidR="005A236A" w:rsidRPr="00B5373E">
        <w:t xml:space="preserve"> articles were identified that included cognitive assessment </w:t>
      </w:r>
      <w:r w:rsidR="003A51E4" w:rsidRPr="00B5373E">
        <w:t>after</w:t>
      </w:r>
      <w:r w:rsidR="005A236A" w:rsidRPr="00B5373E">
        <w:t xml:space="preserve"> OHCA. </w:t>
      </w:r>
      <w:r w:rsidR="00DD0DDA" w:rsidRPr="00B5373E">
        <w:t xml:space="preserve">Following on from the review of 28 articles by </w:t>
      </w:r>
      <w:proofErr w:type="spellStart"/>
      <w:r w:rsidR="00DD0DDA" w:rsidRPr="00B5373E">
        <w:t>Moulaert</w:t>
      </w:r>
      <w:proofErr w:type="spellEnd"/>
      <w:r w:rsidR="00DD0DDA" w:rsidRPr="00B5373E">
        <w:t xml:space="preserve"> et al. </w:t>
      </w:r>
      <w:r w:rsidR="00BA73CA" w:rsidRPr="00B5373E">
        <w:t xml:space="preserve">in </w:t>
      </w:r>
      <w:r w:rsidR="00DD0DDA" w:rsidRPr="00B5373E">
        <w:t>2009</w:t>
      </w:r>
      <w:r w:rsidR="00C50FB3" w:rsidRPr="00B5373E">
        <w:rPr>
          <w:vertAlign w:val="superscript"/>
        </w:rPr>
        <w:t>2</w:t>
      </w:r>
      <w:r w:rsidR="00DD0DDA" w:rsidRPr="00B5373E">
        <w:t xml:space="preserve">, this review sought to identify progress in this area since 2006. </w:t>
      </w:r>
      <w:proofErr w:type="spellStart"/>
      <w:r w:rsidR="005D371B" w:rsidRPr="00B5373E">
        <w:t>Moulaert</w:t>
      </w:r>
      <w:proofErr w:type="spellEnd"/>
      <w:r w:rsidR="005D371B" w:rsidRPr="00B5373E">
        <w:t xml:space="preserve"> identified key challenges </w:t>
      </w:r>
      <w:r w:rsidR="003A51E4" w:rsidRPr="00B5373E">
        <w:t xml:space="preserve">when attempting </w:t>
      </w:r>
      <w:r w:rsidR="005D371B" w:rsidRPr="00B5373E">
        <w:t xml:space="preserve">to generalize findings across studies including studies having a high risk of bias, low sample size, lack of a standard protocol, and not accounting for possible confounding factors. </w:t>
      </w:r>
      <w:r w:rsidR="00C422C3" w:rsidRPr="00B5373E">
        <w:t>T</w:t>
      </w:r>
      <w:r w:rsidR="007E30CE" w:rsidRPr="00B5373E">
        <w:t xml:space="preserve">here has been </w:t>
      </w:r>
      <w:r w:rsidR="003A51E4" w:rsidRPr="00B5373E">
        <w:t xml:space="preserve">some </w:t>
      </w:r>
      <w:r w:rsidR="007E30CE" w:rsidRPr="00B5373E">
        <w:t>progress in our understanding of neurocognitive outcomes</w:t>
      </w:r>
      <w:r w:rsidR="00EF6AD9" w:rsidRPr="00B5373E">
        <w:t>; however,</w:t>
      </w:r>
      <w:r w:rsidR="007E30CE" w:rsidRPr="00B5373E">
        <w:t xml:space="preserve"> issues </w:t>
      </w:r>
      <w:r w:rsidR="003A51E4" w:rsidRPr="00B5373E">
        <w:t xml:space="preserve">persist </w:t>
      </w:r>
      <w:r w:rsidR="007E30CE" w:rsidRPr="00B5373E">
        <w:t xml:space="preserve">in </w:t>
      </w:r>
      <w:r w:rsidR="003A51E4" w:rsidRPr="00B5373E">
        <w:t xml:space="preserve">all </w:t>
      </w:r>
      <w:r w:rsidR="007E30CE" w:rsidRPr="00B5373E">
        <w:t>th</w:t>
      </w:r>
      <w:r w:rsidR="003A51E4" w:rsidRPr="00B5373E">
        <w:t>e</w:t>
      </w:r>
      <w:r w:rsidR="007E30CE" w:rsidRPr="00B5373E">
        <w:t>s</w:t>
      </w:r>
      <w:r w:rsidR="003A51E4" w:rsidRPr="00B5373E">
        <w:t>e</w:t>
      </w:r>
      <w:r w:rsidR="007E30CE" w:rsidRPr="00B5373E">
        <w:t xml:space="preserve"> area</w:t>
      </w:r>
      <w:r w:rsidR="003A51E4" w:rsidRPr="00B5373E">
        <w:t>s</w:t>
      </w:r>
      <w:r w:rsidR="007E30CE" w:rsidRPr="00B5373E">
        <w:t>.</w:t>
      </w:r>
    </w:p>
    <w:p w14:paraId="28298AF7" w14:textId="4F137E77" w:rsidR="00C005DC" w:rsidRPr="00B5373E" w:rsidRDefault="007E30CE" w:rsidP="004B261F">
      <w:pPr>
        <w:pStyle w:val="MDPI31text"/>
      </w:pPr>
      <w:r w:rsidRPr="00B5373E">
        <w:t>W</w:t>
      </w:r>
      <w:r w:rsidR="005A236A" w:rsidRPr="00B5373E">
        <w:t>hilst most studies had a low risk of bias</w:t>
      </w:r>
      <w:r w:rsidR="005D371B" w:rsidRPr="00B5373E">
        <w:t xml:space="preserve"> overall,</w:t>
      </w:r>
      <w:r w:rsidR="005A236A" w:rsidRPr="00B5373E">
        <w:t xml:space="preserve"> </w:t>
      </w:r>
      <w:r w:rsidR="00637223" w:rsidRPr="00B5373E">
        <w:t xml:space="preserve">there remain concerns over the generalizability of findings given the </w:t>
      </w:r>
      <w:r w:rsidR="005D371B" w:rsidRPr="00B5373E">
        <w:t>sampling approaches and sample size</w:t>
      </w:r>
      <w:r w:rsidR="00637223" w:rsidRPr="00B5373E">
        <w:t xml:space="preserve">s used as well as the lack of reporting of effect sizes and power analyses. Findings from papers with low sample sizes need to be interpreted with caution. In addition, there are also possible </w:t>
      </w:r>
      <w:r w:rsidR="005A236A" w:rsidRPr="00B5373E">
        <w:t xml:space="preserve">confounding factors </w:t>
      </w:r>
      <w:r w:rsidR="00F10359" w:rsidRPr="00B5373E">
        <w:t>such as age, premorbid status,</w:t>
      </w:r>
      <w:r w:rsidR="00943809" w:rsidRPr="00B5373E">
        <w:t xml:space="preserve"> comorbidities, and</w:t>
      </w:r>
      <w:r w:rsidR="00F10359" w:rsidRPr="00B5373E">
        <w:t xml:space="preserve"> treatment differences</w:t>
      </w:r>
      <w:r w:rsidR="00637223" w:rsidRPr="00B5373E">
        <w:t xml:space="preserve"> that may also reduce generalizability of findings to the broader OHCA </w:t>
      </w:r>
      <w:r w:rsidR="3FEFFC7A" w:rsidRPr="00B5373E">
        <w:t>population.</w:t>
      </w:r>
      <w:r w:rsidR="00F10359" w:rsidRPr="00B5373E">
        <w:t xml:space="preserve"> </w:t>
      </w:r>
      <w:r w:rsidRPr="00B5373E">
        <w:t>The timing of the assessments varied considerably, from days to years after the OHCA. Criteria for selection w</w:t>
      </w:r>
      <w:r w:rsidR="003A51E4" w:rsidRPr="00B5373E">
        <w:t>ere</w:t>
      </w:r>
      <w:r w:rsidRPr="00B5373E">
        <w:t xml:space="preserve"> similar to th</w:t>
      </w:r>
      <w:r w:rsidR="003A51E4" w:rsidRPr="00B5373E">
        <w:t>ose</w:t>
      </w:r>
      <w:r w:rsidRPr="00B5373E">
        <w:t xml:space="preserve"> used in the prior review; however, this review included assessments conducted from </w:t>
      </w:r>
      <w:r w:rsidR="003A51E4" w:rsidRPr="00B5373E">
        <w:t xml:space="preserve">hospital </w:t>
      </w:r>
      <w:r w:rsidRPr="00B5373E">
        <w:t>discharge rather than</w:t>
      </w:r>
      <w:r w:rsidR="003A51E4" w:rsidRPr="00B5373E">
        <w:t xml:space="preserve"> starting from</w:t>
      </w:r>
      <w:r w:rsidRPr="00B5373E">
        <w:t xml:space="preserve"> 3 month</w:t>
      </w:r>
      <w:r w:rsidR="00C422C3" w:rsidRPr="00B5373E">
        <w:t>s</w:t>
      </w:r>
      <w:r w:rsidRPr="00B5373E">
        <w:t xml:space="preserve">. </w:t>
      </w:r>
      <w:r w:rsidR="00C422C3" w:rsidRPr="00B5373E">
        <w:t xml:space="preserve">When comparing findings, the time of the assessment needs to be considered and future work should focus on looking at change over time. </w:t>
      </w:r>
      <w:r w:rsidR="003A51E4" w:rsidRPr="00B5373E">
        <w:t>The p</w:t>
      </w:r>
      <w:r w:rsidR="00C005DC" w:rsidRPr="00B5373E">
        <w:t>remorbid characteristics of those being studied</w:t>
      </w:r>
      <w:r w:rsidR="003A51E4" w:rsidRPr="00B5373E">
        <w:t xml:space="preserve"> (cognitive reserve, pre-existing conditions, etc.),</w:t>
      </w:r>
      <w:r w:rsidR="00C005DC" w:rsidRPr="00B5373E">
        <w:t xml:space="preserve"> and how </w:t>
      </w:r>
      <w:r w:rsidR="551155A4" w:rsidRPr="00B5373E">
        <w:t>these influences</w:t>
      </w:r>
      <w:r w:rsidR="003A51E4" w:rsidRPr="00B5373E">
        <w:t xml:space="preserve"> </w:t>
      </w:r>
      <w:r w:rsidR="00C005DC" w:rsidRPr="00B5373E">
        <w:t xml:space="preserve">neurocognitive outcomes </w:t>
      </w:r>
      <w:r w:rsidR="003A51E4" w:rsidRPr="00B5373E">
        <w:t>following OHCA, merits further consideration</w:t>
      </w:r>
      <w:r w:rsidR="00C005DC" w:rsidRPr="00B5373E">
        <w:t xml:space="preserve">. Cognitive reserve estimates may help to understand differences in outcome between individuals. When classifying survivors into severe and mild groups based on composite cognitive tests, it has been found that those in the more severe groups also have lower reading score, which can be used as a proxy measure of premorbid </w:t>
      </w:r>
      <w:proofErr w:type="spellStart"/>
      <w:r w:rsidR="00C005DC" w:rsidRPr="00B5373E">
        <w:t>function</w:t>
      </w:r>
      <w:r w:rsidR="00887C10" w:rsidRPr="00B5373E">
        <w:rPr>
          <w:vertAlign w:val="superscript"/>
        </w:rPr>
        <w:t>e.g</w:t>
      </w:r>
      <w:proofErr w:type="spellEnd"/>
      <w:r w:rsidR="00887C10" w:rsidRPr="00B5373E">
        <w:rPr>
          <w:vertAlign w:val="superscript"/>
        </w:rPr>
        <w:t>., 39, 43</w:t>
      </w:r>
      <w:r w:rsidR="00C005DC" w:rsidRPr="00B5373E">
        <w:t>. </w:t>
      </w:r>
      <w:r w:rsidR="003A51E4" w:rsidRPr="00B5373E">
        <w:t>Therefore, d</w:t>
      </w:r>
      <w:r w:rsidR="00C005DC" w:rsidRPr="00B5373E">
        <w:t xml:space="preserve">eficits in high reserve individuals may be masked and underestimated when not accounting for </w:t>
      </w:r>
      <w:r w:rsidR="003A51E4" w:rsidRPr="00B5373E">
        <w:t xml:space="preserve">this </w:t>
      </w:r>
      <w:r w:rsidR="00C005DC" w:rsidRPr="00B5373E">
        <w:t>reserve.</w:t>
      </w:r>
    </w:p>
    <w:p w14:paraId="4EA109CD" w14:textId="0746FE5E" w:rsidR="00FC3D12" w:rsidRPr="00B5373E" w:rsidRDefault="00FC3D12" w:rsidP="00FC3D12">
      <w:pPr>
        <w:pStyle w:val="MDPI31text"/>
      </w:pPr>
      <w:r w:rsidRPr="00B5373E">
        <w:t xml:space="preserve">Studies that included both in- and </w:t>
      </w:r>
      <w:r w:rsidR="00091FAA" w:rsidRPr="00B5373E">
        <w:t>out of</w:t>
      </w:r>
      <w:r w:rsidRPr="00B5373E">
        <w:t xml:space="preserve"> </w:t>
      </w:r>
      <w:r w:rsidR="00091FAA" w:rsidRPr="00B5373E">
        <w:t>hospital</w:t>
      </w:r>
      <w:r w:rsidRPr="00B5373E">
        <w:t xml:space="preserve"> cardiac arrest were excluded if it was not possible to identify cognitive outcomes specific to the OHCA group. Whilst this was </w:t>
      </w:r>
      <w:r w:rsidR="00290FB4" w:rsidRPr="00B5373E">
        <w:t>necessary because</w:t>
      </w:r>
      <w:r w:rsidRPr="00B5373E">
        <w:t xml:space="preserve"> those with IHCA may differ in a substantive way to patients with OHCA, it also likely means that high quality studies that could add to our knowledge base were excluded. </w:t>
      </w:r>
      <w:r w:rsidR="003A51E4" w:rsidRPr="00B5373E">
        <w:t xml:space="preserve">In future studies it would be valuable </w:t>
      </w:r>
      <w:r w:rsidRPr="00B5373E">
        <w:t xml:space="preserve">to differentiate outcomes between these </w:t>
      </w:r>
      <w:r w:rsidR="00290FB4" w:rsidRPr="00B5373E">
        <w:t xml:space="preserve">two </w:t>
      </w:r>
      <w:r w:rsidRPr="00B5373E">
        <w:t xml:space="preserve">populations. </w:t>
      </w:r>
    </w:p>
    <w:p w14:paraId="1301E28E" w14:textId="1BB3262D" w:rsidR="00FC3D12" w:rsidRPr="00B5373E" w:rsidRDefault="00FC3D12" w:rsidP="00FC3D12">
      <w:pPr>
        <w:pStyle w:val="MDPI31text"/>
      </w:pPr>
      <w:r w:rsidRPr="00B5373E">
        <w:t>It is also crucial to consider how representative survivors participating in research are of the entire population they represent. Studies are likely to report education level and gender; however, it is not standard to report variables such as race, ethnicity</w:t>
      </w:r>
      <w:r w:rsidR="00290FB4" w:rsidRPr="00B5373E">
        <w:t xml:space="preserve"> and</w:t>
      </w:r>
      <w:r w:rsidRPr="00B5373E">
        <w:t xml:space="preserve"> socioeconomic background </w:t>
      </w:r>
      <w:r w:rsidR="00290FB4" w:rsidRPr="00B5373E">
        <w:t xml:space="preserve">which </w:t>
      </w:r>
      <w:r w:rsidRPr="00B5373E">
        <w:t>mak</w:t>
      </w:r>
      <w:r w:rsidR="00290FB4" w:rsidRPr="00B5373E">
        <w:t>es</w:t>
      </w:r>
      <w:r w:rsidRPr="00B5373E">
        <w:t xml:space="preserve"> it difficult to assess the inclusivity and </w:t>
      </w:r>
      <w:r w:rsidR="00887C10" w:rsidRPr="00B5373E">
        <w:t>generalizability</w:t>
      </w:r>
      <w:r w:rsidRPr="00B5373E">
        <w:t xml:space="preserve"> of the findings. </w:t>
      </w:r>
      <w:r w:rsidR="008B3A80" w:rsidRPr="00B5373E">
        <w:t>This risk of selection bias has been discussed in other work</w:t>
      </w:r>
      <w:r w:rsidR="00887C10" w:rsidRPr="00B5373E">
        <w:rPr>
          <w:vertAlign w:val="superscript"/>
        </w:rPr>
        <w:t>e.g.,33,41</w:t>
      </w:r>
      <w:r w:rsidR="008B3A80" w:rsidRPr="00B5373E">
        <w:t xml:space="preserve">. Survivors with poorer outcome may be excluded or unable to perform the neurocognitive tests while survivors with good outcome may not be identified due to non-granular instruments </w:t>
      </w:r>
      <w:r w:rsidR="00887C10" w:rsidRPr="00B5373E">
        <w:t xml:space="preserve">used </w:t>
      </w:r>
      <w:r w:rsidR="008B3A80" w:rsidRPr="00B5373E">
        <w:t>(</w:t>
      </w:r>
      <w:r w:rsidR="00C422C3" w:rsidRPr="00B5373E">
        <w:t xml:space="preserve">e.g., </w:t>
      </w:r>
      <w:r w:rsidR="008B3A80" w:rsidRPr="00B5373E">
        <w:t>ceiling effects)</w:t>
      </w:r>
      <w:r w:rsidR="00C422C3" w:rsidRPr="00B5373E">
        <w:t xml:space="preserve"> that were not designed to be sensitive to subtle impairment</w:t>
      </w:r>
      <w:r w:rsidR="008B3A80" w:rsidRPr="00B5373E">
        <w:t xml:space="preserve"> or decline participation due to not experiencing any perceived problems in their cognitive function. </w:t>
      </w:r>
      <w:r w:rsidRPr="00B5373E">
        <w:t>Th</w:t>
      </w:r>
      <w:r w:rsidR="008B3A80" w:rsidRPr="00B5373E">
        <w:t>ese issues</w:t>
      </w:r>
      <w:r w:rsidRPr="00B5373E">
        <w:t xml:space="preserve"> should be addressed in future work. </w:t>
      </w:r>
    </w:p>
    <w:p w14:paraId="4E279645" w14:textId="3393246A" w:rsidR="00DC2AC6" w:rsidRPr="00B5373E" w:rsidRDefault="00FC3D12" w:rsidP="004B261F">
      <w:pPr>
        <w:pStyle w:val="MDPI31text"/>
      </w:pPr>
      <w:r w:rsidRPr="00B5373E">
        <w:t xml:space="preserve">There continues to be a heterogenous approach to the </w:t>
      </w:r>
      <w:r w:rsidR="00290FB4" w:rsidRPr="00B5373E">
        <w:t xml:space="preserve">domains </w:t>
      </w:r>
      <w:r w:rsidRPr="00B5373E">
        <w:t xml:space="preserve">of cognitive function assessed and the measures used. Even studies using the same measures often have varying levels of impairment reported. It is difficult to tell if this is due to a range of cognitive impairment after OHCA or to other factors such as the population </w:t>
      </w:r>
      <w:r w:rsidR="00290FB4" w:rsidRPr="00B5373E">
        <w:t xml:space="preserve">included </w:t>
      </w:r>
      <w:r w:rsidRPr="00B5373E">
        <w:t xml:space="preserve">in the study, the timing of the assessment, or the treatment protocol used. In addition, </w:t>
      </w:r>
      <w:r w:rsidR="00897F2E" w:rsidRPr="00B5373E">
        <w:t>the threshold for classifying patients as impaired varies</w:t>
      </w:r>
      <w:r w:rsidR="004B5BD6" w:rsidRPr="00B5373E">
        <w:t xml:space="preserve"> across studies depending on the cut-off criteria adopted. </w:t>
      </w:r>
      <w:r w:rsidR="004B261F" w:rsidRPr="00B5373E">
        <w:t>For example, some studies have a cut-off score for impairment based on established test norms whereas others compare performance to population or patient norma</w:t>
      </w:r>
      <w:r w:rsidR="004B261F" w:rsidRPr="00B5373E">
        <w:lastRenderedPageBreak/>
        <w:t>tive data. Even within this la</w:t>
      </w:r>
      <w:r w:rsidR="00290FB4" w:rsidRPr="00B5373E">
        <w:t>t</w:t>
      </w:r>
      <w:r w:rsidR="004B261F" w:rsidRPr="00B5373E">
        <w:t>ter category, there are discrepancies with some studies identifying cut-off criteria as performance 1 SD below the mean and others at 2-3 SDs below the norm. </w:t>
      </w:r>
      <w:r w:rsidR="00290FB4" w:rsidRPr="00B5373E">
        <w:t>A greater degree of standardization in cognitive assessment following OHCA would allow different studies and treatments to be assessed and compared more effectively.</w:t>
      </w:r>
      <w:r w:rsidR="004B261F" w:rsidRPr="00B5373E">
        <w:t> </w:t>
      </w:r>
      <w:r w:rsidR="006B2C93" w:rsidRPr="00B5373E">
        <w:t xml:space="preserve"> </w:t>
      </w:r>
    </w:p>
    <w:p w14:paraId="7C431116" w14:textId="6E541A9A" w:rsidR="000C461D" w:rsidRPr="00B5373E" w:rsidRDefault="634B4274" w:rsidP="3DD830A6">
      <w:pPr>
        <w:pStyle w:val="MDPI31text"/>
        <w:rPr>
          <w:color w:val="000000" w:themeColor="text1"/>
          <w:lang w:val="en-GB"/>
        </w:rPr>
      </w:pPr>
      <w:r w:rsidRPr="00B5373E">
        <w:t>Neurocognitive impairment following OHCA is associated with lower societal participation, fatigue and restricted mobility</w:t>
      </w:r>
      <w:r w:rsidR="614CA820" w:rsidRPr="00B5373E">
        <w:rPr>
          <w:vertAlign w:val="superscript"/>
        </w:rPr>
        <w:t>22</w:t>
      </w:r>
      <w:r w:rsidRPr="00B5373E">
        <w:t>. Studies also report associations between neurocognitive impairment and depression</w:t>
      </w:r>
      <w:r w:rsidR="614CA820" w:rsidRPr="00B5373E">
        <w:rPr>
          <w:vertAlign w:val="superscript"/>
        </w:rPr>
        <w:t>19,22</w:t>
      </w:r>
      <w:r w:rsidR="614CA820" w:rsidRPr="00B5373E">
        <w:t xml:space="preserve">, </w:t>
      </w:r>
      <w:r w:rsidRPr="00B5373E">
        <w:t>while others do not</w:t>
      </w:r>
      <w:r w:rsidR="614CA820" w:rsidRPr="00B5373E">
        <w:rPr>
          <w:vertAlign w:val="superscript"/>
        </w:rPr>
        <w:t>38,47</w:t>
      </w:r>
      <w:r w:rsidR="614CA820" w:rsidRPr="00B5373E">
        <w:t xml:space="preserve">. </w:t>
      </w:r>
      <w:r w:rsidR="39EE4DB3" w:rsidRPr="00B5373E">
        <w:t xml:space="preserve">Since the </w:t>
      </w:r>
      <w:proofErr w:type="spellStart"/>
      <w:r w:rsidR="39EE4DB3" w:rsidRPr="00B5373E">
        <w:t>Moulaert</w:t>
      </w:r>
      <w:proofErr w:type="spellEnd"/>
      <w:r w:rsidR="39EE4DB3" w:rsidRPr="00B5373E">
        <w:t xml:space="preserve"> et al (2009) revie</w:t>
      </w:r>
      <w:r w:rsidR="614CA820" w:rsidRPr="00B5373E">
        <w:t>w</w:t>
      </w:r>
      <w:r w:rsidR="39EE4DB3" w:rsidRPr="00B5373E">
        <w:t xml:space="preserve">, the </w:t>
      </w:r>
      <w:proofErr w:type="spellStart"/>
      <w:r w:rsidR="39EE4DB3" w:rsidRPr="00B5373E">
        <w:t>MoCA</w:t>
      </w:r>
      <w:proofErr w:type="spellEnd"/>
      <w:r w:rsidR="39EE4DB3" w:rsidRPr="00B5373E">
        <w:t xml:space="preserve"> has been recommended by the </w:t>
      </w:r>
      <w:r w:rsidR="5246FF72" w:rsidRPr="00B5373E">
        <w:t xml:space="preserve">European </w:t>
      </w:r>
      <w:r w:rsidR="392A48C6" w:rsidRPr="00B5373E">
        <w:t>Resuscitation</w:t>
      </w:r>
      <w:r w:rsidR="5246FF72" w:rsidRPr="00B5373E">
        <w:t xml:space="preserve"> Council </w:t>
      </w:r>
      <w:r w:rsidR="39EE4DB3" w:rsidRPr="00B5373E">
        <w:t>as a neurocognitive screening tool after CA</w:t>
      </w:r>
      <w:r w:rsidR="614CA820" w:rsidRPr="00B5373E">
        <w:rPr>
          <w:vertAlign w:val="superscript"/>
        </w:rPr>
        <w:t>53</w:t>
      </w:r>
      <w:r w:rsidR="39EE4DB3" w:rsidRPr="00B5373E">
        <w:t xml:space="preserve">. </w:t>
      </w:r>
      <w:r w:rsidR="6F9AC11E" w:rsidRPr="00B5373E">
        <w:t>The Core Outcome Set for Cardiac Arrest (COSCA) statement</w:t>
      </w:r>
      <w:r w:rsidR="38FFBBB4" w:rsidRPr="00B5373E">
        <w:rPr>
          <w:vertAlign w:val="superscript"/>
        </w:rPr>
        <w:t>54</w:t>
      </w:r>
      <w:r w:rsidR="6F9AC11E" w:rsidRPr="00B5373E">
        <w:t> recommends that core outcomes in CA effectiveness studies should include survival, neurological function, and health-related quality of life, with neurological function measured by the mRS</w:t>
      </w:r>
      <w:r w:rsidR="38FFBBB4" w:rsidRPr="00B5373E">
        <w:rPr>
          <w:vertAlign w:val="superscript"/>
        </w:rPr>
        <w:t>9</w:t>
      </w:r>
      <w:r w:rsidR="38FFBBB4" w:rsidRPr="00B5373E">
        <w:t xml:space="preserve"> </w:t>
      </w:r>
      <w:r w:rsidR="6F9AC11E" w:rsidRPr="00B5373E">
        <w:t xml:space="preserve">at hospital discharge, at 30 days, or both. Most studies included in this review were </w:t>
      </w:r>
      <w:r w:rsidR="38FFBBB4" w:rsidRPr="00B5373E">
        <w:t xml:space="preserve">focused on neurocognitive function and </w:t>
      </w:r>
      <w:r w:rsidR="6F9AC11E" w:rsidRPr="00B5373E">
        <w:t xml:space="preserve">performed </w:t>
      </w:r>
      <w:r w:rsidR="38FFBBB4" w:rsidRPr="00B5373E">
        <w:t>after 30-days</w:t>
      </w:r>
      <w:r w:rsidR="6F9AC11E" w:rsidRPr="00B5373E">
        <w:t xml:space="preserve">. </w:t>
      </w:r>
      <w:r w:rsidR="38FFBBB4" w:rsidRPr="00B5373E">
        <w:t>T</w:t>
      </w:r>
      <w:r w:rsidR="6F9AC11E" w:rsidRPr="00B5373E">
        <w:t xml:space="preserve">he frequent neurocognitive problems identified in the studies of this review </w:t>
      </w:r>
      <w:proofErr w:type="spellStart"/>
      <w:r w:rsidR="6F9AC11E" w:rsidRPr="00B5373E">
        <w:t>emphasi</w:t>
      </w:r>
      <w:r w:rsidR="38FFBBB4" w:rsidRPr="00B5373E">
        <w:t>s</w:t>
      </w:r>
      <w:r w:rsidR="6F9AC11E" w:rsidRPr="00B5373E">
        <w:t>e</w:t>
      </w:r>
      <w:proofErr w:type="spellEnd"/>
      <w:r w:rsidR="6F9AC11E" w:rsidRPr="00B5373E">
        <w:t xml:space="preserve"> the need for a neurological screening at an early stage that could indicate neurocognitive impairment. Our findings are therefore in line with the COSCA</w:t>
      </w:r>
      <w:r w:rsidR="1BB885E6" w:rsidRPr="00B5373E">
        <w:rPr>
          <w:vertAlign w:val="superscript"/>
        </w:rPr>
        <w:t>58</w:t>
      </w:r>
      <w:r w:rsidR="6F9AC11E" w:rsidRPr="00B5373E">
        <w:t xml:space="preserve"> recommendations.</w:t>
      </w:r>
      <w:r w:rsidR="55543473" w:rsidRPr="00B5373E">
        <w:t xml:space="preserve"> Furthermore, u</w:t>
      </w:r>
      <w:r w:rsidR="55543473" w:rsidRPr="00B5373E">
        <w:rPr>
          <w:color w:val="000000" w:themeColor="text1"/>
          <w:lang w:val="en-GB"/>
        </w:rPr>
        <w:t xml:space="preserve">sing measures such as the CPC and the </w:t>
      </w:r>
      <w:proofErr w:type="spellStart"/>
      <w:r w:rsidR="55543473" w:rsidRPr="00B5373E">
        <w:rPr>
          <w:color w:val="000000" w:themeColor="text1"/>
          <w:lang w:val="en-GB"/>
        </w:rPr>
        <w:t>mRS</w:t>
      </w:r>
      <w:proofErr w:type="spellEnd"/>
      <w:r w:rsidR="55543473" w:rsidRPr="00B5373E">
        <w:rPr>
          <w:color w:val="000000" w:themeColor="text1"/>
          <w:lang w:val="en-GB"/>
        </w:rPr>
        <w:t>, whilst useful, lack sensitivity and specificity in relation to identifying areas of potentially subtle cognitive impairment, increasing the risk of both Type I and Type II errors. Including multi-dimensional measures of function decreases Type-II errors though potentially increases Type I error, especially as additional measures are added to a battery of tests. Thus, future work should endeavour to cast a wide net initially and</w:t>
      </w:r>
      <w:r w:rsidR="46607E91" w:rsidRPr="00B5373E">
        <w:rPr>
          <w:color w:val="000000" w:themeColor="text1"/>
          <w:lang w:val="en-GB"/>
        </w:rPr>
        <w:t xml:space="preserve"> then </w:t>
      </w:r>
      <w:r w:rsidR="55543473" w:rsidRPr="00B5373E">
        <w:rPr>
          <w:color w:val="000000" w:themeColor="text1"/>
          <w:lang w:val="en-GB"/>
        </w:rPr>
        <w:t>identify specific</w:t>
      </w:r>
      <w:r w:rsidR="68540ED7" w:rsidRPr="00B5373E">
        <w:rPr>
          <w:color w:val="000000" w:themeColor="text1"/>
          <w:lang w:val="en-GB"/>
        </w:rPr>
        <w:t xml:space="preserve"> </w:t>
      </w:r>
      <w:r w:rsidR="55543473" w:rsidRPr="00B5373E">
        <w:rPr>
          <w:color w:val="000000" w:themeColor="text1"/>
          <w:lang w:val="en-GB"/>
        </w:rPr>
        <w:t>measures across areas of function to appropriately balance Type I and Type II errors when identifying neurocognitive decline</w:t>
      </w:r>
      <w:r w:rsidR="30165607" w:rsidRPr="00B5373E">
        <w:rPr>
          <w:color w:val="000000" w:themeColor="text1"/>
          <w:lang w:val="en-GB"/>
        </w:rPr>
        <w:t xml:space="preserve"> associated with OHCA</w:t>
      </w:r>
      <w:r w:rsidR="55543473" w:rsidRPr="00B5373E">
        <w:rPr>
          <w:color w:val="000000" w:themeColor="text1"/>
          <w:lang w:val="en-GB"/>
        </w:rPr>
        <w:t>.</w:t>
      </w:r>
    </w:p>
    <w:p w14:paraId="5D20F13F" w14:textId="013A950F" w:rsidR="004B261F" w:rsidRPr="00B5373E" w:rsidRDefault="00C422C3" w:rsidP="004B261F">
      <w:pPr>
        <w:pStyle w:val="MDPI31text"/>
      </w:pPr>
      <w:r w:rsidRPr="00B5373E">
        <w:t xml:space="preserve">Specific recommendations for </w:t>
      </w:r>
      <w:r w:rsidR="004B2DDD" w:rsidRPr="00B5373E">
        <w:t>further</w:t>
      </w:r>
      <w:r w:rsidR="006B2C93" w:rsidRPr="00B5373E">
        <w:t xml:space="preserve"> neurocognitive instruments with acceptable psychometric properties assessing specific neurocognitive domains </w:t>
      </w:r>
      <w:r w:rsidRPr="00B5373E">
        <w:t xml:space="preserve">do not currently exist and </w:t>
      </w:r>
      <w:r w:rsidR="004B2DDD" w:rsidRPr="00B5373E">
        <w:t xml:space="preserve">are </w:t>
      </w:r>
      <w:r w:rsidR="006B2C93" w:rsidRPr="00B5373E">
        <w:t>needed</w:t>
      </w:r>
      <w:r w:rsidR="004B2DDD" w:rsidRPr="00B5373E">
        <w:t xml:space="preserve"> for use</w:t>
      </w:r>
      <w:r w:rsidR="006B2C93" w:rsidRPr="00B5373E">
        <w:t xml:space="preserve"> in clinical trials </w:t>
      </w:r>
      <w:r w:rsidR="004B2DDD" w:rsidRPr="00B5373E">
        <w:t>and where</w:t>
      </w:r>
      <w:r w:rsidR="006B2C93" w:rsidRPr="00B5373E">
        <w:t xml:space="preserve"> indicated in clinical practice. </w:t>
      </w:r>
    </w:p>
    <w:p w14:paraId="6480AC3A" w14:textId="77777777" w:rsidR="00E93210" w:rsidRPr="00B5373E" w:rsidRDefault="00E93210" w:rsidP="00DF3ACF">
      <w:pPr>
        <w:pStyle w:val="MDPI21heading1"/>
      </w:pPr>
      <w:r w:rsidRPr="00B5373E">
        <w:t>5. Conclusions</w:t>
      </w:r>
    </w:p>
    <w:p w14:paraId="319F8693" w14:textId="262AB6F9" w:rsidR="00F61515" w:rsidRPr="00B5373E" w:rsidRDefault="007E30CE" w:rsidP="00FC3D12">
      <w:pPr>
        <w:pStyle w:val="MDPI31text"/>
      </w:pPr>
      <w:r w:rsidRPr="00B5373E">
        <w:t>The need for neurocognitive assessment</w:t>
      </w:r>
      <w:r w:rsidR="00FA3C44" w:rsidRPr="00B5373E">
        <w:t xml:space="preserve"> that is more sensitive to </w:t>
      </w:r>
      <w:r w:rsidR="00290FB4" w:rsidRPr="00B5373E">
        <w:t xml:space="preserve">a wide range of </w:t>
      </w:r>
      <w:r w:rsidR="00FA3C44" w:rsidRPr="00B5373E">
        <w:t xml:space="preserve">OHCA outcomes is clear. A </w:t>
      </w:r>
      <w:r w:rsidR="00290FB4" w:rsidRPr="00B5373E">
        <w:t xml:space="preserve">standardized </w:t>
      </w:r>
      <w:r w:rsidR="00FA3C44" w:rsidRPr="00B5373E">
        <w:t>framework for evaluation should in</w:t>
      </w:r>
      <w:r w:rsidR="00290FB4" w:rsidRPr="00B5373E">
        <w:t>corporate</w:t>
      </w:r>
      <w:r w:rsidR="00FA3C44" w:rsidRPr="00B5373E">
        <w:t xml:space="preserve"> inclusive approaches to recruitment, </w:t>
      </w:r>
      <w:r w:rsidR="00FC3D12" w:rsidRPr="00B5373E">
        <w:t xml:space="preserve">information on </w:t>
      </w:r>
      <w:r w:rsidR="00F61515" w:rsidRPr="00B5373E">
        <w:t>premorbid</w:t>
      </w:r>
      <w:r w:rsidR="00FA3C44" w:rsidRPr="00B5373E">
        <w:t xml:space="preserve"> status</w:t>
      </w:r>
      <w:r w:rsidR="00FC3D12" w:rsidRPr="00B5373E">
        <w:t xml:space="preserve"> and comorbidities</w:t>
      </w:r>
      <w:r w:rsidR="00FA3C44" w:rsidRPr="00B5373E">
        <w:t xml:space="preserve">, </w:t>
      </w:r>
      <w:r w:rsidR="00175148" w:rsidRPr="00B5373E">
        <w:t xml:space="preserve">and </w:t>
      </w:r>
      <w:r w:rsidR="00FA3C44" w:rsidRPr="00B5373E">
        <w:t xml:space="preserve">specific factors related to the </w:t>
      </w:r>
      <w:r w:rsidR="00290FB4" w:rsidRPr="00B5373E">
        <w:t xml:space="preserve">cardiac </w:t>
      </w:r>
      <w:r w:rsidR="00FA3C44" w:rsidRPr="00B5373E">
        <w:t>arrest</w:t>
      </w:r>
      <w:r w:rsidR="00175148" w:rsidRPr="00B5373E">
        <w:t xml:space="preserve">. This should be combined with </w:t>
      </w:r>
      <w:r w:rsidR="00FC3D12" w:rsidRPr="00B5373E">
        <w:t xml:space="preserve">a </w:t>
      </w:r>
      <w:r w:rsidR="00290FB4" w:rsidRPr="00B5373E">
        <w:t>consistent</w:t>
      </w:r>
      <w:r w:rsidR="00175148" w:rsidRPr="00B5373E">
        <w:t xml:space="preserve"> and </w:t>
      </w:r>
      <w:r w:rsidR="00FC3D12" w:rsidRPr="00B5373E">
        <w:t>efficient approach to the assessment of memory, executive functions, and attention/processing that is related to, and predictive of</w:t>
      </w:r>
      <w:r w:rsidR="00290FB4" w:rsidRPr="00B5373E">
        <w:t>,</w:t>
      </w:r>
      <w:r w:rsidR="00FC3D12" w:rsidRPr="00B5373E">
        <w:t xml:space="preserve"> quality of life and daily function</w:t>
      </w:r>
      <w:r w:rsidR="00207082" w:rsidRPr="00B5373E">
        <w:t>. Improv</w:t>
      </w:r>
      <w:r w:rsidR="00175148" w:rsidRPr="00B5373E">
        <w:t xml:space="preserve">ed </w:t>
      </w:r>
      <w:r w:rsidR="00207082" w:rsidRPr="00B5373E">
        <w:t xml:space="preserve">understanding of the </w:t>
      </w:r>
      <w:r w:rsidR="00175148" w:rsidRPr="00B5373E">
        <w:t xml:space="preserve">optimal </w:t>
      </w:r>
      <w:r w:rsidR="00207082" w:rsidRPr="00B5373E">
        <w:t>approach</w:t>
      </w:r>
      <w:r w:rsidR="00175148" w:rsidRPr="00B5373E">
        <w:t xml:space="preserve"> to</w:t>
      </w:r>
      <w:r w:rsidR="00207082" w:rsidRPr="00B5373E">
        <w:t xml:space="preserve"> assessment and </w:t>
      </w:r>
      <w:r w:rsidR="00175148" w:rsidRPr="00B5373E">
        <w:t xml:space="preserve">interpretation of </w:t>
      </w:r>
      <w:r w:rsidR="00207082" w:rsidRPr="00B5373E">
        <w:t>the subsequent findings will facilitate the development of recommendations for the standardized evaluation of neurocognitive outcomes following OHCA</w:t>
      </w:r>
      <w:r w:rsidR="00175148" w:rsidRPr="00B5373E">
        <w:t>.</w:t>
      </w:r>
    </w:p>
    <w:p w14:paraId="4FFA728B" w14:textId="3892461D" w:rsidR="00F61515" w:rsidRPr="00B5373E" w:rsidRDefault="00F61515" w:rsidP="00F61515">
      <w:pPr>
        <w:pStyle w:val="MDPI31text"/>
      </w:pPr>
    </w:p>
    <w:p w14:paraId="40B873E6" w14:textId="64AC40AE" w:rsidR="00E93210" w:rsidRPr="00B5373E" w:rsidRDefault="00E93210" w:rsidP="0018732B">
      <w:pPr>
        <w:pStyle w:val="MDPI62BackMatter"/>
      </w:pPr>
      <w:r w:rsidRPr="00B5373E">
        <w:rPr>
          <w:b/>
          <w:bCs/>
        </w:rPr>
        <w:t>Funding:</w:t>
      </w:r>
      <w:r w:rsidRPr="00B5373E">
        <w:t xml:space="preserve"> </w:t>
      </w:r>
      <w:r w:rsidR="00F204D7" w:rsidRPr="00B5373E">
        <w:t xml:space="preserve">This research was funded by the University of the West of England Bristol (Quality </w:t>
      </w:r>
      <w:r w:rsidR="7A803904" w:rsidRPr="00B5373E">
        <w:t>Research funding)</w:t>
      </w:r>
    </w:p>
    <w:p w14:paraId="7F4304D5" w14:textId="4C9F25C0" w:rsidR="00E93210" w:rsidRPr="00B5373E" w:rsidRDefault="00E93210" w:rsidP="00E93210">
      <w:pPr>
        <w:pStyle w:val="MDPI62BackMatter"/>
      </w:pPr>
      <w:r w:rsidRPr="00B5373E">
        <w:rPr>
          <w:b/>
          <w:bCs/>
        </w:rPr>
        <w:t>Conflicts of Interest:</w:t>
      </w:r>
      <w:r w:rsidRPr="00B5373E">
        <w:t xml:space="preserve"> The authors declare no conflict of interest</w:t>
      </w:r>
      <w:r w:rsidR="11CDAD8F" w:rsidRPr="00B5373E">
        <w:t>.</w:t>
      </w:r>
    </w:p>
    <w:p w14:paraId="405B2715" w14:textId="77777777" w:rsidR="008A420E" w:rsidRPr="00B5373E" w:rsidRDefault="008A420E">
      <w:pPr>
        <w:spacing w:line="240" w:lineRule="auto"/>
        <w:jc w:val="left"/>
        <w:rPr>
          <w:b/>
          <w:bCs/>
          <w:szCs w:val="18"/>
          <w:lang w:bidi="en-US"/>
        </w:rPr>
      </w:pPr>
      <w:r w:rsidRPr="00B5373E">
        <w:rPr>
          <w:b/>
          <w:bCs/>
          <w:szCs w:val="18"/>
          <w:lang w:bidi="en-US"/>
        </w:rPr>
        <w:br w:type="page"/>
      </w:r>
    </w:p>
    <w:p w14:paraId="2ED6C7C0" w14:textId="1EFE77D5" w:rsidR="008A420E" w:rsidRPr="00B5373E" w:rsidRDefault="00E93210" w:rsidP="008A420E">
      <w:pPr>
        <w:ind w:left="634" w:hanging="10"/>
        <w:rPr>
          <w:b/>
          <w:bCs/>
          <w:szCs w:val="18"/>
          <w:lang w:bidi="en-US"/>
        </w:rPr>
      </w:pPr>
      <w:r w:rsidRPr="00B5373E">
        <w:rPr>
          <w:b/>
          <w:bCs/>
          <w:szCs w:val="18"/>
          <w:lang w:bidi="en-US"/>
        </w:rPr>
        <w:lastRenderedPageBreak/>
        <w:t>Appendix A</w:t>
      </w:r>
      <w:r w:rsidR="008A420E" w:rsidRPr="00B5373E">
        <w:rPr>
          <w:b/>
          <w:bCs/>
          <w:szCs w:val="18"/>
          <w:lang w:bidi="en-US"/>
        </w:rPr>
        <w:t>: Search Approach and Terms:</w:t>
      </w:r>
    </w:p>
    <w:p w14:paraId="7567B972" w14:textId="77777777" w:rsidR="008A420E" w:rsidRPr="00B5373E" w:rsidRDefault="008A420E" w:rsidP="008A420E">
      <w:pPr>
        <w:ind w:left="634" w:hanging="10"/>
        <w:rPr>
          <w:rFonts w:ascii="Calibri" w:eastAsia="Calibri" w:hAnsi="Calibri" w:cs="Calibri"/>
          <w:b/>
          <w:sz w:val="22"/>
        </w:rPr>
      </w:pPr>
    </w:p>
    <w:p w14:paraId="23CF19FA" w14:textId="1AA635B9" w:rsidR="008A420E" w:rsidRPr="00B5373E" w:rsidRDefault="008A420E" w:rsidP="008A420E">
      <w:pPr>
        <w:ind w:left="634" w:hanging="10"/>
      </w:pPr>
      <w:r w:rsidRPr="00B5373E">
        <w:rPr>
          <w:rFonts w:ascii="Calibri" w:eastAsia="Calibri" w:hAnsi="Calibri" w:cs="Calibri"/>
          <w:b/>
          <w:sz w:val="22"/>
        </w:rPr>
        <w:t xml:space="preserve">Index Language Terms: </w:t>
      </w:r>
    </w:p>
    <w:p w14:paraId="5B244417" w14:textId="77777777" w:rsidR="008A420E" w:rsidRPr="00B5373E" w:rsidRDefault="008A420E" w:rsidP="008A420E">
      <w:pPr>
        <w:ind w:left="634" w:hanging="10"/>
      </w:pPr>
      <w:r w:rsidRPr="00B5373E">
        <w:rPr>
          <w:rFonts w:ascii="Calibri" w:eastAsia="Calibri" w:hAnsi="Calibri" w:cs="Calibri"/>
          <w:sz w:val="22"/>
        </w:rPr>
        <w:t xml:space="preserve">Medical Subject Headings (MesH); Embase subject headings (biomed/life science) and key words </w:t>
      </w:r>
    </w:p>
    <w:p w14:paraId="19551002" w14:textId="77777777" w:rsidR="008A420E" w:rsidRPr="00B5373E" w:rsidRDefault="008A420E" w:rsidP="008A420E">
      <w:pPr>
        <w:ind w:left="639"/>
      </w:pPr>
      <w:r w:rsidRPr="00B5373E">
        <w:rPr>
          <w:rFonts w:ascii="Calibri" w:eastAsia="Calibri" w:hAnsi="Calibri" w:cs="Calibri"/>
          <w:b/>
          <w:sz w:val="22"/>
        </w:rPr>
        <w:t xml:space="preserve"> </w:t>
      </w:r>
    </w:p>
    <w:p w14:paraId="6F53D48C" w14:textId="77777777" w:rsidR="008A420E" w:rsidRPr="00B5373E" w:rsidRDefault="008A420E" w:rsidP="008A420E">
      <w:pPr>
        <w:ind w:left="634" w:hanging="10"/>
      </w:pPr>
      <w:r w:rsidRPr="00B5373E">
        <w:rPr>
          <w:rFonts w:ascii="Calibri" w:eastAsia="Calibri" w:hAnsi="Calibri" w:cs="Calibri"/>
          <w:b/>
          <w:sz w:val="22"/>
        </w:rPr>
        <w:t xml:space="preserve">Databases:  </w:t>
      </w:r>
    </w:p>
    <w:p w14:paraId="7E0DE50F" w14:textId="22A37653" w:rsidR="008A420E" w:rsidRPr="00B5373E" w:rsidRDefault="008A420E" w:rsidP="008A420E">
      <w:pPr>
        <w:ind w:left="634" w:hanging="10"/>
      </w:pPr>
      <w:r w:rsidRPr="00B5373E">
        <w:rPr>
          <w:rFonts w:ascii="Calibri" w:eastAsia="Calibri" w:hAnsi="Calibri" w:cs="Calibri"/>
          <w:sz w:val="22"/>
        </w:rPr>
        <w:t xml:space="preserve">Medline, Cinahl, PsychInfo, follow-up with Google Scholar </w:t>
      </w:r>
    </w:p>
    <w:p w14:paraId="7619675C" w14:textId="77777777" w:rsidR="008A420E" w:rsidRPr="00B5373E" w:rsidRDefault="008A420E" w:rsidP="008A420E">
      <w:pPr>
        <w:ind w:left="639"/>
      </w:pPr>
      <w:r w:rsidRPr="00B5373E">
        <w:rPr>
          <w:rFonts w:ascii="Calibri" w:eastAsia="Calibri" w:hAnsi="Calibri" w:cs="Calibri"/>
          <w:sz w:val="22"/>
        </w:rPr>
        <w:t xml:space="preserve"> </w:t>
      </w:r>
    </w:p>
    <w:p w14:paraId="479F1873" w14:textId="77777777" w:rsidR="008A420E" w:rsidRPr="00B5373E" w:rsidRDefault="008A420E" w:rsidP="008A420E">
      <w:pPr>
        <w:ind w:left="634" w:hanging="10"/>
      </w:pPr>
      <w:r w:rsidRPr="00B5373E">
        <w:rPr>
          <w:rFonts w:ascii="Calibri" w:eastAsia="Calibri" w:hAnsi="Calibri" w:cs="Calibri"/>
          <w:b/>
          <w:sz w:val="22"/>
        </w:rPr>
        <w:t>Key words</w:t>
      </w:r>
      <w:r w:rsidRPr="00B5373E">
        <w:rPr>
          <w:rFonts w:ascii="Calibri" w:eastAsia="Calibri" w:hAnsi="Calibri" w:cs="Calibri"/>
          <w:sz w:val="22"/>
        </w:rPr>
        <w:t xml:space="preserve">:  </w:t>
      </w:r>
    </w:p>
    <w:p w14:paraId="3D79E080" w14:textId="77777777" w:rsidR="008A420E" w:rsidRPr="00B5373E" w:rsidRDefault="008A420E" w:rsidP="008A420E">
      <w:pPr>
        <w:ind w:left="639"/>
      </w:pPr>
      <w:r w:rsidRPr="00B5373E">
        <w:rPr>
          <w:rFonts w:ascii="Calibri" w:eastAsia="Calibri" w:hAnsi="Calibri" w:cs="Calibri"/>
          <w:sz w:val="22"/>
        </w:rPr>
        <w:t xml:space="preserve"> </w:t>
      </w:r>
    </w:p>
    <w:tbl>
      <w:tblPr>
        <w:tblStyle w:val="TableGrid0"/>
        <w:tblW w:w="8858" w:type="dxa"/>
        <w:tblInd w:w="531" w:type="dxa"/>
        <w:tblCellMar>
          <w:top w:w="50" w:type="dxa"/>
          <w:left w:w="108" w:type="dxa"/>
          <w:right w:w="115" w:type="dxa"/>
        </w:tblCellMar>
        <w:tblLook w:val="04A0" w:firstRow="1" w:lastRow="0" w:firstColumn="1" w:lastColumn="0" w:noHBand="0" w:noVBand="1"/>
      </w:tblPr>
      <w:tblGrid>
        <w:gridCol w:w="4429"/>
        <w:gridCol w:w="4429"/>
      </w:tblGrid>
      <w:tr w:rsidR="008A420E" w:rsidRPr="00B5373E" w14:paraId="528AA2C8" w14:textId="77777777" w:rsidTr="008A420E">
        <w:trPr>
          <w:trHeight w:val="298"/>
        </w:trPr>
        <w:tc>
          <w:tcPr>
            <w:tcW w:w="4429" w:type="dxa"/>
            <w:tcBorders>
              <w:top w:val="double" w:sz="6" w:space="0" w:color="000000"/>
              <w:left w:val="double" w:sz="6" w:space="0" w:color="000000"/>
              <w:bottom w:val="single" w:sz="6" w:space="0" w:color="000000"/>
              <w:right w:val="single" w:sz="6" w:space="0" w:color="000000"/>
            </w:tcBorders>
          </w:tcPr>
          <w:p w14:paraId="07A6577C" w14:textId="77777777" w:rsidR="008A420E" w:rsidRPr="00B5373E" w:rsidRDefault="008A420E" w:rsidP="008A420E">
            <w:r w:rsidRPr="00B5373E">
              <w:rPr>
                <w:rFonts w:ascii="Calibri" w:eastAsia="Calibri" w:hAnsi="Calibri" w:cs="Calibri"/>
                <w:b/>
              </w:rPr>
              <w:t xml:space="preserve">POPULATION  </w:t>
            </w:r>
          </w:p>
        </w:tc>
        <w:tc>
          <w:tcPr>
            <w:tcW w:w="4429" w:type="dxa"/>
            <w:tcBorders>
              <w:top w:val="double" w:sz="6" w:space="0" w:color="000000"/>
              <w:left w:val="single" w:sz="6" w:space="0" w:color="000000"/>
              <w:bottom w:val="single" w:sz="6" w:space="0" w:color="000000"/>
              <w:right w:val="double" w:sz="6" w:space="0" w:color="000000"/>
            </w:tcBorders>
          </w:tcPr>
          <w:p w14:paraId="1376E061" w14:textId="77777777" w:rsidR="008A420E" w:rsidRPr="00B5373E" w:rsidRDefault="008A420E" w:rsidP="008A420E">
            <w:r w:rsidRPr="00B5373E">
              <w:rPr>
                <w:rFonts w:ascii="Calibri" w:eastAsia="Calibri" w:hAnsi="Calibri" w:cs="Calibri"/>
                <w:b/>
              </w:rPr>
              <w:t xml:space="preserve">OUTCOMES </w:t>
            </w:r>
          </w:p>
        </w:tc>
      </w:tr>
      <w:tr w:rsidR="008A420E" w:rsidRPr="00B5373E" w14:paraId="074BA39A" w14:textId="77777777" w:rsidTr="008A420E">
        <w:trPr>
          <w:trHeight w:val="286"/>
        </w:trPr>
        <w:tc>
          <w:tcPr>
            <w:tcW w:w="4429" w:type="dxa"/>
            <w:tcBorders>
              <w:top w:val="single" w:sz="6" w:space="0" w:color="000000"/>
              <w:left w:val="double" w:sz="6" w:space="0" w:color="000000"/>
              <w:bottom w:val="single" w:sz="6" w:space="0" w:color="000000"/>
              <w:right w:val="single" w:sz="6" w:space="0" w:color="000000"/>
            </w:tcBorders>
          </w:tcPr>
          <w:p w14:paraId="2B93BFAE" w14:textId="77777777" w:rsidR="008A420E" w:rsidRPr="00B5373E" w:rsidRDefault="008A420E" w:rsidP="008A420E">
            <w:r w:rsidRPr="00B5373E">
              <w:rPr>
                <w:rFonts w:ascii="Calibri" w:eastAsia="Calibri" w:hAnsi="Calibri" w:cs="Calibri"/>
              </w:rPr>
              <w:t xml:space="preserve">Heart arrest </w:t>
            </w:r>
          </w:p>
        </w:tc>
        <w:tc>
          <w:tcPr>
            <w:tcW w:w="4429" w:type="dxa"/>
            <w:tcBorders>
              <w:top w:val="single" w:sz="6" w:space="0" w:color="000000"/>
              <w:left w:val="single" w:sz="6" w:space="0" w:color="000000"/>
              <w:bottom w:val="single" w:sz="6" w:space="0" w:color="000000"/>
              <w:right w:val="double" w:sz="6" w:space="0" w:color="000000"/>
            </w:tcBorders>
          </w:tcPr>
          <w:p w14:paraId="5E2D34B3" w14:textId="40C12F83" w:rsidR="008A420E" w:rsidRPr="00B5373E" w:rsidRDefault="008A420E" w:rsidP="008A420E">
            <w:r w:rsidRPr="00B5373E">
              <w:rPr>
                <w:rFonts w:ascii="inherit" w:hAnsi="inherit" w:cs="Calibri"/>
                <w:bdr w:val="none" w:sz="0" w:space="0" w:color="auto" w:frame="1"/>
              </w:rPr>
              <w:t>Cognitive function</w:t>
            </w:r>
          </w:p>
        </w:tc>
      </w:tr>
      <w:tr w:rsidR="008A420E" w:rsidRPr="00B5373E" w14:paraId="0B54D2B5"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7BD005FC" w14:textId="77777777" w:rsidR="008A420E" w:rsidRPr="00B5373E" w:rsidRDefault="008A420E" w:rsidP="008A420E">
            <w:r w:rsidRPr="00B5373E">
              <w:rPr>
                <w:rFonts w:ascii="Calibri" w:eastAsia="Calibri" w:hAnsi="Calibri" w:cs="Calibri"/>
              </w:rPr>
              <w:t xml:space="preserve">Asystole </w:t>
            </w:r>
          </w:p>
        </w:tc>
        <w:tc>
          <w:tcPr>
            <w:tcW w:w="4429" w:type="dxa"/>
            <w:tcBorders>
              <w:top w:val="single" w:sz="6" w:space="0" w:color="000000"/>
              <w:left w:val="single" w:sz="6" w:space="0" w:color="000000"/>
              <w:bottom w:val="single" w:sz="6" w:space="0" w:color="000000"/>
              <w:right w:val="double" w:sz="6" w:space="0" w:color="000000"/>
            </w:tcBorders>
          </w:tcPr>
          <w:p w14:paraId="768299D7" w14:textId="52502F54" w:rsidR="008A420E" w:rsidRPr="00B5373E" w:rsidRDefault="008A420E" w:rsidP="008A420E">
            <w:r w:rsidRPr="00B5373E">
              <w:rPr>
                <w:rFonts w:ascii="inherit" w:hAnsi="inherit" w:cs="Calibri"/>
                <w:bdr w:val="none" w:sz="0" w:space="0" w:color="auto" w:frame="1"/>
              </w:rPr>
              <w:t>Cognition disorders</w:t>
            </w:r>
          </w:p>
        </w:tc>
      </w:tr>
      <w:tr w:rsidR="008A420E" w:rsidRPr="00B5373E" w14:paraId="1714EEA3"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50241822" w14:textId="77777777" w:rsidR="008A420E" w:rsidRPr="00B5373E" w:rsidRDefault="008A420E" w:rsidP="008A420E">
            <w:r w:rsidRPr="00B5373E">
              <w:rPr>
                <w:rFonts w:ascii="Calibri" w:eastAsia="Calibri" w:hAnsi="Calibri" w:cs="Calibri"/>
              </w:rPr>
              <w:t xml:space="preserve">Cardiac arrest </w:t>
            </w:r>
          </w:p>
        </w:tc>
        <w:tc>
          <w:tcPr>
            <w:tcW w:w="4429" w:type="dxa"/>
            <w:tcBorders>
              <w:top w:val="single" w:sz="6" w:space="0" w:color="000000"/>
              <w:left w:val="single" w:sz="6" w:space="0" w:color="000000"/>
              <w:bottom w:val="single" w:sz="6" w:space="0" w:color="000000"/>
              <w:right w:val="double" w:sz="6" w:space="0" w:color="000000"/>
            </w:tcBorders>
          </w:tcPr>
          <w:p w14:paraId="13BEBAE7" w14:textId="1F552396" w:rsidR="008A420E" w:rsidRPr="00B5373E" w:rsidRDefault="008A420E" w:rsidP="008A420E">
            <w:r w:rsidRPr="00B5373E">
              <w:rPr>
                <w:rFonts w:ascii="inherit" w:hAnsi="inherit" w:cs="Calibri"/>
                <w:bdr w:val="none" w:sz="0" w:space="0" w:color="auto" w:frame="1"/>
              </w:rPr>
              <w:t>Cognitive impairment</w:t>
            </w:r>
          </w:p>
        </w:tc>
      </w:tr>
      <w:tr w:rsidR="008A420E" w:rsidRPr="00B5373E" w14:paraId="323292FD"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191397F8" w14:textId="77777777" w:rsidR="008A420E" w:rsidRPr="00B5373E" w:rsidRDefault="008A420E" w:rsidP="008A420E">
            <w:r w:rsidRPr="00B5373E">
              <w:rPr>
                <w:rFonts w:ascii="Calibri" w:eastAsia="Calibri" w:hAnsi="Calibri" w:cs="Calibri"/>
              </w:rPr>
              <w:t xml:space="preserve">Cardiopulmonary arrest </w:t>
            </w:r>
          </w:p>
        </w:tc>
        <w:tc>
          <w:tcPr>
            <w:tcW w:w="4429" w:type="dxa"/>
            <w:tcBorders>
              <w:top w:val="single" w:sz="6" w:space="0" w:color="000000"/>
              <w:left w:val="single" w:sz="6" w:space="0" w:color="000000"/>
              <w:bottom w:val="single" w:sz="6" w:space="0" w:color="000000"/>
              <w:right w:val="double" w:sz="6" w:space="0" w:color="000000"/>
            </w:tcBorders>
          </w:tcPr>
          <w:p w14:paraId="1FB9B3C7" w14:textId="429BA127" w:rsidR="008A420E" w:rsidRPr="00B5373E" w:rsidRDefault="008A420E" w:rsidP="008A420E">
            <w:r w:rsidRPr="00B5373E">
              <w:rPr>
                <w:rFonts w:ascii="inherit" w:hAnsi="inherit" w:cs="Calibri"/>
                <w:bdr w:val="none" w:sz="0" w:space="0" w:color="auto" w:frame="1"/>
              </w:rPr>
              <w:t>Neuropsychological assessment</w:t>
            </w:r>
          </w:p>
        </w:tc>
      </w:tr>
      <w:tr w:rsidR="008A420E" w:rsidRPr="00B5373E" w14:paraId="2340E448"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593DC881" w14:textId="77777777" w:rsidR="008A420E" w:rsidRPr="00B5373E" w:rsidRDefault="008A420E" w:rsidP="008A420E">
            <w:r w:rsidRPr="00B5373E">
              <w:rPr>
                <w:rFonts w:ascii="Calibri" w:eastAsia="Calibri" w:hAnsi="Calibri" w:cs="Calibri"/>
              </w:rPr>
              <w:t xml:space="preserve">Circulatory arrest </w:t>
            </w:r>
          </w:p>
        </w:tc>
        <w:tc>
          <w:tcPr>
            <w:tcW w:w="4429" w:type="dxa"/>
            <w:tcBorders>
              <w:top w:val="single" w:sz="6" w:space="0" w:color="000000"/>
              <w:left w:val="single" w:sz="6" w:space="0" w:color="000000"/>
              <w:bottom w:val="single" w:sz="6" w:space="0" w:color="000000"/>
              <w:right w:val="double" w:sz="6" w:space="0" w:color="000000"/>
            </w:tcBorders>
          </w:tcPr>
          <w:p w14:paraId="3241D97A" w14:textId="0774DB5C" w:rsidR="008A420E" w:rsidRPr="00B5373E" w:rsidRDefault="008A420E" w:rsidP="008A420E">
            <w:r w:rsidRPr="00B5373E">
              <w:rPr>
                <w:rFonts w:ascii="inherit" w:hAnsi="inherit" w:cs="Calibri"/>
                <w:bdr w:val="none" w:sz="0" w:space="0" w:color="auto" w:frame="1"/>
              </w:rPr>
              <w:t>Neuropsychological evaluation</w:t>
            </w:r>
          </w:p>
        </w:tc>
      </w:tr>
      <w:tr w:rsidR="008A420E" w:rsidRPr="00B5373E" w14:paraId="2B36244E"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0B825229" w14:textId="77777777" w:rsidR="008A420E" w:rsidRPr="00B5373E" w:rsidRDefault="008A420E" w:rsidP="008A420E">
            <w:r w:rsidRPr="00B5373E">
              <w:rPr>
                <w:rFonts w:ascii="Calibri" w:eastAsia="Calibri" w:hAnsi="Calibri" w:cs="Calibri"/>
              </w:rPr>
              <w:t xml:space="preserve">Cardiac sudden death </w:t>
            </w:r>
          </w:p>
        </w:tc>
        <w:tc>
          <w:tcPr>
            <w:tcW w:w="4429" w:type="dxa"/>
            <w:tcBorders>
              <w:top w:val="single" w:sz="6" w:space="0" w:color="000000"/>
              <w:left w:val="single" w:sz="6" w:space="0" w:color="000000"/>
              <w:bottom w:val="single" w:sz="6" w:space="0" w:color="000000"/>
              <w:right w:val="double" w:sz="6" w:space="0" w:color="000000"/>
            </w:tcBorders>
          </w:tcPr>
          <w:p w14:paraId="2196A49F" w14:textId="69239706" w:rsidR="008A420E" w:rsidRPr="00B5373E" w:rsidRDefault="008A420E" w:rsidP="008A420E">
            <w:r w:rsidRPr="00B5373E">
              <w:rPr>
                <w:rFonts w:ascii="inherit" w:hAnsi="inherit" w:cs="Calibri"/>
                <w:bdr w:val="none" w:sz="0" w:space="0" w:color="auto" w:frame="1"/>
              </w:rPr>
              <w:t>Neuropsychological test</w:t>
            </w:r>
          </w:p>
        </w:tc>
      </w:tr>
      <w:tr w:rsidR="008A420E" w:rsidRPr="00B5373E" w14:paraId="51DC5453" w14:textId="77777777" w:rsidTr="008A420E">
        <w:trPr>
          <w:trHeight w:val="286"/>
        </w:trPr>
        <w:tc>
          <w:tcPr>
            <w:tcW w:w="4429" w:type="dxa"/>
            <w:tcBorders>
              <w:top w:val="single" w:sz="6" w:space="0" w:color="000000"/>
              <w:left w:val="double" w:sz="6" w:space="0" w:color="000000"/>
              <w:bottom w:val="single" w:sz="6" w:space="0" w:color="000000"/>
              <w:right w:val="single" w:sz="6" w:space="0" w:color="000000"/>
            </w:tcBorders>
          </w:tcPr>
          <w:p w14:paraId="571B952F" w14:textId="77777777" w:rsidR="008A420E" w:rsidRPr="00B5373E" w:rsidRDefault="008A420E" w:rsidP="008A420E">
            <w:r w:rsidRPr="00B5373E">
              <w:rPr>
                <w:rFonts w:ascii="Calibri" w:eastAsia="Calibri" w:hAnsi="Calibri" w:cs="Calibri"/>
              </w:rPr>
              <w:t xml:space="preserve">Sudden cardiac death </w:t>
            </w:r>
          </w:p>
        </w:tc>
        <w:tc>
          <w:tcPr>
            <w:tcW w:w="4429" w:type="dxa"/>
            <w:tcBorders>
              <w:top w:val="single" w:sz="6" w:space="0" w:color="000000"/>
              <w:left w:val="single" w:sz="6" w:space="0" w:color="000000"/>
              <w:bottom w:val="single" w:sz="6" w:space="0" w:color="000000"/>
              <w:right w:val="double" w:sz="6" w:space="0" w:color="000000"/>
            </w:tcBorders>
          </w:tcPr>
          <w:p w14:paraId="5837058A" w14:textId="7A00D20F" w:rsidR="008A420E" w:rsidRPr="00B5373E" w:rsidRDefault="008A420E" w:rsidP="008A420E">
            <w:r w:rsidRPr="00B5373E">
              <w:rPr>
                <w:rFonts w:ascii="inherit" w:hAnsi="inherit" w:cs="Calibri"/>
                <w:bdr w:val="none" w:sz="0" w:space="0" w:color="auto" w:frame="1"/>
              </w:rPr>
              <w:t>Neuropsychological function</w:t>
            </w:r>
          </w:p>
        </w:tc>
      </w:tr>
      <w:tr w:rsidR="008A420E" w:rsidRPr="00B5373E" w14:paraId="49BD13E4"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0C9BE227" w14:textId="77777777" w:rsidR="008A420E" w:rsidRPr="00B5373E" w:rsidRDefault="008A420E" w:rsidP="008A420E">
            <w:r w:rsidRPr="00B5373E">
              <w:rPr>
                <w:rFonts w:ascii="Calibri" w:eastAsia="Calibri" w:hAnsi="Calibri" w:cs="Calibri"/>
              </w:rPr>
              <w:t xml:space="preserve">Resuscitation </w:t>
            </w:r>
          </w:p>
        </w:tc>
        <w:tc>
          <w:tcPr>
            <w:tcW w:w="4429" w:type="dxa"/>
            <w:tcBorders>
              <w:top w:val="single" w:sz="6" w:space="0" w:color="000000"/>
              <w:left w:val="single" w:sz="6" w:space="0" w:color="000000"/>
              <w:bottom w:val="single" w:sz="6" w:space="0" w:color="000000"/>
              <w:right w:val="double" w:sz="6" w:space="0" w:color="000000"/>
            </w:tcBorders>
          </w:tcPr>
          <w:p w14:paraId="533F9828" w14:textId="4B891CAB" w:rsidR="008A420E" w:rsidRPr="00B5373E" w:rsidRDefault="008A420E" w:rsidP="008A420E">
            <w:r w:rsidRPr="00B5373E">
              <w:rPr>
                <w:rFonts w:ascii="inherit" w:hAnsi="inherit" w:cs="Calibri"/>
                <w:bdr w:val="none" w:sz="0" w:space="0" w:color="auto" w:frame="1"/>
              </w:rPr>
              <w:t>Neurocognitive deficits</w:t>
            </w:r>
          </w:p>
        </w:tc>
      </w:tr>
      <w:tr w:rsidR="008A420E" w:rsidRPr="00B5373E" w14:paraId="08F87EFD"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75B0F81A" w14:textId="77777777" w:rsidR="008A420E" w:rsidRPr="00B5373E" w:rsidRDefault="008A420E" w:rsidP="008A420E">
            <w:r w:rsidRPr="00B5373E">
              <w:rPr>
                <w:rFonts w:ascii="Calibri" w:eastAsia="Calibri" w:hAnsi="Calibri" w:cs="Calibri"/>
              </w:rPr>
              <w:t xml:space="preserve">Cardiopulmonary resuscitation </w:t>
            </w:r>
          </w:p>
        </w:tc>
        <w:tc>
          <w:tcPr>
            <w:tcW w:w="4429" w:type="dxa"/>
            <w:tcBorders>
              <w:top w:val="single" w:sz="6" w:space="0" w:color="000000"/>
              <w:left w:val="single" w:sz="6" w:space="0" w:color="000000"/>
              <w:bottom w:val="single" w:sz="6" w:space="0" w:color="000000"/>
              <w:right w:val="double" w:sz="6" w:space="0" w:color="000000"/>
            </w:tcBorders>
          </w:tcPr>
          <w:p w14:paraId="212AFB54" w14:textId="18C29392" w:rsidR="008A420E" w:rsidRPr="00B5373E" w:rsidRDefault="008A420E" w:rsidP="008A420E">
            <w:r w:rsidRPr="00B5373E">
              <w:rPr>
                <w:rFonts w:ascii="inherit" w:hAnsi="inherit" w:cs="Calibri"/>
                <w:bdr w:val="none" w:sz="0" w:space="0" w:color="auto" w:frame="1"/>
              </w:rPr>
              <w:t>Neurocognitive assessment</w:t>
            </w:r>
          </w:p>
        </w:tc>
      </w:tr>
      <w:tr w:rsidR="008A420E" w:rsidRPr="00B5373E" w14:paraId="4AC118C8"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402C6F99" w14:textId="39E81A89" w:rsidR="008A420E" w:rsidRPr="00B5373E" w:rsidRDefault="005B7FB1" w:rsidP="008A420E">
            <w:r w:rsidRPr="00B5373E">
              <w:rPr>
                <w:rFonts w:ascii="Calibri" w:eastAsia="Calibri" w:hAnsi="Calibri" w:cs="Calibri"/>
              </w:rPr>
              <w:t>CPR</w:t>
            </w:r>
          </w:p>
        </w:tc>
        <w:tc>
          <w:tcPr>
            <w:tcW w:w="4429" w:type="dxa"/>
            <w:tcBorders>
              <w:top w:val="single" w:sz="6" w:space="0" w:color="000000"/>
              <w:left w:val="single" w:sz="6" w:space="0" w:color="000000"/>
              <w:bottom w:val="single" w:sz="6" w:space="0" w:color="000000"/>
              <w:right w:val="double" w:sz="6" w:space="0" w:color="000000"/>
            </w:tcBorders>
          </w:tcPr>
          <w:p w14:paraId="03C22990" w14:textId="5E285AC9" w:rsidR="008A420E" w:rsidRPr="00B5373E" w:rsidRDefault="008A420E" w:rsidP="008A420E">
            <w:r w:rsidRPr="00B5373E">
              <w:rPr>
                <w:rFonts w:ascii="inherit" w:hAnsi="inherit" w:cs="Calibri"/>
                <w:bdr w:val="none" w:sz="0" w:space="0" w:color="auto" w:frame="1"/>
              </w:rPr>
              <w:t>Executive function</w:t>
            </w:r>
          </w:p>
        </w:tc>
      </w:tr>
      <w:tr w:rsidR="008A420E" w:rsidRPr="00B5373E" w14:paraId="28D7458F"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6CE09595" w14:textId="77777777" w:rsidR="008A420E" w:rsidRPr="00B5373E" w:rsidRDefault="008A420E" w:rsidP="008A420E">
            <w:r w:rsidRPr="00B5373E">
              <w:rPr>
                <w:rFonts w:ascii="Calibri" w:eastAsia="Calibri" w:hAnsi="Calibri" w:cs="Calibri"/>
              </w:rPr>
              <w:t xml:space="preserve">Out-of-hospital cardiac arrest </w:t>
            </w:r>
          </w:p>
        </w:tc>
        <w:tc>
          <w:tcPr>
            <w:tcW w:w="4429" w:type="dxa"/>
            <w:tcBorders>
              <w:top w:val="single" w:sz="6" w:space="0" w:color="000000"/>
              <w:left w:val="single" w:sz="6" w:space="0" w:color="000000"/>
              <w:bottom w:val="single" w:sz="6" w:space="0" w:color="000000"/>
              <w:right w:val="double" w:sz="6" w:space="0" w:color="000000"/>
            </w:tcBorders>
          </w:tcPr>
          <w:p w14:paraId="7ED768AA" w14:textId="3B94AABF" w:rsidR="008A420E" w:rsidRPr="00B5373E" w:rsidRDefault="008A420E" w:rsidP="008A420E">
            <w:r w:rsidRPr="00B5373E">
              <w:rPr>
                <w:rFonts w:ascii="inherit" w:hAnsi="inherit" w:cs="Calibri"/>
                <w:bdr w:val="none" w:sz="0" w:space="0" w:color="auto" w:frame="1"/>
              </w:rPr>
              <w:t>Executive control</w:t>
            </w:r>
          </w:p>
        </w:tc>
      </w:tr>
      <w:tr w:rsidR="008A420E" w:rsidRPr="00B5373E" w14:paraId="40412907" w14:textId="77777777" w:rsidTr="008A420E">
        <w:trPr>
          <w:trHeight w:val="284"/>
        </w:trPr>
        <w:tc>
          <w:tcPr>
            <w:tcW w:w="4429" w:type="dxa"/>
            <w:tcBorders>
              <w:top w:val="single" w:sz="6" w:space="0" w:color="000000"/>
              <w:left w:val="double" w:sz="6" w:space="0" w:color="000000"/>
              <w:bottom w:val="single" w:sz="6" w:space="0" w:color="000000"/>
              <w:right w:val="single" w:sz="6" w:space="0" w:color="000000"/>
            </w:tcBorders>
          </w:tcPr>
          <w:p w14:paraId="659445E8" w14:textId="77777777" w:rsidR="008A420E" w:rsidRPr="00B5373E" w:rsidRDefault="008A420E" w:rsidP="008A420E">
            <w:r w:rsidRPr="00B5373E">
              <w:rPr>
                <w:rFonts w:ascii="Calibri" w:eastAsia="Calibri" w:hAnsi="Calibri" w:cs="Calibri"/>
              </w:rPr>
              <w:t xml:space="preserve"> </w:t>
            </w:r>
          </w:p>
        </w:tc>
        <w:tc>
          <w:tcPr>
            <w:tcW w:w="4429" w:type="dxa"/>
            <w:tcBorders>
              <w:top w:val="single" w:sz="6" w:space="0" w:color="000000"/>
              <w:left w:val="single" w:sz="6" w:space="0" w:color="000000"/>
              <w:bottom w:val="single" w:sz="6" w:space="0" w:color="000000"/>
              <w:right w:val="double" w:sz="6" w:space="0" w:color="000000"/>
            </w:tcBorders>
          </w:tcPr>
          <w:p w14:paraId="044AAFA6" w14:textId="7EA30565" w:rsidR="008A420E" w:rsidRPr="00B5373E" w:rsidRDefault="008A420E" w:rsidP="008A420E">
            <w:r w:rsidRPr="00B5373E">
              <w:rPr>
                <w:rFonts w:ascii="inherit" w:hAnsi="inherit" w:cs="Calibri"/>
                <w:bdr w:val="none" w:sz="0" w:space="0" w:color="auto" w:frame="1"/>
              </w:rPr>
              <w:t>Executive attention</w:t>
            </w:r>
          </w:p>
        </w:tc>
      </w:tr>
      <w:tr w:rsidR="008A420E" w:rsidRPr="00B5373E" w14:paraId="3788A397"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1ECFD473" w14:textId="77777777" w:rsidR="008A420E" w:rsidRPr="00B5373E" w:rsidRDefault="008A420E" w:rsidP="008A420E">
            <w:r w:rsidRPr="00B5373E">
              <w:rPr>
                <w:rFonts w:ascii="Calibri" w:eastAsia="Calibri" w:hAnsi="Calibri" w:cs="Calibri"/>
              </w:rPr>
              <w:t xml:space="preserve"> </w:t>
            </w:r>
          </w:p>
        </w:tc>
        <w:tc>
          <w:tcPr>
            <w:tcW w:w="4429" w:type="dxa"/>
            <w:tcBorders>
              <w:top w:val="single" w:sz="6" w:space="0" w:color="000000"/>
              <w:left w:val="single" w:sz="6" w:space="0" w:color="000000"/>
              <w:bottom w:val="single" w:sz="6" w:space="0" w:color="000000"/>
              <w:right w:val="double" w:sz="6" w:space="0" w:color="000000"/>
            </w:tcBorders>
          </w:tcPr>
          <w:p w14:paraId="261610A0" w14:textId="26F514FD" w:rsidR="008A420E" w:rsidRPr="00B5373E" w:rsidRDefault="008A420E" w:rsidP="008A420E">
            <w:r w:rsidRPr="00B5373E">
              <w:rPr>
                <w:rFonts w:ascii="inherit" w:hAnsi="inherit" w:cs="Calibri"/>
                <w:bdr w:val="none" w:sz="0" w:space="0" w:color="auto" w:frame="1"/>
              </w:rPr>
              <w:t>Working memory</w:t>
            </w:r>
          </w:p>
        </w:tc>
      </w:tr>
      <w:tr w:rsidR="008A420E" w:rsidRPr="00B5373E" w14:paraId="5408D669" w14:textId="77777777" w:rsidTr="008A420E">
        <w:trPr>
          <w:trHeight w:val="286"/>
        </w:trPr>
        <w:tc>
          <w:tcPr>
            <w:tcW w:w="4429" w:type="dxa"/>
            <w:tcBorders>
              <w:top w:val="single" w:sz="6" w:space="0" w:color="000000"/>
              <w:left w:val="double" w:sz="6" w:space="0" w:color="000000"/>
              <w:bottom w:val="single" w:sz="6" w:space="0" w:color="000000"/>
              <w:right w:val="single" w:sz="6" w:space="0" w:color="000000"/>
            </w:tcBorders>
          </w:tcPr>
          <w:p w14:paraId="0FF8AD0D" w14:textId="77777777" w:rsidR="008A420E" w:rsidRPr="00B5373E" w:rsidRDefault="008A420E" w:rsidP="008A420E">
            <w:r w:rsidRPr="00B5373E">
              <w:rPr>
                <w:rFonts w:ascii="Calibri" w:eastAsia="Calibri" w:hAnsi="Calibri" w:cs="Calibri"/>
              </w:rPr>
              <w:t xml:space="preserve"> </w:t>
            </w:r>
          </w:p>
        </w:tc>
        <w:tc>
          <w:tcPr>
            <w:tcW w:w="4429" w:type="dxa"/>
            <w:tcBorders>
              <w:top w:val="single" w:sz="6" w:space="0" w:color="000000"/>
              <w:left w:val="single" w:sz="6" w:space="0" w:color="000000"/>
              <w:bottom w:val="single" w:sz="6" w:space="0" w:color="000000"/>
              <w:right w:val="double" w:sz="6" w:space="0" w:color="000000"/>
            </w:tcBorders>
          </w:tcPr>
          <w:p w14:paraId="5213935A" w14:textId="4B356DF9" w:rsidR="008A420E" w:rsidRPr="00B5373E" w:rsidRDefault="008A420E" w:rsidP="008A420E">
            <w:r w:rsidRPr="00B5373E">
              <w:rPr>
                <w:rFonts w:ascii="inherit" w:hAnsi="inherit" w:cs="Calibri"/>
                <w:bdr w:val="none" w:sz="0" w:space="0" w:color="auto" w:frame="1"/>
              </w:rPr>
              <w:t>Memory disorders</w:t>
            </w:r>
          </w:p>
        </w:tc>
      </w:tr>
      <w:tr w:rsidR="008A420E" w:rsidRPr="00B5373E" w14:paraId="394EFAAC"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72165781" w14:textId="77777777" w:rsidR="008A420E" w:rsidRPr="00B5373E" w:rsidRDefault="008A420E" w:rsidP="008A420E">
            <w:r w:rsidRPr="00B5373E">
              <w:rPr>
                <w:rFonts w:ascii="Calibri" w:eastAsia="Calibri" w:hAnsi="Calibri" w:cs="Calibri"/>
              </w:rPr>
              <w:t xml:space="preserve"> </w:t>
            </w:r>
          </w:p>
        </w:tc>
        <w:tc>
          <w:tcPr>
            <w:tcW w:w="4429" w:type="dxa"/>
            <w:tcBorders>
              <w:top w:val="single" w:sz="6" w:space="0" w:color="000000"/>
              <w:left w:val="single" w:sz="6" w:space="0" w:color="000000"/>
              <w:bottom w:val="single" w:sz="6" w:space="0" w:color="000000"/>
              <w:right w:val="double" w:sz="6" w:space="0" w:color="000000"/>
            </w:tcBorders>
          </w:tcPr>
          <w:p w14:paraId="5E27D624" w14:textId="085A5D56" w:rsidR="008A420E" w:rsidRPr="00B5373E" w:rsidRDefault="005B7FB1" w:rsidP="008A420E">
            <w:r w:rsidRPr="00B5373E">
              <w:t>Attention</w:t>
            </w:r>
          </w:p>
        </w:tc>
      </w:tr>
      <w:tr w:rsidR="008A420E" w:rsidRPr="00B5373E" w14:paraId="410F5E1B" w14:textId="77777777" w:rsidTr="008A420E">
        <w:trPr>
          <w:trHeight w:val="283"/>
        </w:trPr>
        <w:tc>
          <w:tcPr>
            <w:tcW w:w="4429" w:type="dxa"/>
            <w:tcBorders>
              <w:top w:val="single" w:sz="6" w:space="0" w:color="000000"/>
              <w:left w:val="double" w:sz="6" w:space="0" w:color="000000"/>
              <w:bottom w:val="single" w:sz="6" w:space="0" w:color="000000"/>
              <w:right w:val="single" w:sz="6" w:space="0" w:color="000000"/>
            </w:tcBorders>
          </w:tcPr>
          <w:p w14:paraId="25F358ED" w14:textId="77777777" w:rsidR="008A420E" w:rsidRPr="00B5373E" w:rsidRDefault="008A420E" w:rsidP="008A420E">
            <w:r w:rsidRPr="00B5373E">
              <w:rPr>
                <w:rFonts w:ascii="Calibri" w:eastAsia="Calibri" w:hAnsi="Calibri" w:cs="Calibri"/>
              </w:rPr>
              <w:t xml:space="preserve"> </w:t>
            </w:r>
          </w:p>
        </w:tc>
        <w:tc>
          <w:tcPr>
            <w:tcW w:w="4429" w:type="dxa"/>
            <w:tcBorders>
              <w:top w:val="single" w:sz="6" w:space="0" w:color="000000"/>
              <w:left w:val="single" w:sz="6" w:space="0" w:color="000000"/>
              <w:bottom w:val="single" w:sz="6" w:space="0" w:color="000000"/>
              <w:right w:val="double" w:sz="6" w:space="0" w:color="000000"/>
            </w:tcBorders>
          </w:tcPr>
          <w:p w14:paraId="03A737AB" w14:textId="4B82F3F1" w:rsidR="008A420E" w:rsidRPr="00B5373E" w:rsidRDefault="005B7FB1" w:rsidP="008A420E">
            <w:r w:rsidRPr="00B5373E">
              <w:t>Concentration</w:t>
            </w:r>
          </w:p>
        </w:tc>
      </w:tr>
    </w:tbl>
    <w:p w14:paraId="491D6E1E" w14:textId="2D8AEB2B" w:rsidR="00E93210" w:rsidRPr="00B5373E" w:rsidRDefault="00E93210" w:rsidP="008A420E">
      <w:pPr>
        <w:adjustRightInd w:val="0"/>
        <w:snapToGrid w:val="0"/>
        <w:spacing w:before="240" w:after="60" w:line="228" w:lineRule="auto"/>
        <w:ind w:left="284"/>
        <w:rPr>
          <w:b/>
          <w:bCs/>
          <w:szCs w:val="18"/>
          <w:lang w:bidi="en-US"/>
        </w:rPr>
      </w:pPr>
    </w:p>
    <w:p w14:paraId="6856B2BC" w14:textId="1B034BE5" w:rsidR="00E93210" w:rsidRPr="00B5373E" w:rsidRDefault="00E93210" w:rsidP="002D7D5E">
      <w:pPr>
        <w:pStyle w:val="MDPI31text"/>
      </w:pPr>
    </w:p>
    <w:p w14:paraId="6B30220E" w14:textId="77777777" w:rsidR="008A420E" w:rsidRPr="00B5373E" w:rsidRDefault="008A420E">
      <w:pPr>
        <w:spacing w:line="240" w:lineRule="auto"/>
        <w:jc w:val="left"/>
        <w:rPr>
          <w:rFonts w:eastAsia="Times New Roman"/>
          <w:b/>
          <w:noProof w:val="0"/>
          <w:snapToGrid w:val="0"/>
          <w:szCs w:val="22"/>
          <w:lang w:eastAsia="de-DE" w:bidi="en-US"/>
        </w:rPr>
      </w:pPr>
      <w:r w:rsidRPr="00B5373E">
        <w:br w:type="page"/>
      </w:r>
    </w:p>
    <w:p w14:paraId="6113D021" w14:textId="34E5B3D1" w:rsidR="00E93210" w:rsidRPr="00B5373E" w:rsidRDefault="00E93210" w:rsidP="00A602BA">
      <w:pPr>
        <w:pStyle w:val="MDPI21heading1"/>
        <w:ind w:left="0"/>
        <w:jc w:val="center"/>
      </w:pPr>
      <w:r w:rsidRPr="00B5373E">
        <w:lastRenderedPageBreak/>
        <w:t>References</w:t>
      </w:r>
    </w:p>
    <w:p w14:paraId="76842F54" w14:textId="77777777" w:rsidR="001A578F" w:rsidRPr="00B5373E" w:rsidRDefault="001A578F" w:rsidP="00E467C7">
      <w:pPr>
        <w:pStyle w:val="MDPI71References"/>
        <w:numPr>
          <w:ilvl w:val="0"/>
          <w:numId w:val="0"/>
        </w:numPr>
        <w:ind w:left="425"/>
      </w:pPr>
    </w:p>
    <w:p w14:paraId="2ED3BAEE" w14:textId="73EFE92D" w:rsidR="00407D9D" w:rsidRPr="00B5373E" w:rsidRDefault="00407D9D" w:rsidP="05B98B2E">
      <w:pPr>
        <w:pStyle w:val="ListParagraph"/>
        <w:numPr>
          <w:ilvl w:val="0"/>
          <w:numId w:val="18"/>
        </w:numPr>
        <w:spacing w:line="257" w:lineRule="auto"/>
        <w:rPr>
          <w:rFonts w:ascii="Palatino Linotype" w:eastAsia="Arial" w:hAnsi="Palatino Linotype"/>
          <w:color w:val="222222"/>
          <w:sz w:val="20"/>
          <w:szCs w:val="20"/>
        </w:rPr>
      </w:pPr>
      <w:proofErr w:type="spellStart"/>
      <w:r w:rsidRPr="00B5373E">
        <w:rPr>
          <w:rFonts w:ascii="Palatino Linotype" w:eastAsia="Arial" w:hAnsi="Palatino Linotype"/>
          <w:color w:val="222222"/>
          <w:sz w:val="20"/>
          <w:szCs w:val="20"/>
        </w:rPr>
        <w:t>Gräsner</w:t>
      </w:r>
      <w:proofErr w:type="spellEnd"/>
      <w:r w:rsidRPr="00B5373E">
        <w:rPr>
          <w:rFonts w:ascii="Palatino Linotype" w:eastAsia="Arial" w:hAnsi="Palatino Linotype"/>
          <w:color w:val="222222"/>
          <w:sz w:val="20"/>
          <w:szCs w:val="20"/>
        </w:rPr>
        <w:t xml:space="preserve"> JT, </w:t>
      </w:r>
      <w:proofErr w:type="spellStart"/>
      <w:r w:rsidRPr="00B5373E">
        <w:rPr>
          <w:rFonts w:ascii="Palatino Linotype" w:eastAsia="Arial" w:hAnsi="Palatino Linotype"/>
          <w:color w:val="222222"/>
          <w:sz w:val="20"/>
          <w:szCs w:val="20"/>
        </w:rPr>
        <w:t>Herlitz</w:t>
      </w:r>
      <w:proofErr w:type="spellEnd"/>
      <w:r w:rsidRPr="00B5373E">
        <w:rPr>
          <w:rFonts w:ascii="Palatino Linotype" w:eastAsia="Arial" w:hAnsi="Palatino Linotype"/>
          <w:color w:val="222222"/>
          <w:sz w:val="20"/>
          <w:szCs w:val="20"/>
        </w:rPr>
        <w:t xml:space="preserve"> J, </w:t>
      </w:r>
      <w:proofErr w:type="spellStart"/>
      <w:r w:rsidRPr="00B5373E">
        <w:rPr>
          <w:rFonts w:ascii="Palatino Linotype" w:eastAsia="Arial" w:hAnsi="Palatino Linotype"/>
          <w:color w:val="222222"/>
          <w:sz w:val="20"/>
          <w:szCs w:val="20"/>
        </w:rPr>
        <w:t>Tjelmeland</w:t>
      </w:r>
      <w:proofErr w:type="spellEnd"/>
      <w:r w:rsidRPr="00B5373E">
        <w:rPr>
          <w:rFonts w:ascii="Palatino Linotype" w:eastAsia="Arial" w:hAnsi="Palatino Linotype"/>
          <w:color w:val="222222"/>
          <w:sz w:val="20"/>
          <w:szCs w:val="20"/>
        </w:rPr>
        <w:t xml:space="preserve"> IB, </w:t>
      </w:r>
      <w:proofErr w:type="spellStart"/>
      <w:r w:rsidRPr="00B5373E">
        <w:rPr>
          <w:rFonts w:ascii="Palatino Linotype" w:eastAsia="Arial" w:hAnsi="Palatino Linotype"/>
          <w:color w:val="222222"/>
          <w:sz w:val="20"/>
          <w:szCs w:val="20"/>
        </w:rPr>
        <w:t>Wnent</w:t>
      </w:r>
      <w:proofErr w:type="spellEnd"/>
      <w:r w:rsidRPr="00B5373E">
        <w:rPr>
          <w:rFonts w:ascii="Palatino Linotype" w:eastAsia="Arial" w:hAnsi="Palatino Linotype"/>
          <w:color w:val="222222"/>
          <w:sz w:val="20"/>
          <w:szCs w:val="20"/>
        </w:rPr>
        <w:t xml:space="preserve"> J, Masterson S, </w:t>
      </w:r>
      <w:proofErr w:type="spellStart"/>
      <w:r w:rsidRPr="00B5373E">
        <w:rPr>
          <w:rFonts w:ascii="Palatino Linotype" w:eastAsia="Arial" w:hAnsi="Palatino Linotype"/>
          <w:color w:val="222222"/>
          <w:sz w:val="20"/>
          <w:szCs w:val="20"/>
        </w:rPr>
        <w:t>Lilja</w:t>
      </w:r>
      <w:proofErr w:type="spellEnd"/>
      <w:r w:rsidRPr="00B5373E">
        <w:rPr>
          <w:rFonts w:ascii="Palatino Linotype" w:eastAsia="Arial" w:hAnsi="Palatino Linotype"/>
          <w:color w:val="222222"/>
          <w:sz w:val="20"/>
          <w:szCs w:val="20"/>
        </w:rPr>
        <w:t xml:space="preserve"> G, </w:t>
      </w:r>
      <w:proofErr w:type="spellStart"/>
      <w:r w:rsidRPr="00B5373E">
        <w:rPr>
          <w:rFonts w:ascii="Palatino Linotype" w:eastAsia="Arial" w:hAnsi="Palatino Linotype"/>
          <w:color w:val="222222"/>
          <w:sz w:val="20"/>
          <w:szCs w:val="20"/>
        </w:rPr>
        <w:t>Bein</w:t>
      </w:r>
      <w:proofErr w:type="spellEnd"/>
      <w:r w:rsidRPr="00B5373E">
        <w:rPr>
          <w:rFonts w:ascii="Palatino Linotype" w:eastAsia="Arial" w:hAnsi="Palatino Linotype"/>
          <w:color w:val="222222"/>
          <w:sz w:val="20"/>
          <w:szCs w:val="20"/>
        </w:rPr>
        <w:t xml:space="preserve"> B, </w:t>
      </w:r>
      <w:proofErr w:type="spellStart"/>
      <w:r w:rsidRPr="00B5373E">
        <w:rPr>
          <w:rFonts w:ascii="Palatino Linotype" w:eastAsia="Arial" w:hAnsi="Palatino Linotype"/>
          <w:color w:val="222222"/>
          <w:sz w:val="20"/>
          <w:szCs w:val="20"/>
        </w:rPr>
        <w:t>Böttiger</w:t>
      </w:r>
      <w:proofErr w:type="spellEnd"/>
      <w:r w:rsidRPr="00B5373E">
        <w:rPr>
          <w:rFonts w:ascii="Palatino Linotype" w:eastAsia="Arial" w:hAnsi="Palatino Linotype"/>
          <w:color w:val="222222"/>
          <w:sz w:val="20"/>
          <w:szCs w:val="20"/>
        </w:rPr>
        <w:t xml:space="preserve"> BW, </w:t>
      </w:r>
      <w:proofErr w:type="spellStart"/>
      <w:r w:rsidRPr="00B5373E">
        <w:rPr>
          <w:rFonts w:ascii="Palatino Linotype" w:eastAsia="Arial" w:hAnsi="Palatino Linotype"/>
          <w:color w:val="222222"/>
          <w:sz w:val="20"/>
          <w:szCs w:val="20"/>
        </w:rPr>
        <w:t>Rosell</w:t>
      </w:r>
      <w:proofErr w:type="spellEnd"/>
      <w:r w:rsidRPr="00B5373E">
        <w:rPr>
          <w:rFonts w:ascii="Palatino Linotype" w:eastAsia="Arial" w:hAnsi="Palatino Linotype"/>
          <w:color w:val="222222"/>
          <w:sz w:val="20"/>
          <w:szCs w:val="20"/>
        </w:rPr>
        <w:t xml:space="preserve">-Ortiz F, Nolan JP, </w:t>
      </w:r>
      <w:proofErr w:type="spellStart"/>
      <w:r w:rsidRPr="00B5373E">
        <w:rPr>
          <w:rFonts w:ascii="Palatino Linotype" w:eastAsia="Arial" w:hAnsi="Palatino Linotype"/>
          <w:color w:val="222222"/>
          <w:sz w:val="20"/>
          <w:szCs w:val="20"/>
        </w:rPr>
        <w:t>Bossaert</w:t>
      </w:r>
      <w:proofErr w:type="spellEnd"/>
      <w:r w:rsidRPr="00B5373E">
        <w:rPr>
          <w:rFonts w:ascii="Palatino Linotype" w:eastAsia="Arial" w:hAnsi="Palatino Linotype"/>
          <w:color w:val="222222"/>
          <w:sz w:val="20"/>
          <w:szCs w:val="20"/>
        </w:rPr>
        <w:t xml:space="preserve"> L. European Resuscitation Council Guidelines 2021: </w:t>
      </w:r>
      <w:r w:rsidR="000564A3" w:rsidRPr="00B5373E">
        <w:rPr>
          <w:rFonts w:ascii="Palatino Linotype" w:eastAsia="Arial" w:hAnsi="Palatino Linotype"/>
          <w:color w:val="222222"/>
          <w:sz w:val="20"/>
          <w:szCs w:val="20"/>
        </w:rPr>
        <w:t>E</w:t>
      </w:r>
      <w:r w:rsidRPr="00B5373E">
        <w:rPr>
          <w:rFonts w:ascii="Palatino Linotype" w:eastAsia="Arial" w:hAnsi="Palatino Linotype"/>
          <w:color w:val="222222"/>
          <w:sz w:val="20"/>
          <w:szCs w:val="20"/>
        </w:rPr>
        <w:t xml:space="preserve">pidemiology of cardiac arrest in Europe. Resuscitation. 2021 Apr </w:t>
      </w:r>
      <w:proofErr w:type="gramStart"/>
      <w:r w:rsidRPr="00B5373E">
        <w:rPr>
          <w:rFonts w:ascii="Palatino Linotype" w:eastAsia="Arial" w:hAnsi="Palatino Linotype"/>
          <w:color w:val="222222"/>
          <w:sz w:val="20"/>
          <w:szCs w:val="20"/>
        </w:rPr>
        <w:t>1;161:61</w:t>
      </w:r>
      <w:proofErr w:type="gramEnd"/>
      <w:r w:rsidRPr="00B5373E">
        <w:rPr>
          <w:rFonts w:ascii="Palatino Linotype" w:eastAsia="Arial" w:hAnsi="Palatino Linotype"/>
          <w:color w:val="222222"/>
          <w:sz w:val="20"/>
          <w:szCs w:val="20"/>
        </w:rPr>
        <w:t>-79. https://doi.org/10.1016/j.resuscitation.2021.02.007</w:t>
      </w:r>
    </w:p>
    <w:p w14:paraId="14E24204" w14:textId="77777777"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eastAsia="Arial" w:hAnsi="Palatino Linotype"/>
          <w:color w:val="222222"/>
          <w:sz w:val="20"/>
          <w:szCs w:val="20"/>
        </w:rPr>
        <w:t>Moulaert</w:t>
      </w:r>
      <w:proofErr w:type="spellEnd"/>
      <w:r w:rsidRPr="00B5373E">
        <w:rPr>
          <w:rFonts w:ascii="Palatino Linotype" w:eastAsia="Arial" w:hAnsi="Palatino Linotype"/>
          <w:color w:val="222222"/>
          <w:sz w:val="20"/>
          <w:szCs w:val="20"/>
        </w:rPr>
        <w:t xml:space="preserve"> VR, </w:t>
      </w:r>
      <w:proofErr w:type="spellStart"/>
      <w:r w:rsidRPr="00B5373E">
        <w:rPr>
          <w:rFonts w:ascii="Palatino Linotype" w:eastAsia="Arial" w:hAnsi="Palatino Linotype"/>
          <w:color w:val="222222"/>
          <w:sz w:val="20"/>
          <w:szCs w:val="20"/>
        </w:rPr>
        <w:t>Verbunt</w:t>
      </w:r>
      <w:proofErr w:type="spellEnd"/>
      <w:r w:rsidRPr="00B5373E">
        <w:rPr>
          <w:rFonts w:ascii="Palatino Linotype" w:eastAsia="Arial" w:hAnsi="Palatino Linotype"/>
          <w:color w:val="222222"/>
          <w:sz w:val="20"/>
          <w:szCs w:val="20"/>
        </w:rPr>
        <w:t xml:space="preserve"> JA, van </w:t>
      </w:r>
      <w:proofErr w:type="spellStart"/>
      <w:r w:rsidRPr="00B5373E">
        <w:rPr>
          <w:rFonts w:ascii="Palatino Linotype" w:eastAsia="Arial" w:hAnsi="Palatino Linotype"/>
          <w:color w:val="222222"/>
          <w:sz w:val="20"/>
          <w:szCs w:val="20"/>
        </w:rPr>
        <w:t>Heugten</w:t>
      </w:r>
      <w:proofErr w:type="spellEnd"/>
      <w:r w:rsidRPr="00B5373E">
        <w:rPr>
          <w:rFonts w:ascii="Palatino Linotype" w:eastAsia="Arial" w:hAnsi="Palatino Linotype"/>
          <w:color w:val="222222"/>
          <w:sz w:val="20"/>
          <w:szCs w:val="20"/>
        </w:rPr>
        <w:t xml:space="preserve"> CM, Wade DT. Cognitive impairments in survivors of out-of-hospital cardiac arrest: a systematic review. Resuscitation. 2009 Mar 1;80(3):297-305. https://doi.org/10.1016/j.resuscitation.2008.10.034</w:t>
      </w:r>
    </w:p>
    <w:p w14:paraId="470B4F65" w14:textId="5840A20B"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eastAsia="Arial" w:hAnsi="Palatino Linotype"/>
          <w:color w:val="222222"/>
          <w:sz w:val="20"/>
          <w:szCs w:val="20"/>
        </w:rPr>
        <w:t>Mędrzycka-Dąbrowska</w:t>
      </w:r>
      <w:proofErr w:type="spellEnd"/>
      <w:r w:rsidRPr="00B5373E">
        <w:rPr>
          <w:rFonts w:ascii="Palatino Linotype" w:eastAsia="Arial" w:hAnsi="Palatino Linotype"/>
          <w:color w:val="222222"/>
          <w:sz w:val="20"/>
          <w:szCs w:val="20"/>
        </w:rPr>
        <w:t xml:space="preserve"> WA, </w:t>
      </w:r>
      <w:proofErr w:type="spellStart"/>
      <w:r w:rsidRPr="00B5373E">
        <w:rPr>
          <w:rFonts w:ascii="Palatino Linotype" w:eastAsia="Arial" w:hAnsi="Palatino Linotype"/>
          <w:color w:val="222222"/>
          <w:sz w:val="20"/>
          <w:szCs w:val="20"/>
        </w:rPr>
        <w:t>Czyż-Szybenbejl</w:t>
      </w:r>
      <w:proofErr w:type="spellEnd"/>
      <w:r w:rsidRPr="00B5373E">
        <w:rPr>
          <w:rFonts w:ascii="Palatino Linotype" w:eastAsia="Arial" w:hAnsi="Palatino Linotype"/>
          <w:color w:val="222222"/>
          <w:sz w:val="20"/>
          <w:szCs w:val="20"/>
        </w:rPr>
        <w:t xml:space="preserve"> K, </w:t>
      </w:r>
      <w:proofErr w:type="spellStart"/>
      <w:r w:rsidRPr="00B5373E">
        <w:rPr>
          <w:rFonts w:ascii="Palatino Linotype" w:eastAsia="Arial" w:hAnsi="Palatino Linotype"/>
          <w:color w:val="222222"/>
          <w:sz w:val="20"/>
          <w:szCs w:val="20"/>
        </w:rPr>
        <w:t>Kwiecień-Jaguś</w:t>
      </w:r>
      <w:proofErr w:type="spellEnd"/>
      <w:r w:rsidRPr="00B5373E">
        <w:rPr>
          <w:rFonts w:ascii="Palatino Linotype" w:eastAsia="Arial" w:hAnsi="Palatino Linotype"/>
          <w:color w:val="222222"/>
          <w:sz w:val="20"/>
          <w:szCs w:val="20"/>
        </w:rPr>
        <w:t xml:space="preserve"> K, </w:t>
      </w:r>
      <w:proofErr w:type="spellStart"/>
      <w:r w:rsidRPr="00B5373E">
        <w:rPr>
          <w:rFonts w:ascii="Palatino Linotype" w:eastAsia="Arial" w:hAnsi="Palatino Linotype"/>
          <w:color w:val="222222"/>
          <w:sz w:val="20"/>
          <w:szCs w:val="20"/>
        </w:rPr>
        <w:t>Lewandowska</w:t>
      </w:r>
      <w:proofErr w:type="spellEnd"/>
      <w:r w:rsidRPr="00B5373E">
        <w:rPr>
          <w:rFonts w:ascii="Palatino Linotype" w:eastAsia="Arial" w:hAnsi="Palatino Linotype"/>
          <w:color w:val="222222"/>
          <w:sz w:val="20"/>
          <w:szCs w:val="20"/>
        </w:rPr>
        <w:t xml:space="preserve"> K. Prediction of cognitive dysfunction after resuscitation–a systematic review. Advances in Interventional Cardiology</w:t>
      </w:r>
      <w:r w:rsidR="005441B1" w:rsidRPr="00B5373E">
        <w:rPr>
          <w:rFonts w:ascii="Palatino Linotype" w:eastAsia="Arial" w:hAnsi="Palatino Linotype"/>
          <w:color w:val="222222"/>
          <w:sz w:val="20"/>
          <w:szCs w:val="20"/>
        </w:rPr>
        <w:t>/</w:t>
      </w:r>
      <w:proofErr w:type="spellStart"/>
      <w:r w:rsidR="005441B1" w:rsidRPr="00B5373E">
        <w:rPr>
          <w:rFonts w:ascii="Palatino Linotype" w:eastAsia="Arial" w:hAnsi="Palatino Linotype"/>
          <w:color w:val="222222"/>
          <w:sz w:val="20"/>
          <w:szCs w:val="20"/>
        </w:rPr>
        <w:t>Postepy</w:t>
      </w:r>
      <w:proofErr w:type="spellEnd"/>
      <w:r w:rsidR="005441B1" w:rsidRPr="00B5373E">
        <w:rPr>
          <w:rFonts w:ascii="Palatino Linotype" w:eastAsia="Arial" w:hAnsi="Palatino Linotype"/>
          <w:color w:val="222222"/>
          <w:sz w:val="20"/>
          <w:szCs w:val="20"/>
        </w:rPr>
        <w:t xml:space="preserve"> </w:t>
      </w:r>
      <w:proofErr w:type="spellStart"/>
      <w:r w:rsidR="005441B1" w:rsidRPr="00B5373E">
        <w:rPr>
          <w:rFonts w:ascii="Palatino Linotype" w:eastAsia="Arial" w:hAnsi="Palatino Linotype"/>
          <w:color w:val="222222"/>
          <w:sz w:val="20"/>
          <w:szCs w:val="20"/>
        </w:rPr>
        <w:t>Kariol</w:t>
      </w:r>
      <w:proofErr w:type="spellEnd"/>
      <w:r w:rsidR="005441B1" w:rsidRPr="00B5373E">
        <w:rPr>
          <w:rFonts w:ascii="Palatino Linotype" w:eastAsia="Arial" w:hAnsi="Palatino Linotype"/>
          <w:color w:val="222222"/>
          <w:sz w:val="20"/>
          <w:szCs w:val="20"/>
        </w:rPr>
        <w:t xml:space="preserve"> </w:t>
      </w:r>
      <w:proofErr w:type="spellStart"/>
      <w:r w:rsidR="005441B1" w:rsidRPr="00B5373E">
        <w:rPr>
          <w:rFonts w:ascii="Palatino Linotype" w:eastAsia="Arial" w:hAnsi="Palatino Linotype"/>
          <w:color w:val="222222"/>
          <w:sz w:val="20"/>
          <w:szCs w:val="20"/>
        </w:rPr>
        <w:t>Interwencyjnej</w:t>
      </w:r>
      <w:proofErr w:type="spellEnd"/>
      <w:r w:rsidRPr="00B5373E">
        <w:rPr>
          <w:rFonts w:ascii="Palatino Linotype" w:eastAsia="Arial" w:hAnsi="Palatino Linotype"/>
          <w:color w:val="222222"/>
          <w:sz w:val="20"/>
          <w:szCs w:val="20"/>
        </w:rPr>
        <w:t>. 2018;14(3):225.</w:t>
      </w:r>
      <w:r w:rsidRPr="00B5373E">
        <w:rPr>
          <w:rFonts w:ascii="Palatino Linotype" w:eastAsia="Calibri" w:hAnsi="Palatino Linotype"/>
          <w:color w:val="000000" w:themeColor="text1"/>
          <w:sz w:val="20"/>
          <w:szCs w:val="20"/>
        </w:rPr>
        <w:t>, 2018. https://dx.doi.org/10.5114%2Faic.2018.78324</w:t>
      </w:r>
    </w:p>
    <w:p w14:paraId="17F1BB86" w14:textId="2609E33C"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r w:rsidRPr="00B5373E">
        <w:rPr>
          <w:rFonts w:ascii="Palatino Linotype" w:hAnsi="Palatino Linotype" w:cs="Arial"/>
          <w:color w:val="222222"/>
          <w:sz w:val="20"/>
          <w:szCs w:val="20"/>
          <w:shd w:val="clear" w:color="auto" w:fill="FFFFFF"/>
        </w:rPr>
        <w:t xml:space="preserve">Byron-Alhassan A, Tulloch HE, Collins B, Quinlan B, Fang Z, Chakraborty S, Le May M, Duchesne L, Smith AM. Exploratory Analyses of Cerebral </w:t>
      </w:r>
      <w:proofErr w:type="spellStart"/>
      <w:r w:rsidRPr="00B5373E">
        <w:rPr>
          <w:rFonts w:ascii="Palatino Linotype" w:hAnsi="Palatino Linotype" w:cs="Arial"/>
          <w:color w:val="222222"/>
          <w:sz w:val="20"/>
          <w:szCs w:val="20"/>
          <w:shd w:val="clear" w:color="auto" w:fill="FFFFFF"/>
        </w:rPr>
        <w:t>Gray</w:t>
      </w:r>
      <w:proofErr w:type="spellEnd"/>
      <w:r w:rsidRPr="00B5373E">
        <w:rPr>
          <w:rFonts w:ascii="Palatino Linotype" w:hAnsi="Palatino Linotype" w:cs="Arial"/>
          <w:color w:val="222222"/>
          <w:sz w:val="20"/>
          <w:szCs w:val="20"/>
          <w:shd w:val="clear" w:color="auto" w:fill="FFFFFF"/>
        </w:rPr>
        <w:t xml:space="preserve"> Matter Volumes After Out-of-Hospital Cardiac Arrest in Good Outcome Survivors. Front Psychol. 2020 May </w:t>
      </w:r>
      <w:proofErr w:type="gramStart"/>
      <w:r w:rsidRPr="00B5373E">
        <w:rPr>
          <w:rFonts w:ascii="Palatino Linotype" w:hAnsi="Palatino Linotype" w:cs="Arial"/>
          <w:color w:val="222222"/>
          <w:sz w:val="20"/>
          <w:szCs w:val="20"/>
          <w:shd w:val="clear" w:color="auto" w:fill="FFFFFF"/>
        </w:rPr>
        <w:t>6;11:856</w:t>
      </w:r>
      <w:proofErr w:type="gramEnd"/>
      <w:r w:rsidRPr="00B5373E">
        <w:rPr>
          <w:rFonts w:ascii="Palatino Linotype" w:hAnsi="Palatino Linotype" w:cs="Arial"/>
          <w:color w:val="222222"/>
          <w:sz w:val="20"/>
          <w:szCs w:val="20"/>
          <w:shd w:val="clear" w:color="auto" w:fill="FFFFFF"/>
        </w:rPr>
        <w:t>. https://doi.org/10.3389/fpsyg.2020.00856</w:t>
      </w:r>
    </w:p>
    <w:p w14:paraId="2FB3B163" w14:textId="77777777"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hAnsi="Palatino Linotype"/>
          <w:sz w:val="20"/>
          <w:szCs w:val="20"/>
        </w:rPr>
        <w:t>Stamenova</w:t>
      </w:r>
      <w:proofErr w:type="spellEnd"/>
      <w:r w:rsidRPr="00B5373E">
        <w:rPr>
          <w:rFonts w:ascii="Palatino Linotype" w:hAnsi="Palatino Linotype"/>
          <w:sz w:val="20"/>
          <w:szCs w:val="20"/>
        </w:rPr>
        <w:t xml:space="preserve"> V, Nicola R, </w:t>
      </w:r>
      <w:proofErr w:type="spellStart"/>
      <w:r w:rsidRPr="00B5373E">
        <w:rPr>
          <w:rFonts w:ascii="Palatino Linotype" w:hAnsi="Palatino Linotype"/>
          <w:sz w:val="20"/>
          <w:szCs w:val="20"/>
        </w:rPr>
        <w:t>Aharon-Peretz</w:t>
      </w:r>
      <w:proofErr w:type="spellEnd"/>
      <w:r w:rsidRPr="00B5373E">
        <w:rPr>
          <w:rFonts w:ascii="Palatino Linotype" w:hAnsi="Palatino Linotype"/>
          <w:sz w:val="20"/>
          <w:szCs w:val="20"/>
        </w:rPr>
        <w:t xml:space="preserve"> J, </w:t>
      </w:r>
      <w:proofErr w:type="spellStart"/>
      <w:r w:rsidRPr="00B5373E">
        <w:rPr>
          <w:rFonts w:ascii="Palatino Linotype" w:hAnsi="Palatino Linotype"/>
          <w:sz w:val="20"/>
          <w:szCs w:val="20"/>
        </w:rPr>
        <w:t>Goldsher</w:t>
      </w:r>
      <w:proofErr w:type="spellEnd"/>
      <w:r w:rsidRPr="00B5373E">
        <w:rPr>
          <w:rFonts w:ascii="Palatino Linotype" w:hAnsi="Palatino Linotype"/>
          <w:sz w:val="20"/>
          <w:szCs w:val="20"/>
        </w:rPr>
        <w:t xml:space="preserve"> D, </w:t>
      </w:r>
      <w:proofErr w:type="spellStart"/>
      <w:r w:rsidRPr="00B5373E">
        <w:rPr>
          <w:rFonts w:ascii="Palatino Linotype" w:hAnsi="Palatino Linotype"/>
          <w:sz w:val="20"/>
          <w:szCs w:val="20"/>
        </w:rPr>
        <w:t>Kapeliovich</w:t>
      </w:r>
      <w:proofErr w:type="spellEnd"/>
      <w:r w:rsidRPr="00B5373E">
        <w:rPr>
          <w:rFonts w:ascii="Palatino Linotype" w:hAnsi="Palatino Linotype"/>
          <w:sz w:val="20"/>
          <w:szCs w:val="20"/>
        </w:rPr>
        <w:t xml:space="preserve"> M, Gilboa A. Long-term effects of brief hypoxia due to cardiac arrest: Hippocampal reductions and memory deficits. </w:t>
      </w:r>
      <w:proofErr w:type="spellStart"/>
      <w:r w:rsidRPr="00B5373E">
        <w:rPr>
          <w:rFonts w:ascii="Palatino Linotype" w:hAnsi="Palatino Linotype"/>
          <w:sz w:val="20"/>
          <w:szCs w:val="20"/>
          <w:lang w:val="es-ES"/>
        </w:rPr>
        <w:t>Resuscitation</w:t>
      </w:r>
      <w:proofErr w:type="spellEnd"/>
      <w:r w:rsidRPr="00B5373E">
        <w:rPr>
          <w:rFonts w:ascii="Palatino Linotype" w:hAnsi="Palatino Linotype"/>
          <w:sz w:val="20"/>
          <w:szCs w:val="20"/>
          <w:lang w:val="es-ES"/>
        </w:rPr>
        <w:t xml:space="preserve"> 2018:65–71. </w:t>
      </w:r>
      <w:hyperlink r:id="rId18">
        <w:r w:rsidRPr="00B5373E">
          <w:rPr>
            <w:rStyle w:val="Hyperlink"/>
            <w:rFonts w:ascii="Palatino Linotype" w:hAnsi="Palatino Linotype"/>
            <w:sz w:val="20"/>
            <w:szCs w:val="20"/>
            <w:lang w:val="es-ES"/>
          </w:rPr>
          <w:t>https://doi.org/10.1016/j.resuscitation.2018.02.016</w:t>
        </w:r>
      </w:hyperlink>
      <w:r w:rsidRPr="00B5373E">
        <w:rPr>
          <w:rFonts w:ascii="Palatino Linotype" w:hAnsi="Palatino Linotype"/>
          <w:sz w:val="20"/>
          <w:szCs w:val="20"/>
          <w:lang w:val="es-ES"/>
        </w:rPr>
        <w:t>.</w:t>
      </w:r>
    </w:p>
    <w:p w14:paraId="1BA8F52A" w14:textId="77777777"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hAnsi="Palatino Linotype" w:cs="Arial"/>
          <w:color w:val="222222"/>
          <w:sz w:val="20"/>
          <w:szCs w:val="20"/>
          <w:shd w:val="clear" w:color="auto" w:fill="FFFFFF"/>
        </w:rPr>
        <w:t>Beesems</w:t>
      </w:r>
      <w:proofErr w:type="spellEnd"/>
      <w:r w:rsidRPr="00B5373E">
        <w:rPr>
          <w:rFonts w:ascii="Palatino Linotype" w:hAnsi="Palatino Linotype" w:cs="Arial"/>
          <w:color w:val="222222"/>
          <w:sz w:val="20"/>
          <w:szCs w:val="20"/>
          <w:shd w:val="clear" w:color="auto" w:fill="FFFFFF"/>
        </w:rPr>
        <w:t xml:space="preserve"> SG, </w:t>
      </w:r>
      <w:proofErr w:type="spellStart"/>
      <w:r w:rsidRPr="00B5373E">
        <w:rPr>
          <w:rFonts w:ascii="Palatino Linotype" w:hAnsi="Palatino Linotype" w:cs="Arial"/>
          <w:color w:val="222222"/>
          <w:sz w:val="20"/>
          <w:szCs w:val="20"/>
          <w:shd w:val="clear" w:color="auto" w:fill="FFFFFF"/>
        </w:rPr>
        <w:t>Wittebrood</w:t>
      </w:r>
      <w:proofErr w:type="spellEnd"/>
      <w:r w:rsidRPr="00B5373E">
        <w:rPr>
          <w:rFonts w:ascii="Palatino Linotype" w:hAnsi="Palatino Linotype" w:cs="Arial"/>
          <w:color w:val="222222"/>
          <w:sz w:val="20"/>
          <w:szCs w:val="20"/>
          <w:shd w:val="clear" w:color="auto" w:fill="FFFFFF"/>
        </w:rPr>
        <w:t xml:space="preserve"> KM, de </w:t>
      </w:r>
      <w:proofErr w:type="spellStart"/>
      <w:r w:rsidRPr="00B5373E">
        <w:rPr>
          <w:rFonts w:ascii="Palatino Linotype" w:hAnsi="Palatino Linotype" w:cs="Arial"/>
          <w:color w:val="222222"/>
          <w:sz w:val="20"/>
          <w:szCs w:val="20"/>
          <w:shd w:val="clear" w:color="auto" w:fill="FFFFFF"/>
        </w:rPr>
        <w:t>Haan</w:t>
      </w:r>
      <w:proofErr w:type="spellEnd"/>
      <w:r w:rsidRPr="00B5373E">
        <w:rPr>
          <w:rFonts w:ascii="Palatino Linotype" w:hAnsi="Palatino Linotype" w:cs="Arial"/>
          <w:color w:val="222222"/>
          <w:sz w:val="20"/>
          <w:szCs w:val="20"/>
          <w:shd w:val="clear" w:color="auto" w:fill="FFFFFF"/>
        </w:rPr>
        <w:t xml:space="preserve"> RJ, </w:t>
      </w:r>
      <w:proofErr w:type="spellStart"/>
      <w:r w:rsidRPr="00B5373E">
        <w:rPr>
          <w:rFonts w:ascii="Palatino Linotype" w:hAnsi="Palatino Linotype" w:cs="Arial"/>
          <w:color w:val="222222"/>
          <w:sz w:val="20"/>
          <w:szCs w:val="20"/>
          <w:shd w:val="clear" w:color="auto" w:fill="FFFFFF"/>
        </w:rPr>
        <w:t>Koster</w:t>
      </w:r>
      <w:proofErr w:type="spellEnd"/>
      <w:r w:rsidRPr="00B5373E">
        <w:rPr>
          <w:rFonts w:ascii="Palatino Linotype" w:hAnsi="Palatino Linotype" w:cs="Arial"/>
          <w:color w:val="222222"/>
          <w:sz w:val="20"/>
          <w:szCs w:val="20"/>
          <w:shd w:val="clear" w:color="auto" w:fill="FFFFFF"/>
        </w:rPr>
        <w:t xml:space="preserve"> RW. Cognitive function and quality of life after successful resuscitation from cardiac arrest. Resuscitation. 2014 Sep 1;85(9):1269-74. https://doi.org/10.1016/j.resuscitation.2014.05.027</w:t>
      </w:r>
    </w:p>
    <w:p w14:paraId="3BD209B3" w14:textId="3AC93401" w:rsidR="003247E7" w:rsidRPr="00B5373E" w:rsidRDefault="003247E7" w:rsidP="003247E7">
      <w:pPr>
        <w:pStyle w:val="ListParagraph"/>
        <w:numPr>
          <w:ilvl w:val="0"/>
          <w:numId w:val="18"/>
        </w:numPr>
        <w:spacing w:line="257" w:lineRule="auto"/>
        <w:rPr>
          <w:rFonts w:ascii="Palatino Linotype" w:hAnsi="Palatino Linotype" w:cs="Arial"/>
          <w:color w:val="222222"/>
          <w:sz w:val="20"/>
          <w:szCs w:val="20"/>
          <w:shd w:val="clear" w:color="auto" w:fill="FFFFFF"/>
        </w:rPr>
      </w:pPr>
      <w:r w:rsidRPr="00B5373E">
        <w:rPr>
          <w:rFonts w:ascii="Palatino Linotype" w:hAnsi="Palatino Linotype" w:cs="Arial"/>
          <w:color w:val="222222"/>
          <w:sz w:val="20"/>
          <w:szCs w:val="20"/>
          <w:shd w:val="clear" w:color="auto" w:fill="FFFFFF"/>
        </w:rPr>
        <w:t xml:space="preserve">Jacobs I, Nadkarni V, Bahr J, Berg RA, Billi JE, </w:t>
      </w:r>
      <w:proofErr w:type="spellStart"/>
      <w:r w:rsidRPr="00B5373E">
        <w:rPr>
          <w:rFonts w:ascii="Palatino Linotype" w:hAnsi="Palatino Linotype" w:cs="Arial"/>
          <w:color w:val="222222"/>
          <w:sz w:val="20"/>
          <w:szCs w:val="20"/>
          <w:shd w:val="clear" w:color="auto" w:fill="FFFFFF"/>
        </w:rPr>
        <w:t>Bossaert</w:t>
      </w:r>
      <w:proofErr w:type="spellEnd"/>
      <w:r w:rsidRPr="00B5373E">
        <w:rPr>
          <w:rFonts w:ascii="Palatino Linotype" w:hAnsi="Palatino Linotype" w:cs="Arial"/>
          <w:color w:val="222222"/>
          <w:sz w:val="20"/>
          <w:szCs w:val="20"/>
          <w:shd w:val="clear" w:color="auto" w:fill="FFFFFF"/>
        </w:rPr>
        <w:t xml:space="preserve"> L, </w:t>
      </w:r>
      <w:proofErr w:type="spellStart"/>
      <w:r w:rsidRPr="00B5373E">
        <w:rPr>
          <w:rFonts w:ascii="Palatino Linotype" w:hAnsi="Palatino Linotype" w:cs="Arial"/>
          <w:color w:val="222222"/>
          <w:sz w:val="20"/>
          <w:szCs w:val="20"/>
          <w:shd w:val="clear" w:color="auto" w:fill="FFFFFF"/>
        </w:rPr>
        <w:t>Cassan</w:t>
      </w:r>
      <w:proofErr w:type="spellEnd"/>
      <w:r w:rsidRPr="00B5373E">
        <w:rPr>
          <w:rFonts w:ascii="Palatino Linotype" w:hAnsi="Palatino Linotype" w:cs="Arial"/>
          <w:color w:val="222222"/>
          <w:sz w:val="20"/>
          <w:szCs w:val="20"/>
          <w:shd w:val="clear" w:color="auto" w:fill="FFFFFF"/>
        </w:rPr>
        <w:t xml:space="preserve"> P, </w:t>
      </w:r>
      <w:proofErr w:type="spellStart"/>
      <w:r w:rsidRPr="00B5373E">
        <w:rPr>
          <w:rFonts w:ascii="Palatino Linotype" w:hAnsi="Palatino Linotype" w:cs="Arial"/>
          <w:color w:val="222222"/>
          <w:sz w:val="20"/>
          <w:szCs w:val="20"/>
          <w:shd w:val="clear" w:color="auto" w:fill="FFFFFF"/>
        </w:rPr>
        <w:t>Coovadia</w:t>
      </w:r>
      <w:proofErr w:type="spellEnd"/>
      <w:r w:rsidRPr="00B5373E">
        <w:rPr>
          <w:rFonts w:ascii="Palatino Linotype" w:hAnsi="Palatino Linotype" w:cs="Arial"/>
          <w:color w:val="222222"/>
          <w:sz w:val="20"/>
          <w:szCs w:val="20"/>
          <w:shd w:val="clear" w:color="auto" w:fill="FFFFFF"/>
        </w:rPr>
        <w:t xml:space="preserve"> A, </w:t>
      </w:r>
      <w:proofErr w:type="spellStart"/>
      <w:r w:rsidRPr="00B5373E">
        <w:rPr>
          <w:rFonts w:ascii="Palatino Linotype" w:hAnsi="Palatino Linotype" w:cs="Arial"/>
          <w:color w:val="222222"/>
          <w:sz w:val="20"/>
          <w:szCs w:val="20"/>
          <w:shd w:val="clear" w:color="auto" w:fill="FFFFFF"/>
        </w:rPr>
        <w:t>D'este</w:t>
      </w:r>
      <w:proofErr w:type="spellEnd"/>
      <w:r w:rsidRPr="00B5373E">
        <w:rPr>
          <w:rFonts w:ascii="Palatino Linotype" w:hAnsi="Palatino Linotype" w:cs="Arial"/>
          <w:color w:val="222222"/>
          <w:sz w:val="20"/>
          <w:szCs w:val="20"/>
          <w:shd w:val="clear" w:color="auto" w:fill="FFFFFF"/>
        </w:rPr>
        <w:t xml:space="preserve"> K, Finn J, Halperin H. Update and simplification of the </w:t>
      </w:r>
      <w:proofErr w:type="spellStart"/>
      <w:r w:rsidRPr="00B5373E">
        <w:rPr>
          <w:rFonts w:ascii="Palatino Linotype" w:hAnsi="Palatino Linotype" w:cs="Arial"/>
          <w:color w:val="222222"/>
          <w:sz w:val="20"/>
          <w:szCs w:val="20"/>
          <w:shd w:val="clear" w:color="auto" w:fill="FFFFFF"/>
        </w:rPr>
        <w:t>Utstein</w:t>
      </w:r>
      <w:proofErr w:type="spellEnd"/>
      <w:r w:rsidRPr="00B5373E">
        <w:rPr>
          <w:rFonts w:ascii="Palatino Linotype" w:hAnsi="Palatino Linotype" w:cs="Arial"/>
          <w:color w:val="222222"/>
          <w:sz w:val="20"/>
          <w:szCs w:val="20"/>
          <w:shd w:val="clear" w:color="auto" w:fill="FFFFFF"/>
        </w:rPr>
        <w:t xml:space="preserve"> templates for resuscitation registries: A statement for healthcare professionals from a task force of the International Liaison Committee on Resuscitation. Resuscitation. 2004;63(3):233-49.</w:t>
      </w:r>
      <w:r w:rsidR="00A1257B" w:rsidRPr="00B5373E">
        <w:rPr>
          <w:rFonts w:ascii="Palatino Linotype" w:hAnsi="Palatino Linotype" w:cs="Arial"/>
          <w:color w:val="222222"/>
          <w:sz w:val="20"/>
          <w:szCs w:val="20"/>
          <w:shd w:val="clear" w:color="auto" w:fill="FFFFFF"/>
        </w:rPr>
        <w:t xml:space="preserve"> https://doi.org/10.1161/01.cir.0000147236.85306.15</w:t>
      </w:r>
    </w:p>
    <w:p w14:paraId="03CAEFC6" w14:textId="7E69D5F9" w:rsidR="003247E7" w:rsidRPr="00B5373E" w:rsidRDefault="003247E7" w:rsidP="003247E7">
      <w:pPr>
        <w:pStyle w:val="ListParagraph"/>
        <w:numPr>
          <w:ilvl w:val="0"/>
          <w:numId w:val="18"/>
        </w:numPr>
        <w:spacing w:line="257" w:lineRule="auto"/>
        <w:rPr>
          <w:rFonts w:ascii="Palatino Linotype" w:hAnsi="Palatino Linotype" w:cs="Arial"/>
          <w:color w:val="222222"/>
          <w:sz w:val="20"/>
          <w:szCs w:val="20"/>
          <w:shd w:val="clear" w:color="auto" w:fill="FFFFFF"/>
        </w:rPr>
      </w:pPr>
      <w:r w:rsidRPr="00B5373E">
        <w:rPr>
          <w:rFonts w:ascii="Palatino Linotype" w:hAnsi="Palatino Linotype" w:cs="Arial"/>
          <w:color w:val="222222"/>
          <w:sz w:val="20"/>
          <w:szCs w:val="20"/>
          <w:shd w:val="clear" w:color="auto" w:fill="FFFFFF"/>
        </w:rPr>
        <w:t xml:space="preserve">Teasdale G, </w:t>
      </w:r>
      <w:proofErr w:type="spellStart"/>
      <w:r w:rsidRPr="00B5373E">
        <w:rPr>
          <w:rFonts w:ascii="Palatino Linotype" w:hAnsi="Palatino Linotype" w:cs="Arial"/>
          <w:color w:val="222222"/>
          <w:sz w:val="20"/>
          <w:szCs w:val="20"/>
          <w:shd w:val="clear" w:color="auto" w:fill="FFFFFF"/>
        </w:rPr>
        <w:t>Jennett</w:t>
      </w:r>
      <w:proofErr w:type="spellEnd"/>
      <w:r w:rsidRPr="00B5373E">
        <w:rPr>
          <w:rFonts w:ascii="Palatino Linotype" w:hAnsi="Palatino Linotype" w:cs="Arial"/>
          <w:color w:val="222222"/>
          <w:sz w:val="20"/>
          <w:szCs w:val="20"/>
          <w:shd w:val="clear" w:color="auto" w:fill="FFFFFF"/>
        </w:rPr>
        <w:t xml:space="preserve"> B. Assessment of coma and impaired consciousness: a practical scale. The Lancet. 1974 Jul 13;304(7872):81-4.</w:t>
      </w:r>
      <w:r w:rsidR="00A1257B" w:rsidRPr="00B5373E">
        <w:rPr>
          <w:rFonts w:ascii="Palatino Linotype" w:hAnsi="Palatino Linotype" w:cs="Arial"/>
          <w:color w:val="222222"/>
          <w:sz w:val="20"/>
          <w:szCs w:val="20"/>
          <w:shd w:val="clear" w:color="auto" w:fill="FFFFFF"/>
        </w:rPr>
        <w:t xml:space="preserve"> https://doi.org/10.1016/s0140-6736(74)91639-0</w:t>
      </w:r>
    </w:p>
    <w:p w14:paraId="1B5D26F2" w14:textId="77777777"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r w:rsidRPr="00B5373E">
        <w:rPr>
          <w:rFonts w:ascii="Palatino Linotype" w:hAnsi="Palatino Linotype" w:cs="Arial"/>
          <w:color w:val="222222"/>
          <w:sz w:val="20"/>
          <w:szCs w:val="20"/>
          <w:shd w:val="clear" w:color="auto" w:fill="FFFFFF"/>
        </w:rPr>
        <w:t xml:space="preserve">Van </w:t>
      </w:r>
      <w:proofErr w:type="spellStart"/>
      <w:r w:rsidRPr="00B5373E">
        <w:rPr>
          <w:rFonts w:ascii="Palatino Linotype" w:hAnsi="Palatino Linotype" w:cs="Arial"/>
          <w:color w:val="222222"/>
          <w:sz w:val="20"/>
          <w:szCs w:val="20"/>
          <w:shd w:val="clear" w:color="auto" w:fill="FFFFFF"/>
        </w:rPr>
        <w:t>Swieten</w:t>
      </w:r>
      <w:proofErr w:type="spellEnd"/>
      <w:r w:rsidRPr="00B5373E">
        <w:rPr>
          <w:rFonts w:ascii="Palatino Linotype" w:hAnsi="Palatino Linotype" w:cs="Arial"/>
          <w:color w:val="222222"/>
          <w:sz w:val="20"/>
          <w:szCs w:val="20"/>
          <w:shd w:val="clear" w:color="auto" w:fill="FFFFFF"/>
        </w:rPr>
        <w:t xml:space="preserve"> JC, </w:t>
      </w:r>
      <w:proofErr w:type="spellStart"/>
      <w:r w:rsidRPr="00B5373E">
        <w:rPr>
          <w:rFonts w:ascii="Palatino Linotype" w:hAnsi="Palatino Linotype" w:cs="Arial"/>
          <w:color w:val="222222"/>
          <w:sz w:val="20"/>
          <w:szCs w:val="20"/>
          <w:shd w:val="clear" w:color="auto" w:fill="FFFFFF"/>
        </w:rPr>
        <w:t>Koudstaal</w:t>
      </w:r>
      <w:proofErr w:type="spellEnd"/>
      <w:r w:rsidRPr="00B5373E">
        <w:rPr>
          <w:rFonts w:ascii="Palatino Linotype" w:hAnsi="Palatino Linotype" w:cs="Arial"/>
          <w:color w:val="222222"/>
          <w:sz w:val="20"/>
          <w:szCs w:val="20"/>
          <w:shd w:val="clear" w:color="auto" w:fill="FFFFFF"/>
        </w:rPr>
        <w:t xml:space="preserve"> PJ, Visser MC, Schouten HJ, Van </w:t>
      </w:r>
      <w:proofErr w:type="spellStart"/>
      <w:r w:rsidRPr="00B5373E">
        <w:rPr>
          <w:rFonts w:ascii="Palatino Linotype" w:hAnsi="Palatino Linotype" w:cs="Arial"/>
          <w:color w:val="222222"/>
          <w:sz w:val="20"/>
          <w:szCs w:val="20"/>
          <w:shd w:val="clear" w:color="auto" w:fill="FFFFFF"/>
        </w:rPr>
        <w:t>Gijn</w:t>
      </w:r>
      <w:proofErr w:type="spellEnd"/>
      <w:r w:rsidRPr="00B5373E">
        <w:rPr>
          <w:rFonts w:ascii="Palatino Linotype" w:hAnsi="Palatino Linotype" w:cs="Arial"/>
          <w:color w:val="222222"/>
          <w:sz w:val="20"/>
          <w:szCs w:val="20"/>
          <w:shd w:val="clear" w:color="auto" w:fill="FFFFFF"/>
        </w:rPr>
        <w:t xml:space="preserve"> J. Interobserver agreement for the assessment of handicap in stroke patients. Stroke. 1988 May;19(5):604-7.</w:t>
      </w:r>
    </w:p>
    <w:p w14:paraId="5FABC53D" w14:textId="2DEDEE82"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r w:rsidRPr="00B5373E">
        <w:rPr>
          <w:rFonts w:ascii="Palatino Linotype" w:eastAsia="Calibri" w:hAnsi="Palatino Linotype"/>
          <w:sz w:val="20"/>
          <w:szCs w:val="20"/>
        </w:rPr>
        <w:t xml:space="preserve">Downs SH, Black N. (1998) The feasibility of creating a checklist for the assessment of the methodological quality both of randomised and non-randomised studies of health care interventions. J </w:t>
      </w:r>
      <w:proofErr w:type="spellStart"/>
      <w:r w:rsidRPr="00B5373E">
        <w:rPr>
          <w:rFonts w:ascii="Palatino Linotype" w:eastAsia="Calibri" w:hAnsi="Palatino Linotype"/>
          <w:sz w:val="20"/>
          <w:szCs w:val="20"/>
        </w:rPr>
        <w:t>Epidemiol</w:t>
      </w:r>
      <w:proofErr w:type="spellEnd"/>
      <w:r w:rsidRPr="00B5373E">
        <w:rPr>
          <w:rFonts w:ascii="Palatino Linotype" w:eastAsia="Calibri" w:hAnsi="Palatino Linotype"/>
          <w:sz w:val="20"/>
          <w:szCs w:val="20"/>
        </w:rPr>
        <w:t xml:space="preserve"> Community Health 52:377–384.</w:t>
      </w:r>
    </w:p>
    <w:p w14:paraId="5BBA9F42" w14:textId="18E763C9" w:rsidR="003247E7" w:rsidRPr="00B5373E" w:rsidRDefault="000564A3" w:rsidP="000564A3">
      <w:pPr>
        <w:pStyle w:val="ListParagraph"/>
        <w:numPr>
          <w:ilvl w:val="0"/>
          <w:numId w:val="18"/>
        </w:numPr>
        <w:spacing w:line="257" w:lineRule="auto"/>
        <w:rPr>
          <w:rFonts w:ascii="Palatino Linotype" w:eastAsia="Calibri" w:hAnsi="Palatino Linotype"/>
          <w:color w:val="000000" w:themeColor="text1"/>
          <w:sz w:val="20"/>
          <w:szCs w:val="20"/>
        </w:rPr>
      </w:pPr>
      <w:r w:rsidRPr="00B5373E">
        <w:rPr>
          <w:rFonts w:ascii="Palatino Linotype" w:hAnsi="Palatino Linotype" w:cs="Arial"/>
          <w:color w:val="222222"/>
          <w:sz w:val="20"/>
          <w:szCs w:val="20"/>
          <w:shd w:val="clear" w:color="auto" w:fill="FFFFFF"/>
        </w:rPr>
        <w:t xml:space="preserve">Ferro MA, </w:t>
      </w:r>
      <w:proofErr w:type="spellStart"/>
      <w:r w:rsidRPr="00B5373E">
        <w:rPr>
          <w:rFonts w:ascii="Palatino Linotype" w:hAnsi="Palatino Linotype" w:cs="Arial"/>
          <w:color w:val="222222"/>
          <w:sz w:val="20"/>
          <w:szCs w:val="20"/>
          <w:shd w:val="clear" w:color="auto" w:fill="FFFFFF"/>
        </w:rPr>
        <w:t>Speechley</w:t>
      </w:r>
      <w:proofErr w:type="spellEnd"/>
      <w:r w:rsidRPr="00B5373E">
        <w:rPr>
          <w:rFonts w:ascii="Palatino Linotype" w:hAnsi="Palatino Linotype" w:cs="Arial"/>
          <w:color w:val="222222"/>
          <w:sz w:val="20"/>
          <w:szCs w:val="20"/>
          <w:shd w:val="clear" w:color="auto" w:fill="FFFFFF"/>
        </w:rPr>
        <w:t xml:space="preserve"> KN. Depressive symptoms among mothers of children with epilepsy: a review of prevalence, associated factors, and impact on children. </w:t>
      </w:r>
      <w:proofErr w:type="spellStart"/>
      <w:r w:rsidRPr="00B5373E">
        <w:rPr>
          <w:rFonts w:ascii="Palatino Linotype" w:hAnsi="Palatino Linotype" w:cs="Arial"/>
          <w:color w:val="222222"/>
          <w:sz w:val="20"/>
          <w:szCs w:val="20"/>
          <w:shd w:val="clear" w:color="auto" w:fill="FFFFFF"/>
        </w:rPr>
        <w:t>Epilepsia</w:t>
      </w:r>
      <w:proofErr w:type="spellEnd"/>
      <w:r w:rsidRPr="00B5373E">
        <w:rPr>
          <w:rFonts w:ascii="Palatino Linotype" w:hAnsi="Palatino Linotype" w:cs="Arial"/>
          <w:color w:val="222222"/>
          <w:sz w:val="20"/>
          <w:szCs w:val="20"/>
          <w:shd w:val="clear" w:color="auto" w:fill="FFFFFF"/>
        </w:rPr>
        <w:t>. 2009 Nov;50(11):2344-54.</w:t>
      </w:r>
    </w:p>
    <w:p w14:paraId="2478521C" w14:textId="77777777" w:rsidR="00A1257B"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r w:rsidRPr="00B5373E">
        <w:rPr>
          <w:rFonts w:ascii="Palatino Linotype" w:hAnsi="Palatino Linotype" w:cs="Arial"/>
          <w:color w:val="222222"/>
          <w:sz w:val="20"/>
          <w:szCs w:val="20"/>
          <w:shd w:val="clear" w:color="auto" w:fill="FFFFFF"/>
        </w:rPr>
        <w:t xml:space="preserve">Gates S, </w:t>
      </w:r>
      <w:proofErr w:type="spellStart"/>
      <w:r w:rsidRPr="00B5373E">
        <w:rPr>
          <w:rFonts w:ascii="Palatino Linotype" w:hAnsi="Palatino Linotype" w:cs="Arial"/>
          <w:color w:val="222222"/>
          <w:sz w:val="20"/>
          <w:szCs w:val="20"/>
          <w:shd w:val="clear" w:color="auto" w:fill="FFFFFF"/>
        </w:rPr>
        <w:t>Lall</w:t>
      </w:r>
      <w:proofErr w:type="spellEnd"/>
      <w:r w:rsidRPr="00B5373E">
        <w:rPr>
          <w:rFonts w:ascii="Palatino Linotype" w:hAnsi="Palatino Linotype" w:cs="Arial"/>
          <w:color w:val="222222"/>
          <w:sz w:val="20"/>
          <w:szCs w:val="20"/>
          <w:shd w:val="clear" w:color="auto" w:fill="FFFFFF"/>
        </w:rPr>
        <w:t xml:space="preserve"> R, Quinn T, Deakin CD, Cooke MW, Horton J, Lamb SE, </w:t>
      </w:r>
      <w:proofErr w:type="spellStart"/>
      <w:r w:rsidRPr="00B5373E">
        <w:rPr>
          <w:rFonts w:ascii="Palatino Linotype" w:hAnsi="Palatino Linotype" w:cs="Arial"/>
          <w:color w:val="222222"/>
          <w:sz w:val="20"/>
          <w:szCs w:val="20"/>
          <w:shd w:val="clear" w:color="auto" w:fill="FFFFFF"/>
        </w:rPr>
        <w:t>Slowther</w:t>
      </w:r>
      <w:proofErr w:type="spellEnd"/>
      <w:r w:rsidRPr="00B5373E">
        <w:rPr>
          <w:rFonts w:ascii="Palatino Linotype" w:hAnsi="Palatino Linotype" w:cs="Arial"/>
          <w:color w:val="222222"/>
          <w:sz w:val="20"/>
          <w:szCs w:val="20"/>
          <w:shd w:val="clear" w:color="auto" w:fill="FFFFFF"/>
        </w:rPr>
        <w:t xml:space="preserve"> AM, </w:t>
      </w:r>
      <w:proofErr w:type="spellStart"/>
      <w:r w:rsidRPr="00B5373E">
        <w:rPr>
          <w:rFonts w:ascii="Palatino Linotype" w:hAnsi="Palatino Linotype" w:cs="Arial"/>
          <w:color w:val="222222"/>
          <w:sz w:val="20"/>
          <w:szCs w:val="20"/>
          <w:shd w:val="clear" w:color="auto" w:fill="FFFFFF"/>
        </w:rPr>
        <w:t>Woollard</w:t>
      </w:r>
      <w:proofErr w:type="spellEnd"/>
      <w:r w:rsidRPr="00B5373E">
        <w:rPr>
          <w:rFonts w:ascii="Palatino Linotype" w:hAnsi="Palatino Linotype" w:cs="Arial"/>
          <w:color w:val="222222"/>
          <w:sz w:val="20"/>
          <w:szCs w:val="20"/>
          <w:shd w:val="clear" w:color="auto" w:fill="FFFFFF"/>
        </w:rPr>
        <w:t xml:space="preserve"> M, Carson A, Smyth M. Prehospital randomised assessment of a mechanical compression device in out-of-hospital cardiac arrest (PARAMEDIC): a pragmatic, cluster randomised trial and economic evaluation. Health technology assessment (Winchester, England). 2017 Mar 1;21(11):1-76.</w:t>
      </w:r>
    </w:p>
    <w:p w14:paraId="217C889C" w14:textId="65E79519" w:rsidR="003247E7" w:rsidRPr="00B5373E" w:rsidRDefault="003247E7" w:rsidP="05B98B2E">
      <w:pPr>
        <w:pStyle w:val="ListParagraph"/>
        <w:numPr>
          <w:ilvl w:val="0"/>
          <w:numId w:val="18"/>
        </w:numPr>
        <w:spacing w:line="257" w:lineRule="auto"/>
        <w:rPr>
          <w:rFonts w:ascii="Palatino Linotype" w:eastAsia="Calibri" w:hAnsi="Palatino Linotype"/>
          <w:color w:val="000000" w:themeColor="text1"/>
          <w:sz w:val="20"/>
          <w:szCs w:val="20"/>
        </w:rPr>
      </w:pPr>
      <w:r w:rsidRPr="00B5373E">
        <w:rPr>
          <w:rFonts w:ascii="Palatino Linotype" w:hAnsi="Palatino Linotype"/>
          <w:sz w:val="20"/>
          <w:szCs w:val="20"/>
        </w:rPr>
        <w:t xml:space="preserve">Ji C, </w:t>
      </w:r>
      <w:proofErr w:type="spellStart"/>
      <w:r w:rsidRPr="00B5373E">
        <w:rPr>
          <w:rFonts w:ascii="Palatino Linotype" w:hAnsi="Palatino Linotype"/>
          <w:sz w:val="20"/>
          <w:szCs w:val="20"/>
        </w:rPr>
        <w:t>Lall</w:t>
      </w:r>
      <w:proofErr w:type="spellEnd"/>
      <w:r w:rsidRPr="00B5373E">
        <w:rPr>
          <w:rFonts w:ascii="Palatino Linotype" w:hAnsi="Palatino Linotype"/>
          <w:sz w:val="20"/>
          <w:szCs w:val="20"/>
        </w:rPr>
        <w:t xml:space="preserve"> R, Quinn T, Kaye C, Haywood K, Horton J, et al. Post-admission outcomes of participants in the PARAMEDIC trial: A cluster randomised trial of mechanical or manual chest compressions. Resuscitation </w:t>
      </w:r>
      <w:proofErr w:type="gramStart"/>
      <w:r w:rsidRPr="00B5373E">
        <w:rPr>
          <w:rFonts w:ascii="Palatino Linotype" w:hAnsi="Palatino Linotype"/>
          <w:sz w:val="20"/>
          <w:szCs w:val="20"/>
        </w:rPr>
        <w:t>2017;118:82</w:t>
      </w:r>
      <w:proofErr w:type="gramEnd"/>
      <w:r w:rsidRPr="00B5373E">
        <w:rPr>
          <w:rFonts w:ascii="Palatino Linotype" w:hAnsi="Palatino Linotype"/>
          <w:sz w:val="20"/>
          <w:szCs w:val="20"/>
        </w:rPr>
        <w:t xml:space="preserve">–8. </w:t>
      </w:r>
      <w:hyperlink r:id="rId19">
        <w:r w:rsidRPr="00B5373E">
          <w:rPr>
            <w:rStyle w:val="Hyperlink"/>
            <w:rFonts w:ascii="Palatino Linotype" w:hAnsi="Palatino Linotype"/>
            <w:sz w:val="20"/>
            <w:szCs w:val="20"/>
          </w:rPr>
          <w:t>https://doi.org/10.1016/j.resuscitation.2017.06.026</w:t>
        </w:r>
      </w:hyperlink>
      <w:r w:rsidRPr="00B5373E">
        <w:rPr>
          <w:rFonts w:ascii="Palatino Linotype" w:hAnsi="Palatino Linotype"/>
          <w:sz w:val="20"/>
          <w:szCs w:val="20"/>
        </w:rPr>
        <w:t>.</w:t>
      </w:r>
    </w:p>
    <w:p w14:paraId="004FD367" w14:textId="4F81E2ED" w:rsidR="00C256DA" w:rsidRPr="00B5373E" w:rsidRDefault="00C256DA" w:rsidP="05B98B2E">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hAnsi="Palatino Linotype"/>
          <w:sz w:val="20"/>
          <w:szCs w:val="20"/>
        </w:rPr>
        <w:lastRenderedPageBreak/>
        <w:t>Aufderheide</w:t>
      </w:r>
      <w:proofErr w:type="spellEnd"/>
      <w:r w:rsidRPr="00B5373E">
        <w:rPr>
          <w:rFonts w:ascii="Palatino Linotype" w:hAnsi="Palatino Linotype"/>
          <w:sz w:val="20"/>
          <w:szCs w:val="20"/>
        </w:rPr>
        <w:t xml:space="preserve"> TP, </w:t>
      </w:r>
      <w:proofErr w:type="spellStart"/>
      <w:r w:rsidRPr="00B5373E">
        <w:rPr>
          <w:rFonts w:ascii="Palatino Linotype" w:hAnsi="Palatino Linotype"/>
          <w:sz w:val="20"/>
          <w:szCs w:val="20"/>
        </w:rPr>
        <w:t>Frascone</w:t>
      </w:r>
      <w:proofErr w:type="spellEnd"/>
      <w:r w:rsidRPr="00B5373E">
        <w:rPr>
          <w:rFonts w:ascii="Palatino Linotype" w:hAnsi="Palatino Linotype"/>
          <w:sz w:val="20"/>
          <w:szCs w:val="20"/>
        </w:rPr>
        <w:t xml:space="preserve"> RJ, Wayne MA, Mahoney BD, </w:t>
      </w:r>
      <w:proofErr w:type="spellStart"/>
      <w:r w:rsidRPr="00B5373E">
        <w:rPr>
          <w:rFonts w:ascii="Palatino Linotype" w:hAnsi="Palatino Linotype"/>
          <w:sz w:val="20"/>
          <w:szCs w:val="20"/>
        </w:rPr>
        <w:t>Swor</w:t>
      </w:r>
      <w:proofErr w:type="spellEnd"/>
      <w:r w:rsidRPr="00B5373E">
        <w:rPr>
          <w:rFonts w:ascii="Palatino Linotype" w:hAnsi="Palatino Linotype"/>
          <w:sz w:val="20"/>
          <w:szCs w:val="20"/>
        </w:rPr>
        <w:t xml:space="preserve"> RA, </w:t>
      </w:r>
      <w:proofErr w:type="spellStart"/>
      <w:r w:rsidRPr="00B5373E">
        <w:rPr>
          <w:rFonts w:ascii="Palatino Linotype" w:hAnsi="Palatino Linotype"/>
          <w:sz w:val="20"/>
          <w:szCs w:val="20"/>
        </w:rPr>
        <w:t>Domeier</w:t>
      </w:r>
      <w:proofErr w:type="spellEnd"/>
      <w:r w:rsidRPr="00B5373E">
        <w:rPr>
          <w:rFonts w:ascii="Palatino Linotype" w:hAnsi="Palatino Linotype"/>
          <w:sz w:val="20"/>
          <w:szCs w:val="20"/>
        </w:rPr>
        <w:t xml:space="preserve"> RM, et al. Standard cardiopulmonary resuscitation versus active compression-decompression cardiopulmonary resuscitation with augmentation of negative intrathoracic pressure for out-of-hospital cardiac arrest: a randomised trial. Lancet </w:t>
      </w:r>
      <w:proofErr w:type="gramStart"/>
      <w:r w:rsidRPr="00B5373E">
        <w:rPr>
          <w:rFonts w:ascii="Palatino Linotype" w:hAnsi="Palatino Linotype"/>
          <w:sz w:val="20"/>
          <w:szCs w:val="20"/>
        </w:rPr>
        <w:t>2011;377:301</w:t>
      </w:r>
      <w:proofErr w:type="gramEnd"/>
      <w:r w:rsidRPr="00B5373E">
        <w:rPr>
          <w:rFonts w:ascii="Palatino Linotype" w:hAnsi="Palatino Linotype"/>
          <w:sz w:val="20"/>
          <w:szCs w:val="20"/>
        </w:rPr>
        <w:t xml:space="preserve">–11. </w:t>
      </w:r>
      <w:hyperlink r:id="rId20">
        <w:r w:rsidRPr="00B5373E">
          <w:rPr>
            <w:rStyle w:val="Hyperlink"/>
            <w:rFonts w:ascii="Palatino Linotype" w:hAnsi="Palatino Linotype"/>
            <w:sz w:val="20"/>
            <w:szCs w:val="20"/>
          </w:rPr>
          <w:t>https://doi.org/10.1016/S0140-6736(10)62103-4</w:t>
        </w:r>
      </w:hyperlink>
      <w:r w:rsidRPr="00B5373E">
        <w:rPr>
          <w:rFonts w:ascii="Palatino Linotype" w:hAnsi="Palatino Linotype"/>
          <w:sz w:val="20"/>
          <w:szCs w:val="20"/>
        </w:rPr>
        <w:t>.</w:t>
      </w:r>
    </w:p>
    <w:p w14:paraId="0ADF0BEB" w14:textId="77777777" w:rsidR="00C256DA" w:rsidRPr="00B5373E" w:rsidRDefault="00C256DA" w:rsidP="00C256DA">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Bro-Jeppesen J, </w:t>
      </w:r>
      <w:proofErr w:type="spellStart"/>
      <w:r w:rsidRPr="00B5373E">
        <w:rPr>
          <w:rFonts w:ascii="Palatino Linotype" w:hAnsi="Palatino Linotype"/>
          <w:sz w:val="20"/>
          <w:szCs w:val="20"/>
        </w:rPr>
        <w:t>Kjaergaard</w:t>
      </w:r>
      <w:proofErr w:type="spellEnd"/>
      <w:r w:rsidRPr="00B5373E">
        <w:rPr>
          <w:rFonts w:ascii="Palatino Linotype" w:hAnsi="Palatino Linotype"/>
          <w:sz w:val="20"/>
          <w:szCs w:val="20"/>
        </w:rPr>
        <w:t xml:space="preserve"> J, </w:t>
      </w:r>
      <w:proofErr w:type="spellStart"/>
      <w:r w:rsidRPr="00B5373E">
        <w:rPr>
          <w:rFonts w:ascii="Palatino Linotype" w:hAnsi="Palatino Linotype"/>
          <w:sz w:val="20"/>
          <w:szCs w:val="20"/>
        </w:rPr>
        <w:t>Horsted</w:t>
      </w:r>
      <w:proofErr w:type="spellEnd"/>
      <w:r w:rsidRPr="00B5373E">
        <w:rPr>
          <w:rFonts w:ascii="Palatino Linotype" w:hAnsi="Palatino Linotype"/>
          <w:sz w:val="20"/>
          <w:szCs w:val="20"/>
        </w:rPr>
        <w:t xml:space="preserve"> TI, </w:t>
      </w:r>
      <w:proofErr w:type="spellStart"/>
      <w:r w:rsidRPr="00B5373E">
        <w:rPr>
          <w:rFonts w:ascii="Palatino Linotype" w:hAnsi="Palatino Linotype"/>
          <w:sz w:val="20"/>
          <w:szCs w:val="20"/>
        </w:rPr>
        <w:t>Wanscher</w:t>
      </w:r>
      <w:proofErr w:type="spellEnd"/>
      <w:r w:rsidRPr="00B5373E">
        <w:rPr>
          <w:rFonts w:ascii="Palatino Linotype" w:hAnsi="Palatino Linotype"/>
          <w:sz w:val="20"/>
          <w:szCs w:val="20"/>
        </w:rPr>
        <w:t xml:space="preserve"> MC, Nielsen S, Rasmussen LS, et al. The impact of therapeutic hypothermia on neurological function and quality of life after cardiac arrest. Resuscitation </w:t>
      </w:r>
      <w:proofErr w:type="gramStart"/>
      <w:r w:rsidRPr="00B5373E">
        <w:rPr>
          <w:rFonts w:ascii="Palatino Linotype" w:hAnsi="Palatino Linotype"/>
          <w:sz w:val="20"/>
          <w:szCs w:val="20"/>
        </w:rPr>
        <w:t>2009;80:171</w:t>
      </w:r>
      <w:proofErr w:type="gramEnd"/>
      <w:r w:rsidRPr="00B5373E">
        <w:rPr>
          <w:rFonts w:ascii="Palatino Linotype" w:hAnsi="Palatino Linotype"/>
          <w:sz w:val="20"/>
          <w:szCs w:val="20"/>
        </w:rPr>
        <w:t>–6. https://doi.org/10.1016/j.resuscitation.2008.09.009.</w:t>
      </w:r>
    </w:p>
    <w:p w14:paraId="610C3A29" w14:textId="77777777" w:rsidR="007B0695" w:rsidRPr="00B5373E" w:rsidRDefault="007B0695" w:rsidP="007B0695">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Evald</w:t>
      </w:r>
      <w:proofErr w:type="spellEnd"/>
      <w:r w:rsidRPr="00B5373E">
        <w:rPr>
          <w:rFonts w:ascii="Palatino Linotype" w:hAnsi="Palatino Linotype"/>
          <w:sz w:val="20"/>
          <w:szCs w:val="20"/>
        </w:rPr>
        <w:t xml:space="preserve"> L, </w:t>
      </w:r>
      <w:proofErr w:type="spellStart"/>
      <w:r w:rsidRPr="00B5373E">
        <w:rPr>
          <w:rFonts w:ascii="Palatino Linotype" w:hAnsi="Palatino Linotype"/>
          <w:sz w:val="20"/>
          <w:szCs w:val="20"/>
        </w:rPr>
        <w:t>Brønnick</w:t>
      </w:r>
      <w:proofErr w:type="spellEnd"/>
      <w:r w:rsidRPr="00B5373E">
        <w:rPr>
          <w:rFonts w:ascii="Palatino Linotype" w:hAnsi="Palatino Linotype"/>
          <w:sz w:val="20"/>
          <w:szCs w:val="20"/>
        </w:rPr>
        <w:t xml:space="preserve"> K, </w:t>
      </w:r>
      <w:proofErr w:type="spellStart"/>
      <w:r w:rsidRPr="00B5373E">
        <w:rPr>
          <w:rFonts w:ascii="Palatino Linotype" w:hAnsi="Palatino Linotype"/>
          <w:sz w:val="20"/>
          <w:szCs w:val="20"/>
        </w:rPr>
        <w:t>Duez</w:t>
      </w:r>
      <w:proofErr w:type="spellEnd"/>
      <w:r w:rsidRPr="00B5373E">
        <w:rPr>
          <w:rFonts w:ascii="Palatino Linotype" w:hAnsi="Palatino Linotype"/>
          <w:sz w:val="20"/>
          <w:szCs w:val="20"/>
        </w:rPr>
        <w:t xml:space="preserve"> CHV, </w:t>
      </w:r>
      <w:proofErr w:type="spellStart"/>
      <w:r w:rsidRPr="00B5373E">
        <w:rPr>
          <w:rFonts w:ascii="Palatino Linotype" w:hAnsi="Palatino Linotype"/>
          <w:sz w:val="20"/>
          <w:szCs w:val="20"/>
        </w:rPr>
        <w:t>Grejs</w:t>
      </w:r>
      <w:proofErr w:type="spellEnd"/>
      <w:r w:rsidRPr="00B5373E">
        <w:rPr>
          <w:rFonts w:ascii="Palatino Linotype" w:hAnsi="Palatino Linotype"/>
          <w:sz w:val="20"/>
          <w:szCs w:val="20"/>
        </w:rPr>
        <w:t xml:space="preserve"> AM, Jeppesen AN, </w:t>
      </w:r>
      <w:proofErr w:type="spellStart"/>
      <w:r w:rsidRPr="00B5373E">
        <w:rPr>
          <w:rFonts w:ascii="Palatino Linotype" w:hAnsi="Palatino Linotype"/>
          <w:sz w:val="20"/>
          <w:szCs w:val="20"/>
        </w:rPr>
        <w:t>Søreide</w:t>
      </w:r>
      <w:proofErr w:type="spellEnd"/>
      <w:r w:rsidRPr="00B5373E">
        <w:rPr>
          <w:rFonts w:ascii="Palatino Linotype" w:hAnsi="Palatino Linotype"/>
          <w:sz w:val="20"/>
          <w:szCs w:val="20"/>
        </w:rPr>
        <w:t xml:space="preserve"> E, et al. Prolonged targeted temperature management reduces memory retrieval deficits six months post-cardiac arrest: A randomised controlled trial. Resuscitation </w:t>
      </w:r>
      <w:proofErr w:type="gramStart"/>
      <w:r w:rsidRPr="00B5373E">
        <w:rPr>
          <w:rFonts w:ascii="Palatino Linotype" w:hAnsi="Palatino Linotype"/>
          <w:sz w:val="20"/>
          <w:szCs w:val="20"/>
        </w:rPr>
        <w:t>2019;134:1</w:t>
      </w:r>
      <w:proofErr w:type="gramEnd"/>
      <w:r w:rsidRPr="00B5373E">
        <w:rPr>
          <w:rFonts w:ascii="Palatino Linotype" w:hAnsi="Palatino Linotype"/>
          <w:sz w:val="20"/>
          <w:szCs w:val="20"/>
        </w:rPr>
        <w:t>–9. https://doi.org/10.1016/j.resuscitation.2018.12.002.</w:t>
      </w:r>
    </w:p>
    <w:p w14:paraId="0E0D1CC7" w14:textId="0E3FBC3E" w:rsidR="007B0695" w:rsidRPr="00B5373E" w:rsidRDefault="007B0695" w:rsidP="001E102C">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Ørbo</w:t>
      </w:r>
      <w:proofErr w:type="spellEnd"/>
      <w:r w:rsidRPr="00B5373E">
        <w:rPr>
          <w:rFonts w:ascii="Palatino Linotype" w:hAnsi="Palatino Linotype"/>
          <w:sz w:val="20"/>
          <w:szCs w:val="20"/>
        </w:rPr>
        <w:t xml:space="preserve"> MC, </w:t>
      </w:r>
      <w:proofErr w:type="spellStart"/>
      <w:r w:rsidRPr="00B5373E">
        <w:rPr>
          <w:rFonts w:ascii="Palatino Linotype" w:hAnsi="Palatino Linotype"/>
          <w:sz w:val="20"/>
          <w:szCs w:val="20"/>
        </w:rPr>
        <w:t>Vangberg</w:t>
      </w:r>
      <w:proofErr w:type="spellEnd"/>
      <w:r w:rsidRPr="00B5373E">
        <w:rPr>
          <w:rFonts w:ascii="Palatino Linotype" w:hAnsi="Palatino Linotype"/>
          <w:sz w:val="20"/>
          <w:szCs w:val="20"/>
        </w:rPr>
        <w:t xml:space="preserve"> TR, </w:t>
      </w:r>
      <w:proofErr w:type="spellStart"/>
      <w:r w:rsidRPr="00B5373E">
        <w:rPr>
          <w:rFonts w:ascii="Palatino Linotype" w:hAnsi="Palatino Linotype"/>
          <w:sz w:val="20"/>
          <w:szCs w:val="20"/>
        </w:rPr>
        <w:t>Tande</w:t>
      </w:r>
      <w:proofErr w:type="spellEnd"/>
      <w:r w:rsidRPr="00B5373E">
        <w:rPr>
          <w:rFonts w:ascii="Palatino Linotype" w:hAnsi="Palatino Linotype"/>
          <w:sz w:val="20"/>
          <w:szCs w:val="20"/>
        </w:rPr>
        <w:t xml:space="preserve"> P, </w:t>
      </w:r>
      <w:proofErr w:type="spellStart"/>
      <w:r w:rsidRPr="00B5373E">
        <w:rPr>
          <w:rFonts w:ascii="Palatino Linotype" w:hAnsi="Palatino Linotype"/>
          <w:sz w:val="20"/>
          <w:szCs w:val="20"/>
        </w:rPr>
        <w:t>Anke</w:t>
      </w:r>
      <w:proofErr w:type="spellEnd"/>
      <w:r w:rsidRPr="00B5373E">
        <w:rPr>
          <w:rFonts w:ascii="Palatino Linotype" w:hAnsi="Palatino Linotype"/>
          <w:sz w:val="20"/>
          <w:szCs w:val="20"/>
        </w:rPr>
        <w:t xml:space="preserve"> A, </w:t>
      </w:r>
      <w:proofErr w:type="spellStart"/>
      <w:r w:rsidRPr="00B5373E">
        <w:rPr>
          <w:rFonts w:ascii="Palatino Linotype" w:hAnsi="Palatino Linotype"/>
          <w:sz w:val="20"/>
          <w:szCs w:val="20"/>
        </w:rPr>
        <w:t>Aslaksen</w:t>
      </w:r>
      <w:proofErr w:type="spellEnd"/>
      <w:r w:rsidRPr="00B5373E">
        <w:rPr>
          <w:rFonts w:ascii="Palatino Linotype" w:hAnsi="Palatino Linotype"/>
          <w:sz w:val="20"/>
          <w:szCs w:val="20"/>
        </w:rPr>
        <w:t xml:space="preserve"> PM. Memory performance, global cerebral volumes and hippocampal subfield volumes in long-term survivors of Out-of-Hospital Cardiac Arrest. Resuscitation 2018:21–8. https://doi.org/10.1016/j.resuscitation.2018.02.011.</w:t>
      </w:r>
    </w:p>
    <w:p w14:paraId="17511A64" w14:textId="21EB8089" w:rsidR="007B0695" w:rsidRPr="00B5373E" w:rsidRDefault="007B0695" w:rsidP="007B0695">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Torgersen J, Strand K, </w:t>
      </w:r>
      <w:proofErr w:type="spellStart"/>
      <w:r w:rsidRPr="00B5373E">
        <w:rPr>
          <w:rFonts w:ascii="Palatino Linotype" w:hAnsi="Palatino Linotype"/>
          <w:sz w:val="20"/>
          <w:szCs w:val="20"/>
        </w:rPr>
        <w:t>Bjelland</w:t>
      </w:r>
      <w:proofErr w:type="spellEnd"/>
      <w:r w:rsidRPr="00B5373E">
        <w:rPr>
          <w:rFonts w:ascii="Palatino Linotype" w:hAnsi="Palatino Linotype"/>
          <w:sz w:val="20"/>
          <w:szCs w:val="20"/>
        </w:rPr>
        <w:t xml:space="preserve"> TW, </w:t>
      </w:r>
      <w:proofErr w:type="spellStart"/>
      <w:r w:rsidRPr="00B5373E">
        <w:rPr>
          <w:rFonts w:ascii="Palatino Linotype" w:hAnsi="Palatino Linotype"/>
          <w:sz w:val="20"/>
          <w:szCs w:val="20"/>
        </w:rPr>
        <w:t>Klepstad</w:t>
      </w:r>
      <w:proofErr w:type="spellEnd"/>
      <w:r w:rsidRPr="00B5373E">
        <w:rPr>
          <w:rFonts w:ascii="Palatino Linotype" w:hAnsi="Palatino Linotype"/>
          <w:sz w:val="20"/>
          <w:szCs w:val="20"/>
        </w:rPr>
        <w:t xml:space="preserve"> P, </w:t>
      </w:r>
      <w:proofErr w:type="spellStart"/>
      <w:r w:rsidRPr="00B5373E">
        <w:rPr>
          <w:rFonts w:ascii="Palatino Linotype" w:hAnsi="Palatino Linotype"/>
          <w:sz w:val="20"/>
          <w:szCs w:val="20"/>
        </w:rPr>
        <w:t>Kvåle</w:t>
      </w:r>
      <w:proofErr w:type="spellEnd"/>
      <w:r w:rsidRPr="00B5373E">
        <w:rPr>
          <w:rFonts w:ascii="Palatino Linotype" w:hAnsi="Palatino Linotype"/>
          <w:sz w:val="20"/>
          <w:szCs w:val="20"/>
        </w:rPr>
        <w:t xml:space="preserve"> R, </w:t>
      </w:r>
      <w:proofErr w:type="spellStart"/>
      <w:r w:rsidRPr="00B5373E">
        <w:rPr>
          <w:rFonts w:ascii="Palatino Linotype" w:hAnsi="Palatino Linotype"/>
          <w:sz w:val="20"/>
          <w:szCs w:val="20"/>
        </w:rPr>
        <w:t>Søreide</w:t>
      </w:r>
      <w:proofErr w:type="spellEnd"/>
      <w:r w:rsidRPr="00B5373E">
        <w:rPr>
          <w:rFonts w:ascii="Palatino Linotype" w:hAnsi="Palatino Linotype"/>
          <w:sz w:val="20"/>
          <w:szCs w:val="20"/>
        </w:rPr>
        <w:t xml:space="preserve"> E, et al. Cognitive dysfunction and health-related quality of life after a cardiac arrest and therapeutic hypothermia. Acta </w:t>
      </w:r>
      <w:proofErr w:type="spellStart"/>
      <w:r w:rsidRPr="00B5373E">
        <w:rPr>
          <w:rFonts w:ascii="Palatino Linotype" w:hAnsi="Palatino Linotype"/>
          <w:sz w:val="20"/>
          <w:szCs w:val="20"/>
        </w:rPr>
        <w:t>Anaesth</w:t>
      </w:r>
      <w:proofErr w:type="spellEnd"/>
      <w:r w:rsidRPr="00B5373E">
        <w:rPr>
          <w:rFonts w:ascii="Palatino Linotype" w:hAnsi="Palatino Linotype"/>
          <w:sz w:val="20"/>
          <w:szCs w:val="20"/>
        </w:rPr>
        <w:t xml:space="preserve"> </w:t>
      </w:r>
      <w:proofErr w:type="spellStart"/>
      <w:r w:rsidRPr="00B5373E">
        <w:rPr>
          <w:rFonts w:ascii="Palatino Linotype" w:hAnsi="Palatino Linotype"/>
          <w:sz w:val="20"/>
          <w:szCs w:val="20"/>
        </w:rPr>
        <w:t>Scand</w:t>
      </w:r>
      <w:proofErr w:type="spellEnd"/>
      <w:r w:rsidRPr="00B5373E">
        <w:rPr>
          <w:rFonts w:ascii="Palatino Linotype" w:hAnsi="Palatino Linotype"/>
          <w:sz w:val="20"/>
          <w:szCs w:val="20"/>
        </w:rPr>
        <w:t xml:space="preserve"> </w:t>
      </w:r>
      <w:proofErr w:type="gramStart"/>
      <w:r w:rsidRPr="00B5373E">
        <w:rPr>
          <w:rFonts w:ascii="Palatino Linotype" w:hAnsi="Palatino Linotype"/>
          <w:sz w:val="20"/>
          <w:szCs w:val="20"/>
        </w:rPr>
        <w:t>2010;54:721</w:t>
      </w:r>
      <w:proofErr w:type="gramEnd"/>
      <w:r w:rsidRPr="00B5373E">
        <w:rPr>
          <w:rFonts w:ascii="Palatino Linotype" w:hAnsi="Palatino Linotype"/>
          <w:sz w:val="20"/>
          <w:szCs w:val="20"/>
        </w:rPr>
        <w:t>–8. https://doi.org/10.1111/j.1399-6576.2010.02219.x.</w:t>
      </w:r>
    </w:p>
    <w:p w14:paraId="7F11DB09" w14:textId="77777777" w:rsidR="007B0695" w:rsidRPr="00B5373E" w:rsidRDefault="007B0695" w:rsidP="007B0695">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lang w:val="nl-NL"/>
        </w:rPr>
      </w:pPr>
      <w:r w:rsidRPr="00B5373E">
        <w:rPr>
          <w:rFonts w:ascii="Palatino Linotype" w:hAnsi="Palatino Linotype"/>
          <w:sz w:val="20"/>
          <w:szCs w:val="20"/>
        </w:rPr>
        <w:t xml:space="preserve">Wilson M, </w:t>
      </w:r>
      <w:proofErr w:type="spellStart"/>
      <w:r w:rsidRPr="00B5373E">
        <w:rPr>
          <w:rFonts w:ascii="Palatino Linotype" w:hAnsi="Palatino Linotype"/>
          <w:sz w:val="20"/>
          <w:szCs w:val="20"/>
        </w:rPr>
        <w:t>Staniforth</w:t>
      </w:r>
      <w:proofErr w:type="spellEnd"/>
      <w:r w:rsidRPr="00B5373E">
        <w:rPr>
          <w:rFonts w:ascii="Palatino Linotype" w:hAnsi="Palatino Linotype"/>
          <w:sz w:val="20"/>
          <w:szCs w:val="20"/>
        </w:rPr>
        <w:t xml:space="preserve"> A, Till R, das Nair R, Vesey P. The psychosocial outcomes of anoxic brain injury following cardiac arrest. </w:t>
      </w:r>
      <w:r w:rsidRPr="00B5373E">
        <w:rPr>
          <w:rFonts w:ascii="Palatino Linotype" w:hAnsi="Palatino Linotype"/>
          <w:sz w:val="20"/>
          <w:szCs w:val="20"/>
          <w:lang w:val="nl-NL"/>
        </w:rPr>
        <w:t>Resuscitation 2014;85:795–800. https://doi.org/10.1016/j.resuscitation.2014.02.008.</w:t>
      </w:r>
    </w:p>
    <w:p w14:paraId="500DA0FB" w14:textId="39E852AA" w:rsidR="00D93B62" w:rsidRPr="00B5373E" w:rsidRDefault="00D93B62" w:rsidP="00D93B62">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Harve</w:t>
      </w:r>
      <w:proofErr w:type="spellEnd"/>
      <w:r w:rsidRPr="00B5373E">
        <w:rPr>
          <w:rFonts w:ascii="Palatino Linotype" w:hAnsi="Palatino Linotype"/>
          <w:sz w:val="20"/>
          <w:szCs w:val="20"/>
        </w:rPr>
        <w:t xml:space="preserve"> H, </w:t>
      </w:r>
      <w:proofErr w:type="spellStart"/>
      <w:r w:rsidRPr="00B5373E">
        <w:rPr>
          <w:rFonts w:ascii="Palatino Linotype" w:hAnsi="Palatino Linotype"/>
          <w:sz w:val="20"/>
          <w:szCs w:val="20"/>
        </w:rPr>
        <w:t>Tiainen</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Poutiainen</w:t>
      </w:r>
      <w:proofErr w:type="spellEnd"/>
      <w:r w:rsidRPr="00B5373E">
        <w:rPr>
          <w:rFonts w:ascii="Palatino Linotype" w:hAnsi="Palatino Linotype"/>
          <w:sz w:val="20"/>
          <w:szCs w:val="20"/>
        </w:rPr>
        <w:t xml:space="preserve"> E, </w:t>
      </w:r>
      <w:proofErr w:type="spellStart"/>
      <w:r w:rsidRPr="00B5373E">
        <w:rPr>
          <w:rFonts w:ascii="Palatino Linotype" w:hAnsi="Palatino Linotype"/>
          <w:sz w:val="20"/>
          <w:szCs w:val="20"/>
        </w:rPr>
        <w:t>Maunu</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Kajaste</w:t>
      </w:r>
      <w:proofErr w:type="spellEnd"/>
      <w:r w:rsidRPr="00B5373E">
        <w:rPr>
          <w:rFonts w:ascii="Palatino Linotype" w:hAnsi="Palatino Linotype"/>
          <w:sz w:val="20"/>
          <w:szCs w:val="20"/>
        </w:rPr>
        <w:t xml:space="preserve"> S, </w:t>
      </w:r>
      <w:proofErr w:type="spellStart"/>
      <w:r w:rsidRPr="00B5373E">
        <w:rPr>
          <w:rFonts w:ascii="Palatino Linotype" w:hAnsi="Palatino Linotype"/>
          <w:sz w:val="20"/>
          <w:szCs w:val="20"/>
        </w:rPr>
        <w:t>Roine</w:t>
      </w:r>
      <w:proofErr w:type="spellEnd"/>
      <w:r w:rsidRPr="00B5373E">
        <w:rPr>
          <w:rFonts w:ascii="Palatino Linotype" w:hAnsi="Palatino Linotype"/>
          <w:sz w:val="20"/>
          <w:szCs w:val="20"/>
        </w:rPr>
        <w:t xml:space="preserve"> RO, et al. The functional status and perceived quality of life in long-term survivors of out-of-hospital cardiac arrest. Acta </w:t>
      </w:r>
      <w:proofErr w:type="spellStart"/>
      <w:r w:rsidRPr="00B5373E">
        <w:rPr>
          <w:rFonts w:ascii="Palatino Linotype" w:hAnsi="Palatino Linotype"/>
          <w:sz w:val="20"/>
          <w:szCs w:val="20"/>
        </w:rPr>
        <w:t>Anaesth</w:t>
      </w:r>
      <w:proofErr w:type="spellEnd"/>
      <w:r w:rsidRPr="00B5373E">
        <w:rPr>
          <w:rFonts w:ascii="Palatino Linotype" w:hAnsi="Palatino Linotype"/>
          <w:sz w:val="20"/>
          <w:szCs w:val="20"/>
        </w:rPr>
        <w:t xml:space="preserve"> </w:t>
      </w:r>
      <w:proofErr w:type="spellStart"/>
      <w:r w:rsidRPr="00B5373E">
        <w:rPr>
          <w:rFonts w:ascii="Palatino Linotype" w:hAnsi="Palatino Linotype"/>
          <w:sz w:val="20"/>
          <w:szCs w:val="20"/>
        </w:rPr>
        <w:t>Scand</w:t>
      </w:r>
      <w:proofErr w:type="spellEnd"/>
      <w:r w:rsidRPr="00B5373E">
        <w:rPr>
          <w:rFonts w:ascii="Palatino Linotype" w:hAnsi="Palatino Linotype"/>
          <w:sz w:val="20"/>
          <w:szCs w:val="20"/>
        </w:rPr>
        <w:t xml:space="preserve"> </w:t>
      </w:r>
      <w:proofErr w:type="gramStart"/>
      <w:r w:rsidRPr="00B5373E">
        <w:rPr>
          <w:rFonts w:ascii="Palatino Linotype" w:hAnsi="Palatino Linotype"/>
          <w:sz w:val="20"/>
          <w:szCs w:val="20"/>
        </w:rPr>
        <w:t>2007;51:206</w:t>
      </w:r>
      <w:proofErr w:type="gramEnd"/>
      <w:r w:rsidRPr="00B5373E">
        <w:rPr>
          <w:rFonts w:ascii="Palatino Linotype" w:hAnsi="Palatino Linotype"/>
          <w:sz w:val="20"/>
          <w:szCs w:val="20"/>
        </w:rPr>
        <w:t>–9.</w:t>
      </w:r>
    </w:p>
    <w:p w14:paraId="35E5912E" w14:textId="77777777" w:rsidR="00D93B62" w:rsidRPr="00B5373E" w:rsidRDefault="00D93B62" w:rsidP="00D93B62">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Andersson A-E, </w:t>
      </w:r>
      <w:proofErr w:type="spellStart"/>
      <w:r w:rsidRPr="00B5373E">
        <w:rPr>
          <w:rFonts w:ascii="Palatino Linotype" w:hAnsi="Palatino Linotype"/>
          <w:sz w:val="20"/>
          <w:szCs w:val="20"/>
        </w:rPr>
        <w:t>Rosén</w:t>
      </w:r>
      <w:proofErr w:type="spellEnd"/>
      <w:r w:rsidRPr="00B5373E">
        <w:rPr>
          <w:rFonts w:ascii="Palatino Linotype" w:hAnsi="Palatino Linotype"/>
          <w:sz w:val="20"/>
          <w:szCs w:val="20"/>
        </w:rPr>
        <w:t xml:space="preserve"> H, </w:t>
      </w:r>
      <w:proofErr w:type="spellStart"/>
      <w:r w:rsidRPr="00B5373E">
        <w:rPr>
          <w:rFonts w:ascii="Palatino Linotype" w:hAnsi="Palatino Linotype"/>
          <w:sz w:val="20"/>
          <w:szCs w:val="20"/>
        </w:rPr>
        <w:t>Sunnerhagen</w:t>
      </w:r>
      <w:proofErr w:type="spellEnd"/>
      <w:r w:rsidRPr="00B5373E">
        <w:rPr>
          <w:rFonts w:ascii="Palatino Linotype" w:hAnsi="Palatino Linotype"/>
          <w:sz w:val="20"/>
          <w:szCs w:val="20"/>
        </w:rPr>
        <w:t xml:space="preserve"> KS. Life after cardiac arrest: A very long term follow up. Resuscitation </w:t>
      </w:r>
      <w:proofErr w:type="gramStart"/>
      <w:r w:rsidRPr="00B5373E">
        <w:rPr>
          <w:rFonts w:ascii="Palatino Linotype" w:hAnsi="Palatino Linotype"/>
          <w:sz w:val="20"/>
          <w:szCs w:val="20"/>
        </w:rPr>
        <w:t>2015;91:99</w:t>
      </w:r>
      <w:proofErr w:type="gramEnd"/>
      <w:r w:rsidRPr="00B5373E">
        <w:rPr>
          <w:rFonts w:ascii="Palatino Linotype" w:hAnsi="Palatino Linotype"/>
          <w:sz w:val="20"/>
          <w:szCs w:val="20"/>
        </w:rPr>
        <w:t xml:space="preserve">–103. </w:t>
      </w:r>
      <w:hyperlink r:id="rId21">
        <w:r w:rsidRPr="00B5373E">
          <w:rPr>
            <w:rStyle w:val="Hyperlink"/>
            <w:rFonts w:ascii="Palatino Linotype" w:hAnsi="Palatino Linotype"/>
            <w:sz w:val="20"/>
            <w:szCs w:val="20"/>
          </w:rPr>
          <w:t>https://doi.org/10.1016/j.resuscitation.2015.01.009</w:t>
        </w:r>
      </w:hyperlink>
      <w:r w:rsidRPr="00B5373E">
        <w:rPr>
          <w:rFonts w:ascii="Palatino Linotype" w:hAnsi="Palatino Linotype"/>
          <w:sz w:val="20"/>
          <w:szCs w:val="20"/>
        </w:rPr>
        <w:t>.</w:t>
      </w:r>
    </w:p>
    <w:p w14:paraId="5DF26570" w14:textId="26C73B5E" w:rsidR="00D93B62" w:rsidRPr="00B5373E" w:rsidRDefault="00D93B62" w:rsidP="00D93B62">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Lilja</w:t>
      </w:r>
      <w:proofErr w:type="spellEnd"/>
      <w:r w:rsidRPr="00B5373E">
        <w:rPr>
          <w:rFonts w:ascii="Palatino Linotype" w:hAnsi="Palatino Linotype"/>
          <w:sz w:val="20"/>
          <w:szCs w:val="20"/>
        </w:rPr>
        <w:t xml:space="preserve"> G, Nielsen N, Bro-Jeppesen J, Dunford H, Friberg H, </w:t>
      </w:r>
      <w:proofErr w:type="spellStart"/>
      <w:r w:rsidRPr="00B5373E">
        <w:rPr>
          <w:rFonts w:ascii="Palatino Linotype" w:hAnsi="Palatino Linotype"/>
          <w:sz w:val="20"/>
          <w:szCs w:val="20"/>
        </w:rPr>
        <w:t>Hofgren</w:t>
      </w:r>
      <w:proofErr w:type="spellEnd"/>
      <w:r w:rsidRPr="00B5373E">
        <w:rPr>
          <w:rFonts w:ascii="Palatino Linotype" w:hAnsi="Palatino Linotype"/>
          <w:sz w:val="20"/>
          <w:szCs w:val="20"/>
        </w:rPr>
        <w:t xml:space="preserve"> C, et al. Return to Work and Participation in Society After Out-of-Hospital Cardiac Arrest</w:t>
      </w:r>
      <w:r w:rsidR="00363CE9" w:rsidRPr="00B5373E">
        <w:rPr>
          <w:rFonts w:ascii="Palatino Linotype" w:hAnsi="Palatino Linotype"/>
          <w:sz w:val="20"/>
          <w:szCs w:val="20"/>
        </w:rPr>
        <w:t xml:space="preserve">. </w:t>
      </w:r>
      <w:proofErr w:type="spellStart"/>
      <w:r w:rsidR="00363CE9" w:rsidRPr="00B5373E">
        <w:rPr>
          <w:rFonts w:ascii="Palatino Linotype" w:hAnsi="Palatino Linotype"/>
          <w:sz w:val="20"/>
          <w:szCs w:val="20"/>
        </w:rPr>
        <w:t>Circ</w:t>
      </w:r>
      <w:proofErr w:type="spellEnd"/>
      <w:r w:rsidR="00363CE9" w:rsidRPr="00B5373E">
        <w:rPr>
          <w:rFonts w:ascii="Palatino Linotype" w:hAnsi="Palatino Linotype"/>
          <w:sz w:val="20"/>
          <w:szCs w:val="20"/>
        </w:rPr>
        <w:t xml:space="preserve">-Cardiovasc Qual </w:t>
      </w:r>
      <w:r w:rsidRPr="00B5373E">
        <w:rPr>
          <w:rFonts w:ascii="Palatino Linotype" w:hAnsi="Palatino Linotype"/>
          <w:sz w:val="20"/>
          <w:szCs w:val="20"/>
        </w:rPr>
        <w:t>2018;</w:t>
      </w:r>
      <w:proofErr w:type="gramStart"/>
      <w:r w:rsidRPr="00B5373E">
        <w:rPr>
          <w:rFonts w:ascii="Palatino Linotype" w:hAnsi="Palatino Linotype"/>
          <w:sz w:val="20"/>
          <w:szCs w:val="20"/>
        </w:rPr>
        <w:t>11:e</w:t>
      </w:r>
      <w:proofErr w:type="gramEnd"/>
      <w:r w:rsidRPr="00B5373E">
        <w:rPr>
          <w:rFonts w:ascii="Palatino Linotype" w:hAnsi="Palatino Linotype"/>
          <w:sz w:val="20"/>
          <w:szCs w:val="20"/>
        </w:rPr>
        <w:t>003566–e003566. https://doi.org/10.1161/CIRCOUTCOMES.117.003566.</w:t>
      </w:r>
    </w:p>
    <w:p w14:paraId="33AFC406" w14:textId="6D482217" w:rsidR="00BD63DB" w:rsidRPr="00B5373E" w:rsidRDefault="00BD63DB"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Fugate JE, Moore SA, </w:t>
      </w:r>
      <w:proofErr w:type="spellStart"/>
      <w:r w:rsidRPr="00B5373E">
        <w:rPr>
          <w:rFonts w:ascii="Palatino Linotype" w:hAnsi="Palatino Linotype"/>
          <w:sz w:val="20"/>
          <w:szCs w:val="20"/>
        </w:rPr>
        <w:t>Knopman</w:t>
      </w:r>
      <w:proofErr w:type="spellEnd"/>
      <w:r w:rsidRPr="00B5373E">
        <w:rPr>
          <w:rFonts w:ascii="Palatino Linotype" w:hAnsi="Palatino Linotype"/>
          <w:sz w:val="20"/>
          <w:szCs w:val="20"/>
        </w:rPr>
        <w:t xml:space="preserve"> DS, Claassen DO, </w:t>
      </w:r>
      <w:proofErr w:type="spellStart"/>
      <w:r w:rsidRPr="00B5373E">
        <w:rPr>
          <w:rFonts w:ascii="Palatino Linotype" w:hAnsi="Palatino Linotype"/>
          <w:sz w:val="20"/>
          <w:szCs w:val="20"/>
        </w:rPr>
        <w:t>Wijdicks</w:t>
      </w:r>
      <w:proofErr w:type="spellEnd"/>
      <w:r w:rsidRPr="00B5373E">
        <w:rPr>
          <w:rFonts w:ascii="Palatino Linotype" w:hAnsi="Palatino Linotype"/>
          <w:sz w:val="20"/>
          <w:szCs w:val="20"/>
        </w:rPr>
        <w:t xml:space="preserve"> EFM, White RD, et al. Cognitive outcomes of patients undergoing therapeutic hypothermia after cardiac arrest. Neurology </w:t>
      </w:r>
      <w:proofErr w:type="gramStart"/>
      <w:r w:rsidRPr="00B5373E">
        <w:rPr>
          <w:rFonts w:ascii="Palatino Linotype" w:hAnsi="Palatino Linotype"/>
          <w:sz w:val="20"/>
          <w:szCs w:val="20"/>
        </w:rPr>
        <w:t>2013;81:40</w:t>
      </w:r>
      <w:proofErr w:type="gramEnd"/>
      <w:r w:rsidRPr="00B5373E">
        <w:rPr>
          <w:rFonts w:ascii="Palatino Linotype" w:hAnsi="Palatino Linotype"/>
          <w:sz w:val="20"/>
          <w:szCs w:val="20"/>
        </w:rPr>
        <w:t xml:space="preserve">–5. </w:t>
      </w:r>
      <w:hyperlink r:id="rId22" w:history="1">
        <w:r w:rsidRPr="00B5373E">
          <w:rPr>
            <w:rStyle w:val="Hyperlink"/>
            <w:rFonts w:ascii="Palatino Linotype" w:hAnsi="Palatino Linotype"/>
            <w:sz w:val="20"/>
            <w:szCs w:val="20"/>
          </w:rPr>
          <w:t>https://doi.org/10.1212/WNL.0b013e318297ee7e</w:t>
        </w:r>
      </w:hyperlink>
      <w:r w:rsidRPr="00B5373E">
        <w:rPr>
          <w:rFonts w:ascii="Palatino Linotype" w:hAnsi="Palatino Linotype"/>
          <w:sz w:val="20"/>
          <w:szCs w:val="20"/>
        </w:rPr>
        <w:t>.</w:t>
      </w:r>
    </w:p>
    <w:p w14:paraId="3FD2F4DB" w14:textId="77777777" w:rsidR="00BD63DB" w:rsidRPr="00B5373E" w:rsidRDefault="00BD63DB" w:rsidP="00BD63DB">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Rosén</w:t>
      </w:r>
      <w:proofErr w:type="spellEnd"/>
      <w:r w:rsidRPr="00B5373E">
        <w:rPr>
          <w:rFonts w:ascii="Palatino Linotype" w:hAnsi="Palatino Linotype"/>
          <w:sz w:val="20"/>
          <w:szCs w:val="20"/>
        </w:rPr>
        <w:t xml:space="preserve"> C, </w:t>
      </w:r>
      <w:proofErr w:type="spellStart"/>
      <w:r w:rsidRPr="00B5373E">
        <w:rPr>
          <w:rFonts w:ascii="Palatino Linotype" w:hAnsi="Palatino Linotype"/>
          <w:sz w:val="20"/>
          <w:szCs w:val="20"/>
        </w:rPr>
        <w:t>Rosén</w:t>
      </w:r>
      <w:proofErr w:type="spellEnd"/>
      <w:r w:rsidRPr="00B5373E">
        <w:rPr>
          <w:rFonts w:ascii="Palatino Linotype" w:hAnsi="Palatino Linotype"/>
          <w:sz w:val="20"/>
          <w:szCs w:val="20"/>
        </w:rPr>
        <w:t xml:space="preserve"> H, </w:t>
      </w:r>
      <w:proofErr w:type="spellStart"/>
      <w:r w:rsidRPr="00B5373E">
        <w:rPr>
          <w:rFonts w:ascii="Palatino Linotype" w:hAnsi="Palatino Linotype"/>
          <w:sz w:val="20"/>
          <w:szCs w:val="20"/>
        </w:rPr>
        <w:t>Andreasson</w:t>
      </w:r>
      <w:proofErr w:type="spellEnd"/>
      <w:r w:rsidRPr="00B5373E">
        <w:rPr>
          <w:rFonts w:ascii="Palatino Linotype" w:hAnsi="Palatino Linotype"/>
          <w:sz w:val="20"/>
          <w:szCs w:val="20"/>
        </w:rPr>
        <w:t xml:space="preserve"> U, </w:t>
      </w:r>
      <w:proofErr w:type="spellStart"/>
      <w:r w:rsidRPr="00B5373E">
        <w:rPr>
          <w:rFonts w:ascii="Palatino Linotype" w:hAnsi="Palatino Linotype"/>
          <w:sz w:val="20"/>
          <w:szCs w:val="20"/>
        </w:rPr>
        <w:t>Bremell</w:t>
      </w:r>
      <w:proofErr w:type="spellEnd"/>
      <w:r w:rsidRPr="00B5373E">
        <w:rPr>
          <w:rFonts w:ascii="Palatino Linotype" w:hAnsi="Palatino Linotype"/>
          <w:sz w:val="20"/>
          <w:szCs w:val="20"/>
        </w:rPr>
        <w:t xml:space="preserve"> D, </w:t>
      </w:r>
      <w:proofErr w:type="spellStart"/>
      <w:r w:rsidRPr="00B5373E">
        <w:rPr>
          <w:rFonts w:ascii="Palatino Linotype" w:hAnsi="Palatino Linotype"/>
          <w:sz w:val="20"/>
          <w:szCs w:val="20"/>
        </w:rPr>
        <w:t>Bremler</w:t>
      </w:r>
      <w:proofErr w:type="spellEnd"/>
      <w:r w:rsidRPr="00B5373E">
        <w:rPr>
          <w:rFonts w:ascii="Palatino Linotype" w:hAnsi="Palatino Linotype"/>
          <w:sz w:val="20"/>
          <w:szCs w:val="20"/>
        </w:rPr>
        <w:t xml:space="preserve"> R, Hagberg L, et al. Cerebrospinal fluid biomarkers in cardiac arrest survivors. Resuscitation </w:t>
      </w:r>
      <w:proofErr w:type="gramStart"/>
      <w:r w:rsidRPr="00B5373E">
        <w:rPr>
          <w:rFonts w:ascii="Palatino Linotype" w:hAnsi="Palatino Linotype"/>
          <w:sz w:val="20"/>
          <w:szCs w:val="20"/>
        </w:rPr>
        <w:t>2014;85:227</w:t>
      </w:r>
      <w:proofErr w:type="gramEnd"/>
      <w:r w:rsidRPr="00B5373E">
        <w:rPr>
          <w:rFonts w:ascii="Palatino Linotype" w:hAnsi="Palatino Linotype"/>
          <w:sz w:val="20"/>
          <w:szCs w:val="20"/>
        </w:rPr>
        <w:t>–32. https://doi.org/10.1016/j.resuscitation.2013.10.032.</w:t>
      </w:r>
    </w:p>
    <w:p w14:paraId="3524FF78" w14:textId="4D5B60F2" w:rsidR="00BD63DB" w:rsidRPr="00B5373E" w:rsidRDefault="00BD63DB" w:rsidP="00BD63DB">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hAnsi="Palatino Linotype" w:cs="Arial"/>
          <w:color w:val="222222"/>
          <w:sz w:val="20"/>
          <w:szCs w:val="20"/>
          <w:shd w:val="clear" w:color="auto" w:fill="FFFFFF"/>
        </w:rPr>
        <w:t>Folstein</w:t>
      </w:r>
      <w:proofErr w:type="spellEnd"/>
      <w:r w:rsidRPr="00B5373E">
        <w:rPr>
          <w:rFonts w:ascii="Palatino Linotype" w:hAnsi="Palatino Linotype" w:cs="Arial"/>
          <w:color w:val="222222"/>
          <w:sz w:val="20"/>
          <w:szCs w:val="20"/>
          <w:shd w:val="clear" w:color="auto" w:fill="FFFFFF"/>
        </w:rPr>
        <w:t xml:space="preserve"> MF, </w:t>
      </w:r>
      <w:proofErr w:type="spellStart"/>
      <w:r w:rsidRPr="00B5373E">
        <w:rPr>
          <w:rFonts w:ascii="Palatino Linotype" w:hAnsi="Palatino Linotype" w:cs="Arial"/>
          <w:color w:val="222222"/>
          <w:sz w:val="20"/>
          <w:szCs w:val="20"/>
          <w:shd w:val="clear" w:color="auto" w:fill="FFFFFF"/>
        </w:rPr>
        <w:t>Folstein</w:t>
      </w:r>
      <w:proofErr w:type="spellEnd"/>
      <w:r w:rsidRPr="00B5373E">
        <w:rPr>
          <w:rFonts w:ascii="Palatino Linotype" w:hAnsi="Palatino Linotype" w:cs="Arial"/>
          <w:color w:val="222222"/>
          <w:sz w:val="20"/>
          <w:szCs w:val="20"/>
          <w:shd w:val="clear" w:color="auto" w:fill="FFFFFF"/>
        </w:rPr>
        <w:t xml:space="preserve"> SE, McHugh PR. Mini-mental state: A practical method for grading the cognitive state of patients for the clinician. </w:t>
      </w:r>
      <w:r w:rsidR="005441B1" w:rsidRPr="00B5373E">
        <w:rPr>
          <w:rFonts w:ascii="Palatino Linotype" w:hAnsi="Palatino Linotype" w:cs="Arial"/>
          <w:color w:val="222222"/>
          <w:sz w:val="20"/>
          <w:szCs w:val="20"/>
          <w:shd w:val="clear" w:color="auto" w:fill="FFFFFF"/>
        </w:rPr>
        <w:t xml:space="preserve">J </w:t>
      </w:r>
      <w:proofErr w:type="spellStart"/>
      <w:r w:rsidR="005441B1" w:rsidRPr="00B5373E">
        <w:rPr>
          <w:rFonts w:ascii="Palatino Linotype" w:hAnsi="Palatino Linotype" w:cs="Arial"/>
          <w:color w:val="222222"/>
          <w:sz w:val="20"/>
          <w:szCs w:val="20"/>
          <w:shd w:val="clear" w:color="auto" w:fill="FFFFFF"/>
        </w:rPr>
        <w:t>Psychiatr</w:t>
      </w:r>
      <w:proofErr w:type="spellEnd"/>
      <w:r w:rsidR="005441B1" w:rsidRPr="00B5373E">
        <w:rPr>
          <w:rFonts w:ascii="Palatino Linotype" w:hAnsi="Palatino Linotype" w:cs="Arial"/>
          <w:color w:val="222222"/>
          <w:sz w:val="20"/>
          <w:szCs w:val="20"/>
          <w:shd w:val="clear" w:color="auto" w:fill="FFFFFF"/>
        </w:rPr>
        <w:t xml:space="preserve"> Res</w:t>
      </w:r>
      <w:r w:rsidRPr="00B5373E">
        <w:rPr>
          <w:rFonts w:ascii="Palatino Linotype" w:hAnsi="Palatino Linotype" w:cs="Arial"/>
          <w:color w:val="222222"/>
          <w:sz w:val="20"/>
          <w:szCs w:val="20"/>
          <w:shd w:val="clear" w:color="auto" w:fill="FFFFFF"/>
        </w:rPr>
        <w:t>. 1975 Nov 1;12(3):189-98.</w:t>
      </w:r>
    </w:p>
    <w:p w14:paraId="67696D91" w14:textId="0D01ED1D" w:rsidR="00BD63DB" w:rsidRPr="00B5373E" w:rsidRDefault="00BD63DB" w:rsidP="00BD63DB">
      <w:pPr>
        <w:pStyle w:val="ListParagraph"/>
        <w:numPr>
          <w:ilvl w:val="0"/>
          <w:numId w:val="18"/>
        </w:numPr>
        <w:spacing w:line="257" w:lineRule="auto"/>
        <w:rPr>
          <w:rFonts w:ascii="Palatino Linotype" w:hAnsi="Palatino Linotype" w:cs="Arial"/>
          <w:color w:val="222222"/>
          <w:sz w:val="20"/>
          <w:szCs w:val="20"/>
          <w:shd w:val="clear" w:color="auto" w:fill="FFFFFF"/>
        </w:rPr>
      </w:pPr>
      <w:proofErr w:type="spellStart"/>
      <w:r w:rsidRPr="00B5373E">
        <w:rPr>
          <w:rFonts w:ascii="Palatino Linotype" w:hAnsi="Palatino Linotype" w:cs="Arial"/>
          <w:color w:val="222222"/>
          <w:sz w:val="20"/>
          <w:szCs w:val="20"/>
          <w:shd w:val="clear" w:color="auto" w:fill="FFFFFF"/>
        </w:rPr>
        <w:t>Roccaforte</w:t>
      </w:r>
      <w:proofErr w:type="spellEnd"/>
      <w:r w:rsidRPr="00B5373E">
        <w:rPr>
          <w:rFonts w:ascii="Palatino Linotype" w:hAnsi="Palatino Linotype" w:cs="Arial"/>
          <w:color w:val="222222"/>
          <w:sz w:val="20"/>
          <w:szCs w:val="20"/>
          <w:shd w:val="clear" w:color="auto" w:fill="FFFFFF"/>
        </w:rPr>
        <w:t xml:space="preserve"> WH, Burke WJ, Bayer BL, </w:t>
      </w:r>
      <w:proofErr w:type="spellStart"/>
      <w:r w:rsidRPr="00B5373E">
        <w:rPr>
          <w:rFonts w:ascii="Palatino Linotype" w:hAnsi="Palatino Linotype" w:cs="Arial"/>
          <w:color w:val="222222"/>
          <w:sz w:val="20"/>
          <w:szCs w:val="20"/>
          <w:shd w:val="clear" w:color="auto" w:fill="FFFFFF"/>
        </w:rPr>
        <w:t>Wengel</w:t>
      </w:r>
      <w:proofErr w:type="spellEnd"/>
      <w:r w:rsidRPr="00B5373E">
        <w:rPr>
          <w:rFonts w:ascii="Palatino Linotype" w:hAnsi="Palatino Linotype" w:cs="Arial"/>
          <w:color w:val="222222"/>
          <w:sz w:val="20"/>
          <w:szCs w:val="20"/>
          <w:shd w:val="clear" w:color="auto" w:fill="FFFFFF"/>
        </w:rPr>
        <w:t xml:space="preserve"> SP. Validation of a telephone version of the Mini‐Mental State Examination. </w:t>
      </w:r>
      <w:r w:rsidR="005441B1" w:rsidRPr="00B5373E">
        <w:rPr>
          <w:rFonts w:ascii="Palatino Linotype" w:hAnsi="Palatino Linotype" w:cs="Arial"/>
          <w:color w:val="222222"/>
          <w:sz w:val="20"/>
          <w:szCs w:val="20"/>
          <w:shd w:val="clear" w:color="auto" w:fill="FFFFFF"/>
        </w:rPr>
        <w:t xml:space="preserve">J Am </w:t>
      </w:r>
      <w:proofErr w:type="spellStart"/>
      <w:r w:rsidR="005441B1" w:rsidRPr="00B5373E">
        <w:rPr>
          <w:rFonts w:ascii="Palatino Linotype" w:hAnsi="Palatino Linotype" w:cs="Arial"/>
          <w:color w:val="222222"/>
          <w:sz w:val="20"/>
          <w:szCs w:val="20"/>
          <w:shd w:val="clear" w:color="auto" w:fill="FFFFFF"/>
        </w:rPr>
        <w:t>Geriatr</w:t>
      </w:r>
      <w:proofErr w:type="spellEnd"/>
      <w:r w:rsidR="005441B1" w:rsidRPr="00B5373E">
        <w:rPr>
          <w:rFonts w:ascii="Palatino Linotype" w:hAnsi="Palatino Linotype" w:cs="Arial"/>
          <w:color w:val="222222"/>
          <w:sz w:val="20"/>
          <w:szCs w:val="20"/>
          <w:shd w:val="clear" w:color="auto" w:fill="FFFFFF"/>
        </w:rPr>
        <w:t xml:space="preserve"> Soc</w:t>
      </w:r>
      <w:r w:rsidRPr="00B5373E">
        <w:rPr>
          <w:rFonts w:ascii="Palatino Linotype" w:hAnsi="Palatino Linotype" w:cs="Arial"/>
          <w:color w:val="222222"/>
          <w:sz w:val="20"/>
          <w:szCs w:val="20"/>
          <w:shd w:val="clear" w:color="auto" w:fill="FFFFFF"/>
        </w:rPr>
        <w:t>. 1992 Jul;40(7):697-702. https://doi.org/10.1111/j.1532-5415.1992.tb01962.x</w:t>
      </w:r>
    </w:p>
    <w:p w14:paraId="529D3EBF" w14:textId="5FD72EDB" w:rsidR="00BD63DB" w:rsidRPr="00B5373E" w:rsidRDefault="00BD63DB" w:rsidP="00BD63DB">
      <w:pPr>
        <w:pStyle w:val="ListParagraph"/>
        <w:numPr>
          <w:ilvl w:val="0"/>
          <w:numId w:val="18"/>
        </w:numPr>
        <w:spacing w:line="257" w:lineRule="auto"/>
        <w:rPr>
          <w:rFonts w:ascii="Palatino Linotype" w:hAnsi="Palatino Linotype" w:cs="Arial"/>
          <w:color w:val="222222"/>
          <w:sz w:val="20"/>
          <w:szCs w:val="20"/>
          <w:shd w:val="clear" w:color="auto" w:fill="FFFFFF"/>
        </w:rPr>
      </w:pPr>
      <w:proofErr w:type="spellStart"/>
      <w:r w:rsidRPr="00B5373E">
        <w:rPr>
          <w:rFonts w:ascii="Palatino Linotype" w:hAnsi="Palatino Linotype" w:cs="Arial"/>
          <w:color w:val="222222"/>
          <w:sz w:val="20"/>
          <w:szCs w:val="20"/>
          <w:shd w:val="clear" w:color="auto" w:fill="FFFFFF"/>
        </w:rPr>
        <w:t>Nasreddine</w:t>
      </w:r>
      <w:proofErr w:type="spellEnd"/>
      <w:r w:rsidRPr="00B5373E">
        <w:rPr>
          <w:rFonts w:ascii="Palatino Linotype" w:hAnsi="Palatino Linotype" w:cs="Arial"/>
          <w:color w:val="222222"/>
          <w:sz w:val="20"/>
          <w:szCs w:val="20"/>
          <w:shd w:val="clear" w:color="auto" w:fill="FFFFFF"/>
        </w:rPr>
        <w:t xml:space="preserve"> ZS, Phillips NA, </w:t>
      </w:r>
      <w:proofErr w:type="spellStart"/>
      <w:r w:rsidRPr="00B5373E">
        <w:rPr>
          <w:rFonts w:ascii="Palatino Linotype" w:hAnsi="Palatino Linotype" w:cs="Arial"/>
          <w:color w:val="222222"/>
          <w:sz w:val="20"/>
          <w:szCs w:val="20"/>
          <w:shd w:val="clear" w:color="auto" w:fill="FFFFFF"/>
        </w:rPr>
        <w:t>Bédirian</w:t>
      </w:r>
      <w:proofErr w:type="spellEnd"/>
      <w:r w:rsidRPr="00B5373E">
        <w:rPr>
          <w:rFonts w:ascii="Palatino Linotype" w:hAnsi="Palatino Linotype" w:cs="Arial"/>
          <w:color w:val="222222"/>
          <w:sz w:val="20"/>
          <w:szCs w:val="20"/>
          <w:shd w:val="clear" w:color="auto" w:fill="FFFFFF"/>
        </w:rPr>
        <w:t xml:space="preserve"> V, Charbonneau S, Whitehead V, Collin I, Cummings JL, </w:t>
      </w:r>
      <w:proofErr w:type="spellStart"/>
      <w:r w:rsidRPr="00B5373E">
        <w:rPr>
          <w:rFonts w:ascii="Palatino Linotype" w:hAnsi="Palatino Linotype" w:cs="Arial"/>
          <w:color w:val="222222"/>
          <w:sz w:val="20"/>
          <w:szCs w:val="20"/>
          <w:shd w:val="clear" w:color="auto" w:fill="FFFFFF"/>
        </w:rPr>
        <w:t>Chertkow</w:t>
      </w:r>
      <w:proofErr w:type="spellEnd"/>
      <w:r w:rsidRPr="00B5373E">
        <w:rPr>
          <w:rFonts w:ascii="Palatino Linotype" w:hAnsi="Palatino Linotype" w:cs="Arial"/>
          <w:color w:val="222222"/>
          <w:sz w:val="20"/>
          <w:szCs w:val="20"/>
          <w:shd w:val="clear" w:color="auto" w:fill="FFFFFF"/>
        </w:rPr>
        <w:t xml:space="preserve"> H. The Montreal Cognitive Assessment, </w:t>
      </w:r>
      <w:proofErr w:type="spellStart"/>
      <w:r w:rsidRPr="00B5373E">
        <w:rPr>
          <w:rFonts w:ascii="Palatino Linotype" w:hAnsi="Palatino Linotype" w:cs="Arial"/>
          <w:color w:val="222222"/>
          <w:sz w:val="20"/>
          <w:szCs w:val="20"/>
          <w:shd w:val="clear" w:color="auto" w:fill="FFFFFF"/>
        </w:rPr>
        <w:t>MoCA</w:t>
      </w:r>
      <w:proofErr w:type="spellEnd"/>
      <w:r w:rsidRPr="00B5373E">
        <w:rPr>
          <w:rFonts w:ascii="Palatino Linotype" w:hAnsi="Palatino Linotype" w:cs="Arial"/>
          <w:color w:val="222222"/>
          <w:sz w:val="20"/>
          <w:szCs w:val="20"/>
          <w:shd w:val="clear" w:color="auto" w:fill="FFFFFF"/>
        </w:rPr>
        <w:t xml:space="preserve">: a brief screening tool for mild cognitive impairment. </w:t>
      </w:r>
      <w:r w:rsidR="005441B1" w:rsidRPr="00B5373E">
        <w:rPr>
          <w:rFonts w:ascii="Palatino Linotype" w:hAnsi="Palatino Linotype" w:cs="Arial"/>
          <w:color w:val="222222"/>
          <w:sz w:val="20"/>
          <w:szCs w:val="20"/>
          <w:shd w:val="clear" w:color="auto" w:fill="FFFFFF"/>
        </w:rPr>
        <w:t xml:space="preserve">J Am </w:t>
      </w:r>
      <w:proofErr w:type="spellStart"/>
      <w:r w:rsidR="005441B1" w:rsidRPr="00B5373E">
        <w:rPr>
          <w:rFonts w:ascii="Palatino Linotype" w:hAnsi="Palatino Linotype" w:cs="Arial"/>
          <w:color w:val="222222"/>
          <w:sz w:val="20"/>
          <w:szCs w:val="20"/>
          <w:shd w:val="clear" w:color="auto" w:fill="FFFFFF"/>
        </w:rPr>
        <w:t>Geriatr</w:t>
      </w:r>
      <w:proofErr w:type="spellEnd"/>
      <w:r w:rsidR="005441B1" w:rsidRPr="00B5373E">
        <w:rPr>
          <w:rFonts w:ascii="Palatino Linotype" w:hAnsi="Palatino Linotype" w:cs="Arial"/>
          <w:color w:val="222222"/>
          <w:sz w:val="20"/>
          <w:szCs w:val="20"/>
          <w:shd w:val="clear" w:color="auto" w:fill="FFFFFF"/>
        </w:rPr>
        <w:t xml:space="preserve"> Soc</w:t>
      </w:r>
      <w:r w:rsidRPr="00B5373E">
        <w:rPr>
          <w:rFonts w:ascii="Palatino Linotype" w:hAnsi="Palatino Linotype" w:cs="Arial"/>
          <w:color w:val="222222"/>
          <w:sz w:val="20"/>
          <w:szCs w:val="20"/>
          <w:shd w:val="clear" w:color="auto" w:fill="FFFFFF"/>
        </w:rPr>
        <w:t>. 2005 Apr;53(4):695-9. https://doi.org/10.1111/j.1532-5415.2005.53221.x</w:t>
      </w:r>
    </w:p>
    <w:p w14:paraId="7E3C5561" w14:textId="77777777" w:rsidR="006C2089" w:rsidRPr="00B5373E" w:rsidRDefault="006C2089" w:rsidP="006C2089">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Heradstveit</w:t>
      </w:r>
      <w:proofErr w:type="spellEnd"/>
      <w:r w:rsidRPr="00B5373E">
        <w:rPr>
          <w:rFonts w:ascii="Palatino Linotype" w:hAnsi="Palatino Linotype"/>
          <w:sz w:val="20"/>
          <w:szCs w:val="20"/>
        </w:rPr>
        <w:t xml:space="preserve"> B, Larsson E-M, </w:t>
      </w:r>
      <w:proofErr w:type="spellStart"/>
      <w:r w:rsidRPr="00B5373E">
        <w:rPr>
          <w:rFonts w:ascii="Palatino Linotype" w:hAnsi="Palatino Linotype"/>
          <w:sz w:val="20"/>
          <w:szCs w:val="20"/>
        </w:rPr>
        <w:t>Skeidsvoll</w:t>
      </w:r>
      <w:proofErr w:type="spellEnd"/>
      <w:r w:rsidRPr="00B5373E">
        <w:rPr>
          <w:rFonts w:ascii="Palatino Linotype" w:hAnsi="Palatino Linotype"/>
          <w:sz w:val="20"/>
          <w:szCs w:val="20"/>
        </w:rPr>
        <w:t xml:space="preserve"> H, </w:t>
      </w:r>
      <w:proofErr w:type="spellStart"/>
      <w:r w:rsidRPr="00B5373E">
        <w:rPr>
          <w:rFonts w:ascii="Palatino Linotype" w:hAnsi="Palatino Linotype"/>
          <w:sz w:val="20"/>
          <w:szCs w:val="20"/>
        </w:rPr>
        <w:t>Hammersborg</w:t>
      </w:r>
      <w:proofErr w:type="spellEnd"/>
      <w:r w:rsidRPr="00B5373E">
        <w:rPr>
          <w:rFonts w:ascii="Palatino Linotype" w:hAnsi="Palatino Linotype"/>
          <w:sz w:val="20"/>
          <w:szCs w:val="20"/>
        </w:rPr>
        <w:t xml:space="preserve"> S-M, Wentzel-Larsen T, </w:t>
      </w:r>
      <w:proofErr w:type="spellStart"/>
      <w:r w:rsidRPr="00B5373E">
        <w:rPr>
          <w:rFonts w:ascii="Palatino Linotype" w:hAnsi="Palatino Linotype"/>
          <w:sz w:val="20"/>
          <w:szCs w:val="20"/>
        </w:rPr>
        <w:t>Guttormsen</w:t>
      </w:r>
      <w:proofErr w:type="spellEnd"/>
      <w:r w:rsidRPr="00B5373E">
        <w:rPr>
          <w:rFonts w:ascii="Palatino Linotype" w:hAnsi="Palatino Linotype"/>
          <w:sz w:val="20"/>
          <w:szCs w:val="20"/>
        </w:rPr>
        <w:t xml:space="preserve"> AB, et al. Repeated magnetic resonance imaging and cerebral performance after cardiac arrest--a pilot study. Resuscitation </w:t>
      </w:r>
      <w:proofErr w:type="gramStart"/>
      <w:r w:rsidRPr="00B5373E">
        <w:rPr>
          <w:rFonts w:ascii="Palatino Linotype" w:hAnsi="Palatino Linotype"/>
          <w:sz w:val="20"/>
          <w:szCs w:val="20"/>
        </w:rPr>
        <w:t>2011;82:549</w:t>
      </w:r>
      <w:proofErr w:type="gramEnd"/>
      <w:r w:rsidRPr="00B5373E">
        <w:rPr>
          <w:rFonts w:ascii="Palatino Linotype" w:hAnsi="Palatino Linotype"/>
          <w:sz w:val="20"/>
          <w:szCs w:val="20"/>
        </w:rPr>
        <w:t>–55. https://doi.org/10.1016/j.resuscitation.2011.01.018.</w:t>
      </w:r>
    </w:p>
    <w:p w14:paraId="234C1329" w14:textId="5A4C1CD1" w:rsidR="00BD63DB" w:rsidRPr="00B5373E" w:rsidRDefault="006C2089"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lang w:val="es-ES"/>
        </w:rPr>
        <w:lastRenderedPageBreak/>
        <w:t xml:space="preserve">Caro-Codón J, Rey JR, </w:t>
      </w:r>
      <w:proofErr w:type="spellStart"/>
      <w:r w:rsidRPr="00B5373E">
        <w:rPr>
          <w:rFonts w:ascii="Palatino Linotype" w:hAnsi="Palatino Linotype"/>
          <w:sz w:val="20"/>
          <w:szCs w:val="20"/>
          <w:lang w:val="es-ES"/>
        </w:rPr>
        <w:t>Lopez</w:t>
      </w:r>
      <w:proofErr w:type="spellEnd"/>
      <w:r w:rsidRPr="00B5373E">
        <w:rPr>
          <w:rFonts w:ascii="Palatino Linotype" w:hAnsi="Palatino Linotype"/>
          <w:sz w:val="20"/>
          <w:szCs w:val="20"/>
          <w:lang w:val="es-ES"/>
        </w:rPr>
        <w:t xml:space="preserve">-de-Sa E, González Fernández </w:t>
      </w:r>
      <w:proofErr w:type="spellStart"/>
      <w:r w:rsidRPr="00B5373E">
        <w:rPr>
          <w:rFonts w:ascii="Palatino Linotype" w:hAnsi="Palatino Linotype"/>
          <w:sz w:val="20"/>
          <w:szCs w:val="20"/>
          <w:lang w:val="es-ES"/>
        </w:rPr>
        <w:t>Ó</w:t>
      </w:r>
      <w:proofErr w:type="spellEnd"/>
      <w:r w:rsidRPr="00B5373E">
        <w:rPr>
          <w:rFonts w:ascii="Palatino Linotype" w:hAnsi="Palatino Linotype"/>
          <w:sz w:val="20"/>
          <w:szCs w:val="20"/>
          <w:lang w:val="es-ES"/>
        </w:rPr>
        <w:t xml:space="preserve">, Rosillo SO, Armada E, et al. </w:t>
      </w:r>
      <w:r w:rsidRPr="00B5373E">
        <w:rPr>
          <w:rFonts w:ascii="Palatino Linotype" w:hAnsi="Palatino Linotype"/>
          <w:sz w:val="20"/>
          <w:szCs w:val="20"/>
        </w:rPr>
        <w:t xml:space="preserve">Long-term neurological outcomes in out-of-hospital cardiac arrest patients treated with targeted-temperature management. Resuscitation </w:t>
      </w:r>
      <w:proofErr w:type="gramStart"/>
      <w:r w:rsidRPr="00B5373E">
        <w:rPr>
          <w:rFonts w:ascii="Palatino Linotype" w:hAnsi="Palatino Linotype"/>
          <w:sz w:val="20"/>
          <w:szCs w:val="20"/>
        </w:rPr>
        <w:t>2018;133:33</w:t>
      </w:r>
      <w:proofErr w:type="gramEnd"/>
      <w:r w:rsidRPr="00B5373E">
        <w:rPr>
          <w:rFonts w:ascii="Palatino Linotype" w:hAnsi="Palatino Linotype"/>
          <w:sz w:val="20"/>
          <w:szCs w:val="20"/>
        </w:rPr>
        <w:t xml:space="preserve">–9. </w:t>
      </w:r>
      <w:hyperlink r:id="rId23">
        <w:r w:rsidRPr="00B5373E">
          <w:rPr>
            <w:rStyle w:val="Hyperlink"/>
            <w:rFonts w:ascii="Palatino Linotype" w:hAnsi="Palatino Linotype"/>
            <w:sz w:val="20"/>
            <w:szCs w:val="20"/>
          </w:rPr>
          <w:t>https://doi.org/10.1016/j.resuscitation.2018.09.015</w:t>
        </w:r>
      </w:hyperlink>
      <w:r w:rsidRPr="00B5373E">
        <w:rPr>
          <w:rFonts w:ascii="Palatino Linotype" w:hAnsi="Palatino Linotype"/>
          <w:sz w:val="20"/>
          <w:szCs w:val="20"/>
        </w:rPr>
        <w:t>.</w:t>
      </w:r>
    </w:p>
    <w:p w14:paraId="0A3FE05A" w14:textId="77777777" w:rsidR="006C2089" w:rsidRPr="00B5373E" w:rsidRDefault="006C2089" w:rsidP="006C2089">
      <w:pPr>
        <w:pStyle w:val="ListParagraph"/>
        <w:numPr>
          <w:ilvl w:val="0"/>
          <w:numId w:val="18"/>
        </w:numPr>
        <w:spacing w:line="257" w:lineRule="auto"/>
        <w:rPr>
          <w:rFonts w:ascii="Palatino Linotype" w:eastAsia="Calibri" w:hAnsi="Palatino Linotype"/>
          <w:color w:val="000000" w:themeColor="text1"/>
          <w:sz w:val="20"/>
          <w:szCs w:val="20"/>
        </w:rPr>
      </w:pPr>
      <w:proofErr w:type="spellStart"/>
      <w:r w:rsidRPr="00B5373E">
        <w:rPr>
          <w:rFonts w:ascii="Palatino Linotype" w:hAnsi="Palatino Linotype"/>
          <w:sz w:val="20"/>
          <w:szCs w:val="20"/>
        </w:rPr>
        <w:t>Ørbo</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Aslaksen</w:t>
      </w:r>
      <w:proofErr w:type="spellEnd"/>
      <w:r w:rsidRPr="00B5373E">
        <w:rPr>
          <w:rFonts w:ascii="Palatino Linotype" w:hAnsi="Palatino Linotype"/>
          <w:sz w:val="20"/>
          <w:szCs w:val="20"/>
        </w:rPr>
        <w:t xml:space="preserve"> PM, </w:t>
      </w:r>
      <w:proofErr w:type="spellStart"/>
      <w:r w:rsidRPr="00B5373E">
        <w:rPr>
          <w:rFonts w:ascii="Palatino Linotype" w:hAnsi="Palatino Linotype"/>
          <w:sz w:val="20"/>
          <w:szCs w:val="20"/>
        </w:rPr>
        <w:t>Larsby</w:t>
      </w:r>
      <w:proofErr w:type="spellEnd"/>
      <w:r w:rsidRPr="00B5373E">
        <w:rPr>
          <w:rFonts w:ascii="Palatino Linotype" w:hAnsi="Palatino Linotype"/>
          <w:sz w:val="20"/>
          <w:szCs w:val="20"/>
        </w:rPr>
        <w:t xml:space="preserve"> K, Schäfer C, </w:t>
      </w:r>
      <w:proofErr w:type="spellStart"/>
      <w:r w:rsidRPr="00B5373E">
        <w:rPr>
          <w:rFonts w:ascii="Palatino Linotype" w:hAnsi="Palatino Linotype"/>
          <w:sz w:val="20"/>
          <w:szCs w:val="20"/>
        </w:rPr>
        <w:t>Tande</w:t>
      </w:r>
      <w:proofErr w:type="spellEnd"/>
      <w:r w:rsidRPr="00B5373E">
        <w:rPr>
          <w:rFonts w:ascii="Palatino Linotype" w:hAnsi="Palatino Linotype"/>
          <w:sz w:val="20"/>
          <w:szCs w:val="20"/>
        </w:rPr>
        <w:t xml:space="preserve"> P, </w:t>
      </w:r>
      <w:proofErr w:type="spellStart"/>
      <w:r w:rsidRPr="00B5373E">
        <w:rPr>
          <w:rFonts w:ascii="Palatino Linotype" w:hAnsi="Palatino Linotype"/>
          <w:sz w:val="20"/>
          <w:szCs w:val="20"/>
        </w:rPr>
        <w:t>Anke</w:t>
      </w:r>
      <w:proofErr w:type="spellEnd"/>
      <w:r w:rsidRPr="00B5373E">
        <w:rPr>
          <w:rFonts w:ascii="Palatino Linotype" w:hAnsi="Palatino Linotype"/>
          <w:sz w:val="20"/>
          <w:szCs w:val="20"/>
        </w:rPr>
        <w:t xml:space="preserve"> A. Alterations in cognitive outcome between 3 and 12 months in survivors of out-of-hospital cardiac arrest. Resuscitation </w:t>
      </w:r>
      <w:proofErr w:type="gramStart"/>
      <w:r w:rsidRPr="00B5373E">
        <w:rPr>
          <w:rFonts w:ascii="Palatino Linotype" w:hAnsi="Palatino Linotype"/>
          <w:sz w:val="20"/>
          <w:szCs w:val="20"/>
        </w:rPr>
        <w:t>2016;105:92</w:t>
      </w:r>
      <w:proofErr w:type="gramEnd"/>
      <w:r w:rsidRPr="00B5373E">
        <w:rPr>
          <w:rFonts w:ascii="Palatino Linotype" w:hAnsi="Palatino Linotype"/>
          <w:sz w:val="20"/>
          <w:szCs w:val="20"/>
        </w:rPr>
        <w:t xml:space="preserve">–9. </w:t>
      </w:r>
      <w:hyperlink r:id="rId24">
        <w:r w:rsidRPr="00B5373E">
          <w:rPr>
            <w:rStyle w:val="Hyperlink"/>
            <w:rFonts w:ascii="Palatino Linotype" w:hAnsi="Palatino Linotype"/>
            <w:sz w:val="20"/>
            <w:szCs w:val="20"/>
          </w:rPr>
          <w:t>https://doi.org/10.1016/j.resuscitation.2016.05.017</w:t>
        </w:r>
      </w:hyperlink>
      <w:r w:rsidRPr="00B5373E">
        <w:rPr>
          <w:rFonts w:ascii="Palatino Linotype" w:hAnsi="Palatino Linotype"/>
          <w:sz w:val="20"/>
          <w:szCs w:val="20"/>
        </w:rPr>
        <w:t>.</w:t>
      </w:r>
    </w:p>
    <w:p w14:paraId="4F8E95F1" w14:textId="77777777" w:rsidR="006C2089" w:rsidRPr="00B5373E" w:rsidRDefault="006C2089" w:rsidP="006C2089">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Polanowska</w:t>
      </w:r>
      <w:proofErr w:type="spellEnd"/>
      <w:r w:rsidRPr="00B5373E">
        <w:rPr>
          <w:rFonts w:ascii="Palatino Linotype" w:hAnsi="Palatino Linotype"/>
          <w:sz w:val="20"/>
          <w:szCs w:val="20"/>
        </w:rPr>
        <w:t xml:space="preserve"> KE, </w:t>
      </w:r>
      <w:proofErr w:type="spellStart"/>
      <w:r w:rsidRPr="00B5373E">
        <w:rPr>
          <w:rFonts w:ascii="Palatino Linotype" w:hAnsi="Palatino Linotype"/>
          <w:sz w:val="20"/>
          <w:szCs w:val="20"/>
        </w:rPr>
        <w:t>Sarzyńska-Długosz</w:t>
      </w:r>
      <w:proofErr w:type="spellEnd"/>
      <w:r w:rsidRPr="00B5373E">
        <w:rPr>
          <w:rFonts w:ascii="Palatino Linotype" w:hAnsi="Palatino Linotype"/>
          <w:sz w:val="20"/>
          <w:szCs w:val="20"/>
        </w:rPr>
        <w:t xml:space="preserve"> IM, </w:t>
      </w:r>
      <w:proofErr w:type="spellStart"/>
      <w:r w:rsidRPr="00B5373E">
        <w:rPr>
          <w:rFonts w:ascii="Palatino Linotype" w:hAnsi="Palatino Linotype"/>
          <w:sz w:val="20"/>
          <w:szCs w:val="20"/>
        </w:rPr>
        <w:t>Paprot</w:t>
      </w:r>
      <w:proofErr w:type="spellEnd"/>
      <w:r w:rsidRPr="00B5373E">
        <w:rPr>
          <w:rFonts w:ascii="Palatino Linotype" w:hAnsi="Palatino Linotype"/>
          <w:sz w:val="20"/>
          <w:szCs w:val="20"/>
        </w:rPr>
        <w:t xml:space="preserve"> AE, </w:t>
      </w:r>
      <w:proofErr w:type="spellStart"/>
      <w:r w:rsidRPr="00B5373E">
        <w:rPr>
          <w:rFonts w:ascii="Palatino Linotype" w:hAnsi="Palatino Linotype"/>
          <w:sz w:val="20"/>
          <w:szCs w:val="20"/>
        </w:rPr>
        <w:t>Sikorska</w:t>
      </w:r>
      <w:proofErr w:type="spellEnd"/>
      <w:r w:rsidRPr="00B5373E">
        <w:rPr>
          <w:rFonts w:ascii="Palatino Linotype" w:hAnsi="Palatino Linotype"/>
          <w:sz w:val="20"/>
          <w:szCs w:val="20"/>
        </w:rPr>
        <w:t xml:space="preserve"> Ś, </w:t>
      </w:r>
      <w:proofErr w:type="spellStart"/>
      <w:r w:rsidRPr="00B5373E">
        <w:rPr>
          <w:rFonts w:ascii="Palatino Linotype" w:hAnsi="Palatino Linotype"/>
          <w:sz w:val="20"/>
          <w:szCs w:val="20"/>
        </w:rPr>
        <w:t>Seniów</w:t>
      </w:r>
      <w:proofErr w:type="spellEnd"/>
      <w:r w:rsidRPr="00B5373E">
        <w:rPr>
          <w:rFonts w:ascii="Palatino Linotype" w:hAnsi="Palatino Linotype"/>
          <w:sz w:val="20"/>
          <w:szCs w:val="20"/>
        </w:rPr>
        <w:t xml:space="preserve"> JB, </w:t>
      </w:r>
      <w:proofErr w:type="spellStart"/>
      <w:r w:rsidRPr="00B5373E">
        <w:rPr>
          <w:rFonts w:ascii="Palatino Linotype" w:hAnsi="Palatino Linotype"/>
          <w:sz w:val="20"/>
          <w:szCs w:val="20"/>
        </w:rPr>
        <w:t>Karpiński</w:t>
      </w:r>
      <w:proofErr w:type="spellEnd"/>
      <w:r w:rsidRPr="00B5373E">
        <w:rPr>
          <w:rFonts w:ascii="Palatino Linotype" w:hAnsi="Palatino Linotype"/>
          <w:sz w:val="20"/>
          <w:szCs w:val="20"/>
        </w:rPr>
        <w:t xml:space="preserve"> G, et al. Neuropsychological and neurological sequelae of out-of-hospital cardiac arrest and the estimated need for neurorehabilitation: a prospective pilot study. Polish Heart Journal / </w:t>
      </w:r>
      <w:proofErr w:type="spellStart"/>
      <w:r w:rsidRPr="00B5373E">
        <w:rPr>
          <w:rFonts w:ascii="Palatino Linotype" w:hAnsi="Palatino Linotype"/>
          <w:sz w:val="20"/>
          <w:szCs w:val="20"/>
        </w:rPr>
        <w:t>Kardiologia</w:t>
      </w:r>
      <w:proofErr w:type="spellEnd"/>
      <w:r w:rsidRPr="00B5373E">
        <w:rPr>
          <w:rFonts w:ascii="Palatino Linotype" w:hAnsi="Palatino Linotype"/>
          <w:sz w:val="20"/>
          <w:szCs w:val="20"/>
        </w:rPr>
        <w:t xml:space="preserve"> </w:t>
      </w:r>
      <w:proofErr w:type="spellStart"/>
      <w:r w:rsidRPr="00B5373E">
        <w:rPr>
          <w:rFonts w:ascii="Palatino Linotype" w:hAnsi="Palatino Linotype"/>
          <w:sz w:val="20"/>
          <w:szCs w:val="20"/>
        </w:rPr>
        <w:t>Polska</w:t>
      </w:r>
      <w:proofErr w:type="spellEnd"/>
      <w:r w:rsidRPr="00B5373E">
        <w:rPr>
          <w:rFonts w:ascii="Palatino Linotype" w:hAnsi="Palatino Linotype"/>
          <w:sz w:val="20"/>
          <w:szCs w:val="20"/>
        </w:rPr>
        <w:t xml:space="preserve"> </w:t>
      </w:r>
      <w:proofErr w:type="gramStart"/>
      <w:r w:rsidRPr="00B5373E">
        <w:rPr>
          <w:rFonts w:ascii="Palatino Linotype" w:hAnsi="Palatino Linotype"/>
          <w:sz w:val="20"/>
          <w:szCs w:val="20"/>
        </w:rPr>
        <w:t>2014;72:814</w:t>
      </w:r>
      <w:proofErr w:type="gramEnd"/>
      <w:r w:rsidRPr="00B5373E">
        <w:rPr>
          <w:rFonts w:ascii="Palatino Linotype" w:hAnsi="Palatino Linotype"/>
          <w:sz w:val="20"/>
          <w:szCs w:val="20"/>
        </w:rPr>
        <w:t>–22. https://doi.org/10.5603/KP.a2014.0087.</w:t>
      </w:r>
    </w:p>
    <w:p w14:paraId="719DBD24" w14:textId="77777777" w:rsidR="002828ED" w:rsidRPr="00B5373E" w:rsidRDefault="002828ED" w:rsidP="002828ED">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Ørbo</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Aslaksen</w:t>
      </w:r>
      <w:proofErr w:type="spellEnd"/>
      <w:r w:rsidRPr="00B5373E">
        <w:rPr>
          <w:rFonts w:ascii="Palatino Linotype" w:hAnsi="Palatino Linotype"/>
          <w:sz w:val="20"/>
          <w:szCs w:val="20"/>
        </w:rPr>
        <w:t xml:space="preserve"> PM, </w:t>
      </w:r>
      <w:proofErr w:type="spellStart"/>
      <w:r w:rsidRPr="00B5373E">
        <w:rPr>
          <w:rFonts w:ascii="Palatino Linotype" w:hAnsi="Palatino Linotype"/>
          <w:sz w:val="20"/>
          <w:szCs w:val="20"/>
        </w:rPr>
        <w:t>Larsby</w:t>
      </w:r>
      <w:proofErr w:type="spellEnd"/>
      <w:r w:rsidRPr="00B5373E">
        <w:rPr>
          <w:rFonts w:ascii="Palatino Linotype" w:hAnsi="Palatino Linotype"/>
          <w:sz w:val="20"/>
          <w:szCs w:val="20"/>
        </w:rPr>
        <w:t xml:space="preserve"> K, Schäfer C, </w:t>
      </w:r>
      <w:proofErr w:type="spellStart"/>
      <w:r w:rsidRPr="00B5373E">
        <w:rPr>
          <w:rFonts w:ascii="Palatino Linotype" w:hAnsi="Palatino Linotype"/>
          <w:sz w:val="20"/>
          <w:szCs w:val="20"/>
        </w:rPr>
        <w:t>Tande</w:t>
      </w:r>
      <w:proofErr w:type="spellEnd"/>
      <w:r w:rsidRPr="00B5373E">
        <w:rPr>
          <w:rFonts w:ascii="Palatino Linotype" w:hAnsi="Palatino Linotype"/>
          <w:sz w:val="20"/>
          <w:szCs w:val="20"/>
        </w:rPr>
        <w:t xml:space="preserve"> P, </w:t>
      </w:r>
      <w:proofErr w:type="spellStart"/>
      <w:r w:rsidRPr="00B5373E">
        <w:rPr>
          <w:rFonts w:ascii="Palatino Linotype" w:hAnsi="Palatino Linotype"/>
          <w:sz w:val="20"/>
          <w:szCs w:val="20"/>
        </w:rPr>
        <w:t>Vangberg</w:t>
      </w:r>
      <w:proofErr w:type="spellEnd"/>
      <w:r w:rsidRPr="00B5373E">
        <w:rPr>
          <w:rFonts w:ascii="Palatino Linotype" w:hAnsi="Palatino Linotype"/>
          <w:sz w:val="20"/>
          <w:szCs w:val="20"/>
        </w:rPr>
        <w:t xml:space="preserve"> TR, et al. Relevance of Cognition to Health-Related Quality of Life in Good-Outcome Survivors of Out-Of-Hospital Cardiac Arrest. Journal of Rehabilitation Medicine (</w:t>
      </w:r>
      <w:proofErr w:type="spellStart"/>
      <w:r w:rsidRPr="00B5373E">
        <w:rPr>
          <w:rFonts w:ascii="Palatino Linotype" w:hAnsi="Palatino Linotype"/>
          <w:sz w:val="20"/>
          <w:szCs w:val="20"/>
        </w:rPr>
        <w:t>Stiftelsen</w:t>
      </w:r>
      <w:proofErr w:type="spellEnd"/>
      <w:r w:rsidRPr="00B5373E">
        <w:rPr>
          <w:rFonts w:ascii="Palatino Linotype" w:hAnsi="Palatino Linotype"/>
          <w:sz w:val="20"/>
          <w:szCs w:val="20"/>
        </w:rPr>
        <w:t xml:space="preserve"> </w:t>
      </w:r>
      <w:proofErr w:type="spellStart"/>
      <w:r w:rsidRPr="00B5373E">
        <w:rPr>
          <w:rFonts w:ascii="Palatino Linotype" w:hAnsi="Palatino Linotype"/>
          <w:sz w:val="20"/>
          <w:szCs w:val="20"/>
        </w:rPr>
        <w:t>Rehabiliteringsinformation</w:t>
      </w:r>
      <w:proofErr w:type="spellEnd"/>
      <w:r w:rsidRPr="00B5373E">
        <w:rPr>
          <w:rFonts w:ascii="Palatino Linotype" w:hAnsi="Palatino Linotype"/>
          <w:sz w:val="20"/>
          <w:szCs w:val="20"/>
        </w:rPr>
        <w:t xml:space="preserve">) </w:t>
      </w:r>
      <w:proofErr w:type="gramStart"/>
      <w:r w:rsidRPr="00B5373E">
        <w:rPr>
          <w:rFonts w:ascii="Palatino Linotype" w:hAnsi="Palatino Linotype"/>
          <w:sz w:val="20"/>
          <w:szCs w:val="20"/>
        </w:rPr>
        <w:t>2015;47:860</w:t>
      </w:r>
      <w:proofErr w:type="gramEnd"/>
      <w:r w:rsidRPr="00B5373E">
        <w:rPr>
          <w:rFonts w:ascii="Palatino Linotype" w:hAnsi="Palatino Linotype"/>
          <w:sz w:val="20"/>
          <w:szCs w:val="20"/>
        </w:rPr>
        <w:t>–6. https://doi.org/10.2340/16501977-1998.</w:t>
      </w:r>
    </w:p>
    <w:p w14:paraId="0A04D754" w14:textId="5A014F48" w:rsidR="00BD63DB" w:rsidRPr="00B5373E" w:rsidRDefault="00395AAA"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Lilja</w:t>
      </w:r>
      <w:proofErr w:type="spellEnd"/>
      <w:r w:rsidRPr="00B5373E">
        <w:rPr>
          <w:rFonts w:ascii="Palatino Linotype" w:hAnsi="Palatino Linotype"/>
          <w:sz w:val="20"/>
          <w:szCs w:val="20"/>
        </w:rPr>
        <w:t xml:space="preserve"> G, Nilsson G, Nielsen N, Friberg H, </w:t>
      </w:r>
      <w:proofErr w:type="spellStart"/>
      <w:r w:rsidRPr="00B5373E">
        <w:rPr>
          <w:rFonts w:ascii="Palatino Linotype" w:hAnsi="Palatino Linotype"/>
          <w:sz w:val="20"/>
          <w:szCs w:val="20"/>
        </w:rPr>
        <w:t>Hassager</w:t>
      </w:r>
      <w:proofErr w:type="spellEnd"/>
      <w:r w:rsidRPr="00B5373E">
        <w:rPr>
          <w:rFonts w:ascii="Palatino Linotype" w:hAnsi="Palatino Linotype"/>
          <w:sz w:val="20"/>
          <w:szCs w:val="20"/>
        </w:rPr>
        <w:t xml:space="preserve"> C, Koopmans M, et al. Anxiety and depression among out-of-hospital cardiac arrest survivors. Resuscitation </w:t>
      </w:r>
      <w:proofErr w:type="gramStart"/>
      <w:r w:rsidRPr="00B5373E">
        <w:rPr>
          <w:rFonts w:ascii="Palatino Linotype" w:hAnsi="Palatino Linotype"/>
          <w:sz w:val="20"/>
          <w:szCs w:val="20"/>
        </w:rPr>
        <w:t>2015;97:68</w:t>
      </w:r>
      <w:proofErr w:type="gramEnd"/>
      <w:r w:rsidRPr="00B5373E">
        <w:rPr>
          <w:rFonts w:ascii="Palatino Linotype" w:hAnsi="Palatino Linotype"/>
          <w:sz w:val="20"/>
          <w:szCs w:val="20"/>
        </w:rPr>
        <w:t>–75. https://doi.org/10.1016/j.resuscitation.2015.09.389.</w:t>
      </w:r>
    </w:p>
    <w:p w14:paraId="69C67B78" w14:textId="3A6CC1BE" w:rsidR="00BD63DB" w:rsidRPr="00B5373E" w:rsidRDefault="002904C6"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Moulaert</w:t>
      </w:r>
      <w:proofErr w:type="spellEnd"/>
      <w:r w:rsidRPr="00B5373E">
        <w:rPr>
          <w:rFonts w:ascii="Palatino Linotype" w:hAnsi="Palatino Linotype"/>
          <w:sz w:val="20"/>
          <w:szCs w:val="20"/>
        </w:rPr>
        <w:t xml:space="preserve"> V, </w:t>
      </w:r>
      <w:proofErr w:type="spellStart"/>
      <w:r w:rsidRPr="00B5373E">
        <w:rPr>
          <w:rFonts w:ascii="Palatino Linotype" w:hAnsi="Palatino Linotype"/>
          <w:sz w:val="20"/>
          <w:szCs w:val="20"/>
        </w:rPr>
        <w:t>Wachelder</w:t>
      </w:r>
      <w:proofErr w:type="spellEnd"/>
      <w:r w:rsidRPr="00B5373E">
        <w:rPr>
          <w:rFonts w:ascii="Palatino Linotype" w:hAnsi="Palatino Linotype"/>
          <w:sz w:val="20"/>
          <w:szCs w:val="20"/>
        </w:rPr>
        <w:t xml:space="preserve"> EM, </w:t>
      </w:r>
      <w:proofErr w:type="spellStart"/>
      <w:r w:rsidRPr="00B5373E">
        <w:rPr>
          <w:rFonts w:ascii="Palatino Linotype" w:hAnsi="Palatino Linotype"/>
          <w:sz w:val="20"/>
          <w:szCs w:val="20"/>
        </w:rPr>
        <w:t>Verbunt</w:t>
      </w:r>
      <w:proofErr w:type="spellEnd"/>
      <w:r w:rsidRPr="00B5373E">
        <w:rPr>
          <w:rFonts w:ascii="Palatino Linotype" w:hAnsi="Palatino Linotype"/>
          <w:sz w:val="20"/>
          <w:szCs w:val="20"/>
        </w:rPr>
        <w:t xml:space="preserve"> JA, Wade DT, van </w:t>
      </w:r>
      <w:proofErr w:type="spellStart"/>
      <w:r w:rsidRPr="00B5373E">
        <w:rPr>
          <w:rFonts w:ascii="Palatino Linotype" w:hAnsi="Palatino Linotype"/>
          <w:sz w:val="20"/>
          <w:szCs w:val="20"/>
        </w:rPr>
        <w:t>Heugten</w:t>
      </w:r>
      <w:proofErr w:type="spellEnd"/>
      <w:r w:rsidRPr="00B5373E">
        <w:rPr>
          <w:rFonts w:ascii="Palatino Linotype" w:hAnsi="Palatino Linotype"/>
          <w:sz w:val="20"/>
          <w:szCs w:val="20"/>
        </w:rPr>
        <w:t xml:space="preserve"> C M. Determinants of quality of life in survivors of cardiac arrest. </w:t>
      </w:r>
      <w:r w:rsidR="005441B1" w:rsidRPr="00B5373E">
        <w:rPr>
          <w:rFonts w:ascii="Palatino Linotype" w:hAnsi="Palatino Linotype"/>
          <w:sz w:val="20"/>
          <w:szCs w:val="20"/>
        </w:rPr>
        <w:t xml:space="preserve">J </w:t>
      </w:r>
      <w:proofErr w:type="spellStart"/>
      <w:r w:rsidR="005441B1" w:rsidRPr="00B5373E">
        <w:rPr>
          <w:rFonts w:ascii="Palatino Linotype" w:hAnsi="Palatino Linotype"/>
          <w:sz w:val="20"/>
          <w:szCs w:val="20"/>
        </w:rPr>
        <w:t>Rehabil</w:t>
      </w:r>
      <w:proofErr w:type="spellEnd"/>
      <w:r w:rsidR="005441B1" w:rsidRPr="00B5373E">
        <w:rPr>
          <w:rFonts w:ascii="Palatino Linotype" w:hAnsi="Palatino Linotype"/>
          <w:sz w:val="20"/>
          <w:szCs w:val="20"/>
        </w:rPr>
        <w:t xml:space="preserve"> Med</w:t>
      </w:r>
      <w:r w:rsidR="005441B1" w:rsidRPr="00B5373E">
        <w:rPr>
          <w:rFonts w:ascii="Palatino Linotype" w:hAnsi="Palatino Linotype"/>
          <w:sz w:val="20"/>
          <w:szCs w:val="20"/>
          <w:lang w:val="da-DK"/>
        </w:rPr>
        <w:t xml:space="preserve"> </w:t>
      </w:r>
      <w:proofErr w:type="gramStart"/>
      <w:r w:rsidRPr="00B5373E">
        <w:rPr>
          <w:rFonts w:ascii="Palatino Linotype" w:hAnsi="Palatino Linotype"/>
          <w:sz w:val="20"/>
          <w:szCs w:val="20"/>
          <w:lang w:val="da-DK"/>
        </w:rPr>
        <w:t>2010;42:553</w:t>
      </w:r>
      <w:proofErr w:type="gramEnd"/>
      <w:r w:rsidRPr="00B5373E">
        <w:rPr>
          <w:rFonts w:ascii="Palatino Linotype" w:hAnsi="Palatino Linotype"/>
          <w:sz w:val="20"/>
          <w:szCs w:val="20"/>
          <w:lang w:val="da-DK"/>
        </w:rPr>
        <w:t xml:space="preserve">–8. </w:t>
      </w:r>
      <w:r w:rsidR="00357758">
        <w:fldChar w:fldCharType="begin"/>
      </w:r>
      <w:r w:rsidR="00357758">
        <w:instrText xml:space="preserve"> HYPERLINK "https://doi.org/10.2340/16501977-0547" </w:instrText>
      </w:r>
      <w:r w:rsidR="00357758">
        <w:fldChar w:fldCharType="separate"/>
      </w:r>
      <w:r w:rsidRPr="00B5373E">
        <w:rPr>
          <w:rStyle w:val="Hyperlink"/>
          <w:rFonts w:ascii="Palatino Linotype" w:hAnsi="Palatino Linotype"/>
          <w:sz w:val="20"/>
          <w:szCs w:val="20"/>
          <w:lang w:val="da-DK"/>
        </w:rPr>
        <w:t>https://doi.org/10.2340/16501977-0547</w:t>
      </w:r>
      <w:r w:rsidR="00357758">
        <w:rPr>
          <w:rStyle w:val="Hyperlink"/>
          <w:rFonts w:ascii="Palatino Linotype" w:hAnsi="Palatino Linotype"/>
          <w:sz w:val="20"/>
          <w:szCs w:val="20"/>
          <w:lang w:val="da-DK"/>
        </w:rPr>
        <w:fldChar w:fldCharType="end"/>
      </w:r>
      <w:r w:rsidRPr="00B5373E">
        <w:rPr>
          <w:rFonts w:ascii="Palatino Linotype" w:hAnsi="Palatino Linotype"/>
          <w:sz w:val="20"/>
          <w:szCs w:val="20"/>
          <w:lang w:val="da-DK"/>
        </w:rPr>
        <w:t>.</w:t>
      </w:r>
    </w:p>
    <w:p w14:paraId="6C8E033E" w14:textId="0A48C82D" w:rsidR="002904C6" w:rsidRPr="00B5373E" w:rsidRDefault="00335630"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Cronberg T, </w:t>
      </w:r>
      <w:proofErr w:type="spellStart"/>
      <w:r w:rsidRPr="00B5373E">
        <w:rPr>
          <w:rFonts w:ascii="Palatino Linotype" w:hAnsi="Palatino Linotype"/>
          <w:sz w:val="20"/>
          <w:szCs w:val="20"/>
        </w:rPr>
        <w:t>Lilja</w:t>
      </w:r>
      <w:proofErr w:type="spellEnd"/>
      <w:r w:rsidRPr="00B5373E">
        <w:rPr>
          <w:rFonts w:ascii="Palatino Linotype" w:hAnsi="Palatino Linotype"/>
          <w:sz w:val="20"/>
          <w:szCs w:val="20"/>
        </w:rPr>
        <w:t xml:space="preserve"> G, Horn J, </w:t>
      </w:r>
      <w:proofErr w:type="spellStart"/>
      <w:r w:rsidRPr="00B5373E">
        <w:rPr>
          <w:rFonts w:ascii="Palatino Linotype" w:hAnsi="Palatino Linotype"/>
          <w:sz w:val="20"/>
          <w:szCs w:val="20"/>
        </w:rPr>
        <w:t>Kjaergaard</w:t>
      </w:r>
      <w:proofErr w:type="spellEnd"/>
      <w:r w:rsidRPr="00B5373E">
        <w:rPr>
          <w:rFonts w:ascii="Palatino Linotype" w:hAnsi="Palatino Linotype"/>
          <w:sz w:val="20"/>
          <w:szCs w:val="20"/>
        </w:rPr>
        <w:t xml:space="preserve"> J, Wise MP, </w:t>
      </w:r>
      <w:proofErr w:type="spellStart"/>
      <w:r w:rsidRPr="00B5373E">
        <w:rPr>
          <w:rFonts w:ascii="Palatino Linotype" w:hAnsi="Palatino Linotype"/>
          <w:sz w:val="20"/>
          <w:szCs w:val="20"/>
        </w:rPr>
        <w:t>Pellis</w:t>
      </w:r>
      <w:proofErr w:type="spellEnd"/>
      <w:r w:rsidRPr="00B5373E">
        <w:rPr>
          <w:rFonts w:ascii="Palatino Linotype" w:hAnsi="Palatino Linotype"/>
          <w:sz w:val="20"/>
          <w:szCs w:val="20"/>
        </w:rPr>
        <w:t xml:space="preserve"> T, et al. Neurologic function and health-related quality of life in patients following targeted temperature management at 33°C vs 36°C after out-of-hospital cardiac arrest: A randomized clinical trial. JAMA Neurology </w:t>
      </w:r>
      <w:proofErr w:type="gramStart"/>
      <w:r w:rsidRPr="00B5373E">
        <w:rPr>
          <w:rFonts w:ascii="Palatino Linotype" w:hAnsi="Palatino Linotype"/>
          <w:sz w:val="20"/>
          <w:szCs w:val="20"/>
        </w:rPr>
        <w:t>2015;72:634</w:t>
      </w:r>
      <w:proofErr w:type="gramEnd"/>
      <w:r w:rsidRPr="00B5373E">
        <w:rPr>
          <w:rFonts w:ascii="Palatino Linotype" w:hAnsi="Palatino Linotype"/>
          <w:sz w:val="20"/>
          <w:szCs w:val="20"/>
        </w:rPr>
        <w:t xml:space="preserve">–41. </w:t>
      </w:r>
      <w:hyperlink r:id="rId25" w:history="1">
        <w:r w:rsidRPr="00B5373E">
          <w:rPr>
            <w:rStyle w:val="Hyperlink"/>
            <w:rFonts w:ascii="Palatino Linotype" w:hAnsi="Palatino Linotype"/>
            <w:sz w:val="20"/>
            <w:szCs w:val="20"/>
          </w:rPr>
          <w:t>https://doi.org/10.1001/jamaneurol.2015.0169</w:t>
        </w:r>
      </w:hyperlink>
      <w:r w:rsidRPr="00B5373E">
        <w:rPr>
          <w:rFonts w:ascii="Palatino Linotype" w:hAnsi="Palatino Linotype"/>
          <w:sz w:val="20"/>
          <w:szCs w:val="20"/>
        </w:rPr>
        <w:t>.</w:t>
      </w:r>
    </w:p>
    <w:p w14:paraId="275FBB26" w14:textId="060AC1A1" w:rsidR="00335630" w:rsidRPr="00B5373E" w:rsidRDefault="00335630"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Blennow Nordström E, </w:t>
      </w:r>
      <w:proofErr w:type="spellStart"/>
      <w:r w:rsidRPr="00B5373E">
        <w:rPr>
          <w:rFonts w:ascii="Palatino Linotype" w:hAnsi="Palatino Linotype"/>
          <w:sz w:val="20"/>
          <w:szCs w:val="20"/>
        </w:rPr>
        <w:t>Lilja</w:t>
      </w:r>
      <w:proofErr w:type="spellEnd"/>
      <w:r w:rsidRPr="00B5373E">
        <w:rPr>
          <w:rFonts w:ascii="Palatino Linotype" w:hAnsi="Palatino Linotype"/>
          <w:sz w:val="20"/>
          <w:szCs w:val="20"/>
        </w:rPr>
        <w:t xml:space="preserve"> G, </w:t>
      </w:r>
      <w:proofErr w:type="spellStart"/>
      <w:r w:rsidRPr="00B5373E">
        <w:rPr>
          <w:rFonts w:ascii="Palatino Linotype" w:hAnsi="Palatino Linotype"/>
          <w:sz w:val="20"/>
          <w:szCs w:val="20"/>
        </w:rPr>
        <w:t>Årestedt</w:t>
      </w:r>
      <w:proofErr w:type="spellEnd"/>
      <w:r w:rsidRPr="00B5373E">
        <w:rPr>
          <w:rFonts w:ascii="Palatino Linotype" w:hAnsi="Palatino Linotype"/>
          <w:sz w:val="20"/>
          <w:szCs w:val="20"/>
        </w:rPr>
        <w:t xml:space="preserve"> K, Friberg H, Nielsen N, </w:t>
      </w:r>
      <w:proofErr w:type="spellStart"/>
      <w:r w:rsidRPr="00B5373E">
        <w:rPr>
          <w:rFonts w:ascii="Palatino Linotype" w:hAnsi="Palatino Linotype"/>
          <w:sz w:val="20"/>
          <w:szCs w:val="20"/>
        </w:rPr>
        <w:t>Vestberg</w:t>
      </w:r>
      <w:proofErr w:type="spellEnd"/>
      <w:r w:rsidRPr="00B5373E">
        <w:rPr>
          <w:rFonts w:ascii="Palatino Linotype" w:hAnsi="Palatino Linotype"/>
          <w:sz w:val="20"/>
          <w:szCs w:val="20"/>
        </w:rPr>
        <w:t xml:space="preserve"> S, et al. Validity of the IQCODE-CA: An informant questionnaire on cognitive decline modified for a cardiac arrest population. Resuscitation </w:t>
      </w:r>
      <w:proofErr w:type="gramStart"/>
      <w:r w:rsidRPr="00B5373E">
        <w:rPr>
          <w:rFonts w:ascii="Palatino Linotype" w:hAnsi="Palatino Linotype"/>
          <w:sz w:val="20"/>
          <w:szCs w:val="20"/>
        </w:rPr>
        <w:t>2017;118:8</w:t>
      </w:r>
      <w:proofErr w:type="gramEnd"/>
      <w:r w:rsidRPr="00B5373E">
        <w:rPr>
          <w:rFonts w:ascii="Palatino Linotype" w:hAnsi="Palatino Linotype"/>
          <w:sz w:val="20"/>
          <w:szCs w:val="20"/>
        </w:rPr>
        <w:t xml:space="preserve">–14. </w:t>
      </w:r>
      <w:hyperlink r:id="rId26">
        <w:r w:rsidRPr="00B5373E">
          <w:rPr>
            <w:rStyle w:val="Hyperlink"/>
            <w:rFonts w:ascii="Palatino Linotype" w:hAnsi="Palatino Linotype"/>
            <w:sz w:val="20"/>
            <w:szCs w:val="20"/>
          </w:rPr>
          <w:t>https://doi.org/10.1016/j.resuscitation.2017.06.012</w:t>
        </w:r>
      </w:hyperlink>
      <w:r w:rsidRPr="00B5373E">
        <w:rPr>
          <w:rFonts w:ascii="Palatino Linotype" w:hAnsi="Palatino Linotype"/>
          <w:sz w:val="20"/>
          <w:szCs w:val="20"/>
        </w:rPr>
        <w:t>.</w:t>
      </w:r>
    </w:p>
    <w:p w14:paraId="3F821F1F" w14:textId="4708C1C6" w:rsidR="00335630" w:rsidRPr="00B5373E" w:rsidRDefault="00335630"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Grand J, </w:t>
      </w:r>
      <w:proofErr w:type="spellStart"/>
      <w:r w:rsidRPr="00B5373E">
        <w:rPr>
          <w:rFonts w:ascii="Palatino Linotype" w:hAnsi="Palatino Linotype"/>
          <w:sz w:val="20"/>
          <w:szCs w:val="20"/>
        </w:rPr>
        <w:t>Lilja</w:t>
      </w:r>
      <w:proofErr w:type="spellEnd"/>
      <w:r w:rsidRPr="00B5373E">
        <w:rPr>
          <w:rFonts w:ascii="Palatino Linotype" w:hAnsi="Palatino Linotype"/>
          <w:sz w:val="20"/>
          <w:szCs w:val="20"/>
        </w:rPr>
        <w:t xml:space="preserve"> G, </w:t>
      </w:r>
      <w:proofErr w:type="spellStart"/>
      <w:r w:rsidRPr="00B5373E">
        <w:rPr>
          <w:rFonts w:ascii="Palatino Linotype" w:hAnsi="Palatino Linotype"/>
          <w:sz w:val="20"/>
          <w:szCs w:val="20"/>
        </w:rPr>
        <w:t>Kjaergaard</w:t>
      </w:r>
      <w:proofErr w:type="spellEnd"/>
      <w:r w:rsidRPr="00B5373E">
        <w:rPr>
          <w:rFonts w:ascii="Palatino Linotype" w:hAnsi="Palatino Linotype"/>
          <w:sz w:val="20"/>
          <w:szCs w:val="20"/>
        </w:rPr>
        <w:t xml:space="preserve"> J, Bro-Jeppesen J, Friberg H, </w:t>
      </w:r>
      <w:proofErr w:type="spellStart"/>
      <w:r w:rsidRPr="00B5373E">
        <w:rPr>
          <w:rFonts w:ascii="Palatino Linotype" w:hAnsi="Palatino Linotype"/>
          <w:sz w:val="20"/>
          <w:szCs w:val="20"/>
        </w:rPr>
        <w:t>Wanscher</w:t>
      </w:r>
      <w:proofErr w:type="spellEnd"/>
      <w:r w:rsidRPr="00B5373E">
        <w:rPr>
          <w:rFonts w:ascii="Palatino Linotype" w:hAnsi="Palatino Linotype"/>
          <w:sz w:val="20"/>
          <w:szCs w:val="20"/>
        </w:rPr>
        <w:t xml:space="preserve"> M, et al. Arterial blood pressure during targeted temperature management after out-of-hospital cardiac arrest and association with brain injury and long-term cognitive function. </w:t>
      </w:r>
      <w:r w:rsidR="005441B1" w:rsidRPr="00B5373E">
        <w:rPr>
          <w:rFonts w:ascii="Palatino Linotype" w:hAnsi="Palatino Linotype"/>
          <w:sz w:val="20"/>
          <w:szCs w:val="20"/>
        </w:rPr>
        <w:t xml:space="preserve">Eur Heart J. Acute Cardiovasc Care </w:t>
      </w:r>
      <w:r w:rsidRPr="00B5373E">
        <w:rPr>
          <w:rFonts w:ascii="Palatino Linotype" w:hAnsi="Palatino Linotype"/>
          <w:sz w:val="20"/>
          <w:szCs w:val="20"/>
        </w:rPr>
        <w:t xml:space="preserve">2019:2048872619860804–2048872619860804. </w:t>
      </w:r>
      <w:hyperlink r:id="rId27">
        <w:r w:rsidR="001E618F" w:rsidRPr="00B5373E">
          <w:rPr>
            <w:rStyle w:val="Hyperlink"/>
            <w:rFonts w:ascii="Palatino Linotype" w:hAnsi="Palatino Linotype"/>
            <w:sz w:val="20"/>
            <w:szCs w:val="20"/>
          </w:rPr>
          <w:t>https://doi.org/10.1177/2048872619860804</w:t>
        </w:r>
      </w:hyperlink>
      <w:r w:rsidRPr="00B5373E">
        <w:rPr>
          <w:rFonts w:ascii="Palatino Linotype" w:hAnsi="Palatino Linotype"/>
          <w:sz w:val="20"/>
          <w:szCs w:val="20"/>
        </w:rPr>
        <w:t>.</w:t>
      </w:r>
    </w:p>
    <w:p w14:paraId="334DCFF8" w14:textId="2454D21B" w:rsidR="001E618F" w:rsidRPr="00B5373E" w:rsidRDefault="0059606B"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Grubb NR, Simpson C, Sherwood RA, Abraha HD, Cobbe SM, O’Carroll R E, et al. Prediction of cognitive dysfunction after resuscitation from out-of-hospital cardiac arrest using serum neuron-specific enolase and protein S-100. Heart (British Cardiac Society) </w:t>
      </w:r>
      <w:proofErr w:type="gramStart"/>
      <w:r w:rsidRPr="00B5373E">
        <w:rPr>
          <w:rFonts w:ascii="Palatino Linotype" w:hAnsi="Palatino Linotype"/>
          <w:sz w:val="20"/>
          <w:szCs w:val="20"/>
        </w:rPr>
        <w:t>2007;93:1268</w:t>
      </w:r>
      <w:proofErr w:type="gramEnd"/>
      <w:r w:rsidRPr="00B5373E">
        <w:rPr>
          <w:rFonts w:ascii="Palatino Linotype" w:hAnsi="Palatino Linotype"/>
          <w:sz w:val="20"/>
          <w:szCs w:val="20"/>
        </w:rPr>
        <w:t>–73.</w:t>
      </w:r>
    </w:p>
    <w:p w14:paraId="650D198B" w14:textId="10D21F0E" w:rsidR="00AB6362" w:rsidRPr="00B5373E" w:rsidRDefault="00AB6362"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Alexander MP, </w:t>
      </w:r>
      <w:proofErr w:type="spellStart"/>
      <w:r w:rsidRPr="00B5373E">
        <w:rPr>
          <w:rFonts w:ascii="Palatino Linotype" w:hAnsi="Palatino Linotype"/>
          <w:sz w:val="20"/>
          <w:szCs w:val="20"/>
        </w:rPr>
        <w:t>Lafleche</w:t>
      </w:r>
      <w:proofErr w:type="spellEnd"/>
      <w:r w:rsidRPr="00B5373E">
        <w:rPr>
          <w:rFonts w:ascii="Palatino Linotype" w:hAnsi="Palatino Linotype"/>
          <w:sz w:val="20"/>
          <w:szCs w:val="20"/>
        </w:rPr>
        <w:t xml:space="preserve"> G, </w:t>
      </w:r>
      <w:proofErr w:type="spellStart"/>
      <w:r w:rsidRPr="00B5373E">
        <w:rPr>
          <w:rFonts w:ascii="Palatino Linotype" w:hAnsi="Palatino Linotype"/>
          <w:sz w:val="20"/>
          <w:szCs w:val="20"/>
        </w:rPr>
        <w:t>Schnyer</w:t>
      </w:r>
      <w:proofErr w:type="spellEnd"/>
      <w:r w:rsidRPr="00B5373E">
        <w:rPr>
          <w:rFonts w:ascii="Palatino Linotype" w:hAnsi="Palatino Linotype"/>
          <w:sz w:val="20"/>
          <w:szCs w:val="20"/>
        </w:rPr>
        <w:t xml:space="preserve"> D, Lim C, </w:t>
      </w:r>
      <w:proofErr w:type="spellStart"/>
      <w:r w:rsidRPr="00B5373E">
        <w:rPr>
          <w:rFonts w:ascii="Palatino Linotype" w:hAnsi="Palatino Linotype"/>
          <w:sz w:val="20"/>
          <w:szCs w:val="20"/>
        </w:rPr>
        <w:t>Verfaellie</w:t>
      </w:r>
      <w:proofErr w:type="spellEnd"/>
      <w:r w:rsidRPr="00B5373E">
        <w:rPr>
          <w:rFonts w:ascii="Palatino Linotype" w:hAnsi="Palatino Linotype"/>
          <w:sz w:val="20"/>
          <w:szCs w:val="20"/>
        </w:rPr>
        <w:t xml:space="preserve"> M. Cognitive and functional outcome after out of hospital cardiac arrest</w:t>
      </w:r>
      <w:r w:rsidR="005441B1" w:rsidRPr="00B5373E">
        <w:rPr>
          <w:rFonts w:ascii="Palatino Linotype" w:hAnsi="Palatino Linotype"/>
          <w:sz w:val="20"/>
          <w:szCs w:val="20"/>
        </w:rPr>
        <w:t xml:space="preserve">. J Int </w:t>
      </w:r>
      <w:proofErr w:type="spellStart"/>
      <w:r w:rsidR="005441B1" w:rsidRPr="00B5373E">
        <w:rPr>
          <w:rFonts w:ascii="Palatino Linotype" w:hAnsi="Palatino Linotype"/>
          <w:sz w:val="20"/>
          <w:szCs w:val="20"/>
        </w:rPr>
        <w:t>Neuropsychol</w:t>
      </w:r>
      <w:proofErr w:type="spellEnd"/>
      <w:r w:rsidR="005441B1" w:rsidRPr="00B5373E">
        <w:rPr>
          <w:rFonts w:ascii="Palatino Linotype" w:hAnsi="Palatino Linotype"/>
          <w:sz w:val="20"/>
          <w:szCs w:val="20"/>
        </w:rPr>
        <w:t xml:space="preserve"> Soc</w:t>
      </w:r>
      <w:r w:rsidRPr="00B5373E">
        <w:rPr>
          <w:rFonts w:ascii="Palatino Linotype" w:hAnsi="Palatino Linotype"/>
          <w:sz w:val="20"/>
          <w:szCs w:val="20"/>
        </w:rPr>
        <w:t xml:space="preserve"> </w:t>
      </w:r>
      <w:proofErr w:type="gramStart"/>
      <w:r w:rsidRPr="00B5373E">
        <w:rPr>
          <w:rFonts w:ascii="Palatino Linotype" w:hAnsi="Palatino Linotype"/>
          <w:sz w:val="20"/>
          <w:szCs w:val="20"/>
        </w:rPr>
        <w:t>2011;17:364</w:t>
      </w:r>
      <w:proofErr w:type="gramEnd"/>
      <w:r w:rsidRPr="00B5373E">
        <w:rPr>
          <w:rFonts w:ascii="Palatino Linotype" w:hAnsi="Palatino Linotype"/>
          <w:sz w:val="20"/>
          <w:szCs w:val="20"/>
        </w:rPr>
        <w:t xml:space="preserve">–8. </w:t>
      </w:r>
      <w:hyperlink r:id="rId28">
        <w:r w:rsidR="00F529BC" w:rsidRPr="00B5373E">
          <w:rPr>
            <w:rStyle w:val="Hyperlink"/>
            <w:rFonts w:ascii="Palatino Linotype" w:hAnsi="Palatino Linotype"/>
            <w:sz w:val="20"/>
            <w:szCs w:val="20"/>
          </w:rPr>
          <w:t>https://doi.org/10.1017/S1355617710001633</w:t>
        </w:r>
      </w:hyperlink>
      <w:r w:rsidRPr="00B5373E">
        <w:rPr>
          <w:rFonts w:ascii="Palatino Linotype" w:hAnsi="Palatino Linotype"/>
          <w:sz w:val="20"/>
          <w:szCs w:val="20"/>
        </w:rPr>
        <w:t>.</w:t>
      </w:r>
    </w:p>
    <w:p w14:paraId="27430F4A" w14:textId="618294B0" w:rsidR="00712FFF" w:rsidRPr="00B5373E" w:rsidRDefault="0481B5E4" w:rsidP="7A679DD0">
      <w:pPr>
        <w:pStyle w:val="ListParagraph"/>
        <w:widowControl w:val="0"/>
        <w:numPr>
          <w:ilvl w:val="0"/>
          <w:numId w:val="18"/>
        </w:numPr>
        <w:tabs>
          <w:tab w:val="left" w:pos="504"/>
        </w:tabs>
        <w:autoSpaceDE w:val="0"/>
        <w:autoSpaceDN w:val="0"/>
        <w:adjustRightInd w:val="0"/>
        <w:spacing w:line="240" w:lineRule="auto"/>
        <w:rPr>
          <w:rFonts w:ascii="Palatino Linotype" w:eastAsia="Palatino Linotype" w:hAnsi="Palatino Linotype" w:cs="Palatino Linotype"/>
          <w:color w:val="222222"/>
          <w:sz w:val="19"/>
          <w:szCs w:val="19"/>
        </w:rPr>
      </w:pPr>
      <w:proofErr w:type="spellStart"/>
      <w:r w:rsidRPr="00B5373E">
        <w:rPr>
          <w:rFonts w:ascii="Palatino Linotype" w:eastAsia="Palatino Linotype" w:hAnsi="Palatino Linotype" w:cs="Palatino Linotype"/>
          <w:color w:val="222222"/>
          <w:sz w:val="19"/>
          <w:szCs w:val="19"/>
        </w:rPr>
        <w:t>Brønnick</w:t>
      </w:r>
      <w:proofErr w:type="spellEnd"/>
      <w:r w:rsidRPr="00B5373E">
        <w:rPr>
          <w:rFonts w:ascii="Palatino Linotype" w:eastAsia="Palatino Linotype" w:hAnsi="Palatino Linotype" w:cs="Palatino Linotype"/>
          <w:color w:val="222222"/>
          <w:sz w:val="19"/>
          <w:szCs w:val="19"/>
        </w:rPr>
        <w:t xml:space="preserve"> K, </w:t>
      </w:r>
      <w:proofErr w:type="spellStart"/>
      <w:r w:rsidRPr="00B5373E">
        <w:rPr>
          <w:rFonts w:ascii="Palatino Linotype" w:eastAsia="Palatino Linotype" w:hAnsi="Palatino Linotype" w:cs="Palatino Linotype"/>
          <w:color w:val="222222"/>
          <w:sz w:val="19"/>
          <w:szCs w:val="19"/>
        </w:rPr>
        <w:t>Evald</w:t>
      </w:r>
      <w:proofErr w:type="spellEnd"/>
      <w:r w:rsidRPr="00B5373E">
        <w:rPr>
          <w:rFonts w:ascii="Palatino Linotype" w:eastAsia="Palatino Linotype" w:hAnsi="Palatino Linotype" w:cs="Palatino Linotype"/>
          <w:color w:val="222222"/>
          <w:sz w:val="19"/>
          <w:szCs w:val="19"/>
        </w:rPr>
        <w:t xml:space="preserve"> L, </w:t>
      </w:r>
      <w:proofErr w:type="spellStart"/>
      <w:r w:rsidRPr="00B5373E">
        <w:rPr>
          <w:rFonts w:ascii="Palatino Linotype" w:eastAsia="Palatino Linotype" w:hAnsi="Palatino Linotype" w:cs="Palatino Linotype"/>
          <w:color w:val="222222"/>
          <w:sz w:val="19"/>
          <w:szCs w:val="19"/>
        </w:rPr>
        <w:t>Duez</w:t>
      </w:r>
      <w:proofErr w:type="spellEnd"/>
      <w:r w:rsidRPr="00B5373E">
        <w:rPr>
          <w:rFonts w:ascii="Palatino Linotype" w:eastAsia="Palatino Linotype" w:hAnsi="Palatino Linotype" w:cs="Palatino Linotype"/>
          <w:color w:val="222222"/>
          <w:sz w:val="19"/>
          <w:szCs w:val="19"/>
        </w:rPr>
        <w:t xml:space="preserve"> CH, </w:t>
      </w:r>
      <w:proofErr w:type="spellStart"/>
      <w:r w:rsidRPr="00B5373E">
        <w:rPr>
          <w:rFonts w:ascii="Palatino Linotype" w:eastAsia="Palatino Linotype" w:hAnsi="Palatino Linotype" w:cs="Palatino Linotype"/>
          <w:color w:val="222222"/>
          <w:sz w:val="19"/>
          <w:szCs w:val="19"/>
        </w:rPr>
        <w:t>Grejs</w:t>
      </w:r>
      <w:proofErr w:type="spellEnd"/>
      <w:r w:rsidRPr="00B5373E">
        <w:rPr>
          <w:rFonts w:ascii="Palatino Linotype" w:eastAsia="Palatino Linotype" w:hAnsi="Palatino Linotype" w:cs="Palatino Linotype"/>
          <w:color w:val="222222"/>
          <w:sz w:val="19"/>
          <w:szCs w:val="19"/>
        </w:rPr>
        <w:t xml:space="preserve"> AM, Jeppesen AN, </w:t>
      </w:r>
      <w:proofErr w:type="spellStart"/>
      <w:r w:rsidRPr="00B5373E">
        <w:rPr>
          <w:rFonts w:ascii="Palatino Linotype" w:eastAsia="Palatino Linotype" w:hAnsi="Palatino Linotype" w:cs="Palatino Linotype"/>
          <w:color w:val="222222"/>
          <w:sz w:val="19"/>
          <w:szCs w:val="19"/>
        </w:rPr>
        <w:t>Kirkegaard</w:t>
      </w:r>
      <w:proofErr w:type="spellEnd"/>
      <w:r w:rsidRPr="00B5373E">
        <w:rPr>
          <w:rFonts w:ascii="Palatino Linotype" w:eastAsia="Palatino Linotype" w:hAnsi="Palatino Linotype" w:cs="Palatino Linotype"/>
          <w:color w:val="222222"/>
          <w:sz w:val="19"/>
          <w:szCs w:val="19"/>
        </w:rPr>
        <w:t xml:space="preserve"> H, Nielsen JF, </w:t>
      </w:r>
      <w:proofErr w:type="spellStart"/>
      <w:r w:rsidRPr="00B5373E">
        <w:rPr>
          <w:rFonts w:ascii="Palatino Linotype" w:eastAsia="Palatino Linotype" w:hAnsi="Palatino Linotype" w:cs="Palatino Linotype"/>
          <w:color w:val="222222"/>
          <w:sz w:val="19"/>
          <w:szCs w:val="19"/>
        </w:rPr>
        <w:t>Søreide</w:t>
      </w:r>
      <w:proofErr w:type="spellEnd"/>
      <w:r w:rsidRPr="00B5373E">
        <w:rPr>
          <w:rFonts w:ascii="Palatino Linotype" w:eastAsia="Palatino Linotype" w:hAnsi="Palatino Linotype" w:cs="Palatino Linotype"/>
          <w:color w:val="222222"/>
          <w:sz w:val="19"/>
          <w:szCs w:val="19"/>
        </w:rPr>
        <w:t xml:space="preserve"> E. Biomarker prognostication of cognitive impairment may be feasible even in </w:t>
      </w:r>
      <w:proofErr w:type="spellStart"/>
      <w:r w:rsidRPr="00B5373E">
        <w:rPr>
          <w:rFonts w:ascii="Palatino Linotype" w:eastAsia="Palatino Linotype" w:hAnsi="Palatino Linotype" w:cs="Palatino Linotype"/>
          <w:color w:val="222222"/>
          <w:sz w:val="19"/>
          <w:szCs w:val="19"/>
        </w:rPr>
        <w:t>out-of</w:t>
      </w:r>
      <w:proofErr w:type="spellEnd"/>
      <w:r w:rsidRPr="00B5373E">
        <w:rPr>
          <w:rFonts w:ascii="Palatino Linotype" w:eastAsia="Palatino Linotype" w:hAnsi="Palatino Linotype" w:cs="Palatino Linotype"/>
          <w:color w:val="222222"/>
          <w:sz w:val="19"/>
          <w:szCs w:val="19"/>
        </w:rPr>
        <w:t xml:space="preserve"> hospital </w:t>
      </w:r>
      <w:proofErr w:type="spellStart"/>
      <w:r w:rsidRPr="00B5373E">
        <w:rPr>
          <w:rFonts w:ascii="Palatino Linotype" w:eastAsia="Palatino Linotype" w:hAnsi="Palatino Linotype" w:cs="Palatino Linotype"/>
          <w:color w:val="222222"/>
          <w:sz w:val="19"/>
          <w:szCs w:val="19"/>
        </w:rPr>
        <w:t>cardical</w:t>
      </w:r>
      <w:proofErr w:type="spellEnd"/>
      <w:r w:rsidRPr="00B5373E">
        <w:rPr>
          <w:rFonts w:ascii="Palatino Linotype" w:eastAsia="Palatino Linotype" w:hAnsi="Palatino Linotype" w:cs="Palatino Linotype"/>
          <w:color w:val="222222"/>
          <w:sz w:val="19"/>
          <w:szCs w:val="19"/>
        </w:rPr>
        <w:t xml:space="preserve"> arrest survivors with good neurological outcome. Resuscitation. 2021 May </w:t>
      </w:r>
      <w:proofErr w:type="gramStart"/>
      <w:r w:rsidRPr="00B5373E">
        <w:rPr>
          <w:rFonts w:ascii="Palatino Linotype" w:eastAsia="Palatino Linotype" w:hAnsi="Palatino Linotype" w:cs="Palatino Linotype"/>
          <w:color w:val="222222"/>
          <w:sz w:val="19"/>
          <w:szCs w:val="19"/>
        </w:rPr>
        <w:t>1;162:396</w:t>
      </w:r>
      <w:proofErr w:type="gramEnd"/>
      <w:r w:rsidRPr="00B5373E">
        <w:rPr>
          <w:rFonts w:ascii="Palatino Linotype" w:eastAsia="Palatino Linotype" w:hAnsi="Palatino Linotype" w:cs="Palatino Linotype"/>
          <w:color w:val="222222"/>
          <w:sz w:val="19"/>
          <w:szCs w:val="19"/>
        </w:rPr>
        <w:t xml:space="preserve">-402. </w:t>
      </w:r>
      <w:hyperlink r:id="rId29">
        <w:r w:rsidRPr="00B5373E">
          <w:rPr>
            <w:rStyle w:val="Hyperlink"/>
            <w:rFonts w:ascii="Palatino Linotype" w:eastAsia="Palatino Linotype" w:hAnsi="Palatino Linotype" w:cs="Palatino Linotype"/>
            <w:sz w:val="19"/>
            <w:szCs w:val="19"/>
          </w:rPr>
          <w:t>https://doi.org/10.1016/j.resuscitation.2021.02.025</w:t>
        </w:r>
      </w:hyperlink>
      <w:r w:rsidRPr="00B5373E">
        <w:rPr>
          <w:rFonts w:ascii="Palatino Linotype" w:eastAsia="Palatino Linotype" w:hAnsi="Palatino Linotype" w:cs="Palatino Linotype"/>
          <w:color w:val="222222"/>
          <w:sz w:val="19"/>
          <w:szCs w:val="19"/>
        </w:rPr>
        <w:t xml:space="preserve"> </w:t>
      </w:r>
    </w:p>
    <w:p w14:paraId="57B1087D" w14:textId="1D39BCA1" w:rsidR="00712FFF" w:rsidRPr="00B5373E" w:rsidRDefault="0481B5E4" w:rsidP="7A679DD0">
      <w:pPr>
        <w:pStyle w:val="ListParagraph"/>
        <w:widowControl w:val="0"/>
        <w:numPr>
          <w:ilvl w:val="0"/>
          <w:numId w:val="18"/>
        </w:numPr>
        <w:tabs>
          <w:tab w:val="left" w:pos="504"/>
        </w:tabs>
        <w:autoSpaceDE w:val="0"/>
        <w:autoSpaceDN w:val="0"/>
        <w:adjustRightInd w:val="0"/>
        <w:spacing w:after="0" w:line="240" w:lineRule="auto"/>
        <w:rPr>
          <w:rFonts w:ascii="Palatino Linotype" w:hAnsi="Palatino Linotype" w:cs="Segoe UI"/>
          <w:color w:val="333333"/>
          <w:sz w:val="20"/>
          <w:szCs w:val="20"/>
        </w:rPr>
      </w:pPr>
      <w:r w:rsidRPr="00B5373E">
        <w:rPr>
          <w:rFonts w:ascii="Palatino Linotype" w:hAnsi="Palatino Linotype" w:cs="Segoe UI"/>
          <w:color w:val="333333"/>
          <w:sz w:val="20"/>
          <w:szCs w:val="20"/>
        </w:rPr>
        <w:t xml:space="preserve">Byron-Alhassan A, Collins B, Bedard M, Quinlan B, Le May M, Duchesne L, Osborne C, Wells G, Smith AM, Tulloch HE. Cognitive dysfunction after out-of-hospital cardiac arrest: Rate of impairment and clinical predictors. Resuscitation. 2021 May 12. </w:t>
      </w:r>
      <w:hyperlink r:id="rId30">
        <w:r w:rsidRPr="00B5373E">
          <w:rPr>
            <w:rStyle w:val="Hyperlink"/>
            <w:rFonts w:ascii="Palatino Linotype" w:hAnsi="Palatino Linotype" w:cs="Segoe UI"/>
            <w:sz w:val="20"/>
            <w:szCs w:val="20"/>
          </w:rPr>
          <w:t>https://doi.org/10.1016/j.resuscitation.2021.05.002</w:t>
        </w:r>
      </w:hyperlink>
      <w:r w:rsidRPr="00B5373E">
        <w:rPr>
          <w:rFonts w:ascii="Palatino Linotype" w:hAnsi="Palatino Linotype" w:cs="Segoe UI"/>
          <w:sz w:val="20"/>
          <w:szCs w:val="20"/>
        </w:rPr>
        <w:t xml:space="preserve"> </w:t>
      </w:r>
      <w:r w:rsidRPr="00B5373E">
        <w:rPr>
          <w:rFonts w:ascii="Palatino Linotype" w:hAnsi="Palatino Linotype" w:cs="Segoe UI"/>
          <w:color w:val="333333"/>
          <w:sz w:val="20"/>
          <w:szCs w:val="20"/>
        </w:rPr>
        <w:t xml:space="preserve">  </w:t>
      </w:r>
    </w:p>
    <w:p w14:paraId="6459CC58" w14:textId="608C698B" w:rsidR="00712FFF" w:rsidRPr="00B5373E" w:rsidRDefault="0481B5E4" w:rsidP="7A679DD0">
      <w:pPr>
        <w:pStyle w:val="ListParagraph"/>
        <w:widowControl w:val="0"/>
        <w:numPr>
          <w:ilvl w:val="0"/>
          <w:numId w:val="18"/>
        </w:numPr>
        <w:autoSpaceDE w:val="0"/>
        <w:autoSpaceDN w:val="0"/>
        <w:adjustRightInd w:val="0"/>
        <w:spacing w:line="240" w:lineRule="auto"/>
        <w:rPr>
          <w:rFonts w:ascii="Palatino Linotype" w:hAnsi="Palatino Linotype" w:cs="Segoe UI"/>
          <w:sz w:val="20"/>
          <w:szCs w:val="20"/>
        </w:rPr>
      </w:pPr>
      <w:r w:rsidRPr="00B5373E">
        <w:rPr>
          <w:rFonts w:ascii="Palatino Linotype" w:hAnsi="Palatino Linotype" w:cs="Segoe UI"/>
          <w:color w:val="333333"/>
          <w:sz w:val="20"/>
          <w:szCs w:val="20"/>
        </w:rPr>
        <w:t xml:space="preserve">Byron-Alhassan A, Tulloch HE, Collins B, Quinlan B, Fang Z, Chakraborty S, Le May M, Duchesne L, Smith </w:t>
      </w:r>
      <w:r w:rsidRPr="00B5373E">
        <w:rPr>
          <w:rFonts w:ascii="Palatino Linotype" w:hAnsi="Palatino Linotype" w:cs="Segoe UI"/>
          <w:color w:val="333333"/>
          <w:sz w:val="20"/>
          <w:szCs w:val="20"/>
        </w:rPr>
        <w:lastRenderedPageBreak/>
        <w:t xml:space="preserve">AM. Exploratory analyses of cerebral </w:t>
      </w:r>
      <w:proofErr w:type="spellStart"/>
      <w:r w:rsidRPr="00B5373E">
        <w:rPr>
          <w:rFonts w:ascii="Palatino Linotype" w:hAnsi="Palatino Linotype" w:cs="Segoe UI"/>
          <w:color w:val="333333"/>
          <w:sz w:val="20"/>
          <w:szCs w:val="20"/>
        </w:rPr>
        <w:t>gray</w:t>
      </w:r>
      <w:proofErr w:type="spellEnd"/>
      <w:r w:rsidRPr="00B5373E">
        <w:rPr>
          <w:rFonts w:ascii="Palatino Linotype" w:hAnsi="Palatino Linotype" w:cs="Segoe UI"/>
          <w:color w:val="333333"/>
          <w:sz w:val="20"/>
          <w:szCs w:val="20"/>
        </w:rPr>
        <w:t xml:space="preserve"> matter volumes after out-of-hospital cardiac arrest in good outcome survivors. Frontiers in Psychology. 2020 May </w:t>
      </w:r>
      <w:proofErr w:type="gramStart"/>
      <w:r w:rsidRPr="00B5373E">
        <w:rPr>
          <w:rFonts w:ascii="Palatino Linotype" w:hAnsi="Palatino Linotype" w:cs="Segoe UI"/>
          <w:color w:val="333333"/>
          <w:sz w:val="20"/>
          <w:szCs w:val="20"/>
        </w:rPr>
        <w:t>6;11:856</w:t>
      </w:r>
      <w:proofErr w:type="gramEnd"/>
      <w:r w:rsidRPr="00B5373E">
        <w:rPr>
          <w:rFonts w:ascii="Palatino Linotype" w:hAnsi="Palatino Linotype" w:cs="Segoe UI"/>
          <w:color w:val="333333"/>
          <w:sz w:val="20"/>
          <w:szCs w:val="20"/>
        </w:rPr>
        <w:t xml:space="preserve">. </w:t>
      </w:r>
      <w:hyperlink r:id="rId31">
        <w:r w:rsidRPr="00B5373E">
          <w:rPr>
            <w:rStyle w:val="Hyperlink"/>
            <w:rFonts w:ascii="Palatino Linotype" w:hAnsi="Palatino Linotype" w:cs="Segoe UI"/>
            <w:sz w:val="20"/>
            <w:szCs w:val="20"/>
          </w:rPr>
          <w:t>https://doi.org/10.3389/fpsyg.2020.00856</w:t>
        </w:r>
      </w:hyperlink>
    </w:p>
    <w:p w14:paraId="7CF8533C" w14:textId="698D29BC" w:rsidR="00712FFF" w:rsidRPr="00B5373E" w:rsidRDefault="3022D182" w:rsidP="7A679DD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cs="Segoe UI"/>
          <w:color w:val="333333"/>
          <w:sz w:val="20"/>
          <w:szCs w:val="20"/>
        </w:rPr>
      </w:pPr>
      <w:r w:rsidRPr="00B5373E">
        <w:rPr>
          <w:rFonts w:ascii="Palatino Linotype" w:hAnsi="Palatino Linotype"/>
          <w:sz w:val="20"/>
          <w:szCs w:val="20"/>
        </w:rPr>
        <w:t xml:space="preserve">Davies SE, Rhys M, Voss S, Greenwood R, Thomas M, Benger JR. Psychological wellbeing in survivors of cardiac arrest, and its relationship to neurocognitive function. Resuscitation 2017:22–5. </w:t>
      </w:r>
      <w:hyperlink r:id="rId32">
        <w:r w:rsidRPr="00B5373E">
          <w:rPr>
            <w:rStyle w:val="Hyperlink"/>
            <w:rFonts w:ascii="Palatino Linotype" w:hAnsi="Palatino Linotype"/>
            <w:sz w:val="20"/>
            <w:szCs w:val="20"/>
          </w:rPr>
          <w:t>https://doi.org/10.1016/j.resuscitation.2016.11.004</w:t>
        </w:r>
      </w:hyperlink>
      <w:r w:rsidRPr="00B5373E">
        <w:rPr>
          <w:rFonts w:ascii="Palatino Linotype" w:hAnsi="Palatino Linotype"/>
          <w:sz w:val="20"/>
          <w:szCs w:val="20"/>
        </w:rPr>
        <w:t>.</w:t>
      </w:r>
      <w:r w:rsidRPr="00B5373E">
        <w:rPr>
          <w:rFonts w:ascii="Palatino Linotype" w:hAnsi="Palatino Linotype" w:cs="Segoe UI"/>
          <w:color w:val="333333"/>
          <w:sz w:val="20"/>
          <w:szCs w:val="20"/>
        </w:rPr>
        <w:t xml:space="preserve"> </w:t>
      </w:r>
    </w:p>
    <w:p w14:paraId="774D2AFC" w14:textId="11D7AE06" w:rsidR="00712FFF" w:rsidRPr="00B5373E" w:rsidRDefault="0481B5E4" w:rsidP="7A679DD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cs="Segoe UI"/>
          <w:color w:val="333333"/>
          <w:sz w:val="20"/>
          <w:szCs w:val="20"/>
        </w:rPr>
      </w:pPr>
      <w:proofErr w:type="spellStart"/>
      <w:r w:rsidRPr="00B5373E">
        <w:rPr>
          <w:rFonts w:ascii="Palatino Linotype" w:hAnsi="Palatino Linotype" w:cs="Segoe UI"/>
          <w:color w:val="333333"/>
          <w:sz w:val="20"/>
          <w:szCs w:val="20"/>
        </w:rPr>
        <w:t>Evald</w:t>
      </w:r>
      <w:proofErr w:type="spellEnd"/>
      <w:r w:rsidRPr="00B5373E">
        <w:rPr>
          <w:rFonts w:ascii="Palatino Linotype" w:hAnsi="Palatino Linotype" w:cs="Segoe UI"/>
          <w:color w:val="333333"/>
          <w:sz w:val="20"/>
          <w:szCs w:val="20"/>
        </w:rPr>
        <w:t xml:space="preserve"> L, </w:t>
      </w:r>
      <w:proofErr w:type="spellStart"/>
      <w:r w:rsidRPr="00B5373E">
        <w:rPr>
          <w:rFonts w:ascii="Palatino Linotype" w:hAnsi="Palatino Linotype" w:cs="Segoe UI"/>
          <w:color w:val="333333"/>
          <w:sz w:val="20"/>
          <w:szCs w:val="20"/>
        </w:rPr>
        <w:t>Brønnick</w:t>
      </w:r>
      <w:proofErr w:type="spellEnd"/>
      <w:r w:rsidRPr="00B5373E">
        <w:rPr>
          <w:rFonts w:ascii="Palatino Linotype" w:hAnsi="Palatino Linotype" w:cs="Segoe UI"/>
          <w:color w:val="333333"/>
          <w:sz w:val="20"/>
          <w:szCs w:val="20"/>
        </w:rPr>
        <w:t xml:space="preserve"> K, </w:t>
      </w:r>
      <w:proofErr w:type="spellStart"/>
      <w:r w:rsidRPr="00B5373E">
        <w:rPr>
          <w:rFonts w:ascii="Palatino Linotype" w:hAnsi="Palatino Linotype" w:cs="Segoe UI"/>
          <w:color w:val="333333"/>
          <w:sz w:val="20"/>
          <w:szCs w:val="20"/>
        </w:rPr>
        <w:t>Duez</w:t>
      </w:r>
      <w:proofErr w:type="spellEnd"/>
      <w:r w:rsidRPr="00B5373E">
        <w:rPr>
          <w:rFonts w:ascii="Palatino Linotype" w:hAnsi="Palatino Linotype" w:cs="Segoe UI"/>
          <w:color w:val="333333"/>
          <w:sz w:val="20"/>
          <w:szCs w:val="20"/>
        </w:rPr>
        <w:t xml:space="preserve"> CH, </w:t>
      </w:r>
      <w:proofErr w:type="spellStart"/>
      <w:r w:rsidRPr="00B5373E">
        <w:rPr>
          <w:rFonts w:ascii="Palatino Linotype" w:hAnsi="Palatino Linotype" w:cs="Segoe UI"/>
          <w:color w:val="333333"/>
          <w:sz w:val="20"/>
          <w:szCs w:val="20"/>
        </w:rPr>
        <w:t>Grejs</w:t>
      </w:r>
      <w:proofErr w:type="spellEnd"/>
      <w:r w:rsidRPr="00B5373E">
        <w:rPr>
          <w:rFonts w:ascii="Palatino Linotype" w:hAnsi="Palatino Linotype" w:cs="Segoe UI"/>
          <w:color w:val="333333"/>
          <w:sz w:val="20"/>
          <w:szCs w:val="20"/>
        </w:rPr>
        <w:t xml:space="preserve"> AM, Jeppesen AN, </w:t>
      </w:r>
      <w:proofErr w:type="spellStart"/>
      <w:r w:rsidRPr="00B5373E">
        <w:rPr>
          <w:rFonts w:ascii="Palatino Linotype" w:hAnsi="Palatino Linotype" w:cs="Segoe UI"/>
          <w:color w:val="333333"/>
          <w:sz w:val="20"/>
          <w:szCs w:val="20"/>
        </w:rPr>
        <w:t>Søreide</w:t>
      </w:r>
      <w:proofErr w:type="spellEnd"/>
      <w:r w:rsidRPr="00B5373E">
        <w:rPr>
          <w:rFonts w:ascii="Palatino Linotype" w:hAnsi="Palatino Linotype" w:cs="Segoe UI"/>
          <w:color w:val="333333"/>
          <w:sz w:val="20"/>
          <w:szCs w:val="20"/>
        </w:rPr>
        <w:t xml:space="preserve"> E, </w:t>
      </w:r>
      <w:proofErr w:type="spellStart"/>
      <w:r w:rsidRPr="00B5373E">
        <w:rPr>
          <w:rFonts w:ascii="Palatino Linotype" w:hAnsi="Palatino Linotype" w:cs="Segoe UI"/>
          <w:color w:val="333333"/>
          <w:sz w:val="20"/>
          <w:szCs w:val="20"/>
        </w:rPr>
        <w:t>Kirkegaard</w:t>
      </w:r>
      <w:proofErr w:type="spellEnd"/>
      <w:r w:rsidRPr="00B5373E">
        <w:rPr>
          <w:rFonts w:ascii="Palatino Linotype" w:hAnsi="Palatino Linotype" w:cs="Segoe UI"/>
          <w:color w:val="333333"/>
          <w:sz w:val="20"/>
          <w:szCs w:val="20"/>
        </w:rPr>
        <w:t xml:space="preserve"> H, Nielsen JF. Younger age is associated with higher levels of self-reported affective and cognitive sequelae six months post-cardiac arrest. Resuscitation. 2021 Apr 19. </w:t>
      </w:r>
      <w:hyperlink r:id="rId33">
        <w:r w:rsidRPr="00B5373E">
          <w:rPr>
            <w:rStyle w:val="Hyperlink"/>
            <w:rFonts w:ascii="Palatino Linotype" w:hAnsi="Palatino Linotype" w:cs="Segoe UI"/>
            <w:sz w:val="20"/>
            <w:szCs w:val="20"/>
          </w:rPr>
          <w:t>https://doi.org/10.1016/j.resuscitation.2021.04.009</w:t>
        </w:r>
      </w:hyperlink>
      <w:r w:rsidRPr="00B5373E">
        <w:rPr>
          <w:rFonts w:ascii="Palatino Linotype" w:hAnsi="Palatino Linotype" w:cs="Segoe UI"/>
          <w:color w:val="333333"/>
          <w:sz w:val="20"/>
          <w:szCs w:val="20"/>
        </w:rPr>
        <w:t xml:space="preserve"> </w:t>
      </w:r>
    </w:p>
    <w:p w14:paraId="491CC632" w14:textId="3B85F9BC" w:rsidR="00712FFF" w:rsidRPr="00B5373E" w:rsidRDefault="00712FFF"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Juan E, De Lucia M, </w:t>
      </w:r>
      <w:proofErr w:type="spellStart"/>
      <w:r w:rsidRPr="00B5373E">
        <w:rPr>
          <w:rFonts w:ascii="Palatino Linotype" w:hAnsi="Palatino Linotype"/>
          <w:sz w:val="20"/>
          <w:szCs w:val="20"/>
        </w:rPr>
        <w:t>Beaud</w:t>
      </w:r>
      <w:proofErr w:type="spellEnd"/>
      <w:r w:rsidRPr="00B5373E">
        <w:rPr>
          <w:rFonts w:ascii="Palatino Linotype" w:hAnsi="Palatino Linotype"/>
          <w:sz w:val="20"/>
          <w:szCs w:val="20"/>
        </w:rPr>
        <w:t xml:space="preserve"> V, </w:t>
      </w:r>
      <w:proofErr w:type="spellStart"/>
      <w:r w:rsidRPr="00B5373E">
        <w:rPr>
          <w:rFonts w:ascii="Palatino Linotype" w:hAnsi="Palatino Linotype"/>
          <w:sz w:val="20"/>
          <w:szCs w:val="20"/>
        </w:rPr>
        <w:t>Oddo</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Rusca</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Viceic</w:t>
      </w:r>
      <w:proofErr w:type="spellEnd"/>
      <w:r w:rsidRPr="00B5373E">
        <w:rPr>
          <w:rFonts w:ascii="Palatino Linotype" w:hAnsi="Palatino Linotype"/>
          <w:sz w:val="20"/>
          <w:szCs w:val="20"/>
        </w:rPr>
        <w:t xml:space="preserve"> D, et al. How Do You Feel? Subjective Perception of Recovery as a Reliable Surrogate of Cognitive and Functional Outcome in Cardiac Arrest Survivors. </w:t>
      </w:r>
      <w:proofErr w:type="spellStart"/>
      <w:r w:rsidRPr="00B5373E">
        <w:rPr>
          <w:rFonts w:ascii="Palatino Linotype" w:hAnsi="Palatino Linotype"/>
          <w:sz w:val="20"/>
          <w:szCs w:val="20"/>
        </w:rPr>
        <w:t>Crit</w:t>
      </w:r>
      <w:proofErr w:type="spellEnd"/>
      <w:r w:rsidRPr="00B5373E">
        <w:rPr>
          <w:rFonts w:ascii="Palatino Linotype" w:hAnsi="Palatino Linotype"/>
          <w:sz w:val="20"/>
          <w:szCs w:val="20"/>
        </w:rPr>
        <w:t xml:space="preserve"> Care Med 2018;</w:t>
      </w:r>
      <w:proofErr w:type="gramStart"/>
      <w:r w:rsidRPr="00B5373E">
        <w:rPr>
          <w:rFonts w:ascii="Palatino Linotype" w:hAnsi="Palatino Linotype"/>
          <w:sz w:val="20"/>
          <w:szCs w:val="20"/>
        </w:rPr>
        <w:t>46:e</w:t>
      </w:r>
      <w:proofErr w:type="gramEnd"/>
      <w:r w:rsidRPr="00B5373E">
        <w:rPr>
          <w:rFonts w:ascii="Palatino Linotype" w:hAnsi="Palatino Linotype"/>
          <w:sz w:val="20"/>
          <w:szCs w:val="20"/>
        </w:rPr>
        <w:t xml:space="preserve">286–93. </w:t>
      </w:r>
      <w:hyperlink r:id="rId34">
        <w:r w:rsidRPr="00B5373E">
          <w:rPr>
            <w:rStyle w:val="Hyperlink"/>
            <w:rFonts w:ascii="Palatino Linotype" w:hAnsi="Palatino Linotype"/>
            <w:sz w:val="20"/>
            <w:szCs w:val="20"/>
          </w:rPr>
          <w:t>https://doi.org/10.1097/CCM.0000000000002946</w:t>
        </w:r>
      </w:hyperlink>
      <w:r w:rsidRPr="00B5373E">
        <w:rPr>
          <w:rFonts w:ascii="Palatino Linotype" w:hAnsi="Palatino Linotype"/>
          <w:sz w:val="20"/>
          <w:szCs w:val="20"/>
        </w:rPr>
        <w:t>.</w:t>
      </w:r>
    </w:p>
    <w:p w14:paraId="3BF44D84" w14:textId="3D982886" w:rsidR="00712FFF" w:rsidRPr="00B5373E" w:rsidRDefault="00712FFF"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Lilja</w:t>
      </w:r>
      <w:proofErr w:type="spellEnd"/>
      <w:r w:rsidRPr="00B5373E">
        <w:rPr>
          <w:rFonts w:ascii="Palatino Linotype" w:hAnsi="Palatino Linotype"/>
          <w:sz w:val="20"/>
          <w:szCs w:val="20"/>
        </w:rPr>
        <w:t xml:space="preserve"> G, Nielsen N, Friberg H, Horn J, </w:t>
      </w:r>
      <w:proofErr w:type="spellStart"/>
      <w:r w:rsidRPr="00B5373E">
        <w:rPr>
          <w:rFonts w:ascii="Palatino Linotype" w:hAnsi="Palatino Linotype"/>
          <w:sz w:val="20"/>
          <w:szCs w:val="20"/>
        </w:rPr>
        <w:t>Kjaergaard</w:t>
      </w:r>
      <w:proofErr w:type="spellEnd"/>
      <w:r w:rsidRPr="00B5373E">
        <w:rPr>
          <w:rFonts w:ascii="Palatino Linotype" w:hAnsi="Palatino Linotype"/>
          <w:sz w:val="20"/>
          <w:szCs w:val="20"/>
        </w:rPr>
        <w:t xml:space="preserve"> J, Nilsson F, et al. Cognitive Function in Survivors of Out-of-Hospital Cardiac Arrest After Target Temperature Management at 33°C Versus 36°C. Circulation 2015;131:1340–9. </w:t>
      </w:r>
      <w:hyperlink r:id="rId35">
        <w:r w:rsidRPr="00B5373E">
          <w:rPr>
            <w:rStyle w:val="Hyperlink"/>
            <w:rFonts w:ascii="Palatino Linotype" w:hAnsi="Palatino Linotype"/>
            <w:sz w:val="20"/>
            <w:szCs w:val="20"/>
          </w:rPr>
          <w:t>https://doi.org/10.1161/CIRCULATIONAHA.114.014414</w:t>
        </w:r>
      </w:hyperlink>
      <w:r w:rsidRPr="00B5373E">
        <w:rPr>
          <w:rFonts w:ascii="Palatino Linotype" w:hAnsi="Palatino Linotype"/>
          <w:sz w:val="20"/>
          <w:szCs w:val="20"/>
        </w:rPr>
        <w:t>.</w:t>
      </w:r>
    </w:p>
    <w:p w14:paraId="271FCA22" w14:textId="77777777" w:rsidR="006A3154" w:rsidRPr="00B5373E" w:rsidRDefault="006A3154" w:rsidP="006A3154">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Lim C, </w:t>
      </w:r>
      <w:proofErr w:type="spellStart"/>
      <w:r w:rsidRPr="00B5373E">
        <w:rPr>
          <w:rFonts w:ascii="Palatino Linotype" w:hAnsi="Palatino Linotype"/>
          <w:sz w:val="20"/>
          <w:szCs w:val="20"/>
        </w:rPr>
        <w:t>Verfaellie</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Schnyer</w:t>
      </w:r>
      <w:proofErr w:type="spellEnd"/>
      <w:r w:rsidRPr="00B5373E">
        <w:rPr>
          <w:rFonts w:ascii="Palatino Linotype" w:hAnsi="Palatino Linotype"/>
          <w:sz w:val="20"/>
          <w:szCs w:val="20"/>
        </w:rPr>
        <w:t xml:space="preserve"> D, </w:t>
      </w:r>
      <w:proofErr w:type="spellStart"/>
      <w:r w:rsidRPr="00B5373E">
        <w:rPr>
          <w:rFonts w:ascii="Palatino Linotype" w:hAnsi="Palatino Linotype"/>
          <w:sz w:val="20"/>
          <w:szCs w:val="20"/>
        </w:rPr>
        <w:t>Lafleche</w:t>
      </w:r>
      <w:proofErr w:type="spellEnd"/>
      <w:r w:rsidRPr="00B5373E">
        <w:rPr>
          <w:rFonts w:ascii="Palatino Linotype" w:hAnsi="Palatino Linotype"/>
          <w:sz w:val="20"/>
          <w:szCs w:val="20"/>
        </w:rPr>
        <w:t xml:space="preserve"> G, Alexander MP. Recovery, Long-Term Cognitive Outcome and Quality of Life Following Out-Of-Hospital Cardiac Arrest. Journal of Rehabilitation Medicine (</w:t>
      </w:r>
      <w:proofErr w:type="spellStart"/>
      <w:r w:rsidRPr="00B5373E">
        <w:rPr>
          <w:rFonts w:ascii="Palatino Linotype" w:hAnsi="Palatino Linotype"/>
          <w:sz w:val="20"/>
          <w:szCs w:val="20"/>
        </w:rPr>
        <w:t>Stiftelsen</w:t>
      </w:r>
      <w:proofErr w:type="spellEnd"/>
      <w:r w:rsidRPr="00B5373E">
        <w:rPr>
          <w:rFonts w:ascii="Palatino Linotype" w:hAnsi="Palatino Linotype"/>
          <w:sz w:val="20"/>
          <w:szCs w:val="20"/>
        </w:rPr>
        <w:t xml:space="preserve"> </w:t>
      </w:r>
      <w:proofErr w:type="spellStart"/>
      <w:r w:rsidRPr="00B5373E">
        <w:rPr>
          <w:rFonts w:ascii="Palatino Linotype" w:hAnsi="Palatino Linotype"/>
          <w:sz w:val="20"/>
          <w:szCs w:val="20"/>
        </w:rPr>
        <w:t>Rehabiliteringsinformation</w:t>
      </w:r>
      <w:proofErr w:type="spellEnd"/>
      <w:r w:rsidRPr="00B5373E">
        <w:rPr>
          <w:rFonts w:ascii="Palatino Linotype" w:hAnsi="Palatino Linotype"/>
          <w:sz w:val="20"/>
          <w:szCs w:val="20"/>
        </w:rPr>
        <w:t xml:space="preserve">) </w:t>
      </w:r>
      <w:proofErr w:type="gramStart"/>
      <w:r w:rsidRPr="00B5373E">
        <w:rPr>
          <w:rFonts w:ascii="Palatino Linotype" w:hAnsi="Palatino Linotype"/>
          <w:sz w:val="20"/>
          <w:szCs w:val="20"/>
        </w:rPr>
        <w:t>2014;46:691</w:t>
      </w:r>
      <w:proofErr w:type="gramEnd"/>
      <w:r w:rsidRPr="00B5373E">
        <w:rPr>
          <w:rFonts w:ascii="Palatino Linotype" w:hAnsi="Palatino Linotype"/>
          <w:sz w:val="20"/>
          <w:szCs w:val="20"/>
        </w:rPr>
        <w:t>–7. https://doi.org/10.2340/16501977-1816.</w:t>
      </w:r>
    </w:p>
    <w:p w14:paraId="594CD915" w14:textId="6085EE0A" w:rsidR="006A3154" w:rsidRPr="00B5373E" w:rsidRDefault="006A3154" w:rsidP="006A3154">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lang w:val="nl-NL"/>
        </w:rPr>
        <w:t xml:space="preserve">Longstreth W Jr, Nichol G, Van Ottingham L, Hallstrom AP, Longstreth WTJ, Nichol G, et al. </w:t>
      </w:r>
      <w:r w:rsidRPr="00B5373E">
        <w:rPr>
          <w:rFonts w:ascii="Palatino Linotype" w:hAnsi="Palatino Linotype"/>
          <w:sz w:val="20"/>
          <w:szCs w:val="20"/>
        </w:rPr>
        <w:t xml:space="preserve">Two simple questions to assess neurologic outcomes at 3 months after out-of-hospital cardiac arrest: experience from the public access defibrillation trial. Resuscitation </w:t>
      </w:r>
      <w:proofErr w:type="gramStart"/>
      <w:r w:rsidRPr="00B5373E">
        <w:rPr>
          <w:rFonts w:ascii="Palatino Linotype" w:hAnsi="Palatino Linotype"/>
          <w:sz w:val="20"/>
          <w:szCs w:val="20"/>
        </w:rPr>
        <w:t>2010;81:530</w:t>
      </w:r>
      <w:proofErr w:type="gramEnd"/>
      <w:r w:rsidRPr="00B5373E">
        <w:rPr>
          <w:rFonts w:ascii="Palatino Linotype" w:hAnsi="Palatino Linotype"/>
          <w:sz w:val="20"/>
          <w:szCs w:val="20"/>
        </w:rPr>
        <w:t>–3. https://doi.org/10.1016/j.resuscitation.2010.01.011.</w:t>
      </w:r>
    </w:p>
    <w:p w14:paraId="13F95B42" w14:textId="571DBBA5" w:rsidR="00712FFF" w:rsidRPr="00B5373E" w:rsidRDefault="006A3154"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Mateen FJ, Josephs KA, </w:t>
      </w:r>
      <w:proofErr w:type="spellStart"/>
      <w:r w:rsidRPr="00B5373E">
        <w:rPr>
          <w:rFonts w:ascii="Palatino Linotype" w:hAnsi="Palatino Linotype"/>
          <w:sz w:val="20"/>
          <w:szCs w:val="20"/>
        </w:rPr>
        <w:t>Trenerry</w:t>
      </w:r>
      <w:proofErr w:type="spellEnd"/>
      <w:r w:rsidRPr="00B5373E">
        <w:rPr>
          <w:rFonts w:ascii="Palatino Linotype" w:hAnsi="Palatino Linotype"/>
          <w:sz w:val="20"/>
          <w:szCs w:val="20"/>
        </w:rPr>
        <w:t xml:space="preserve"> MR, </w:t>
      </w:r>
      <w:proofErr w:type="spellStart"/>
      <w:r w:rsidRPr="00B5373E">
        <w:rPr>
          <w:rFonts w:ascii="Palatino Linotype" w:hAnsi="Palatino Linotype"/>
          <w:sz w:val="20"/>
          <w:szCs w:val="20"/>
        </w:rPr>
        <w:t>Felmlee</w:t>
      </w:r>
      <w:proofErr w:type="spellEnd"/>
      <w:r w:rsidRPr="00B5373E">
        <w:rPr>
          <w:rFonts w:ascii="Palatino Linotype" w:hAnsi="Palatino Linotype"/>
          <w:sz w:val="20"/>
          <w:szCs w:val="20"/>
        </w:rPr>
        <w:t xml:space="preserve">-Devine M, Weaver AL, </w:t>
      </w:r>
      <w:proofErr w:type="spellStart"/>
      <w:r w:rsidRPr="00B5373E">
        <w:rPr>
          <w:rFonts w:ascii="Palatino Linotype" w:hAnsi="Palatino Linotype"/>
          <w:sz w:val="20"/>
          <w:szCs w:val="20"/>
        </w:rPr>
        <w:t>Carone</w:t>
      </w:r>
      <w:proofErr w:type="spellEnd"/>
      <w:r w:rsidRPr="00B5373E">
        <w:rPr>
          <w:rFonts w:ascii="Palatino Linotype" w:hAnsi="Palatino Linotype"/>
          <w:sz w:val="20"/>
          <w:szCs w:val="20"/>
        </w:rPr>
        <w:t xml:space="preserve"> M, et al. Long-term cognitive outcomes following out-of-hospital cardiac arrest: A population-based study. Neurology </w:t>
      </w:r>
      <w:proofErr w:type="gramStart"/>
      <w:r w:rsidRPr="00B5373E">
        <w:rPr>
          <w:rFonts w:ascii="Palatino Linotype" w:hAnsi="Palatino Linotype"/>
          <w:sz w:val="20"/>
          <w:szCs w:val="20"/>
        </w:rPr>
        <w:t>2011;77:1438</w:t>
      </w:r>
      <w:proofErr w:type="gramEnd"/>
      <w:r w:rsidRPr="00B5373E">
        <w:rPr>
          <w:rFonts w:ascii="Palatino Linotype" w:hAnsi="Palatino Linotype"/>
          <w:sz w:val="20"/>
          <w:szCs w:val="20"/>
        </w:rPr>
        <w:t xml:space="preserve">–45. </w:t>
      </w:r>
      <w:hyperlink r:id="rId36">
        <w:r w:rsidRPr="00B5373E">
          <w:rPr>
            <w:rStyle w:val="Hyperlink"/>
            <w:rFonts w:ascii="Palatino Linotype" w:hAnsi="Palatino Linotype"/>
            <w:sz w:val="20"/>
            <w:szCs w:val="20"/>
          </w:rPr>
          <w:t>https://doi.org/10.1212/WNL.0b013e318232ab33</w:t>
        </w:r>
      </w:hyperlink>
      <w:r w:rsidRPr="00B5373E">
        <w:rPr>
          <w:rFonts w:ascii="Palatino Linotype" w:hAnsi="Palatino Linotype"/>
          <w:sz w:val="20"/>
          <w:szCs w:val="20"/>
        </w:rPr>
        <w:t>.</w:t>
      </w:r>
    </w:p>
    <w:p w14:paraId="2E533949" w14:textId="22EEF193" w:rsidR="006A3154" w:rsidRPr="00B5373E" w:rsidRDefault="006A3154"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rPr>
        <w:t xml:space="preserve">Nichol G, Guffey D, </w:t>
      </w:r>
      <w:proofErr w:type="spellStart"/>
      <w:r w:rsidRPr="00B5373E">
        <w:rPr>
          <w:rFonts w:ascii="Palatino Linotype" w:hAnsi="Palatino Linotype"/>
          <w:sz w:val="20"/>
          <w:szCs w:val="20"/>
        </w:rPr>
        <w:t>Stiell</w:t>
      </w:r>
      <w:proofErr w:type="spellEnd"/>
      <w:r w:rsidRPr="00B5373E">
        <w:rPr>
          <w:rFonts w:ascii="Palatino Linotype" w:hAnsi="Palatino Linotype"/>
          <w:sz w:val="20"/>
          <w:szCs w:val="20"/>
        </w:rPr>
        <w:t xml:space="preserve"> IG, Leroux B, </w:t>
      </w:r>
      <w:proofErr w:type="spellStart"/>
      <w:r w:rsidRPr="00B5373E">
        <w:rPr>
          <w:rFonts w:ascii="Palatino Linotype" w:hAnsi="Palatino Linotype"/>
          <w:sz w:val="20"/>
          <w:szCs w:val="20"/>
        </w:rPr>
        <w:t>Cheskes</w:t>
      </w:r>
      <w:proofErr w:type="spellEnd"/>
      <w:r w:rsidRPr="00B5373E">
        <w:rPr>
          <w:rFonts w:ascii="Palatino Linotype" w:hAnsi="Palatino Linotype"/>
          <w:sz w:val="20"/>
          <w:szCs w:val="20"/>
        </w:rPr>
        <w:t xml:space="preserve"> S, Idris A, et al. Post-discharge outcomes after resuscitation from out-of-hospital cardiac arrest: A ROC PRIMED </w:t>
      </w:r>
      <w:proofErr w:type="spellStart"/>
      <w:r w:rsidRPr="00B5373E">
        <w:rPr>
          <w:rFonts w:ascii="Palatino Linotype" w:hAnsi="Palatino Linotype"/>
          <w:sz w:val="20"/>
          <w:szCs w:val="20"/>
        </w:rPr>
        <w:t>substudy</w:t>
      </w:r>
      <w:proofErr w:type="spellEnd"/>
      <w:r w:rsidRPr="00B5373E">
        <w:rPr>
          <w:rFonts w:ascii="Palatino Linotype" w:hAnsi="Palatino Linotype"/>
          <w:sz w:val="20"/>
          <w:szCs w:val="20"/>
        </w:rPr>
        <w:t xml:space="preserve">. Resuscitation </w:t>
      </w:r>
      <w:proofErr w:type="gramStart"/>
      <w:r w:rsidRPr="00B5373E">
        <w:rPr>
          <w:rFonts w:ascii="Palatino Linotype" w:hAnsi="Palatino Linotype"/>
          <w:sz w:val="20"/>
          <w:szCs w:val="20"/>
        </w:rPr>
        <w:t>2015;93:74</w:t>
      </w:r>
      <w:proofErr w:type="gramEnd"/>
      <w:r w:rsidRPr="00B5373E">
        <w:rPr>
          <w:rFonts w:ascii="Palatino Linotype" w:hAnsi="Palatino Linotype"/>
          <w:sz w:val="20"/>
          <w:szCs w:val="20"/>
        </w:rPr>
        <w:t xml:space="preserve">–81. </w:t>
      </w:r>
      <w:hyperlink r:id="rId37">
        <w:r w:rsidRPr="00B5373E">
          <w:rPr>
            <w:rStyle w:val="Hyperlink"/>
            <w:rFonts w:ascii="Palatino Linotype" w:hAnsi="Palatino Linotype"/>
            <w:sz w:val="20"/>
            <w:szCs w:val="20"/>
          </w:rPr>
          <w:t>https://doi.org/10.1016/j.resuscitation.2015.05.011</w:t>
        </w:r>
      </w:hyperlink>
      <w:r w:rsidRPr="00B5373E">
        <w:rPr>
          <w:rFonts w:ascii="Palatino Linotype" w:hAnsi="Palatino Linotype"/>
          <w:sz w:val="20"/>
          <w:szCs w:val="20"/>
        </w:rPr>
        <w:t>.</w:t>
      </w:r>
    </w:p>
    <w:p w14:paraId="316E1A11" w14:textId="77777777" w:rsidR="006A3154" w:rsidRPr="00B5373E" w:rsidRDefault="006A3154" w:rsidP="006A3154">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Ørbo</w:t>
      </w:r>
      <w:proofErr w:type="spellEnd"/>
      <w:r w:rsidRPr="00B5373E">
        <w:rPr>
          <w:rFonts w:ascii="Palatino Linotype" w:hAnsi="Palatino Linotype"/>
          <w:sz w:val="20"/>
          <w:szCs w:val="20"/>
        </w:rPr>
        <w:t xml:space="preserve"> M, </w:t>
      </w:r>
      <w:proofErr w:type="spellStart"/>
      <w:r w:rsidRPr="00B5373E">
        <w:rPr>
          <w:rFonts w:ascii="Palatino Linotype" w:hAnsi="Palatino Linotype"/>
          <w:sz w:val="20"/>
          <w:szCs w:val="20"/>
        </w:rPr>
        <w:t>Aslaksen</w:t>
      </w:r>
      <w:proofErr w:type="spellEnd"/>
      <w:r w:rsidRPr="00B5373E">
        <w:rPr>
          <w:rFonts w:ascii="Palatino Linotype" w:hAnsi="Palatino Linotype"/>
          <w:sz w:val="20"/>
          <w:szCs w:val="20"/>
        </w:rPr>
        <w:t xml:space="preserve"> PM, </w:t>
      </w:r>
      <w:proofErr w:type="spellStart"/>
      <w:r w:rsidRPr="00B5373E">
        <w:rPr>
          <w:rFonts w:ascii="Palatino Linotype" w:hAnsi="Palatino Linotype"/>
          <w:sz w:val="20"/>
          <w:szCs w:val="20"/>
        </w:rPr>
        <w:t>Larsby</w:t>
      </w:r>
      <w:proofErr w:type="spellEnd"/>
      <w:r w:rsidRPr="00B5373E">
        <w:rPr>
          <w:rFonts w:ascii="Palatino Linotype" w:hAnsi="Palatino Linotype"/>
          <w:sz w:val="20"/>
          <w:szCs w:val="20"/>
        </w:rPr>
        <w:t xml:space="preserve"> K, </w:t>
      </w:r>
      <w:proofErr w:type="spellStart"/>
      <w:r w:rsidRPr="00B5373E">
        <w:rPr>
          <w:rFonts w:ascii="Palatino Linotype" w:hAnsi="Palatino Linotype"/>
          <w:sz w:val="20"/>
          <w:szCs w:val="20"/>
        </w:rPr>
        <w:t>Norli</w:t>
      </w:r>
      <w:proofErr w:type="spellEnd"/>
      <w:r w:rsidRPr="00B5373E">
        <w:rPr>
          <w:rFonts w:ascii="Palatino Linotype" w:hAnsi="Palatino Linotype"/>
          <w:sz w:val="20"/>
          <w:szCs w:val="20"/>
        </w:rPr>
        <w:t xml:space="preserve"> L, Schäfer C, </w:t>
      </w:r>
      <w:proofErr w:type="spellStart"/>
      <w:r w:rsidRPr="00B5373E">
        <w:rPr>
          <w:rFonts w:ascii="Palatino Linotype" w:hAnsi="Palatino Linotype"/>
          <w:sz w:val="20"/>
          <w:szCs w:val="20"/>
        </w:rPr>
        <w:t>Tande</w:t>
      </w:r>
      <w:proofErr w:type="spellEnd"/>
      <w:r w:rsidRPr="00B5373E">
        <w:rPr>
          <w:rFonts w:ascii="Palatino Linotype" w:hAnsi="Palatino Linotype"/>
          <w:sz w:val="20"/>
          <w:szCs w:val="20"/>
        </w:rPr>
        <w:t xml:space="preserve"> P, et al. Determinants of cognitive outcome in survivors of out-of-hospital cardiac arrest. Resuscitation </w:t>
      </w:r>
      <w:proofErr w:type="gramStart"/>
      <w:r w:rsidRPr="00B5373E">
        <w:rPr>
          <w:rFonts w:ascii="Palatino Linotype" w:hAnsi="Palatino Linotype"/>
          <w:sz w:val="20"/>
          <w:szCs w:val="20"/>
        </w:rPr>
        <w:t>2014;85:1462</w:t>
      </w:r>
      <w:proofErr w:type="gramEnd"/>
      <w:r w:rsidRPr="00B5373E">
        <w:rPr>
          <w:rFonts w:ascii="Palatino Linotype" w:hAnsi="Palatino Linotype"/>
          <w:sz w:val="20"/>
          <w:szCs w:val="20"/>
        </w:rPr>
        <w:t>–8. https://doi.org/10.1016/j.resuscitation.2014.08.010.</w:t>
      </w:r>
    </w:p>
    <w:p w14:paraId="412F4F4B" w14:textId="42474742" w:rsidR="007224B9" w:rsidRPr="00B5373E" w:rsidRDefault="007224B9" w:rsidP="007224B9">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Ørbo</w:t>
      </w:r>
      <w:proofErr w:type="spellEnd"/>
      <w:r w:rsidRPr="00B5373E">
        <w:rPr>
          <w:rFonts w:ascii="Palatino Linotype" w:hAnsi="Palatino Linotype"/>
          <w:sz w:val="20"/>
          <w:szCs w:val="20"/>
        </w:rPr>
        <w:t xml:space="preserve"> M C, </w:t>
      </w:r>
      <w:proofErr w:type="spellStart"/>
      <w:r w:rsidRPr="00B5373E">
        <w:rPr>
          <w:rFonts w:ascii="Palatino Linotype" w:hAnsi="Palatino Linotype"/>
          <w:sz w:val="20"/>
          <w:szCs w:val="20"/>
        </w:rPr>
        <w:t>Aslaksen</w:t>
      </w:r>
      <w:proofErr w:type="spellEnd"/>
      <w:r w:rsidRPr="00B5373E">
        <w:rPr>
          <w:rFonts w:ascii="Palatino Linotype" w:hAnsi="Palatino Linotype"/>
          <w:sz w:val="20"/>
          <w:szCs w:val="20"/>
        </w:rPr>
        <w:t xml:space="preserve"> PM, </w:t>
      </w:r>
      <w:proofErr w:type="spellStart"/>
      <w:r w:rsidRPr="00B5373E">
        <w:rPr>
          <w:rFonts w:ascii="Palatino Linotype" w:hAnsi="Palatino Linotype"/>
          <w:sz w:val="20"/>
          <w:szCs w:val="20"/>
        </w:rPr>
        <w:t>Anke</w:t>
      </w:r>
      <w:proofErr w:type="spellEnd"/>
      <w:r w:rsidRPr="00B5373E">
        <w:rPr>
          <w:rFonts w:ascii="Palatino Linotype" w:hAnsi="Palatino Linotype"/>
          <w:sz w:val="20"/>
          <w:szCs w:val="20"/>
        </w:rPr>
        <w:t xml:space="preserve"> A, </w:t>
      </w:r>
      <w:proofErr w:type="spellStart"/>
      <w:r w:rsidRPr="00B5373E">
        <w:rPr>
          <w:rFonts w:ascii="Palatino Linotype" w:hAnsi="Palatino Linotype"/>
          <w:sz w:val="20"/>
          <w:szCs w:val="20"/>
        </w:rPr>
        <w:t>Tande</w:t>
      </w:r>
      <w:proofErr w:type="spellEnd"/>
      <w:r w:rsidRPr="00B5373E">
        <w:rPr>
          <w:rFonts w:ascii="Palatino Linotype" w:hAnsi="Palatino Linotype"/>
          <w:sz w:val="20"/>
          <w:szCs w:val="20"/>
        </w:rPr>
        <w:t xml:space="preserve"> P, </w:t>
      </w:r>
      <w:proofErr w:type="spellStart"/>
      <w:r w:rsidRPr="00B5373E">
        <w:rPr>
          <w:rFonts w:ascii="Palatino Linotype" w:hAnsi="Palatino Linotype"/>
          <w:sz w:val="20"/>
          <w:szCs w:val="20"/>
        </w:rPr>
        <w:t>Vangberg</w:t>
      </w:r>
      <w:proofErr w:type="spellEnd"/>
      <w:r w:rsidRPr="00B5373E">
        <w:rPr>
          <w:rFonts w:ascii="Palatino Linotype" w:hAnsi="Palatino Linotype"/>
          <w:sz w:val="20"/>
          <w:szCs w:val="20"/>
        </w:rPr>
        <w:t xml:space="preserve"> TR. Cortical Thickness and Cognitive Performance After Out-of-Hospital Cardiac Arrest. </w:t>
      </w:r>
      <w:proofErr w:type="spellStart"/>
      <w:r w:rsidR="005441B1" w:rsidRPr="00B5373E">
        <w:rPr>
          <w:rFonts w:ascii="Palatino Linotype" w:hAnsi="Palatino Linotype"/>
          <w:sz w:val="20"/>
          <w:szCs w:val="20"/>
        </w:rPr>
        <w:t>Neurorehabil</w:t>
      </w:r>
      <w:proofErr w:type="spellEnd"/>
      <w:r w:rsidR="005441B1" w:rsidRPr="00B5373E">
        <w:rPr>
          <w:rFonts w:ascii="Palatino Linotype" w:hAnsi="Palatino Linotype"/>
          <w:sz w:val="20"/>
          <w:szCs w:val="20"/>
        </w:rPr>
        <w:t xml:space="preserve"> Neural </w:t>
      </w:r>
      <w:proofErr w:type="gramStart"/>
      <w:r w:rsidR="005441B1" w:rsidRPr="00B5373E">
        <w:rPr>
          <w:rFonts w:ascii="Palatino Linotype" w:hAnsi="Palatino Linotype"/>
          <w:sz w:val="20"/>
          <w:szCs w:val="20"/>
        </w:rPr>
        <w:t>Repair</w:t>
      </w:r>
      <w:r w:rsidR="005441B1" w:rsidRPr="00B5373E">
        <w:rPr>
          <w:rFonts w:ascii="Palatino Linotype" w:hAnsi="Palatino Linotype" w:cs="Arial"/>
          <w:color w:val="4D5156"/>
          <w:sz w:val="20"/>
          <w:szCs w:val="20"/>
          <w:shd w:val="clear" w:color="auto" w:fill="FFFFFF"/>
        </w:rPr>
        <w:t> </w:t>
      </w:r>
      <w:r w:rsidR="005441B1" w:rsidRPr="00B5373E">
        <w:rPr>
          <w:rFonts w:ascii="Palatino Linotype" w:hAnsi="Palatino Linotype"/>
          <w:sz w:val="20"/>
          <w:szCs w:val="20"/>
        </w:rPr>
        <w:t xml:space="preserve"> </w:t>
      </w:r>
      <w:r w:rsidRPr="00B5373E">
        <w:rPr>
          <w:rFonts w:ascii="Palatino Linotype" w:hAnsi="Palatino Linotype"/>
          <w:sz w:val="20"/>
          <w:szCs w:val="20"/>
        </w:rPr>
        <w:t>2019</w:t>
      </w:r>
      <w:proofErr w:type="gramEnd"/>
      <w:r w:rsidRPr="00B5373E">
        <w:rPr>
          <w:rFonts w:ascii="Palatino Linotype" w:hAnsi="Palatino Linotype"/>
          <w:sz w:val="20"/>
          <w:szCs w:val="20"/>
        </w:rPr>
        <w:t>;33:296–306. https://doi.org/10.1177/1545968319834904.</w:t>
      </w:r>
    </w:p>
    <w:p w14:paraId="3294D48D" w14:textId="77777777" w:rsidR="007224B9" w:rsidRPr="00B5373E" w:rsidRDefault="007224B9" w:rsidP="007224B9">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proofErr w:type="spellStart"/>
      <w:r w:rsidRPr="00B5373E">
        <w:rPr>
          <w:rFonts w:ascii="Palatino Linotype" w:hAnsi="Palatino Linotype"/>
          <w:sz w:val="20"/>
          <w:szCs w:val="20"/>
        </w:rPr>
        <w:t>Sulzgruber</w:t>
      </w:r>
      <w:proofErr w:type="spellEnd"/>
      <w:r w:rsidRPr="00B5373E">
        <w:rPr>
          <w:rFonts w:ascii="Palatino Linotype" w:hAnsi="Palatino Linotype"/>
          <w:sz w:val="20"/>
          <w:szCs w:val="20"/>
        </w:rPr>
        <w:t xml:space="preserve"> P, </w:t>
      </w:r>
      <w:proofErr w:type="spellStart"/>
      <w:r w:rsidRPr="00B5373E">
        <w:rPr>
          <w:rFonts w:ascii="Palatino Linotype" w:hAnsi="Palatino Linotype"/>
          <w:sz w:val="20"/>
          <w:szCs w:val="20"/>
        </w:rPr>
        <w:t>Kliegel</w:t>
      </w:r>
      <w:proofErr w:type="spellEnd"/>
      <w:r w:rsidRPr="00B5373E">
        <w:rPr>
          <w:rFonts w:ascii="Palatino Linotype" w:hAnsi="Palatino Linotype"/>
          <w:sz w:val="20"/>
          <w:szCs w:val="20"/>
        </w:rPr>
        <w:t xml:space="preserve"> A, </w:t>
      </w:r>
      <w:proofErr w:type="spellStart"/>
      <w:r w:rsidRPr="00B5373E">
        <w:rPr>
          <w:rFonts w:ascii="Palatino Linotype" w:hAnsi="Palatino Linotype"/>
          <w:sz w:val="20"/>
          <w:szCs w:val="20"/>
        </w:rPr>
        <w:t>Wandaller</w:t>
      </w:r>
      <w:proofErr w:type="spellEnd"/>
      <w:r w:rsidRPr="00B5373E">
        <w:rPr>
          <w:rFonts w:ascii="Palatino Linotype" w:hAnsi="Palatino Linotype"/>
          <w:sz w:val="20"/>
          <w:szCs w:val="20"/>
        </w:rPr>
        <w:t xml:space="preserve"> C, </w:t>
      </w:r>
      <w:proofErr w:type="spellStart"/>
      <w:r w:rsidRPr="00B5373E">
        <w:rPr>
          <w:rFonts w:ascii="Palatino Linotype" w:hAnsi="Palatino Linotype"/>
          <w:sz w:val="20"/>
          <w:szCs w:val="20"/>
        </w:rPr>
        <w:t>Uray</w:t>
      </w:r>
      <w:proofErr w:type="spellEnd"/>
      <w:r w:rsidRPr="00B5373E">
        <w:rPr>
          <w:rFonts w:ascii="Palatino Linotype" w:hAnsi="Palatino Linotype"/>
          <w:sz w:val="20"/>
          <w:szCs w:val="20"/>
        </w:rPr>
        <w:t xml:space="preserve"> T, </w:t>
      </w:r>
      <w:proofErr w:type="spellStart"/>
      <w:r w:rsidRPr="00B5373E">
        <w:rPr>
          <w:rFonts w:ascii="Palatino Linotype" w:hAnsi="Palatino Linotype"/>
          <w:sz w:val="20"/>
          <w:szCs w:val="20"/>
        </w:rPr>
        <w:t>Losert</w:t>
      </w:r>
      <w:proofErr w:type="spellEnd"/>
      <w:r w:rsidRPr="00B5373E">
        <w:rPr>
          <w:rFonts w:ascii="Palatino Linotype" w:hAnsi="Palatino Linotype"/>
          <w:sz w:val="20"/>
          <w:szCs w:val="20"/>
        </w:rPr>
        <w:t xml:space="preserve"> H, </w:t>
      </w:r>
      <w:proofErr w:type="spellStart"/>
      <w:r w:rsidRPr="00B5373E">
        <w:rPr>
          <w:rFonts w:ascii="Palatino Linotype" w:hAnsi="Palatino Linotype"/>
          <w:sz w:val="20"/>
          <w:szCs w:val="20"/>
        </w:rPr>
        <w:t>Laggner</w:t>
      </w:r>
      <w:proofErr w:type="spellEnd"/>
      <w:r w:rsidRPr="00B5373E">
        <w:rPr>
          <w:rFonts w:ascii="Palatino Linotype" w:hAnsi="Palatino Linotype"/>
          <w:sz w:val="20"/>
          <w:szCs w:val="20"/>
        </w:rPr>
        <w:t xml:space="preserve"> AN, et al. Survivors of cardiac arrest with good neurological outcome show considerable impairments of memory functioning. Resuscitation </w:t>
      </w:r>
      <w:proofErr w:type="gramStart"/>
      <w:r w:rsidRPr="00B5373E">
        <w:rPr>
          <w:rFonts w:ascii="Palatino Linotype" w:hAnsi="Palatino Linotype"/>
          <w:sz w:val="20"/>
          <w:szCs w:val="20"/>
        </w:rPr>
        <w:t>2015;88:120</w:t>
      </w:r>
      <w:proofErr w:type="gramEnd"/>
      <w:r w:rsidRPr="00B5373E">
        <w:rPr>
          <w:rFonts w:ascii="Palatino Linotype" w:hAnsi="Palatino Linotype"/>
          <w:sz w:val="20"/>
          <w:szCs w:val="20"/>
        </w:rPr>
        <w:t>–5. https://doi.org/10.1016/j.resuscitation.2014.11.009.</w:t>
      </w:r>
    </w:p>
    <w:p w14:paraId="66651C72" w14:textId="1DC631BE" w:rsidR="007524E3" w:rsidRPr="00B5373E" w:rsidRDefault="007524E3" w:rsidP="007524E3">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lang w:val="fi-FI"/>
        </w:rPr>
        <w:t xml:space="preserve">Tiainen M, Poutiainen E, Kovala T, Takkunen O, Häppölä O, Roine RO, et al. </w:t>
      </w:r>
      <w:r w:rsidRPr="00B5373E">
        <w:rPr>
          <w:rFonts w:ascii="Palatino Linotype" w:hAnsi="Palatino Linotype"/>
          <w:sz w:val="20"/>
          <w:szCs w:val="20"/>
        </w:rPr>
        <w:t xml:space="preserve">Cognitive and neurophysiological outcome of cardiac arrest survivors treated with therapeutic hypothermia. Stroke </w:t>
      </w:r>
      <w:proofErr w:type="gramStart"/>
      <w:r w:rsidRPr="00B5373E">
        <w:rPr>
          <w:rFonts w:ascii="Palatino Linotype" w:hAnsi="Palatino Linotype"/>
          <w:sz w:val="20"/>
          <w:szCs w:val="20"/>
        </w:rPr>
        <w:t>2007;38:2303</w:t>
      </w:r>
      <w:proofErr w:type="gramEnd"/>
      <w:r w:rsidRPr="00B5373E">
        <w:rPr>
          <w:rFonts w:ascii="Palatino Linotype" w:hAnsi="Palatino Linotype"/>
          <w:sz w:val="20"/>
          <w:szCs w:val="20"/>
        </w:rPr>
        <w:t>–8.</w:t>
      </w:r>
    </w:p>
    <w:p w14:paraId="0A869702" w14:textId="465DC2E2" w:rsidR="006A3154" w:rsidRPr="00B5373E" w:rsidRDefault="007524E3" w:rsidP="000D2900">
      <w:pPr>
        <w:pStyle w:val="ListParagraph"/>
        <w:widowControl w:val="0"/>
        <w:numPr>
          <w:ilvl w:val="0"/>
          <w:numId w:val="18"/>
        </w:numPr>
        <w:tabs>
          <w:tab w:val="left" w:pos="504"/>
        </w:tabs>
        <w:autoSpaceDE w:val="0"/>
        <w:autoSpaceDN w:val="0"/>
        <w:adjustRightInd w:val="0"/>
        <w:spacing w:line="240" w:lineRule="auto"/>
        <w:rPr>
          <w:rFonts w:ascii="Palatino Linotype" w:hAnsi="Palatino Linotype"/>
          <w:sz w:val="20"/>
          <w:szCs w:val="20"/>
        </w:rPr>
      </w:pPr>
      <w:r w:rsidRPr="00B5373E">
        <w:rPr>
          <w:rFonts w:ascii="Palatino Linotype" w:hAnsi="Palatino Linotype"/>
          <w:sz w:val="20"/>
          <w:szCs w:val="20"/>
          <w:lang w:val="da-DK"/>
        </w:rPr>
        <w:t xml:space="preserve">Tiainen M, Poutiainen E, Oksanen T, Kaukonen K-M, Pettilä V, Skrifvars M, et al. </w:t>
      </w:r>
      <w:r w:rsidRPr="00B5373E">
        <w:rPr>
          <w:rFonts w:ascii="Palatino Linotype" w:hAnsi="Palatino Linotype"/>
          <w:sz w:val="20"/>
          <w:szCs w:val="20"/>
        </w:rPr>
        <w:t xml:space="preserve">Functional outcome, cognition and quality of life after out-of-hospital cardiac arrest and therapeutic hypothermia: data from a randomized controlled trial. </w:t>
      </w:r>
      <w:proofErr w:type="spellStart"/>
      <w:r w:rsidR="005441B1" w:rsidRPr="00B5373E">
        <w:rPr>
          <w:rFonts w:ascii="Palatino Linotype" w:hAnsi="Palatino Linotype"/>
          <w:sz w:val="20"/>
          <w:szCs w:val="20"/>
        </w:rPr>
        <w:t>Scand</w:t>
      </w:r>
      <w:proofErr w:type="spellEnd"/>
      <w:r w:rsidR="005441B1" w:rsidRPr="00B5373E">
        <w:rPr>
          <w:rFonts w:ascii="Palatino Linotype" w:hAnsi="Palatino Linotype"/>
          <w:sz w:val="20"/>
          <w:szCs w:val="20"/>
        </w:rPr>
        <w:t xml:space="preserve"> J Trauma, </w:t>
      </w:r>
      <w:proofErr w:type="spellStart"/>
      <w:r w:rsidR="005441B1" w:rsidRPr="00B5373E">
        <w:rPr>
          <w:rFonts w:ascii="Palatino Linotype" w:hAnsi="Palatino Linotype"/>
          <w:sz w:val="20"/>
          <w:szCs w:val="20"/>
        </w:rPr>
        <w:t>Resusc</w:t>
      </w:r>
      <w:proofErr w:type="spellEnd"/>
      <w:r w:rsidR="005441B1" w:rsidRPr="00B5373E">
        <w:rPr>
          <w:rFonts w:ascii="Palatino Linotype" w:hAnsi="Palatino Linotype"/>
          <w:sz w:val="20"/>
          <w:szCs w:val="20"/>
        </w:rPr>
        <w:t xml:space="preserve"> </w:t>
      </w:r>
      <w:proofErr w:type="spellStart"/>
      <w:r w:rsidR="005441B1" w:rsidRPr="00B5373E">
        <w:rPr>
          <w:rFonts w:ascii="Palatino Linotype" w:hAnsi="Palatino Linotype"/>
          <w:sz w:val="20"/>
          <w:szCs w:val="20"/>
        </w:rPr>
        <w:t>Emerg</w:t>
      </w:r>
      <w:proofErr w:type="spellEnd"/>
      <w:r w:rsidR="005441B1" w:rsidRPr="00B5373E">
        <w:rPr>
          <w:rFonts w:ascii="Palatino Linotype" w:hAnsi="Palatino Linotype"/>
          <w:sz w:val="20"/>
          <w:szCs w:val="20"/>
        </w:rPr>
        <w:t xml:space="preserve"> Med </w:t>
      </w:r>
      <w:r w:rsidRPr="00B5373E">
        <w:rPr>
          <w:rFonts w:ascii="Palatino Linotype" w:hAnsi="Palatino Linotype"/>
          <w:sz w:val="20"/>
          <w:szCs w:val="20"/>
        </w:rPr>
        <w:t xml:space="preserve">2015;23:12–12. </w:t>
      </w:r>
      <w:hyperlink r:id="rId38">
        <w:r w:rsidRPr="00B5373E">
          <w:rPr>
            <w:rStyle w:val="Hyperlink"/>
            <w:rFonts w:ascii="Palatino Linotype" w:hAnsi="Palatino Linotype"/>
            <w:sz w:val="20"/>
            <w:szCs w:val="20"/>
          </w:rPr>
          <w:t>https://doi.org/10.1186/s13049-014-0084-9</w:t>
        </w:r>
      </w:hyperlink>
      <w:r w:rsidRPr="00B5373E">
        <w:rPr>
          <w:rFonts w:ascii="Palatino Linotype" w:hAnsi="Palatino Linotype"/>
          <w:sz w:val="20"/>
          <w:szCs w:val="20"/>
        </w:rPr>
        <w:t>.</w:t>
      </w:r>
    </w:p>
    <w:p w14:paraId="5683298D" w14:textId="09D7F75D" w:rsidR="00887C10" w:rsidRPr="00B5373E" w:rsidRDefault="007524E3" w:rsidP="7A679DD0">
      <w:pPr>
        <w:pStyle w:val="ListParagraph"/>
        <w:widowControl w:val="0"/>
        <w:numPr>
          <w:ilvl w:val="0"/>
          <w:numId w:val="18"/>
        </w:numPr>
        <w:tabs>
          <w:tab w:val="left" w:pos="504"/>
        </w:tabs>
        <w:autoSpaceDE w:val="0"/>
        <w:autoSpaceDN w:val="0"/>
        <w:adjustRightInd w:val="0"/>
        <w:spacing w:line="240" w:lineRule="auto"/>
        <w:rPr>
          <w:rStyle w:val="Hyperlink"/>
          <w:rFonts w:ascii="Palatino Linotype" w:hAnsi="Palatino Linotype" w:cs="Segoe UI"/>
          <w:sz w:val="20"/>
          <w:szCs w:val="20"/>
        </w:rPr>
      </w:pPr>
      <w:proofErr w:type="spellStart"/>
      <w:r w:rsidRPr="00B5373E">
        <w:rPr>
          <w:rFonts w:ascii="Palatino Linotype" w:hAnsi="Palatino Linotype"/>
          <w:sz w:val="20"/>
          <w:szCs w:val="20"/>
        </w:rPr>
        <w:lastRenderedPageBreak/>
        <w:t>Wachelder</w:t>
      </w:r>
      <w:proofErr w:type="spellEnd"/>
      <w:r w:rsidRPr="00B5373E">
        <w:rPr>
          <w:rFonts w:ascii="Palatino Linotype" w:hAnsi="Palatino Linotype"/>
          <w:sz w:val="20"/>
          <w:szCs w:val="20"/>
        </w:rPr>
        <w:t xml:space="preserve"> EM, </w:t>
      </w:r>
      <w:proofErr w:type="spellStart"/>
      <w:r w:rsidRPr="00B5373E">
        <w:rPr>
          <w:rFonts w:ascii="Palatino Linotype" w:hAnsi="Palatino Linotype"/>
          <w:sz w:val="20"/>
          <w:szCs w:val="20"/>
        </w:rPr>
        <w:t>Moulaert</w:t>
      </w:r>
      <w:proofErr w:type="spellEnd"/>
      <w:r w:rsidRPr="00B5373E">
        <w:rPr>
          <w:rFonts w:ascii="Palatino Linotype" w:hAnsi="Palatino Linotype"/>
          <w:sz w:val="20"/>
          <w:szCs w:val="20"/>
        </w:rPr>
        <w:t xml:space="preserve"> VRMP, van </w:t>
      </w:r>
      <w:proofErr w:type="spellStart"/>
      <w:r w:rsidRPr="00B5373E">
        <w:rPr>
          <w:rFonts w:ascii="Palatino Linotype" w:hAnsi="Palatino Linotype"/>
          <w:sz w:val="20"/>
          <w:szCs w:val="20"/>
        </w:rPr>
        <w:t>Heugten</w:t>
      </w:r>
      <w:proofErr w:type="spellEnd"/>
      <w:r w:rsidRPr="00B5373E">
        <w:rPr>
          <w:rFonts w:ascii="Palatino Linotype" w:hAnsi="Palatino Linotype"/>
          <w:sz w:val="20"/>
          <w:szCs w:val="20"/>
        </w:rPr>
        <w:t xml:space="preserve"> C, </w:t>
      </w:r>
      <w:proofErr w:type="spellStart"/>
      <w:r w:rsidRPr="00B5373E">
        <w:rPr>
          <w:rFonts w:ascii="Palatino Linotype" w:hAnsi="Palatino Linotype"/>
          <w:sz w:val="20"/>
          <w:szCs w:val="20"/>
        </w:rPr>
        <w:t>Verbunt</w:t>
      </w:r>
      <w:proofErr w:type="spellEnd"/>
      <w:r w:rsidRPr="00B5373E">
        <w:rPr>
          <w:rFonts w:ascii="Palatino Linotype" w:hAnsi="Palatino Linotype"/>
          <w:sz w:val="20"/>
          <w:szCs w:val="20"/>
        </w:rPr>
        <w:t xml:space="preserve"> JA, </w:t>
      </w:r>
      <w:proofErr w:type="spellStart"/>
      <w:r w:rsidRPr="00B5373E">
        <w:rPr>
          <w:rFonts w:ascii="Palatino Linotype" w:hAnsi="Palatino Linotype"/>
          <w:sz w:val="20"/>
          <w:szCs w:val="20"/>
        </w:rPr>
        <w:t>Bekkers</w:t>
      </w:r>
      <w:proofErr w:type="spellEnd"/>
      <w:r w:rsidRPr="00B5373E">
        <w:rPr>
          <w:rFonts w:ascii="Palatino Linotype" w:hAnsi="Palatino Linotype"/>
          <w:sz w:val="20"/>
          <w:szCs w:val="20"/>
        </w:rPr>
        <w:t xml:space="preserve"> SCAM, Wade DT. Life after survival: long-term daily functioning and quality of life after an out-of-hospital cardiac arrest. Resuscitation </w:t>
      </w:r>
      <w:proofErr w:type="gramStart"/>
      <w:r w:rsidRPr="00B5373E">
        <w:rPr>
          <w:rFonts w:ascii="Palatino Linotype" w:hAnsi="Palatino Linotype"/>
          <w:sz w:val="20"/>
          <w:szCs w:val="20"/>
        </w:rPr>
        <w:t>2009;80:517</w:t>
      </w:r>
      <w:proofErr w:type="gramEnd"/>
      <w:r w:rsidRPr="00B5373E">
        <w:rPr>
          <w:rFonts w:ascii="Palatino Linotype" w:hAnsi="Palatino Linotype"/>
          <w:sz w:val="20"/>
          <w:szCs w:val="20"/>
        </w:rPr>
        <w:t xml:space="preserve">–22. </w:t>
      </w:r>
      <w:hyperlink r:id="rId39">
        <w:r w:rsidRPr="00B5373E">
          <w:rPr>
            <w:rStyle w:val="Hyperlink"/>
            <w:rFonts w:ascii="Palatino Linotype" w:hAnsi="Palatino Linotype"/>
            <w:sz w:val="20"/>
            <w:szCs w:val="20"/>
          </w:rPr>
          <w:t>https://doi.org/10.1016/j.resuscitation.2009.01.020</w:t>
        </w:r>
      </w:hyperlink>
      <w:r w:rsidR="6EC1FDD8" w:rsidRPr="00B5373E">
        <w:rPr>
          <w:rFonts w:ascii="Palatino Linotype" w:hAnsi="Palatino Linotype"/>
          <w:sz w:val="20"/>
          <w:szCs w:val="20"/>
        </w:rPr>
        <w:t xml:space="preserve">  </w:t>
      </w:r>
    </w:p>
    <w:p w14:paraId="52291A78" w14:textId="7115363A" w:rsidR="00887C10" w:rsidRPr="00B5373E" w:rsidRDefault="00887C10" w:rsidP="7A679DD0">
      <w:pPr>
        <w:pStyle w:val="ListParagraph"/>
        <w:widowControl w:val="0"/>
        <w:numPr>
          <w:ilvl w:val="0"/>
          <w:numId w:val="18"/>
        </w:numPr>
        <w:tabs>
          <w:tab w:val="left" w:pos="504"/>
        </w:tabs>
        <w:autoSpaceDE w:val="0"/>
        <w:autoSpaceDN w:val="0"/>
        <w:adjustRightInd w:val="0"/>
        <w:spacing w:line="240" w:lineRule="auto"/>
        <w:rPr>
          <w:rStyle w:val="Hyperlink"/>
          <w:rFonts w:ascii="Palatino Linotype" w:hAnsi="Palatino Linotype" w:cs="Segoe UI"/>
          <w:sz w:val="20"/>
          <w:szCs w:val="20"/>
        </w:rPr>
      </w:pPr>
      <w:r w:rsidRPr="00B5373E">
        <w:rPr>
          <w:rFonts w:ascii="Palatino Linotype" w:hAnsi="Palatino Linotype" w:cs="Segoe UI"/>
          <w:color w:val="000000" w:themeColor="text1"/>
          <w:sz w:val="20"/>
          <w:szCs w:val="20"/>
          <w:shd w:val="clear" w:color="auto" w:fill="FCFCFC"/>
        </w:rPr>
        <w:t xml:space="preserve">Nolan, J.P., Sandroni, C., </w:t>
      </w:r>
      <w:proofErr w:type="spellStart"/>
      <w:r w:rsidRPr="00B5373E">
        <w:rPr>
          <w:rFonts w:ascii="Palatino Linotype" w:hAnsi="Palatino Linotype" w:cs="Segoe UI"/>
          <w:color w:val="000000" w:themeColor="text1"/>
          <w:sz w:val="20"/>
          <w:szCs w:val="20"/>
          <w:shd w:val="clear" w:color="auto" w:fill="FCFCFC"/>
        </w:rPr>
        <w:t>Böttiger</w:t>
      </w:r>
      <w:proofErr w:type="spellEnd"/>
      <w:r w:rsidRPr="00B5373E">
        <w:rPr>
          <w:rFonts w:ascii="Palatino Linotype" w:hAnsi="Palatino Linotype" w:cs="Segoe UI"/>
          <w:color w:val="000000" w:themeColor="text1"/>
          <w:sz w:val="20"/>
          <w:szCs w:val="20"/>
          <w:shd w:val="clear" w:color="auto" w:fill="FCFCFC"/>
        </w:rPr>
        <w:t>, B.W. </w:t>
      </w:r>
      <w:r w:rsidRPr="00B5373E">
        <w:rPr>
          <w:rFonts w:ascii="Palatino Linotype" w:hAnsi="Palatino Linotype" w:cs="Segoe UI"/>
          <w:i/>
          <w:iCs/>
          <w:color w:val="000000" w:themeColor="text1"/>
          <w:sz w:val="20"/>
          <w:szCs w:val="20"/>
          <w:shd w:val="clear" w:color="auto" w:fill="FCFCFC"/>
        </w:rPr>
        <w:t>et al.</w:t>
      </w:r>
      <w:r w:rsidRPr="00B5373E">
        <w:rPr>
          <w:rFonts w:ascii="Palatino Linotype" w:hAnsi="Palatino Linotype" w:cs="Segoe UI"/>
          <w:color w:val="000000" w:themeColor="text1"/>
          <w:sz w:val="20"/>
          <w:szCs w:val="20"/>
          <w:shd w:val="clear" w:color="auto" w:fill="FCFCFC"/>
        </w:rPr>
        <w:t> European Resuscitation Cou</w:t>
      </w:r>
      <w:r w:rsidRPr="00B5373E">
        <w:rPr>
          <w:rFonts w:ascii="Palatino Linotype" w:hAnsi="Palatino Linotype" w:cs="Segoe UI"/>
          <w:color w:val="333333"/>
          <w:sz w:val="20"/>
          <w:szCs w:val="20"/>
          <w:shd w:val="clear" w:color="auto" w:fill="FCFCFC"/>
        </w:rPr>
        <w:t>ncil and European Society of Intensive Care Medicine guidelines 2021: post-resuscitation care. </w:t>
      </w:r>
      <w:r w:rsidRPr="00B5373E">
        <w:rPr>
          <w:rFonts w:ascii="Palatino Linotype" w:hAnsi="Palatino Linotype" w:cs="Segoe UI"/>
          <w:i/>
          <w:iCs/>
          <w:color w:val="333333"/>
          <w:sz w:val="20"/>
          <w:szCs w:val="20"/>
          <w:shd w:val="clear" w:color="auto" w:fill="FCFCFC"/>
        </w:rPr>
        <w:t>Intensive Care Med</w:t>
      </w:r>
      <w:r w:rsidRPr="00B5373E">
        <w:rPr>
          <w:rFonts w:ascii="Palatino Linotype" w:hAnsi="Palatino Linotype" w:cs="Segoe UI"/>
          <w:color w:val="333333"/>
          <w:sz w:val="20"/>
          <w:szCs w:val="20"/>
          <w:shd w:val="clear" w:color="auto" w:fill="FCFCFC"/>
        </w:rPr>
        <w:t> </w:t>
      </w:r>
      <w:r w:rsidRPr="00B5373E">
        <w:rPr>
          <w:rFonts w:ascii="Palatino Linotype" w:hAnsi="Palatino Linotype" w:cs="Segoe UI"/>
          <w:b/>
          <w:bCs/>
          <w:color w:val="333333"/>
          <w:sz w:val="20"/>
          <w:szCs w:val="20"/>
          <w:shd w:val="clear" w:color="auto" w:fill="FCFCFC"/>
        </w:rPr>
        <w:t>47, </w:t>
      </w:r>
      <w:r w:rsidRPr="00B5373E">
        <w:rPr>
          <w:rFonts w:ascii="Palatino Linotype" w:hAnsi="Palatino Linotype" w:cs="Segoe UI"/>
          <w:color w:val="333333"/>
          <w:sz w:val="20"/>
          <w:szCs w:val="20"/>
          <w:shd w:val="clear" w:color="auto" w:fill="FCFCFC"/>
        </w:rPr>
        <w:t xml:space="preserve">369–421 (2021). </w:t>
      </w:r>
      <w:hyperlink r:id="rId40" w:history="1">
        <w:r w:rsidRPr="00B5373E">
          <w:rPr>
            <w:rStyle w:val="Hyperlink"/>
            <w:rFonts w:ascii="Palatino Linotype" w:hAnsi="Palatino Linotype" w:cs="Segoe UI"/>
            <w:sz w:val="20"/>
            <w:szCs w:val="20"/>
            <w:shd w:val="clear" w:color="auto" w:fill="FCFCFC"/>
          </w:rPr>
          <w:t>https://doi.org/10.1007/s00134-021-06368-4</w:t>
        </w:r>
      </w:hyperlink>
    </w:p>
    <w:p w14:paraId="58698CF7" w14:textId="65C5E706" w:rsidR="3349474C" w:rsidRPr="00B5373E" w:rsidRDefault="3349474C" w:rsidP="7A679DD0">
      <w:pPr>
        <w:pStyle w:val="ListParagraph"/>
        <w:numPr>
          <w:ilvl w:val="0"/>
          <w:numId w:val="18"/>
        </w:numPr>
        <w:tabs>
          <w:tab w:val="left" w:pos="504"/>
        </w:tabs>
        <w:spacing w:line="240" w:lineRule="auto"/>
        <w:rPr>
          <w:rFonts w:ascii="Palatino Linotype" w:hAnsi="Palatino Linotype" w:cs="Segoe UI"/>
          <w:color w:val="333333"/>
          <w:sz w:val="20"/>
          <w:szCs w:val="20"/>
        </w:rPr>
      </w:pPr>
      <w:r w:rsidRPr="00B5373E">
        <w:rPr>
          <w:rFonts w:ascii="Palatino Linotype" w:hAnsi="Palatino Linotype" w:cs="Segoe UI"/>
          <w:color w:val="333333"/>
          <w:sz w:val="20"/>
          <w:szCs w:val="20"/>
        </w:rPr>
        <w:t xml:space="preserve">Haywood K, Whitehead L, Nadkarni VM, </w:t>
      </w:r>
      <w:proofErr w:type="spellStart"/>
      <w:r w:rsidRPr="00B5373E">
        <w:rPr>
          <w:rFonts w:ascii="Palatino Linotype" w:hAnsi="Palatino Linotype" w:cs="Segoe UI"/>
          <w:color w:val="333333"/>
          <w:sz w:val="20"/>
          <w:szCs w:val="20"/>
        </w:rPr>
        <w:t>Achana</w:t>
      </w:r>
      <w:proofErr w:type="spellEnd"/>
      <w:r w:rsidRPr="00B5373E">
        <w:rPr>
          <w:rFonts w:ascii="Palatino Linotype" w:hAnsi="Palatino Linotype" w:cs="Segoe UI"/>
          <w:color w:val="333333"/>
          <w:sz w:val="20"/>
          <w:szCs w:val="20"/>
        </w:rPr>
        <w:t xml:space="preserve"> F, </w:t>
      </w:r>
      <w:proofErr w:type="spellStart"/>
      <w:r w:rsidRPr="00B5373E">
        <w:rPr>
          <w:rFonts w:ascii="Palatino Linotype" w:hAnsi="Palatino Linotype" w:cs="Segoe UI"/>
          <w:color w:val="333333"/>
          <w:sz w:val="20"/>
          <w:szCs w:val="20"/>
        </w:rPr>
        <w:t>Beesems</w:t>
      </w:r>
      <w:proofErr w:type="spellEnd"/>
      <w:r w:rsidRPr="00B5373E">
        <w:rPr>
          <w:rFonts w:ascii="Palatino Linotype" w:hAnsi="Palatino Linotype" w:cs="Segoe UI"/>
          <w:color w:val="333333"/>
          <w:sz w:val="20"/>
          <w:szCs w:val="20"/>
        </w:rPr>
        <w:t xml:space="preserve"> S, </w:t>
      </w:r>
      <w:proofErr w:type="spellStart"/>
      <w:r w:rsidRPr="00B5373E">
        <w:rPr>
          <w:rFonts w:ascii="Palatino Linotype" w:hAnsi="Palatino Linotype" w:cs="Segoe UI"/>
          <w:color w:val="333333"/>
          <w:sz w:val="20"/>
          <w:szCs w:val="20"/>
        </w:rPr>
        <w:t>Böttiger</w:t>
      </w:r>
      <w:proofErr w:type="spellEnd"/>
      <w:r w:rsidRPr="00B5373E">
        <w:rPr>
          <w:rFonts w:ascii="Palatino Linotype" w:hAnsi="Palatino Linotype" w:cs="Segoe UI"/>
          <w:color w:val="333333"/>
          <w:sz w:val="20"/>
          <w:szCs w:val="20"/>
        </w:rPr>
        <w:t xml:space="preserve"> BW, Brooks A, </w:t>
      </w:r>
      <w:proofErr w:type="spellStart"/>
      <w:r w:rsidRPr="00B5373E">
        <w:rPr>
          <w:rFonts w:ascii="Palatino Linotype" w:hAnsi="Palatino Linotype" w:cs="Segoe UI"/>
          <w:color w:val="333333"/>
          <w:sz w:val="20"/>
          <w:szCs w:val="20"/>
        </w:rPr>
        <w:t>Castrén</w:t>
      </w:r>
      <w:proofErr w:type="spellEnd"/>
      <w:r w:rsidRPr="00B5373E">
        <w:rPr>
          <w:rFonts w:ascii="Palatino Linotype" w:hAnsi="Palatino Linotype" w:cs="Segoe UI"/>
          <w:color w:val="333333"/>
          <w:sz w:val="20"/>
          <w:szCs w:val="20"/>
        </w:rPr>
        <w:t xml:space="preserve"> M, Ong ME, </w:t>
      </w:r>
      <w:proofErr w:type="spellStart"/>
      <w:r w:rsidRPr="00B5373E">
        <w:rPr>
          <w:rFonts w:ascii="Palatino Linotype" w:hAnsi="Palatino Linotype" w:cs="Segoe UI"/>
          <w:color w:val="333333"/>
          <w:sz w:val="20"/>
          <w:szCs w:val="20"/>
        </w:rPr>
        <w:t>Hazinski</w:t>
      </w:r>
      <w:proofErr w:type="spellEnd"/>
      <w:r w:rsidRPr="00B5373E">
        <w:rPr>
          <w:rFonts w:ascii="Palatino Linotype" w:hAnsi="Palatino Linotype" w:cs="Segoe UI"/>
          <w:color w:val="333333"/>
          <w:sz w:val="20"/>
          <w:szCs w:val="20"/>
        </w:rPr>
        <w:t xml:space="preserve"> MF, </w:t>
      </w:r>
      <w:proofErr w:type="spellStart"/>
      <w:r w:rsidRPr="00B5373E">
        <w:rPr>
          <w:rFonts w:ascii="Palatino Linotype" w:hAnsi="Palatino Linotype" w:cs="Segoe UI"/>
          <w:color w:val="333333"/>
          <w:sz w:val="20"/>
          <w:szCs w:val="20"/>
        </w:rPr>
        <w:t>Koster</w:t>
      </w:r>
      <w:proofErr w:type="spellEnd"/>
      <w:r w:rsidRPr="00B5373E">
        <w:rPr>
          <w:rFonts w:ascii="Palatino Linotype" w:hAnsi="Palatino Linotype" w:cs="Segoe UI"/>
          <w:color w:val="333333"/>
          <w:sz w:val="20"/>
          <w:szCs w:val="20"/>
        </w:rPr>
        <w:t xml:space="preserve"> RW. COSCA (Core Outcome Set for Cardiac Arrest) in adults: an advisory statement from the International Liaison Committee on Resuscitation. Circulation. 2018 May 29;137(22</w:t>
      </w:r>
      <w:proofErr w:type="gramStart"/>
      <w:r w:rsidRPr="00B5373E">
        <w:rPr>
          <w:rFonts w:ascii="Palatino Linotype" w:hAnsi="Palatino Linotype" w:cs="Segoe UI"/>
          <w:color w:val="333333"/>
          <w:sz w:val="20"/>
          <w:szCs w:val="20"/>
        </w:rPr>
        <w:t>):e</w:t>
      </w:r>
      <w:proofErr w:type="gramEnd"/>
      <w:r w:rsidRPr="00B5373E">
        <w:rPr>
          <w:rFonts w:ascii="Palatino Linotype" w:hAnsi="Palatino Linotype" w:cs="Segoe UI"/>
          <w:color w:val="333333"/>
          <w:sz w:val="20"/>
          <w:szCs w:val="20"/>
        </w:rPr>
        <w:t xml:space="preserve">783-801. </w:t>
      </w:r>
      <w:hyperlink r:id="rId41">
        <w:r w:rsidRPr="00B5373E">
          <w:rPr>
            <w:rStyle w:val="Hyperlink"/>
            <w:rFonts w:ascii="Palatino Linotype" w:hAnsi="Palatino Linotype" w:cs="Segoe UI"/>
            <w:sz w:val="20"/>
            <w:szCs w:val="20"/>
          </w:rPr>
          <w:t>https://doi.org/10.1161/CIR.0000000000000562</w:t>
        </w:r>
      </w:hyperlink>
    </w:p>
    <w:p w14:paraId="22484574" w14:textId="14E183B0" w:rsidR="7A679DD0" w:rsidRDefault="7A679DD0" w:rsidP="7A679DD0">
      <w:pPr>
        <w:tabs>
          <w:tab w:val="left" w:pos="504"/>
        </w:tabs>
        <w:spacing w:line="240" w:lineRule="auto"/>
        <w:rPr>
          <w:rFonts w:cs="Segoe UI"/>
        </w:rPr>
      </w:pPr>
    </w:p>
    <w:sectPr w:rsidR="7A679DD0" w:rsidSect="003E77E9">
      <w:endnotePr>
        <w:numFmt w:val="decimal"/>
      </w:endnotePr>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0CF095" w16cex:dateUtc="2021-05-11T12:14:00Z"/>
  <w16cex:commentExtensible w16cex:durableId="062DCF9D" w16cex:dateUtc="2021-05-18T13:47:59.4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79FFF" w14:textId="77777777" w:rsidR="00357758" w:rsidRDefault="00357758">
      <w:pPr>
        <w:spacing w:line="240" w:lineRule="auto"/>
      </w:pPr>
      <w:r>
        <w:separator/>
      </w:r>
    </w:p>
  </w:endnote>
  <w:endnote w:type="continuationSeparator" w:id="0">
    <w:p w14:paraId="6DD10343" w14:textId="77777777" w:rsidR="00357758" w:rsidRDefault="00357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9468" w14:textId="77777777" w:rsidR="000C461D" w:rsidRDefault="000C4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ED67" w14:textId="77777777" w:rsidR="000C461D" w:rsidRPr="00CC2C1C" w:rsidRDefault="000C461D" w:rsidP="00494C0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59266880"/>
      <w:docPartObj>
        <w:docPartGallery w:val="Page Numbers (Bottom of Page)"/>
        <w:docPartUnique/>
      </w:docPartObj>
    </w:sdtPr>
    <w:sdtEndPr>
      <w:rPr>
        <w:noProof/>
      </w:rPr>
    </w:sdtEndPr>
    <w:sdtContent>
      <w:p w14:paraId="03E68879" w14:textId="4404153D" w:rsidR="000C461D" w:rsidRDefault="000C461D">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596D5724" w14:textId="29462AD9" w:rsidR="000C461D" w:rsidRPr="008B308E" w:rsidRDefault="000C461D" w:rsidP="00691AA3">
    <w:pPr>
      <w:pStyle w:val="MDPI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8F5FA" w14:textId="77777777" w:rsidR="00357758" w:rsidRDefault="00357758">
      <w:pPr>
        <w:spacing w:line="240" w:lineRule="auto"/>
      </w:pPr>
      <w:r>
        <w:separator/>
      </w:r>
    </w:p>
  </w:footnote>
  <w:footnote w:type="continuationSeparator" w:id="0">
    <w:p w14:paraId="7E59E3E9" w14:textId="77777777" w:rsidR="00357758" w:rsidRDefault="003577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AF8E" w14:textId="77777777" w:rsidR="000C461D" w:rsidRDefault="000C461D"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30FA" w14:textId="605DB0EA" w:rsidR="000C461D" w:rsidRDefault="000C461D" w:rsidP="00691AA3">
    <w:pPr>
      <w:tabs>
        <w:tab w:val="right" w:pos="10466"/>
      </w:tabs>
      <w:adjustRightInd w:val="0"/>
      <w:snapToGrid w:val="0"/>
      <w:spacing w:line="240" w:lineRule="auto"/>
      <w:rPr>
        <w:sz w:val="16"/>
      </w:rPr>
    </w:pPr>
    <w:r>
      <w:rPr>
        <w:sz w:val="16"/>
      </w:rPr>
      <w:tab/>
    </w:r>
    <w:r>
      <w:rPr>
        <w:sz w:val="16"/>
      </w:rPr>
      <w:fldChar w:fldCharType="begin"/>
    </w:r>
    <w:r>
      <w:rPr>
        <w:sz w:val="16"/>
      </w:rPr>
      <w:instrText xml:space="preserve"> PAGE   \* MERGEFORMAT </w:instrText>
    </w:r>
    <w:r>
      <w:rPr>
        <w:sz w:val="16"/>
      </w:rPr>
      <w:fldChar w:fldCharType="separate"/>
    </w:r>
    <w:r>
      <w:rPr>
        <w:sz w:val="16"/>
      </w:rPr>
      <w:t>4</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20</w:t>
    </w:r>
    <w:r>
      <w:rPr>
        <w:sz w:val="16"/>
      </w:rPr>
      <w:fldChar w:fldCharType="end"/>
    </w:r>
  </w:p>
  <w:p w14:paraId="78EEBC63" w14:textId="77777777" w:rsidR="000C461D" w:rsidRPr="00DC1886" w:rsidRDefault="000C461D"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0C461D" w:rsidRPr="00691AA3" w14:paraId="2E4DA52D" w14:textId="77777777" w:rsidTr="05B98B2E">
      <w:trPr>
        <w:trHeight w:val="686"/>
      </w:trPr>
      <w:tc>
        <w:tcPr>
          <w:tcW w:w="3679" w:type="dxa"/>
          <w:shd w:val="clear" w:color="auto" w:fill="auto"/>
          <w:vAlign w:val="center"/>
        </w:tcPr>
        <w:p w14:paraId="5DC88784" w14:textId="5C6B525C" w:rsidR="000C461D" w:rsidRPr="00EF08AF" w:rsidRDefault="000C461D" w:rsidP="00691AA3">
          <w:pPr>
            <w:pStyle w:val="Header"/>
            <w:pBdr>
              <w:bottom w:val="none" w:sz="0" w:space="0" w:color="auto"/>
            </w:pBdr>
            <w:jc w:val="left"/>
            <w:rPr>
              <w:rFonts w:eastAsia="DengXian"/>
              <w:b/>
              <w:bCs/>
            </w:rPr>
          </w:pPr>
        </w:p>
      </w:tc>
      <w:tc>
        <w:tcPr>
          <w:tcW w:w="4535" w:type="dxa"/>
          <w:shd w:val="clear" w:color="auto" w:fill="auto"/>
          <w:vAlign w:val="center"/>
        </w:tcPr>
        <w:p w14:paraId="7103BBED" w14:textId="77777777" w:rsidR="000C461D" w:rsidRPr="00EF08AF" w:rsidRDefault="000C461D" w:rsidP="00691AA3">
          <w:pPr>
            <w:pStyle w:val="Header"/>
            <w:pBdr>
              <w:bottom w:val="none" w:sz="0" w:space="0" w:color="auto"/>
            </w:pBdr>
            <w:rPr>
              <w:rFonts w:eastAsia="DengXian"/>
              <w:b/>
              <w:bCs/>
            </w:rPr>
          </w:pPr>
        </w:p>
      </w:tc>
      <w:tc>
        <w:tcPr>
          <w:tcW w:w="2273" w:type="dxa"/>
          <w:shd w:val="clear" w:color="auto" w:fill="auto"/>
          <w:vAlign w:val="center"/>
        </w:tcPr>
        <w:p w14:paraId="374D5F4C" w14:textId="3AECC7C9" w:rsidR="000C461D" w:rsidRPr="00EF08AF" w:rsidRDefault="000C461D" w:rsidP="00691AA3">
          <w:pPr>
            <w:pStyle w:val="Header"/>
            <w:pBdr>
              <w:bottom w:val="none" w:sz="0" w:space="0" w:color="auto"/>
            </w:pBdr>
            <w:jc w:val="right"/>
            <w:rPr>
              <w:rFonts w:eastAsia="DengXian"/>
              <w:b/>
              <w:bCs/>
            </w:rPr>
          </w:pPr>
        </w:p>
      </w:tc>
    </w:tr>
  </w:tbl>
  <w:p w14:paraId="73C67C85" w14:textId="77777777" w:rsidR="000C461D" w:rsidRPr="003D660D" w:rsidRDefault="000C461D"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31870"/>
    <w:multiLevelType w:val="hybridMultilevel"/>
    <w:tmpl w:val="78C49766"/>
    <w:lvl w:ilvl="0" w:tplc="907EBE1C">
      <w:start w:val="1"/>
      <w:numFmt w:val="decimal"/>
      <w:lvlText w:val="%1."/>
      <w:lvlJc w:val="left"/>
      <w:pPr>
        <w:ind w:left="720" w:hanging="360"/>
      </w:pPr>
    </w:lvl>
    <w:lvl w:ilvl="1" w:tplc="A7D8A1E0">
      <w:start w:val="1"/>
      <w:numFmt w:val="lowerLetter"/>
      <w:lvlText w:val="%2."/>
      <w:lvlJc w:val="left"/>
      <w:pPr>
        <w:ind w:left="1440" w:hanging="360"/>
      </w:pPr>
    </w:lvl>
    <w:lvl w:ilvl="2" w:tplc="77A42C04">
      <w:start w:val="1"/>
      <w:numFmt w:val="lowerRoman"/>
      <w:lvlText w:val="%3."/>
      <w:lvlJc w:val="right"/>
      <w:pPr>
        <w:ind w:left="2160" w:hanging="180"/>
      </w:pPr>
    </w:lvl>
    <w:lvl w:ilvl="3" w:tplc="1CD8DF14">
      <w:start w:val="1"/>
      <w:numFmt w:val="decimal"/>
      <w:lvlText w:val="%4."/>
      <w:lvlJc w:val="left"/>
      <w:pPr>
        <w:ind w:left="2880" w:hanging="360"/>
      </w:pPr>
    </w:lvl>
    <w:lvl w:ilvl="4" w:tplc="B0D21C50">
      <w:start w:val="1"/>
      <w:numFmt w:val="lowerLetter"/>
      <w:lvlText w:val="%5."/>
      <w:lvlJc w:val="left"/>
      <w:pPr>
        <w:ind w:left="3600" w:hanging="360"/>
      </w:pPr>
    </w:lvl>
    <w:lvl w:ilvl="5" w:tplc="996A0A6E">
      <w:start w:val="1"/>
      <w:numFmt w:val="lowerRoman"/>
      <w:lvlText w:val="%6."/>
      <w:lvlJc w:val="right"/>
      <w:pPr>
        <w:ind w:left="4320" w:hanging="180"/>
      </w:pPr>
    </w:lvl>
    <w:lvl w:ilvl="6" w:tplc="844A9F28">
      <w:start w:val="1"/>
      <w:numFmt w:val="decimal"/>
      <w:lvlText w:val="%7."/>
      <w:lvlJc w:val="left"/>
      <w:pPr>
        <w:ind w:left="5040" w:hanging="360"/>
      </w:pPr>
    </w:lvl>
    <w:lvl w:ilvl="7" w:tplc="3506B074">
      <w:start w:val="1"/>
      <w:numFmt w:val="lowerLetter"/>
      <w:lvlText w:val="%8."/>
      <w:lvlJc w:val="left"/>
      <w:pPr>
        <w:ind w:left="5760" w:hanging="360"/>
      </w:pPr>
    </w:lvl>
    <w:lvl w:ilvl="8" w:tplc="FAF8BF06">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7D4F00B6"/>
    <w:multiLevelType w:val="hybridMultilevel"/>
    <w:tmpl w:val="FA8686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8"/>
  </w:num>
  <w:num w:numId="9">
    <w:abstractNumId w:val="1"/>
  </w:num>
  <w:num w:numId="10">
    <w:abstractNumId w:val="8"/>
  </w:num>
  <w:num w:numId="11">
    <w:abstractNumId w:val="1"/>
  </w:num>
  <w:num w:numId="12">
    <w:abstractNumId w:val="9"/>
  </w:num>
  <w:num w:numId="13">
    <w:abstractNumId w:val="8"/>
  </w:num>
  <w:num w:numId="14">
    <w:abstractNumId w:val="1"/>
  </w:num>
  <w:num w:numId="15">
    <w:abstractNumId w:val="0"/>
  </w:num>
  <w:num w:numId="16">
    <w:abstractNumId w:val="7"/>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F2"/>
    <w:rsid w:val="000122AB"/>
    <w:rsid w:val="00012F4D"/>
    <w:rsid w:val="00021273"/>
    <w:rsid w:val="000274F7"/>
    <w:rsid w:val="00035296"/>
    <w:rsid w:val="00035DBF"/>
    <w:rsid w:val="00054346"/>
    <w:rsid w:val="000561FF"/>
    <w:rsid w:val="000564A3"/>
    <w:rsid w:val="00061139"/>
    <w:rsid w:val="000620C1"/>
    <w:rsid w:val="00064A99"/>
    <w:rsid w:val="00070792"/>
    <w:rsid w:val="00072F75"/>
    <w:rsid w:val="00080004"/>
    <w:rsid w:val="000837CD"/>
    <w:rsid w:val="00091FAA"/>
    <w:rsid w:val="000921C6"/>
    <w:rsid w:val="000955FC"/>
    <w:rsid w:val="000A11D7"/>
    <w:rsid w:val="000A22EF"/>
    <w:rsid w:val="000A6CF4"/>
    <w:rsid w:val="000B1145"/>
    <w:rsid w:val="000B5EC8"/>
    <w:rsid w:val="000B7E2D"/>
    <w:rsid w:val="000C461D"/>
    <w:rsid w:val="000C7977"/>
    <w:rsid w:val="000D093B"/>
    <w:rsid w:val="000D2900"/>
    <w:rsid w:val="000E1380"/>
    <w:rsid w:val="000E2F3E"/>
    <w:rsid w:val="000F63E0"/>
    <w:rsid w:val="001011B1"/>
    <w:rsid w:val="001011DC"/>
    <w:rsid w:val="00104745"/>
    <w:rsid w:val="00133FDE"/>
    <w:rsid w:val="00135066"/>
    <w:rsid w:val="001445B9"/>
    <w:rsid w:val="0014517E"/>
    <w:rsid w:val="00146F28"/>
    <w:rsid w:val="00163483"/>
    <w:rsid w:val="00175148"/>
    <w:rsid w:val="0018732B"/>
    <w:rsid w:val="001A578F"/>
    <w:rsid w:val="001B564D"/>
    <w:rsid w:val="001B65E3"/>
    <w:rsid w:val="001C4008"/>
    <w:rsid w:val="001D26F2"/>
    <w:rsid w:val="001D5EBA"/>
    <w:rsid w:val="001E102C"/>
    <w:rsid w:val="001E2AEB"/>
    <w:rsid w:val="001E618F"/>
    <w:rsid w:val="001F152F"/>
    <w:rsid w:val="001F5853"/>
    <w:rsid w:val="00207082"/>
    <w:rsid w:val="00212695"/>
    <w:rsid w:val="00217BC0"/>
    <w:rsid w:val="00222CA6"/>
    <w:rsid w:val="00224B5C"/>
    <w:rsid w:val="00226344"/>
    <w:rsid w:val="0023689A"/>
    <w:rsid w:val="00255A6D"/>
    <w:rsid w:val="0028224B"/>
    <w:rsid w:val="002828ED"/>
    <w:rsid w:val="002904C6"/>
    <w:rsid w:val="00290BFF"/>
    <w:rsid w:val="00290FB4"/>
    <w:rsid w:val="00297737"/>
    <w:rsid w:val="002A1F1B"/>
    <w:rsid w:val="002A77E9"/>
    <w:rsid w:val="002B10FC"/>
    <w:rsid w:val="002B786A"/>
    <w:rsid w:val="002C4460"/>
    <w:rsid w:val="002D7D5E"/>
    <w:rsid w:val="002E2337"/>
    <w:rsid w:val="002F1E53"/>
    <w:rsid w:val="002F26EF"/>
    <w:rsid w:val="00320D3C"/>
    <w:rsid w:val="003247E7"/>
    <w:rsid w:val="00326141"/>
    <w:rsid w:val="00335211"/>
    <w:rsid w:val="00335630"/>
    <w:rsid w:val="00347FA7"/>
    <w:rsid w:val="00352210"/>
    <w:rsid w:val="00354C2D"/>
    <w:rsid w:val="00357758"/>
    <w:rsid w:val="0036011B"/>
    <w:rsid w:val="003609A1"/>
    <w:rsid w:val="00363CE9"/>
    <w:rsid w:val="003652CD"/>
    <w:rsid w:val="00366C3B"/>
    <w:rsid w:val="00370916"/>
    <w:rsid w:val="00375A07"/>
    <w:rsid w:val="00394DE8"/>
    <w:rsid w:val="00395AAA"/>
    <w:rsid w:val="003A51E4"/>
    <w:rsid w:val="003A7EF7"/>
    <w:rsid w:val="003B4E87"/>
    <w:rsid w:val="003B639E"/>
    <w:rsid w:val="003D50E2"/>
    <w:rsid w:val="003D660D"/>
    <w:rsid w:val="003E0223"/>
    <w:rsid w:val="003E1F3A"/>
    <w:rsid w:val="003E2099"/>
    <w:rsid w:val="003E77E9"/>
    <w:rsid w:val="003E7FFA"/>
    <w:rsid w:val="003F18F1"/>
    <w:rsid w:val="003F3E95"/>
    <w:rsid w:val="003F5356"/>
    <w:rsid w:val="00401D30"/>
    <w:rsid w:val="00402228"/>
    <w:rsid w:val="00407D9D"/>
    <w:rsid w:val="00417180"/>
    <w:rsid w:val="00445542"/>
    <w:rsid w:val="00455B7C"/>
    <w:rsid w:val="0045658A"/>
    <w:rsid w:val="004566E9"/>
    <w:rsid w:val="004617C7"/>
    <w:rsid w:val="00462E79"/>
    <w:rsid w:val="00466881"/>
    <w:rsid w:val="00473E89"/>
    <w:rsid w:val="004742A5"/>
    <w:rsid w:val="004846E4"/>
    <w:rsid w:val="004853C6"/>
    <w:rsid w:val="0048631E"/>
    <w:rsid w:val="00491962"/>
    <w:rsid w:val="00494C08"/>
    <w:rsid w:val="00497112"/>
    <w:rsid w:val="004A13A5"/>
    <w:rsid w:val="004A49D9"/>
    <w:rsid w:val="004B261F"/>
    <w:rsid w:val="004B2B0E"/>
    <w:rsid w:val="004B2DDD"/>
    <w:rsid w:val="004B5BD6"/>
    <w:rsid w:val="004D5948"/>
    <w:rsid w:val="004D7BC9"/>
    <w:rsid w:val="004E1533"/>
    <w:rsid w:val="004E7A6E"/>
    <w:rsid w:val="004F5EEF"/>
    <w:rsid w:val="004F6991"/>
    <w:rsid w:val="005276B2"/>
    <w:rsid w:val="00535E6D"/>
    <w:rsid w:val="005441B1"/>
    <w:rsid w:val="00544285"/>
    <w:rsid w:val="00546CFB"/>
    <w:rsid w:val="00550246"/>
    <w:rsid w:val="00556446"/>
    <w:rsid w:val="005608DF"/>
    <w:rsid w:val="00562B90"/>
    <w:rsid w:val="00562FC7"/>
    <w:rsid w:val="00577CDF"/>
    <w:rsid w:val="0058104E"/>
    <w:rsid w:val="0058611F"/>
    <w:rsid w:val="005939A2"/>
    <w:rsid w:val="005942A1"/>
    <w:rsid w:val="0059606B"/>
    <w:rsid w:val="005A236A"/>
    <w:rsid w:val="005B4C18"/>
    <w:rsid w:val="005B7FB1"/>
    <w:rsid w:val="005C05C9"/>
    <w:rsid w:val="005C3739"/>
    <w:rsid w:val="005C4709"/>
    <w:rsid w:val="005D0CFE"/>
    <w:rsid w:val="005D1610"/>
    <w:rsid w:val="005D371B"/>
    <w:rsid w:val="005E2BCD"/>
    <w:rsid w:val="005F159A"/>
    <w:rsid w:val="0061004D"/>
    <w:rsid w:val="00621B5B"/>
    <w:rsid w:val="00621FA4"/>
    <w:rsid w:val="00623873"/>
    <w:rsid w:val="00623C42"/>
    <w:rsid w:val="00625FF5"/>
    <w:rsid w:val="006325F9"/>
    <w:rsid w:val="00637223"/>
    <w:rsid w:val="00647087"/>
    <w:rsid w:val="00664A15"/>
    <w:rsid w:val="00664D9A"/>
    <w:rsid w:val="0066786F"/>
    <w:rsid w:val="006866C5"/>
    <w:rsid w:val="00691AA3"/>
    <w:rsid w:val="00692393"/>
    <w:rsid w:val="00696412"/>
    <w:rsid w:val="006A1525"/>
    <w:rsid w:val="006A3154"/>
    <w:rsid w:val="006A634E"/>
    <w:rsid w:val="006B2C93"/>
    <w:rsid w:val="006C2089"/>
    <w:rsid w:val="006C6ED9"/>
    <w:rsid w:val="006E1C40"/>
    <w:rsid w:val="006E6190"/>
    <w:rsid w:val="006F2E13"/>
    <w:rsid w:val="00704B35"/>
    <w:rsid w:val="0070534D"/>
    <w:rsid w:val="00712FFF"/>
    <w:rsid w:val="007224B9"/>
    <w:rsid w:val="007226E3"/>
    <w:rsid w:val="007239FB"/>
    <w:rsid w:val="007273C6"/>
    <w:rsid w:val="00743DD4"/>
    <w:rsid w:val="00746E69"/>
    <w:rsid w:val="007524E3"/>
    <w:rsid w:val="00757B59"/>
    <w:rsid w:val="00764747"/>
    <w:rsid w:val="0076681C"/>
    <w:rsid w:val="00767EC7"/>
    <w:rsid w:val="007712FB"/>
    <w:rsid w:val="00777CAB"/>
    <w:rsid w:val="00780C09"/>
    <w:rsid w:val="007814FC"/>
    <w:rsid w:val="00781F68"/>
    <w:rsid w:val="0078729D"/>
    <w:rsid w:val="00795873"/>
    <w:rsid w:val="00795A8F"/>
    <w:rsid w:val="007A1044"/>
    <w:rsid w:val="007A12C4"/>
    <w:rsid w:val="007A5FE1"/>
    <w:rsid w:val="007B0695"/>
    <w:rsid w:val="007B6441"/>
    <w:rsid w:val="007D7187"/>
    <w:rsid w:val="007E30CE"/>
    <w:rsid w:val="007E72E7"/>
    <w:rsid w:val="007F0CD0"/>
    <w:rsid w:val="008156EB"/>
    <w:rsid w:val="00831620"/>
    <w:rsid w:val="00843B87"/>
    <w:rsid w:val="0084689A"/>
    <w:rsid w:val="00860E94"/>
    <w:rsid w:val="00864137"/>
    <w:rsid w:val="00870297"/>
    <w:rsid w:val="008759CE"/>
    <w:rsid w:val="0088200B"/>
    <w:rsid w:val="008837AF"/>
    <w:rsid w:val="00887C10"/>
    <w:rsid w:val="0089698C"/>
    <w:rsid w:val="00897848"/>
    <w:rsid w:val="00897F2E"/>
    <w:rsid w:val="008A420E"/>
    <w:rsid w:val="008A5E0A"/>
    <w:rsid w:val="008B03FF"/>
    <w:rsid w:val="008B3A80"/>
    <w:rsid w:val="008C59BD"/>
    <w:rsid w:val="008D2D50"/>
    <w:rsid w:val="008DE3EF"/>
    <w:rsid w:val="008E5863"/>
    <w:rsid w:val="008F489A"/>
    <w:rsid w:val="00902873"/>
    <w:rsid w:val="009033B4"/>
    <w:rsid w:val="00911B1A"/>
    <w:rsid w:val="00913BBC"/>
    <w:rsid w:val="009169F1"/>
    <w:rsid w:val="00925AEC"/>
    <w:rsid w:val="009306EC"/>
    <w:rsid w:val="009360D1"/>
    <w:rsid w:val="00940DF4"/>
    <w:rsid w:val="00943809"/>
    <w:rsid w:val="00947030"/>
    <w:rsid w:val="00952152"/>
    <w:rsid w:val="00954FFC"/>
    <w:rsid w:val="00967F36"/>
    <w:rsid w:val="00974880"/>
    <w:rsid w:val="0097642D"/>
    <w:rsid w:val="0099252E"/>
    <w:rsid w:val="009A479A"/>
    <w:rsid w:val="009A6F4E"/>
    <w:rsid w:val="009B2BBF"/>
    <w:rsid w:val="009B7EAC"/>
    <w:rsid w:val="009C1197"/>
    <w:rsid w:val="009D0D08"/>
    <w:rsid w:val="009F2CEF"/>
    <w:rsid w:val="009F70E6"/>
    <w:rsid w:val="00A01F85"/>
    <w:rsid w:val="00A069DF"/>
    <w:rsid w:val="00A1257B"/>
    <w:rsid w:val="00A14299"/>
    <w:rsid w:val="00A14E8B"/>
    <w:rsid w:val="00A17DA6"/>
    <w:rsid w:val="00A34842"/>
    <w:rsid w:val="00A41F22"/>
    <w:rsid w:val="00A602BA"/>
    <w:rsid w:val="00A6369A"/>
    <w:rsid w:val="00A66CD1"/>
    <w:rsid w:val="00A77E62"/>
    <w:rsid w:val="00A8692B"/>
    <w:rsid w:val="00A944CF"/>
    <w:rsid w:val="00AB6362"/>
    <w:rsid w:val="00AB70FE"/>
    <w:rsid w:val="00AC1248"/>
    <w:rsid w:val="00AC63B5"/>
    <w:rsid w:val="00AD2BB4"/>
    <w:rsid w:val="00AD2EC7"/>
    <w:rsid w:val="00AE2B76"/>
    <w:rsid w:val="00AF52C8"/>
    <w:rsid w:val="00B131FE"/>
    <w:rsid w:val="00B1598C"/>
    <w:rsid w:val="00B17B20"/>
    <w:rsid w:val="00B34164"/>
    <w:rsid w:val="00B5373E"/>
    <w:rsid w:val="00B53E13"/>
    <w:rsid w:val="00B768DE"/>
    <w:rsid w:val="00BA0FD0"/>
    <w:rsid w:val="00BA73CA"/>
    <w:rsid w:val="00BB0473"/>
    <w:rsid w:val="00BB06AA"/>
    <w:rsid w:val="00BB08A6"/>
    <w:rsid w:val="00BB0DF8"/>
    <w:rsid w:val="00BB16F8"/>
    <w:rsid w:val="00BB6348"/>
    <w:rsid w:val="00BB7246"/>
    <w:rsid w:val="00BC35E3"/>
    <w:rsid w:val="00BC7C76"/>
    <w:rsid w:val="00BD63DB"/>
    <w:rsid w:val="00BF6337"/>
    <w:rsid w:val="00C005DC"/>
    <w:rsid w:val="00C0772E"/>
    <w:rsid w:val="00C07EFB"/>
    <w:rsid w:val="00C1007D"/>
    <w:rsid w:val="00C130EF"/>
    <w:rsid w:val="00C256DA"/>
    <w:rsid w:val="00C30EBA"/>
    <w:rsid w:val="00C31700"/>
    <w:rsid w:val="00C3191B"/>
    <w:rsid w:val="00C33FB8"/>
    <w:rsid w:val="00C422C3"/>
    <w:rsid w:val="00C476C2"/>
    <w:rsid w:val="00C50FB3"/>
    <w:rsid w:val="00C60A24"/>
    <w:rsid w:val="00C634B2"/>
    <w:rsid w:val="00C63CFB"/>
    <w:rsid w:val="00C76330"/>
    <w:rsid w:val="00C83B6B"/>
    <w:rsid w:val="00CA1D7B"/>
    <w:rsid w:val="00CA3C9E"/>
    <w:rsid w:val="00CA58DF"/>
    <w:rsid w:val="00CA775F"/>
    <w:rsid w:val="00CB101D"/>
    <w:rsid w:val="00CB34C8"/>
    <w:rsid w:val="00CC220A"/>
    <w:rsid w:val="00CC28BB"/>
    <w:rsid w:val="00CC3A5D"/>
    <w:rsid w:val="00CCCAA8"/>
    <w:rsid w:val="00CD0FC2"/>
    <w:rsid w:val="00CD4B8A"/>
    <w:rsid w:val="00CD5B39"/>
    <w:rsid w:val="00CD6C60"/>
    <w:rsid w:val="00CD763A"/>
    <w:rsid w:val="00CD7CC2"/>
    <w:rsid w:val="00CE65FD"/>
    <w:rsid w:val="00CF5596"/>
    <w:rsid w:val="00CF624D"/>
    <w:rsid w:val="00CF799B"/>
    <w:rsid w:val="00D03CBA"/>
    <w:rsid w:val="00D121B8"/>
    <w:rsid w:val="00D157BF"/>
    <w:rsid w:val="00D42D71"/>
    <w:rsid w:val="00D43A38"/>
    <w:rsid w:val="00D45C5C"/>
    <w:rsid w:val="00D519D1"/>
    <w:rsid w:val="00D564AB"/>
    <w:rsid w:val="00D60F74"/>
    <w:rsid w:val="00D70AE4"/>
    <w:rsid w:val="00D71A5B"/>
    <w:rsid w:val="00D84C3B"/>
    <w:rsid w:val="00D93B62"/>
    <w:rsid w:val="00D94F65"/>
    <w:rsid w:val="00D95D7F"/>
    <w:rsid w:val="00DA2B0B"/>
    <w:rsid w:val="00DB0F5E"/>
    <w:rsid w:val="00DB6353"/>
    <w:rsid w:val="00DB79B4"/>
    <w:rsid w:val="00DC2AC6"/>
    <w:rsid w:val="00DC47A9"/>
    <w:rsid w:val="00DD0DDA"/>
    <w:rsid w:val="00DD2C50"/>
    <w:rsid w:val="00DD34F9"/>
    <w:rsid w:val="00DD4393"/>
    <w:rsid w:val="00DF25C3"/>
    <w:rsid w:val="00DF2A6B"/>
    <w:rsid w:val="00DF3ACF"/>
    <w:rsid w:val="00E01037"/>
    <w:rsid w:val="00E07D9E"/>
    <w:rsid w:val="00E2476B"/>
    <w:rsid w:val="00E25831"/>
    <w:rsid w:val="00E25B0B"/>
    <w:rsid w:val="00E279FF"/>
    <w:rsid w:val="00E35AB9"/>
    <w:rsid w:val="00E365F7"/>
    <w:rsid w:val="00E3714A"/>
    <w:rsid w:val="00E40704"/>
    <w:rsid w:val="00E460EA"/>
    <w:rsid w:val="00E467C7"/>
    <w:rsid w:val="00E55A61"/>
    <w:rsid w:val="00E55FF8"/>
    <w:rsid w:val="00E56CA1"/>
    <w:rsid w:val="00E70431"/>
    <w:rsid w:val="00E735D6"/>
    <w:rsid w:val="00E74609"/>
    <w:rsid w:val="00E834E1"/>
    <w:rsid w:val="00E84FFE"/>
    <w:rsid w:val="00E90B26"/>
    <w:rsid w:val="00E91ADC"/>
    <w:rsid w:val="00E93210"/>
    <w:rsid w:val="00ED2149"/>
    <w:rsid w:val="00ED7908"/>
    <w:rsid w:val="00EF08AF"/>
    <w:rsid w:val="00EF6AD9"/>
    <w:rsid w:val="00F0207C"/>
    <w:rsid w:val="00F02A50"/>
    <w:rsid w:val="00F077E1"/>
    <w:rsid w:val="00F10359"/>
    <w:rsid w:val="00F15B61"/>
    <w:rsid w:val="00F204D7"/>
    <w:rsid w:val="00F273FE"/>
    <w:rsid w:val="00F3040B"/>
    <w:rsid w:val="00F30EE5"/>
    <w:rsid w:val="00F3F815"/>
    <w:rsid w:val="00F529BC"/>
    <w:rsid w:val="00F55E01"/>
    <w:rsid w:val="00F61515"/>
    <w:rsid w:val="00F67396"/>
    <w:rsid w:val="00F836AB"/>
    <w:rsid w:val="00F93070"/>
    <w:rsid w:val="00FA0C89"/>
    <w:rsid w:val="00FA3C44"/>
    <w:rsid w:val="00FA4FA2"/>
    <w:rsid w:val="00FA7232"/>
    <w:rsid w:val="00FB0CB2"/>
    <w:rsid w:val="00FB2688"/>
    <w:rsid w:val="00FC3D12"/>
    <w:rsid w:val="00FD0981"/>
    <w:rsid w:val="00FE2A09"/>
    <w:rsid w:val="00FF1851"/>
    <w:rsid w:val="00FF262D"/>
    <w:rsid w:val="01130339"/>
    <w:rsid w:val="013DB55C"/>
    <w:rsid w:val="014F41DA"/>
    <w:rsid w:val="01CC439E"/>
    <w:rsid w:val="01DFBBD9"/>
    <w:rsid w:val="02D409B8"/>
    <w:rsid w:val="030EA831"/>
    <w:rsid w:val="03D86701"/>
    <w:rsid w:val="03EF5C85"/>
    <w:rsid w:val="0481B5E4"/>
    <w:rsid w:val="048861F5"/>
    <w:rsid w:val="0499F465"/>
    <w:rsid w:val="05137F71"/>
    <w:rsid w:val="0539BDAF"/>
    <w:rsid w:val="05499E0F"/>
    <w:rsid w:val="05B98B2E"/>
    <w:rsid w:val="05C744C8"/>
    <w:rsid w:val="05C868FF"/>
    <w:rsid w:val="05EF0168"/>
    <w:rsid w:val="05FD85FE"/>
    <w:rsid w:val="05FF6543"/>
    <w:rsid w:val="065D2405"/>
    <w:rsid w:val="0687D883"/>
    <w:rsid w:val="06C5448F"/>
    <w:rsid w:val="06D4EA2E"/>
    <w:rsid w:val="07B0F20D"/>
    <w:rsid w:val="07F479F8"/>
    <w:rsid w:val="07F61BCD"/>
    <w:rsid w:val="094CC26E"/>
    <w:rsid w:val="096A3DC2"/>
    <w:rsid w:val="097746C6"/>
    <w:rsid w:val="09D007C8"/>
    <w:rsid w:val="09F40675"/>
    <w:rsid w:val="0AC8155F"/>
    <w:rsid w:val="0AD0F721"/>
    <w:rsid w:val="0AE2EE70"/>
    <w:rsid w:val="0BC49BFA"/>
    <w:rsid w:val="0BD5AAAF"/>
    <w:rsid w:val="0BE0AB36"/>
    <w:rsid w:val="0C762066"/>
    <w:rsid w:val="0C846330"/>
    <w:rsid w:val="0CB0E763"/>
    <w:rsid w:val="0CE656CF"/>
    <w:rsid w:val="0D218021"/>
    <w:rsid w:val="0DAB8789"/>
    <w:rsid w:val="0DFD844F"/>
    <w:rsid w:val="0E187FD8"/>
    <w:rsid w:val="0E2001A2"/>
    <w:rsid w:val="0EB207F7"/>
    <w:rsid w:val="0FA597F6"/>
    <w:rsid w:val="0FB4FAFB"/>
    <w:rsid w:val="0FEDB4AE"/>
    <w:rsid w:val="108E82DC"/>
    <w:rsid w:val="10BED78F"/>
    <w:rsid w:val="11220E06"/>
    <w:rsid w:val="11292DF1"/>
    <w:rsid w:val="118DE733"/>
    <w:rsid w:val="11CDAD8F"/>
    <w:rsid w:val="127E79A1"/>
    <w:rsid w:val="12C4FE52"/>
    <w:rsid w:val="12E4FDDE"/>
    <w:rsid w:val="12FEB2EC"/>
    <w:rsid w:val="13A94AF9"/>
    <w:rsid w:val="13FB3DAE"/>
    <w:rsid w:val="14181BB3"/>
    <w:rsid w:val="142BE8ED"/>
    <w:rsid w:val="14C79942"/>
    <w:rsid w:val="15DF782D"/>
    <w:rsid w:val="15F43FAC"/>
    <w:rsid w:val="1608CFC8"/>
    <w:rsid w:val="16811879"/>
    <w:rsid w:val="16871144"/>
    <w:rsid w:val="16893289"/>
    <w:rsid w:val="16FE8AF9"/>
    <w:rsid w:val="17865DEE"/>
    <w:rsid w:val="17A554A1"/>
    <w:rsid w:val="17BC56DF"/>
    <w:rsid w:val="17C05109"/>
    <w:rsid w:val="1859BD3E"/>
    <w:rsid w:val="193134D4"/>
    <w:rsid w:val="195A7EDB"/>
    <w:rsid w:val="195D0504"/>
    <w:rsid w:val="197E2E11"/>
    <w:rsid w:val="1A29FA25"/>
    <w:rsid w:val="1AB7C76C"/>
    <w:rsid w:val="1B1A241B"/>
    <w:rsid w:val="1B397CEF"/>
    <w:rsid w:val="1BAABE51"/>
    <w:rsid w:val="1BB885E6"/>
    <w:rsid w:val="1BC1B581"/>
    <w:rsid w:val="1C51D247"/>
    <w:rsid w:val="1C78C5C4"/>
    <w:rsid w:val="1CB5CED3"/>
    <w:rsid w:val="1CD76FBB"/>
    <w:rsid w:val="1D6245AB"/>
    <w:rsid w:val="1D65324F"/>
    <w:rsid w:val="1DA2F7A3"/>
    <w:rsid w:val="1DC121B6"/>
    <w:rsid w:val="1DC9B8D7"/>
    <w:rsid w:val="1DEF682E"/>
    <w:rsid w:val="1DF067FD"/>
    <w:rsid w:val="1E149625"/>
    <w:rsid w:val="1E27FD0E"/>
    <w:rsid w:val="1E7F7AE0"/>
    <w:rsid w:val="1E853BB9"/>
    <w:rsid w:val="1EF94B37"/>
    <w:rsid w:val="200F6002"/>
    <w:rsid w:val="20D58A25"/>
    <w:rsid w:val="21939BD0"/>
    <w:rsid w:val="21BFF13E"/>
    <w:rsid w:val="220B9322"/>
    <w:rsid w:val="245B5499"/>
    <w:rsid w:val="2483D7A9"/>
    <w:rsid w:val="24F9A125"/>
    <w:rsid w:val="250714DF"/>
    <w:rsid w:val="25632CAA"/>
    <w:rsid w:val="261FA80A"/>
    <w:rsid w:val="26637009"/>
    <w:rsid w:val="2675F666"/>
    <w:rsid w:val="26E1C8C0"/>
    <w:rsid w:val="27480539"/>
    <w:rsid w:val="277F171A"/>
    <w:rsid w:val="27FDABAD"/>
    <w:rsid w:val="28299F7E"/>
    <w:rsid w:val="28524B02"/>
    <w:rsid w:val="286C7AC2"/>
    <w:rsid w:val="28FE0E35"/>
    <w:rsid w:val="299E99DA"/>
    <w:rsid w:val="2A02C914"/>
    <w:rsid w:val="2A3ADDA7"/>
    <w:rsid w:val="2A5F096C"/>
    <w:rsid w:val="2A679FE4"/>
    <w:rsid w:val="2A9C2EEE"/>
    <w:rsid w:val="2AE7D92F"/>
    <w:rsid w:val="2BB88ACB"/>
    <w:rsid w:val="2BDE9ED1"/>
    <w:rsid w:val="2BE3DBD6"/>
    <w:rsid w:val="2C1E4EF5"/>
    <w:rsid w:val="2C499707"/>
    <w:rsid w:val="2D66E30A"/>
    <w:rsid w:val="2DA3FAE7"/>
    <w:rsid w:val="2F5C9AF0"/>
    <w:rsid w:val="2F5D67E5"/>
    <w:rsid w:val="30165607"/>
    <w:rsid w:val="3022D182"/>
    <w:rsid w:val="303C004A"/>
    <w:rsid w:val="30BA7EBF"/>
    <w:rsid w:val="30BB61E8"/>
    <w:rsid w:val="30DE2DF5"/>
    <w:rsid w:val="314EF7C8"/>
    <w:rsid w:val="3159B8B3"/>
    <w:rsid w:val="31C6B1BB"/>
    <w:rsid w:val="3284F664"/>
    <w:rsid w:val="32856685"/>
    <w:rsid w:val="329CE722"/>
    <w:rsid w:val="3349474C"/>
    <w:rsid w:val="33B9657F"/>
    <w:rsid w:val="3479BDC7"/>
    <w:rsid w:val="3485B9BE"/>
    <w:rsid w:val="3547D84B"/>
    <w:rsid w:val="35B277A9"/>
    <w:rsid w:val="35FF7CE9"/>
    <w:rsid w:val="36142616"/>
    <w:rsid w:val="36387D27"/>
    <w:rsid w:val="368D329A"/>
    <w:rsid w:val="369A011F"/>
    <w:rsid w:val="36B61B95"/>
    <w:rsid w:val="36F22624"/>
    <w:rsid w:val="3711193D"/>
    <w:rsid w:val="37266591"/>
    <w:rsid w:val="381BD2E0"/>
    <w:rsid w:val="383051A4"/>
    <w:rsid w:val="38CD1E2F"/>
    <w:rsid w:val="38F63E6E"/>
    <w:rsid w:val="38FFBBB4"/>
    <w:rsid w:val="390B9766"/>
    <w:rsid w:val="392A48C6"/>
    <w:rsid w:val="395F62E7"/>
    <w:rsid w:val="39EE4DB3"/>
    <w:rsid w:val="3A4EB5B5"/>
    <w:rsid w:val="3A99727D"/>
    <w:rsid w:val="3AF80220"/>
    <w:rsid w:val="3B1EBF34"/>
    <w:rsid w:val="3B4690C0"/>
    <w:rsid w:val="3BB0F759"/>
    <w:rsid w:val="3BC299EF"/>
    <w:rsid w:val="3C342ABE"/>
    <w:rsid w:val="3C77C005"/>
    <w:rsid w:val="3CC08E7A"/>
    <w:rsid w:val="3CEA7A89"/>
    <w:rsid w:val="3D1E83C4"/>
    <w:rsid w:val="3D8359AA"/>
    <w:rsid w:val="3DCFFB1F"/>
    <w:rsid w:val="3DD830A6"/>
    <w:rsid w:val="3E1C63E0"/>
    <w:rsid w:val="3EB1F0FA"/>
    <w:rsid w:val="3FEFFC7A"/>
    <w:rsid w:val="3FFACD50"/>
    <w:rsid w:val="40224B65"/>
    <w:rsid w:val="40303311"/>
    <w:rsid w:val="40433192"/>
    <w:rsid w:val="40F71446"/>
    <w:rsid w:val="41509C45"/>
    <w:rsid w:val="41691AAC"/>
    <w:rsid w:val="418B10B3"/>
    <w:rsid w:val="41F89688"/>
    <w:rsid w:val="41FB2C1C"/>
    <w:rsid w:val="42801892"/>
    <w:rsid w:val="42B24D02"/>
    <w:rsid w:val="42C5BD80"/>
    <w:rsid w:val="43267AC7"/>
    <w:rsid w:val="438460C7"/>
    <w:rsid w:val="43DEC740"/>
    <w:rsid w:val="4433E007"/>
    <w:rsid w:val="447A68E4"/>
    <w:rsid w:val="44AC791D"/>
    <w:rsid w:val="4542F567"/>
    <w:rsid w:val="454B02B9"/>
    <w:rsid w:val="45AA50DC"/>
    <w:rsid w:val="46292A06"/>
    <w:rsid w:val="46607E91"/>
    <w:rsid w:val="47A0DEC0"/>
    <w:rsid w:val="47C63015"/>
    <w:rsid w:val="47E784AB"/>
    <w:rsid w:val="481337D8"/>
    <w:rsid w:val="48EED201"/>
    <w:rsid w:val="48FF52B7"/>
    <w:rsid w:val="49AED476"/>
    <w:rsid w:val="49E48EF5"/>
    <w:rsid w:val="4A199936"/>
    <w:rsid w:val="4A1E73DC"/>
    <w:rsid w:val="4A40EA85"/>
    <w:rsid w:val="4ADCFFDA"/>
    <w:rsid w:val="4AE7A618"/>
    <w:rsid w:val="4B2EDA1F"/>
    <w:rsid w:val="4B6C70A4"/>
    <w:rsid w:val="4B972CC2"/>
    <w:rsid w:val="4BC6633C"/>
    <w:rsid w:val="4C99E07B"/>
    <w:rsid w:val="4D11E3C2"/>
    <w:rsid w:val="4D327CF5"/>
    <w:rsid w:val="4DDDFFCF"/>
    <w:rsid w:val="4E58ADA0"/>
    <w:rsid w:val="4E65BD71"/>
    <w:rsid w:val="4EB86B1B"/>
    <w:rsid w:val="4EFC331A"/>
    <w:rsid w:val="4F415911"/>
    <w:rsid w:val="4F98EA3A"/>
    <w:rsid w:val="4FE54332"/>
    <w:rsid w:val="50E98DB1"/>
    <w:rsid w:val="514DBC3B"/>
    <w:rsid w:val="51811393"/>
    <w:rsid w:val="51A2C8F4"/>
    <w:rsid w:val="523446C8"/>
    <w:rsid w:val="5246FF72"/>
    <w:rsid w:val="52580204"/>
    <w:rsid w:val="52FAFD06"/>
    <w:rsid w:val="5370DB75"/>
    <w:rsid w:val="545E1015"/>
    <w:rsid w:val="54FB6EF4"/>
    <w:rsid w:val="551155A4"/>
    <w:rsid w:val="55543473"/>
    <w:rsid w:val="556BA584"/>
    <w:rsid w:val="5614D934"/>
    <w:rsid w:val="57077E18"/>
    <w:rsid w:val="57821B2F"/>
    <w:rsid w:val="57A430DD"/>
    <w:rsid w:val="58679BC5"/>
    <w:rsid w:val="5884F220"/>
    <w:rsid w:val="58A21591"/>
    <w:rsid w:val="58C8B5E9"/>
    <w:rsid w:val="58DAFC37"/>
    <w:rsid w:val="58F0F244"/>
    <w:rsid w:val="595B463E"/>
    <w:rsid w:val="59AC03A6"/>
    <w:rsid w:val="5A20C281"/>
    <w:rsid w:val="5A28C999"/>
    <w:rsid w:val="5A70988B"/>
    <w:rsid w:val="5A9A82F4"/>
    <w:rsid w:val="5ABEE5A0"/>
    <w:rsid w:val="5B107BFC"/>
    <w:rsid w:val="5B3BB312"/>
    <w:rsid w:val="5B93DFEB"/>
    <w:rsid w:val="5BA9751C"/>
    <w:rsid w:val="5BD0CEE2"/>
    <w:rsid w:val="5BD8558D"/>
    <w:rsid w:val="5BFEE44A"/>
    <w:rsid w:val="5C2358C6"/>
    <w:rsid w:val="5CCFD70D"/>
    <w:rsid w:val="5CFB0E27"/>
    <w:rsid w:val="5D0C0116"/>
    <w:rsid w:val="5D1C4E16"/>
    <w:rsid w:val="5D7425EE"/>
    <w:rsid w:val="5D9292D9"/>
    <w:rsid w:val="5DF137B5"/>
    <w:rsid w:val="5E1C016D"/>
    <w:rsid w:val="5E3E4C2B"/>
    <w:rsid w:val="5E716CB3"/>
    <w:rsid w:val="5F3D1046"/>
    <w:rsid w:val="5F42B81C"/>
    <w:rsid w:val="5F4EE312"/>
    <w:rsid w:val="5FA0C551"/>
    <w:rsid w:val="5FADEE1B"/>
    <w:rsid w:val="5FE37FB6"/>
    <w:rsid w:val="5FFD6667"/>
    <w:rsid w:val="6014F93C"/>
    <w:rsid w:val="60304077"/>
    <w:rsid w:val="60377FE4"/>
    <w:rsid w:val="60448501"/>
    <w:rsid w:val="604987C7"/>
    <w:rsid w:val="607CE736"/>
    <w:rsid w:val="60A68088"/>
    <w:rsid w:val="614CA820"/>
    <w:rsid w:val="61DECE0E"/>
    <w:rsid w:val="6203216F"/>
    <w:rsid w:val="6278B0EB"/>
    <w:rsid w:val="628D72D2"/>
    <w:rsid w:val="62BF223F"/>
    <w:rsid w:val="62CBCDF2"/>
    <w:rsid w:val="62DA4C18"/>
    <w:rsid w:val="630B63F6"/>
    <w:rsid w:val="63114E68"/>
    <w:rsid w:val="634B4274"/>
    <w:rsid w:val="63A813FF"/>
    <w:rsid w:val="63AAE889"/>
    <w:rsid w:val="63CD1622"/>
    <w:rsid w:val="63E1BFE7"/>
    <w:rsid w:val="63E8640E"/>
    <w:rsid w:val="6416DCA9"/>
    <w:rsid w:val="65FE54E1"/>
    <w:rsid w:val="6644BC48"/>
    <w:rsid w:val="664DE4D5"/>
    <w:rsid w:val="667A2349"/>
    <w:rsid w:val="66D3233B"/>
    <w:rsid w:val="66F6AA81"/>
    <w:rsid w:val="672D71FB"/>
    <w:rsid w:val="68540ED7"/>
    <w:rsid w:val="68B8971A"/>
    <w:rsid w:val="68FC585F"/>
    <w:rsid w:val="6940C65A"/>
    <w:rsid w:val="6976DF70"/>
    <w:rsid w:val="697F6373"/>
    <w:rsid w:val="69ACE01E"/>
    <w:rsid w:val="69FF3BB7"/>
    <w:rsid w:val="6A3ABEE0"/>
    <w:rsid w:val="6A4EFA72"/>
    <w:rsid w:val="6A5188AC"/>
    <w:rsid w:val="6B120157"/>
    <w:rsid w:val="6B310219"/>
    <w:rsid w:val="6B614377"/>
    <w:rsid w:val="6BA2B04C"/>
    <w:rsid w:val="6C1263DF"/>
    <w:rsid w:val="6C1B76C0"/>
    <w:rsid w:val="6C52D09C"/>
    <w:rsid w:val="6D0C1E00"/>
    <w:rsid w:val="6DC0956D"/>
    <w:rsid w:val="6DCE3CA5"/>
    <w:rsid w:val="6E76F3ED"/>
    <w:rsid w:val="6EC1FDD8"/>
    <w:rsid w:val="6EDAE003"/>
    <w:rsid w:val="6EE0E57B"/>
    <w:rsid w:val="6F1E6314"/>
    <w:rsid w:val="6F92D44D"/>
    <w:rsid w:val="6F9AC11E"/>
    <w:rsid w:val="701FA45F"/>
    <w:rsid w:val="70FDC296"/>
    <w:rsid w:val="71353B7B"/>
    <w:rsid w:val="714BD83F"/>
    <w:rsid w:val="719EE5A5"/>
    <w:rsid w:val="71ED72E1"/>
    <w:rsid w:val="71F39CCA"/>
    <w:rsid w:val="728702F5"/>
    <w:rsid w:val="72BF5D5B"/>
    <w:rsid w:val="72BFD105"/>
    <w:rsid w:val="72EEC4AF"/>
    <w:rsid w:val="7309F5AD"/>
    <w:rsid w:val="73271241"/>
    <w:rsid w:val="733AB606"/>
    <w:rsid w:val="738F6D2B"/>
    <w:rsid w:val="73A4F4CF"/>
    <w:rsid w:val="7443A6EF"/>
    <w:rsid w:val="7445C1F5"/>
    <w:rsid w:val="74FF16D5"/>
    <w:rsid w:val="75189116"/>
    <w:rsid w:val="75340CCD"/>
    <w:rsid w:val="75890201"/>
    <w:rsid w:val="758D17B8"/>
    <w:rsid w:val="75A2D577"/>
    <w:rsid w:val="75CF0D91"/>
    <w:rsid w:val="75F941FF"/>
    <w:rsid w:val="7616C585"/>
    <w:rsid w:val="7688A022"/>
    <w:rsid w:val="76C66DB3"/>
    <w:rsid w:val="76E2BF1E"/>
    <w:rsid w:val="7741594B"/>
    <w:rsid w:val="778B55C8"/>
    <w:rsid w:val="77D041AF"/>
    <w:rsid w:val="781BD032"/>
    <w:rsid w:val="781F1814"/>
    <w:rsid w:val="7862DE4E"/>
    <w:rsid w:val="791A8411"/>
    <w:rsid w:val="795E1D0D"/>
    <w:rsid w:val="7A3184BA"/>
    <w:rsid w:val="7A679DD0"/>
    <w:rsid w:val="7A803904"/>
    <w:rsid w:val="7A8EB2DE"/>
    <w:rsid w:val="7A996F4B"/>
    <w:rsid w:val="7B1DA16D"/>
    <w:rsid w:val="7BFB0333"/>
    <w:rsid w:val="7C7E5C49"/>
    <w:rsid w:val="7D0AAD1C"/>
    <w:rsid w:val="7D35024A"/>
    <w:rsid w:val="7E743F00"/>
    <w:rsid w:val="7EA8CFE3"/>
    <w:rsid w:val="7EB2EB05"/>
    <w:rsid w:val="7F1DA816"/>
    <w:rsid w:val="7FAAE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9696A"/>
  <w15:chartTrackingRefBased/>
  <w15:docId w15:val="{1FFACB23-5FFF-4B5F-9B27-FF91CCEB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21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93210"/>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93210"/>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467C7"/>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E93210"/>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9321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uiPriority w:val="99"/>
    <w:rsid w:val="00E93210"/>
    <w:rPr>
      <w:vertAlign w:val="superscript"/>
    </w:rPr>
  </w:style>
  <w:style w:type="paragraph" w:styleId="EndnoteText">
    <w:name w:val="endnote text"/>
    <w:basedOn w:val="Normal"/>
    <w:link w:val="EndnoteTextChar"/>
    <w:uiPriority w:val="99"/>
    <w:semiHidden/>
    <w:unhideWhenUsed/>
    <w:rsid w:val="00E93210"/>
    <w:pPr>
      <w:spacing w:line="240" w:lineRule="auto"/>
    </w:pPr>
  </w:style>
  <w:style w:type="character" w:customStyle="1" w:styleId="EndnoteTextChar">
    <w:name w:val="Endnote Text Char"/>
    <w:link w:val="EndnoteText"/>
    <w:uiPriority w:val="99"/>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0921C6"/>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styleId="ListParagraph">
    <w:name w:val="List Paragraph"/>
    <w:basedOn w:val="Normal"/>
    <w:uiPriority w:val="34"/>
    <w:qFormat/>
    <w:rsid w:val="004B261F"/>
    <w:pPr>
      <w:spacing w:after="160" w:line="259" w:lineRule="auto"/>
      <w:ind w:left="720"/>
      <w:contextualSpacing/>
      <w:jc w:val="left"/>
    </w:pPr>
    <w:rPr>
      <w:rFonts w:asciiTheme="minorHAnsi" w:eastAsiaTheme="minorHAnsi" w:hAnsiTheme="minorHAnsi" w:cstheme="minorBidi"/>
      <w:noProof w:val="0"/>
      <w:color w:val="auto"/>
      <w:sz w:val="22"/>
      <w:szCs w:val="22"/>
      <w:lang w:val="en-GB" w:eastAsia="en-US"/>
    </w:rPr>
  </w:style>
  <w:style w:type="paragraph" w:customStyle="1" w:styleId="xparagraph">
    <w:name w:val="x_paragraph"/>
    <w:basedOn w:val="Normal"/>
    <w:rsid w:val="004B261F"/>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xnormaltextrun">
    <w:name w:val="x_normaltextrun"/>
    <w:basedOn w:val="DefaultParagraphFont"/>
    <w:rsid w:val="004B261F"/>
  </w:style>
  <w:style w:type="character" w:customStyle="1" w:styleId="xeop">
    <w:name w:val="x_eop"/>
    <w:basedOn w:val="DefaultParagraphFont"/>
    <w:rsid w:val="004B261F"/>
  </w:style>
  <w:style w:type="table" w:customStyle="1" w:styleId="TableGrid0">
    <w:name w:val="TableGrid"/>
    <w:rsid w:val="008A420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091FAA"/>
    <w:rPr>
      <w:rFonts w:ascii="Palatino Linotype" w:hAnsi="Palatino Linotype"/>
      <w:noProof/>
      <w:color w:val="000000"/>
    </w:rPr>
  </w:style>
  <w:style w:type="character" w:styleId="UnresolvedMention">
    <w:name w:val="Unresolved Mention"/>
    <w:basedOn w:val="DefaultParagraphFont"/>
    <w:uiPriority w:val="99"/>
    <w:semiHidden/>
    <w:unhideWhenUsed/>
    <w:rsid w:val="00940DF4"/>
    <w:rPr>
      <w:color w:val="605E5C"/>
      <w:shd w:val="clear" w:color="auto" w:fill="E1DFDD"/>
    </w:rPr>
  </w:style>
  <w:style w:type="character" w:customStyle="1" w:styleId="normaltextrun">
    <w:name w:val="normaltextrun"/>
    <w:basedOn w:val="DefaultParagraphFont"/>
    <w:rsid w:val="00C0772E"/>
  </w:style>
  <w:style w:type="character" w:customStyle="1" w:styleId="eop">
    <w:name w:val="eop"/>
    <w:basedOn w:val="DefaultParagraphFont"/>
    <w:rsid w:val="00C0772E"/>
  </w:style>
  <w:style w:type="character" w:styleId="Emphasis">
    <w:name w:val="Emphasis"/>
    <w:basedOn w:val="DefaultParagraphFont"/>
    <w:uiPriority w:val="20"/>
    <w:qFormat/>
    <w:rsid w:val="005441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849444263">
      <w:bodyDiv w:val="1"/>
      <w:marLeft w:val="0"/>
      <w:marRight w:val="0"/>
      <w:marTop w:val="0"/>
      <w:marBottom w:val="0"/>
      <w:divBdr>
        <w:top w:val="none" w:sz="0" w:space="0" w:color="auto"/>
        <w:left w:val="none" w:sz="0" w:space="0" w:color="auto"/>
        <w:bottom w:val="none" w:sz="0" w:space="0" w:color="auto"/>
        <w:right w:val="none" w:sz="0" w:space="0" w:color="auto"/>
      </w:divBdr>
      <w:divsChild>
        <w:div w:id="599488368">
          <w:marLeft w:val="0"/>
          <w:marRight w:val="0"/>
          <w:marTop w:val="0"/>
          <w:marBottom w:val="0"/>
          <w:divBdr>
            <w:top w:val="none" w:sz="0" w:space="0" w:color="auto"/>
            <w:left w:val="none" w:sz="0" w:space="0" w:color="auto"/>
            <w:bottom w:val="none" w:sz="0" w:space="0" w:color="auto"/>
            <w:right w:val="none" w:sz="0" w:space="0" w:color="auto"/>
          </w:divBdr>
        </w:div>
      </w:divsChild>
    </w:div>
    <w:div w:id="1062828885">
      <w:bodyDiv w:val="1"/>
      <w:marLeft w:val="0"/>
      <w:marRight w:val="0"/>
      <w:marTop w:val="0"/>
      <w:marBottom w:val="0"/>
      <w:divBdr>
        <w:top w:val="none" w:sz="0" w:space="0" w:color="auto"/>
        <w:left w:val="none" w:sz="0" w:space="0" w:color="auto"/>
        <w:bottom w:val="none" w:sz="0" w:space="0" w:color="auto"/>
        <w:right w:val="none" w:sz="0" w:space="0" w:color="auto"/>
      </w:divBdr>
      <w:divsChild>
        <w:div w:id="1545171948">
          <w:marLeft w:val="0"/>
          <w:marRight w:val="0"/>
          <w:marTop w:val="0"/>
          <w:marBottom w:val="0"/>
          <w:divBdr>
            <w:top w:val="none" w:sz="0" w:space="0" w:color="auto"/>
            <w:left w:val="none" w:sz="0" w:space="0" w:color="auto"/>
            <w:bottom w:val="none" w:sz="0" w:space="0" w:color="auto"/>
            <w:right w:val="none" w:sz="0" w:space="0" w:color="auto"/>
          </w:divBdr>
        </w:div>
      </w:divsChild>
    </w:div>
    <w:div w:id="1673752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i.org/10.1016/j.resuscitation.2018.02.016" TargetMode="External"/><Relationship Id="rId26" Type="http://schemas.openxmlformats.org/officeDocument/2006/relationships/hyperlink" Target="https://doi.org/10.1016/j.resuscitation.2017.06.012" TargetMode="External"/><Relationship Id="rId39" Type="http://schemas.openxmlformats.org/officeDocument/2006/relationships/hyperlink" Target="https://doi.org/10.1016/j.resuscitation.2009.01.020" TargetMode="External"/><Relationship Id="rId3" Type="http://schemas.openxmlformats.org/officeDocument/2006/relationships/customXml" Target="../customXml/item3.xml"/><Relationship Id="rId21" Type="http://schemas.openxmlformats.org/officeDocument/2006/relationships/hyperlink" Target="https://doi.org/10.1016/j.resuscitation.2015.01.009" TargetMode="External"/><Relationship Id="rId34" Type="http://schemas.openxmlformats.org/officeDocument/2006/relationships/hyperlink" Target="https://doi.org/10.1097/CCM.000000000000294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001/jamaneurol.2015.0169" TargetMode="External"/><Relationship Id="rId33" Type="http://schemas.openxmlformats.org/officeDocument/2006/relationships/hyperlink" Target="https://doi.org/10.1016/j.resuscitation.2021.04.009" TargetMode="External"/><Relationship Id="rId38" Type="http://schemas.openxmlformats.org/officeDocument/2006/relationships/hyperlink" Target="https://doi.org/10.1186/s13049-014-0084-9"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i.org/10.1016/S0140-6736(10)62103-4" TargetMode="External"/><Relationship Id="rId29" Type="http://schemas.openxmlformats.org/officeDocument/2006/relationships/hyperlink" Target="https://doi.org/10.1016/j.resuscitation.2021.02.025" TargetMode="External"/><Relationship Id="rId41" Type="http://schemas.openxmlformats.org/officeDocument/2006/relationships/hyperlink" Target="https://doi.org/10.1161/CIR.00000000000005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16/j.resuscitation.2016.05.017" TargetMode="External"/><Relationship Id="rId32" Type="http://schemas.openxmlformats.org/officeDocument/2006/relationships/hyperlink" Target="https://doi.org/10.1016/j.resuscitation.2016.11.004" TargetMode="External"/><Relationship Id="rId37" Type="http://schemas.openxmlformats.org/officeDocument/2006/relationships/hyperlink" Target="https://doi.org/10.1016/j.resuscitation.2015.05.011" TargetMode="External"/><Relationship Id="rId40" Type="http://schemas.openxmlformats.org/officeDocument/2006/relationships/hyperlink" Target="https://doi.org/10.1007/s00134-021-06368-4" TargetMode="Externa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016/j.resuscitation.2018.09.015" TargetMode="External"/><Relationship Id="rId28" Type="http://schemas.openxmlformats.org/officeDocument/2006/relationships/hyperlink" Target="https://doi.org/10.1017/S1355617710001633" TargetMode="External"/><Relationship Id="rId36" Type="http://schemas.openxmlformats.org/officeDocument/2006/relationships/hyperlink" Target="https://doi.org/10.1212/WNL.0b013e318232ab33" TargetMode="External"/><Relationship Id="rId10" Type="http://schemas.openxmlformats.org/officeDocument/2006/relationships/endnotes" Target="endnotes.xml"/><Relationship Id="rId19" Type="http://schemas.openxmlformats.org/officeDocument/2006/relationships/hyperlink" Target="https://doi.org/10.1016/j.resuscitation.2017.06.026" TargetMode="External"/><Relationship Id="rId31" Type="http://schemas.openxmlformats.org/officeDocument/2006/relationships/hyperlink" Target="https://doi.org/10.3389/fpsyg.2020.008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i.org/10.1212/WNL.0b013e318297ee7e" TargetMode="External"/><Relationship Id="rId27" Type="http://schemas.openxmlformats.org/officeDocument/2006/relationships/hyperlink" Target="https://doi.org/10.1177/2048872619860804" TargetMode="External"/><Relationship Id="rId30" Type="http://schemas.openxmlformats.org/officeDocument/2006/relationships/hyperlink" Target="https://doi.org/10.1016/j.resuscitation.2021.05.002" TargetMode="External"/><Relationship Id="rId35" Type="http://schemas.openxmlformats.org/officeDocument/2006/relationships/hyperlink" Target="https://doi.org/10.1161/CIRCULATIONAHA.114.014414"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ook\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2" ma:contentTypeDescription="Create a new document." ma:contentTypeScope="" ma:versionID="6892433838d2d41d89270298094e23d3">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3c977dbe4925f1deb1295f64eab4b15a"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6AAF5F1-A854-49C4-A018-98CC3876E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B881E-4ACE-4ACA-BDD8-07411A90428D}">
  <ds:schemaRefs>
    <ds:schemaRef ds:uri="http://schemas.microsoft.com/sharepoint/v3/contenttype/forms"/>
  </ds:schemaRefs>
</ds:datastoreItem>
</file>

<file path=customXml/itemProps3.xml><?xml version="1.0" encoding="utf-8"?>
<ds:datastoreItem xmlns:ds="http://schemas.openxmlformats.org/officeDocument/2006/customXml" ds:itemID="{EBC0956D-8259-40DF-A117-834B6EA135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EDE392-FACB-4691-BB5E-BDF1A002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sensors-template</Template>
  <TotalTime>2</TotalTime>
  <Pages>19</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anonymous</dc:creator>
  <cp:keywords/>
  <dc:description/>
  <cp:lastModifiedBy>Nancy Zook</cp:lastModifiedBy>
  <cp:revision>4</cp:revision>
  <cp:lastPrinted>2021-05-19T07:48:00Z</cp:lastPrinted>
  <dcterms:created xsi:type="dcterms:W3CDTF">2021-09-24T09:29:00Z</dcterms:created>
  <dcterms:modified xsi:type="dcterms:W3CDTF">2021-09-28T07:12:00Z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y fmtid="{D5CDD505-2E9C-101B-9397-08002B2CF9AE}" pid="3" name="ZOTERO_PREF_1">
    <vt:lpwstr>&lt;data data-version="3" zotero-version="5.0.96.2"&gt;&lt;session id="Anggv9aL"/&gt;&lt;style id="http://www.zotero.org/styles/nature" hasBibliography="1" bibliographyStyleHasBeenSet="0"/&gt;&lt;prefs&gt;&lt;pref name="fieldType" value="Field"/&gt;&lt;pref name="automaticJournalAbbrevia</vt:lpwstr>
  </property>
  <property fmtid="{D5CDD505-2E9C-101B-9397-08002B2CF9AE}" pid="4" name="ZOTERO_PREF_2">
    <vt:lpwstr>tions" value="true"/&gt;&lt;/prefs&gt;&lt;/data&gt;</vt:lpwstr>
  </property>
</Properties>
</file>