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067" w:rsidRDefault="00D37874" w:rsidP="00D37874">
      <w:pPr>
        <w:pStyle w:val="Title"/>
      </w:pPr>
      <w:r>
        <w:t>Cytochrome P450 2B6 Amperometric Biosensor for Continuous Monitoring of Propofol</w:t>
      </w:r>
    </w:p>
    <w:p w:rsidR="00D37874" w:rsidRDefault="00D37874" w:rsidP="00D37874"/>
    <w:p w:rsidR="000E5002" w:rsidRDefault="000E5002" w:rsidP="000E5002">
      <w:pPr>
        <w:rPr>
          <w:sz w:val="28"/>
          <w:szCs w:val="28"/>
        </w:rPr>
      </w:pPr>
      <w:r w:rsidRPr="00136EF9">
        <w:rPr>
          <w:sz w:val="28"/>
          <w:szCs w:val="28"/>
        </w:rPr>
        <w:t>David C. Ferrier</w:t>
      </w:r>
      <w:r>
        <w:rPr>
          <w:sz w:val="28"/>
          <w:szCs w:val="28"/>
        </w:rPr>
        <w:t>*, Janice Kiely, Richard Luxton</w:t>
      </w:r>
    </w:p>
    <w:p w:rsidR="000E5002" w:rsidRDefault="000E5002" w:rsidP="000E5002">
      <w:pPr>
        <w:rPr>
          <w:sz w:val="20"/>
          <w:szCs w:val="20"/>
        </w:rPr>
      </w:pPr>
      <w:r w:rsidRPr="00136EF9">
        <w:rPr>
          <w:sz w:val="20"/>
          <w:szCs w:val="20"/>
        </w:rPr>
        <w:t xml:space="preserve">Institute of Bio-Sensing Technology, University of the West of England, </w:t>
      </w:r>
      <w:proofErr w:type="spellStart"/>
      <w:r w:rsidRPr="00136EF9">
        <w:rPr>
          <w:sz w:val="20"/>
          <w:szCs w:val="20"/>
        </w:rPr>
        <w:t>Frenchay</w:t>
      </w:r>
      <w:proofErr w:type="spellEnd"/>
      <w:r w:rsidRPr="00136EF9">
        <w:rPr>
          <w:sz w:val="20"/>
          <w:szCs w:val="20"/>
        </w:rPr>
        <w:t xml:space="preserve"> Campus, Bristol BS16 1QY, United Kingdom</w:t>
      </w:r>
    </w:p>
    <w:p w:rsidR="00D37874" w:rsidRDefault="000E5002" w:rsidP="000E5002">
      <w:pPr>
        <w:rPr>
          <w:sz w:val="20"/>
          <w:szCs w:val="20"/>
        </w:rPr>
      </w:pPr>
      <w:r w:rsidRPr="00371F15">
        <w:rPr>
          <w:sz w:val="20"/>
          <w:szCs w:val="20"/>
        </w:rPr>
        <w:t xml:space="preserve">* Corresponding author: </w:t>
      </w:r>
      <w:r w:rsidRPr="000E5002">
        <w:rPr>
          <w:sz w:val="20"/>
          <w:szCs w:val="20"/>
        </w:rPr>
        <w:t>David.Ferrier@uwe.ac.uk</w:t>
      </w:r>
    </w:p>
    <w:p w:rsidR="000E5002" w:rsidRDefault="000E5002" w:rsidP="000E5002">
      <w:pPr>
        <w:rPr>
          <w:lang w:val="en-US"/>
        </w:rPr>
      </w:pPr>
    </w:p>
    <w:p w:rsidR="00D37874" w:rsidRPr="00D37874" w:rsidRDefault="00D37874" w:rsidP="00D37874">
      <w:pPr>
        <w:pStyle w:val="Heading1"/>
        <w:rPr>
          <w:color w:val="auto"/>
          <w:lang w:val="en-US"/>
        </w:rPr>
      </w:pPr>
      <w:r w:rsidRPr="00D37874">
        <w:rPr>
          <w:color w:val="auto"/>
          <w:lang w:val="en-US"/>
        </w:rPr>
        <w:t>Abstract</w:t>
      </w:r>
    </w:p>
    <w:p w:rsidR="00D37874" w:rsidRDefault="00D37874" w:rsidP="00D37874">
      <w:pPr>
        <w:rPr>
          <w:lang w:val="en-US"/>
        </w:rPr>
      </w:pPr>
    </w:p>
    <w:p w:rsidR="00801366" w:rsidRDefault="00D37874" w:rsidP="00801366">
      <w:pPr>
        <w:jc w:val="both"/>
      </w:pPr>
      <w:bookmarkStart w:id="0" w:name="_GoBack"/>
      <w:r>
        <w:t xml:space="preserve">Despite the growing evidence of improved patient outcomes and of a substantially reduced environmental impact of propofol-based total intravenous </w:t>
      </w:r>
      <w:proofErr w:type="spellStart"/>
      <w:r>
        <w:t>anesthesia</w:t>
      </w:r>
      <w:proofErr w:type="spellEnd"/>
      <w:r>
        <w:t xml:space="preserve"> when compared to volatile-based techniques, the vast majority of general </w:t>
      </w:r>
      <w:proofErr w:type="spellStart"/>
      <w:r>
        <w:t>anesthetics</w:t>
      </w:r>
      <w:proofErr w:type="spellEnd"/>
      <w:r>
        <w:t xml:space="preserve"> still use volatile agents for the maintenance phase. A significant reason for this is the lack of suitable point-of-care, real-time blood propofol measurement techniques. Here we present an enzyme-based electrochemical biosensor for the detection of propofol. Deactivated yeast cells expressing the enzyme cytochrome P450 2B6 are immobilized, alongside gold nanoparticles, within a chitosan film upon the surface of a screen printed electrode. In the presence of the cofactor NADPH, the enzyme converts propofol to a quinone/quinol redox pair that can be detected using simple electrochemistry. This approach avoids the issue of electrode fouling that commonly renders electrochemical propofol sensors impractical. The sensor has a limit of detection of 67 </w:t>
      </w:r>
      <w:r>
        <w:rPr>
          <w:rFonts w:cs="Helvetica"/>
        </w:rPr>
        <w:t>±</w:t>
      </w:r>
      <w:r>
        <w:t xml:space="preserve"> 7 ng/ml </w:t>
      </w:r>
      <w:r w:rsidRPr="00D37874">
        <w:t>and a sensitivity</w:t>
      </w:r>
      <w:r w:rsidRPr="008A7E2C">
        <w:t xml:space="preserve"> of 4.2 </w:t>
      </w:r>
      <w:r w:rsidRPr="008A7E2C">
        <w:rPr>
          <w:rFonts w:ascii="Calibri" w:hAnsi="Calibri" w:cs="Calibri"/>
        </w:rPr>
        <w:t>±</w:t>
      </w:r>
      <w:r w:rsidRPr="008A7E2C">
        <w:t xml:space="preserve"> 0.2 </w:t>
      </w:r>
      <w:proofErr w:type="spellStart"/>
      <w:r w:rsidRPr="008A7E2C">
        <w:t>nA</w:t>
      </w:r>
      <w:proofErr w:type="spellEnd"/>
      <w:r w:rsidRPr="008A7E2C">
        <w:t>/</w:t>
      </w:r>
      <w:r w:rsidRPr="008A7E2C">
        <w:rPr>
          <w:rFonts w:ascii="Calibri" w:hAnsi="Calibri" w:cs="Calibri"/>
        </w:rPr>
        <w:t>μ</w:t>
      </w:r>
      <w:r w:rsidRPr="008A7E2C">
        <w:t>g/ml/mm</w:t>
      </w:r>
      <w:r w:rsidRPr="008A7E2C">
        <w:rPr>
          <w:vertAlign w:val="superscript"/>
        </w:rPr>
        <w:t>2</w:t>
      </w:r>
      <w:r w:rsidRPr="008A7E2C">
        <w:t>. It</w:t>
      </w:r>
      <w:r>
        <w:t xml:space="preserve"> has been successfully demonstrated in a serum-like solution and has shown a linear response across the therapeutic range of propofol </w:t>
      </w:r>
      <w:r w:rsidRPr="008A7E2C">
        <w:t xml:space="preserve">(1 – 10 </w:t>
      </w:r>
      <w:r w:rsidRPr="008A7E2C">
        <w:rPr>
          <w:rFonts w:ascii="Calibri" w:hAnsi="Calibri" w:cs="Calibri"/>
        </w:rPr>
        <w:t>μ</w:t>
      </w:r>
      <w:r w:rsidRPr="008A7E2C">
        <w:t>g/ml).</w:t>
      </w:r>
      <w:r>
        <w:t xml:space="preserve"> Additionally, the sensor has shown good specificity with regards to potential interfering compounds.</w:t>
      </w:r>
      <w:bookmarkEnd w:id="0"/>
    </w:p>
    <w:p w:rsidR="00235D45" w:rsidRDefault="00235D45" w:rsidP="00801366">
      <w:pPr>
        <w:jc w:val="both"/>
      </w:pPr>
    </w:p>
    <w:p w:rsidR="00801366" w:rsidRDefault="00801366" w:rsidP="00801366">
      <w:pPr>
        <w:jc w:val="both"/>
      </w:pPr>
      <w:r>
        <w:rPr>
          <w:noProof/>
          <w:lang w:eastAsia="en-GB"/>
        </w:rPr>
        <w:drawing>
          <wp:inline distT="0" distB="0" distL="0" distR="0" wp14:anchorId="11EA07AC" wp14:editId="5A350F26">
            <wp:extent cx="2790444" cy="12481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riGA.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0444" cy="1248156"/>
                    </a:xfrm>
                    <a:prstGeom prst="rect">
                      <a:avLst/>
                    </a:prstGeom>
                  </pic:spPr>
                </pic:pic>
              </a:graphicData>
            </a:graphic>
          </wp:inline>
        </w:drawing>
      </w:r>
    </w:p>
    <w:p w:rsidR="00D37874" w:rsidRDefault="00D37874" w:rsidP="00D37874"/>
    <w:p w:rsidR="00D37874" w:rsidRDefault="00D37874" w:rsidP="00D37874">
      <w:pPr>
        <w:rPr>
          <w:spacing w:val="-4"/>
        </w:rPr>
      </w:pPr>
      <w:r>
        <w:rPr>
          <w:lang w:val="en-US"/>
        </w:rPr>
        <w:t xml:space="preserve">Keywords: </w:t>
      </w:r>
      <w:r>
        <w:rPr>
          <w:spacing w:val="-4"/>
        </w:rPr>
        <w:t>Propofol biosensor; 2,6-diisopropylphenol sensor; cytochrome P450 2B6; electrochemical biosensor; real-time detection</w:t>
      </w:r>
    </w:p>
    <w:p w:rsidR="00D37874" w:rsidRDefault="00D37874" w:rsidP="00D37874">
      <w:pPr>
        <w:rPr>
          <w:spacing w:val="-4"/>
        </w:rPr>
      </w:pPr>
    </w:p>
    <w:p w:rsidR="00D37874" w:rsidRPr="00D37874" w:rsidRDefault="00D37874" w:rsidP="00D37874">
      <w:pPr>
        <w:pStyle w:val="Heading1"/>
        <w:numPr>
          <w:ilvl w:val="0"/>
          <w:numId w:val="1"/>
        </w:numPr>
        <w:rPr>
          <w:color w:val="auto"/>
        </w:rPr>
      </w:pPr>
      <w:r w:rsidRPr="00D37874">
        <w:rPr>
          <w:color w:val="auto"/>
        </w:rPr>
        <w:lastRenderedPageBreak/>
        <w:t>Introduction</w:t>
      </w:r>
    </w:p>
    <w:p w:rsidR="00D37874" w:rsidRDefault="00D37874" w:rsidP="00D37874">
      <w:pPr>
        <w:rPr>
          <w:spacing w:val="-4"/>
        </w:rPr>
      </w:pPr>
    </w:p>
    <w:p w:rsidR="00D37874" w:rsidRDefault="00D37874" w:rsidP="00D37874">
      <w:pPr>
        <w:pStyle w:val="PARA"/>
        <w:rPr>
          <w:rFonts w:asciiTheme="minorHAnsi" w:hAnsiTheme="minorHAnsi" w:cstheme="minorHAnsi"/>
          <w:sz w:val="22"/>
          <w:szCs w:val="22"/>
        </w:rPr>
      </w:pPr>
      <w:r>
        <w:rPr>
          <w:rFonts w:asciiTheme="minorHAnsi" w:hAnsiTheme="minorHAnsi" w:cstheme="minorHAnsi"/>
          <w:sz w:val="22"/>
          <w:szCs w:val="22"/>
        </w:rPr>
        <w:t>Propofol (</w:t>
      </w:r>
      <w:r w:rsidRPr="00D37874">
        <w:rPr>
          <w:rFonts w:asciiTheme="minorHAnsi" w:hAnsiTheme="minorHAnsi" w:cstheme="minorHAnsi"/>
          <w:sz w:val="22"/>
          <w:szCs w:val="22"/>
        </w:rPr>
        <w:t>2,6-diisopropylphenol) is an intravenous drug used to induce and maintain general anesthesia. Its favorable pharmacokinetic characteristics mean that it has been the most widely used intravenous anesthetic for the last thirty years [1] [2].</w:t>
      </w:r>
    </w:p>
    <w:p w:rsidR="00D37874" w:rsidRPr="00D37874" w:rsidRDefault="00D37874" w:rsidP="00D37874">
      <w:pPr>
        <w:pStyle w:val="PARA"/>
        <w:rPr>
          <w:rFonts w:asciiTheme="minorHAnsi" w:hAnsiTheme="minorHAnsi" w:cstheme="minorHAnsi"/>
          <w:sz w:val="22"/>
          <w:szCs w:val="22"/>
        </w:rPr>
      </w:pPr>
    </w:p>
    <w:p w:rsidR="00D37874" w:rsidRPr="00D37874" w:rsidRDefault="00D37874" w:rsidP="00D37874">
      <w:pPr>
        <w:pStyle w:val="PARA"/>
        <w:rPr>
          <w:rFonts w:asciiTheme="minorHAnsi" w:hAnsiTheme="minorHAnsi" w:cstheme="minorHAnsi"/>
          <w:sz w:val="22"/>
          <w:szCs w:val="22"/>
        </w:rPr>
      </w:pPr>
      <w:r w:rsidRPr="00D37874">
        <w:rPr>
          <w:rFonts w:asciiTheme="minorHAnsi" w:hAnsiTheme="minorHAnsi" w:cstheme="minorHAnsi"/>
          <w:sz w:val="22"/>
          <w:szCs w:val="22"/>
        </w:rPr>
        <w:t xml:space="preserve">The most common practice in general anesthesia is to induce using intravenous methods and to maintain using volatile-based methods [3]. However, total intravenous anesthesia (TIVA), wherein anesthesia is both induced and maintained intravenously, has many benefits. For instance, there is emerging evidence that the long-term survival rates for cancer patients may be significantly improved for patients who undergo TIVA as opposed to volatile-based anesthesia [4]. Also, the most commonly used volatile anesthetics are potent greenhouse gasses with global warming potentials 2-3 orders of magnitude higher than that of carbon dioxide, meaning that TIVA (which does not require the use of these gasses) has a significantly reduced environmental impact [5] [6]. In addition, TIVA has reduced side effects when compared to volatile-based anesthesia [7]. A major obstacle to the widespread adoption of TIVA is the lack of suitable methods for direct, real-time monitoring of the propofol concentration in a patient’s bloodstream. Current practice is to use models to calculate the required infusion rate based on general pharmacokinetic data and patient metrics such as weight. However, these models are not very accurate and possess significant shortcomings [3] [8]. The most common current laboratory-based methods for propofol detection include gas chromatography-mass spectroscopy (GC-MS) and high-performance liquid chromatography (HPLC), both of which possess significant limitations in terms of cost, complexity and reporting time [1] [9]. As such, there is a significant need for real-time, point-of-care propofol sensors. </w:t>
      </w:r>
    </w:p>
    <w:p w:rsidR="00D37874" w:rsidRDefault="00D37874" w:rsidP="00D37874">
      <w:pPr>
        <w:pStyle w:val="PARA"/>
        <w:rPr>
          <w:rFonts w:asciiTheme="minorHAnsi" w:hAnsiTheme="minorHAnsi" w:cstheme="minorHAnsi"/>
          <w:sz w:val="22"/>
          <w:szCs w:val="22"/>
        </w:rPr>
      </w:pPr>
    </w:p>
    <w:p w:rsidR="00D37874" w:rsidRPr="00D37874" w:rsidRDefault="00D37874" w:rsidP="00D37874">
      <w:pPr>
        <w:pStyle w:val="PARA"/>
        <w:rPr>
          <w:rFonts w:asciiTheme="minorHAnsi" w:hAnsiTheme="minorHAnsi" w:cstheme="minorHAnsi"/>
          <w:sz w:val="22"/>
          <w:szCs w:val="22"/>
        </w:rPr>
      </w:pPr>
      <w:r w:rsidRPr="00D37874">
        <w:rPr>
          <w:rFonts w:asciiTheme="minorHAnsi" w:hAnsiTheme="minorHAnsi" w:cstheme="minorHAnsi"/>
          <w:sz w:val="22"/>
          <w:szCs w:val="22"/>
        </w:rPr>
        <w:t xml:space="preserve">Several groups have developed novel optical techniques for propofol detection, such as the spectrophotometric approach of Liu </w:t>
      </w:r>
      <w:r w:rsidRPr="00D37874">
        <w:rPr>
          <w:rFonts w:asciiTheme="minorHAnsi" w:hAnsiTheme="minorHAnsi" w:cstheme="minorHAnsi"/>
          <w:i/>
          <w:sz w:val="22"/>
          <w:szCs w:val="22"/>
        </w:rPr>
        <w:t>et al.</w:t>
      </w:r>
      <w:r w:rsidRPr="00D37874">
        <w:rPr>
          <w:rFonts w:asciiTheme="minorHAnsi" w:hAnsiTheme="minorHAnsi" w:cstheme="minorHAnsi"/>
          <w:sz w:val="22"/>
          <w:szCs w:val="22"/>
        </w:rPr>
        <w:t xml:space="preserve"> [10] and the </w:t>
      </w:r>
      <w:proofErr w:type="spellStart"/>
      <w:r w:rsidRPr="00D37874">
        <w:rPr>
          <w:rFonts w:asciiTheme="minorHAnsi" w:hAnsiTheme="minorHAnsi" w:cstheme="minorHAnsi"/>
          <w:sz w:val="22"/>
          <w:szCs w:val="22"/>
        </w:rPr>
        <w:t>fluorimetric</w:t>
      </w:r>
      <w:proofErr w:type="spellEnd"/>
      <w:r w:rsidRPr="00D37874">
        <w:rPr>
          <w:rFonts w:asciiTheme="minorHAnsi" w:hAnsiTheme="minorHAnsi" w:cstheme="minorHAnsi"/>
          <w:sz w:val="22"/>
          <w:szCs w:val="22"/>
        </w:rPr>
        <w:t xml:space="preserve"> approach of </w:t>
      </w:r>
      <w:proofErr w:type="spellStart"/>
      <w:r w:rsidRPr="00D37874">
        <w:rPr>
          <w:rFonts w:asciiTheme="minorHAnsi" w:hAnsiTheme="minorHAnsi" w:cstheme="minorHAnsi"/>
          <w:sz w:val="22"/>
          <w:szCs w:val="22"/>
        </w:rPr>
        <w:t>Diao</w:t>
      </w:r>
      <w:proofErr w:type="spellEnd"/>
      <w:r w:rsidRPr="00D37874">
        <w:rPr>
          <w:rFonts w:asciiTheme="minorHAnsi" w:hAnsiTheme="minorHAnsi" w:cstheme="minorHAnsi"/>
          <w:sz w:val="22"/>
          <w:szCs w:val="22"/>
        </w:rPr>
        <w:t xml:space="preserve"> </w:t>
      </w:r>
      <w:r w:rsidRPr="00D37874">
        <w:rPr>
          <w:rFonts w:asciiTheme="minorHAnsi" w:hAnsiTheme="minorHAnsi" w:cstheme="minorHAnsi"/>
          <w:i/>
          <w:sz w:val="22"/>
          <w:szCs w:val="22"/>
        </w:rPr>
        <w:t>et al.</w:t>
      </w:r>
      <w:r w:rsidRPr="00D37874">
        <w:rPr>
          <w:rFonts w:asciiTheme="minorHAnsi" w:hAnsiTheme="minorHAnsi" w:cstheme="minorHAnsi"/>
          <w:sz w:val="22"/>
          <w:szCs w:val="22"/>
        </w:rPr>
        <w:t xml:space="preserve"> [11]. However, such techniques have typically only been demonstrated for discrete, rather than continuous, measurement. </w:t>
      </w:r>
    </w:p>
    <w:p w:rsidR="00D37874" w:rsidRDefault="00D37874" w:rsidP="00D37874">
      <w:pPr>
        <w:pStyle w:val="PARA"/>
        <w:rPr>
          <w:rFonts w:asciiTheme="minorHAnsi" w:hAnsiTheme="minorHAnsi" w:cstheme="minorHAnsi"/>
          <w:sz w:val="22"/>
          <w:szCs w:val="22"/>
        </w:rPr>
      </w:pPr>
    </w:p>
    <w:p w:rsidR="00D37874" w:rsidRDefault="00D37874" w:rsidP="00D37874">
      <w:pPr>
        <w:pStyle w:val="PARA"/>
        <w:rPr>
          <w:rFonts w:asciiTheme="minorHAnsi" w:hAnsiTheme="minorHAnsi" w:cstheme="minorHAnsi"/>
          <w:sz w:val="22"/>
          <w:szCs w:val="22"/>
        </w:rPr>
      </w:pPr>
      <w:r w:rsidRPr="00D37874">
        <w:rPr>
          <w:rFonts w:asciiTheme="minorHAnsi" w:hAnsiTheme="minorHAnsi" w:cstheme="minorHAnsi"/>
          <w:sz w:val="22"/>
          <w:szCs w:val="22"/>
        </w:rPr>
        <w:t xml:space="preserve">It is possible to detect propofol electrochemically, via its oxidation. However, this reaction produces radicals which undergo further reactions to produce polymeric molecules at the electrode surface [12] [13]. These polymers are insoluble and non-conductive and thus lead to significant electrode fouling. Therefore, the direct electrochemical detection of propofol is not practical for real-world applications, where any propofol sensor would be required to produce stable currents over periods of up to several hours. The group of Lindner </w:t>
      </w:r>
      <w:r w:rsidRPr="00D37874">
        <w:rPr>
          <w:rFonts w:asciiTheme="minorHAnsi" w:hAnsiTheme="minorHAnsi" w:cstheme="minorHAnsi"/>
          <w:i/>
          <w:sz w:val="22"/>
          <w:szCs w:val="22"/>
        </w:rPr>
        <w:t>et al.</w:t>
      </w:r>
      <w:r w:rsidRPr="00D37874">
        <w:rPr>
          <w:rFonts w:asciiTheme="minorHAnsi" w:hAnsiTheme="minorHAnsi" w:cstheme="minorHAnsi"/>
          <w:sz w:val="22"/>
          <w:szCs w:val="22"/>
        </w:rPr>
        <w:t xml:space="preserve"> have attempted to overcome this challenge through the application of a plasticized polyvinyl chloride membrane [1] and </w:t>
      </w:r>
      <w:proofErr w:type="spellStart"/>
      <w:r w:rsidRPr="00D37874">
        <w:rPr>
          <w:rFonts w:asciiTheme="minorHAnsi" w:hAnsiTheme="minorHAnsi" w:cstheme="minorHAnsi"/>
          <w:sz w:val="22"/>
          <w:szCs w:val="22"/>
        </w:rPr>
        <w:t>Aiassa</w:t>
      </w:r>
      <w:proofErr w:type="spellEnd"/>
      <w:r w:rsidRPr="00D37874">
        <w:rPr>
          <w:rFonts w:asciiTheme="minorHAnsi" w:hAnsiTheme="minorHAnsi" w:cstheme="minorHAnsi"/>
          <w:sz w:val="22"/>
          <w:szCs w:val="22"/>
        </w:rPr>
        <w:t xml:space="preserve"> </w:t>
      </w:r>
      <w:r w:rsidRPr="00D37874">
        <w:rPr>
          <w:rFonts w:asciiTheme="minorHAnsi" w:hAnsiTheme="minorHAnsi" w:cstheme="minorHAnsi"/>
          <w:i/>
          <w:sz w:val="22"/>
          <w:szCs w:val="22"/>
        </w:rPr>
        <w:t>et al.</w:t>
      </w:r>
      <w:r w:rsidRPr="00D37874">
        <w:rPr>
          <w:rFonts w:asciiTheme="minorHAnsi" w:hAnsiTheme="minorHAnsi" w:cstheme="minorHAnsi"/>
          <w:sz w:val="22"/>
          <w:szCs w:val="22"/>
        </w:rPr>
        <w:t xml:space="preserve"> have attempted to compensate for electrode fouling through machine learning [14]</w:t>
      </w:r>
      <w:r>
        <w:rPr>
          <w:rFonts w:asciiTheme="minorHAnsi" w:hAnsiTheme="minorHAnsi" w:cstheme="minorHAnsi"/>
          <w:sz w:val="22"/>
          <w:szCs w:val="22"/>
        </w:rPr>
        <w:t>.</w:t>
      </w:r>
    </w:p>
    <w:p w:rsidR="00D37874" w:rsidRDefault="00D37874" w:rsidP="00D37874">
      <w:pPr>
        <w:pStyle w:val="PARA"/>
        <w:rPr>
          <w:rFonts w:asciiTheme="minorHAnsi" w:hAnsiTheme="minorHAnsi" w:cstheme="minorHAnsi"/>
          <w:sz w:val="22"/>
          <w:szCs w:val="22"/>
        </w:rPr>
      </w:pPr>
    </w:p>
    <w:p w:rsidR="00D37874" w:rsidRDefault="00D37874" w:rsidP="00D37874">
      <w:pPr>
        <w:pStyle w:val="PARA"/>
        <w:rPr>
          <w:rFonts w:asciiTheme="minorHAnsi" w:hAnsiTheme="minorHAnsi" w:cstheme="minorHAnsi"/>
          <w:sz w:val="22"/>
          <w:szCs w:val="22"/>
        </w:rPr>
      </w:pPr>
      <w:r w:rsidRPr="00D37874">
        <w:rPr>
          <w:rFonts w:asciiTheme="minorHAnsi" w:hAnsiTheme="minorHAnsi" w:cstheme="minorHAnsi"/>
          <w:sz w:val="22"/>
          <w:szCs w:val="22"/>
        </w:rPr>
        <w:t xml:space="preserve">In this paper we present an electrochemical propofol biosensor based upon the enzyme cytochrome P450 2B6. The enzyme is expressed within deactivated yeast cells, which are in turn immobilized alongside gold nanoparticles within a chitosan film upon the surface of a screen-printed electrode. Cytochrome P450 2B6 is one of the principal enzymes responsible for metabolizing propofol within the human body [15]. In the presence of the cofactors nicotinamide adenine dinucleotide phosphate (NADPH) and D-glucose-6-phosphate, the enzyme will convert propofol into a quinone/quinol redox pair [16] (Fig. 1). The NADPH acts as an electron source, allowing the enzyme to catalyze the conversion of propofol. Unlike direct electrochemical oxidation, the conversion of propofol in this manner will not lead to polymerization and therefore will not cause electrode fouling. The redox pair can be detected electrochemically, thus enabling the simple and rapid measurement of the propofol </w:t>
      </w:r>
      <w:r w:rsidRPr="00D37874">
        <w:rPr>
          <w:rFonts w:asciiTheme="minorHAnsi" w:hAnsiTheme="minorHAnsi" w:cstheme="minorHAnsi"/>
          <w:sz w:val="22"/>
          <w:szCs w:val="22"/>
        </w:rPr>
        <w:lastRenderedPageBreak/>
        <w:t>concentration. Immobilizing the enzyme within the yeast cells preserves the stability of the enzyme, which can otherwise prove challenging. Chitosan was chosen as the means of immobilization as it is abundant, biocompatible and highly porous. The addition of the gold nanoparticles is to provide additional stabilization of the enzyme.</w:t>
      </w:r>
    </w:p>
    <w:p w:rsidR="000E5002" w:rsidRDefault="000E5002" w:rsidP="00D37874">
      <w:pPr>
        <w:pStyle w:val="PARA"/>
        <w:rPr>
          <w:rFonts w:asciiTheme="minorHAnsi" w:hAnsiTheme="minorHAnsi" w:cstheme="minorHAnsi"/>
          <w:sz w:val="22"/>
          <w:szCs w:val="22"/>
        </w:rPr>
      </w:pPr>
    </w:p>
    <w:p w:rsidR="00A67B8D" w:rsidRDefault="00801366" w:rsidP="00A67B8D">
      <w:pPr>
        <w:pStyle w:val="PARA"/>
        <w:keepNext/>
      </w:pPr>
      <w:r>
        <w:rPr>
          <w:noProof/>
          <w:lang w:val="en-GB" w:eastAsia="en-GB"/>
        </w:rPr>
        <w:drawing>
          <wp:inline distT="0" distB="0" distL="0" distR="0" wp14:anchorId="0BE82ACD" wp14:editId="64BEB238">
            <wp:extent cx="5731510" cy="17995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rri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799590"/>
                    </a:xfrm>
                    <a:prstGeom prst="rect">
                      <a:avLst/>
                    </a:prstGeom>
                  </pic:spPr>
                </pic:pic>
              </a:graphicData>
            </a:graphic>
          </wp:inline>
        </w:drawing>
      </w:r>
    </w:p>
    <w:p w:rsidR="00801366" w:rsidRPr="00A67B8D" w:rsidRDefault="00A67B8D" w:rsidP="00A67B8D">
      <w:pPr>
        <w:pStyle w:val="Caption"/>
        <w:jc w:val="both"/>
        <w:rPr>
          <w:color w:val="auto"/>
        </w:rPr>
      </w:pPr>
      <w:r w:rsidRPr="00A67B8D">
        <w:rPr>
          <w:color w:val="auto"/>
        </w:rPr>
        <w:t>Fig</w:t>
      </w:r>
      <w:r>
        <w:rPr>
          <w:color w:val="auto"/>
        </w:rPr>
        <w:t>.</w:t>
      </w:r>
      <w:r w:rsidRPr="00A67B8D">
        <w:rPr>
          <w:color w:val="auto"/>
        </w:rPr>
        <w:t xml:space="preserve"> </w:t>
      </w:r>
      <w:r w:rsidRPr="00A67B8D">
        <w:rPr>
          <w:color w:val="auto"/>
        </w:rPr>
        <w:fldChar w:fldCharType="begin"/>
      </w:r>
      <w:r w:rsidRPr="00A67B8D">
        <w:rPr>
          <w:color w:val="auto"/>
        </w:rPr>
        <w:instrText xml:space="preserve"> SEQ Figure \* ARABIC </w:instrText>
      </w:r>
      <w:r w:rsidRPr="00A67B8D">
        <w:rPr>
          <w:color w:val="auto"/>
        </w:rPr>
        <w:fldChar w:fldCharType="separate"/>
      </w:r>
      <w:r w:rsidR="006E19F6">
        <w:rPr>
          <w:noProof/>
          <w:color w:val="auto"/>
        </w:rPr>
        <w:t>1</w:t>
      </w:r>
      <w:r w:rsidRPr="00A67B8D">
        <w:rPr>
          <w:color w:val="auto"/>
        </w:rPr>
        <w:fldChar w:fldCharType="end"/>
      </w:r>
      <w:r w:rsidRPr="00A67B8D">
        <w:rPr>
          <w:color w:val="auto"/>
        </w:rPr>
        <w:t xml:space="preserve"> </w:t>
      </w:r>
      <w:r>
        <w:rPr>
          <w:color w:val="auto"/>
        </w:rPr>
        <w:t>–</w:t>
      </w:r>
      <w:r w:rsidRPr="00A67B8D">
        <w:rPr>
          <w:color w:val="auto"/>
        </w:rPr>
        <w:t xml:space="preserve"> Reaction mechanism for conversion of propofol to quinone/quinol redox pair by cytochrome P450 2B6. NADPH acts as the electron source for the enzyme reaction and the electrode is used to detect the reaction products. Adapted from </w:t>
      </w:r>
      <w:proofErr w:type="spellStart"/>
      <w:r w:rsidRPr="00A67B8D">
        <w:rPr>
          <w:color w:val="auto"/>
        </w:rPr>
        <w:t>Shioya</w:t>
      </w:r>
      <w:proofErr w:type="spellEnd"/>
      <w:r w:rsidRPr="00A67B8D">
        <w:rPr>
          <w:color w:val="auto"/>
        </w:rPr>
        <w:t xml:space="preserve"> et al. [13].</w:t>
      </w:r>
    </w:p>
    <w:p w:rsidR="00D37874" w:rsidRDefault="00D37874" w:rsidP="00D37874"/>
    <w:p w:rsidR="00D37874" w:rsidRDefault="00D37874" w:rsidP="00D37874">
      <w:pPr>
        <w:pStyle w:val="Heading1"/>
        <w:numPr>
          <w:ilvl w:val="0"/>
          <w:numId w:val="1"/>
        </w:numPr>
        <w:rPr>
          <w:color w:val="auto"/>
        </w:rPr>
      </w:pPr>
      <w:r w:rsidRPr="00D37874">
        <w:rPr>
          <w:color w:val="auto"/>
        </w:rPr>
        <w:t>Materials and methods</w:t>
      </w:r>
    </w:p>
    <w:p w:rsidR="00D37874" w:rsidRDefault="00D37874" w:rsidP="00D37874"/>
    <w:p w:rsidR="00D37874" w:rsidRDefault="00D37874" w:rsidP="00D37874">
      <w:pPr>
        <w:pStyle w:val="Heading2"/>
        <w:numPr>
          <w:ilvl w:val="1"/>
          <w:numId w:val="1"/>
        </w:numPr>
        <w:rPr>
          <w:color w:val="auto"/>
        </w:rPr>
      </w:pPr>
      <w:r w:rsidRPr="00D37874">
        <w:rPr>
          <w:color w:val="auto"/>
        </w:rPr>
        <w:t>Materials</w:t>
      </w:r>
    </w:p>
    <w:p w:rsidR="00D37874" w:rsidRDefault="00D37874" w:rsidP="00D37874"/>
    <w:p w:rsidR="00D37874" w:rsidRDefault="00D37874" w:rsidP="00D37874">
      <w:pPr>
        <w:jc w:val="both"/>
        <w:rPr>
          <w:rFonts w:cstheme="minorHAnsi"/>
          <w:lang w:eastAsia="x-none"/>
        </w:rPr>
      </w:pPr>
      <w:r w:rsidRPr="00D37874">
        <w:rPr>
          <w:rFonts w:cstheme="minorHAnsi"/>
          <w:lang w:eastAsia="x-none"/>
        </w:rPr>
        <w:t>All materials were obtained from Sigma-Aldrich (Dorset, UK) and used as supplied. β-Nicotinamide adenine dinucleotide phosphate sodium salt hydrate (NADP</w:t>
      </w:r>
      <w:r w:rsidRPr="00D37874">
        <w:rPr>
          <w:rFonts w:cstheme="minorHAnsi"/>
          <w:vertAlign w:val="superscript"/>
          <w:lang w:eastAsia="x-none"/>
        </w:rPr>
        <w:t>+</w:t>
      </w:r>
      <w:r w:rsidRPr="00D37874">
        <w:rPr>
          <w:rFonts w:cstheme="minorHAnsi"/>
          <w:lang w:eastAsia="x-none"/>
        </w:rPr>
        <w:t xml:space="preserve">) and D-glucose-6-phosphate dipotassium salt hydrate (G6P) were dissolved in phosphate buffered saline (PBS) (10 mM phosphate buffer, 2.7 mM KCl, 137 mM </w:t>
      </w:r>
      <w:proofErr w:type="spellStart"/>
      <w:r w:rsidRPr="00D37874">
        <w:rPr>
          <w:rFonts w:cstheme="minorHAnsi"/>
          <w:lang w:eastAsia="x-none"/>
        </w:rPr>
        <w:t>NaCl</w:t>
      </w:r>
      <w:proofErr w:type="spellEnd"/>
      <w:r w:rsidRPr="00D37874">
        <w:rPr>
          <w:rFonts w:cstheme="minorHAnsi"/>
          <w:lang w:eastAsia="x-none"/>
        </w:rPr>
        <w:t xml:space="preserve">, pH 7.4) to produce solutions in which the concentration of each was 50 µg/ml. Unless stated otherwise, this was the testing solution for the electrochemical measurements described in section </w:t>
      </w:r>
      <w:r w:rsidR="00235D45">
        <w:rPr>
          <w:rFonts w:cstheme="minorHAnsi"/>
          <w:lang w:eastAsia="x-none"/>
        </w:rPr>
        <w:t>2d</w:t>
      </w:r>
      <w:r w:rsidRPr="00D37874">
        <w:rPr>
          <w:rFonts w:cstheme="minorHAnsi"/>
          <w:lang w:eastAsia="x-none"/>
        </w:rPr>
        <w:t xml:space="preserve">. Solutions of identical buffer, </w:t>
      </w:r>
      <w:proofErr w:type="spellStart"/>
      <w:r w:rsidRPr="00D37874">
        <w:rPr>
          <w:rFonts w:cstheme="minorHAnsi"/>
          <w:lang w:eastAsia="x-none"/>
        </w:rPr>
        <w:t>NaCl</w:t>
      </w:r>
      <w:proofErr w:type="spellEnd"/>
      <w:r w:rsidRPr="00D37874">
        <w:rPr>
          <w:rFonts w:cstheme="minorHAnsi"/>
          <w:lang w:eastAsia="x-none"/>
        </w:rPr>
        <w:t>, KCl, NADP</w:t>
      </w:r>
      <w:r w:rsidRPr="00D37874">
        <w:rPr>
          <w:rFonts w:cstheme="minorHAnsi"/>
          <w:vertAlign w:val="superscript"/>
          <w:lang w:eastAsia="x-none"/>
        </w:rPr>
        <w:t>+</w:t>
      </w:r>
      <w:r w:rsidRPr="00D37874">
        <w:rPr>
          <w:rFonts w:cstheme="minorHAnsi"/>
          <w:lang w:eastAsia="x-none"/>
        </w:rPr>
        <w:t xml:space="preserve"> and G6P concentrations were also prepared with the addition of 5 </w:t>
      </w:r>
      <w:proofErr w:type="spellStart"/>
      <w:r w:rsidRPr="00D37874">
        <w:rPr>
          <w:rFonts w:cstheme="minorHAnsi"/>
          <w:lang w:eastAsia="x-none"/>
        </w:rPr>
        <w:t>wt</w:t>
      </w:r>
      <w:proofErr w:type="spellEnd"/>
      <w:r w:rsidRPr="00D37874">
        <w:rPr>
          <w:rFonts w:cstheme="minorHAnsi"/>
          <w:lang w:eastAsia="x-none"/>
        </w:rPr>
        <w:t>% of bovine serum albumin (BSA) (heat shock fraction, pH 7, ≥98%). 2,6-diisopropylphenol (97%) was diluted in dimethyl sulfoxide (99.9%) to create a 10 mM stock solution. This stock was further diluted with the NADP</w:t>
      </w:r>
      <w:r w:rsidRPr="00D37874">
        <w:rPr>
          <w:rFonts w:cstheme="minorHAnsi"/>
          <w:vertAlign w:val="superscript"/>
          <w:lang w:eastAsia="x-none"/>
        </w:rPr>
        <w:t>+</w:t>
      </w:r>
      <w:r w:rsidRPr="00D37874">
        <w:rPr>
          <w:rFonts w:cstheme="minorHAnsi"/>
          <w:lang w:eastAsia="x-none"/>
        </w:rPr>
        <w:t>/G6P solution to produce propofol solutions of varying concentrations as required for the tests described herein. Ascorbic acid (&gt;99%) and lidocaine were each dissolved in dimethyl sulfoxide to produce 10 mM stock solutions and diluted in the same manner as the propofol solutions to produce 1 mM solutions.</w:t>
      </w:r>
    </w:p>
    <w:p w:rsidR="00D37874" w:rsidRDefault="00D37874" w:rsidP="00D37874">
      <w:pPr>
        <w:jc w:val="both"/>
        <w:rPr>
          <w:rFonts w:cstheme="minorHAnsi"/>
          <w:lang w:eastAsia="x-none"/>
        </w:rPr>
      </w:pPr>
    </w:p>
    <w:p w:rsidR="00D37874" w:rsidRDefault="00D37874" w:rsidP="00D37874">
      <w:pPr>
        <w:pStyle w:val="Heading2"/>
        <w:numPr>
          <w:ilvl w:val="1"/>
          <w:numId w:val="1"/>
        </w:numPr>
        <w:rPr>
          <w:color w:val="auto"/>
        </w:rPr>
      </w:pPr>
      <w:r w:rsidRPr="00D37874">
        <w:rPr>
          <w:color w:val="auto"/>
        </w:rPr>
        <w:t>Apparatus</w:t>
      </w:r>
    </w:p>
    <w:p w:rsidR="00D37874" w:rsidRDefault="00D37874" w:rsidP="00D37874"/>
    <w:p w:rsidR="00D37874" w:rsidRDefault="00D37874" w:rsidP="00D37874">
      <w:pPr>
        <w:jc w:val="both"/>
      </w:pPr>
      <w:r>
        <w:t>The screen-printed electrodes used in these experiments were purchased from BVT Technologies (</w:t>
      </w:r>
      <w:proofErr w:type="spellStart"/>
      <w:r>
        <w:t>Str</w:t>
      </w:r>
      <w:r>
        <w:rPr>
          <w:rFonts w:cs="Times"/>
        </w:rPr>
        <w:t>áž</w:t>
      </w:r>
      <w:r>
        <w:t>ek</w:t>
      </w:r>
      <w:proofErr w:type="spellEnd"/>
      <w:r>
        <w:t xml:space="preserve">, Czech Republic). They constitute a three-electrode cell consisting of a 1 mm diameter graphite working electrode, a graphite counter electrode and a silver/silver chloride (Ag/AgCl) pseudo-reference electrode. All measurements were performed using a </w:t>
      </w:r>
      <w:proofErr w:type="spellStart"/>
      <w:r>
        <w:t>PamSens</w:t>
      </w:r>
      <w:proofErr w:type="spellEnd"/>
      <w:r>
        <w:t xml:space="preserve"> EmStat</w:t>
      </w:r>
      <w:r w:rsidRPr="00E93C33">
        <w:rPr>
          <w:vertAlign w:val="superscript"/>
        </w:rPr>
        <w:t>3</w:t>
      </w:r>
      <w:r>
        <w:t xml:space="preserve"> potentiostat.</w:t>
      </w:r>
    </w:p>
    <w:p w:rsidR="00D37874" w:rsidRDefault="00D37874" w:rsidP="00D37874">
      <w:pPr>
        <w:jc w:val="both"/>
      </w:pPr>
    </w:p>
    <w:p w:rsidR="00D37874" w:rsidRDefault="00D37874" w:rsidP="00D37874">
      <w:pPr>
        <w:pStyle w:val="Heading2"/>
        <w:numPr>
          <w:ilvl w:val="1"/>
          <w:numId w:val="1"/>
        </w:numPr>
        <w:rPr>
          <w:color w:val="auto"/>
        </w:rPr>
      </w:pPr>
      <w:r w:rsidRPr="00D37874">
        <w:rPr>
          <w:color w:val="auto"/>
        </w:rPr>
        <w:lastRenderedPageBreak/>
        <w:t>Electrode preparation</w:t>
      </w:r>
    </w:p>
    <w:p w:rsidR="00D37874" w:rsidRDefault="00D37874" w:rsidP="00D37874"/>
    <w:p w:rsidR="00D37874" w:rsidRDefault="00D37874" w:rsidP="00D37874">
      <w:pPr>
        <w:jc w:val="both"/>
      </w:pPr>
      <w:r>
        <w:t xml:space="preserve">Gold nanoparticles were produced using a standard sodium citrate reduction technique </w:t>
      </w:r>
      <w:r w:rsidRPr="008A7E2C">
        <w:t>[17]</w:t>
      </w:r>
      <w:r>
        <w:t>. Briefly, 10 mg of gold chloride hydrate (HAuCl</w:t>
      </w:r>
      <w:r w:rsidRPr="005650EB">
        <w:rPr>
          <w:vertAlign w:val="subscript"/>
        </w:rPr>
        <w:t>4</w:t>
      </w:r>
      <w:r>
        <w:t xml:space="preserve">) (99.995%) were dissolved in 20 ml of deionized water and this solution brought to boiling point under magnetic stirring. </w:t>
      </w:r>
      <w:proofErr w:type="spellStart"/>
      <w:r>
        <w:t>Trisodium</w:t>
      </w:r>
      <w:proofErr w:type="spellEnd"/>
      <w:r>
        <w:t xml:space="preserve"> citrate </w:t>
      </w:r>
      <w:proofErr w:type="spellStart"/>
      <w:r>
        <w:t>dihydrate</w:t>
      </w:r>
      <w:proofErr w:type="spellEnd"/>
      <w:r>
        <w:t xml:space="preserve"> (≥99%) was dissolved in deionized water to produce a 2.5 </w:t>
      </w:r>
      <w:proofErr w:type="spellStart"/>
      <w:r>
        <w:t>wt</w:t>
      </w:r>
      <w:proofErr w:type="spellEnd"/>
      <w:r>
        <w:t>% solution and 1 ml of this solution was added to the HAuCl</w:t>
      </w:r>
      <w:r w:rsidRPr="005650EB">
        <w:rPr>
          <w:vertAlign w:val="subscript"/>
        </w:rPr>
        <w:t>4</w:t>
      </w:r>
      <w:r>
        <w:t xml:space="preserve"> solution and the mixture kept at boiling point for 5-10 minutes until it had undergone a </w:t>
      </w:r>
      <w:proofErr w:type="spellStart"/>
      <w:r>
        <w:t>color</w:t>
      </w:r>
      <w:proofErr w:type="spellEnd"/>
      <w:r>
        <w:t xml:space="preserve"> change to deep red, before being allowed to cool to room temperature.</w:t>
      </w:r>
    </w:p>
    <w:p w:rsidR="00D37874" w:rsidRDefault="00D37874" w:rsidP="00D37874">
      <w:pPr>
        <w:jc w:val="both"/>
      </w:pPr>
      <w:r>
        <w:t xml:space="preserve">CypExpress 2B6 (a deactivated, </w:t>
      </w:r>
      <w:proofErr w:type="spellStart"/>
      <w:r>
        <w:t>permeabilized</w:t>
      </w:r>
      <w:proofErr w:type="spellEnd"/>
      <w:r>
        <w:t xml:space="preserve"> yeast expressing cytochrome P450 2B6 and NADPH oxidoreductase) was suspended in phosphate buffer (pH 7) at a concentration of 25 mg/ml. This suspension was mixed with the gold nanoparticle solution and a 1 </w:t>
      </w:r>
      <w:proofErr w:type="spellStart"/>
      <w:r>
        <w:t>wt</w:t>
      </w:r>
      <w:proofErr w:type="spellEnd"/>
      <w:r>
        <w:t xml:space="preserve">% chitosan solution (1% acetic acid) in a ratio of 1:1:2 by volume </w:t>
      </w:r>
      <w:r w:rsidRPr="008A7E2C">
        <w:t xml:space="preserve">(resulting in a </w:t>
      </w:r>
      <w:proofErr w:type="spellStart"/>
      <w:proofErr w:type="gramStart"/>
      <w:r w:rsidRPr="008A7E2C">
        <w:t>gold:CypExpress</w:t>
      </w:r>
      <w:proofErr w:type="gramEnd"/>
      <w:r w:rsidRPr="008A7E2C">
        <w:t>:chitosan</w:t>
      </w:r>
      <w:proofErr w:type="spellEnd"/>
      <w:r w:rsidRPr="008A7E2C">
        <w:t xml:space="preserve"> ratio by mass of approximately 1:100:42)</w:t>
      </w:r>
      <w:r>
        <w:t xml:space="preserve">. </w:t>
      </w:r>
      <w:r w:rsidRPr="00A12453">
        <w:rPr>
          <w:rFonts w:ascii="Times" w:hAnsi="Times" w:cs="Times"/>
        </w:rPr>
        <w:t>1 µl of this</w:t>
      </w:r>
      <w:r>
        <w:t xml:space="preserve"> mixture was drop-cast onto the working electrode of each screen-printed electrode and left to dry at 4°C. Once dry, the electrodes were immersed in 10 mM PBS for 30 minutes at room temperature, before being re-dried and store</w:t>
      </w:r>
      <w:r w:rsidRPr="00692734">
        <w:t>d</w:t>
      </w:r>
      <w:r>
        <w:t xml:space="preserve"> at 4°C until use. Additional electrodes were prepared in a similar manner without the addition of gold nanoparticles. An equivalent volume of phosphate buffer (pH 7) was added in place of the gold nanoparticle solution.</w:t>
      </w:r>
    </w:p>
    <w:p w:rsidR="00D37874" w:rsidRDefault="00D37874" w:rsidP="00D37874">
      <w:pPr>
        <w:jc w:val="both"/>
      </w:pPr>
    </w:p>
    <w:p w:rsidR="00D37874" w:rsidRDefault="00D37874" w:rsidP="00D37874">
      <w:pPr>
        <w:pStyle w:val="Heading2"/>
        <w:numPr>
          <w:ilvl w:val="1"/>
          <w:numId w:val="1"/>
        </w:numPr>
        <w:rPr>
          <w:color w:val="auto"/>
        </w:rPr>
      </w:pPr>
      <w:r w:rsidRPr="00D37874">
        <w:rPr>
          <w:color w:val="auto"/>
        </w:rPr>
        <w:t>Electrochemical measurement</w:t>
      </w:r>
    </w:p>
    <w:p w:rsidR="00D37874" w:rsidRDefault="00D37874" w:rsidP="00D37874"/>
    <w:p w:rsidR="00182A10" w:rsidRDefault="00D37874" w:rsidP="00182A10">
      <w:pPr>
        <w:spacing w:after="0"/>
        <w:jc w:val="both"/>
        <w:rPr>
          <w:rFonts w:cstheme="minorHAnsi"/>
          <w:lang w:eastAsia="x-none"/>
        </w:rPr>
      </w:pPr>
      <w:r w:rsidRPr="00D37874">
        <w:rPr>
          <w:rFonts w:cstheme="minorHAnsi"/>
          <w:lang w:eastAsia="x-none"/>
        </w:rPr>
        <w:t>Cyclic voltammetry measurements were performed by depositing 50 µl of propofol solutions of varying concentration upon the functionalized electrodes and cycling the potential between -0.8 and +1.0 V, commencing at +0.1 V, with a scan rate of 100 mV/s.</w:t>
      </w:r>
    </w:p>
    <w:p w:rsidR="00182A10" w:rsidRDefault="00182A10" w:rsidP="00182A10">
      <w:pPr>
        <w:spacing w:after="0"/>
        <w:jc w:val="both"/>
        <w:rPr>
          <w:rFonts w:cstheme="minorHAnsi"/>
          <w:lang w:eastAsia="x-none"/>
        </w:rPr>
      </w:pPr>
    </w:p>
    <w:p w:rsidR="00182A10" w:rsidRDefault="00D37874" w:rsidP="00182A10">
      <w:pPr>
        <w:spacing w:after="0"/>
        <w:jc w:val="both"/>
        <w:rPr>
          <w:rFonts w:cstheme="minorHAnsi"/>
          <w:lang w:eastAsia="x-none"/>
        </w:rPr>
      </w:pPr>
      <w:r w:rsidRPr="00D37874">
        <w:rPr>
          <w:rFonts w:cstheme="minorHAnsi"/>
          <w:lang w:eastAsia="x-none"/>
        </w:rPr>
        <w:t>Amperometry measurements were performed by immersing the functionalized electrodes in 20 ml of 50 µg/ml NADP</w:t>
      </w:r>
      <w:r w:rsidRPr="00D37874">
        <w:rPr>
          <w:rFonts w:cstheme="minorHAnsi"/>
          <w:vertAlign w:val="superscript"/>
          <w:lang w:eastAsia="x-none"/>
        </w:rPr>
        <w:t>+</w:t>
      </w:r>
      <w:r w:rsidRPr="00D37874">
        <w:rPr>
          <w:rFonts w:cstheme="minorHAnsi"/>
          <w:lang w:eastAsia="x-none"/>
        </w:rPr>
        <w:t xml:space="preserve"> and G6P solution (10 mM PBS) and measuring the current at +0.6 V. The solution was stirred magnetically and aliquots of 1 mM propofol solution were injected at regular intervals. Similar experiments were carried out injecting aliquots of 1 mM ascorbic acid and lidocaine solutions, and using NADP</w:t>
      </w:r>
      <w:r w:rsidRPr="00D37874">
        <w:rPr>
          <w:rFonts w:cstheme="minorHAnsi"/>
          <w:vertAlign w:val="superscript"/>
          <w:lang w:eastAsia="x-none"/>
        </w:rPr>
        <w:t>+</w:t>
      </w:r>
      <w:r w:rsidRPr="00D37874">
        <w:rPr>
          <w:rFonts w:cstheme="minorHAnsi"/>
          <w:lang w:eastAsia="x-none"/>
        </w:rPr>
        <w:t xml:space="preserve">/G6P solutions containing 5 </w:t>
      </w:r>
      <w:proofErr w:type="spellStart"/>
      <w:r w:rsidRPr="00D37874">
        <w:rPr>
          <w:rFonts w:cstheme="minorHAnsi"/>
          <w:lang w:eastAsia="x-none"/>
        </w:rPr>
        <w:t>wt</w:t>
      </w:r>
      <w:proofErr w:type="spellEnd"/>
      <w:r w:rsidRPr="00D37874">
        <w:rPr>
          <w:rFonts w:cstheme="minorHAnsi"/>
          <w:lang w:eastAsia="x-none"/>
        </w:rPr>
        <w:t>% BSA.</w:t>
      </w:r>
    </w:p>
    <w:p w:rsidR="00182A10" w:rsidRPr="00D37874" w:rsidRDefault="00182A10" w:rsidP="00182A10">
      <w:pPr>
        <w:spacing w:after="0"/>
        <w:jc w:val="both"/>
        <w:rPr>
          <w:rFonts w:cstheme="minorHAnsi"/>
          <w:lang w:eastAsia="x-none"/>
        </w:rPr>
      </w:pPr>
    </w:p>
    <w:p w:rsidR="00D37874" w:rsidRDefault="00D37874" w:rsidP="00D37874">
      <w:pPr>
        <w:jc w:val="both"/>
        <w:rPr>
          <w:rFonts w:cstheme="minorHAnsi"/>
          <w:lang w:eastAsia="x-none"/>
        </w:rPr>
      </w:pPr>
      <w:r w:rsidRPr="00D37874">
        <w:rPr>
          <w:rFonts w:cstheme="minorHAnsi"/>
          <w:lang w:eastAsia="x-none"/>
        </w:rPr>
        <w:t>Control measurements were carried out by performing amperometry as above in 10 mM PBS solutions without NADP</w:t>
      </w:r>
      <w:r w:rsidRPr="00D37874">
        <w:rPr>
          <w:rFonts w:cstheme="minorHAnsi"/>
          <w:vertAlign w:val="superscript"/>
          <w:lang w:eastAsia="x-none"/>
        </w:rPr>
        <w:t>+</w:t>
      </w:r>
      <w:r w:rsidRPr="00D37874">
        <w:rPr>
          <w:rFonts w:cstheme="minorHAnsi"/>
          <w:lang w:eastAsia="x-none"/>
        </w:rPr>
        <w:t xml:space="preserve"> or G6P, and injecting aliquots of 1 mM propofol solution at regular intervals. These experiments were carried out in triplicate using the same electrode. Between each run the electrode was rinsed with 10 mM PBS, dried and stored at 4°C overnight.</w:t>
      </w:r>
    </w:p>
    <w:p w:rsidR="00182A10" w:rsidRDefault="00182A10" w:rsidP="00D37874">
      <w:pPr>
        <w:jc w:val="both"/>
        <w:rPr>
          <w:rFonts w:cstheme="minorHAnsi"/>
          <w:lang w:eastAsia="x-none"/>
        </w:rPr>
      </w:pPr>
    </w:p>
    <w:p w:rsidR="00182A10" w:rsidRDefault="00182A10" w:rsidP="00182A10">
      <w:pPr>
        <w:pStyle w:val="Heading1"/>
        <w:numPr>
          <w:ilvl w:val="0"/>
          <w:numId w:val="1"/>
        </w:numPr>
        <w:rPr>
          <w:color w:val="auto"/>
        </w:rPr>
      </w:pPr>
      <w:r w:rsidRPr="00182A10">
        <w:rPr>
          <w:color w:val="auto"/>
        </w:rPr>
        <w:t>Results and discussion</w:t>
      </w:r>
    </w:p>
    <w:p w:rsidR="00182A10" w:rsidRDefault="00182A10" w:rsidP="00182A10"/>
    <w:p w:rsidR="00182A10" w:rsidRDefault="00182A10" w:rsidP="00182A10">
      <w:pPr>
        <w:pStyle w:val="PARAIndent"/>
        <w:ind w:firstLine="0"/>
        <w:rPr>
          <w:rFonts w:asciiTheme="minorHAnsi" w:hAnsiTheme="minorHAnsi" w:cstheme="minorHAnsi"/>
          <w:sz w:val="22"/>
          <w:szCs w:val="22"/>
        </w:rPr>
      </w:pPr>
      <w:r w:rsidRPr="00182A10">
        <w:rPr>
          <w:rFonts w:asciiTheme="minorHAnsi" w:hAnsiTheme="minorHAnsi" w:cstheme="minorHAnsi"/>
          <w:sz w:val="22"/>
          <w:szCs w:val="22"/>
        </w:rPr>
        <w:t>Cyclic voltammetry with varying propofol concentration (Fig. 2) shows concentration dependent peaks at approximately +0.5 V and -0.2 V. This behavior is as would be expected for a quinone/quinol redox pair [18], with the peaks corresponding to the reduction of 2,6-diisopropylquinone and the oxidation of 2,6-diisopropylquinol respectively. This indicates that the enzyme within the yeast cells is converting propofol to the expected metabolites. Additionally, these results inform the selection of the potential for the amperometry measurements.</w:t>
      </w:r>
    </w:p>
    <w:p w:rsidR="00801366" w:rsidRDefault="00801366" w:rsidP="00182A10">
      <w:pPr>
        <w:pStyle w:val="PARAIndent"/>
        <w:ind w:firstLine="0"/>
        <w:rPr>
          <w:rFonts w:asciiTheme="minorHAnsi" w:hAnsiTheme="minorHAnsi" w:cstheme="minorHAnsi"/>
          <w:sz w:val="22"/>
          <w:szCs w:val="22"/>
        </w:rPr>
      </w:pPr>
    </w:p>
    <w:p w:rsidR="00A67B8D" w:rsidRDefault="00801366" w:rsidP="00A67B8D">
      <w:pPr>
        <w:pStyle w:val="PARAIndent"/>
        <w:keepNext/>
        <w:ind w:firstLine="0"/>
      </w:pPr>
      <w:r>
        <w:rPr>
          <w:rFonts w:asciiTheme="minorHAnsi" w:hAnsiTheme="minorHAnsi" w:cstheme="minorHAnsi"/>
          <w:noProof/>
          <w:sz w:val="22"/>
          <w:szCs w:val="22"/>
          <w:lang w:val="en-GB" w:eastAsia="en-GB"/>
        </w:rPr>
        <w:drawing>
          <wp:inline distT="0" distB="0" distL="0" distR="0" wp14:anchorId="324E3CD3" wp14:editId="7E804AA2">
            <wp:extent cx="3099816" cy="247802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rri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816" cy="2478024"/>
                    </a:xfrm>
                    <a:prstGeom prst="rect">
                      <a:avLst/>
                    </a:prstGeom>
                  </pic:spPr>
                </pic:pic>
              </a:graphicData>
            </a:graphic>
          </wp:inline>
        </w:drawing>
      </w:r>
    </w:p>
    <w:p w:rsidR="00801366" w:rsidRPr="00A67B8D" w:rsidRDefault="00A67B8D" w:rsidP="00A67B8D">
      <w:pPr>
        <w:pStyle w:val="Caption"/>
        <w:jc w:val="both"/>
        <w:rPr>
          <w:rFonts w:cstheme="minorHAnsi"/>
          <w:color w:val="auto"/>
          <w:sz w:val="22"/>
          <w:szCs w:val="22"/>
        </w:rPr>
      </w:pPr>
      <w:r w:rsidRPr="00A67B8D">
        <w:rPr>
          <w:color w:val="auto"/>
        </w:rPr>
        <w:t xml:space="preserve">Fig. </w:t>
      </w:r>
      <w:r w:rsidRPr="00A67B8D">
        <w:rPr>
          <w:color w:val="auto"/>
        </w:rPr>
        <w:fldChar w:fldCharType="begin"/>
      </w:r>
      <w:r w:rsidRPr="00A67B8D">
        <w:rPr>
          <w:color w:val="auto"/>
        </w:rPr>
        <w:instrText xml:space="preserve"> SEQ Figure \* ARABIC </w:instrText>
      </w:r>
      <w:r w:rsidRPr="00A67B8D">
        <w:rPr>
          <w:color w:val="auto"/>
        </w:rPr>
        <w:fldChar w:fldCharType="separate"/>
      </w:r>
      <w:r w:rsidR="006E19F6">
        <w:rPr>
          <w:noProof/>
          <w:color w:val="auto"/>
        </w:rPr>
        <w:t>2</w:t>
      </w:r>
      <w:r w:rsidRPr="00A67B8D">
        <w:rPr>
          <w:color w:val="auto"/>
        </w:rPr>
        <w:fldChar w:fldCharType="end"/>
      </w:r>
      <w:r w:rsidRPr="00A67B8D">
        <w:rPr>
          <w:color w:val="auto"/>
        </w:rPr>
        <w:t xml:space="preserve"> – Cyclic </w:t>
      </w:r>
      <w:proofErr w:type="spellStart"/>
      <w:r w:rsidRPr="00A67B8D">
        <w:rPr>
          <w:color w:val="auto"/>
        </w:rPr>
        <w:t>voltammograms</w:t>
      </w:r>
      <w:proofErr w:type="spellEnd"/>
      <w:r w:rsidRPr="00A67B8D">
        <w:rPr>
          <w:color w:val="auto"/>
        </w:rPr>
        <w:t xml:space="preserve"> of solutions of propofol concentration: a) 0.00, b) 0.89, c) 1.78, d) 2.67, e) 3.57 and f) 4.47 µg/ml at a scan rate of 100 mV/s. All solutions contain 50 µg/ml NADP+ and G6P, 10 mM PBS. Potentials are vs. screen-printed Ag/AgCl.</w:t>
      </w:r>
    </w:p>
    <w:p w:rsidR="00182A10" w:rsidRDefault="00182A10" w:rsidP="00182A10">
      <w:pPr>
        <w:pStyle w:val="PARAIndent"/>
        <w:ind w:firstLine="0"/>
        <w:rPr>
          <w:rFonts w:asciiTheme="minorHAnsi" w:hAnsiTheme="minorHAnsi" w:cstheme="minorHAnsi"/>
          <w:sz w:val="22"/>
          <w:szCs w:val="22"/>
        </w:rPr>
      </w:pPr>
    </w:p>
    <w:p w:rsidR="00182A10" w:rsidRDefault="00182A10" w:rsidP="00182A10">
      <w:pPr>
        <w:pStyle w:val="PARAIndent"/>
        <w:ind w:firstLine="0"/>
        <w:rPr>
          <w:rFonts w:asciiTheme="minorHAnsi" w:hAnsiTheme="minorHAnsi" w:cstheme="minorHAnsi"/>
          <w:sz w:val="22"/>
          <w:szCs w:val="22"/>
        </w:rPr>
      </w:pPr>
      <w:r w:rsidRPr="00182A10">
        <w:rPr>
          <w:rFonts w:asciiTheme="minorHAnsi" w:hAnsiTheme="minorHAnsi" w:cstheme="minorHAnsi"/>
          <w:sz w:val="22"/>
          <w:szCs w:val="22"/>
        </w:rPr>
        <w:t xml:space="preserve">The amperometry measurements show a clear increase in current with each injection of propofol solution (Fig. 3a). The responses are fast, reaching a plateau within two minutes, and stable throughout the experiment. The stability of the sensor response over the duration of the experiment demonstrates the absence of any electrode fouling resulting from the direct oxidation of propofol. Plotting the average plateau current against the propofol concentration (Fig. 3b) shows that the sensor produces a clear linear response to varying propofol concentration across the testing range. The sensitivity is 4.1 ± 0.2 </w:t>
      </w:r>
      <w:proofErr w:type="spellStart"/>
      <w:r w:rsidRPr="00182A10">
        <w:rPr>
          <w:rFonts w:asciiTheme="minorHAnsi" w:hAnsiTheme="minorHAnsi" w:cstheme="minorHAnsi"/>
          <w:sz w:val="22"/>
          <w:szCs w:val="22"/>
        </w:rPr>
        <w:t>nA</w:t>
      </w:r>
      <w:proofErr w:type="spellEnd"/>
      <w:r w:rsidRPr="00182A10">
        <w:rPr>
          <w:rFonts w:asciiTheme="minorHAnsi" w:hAnsiTheme="minorHAnsi" w:cstheme="minorHAnsi"/>
          <w:sz w:val="22"/>
          <w:szCs w:val="22"/>
        </w:rPr>
        <w:t>/µg/ml/mm</w:t>
      </w:r>
      <w:r w:rsidRPr="00182A10">
        <w:rPr>
          <w:rFonts w:asciiTheme="minorHAnsi" w:hAnsiTheme="minorHAnsi" w:cstheme="minorHAnsi"/>
          <w:sz w:val="22"/>
          <w:szCs w:val="22"/>
          <w:vertAlign w:val="superscript"/>
        </w:rPr>
        <w:t>2</w:t>
      </w:r>
      <w:r w:rsidRPr="00182A10">
        <w:rPr>
          <w:rFonts w:asciiTheme="minorHAnsi" w:hAnsiTheme="minorHAnsi" w:cstheme="minorHAnsi"/>
          <w:sz w:val="22"/>
          <w:szCs w:val="22"/>
        </w:rPr>
        <w:t xml:space="preserve"> with a coefficient of variation of 0.07, and the limit of detection is 67 ± 7 ng/ml, well below the lower end of the therapeutic range (typically 1 – 10 µg/ml [19]). The sensitivity was determined by dividing the gradient of the linear fit by the area of the working electrode and the limit of detection (</w:t>
      </w:r>
      <m:oMath>
        <m:r>
          <w:rPr>
            <w:rFonts w:ascii="Cambria Math" w:hAnsi="Cambria Math" w:cstheme="minorHAnsi"/>
            <w:sz w:val="22"/>
            <w:szCs w:val="22"/>
          </w:rPr>
          <m:t>LoD</m:t>
        </m:r>
      </m:oMath>
      <w:r w:rsidRPr="00182A10">
        <w:rPr>
          <w:rFonts w:asciiTheme="minorHAnsi" w:hAnsiTheme="minorHAnsi" w:cstheme="minorHAnsi"/>
          <w:sz w:val="22"/>
          <w:szCs w:val="22"/>
        </w:rPr>
        <w:t xml:space="preserve">) was calculated using the equation: </w:t>
      </w:r>
      <m:oMath>
        <m:r>
          <w:rPr>
            <w:rFonts w:ascii="Cambria Math" w:hAnsi="Cambria Math" w:cstheme="minorHAnsi"/>
            <w:sz w:val="22"/>
            <w:szCs w:val="22"/>
          </w:rPr>
          <m:t>LoD=3.3×</m:t>
        </m:r>
        <m:f>
          <m:fPr>
            <m:type m:val="lin"/>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σ</m:t>
                </m:r>
              </m:e>
              <m:sub>
                <m:r>
                  <w:rPr>
                    <w:rFonts w:ascii="Cambria Math" w:hAnsi="Cambria Math" w:cstheme="minorHAnsi"/>
                    <w:sz w:val="22"/>
                    <w:szCs w:val="22"/>
                  </w:rPr>
                  <m:t>low</m:t>
                </m:r>
              </m:sub>
            </m:sSub>
          </m:num>
          <m:den>
            <m:r>
              <w:rPr>
                <w:rFonts w:ascii="Cambria Math" w:hAnsi="Cambria Math" w:cstheme="minorHAnsi"/>
                <w:sz w:val="22"/>
                <w:szCs w:val="22"/>
              </w:rPr>
              <m:t>gradient</m:t>
            </m:r>
          </m:den>
        </m:f>
      </m:oMath>
      <w:r w:rsidRPr="00182A10">
        <w:rPr>
          <w:rFonts w:asciiTheme="minorHAnsi" w:hAnsiTheme="minorHAnsi" w:cstheme="minorHAnsi"/>
          <w:sz w:val="22"/>
          <w:szCs w:val="22"/>
        </w:rPr>
        <w:t xml:space="preserve">, where </w:t>
      </w:r>
      <m:oMath>
        <m:sSub>
          <m:sSubPr>
            <m:ctrlPr>
              <w:rPr>
                <w:rFonts w:ascii="Cambria Math" w:hAnsi="Cambria Math" w:cstheme="minorHAnsi"/>
                <w:i/>
                <w:sz w:val="22"/>
                <w:szCs w:val="22"/>
              </w:rPr>
            </m:ctrlPr>
          </m:sSubPr>
          <m:e>
            <m:r>
              <w:rPr>
                <w:rFonts w:ascii="Cambria Math" w:hAnsi="Cambria Math" w:cstheme="minorHAnsi"/>
                <w:sz w:val="22"/>
                <w:szCs w:val="22"/>
              </w:rPr>
              <m:t>σ</m:t>
            </m:r>
          </m:e>
          <m:sub>
            <m:r>
              <w:rPr>
                <w:rFonts w:ascii="Cambria Math" w:hAnsi="Cambria Math" w:cstheme="minorHAnsi"/>
                <w:sz w:val="22"/>
                <w:szCs w:val="22"/>
              </w:rPr>
              <m:t>low</m:t>
            </m:r>
          </m:sub>
        </m:sSub>
      </m:oMath>
      <w:r w:rsidRPr="00182A10">
        <w:rPr>
          <w:rFonts w:asciiTheme="minorHAnsi" w:hAnsiTheme="minorHAnsi" w:cstheme="minorHAnsi"/>
          <w:sz w:val="22"/>
          <w:szCs w:val="22"/>
        </w:rPr>
        <w:t xml:space="preserve"> is the standard deviation at a low propofol concentration. These experiments were carried out in triplicate and baseline correction has been applied to all amperometry results.</w:t>
      </w:r>
    </w:p>
    <w:p w:rsidR="00A67B8D" w:rsidRDefault="00A67B8D" w:rsidP="00182A10">
      <w:pPr>
        <w:pStyle w:val="PARAIndent"/>
        <w:ind w:firstLine="0"/>
        <w:rPr>
          <w:rFonts w:asciiTheme="minorHAnsi" w:hAnsiTheme="minorHAnsi" w:cstheme="minorHAnsi"/>
          <w:sz w:val="22"/>
          <w:szCs w:val="22"/>
        </w:rPr>
      </w:pPr>
    </w:p>
    <w:p w:rsidR="00801366" w:rsidRDefault="00801366" w:rsidP="00182A10">
      <w:pPr>
        <w:pStyle w:val="PARAIndent"/>
        <w:ind w:firstLine="0"/>
        <w:rPr>
          <w:rFonts w:asciiTheme="minorHAnsi" w:hAnsiTheme="minorHAnsi" w:cstheme="minorHAnsi"/>
          <w:sz w:val="22"/>
          <w:szCs w:val="22"/>
        </w:rPr>
      </w:pPr>
    </w:p>
    <w:p w:rsidR="00A67B8D" w:rsidRDefault="00801366" w:rsidP="00A67B8D">
      <w:pPr>
        <w:pStyle w:val="PARAIndent"/>
        <w:keepNext/>
        <w:ind w:firstLine="0"/>
      </w:pPr>
      <w:r>
        <w:rPr>
          <w:rFonts w:asciiTheme="minorHAnsi" w:hAnsiTheme="minorHAnsi" w:cstheme="minorHAnsi"/>
          <w:noProof/>
          <w:sz w:val="22"/>
          <w:szCs w:val="22"/>
          <w:lang w:val="en-GB" w:eastAsia="en-GB"/>
        </w:rPr>
        <w:drawing>
          <wp:inline distT="0" distB="0" distL="0" distR="0" wp14:anchorId="72093E98" wp14:editId="67B33D16">
            <wp:extent cx="5731510" cy="21310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rri3.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131060"/>
                    </a:xfrm>
                    <a:prstGeom prst="rect">
                      <a:avLst/>
                    </a:prstGeom>
                  </pic:spPr>
                </pic:pic>
              </a:graphicData>
            </a:graphic>
          </wp:inline>
        </w:drawing>
      </w:r>
    </w:p>
    <w:p w:rsidR="00801366" w:rsidRPr="00182A10" w:rsidRDefault="00A67B8D" w:rsidP="00A67B8D">
      <w:pPr>
        <w:pStyle w:val="Caption"/>
        <w:jc w:val="both"/>
        <w:rPr>
          <w:rFonts w:cstheme="minorHAnsi"/>
          <w:sz w:val="22"/>
          <w:szCs w:val="22"/>
        </w:rPr>
      </w:pPr>
      <w:r>
        <w:rPr>
          <w:color w:val="auto"/>
        </w:rPr>
        <w:t>Fig.</w:t>
      </w:r>
      <w:r w:rsidRPr="00A67B8D">
        <w:rPr>
          <w:color w:val="auto"/>
        </w:rPr>
        <w:t xml:space="preserve"> </w:t>
      </w:r>
      <w:r w:rsidRPr="00A67B8D">
        <w:rPr>
          <w:color w:val="auto"/>
        </w:rPr>
        <w:fldChar w:fldCharType="begin"/>
      </w:r>
      <w:r w:rsidRPr="00A67B8D">
        <w:rPr>
          <w:color w:val="auto"/>
        </w:rPr>
        <w:instrText xml:space="preserve"> SEQ Figure \* ARABIC </w:instrText>
      </w:r>
      <w:r w:rsidRPr="00A67B8D">
        <w:rPr>
          <w:color w:val="auto"/>
        </w:rPr>
        <w:fldChar w:fldCharType="separate"/>
      </w:r>
      <w:r w:rsidR="006E19F6">
        <w:rPr>
          <w:noProof/>
          <w:color w:val="auto"/>
        </w:rPr>
        <w:t>3</w:t>
      </w:r>
      <w:r w:rsidRPr="00A67B8D">
        <w:rPr>
          <w:color w:val="auto"/>
        </w:rPr>
        <w:fldChar w:fldCharType="end"/>
      </w:r>
      <w:r w:rsidRPr="00A67B8D">
        <w:rPr>
          <w:color w:val="auto"/>
        </w:rPr>
        <w:t xml:space="preserve"> </w:t>
      </w:r>
      <w:r w:rsidRPr="00A67B8D">
        <w:rPr>
          <w:rFonts w:cstheme="minorHAnsi"/>
          <w:color w:val="auto"/>
        </w:rPr>
        <w:t>– (</w:t>
      </w:r>
      <w:r w:rsidRPr="00A67B8D">
        <w:rPr>
          <w:rFonts w:cstheme="minorHAnsi"/>
          <w:color w:val="auto"/>
        </w:rPr>
        <w:t xml:space="preserve">a) Amperometric response of functionalized electrode with successive injections of 20 </w:t>
      </w:r>
      <w:proofErr w:type="spellStart"/>
      <w:r w:rsidRPr="00A67B8D">
        <w:rPr>
          <w:rFonts w:cstheme="minorHAnsi"/>
          <w:color w:val="auto"/>
        </w:rPr>
        <w:t>μl</w:t>
      </w:r>
      <w:proofErr w:type="spellEnd"/>
      <w:r w:rsidRPr="00A67B8D">
        <w:rPr>
          <w:rFonts w:cstheme="minorHAnsi"/>
          <w:color w:val="auto"/>
        </w:rPr>
        <w:t xml:space="preserve"> of 1 mM propofol solution. Potential is +0.6 V vs. screen-printed Ag/AgCl. Solution is 10 mM PBS containing 50 µg/ml NADP</w:t>
      </w:r>
      <w:r w:rsidRPr="00A67B8D">
        <w:rPr>
          <w:rFonts w:cstheme="minorHAnsi"/>
          <w:color w:val="auto"/>
          <w:vertAlign w:val="superscript"/>
        </w:rPr>
        <w:t>+</w:t>
      </w:r>
      <w:r w:rsidRPr="00A67B8D">
        <w:rPr>
          <w:rFonts w:cstheme="minorHAnsi"/>
          <w:color w:val="auto"/>
        </w:rPr>
        <w:t xml:space="preserve"> and G6P. (b) Mean of the plateau current (relative to the baseline) against propofol concentration. The error bars represent three standard deviations</w:t>
      </w:r>
      <w:r w:rsidRPr="00283082">
        <w:rPr>
          <w:color w:val="auto"/>
        </w:rPr>
        <w:t>.</w:t>
      </w:r>
    </w:p>
    <w:p w:rsidR="00182A10" w:rsidRDefault="00182A10" w:rsidP="00182A10">
      <w:pPr>
        <w:pStyle w:val="PARAIndent"/>
        <w:ind w:firstLine="0"/>
        <w:rPr>
          <w:rStyle w:val="PARAIndentChar"/>
          <w:rFonts w:asciiTheme="minorHAnsi" w:hAnsiTheme="minorHAnsi" w:cstheme="minorHAnsi"/>
          <w:sz w:val="22"/>
          <w:szCs w:val="22"/>
        </w:rPr>
      </w:pPr>
    </w:p>
    <w:p w:rsidR="00182A10" w:rsidRPr="00182A10" w:rsidRDefault="00182A10" w:rsidP="00182A10">
      <w:pPr>
        <w:pStyle w:val="PARAIndent"/>
        <w:ind w:firstLine="0"/>
        <w:rPr>
          <w:rStyle w:val="PARAIndentChar"/>
          <w:rFonts w:asciiTheme="minorHAnsi" w:hAnsiTheme="minorHAnsi" w:cstheme="minorHAnsi"/>
          <w:sz w:val="22"/>
          <w:szCs w:val="22"/>
        </w:rPr>
      </w:pPr>
      <w:r w:rsidRPr="00182A10">
        <w:rPr>
          <w:rStyle w:val="PARAIndentChar"/>
          <w:rFonts w:asciiTheme="minorHAnsi" w:hAnsiTheme="minorHAnsi" w:cstheme="minorHAnsi"/>
          <w:sz w:val="22"/>
          <w:szCs w:val="22"/>
        </w:rPr>
        <w:lastRenderedPageBreak/>
        <w:t>The concentration range shown in Fig. 3 is below the typical therapeutic range for propofol. However, approximately 98% of propofol in human blood is bound to either erythrocytes or serum proteins, with only the remaining 2% existing free in solution [20]. Therefore, the relevant testing range for a potential point-of-care propofol sensor in a real-world setting will likely be far below that of the therapeutic range, and this is a more meaningful range over which to assess the sensor’s performance. The response of the sensor has been shown to be stable for up to 10 days from fabrication when stored at 4°C, with sensors tested over this time period showing no apparent decrease in sensitivity (</w:t>
      </w:r>
      <w:r w:rsidRPr="00182A10">
        <w:rPr>
          <w:rFonts w:asciiTheme="minorHAnsi" w:hAnsiTheme="minorHAnsi" w:cstheme="minorHAnsi"/>
          <w:noProof/>
          <w:sz w:val="22"/>
          <w:szCs w:val="22"/>
          <w:lang w:val="en-GB" w:eastAsia="en-GB"/>
        </w:rPr>
        <w:t xml:space="preserve">Supplementary data, </w:t>
      </w:r>
      <w:r w:rsidRPr="00182A10">
        <w:rPr>
          <w:rStyle w:val="PARAIndentChar"/>
          <w:rFonts w:asciiTheme="minorHAnsi" w:hAnsiTheme="minorHAnsi" w:cstheme="minorHAnsi"/>
          <w:sz w:val="22"/>
          <w:szCs w:val="22"/>
        </w:rPr>
        <w:t>Fig. S1) and no signs of electrode fouling. The coefficient of variation for the sensitivity of the sensors tested over this time period was 0.09.</w:t>
      </w:r>
    </w:p>
    <w:p w:rsidR="00182A10" w:rsidRDefault="00182A10" w:rsidP="00182A10">
      <w:pPr>
        <w:pStyle w:val="PARAIndent"/>
        <w:ind w:firstLine="0"/>
        <w:rPr>
          <w:rStyle w:val="PARAIndentChar"/>
          <w:rFonts w:asciiTheme="minorHAnsi" w:hAnsiTheme="minorHAnsi" w:cstheme="minorHAnsi"/>
          <w:sz w:val="22"/>
          <w:szCs w:val="22"/>
        </w:rPr>
      </w:pPr>
    </w:p>
    <w:p w:rsidR="00182A10" w:rsidRDefault="00182A10" w:rsidP="00182A10">
      <w:pPr>
        <w:pStyle w:val="PARAIndent"/>
        <w:ind w:firstLine="0"/>
        <w:rPr>
          <w:rStyle w:val="PARAIndentChar"/>
          <w:rFonts w:asciiTheme="minorHAnsi" w:hAnsiTheme="minorHAnsi" w:cstheme="minorHAnsi"/>
          <w:sz w:val="22"/>
          <w:szCs w:val="22"/>
        </w:rPr>
      </w:pPr>
      <w:r w:rsidRPr="00182A10">
        <w:rPr>
          <w:rStyle w:val="PARAIndentChar"/>
          <w:rFonts w:asciiTheme="minorHAnsi" w:hAnsiTheme="minorHAnsi" w:cstheme="minorHAnsi"/>
          <w:sz w:val="22"/>
          <w:szCs w:val="22"/>
        </w:rPr>
        <w:t xml:space="preserve">The limit of detection of 67 ng/ml compares favorably with that of alternative reported propofol detection techniques. It falls within the range of reported values for techniques such as HPLC [21] [22] and GC/MS [23] [24], and whilst these techniques can achieve greater sensitivity, they are complex, expensive and incapable of continuous measurement. The limit of detection for this technique is also lower than that reported for emerging optical techniques such as spectrophotometry [10] and fluorescence spectrometry [11], neither of which have been demonstrated as being applicable to continuous, real-time measurement. It also compares favorably with other electrical and electrochemical approaches. It is lower than the detection limit achieved using a chemiresistive molecularly imprinted polymer (MIP), as reported by Hong </w:t>
      </w:r>
      <w:r w:rsidRPr="00182A10">
        <w:rPr>
          <w:rStyle w:val="PARAIndentChar"/>
          <w:rFonts w:asciiTheme="minorHAnsi" w:hAnsiTheme="minorHAnsi" w:cstheme="minorHAnsi"/>
          <w:i/>
          <w:sz w:val="22"/>
          <w:szCs w:val="22"/>
        </w:rPr>
        <w:t>et al.</w:t>
      </w:r>
      <w:r w:rsidRPr="00182A10">
        <w:rPr>
          <w:rStyle w:val="PARAIndentChar"/>
          <w:rFonts w:asciiTheme="minorHAnsi" w:hAnsiTheme="minorHAnsi" w:cstheme="minorHAnsi"/>
          <w:sz w:val="22"/>
          <w:szCs w:val="22"/>
        </w:rPr>
        <w:t xml:space="preserve"> [25]. An approach that, to date, has only been demonstrated for discrete rather than continuous measurement. This limit of detection is an order of magnitude lower than achieved by voltammetry with machine learning fouling compensation, as reported by </w:t>
      </w:r>
      <w:proofErr w:type="spellStart"/>
      <w:r w:rsidRPr="00182A10">
        <w:rPr>
          <w:rStyle w:val="PARAIndentChar"/>
          <w:rFonts w:asciiTheme="minorHAnsi" w:hAnsiTheme="minorHAnsi" w:cstheme="minorHAnsi"/>
          <w:sz w:val="22"/>
          <w:szCs w:val="22"/>
        </w:rPr>
        <w:t>Aiassa</w:t>
      </w:r>
      <w:proofErr w:type="spellEnd"/>
      <w:r w:rsidRPr="00182A10">
        <w:rPr>
          <w:rStyle w:val="PARAIndentChar"/>
          <w:rFonts w:asciiTheme="minorHAnsi" w:hAnsiTheme="minorHAnsi" w:cstheme="minorHAnsi"/>
          <w:sz w:val="22"/>
          <w:szCs w:val="22"/>
        </w:rPr>
        <w:t xml:space="preserve"> </w:t>
      </w:r>
      <w:r w:rsidRPr="00182A10">
        <w:rPr>
          <w:rStyle w:val="PARAIndentChar"/>
          <w:rFonts w:asciiTheme="minorHAnsi" w:hAnsiTheme="minorHAnsi" w:cstheme="minorHAnsi"/>
          <w:i/>
          <w:sz w:val="22"/>
          <w:szCs w:val="22"/>
        </w:rPr>
        <w:t>et al.</w:t>
      </w:r>
      <w:r w:rsidRPr="00182A10">
        <w:rPr>
          <w:rStyle w:val="PARAIndentChar"/>
          <w:rFonts w:asciiTheme="minorHAnsi" w:hAnsiTheme="minorHAnsi" w:cstheme="minorHAnsi"/>
          <w:sz w:val="22"/>
          <w:szCs w:val="22"/>
        </w:rPr>
        <w:t xml:space="preserve"> [14], and while this approach has been demonstrated for continuous monitoring of propofol, it has only been demonstrated up to a period of ten minutes, rather than the hours more typical of procedures requiring general anesthesia. A summary of other reported techniques and how their detection limits compare is shown in Table </w:t>
      </w:r>
      <w:r w:rsidR="002259EE">
        <w:rPr>
          <w:rStyle w:val="PARAIndentChar"/>
          <w:rFonts w:asciiTheme="minorHAnsi" w:hAnsiTheme="minorHAnsi" w:cstheme="minorHAnsi"/>
          <w:sz w:val="22"/>
          <w:szCs w:val="22"/>
        </w:rPr>
        <w:t>1</w:t>
      </w:r>
      <w:r w:rsidRPr="00182A10">
        <w:rPr>
          <w:rStyle w:val="PARAIndentChar"/>
          <w:rFonts w:asciiTheme="minorHAnsi" w:hAnsiTheme="minorHAnsi" w:cstheme="minorHAnsi"/>
          <w:sz w:val="22"/>
          <w:szCs w:val="22"/>
        </w:rPr>
        <w:t xml:space="preserve">. </w:t>
      </w:r>
    </w:p>
    <w:p w:rsidR="000E5002" w:rsidRDefault="000E5002" w:rsidP="00182A10">
      <w:pPr>
        <w:pStyle w:val="PARAIndent"/>
        <w:ind w:firstLine="0"/>
        <w:rPr>
          <w:rStyle w:val="PARAIndentChar"/>
          <w:rFonts w:asciiTheme="minorHAnsi" w:hAnsiTheme="minorHAnsi" w:cstheme="minorHAnsi"/>
          <w:sz w:val="22"/>
          <w:szCs w:val="22"/>
        </w:rPr>
      </w:pPr>
    </w:p>
    <w:p w:rsidR="00F60732" w:rsidRDefault="00F60732" w:rsidP="00182A10">
      <w:pPr>
        <w:pStyle w:val="PARAIndent"/>
        <w:ind w:firstLine="0"/>
        <w:rPr>
          <w:rStyle w:val="PARAIndentChar"/>
          <w:rFonts w:asciiTheme="minorHAnsi" w:hAnsiTheme="minorHAnsi" w:cstheme="minorHAnsi"/>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701"/>
        <w:gridCol w:w="1418"/>
        <w:gridCol w:w="1361"/>
      </w:tblGrid>
      <w:tr w:rsidR="00F90A1E" w:rsidTr="00F90A1E">
        <w:tc>
          <w:tcPr>
            <w:tcW w:w="4536" w:type="dxa"/>
            <w:tcBorders>
              <w:top w:val="single" w:sz="4" w:space="0" w:color="auto"/>
              <w:bottom w:val="single" w:sz="4" w:space="0" w:color="auto"/>
            </w:tcBorders>
          </w:tcPr>
          <w:p w:rsidR="00F90A1E" w:rsidRPr="00F90A1E" w:rsidRDefault="00F90A1E" w:rsidP="0084555E">
            <w:pPr>
              <w:pStyle w:val="PARAIndent"/>
              <w:ind w:firstLine="0"/>
              <w:jc w:val="left"/>
              <w:rPr>
                <w:rStyle w:val="PARAIndentChar"/>
                <w:rFonts w:asciiTheme="minorHAnsi" w:hAnsiTheme="minorHAnsi" w:cstheme="minorHAnsi"/>
                <w:b/>
              </w:rPr>
            </w:pPr>
            <w:r w:rsidRPr="00F90A1E">
              <w:rPr>
                <w:rStyle w:val="PARAIndentChar"/>
                <w:rFonts w:asciiTheme="minorHAnsi" w:hAnsiTheme="minorHAnsi" w:cstheme="minorHAnsi"/>
                <w:b/>
              </w:rPr>
              <w:t>Approach</w:t>
            </w:r>
          </w:p>
        </w:tc>
        <w:tc>
          <w:tcPr>
            <w:tcW w:w="1701" w:type="dxa"/>
            <w:tcBorders>
              <w:top w:val="single" w:sz="4" w:space="0" w:color="auto"/>
              <w:bottom w:val="single" w:sz="4" w:space="0" w:color="auto"/>
            </w:tcBorders>
          </w:tcPr>
          <w:p w:rsidR="00F90A1E" w:rsidRPr="00F90A1E" w:rsidRDefault="00F90A1E" w:rsidP="0084555E">
            <w:pPr>
              <w:pStyle w:val="PARAIndent"/>
              <w:ind w:firstLine="0"/>
              <w:jc w:val="left"/>
              <w:rPr>
                <w:rStyle w:val="PARAIndentChar"/>
                <w:rFonts w:asciiTheme="minorHAnsi" w:hAnsiTheme="minorHAnsi" w:cstheme="minorHAnsi"/>
                <w:b/>
              </w:rPr>
            </w:pPr>
            <w:r w:rsidRPr="00F90A1E">
              <w:rPr>
                <w:rStyle w:val="PARAIndentChar"/>
                <w:rFonts w:asciiTheme="minorHAnsi" w:hAnsiTheme="minorHAnsi" w:cstheme="minorHAnsi"/>
                <w:b/>
              </w:rPr>
              <w:t>Limit of detection (ng/ml)</w:t>
            </w:r>
          </w:p>
        </w:tc>
        <w:tc>
          <w:tcPr>
            <w:tcW w:w="1418" w:type="dxa"/>
            <w:tcBorders>
              <w:top w:val="single" w:sz="4" w:space="0" w:color="auto"/>
              <w:bottom w:val="single" w:sz="4" w:space="0" w:color="auto"/>
            </w:tcBorders>
          </w:tcPr>
          <w:p w:rsidR="00F90A1E" w:rsidRPr="00F90A1E" w:rsidRDefault="00F90A1E" w:rsidP="0084555E">
            <w:pPr>
              <w:pStyle w:val="PARAIndent"/>
              <w:ind w:firstLine="0"/>
              <w:jc w:val="left"/>
              <w:rPr>
                <w:rStyle w:val="PARAIndentChar"/>
                <w:rFonts w:asciiTheme="minorHAnsi" w:hAnsiTheme="minorHAnsi" w:cstheme="minorHAnsi"/>
                <w:b/>
              </w:rPr>
            </w:pPr>
            <w:r w:rsidRPr="00F90A1E">
              <w:rPr>
                <w:rStyle w:val="PARAIndentChar"/>
                <w:rFonts w:asciiTheme="minorHAnsi" w:hAnsiTheme="minorHAnsi" w:cstheme="minorHAnsi"/>
                <w:b/>
              </w:rPr>
              <w:t>Medium</w:t>
            </w:r>
          </w:p>
        </w:tc>
        <w:tc>
          <w:tcPr>
            <w:tcW w:w="1361" w:type="dxa"/>
            <w:tcBorders>
              <w:top w:val="single" w:sz="4" w:space="0" w:color="auto"/>
              <w:bottom w:val="single" w:sz="4" w:space="0" w:color="auto"/>
            </w:tcBorders>
          </w:tcPr>
          <w:p w:rsidR="00F90A1E" w:rsidRPr="00F90A1E" w:rsidRDefault="00F90A1E" w:rsidP="0084555E">
            <w:pPr>
              <w:pStyle w:val="PARAIndent"/>
              <w:ind w:firstLine="0"/>
              <w:jc w:val="left"/>
              <w:rPr>
                <w:rStyle w:val="PARAIndentChar"/>
                <w:rFonts w:asciiTheme="minorHAnsi" w:hAnsiTheme="minorHAnsi" w:cstheme="minorHAnsi"/>
                <w:b/>
              </w:rPr>
            </w:pPr>
            <w:r w:rsidRPr="00F90A1E">
              <w:rPr>
                <w:rStyle w:val="PARAIndentChar"/>
                <w:rFonts w:asciiTheme="minorHAnsi" w:hAnsiTheme="minorHAnsi" w:cstheme="minorHAnsi"/>
                <w:b/>
              </w:rPr>
              <w:t>Reference(s)</w:t>
            </w:r>
          </w:p>
        </w:tc>
      </w:tr>
      <w:tr w:rsidR="00F90A1E" w:rsidTr="00F90A1E">
        <w:tc>
          <w:tcPr>
            <w:tcW w:w="4536" w:type="dxa"/>
            <w:tcBorders>
              <w:top w:val="single" w:sz="4" w:space="0" w:color="auto"/>
            </w:tcBorders>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HPLC</w:t>
            </w:r>
          </w:p>
        </w:tc>
        <w:tc>
          <w:tcPr>
            <w:tcW w:w="1701" w:type="dxa"/>
            <w:tcBorders>
              <w:top w:val="single" w:sz="4" w:space="0" w:color="auto"/>
            </w:tcBorders>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1 – 250</w:t>
            </w:r>
          </w:p>
        </w:tc>
        <w:tc>
          <w:tcPr>
            <w:tcW w:w="1418" w:type="dxa"/>
            <w:tcBorders>
              <w:top w:val="single" w:sz="4" w:space="0" w:color="auto"/>
            </w:tcBorders>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Buffer/blood</w:t>
            </w:r>
          </w:p>
        </w:tc>
        <w:tc>
          <w:tcPr>
            <w:tcW w:w="1361" w:type="dxa"/>
            <w:tcBorders>
              <w:top w:val="single" w:sz="4" w:space="0" w:color="auto"/>
            </w:tcBorders>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[21] [22]</w:t>
            </w:r>
          </w:p>
        </w:tc>
      </w:tr>
      <w:tr w:rsidR="00F90A1E" w:rsidTr="00F90A1E">
        <w:tc>
          <w:tcPr>
            <w:tcW w:w="4536"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GC/MS</w:t>
            </w:r>
          </w:p>
        </w:tc>
        <w:tc>
          <w:tcPr>
            <w:tcW w:w="170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2.5 – 110</w:t>
            </w:r>
          </w:p>
        </w:tc>
        <w:tc>
          <w:tcPr>
            <w:tcW w:w="1418"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Urine/blood</w:t>
            </w:r>
          </w:p>
        </w:tc>
        <w:tc>
          <w:tcPr>
            <w:tcW w:w="136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[23] [24]</w:t>
            </w:r>
          </w:p>
        </w:tc>
      </w:tr>
      <w:tr w:rsidR="00F90A1E" w:rsidTr="00F90A1E">
        <w:tc>
          <w:tcPr>
            <w:tcW w:w="4536"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Spectrophotometry</w:t>
            </w:r>
          </w:p>
        </w:tc>
        <w:tc>
          <w:tcPr>
            <w:tcW w:w="170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270</w:t>
            </w:r>
          </w:p>
        </w:tc>
        <w:tc>
          <w:tcPr>
            <w:tcW w:w="1418"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Blood</w:t>
            </w:r>
          </w:p>
        </w:tc>
        <w:tc>
          <w:tcPr>
            <w:tcW w:w="136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[10]</w:t>
            </w:r>
          </w:p>
        </w:tc>
      </w:tr>
      <w:tr w:rsidR="00F90A1E" w:rsidTr="00F90A1E">
        <w:tc>
          <w:tcPr>
            <w:tcW w:w="4536"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Fluorescence spectroscopy</w:t>
            </w:r>
          </w:p>
        </w:tc>
        <w:tc>
          <w:tcPr>
            <w:tcW w:w="170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500</w:t>
            </w:r>
          </w:p>
        </w:tc>
        <w:tc>
          <w:tcPr>
            <w:tcW w:w="1418"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Buffer</w:t>
            </w:r>
          </w:p>
        </w:tc>
        <w:tc>
          <w:tcPr>
            <w:tcW w:w="136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[11]</w:t>
            </w:r>
          </w:p>
        </w:tc>
      </w:tr>
      <w:tr w:rsidR="00F90A1E" w:rsidTr="00F90A1E">
        <w:tc>
          <w:tcPr>
            <w:tcW w:w="4536"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Chemiresistive MIP</w:t>
            </w:r>
          </w:p>
        </w:tc>
        <w:tc>
          <w:tcPr>
            <w:tcW w:w="170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100</w:t>
            </w:r>
          </w:p>
        </w:tc>
        <w:tc>
          <w:tcPr>
            <w:tcW w:w="1418"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Plasma</w:t>
            </w:r>
          </w:p>
        </w:tc>
        <w:tc>
          <w:tcPr>
            <w:tcW w:w="136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[25]</w:t>
            </w:r>
          </w:p>
        </w:tc>
      </w:tr>
      <w:tr w:rsidR="00F90A1E" w:rsidTr="00F90A1E">
        <w:tc>
          <w:tcPr>
            <w:tcW w:w="4536"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Voltammetry with fouling correction</w:t>
            </w:r>
          </w:p>
        </w:tc>
        <w:tc>
          <w:tcPr>
            <w:tcW w:w="170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428</w:t>
            </w:r>
          </w:p>
        </w:tc>
        <w:tc>
          <w:tcPr>
            <w:tcW w:w="1418"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Buffer</w:t>
            </w:r>
          </w:p>
        </w:tc>
        <w:tc>
          <w:tcPr>
            <w:tcW w:w="136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[14]</w:t>
            </w:r>
          </w:p>
        </w:tc>
      </w:tr>
      <w:tr w:rsidR="00F90A1E" w:rsidTr="00F90A1E">
        <w:tc>
          <w:tcPr>
            <w:tcW w:w="4536"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Cytochrome P450 2B6 amperometric biosensor</w:t>
            </w:r>
          </w:p>
        </w:tc>
        <w:tc>
          <w:tcPr>
            <w:tcW w:w="1701"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67 ± 7</w:t>
            </w:r>
          </w:p>
        </w:tc>
        <w:tc>
          <w:tcPr>
            <w:tcW w:w="1418" w:type="dxa"/>
          </w:tcPr>
          <w:p w:rsidR="00F90A1E" w:rsidRPr="00F90A1E" w:rsidRDefault="00F90A1E" w:rsidP="0084555E">
            <w:pPr>
              <w:pStyle w:val="PARAIndent"/>
              <w:ind w:firstLine="0"/>
              <w:jc w:val="left"/>
              <w:rPr>
                <w:rStyle w:val="PARAIndentChar"/>
                <w:rFonts w:asciiTheme="minorHAnsi" w:hAnsiTheme="minorHAnsi" w:cstheme="minorHAnsi"/>
              </w:rPr>
            </w:pPr>
            <w:r w:rsidRPr="00F90A1E">
              <w:rPr>
                <w:rStyle w:val="PARAIndentChar"/>
                <w:rFonts w:asciiTheme="minorHAnsi" w:hAnsiTheme="minorHAnsi" w:cstheme="minorHAnsi"/>
              </w:rPr>
              <w:t>Buffer</w:t>
            </w:r>
          </w:p>
        </w:tc>
        <w:tc>
          <w:tcPr>
            <w:tcW w:w="1361" w:type="dxa"/>
          </w:tcPr>
          <w:p w:rsidR="00F90A1E" w:rsidRPr="00F90A1E" w:rsidRDefault="00F90A1E" w:rsidP="0084555E">
            <w:pPr>
              <w:pStyle w:val="PARAIndent"/>
              <w:keepNext/>
              <w:ind w:firstLine="0"/>
              <w:jc w:val="left"/>
              <w:rPr>
                <w:rStyle w:val="PARAIndentChar"/>
                <w:rFonts w:asciiTheme="minorHAnsi" w:hAnsiTheme="minorHAnsi" w:cstheme="minorHAnsi"/>
              </w:rPr>
            </w:pPr>
            <w:r w:rsidRPr="00F90A1E">
              <w:rPr>
                <w:rStyle w:val="PARAIndentChar"/>
                <w:rFonts w:asciiTheme="minorHAnsi" w:hAnsiTheme="minorHAnsi" w:cstheme="minorHAnsi"/>
              </w:rPr>
              <w:t>This study</w:t>
            </w:r>
          </w:p>
        </w:tc>
      </w:tr>
    </w:tbl>
    <w:p w:rsidR="00F60732" w:rsidRPr="00F90A1E" w:rsidRDefault="00F90A1E" w:rsidP="00F90A1E">
      <w:pPr>
        <w:pStyle w:val="Caption"/>
        <w:rPr>
          <w:rStyle w:val="PARAIndentChar"/>
          <w:rFonts w:asciiTheme="minorHAnsi" w:eastAsiaTheme="minorHAnsi" w:hAnsiTheme="minorHAnsi" w:cstheme="minorHAnsi"/>
          <w:color w:val="auto"/>
          <w:sz w:val="22"/>
          <w:szCs w:val="22"/>
        </w:rPr>
      </w:pPr>
      <w:r w:rsidRPr="00F90A1E">
        <w:rPr>
          <w:color w:val="auto"/>
        </w:rPr>
        <w:t xml:space="preserve">Table </w:t>
      </w:r>
      <w:r w:rsidRPr="00F90A1E">
        <w:rPr>
          <w:color w:val="auto"/>
        </w:rPr>
        <w:fldChar w:fldCharType="begin"/>
      </w:r>
      <w:r w:rsidRPr="00F90A1E">
        <w:rPr>
          <w:color w:val="auto"/>
        </w:rPr>
        <w:instrText xml:space="preserve"> SEQ Table \* ARABIC </w:instrText>
      </w:r>
      <w:r w:rsidRPr="00F90A1E">
        <w:rPr>
          <w:color w:val="auto"/>
        </w:rPr>
        <w:fldChar w:fldCharType="separate"/>
      </w:r>
      <w:r w:rsidR="006E19F6">
        <w:rPr>
          <w:noProof/>
          <w:color w:val="auto"/>
        </w:rPr>
        <w:t>1</w:t>
      </w:r>
      <w:r w:rsidRPr="00F90A1E">
        <w:rPr>
          <w:color w:val="auto"/>
        </w:rPr>
        <w:fldChar w:fldCharType="end"/>
      </w:r>
      <w:r w:rsidRPr="00F90A1E">
        <w:rPr>
          <w:color w:val="auto"/>
        </w:rPr>
        <w:t xml:space="preserve"> </w:t>
      </w:r>
      <w:r>
        <w:rPr>
          <w:color w:val="auto"/>
        </w:rPr>
        <w:t>–</w:t>
      </w:r>
      <w:r w:rsidRPr="00F90A1E">
        <w:rPr>
          <w:color w:val="auto"/>
        </w:rPr>
        <w:t xml:space="preserve"> Summary of reported limits of detection for various propofol detection and quantification techniques. Where limits of quantification were stated in preference to limits of detection, the limit of detection has been assumed to be one third of the limit </w:t>
      </w:r>
      <w:r w:rsidRPr="00F90A1E">
        <w:rPr>
          <w:color w:val="auto"/>
        </w:rPr>
        <w:t>of quantification.</w:t>
      </w:r>
    </w:p>
    <w:p w:rsidR="00182A10" w:rsidRDefault="00182A10" w:rsidP="00182A10">
      <w:pPr>
        <w:pStyle w:val="PARAIndent"/>
        <w:ind w:firstLine="0"/>
        <w:rPr>
          <w:rStyle w:val="PARAIndentChar"/>
          <w:rFonts w:asciiTheme="minorHAnsi" w:hAnsiTheme="minorHAnsi" w:cstheme="minorHAnsi"/>
          <w:sz w:val="22"/>
          <w:szCs w:val="22"/>
        </w:rPr>
      </w:pPr>
    </w:p>
    <w:p w:rsidR="00182A10" w:rsidRPr="00182A10" w:rsidRDefault="00182A10" w:rsidP="00182A10">
      <w:pPr>
        <w:pStyle w:val="PARAIndent"/>
        <w:ind w:firstLine="0"/>
        <w:rPr>
          <w:rStyle w:val="PARAIndentChar"/>
          <w:rFonts w:asciiTheme="minorHAnsi" w:hAnsiTheme="minorHAnsi" w:cstheme="minorHAnsi"/>
          <w:sz w:val="22"/>
          <w:szCs w:val="22"/>
        </w:rPr>
      </w:pPr>
      <w:r w:rsidRPr="00182A10">
        <w:rPr>
          <w:rStyle w:val="PARAIndentChar"/>
          <w:rFonts w:asciiTheme="minorHAnsi" w:hAnsiTheme="minorHAnsi" w:cstheme="minorHAnsi"/>
          <w:sz w:val="22"/>
          <w:szCs w:val="22"/>
        </w:rPr>
        <w:t xml:space="preserve">Other groups have reported enzyme-based electrochemical sensors for the detection of phenolic molecules. One such example is </w:t>
      </w:r>
      <w:proofErr w:type="spellStart"/>
      <w:r w:rsidRPr="00182A10">
        <w:rPr>
          <w:rStyle w:val="PARAIndentChar"/>
          <w:rFonts w:asciiTheme="minorHAnsi" w:hAnsiTheme="minorHAnsi" w:cstheme="minorHAnsi"/>
          <w:sz w:val="22"/>
          <w:szCs w:val="22"/>
        </w:rPr>
        <w:t>Nazari</w:t>
      </w:r>
      <w:proofErr w:type="spellEnd"/>
      <w:r w:rsidRPr="00182A10">
        <w:rPr>
          <w:rStyle w:val="PARAIndentChar"/>
          <w:rFonts w:asciiTheme="minorHAnsi" w:hAnsiTheme="minorHAnsi" w:cstheme="minorHAnsi"/>
          <w:sz w:val="22"/>
          <w:szCs w:val="22"/>
        </w:rPr>
        <w:t xml:space="preserve"> </w:t>
      </w:r>
      <w:r w:rsidRPr="00182A10">
        <w:rPr>
          <w:rStyle w:val="PARAIndentChar"/>
          <w:rFonts w:asciiTheme="minorHAnsi" w:hAnsiTheme="minorHAnsi" w:cstheme="minorHAnsi"/>
          <w:i/>
          <w:sz w:val="22"/>
          <w:szCs w:val="22"/>
        </w:rPr>
        <w:t>et al.</w:t>
      </w:r>
      <w:r w:rsidRPr="00182A10">
        <w:rPr>
          <w:rStyle w:val="PARAIndentChar"/>
          <w:rFonts w:asciiTheme="minorHAnsi" w:hAnsiTheme="minorHAnsi" w:cstheme="minorHAnsi"/>
          <w:sz w:val="22"/>
          <w:szCs w:val="22"/>
        </w:rPr>
        <w:t xml:space="preserve"> who have demonstrated laccase-based sensors for the detection of catechol in water [26] [27] [28]. This group has investigated several different methods of immobilizing the enzyme and have achieved limits of detection ranging between approximately 3.5 and 228 ng/ml. The limit of detection of the sensor reported here falls within this rage. However, this group have mostly reported discrete, rather than continuous, measurement, so it is unclear how significant an issue electrode fouling will prove for laccase-based sensors.</w:t>
      </w:r>
    </w:p>
    <w:p w:rsidR="00182A10" w:rsidRDefault="00182A10" w:rsidP="00182A10">
      <w:pPr>
        <w:pStyle w:val="PARAIndent"/>
        <w:ind w:firstLine="0"/>
        <w:rPr>
          <w:rStyle w:val="PARAIndentChar"/>
          <w:rFonts w:asciiTheme="minorHAnsi" w:hAnsiTheme="minorHAnsi" w:cstheme="minorHAnsi"/>
          <w:sz w:val="22"/>
          <w:szCs w:val="22"/>
        </w:rPr>
      </w:pPr>
    </w:p>
    <w:p w:rsidR="00182A10" w:rsidRDefault="00182A10" w:rsidP="00182A10">
      <w:pPr>
        <w:pStyle w:val="PARAIndent"/>
        <w:ind w:firstLine="0"/>
        <w:rPr>
          <w:rFonts w:asciiTheme="minorHAnsi" w:hAnsiTheme="minorHAnsi" w:cstheme="minorHAnsi"/>
          <w:noProof/>
          <w:sz w:val="22"/>
          <w:szCs w:val="22"/>
          <w:lang w:val="en-GB" w:eastAsia="en-GB"/>
        </w:rPr>
      </w:pPr>
      <w:r w:rsidRPr="00182A10">
        <w:rPr>
          <w:rStyle w:val="PARAIndentChar"/>
          <w:rFonts w:asciiTheme="minorHAnsi" w:hAnsiTheme="minorHAnsi" w:cstheme="minorHAnsi"/>
          <w:sz w:val="22"/>
          <w:szCs w:val="22"/>
        </w:rPr>
        <w:t>In order to assess the performance of the sensor in conditions closer to the physiological, the amperometric response of the sensor was obtained in a solution consisting of 50 µg/ml of NADP</w:t>
      </w:r>
      <w:r w:rsidRPr="00182A10">
        <w:rPr>
          <w:rStyle w:val="PARAIndentChar"/>
          <w:rFonts w:asciiTheme="minorHAnsi" w:hAnsiTheme="minorHAnsi" w:cstheme="minorHAnsi"/>
          <w:sz w:val="22"/>
          <w:szCs w:val="22"/>
          <w:vertAlign w:val="superscript"/>
        </w:rPr>
        <w:t>+</w:t>
      </w:r>
      <w:r w:rsidRPr="00182A10">
        <w:rPr>
          <w:rStyle w:val="PARAIndentChar"/>
          <w:rFonts w:asciiTheme="minorHAnsi" w:hAnsiTheme="minorHAnsi" w:cstheme="minorHAnsi"/>
          <w:sz w:val="22"/>
          <w:szCs w:val="22"/>
        </w:rPr>
        <w:t xml:space="preserve"> and G6P, and 5 </w:t>
      </w:r>
      <w:proofErr w:type="spellStart"/>
      <w:r w:rsidRPr="00182A10">
        <w:rPr>
          <w:rStyle w:val="PARAIndentChar"/>
          <w:rFonts w:asciiTheme="minorHAnsi" w:hAnsiTheme="minorHAnsi" w:cstheme="minorHAnsi"/>
          <w:sz w:val="22"/>
          <w:szCs w:val="22"/>
        </w:rPr>
        <w:t>wt</w:t>
      </w:r>
      <w:proofErr w:type="spellEnd"/>
      <w:r w:rsidRPr="00182A10">
        <w:rPr>
          <w:rStyle w:val="PARAIndentChar"/>
          <w:rFonts w:asciiTheme="minorHAnsi" w:hAnsiTheme="minorHAnsi" w:cstheme="minorHAnsi"/>
          <w:sz w:val="22"/>
          <w:szCs w:val="22"/>
        </w:rPr>
        <w:t xml:space="preserve">% BSA in 10 mM PBS (2.7 mM KCl, 137 mM </w:t>
      </w:r>
      <w:proofErr w:type="spellStart"/>
      <w:r w:rsidRPr="00182A10">
        <w:rPr>
          <w:rStyle w:val="PARAIndentChar"/>
          <w:rFonts w:asciiTheme="minorHAnsi" w:hAnsiTheme="minorHAnsi" w:cstheme="minorHAnsi"/>
          <w:sz w:val="22"/>
          <w:szCs w:val="22"/>
        </w:rPr>
        <w:t>NaCl</w:t>
      </w:r>
      <w:proofErr w:type="spellEnd"/>
      <w:r w:rsidRPr="00182A10">
        <w:rPr>
          <w:rStyle w:val="PARAIndentChar"/>
          <w:rFonts w:asciiTheme="minorHAnsi" w:hAnsiTheme="minorHAnsi" w:cstheme="minorHAnsi"/>
          <w:sz w:val="22"/>
          <w:szCs w:val="22"/>
        </w:rPr>
        <w:t xml:space="preserve">, pH 7.4). This solution is considered “serum-like” as it possesses physiological salinity [29], pH [30] and albumin concentration [31]. It can </w:t>
      </w:r>
      <w:r w:rsidRPr="00182A10">
        <w:rPr>
          <w:rStyle w:val="PARAIndentChar"/>
          <w:rFonts w:asciiTheme="minorHAnsi" w:hAnsiTheme="minorHAnsi" w:cstheme="minorHAnsi"/>
          <w:sz w:val="22"/>
          <w:szCs w:val="22"/>
        </w:rPr>
        <w:lastRenderedPageBreak/>
        <w:t xml:space="preserve">be seen from Fig. 4 that the sensor produces a linear response across the therapeutic range. The sensitivity (0.64 ± 0.02 </w:t>
      </w:r>
      <w:proofErr w:type="spellStart"/>
      <w:r w:rsidRPr="00182A10">
        <w:rPr>
          <w:rStyle w:val="PARAIndentChar"/>
          <w:rFonts w:asciiTheme="minorHAnsi" w:hAnsiTheme="minorHAnsi" w:cstheme="minorHAnsi"/>
          <w:sz w:val="22"/>
          <w:szCs w:val="22"/>
        </w:rPr>
        <w:t>nA</w:t>
      </w:r>
      <w:proofErr w:type="spellEnd"/>
      <w:r w:rsidRPr="00182A10">
        <w:rPr>
          <w:rStyle w:val="PARAIndentChar"/>
          <w:rFonts w:asciiTheme="minorHAnsi" w:hAnsiTheme="minorHAnsi" w:cstheme="minorHAnsi"/>
          <w:sz w:val="22"/>
          <w:szCs w:val="22"/>
        </w:rPr>
        <w:t>/µg/ml/mm</w:t>
      </w:r>
      <w:r w:rsidRPr="00182A10">
        <w:rPr>
          <w:rStyle w:val="PARAIndentChar"/>
          <w:rFonts w:asciiTheme="minorHAnsi" w:hAnsiTheme="minorHAnsi" w:cstheme="minorHAnsi"/>
          <w:sz w:val="22"/>
          <w:szCs w:val="22"/>
          <w:vertAlign w:val="superscript"/>
        </w:rPr>
        <w:t>2</w:t>
      </w:r>
      <w:r w:rsidRPr="00182A10">
        <w:rPr>
          <w:rStyle w:val="PARAIndentChar"/>
          <w:rFonts w:asciiTheme="minorHAnsi" w:hAnsiTheme="minorHAnsi" w:cstheme="minorHAnsi"/>
          <w:sz w:val="22"/>
          <w:szCs w:val="22"/>
        </w:rPr>
        <w:t>) is reduced and the limit of detection (262 ± 54 ng/ml) is increased when compared to the response in the PBS solution, but as stated previously, this is to be expected as the majority of the propofol will bind to the albumin and thus be prevented from reaching the sensor surface. However, the limit of detection is still comfortably below the lower end of the therapeutic range.</w:t>
      </w:r>
      <w:r w:rsidRPr="00182A10">
        <w:rPr>
          <w:rFonts w:asciiTheme="minorHAnsi" w:hAnsiTheme="minorHAnsi" w:cstheme="minorHAnsi"/>
          <w:noProof/>
          <w:sz w:val="22"/>
          <w:szCs w:val="22"/>
          <w:lang w:val="en-GB" w:eastAsia="en-GB"/>
        </w:rPr>
        <w:t xml:space="preserve"> There is no discernable change in the response time of the sensor between the buffer solution and the BSA solution (Supplementary data, Fig. S2).</w:t>
      </w:r>
    </w:p>
    <w:p w:rsidR="00235D45" w:rsidRDefault="00235D45" w:rsidP="00182A10">
      <w:pPr>
        <w:pStyle w:val="PARAIndent"/>
        <w:ind w:firstLine="0"/>
        <w:rPr>
          <w:rFonts w:asciiTheme="minorHAnsi" w:hAnsiTheme="minorHAnsi" w:cstheme="minorHAnsi"/>
          <w:noProof/>
          <w:sz w:val="22"/>
          <w:szCs w:val="22"/>
          <w:lang w:val="en-GB" w:eastAsia="en-GB"/>
        </w:rPr>
      </w:pPr>
    </w:p>
    <w:p w:rsidR="00801366" w:rsidRDefault="00801366" w:rsidP="00182A10">
      <w:pPr>
        <w:pStyle w:val="PARAIndent"/>
        <w:ind w:firstLine="0"/>
        <w:rPr>
          <w:rFonts w:asciiTheme="minorHAnsi" w:hAnsiTheme="minorHAnsi" w:cstheme="minorHAnsi"/>
          <w:noProof/>
          <w:sz w:val="22"/>
          <w:szCs w:val="22"/>
          <w:lang w:val="en-GB" w:eastAsia="en-GB"/>
        </w:rPr>
      </w:pPr>
    </w:p>
    <w:p w:rsidR="00A67B8D" w:rsidRDefault="00801366" w:rsidP="00A67B8D">
      <w:pPr>
        <w:pStyle w:val="PARAIndent"/>
        <w:keepNext/>
        <w:ind w:firstLine="0"/>
      </w:pPr>
      <w:r>
        <w:rPr>
          <w:rFonts w:asciiTheme="minorHAnsi" w:hAnsiTheme="minorHAnsi" w:cstheme="minorHAnsi"/>
          <w:noProof/>
          <w:sz w:val="22"/>
          <w:szCs w:val="22"/>
          <w:lang w:val="en-GB" w:eastAsia="en-GB"/>
        </w:rPr>
        <w:drawing>
          <wp:inline distT="0" distB="0" distL="0" distR="0" wp14:anchorId="70D85E0B" wp14:editId="379CB1F9">
            <wp:extent cx="5731510" cy="21336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rri4.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133600"/>
                    </a:xfrm>
                    <a:prstGeom prst="rect">
                      <a:avLst/>
                    </a:prstGeom>
                  </pic:spPr>
                </pic:pic>
              </a:graphicData>
            </a:graphic>
          </wp:inline>
        </w:drawing>
      </w:r>
    </w:p>
    <w:p w:rsidR="00801366" w:rsidRPr="00A67B8D" w:rsidRDefault="00A67B8D" w:rsidP="00A67B8D">
      <w:pPr>
        <w:pStyle w:val="Caption"/>
        <w:jc w:val="both"/>
        <w:rPr>
          <w:rStyle w:val="PARAIndentChar"/>
          <w:rFonts w:asciiTheme="minorHAnsi" w:eastAsiaTheme="minorHAnsi" w:hAnsiTheme="minorHAnsi" w:cstheme="minorHAnsi"/>
          <w:color w:val="auto"/>
          <w:sz w:val="18"/>
          <w:szCs w:val="18"/>
        </w:rPr>
      </w:pPr>
      <w:r>
        <w:rPr>
          <w:rFonts w:cstheme="minorHAnsi"/>
          <w:color w:val="auto"/>
        </w:rPr>
        <w:t>Fig.</w:t>
      </w:r>
      <w:r w:rsidRPr="00A67B8D">
        <w:rPr>
          <w:rFonts w:cstheme="minorHAnsi"/>
          <w:color w:val="auto"/>
        </w:rPr>
        <w:t xml:space="preserve"> </w:t>
      </w:r>
      <w:r w:rsidRPr="00A67B8D">
        <w:rPr>
          <w:rFonts w:cstheme="minorHAnsi"/>
          <w:color w:val="auto"/>
        </w:rPr>
        <w:fldChar w:fldCharType="begin"/>
      </w:r>
      <w:r w:rsidRPr="00A67B8D">
        <w:rPr>
          <w:rFonts w:cstheme="minorHAnsi"/>
          <w:color w:val="auto"/>
        </w:rPr>
        <w:instrText xml:space="preserve"> SEQ Figure \* ARABIC </w:instrText>
      </w:r>
      <w:r w:rsidRPr="00A67B8D">
        <w:rPr>
          <w:rFonts w:cstheme="minorHAnsi"/>
          <w:color w:val="auto"/>
        </w:rPr>
        <w:fldChar w:fldCharType="separate"/>
      </w:r>
      <w:r w:rsidR="006E19F6">
        <w:rPr>
          <w:rFonts w:cstheme="minorHAnsi"/>
          <w:noProof/>
          <w:color w:val="auto"/>
        </w:rPr>
        <w:t>4</w:t>
      </w:r>
      <w:r w:rsidRPr="00A67B8D">
        <w:rPr>
          <w:rFonts w:cstheme="minorHAnsi"/>
          <w:color w:val="auto"/>
        </w:rPr>
        <w:fldChar w:fldCharType="end"/>
      </w:r>
      <w:r>
        <w:rPr>
          <w:rFonts w:cstheme="minorHAnsi"/>
          <w:color w:val="auto"/>
        </w:rPr>
        <w:t xml:space="preserve"> – (a</w:t>
      </w:r>
      <w:r w:rsidRPr="00A67B8D">
        <w:rPr>
          <w:rFonts w:cstheme="minorHAnsi"/>
          <w:color w:val="auto"/>
        </w:rPr>
        <w:t xml:space="preserve">) Amperometric response of functionalized electrode in serum-like solution with successive injections of 200 </w:t>
      </w:r>
      <w:proofErr w:type="spellStart"/>
      <w:r w:rsidRPr="00A67B8D">
        <w:rPr>
          <w:rFonts w:cstheme="minorHAnsi"/>
          <w:color w:val="auto"/>
        </w:rPr>
        <w:t>μl</w:t>
      </w:r>
      <w:proofErr w:type="spellEnd"/>
      <w:r w:rsidRPr="00A67B8D">
        <w:rPr>
          <w:rFonts w:cstheme="minorHAnsi"/>
          <w:color w:val="auto"/>
        </w:rPr>
        <w:t xml:space="preserve"> of 1mM propofol solution. Potential is +0.6 V vs. screen-printed Ag/AgCl. Solution is 10 mM PBS containing 5 </w:t>
      </w:r>
      <w:proofErr w:type="spellStart"/>
      <w:r w:rsidRPr="00A67B8D">
        <w:rPr>
          <w:rFonts w:cstheme="minorHAnsi"/>
          <w:color w:val="auto"/>
        </w:rPr>
        <w:t>wt</w:t>
      </w:r>
      <w:proofErr w:type="spellEnd"/>
      <w:r w:rsidRPr="00A67B8D">
        <w:rPr>
          <w:rFonts w:cstheme="minorHAnsi"/>
          <w:color w:val="auto"/>
        </w:rPr>
        <w:t>% BSA, 50 µg/ml NADP</w:t>
      </w:r>
      <w:r w:rsidRPr="00A67B8D">
        <w:rPr>
          <w:rFonts w:cstheme="minorHAnsi"/>
          <w:color w:val="auto"/>
          <w:vertAlign w:val="superscript"/>
        </w:rPr>
        <w:t>+</w:t>
      </w:r>
      <w:r w:rsidRPr="00A67B8D">
        <w:rPr>
          <w:rFonts w:cstheme="minorHAnsi"/>
          <w:color w:val="auto"/>
        </w:rPr>
        <w:t xml:space="preserve"> and G6P. (b) Mean of the plateau current (relative to the baseline) against propofol concentration. The error bars represent three standard deviations.</w:t>
      </w:r>
    </w:p>
    <w:p w:rsidR="00182A10" w:rsidRDefault="00182A10" w:rsidP="00182A10">
      <w:pPr>
        <w:pStyle w:val="PARAIndent"/>
        <w:ind w:firstLine="0"/>
        <w:rPr>
          <w:rStyle w:val="PARAIndentChar"/>
          <w:rFonts w:asciiTheme="minorHAnsi" w:hAnsiTheme="minorHAnsi" w:cstheme="minorHAnsi"/>
          <w:sz w:val="22"/>
          <w:szCs w:val="22"/>
        </w:rPr>
      </w:pPr>
    </w:p>
    <w:p w:rsidR="00182A10" w:rsidRDefault="00182A10" w:rsidP="00182A10">
      <w:pPr>
        <w:pStyle w:val="PARAIndent"/>
        <w:ind w:firstLine="0"/>
        <w:rPr>
          <w:rStyle w:val="PARAIndentChar"/>
          <w:rFonts w:asciiTheme="minorHAnsi" w:hAnsiTheme="minorHAnsi" w:cstheme="minorHAnsi"/>
          <w:sz w:val="22"/>
          <w:szCs w:val="22"/>
        </w:rPr>
      </w:pPr>
      <w:r w:rsidRPr="00182A10">
        <w:rPr>
          <w:rStyle w:val="PARAIndentChar"/>
          <w:rFonts w:asciiTheme="minorHAnsi" w:hAnsiTheme="minorHAnsi" w:cstheme="minorHAnsi"/>
          <w:sz w:val="22"/>
          <w:szCs w:val="22"/>
        </w:rPr>
        <w:t>Amperometric measurements were performed while injecting solutions of ascorbic acid and lidocaine (Fig. 5). It can be seen that increasing concentration of ascorbic acid (</w:t>
      </w:r>
      <w:proofErr w:type="spellStart"/>
      <w:r w:rsidRPr="00182A10">
        <w:rPr>
          <w:rStyle w:val="PARAIndentChar"/>
          <w:rFonts w:asciiTheme="minorHAnsi" w:hAnsiTheme="minorHAnsi" w:cstheme="minorHAnsi"/>
          <w:sz w:val="22"/>
          <w:szCs w:val="22"/>
        </w:rPr>
        <w:t>i</w:t>
      </w:r>
      <w:proofErr w:type="spellEnd"/>
      <w:r w:rsidRPr="00182A10">
        <w:rPr>
          <w:rStyle w:val="PARAIndentChar"/>
          <w:rFonts w:asciiTheme="minorHAnsi" w:hAnsiTheme="minorHAnsi" w:cstheme="minorHAnsi"/>
          <w:sz w:val="22"/>
          <w:szCs w:val="22"/>
        </w:rPr>
        <w:t>-iii) produces a slight increase in current, but far below that produced by equivalent concentrations of propofol (vii-ix). Injections of lidocaine solution (iv-vi) produced no observable change in current. Ascorbic acid was chosen as it is well documented to be a common source of interference for electrochemical biosensors [32], being easily oxidized and the most common electroactive biological molecule [33]. Lidocaine is significant as, in addition to being commonly used as part of general anesthesia [34] [35], it is another substrate of the enzyme cytochrome P450 2B6 [36]. The typical ranges of both ascorbic acid and lidocaine are of a similar order of magnitude to the therapeutic range of propofol [19]. It is clear from Fig. 5 that the functionalized electrodes demonstrate high specificity toward these two potential sources of interference.</w:t>
      </w:r>
    </w:p>
    <w:p w:rsidR="00A67B8D" w:rsidRDefault="00A67B8D" w:rsidP="00182A10">
      <w:pPr>
        <w:pStyle w:val="PARAIndent"/>
        <w:ind w:firstLine="0"/>
        <w:rPr>
          <w:rStyle w:val="PARAIndentChar"/>
          <w:rFonts w:asciiTheme="minorHAnsi" w:hAnsiTheme="minorHAnsi" w:cstheme="minorHAnsi"/>
          <w:sz w:val="22"/>
          <w:szCs w:val="22"/>
        </w:rPr>
      </w:pPr>
    </w:p>
    <w:p w:rsidR="00801366" w:rsidRDefault="00801366" w:rsidP="00182A10">
      <w:pPr>
        <w:pStyle w:val="PARAIndent"/>
        <w:ind w:firstLine="0"/>
        <w:rPr>
          <w:rStyle w:val="PARAIndentChar"/>
          <w:rFonts w:asciiTheme="minorHAnsi" w:hAnsiTheme="minorHAnsi" w:cstheme="minorHAnsi"/>
          <w:sz w:val="22"/>
          <w:szCs w:val="22"/>
        </w:rPr>
      </w:pPr>
    </w:p>
    <w:p w:rsidR="00A67B8D" w:rsidRDefault="00801366" w:rsidP="00A67B8D">
      <w:pPr>
        <w:pStyle w:val="PARAIndent"/>
        <w:keepNext/>
        <w:ind w:firstLine="0"/>
      </w:pPr>
      <w:r>
        <w:rPr>
          <w:rFonts w:asciiTheme="minorHAnsi" w:hAnsiTheme="minorHAnsi" w:cstheme="minorHAnsi"/>
          <w:noProof/>
          <w:sz w:val="22"/>
          <w:szCs w:val="22"/>
          <w:lang w:val="en-GB" w:eastAsia="en-GB"/>
        </w:rPr>
        <w:lastRenderedPageBreak/>
        <w:drawing>
          <wp:inline distT="0" distB="0" distL="0" distR="0" wp14:anchorId="4F890F5F" wp14:editId="581F8A40">
            <wp:extent cx="3099816" cy="225552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ri5.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9816" cy="2255520"/>
                    </a:xfrm>
                    <a:prstGeom prst="rect">
                      <a:avLst/>
                    </a:prstGeom>
                  </pic:spPr>
                </pic:pic>
              </a:graphicData>
            </a:graphic>
          </wp:inline>
        </w:drawing>
      </w:r>
    </w:p>
    <w:p w:rsidR="00801366" w:rsidRPr="00A67B8D" w:rsidRDefault="00A67B8D" w:rsidP="00A67B8D">
      <w:pPr>
        <w:pStyle w:val="Caption"/>
        <w:jc w:val="both"/>
        <w:rPr>
          <w:rStyle w:val="PARAIndentChar"/>
          <w:rFonts w:asciiTheme="minorHAnsi" w:eastAsiaTheme="minorHAnsi" w:hAnsiTheme="minorHAnsi" w:cstheme="minorHAnsi"/>
          <w:color w:val="auto"/>
          <w:sz w:val="18"/>
          <w:szCs w:val="18"/>
        </w:rPr>
      </w:pPr>
      <w:r>
        <w:rPr>
          <w:rFonts w:cstheme="minorHAnsi"/>
          <w:color w:val="auto"/>
        </w:rPr>
        <w:t>Fig.</w:t>
      </w:r>
      <w:r w:rsidRPr="00A67B8D">
        <w:rPr>
          <w:rFonts w:cstheme="minorHAnsi"/>
          <w:color w:val="auto"/>
        </w:rPr>
        <w:t xml:space="preserve"> </w:t>
      </w:r>
      <w:r w:rsidRPr="00A67B8D">
        <w:rPr>
          <w:rFonts w:cstheme="minorHAnsi"/>
          <w:color w:val="auto"/>
        </w:rPr>
        <w:fldChar w:fldCharType="begin"/>
      </w:r>
      <w:r w:rsidRPr="00A67B8D">
        <w:rPr>
          <w:rFonts w:cstheme="minorHAnsi"/>
          <w:color w:val="auto"/>
        </w:rPr>
        <w:instrText xml:space="preserve"> SEQ Figure \* ARABIC </w:instrText>
      </w:r>
      <w:r w:rsidRPr="00A67B8D">
        <w:rPr>
          <w:rFonts w:cstheme="minorHAnsi"/>
          <w:color w:val="auto"/>
        </w:rPr>
        <w:fldChar w:fldCharType="separate"/>
      </w:r>
      <w:r w:rsidR="006E19F6">
        <w:rPr>
          <w:rFonts w:cstheme="minorHAnsi"/>
          <w:noProof/>
          <w:color w:val="auto"/>
        </w:rPr>
        <w:t>5</w:t>
      </w:r>
      <w:r w:rsidRPr="00A67B8D">
        <w:rPr>
          <w:rFonts w:cstheme="minorHAnsi"/>
          <w:color w:val="auto"/>
        </w:rPr>
        <w:fldChar w:fldCharType="end"/>
      </w:r>
      <w:r w:rsidRPr="00A67B8D">
        <w:rPr>
          <w:rFonts w:cstheme="minorHAnsi"/>
          <w:color w:val="auto"/>
        </w:rPr>
        <w:t xml:space="preserve"> </w:t>
      </w:r>
      <w:r>
        <w:rPr>
          <w:rFonts w:cstheme="minorHAnsi"/>
          <w:color w:val="auto"/>
        </w:rPr>
        <w:t>–</w:t>
      </w:r>
      <w:r w:rsidRPr="00A67B8D">
        <w:rPr>
          <w:rFonts w:cstheme="minorHAnsi"/>
          <w:color w:val="auto"/>
        </w:rPr>
        <w:t xml:space="preserve"> </w:t>
      </w:r>
      <w:r w:rsidRPr="00A67B8D">
        <w:rPr>
          <w:rFonts w:cstheme="minorHAnsi"/>
          <w:color w:val="auto"/>
        </w:rPr>
        <w:t>Amperometric response of functionalized electrode with successive injections of ascorbic acid solution (</w:t>
      </w:r>
      <w:proofErr w:type="spellStart"/>
      <w:r w:rsidRPr="00A67B8D">
        <w:rPr>
          <w:rFonts w:cstheme="minorHAnsi"/>
          <w:color w:val="auto"/>
        </w:rPr>
        <w:t>i</w:t>
      </w:r>
      <w:proofErr w:type="spellEnd"/>
      <w:r w:rsidRPr="00A67B8D">
        <w:rPr>
          <w:rFonts w:cstheme="minorHAnsi"/>
          <w:color w:val="auto"/>
        </w:rPr>
        <w:t>-iii: 0.18, 0.35 and 0.53 µg/ml respectively), lidocaine solution (iv-vi; 0.23, 0.47 and 0.70 µg/ml respectively) and propofol solution (vii-ix; 0.18, 0.35 and 0.53 µg/ml respectively). Potential is +0.6 V vs. screen-printed Ag/AgCl. Solution is 10 mM PBS containing 50 µg/ml NADP</w:t>
      </w:r>
      <w:r w:rsidRPr="00A67B8D">
        <w:rPr>
          <w:rFonts w:cstheme="minorHAnsi"/>
          <w:color w:val="auto"/>
          <w:vertAlign w:val="superscript"/>
        </w:rPr>
        <w:t>+</w:t>
      </w:r>
      <w:r w:rsidRPr="00A67B8D">
        <w:rPr>
          <w:rFonts w:cstheme="minorHAnsi"/>
          <w:color w:val="auto"/>
        </w:rPr>
        <w:t xml:space="preserve"> and G6P.</w:t>
      </w:r>
    </w:p>
    <w:p w:rsidR="00182A10" w:rsidRDefault="00182A10" w:rsidP="00182A10">
      <w:pPr>
        <w:pStyle w:val="PARAIndent"/>
        <w:ind w:firstLine="0"/>
        <w:rPr>
          <w:rStyle w:val="PARAIndentChar"/>
          <w:rFonts w:asciiTheme="minorHAnsi" w:hAnsiTheme="minorHAnsi" w:cstheme="minorHAnsi"/>
          <w:sz w:val="22"/>
          <w:szCs w:val="22"/>
        </w:rPr>
      </w:pPr>
    </w:p>
    <w:p w:rsidR="00182A10" w:rsidRDefault="00182A10" w:rsidP="00182A10">
      <w:pPr>
        <w:pStyle w:val="PARAIndent"/>
        <w:ind w:firstLine="0"/>
        <w:rPr>
          <w:rStyle w:val="PARAIndentChar"/>
          <w:rFonts w:asciiTheme="minorHAnsi" w:hAnsiTheme="minorHAnsi" w:cstheme="minorHAnsi"/>
          <w:sz w:val="22"/>
          <w:szCs w:val="22"/>
        </w:rPr>
      </w:pPr>
      <w:r w:rsidRPr="00182A10">
        <w:rPr>
          <w:rStyle w:val="PARAIndentChar"/>
          <w:rFonts w:asciiTheme="minorHAnsi" w:hAnsiTheme="minorHAnsi" w:cstheme="minorHAnsi"/>
          <w:sz w:val="22"/>
          <w:szCs w:val="22"/>
        </w:rPr>
        <w:t>Fig. 6a shows the results of amperometry measurements in the absence of NADP</w:t>
      </w:r>
      <w:r w:rsidRPr="00182A10">
        <w:rPr>
          <w:rStyle w:val="PARAIndentChar"/>
          <w:rFonts w:asciiTheme="minorHAnsi" w:hAnsiTheme="minorHAnsi" w:cstheme="minorHAnsi"/>
          <w:sz w:val="22"/>
          <w:szCs w:val="22"/>
          <w:vertAlign w:val="superscript"/>
        </w:rPr>
        <w:t>+</w:t>
      </w:r>
      <w:r w:rsidRPr="00182A10">
        <w:rPr>
          <w:rStyle w:val="PARAIndentChar"/>
          <w:rFonts w:asciiTheme="minorHAnsi" w:hAnsiTheme="minorHAnsi" w:cstheme="minorHAnsi"/>
          <w:sz w:val="22"/>
          <w:szCs w:val="22"/>
        </w:rPr>
        <w:t xml:space="preserve"> and G6P. These experiments serve as a control for the contribution of the enzyme, as in the absence of these cofactors the enzyme will not catalyze the conversion of propofol as it will no longer have a source of electrons. Therefore, the increases in current observed after the addition of propofol solution are the result of the direct electrochemical oxidation of the propofol. In the first run it can be seen that after the fourth injection of propofol (corresponding to a concentration of approximately 0.7 µg/ml) there is a clear trend of decreasing current with time, suggestive of electrode fouling. This is even more apparent in Fig. 6b, in which it can be seen that the current response plateaus at approximately 1 µg/ml of propofol, a value that is well within the linear range of the sensor as discussed previously. Repeated measurements, performed using the same electrode on successive days, show a similar response but at significantly reduced sensitivities. The third run with the electrode has a sensitivity that is 22% that of the first run. These results are clear evidence of fouling of the electrode by propofol oxidation, fouling that does not occur in the presence of NADP</w:t>
      </w:r>
      <w:r w:rsidRPr="00182A10">
        <w:rPr>
          <w:rStyle w:val="PARAIndentChar"/>
          <w:rFonts w:asciiTheme="minorHAnsi" w:hAnsiTheme="minorHAnsi" w:cstheme="minorHAnsi"/>
          <w:sz w:val="22"/>
          <w:szCs w:val="22"/>
          <w:vertAlign w:val="superscript"/>
        </w:rPr>
        <w:t>+</w:t>
      </w:r>
      <w:r w:rsidRPr="00182A10">
        <w:rPr>
          <w:rStyle w:val="PARAIndentChar"/>
          <w:rFonts w:asciiTheme="minorHAnsi" w:hAnsiTheme="minorHAnsi" w:cstheme="minorHAnsi"/>
          <w:sz w:val="22"/>
          <w:szCs w:val="22"/>
        </w:rPr>
        <w:t xml:space="preserve"> and G6P, where propofol is converted by the enzyme. Similar experiments performed with the addition of NADP</w:t>
      </w:r>
      <w:r w:rsidRPr="00182A10">
        <w:rPr>
          <w:rStyle w:val="PARAIndentChar"/>
          <w:rFonts w:asciiTheme="minorHAnsi" w:hAnsiTheme="minorHAnsi" w:cstheme="minorHAnsi"/>
          <w:sz w:val="22"/>
          <w:szCs w:val="22"/>
          <w:vertAlign w:val="superscript"/>
        </w:rPr>
        <w:t>+</w:t>
      </w:r>
      <w:r w:rsidRPr="00182A10">
        <w:rPr>
          <w:rStyle w:val="PARAIndentChar"/>
          <w:rFonts w:asciiTheme="minorHAnsi" w:hAnsiTheme="minorHAnsi" w:cstheme="minorHAnsi"/>
          <w:sz w:val="22"/>
          <w:szCs w:val="22"/>
        </w:rPr>
        <w:t xml:space="preserve"> and G6P result in the sensor showing a sensitivity on the third run that is approximately 95% of that on the first run with a coefficient of variation of 0.09 (Supplementary data, Fig. S3). Similar fouling effects are seen for electrodes fabricated in an identical manner, only without the inclusion of the CypExpress 2B6, (Supplementary data, Fig. S4) confirming that these effects are the result of propofol not being converted to the quinone/quinol pair by the enzyme. </w:t>
      </w:r>
    </w:p>
    <w:p w:rsidR="00A67B8D" w:rsidRDefault="00A67B8D" w:rsidP="00182A10">
      <w:pPr>
        <w:pStyle w:val="PARAIndent"/>
        <w:ind w:firstLine="0"/>
        <w:rPr>
          <w:rStyle w:val="PARAIndentChar"/>
          <w:rFonts w:asciiTheme="minorHAnsi" w:hAnsiTheme="minorHAnsi" w:cstheme="minorHAnsi"/>
          <w:sz w:val="22"/>
          <w:szCs w:val="22"/>
        </w:rPr>
      </w:pPr>
    </w:p>
    <w:p w:rsidR="00801366" w:rsidRDefault="00801366" w:rsidP="00182A10">
      <w:pPr>
        <w:pStyle w:val="PARAIndent"/>
        <w:ind w:firstLine="0"/>
        <w:rPr>
          <w:rStyle w:val="PARAIndentChar"/>
          <w:rFonts w:asciiTheme="minorHAnsi" w:hAnsiTheme="minorHAnsi" w:cstheme="minorHAnsi"/>
          <w:sz w:val="22"/>
          <w:szCs w:val="22"/>
        </w:rPr>
      </w:pPr>
    </w:p>
    <w:p w:rsidR="00A67B8D" w:rsidRDefault="00801366" w:rsidP="00A67B8D">
      <w:pPr>
        <w:pStyle w:val="PARAIndent"/>
        <w:keepNext/>
        <w:ind w:firstLine="0"/>
      </w:pPr>
      <w:r>
        <w:rPr>
          <w:rFonts w:asciiTheme="minorHAnsi" w:hAnsiTheme="minorHAnsi" w:cstheme="minorHAnsi"/>
          <w:noProof/>
          <w:sz w:val="22"/>
          <w:szCs w:val="22"/>
          <w:lang w:val="en-GB" w:eastAsia="en-GB"/>
        </w:rPr>
        <w:lastRenderedPageBreak/>
        <w:drawing>
          <wp:inline distT="0" distB="0" distL="0" distR="0" wp14:anchorId="79E6AB53" wp14:editId="21479487">
            <wp:extent cx="5731510" cy="21336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rri6.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133600"/>
                    </a:xfrm>
                    <a:prstGeom prst="rect">
                      <a:avLst/>
                    </a:prstGeom>
                  </pic:spPr>
                </pic:pic>
              </a:graphicData>
            </a:graphic>
          </wp:inline>
        </w:drawing>
      </w:r>
    </w:p>
    <w:p w:rsidR="00801366" w:rsidRPr="00A67B8D" w:rsidRDefault="00A67B8D" w:rsidP="00A67B8D">
      <w:pPr>
        <w:pStyle w:val="Caption"/>
        <w:jc w:val="both"/>
        <w:rPr>
          <w:rStyle w:val="PARAIndentChar"/>
          <w:rFonts w:asciiTheme="minorHAnsi" w:eastAsiaTheme="minorHAnsi" w:hAnsiTheme="minorHAnsi" w:cstheme="minorHAnsi"/>
          <w:color w:val="auto"/>
          <w:sz w:val="18"/>
          <w:szCs w:val="18"/>
        </w:rPr>
      </w:pPr>
      <w:r w:rsidRPr="00A67B8D">
        <w:rPr>
          <w:rFonts w:cstheme="minorHAnsi"/>
          <w:color w:val="auto"/>
        </w:rPr>
        <w:t xml:space="preserve">Figure </w:t>
      </w:r>
      <w:r w:rsidRPr="00A67B8D">
        <w:rPr>
          <w:rFonts w:cstheme="minorHAnsi"/>
          <w:color w:val="auto"/>
        </w:rPr>
        <w:fldChar w:fldCharType="begin"/>
      </w:r>
      <w:r w:rsidRPr="00A67B8D">
        <w:rPr>
          <w:rFonts w:cstheme="minorHAnsi"/>
          <w:color w:val="auto"/>
        </w:rPr>
        <w:instrText xml:space="preserve"> SEQ Figure \* ARABIC </w:instrText>
      </w:r>
      <w:r w:rsidRPr="00A67B8D">
        <w:rPr>
          <w:rFonts w:cstheme="minorHAnsi"/>
          <w:color w:val="auto"/>
        </w:rPr>
        <w:fldChar w:fldCharType="separate"/>
      </w:r>
      <w:r w:rsidR="006E19F6">
        <w:rPr>
          <w:rFonts w:cstheme="minorHAnsi"/>
          <w:noProof/>
          <w:color w:val="auto"/>
        </w:rPr>
        <w:t>6</w:t>
      </w:r>
      <w:r w:rsidRPr="00A67B8D">
        <w:rPr>
          <w:rFonts w:cstheme="minorHAnsi"/>
          <w:color w:val="auto"/>
        </w:rPr>
        <w:fldChar w:fldCharType="end"/>
      </w:r>
      <w:r>
        <w:rPr>
          <w:rFonts w:cstheme="minorHAnsi"/>
          <w:color w:val="auto"/>
        </w:rPr>
        <w:t xml:space="preserve"> – (</w:t>
      </w:r>
      <w:r w:rsidRPr="00A67B8D">
        <w:rPr>
          <w:rFonts w:cstheme="minorHAnsi"/>
          <w:color w:val="auto"/>
        </w:rPr>
        <w:t xml:space="preserve">a) Amperometric response of electrode with successive injections of 20 </w:t>
      </w:r>
      <w:proofErr w:type="spellStart"/>
      <w:r w:rsidRPr="00A67B8D">
        <w:rPr>
          <w:rFonts w:cstheme="minorHAnsi"/>
          <w:color w:val="auto"/>
        </w:rPr>
        <w:t>μl</w:t>
      </w:r>
      <w:proofErr w:type="spellEnd"/>
      <w:r w:rsidRPr="00A67B8D">
        <w:rPr>
          <w:rFonts w:cstheme="minorHAnsi"/>
          <w:color w:val="auto"/>
        </w:rPr>
        <w:t xml:space="preserve"> of 1 mM propofol solution in the absence of NADP+ and G6P for the first, second and third repetitions of the same electrode on successive days. Potential is +0.6 V vs. screen-printed Ag/AgCl, solution is 10 mM PBS. (b) Mean of the plateau current against the propofol concentration. The error bars represent three standard deviations.</w:t>
      </w:r>
    </w:p>
    <w:p w:rsidR="00182A10" w:rsidRDefault="00182A10" w:rsidP="00182A10">
      <w:pPr>
        <w:pStyle w:val="PARAIndent"/>
        <w:ind w:firstLine="0"/>
        <w:rPr>
          <w:rStyle w:val="PARAIndentChar"/>
          <w:rFonts w:asciiTheme="minorHAnsi" w:hAnsiTheme="minorHAnsi" w:cstheme="minorHAnsi"/>
          <w:sz w:val="22"/>
          <w:szCs w:val="22"/>
        </w:rPr>
      </w:pPr>
    </w:p>
    <w:p w:rsidR="00182A10" w:rsidRPr="00182A10" w:rsidRDefault="00182A10" w:rsidP="00182A10">
      <w:pPr>
        <w:pStyle w:val="PARAIndent"/>
        <w:ind w:firstLine="0"/>
        <w:rPr>
          <w:rStyle w:val="PARAIndentChar"/>
          <w:rFonts w:asciiTheme="minorHAnsi" w:hAnsiTheme="minorHAnsi" w:cstheme="minorHAnsi"/>
          <w:sz w:val="22"/>
          <w:szCs w:val="22"/>
        </w:rPr>
      </w:pPr>
      <w:r w:rsidRPr="00182A10">
        <w:rPr>
          <w:rStyle w:val="PARAIndentChar"/>
          <w:rFonts w:asciiTheme="minorHAnsi" w:hAnsiTheme="minorHAnsi" w:cstheme="minorHAnsi"/>
          <w:sz w:val="22"/>
          <w:szCs w:val="22"/>
        </w:rPr>
        <w:t>It is well documented that gold nanoparticles can help stabilize proteins including enzymes [37] [38] [39]. Sensors fabricated without the addition of the gold nanoparticles display clear signs of electrode fouling at higher propofol concentrations (Fig. 7), indicating that the enzyme has denatured and is no longer converting the propofol as expected. Thus it can be seen that the presence of the gold nanoparticles is essential for maintaining the stability of the cytochrome P450 2B6.</w:t>
      </w:r>
    </w:p>
    <w:p w:rsidR="00182A10" w:rsidRDefault="00182A10" w:rsidP="00182A10">
      <w:pPr>
        <w:jc w:val="both"/>
        <w:rPr>
          <w:rStyle w:val="PARAIndentChar"/>
          <w:rFonts w:asciiTheme="minorHAnsi" w:eastAsiaTheme="minorHAnsi" w:hAnsiTheme="minorHAnsi" w:cstheme="minorHAnsi"/>
          <w:sz w:val="22"/>
          <w:szCs w:val="22"/>
        </w:rPr>
      </w:pPr>
      <w:r w:rsidRPr="00182A10">
        <w:rPr>
          <w:rStyle w:val="PARAIndentChar"/>
          <w:rFonts w:asciiTheme="minorHAnsi" w:eastAsiaTheme="minorHAnsi" w:hAnsiTheme="minorHAnsi" w:cstheme="minorHAnsi"/>
          <w:sz w:val="22"/>
          <w:szCs w:val="22"/>
        </w:rPr>
        <w:t>NADP</w:t>
      </w:r>
      <w:r w:rsidRPr="00182A10">
        <w:rPr>
          <w:rStyle w:val="PARAIndentChar"/>
          <w:rFonts w:asciiTheme="minorHAnsi" w:eastAsiaTheme="minorHAnsi" w:hAnsiTheme="minorHAnsi" w:cstheme="minorHAnsi"/>
          <w:sz w:val="22"/>
          <w:szCs w:val="22"/>
          <w:vertAlign w:val="superscript"/>
        </w:rPr>
        <w:t>+</w:t>
      </w:r>
      <w:r w:rsidRPr="00182A10">
        <w:rPr>
          <w:rStyle w:val="PARAIndentChar"/>
          <w:rFonts w:asciiTheme="minorHAnsi" w:eastAsiaTheme="minorHAnsi" w:hAnsiTheme="minorHAnsi" w:cstheme="minorHAnsi"/>
          <w:sz w:val="22"/>
          <w:szCs w:val="22"/>
        </w:rPr>
        <w:t xml:space="preserve"> and G6P must be present in excess so as to provide a sufficient supply of electrons to the enzyme and not present a limiting factor for the enzymatic conversion of propofol. Amperometric measurements with NADP</w:t>
      </w:r>
      <w:r w:rsidRPr="00182A10">
        <w:rPr>
          <w:rStyle w:val="PARAIndentChar"/>
          <w:rFonts w:asciiTheme="minorHAnsi" w:eastAsiaTheme="minorHAnsi" w:hAnsiTheme="minorHAnsi" w:cstheme="minorHAnsi"/>
          <w:sz w:val="22"/>
          <w:szCs w:val="22"/>
          <w:vertAlign w:val="superscript"/>
        </w:rPr>
        <w:t>+</w:t>
      </w:r>
      <w:r w:rsidRPr="00182A10">
        <w:rPr>
          <w:rStyle w:val="PARAIndentChar"/>
          <w:rFonts w:asciiTheme="minorHAnsi" w:eastAsiaTheme="minorHAnsi" w:hAnsiTheme="minorHAnsi" w:cstheme="minorHAnsi"/>
          <w:sz w:val="22"/>
          <w:szCs w:val="22"/>
        </w:rPr>
        <w:t xml:space="preserve"> and G6P concentrations of 25 and 10 µg/ml also show signs of electrode fouling at higher propofol concentrations (Supplementary data, Fig. S5).</w:t>
      </w:r>
    </w:p>
    <w:p w:rsidR="00801366" w:rsidRDefault="00801366" w:rsidP="00182A10">
      <w:pPr>
        <w:jc w:val="both"/>
        <w:rPr>
          <w:rStyle w:val="PARAIndentChar"/>
          <w:rFonts w:asciiTheme="minorHAnsi" w:eastAsiaTheme="minorHAnsi" w:hAnsiTheme="minorHAnsi" w:cstheme="minorHAnsi"/>
          <w:sz w:val="22"/>
          <w:szCs w:val="22"/>
        </w:rPr>
      </w:pPr>
    </w:p>
    <w:p w:rsidR="00A67B8D" w:rsidRDefault="00801366" w:rsidP="00A67B8D">
      <w:pPr>
        <w:keepNext/>
        <w:jc w:val="both"/>
      </w:pPr>
      <w:r>
        <w:rPr>
          <w:rFonts w:cstheme="minorHAnsi"/>
          <w:noProof/>
          <w:lang w:eastAsia="en-GB"/>
        </w:rPr>
        <w:drawing>
          <wp:inline distT="0" distB="0" distL="0" distR="0" wp14:anchorId="665005F3" wp14:editId="2701326A">
            <wp:extent cx="3099816" cy="225552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erri7.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9816" cy="2255520"/>
                    </a:xfrm>
                    <a:prstGeom prst="rect">
                      <a:avLst/>
                    </a:prstGeom>
                  </pic:spPr>
                </pic:pic>
              </a:graphicData>
            </a:graphic>
          </wp:inline>
        </w:drawing>
      </w:r>
    </w:p>
    <w:p w:rsidR="00801366" w:rsidRDefault="00A67B8D" w:rsidP="00A67B8D">
      <w:pPr>
        <w:pStyle w:val="Caption"/>
        <w:jc w:val="both"/>
        <w:rPr>
          <w:color w:val="auto"/>
        </w:rPr>
      </w:pPr>
      <w:r w:rsidRPr="00A67B8D">
        <w:rPr>
          <w:color w:val="auto"/>
        </w:rPr>
        <w:t xml:space="preserve">Figure </w:t>
      </w:r>
      <w:r w:rsidRPr="00A67B8D">
        <w:rPr>
          <w:color w:val="auto"/>
        </w:rPr>
        <w:fldChar w:fldCharType="begin"/>
      </w:r>
      <w:r w:rsidRPr="00A67B8D">
        <w:rPr>
          <w:color w:val="auto"/>
        </w:rPr>
        <w:instrText xml:space="preserve"> SEQ Figure \* ARABIC </w:instrText>
      </w:r>
      <w:r w:rsidRPr="00A67B8D">
        <w:rPr>
          <w:color w:val="auto"/>
        </w:rPr>
        <w:fldChar w:fldCharType="separate"/>
      </w:r>
      <w:r w:rsidR="006E19F6">
        <w:rPr>
          <w:noProof/>
          <w:color w:val="auto"/>
        </w:rPr>
        <w:t>7</w:t>
      </w:r>
      <w:r w:rsidRPr="00A67B8D">
        <w:rPr>
          <w:color w:val="auto"/>
        </w:rPr>
        <w:fldChar w:fldCharType="end"/>
      </w:r>
      <w:r w:rsidRPr="00A67B8D">
        <w:rPr>
          <w:color w:val="auto"/>
        </w:rPr>
        <w:t xml:space="preserve"> </w:t>
      </w:r>
      <w:r>
        <w:rPr>
          <w:color w:val="auto"/>
        </w:rPr>
        <w:t>–</w:t>
      </w:r>
      <w:r w:rsidRPr="00A67B8D">
        <w:rPr>
          <w:color w:val="auto"/>
        </w:rPr>
        <w:t xml:space="preserve"> Amperometric response of electrode functionalized without gold nanoparticles with successive injections of 20 </w:t>
      </w:r>
      <w:proofErr w:type="spellStart"/>
      <w:r w:rsidRPr="00A67B8D">
        <w:rPr>
          <w:color w:val="auto"/>
        </w:rPr>
        <w:t>μl</w:t>
      </w:r>
      <w:proofErr w:type="spellEnd"/>
      <w:r w:rsidRPr="00A67B8D">
        <w:rPr>
          <w:color w:val="auto"/>
        </w:rPr>
        <w:t xml:space="preserve"> of 1 mM propofol solution. Potential is +0.6 V vs. screen-printed Ag/AgCl. Solution is 10 mM PBS containing 50 µg/ml NADP+ and G6P.</w:t>
      </w:r>
    </w:p>
    <w:p w:rsidR="00235D45" w:rsidRPr="00235D45" w:rsidRDefault="00235D45" w:rsidP="00235D45"/>
    <w:p w:rsidR="00BD4879" w:rsidRDefault="00BD4879" w:rsidP="00182A10">
      <w:pPr>
        <w:jc w:val="both"/>
        <w:rPr>
          <w:rStyle w:val="PARAIndentChar"/>
          <w:rFonts w:asciiTheme="minorHAnsi" w:eastAsiaTheme="minorHAnsi" w:hAnsiTheme="minorHAnsi" w:cstheme="minorHAnsi"/>
          <w:sz w:val="22"/>
          <w:szCs w:val="22"/>
        </w:rPr>
      </w:pPr>
    </w:p>
    <w:p w:rsidR="00BD4879" w:rsidRDefault="00BD4879" w:rsidP="00BD4879">
      <w:pPr>
        <w:pStyle w:val="Heading1"/>
        <w:numPr>
          <w:ilvl w:val="0"/>
          <w:numId w:val="1"/>
        </w:numPr>
        <w:rPr>
          <w:rStyle w:val="PARAIndentChar"/>
          <w:rFonts w:asciiTheme="majorHAnsi" w:eastAsiaTheme="majorEastAsia" w:hAnsiTheme="majorHAnsi" w:cstheme="majorBidi"/>
          <w:color w:val="auto"/>
          <w:sz w:val="32"/>
          <w:szCs w:val="32"/>
          <w:lang w:val="en-GB"/>
        </w:rPr>
      </w:pPr>
      <w:r w:rsidRPr="00BD4879">
        <w:rPr>
          <w:rStyle w:val="PARAIndentChar"/>
          <w:rFonts w:asciiTheme="majorHAnsi" w:eastAsiaTheme="majorEastAsia" w:hAnsiTheme="majorHAnsi" w:cstheme="majorBidi"/>
          <w:color w:val="auto"/>
          <w:sz w:val="32"/>
          <w:szCs w:val="32"/>
          <w:lang w:val="en-GB"/>
        </w:rPr>
        <w:lastRenderedPageBreak/>
        <w:t>Concluding remarks</w:t>
      </w:r>
    </w:p>
    <w:p w:rsidR="00BD4879" w:rsidRDefault="00BD4879" w:rsidP="00BD4879">
      <w:pPr>
        <w:pStyle w:val="PARAIndent"/>
        <w:ind w:firstLine="0"/>
        <w:rPr>
          <w:rFonts w:asciiTheme="minorHAnsi" w:eastAsiaTheme="minorHAnsi" w:hAnsiTheme="minorHAnsi" w:cstheme="minorBidi"/>
          <w:sz w:val="22"/>
          <w:szCs w:val="22"/>
          <w:lang w:val="en-GB"/>
        </w:rPr>
      </w:pPr>
    </w:p>
    <w:p w:rsidR="00BD4879" w:rsidRDefault="00BD4879" w:rsidP="00BD4879">
      <w:pPr>
        <w:pStyle w:val="PARAIndent"/>
        <w:ind w:firstLine="0"/>
        <w:rPr>
          <w:rFonts w:asciiTheme="minorHAnsi" w:hAnsiTheme="minorHAnsi" w:cstheme="minorHAnsi"/>
          <w:sz w:val="22"/>
          <w:szCs w:val="22"/>
        </w:rPr>
      </w:pPr>
    </w:p>
    <w:p w:rsidR="00BD4879" w:rsidRDefault="00BD4879" w:rsidP="00BD4879">
      <w:pPr>
        <w:pStyle w:val="PARAIndent"/>
        <w:ind w:firstLine="0"/>
        <w:rPr>
          <w:rFonts w:asciiTheme="minorHAnsi" w:hAnsiTheme="minorHAnsi" w:cstheme="minorHAnsi"/>
          <w:sz w:val="22"/>
          <w:szCs w:val="22"/>
        </w:rPr>
      </w:pPr>
      <w:r w:rsidRPr="00BD4879">
        <w:rPr>
          <w:rFonts w:asciiTheme="minorHAnsi" w:hAnsiTheme="minorHAnsi" w:cstheme="minorHAnsi"/>
          <w:sz w:val="22"/>
          <w:szCs w:val="22"/>
        </w:rPr>
        <w:t>We have demonstrated an enzyme-based propofol biosensor that avoids issues of electrode fouling by converting the propofol into a quinone/quinol redox pair which can be detected via simple electrochemistry. This sensor responds to changes of propofol concentration within one minute, has a limit of detection of 67 ± 7 ng/ml and has been shown to have good specificity towards two potential interfering compounds. The sensor has been demonstrated in a serum-like solution and has a linear response across the therapeutic range of propofol. This sensor represents an important first step in developing an effective means of real-time, point-of-care monitoring of the blood concentration of propofol for general anesthesia patients.</w:t>
      </w:r>
    </w:p>
    <w:p w:rsidR="00BD4879" w:rsidRPr="00BD4879" w:rsidRDefault="00BD4879" w:rsidP="00BD4879">
      <w:pPr>
        <w:pStyle w:val="PARAIndent"/>
        <w:rPr>
          <w:rFonts w:asciiTheme="minorHAnsi" w:hAnsiTheme="minorHAnsi" w:cstheme="minorHAnsi"/>
          <w:sz w:val="22"/>
          <w:szCs w:val="22"/>
        </w:rPr>
      </w:pPr>
    </w:p>
    <w:p w:rsidR="00BD4879" w:rsidRDefault="00BD4879" w:rsidP="00BD4879">
      <w:pPr>
        <w:jc w:val="both"/>
        <w:rPr>
          <w:rFonts w:cstheme="minorHAnsi"/>
        </w:rPr>
      </w:pPr>
      <w:r w:rsidRPr="00BD4879">
        <w:rPr>
          <w:rFonts w:cstheme="minorHAnsi"/>
        </w:rPr>
        <w:t xml:space="preserve">Future work will focus on incorporating the sensor into a suitable analyte recovery system (such as a </w:t>
      </w:r>
      <w:proofErr w:type="spellStart"/>
      <w:r w:rsidRPr="00BD4879">
        <w:rPr>
          <w:rFonts w:cstheme="minorHAnsi"/>
        </w:rPr>
        <w:t>microdialysis</w:t>
      </w:r>
      <w:proofErr w:type="spellEnd"/>
      <w:r w:rsidRPr="00BD4879">
        <w:rPr>
          <w:rFonts w:cstheme="minorHAnsi"/>
        </w:rPr>
        <w:t xml:space="preserve"> system [40]), allowing for continuous, real-time propofol monitoring without the need for drawing blood, and optimizing the sensor for such an application. </w:t>
      </w:r>
      <w:r w:rsidRPr="00BD4879">
        <w:rPr>
          <w:rStyle w:val="PARAIndentChar"/>
          <w:rFonts w:asciiTheme="minorHAnsi" w:eastAsiaTheme="minorHAnsi" w:hAnsiTheme="minorHAnsi" w:cstheme="minorHAnsi"/>
          <w:sz w:val="22"/>
          <w:szCs w:val="22"/>
        </w:rPr>
        <w:t xml:space="preserve">There is considerable scope for improving the detection limit of this approach further still, for instance by </w:t>
      </w:r>
      <w:proofErr w:type="spellStart"/>
      <w:r w:rsidRPr="00BD4879">
        <w:rPr>
          <w:rStyle w:val="PARAIndentChar"/>
          <w:rFonts w:asciiTheme="minorHAnsi" w:eastAsiaTheme="minorHAnsi" w:hAnsiTheme="minorHAnsi" w:cstheme="minorHAnsi"/>
          <w:sz w:val="22"/>
          <w:szCs w:val="22"/>
        </w:rPr>
        <w:t>nanostructuring</w:t>
      </w:r>
      <w:proofErr w:type="spellEnd"/>
      <w:r w:rsidRPr="00BD4879">
        <w:rPr>
          <w:rStyle w:val="PARAIndentChar"/>
          <w:rFonts w:asciiTheme="minorHAnsi" w:eastAsiaTheme="minorHAnsi" w:hAnsiTheme="minorHAnsi" w:cstheme="minorHAnsi"/>
          <w:sz w:val="22"/>
          <w:szCs w:val="22"/>
        </w:rPr>
        <w:t xml:space="preserve"> the electrode surface, switching to micro-scale electrodes or a combination thereof. </w:t>
      </w:r>
      <w:r w:rsidRPr="00BD4879">
        <w:rPr>
          <w:rFonts w:cstheme="minorHAnsi"/>
        </w:rPr>
        <w:t>In addition, the specificity of the sensor in relation to other perioperative drugs will be investigated.</w:t>
      </w:r>
    </w:p>
    <w:p w:rsidR="00BD4879" w:rsidRDefault="00BD4879" w:rsidP="00BD4879">
      <w:pPr>
        <w:jc w:val="both"/>
        <w:rPr>
          <w:rFonts w:cstheme="minorHAnsi"/>
        </w:rPr>
      </w:pPr>
    </w:p>
    <w:p w:rsidR="00BD4879" w:rsidRDefault="00BD4879" w:rsidP="00BD4879">
      <w:pPr>
        <w:pStyle w:val="Heading1"/>
        <w:rPr>
          <w:color w:val="auto"/>
        </w:rPr>
      </w:pPr>
      <w:r w:rsidRPr="00BD4879">
        <w:rPr>
          <w:color w:val="auto"/>
        </w:rPr>
        <w:t>Acknowledgements</w:t>
      </w:r>
    </w:p>
    <w:p w:rsidR="00BD4879" w:rsidRDefault="00BD4879" w:rsidP="00BD4879"/>
    <w:p w:rsidR="00BD4879" w:rsidRDefault="00BD4879" w:rsidP="00BD4879">
      <w:pPr>
        <w:jc w:val="both"/>
      </w:pPr>
      <w:r>
        <w:t xml:space="preserve">The authors would like to thank </w:t>
      </w:r>
      <w:proofErr w:type="spellStart"/>
      <w:r>
        <w:t>Dr.</w:t>
      </w:r>
      <w:proofErr w:type="spellEnd"/>
      <w:r>
        <w:t xml:space="preserve"> Mark O’Connell, </w:t>
      </w:r>
      <w:proofErr w:type="spellStart"/>
      <w:r>
        <w:t>Dr.</w:t>
      </w:r>
      <w:proofErr w:type="spellEnd"/>
      <w:r>
        <w:t xml:space="preserve"> Tim Craft and </w:t>
      </w:r>
      <w:proofErr w:type="spellStart"/>
      <w:r>
        <w:t>Prof.</w:t>
      </w:r>
      <w:proofErr w:type="spellEnd"/>
      <w:r>
        <w:t xml:space="preserve"> John Sear, all of </w:t>
      </w:r>
      <w:proofErr w:type="spellStart"/>
      <w:r>
        <w:t>Somnus</w:t>
      </w:r>
      <w:proofErr w:type="spellEnd"/>
      <w:r>
        <w:t xml:space="preserve"> Scientific Ltd., and </w:t>
      </w:r>
      <w:proofErr w:type="spellStart"/>
      <w:r>
        <w:t>Dr.</w:t>
      </w:r>
      <w:proofErr w:type="spellEnd"/>
      <w:r>
        <w:t xml:space="preserve"> Kevin Honeychurch for their comments and suggestions.</w:t>
      </w:r>
    </w:p>
    <w:p w:rsidR="000E5002" w:rsidRDefault="000E5002" w:rsidP="00BD4879">
      <w:pPr>
        <w:jc w:val="both"/>
      </w:pPr>
    </w:p>
    <w:p w:rsidR="000E5002" w:rsidRPr="000E5002" w:rsidRDefault="000E5002" w:rsidP="000E5002">
      <w:pPr>
        <w:pStyle w:val="Heading1"/>
        <w:rPr>
          <w:color w:val="auto"/>
        </w:rPr>
      </w:pPr>
      <w:r w:rsidRPr="000E5002">
        <w:rPr>
          <w:color w:val="auto"/>
        </w:rPr>
        <w:t>Funding</w:t>
      </w:r>
    </w:p>
    <w:p w:rsidR="000E5002" w:rsidRDefault="000E5002" w:rsidP="00BD4879">
      <w:pPr>
        <w:jc w:val="both"/>
      </w:pPr>
    </w:p>
    <w:p w:rsidR="000E5002" w:rsidRDefault="000E5002" w:rsidP="00BD4879">
      <w:pPr>
        <w:jc w:val="both"/>
      </w:pPr>
      <w:r>
        <w:t>This work was produced as part of an Innovate UK Biomedical Catalyst Award, No. 133875: Real-Time Blood Propofol Monitoring.</w:t>
      </w:r>
    </w:p>
    <w:p w:rsidR="00BD4879" w:rsidRDefault="00BD4879" w:rsidP="00BD4879">
      <w:pPr>
        <w:jc w:val="both"/>
      </w:pPr>
    </w:p>
    <w:p w:rsidR="00BD4879" w:rsidRDefault="00BD4879" w:rsidP="00BD4879">
      <w:pPr>
        <w:pStyle w:val="Heading1"/>
        <w:rPr>
          <w:color w:val="auto"/>
        </w:rPr>
      </w:pPr>
      <w:r w:rsidRPr="00BD4879">
        <w:rPr>
          <w:color w:val="auto"/>
        </w:rPr>
        <w:t>References</w:t>
      </w:r>
    </w:p>
    <w:p w:rsidR="00BD4879" w:rsidRDefault="00BD4879" w:rsidP="00BD4879"/>
    <w:p w:rsidR="00BD4879" w:rsidRPr="00BD4879" w:rsidRDefault="00BD4879" w:rsidP="00BD4879">
      <w:pPr>
        <w:pStyle w:val="References"/>
        <w:tabs>
          <w:tab w:val="clear" w:pos="1170"/>
          <w:tab w:val="num" w:pos="360"/>
        </w:tabs>
        <w:ind w:left="360"/>
        <w:rPr>
          <w:rFonts w:asciiTheme="minorHAnsi" w:hAnsiTheme="minorHAnsi" w:cstheme="minorHAnsi"/>
          <w:sz w:val="18"/>
          <w:szCs w:val="18"/>
        </w:rPr>
      </w:pPr>
      <w:r w:rsidRPr="00BD4879">
        <w:rPr>
          <w:rFonts w:asciiTheme="minorHAnsi" w:hAnsiTheme="minorHAnsi" w:cstheme="minorHAnsi"/>
          <w:sz w:val="18"/>
          <w:szCs w:val="18"/>
        </w:rPr>
        <w:t xml:space="preserve">F. </w:t>
      </w:r>
      <w:proofErr w:type="spellStart"/>
      <w:r w:rsidRPr="00BD4879">
        <w:rPr>
          <w:rFonts w:asciiTheme="minorHAnsi" w:hAnsiTheme="minorHAnsi" w:cstheme="minorHAnsi"/>
          <w:sz w:val="18"/>
          <w:szCs w:val="18"/>
        </w:rPr>
        <w:t>Kivlehan</w:t>
      </w:r>
      <w:proofErr w:type="spellEnd"/>
      <w:r w:rsidRPr="00BD4879">
        <w:rPr>
          <w:rFonts w:asciiTheme="minorHAnsi" w:hAnsiTheme="minorHAnsi" w:cstheme="minorHAnsi"/>
          <w:sz w:val="18"/>
          <w:szCs w:val="18"/>
        </w:rPr>
        <w:t xml:space="preserve">, E. </w:t>
      </w:r>
      <w:proofErr w:type="spellStart"/>
      <w:r w:rsidRPr="00BD4879">
        <w:rPr>
          <w:rFonts w:asciiTheme="minorHAnsi" w:hAnsiTheme="minorHAnsi" w:cstheme="minorHAnsi"/>
          <w:sz w:val="18"/>
          <w:szCs w:val="18"/>
        </w:rPr>
        <w:t>Chaum</w:t>
      </w:r>
      <w:proofErr w:type="spellEnd"/>
      <w:r w:rsidRPr="00BD4879">
        <w:rPr>
          <w:rFonts w:asciiTheme="minorHAnsi" w:hAnsiTheme="minorHAnsi" w:cstheme="minorHAnsi"/>
          <w:sz w:val="18"/>
          <w:szCs w:val="18"/>
        </w:rPr>
        <w:t xml:space="preserve">, E. Lindner, “Propofol detection and quantification in human blood: the promise of feedback controlled, closed-loop anesthesia,” </w:t>
      </w:r>
      <w:r w:rsidRPr="00BD4879">
        <w:rPr>
          <w:rFonts w:asciiTheme="minorHAnsi" w:hAnsiTheme="minorHAnsi" w:cstheme="minorHAnsi"/>
          <w:i/>
          <w:sz w:val="18"/>
          <w:szCs w:val="18"/>
        </w:rPr>
        <w:t>Analyst</w:t>
      </w:r>
      <w:r w:rsidRPr="00BD4879">
        <w:rPr>
          <w:rFonts w:asciiTheme="minorHAnsi" w:hAnsiTheme="minorHAnsi" w:cstheme="minorHAnsi"/>
          <w:sz w:val="18"/>
          <w:szCs w:val="18"/>
        </w:rPr>
        <w:t xml:space="preserve">, vol. 140, pp. 98–106, 2015, </w:t>
      </w:r>
      <w:r w:rsidRPr="00BD4879">
        <w:rPr>
          <w:rFonts w:asciiTheme="minorHAnsi" w:hAnsiTheme="minorHAnsi" w:cstheme="minorHAnsi"/>
          <w:bCs/>
          <w:sz w:val="18"/>
          <w:szCs w:val="18"/>
        </w:rPr>
        <w:t>10.1039/C4AN01483A</w:t>
      </w:r>
      <w:r w:rsidRPr="00BD4879">
        <w:rPr>
          <w:rFonts w:asciiTheme="minorHAnsi" w:hAnsiTheme="minorHAnsi" w:cstheme="minorHAnsi"/>
          <w:sz w:val="18"/>
          <w:szCs w:val="18"/>
        </w:rPr>
        <w:t>.</w:t>
      </w:r>
    </w:p>
    <w:p w:rsidR="00BD4879" w:rsidRPr="00BD4879" w:rsidRDefault="00BD4879" w:rsidP="00BD4879">
      <w:pPr>
        <w:pStyle w:val="References"/>
        <w:tabs>
          <w:tab w:val="clear" w:pos="1170"/>
          <w:tab w:val="num" w:pos="360"/>
        </w:tabs>
        <w:ind w:left="360"/>
        <w:rPr>
          <w:rFonts w:asciiTheme="minorHAnsi" w:hAnsiTheme="minorHAnsi" w:cstheme="minorHAnsi"/>
          <w:sz w:val="18"/>
          <w:szCs w:val="18"/>
        </w:rPr>
      </w:pPr>
      <w:r w:rsidRPr="00BD4879">
        <w:rPr>
          <w:rFonts w:asciiTheme="minorHAnsi" w:hAnsiTheme="minorHAnsi" w:cstheme="minorHAnsi"/>
          <w:sz w:val="18"/>
          <w:szCs w:val="18"/>
        </w:rPr>
        <w:t xml:space="preserve">M. M. </w:t>
      </w:r>
      <w:proofErr w:type="spellStart"/>
      <w:r w:rsidRPr="00BD4879">
        <w:rPr>
          <w:rFonts w:asciiTheme="minorHAnsi" w:hAnsiTheme="minorHAnsi" w:cstheme="minorHAnsi"/>
          <w:sz w:val="18"/>
          <w:szCs w:val="18"/>
        </w:rPr>
        <w:t>Sahinovic</w:t>
      </w:r>
      <w:proofErr w:type="spellEnd"/>
      <w:r w:rsidRPr="00BD4879">
        <w:rPr>
          <w:rFonts w:asciiTheme="minorHAnsi" w:hAnsiTheme="minorHAnsi" w:cstheme="minorHAnsi"/>
          <w:sz w:val="18"/>
          <w:szCs w:val="18"/>
        </w:rPr>
        <w:t xml:space="preserve">, M. M. R. F. </w:t>
      </w:r>
      <w:proofErr w:type="spellStart"/>
      <w:r w:rsidRPr="00BD4879">
        <w:rPr>
          <w:rFonts w:asciiTheme="minorHAnsi" w:hAnsiTheme="minorHAnsi" w:cstheme="minorHAnsi"/>
          <w:sz w:val="18"/>
          <w:szCs w:val="18"/>
        </w:rPr>
        <w:t>Struys</w:t>
      </w:r>
      <w:proofErr w:type="spellEnd"/>
      <w:r w:rsidRPr="00BD4879">
        <w:rPr>
          <w:rFonts w:asciiTheme="minorHAnsi" w:hAnsiTheme="minorHAnsi" w:cstheme="minorHAnsi"/>
          <w:sz w:val="18"/>
          <w:szCs w:val="18"/>
        </w:rPr>
        <w:t xml:space="preserve">, A. R. Absalom, “Clinical pharmacokinetics and pharmacodynamics of propofol,” </w:t>
      </w:r>
      <w:proofErr w:type="spellStart"/>
      <w:r w:rsidRPr="00BD4879">
        <w:rPr>
          <w:rFonts w:asciiTheme="minorHAnsi" w:hAnsiTheme="minorHAnsi" w:cstheme="minorHAnsi"/>
          <w:sz w:val="18"/>
          <w:szCs w:val="18"/>
        </w:rPr>
        <w:t>Clin</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Pharmacokinet</w:t>
      </w:r>
      <w:proofErr w:type="spellEnd"/>
      <w:r w:rsidRPr="00BD4879">
        <w:rPr>
          <w:rFonts w:asciiTheme="minorHAnsi" w:hAnsiTheme="minorHAnsi" w:cstheme="minorHAnsi"/>
          <w:sz w:val="18"/>
          <w:szCs w:val="18"/>
        </w:rPr>
        <w:t>., vol. 57, pp. 1539–1558, Jul., 2018, DOI. 10.1007/s40262-018-0672-3.</w:t>
      </w:r>
    </w:p>
    <w:p w:rsidR="00BD4879" w:rsidRPr="00BD4879" w:rsidRDefault="00BD4879" w:rsidP="00BD4879">
      <w:pPr>
        <w:pStyle w:val="References"/>
        <w:tabs>
          <w:tab w:val="clear" w:pos="1170"/>
          <w:tab w:val="num" w:pos="360"/>
        </w:tabs>
        <w:ind w:left="360"/>
        <w:rPr>
          <w:rFonts w:asciiTheme="minorHAnsi" w:hAnsiTheme="minorHAnsi" w:cstheme="minorHAnsi"/>
          <w:sz w:val="18"/>
          <w:szCs w:val="18"/>
        </w:rPr>
      </w:pPr>
      <w:r w:rsidRPr="00BD4879">
        <w:rPr>
          <w:rFonts w:asciiTheme="minorHAnsi" w:hAnsiTheme="minorHAnsi" w:cstheme="minorHAnsi"/>
          <w:sz w:val="18"/>
          <w:szCs w:val="18"/>
        </w:rPr>
        <w:t xml:space="preserve">T. </w:t>
      </w:r>
      <w:r w:rsidRPr="00BD4879">
        <w:rPr>
          <w:rFonts w:asciiTheme="minorHAnsi" w:hAnsiTheme="minorHAnsi" w:cstheme="minorHAnsi"/>
          <w:noProof/>
          <w:sz w:val="18"/>
          <w:szCs w:val="18"/>
        </w:rPr>
        <w:t xml:space="preserve">Laurila, T. Sorvajarvi, J. Saarela, J. Toivonen, D. W. Wheeler, L. Ciaffoni, G. A. D. Ritchie, C. F. Kaminski, “Optical detection of the anesthetic agent propofol in the gas phase,” Anal. Chem., vol. 83, no. 10, pp. 3963-3967, May, 2011, </w:t>
      </w:r>
      <w:r w:rsidRPr="00BD4879">
        <w:rPr>
          <w:rFonts w:asciiTheme="minorHAnsi" w:hAnsiTheme="minorHAnsi" w:cstheme="minorHAnsi"/>
          <w:sz w:val="18"/>
          <w:szCs w:val="18"/>
        </w:rPr>
        <w:t>DOI. 10.1021/ac200690f.</w:t>
      </w:r>
    </w:p>
    <w:p w:rsidR="00BD4879" w:rsidRPr="00BD4879" w:rsidRDefault="00BD4879" w:rsidP="00BD4879">
      <w:pPr>
        <w:pStyle w:val="References"/>
        <w:tabs>
          <w:tab w:val="clear" w:pos="1170"/>
          <w:tab w:val="num" w:pos="360"/>
        </w:tabs>
        <w:ind w:left="360"/>
        <w:rPr>
          <w:rFonts w:asciiTheme="minorHAnsi" w:hAnsiTheme="minorHAnsi" w:cstheme="minorHAnsi"/>
          <w:sz w:val="18"/>
          <w:szCs w:val="18"/>
        </w:rPr>
      </w:pPr>
      <w:r w:rsidRPr="00BD4879">
        <w:rPr>
          <w:rFonts w:asciiTheme="minorHAnsi" w:hAnsiTheme="minorHAnsi" w:cstheme="minorHAnsi"/>
          <w:sz w:val="18"/>
          <w:szCs w:val="18"/>
        </w:rPr>
        <w:t xml:space="preserve">T. J. </w:t>
      </w:r>
      <w:r w:rsidRPr="00BD4879">
        <w:rPr>
          <w:rFonts w:asciiTheme="minorHAnsi" w:hAnsiTheme="minorHAnsi" w:cstheme="minorHAnsi"/>
          <w:noProof/>
          <w:sz w:val="18"/>
          <w:szCs w:val="18"/>
        </w:rPr>
        <w:t xml:space="preserve">Wigmore, K. Mohammed, S. Jhanji, “Long-term survival for patients undergoing volatile versus IV anesthesia for cancer surgery,” </w:t>
      </w:r>
      <w:proofErr w:type="spellStart"/>
      <w:r w:rsidRPr="00BD4879">
        <w:rPr>
          <w:rFonts w:asciiTheme="minorHAnsi" w:hAnsiTheme="minorHAnsi" w:cstheme="minorHAnsi"/>
          <w:sz w:val="18"/>
          <w:szCs w:val="18"/>
        </w:rPr>
        <w:t>Anesthesiol</w:t>
      </w:r>
      <w:proofErr w:type="spellEnd"/>
      <w:r w:rsidRPr="00BD4879">
        <w:rPr>
          <w:rFonts w:asciiTheme="minorHAnsi" w:hAnsiTheme="minorHAnsi" w:cstheme="minorHAnsi"/>
          <w:sz w:val="18"/>
          <w:szCs w:val="18"/>
        </w:rPr>
        <w:t>., vol. 124, no. 1, pp. 69-79, Jan., 2016, DOI. 10.1097/ALN.0000000000000936.</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M. Campbell, M. T. Pierce, “Atmospheric science, </w:t>
      </w:r>
      <w:proofErr w:type="spellStart"/>
      <w:r w:rsidRPr="00BD4879">
        <w:rPr>
          <w:rFonts w:asciiTheme="minorHAnsi" w:hAnsiTheme="minorHAnsi" w:cstheme="minorHAnsi"/>
          <w:sz w:val="18"/>
          <w:szCs w:val="18"/>
        </w:rPr>
        <w:t>anaesthesia</w:t>
      </w:r>
      <w:proofErr w:type="spellEnd"/>
      <w:r w:rsidRPr="00BD4879">
        <w:rPr>
          <w:rFonts w:asciiTheme="minorHAnsi" w:hAnsiTheme="minorHAnsi" w:cstheme="minorHAnsi"/>
          <w:sz w:val="18"/>
          <w:szCs w:val="18"/>
        </w:rPr>
        <w:t xml:space="preserve"> and the environment,” BJU Edu., vol. 15, no. 4, pp. 173-179, Oct., 2015, DOI. </w:t>
      </w:r>
      <w:r w:rsidRPr="00BD4879">
        <w:rPr>
          <w:rFonts w:asciiTheme="minorHAnsi" w:hAnsiTheme="minorHAnsi" w:cstheme="minorHAnsi"/>
          <w:sz w:val="18"/>
          <w:szCs w:val="18"/>
          <w:bdr w:val="none" w:sz="0" w:space="0" w:color="auto" w:frame="1"/>
        </w:rPr>
        <w:t>10.1093/</w:t>
      </w:r>
      <w:proofErr w:type="spellStart"/>
      <w:r w:rsidRPr="00BD4879">
        <w:rPr>
          <w:rFonts w:asciiTheme="minorHAnsi" w:hAnsiTheme="minorHAnsi" w:cstheme="minorHAnsi"/>
          <w:sz w:val="18"/>
          <w:szCs w:val="18"/>
          <w:bdr w:val="none" w:sz="0" w:space="0" w:color="auto" w:frame="1"/>
        </w:rPr>
        <w:t>bjaceaccp</w:t>
      </w:r>
      <w:proofErr w:type="spellEnd"/>
      <w:r w:rsidRPr="00BD4879">
        <w:rPr>
          <w:rFonts w:asciiTheme="minorHAnsi" w:hAnsiTheme="minorHAnsi" w:cstheme="minorHAnsi"/>
          <w:sz w:val="18"/>
          <w:szCs w:val="18"/>
          <w:bdr w:val="none" w:sz="0" w:space="0" w:color="auto" w:frame="1"/>
        </w:rPr>
        <w:t>/mku033.</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lastRenderedPageBreak/>
        <w:t xml:space="preserve">M. K. </w:t>
      </w:r>
      <w:r w:rsidRPr="00BD4879">
        <w:rPr>
          <w:rFonts w:asciiTheme="minorHAnsi" w:hAnsiTheme="minorHAnsi" w:cstheme="minorHAnsi"/>
          <w:noProof/>
          <w:sz w:val="18"/>
          <w:szCs w:val="18"/>
        </w:rPr>
        <w:t xml:space="preserve">Vollmer, T. S. Rhee, M. Rigby, D. Hifstetter, M. Hill, F. Schoenenberger, S. Reimann, “Modern inhalation anesthetics: Potent greenhouse gases in the global atmosphere,” Geophys. Res. Lett., vol. 42, no. 5, pp. 1606-1611, Mar., 2015, </w:t>
      </w:r>
      <w:r w:rsidRPr="00BD4879">
        <w:rPr>
          <w:rFonts w:asciiTheme="minorHAnsi" w:hAnsiTheme="minorHAnsi" w:cstheme="minorHAnsi"/>
          <w:sz w:val="18"/>
          <w:szCs w:val="18"/>
        </w:rPr>
        <w:t xml:space="preserve">DOI. </w:t>
      </w:r>
      <w:r w:rsidRPr="00BD4879">
        <w:rPr>
          <w:rFonts w:asciiTheme="minorHAnsi" w:hAnsiTheme="minorHAnsi" w:cstheme="minorHAnsi"/>
          <w:bCs/>
          <w:sz w:val="18"/>
          <w:szCs w:val="18"/>
        </w:rPr>
        <w:t>10.1002/2014GL062785.</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C. </w:t>
      </w:r>
      <w:proofErr w:type="spellStart"/>
      <w:r w:rsidRPr="00BD4879">
        <w:rPr>
          <w:rFonts w:asciiTheme="minorHAnsi" w:hAnsiTheme="minorHAnsi" w:cstheme="minorHAnsi"/>
          <w:sz w:val="18"/>
          <w:szCs w:val="18"/>
        </w:rPr>
        <w:t>Hornuss</w:t>
      </w:r>
      <w:proofErr w:type="spellEnd"/>
      <w:r w:rsidRPr="00BD4879">
        <w:rPr>
          <w:rFonts w:asciiTheme="minorHAnsi" w:hAnsiTheme="minorHAnsi" w:cstheme="minorHAnsi"/>
          <w:sz w:val="18"/>
          <w:szCs w:val="18"/>
        </w:rPr>
        <w:t xml:space="preserve">, S. </w:t>
      </w:r>
      <w:proofErr w:type="spellStart"/>
      <w:r w:rsidRPr="00BD4879">
        <w:rPr>
          <w:rFonts w:asciiTheme="minorHAnsi" w:hAnsiTheme="minorHAnsi" w:cstheme="minorHAnsi"/>
          <w:sz w:val="18"/>
          <w:szCs w:val="18"/>
        </w:rPr>
        <w:t>Praun</w:t>
      </w:r>
      <w:proofErr w:type="spellEnd"/>
      <w:r w:rsidRPr="00BD4879">
        <w:rPr>
          <w:rFonts w:asciiTheme="minorHAnsi" w:hAnsiTheme="minorHAnsi" w:cstheme="minorHAnsi"/>
          <w:sz w:val="18"/>
          <w:szCs w:val="18"/>
        </w:rPr>
        <w:t xml:space="preserve">, J. </w:t>
      </w:r>
      <w:proofErr w:type="spellStart"/>
      <w:r w:rsidRPr="00BD4879">
        <w:rPr>
          <w:rFonts w:asciiTheme="minorHAnsi" w:hAnsiTheme="minorHAnsi" w:cstheme="minorHAnsi"/>
          <w:sz w:val="18"/>
          <w:szCs w:val="18"/>
        </w:rPr>
        <w:t>Villigner</w:t>
      </w:r>
      <w:proofErr w:type="spellEnd"/>
      <w:r w:rsidRPr="00BD4879">
        <w:rPr>
          <w:rFonts w:asciiTheme="minorHAnsi" w:hAnsiTheme="minorHAnsi" w:cstheme="minorHAnsi"/>
          <w:sz w:val="18"/>
          <w:szCs w:val="18"/>
        </w:rPr>
        <w:t xml:space="preserve">, A. </w:t>
      </w:r>
      <w:proofErr w:type="spellStart"/>
      <w:r w:rsidRPr="00BD4879">
        <w:rPr>
          <w:rFonts w:asciiTheme="minorHAnsi" w:hAnsiTheme="minorHAnsi" w:cstheme="minorHAnsi"/>
          <w:sz w:val="18"/>
          <w:szCs w:val="18"/>
        </w:rPr>
        <w:t>Dornauer</w:t>
      </w:r>
      <w:proofErr w:type="spellEnd"/>
      <w:r w:rsidRPr="00BD4879">
        <w:rPr>
          <w:rFonts w:asciiTheme="minorHAnsi" w:hAnsiTheme="minorHAnsi" w:cstheme="minorHAnsi"/>
          <w:sz w:val="18"/>
          <w:szCs w:val="18"/>
        </w:rPr>
        <w:t xml:space="preserve">, P. </w:t>
      </w:r>
      <w:proofErr w:type="spellStart"/>
      <w:r w:rsidRPr="00BD4879">
        <w:rPr>
          <w:rFonts w:asciiTheme="minorHAnsi" w:hAnsiTheme="minorHAnsi" w:cstheme="minorHAnsi"/>
          <w:sz w:val="18"/>
          <w:szCs w:val="18"/>
        </w:rPr>
        <w:t>Moehnle</w:t>
      </w:r>
      <w:proofErr w:type="spellEnd"/>
      <w:r w:rsidRPr="00BD4879">
        <w:rPr>
          <w:rFonts w:asciiTheme="minorHAnsi" w:hAnsiTheme="minorHAnsi" w:cstheme="minorHAnsi"/>
          <w:sz w:val="18"/>
          <w:szCs w:val="18"/>
        </w:rPr>
        <w:t xml:space="preserve">, M. </w:t>
      </w:r>
      <w:proofErr w:type="spellStart"/>
      <w:r w:rsidRPr="00BD4879">
        <w:rPr>
          <w:rFonts w:asciiTheme="minorHAnsi" w:hAnsiTheme="minorHAnsi" w:cstheme="minorHAnsi"/>
          <w:sz w:val="18"/>
          <w:szCs w:val="18"/>
        </w:rPr>
        <w:t>Dolch</w:t>
      </w:r>
      <w:proofErr w:type="spellEnd"/>
      <w:r w:rsidRPr="00BD4879">
        <w:rPr>
          <w:rFonts w:asciiTheme="minorHAnsi" w:hAnsiTheme="minorHAnsi" w:cstheme="minorHAnsi"/>
          <w:sz w:val="18"/>
          <w:szCs w:val="18"/>
        </w:rPr>
        <w:t xml:space="preserve">, E. </w:t>
      </w:r>
      <w:proofErr w:type="spellStart"/>
      <w:r w:rsidRPr="00BD4879">
        <w:rPr>
          <w:rFonts w:asciiTheme="minorHAnsi" w:hAnsiTheme="minorHAnsi" w:cstheme="minorHAnsi"/>
          <w:sz w:val="18"/>
          <w:szCs w:val="18"/>
        </w:rPr>
        <w:t>Weninger</w:t>
      </w:r>
      <w:proofErr w:type="spellEnd"/>
      <w:r w:rsidRPr="00BD4879">
        <w:rPr>
          <w:rFonts w:asciiTheme="minorHAnsi" w:hAnsiTheme="minorHAnsi" w:cstheme="minorHAnsi"/>
          <w:sz w:val="18"/>
          <w:szCs w:val="18"/>
        </w:rPr>
        <w:t xml:space="preserve">, A. </w:t>
      </w:r>
      <w:proofErr w:type="spellStart"/>
      <w:r w:rsidRPr="00BD4879">
        <w:rPr>
          <w:rFonts w:asciiTheme="minorHAnsi" w:hAnsiTheme="minorHAnsi" w:cstheme="minorHAnsi"/>
          <w:sz w:val="18"/>
          <w:szCs w:val="18"/>
        </w:rPr>
        <w:t>Chouker</w:t>
      </w:r>
      <w:proofErr w:type="spellEnd"/>
      <w:r w:rsidRPr="00BD4879">
        <w:rPr>
          <w:rFonts w:asciiTheme="minorHAnsi" w:hAnsiTheme="minorHAnsi" w:cstheme="minorHAnsi"/>
          <w:sz w:val="18"/>
          <w:szCs w:val="18"/>
        </w:rPr>
        <w:t xml:space="preserve">, C. </w:t>
      </w:r>
      <w:proofErr w:type="spellStart"/>
      <w:r w:rsidRPr="00BD4879">
        <w:rPr>
          <w:rFonts w:asciiTheme="minorHAnsi" w:hAnsiTheme="minorHAnsi" w:cstheme="minorHAnsi"/>
          <w:sz w:val="18"/>
          <w:szCs w:val="18"/>
        </w:rPr>
        <w:t>Feil</w:t>
      </w:r>
      <w:proofErr w:type="spellEnd"/>
      <w:r w:rsidRPr="00BD4879">
        <w:rPr>
          <w:rFonts w:asciiTheme="minorHAnsi" w:hAnsiTheme="minorHAnsi" w:cstheme="minorHAnsi"/>
          <w:sz w:val="18"/>
          <w:szCs w:val="18"/>
        </w:rPr>
        <w:t xml:space="preserve">, J. </w:t>
      </w:r>
      <w:proofErr w:type="spellStart"/>
      <w:r w:rsidRPr="00BD4879">
        <w:rPr>
          <w:rFonts w:asciiTheme="minorHAnsi" w:hAnsiTheme="minorHAnsi" w:cstheme="minorHAnsi"/>
          <w:sz w:val="18"/>
          <w:szCs w:val="18"/>
        </w:rPr>
        <w:t>Briegel</w:t>
      </w:r>
      <w:proofErr w:type="spellEnd"/>
      <w:r w:rsidRPr="00BD4879">
        <w:rPr>
          <w:rFonts w:asciiTheme="minorHAnsi" w:hAnsiTheme="minorHAnsi" w:cstheme="minorHAnsi"/>
          <w:sz w:val="18"/>
          <w:szCs w:val="18"/>
        </w:rPr>
        <w:t xml:space="preserve">, M. Thiel, G. Schelling, “Real-time monitoring of propofol in expired air in humans undergoing total intravenous anesthesia,” </w:t>
      </w:r>
      <w:proofErr w:type="spellStart"/>
      <w:r w:rsidRPr="00BD4879">
        <w:rPr>
          <w:rFonts w:asciiTheme="minorHAnsi" w:hAnsiTheme="minorHAnsi" w:cstheme="minorHAnsi"/>
          <w:sz w:val="18"/>
          <w:szCs w:val="18"/>
        </w:rPr>
        <w:t>Anesthesiol</w:t>
      </w:r>
      <w:proofErr w:type="spellEnd"/>
      <w:r w:rsidRPr="00BD4879">
        <w:rPr>
          <w:rFonts w:asciiTheme="minorHAnsi" w:hAnsiTheme="minorHAnsi" w:cstheme="minorHAnsi"/>
          <w:sz w:val="18"/>
          <w:szCs w:val="18"/>
        </w:rPr>
        <w:t>., vol. 106, no. 4, pp. 665-674, Jan., 2007, DOI. 10.1097/01.anes.</w:t>
      </w:r>
      <w:proofErr w:type="gramStart"/>
      <w:r w:rsidRPr="00BD4879">
        <w:rPr>
          <w:rFonts w:asciiTheme="minorHAnsi" w:hAnsiTheme="minorHAnsi" w:cstheme="minorHAnsi"/>
          <w:sz w:val="18"/>
          <w:szCs w:val="18"/>
        </w:rPr>
        <w:t>0000264746.01393.e</w:t>
      </w:r>
      <w:proofErr w:type="gramEnd"/>
      <w:r w:rsidRPr="00BD4879">
        <w:rPr>
          <w:rFonts w:asciiTheme="minorHAnsi" w:hAnsiTheme="minorHAnsi" w:cstheme="minorHAnsi"/>
          <w:sz w:val="18"/>
          <w:szCs w:val="18"/>
        </w:rPr>
        <w:t>0.</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F. Zhang, H. Dong, X. Zhang, J. </w:t>
      </w:r>
      <w:proofErr w:type="spellStart"/>
      <w:r w:rsidRPr="00BD4879">
        <w:rPr>
          <w:rFonts w:asciiTheme="minorHAnsi" w:hAnsiTheme="minorHAnsi" w:cstheme="minorHAnsi"/>
          <w:sz w:val="18"/>
          <w:szCs w:val="18"/>
        </w:rPr>
        <w:t>Guo</w:t>
      </w:r>
      <w:proofErr w:type="spellEnd"/>
      <w:r w:rsidRPr="00BD4879">
        <w:rPr>
          <w:rFonts w:asciiTheme="minorHAnsi" w:hAnsiTheme="minorHAnsi" w:cstheme="minorHAnsi"/>
          <w:sz w:val="18"/>
          <w:szCs w:val="18"/>
        </w:rPr>
        <w:t>, Y. Liu, C. Zhou, X. Zhang, J. Liu, M. Yan, X. Chen, “A non-invasive monitoring of propofol concentration in blood by a virtual surface acoustic wave sensor array,” Anal. Sci., vol. 33, no. 11, pp. 1271-1277, Nov., 2017, DOI. 10.2116/analsci.33.1271.</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F. </w:t>
      </w:r>
      <w:r w:rsidRPr="00BD4879">
        <w:rPr>
          <w:rFonts w:asciiTheme="minorHAnsi" w:hAnsiTheme="minorHAnsi" w:cstheme="minorHAnsi"/>
          <w:noProof/>
          <w:sz w:val="18"/>
          <w:szCs w:val="18"/>
        </w:rPr>
        <w:t xml:space="preserve">Vaiano, G. Serpelloni, M. Focardi, A. Fioravanti, F. Mari, E. Bertol, “LC-MS/MS and GC-MS methods in propofol detection: Evaluation of the two analytical procedures,” Forensic Sci. Int., vol. 256, pp. 1-6, Nov., 2015, </w:t>
      </w:r>
      <w:r w:rsidRPr="00BD4879">
        <w:rPr>
          <w:rFonts w:asciiTheme="minorHAnsi" w:hAnsiTheme="minorHAnsi" w:cstheme="minorHAnsi"/>
          <w:sz w:val="18"/>
          <w:szCs w:val="18"/>
        </w:rPr>
        <w:t>DOI. 10.1016/j.forsciint.2015.07.013.</w:t>
      </w:r>
    </w:p>
    <w:p w:rsidR="00BD4879" w:rsidRPr="00BD4879" w:rsidRDefault="00BD4879" w:rsidP="00BD4879">
      <w:pPr>
        <w:pStyle w:val="References"/>
        <w:tabs>
          <w:tab w:val="clear" w:pos="1170"/>
          <w:tab w:val="num" w:pos="360"/>
        </w:tabs>
        <w:ind w:left="360"/>
        <w:jc w:val="left"/>
        <w:rPr>
          <w:rStyle w:val="identifier"/>
          <w:rFonts w:asciiTheme="minorHAnsi" w:hAnsiTheme="minorHAnsi" w:cstheme="minorHAnsi"/>
          <w:sz w:val="18"/>
          <w:szCs w:val="18"/>
        </w:rPr>
      </w:pPr>
      <w:r w:rsidRPr="00BD4879">
        <w:rPr>
          <w:rFonts w:asciiTheme="minorHAnsi" w:hAnsiTheme="minorHAnsi" w:cstheme="minorHAnsi"/>
          <w:noProof/>
          <w:sz w:val="18"/>
          <w:szCs w:val="18"/>
        </w:rPr>
        <w:t xml:space="preserve">B. </w:t>
      </w:r>
      <w:r w:rsidRPr="00BD4879">
        <w:rPr>
          <w:rFonts w:asciiTheme="minorHAnsi" w:hAnsiTheme="minorHAnsi" w:cstheme="minorHAnsi"/>
          <w:sz w:val="18"/>
          <w:szCs w:val="18"/>
        </w:rPr>
        <w:t xml:space="preserve">Liu, D. M. Pettigrew, S. Bates, P. G. </w:t>
      </w:r>
      <w:proofErr w:type="spellStart"/>
      <w:r w:rsidRPr="00BD4879">
        <w:rPr>
          <w:rFonts w:asciiTheme="minorHAnsi" w:hAnsiTheme="minorHAnsi" w:cstheme="minorHAnsi"/>
          <w:sz w:val="18"/>
          <w:szCs w:val="18"/>
        </w:rPr>
        <w:t>Laitenberger</w:t>
      </w:r>
      <w:proofErr w:type="spellEnd"/>
      <w:r w:rsidRPr="00BD4879">
        <w:rPr>
          <w:rFonts w:asciiTheme="minorHAnsi" w:hAnsiTheme="minorHAnsi" w:cstheme="minorHAnsi"/>
          <w:sz w:val="18"/>
          <w:szCs w:val="18"/>
        </w:rPr>
        <w:t xml:space="preserve">, G. Troughton, “Performance evaluation of a whole blood propofol </w:t>
      </w:r>
      <w:proofErr w:type="spellStart"/>
      <w:r w:rsidRPr="00BD4879">
        <w:rPr>
          <w:rFonts w:asciiTheme="minorHAnsi" w:hAnsiTheme="minorHAnsi" w:cstheme="minorHAnsi"/>
          <w:sz w:val="18"/>
          <w:szCs w:val="18"/>
        </w:rPr>
        <w:t>analyser</w:t>
      </w:r>
      <w:proofErr w:type="spellEnd"/>
      <w:r w:rsidRPr="00BD4879">
        <w:rPr>
          <w:rFonts w:asciiTheme="minorHAnsi" w:hAnsiTheme="minorHAnsi" w:cstheme="minorHAnsi"/>
          <w:sz w:val="18"/>
          <w:szCs w:val="18"/>
        </w:rPr>
        <w:t xml:space="preserve">,” J. </w:t>
      </w:r>
      <w:proofErr w:type="spellStart"/>
      <w:r w:rsidRPr="00BD4879">
        <w:rPr>
          <w:rFonts w:asciiTheme="minorHAnsi" w:hAnsiTheme="minorHAnsi" w:cstheme="minorHAnsi"/>
          <w:sz w:val="18"/>
          <w:szCs w:val="18"/>
        </w:rPr>
        <w:t>Clin</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Monit</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Comput</w:t>
      </w:r>
      <w:proofErr w:type="spellEnd"/>
      <w:r w:rsidRPr="00BD4879">
        <w:rPr>
          <w:rFonts w:asciiTheme="minorHAnsi" w:hAnsiTheme="minorHAnsi" w:cstheme="minorHAnsi"/>
          <w:sz w:val="18"/>
          <w:szCs w:val="18"/>
        </w:rPr>
        <w:t xml:space="preserve">., vol. 26, pp. 29-36, Jan., 2012, DOI. </w:t>
      </w:r>
      <w:r w:rsidRPr="00BD4879">
        <w:rPr>
          <w:rStyle w:val="identifier"/>
          <w:rFonts w:asciiTheme="minorHAnsi" w:hAnsiTheme="minorHAnsi" w:cstheme="minorHAnsi"/>
          <w:color w:val="212121"/>
          <w:sz w:val="18"/>
          <w:szCs w:val="18"/>
        </w:rPr>
        <w:t>10.1007/s10877-011-9330-0.</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 xml:space="preserve">J. </w:t>
      </w:r>
      <w:proofErr w:type="spellStart"/>
      <w:r w:rsidRPr="00BD4879">
        <w:rPr>
          <w:rFonts w:asciiTheme="minorHAnsi" w:hAnsiTheme="minorHAnsi" w:cstheme="minorHAnsi"/>
          <w:sz w:val="18"/>
          <w:szCs w:val="18"/>
        </w:rPr>
        <w:t>Diao</w:t>
      </w:r>
      <w:proofErr w:type="spellEnd"/>
      <w:r w:rsidRPr="00BD4879">
        <w:rPr>
          <w:rFonts w:asciiTheme="minorHAnsi" w:hAnsiTheme="minorHAnsi" w:cstheme="minorHAnsi"/>
          <w:sz w:val="18"/>
          <w:szCs w:val="18"/>
        </w:rPr>
        <w:t xml:space="preserve">, T. Wang, L. Li, “Graphene quantum dots as </w:t>
      </w:r>
      <w:proofErr w:type="spellStart"/>
      <w:r w:rsidRPr="00BD4879">
        <w:rPr>
          <w:rFonts w:asciiTheme="minorHAnsi" w:hAnsiTheme="minorHAnsi" w:cstheme="minorHAnsi"/>
          <w:sz w:val="18"/>
          <w:szCs w:val="18"/>
        </w:rPr>
        <w:t>nanoprobes</w:t>
      </w:r>
      <w:proofErr w:type="spellEnd"/>
      <w:r w:rsidRPr="00BD4879">
        <w:rPr>
          <w:rFonts w:asciiTheme="minorHAnsi" w:hAnsiTheme="minorHAnsi" w:cstheme="minorHAnsi"/>
          <w:sz w:val="18"/>
          <w:szCs w:val="18"/>
        </w:rPr>
        <w:t xml:space="preserve"> for fluorescent detection of propofol in emulsions,” Royal Soc. Open Sci., vol. 6, no. 1, p. 181753, Jan., 2019, DOI. 10.1098/rsos.181753.</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M. Ferreira, H. Varela, R. M. </w:t>
      </w:r>
      <w:proofErr w:type="spellStart"/>
      <w:r w:rsidRPr="00BD4879">
        <w:rPr>
          <w:rFonts w:asciiTheme="minorHAnsi" w:hAnsiTheme="minorHAnsi" w:cstheme="minorHAnsi"/>
          <w:sz w:val="18"/>
          <w:szCs w:val="18"/>
        </w:rPr>
        <w:t>Torresi</w:t>
      </w:r>
      <w:proofErr w:type="spellEnd"/>
      <w:r w:rsidRPr="00BD4879">
        <w:rPr>
          <w:rFonts w:asciiTheme="minorHAnsi" w:hAnsiTheme="minorHAnsi" w:cstheme="minorHAnsi"/>
          <w:sz w:val="18"/>
          <w:szCs w:val="18"/>
        </w:rPr>
        <w:t xml:space="preserve">, G. </w:t>
      </w:r>
      <w:proofErr w:type="spellStart"/>
      <w:r w:rsidRPr="00BD4879">
        <w:rPr>
          <w:rFonts w:asciiTheme="minorHAnsi" w:hAnsiTheme="minorHAnsi" w:cstheme="minorHAnsi"/>
          <w:sz w:val="18"/>
          <w:szCs w:val="18"/>
        </w:rPr>
        <w:t>Treiliosi-Filho</w:t>
      </w:r>
      <w:proofErr w:type="spellEnd"/>
      <w:r w:rsidRPr="00BD4879">
        <w:rPr>
          <w:rFonts w:asciiTheme="minorHAnsi" w:hAnsiTheme="minorHAnsi" w:cstheme="minorHAnsi"/>
          <w:sz w:val="18"/>
          <w:szCs w:val="18"/>
        </w:rPr>
        <w:t xml:space="preserve">, “Electrode passivation caused by polymerization of different phenolic compounds,” </w:t>
      </w:r>
      <w:proofErr w:type="spellStart"/>
      <w:r w:rsidRPr="00BD4879">
        <w:rPr>
          <w:rFonts w:asciiTheme="minorHAnsi" w:hAnsiTheme="minorHAnsi" w:cstheme="minorHAnsi"/>
          <w:sz w:val="18"/>
          <w:szCs w:val="18"/>
        </w:rPr>
        <w:t>Electrochim</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Acta</w:t>
      </w:r>
      <w:proofErr w:type="spellEnd"/>
      <w:r w:rsidRPr="00BD4879">
        <w:rPr>
          <w:rFonts w:asciiTheme="minorHAnsi" w:hAnsiTheme="minorHAnsi" w:cstheme="minorHAnsi"/>
          <w:sz w:val="18"/>
          <w:szCs w:val="18"/>
        </w:rPr>
        <w:t>, vol. 52, no. 2, pp. 434-442, Oct., 2006, DOI. 10.1016/j.electacta.2006.05.025.</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X. Yang, J. Kirsch, A. Simonian, “Modelling analysis of electrode fouling during electrolysis of phenolic compounds,” </w:t>
      </w:r>
      <w:proofErr w:type="spellStart"/>
      <w:r w:rsidRPr="00BD4879">
        <w:rPr>
          <w:rFonts w:asciiTheme="minorHAnsi" w:hAnsiTheme="minorHAnsi" w:cstheme="minorHAnsi"/>
          <w:sz w:val="18"/>
          <w:szCs w:val="18"/>
        </w:rPr>
        <w:t>Electrochim</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Acta</w:t>
      </w:r>
      <w:proofErr w:type="spellEnd"/>
      <w:r w:rsidRPr="00BD4879">
        <w:rPr>
          <w:rFonts w:asciiTheme="minorHAnsi" w:hAnsiTheme="minorHAnsi" w:cstheme="minorHAnsi"/>
          <w:sz w:val="18"/>
          <w:szCs w:val="18"/>
        </w:rPr>
        <w:t>, vol. 94, no. 1, pp. 259-268, Apr., 2013, DOI. 10.1016/j.electacta.2013.01.019.</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S.</w:t>
      </w:r>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Aiassa</w:t>
      </w:r>
      <w:proofErr w:type="spellEnd"/>
      <w:r w:rsidRPr="00BD4879">
        <w:rPr>
          <w:rFonts w:asciiTheme="minorHAnsi" w:hAnsiTheme="minorHAnsi" w:cstheme="minorHAnsi"/>
          <w:sz w:val="18"/>
          <w:szCs w:val="18"/>
        </w:rPr>
        <w:t xml:space="preserve">, I. N. </w:t>
      </w:r>
      <w:proofErr w:type="spellStart"/>
      <w:r w:rsidRPr="00BD4879">
        <w:rPr>
          <w:rFonts w:asciiTheme="minorHAnsi" w:hAnsiTheme="minorHAnsi" w:cstheme="minorHAnsi"/>
          <w:sz w:val="18"/>
          <w:szCs w:val="18"/>
        </w:rPr>
        <w:t>Hanitra</w:t>
      </w:r>
      <w:proofErr w:type="spellEnd"/>
      <w:r w:rsidRPr="00BD4879">
        <w:rPr>
          <w:rFonts w:asciiTheme="minorHAnsi" w:hAnsiTheme="minorHAnsi" w:cstheme="minorHAnsi"/>
          <w:sz w:val="18"/>
          <w:szCs w:val="18"/>
        </w:rPr>
        <w:t xml:space="preserve">, G. Sandri, T. </w:t>
      </w:r>
      <w:proofErr w:type="spellStart"/>
      <w:r w:rsidRPr="00BD4879">
        <w:rPr>
          <w:rFonts w:asciiTheme="minorHAnsi" w:hAnsiTheme="minorHAnsi" w:cstheme="minorHAnsi"/>
          <w:sz w:val="18"/>
          <w:szCs w:val="18"/>
        </w:rPr>
        <w:t>Totu</w:t>
      </w:r>
      <w:proofErr w:type="spellEnd"/>
      <w:r w:rsidRPr="00BD4879">
        <w:rPr>
          <w:rFonts w:asciiTheme="minorHAnsi" w:hAnsiTheme="minorHAnsi" w:cstheme="minorHAnsi"/>
          <w:sz w:val="18"/>
          <w:szCs w:val="18"/>
        </w:rPr>
        <w:t xml:space="preserve">, F. </w:t>
      </w:r>
      <w:proofErr w:type="spellStart"/>
      <w:r w:rsidRPr="00BD4879">
        <w:rPr>
          <w:rFonts w:asciiTheme="minorHAnsi" w:hAnsiTheme="minorHAnsi" w:cstheme="minorHAnsi"/>
          <w:sz w:val="18"/>
          <w:szCs w:val="18"/>
        </w:rPr>
        <w:t>Grassi</w:t>
      </w:r>
      <w:proofErr w:type="spellEnd"/>
      <w:r w:rsidRPr="00BD4879">
        <w:rPr>
          <w:rFonts w:asciiTheme="minorHAnsi" w:hAnsiTheme="minorHAnsi" w:cstheme="minorHAnsi"/>
          <w:sz w:val="18"/>
          <w:szCs w:val="18"/>
        </w:rPr>
        <w:t xml:space="preserve">, F. </w:t>
      </w:r>
      <w:proofErr w:type="spellStart"/>
      <w:r w:rsidRPr="00BD4879">
        <w:rPr>
          <w:rFonts w:asciiTheme="minorHAnsi" w:hAnsiTheme="minorHAnsi" w:cstheme="minorHAnsi"/>
          <w:sz w:val="18"/>
          <w:szCs w:val="18"/>
        </w:rPr>
        <w:t>Criscuolo</w:t>
      </w:r>
      <w:proofErr w:type="spellEnd"/>
      <w:r w:rsidRPr="00BD4879">
        <w:rPr>
          <w:rFonts w:asciiTheme="minorHAnsi" w:hAnsiTheme="minorHAnsi" w:cstheme="minorHAnsi"/>
          <w:sz w:val="18"/>
          <w:szCs w:val="18"/>
        </w:rPr>
        <w:t xml:space="preserve">, G. De </w:t>
      </w:r>
      <w:proofErr w:type="spellStart"/>
      <w:r w:rsidRPr="00BD4879">
        <w:rPr>
          <w:rFonts w:asciiTheme="minorHAnsi" w:hAnsiTheme="minorHAnsi" w:cstheme="minorHAnsi"/>
          <w:sz w:val="18"/>
          <w:szCs w:val="18"/>
        </w:rPr>
        <w:t>Micheli</w:t>
      </w:r>
      <w:proofErr w:type="spellEnd"/>
      <w:r w:rsidRPr="00BD4879">
        <w:rPr>
          <w:rFonts w:asciiTheme="minorHAnsi" w:hAnsiTheme="minorHAnsi" w:cstheme="minorHAnsi"/>
          <w:sz w:val="18"/>
          <w:szCs w:val="18"/>
        </w:rPr>
        <w:t xml:space="preserve">, S. Carrara, D. </w:t>
      </w:r>
      <w:proofErr w:type="spellStart"/>
      <w:r w:rsidRPr="00BD4879">
        <w:rPr>
          <w:rFonts w:asciiTheme="minorHAnsi" w:hAnsiTheme="minorHAnsi" w:cstheme="minorHAnsi"/>
          <w:sz w:val="18"/>
          <w:szCs w:val="18"/>
        </w:rPr>
        <w:t>Demarchi</w:t>
      </w:r>
      <w:proofErr w:type="spellEnd"/>
      <w:r w:rsidRPr="00BD4879">
        <w:rPr>
          <w:rFonts w:asciiTheme="minorHAnsi" w:hAnsiTheme="minorHAnsi" w:cstheme="minorHAnsi"/>
          <w:sz w:val="18"/>
          <w:szCs w:val="18"/>
        </w:rPr>
        <w:t xml:space="preserve">, “Continuous monitoring of propofol in human serum with fouling compensation by support vector classifier,” </w:t>
      </w:r>
      <w:proofErr w:type="spellStart"/>
      <w:r w:rsidRPr="00BD4879">
        <w:rPr>
          <w:rFonts w:asciiTheme="minorHAnsi" w:hAnsiTheme="minorHAnsi" w:cstheme="minorHAnsi"/>
          <w:sz w:val="18"/>
          <w:szCs w:val="18"/>
        </w:rPr>
        <w:t>Biosens</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Bioelectron</w:t>
      </w:r>
      <w:proofErr w:type="spellEnd"/>
      <w:r w:rsidRPr="00BD4879">
        <w:rPr>
          <w:rFonts w:asciiTheme="minorHAnsi" w:hAnsiTheme="minorHAnsi" w:cstheme="minorHAnsi"/>
          <w:sz w:val="18"/>
          <w:szCs w:val="18"/>
        </w:rPr>
        <w:t>., vol. 171, p. 112666, Jan., 2021, DOI. 10.1016/j.bios.2020.112666.</w:t>
      </w:r>
    </w:p>
    <w:p w:rsidR="00BD4879" w:rsidRPr="00BD4879" w:rsidRDefault="00BD4879" w:rsidP="00BD4879">
      <w:pPr>
        <w:pStyle w:val="References"/>
        <w:tabs>
          <w:tab w:val="clear" w:pos="1170"/>
          <w:tab w:val="num" w:pos="360"/>
        </w:tabs>
        <w:ind w:left="360"/>
        <w:jc w:val="left"/>
        <w:rPr>
          <w:rStyle w:val="identifier"/>
          <w:rFonts w:asciiTheme="minorHAnsi" w:hAnsiTheme="minorHAnsi" w:cstheme="minorHAnsi"/>
          <w:sz w:val="18"/>
          <w:szCs w:val="18"/>
        </w:rPr>
      </w:pPr>
      <w:r w:rsidRPr="00BD4879">
        <w:rPr>
          <w:rFonts w:asciiTheme="minorHAnsi" w:hAnsiTheme="minorHAnsi" w:cstheme="minorHAnsi"/>
          <w:sz w:val="18"/>
          <w:szCs w:val="18"/>
        </w:rPr>
        <w:t xml:space="preserve">Y. </w:t>
      </w:r>
      <w:proofErr w:type="spellStart"/>
      <w:r w:rsidRPr="00BD4879">
        <w:rPr>
          <w:rFonts w:asciiTheme="minorHAnsi" w:hAnsiTheme="minorHAnsi" w:cstheme="minorHAnsi"/>
          <w:sz w:val="18"/>
          <w:szCs w:val="18"/>
        </w:rPr>
        <w:t>Oda</w:t>
      </w:r>
      <w:proofErr w:type="spellEnd"/>
      <w:r w:rsidRPr="00BD4879">
        <w:rPr>
          <w:rFonts w:asciiTheme="minorHAnsi" w:hAnsiTheme="minorHAnsi" w:cstheme="minorHAnsi"/>
          <w:sz w:val="18"/>
          <w:szCs w:val="18"/>
        </w:rPr>
        <w:t xml:space="preserve">, N. </w:t>
      </w:r>
      <w:proofErr w:type="spellStart"/>
      <w:r w:rsidRPr="00BD4879">
        <w:rPr>
          <w:rFonts w:asciiTheme="minorHAnsi" w:hAnsiTheme="minorHAnsi" w:cstheme="minorHAnsi"/>
          <w:sz w:val="18"/>
          <w:szCs w:val="18"/>
        </w:rPr>
        <w:t>Hamaoka</w:t>
      </w:r>
      <w:proofErr w:type="spellEnd"/>
      <w:r w:rsidRPr="00BD4879">
        <w:rPr>
          <w:rFonts w:asciiTheme="minorHAnsi" w:hAnsiTheme="minorHAnsi" w:cstheme="minorHAnsi"/>
          <w:sz w:val="18"/>
          <w:szCs w:val="18"/>
        </w:rPr>
        <w:t xml:space="preserve">, T. </w:t>
      </w:r>
      <w:r w:rsidRPr="00BD4879">
        <w:rPr>
          <w:rFonts w:asciiTheme="minorHAnsi" w:hAnsiTheme="minorHAnsi" w:cstheme="minorHAnsi"/>
          <w:noProof/>
          <w:sz w:val="18"/>
          <w:szCs w:val="18"/>
        </w:rPr>
        <w:t>Hiroi, S. Imaoka, I. Hase, K. Tanaka, Y. Funae, T. Ishizaki, A. Asada,</w:t>
      </w:r>
      <w:r w:rsidRPr="00BD4879">
        <w:rPr>
          <w:rFonts w:asciiTheme="minorHAnsi" w:hAnsiTheme="minorHAnsi" w:cstheme="minorHAnsi"/>
          <w:sz w:val="18"/>
          <w:szCs w:val="18"/>
        </w:rPr>
        <w:t xml:space="preserve"> “</w:t>
      </w:r>
      <w:r w:rsidRPr="00BD4879">
        <w:rPr>
          <w:rFonts w:asciiTheme="minorHAnsi" w:hAnsiTheme="minorHAnsi" w:cstheme="minorHAnsi"/>
          <w:noProof/>
          <w:sz w:val="18"/>
          <w:szCs w:val="18"/>
        </w:rPr>
        <w:t xml:space="preserve">Involvement of human liver cytochrome P4502B6 in the metabolism of propofol,” Br. J. Clin. Pharmacol., vol. 51, no. 3, pp. 281-285, Mar., 2001, DOI. </w:t>
      </w:r>
      <w:r w:rsidRPr="00BD4879">
        <w:rPr>
          <w:rStyle w:val="identifier"/>
          <w:rFonts w:asciiTheme="minorHAnsi" w:hAnsiTheme="minorHAnsi" w:cstheme="minorHAnsi"/>
          <w:color w:val="212121"/>
          <w:sz w:val="18"/>
          <w:szCs w:val="18"/>
        </w:rPr>
        <w:t>10.1046/j.1365-2125.2001.</w:t>
      </w:r>
      <w:proofErr w:type="gramStart"/>
      <w:r w:rsidRPr="00BD4879">
        <w:rPr>
          <w:rStyle w:val="identifier"/>
          <w:rFonts w:asciiTheme="minorHAnsi" w:hAnsiTheme="minorHAnsi" w:cstheme="minorHAnsi"/>
          <w:color w:val="212121"/>
          <w:sz w:val="18"/>
          <w:szCs w:val="18"/>
        </w:rPr>
        <w:t>00344.x.</w:t>
      </w:r>
      <w:proofErr w:type="gramEnd"/>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N. </w:t>
      </w:r>
      <w:r w:rsidRPr="00BD4879">
        <w:rPr>
          <w:rFonts w:asciiTheme="minorHAnsi" w:hAnsiTheme="minorHAnsi" w:cstheme="minorHAnsi"/>
          <w:noProof/>
          <w:sz w:val="18"/>
          <w:szCs w:val="18"/>
        </w:rPr>
        <w:t xml:space="preserve">Shioya, Y. Ishibe, S. Shibata, H. K. S. Makabe, N. Matsumoto, G. Takahashi, Y. Yamada, S. Endo, “Green urine discoloration due to propofol infusion: A case report,” Case Rep. Emerg. Med., vol. 2011, p. 242514, Dec., 2001, </w:t>
      </w:r>
      <w:r w:rsidRPr="00BD4879">
        <w:rPr>
          <w:rFonts w:asciiTheme="minorHAnsi" w:hAnsiTheme="minorHAnsi" w:cstheme="minorHAnsi"/>
          <w:sz w:val="18"/>
          <w:szCs w:val="18"/>
        </w:rPr>
        <w:t>10.1155/2011/242514.</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J. Dong, P. L. </w:t>
      </w:r>
      <w:proofErr w:type="spellStart"/>
      <w:r w:rsidRPr="00BD4879">
        <w:rPr>
          <w:rFonts w:asciiTheme="minorHAnsi" w:hAnsiTheme="minorHAnsi" w:cstheme="minorHAnsi"/>
          <w:sz w:val="18"/>
          <w:szCs w:val="18"/>
        </w:rPr>
        <w:t>Carpinone</w:t>
      </w:r>
      <w:proofErr w:type="spellEnd"/>
      <w:r w:rsidRPr="00BD4879">
        <w:rPr>
          <w:rFonts w:asciiTheme="minorHAnsi" w:hAnsiTheme="minorHAnsi" w:cstheme="minorHAnsi"/>
          <w:sz w:val="18"/>
          <w:szCs w:val="18"/>
        </w:rPr>
        <w:t xml:space="preserve">, G. </w:t>
      </w:r>
      <w:proofErr w:type="spellStart"/>
      <w:r w:rsidRPr="00BD4879">
        <w:rPr>
          <w:rFonts w:asciiTheme="minorHAnsi" w:hAnsiTheme="minorHAnsi" w:cstheme="minorHAnsi"/>
          <w:sz w:val="18"/>
          <w:szCs w:val="18"/>
        </w:rPr>
        <w:t>Pyrgiotakis</w:t>
      </w:r>
      <w:proofErr w:type="spellEnd"/>
      <w:r w:rsidRPr="00BD4879">
        <w:rPr>
          <w:rFonts w:asciiTheme="minorHAnsi" w:hAnsiTheme="minorHAnsi" w:cstheme="minorHAnsi"/>
          <w:sz w:val="18"/>
          <w:szCs w:val="18"/>
        </w:rPr>
        <w:t xml:space="preserve">, P. </w:t>
      </w:r>
      <w:proofErr w:type="spellStart"/>
      <w:r w:rsidRPr="00BD4879">
        <w:rPr>
          <w:rFonts w:asciiTheme="minorHAnsi" w:hAnsiTheme="minorHAnsi" w:cstheme="minorHAnsi"/>
          <w:sz w:val="18"/>
          <w:szCs w:val="18"/>
        </w:rPr>
        <w:t>Demokritou</w:t>
      </w:r>
      <w:proofErr w:type="spellEnd"/>
      <w:r w:rsidRPr="00BD4879">
        <w:rPr>
          <w:rFonts w:asciiTheme="minorHAnsi" w:hAnsiTheme="minorHAnsi" w:cstheme="minorHAnsi"/>
          <w:sz w:val="18"/>
          <w:szCs w:val="18"/>
        </w:rPr>
        <w:t xml:space="preserve">, B. M. </w:t>
      </w:r>
      <w:proofErr w:type="spellStart"/>
      <w:r w:rsidRPr="00BD4879">
        <w:rPr>
          <w:rFonts w:asciiTheme="minorHAnsi" w:hAnsiTheme="minorHAnsi" w:cstheme="minorHAnsi"/>
          <w:sz w:val="18"/>
          <w:szCs w:val="18"/>
        </w:rPr>
        <w:t>Moudgil</w:t>
      </w:r>
      <w:proofErr w:type="spellEnd"/>
      <w:r w:rsidRPr="00BD4879">
        <w:rPr>
          <w:rFonts w:asciiTheme="minorHAnsi" w:hAnsiTheme="minorHAnsi" w:cstheme="minorHAnsi"/>
          <w:sz w:val="18"/>
          <w:szCs w:val="18"/>
        </w:rPr>
        <w:t xml:space="preserve">, “Synthesis of precision gold nanoparticles using </w:t>
      </w:r>
      <w:proofErr w:type="spellStart"/>
      <w:r w:rsidRPr="00BD4879">
        <w:rPr>
          <w:rFonts w:asciiTheme="minorHAnsi" w:hAnsiTheme="minorHAnsi" w:cstheme="minorHAnsi"/>
          <w:sz w:val="18"/>
          <w:szCs w:val="18"/>
        </w:rPr>
        <w:t>Turkevich</w:t>
      </w:r>
      <w:proofErr w:type="spellEnd"/>
      <w:r w:rsidRPr="00BD4879">
        <w:rPr>
          <w:rFonts w:asciiTheme="minorHAnsi" w:hAnsiTheme="minorHAnsi" w:cstheme="minorHAnsi"/>
          <w:sz w:val="18"/>
          <w:szCs w:val="18"/>
        </w:rPr>
        <w:t xml:space="preserve"> method,” Kona, vol. 37, pp. 224-232, Jan., 2020, DOI. 10.14356/kona.2020011.</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 xml:space="preserve">M. Quan, D. Sanchez, M. F. Wasylkiw, D. K. Smith, “Voltammetry of quinones in unbuffered aqueous solution: Reassessing the roles of proton transfer and hydrogen bonding in the aqueous electrochemistry of quinones,” J. Am. Chem. Soc., vol. 129, no. 42, pp. 12847-12856, Oct., 2007, DOI. </w:t>
      </w:r>
      <w:r w:rsidRPr="00BD4879">
        <w:rPr>
          <w:rFonts w:asciiTheme="minorHAnsi" w:hAnsiTheme="minorHAnsi" w:cstheme="minorHAnsi"/>
          <w:sz w:val="18"/>
          <w:szCs w:val="18"/>
        </w:rPr>
        <w:t>10.1021/ja0743083.</w:t>
      </w:r>
    </w:p>
    <w:p w:rsidR="00BD4879" w:rsidRPr="00BD4879" w:rsidRDefault="00BD4879" w:rsidP="00BD4879">
      <w:pPr>
        <w:pStyle w:val="References"/>
        <w:tabs>
          <w:tab w:val="clear" w:pos="1170"/>
          <w:tab w:val="num" w:pos="360"/>
        </w:tabs>
        <w:ind w:left="360"/>
        <w:jc w:val="left"/>
        <w:rPr>
          <w:rStyle w:val="identifier"/>
          <w:rFonts w:asciiTheme="minorHAnsi" w:hAnsiTheme="minorHAnsi" w:cstheme="minorHAnsi"/>
          <w:sz w:val="18"/>
          <w:szCs w:val="18"/>
        </w:rPr>
      </w:pPr>
      <w:r w:rsidRPr="00BD4879">
        <w:rPr>
          <w:rFonts w:asciiTheme="minorHAnsi" w:hAnsiTheme="minorHAnsi" w:cstheme="minorHAnsi"/>
          <w:sz w:val="18"/>
          <w:szCs w:val="18"/>
        </w:rPr>
        <w:t xml:space="preserve">R. </w:t>
      </w:r>
      <w:proofErr w:type="spellStart"/>
      <w:r w:rsidRPr="00BD4879">
        <w:rPr>
          <w:rFonts w:asciiTheme="minorHAnsi" w:hAnsiTheme="minorHAnsi" w:cstheme="minorHAnsi"/>
          <w:sz w:val="18"/>
          <w:szCs w:val="18"/>
        </w:rPr>
        <w:t>Regenthal</w:t>
      </w:r>
      <w:proofErr w:type="spellEnd"/>
      <w:r w:rsidRPr="00BD4879">
        <w:rPr>
          <w:rFonts w:asciiTheme="minorHAnsi" w:hAnsiTheme="minorHAnsi" w:cstheme="minorHAnsi"/>
          <w:sz w:val="18"/>
          <w:szCs w:val="18"/>
        </w:rPr>
        <w:t xml:space="preserve">, M. Krueger, C. </w:t>
      </w:r>
      <w:proofErr w:type="spellStart"/>
      <w:r w:rsidRPr="00BD4879">
        <w:rPr>
          <w:rFonts w:asciiTheme="minorHAnsi" w:hAnsiTheme="minorHAnsi" w:cstheme="minorHAnsi"/>
          <w:sz w:val="18"/>
          <w:szCs w:val="18"/>
        </w:rPr>
        <w:t>Koeppel</w:t>
      </w:r>
      <w:proofErr w:type="spellEnd"/>
      <w:r w:rsidRPr="00BD4879">
        <w:rPr>
          <w:rFonts w:asciiTheme="minorHAnsi" w:hAnsiTheme="minorHAnsi" w:cstheme="minorHAnsi"/>
          <w:sz w:val="18"/>
          <w:szCs w:val="18"/>
        </w:rPr>
        <w:t xml:space="preserve">, R. </w:t>
      </w:r>
      <w:proofErr w:type="spellStart"/>
      <w:r w:rsidRPr="00BD4879">
        <w:rPr>
          <w:rFonts w:asciiTheme="minorHAnsi" w:hAnsiTheme="minorHAnsi" w:cstheme="minorHAnsi"/>
          <w:sz w:val="18"/>
          <w:szCs w:val="18"/>
        </w:rPr>
        <w:t>Preiss</w:t>
      </w:r>
      <w:proofErr w:type="spellEnd"/>
      <w:r w:rsidRPr="00BD4879">
        <w:rPr>
          <w:rFonts w:asciiTheme="minorHAnsi" w:hAnsiTheme="minorHAnsi" w:cstheme="minorHAnsi"/>
          <w:sz w:val="18"/>
          <w:szCs w:val="18"/>
        </w:rPr>
        <w:t xml:space="preserve">, “Drug levels: Therapeutic and toxic serum/plasma concentrations of common drugs,” J. </w:t>
      </w:r>
      <w:proofErr w:type="spellStart"/>
      <w:r w:rsidRPr="00BD4879">
        <w:rPr>
          <w:rFonts w:asciiTheme="minorHAnsi" w:hAnsiTheme="minorHAnsi" w:cstheme="minorHAnsi"/>
          <w:sz w:val="18"/>
          <w:szCs w:val="18"/>
        </w:rPr>
        <w:t>Clin</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Monit</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Comput</w:t>
      </w:r>
      <w:proofErr w:type="spellEnd"/>
      <w:r w:rsidRPr="00BD4879">
        <w:rPr>
          <w:rFonts w:asciiTheme="minorHAnsi" w:hAnsiTheme="minorHAnsi" w:cstheme="minorHAnsi"/>
          <w:sz w:val="18"/>
          <w:szCs w:val="18"/>
        </w:rPr>
        <w:t xml:space="preserve">., vol. 15, pp. 529-544, Dec., 1999, DOI. </w:t>
      </w:r>
      <w:r w:rsidRPr="00BD4879">
        <w:rPr>
          <w:rStyle w:val="identifier"/>
          <w:rFonts w:asciiTheme="minorHAnsi" w:hAnsiTheme="minorHAnsi" w:cstheme="minorHAnsi"/>
          <w:color w:val="212121"/>
          <w:sz w:val="18"/>
          <w:szCs w:val="18"/>
        </w:rPr>
        <w:t>10.1023/a:1009935116877.</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 xml:space="preserve">J. X. </w:t>
      </w:r>
      <w:proofErr w:type="spellStart"/>
      <w:r w:rsidRPr="00BD4879">
        <w:rPr>
          <w:rFonts w:asciiTheme="minorHAnsi" w:hAnsiTheme="minorHAnsi" w:cstheme="minorHAnsi"/>
          <w:sz w:val="18"/>
          <w:szCs w:val="18"/>
        </w:rPr>
        <w:t>Mazoit</w:t>
      </w:r>
      <w:proofErr w:type="spellEnd"/>
      <w:r w:rsidRPr="00BD4879">
        <w:rPr>
          <w:rFonts w:asciiTheme="minorHAnsi" w:hAnsiTheme="minorHAnsi" w:cstheme="minorHAnsi"/>
          <w:sz w:val="18"/>
          <w:szCs w:val="18"/>
        </w:rPr>
        <w:t xml:space="preserve">, K. </w:t>
      </w:r>
      <w:proofErr w:type="spellStart"/>
      <w:r w:rsidRPr="00BD4879">
        <w:rPr>
          <w:rFonts w:asciiTheme="minorHAnsi" w:hAnsiTheme="minorHAnsi" w:cstheme="minorHAnsi"/>
          <w:sz w:val="18"/>
          <w:szCs w:val="18"/>
        </w:rPr>
        <w:t>Samii</w:t>
      </w:r>
      <w:proofErr w:type="spellEnd"/>
      <w:r w:rsidRPr="00BD4879">
        <w:rPr>
          <w:rFonts w:asciiTheme="minorHAnsi" w:hAnsiTheme="minorHAnsi" w:cstheme="minorHAnsi"/>
          <w:sz w:val="18"/>
          <w:szCs w:val="18"/>
        </w:rPr>
        <w:t xml:space="preserve">, “Binding of propofol to blood components: implications for pharmacokinetics and for pharmacodynamics,” Br. J. </w:t>
      </w:r>
      <w:proofErr w:type="spellStart"/>
      <w:r w:rsidRPr="00BD4879">
        <w:rPr>
          <w:rFonts w:asciiTheme="minorHAnsi" w:hAnsiTheme="minorHAnsi" w:cstheme="minorHAnsi"/>
          <w:sz w:val="18"/>
          <w:szCs w:val="18"/>
        </w:rPr>
        <w:t>Clin</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Pharmacol</w:t>
      </w:r>
      <w:proofErr w:type="spellEnd"/>
      <w:r w:rsidRPr="00BD4879">
        <w:rPr>
          <w:rFonts w:asciiTheme="minorHAnsi" w:hAnsiTheme="minorHAnsi" w:cstheme="minorHAnsi"/>
          <w:sz w:val="18"/>
          <w:szCs w:val="18"/>
        </w:rPr>
        <w:t xml:space="preserve">., vol. 47, no. 1, pp. 35-42, Jan., 1999, DOI. </w:t>
      </w:r>
      <w:r w:rsidRPr="00BD4879">
        <w:rPr>
          <w:rFonts w:asciiTheme="minorHAnsi" w:hAnsiTheme="minorHAnsi" w:cstheme="minorHAnsi"/>
          <w:bCs/>
          <w:sz w:val="18"/>
          <w:szCs w:val="18"/>
        </w:rPr>
        <w:t>10.1046/j.1365-2125.1999.</w:t>
      </w:r>
      <w:proofErr w:type="gramStart"/>
      <w:r w:rsidRPr="00BD4879">
        <w:rPr>
          <w:rFonts w:asciiTheme="minorHAnsi" w:hAnsiTheme="minorHAnsi" w:cstheme="minorHAnsi"/>
          <w:bCs/>
          <w:sz w:val="18"/>
          <w:szCs w:val="18"/>
        </w:rPr>
        <w:t>00860.x.</w:t>
      </w:r>
      <w:proofErr w:type="gramEnd"/>
      <w:r w:rsidRPr="00BD4879">
        <w:rPr>
          <w:rFonts w:asciiTheme="minorHAnsi" w:hAnsiTheme="minorHAnsi" w:cstheme="minorHAnsi"/>
          <w:bCs/>
          <w:sz w:val="18"/>
          <w:szCs w:val="18"/>
        </w:rPr>
        <w:t xml:space="preserve"> </w:t>
      </w:r>
    </w:p>
    <w:p w:rsidR="00BD4879" w:rsidRPr="00BD4879" w:rsidRDefault="00BD4879" w:rsidP="00BD4879">
      <w:pPr>
        <w:pStyle w:val="References"/>
        <w:tabs>
          <w:tab w:val="clear" w:pos="1170"/>
          <w:tab w:val="num" w:pos="360"/>
        </w:tabs>
        <w:ind w:left="360"/>
        <w:jc w:val="left"/>
        <w:rPr>
          <w:rStyle w:val="identifier"/>
          <w:rFonts w:asciiTheme="minorHAnsi" w:hAnsiTheme="minorHAnsi" w:cstheme="minorHAnsi"/>
          <w:sz w:val="18"/>
          <w:szCs w:val="18"/>
        </w:rPr>
      </w:pPr>
      <w:r w:rsidRPr="00BD4879">
        <w:rPr>
          <w:rFonts w:asciiTheme="minorHAnsi" w:hAnsiTheme="minorHAnsi" w:cstheme="minorHAnsi"/>
          <w:noProof/>
          <w:sz w:val="18"/>
          <w:szCs w:val="18"/>
        </w:rPr>
        <w:t xml:space="preserve">X. </w:t>
      </w:r>
      <w:proofErr w:type="spellStart"/>
      <w:r w:rsidRPr="00BD4879">
        <w:rPr>
          <w:rFonts w:asciiTheme="minorHAnsi" w:hAnsiTheme="minorHAnsi" w:cstheme="minorHAnsi"/>
          <w:sz w:val="18"/>
          <w:szCs w:val="18"/>
        </w:rPr>
        <w:t>Cussonneau</w:t>
      </w:r>
      <w:proofErr w:type="spellEnd"/>
      <w:r w:rsidRPr="00BD4879">
        <w:rPr>
          <w:rFonts w:asciiTheme="minorHAnsi" w:hAnsiTheme="minorHAnsi" w:cstheme="minorHAnsi"/>
          <w:sz w:val="18"/>
          <w:szCs w:val="18"/>
        </w:rPr>
        <w:t xml:space="preserve">, E. De </w:t>
      </w:r>
      <w:proofErr w:type="spellStart"/>
      <w:r w:rsidRPr="00BD4879">
        <w:rPr>
          <w:rFonts w:asciiTheme="minorHAnsi" w:hAnsiTheme="minorHAnsi" w:cstheme="minorHAnsi"/>
          <w:sz w:val="18"/>
          <w:szCs w:val="18"/>
        </w:rPr>
        <w:t>Smet</w:t>
      </w:r>
      <w:proofErr w:type="spellEnd"/>
      <w:r w:rsidRPr="00BD4879">
        <w:rPr>
          <w:rFonts w:asciiTheme="minorHAnsi" w:hAnsiTheme="minorHAnsi" w:cstheme="minorHAnsi"/>
          <w:sz w:val="18"/>
          <w:szCs w:val="18"/>
        </w:rPr>
        <w:t xml:space="preserve">, K. </w:t>
      </w:r>
      <w:proofErr w:type="spellStart"/>
      <w:r w:rsidRPr="00BD4879">
        <w:rPr>
          <w:rFonts w:asciiTheme="minorHAnsi" w:hAnsiTheme="minorHAnsi" w:cstheme="minorHAnsi"/>
          <w:sz w:val="18"/>
          <w:szCs w:val="18"/>
        </w:rPr>
        <w:t>Lantsoght</w:t>
      </w:r>
      <w:proofErr w:type="spellEnd"/>
      <w:r w:rsidRPr="00BD4879">
        <w:rPr>
          <w:rFonts w:asciiTheme="minorHAnsi" w:hAnsiTheme="minorHAnsi" w:cstheme="minorHAnsi"/>
          <w:sz w:val="18"/>
          <w:szCs w:val="18"/>
        </w:rPr>
        <w:t xml:space="preserve">, J.-P. Salvi, “A rapid and simple HPLC method for the analysis of propofol in biological fluids,” J. Pharm. Biomed. Anal., vol. 44, no. 3, pp. 680-682, Nov., 2007, DOI. </w:t>
      </w:r>
      <w:r w:rsidRPr="00BD4879">
        <w:rPr>
          <w:rStyle w:val="identifier"/>
          <w:rFonts w:asciiTheme="minorHAnsi" w:hAnsiTheme="minorHAnsi" w:cstheme="minorHAnsi"/>
          <w:sz w:val="18"/>
          <w:szCs w:val="18"/>
        </w:rPr>
        <w:t>10.1016/j.jpba.2006.10.020.</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K. </w:t>
      </w:r>
      <w:proofErr w:type="spellStart"/>
      <w:r w:rsidRPr="00BD4879">
        <w:rPr>
          <w:rFonts w:asciiTheme="minorHAnsi" w:hAnsiTheme="minorHAnsi" w:cstheme="minorHAnsi"/>
          <w:sz w:val="18"/>
          <w:szCs w:val="18"/>
        </w:rPr>
        <w:t>Vishwananthan</w:t>
      </w:r>
      <w:proofErr w:type="spellEnd"/>
      <w:r w:rsidRPr="00BD4879">
        <w:rPr>
          <w:rFonts w:asciiTheme="minorHAnsi" w:hAnsiTheme="minorHAnsi" w:cstheme="minorHAnsi"/>
          <w:sz w:val="18"/>
          <w:szCs w:val="18"/>
        </w:rPr>
        <w:t xml:space="preserve">, J. T. Stewart, “HPLC determination of a propofol and remifentanil mixture,” J. </w:t>
      </w:r>
      <w:proofErr w:type="spellStart"/>
      <w:r w:rsidRPr="00BD4879">
        <w:rPr>
          <w:rFonts w:asciiTheme="minorHAnsi" w:hAnsiTheme="minorHAnsi" w:cstheme="minorHAnsi"/>
          <w:sz w:val="18"/>
          <w:szCs w:val="18"/>
        </w:rPr>
        <w:t>Chromatogr</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Relat</w:t>
      </w:r>
      <w:proofErr w:type="spellEnd"/>
      <w:r w:rsidRPr="00BD4879">
        <w:rPr>
          <w:rFonts w:asciiTheme="minorHAnsi" w:hAnsiTheme="minorHAnsi" w:cstheme="minorHAnsi"/>
          <w:sz w:val="18"/>
          <w:szCs w:val="18"/>
        </w:rPr>
        <w:t>. Technol., vol. 22, no. 6, pp. 923-931, 1999, DOI. 10.1081/JLC-100101708.</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 xml:space="preserve">W. </w:t>
      </w:r>
      <w:proofErr w:type="spellStart"/>
      <w:r w:rsidRPr="00BD4879">
        <w:rPr>
          <w:rFonts w:asciiTheme="minorHAnsi" w:hAnsiTheme="minorHAnsi" w:cstheme="minorHAnsi"/>
          <w:sz w:val="18"/>
          <w:szCs w:val="18"/>
        </w:rPr>
        <w:t>Hikiji</w:t>
      </w:r>
      <w:proofErr w:type="spellEnd"/>
      <w:r w:rsidRPr="00BD4879">
        <w:rPr>
          <w:rFonts w:asciiTheme="minorHAnsi" w:hAnsiTheme="minorHAnsi" w:cstheme="minorHAnsi"/>
          <w:sz w:val="18"/>
          <w:szCs w:val="18"/>
        </w:rPr>
        <w:t xml:space="preserve">, K. Kudo, Y. </w:t>
      </w:r>
      <w:proofErr w:type="spellStart"/>
      <w:r w:rsidRPr="00BD4879">
        <w:rPr>
          <w:rFonts w:asciiTheme="minorHAnsi" w:hAnsiTheme="minorHAnsi" w:cstheme="minorHAnsi"/>
          <w:sz w:val="18"/>
          <w:szCs w:val="18"/>
        </w:rPr>
        <w:t>Usumoto</w:t>
      </w:r>
      <w:proofErr w:type="spellEnd"/>
      <w:r w:rsidRPr="00BD4879">
        <w:rPr>
          <w:rFonts w:asciiTheme="minorHAnsi" w:hAnsiTheme="minorHAnsi" w:cstheme="minorHAnsi"/>
          <w:sz w:val="18"/>
          <w:szCs w:val="18"/>
        </w:rPr>
        <w:t xml:space="preserve">, A. Tsuji, N. Ikeda, “A simple and sensitive method for the determination of propofol in human solid tissues by gas chromatography-mass </w:t>
      </w:r>
      <w:proofErr w:type="spellStart"/>
      <w:r w:rsidRPr="00BD4879">
        <w:rPr>
          <w:rFonts w:asciiTheme="minorHAnsi" w:hAnsiTheme="minorHAnsi" w:cstheme="minorHAnsi"/>
          <w:sz w:val="18"/>
          <w:szCs w:val="18"/>
        </w:rPr>
        <w:t>spectrography</w:t>
      </w:r>
      <w:proofErr w:type="spellEnd"/>
      <w:r w:rsidRPr="00BD4879">
        <w:rPr>
          <w:rFonts w:asciiTheme="minorHAnsi" w:hAnsiTheme="minorHAnsi" w:cstheme="minorHAnsi"/>
          <w:sz w:val="18"/>
          <w:szCs w:val="18"/>
        </w:rPr>
        <w:t xml:space="preserve">,” J. Anal. </w:t>
      </w:r>
      <w:proofErr w:type="spellStart"/>
      <w:r w:rsidRPr="00BD4879">
        <w:rPr>
          <w:rFonts w:asciiTheme="minorHAnsi" w:hAnsiTheme="minorHAnsi" w:cstheme="minorHAnsi"/>
          <w:sz w:val="18"/>
          <w:szCs w:val="18"/>
        </w:rPr>
        <w:t>Toxicol</w:t>
      </w:r>
      <w:proofErr w:type="spellEnd"/>
      <w:r w:rsidRPr="00BD4879">
        <w:rPr>
          <w:rFonts w:asciiTheme="minorHAnsi" w:hAnsiTheme="minorHAnsi" w:cstheme="minorHAnsi"/>
          <w:sz w:val="18"/>
          <w:szCs w:val="18"/>
        </w:rPr>
        <w:t xml:space="preserve">., vol. 34, no. 7, pp. 389-393, Sep., 2010, DOI. </w:t>
      </w:r>
      <w:r w:rsidRPr="00BD4879">
        <w:rPr>
          <w:rFonts w:asciiTheme="minorHAnsi" w:hAnsiTheme="minorHAnsi" w:cstheme="minorHAnsi"/>
          <w:sz w:val="18"/>
          <w:szCs w:val="18"/>
          <w:bdr w:val="none" w:sz="0" w:space="0" w:color="auto" w:frame="1"/>
        </w:rPr>
        <w:t>10.1093/</w:t>
      </w:r>
      <w:proofErr w:type="spellStart"/>
      <w:r w:rsidRPr="00BD4879">
        <w:rPr>
          <w:rFonts w:asciiTheme="minorHAnsi" w:hAnsiTheme="minorHAnsi" w:cstheme="minorHAnsi"/>
          <w:sz w:val="18"/>
          <w:szCs w:val="18"/>
          <w:bdr w:val="none" w:sz="0" w:space="0" w:color="auto" w:frame="1"/>
        </w:rPr>
        <w:t>jat</w:t>
      </w:r>
      <w:proofErr w:type="spellEnd"/>
      <w:r w:rsidRPr="00BD4879">
        <w:rPr>
          <w:rFonts w:asciiTheme="minorHAnsi" w:hAnsiTheme="minorHAnsi" w:cstheme="minorHAnsi"/>
          <w:sz w:val="18"/>
          <w:szCs w:val="18"/>
          <w:bdr w:val="none" w:sz="0" w:space="0" w:color="auto" w:frame="1"/>
        </w:rPr>
        <w:t>/34.7.389.</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 xml:space="preserve">S. Y. </w:t>
      </w:r>
      <w:r w:rsidRPr="00BD4879">
        <w:rPr>
          <w:rFonts w:asciiTheme="minorHAnsi" w:hAnsiTheme="minorHAnsi" w:cstheme="minorHAnsi"/>
          <w:sz w:val="18"/>
          <w:szCs w:val="18"/>
        </w:rPr>
        <w:t xml:space="preserve">Lee, N.-H. </w:t>
      </w:r>
      <w:proofErr w:type="spellStart"/>
      <w:r w:rsidRPr="00BD4879">
        <w:rPr>
          <w:rFonts w:asciiTheme="minorHAnsi" w:hAnsiTheme="minorHAnsi" w:cstheme="minorHAnsi"/>
          <w:sz w:val="18"/>
          <w:szCs w:val="18"/>
        </w:rPr>
        <w:t>Parl</w:t>
      </w:r>
      <w:proofErr w:type="spellEnd"/>
      <w:r w:rsidRPr="00BD4879">
        <w:rPr>
          <w:rFonts w:asciiTheme="minorHAnsi" w:hAnsiTheme="minorHAnsi" w:cstheme="minorHAnsi"/>
          <w:sz w:val="18"/>
          <w:szCs w:val="18"/>
        </w:rPr>
        <w:t xml:space="preserve">, E.-K. </w:t>
      </w:r>
      <w:proofErr w:type="spellStart"/>
      <w:r w:rsidRPr="00BD4879">
        <w:rPr>
          <w:rFonts w:asciiTheme="minorHAnsi" w:hAnsiTheme="minorHAnsi" w:cstheme="minorHAnsi"/>
          <w:sz w:val="18"/>
          <w:szCs w:val="18"/>
        </w:rPr>
        <w:t>Jeong</w:t>
      </w:r>
      <w:proofErr w:type="spellEnd"/>
      <w:r w:rsidRPr="00BD4879">
        <w:rPr>
          <w:rFonts w:asciiTheme="minorHAnsi" w:hAnsiTheme="minorHAnsi" w:cstheme="minorHAnsi"/>
          <w:sz w:val="18"/>
          <w:szCs w:val="18"/>
        </w:rPr>
        <w:t xml:space="preserve">, J.-W. Wi, C.-J. Kim, J. Y. Kim, M. K. In, J. Hong, “Comparison of GC/MS and LC/MS methods for the analysis of propofol and its metabolites in urine,” J. </w:t>
      </w:r>
      <w:proofErr w:type="spellStart"/>
      <w:r w:rsidRPr="00BD4879">
        <w:rPr>
          <w:rFonts w:asciiTheme="minorHAnsi" w:hAnsiTheme="minorHAnsi" w:cstheme="minorHAnsi"/>
          <w:sz w:val="18"/>
          <w:szCs w:val="18"/>
        </w:rPr>
        <w:t>Chromatogr</w:t>
      </w:r>
      <w:proofErr w:type="spellEnd"/>
      <w:r w:rsidRPr="00BD4879">
        <w:rPr>
          <w:rFonts w:asciiTheme="minorHAnsi" w:hAnsiTheme="minorHAnsi" w:cstheme="minorHAnsi"/>
          <w:sz w:val="18"/>
          <w:szCs w:val="18"/>
        </w:rPr>
        <w:t>. B, vol. 900, no. 1, pp. 1-10, Jul., 2012, DOI. 10.1016/j.jchromb.2012.05.011.</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C-</w:t>
      </w:r>
      <w:r w:rsidRPr="00BD4879">
        <w:rPr>
          <w:rFonts w:asciiTheme="minorHAnsi" w:hAnsiTheme="minorHAnsi" w:cstheme="minorHAnsi"/>
          <w:sz w:val="18"/>
          <w:szCs w:val="18"/>
        </w:rPr>
        <w:t xml:space="preserve">C. Hong, C-C. Lin, C-L. Hong, Z-X. Lin, M-h. Chung, P-W Hsieh, “Handheld analyzer with on-chip molecularly-imprinted biosensors for electrical detection of propofol in plasma samples,” </w:t>
      </w:r>
      <w:proofErr w:type="spellStart"/>
      <w:r w:rsidRPr="00BD4879">
        <w:rPr>
          <w:rFonts w:asciiTheme="minorHAnsi" w:hAnsiTheme="minorHAnsi" w:cstheme="minorHAnsi"/>
          <w:sz w:val="18"/>
          <w:szCs w:val="18"/>
        </w:rPr>
        <w:t>Biosens</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Bioelectron</w:t>
      </w:r>
      <w:proofErr w:type="spellEnd"/>
      <w:r w:rsidRPr="00BD4879">
        <w:rPr>
          <w:rFonts w:asciiTheme="minorHAnsi" w:hAnsiTheme="minorHAnsi" w:cstheme="minorHAnsi"/>
          <w:sz w:val="18"/>
          <w:szCs w:val="18"/>
        </w:rPr>
        <w:t>., vol. 86, pp. 623-629, Dec., 2016, DOI. 10.1016/j.bios.2016.07.032.</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M.</w:t>
      </w:r>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Nazari</w:t>
      </w:r>
      <w:proofErr w:type="spellEnd"/>
      <w:r w:rsidRPr="00BD4879">
        <w:rPr>
          <w:rFonts w:asciiTheme="minorHAnsi" w:hAnsiTheme="minorHAnsi" w:cstheme="minorHAnsi"/>
          <w:sz w:val="18"/>
          <w:szCs w:val="18"/>
        </w:rPr>
        <w:t xml:space="preserve">, S. </w:t>
      </w:r>
      <w:proofErr w:type="spellStart"/>
      <w:r w:rsidRPr="00BD4879">
        <w:rPr>
          <w:rFonts w:asciiTheme="minorHAnsi" w:hAnsiTheme="minorHAnsi" w:cstheme="minorHAnsi"/>
          <w:sz w:val="18"/>
          <w:szCs w:val="18"/>
        </w:rPr>
        <w:t>Kashanian</w:t>
      </w:r>
      <w:proofErr w:type="spellEnd"/>
      <w:r w:rsidRPr="00BD4879">
        <w:rPr>
          <w:rFonts w:asciiTheme="minorHAnsi" w:hAnsiTheme="minorHAnsi" w:cstheme="minorHAnsi"/>
          <w:sz w:val="18"/>
          <w:szCs w:val="18"/>
        </w:rPr>
        <w:t xml:space="preserve">, R. </w:t>
      </w:r>
      <w:proofErr w:type="spellStart"/>
      <w:r w:rsidRPr="00BD4879">
        <w:rPr>
          <w:rFonts w:asciiTheme="minorHAnsi" w:hAnsiTheme="minorHAnsi" w:cstheme="minorHAnsi"/>
          <w:sz w:val="18"/>
          <w:szCs w:val="18"/>
        </w:rPr>
        <w:t>Rafipour</w:t>
      </w:r>
      <w:proofErr w:type="spellEnd"/>
      <w:r w:rsidRPr="00BD4879">
        <w:rPr>
          <w:rFonts w:asciiTheme="minorHAnsi" w:hAnsiTheme="minorHAnsi" w:cstheme="minorHAnsi"/>
          <w:sz w:val="18"/>
          <w:szCs w:val="18"/>
        </w:rPr>
        <w:t xml:space="preserve">, “Laccase immobilization on the electrode surface to design a biosensor for the detection of phenolic compound such as catechol,” </w:t>
      </w:r>
      <w:proofErr w:type="spellStart"/>
      <w:r w:rsidRPr="00BD4879">
        <w:rPr>
          <w:rFonts w:asciiTheme="minorHAnsi" w:hAnsiTheme="minorHAnsi" w:cstheme="minorHAnsi"/>
          <w:sz w:val="18"/>
          <w:szCs w:val="18"/>
        </w:rPr>
        <w:t>Spectrochim</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Acta</w:t>
      </w:r>
      <w:proofErr w:type="spellEnd"/>
      <w:r w:rsidRPr="00BD4879">
        <w:rPr>
          <w:rFonts w:asciiTheme="minorHAnsi" w:hAnsiTheme="minorHAnsi" w:cstheme="minorHAnsi"/>
          <w:sz w:val="18"/>
          <w:szCs w:val="18"/>
        </w:rPr>
        <w:t xml:space="preserve"> Part A, vol. 145, pp. 130-138, Feb., 2015, DOI. 10.1016/j.saa.2015.01.126.</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N.</w:t>
      </w:r>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Maleki</w:t>
      </w:r>
      <w:proofErr w:type="spellEnd"/>
      <w:r w:rsidRPr="00BD4879">
        <w:rPr>
          <w:rFonts w:asciiTheme="minorHAnsi" w:hAnsiTheme="minorHAnsi" w:cstheme="minorHAnsi"/>
          <w:sz w:val="18"/>
          <w:szCs w:val="18"/>
        </w:rPr>
        <w:t xml:space="preserve">, S. </w:t>
      </w:r>
      <w:proofErr w:type="spellStart"/>
      <w:r w:rsidRPr="00BD4879">
        <w:rPr>
          <w:rFonts w:asciiTheme="minorHAnsi" w:hAnsiTheme="minorHAnsi" w:cstheme="minorHAnsi"/>
          <w:sz w:val="18"/>
          <w:szCs w:val="18"/>
        </w:rPr>
        <w:t>Kashanian</w:t>
      </w:r>
      <w:proofErr w:type="spellEnd"/>
      <w:r w:rsidRPr="00BD4879">
        <w:rPr>
          <w:rFonts w:asciiTheme="minorHAnsi" w:hAnsiTheme="minorHAnsi" w:cstheme="minorHAnsi"/>
          <w:sz w:val="18"/>
          <w:szCs w:val="18"/>
        </w:rPr>
        <w:t xml:space="preserve">, E. </w:t>
      </w:r>
      <w:proofErr w:type="spellStart"/>
      <w:r w:rsidRPr="00BD4879">
        <w:rPr>
          <w:rFonts w:asciiTheme="minorHAnsi" w:hAnsiTheme="minorHAnsi" w:cstheme="minorHAnsi"/>
          <w:sz w:val="18"/>
          <w:szCs w:val="18"/>
        </w:rPr>
        <w:t>Maleki</w:t>
      </w:r>
      <w:proofErr w:type="spellEnd"/>
      <w:r w:rsidRPr="00BD4879">
        <w:rPr>
          <w:rFonts w:asciiTheme="minorHAnsi" w:hAnsiTheme="minorHAnsi" w:cstheme="minorHAnsi"/>
          <w:sz w:val="18"/>
          <w:szCs w:val="18"/>
        </w:rPr>
        <w:t xml:space="preserve">, M. </w:t>
      </w:r>
      <w:proofErr w:type="spellStart"/>
      <w:r w:rsidRPr="00BD4879">
        <w:rPr>
          <w:rFonts w:asciiTheme="minorHAnsi" w:hAnsiTheme="minorHAnsi" w:cstheme="minorHAnsi"/>
          <w:sz w:val="18"/>
          <w:szCs w:val="18"/>
        </w:rPr>
        <w:t>Nazari</w:t>
      </w:r>
      <w:proofErr w:type="spellEnd"/>
      <w:r w:rsidRPr="00BD4879">
        <w:rPr>
          <w:rFonts w:asciiTheme="minorHAnsi" w:hAnsiTheme="minorHAnsi" w:cstheme="minorHAnsi"/>
          <w:sz w:val="18"/>
          <w:szCs w:val="18"/>
        </w:rPr>
        <w:t xml:space="preserve">, “A novel enzyme based biosensor for catechol detection in water samples using artificial neural network,” </w:t>
      </w:r>
      <w:proofErr w:type="spellStart"/>
      <w:r w:rsidRPr="00BD4879">
        <w:rPr>
          <w:rFonts w:asciiTheme="minorHAnsi" w:hAnsiTheme="minorHAnsi" w:cstheme="minorHAnsi"/>
          <w:sz w:val="18"/>
          <w:szCs w:val="18"/>
        </w:rPr>
        <w:t>Biochem</w:t>
      </w:r>
      <w:proofErr w:type="spellEnd"/>
      <w:r w:rsidRPr="00BD4879">
        <w:rPr>
          <w:rFonts w:asciiTheme="minorHAnsi" w:hAnsiTheme="minorHAnsi" w:cstheme="minorHAnsi"/>
          <w:sz w:val="18"/>
          <w:szCs w:val="18"/>
        </w:rPr>
        <w:t>. Eng. J., vol. 128, pp. 1-11, Dec., 2017, DOI. 10.1016/j.bej.2017.09.005.</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M.</w:t>
      </w:r>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Nazari</w:t>
      </w:r>
      <w:proofErr w:type="spellEnd"/>
      <w:r w:rsidRPr="00BD4879">
        <w:rPr>
          <w:rFonts w:asciiTheme="minorHAnsi" w:hAnsiTheme="minorHAnsi" w:cstheme="minorHAnsi"/>
          <w:sz w:val="18"/>
          <w:szCs w:val="18"/>
        </w:rPr>
        <w:t xml:space="preserve">, S. </w:t>
      </w:r>
      <w:proofErr w:type="spellStart"/>
      <w:r w:rsidRPr="00BD4879">
        <w:rPr>
          <w:rFonts w:asciiTheme="minorHAnsi" w:hAnsiTheme="minorHAnsi" w:cstheme="minorHAnsi"/>
          <w:sz w:val="18"/>
          <w:szCs w:val="18"/>
        </w:rPr>
        <w:t>Kashanian</w:t>
      </w:r>
      <w:proofErr w:type="spellEnd"/>
      <w:r w:rsidRPr="00BD4879">
        <w:rPr>
          <w:rFonts w:asciiTheme="minorHAnsi" w:hAnsiTheme="minorHAnsi" w:cstheme="minorHAnsi"/>
          <w:sz w:val="18"/>
          <w:szCs w:val="18"/>
        </w:rPr>
        <w:t xml:space="preserve">, N. </w:t>
      </w:r>
      <w:proofErr w:type="spellStart"/>
      <w:r w:rsidRPr="00BD4879">
        <w:rPr>
          <w:rFonts w:asciiTheme="minorHAnsi" w:hAnsiTheme="minorHAnsi" w:cstheme="minorHAnsi"/>
          <w:sz w:val="18"/>
          <w:szCs w:val="18"/>
        </w:rPr>
        <w:t>Maleki</w:t>
      </w:r>
      <w:proofErr w:type="spellEnd"/>
      <w:r w:rsidRPr="00BD4879">
        <w:rPr>
          <w:rFonts w:asciiTheme="minorHAnsi" w:hAnsiTheme="minorHAnsi" w:cstheme="minorHAnsi"/>
          <w:sz w:val="18"/>
          <w:szCs w:val="18"/>
        </w:rPr>
        <w:t xml:space="preserve">, N, </w:t>
      </w:r>
      <w:proofErr w:type="spellStart"/>
      <w:r w:rsidRPr="00BD4879">
        <w:rPr>
          <w:rFonts w:asciiTheme="minorHAnsi" w:hAnsiTheme="minorHAnsi" w:cstheme="minorHAnsi"/>
          <w:sz w:val="18"/>
          <w:szCs w:val="18"/>
        </w:rPr>
        <w:t>Shahabadi</w:t>
      </w:r>
      <w:proofErr w:type="spellEnd"/>
      <w:r w:rsidRPr="00BD4879">
        <w:rPr>
          <w:rFonts w:asciiTheme="minorHAnsi" w:hAnsiTheme="minorHAnsi" w:cstheme="minorHAnsi"/>
          <w:sz w:val="18"/>
          <w:szCs w:val="18"/>
        </w:rPr>
        <w:t>, “Laccase immobilized onto graphene oxide nanosheets and electrodeposited gold-</w:t>
      </w:r>
      <w:proofErr w:type="spellStart"/>
      <w:r w:rsidRPr="00BD4879">
        <w:rPr>
          <w:rFonts w:asciiTheme="minorHAnsi" w:hAnsiTheme="minorHAnsi" w:cstheme="minorHAnsi"/>
          <w:sz w:val="18"/>
          <w:szCs w:val="18"/>
        </w:rPr>
        <w:t>cetyltrimethylammonium</w:t>
      </w:r>
      <w:proofErr w:type="spellEnd"/>
      <w:r w:rsidRPr="00BD4879">
        <w:rPr>
          <w:rFonts w:asciiTheme="minorHAnsi" w:hAnsiTheme="minorHAnsi" w:cstheme="minorHAnsi"/>
          <w:sz w:val="18"/>
          <w:szCs w:val="18"/>
        </w:rPr>
        <w:t xml:space="preserve"> bromide complex to fabricate a novel catechol biosensor,” Bull. Mater. Sci., vol. 42, p. 51, Feb., 2019, DOI. 10.1007/s12034-018-1717-9.</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C. </w:t>
      </w:r>
      <w:proofErr w:type="spellStart"/>
      <w:r w:rsidRPr="00BD4879">
        <w:rPr>
          <w:rFonts w:asciiTheme="minorHAnsi" w:hAnsiTheme="minorHAnsi" w:cstheme="minorHAnsi"/>
          <w:sz w:val="18"/>
          <w:szCs w:val="18"/>
        </w:rPr>
        <w:t>Opoku-Okrah</w:t>
      </w:r>
      <w:proofErr w:type="spellEnd"/>
      <w:r w:rsidRPr="00BD4879">
        <w:rPr>
          <w:rFonts w:asciiTheme="minorHAnsi" w:hAnsiTheme="minorHAnsi" w:cstheme="minorHAnsi"/>
          <w:sz w:val="18"/>
          <w:szCs w:val="18"/>
        </w:rPr>
        <w:t xml:space="preserve">, B. K. S. </w:t>
      </w:r>
      <w:proofErr w:type="spellStart"/>
      <w:r w:rsidRPr="00BD4879">
        <w:rPr>
          <w:rFonts w:asciiTheme="minorHAnsi" w:hAnsiTheme="minorHAnsi" w:cstheme="minorHAnsi"/>
          <w:sz w:val="18"/>
          <w:szCs w:val="18"/>
        </w:rPr>
        <w:t>Acquah</w:t>
      </w:r>
      <w:proofErr w:type="spellEnd"/>
      <w:r w:rsidRPr="00BD4879">
        <w:rPr>
          <w:rFonts w:asciiTheme="minorHAnsi" w:hAnsiTheme="minorHAnsi" w:cstheme="minorHAnsi"/>
          <w:sz w:val="18"/>
          <w:szCs w:val="18"/>
        </w:rPr>
        <w:t xml:space="preserve">, E. E. </w:t>
      </w:r>
      <w:proofErr w:type="spellStart"/>
      <w:r w:rsidRPr="00BD4879">
        <w:rPr>
          <w:rFonts w:asciiTheme="minorHAnsi" w:hAnsiTheme="minorHAnsi" w:cstheme="minorHAnsi"/>
          <w:sz w:val="18"/>
          <w:szCs w:val="18"/>
        </w:rPr>
        <w:t>Dogbe</w:t>
      </w:r>
      <w:proofErr w:type="spellEnd"/>
      <w:r w:rsidRPr="00BD4879">
        <w:rPr>
          <w:rFonts w:asciiTheme="minorHAnsi" w:hAnsiTheme="minorHAnsi" w:cstheme="minorHAnsi"/>
          <w:sz w:val="18"/>
          <w:szCs w:val="18"/>
        </w:rPr>
        <w:t>, “Changes in potassium and sodium concentrations in stored blood,” Pan Afr. Med. J., vol. 20, p. 236, Mar., 2015, DOI. 10.11604/pamj.2015.20.236.5851.</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lastRenderedPageBreak/>
        <w:t xml:space="preserve">O. </w:t>
      </w:r>
      <w:proofErr w:type="spellStart"/>
      <w:r w:rsidRPr="00BD4879">
        <w:rPr>
          <w:rFonts w:asciiTheme="minorHAnsi" w:hAnsiTheme="minorHAnsi" w:cstheme="minorHAnsi"/>
          <w:sz w:val="18"/>
          <w:szCs w:val="18"/>
        </w:rPr>
        <w:t>Brørs</w:t>
      </w:r>
      <w:proofErr w:type="spellEnd"/>
      <w:r w:rsidRPr="00BD4879">
        <w:rPr>
          <w:rFonts w:asciiTheme="minorHAnsi" w:hAnsiTheme="minorHAnsi" w:cstheme="minorHAnsi"/>
          <w:sz w:val="18"/>
          <w:szCs w:val="18"/>
        </w:rPr>
        <w:t xml:space="preserve">, S. Jacobsen, “pH lability in serum during equilibrium dialysis,” Br. J. </w:t>
      </w:r>
      <w:proofErr w:type="spellStart"/>
      <w:r w:rsidRPr="00BD4879">
        <w:rPr>
          <w:rFonts w:asciiTheme="minorHAnsi" w:hAnsiTheme="minorHAnsi" w:cstheme="minorHAnsi"/>
          <w:sz w:val="18"/>
          <w:szCs w:val="18"/>
        </w:rPr>
        <w:t>Clin</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Pharmac</w:t>
      </w:r>
      <w:proofErr w:type="spellEnd"/>
      <w:r w:rsidRPr="00BD4879">
        <w:rPr>
          <w:rFonts w:asciiTheme="minorHAnsi" w:hAnsiTheme="minorHAnsi" w:cstheme="minorHAnsi"/>
          <w:sz w:val="18"/>
          <w:szCs w:val="18"/>
        </w:rPr>
        <w:t>., vol. 20, no. 1, pp. 85-88, Jul., 1985, DOI. 10.1111/j.1365-</w:t>
      </w:r>
      <w:proofErr w:type="gramStart"/>
      <w:r w:rsidRPr="00BD4879">
        <w:rPr>
          <w:rFonts w:asciiTheme="minorHAnsi" w:hAnsiTheme="minorHAnsi" w:cstheme="minorHAnsi"/>
          <w:sz w:val="18"/>
          <w:szCs w:val="18"/>
        </w:rPr>
        <w:t>2125.1985.tb</w:t>
      </w:r>
      <w:proofErr w:type="gramEnd"/>
      <w:r w:rsidRPr="00BD4879">
        <w:rPr>
          <w:rFonts w:asciiTheme="minorHAnsi" w:hAnsiTheme="minorHAnsi" w:cstheme="minorHAnsi"/>
          <w:sz w:val="18"/>
          <w:szCs w:val="18"/>
        </w:rPr>
        <w:t>02803.x.</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sz w:val="18"/>
          <w:szCs w:val="18"/>
        </w:rPr>
        <w:t xml:space="preserve">J. W. Kim, M. S. Byun, J. H. Lee, D. Yi, S. Y. Jeon, B. K. </w:t>
      </w:r>
      <w:proofErr w:type="spellStart"/>
      <w:r w:rsidRPr="00BD4879">
        <w:rPr>
          <w:rFonts w:asciiTheme="minorHAnsi" w:hAnsiTheme="minorHAnsi" w:cstheme="minorHAnsi"/>
          <w:sz w:val="18"/>
          <w:szCs w:val="18"/>
        </w:rPr>
        <w:t>Sohn</w:t>
      </w:r>
      <w:proofErr w:type="spellEnd"/>
      <w:r w:rsidRPr="00BD4879">
        <w:rPr>
          <w:rFonts w:asciiTheme="minorHAnsi" w:hAnsiTheme="minorHAnsi" w:cstheme="minorHAnsi"/>
          <w:sz w:val="18"/>
          <w:szCs w:val="18"/>
        </w:rPr>
        <w:t xml:space="preserve">, J-Y. Lee, S. A. Shin, Y. K. Kim, K. M. Kang, C-H. </w:t>
      </w:r>
      <w:proofErr w:type="spellStart"/>
      <w:r w:rsidRPr="00BD4879">
        <w:rPr>
          <w:rFonts w:asciiTheme="minorHAnsi" w:hAnsiTheme="minorHAnsi" w:cstheme="minorHAnsi"/>
          <w:sz w:val="18"/>
          <w:szCs w:val="18"/>
        </w:rPr>
        <w:t>Sohn</w:t>
      </w:r>
      <w:proofErr w:type="spellEnd"/>
      <w:r w:rsidRPr="00BD4879">
        <w:rPr>
          <w:rFonts w:asciiTheme="minorHAnsi" w:hAnsiTheme="minorHAnsi" w:cstheme="minorHAnsi"/>
          <w:sz w:val="18"/>
          <w:szCs w:val="18"/>
        </w:rPr>
        <w:t>, D. Y. Lee, “Serum albumin and beta-amyloid deposition in the human brain,” Neurology, vol. 95, no. 7, pp. e815-e826, Aug., 2020, DOI. 10.1212/WNL.0000000000010005.</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 xml:space="preserve">Q. H. </w:t>
      </w:r>
      <w:proofErr w:type="spellStart"/>
      <w:r w:rsidRPr="00BD4879">
        <w:rPr>
          <w:rFonts w:asciiTheme="minorHAnsi" w:hAnsiTheme="minorHAnsi" w:cstheme="minorHAnsi"/>
          <w:sz w:val="18"/>
          <w:szCs w:val="18"/>
        </w:rPr>
        <w:t>Meng</w:t>
      </w:r>
      <w:proofErr w:type="spellEnd"/>
      <w:r w:rsidRPr="00BD4879">
        <w:rPr>
          <w:rFonts w:asciiTheme="minorHAnsi" w:hAnsiTheme="minorHAnsi" w:cstheme="minorHAnsi"/>
          <w:sz w:val="18"/>
          <w:szCs w:val="18"/>
        </w:rPr>
        <w:t xml:space="preserve">, W. C. Irwin, J. </w:t>
      </w:r>
      <w:proofErr w:type="spellStart"/>
      <w:r w:rsidRPr="00BD4879">
        <w:rPr>
          <w:rFonts w:asciiTheme="minorHAnsi" w:hAnsiTheme="minorHAnsi" w:cstheme="minorHAnsi"/>
          <w:sz w:val="18"/>
          <w:szCs w:val="18"/>
        </w:rPr>
        <w:t>Fesser</w:t>
      </w:r>
      <w:proofErr w:type="spellEnd"/>
      <w:r w:rsidRPr="00BD4879">
        <w:rPr>
          <w:rFonts w:asciiTheme="minorHAnsi" w:hAnsiTheme="minorHAnsi" w:cstheme="minorHAnsi"/>
          <w:sz w:val="18"/>
          <w:szCs w:val="18"/>
        </w:rPr>
        <w:t xml:space="preserve">, K. L. Massey, “Interference of ascorbic acid with chemical analytes,” Ann. </w:t>
      </w:r>
      <w:proofErr w:type="spellStart"/>
      <w:r w:rsidRPr="00BD4879">
        <w:rPr>
          <w:rFonts w:asciiTheme="minorHAnsi" w:hAnsiTheme="minorHAnsi" w:cstheme="minorHAnsi"/>
          <w:sz w:val="18"/>
          <w:szCs w:val="18"/>
        </w:rPr>
        <w:t>Clin</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Biochem</w:t>
      </w:r>
      <w:proofErr w:type="spellEnd"/>
      <w:r w:rsidRPr="00BD4879">
        <w:rPr>
          <w:rFonts w:asciiTheme="minorHAnsi" w:hAnsiTheme="minorHAnsi" w:cstheme="minorHAnsi"/>
          <w:sz w:val="18"/>
          <w:szCs w:val="18"/>
        </w:rPr>
        <w:t>., vol. 42, no. 6, pp. 475-477, Nov., 2005, DOI. 10.1258/000456305774538274.</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A. M. Pisoschi, A. Pop, A. I. Serban, C. Fafaneata, “Electrochemical methods for ascorbic acid determination,” Electrochim. Acta, vol. 121, pp. 443-460, Mar., 2014, DOI. 10.1016/j.electacta.2013.12.127.</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 xml:space="preserve">J.-H. </w:t>
      </w:r>
      <w:proofErr w:type="spellStart"/>
      <w:r w:rsidRPr="00BD4879">
        <w:rPr>
          <w:rFonts w:asciiTheme="minorHAnsi" w:hAnsiTheme="minorHAnsi" w:cstheme="minorHAnsi"/>
          <w:sz w:val="18"/>
          <w:szCs w:val="18"/>
        </w:rPr>
        <w:t>Bahk</w:t>
      </w:r>
      <w:proofErr w:type="spellEnd"/>
      <w:r w:rsidRPr="00BD4879">
        <w:rPr>
          <w:rFonts w:asciiTheme="minorHAnsi" w:hAnsiTheme="minorHAnsi" w:cstheme="minorHAnsi"/>
          <w:sz w:val="18"/>
          <w:szCs w:val="18"/>
        </w:rPr>
        <w:t xml:space="preserve">, Y.-J. Lim, “Using </w:t>
      </w:r>
      <w:proofErr w:type="spellStart"/>
      <w:r w:rsidRPr="00BD4879">
        <w:rPr>
          <w:rFonts w:asciiTheme="minorHAnsi" w:hAnsiTheme="minorHAnsi" w:cstheme="minorHAnsi"/>
          <w:sz w:val="18"/>
          <w:szCs w:val="18"/>
        </w:rPr>
        <w:t>intracuff</w:t>
      </w:r>
      <w:proofErr w:type="spellEnd"/>
      <w:r w:rsidRPr="00BD4879">
        <w:rPr>
          <w:rFonts w:asciiTheme="minorHAnsi" w:hAnsiTheme="minorHAnsi" w:cstheme="minorHAnsi"/>
          <w:sz w:val="18"/>
          <w:szCs w:val="18"/>
        </w:rPr>
        <w:t xml:space="preserve"> lidocaine during general anesthesia,” </w:t>
      </w:r>
      <w:proofErr w:type="spellStart"/>
      <w:r w:rsidRPr="00BD4879">
        <w:rPr>
          <w:rFonts w:asciiTheme="minorHAnsi" w:hAnsiTheme="minorHAnsi" w:cstheme="minorHAnsi"/>
          <w:sz w:val="18"/>
          <w:szCs w:val="18"/>
        </w:rPr>
        <w:t>Anesth</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Analg</w:t>
      </w:r>
      <w:proofErr w:type="spellEnd"/>
      <w:r w:rsidRPr="00BD4879">
        <w:rPr>
          <w:rFonts w:asciiTheme="minorHAnsi" w:hAnsiTheme="minorHAnsi" w:cstheme="minorHAnsi"/>
          <w:sz w:val="18"/>
          <w:szCs w:val="18"/>
        </w:rPr>
        <w:t xml:space="preserve">., vol. 92, no. 4, pp. 1073-1077, Apr., 2001, DOI. </w:t>
      </w:r>
      <w:r w:rsidRPr="00BD4879">
        <w:rPr>
          <w:rFonts w:asciiTheme="minorHAnsi" w:hAnsiTheme="minorHAnsi" w:cstheme="minorHAnsi"/>
          <w:color w:val="3B3030"/>
          <w:sz w:val="18"/>
          <w:szCs w:val="18"/>
        </w:rPr>
        <w:t>10.1097/00000539-200104000-00058.</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 xml:space="preserve">F. R. </w:t>
      </w:r>
      <w:proofErr w:type="spellStart"/>
      <w:r w:rsidRPr="00BD4879">
        <w:rPr>
          <w:rFonts w:asciiTheme="minorHAnsi" w:hAnsiTheme="minorHAnsi" w:cstheme="minorHAnsi"/>
          <w:sz w:val="18"/>
          <w:szCs w:val="18"/>
        </w:rPr>
        <w:t>Altermatt</w:t>
      </w:r>
      <w:proofErr w:type="spellEnd"/>
      <w:r w:rsidRPr="00BD4879">
        <w:rPr>
          <w:rFonts w:asciiTheme="minorHAnsi" w:hAnsiTheme="minorHAnsi" w:cstheme="minorHAnsi"/>
          <w:sz w:val="18"/>
          <w:szCs w:val="18"/>
        </w:rPr>
        <w:t xml:space="preserve">, D. A. </w:t>
      </w:r>
      <w:proofErr w:type="spellStart"/>
      <w:r w:rsidRPr="00BD4879">
        <w:rPr>
          <w:rFonts w:asciiTheme="minorHAnsi" w:hAnsiTheme="minorHAnsi" w:cstheme="minorHAnsi"/>
          <w:sz w:val="18"/>
          <w:szCs w:val="18"/>
        </w:rPr>
        <w:t>Bugedo</w:t>
      </w:r>
      <w:proofErr w:type="spellEnd"/>
      <w:r w:rsidRPr="00BD4879">
        <w:rPr>
          <w:rFonts w:asciiTheme="minorHAnsi" w:hAnsiTheme="minorHAnsi" w:cstheme="minorHAnsi"/>
          <w:sz w:val="18"/>
          <w:szCs w:val="18"/>
        </w:rPr>
        <w:t xml:space="preserve">, A. E. </w:t>
      </w:r>
      <w:proofErr w:type="spellStart"/>
      <w:r w:rsidRPr="00BD4879">
        <w:rPr>
          <w:rFonts w:asciiTheme="minorHAnsi" w:hAnsiTheme="minorHAnsi" w:cstheme="minorHAnsi"/>
          <w:sz w:val="18"/>
          <w:szCs w:val="18"/>
        </w:rPr>
        <w:t>Delfino</w:t>
      </w:r>
      <w:proofErr w:type="spellEnd"/>
      <w:r w:rsidRPr="00BD4879">
        <w:rPr>
          <w:rFonts w:asciiTheme="minorHAnsi" w:hAnsiTheme="minorHAnsi" w:cstheme="minorHAnsi"/>
          <w:sz w:val="18"/>
          <w:szCs w:val="18"/>
        </w:rPr>
        <w:t xml:space="preserve">, S. </w:t>
      </w:r>
      <w:proofErr w:type="spellStart"/>
      <w:r w:rsidRPr="00BD4879">
        <w:rPr>
          <w:rFonts w:asciiTheme="minorHAnsi" w:hAnsiTheme="minorHAnsi" w:cstheme="minorHAnsi"/>
          <w:sz w:val="18"/>
          <w:szCs w:val="18"/>
        </w:rPr>
        <w:t>Solari</w:t>
      </w:r>
      <w:proofErr w:type="spellEnd"/>
      <w:r w:rsidRPr="00BD4879">
        <w:rPr>
          <w:rFonts w:asciiTheme="minorHAnsi" w:hAnsiTheme="minorHAnsi" w:cstheme="minorHAnsi"/>
          <w:sz w:val="18"/>
          <w:szCs w:val="18"/>
        </w:rPr>
        <w:t xml:space="preserve">, I. Guerra, H. R. Munoz, L. I. </w:t>
      </w:r>
      <w:proofErr w:type="spellStart"/>
      <w:r w:rsidRPr="00BD4879">
        <w:rPr>
          <w:rFonts w:asciiTheme="minorHAnsi" w:hAnsiTheme="minorHAnsi" w:cstheme="minorHAnsi"/>
          <w:sz w:val="18"/>
          <w:szCs w:val="18"/>
        </w:rPr>
        <w:t>Cortinez</w:t>
      </w:r>
      <w:proofErr w:type="spellEnd"/>
      <w:r w:rsidRPr="00BD4879">
        <w:rPr>
          <w:rFonts w:asciiTheme="minorHAnsi" w:hAnsiTheme="minorHAnsi" w:cstheme="minorHAnsi"/>
          <w:sz w:val="18"/>
          <w:szCs w:val="18"/>
        </w:rPr>
        <w:t xml:space="preserve">, “Evaluation of the effect of intravenous lidocaine on propofol requirements during total intravenous </w:t>
      </w:r>
      <w:proofErr w:type="spellStart"/>
      <w:r w:rsidRPr="00BD4879">
        <w:rPr>
          <w:rFonts w:asciiTheme="minorHAnsi" w:hAnsiTheme="minorHAnsi" w:cstheme="minorHAnsi"/>
          <w:sz w:val="18"/>
          <w:szCs w:val="18"/>
        </w:rPr>
        <w:t>anaesthesia</w:t>
      </w:r>
      <w:proofErr w:type="spellEnd"/>
      <w:r w:rsidRPr="00BD4879">
        <w:rPr>
          <w:rFonts w:asciiTheme="minorHAnsi" w:hAnsiTheme="minorHAnsi" w:cstheme="minorHAnsi"/>
          <w:sz w:val="18"/>
          <w:szCs w:val="18"/>
        </w:rPr>
        <w:t xml:space="preserve"> as measured by </w:t>
      </w:r>
      <w:proofErr w:type="spellStart"/>
      <w:r w:rsidRPr="00BD4879">
        <w:rPr>
          <w:rFonts w:asciiTheme="minorHAnsi" w:hAnsiTheme="minorHAnsi" w:cstheme="minorHAnsi"/>
          <w:sz w:val="18"/>
          <w:szCs w:val="18"/>
        </w:rPr>
        <w:t>bispectral</w:t>
      </w:r>
      <w:proofErr w:type="spellEnd"/>
      <w:r w:rsidRPr="00BD4879">
        <w:rPr>
          <w:rFonts w:asciiTheme="minorHAnsi" w:hAnsiTheme="minorHAnsi" w:cstheme="minorHAnsi"/>
          <w:sz w:val="18"/>
          <w:szCs w:val="18"/>
        </w:rPr>
        <w:t xml:space="preserve"> index,” Br. J. </w:t>
      </w:r>
      <w:proofErr w:type="spellStart"/>
      <w:r w:rsidRPr="00BD4879">
        <w:rPr>
          <w:rFonts w:asciiTheme="minorHAnsi" w:hAnsiTheme="minorHAnsi" w:cstheme="minorHAnsi"/>
          <w:sz w:val="18"/>
          <w:szCs w:val="18"/>
        </w:rPr>
        <w:t>Anaesth</w:t>
      </w:r>
      <w:proofErr w:type="spellEnd"/>
      <w:r w:rsidRPr="00BD4879">
        <w:rPr>
          <w:rFonts w:asciiTheme="minorHAnsi" w:hAnsiTheme="minorHAnsi" w:cstheme="minorHAnsi"/>
          <w:sz w:val="18"/>
          <w:szCs w:val="18"/>
        </w:rPr>
        <w:t>., vol. 108, no. 6, pp. 979-983, Jun., 2012, DOI. 10.1093/</w:t>
      </w:r>
      <w:proofErr w:type="spellStart"/>
      <w:r w:rsidRPr="00BD4879">
        <w:rPr>
          <w:rFonts w:asciiTheme="minorHAnsi" w:hAnsiTheme="minorHAnsi" w:cstheme="minorHAnsi"/>
          <w:sz w:val="18"/>
          <w:szCs w:val="18"/>
        </w:rPr>
        <w:t>bja</w:t>
      </w:r>
      <w:proofErr w:type="spellEnd"/>
      <w:r w:rsidRPr="00BD4879">
        <w:rPr>
          <w:rFonts w:asciiTheme="minorHAnsi" w:hAnsiTheme="minorHAnsi" w:cstheme="minorHAnsi"/>
          <w:sz w:val="18"/>
          <w:szCs w:val="18"/>
        </w:rPr>
        <w:t>/aes097.</w:t>
      </w:r>
    </w:p>
    <w:p w:rsidR="00BD4879" w:rsidRPr="00BD4879" w:rsidRDefault="00BD4879" w:rsidP="00BD4879">
      <w:pPr>
        <w:pStyle w:val="References"/>
        <w:tabs>
          <w:tab w:val="clear" w:pos="1170"/>
          <w:tab w:val="num" w:pos="360"/>
        </w:tabs>
        <w:ind w:left="360"/>
        <w:jc w:val="left"/>
        <w:rPr>
          <w:rStyle w:val="identifier"/>
          <w:rFonts w:asciiTheme="minorHAnsi" w:hAnsiTheme="minorHAnsi" w:cstheme="minorHAnsi"/>
          <w:sz w:val="18"/>
          <w:szCs w:val="18"/>
        </w:rPr>
      </w:pPr>
      <w:r w:rsidRPr="00BD4879">
        <w:rPr>
          <w:rFonts w:asciiTheme="minorHAnsi" w:hAnsiTheme="minorHAnsi" w:cstheme="minorHAnsi"/>
          <w:noProof/>
          <w:sz w:val="18"/>
          <w:szCs w:val="18"/>
        </w:rPr>
        <w:t xml:space="preserve">S. </w:t>
      </w:r>
      <w:proofErr w:type="spellStart"/>
      <w:r w:rsidRPr="00BD4879">
        <w:rPr>
          <w:rFonts w:asciiTheme="minorHAnsi" w:hAnsiTheme="minorHAnsi" w:cstheme="minorHAnsi"/>
          <w:sz w:val="18"/>
          <w:szCs w:val="18"/>
        </w:rPr>
        <w:t>Imaoka</w:t>
      </w:r>
      <w:proofErr w:type="spellEnd"/>
      <w:r w:rsidRPr="00BD4879">
        <w:rPr>
          <w:rFonts w:asciiTheme="minorHAnsi" w:hAnsiTheme="minorHAnsi" w:cstheme="minorHAnsi"/>
          <w:sz w:val="18"/>
          <w:szCs w:val="18"/>
        </w:rPr>
        <w:t xml:space="preserve">, T. Yamada, T. </w:t>
      </w:r>
      <w:proofErr w:type="spellStart"/>
      <w:r w:rsidRPr="00BD4879">
        <w:rPr>
          <w:rFonts w:asciiTheme="minorHAnsi" w:hAnsiTheme="minorHAnsi" w:cstheme="minorHAnsi"/>
          <w:sz w:val="18"/>
          <w:szCs w:val="18"/>
        </w:rPr>
        <w:t>Hiroi</w:t>
      </w:r>
      <w:proofErr w:type="spellEnd"/>
      <w:r w:rsidRPr="00BD4879">
        <w:rPr>
          <w:rFonts w:asciiTheme="minorHAnsi" w:hAnsiTheme="minorHAnsi" w:cstheme="minorHAnsi"/>
          <w:sz w:val="18"/>
          <w:szCs w:val="18"/>
        </w:rPr>
        <w:t xml:space="preserve">, K. Hayashi, T. </w:t>
      </w:r>
      <w:proofErr w:type="spellStart"/>
      <w:r w:rsidRPr="00BD4879">
        <w:rPr>
          <w:rFonts w:asciiTheme="minorHAnsi" w:hAnsiTheme="minorHAnsi" w:cstheme="minorHAnsi"/>
          <w:sz w:val="18"/>
          <w:szCs w:val="18"/>
        </w:rPr>
        <w:t>Sakaki</w:t>
      </w:r>
      <w:proofErr w:type="spellEnd"/>
      <w:r w:rsidRPr="00BD4879">
        <w:rPr>
          <w:rFonts w:asciiTheme="minorHAnsi" w:hAnsiTheme="minorHAnsi" w:cstheme="minorHAnsi"/>
          <w:sz w:val="18"/>
          <w:szCs w:val="18"/>
        </w:rPr>
        <w:t xml:space="preserve">, Y. </w:t>
      </w:r>
      <w:proofErr w:type="spellStart"/>
      <w:r w:rsidRPr="00BD4879">
        <w:rPr>
          <w:rFonts w:asciiTheme="minorHAnsi" w:hAnsiTheme="minorHAnsi" w:cstheme="minorHAnsi"/>
          <w:sz w:val="18"/>
          <w:szCs w:val="18"/>
        </w:rPr>
        <w:t>Yabusaki</w:t>
      </w:r>
      <w:proofErr w:type="spellEnd"/>
      <w:r w:rsidRPr="00BD4879">
        <w:rPr>
          <w:rFonts w:asciiTheme="minorHAnsi" w:hAnsiTheme="minorHAnsi" w:cstheme="minorHAnsi"/>
          <w:sz w:val="18"/>
          <w:szCs w:val="18"/>
        </w:rPr>
        <w:t xml:space="preserve">, Y. </w:t>
      </w:r>
      <w:proofErr w:type="spellStart"/>
      <w:r w:rsidRPr="00BD4879">
        <w:rPr>
          <w:rFonts w:asciiTheme="minorHAnsi" w:hAnsiTheme="minorHAnsi" w:cstheme="minorHAnsi"/>
          <w:sz w:val="18"/>
          <w:szCs w:val="18"/>
        </w:rPr>
        <w:t>Funae</w:t>
      </w:r>
      <w:proofErr w:type="spellEnd"/>
      <w:r w:rsidRPr="00BD4879">
        <w:rPr>
          <w:rFonts w:asciiTheme="minorHAnsi" w:hAnsiTheme="minorHAnsi" w:cstheme="minorHAnsi"/>
          <w:sz w:val="18"/>
          <w:szCs w:val="18"/>
        </w:rPr>
        <w:t xml:space="preserve">, “Multiple forms of human P450 expressed in saccharomyces cerevisiae,” </w:t>
      </w:r>
      <w:proofErr w:type="spellStart"/>
      <w:r w:rsidRPr="00BD4879">
        <w:rPr>
          <w:rFonts w:asciiTheme="minorHAnsi" w:hAnsiTheme="minorHAnsi" w:cstheme="minorHAnsi"/>
          <w:sz w:val="18"/>
          <w:szCs w:val="18"/>
        </w:rPr>
        <w:t>Biochem</w:t>
      </w:r>
      <w:proofErr w:type="spellEnd"/>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Pharmacol</w:t>
      </w:r>
      <w:proofErr w:type="spellEnd"/>
      <w:r w:rsidRPr="00BD4879">
        <w:rPr>
          <w:rFonts w:asciiTheme="minorHAnsi" w:hAnsiTheme="minorHAnsi" w:cstheme="minorHAnsi"/>
          <w:sz w:val="18"/>
          <w:szCs w:val="18"/>
        </w:rPr>
        <w:t xml:space="preserve">., vol. 51, no. 8, pp. 1041-1050, Apr., 1996, DOI. </w:t>
      </w:r>
      <w:r w:rsidRPr="00BD4879">
        <w:rPr>
          <w:rStyle w:val="identifier"/>
          <w:rFonts w:asciiTheme="minorHAnsi" w:hAnsiTheme="minorHAnsi" w:cstheme="minorHAnsi"/>
          <w:color w:val="212121"/>
          <w:sz w:val="18"/>
          <w:szCs w:val="18"/>
        </w:rPr>
        <w:t>10.1016/0006-2952(96)00052-4.</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S.</w:t>
      </w:r>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Thobhani</w:t>
      </w:r>
      <w:proofErr w:type="spellEnd"/>
      <w:r w:rsidRPr="00BD4879">
        <w:rPr>
          <w:rFonts w:asciiTheme="minorHAnsi" w:hAnsiTheme="minorHAnsi" w:cstheme="minorHAnsi"/>
          <w:sz w:val="18"/>
          <w:szCs w:val="18"/>
        </w:rPr>
        <w:t xml:space="preserve">, S. </w:t>
      </w:r>
      <w:proofErr w:type="spellStart"/>
      <w:r w:rsidRPr="00BD4879">
        <w:rPr>
          <w:rFonts w:asciiTheme="minorHAnsi" w:hAnsiTheme="minorHAnsi" w:cstheme="minorHAnsi"/>
          <w:sz w:val="18"/>
          <w:szCs w:val="18"/>
        </w:rPr>
        <w:t>Attree</w:t>
      </w:r>
      <w:proofErr w:type="spellEnd"/>
      <w:r w:rsidRPr="00BD4879">
        <w:rPr>
          <w:rFonts w:asciiTheme="minorHAnsi" w:hAnsiTheme="minorHAnsi" w:cstheme="minorHAnsi"/>
          <w:sz w:val="18"/>
          <w:szCs w:val="18"/>
        </w:rPr>
        <w:t xml:space="preserve">, R. Boyd, N. </w:t>
      </w:r>
      <w:proofErr w:type="spellStart"/>
      <w:r w:rsidRPr="00BD4879">
        <w:rPr>
          <w:rFonts w:asciiTheme="minorHAnsi" w:hAnsiTheme="minorHAnsi" w:cstheme="minorHAnsi"/>
          <w:sz w:val="18"/>
          <w:szCs w:val="18"/>
        </w:rPr>
        <w:t>Kumarswami</w:t>
      </w:r>
      <w:proofErr w:type="spellEnd"/>
      <w:r w:rsidRPr="00BD4879">
        <w:rPr>
          <w:rFonts w:asciiTheme="minorHAnsi" w:hAnsiTheme="minorHAnsi" w:cstheme="minorHAnsi"/>
          <w:sz w:val="18"/>
          <w:szCs w:val="18"/>
        </w:rPr>
        <w:t>, J. Noble, M. Szymanski, R. A. Porter, “</w:t>
      </w:r>
      <w:proofErr w:type="spellStart"/>
      <w:r w:rsidRPr="00BD4879">
        <w:rPr>
          <w:rFonts w:asciiTheme="minorHAnsi" w:hAnsiTheme="minorHAnsi" w:cstheme="minorHAnsi"/>
          <w:sz w:val="18"/>
          <w:szCs w:val="18"/>
        </w:rPr>
        <w:t>Bioconjugation</w:t>
      </w:r>
      <w:proofErr w:type="spellEnd"/>
      <w:r w:rsidRPr="00BD4879">
        <w:rPr>
          <w:rFonts w:asciiTheme="minorHAnsi" w:hAnsiTheme="minorHAnsi" w:cstheme="minorHAnsi"/>
          <w:sz w:val="18"/>
          <w:szCs w:val="18"/>
        </w:rPr>
        <w:t xml:space="preserve"> and characterization of gold colloid-labelled proteins,” J. </w:t>
      </w:r>
      <w:proofErr w:type="spellStart"/>
      <w:r w:rsidRPr="00BD4879">
        <w:rPr>
          <w:rFonts w:asciiTheme="minorHAnsi" w:hAnsiTheme="minorHAnsi" w:cstheme="minorHAnsi"/>
          <w:sz w:val="18"/>
          <w:szCs w:val="18"/>
        </w:rPr>
        <w:t>Immunol</w:t>
      </w:r>
      <w:proofErr w:type="spellEnd"/>
      <w:r w:rsidRPr="00BD4879">
        <w:rPr>
          <w:rFonts w:asciiTheme="minorHAnsi" w:hAnsiTheme="minorHAnsi" w:cstheme="minorHAnsi"/>
          <w:sz w:val="18"/>
          <w:szCs w:val="18"/>
        </w:rPr>
        <w:t>. Meth., vol. 356, no. 1-2, pp. 60-69, Apr., 2010, DOI. 10.1016/j.jim.2010.02.007.</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S.</w:t>
      </w:r>
      <w:r w:rsidRPr="00BD4879">
        <w:rPr>
          <w:rFonts w:asciiTheme="minorHAnsi" w:hAnsiTheme="minorHAnsi" w:cstheme="minorHAnsi"/>
          <w:sz w:val="18"/>
          <w:szCs w:val="18"/>
        </w:rPr>
        <w:t xml:space="preserve"> Zhao, X. Ji, P. Lin, Y-M. Liu, “A gold nanoparticle-mediated enzyme bioreactor for inhibitor screening by capillary electrophoresis,” Anal. </w:t>
      </w:r>
      <w:proofErr w:type="spellStart"/>
      <w:r w:rsidRPr="00BD4879">
        <w:rPr>
          <w:rFonts w:asciiTheme="minorHAnsi" w:hAnsiTheme="minorHAnsi" w:cstheme="minorHAnsi"/>
          <w:sz w:val="18"/>
          <w:szCs w:val="18"/>
        </w:rPr>
        <w:t>Biochem</w:t>
      </w:r>
      <w:proofErr w:type="spellEnd"/>
      <w:r w:rsidRPr="00BD4879">
        <w:rPr>
          <w:rFonts w:asciiTheme="minorHAnsi" w:hAnsiTheme="minorHAnsi" w:cstheme="minorHAnsi"/>
          <w:sz w:val="18"/>
          <w:szCs w:val="18"/>
        </w:rPr>
        <w:t>., vol. 411, no. 1, pp. 88-93, Apr., 2011, DOI. 10.1016/j.ab.2010.12.025.</w:t>
      </w:r>
    </w:p>
    <w:p w:rsidR="00BD4879" w:rsidRPr="00BD4879" w:rsidRDefault="00BD4879" w:rsidP="00BD4879">
      <w:pPr>
        <w:pStyle w:val="References"/>
        <w:tabs>
          <w:tab w:val="clear" w:pos="1170"/>
          <w:tab w:val="num" w:pos="360"/>
        </w:tabs>
        <w:ind w:left="360"/>
        <w:jc w:val="left"/>
        <w:rPr>
          <w:rFonts w:asciiTheme="minorHAnsi" w:hAnsiTheme="minorHAnsi" w:cstheme="minorHAnsi"/>
          <w:sz w:val="18"/>
          <w:szCs w:val="18"/>
        </w:rPr>
      </w:pPr>
      <w:r w:rsidRPr="00BD4879">
        <w:rPr>
          <w:rFonts w:asciiTheme="minorHAnsi" w:hAnsiTheme="minorHAnsi" w:cstheme="minorHAnsi"/>
          <w:noProof/>
          <w:sz w:val="18"/>
          <w:szCs w:val="18"/>
        </w:rPr>
        <w:t>F.</w:t>
      </w:r>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Gherardi</w:t>
      </w:r>
      <w:proofErr w:type="spellEnd"/>
      <w:r w:rsidRPr="00BD4879">
        <w:rPr>
          <w:rFonts w:asciiTheme="minorHAnsi" w:hAnsiTheme="minorHAnsi" w:cstheme="minorHAnsi"/>
          <w:sz w:val="18"/>
          <w:szCs w:val="18"/>
        </w:rPr>
        <w:t xml:space="preserve">, L. </w:t>
      </w:r>
      <w:proofErr w:type="spellStart"/>
      <w:r w:rsidRPr="00BD4879">
        <w:rPr>
          <w:rFonts w:asciiTheme="minorHAnsi" w:hAnsiTheme="minorHAnsi" w:cstheme="minorHAnsi"/>
          <w:sz w:val="18"/>
          <w:szCs w:val="18"/>
        </w:rPr>
        <w:t>Turyanska</w:t>
      </w:r>
      <w:proofErr w:type="spellEnd"/>
      <w:r w:rsidRPr="00BD4879">
        <w:rPr>
          <w:rFonts w:asciiTheme="minorHAnsi" w:hAnsiTheme="minorHAnsi" w:cstheme="minorHAnsi"/>
          <w:sz w:val="18"/>
          <w:szCs w:val="18"/>
        </w:rPr>
        <w:t xml:space="preserve">, E. Ferrari, N. Weston, M. W. Fay, B. J. </w:t>
      </w:r>
      <w:proofErr w:type="spellStart"/>
      <w:r w:rsidRPr="00BD4879">
        <w:rPr>
          <w:rFonts w:asciiTheme="minorHAnsi" w:hAnsiTheme="minorHAnsi" w:cstheme="minorHAnsi"/>
          <w:sz w:val="18"/>
          <w:szCs w:val="18"/>
        </w:rPr>
        <w:t>Colston</w:t>
      </w:r>
      <w:proofErr w:type="spellEnd"/>
      <w:r w:rsidRPr="00BD4879">
        <w:rPr>
          <w:rFonts w:asciiTheme="minorHAnsi" w:hAnsiTheme="minorHAnsi" w:cstheme="minorHAnsi"/>
          <w:sz w:val="18"/>
          <w:szCs w:val="18"/>
        </w:rPr>
        <w:t xml:space="preserve">, “Immobilized enzymes on gold nanoparticles: From enhanced stability to cleaning of heritage textiles,” ACS Appl. Bio Mater., vol. 2, no. 11, pp. 5136-5143, Oct., 2019, DOI. 10.1021/acsabm.9b00802. </w:t>
      </w:r>
    </w:p>
    <w:p w:rsidR="00BD4879" w:rsidRPr="00BD4879" w:rsidRDefault="00BD4879" w:rsidP="00BD4879">
      <w:pPr>
        <w:pStyle w:val="References"/>
        <w:tabs>
          <w:tab w:val="clear" w:pos="1170"/>
          <w:tab w:val="num" w:pos="360"/>
        </w:tabs>
        <w:ind w:left="360"/>
        <w:rPr>
          <w:rFonts w:asciiTheme="minorHAnsi" w:hAnsiTheme="minorHAnsi" w:cstheme="minorHAnsi"/>
          <w:sz w:val="18"/>
          <w:szCs w:val="18"/>
        </w:rPr>
      </w:pPr>
      <w:r w:rsidRPr="00BD4879">
        <w:rPr>
          <w:rFonts w:asciiTheme="minorHAnsi" w:hAnsiTheme="minorHAnsi" w:cstheme="minorHAnsi"/>
          <w:noProof/>
          <w:sz w:val="18"/>
          <w:szCs w:val="18"/>
        </w:rPr>
        <w:t>F.</w:t>
      </w:r>
      <w:r w:rsidRPr="00BD4879">
        <w:rPr>
          <w:rFonts w:asciiTheme="minorHAnsi" w:hAnsiTheme="minorHAnsi" w:cstheme="minorHAnsi"/>
          <w:sz w:val="18"/>
          <w:szCs w:val="18"/>
        </w:rPr>
        <w:t xml:space="preserve"> </w:t>
      </w:r>
      <w:proofErr w:type="spellStart"/>
      <w:r w:rsidRPr="00BD4879">
        <w:rPr>
          <w:rFonts w:asciiTheme="minorHAnsi" w:hAnsiTheme="minorHAnsi" w:cstheme="minorHAnsi"/>
          <w:sz w:val="18"/>
          <w:szCs w:val="18"/>
        </w:rPr>
        <w:t>Baldini</w:t>
      </w:r>
      <w:proofErr w:type="spellEnd"/>
      <w:r w:rsidRPr="00BD4879">
        <w:rPr>
          <w:rFonts w:asciiTheme="minorHAnsi" w:hAnsiTheme="minorHAnsi" w:cstheme="minorHAnsi"/>
          <w:sz w:val="18"/>
          <w:szCs w:val="18"/>
        </w:rPr>
        <w:t>, “</w:t>
      </w:r>
      <w:proofErr w:type="spellStart"/>
      <w:r w:rsidRPr="00BD4879">
        <w:rPr>
          <w:rFonts w:asciiTheme="minorHAnsi" w:hAnsiTheme="minorHAnsi" w:cstheme="minorHAnsi"/>
          <w:sz w:val="18"/>
          <w:szCs w:val="18"/>
        </w:rPr>
        <w:t>Microdialysis</w:t>
      </w:r>
      <w:proofErr w:type="spellEnd"/>
      <w:r w:rsidRPr="00BD4879">
        <w:rPr>
          <w:rFonts w:asciiTheme="minorHAnsi" w:hAnsiTheme="minorHAnsi" w:cstheme="minorHAnsi"/>
          <w:sz w:val="18"/>
          <w:szCs w:val="18"/>
        </w:rPr>
        <w:t xml:space="preserve">-based sensing in clinical applications,” Anal. </w:t>
      </w:r>
      <w:proofErr w:type="spellStart"/>
      <w:r w:rsidRPr="00BD4879">
        <w:rPr>
          <w:rFonts w:asciiTheme="minorHAnsi" w:hAnsiTheme="minorHAnsi" w:cstheme="minorHAnsi"/>
          <w:sz w:val="18"/>
          <w:szCs w:val="18"/>
        </w:rPr>
        <w:t>Bioanal</w:t>
      </w:r>
      <w:proofErr w:type="spellEnd"/>
      <w:r w:rsidRPr="00BD4879">
        <w:rPr>
          <w:rFonts w:asciiTheme="minorHAnsi" w:hAnsiTheme="minorHAnsi" w:cstheme="minorHAnsi"/>
          <w:sz w:val="18"/>
          <w:szCs w:val="18"/>
        </w:rPr>
        <w:t>. Chem., vol. 397, pp. 909-916, Mar., 2010, DOI. 10.1007/s00216-010-3626-7.</w:t>
      </w:r>
    </w:p>
    <w:p w:rsidR="00BD4879" w:rsidRPr="00BD4879" w:rsidRDefault="00BD4879" w:rsidP="00BD4879">
      <w:pPr>
        <w:jc w:val="both"/>
        <w:rPr>
          <w:rFonts w:cstheme="minorHAnsi"/>
        </w:rPr>
      </w:pPr>
    </w:p>
    <w:p w:rsidR="00D37874" w:rsidRPr="00D37874" w:rsidRDefault="00D37874" w:rsidP="00D37874"/>
    <w:sectPr w:rsidR="00D37874" w:rsidRPr="00D37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FC9"/>
    <w:multiLevelType w:val="hybridMultilevel"/>
    <w:tmpl w:val="67A82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 w15:restartNumberingAfterBreak="0">
    <w:nsid w:val="43A54FC0"/>
    <w:multiLevelType w:val="hybridMultilevel"/>
    <w:tmpl w:val="12A6DBE6"/>
    <w:lvl w:ilvl="0" w:tplc="0809000F">
      <w:start w:val="1"/>
      <w:numFmt w:val="decimal"/>
      <w:lvlText w:val="%1."/>
      <w:lvlJc w:val="left"/>
      <w:pPr>
        <w:ind w:left="720" w:hanging="360"/>
      </w:pPr>
    </w:lvl>
    <w:lvl w:ilvl="1" w:tplc="B7445D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DE"/>
    <w:rsid w:val="000E5002"/>
    <w:rsid w:val="00182A10"/>
    <w:rsid w:val="002259EE"/>
    <w:rsid w:val="00235D45"/>
    <w:rsid w:val="00265FDE"/>
    <w:rsid w:val="00411751"/>
    <w:rsid w:val="00445A64"/>
    <w:rsid w:val="006E19F6"/>
    <w:rsid w:val="00801366"/>
    <w:rsid w:val="0084555E"/>
    <w:rsid w:val="00987A87"/>
    <w:rsid w:val="00A67B8D"/>
    <w:rsid w:val="00BD4879"/>
    <w:rsid w:val="00D37874"/>
    <w:rsid w:val="00F60732"/>
    <w:rsid w:val="00F9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54E8"/>
  <w15:chartTrackingRefBased/>
  <w15:docId w15:val="{FFA224DB-BC61-46FF-97BC-1C686DAF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78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78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78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874"/>
    <w:rPr>
      <w:rFonts w:asciiTheme="majorHAnsi" w:eastAsiaTheme="majorEastAsia" w:hAnsiTheme="majorHAnsi" w:cstheme="majorBidi"/>
      <w:spacing w:val="-10"/>
      <w:kern w:val="28"/>
      <w:sz w:val="56"/>
      <w:szCs w:val="56"/>
    </w:rPr>
  </w:style>
  <w:style w:type="paragraph" w:customStyle="1" w:styleId="Authors">
    <w:name w:val="Authors"/>
    <w:basedOn w:val="Normal"/>
    <w:next w:val="Normal"/>
    <w:rsid w:val="00D37874"/>
    <w:pPr>
      <w:framePr w:w="9072" w:hSpace="187" w:vSpace="187" w:wrap="notBeside" w:vAnchor="text" w:hAnchor="page" w:xAlign="center" w:y="1"/>
      <w:spacing w:after="320" w:line="240" w:lineRule="auto"/>
      <w:jc w:val="center"/>
    </w:pPr>
    <w:rPr>
      <w:rFonts w:ascii="Helvetica" w:eastAsia="Times New Roman" w:hAnsi="Helvetica" w:cs="Times New Roman"/>
      <w:lang w:val="en-US"/>
    </w:rPr>
  </w:style>
  <w:style w:type="character" w:customStyle="1" w:styleId="Heading1Char">
    <w:name w:val="Heading 1 Char"/>
    <w:basedOn w:val="DefaultParagraphFont"/>
    <w:link w:val="Heading1"/>
    <w:uiPriority w:val="9"/>
    <w:rsid w:val="00D37874"/>
    <w:rPr>
      <w:rFonts w:asciiTheme="majorHAnsi" w:eastAsiaTheme="majorEastAsia" w:hAnsiTheme="majorHAnsi" w:cstheme="majorBidi"/>
      <w:color w:val="2E74B5" w:themeColor="accent1" w:themeShade="BF"/>
      <w:sz w:val="32"/>
      <w:szCs w:val="32"/>
    </w:rPr>
  </w:style>
  <w:style w:type="paragraph" w:customStyle="1" w:styleId="Text">
    <w:name w:val="Text"/>
    <w:basedOn w:val="Normal"/>
    <w:link w:val="TextChar"/>
    <w:rsid w:val="00D37874"/>
    <w:pPr>
      <w:widowControl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PARA">
    <w:name w:val="PARA"/>
    <w:basedOn w:val="Text"/>
    <w:link w:val="PARAChar"/>
    <w:rsid w:val="00D37874"/>
    <w:pPr>
      <w:ind w:firstLine="0"/>
    </w:pPr>
    <w:rPr>
      <w:rFonts w:ascii="Times" w:hAnsi="Times"/>
    </w:rPr>
  </w:style>
  <w:style w:type="character" w:customStyle="1" w:styleId="TextChar">
    <w:name w:val="Text Char"/>
    <w:link w:val="Text"/>
    <w:rsid w:val="00D37874"/>
    <w:rPr>
      <w:rFonts w:ascii="Times New Roman" w:eastAsia="Times New Roman" w:hAnsi="Times New Roman" w:cs="Times New Roman"/>
      <w:sz w:val="20"/>
      <w:szCs w:val="20"/>
      <w:lang w:val="en-US"/>
    </w:rPr>
  </w:style>
  <w:style w:type="character" w:customStyle="1" w:styleId="PARAChar">
    <w:name w:val="PARA Char"/>
    <w:link w:val="PARA"/>
    <w:rsid w:val="00D37874"/>
    <w:rPr>
      <w:rFonts w:ascii="Times" w:eastAsia="Times New Roman" w:hAnsi="Times" w:cs="Times New Roman"/>
      <w:sz w:val="20"/>
      <w:szCs w:val="20"/>
      <w:lang w:val="en-US"/>
    </w:rPr>
  </w:style>
  <w:style w:type="paragraph" w:styleId="ListParagraph">
    <w:name w:val="List Paragraph"/>
    <w:basedOn w:val="Normal"/>
    <w:uiPriority w:val="34"/>
    <w:qFormat/>
    <w:rsid w:val="00D37874"/>
    <w:pPr>
      <w:ind w:left="720"/>
      <w:contextualSpacing/>
    </w:pPr>
  </w:style>
  <w:style w:type="character" w:customStyle="1" w:styleId="Heading2Char">
    <w:name w:val="Heading 2 Char"/>
    <w:basedOn w:val="DefaultParagraphFont"/>
    <w:link w:val="Heading2"/>
    <w:uiPriority w:val="9"/>
    <w:rsid w:val="00D37874"/>
    <w:rPr>
      <w:rFonts w:asciiTheme="majorHAnsi" w:eastAsiaTheme="majorEastAsia" w:hAnsiTheme="majorHAnsi" w:cstheme="majorBidi"/>
      <w:color w:val="2E74B5" w:themeColor="accent1" w:themeShade="BF"/>
      <w:sz w:val="26"/>
      <w:szCs w:val="26"/>
    </w:rPr>
  </w:style>
  <w:style w:type="paragraph" w:customStyle="1" w:styleId="PARAIndent">
    <w:name w:val="PARA_Indent"/>
    <w:basedOn w:val="Text"/>
    <w:link w:val="PARAIndentChar"/>
    <w:rsid w:val="00182A10"/>
    <w:pPr>
      <w:spacing w:line="240" w:lineRule="auto"/>
    </w:pPr>
    <w:rPr>
      <w:rFonts w:ascii="Times" w:hAnsi="Times"/>
    </w:rPr>
  </w:style>
  <w:style w:type="character" w:customStyle="1" w:styleId="PARAIndentChar">
    <w:name w:val="PARA_Indent Char"/>
    <w:link w:val="PARAIndent"/>
    <w:rsid w:val="00182A10"/>
    <w:rPr>
      <w:rFonts w:ascii="Times" w:eastAsia="Times New Roman" w:hAnsi="Times" w:cs="Times New Roman"/>
      <w:sz w:val="20"/>
      <w:szCs w:val="20"/>
      <w:lang w:val="en-US"/>
    </w:rPr>
  </w:style>
  <w:style w:type="paragraph" w:customStyle="1" w:styleId="References">
    <w:name w:val="References"/>
    <w:basedOn w:val="Normal"/>
    <w:rsid w:val="00BD4879"/>
    <w:pPr>
      <w:numPr>
        <w:numId w:val="3"/>
      </w:numPr>
      <w:spacing w:after="0" w:line="240" w:lineRule="auto"/>
      <w:jc w:val="both"/>
    </w:pPr>
    <w:rPr>
      <w:rFonts w:ascii="Times New Roman" w:eastAsia="Times New Roman" w:hAnsi="Times New Roman" w:cs="Times New Roman"/>
      <w:sz w:val="16"/>
      <w:szCs w:val="16"/>
      <w:lang w:val="en-US"/>
    </w:rPr>
  </w:style>
  <w:style w:type="character" w:customStyle="1" w:styleId="identifier">
    <w:name w:val="identifier"/>
    <w:basedOn w:val="DefaultParagraphFont"/>
    <w:rsid w:val="00BD4879"/>
  </w:style>
  <w:style w:type="paragraph" w:styleId="Caption">
    <w:name w:val="caption"/>
    <w:basedOn w:val="Normal"/>
    <w:next w:val="Normal"/>
    <w:uiPriority w:val="35"/>
    <w:unhideWhenUsed/>
    <w:qFormat/>
    <w:rsid w:val="00A67B8D"/>
    <w:pPr>
      <w:spacing w:after="200" w:line="240" w:lineRule="auto"/>
    </w:pPr>
    <w:rPr>
      <w:i/>
      <w:iCs/>
      <w:color w:val="44546A" w:themeColor="text2"/>
      <w:sz w:val="18"/>
      <w:szCs w:val="18"/>
    </w:rPr>
  </w:style>
  <w:style w:type="table" w:styleId="TableGrid">
    <w:name w:val="Table Grid"/>
    <w:basedOn w:val="TableNormal"/>
    <w:uiPriority w:val="39"/>
    <w:rsid w:val="00F90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5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8.tiff"/><Relationship Id="rId3" Type="http://schemas.openxmlformats.org/officeDocument/2006/relationships/styles" Target="styles.xml"/><Relationship Id="rId7" Type="http://schemas.openxmlformats.org/officeDocument/2006/relationships/image" Target="media/image2.tiff"/><Relationship Id="rId12" Type="http://schemas.openxmlformats.org/officeDocument/2006/relationships/image" Target="media/image7.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image" Target="media/image6.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image" Target="media/image4.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BC89656-ACCE-44D0-9B85-089DB921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5119</Words>
  <Characters>29183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Ferrier</dc:creator>
  <cp:keywords/>
  <dc:description/>
  <cp:lastModifiedBy>David Ferrier</cp:lastModifiedBy>
  <cp:revision>12</cp:revision>
  <cp:lastPrinted>2021-09-14T08:29:00Z</cp:lastPrinted>
  <dcterms:created xsi:type="dcterms:W3CDTF">2021-09-13T12:23:00Z</dcterms:created>
  <dcterms:modified xsi:type="dcterms:W3CDTF">2021-09-14T08:41:00Z</dcterms:modified>
</cp:coreProperties>
</file>