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A572" w14:textId="77777777" w:rsidR="00483087" w:rsidRDefault="00483087" w:rsidP="00E209A5">
      <w:pPr>
        <w:spacing w:before="120" w:after="120" w:line="276" w:lineRule="auto"/>
        <w:jc w:val="center"/>
        <w:rPr>
          <w:rFonts w:ascii="Cambria" w:hAnsi="Cambria"/>
          <w:b/>
          <w:bCs/>
          <w:sz w:val="24"/>
          <w:szCs w:val="24"/>
        </w:rPr>
      </w:pPr>
    </w:p>
    <w:p w14:paraId="15FFA8D4" w14:textId="77777777" w:rsidR="00483087" w:rsidRDefault="00483087" w:rsidP="00E209A5">
      <w:pPr>
        <w:spacing w:before="120" w:after="120" w:line="276" w:lineRule="auto"/>
        <w:jc w:val="center"/>
        <w:rPr>
          <w:rFonts w:ascii="Cambria" w:hAnsi="Cambria"/>
          <w:b/>
          <w:bCs/>
          <w:sz w:val="24"/>
          <w:szCs w:val="24"/>
        </w:rPr>
      </w:pPr>
    </w:p>
    <w:p w14:paraId="7460CAD6" w14:textId="77777777" w:rsidR="00483087" w:rsidRDefault="00483087" w:rsidP="00E209A5">
      <w:pPr>
        <w:spacing w:before="120" w:after="120" w:line="276" w:lineRule="auto"/>
        <w:jc w:val="center"/>
        <w:rPr>
          <w:rFonts w:ascii="Cambria" w:hAnsi="Cambria"/>
          <w:b/>
          <w:bCs/>
          <w:sz w:val="24"/>
          <w:szCs w:val="24"/>
        </w:rPr>
      </w:pPr>
    </w:p>
    <w:p w14:paraId="31F28DCE" w14:textId="77777777" w:rsidR="00483087" w:rsidRDefault="00483087" w:rsidP="00E209A5">
      <w:pPr>
        <w:spacing w:before="120" w:after="120" w:line="276" w:lineRule="auto"/>
        <w:jc w:val="center"/>
        <w:rPr>
          <w:rFonts w:ascii="Cambria" w:hAnsi="Cambria"/>
          <w:b/>
          <w:bCs/>
          <w:sz w:val="24"/>
          <w:szCs w:val="24"/>
        </w:rPr>
      </w:pPr>
    </w:p>
    <w:p w14:paraId="77D44101" w14:textId="401B098F" w:rsidR="004E560A" w:rsidRDefault="0006731B" w:rsidP="00E209A5">
      <w:pPr>
        <w:spacing w:before="120" w:after="120" w:line="276" w:lineRule="auto"/>
        <w:jc w:val="center"/>
        <w:rPr>
          <w:rFonts w:ascii="Cambria" w:hAnsi="Cambria"/>
          <w:b/>
          <w:bCs/>
          <w:sz w:val="24"/>
          <w:szCs w:val="24"/>
        </w:rPr>
      </w:pPr>
      <w:r w:rsidRPr="007F7396">
        <w:rPr>
          <w:rFonts w:ascii="Cambria" w:hAnsi="Cambria"/>
          <w:b/>
          <w:bCs/>
          <w:sz w:val="24"/>
          <w:szCs w:val="24"/>
        </w:rPr>
        <w:t>Attend</w:t>
      </w:r>
      <w:r w:rsidR="00E209A5" w:rsidRPr="007F7396">
        <w:rPr>
          <w:rFonts w:ascii="Cambria" w:hAnsi="Cambria"/>
          <w:b/>
          <w:bCs/>
          <w:sz w:val="24"/>
          <w:szCs w:val="24"/>
        </w:rPr>
        <w:t xml:space="preserve">ed </w:t>
      </w:r>
      <w:r w:rsidRPr="007F7396">
        <w:rPr>
          <w:rFonts w:ascii="Cambria" w:hAnsi="Cambria"/>
          <w:b/>
          <w:bCs/>
          <w:sz w:val="24"/>
          <w:szCs w:val="24"/>
        </w:rPr>
        <w:t>dementia</w:t>
      </w:r>
      <w:r w:rsidR="007F7396" w:rsidRPr="007F7396">
        <w:rPr>
          <w:rFonts w:ascii="Cambria" w:hAnsi="Cambria"/>
          <w:b/>
          <w:bCs/>
          <w:sz w:val="24"/>
          <w:szCs w:val="24"/>
        </w:rPr>
        <w:t>: managing the terror of dementia</w:t>
      </w:r>
      <w:r w:rsidR="000D7718" w:rsidRPr="007F7396">
        <w:rPr>
          <w:rFonts w:ascii="Cambria" w:hAnsi="Cambria"/>
          <w:b/>
          <w:bCs/>
          <w:sz w:val="24"/>
          <w:szCs w:val="24"/>
        </w:rPr>
        <w:t>.</w:t>
      </w:r>
    </w:p>
    <w:p w14:paraId="684A8837" w14:textId="77777777" w:rsidR="0091143C" w:rsidRDefault="0091143C" w:rsidP="00E209A5">
      <w:pPr>
        <w:spacing w:before="120" w:after="120" w:line="276" w:lineRule="auto"/>
        <w:jc w:val="center"/>
        <w:rPr>
          <w:rFonts w:ascii="Cambria" w:hAnsi="Cambria"/>
          <w:b/>
          <w:bCs/>
          <w:sz w:val="24"/>
          <w:szCs w:val="24"/>
        </w:rPr>
      </w:pPr>
    </w:p>
    <w:p w14:paraId="16243337" w14:textId="30C140B6" w:rsidR="004B783F" w:rsidRDefault="004B783F" w:rsidP="00483087">
      <w:pPr>
        <w:spacing w:after="0" w:line="276" w:lineRule="auto"/>
        <w:jc w:val="center"/>
        <w:rPr>
          <w:rFonts w:ascii="Cambria" w:hAnsi="Cambria"/>
          <w:b/>
          <w:bCs/>
          <w:sz w:val="24"/>
          <w:szCs w:val="24"/>
        </w:rPr>
      </w:pPr>
      <w:r>
        <w:rPr>
          <w:rFonts w:ascii="Cambria" w:hAnsi="Cambria"/>
          <w:b/>
          <w:bCs/>
          <w:sz w:val="24"/>
          <w:szCs w:val="24"/>
        </w:rPr>
        <w:t>Richard Cheston</w:t>
      </w:r>
    </w:p>
    <w:p w14:paraId="00DC5CF7" w14:textId="479BCBFC" w:rsidR="00AA574E" w:rsidRDefault="00AA574E" w:rsidP="00483087">
      <w:pPr>
        <w:spacing w:after="0" w:line="276" w:lineRule="auto"/>
        <w:jc w:val="center"/>
        <w:rPr>
          <w:rFonts w:ascii="Cambria" w:hAnsi="Cambria"/>
          <w:b/>
          <w:bCs/>
          <w:sz w:val="24"/>
          <w:szCs w:val="24"/>
        </w:rPr>
      </w:pPr>
      <w:r>
        <w:rPr>
          <w:rFonts w:ascii="Cambria" w:hAnsi="Cambria"/>
          <w:b/>
          <w:bCs/>
          <w:sz w:val="24"/>
          <w:szCs w:val="24"/>
        </w:rPr>
        <w:t>Professor of Dementia Research</w:t>
      </w:r>
    </w:p>
    <w:p w14:paraId="47980BF8" w14:textId="0C8CD87F" w:rsidR="004B783F" w:rsidRDefault="004B783F" w:rsidP="00483087">
      <w:pPr>
        <w:spacing w:after="0" w:line="276" w:lineRule="auto"/>
        <w:jc w:val="center"/>
        <w:rPr>
          <w:rFonts w:ascii="Cambria" w:hAnsi="Cambria"/>
          <w:b/>
          <w:bCs/>
          <w:sz w:val="24"/>
          <w:szCs w:val="24"/>
        </w:rPr>
      </w:pPr>
      <w:r>
        <w:rPr>
          <w:rFonts w:ascii="Cambria" w:hAnsi="Cambria"/>
          <w:b/>
          <w:bCs/>
          <w:sz w:val="24"/>
          <w:szCs w:val="24"/>
        </w:rPr>
        <w:t>Dept of Social Sciences</w:t>
      </w:r>
    </w:p>
    <w:p w14:paraId="125A30FE" w14:textId="40CDA1BD" w:rsidR="004B783F" w:rsidRDefault="004B783F" w:rsidP="00483087">
      <w:pPr>
        <w:spacing w:after="0" w:line="276" w:lineRule="auto"/>
        <w:jc w:val="center"/>
        <w:rPr>
          <w:rFonts w:ascii="Cambria" w:hAnsi="Cambria"/>
          <w:b/>
          <w:bCs/>
          <w:sz w:val="24"/>
          <w:szCs w:val="24"/>
        </w:rPr>
      </w:pPr>
      <w:r>
        <w:rPr>
          <w:rFonts w:ascii="Cambria" w:hAnsi="Cambria"/>
          <w:b/>
          <w:bCs/>
          <w:sz w:val="24"/>
          <w:szCs w:val="24"/>
        </w:rPr>
        <w:t>University of the West of England</w:t>
      </w:r>
    </w:p>
    <w:p w14:paraId="2BC299EA" w14:textId="0880D063" w:rsidR="0091143C" w:rsidRDefault="0091143C" w:rsidP="00483087">
      <w:pPr>
        <w:spacing w:after="0" w:line="276" w:lineRule="auto"/>
        <w:jc w:val="center"/>
        <w:rPr>
          <w:rFonts w:ascii="Cambria" w:hAnsi="Cambria"/>
          <w:b/>
          <w:bCs/>
          <w:sz w:val="24"/>
          <w:szCs w:val="24"/>
        </w:rPr>
      </w:pPr>
      <w:r>
        <w:rPr>
          <w:rFonts w:ascii="Cambria" w:hAnsi="Cambria"/>
          <w:b/>
          <w:bCs/>
          <w:sz w:val="24"/>
          <w:szCs w:val="24"/>
        </w:rPr>
        <w:t>Coldharbour Lane</w:t>
      </w:r>
    </w:p>
    <w:p w14:paraId="2EFCF52E" w14:textId="37C65DEA" w:rsidR="0091143C" w:rsidRDefault="0091143C" w:rsidP="00483087">
      <w:pPr>
        <w:spacing w:after="0" w:line="276" w:lineRule="auto"/>
        <w:jc w:val="center"/>
        <w:rPr>
          <w:rFonts w:ascii="Cambria" w:hAnsi="Cambria"/>
          <w:b/>
          <w:bCs/>
          <w:sz w:val="24"/>
          <w:szCs w:val="24"/>
        </w:rPr>
      </w:pPr>
      <w:r>
        <w:rPr>
          <w:rFonts w:ascii="Cambria" w:hAnsi="Cambria"/>
          <w:b/>
          <w:bCs/>
          <w:sz w:val="24"/>
          <w:szCs w:val="24"/>
        </w:rPr>
        <w:t>Bristol</w:t>
      </w:r>
    </w:p>
    <w:p w14:paraId="500DA3A9" w14:textId="15771392" w:rsidR="0091143C" w:rsidRDefault="0091143C" w:rsidP="00483087">
      <w:pPr>
        <w:spacing w:after="0" w:line="276" w:lineRule="auto"/>
        <w:jc w:val="center"/>
        <w:rPr>
          <w:rFonts w:ascii="Cambria" w:hAnsi="Cambria"/>
          <w:b/>
          <w:bCs/>
          <w:sz w:val="24"/>
          <w:szCs w:val="24"/>
        </w:rPr>
      </w:pPr>
      <w:r>
        <w:rPr>
          <w:rFonts w:ascii="Cambria" w:hAnsi="Cambria"/>
          <w:b/>
          <w:bCs/>
          <w:sz w:val="24"/>
          <w:szCs w:val="24"/>
        </w:rPr>
        <w:t>BS16 1QY</w:t>
      </w:r>
    </w:p>
    <w:p w14:paraId="09634D86" w14:textId="3B1979F3" w:rsidR="00E22153" w:rsidRDefault="00150C43" w:rsidP="00E209A5">
      <w:pPr>
        <w:spacing w:before="120" w:after="120" w:line="276" w:lineRule="auto"/>
        <w:jc w:val="center"/>
        <w:rPr>
          <w:rFonts w:ascii="Cambria" w:hAnsi="Cambria"/>
          <w:b/>
          <w:bCs/>
          <w:sz w:val="24"/>
          <w:szCs w:val="24"/>
        </w:rPr>
      </w:pPr>
      <w:r w:rsidRPr="00150C43">
        <w:rPr>
          <w:rFonts w:ascii="Cambria" w:hAnsi="Cambria"/>
          <w:b/>
          <w:bCs/>
          <w:sz w:val="24"/>
          <w:szCs w:val="24"/>
        </w:rPr>
        <w:t>6</w:t>
      </w:r>
      <w:r w:rsidR="00C509FF" w:rsidRPr="00C509FF">
        <w:rPr>
          <w:rFonts w:ascii="Cambria" w:hAnsi="Cambria"/>
          <w:b/>
          <w:bCs/>
          <w:sz w:val="24"/>
          <w:szCs w:val="24"/>
          <w:vertAlign w:val="superscript"/>
        </w:rPr>
        <w:t>th</w:t>
      </w:r>
      <w:r w:rsidR="00C509FF">
        <w:rPr>
          <w:rFonts w:ascii="Cambria" w:hAnsi="Cambria"/>
          <w:b/>
          <w:bCs/>
          <w:sz w:val="24"/>
          <w:szCs w:val="24"/>
        </w:rPr>
        <w:t xml:space="preserve"> July 2021</w:t>
      </w:r>
      <w:r>
        <w:rPr>
          <w:rFonts w:ascii="Cambria" w:hAnsi="Cambria"/>
          <w:b/>
          <w:bCs/>
          <w:sz w:val="24"/>
          <w:szCs w:val="24"/>
        </w:rPr>
        <w:t>.</w:t>
      </w:r>
    </w:p>
    <w:p w14:paraId="051CEFEB" w14:textId="422CBD79" w:rsidR="00320751" w:rsidRDefault="00320751" w:rsidP="00E209A5">
      <w:pPr>
        <w:spacing w:before="120" w:after="120" w:line="276" w:lineRule="auto"/>
        <w:jc w:val="center"/>
        <w:rPr>
          <w:rFonts w:ascii="Cambria" w:hAnsi="Cambria"/>
          <w:b/>
          <w:bCs/>
          <w:sz w:val="24"/>
          <w:szCs w:val="24"/>
        </w:rPr>
      </w:pPr>
    </w:p>
    <w:p w14:paraId="496DA026" w14:textId="2A92CB66" w:rsidR="00320751" w:rsidRDefault="00150C43" w:rsidP="00E209A5">
      <w:pPr>
        <w:spacing w:before="120" w:after="120" w:line="276" w:lineRule="auto"/>
        <w:jc w:val="center"/>
        <w:rPr>
          <w:rFonts w:ascii="Cambria" w:hAnsi="Cambria"/>
          <w:b/>
          <w:bCs/>
          <w:sz w:val="24"/>
          <w:szCs w:val="24"/>
        </w:rPr>
      </w:pPr>
      <w:r>
        <w:rPr>
          <w:rFonts w:ascii="Cambria" w:hAnsi="Cambria"/>
          <w:b/>
          <w:bCs/>
          <w:sz w:val="24"/>
          <w:szCs w:val="24"/>
        </w:rPr>
        <w:t>2,65</w:t>
      </w:r>
      <w:r w:rsidR="004A5C67">
        <w:rPr>
          <w:rFonts w:ascii="Cambria" w:hAnsi="Cambria"/>
          <w:b/>
          <w:bCs/>
          <w:sz w:val="24"/>
          <w:szCs w:val="24"/>
        </w:rPr>
        <w:t>3</w:t>
      </w:r>
      <w:r w:rsidR="00320751">
        <w:rPr>
          <w:rFonts w:ascii="Cambria" w:hAnsi="Cambria"/>
          <w:b/>
          <w:bCs/>
          <w:sz w:val="24"/>
          <w:szCs w:val="24"/>
        </w:rPr>
        <w:t xml:space="preserve"> words</w:t>
      </w:r>
      <w:r>
        <w:rPr>
          <w:rFonts w:ascii="Cambria" w:hAnsi="Cambria"/>
          <w:b/>
          <w:bCs/>
          <w:sz w:val="24"/>
          <w:szCs w:val="24"/>
        </w:rPr>
        <w:t xml:space="preserve"> (with references)</w:t>
      </w:r>
    </w:p>
    <w:p w14:paraId="783CFE24" w14:textId="56EEAF2D" w:rsidR="0091143C" w:rsidRDefault="0091143C" w:rsidP="00E209A5">
      <w:pPr>
        <w:spacing w:before="120" w:after="120" w:line="276" w:lineRule="auto"/>
        <w:jc w:val="center"/>
        <w:rPr>
          <w:rFonts w:ascii="Cambria" w:hAnsi="Cambria"/>
          <w:b/>
          <w:bCs/>
          <w:sz w:val="24"/>
          <w:szCs w:val="24"/>
        </w:rPr>
      </w:pPr>
    </w:p>
    <w:p w14:paraId="1DC3342E" w14:textId="2AB22497" w:rsidR="0091143C" w:rsidRPr="0091143C" w:rsidRDefault="00377947" w:rsidP="00E209A5">
      <w:pPr>
        <w:spacing w:before="120" w:after="120" w:line="276" w:lineRule="auto"/>
        <w:jc w:val="center"/>
        <w:rPr>
          <w:rFonts w:ascii="Cambria" w:hAnsi="Cambria"/>
          <w:sz w:val="24"/>
          <w:szCs w:val="24"/>
        </w:rPr>
      </w:pPr>
      <w:r>
        <w:rPr>
          <w:rFonts w:ascii="Cambria" w:hAnsi="Cambria"/>
          <w:sz w:val="24"/>
          <w:szCs w:val="24"/>
        </w:rPr>
        <w:t xml:space="preserve">Published </w:t>
      </w:r>
      <w:bookmarkStart w:id="0" w:name="_Hlk81208541"/>
      <w:r>
        <w:rPr>
          <w:rFonts w:ascii="Cambria" w:hAnsi="Cambria"/>
          <w:sz w:val="24"/>
          <w:szCs w:val="24"/>
        </w:rPr>
        <w:t>in</w:t>
      </w:r>
      <w:r w:rsidR="0091143C" w:rsidRPr="0091143C">
        <w:rPr>
          <w:rFonts w:ascii="Cambria" w:hAnsi="Cambria"/>
          <w:sz w:val="24"/>
          <w:szCs w:val="24"/>
        </w:rPr>
        <w:t xml:space="preserve"> </w:t>
      </w:r>
      <w:r w:rsidR="0091143C" w:rsidRPr="0091143C">
        <w:rPr>
          <w:rFonts w:ascii="Cambria" w:hAnsi="Cambria"/>
          <w:i/>
          <w:iCs/>
          <w:sz w:val="24"/>
          <w:szCs w:val="24"/>
        </w:rPr>
        <w:t>Bulletin of the BPS Faculty of Psychology of Older People</w:t>
      </w:r>
      <w:bookmarkEnd w:id="0"/>
      <w:r>
        <w:rPr>
          <w:rFonts w:ascii="Cambria" w:hAnsi="Cambria"/>
          <w:i/>
          <w:iCs/>
          <w:sz w:val="24"/>
          <w:szCs w:val="24"/>
        </w:rPr>
        <w:t xml:space="preserve">, </w:t>
      </w:r>
      <w:r>
        <w:rPr>
          <w:rFonts w:ascii="Garamond" w:hAnsi="Garamond"/>
          <w:bCs/>
          <w:szCs w:val="24"/>
        </w:rPr>
        <w:t>156, 8-12</w:t>
      </w:r>
      <w:r>
        <w:rPr>
          <w:rFonts w:ascii="Garamond" w:hAnsi="Garamond"/>
          <w:bCs/>
          <w:szCs w:val="24"/>
        </w:rPr>
        <w:t>.</w:t>
      </w:r>
    </w:p>
    <w:p w14:paraId="00CBDD8C" w14:textId="77777777" w:rsidR="00C509FF" w:rsidRPr="007F7396" w:rsidRDefault="00C509FF" w:rsidP="00E209A5">
      <w:pPr>
        <w:spacing w:before="120" w:after="120" w:line="276" w:lineRule="auto"/>
        <w:jc w:val="center"/>
        <w:rPr>
          <w:rFonts w:ascii="Cambria" w:hAnsi="Cambria"/>
          <w:b/>
          <w:bCs/>
          <w:sz w:val="24"/>
          <w:szCs w:val="24"/>
        </w:rPr>
      </w:pPr>
    </w:p>
    <w:p w14:paraId="18DA4851" w14:textId="77777777" w:rsidR="00AA574E" w:rsidRDefault="00AA574E" w:rsidP="00CB27F3">
      <w:pPr>
        <w:spacing w:before="120" w:after="120" w:line="276" w:lineRule="auto"/>
        <w:rPr>
          <w:rFonts w:ascii="Cambria" w:hAnsi="Cambria"/>
          <w:sz w:val="24"/>
          <w:szCs w:val="24"/>
        </w:rPr>
      </w:pPr>
      <w:r>
        <w:rPr>
          <w:rFonts w:ascii="Cambria" w:hAnsi="Cambria"/>
          <w:sz w:val="24"/>
          <w:szCs w:val="24"/>
        </w:rPr>
        <w:br w:type="page"/>
      </w:r>
    </w:p>
    <w:p w14:paraId="5C9837A9" w14:textId="77777777" w:rsidR="00150C43" w:rsidRDefault="00150C43" w:rsidP="00150C43">
      <w:pPr>
        <w:spacing w:before="120" w:after="120" w:line="480" w:lineRule="auto"/>
        <w:jc w:val="center"/>
        <w:rPr>
          <w:rFonts w:ascii="Cambria" w:hAnsi="Cambria"/>
          <w:b/>
          <w:bCs/>
          <w:sz w:val="24"/>
          <w:szCs w:val="24"/>
        </w:rPr>
      </w:pPr>
      <w:r w:rsidRPr="007F7396">
        <w:rPr>
          <w:rFonts w:ascii="Cambria" w:hAnsi="Cambria"/>
          <w:b/>
          <w:bCs/>
          <w:sz w:val="24"/>
          <w:szCs w:val="24"/>
        </w:rPr>
        <w:lastRenderedPageBreak/>
        <w:t>Attended dementia: managing the terror of dementia.</w:t>
      </w:r>
    </w:p>
    <w:p w14:paraId="4357DFEC" w14:textId="6AC8A9D7" w:rsidR="00BE6E87" w:rsidRDefault="00EE5168" w:rsidP="00150C43">
      <w:pPr>
        <w:spacing w:before="120" w:after="120" w:line="480" w:lineRule="auto"/>
        <w:ind w:firstLine="720"/>
        <w:rPr>
          <w:rFonts w:ascii="Cambria" w:hAnsi="Cambria" w:cs="Times New Roman"/>
          <w:sz w:val="24"/>
          <w:szCs w:val="24"/>
        </w:rPr>
      </w:pPr>
      <w:r w:rsidRPr="00EE5168">
        <w:rPr>
          <w:rFonts w:ascii="Cambria" w:hAnsi="Cambria" w:cs="Times New Roman"/>
          <w:sz w:val="24"/>
          <w:szCs w:val="24"/>
        </w:rPr>
        <w:t>In 2010, the Alzheimer’s Society commissioned a poll</w:t>
      </w:r>
      <w:r w:rsidR="00BE6E87">
        <w:rPr>
          <w:rStyle w:val="FootnoteReference"/>
          <w:rFonts w:ascii="Cambria" w:hAnsi="Cambria" w:cs="Times New Roman"/>
          <w:sz w:val="24"/>
          <w:szCs w:val="24"/>
        </w:rPr>
        <w:footnoteReference w:id="1"/>
      </w:r>
      <w:r w:rsidRPr="00EE5168">
        <w:rPr>
          <w:rFonts w:ascii="Cambria" w:hAnsi="Cambria" w:cs="Times New Roman"/>
          <w:sz w:val="24"/>
          <w:szCs w:val="24"/>
        </w:rPr>
        <w:t xml:space="preserve"> to find out what people across the country thought and felt about dementia. The results showed that </w:t>
      </w:r>
      <w:r w:rsidR="00BE6E87">
        <w:rPr>
          <w:rFonts w:ascii="Cambria" w:hAnsi="Cambria" w:cs="Times New Roman"/>
          <w:sz w:val="24"/>
          <w:szCs w:val="24"/>
        </w:rPr>
        <w:t xml:space="preserve">63% </w:t>
      </w:r>
      <w:r w:rsidRPr="00EE5168">
        <w:rPr>
          <w:rFonts w:ascii="Cambria" w:hAnsi="Cambria" w:cs="Times New Roman"/>
          <w:sz w:val="24"/>
          <w:szCs w:val="24"/>
        </w:rPr>
        <w:t>of respondents were frightened about the prospect of growing old and having dementia</w:t>
      </w:r>
      <w:r w:rsidR="00BE6E87">
        <w:rPr>
          <w:rFonts w:ascii="Cambria" w:hAnsi="Cambria" w:cs="Times New Roman"/>
          <w:sz w:val="24"/>
          <w:szCs w:val="24"/>
        </w:rPr>
        <w:t xml:space="preserve"> and that </w:t>
      </w:r>
      <w:r w:rsidR="00BE6E87" w:rsidRPr="00EE5168">
        <w:rPr>
          <w:rFonts w:ascii="Cambria" w:hAnsi="Cambria" w:cs="Times New Roman"/>
          <w:sz w:val="24"/>
          <w:szCs w:val="24"/>
        </w:rPr>
        <w:t>more people were frightened of developing dementia than they were of actually dying</w:t>
      </w:r>
      <w:r w:rsidRPr="00EE5168">
        <w:rPr>
          <w:rFonts w:ascii="Cambria" w:hAnsi="Cambria" w:cs="Times New Roman"/>
          <w:sz w:val="24"/>
          <w:szCs w:val="24"/>
        </w:rPr>
        <w:t xml:space="preserve">. </w:t>
      </w:r>
      <w:r w:rsidR="00BE6E87">
        <w:rPr>
          <w:rFonts w:ascii="Cambria" w:hAnsi="Cambria" w:cs="Times New Roman"/>
          <w:sz w:val="24"/>
          <w:szCs w:val="24"/>
        </w:rPr>
        <w:t xml:space="preserve">According to the poll, the older participants were, then </w:t>
      </w:r>
      <w:r w:rsidRPr="00EE5168">
        <w:rPr>
          <w:rFonts w:ascii="Cambria" w:hAnsi="Cambria" w:cs="Times New Roman"/>
          <w:sz w:val="24"/>
          <w:szCs w:val="24"/>
        </w:rPr>
        <w:t xml:space="preserve">the </w:t>
      </w:r>
      <w:r w:rsidR="00BE6E87">
        <w:rPr>
          <w:rFonts w:ascii="Cambria" w:hAnsi="Cambria" w:cs="Times New Roman"/>
          <w:sz w:val="24"/>
          <w:szCs w:val="24"/>
        </w:rPr>
        <w:t xml:space="preserve">more likely they were to be </w:t>
      </w:r>
      <w:r w:rsidRPr="00EE5168">
        <w:rPr>
          <w:rFonts w:ascii="Cambria" w:hAnsi="Cambria" w:cs="Times New Roman"/>
          <w:sz w:val="24"/>
          <w:szCs w:val="24"/>
        </w:rPr>
        <w:t>frightened of dementia</w:t>
      </w:r>
      <w:r w:rsidR="00BE6E87">
        <w:rPr>
          <w:rFonts w:ascii="Cambria" w:hAnsi="Cambria" w:cs="Times New Roman"/>
          <w:sz w:val="24"/>
          <w:szCs w:val="24"/>
        </w:rPr>
        <w:t>.</w:t>
      </w:r>
      <w:r w:rsidRPr="00EE5168">
        <w:rPr>
          <w:rFonts w:ascii="Cambria" w:hAnsi="Cambria" w:cs="Times New Roman"/>
          <w:sz w:val="24"/>
          <w:szCs w:val="24"/>
        </w:rPr>
        <w:t xml:space="preserve"> </w:t>
      </w:r>
      <w:r w:rsidR="00BE6E87">
        <w:rPr>
          <w:rFonts w:ascii="Cambria" w:hAnsi="Cambria" w:cs="Times New Roman"/>
          <w:sz w:val="24"/>
          <w:szCs w:val="24"/>
        </w:rPr>
        <w:t xml:space="preserve">Whilst the poll did not sample people who were living with dementia, it does not seem unreasonable to me to assume that many people who have been diagnosed </w:t>
      </w:r>
      <w:r w:rsidR="009B0AB5">
        <w:rPr>
          <w:rFonts w:ascii="Cambria" w:hAnsi="Cambria" w:cs="Times New Roman"/>
          <w:sz w:val="24"/>
          <w:szCs w:val="24"/>
        </w:rPr>
        <w:t xml:space="preserve">with </w:t>
      </w:r>
      <w:r w:rsidR="00BE6E87">
        <w:rPr>
          <w:rFonts w:ascii="Cambria" w:hAnsi="Cambria" w:cs="Times New Roman"/>
          <w:sz w:val="24"/>
          <w:szCs w:val="24"/>
        </w:rPr>
        <w:t>dementia will continue to be frightened of what is actually happening to them.</w:t>
      </w:r>
    </w:p>
    <w:p w14:paraId="20AFE49F" w14:textId="0B64081A" w:rsidR="007232AB" w:rsidRPr="00BE6E87" w:rsidRDefault="00BE6E87" w:rsidP="00BE6E87">
      <w:pPr>
        <w:spacing w:before="120" w:after="120" w:line="480" w:lineRule="auto"/>
        <w:ind w:firstLine="720"/>
        <w:rPr>
          <w:rFonts w:ascii="Cambria" w:hAnsi="Cambria" w:cs="Times New Roman"/>
          <w:sz w:val="24"/>
          <w:szCs w:val="24"/>
        </w:rPr>
      </w:pPr>
      <w:r>
        <w:rPr>
          <w:rFonts w:ascii="Cambria" w:hAnsi="Cambria" w:cs="Times New Roman"/>
          <w:sz w:val="24"/>
          <w:szCs w:val="24"/>
        </w:rPr>
        <w:t>As psychologists</w:t>
      </w:r>
      <w:r w:rsidR="004A5C67">
        <w:rPr>
          <w:rFonts w:ascii="Cambria" w:hAnsi="Cambria" w:cs="Times New Roman"/>
          <w:sz w:val="24"/>
          <w:szCs w:val="24"/>
        </w:rPr>
        <w:t xml:space="preserve"> </w:t>
      </w:r>
      <w:r w:rsidR="00320751" w:rsidRPr="00EE5168">
        <w:rPr>
          <w:rFonts w:ascii="Cambria" w:hAnsi="Cambria"/>
          <w:sz w:val="24"/>
          <w:szCs w:val="24"/>
        </w:rPr>
        <w:t xml:space="preserve">working in </w:t>
      </w:r>
      <w:r>
        <w:rPr>
          <w:rFonts w:ascii="Cambria" w:hAnsi="Cambria"/>
          <w:sz w:val="24"/>
          <w:szCs w:val="24"/>
        </w:rPr>
        <w:t xml:space="preserve">either </w:t>
      </w:r>
      <w:r w:rsidR="00320751" w:rsidRPr="00EE5168">
        <w:rPr>
          <w:rFonts w:ascii="Cambria" w:hAnsi="Cambria"/>
          <w:sz w:val="24"/>
          <w:szCs w:val="24"/>
        </w:rPr>
        <w:t xml:space="preserve">dementia care or research </w:t>
      </w:r>
      <w:r w:rsidR="009B0AB5">
        <w:rPr>
          <w:rFonts w:ascii="Cambria" w:hAnsi="Cambria"/>
          <w:sz w:val="24"/>
          <w:szCs w:val="24"/>
        </w:rPr>
        <w:t xml:space="preserve">we need, I believe, </w:t>
      </w:r>
      <w:r w:rsidR="00320751" w:rsidRPr="00EE5168">
        <w:rPr>
          <w:rFonts w:ascii="Cambria" w:hAnsi="Cambria"/>
          <w:sz w:val="24"/>
          <w:szCs w:val="24"/>
        </w:rPr>
        <w:t xml:space="preserve">to </w:t>
      </w:r>
      <w:r w:rsidR="006C7F1D" w:rsidRPr="00EE5168">
        <w:rPr>
          <w:rFonts w:ascii="Cambria" w:hAnsi="Cambria"/>
          <w:sz w:val="24"/>
          <w:szCs w:val="24"/>
        </w:rPr>
        <w:t>attend to the</w:t>
      </w:r>
      <w:r>
        <w:rPr>
          <w:rFonts w:ascii="Cambria" w:hAnsi="Cambria"/>
          <w:sz w:val="24"/>
          <w:szCs w:val="24"/>
        </w:rPr>
        <w:t xml:space="preserve"> </w:t>
      </w:r>
      <w:r w:rsidR="00320751" w:rsidRPr="00EE5168">
        <w:rPr>
          <w:rFonts w:ascii="Cambria" w:hAnsi="Cambria"/>
          <w:sz w:val="24"/>
          <w:szCs w:val="24"/>
        </w:rPr>
        <w:t xml:space="preserve">sheer, bloody awfulness of dementia. </w:t>
      </w:r>
      <w:r w:rsidR="009B0AB5">
        <w:rPr>
          <w:rFonts w:ascii="Cambria" w:hAnsi="Cambria"/>
          <w:sz w:val="24"/>
          <w:szCs w:val="24"/>
        </w:rPr>
        <w:t xml:space="preserve">Depending on our conceptual inclination we should be interested in how people respond to, defend against, or cope with the threat of dementia. </w:t>
      </w:r>
      <w:r w:rsidR="007232AB" w:rsidRPr="00EE5168">
        <w:rPr>
          <w:rFonts w:ascii="Cambria" w:hAnsi="Cambria"/>
          <w:sz w:val="24"/>
          <w:szCs w:val="24"/>
        </w:rPr>
        <w:t>Even when the existential impact of dementia is hard to discern, its shadow is, I believe, always there</w:t>
      </w:r>
      <w:r w:rsidR="002D2893">
        <w:rPr>
          <w:rFonts w:ascii="Cambria" w:hAnsi="Cambria"/>
          <w:sz w:val="24"/>
          <w:szCs w:val="24"/>
        </w:rPr>
        <w:t xml:space="preserve"> (Cheston and Christopher, 2019)</w:t>
      </w:r>
      <w:r w:rsidR="007232AB" w:rsidRPr="00EE5168">
        <w:rPr>
          <w:rFonts w:ascii="Cambria" w:hAnsi="Cambria"/>
          <w:sz w:val="24"/>
          <w:szCs w:val="24"/>
        </w:rPr>
        <w:t xml:space="preserve">. </w:t>
      </w:r>
    </w:p>
    <w:p w14:paraId="5347EE45" w14:textId="013A17C7" w:rsidR="001E717F" w:rsidRPr="006C7F1D" w:rsidRDefault="004B783F" w:rsidP="006C7F1D">
      <w:pPr>
        <w:spacing w:before="120" w:after="120" w:line="480" w:lineRule="auto"/>
        <w:ind w:firstLine="720"/>
        <w:jc w:val="center"/>
        <w:rPr>
          <w:rFonts w:ascii="Cambria" w:hAnsi="Cambria"/>
          <w:i/>
          <w:iCs/>
          <w:sz w:val="24"/>
          <w:szCs w:val="24"/>
        </w:rPr>
      </w:pPr>
      <w:r w:rsidRPr="006C7F1D">
        <w:rPr>
          <w:rFonts w:ascii="Cambria" w:hAnsi="Cambria"/>
          <w:i/>
          <w:iCs/>
          <w:sz w:val="24"/>
          <w:szCs w:val="24"/>
        </w:rPr>
        <w:t>Terror Management and Dementia.</w:t>
      </w:r>
    </w:p>
    <w:p w14:paraId="54A35BD5" w14:textId="31E628D8" w:rsidR="008B46C5" w:rsidRPr="006C7F1D" w:rsidRDefault="00B82761" w:rsidP="006C7F1D">
      <w:pPr>
        <w:spacing w:before="120" w:after="120" w:line="480" w:lineRule="auto"/>
        <w:ind w:firstLine="720"/>
        <w:rPr>
          <w:rFonts w:ascii="Cambria" w:hAnsi="Cambria" w:cs="Times New Roman"/>
          <w:sz w:val="24"/>
          <w:szCs w:val="24"/>
        </w:rPr>
      </w:pPr>
      <w:r w:rsidRPr="006C7F1D">
        <w:rPr>
          <w:rFonts w:ascii="Cambria" w:hAnsi="Cambria" w:cs="Times New Roman"/>
          <w:sz w:val="24"/>
          <w:szCs w:val="24"/>
        </w:rPr>
        <w:t xml:space="preserve">In order to explore </w:t>
      </w:r>
      <w:r w:rsidR="00066161" w:rsidRPr="006C7F1D">
        <w:rPr>
          <w:rFonts w:ascii="Cambria" w:hAnsi="Cambria" w:cs="Times New Roman"/>
          <w:sz w:val="24"/>
          <w:szCs w:val="24"/>
        </w:rPr>
        <w:t xml:space="preserve">the </w:t>
      </w:r>
      <w:r w:rsidR="006F2C18" w:rsidRPr="006C7F1D">
        <w:rPr>
          <w:rFonts w:ascii="Cambria" w:hAnsi="Cambria" w:cs="Times New Roman"/>
          <w:sz w:val="24"/>
          <w:szCs w:val="24"/>
        </w:rPr>
        <w:t xml:space="preserve">psychological impact </w:t>
      </w:r>
      <w:r w:rsidR="00066161" w:rsidRPr="006C7F1D">
        <w:rPr>
          <w:rFonts w:ascii="Cambria" w:hAnsi="Cambria" w:cs="Times New Roman"/>
          <w:sz w:val="24"/>
          <w:szCs w:val="24"/>
        </w:rPr>
        <w:t>of dementia</w:t>
      </w:r>
      <w:r w:rsidRPr="006C7F1D">
        <w:rPr>
          <w:rFonts w:ascii="Cambria" w:hAnsi="Cambria" w:cs="Times New Roman"/>
          <w:sz w:val="24"/>
          <w:szCs w:val="24"/>
        </w:rPr>
        <w:t xml:space="preserve">, Emily Dodd, Gary Christopher and myself at UWE Bristol have </w:t>
      </w:r>
      <w:r w:rsidR="006F2C18" w:rsidRPr="006C7F1D">
        <w:rPr>
          <w:rFonts w:ascii="Cambria" w:hAnsi="Cambria" w:cs="Times New Roman"/>
          <w:sz w:val="24"/>
          <w:szCs w:val="24"/>
        </w:rPr>
        <w:t>collaborated</w:t>
      </w:r>
      <w:r w:rsidRPr="006C7F1D">
        <w:rPr>
          <w:rFonts w:ascii="Cambria" w:hAnsi="Cambria" w:cs="Times New Roman"/>
          <w:sz w:val="24"/>
          <w:szCs w:val="24"/>
        </w:rPr>
        <w:t xml:space="preserve"> with </w:t>
      </w:r>
      <w:r w:rsidR="00E167CF" w:rsidRPr="006C7F1D">
        <w:rPr>
          <w:rFonts w:ascii="Cambria" w:hAnsi="Cambria" w:cs="Times New Roman"/>
          <w:sz w:val="24"/>
          <w:szCs w:val="24"/>
        </w:rPr>
        <w:t xml:space="preserve">Constantine Sedikides and Tim Wildschut </w:t>
      </w:r>
      <w:r w:rsidR="008B46C5" w:rsidRPr="006C7F1D">
        <w:rPr>
          <w:rFonts w:ascii="Cambria" w:hAnsi="Cambria" w:cs="Times New Roman"/>
          <w:sz w:val="24"/>
          <w:szCs w:val="24"/>
        </w:rPr>
        <w:t>from the Centre for Self and Identity at the University of Southampton</w:t>
      </w:r>
      <w:r w:rsidR="006F2C18" w:rsidRPr="006C7F1D">
        <w:rPr>
          <w:rFonts w:ascii="Cambria" w:hAnsi="Cambria" w:cs="Times New Roman"/>
          <w:sz w:val="24"/>
          <w:szCs w:val="24"/>
        </w:rPr>
        <w:t xml:space="preserve">. We started by looking at whether </w:t>
      </w:r>
      <w:r w:rsidR="008B46C5" w:rsidRPr="006C7F1D">
        <w:rPr>
          <w:rFonts w:ascii="Cambria" w:hAnsi="Cambria" w:cs="Times New Roman"/>
          <w:sz w:val="24"/>
          <w:szCs w:val="24"/>
        </w:rPr>
        <w:t xml:space="preserve">the social psychological model of mnemic neglect </w:t>
      </w:r>
      <w:r w:rsidR="006F2C18" w:rsidRPr="006C7F1D">
        <w:rPr>
          <w:rFonts w:ascii="Cambria" w:hAnsi="Cambria" w:cs="Times New Roman"/>
          <w:sz w:val="24"/>
          <w:szCs w:val="24"/>
        </w:rPr>
        <w:t>(Sedikides et al</w:t>
      </w:r>
      <w:r w:rsidR="00F426CA" w:rsidRPr="006C7F1D">
        <w:rPr>
          <w:rFonts w:ascii="Cambria" w:hAnsi="Cambria" w:cs="Times New Roman"/>
          <w:sz w:val="24"/>
          <w:szCs w:val="24"/>
        </w:rPr>
        <w:t>.</w:t>
      </w:r>
      <w:r w:rsidR="006F2C18" w:rsidRPr="006C7F1D">
        <w:rPr>
          <w:rFonts w:ascii="Cambria" w:hAnsi="Cambria" w:cs="Times New Roman"/>
          <w:sz w:val="24"/>
          <w:szCs w:val="24"/>
        </w:rPr>
        <w:t xml:space="preserve">, 2016) </w:t>
      </w:r>
      <w:r w:rsidR="00E167CF" w:rsidRPr="006C7F1D">
        <w:rPr>
          <w:rFonts w:ascii="Cambria" w:hAnsi="Cambria" w:cs="Times New Roman"/>
          <w:sz w:val="24"/>
          <w:szCs w:val="24"/>
        </w:rPr>
        <w:t xml:space="preserve">might </w:t>
      </w:r>
      <w:r w:rsidR="006F2C18" w:rsidRPr="006C7F1D">
        <w:rPr>
          <w:rFonts w:ascii="Cambria" w:hAnsi="Cambria" w:cs="Times New Roman"/>
          <w:sz w:val="24"/>
          <w:szCs w:val="24"/>
        </w:rPr>
        <w:t xml:space="preserve">provide a way of understanding why some people living with dementia often seemed to be unaware of their condition. More </w:t>
      </w:r>
      <w:r w:rsidR="006F2C18" w:rsidRPr="006C7F1D">
        <w:rPr>
          <w:rFonts w:ascii="Cambria" w:hAnsi="Cambria" w:cs="Times New Roman"/>
          <w:sz w:val="24"/>
          <w:szCs w:val="24"/>
        </w:rPr>
        <w:lastRenderedPageBreak/>
        <w:t xml:space="preserve">specifically, we wondered whether people might </w:t>
      </w:r>
      <w:r w:rsidR="00E167CF" w:rsidRPr="006C7F1D">
        <w:rPr>
          <w:rFonts w:ascii="Cambria" w:hAnsi="Cambria" w:cs="Times New Roman"/>
          <w:sz w:val="24"/>
          <w:szCs w:val="24"/>
        </w:rPr>
        <w:t>be motivated to forget those aspects of their dementia that they experience as the most threatening.</w:t>
      </w:r>
      <w:r w:rsidR="00CB0FC4" w:rsidRPr="006C7F1D">
        <w:rPr>
          <w:rFonts w:ascii="Cambria" w:hAnsi="Cambria" w:cs="Times New Roman"/>
          <w:sz w:val="24"/>
          <w:szCs w:val="24"/>
        </w:rPr>
        <w:t xml:space="preserve"> </w:t>
      </w:r>
      <w:r w:rsidR="007E3ABB" w:rsidRPr="006C7F1D">
        <w:rPr>
          <w:rFonts w:ascii="Cambria" w:hAnsi="Cambria" w:cs="Times New Roman"/>
          <w:sz w:val="24"/>
          <w:szCs w:val="24"/>
        </w:rPr>
        <w:t xml:space="preserve">In </w:t>
      </w:r>
      <w:r w:rsidR="008B46C5" w:rsidRPr="006C7F1D">
        <w:rPr>
          <w:rFonts w:ascii="Cambria" w:hAnsi="Cambria" w:cs="Times New Roman"/>
          <w:sz w:val="24"/>
          <w:szCs w:val="24"/>
        </w:rPr>
        <w:t xml:space="preserve">brief, the mnemic neglect model suggests that people will be better at recalling information about themselves that is </w:t>
      </w:r>
      <w:r w:rsidR="008B46C5" w:rsidRPr="006C7F1D">
        <w:rPr>
          <w:rFonts w:ascii="Cambria" w:hAnsi="Cambria" w:cs="Times New Roman"/>
          <w:noProof/>
          <w:sz w:val="24"/>
          <w:szCs w:val="24"/>
        </w:rPr>
        <w:t>positive</w:t>
      </w:r>
      <w:r w:rsidR="008B46C5" w:rsidRPr="006C7F1D">
        <w:rPr>
          <w:rFonts w:ascii="Cambria" w:hAnsi="Cambria" w:cs="Times New Roman"/>
          <w:sz w:val="24"/>
          <w:szCs w:val="24"/>
        </w:rPr>
        <w:t xml:space="preserve"> and which relates to the </w:t>
      </w:r>
      <w:r w:rsidR="00097EAD" w:rsidRPr="006C7F1D">
        <w:rPr>
          <w:rFonts w:ascii="Cambria" w:hAnsi="Cambria" w:cs="Times New Roman"/>
          <w:sz w:val="24"/>
          <w:szCs w:val="24"/>
        </w:rPr>
        <w:t xml:space="preserve">central </w:t>
      </w:r>
      <w:r w:rsidR="008B46C5" w:rsidRPr="006C7F1D">
        <w:rPr>
          <w:rFonts w:ascii="Cambria" w:hAnsi="Cambria" w:cs="Times New Roman"/>
          <w:sz w:val="24"/>
          <w:szCs w:val="24"/>
        </w:rPr>
        <w:t xml:space="preserve">aspects of their self-concept </w:t>
      </w:r>
      <w:r w:rsidR="002955F1" w:rsidRPr="006C7F1D">
        <w:rPr>
          <w:rFonts w:ascii="Cambria" w:hAnsi="Cambria" w:cs="Times New Roman"/>
          <w:sz w:val="24"/>
          <w:szCs w:val="24"/>
        </w:rPr>
        <w:t xml:space="preserve">than information which is </w:t>
      </w:r>
      <w:r w:rsidR="008B46C5" w:rsidRPr="006C7F1D">
        <w:rPr>
          <w:rFonts w:ascii="Cambria" w:hAnsi="Cambria" w:cs="Times New Roman"/>
          <w:noProof/>
          <w:sz w:val="24"/>
          <w:szCs w:val="24"/>
        </w:rPr>
        <w:t>negative</w:t>
      </w:r>
      <w:r w:rsidR="00F60DC3" w:rsidRPr="006C7F1D">
        <w:rPr>
          <w:rFonts w:ascii="Cambria" w:hAnsi="Cambria" w:cs="Times New Roman"/>
          <w:noProof/>
          <w:sz w:val="24"/>
          <w:szCs w:val="24"/>
        </w:rPr>
        <w:t xml:space="preserve"> (and thus mo</w:t>
      </w:r>
      <w:r w:rsidR="00A002C1" w:rsidRPr="006C7F1D">
        <w:rPr>
          <w:rFonts w:ascii="Cambria" w:hAnsi="Cambria" w:cs="Times New Roman"/>
          <w:noProof/>
          <w:sz w:val="24"/>
          <w:szCs w:val="24"/>
        </w:rPr>
        <w:t>re</w:t>
      </w:r>
      <w:r w:rsidR="00F60DC3" w:rsidRPr="006C7F1D">
        <w:rPr>
          <w:rFonts w:ascii="Cambria" w:hAnsi="Cambria" w:cs="Times New Roman"/>
          <w:noProof/>
          <w:sz w:val="24"/>
          <w:szCs w:val="24"/>
        </w:rPr>
        <w:t xml:space="preserve"> </w:t>
      </w:r>
      <w:r w:rsidR="008B46C5" w:rsidRPr="006C7F1D">
        <w:rPr>
          <w:rFonts w:ascii="Cambria" w:hAnsi="Cambria" w:cs="Times New Roman"/>
          <w:sz w:val="24"/>
          <w:szCs w:val="24"/>
        </w:rPr>
        <w:t>threatening</w:t>
      </w:r>
      <w:r w:rsidR="00F60DC3" w:rsidRPr="006C7F1D">
        <w:rPr>
          <w:rFonts w:ascii="Cambria" w:hAnsi="Cambria" w:cs="Times New Roman"/>
          <w:sz w:val="24"/>
          <w:szCs w:val="24"/>
        </w:rPr>
        <w:t>)</w:t>
      </w:r>
      <w:r w:rsidR="008B46C5" w:rsidRPr="006C7F1D">
        <w:rPr>
          <w:rFonts w:ascii="Cambria" w:hAnsi="Cambria" w:cs="Times New Roman"/>
          <w:sz w:val="24"/>
          <w:szCs w:val="24"/>
        </w:rPr>
        <w:t xml:space="preserve">. To put this another way, we have a strong tendency to selectively forget negative feedback that relates to the core elements of our identity. </w:t>
      </w:r>
      <w:r w:rsidR="00A002C1" w:rsidRPr="006C7F1D">
        <w:rPr>
          <w:rFonts w:ascii="Cambria" w:hAnsi="Cambria" w:cs="Times New Roman"/>
          <w:sz w:val="24"/>
          <w:szCs w:val="24"/>
        </w:rPr>
        <w:t xml:space="preserve">This is the </w:t>
      </w:r>
      <w:r w:rsidR="00C4088C" w:rsidRPr="006C7F1D">
        <w:rPr>
          <w:rFonts w:ascii="Cambria" w:hAnsi="Cambria" w:cs="Times New Roman"/>
          <w:sz w:val="24"/>
          <w:szCs w:val="24"/>
        </w:rPr>
        <w:t>M</w:t>
      </w:r>
      <w:r w:rsidR="008B46C5" w:rsidRPr="006C7F1D">
        <w:rPr>
          <w:rFonts w:ascii="Cambria" w:hAnsi="Cambria" w:cs="Times New Roman"/>
          <w:sz w:val="24"/>
          <w:szCs w:val="24"/>
        </w:rPr>
        <w:t xml:space="preserve">nemic </w:t>
      </w:r>
      <w:r w:rsidR="00C4088C" w:rsidRPr="006C7F1D">
        <w:rPr>
          <w:rFonts w:ascii="Cambria" w:hAnsi="Cambria" w:cs="Times New Roman"/>
          <w:sz w:val="24"/>
          <w:szCs w:val="24"/>
        </w:rPr>
        <w:t>N</w:t>
      </w:r>
      <w:r w:rsidR="008B46C5" w:rsidRPr="006C7F1D">
        <w:rPr>
          <w:rFonts w:ascii="Cambria" w:hAnsi="Cambria" w:cs="Times New Roman"/>
          <w:sz w:val="24"/>
          <w:szCs w:val="24"/>
        </w:rPr>
        <w:t xml:space="preserve">eglect </w:t>
      </w:r>
      <w:r w:rsidR="00C4088C" w:rsidRPr="006C7F1D">
        <w:rPr>
          <w:rFonts w:ascii="Cambria" w:hAnsi="Cambria" w:cs="Times New Roman"/>
          <w:sz w:val="24"/>
          <w:szCs w:val="24"/>
        </w:rPr>
        <w:t>E</w:t>
      </w:r>
      <w:r w:rsidR="00A002C1" w:rsidRPr="006C7F1D">
        <w:rPr>
          <w:rFonts w:ascii="Cambria" w:hAnsi="Cambria" w:cs="Times New Roman"/>
          <w:sz w:val="24"/>
          <w:szCs w:val="24"/>
        </w:rPr>
        <w:t xml:space="preserve">ffect </w:t>
      </w:r>
      <w:r w:rsidR="00C4088C" w:rsidRPr="006C7F1D">
        <w:rPr>
          <w:rFonts w:ascii="Cambria" w:hAnsi="Cambria" w:cs="Times New Roman"/>
          <w:sz w:val="24"/>
          <w:szCs w:val="24"/>
        </w:rPr>
        <w:t xml:space="preserve">or MNE </w:t>
      </w:r>
      <w:r w:rsidR="00A002C1" w:rsidRPr="006C7F1D">
        <w:rPr>
          <w:rFonts w:ascii="Cambria" w:hAnsi="Cambria" w:cs="Times New Roman"/>
          <w:sz w:val="24"/>
          <w:szCs w:val="24"/>
        </w:rPr>
        <w:t>–</w:t>
      </w:r>
      <w:r w:rsidR="005E4AF4" w:rsidRPr="006C7F1D">
        <w:rPr>
          <w:rFonts w:ascii="Cambria" w:hAnsi="Cambria" w:cs="Times New Roman"/>
          <w:sz w:val="24"/>
          <w:szCs w:val="24"/>
        </w:rPr>
        <w:t xml:space="preserve"> </w:t>
      </w:r>
      <w:r w:rsidR="00F426CA" w:rsidRPr="006C7F1D">
        <w:rPr>
          <w:rFonts w:ascii="Cambria" w:hAnsi="Cambria" w:cs="Times New Roman"/>
          <w:sz w:val="24"/>
          <w:szCs w:val="24"/>
        </w:rPr>
        <w:t xml:space="preserve">a social psychological concept that has </w:t>
      </w:r>
      <w:r w:rsidR="001F5D35" w:rsidRPr="006C7F1D">
        <w:rPr>
          <w:rFonts w:ascii="Cambria" w:hAnsi="Cambria" w:cs="Times New Roman"/>
          <w:sz w:val="24"/>
          <w:szCs w:val="24"/>
        </w:rPr>
        <w:t xml:space="preserve">similarities to </w:t>
      </w:r>
      <w:r w:rsidR="00441280" w:rsidRPr="006C7F1D">
        <w:rPr>
          <w:rFonts w:ascii="Cambria" w:hAnsi="Cambria" w:cs="Times New Roman"/>
          <w:sz w:val="24"/>
          <w:szCs w:val="24"/>
        </w:rPr>
        <w:t xml:space="preserve">the </w:t>
      </w:r>
      <w:r w:rsidR="008B46C5" w:rsidRPr="006C7F1D">
        <w:rPr>
          <w:rFonts w:ascii="Cambria" w:hAnsi="Cambria" w:cs="Times New Roman"/>
          <w:sz w:val="24"/>
          <w:szCs w:val="24"/>
        </w:rPr>
        <w:t>psychoanaly</w:t>
      </w:r>
      <w:r w:rsidR="00441280" w:rsidRPr="006C7F1D">
        <w:rPr>
          <w:rFonts w:ascii="Cambria" w:hAnsi="Cambria" w:cs="Times New Roman"/>
          <w:sz w:val="24"/>
          <w:szCs w:val="24"/>
        </w:rPr>
        <w:t>tic</w:t>
      </w:r>
      <w:r w:rsidR="00A96F29">
        <w:rPr>
          <w:rFonts w:ascii="Cambria" w:hAnsi="Cambria" w:cs="Times New Roman"/>
          <w:sz w:val="24"/>
          <w:szCs w:val="24"/>
        </w:rPr>
        <w:t xml:space="preserve"> defence mechanism</w:t>
      </w:r>
      <w:r w:rsidR="008B46C5" w:rsidRPr="006C7F1D">
        <w:rPr>
          <w:rFonts w:ascii="Cambria" w:hAnsi="Cambria" w:cs="Times New Roman"/>
          <w:sz w:val="24"/>
          <w:szCs w:val="24"/>
        </w:rPr>
        <w:t xml:space="preserve"> of repression.</w:t>
      </w:r>
      <w:r w:rsidR="002F4D92" w:rsidRPr="006C7F1D">
        <w:rPr>
          <w:rFonts w:ascii="Cambria" w:hAnsi="Cambria" w:cs="Times New Roman"/>
          <w:sz w:val="24"/>
          <w:szCs w:val="24"/>
        </w:rPr>
        <w:t xml:space="preserve"> </w:t>
      </w:r>
      <w:r w:rsidR="00F426CA" w:rsidRPr="006C7F1D">
        <w:rPr>
          <w:rFonts w:ascii="Cambria" w:hAnsi="Cambria" w:cs="Times New Roman"/>
          <w:sz w:val="24"/>
          <w:szCs w:val="24"/>
        </w:rPr>
        <w:t>We reasoned that by e</w:t>
      </w:r>
      <w:r w:rsidR="00FE2D91" w:rsidRPr="006C7F1D">
        <w:rPr>
          <w:rFonts w:ascii="Cambria" w:hAnsi="Cambria" w:cs="Times New Roman"/>
          <w:sz w:val="24"/>
          <w:szCs w:val="24"/>
        </w:rPr>
        <w:t xml:space="preserve">xploring </w:t>
      </w:r>
      <w:r w:rsidR="00FB6E36" w:rsidRPr="006C7F1D">
        <w:rPr>
          <w:rFonts w:ascii="Cambria" w:hAnsi="Cambria" w:cs="Times New Roman"/>
          <w:sz w:val="24"/>
          <w:szCs w:val="24"/>
        </w:rPr>
        <w:t xml:space="preserve">whether people living with dementia use the MNE to mitigate the distress that they would otherwise </w:t>
      </w:r>
      <w:r w:rsidR="00E93BC5" w:rsidRPr="006C7F1D">
        <w:rPr>
          <w:rFonts w:ascii="Cambria" w:hAnsi="Cambria" w:cs="Times New Roman"/>
          <w:sz w:val="24"/>
          <w:szCs w:val="24"/>
        </w:rPr>
        <w:t>experience as a result of knowing about their illness</w:t>
      </w:r>
      <w:r w:rsidR="00FE2D91" w:rsidRPr="006C7F1D">
        <w:rPr>
          <w:rFonts w:ascii="Cambria" w:hAnsi="Cambria" w:cs="Times New Roman"/>
          <w:sz w:val="24"/>
          <w:szCs w:val="24"/>
        </w:rPr>
        <w:t xml:space="preserve"> </w:t>
      </w:r>
      <w:r w:rsidR="00F426CA" w:rsidRPr="006C7F1D">
        <w:rPr>
          <w:rFonts w:ascii="Cambria" w:hAnsi="Cambria" w:cs="Times New Roman"/>
          <w:sz w:val="24"/>
          <w:szCs w:val="24"/>
        </w:rPr>
        <w:t xml:space="preserve">we would be able to </w:t>
      </w:r>
      <w:r w:rsidR="00D24BE5" w:rsidRPr="006C7F1D">
        <w:rPr>
          <w:rFonts w:ascii="Cambria" w:hAnsi="Cambria" w:cs="Times New Roman"/>
          <w:sz w:val="24"/>
          <w:szCs w:val="24"/>
        </w:rPr>
        <w:t xml:space="preserve">explore </w:t>
      </w:r>
      <w:r w:rsidR="00F426CA" w:rsidRPr="006C7F1D">
        <w:rPr>
          <w:rFonts w:ascii="Cambria" w:hAnsi="Cambria" w:cs="Times New Roman"/>
          <w:sz w:val="24"/>
          <w:szCs w:val="24"/>
        </w:rPr>
        <w:t xml:space="preserve">one of the ways in which </w:t>
      </w:r>
      <w:r w:rsidR="0017594D" w:rsidRPr="006C7F1D">
        <w:rPr>
          <w:rFonts w:ascii="Cambria" w:hAnsi="Cambria" w:cs="Times New Roman"/>
          <w:sz w:val="24"/>
          <w:szCs w:val="24"/>
        </w:rPr>
        <w:t xml:space="preserve">people defend themselves against </w:t>
      </w:r>
      <w:r w:rsidR="00D24BE5" w:rsidRPr="006C7F1D">
        <w:rPr>
          <w:rFonts w:ascii="Cambria" w:hAnsi="Cambria" w:cs="Times New Roman"/>
          <w:sz w:val="24"/>
          <w:szCs w:val="24"/>
        </w:rPr>
        <w:t xml:space="preserve">the existential test of </w:t>
      </w:r>
      <w:r w:rsidR="0017594D" w:rsidRPr="006C7F1D">
        <w:rPr>
          <w:rFonts w:ascii="Cambria" w:hAnsi="Cambria" w:cs="Times New Roman"/>
          <w:sz w:val="24"/>
          <w:szCs w:val="24"/>
        </w:rPr>
        <w:t>dementia.</w:t>
      </w:r>
    </w:p>
    <w:p w14:paraId="0E92ACD4" w14:textId="0EDA9E1A" w:rsidR="008D4A6D" w:rsidRPr="006C7F1D" w:rsidRDefault="0015777F" w:rsidP="00E802CF">
      <w:pPr>
        <w:spacing w:before="120" w:after="120" w:line="480" w:lineRule="auto"/>
        <w:ind w:firstLine="720"/>
        <w:rPr>
          <w:rFonts w:ascii="Cambria" w:hAnsi="Cambria" w:cs="Times New Roman"/>
          <w:sz w:val="24"/>
          <w:szCs w:val="24"/>
        </w:rPr>
      </w:pPr>
      <w:r w:rsidRPr="006C7F1D">
        <w:rPr>
          <w:rFonts w:ascii="Cambria" w:hAnsi="Cambria" w:cs="Times New Roman"/>
          <w:sz w:val="24"/>
          <w:szCs w:val="24"/>
        </w:rPr>
        <w:t xml:space="preserve">We hypothesised </w:t>
      </w:r>
      <w:r w:rsidR="008B46C5" w:rsidRPr="006C7F1D">
        <w:rPr>
          <w:rFonts w:ascii="Cambria" w:hAnsi="Cambria" w:cs="Times New Roman"/>
          <w:sz w:val="24"/>
          <w:szCs w:val="24"/>
        </w:rPr>
        <w:t xml:space="preserve">that </w:t>
      </w:r>
      <w:r w:rsidR="00F426CA" w:rsidRPr="006C7F1D">
        <w:rPr>
          <w:rFonts w:ascii="Cambria" w:hAnsi="Cambria" w:cs="Times New Roman"/>
          <w:sz w:val="24"/>
          <w:szCs w:val="24"/>
        </w:rPr>
        <w:t xml:space="preserve">the </w:t>
      </w:r>
      <w:r w:rsidR="005B285B" w:rsidRPr="006C7F1D">
        <w:rPr>
          <w:rFonts w:ascii="Cambria" w:hAnsi="Cambria" w:cs="Times New Roman"/>
          <w:sz w:val="24"/>
          <w:szCs w:val="24"/>
        </w:rPr>
        <w:t xml:space="preserve">MNE </w:t>
      </w:r>
      <w:r w:rsidR="008B46C5" w:rsidRPr="006C7F1D">
        <w:rPr>
          <w:rFonts w:ascii="Cambria" w:hAnsi="Cambria" w:cs="Times New Roman"/>
          <w:sz w:val="24"/>
          <w:szCs w:val="24"/>
        </w:rPr>
        <w:t xml:space="preserve">would limit the recall of </w:t>
      </w:r>
      <w:r w:rsidR="005B285B" w:rsidRPr="006C7F1D">
        <w:rPr>
          <w:rFonts w:ascii="Cambria" w:hAnsi="Cambria" w:cs="Times New Roman"/>
          <w:sz w:val="24"/>
          <w:szCs w:val="24"/>
        </w:rPr>
        <w:t xml:space="preserve">people who have dementia for </w:t>
      </w:r>
      <w:r w:rsidR="008B46C5" w:rsidRPr="006C7F1D">
        <w:rPr>
          <w:rFonts w:ascii="Cambria" w:hAnsi="Cambria" w:cs="Times New Roman"/>
          <w:sz w:val="24"/>
          <w:szCs w:val="24"/>
        </w:rPr>
        <w:t xml:space="preserve">the most </w:t>
      </w:r>
      <w:r w:rsidR="008B46C5" w:rsidRPr="006C7F1D">
        <w:rPr>
          <w:rFonts w:ascii="Cambria" w:hAnsi="Cambria" w:cs="Times New Roman"/>
          <w:noProof/>
          <w:sz w:val="24"/>
          <w:szCs w:val="24"/>
        </w:rPr>
        <w:t>threatening</w:t>
      </w:r>
      <w:r w:rsidR="008B46C5" w:rsidRPr="006C7F1D">
        <w:rPr>
          <w:rFonts w:ascii="Cambria" w:hAnsi="Cambria" w:cs="Times New Roman"/>
          <w:sz w:val="24"/>
          <w:szCs w:val="24"/>
        </w:rPr>
        <w:t xml:space="preserve"> </w:t>
      </w:r>
      <w:r w:rsidR="0018391C" w:rsidRPr="006C7F1D">
        <w:rPr>
          <w:rFonts w:ascii="Cambria" w:hAnsi="Cambria" w:cs="Times New Roman"/>
          <w:sz w:val="24"/>
          <w:szCs w:val="24"/>
        </w:rPr>
        <w:t xml:space="preserve">aspects of the condition </w:t>
      </w:r>
      <w:r w:rsidR="008B46C5" w:rsidRPr="006C7F1D">
        <w:rPr>
          <w:rFonts w:ascii="Cambria" w:hAnsi="Cambria" w:cs="Times New Roman"/>
          <w:sz w:val="24"/>
          <w:szCs w:val="24"/>
        </w:rPr>
        <w:t>and have no effect on the</w:t>
      </w:r>
      <w:r w:rsidR="0018391C" w:rsidRPr="006C7F1D">
        <w:rPr>
          <w:rFonts w:ascii="Cambria" w:hAnsi="Cambria" w:cs="Times New Roman"/>
          <w:sz w:val="24"/>
          <w:szCs w:val="24"/>
        </w:rPr>
        <w:t xml:space="preserve">ir recall of the </w:t>
      </w:r>
      <w:r w:rsidR="008B46C5" w:rsidRPr="006C7F1D">
        <w:rPr>
          <w:rFonts w:ascii="Cambria" w:hAnsi="Cambria" w:cs="Times New Roman"/>
          <w:sz w:val="24"/>
          <w:szCs w:val="24"/>
        </w:rPr>
        <w:t xml:space="preserve">less </w:t>
      </w:r>
      <w:r w:rsidR="008B46C5" w:rsidRPr="006C7F1D">
        <w:rPr>
          <w:rFonts w:ascii="Cambria" w:hAnsi="Cambria" w:cs="Times New Roman"/>
          <w:noProof/>
          <w:sz w:val="24"/>
          <w:szCs w:val="24"/>
        </w:rPr>
        <w:t>threatening</w:t>
      </w:r>
      <w:r w:rsidR="008B46C5" w:rsidRPr="006C7F1D">
        <w:rPr>
          <w:rFonts w:ascii="Cambria" w:hAnsi="Cambria" w:cs="Times New Roman"/>
          <w:sz w:val="24"/>
          <w:szCs w:val="24"/>
        </w:rPr>
        <w:t xml:space="preserve"> </w:t>
      </w:r>
      <w:r w:rsidR="0018391C" w:rsidRPr="006C7F1D">
        <w:rPr>
          <w:rFonts w:ascii="Cambria" w:hAnsi="Cambria" w:cs="Times New Roman"/>
          <w:sz w:val="24"/>
          <w:szCs w:val="24"/>
        </w:rPr>
        <w:t>aspects</w:t>
      </w:r>
      <w:r w:rsidR="008B46C5" w:rsidRPr="006C7F1D">
        <w:rPr>
          <w:rFonts w:ascii="Cambria" w:hAnsi="Cambria" w:cs="Times New Roman"/>
          <w:sz w:val="24"/>
          <w:szCs w:val="24"/>
        </w:rPr>
        <w:t xml:space="preserve">. To </w:t>
      </w:r>
      <w:r w:rsidR="00A96F29">
        <w:rPr>
          <w:rFonts w:ascii="Cambria" w:hAnsi="Cambria" w:cs="Times New Roman"/>
          <w:sz w:val="24"/>
          <w:szCs w:val="24"/>
        </w:rPr>
        <w:t>test</w:t>
      </w:r>
      <w:r w:rsidR="008B46C5" w:rsidRPr="006C7F1D">
        <w:rPr>
          <w:rFonts w:ascii="Cambria" w:hAnsi="Cambria" w:cs="Times New Roman"/>
          <w:sz w:val="24"/>
          <w:szCs w:val="24"/>
        </w:rPr>
        <w:t xml:space="preserve"> this</w:t>
      </w:r>
      <w:r w:rsidR="004D0FCF">
        <w:rPr>
          <w:rFonts w:ascii="Cambria" w:hAnsi="Cambria" w:cs="Times New Roman"/>
          <w:sz w:val="24"/>
          <w:szCs w:val="24"/>
        </w:rPr>
        <w:t>,</w:t>
      </w:r>
      <w:r w:rsidR="008B46C5" w:rsidRPr="006C7F1D">
        <w:rPr>
          <w:rFonts w:ascii="Cambria" w:hAnsi="Cambria" w:cs="Times New Roman"/>
          <w:sz w:val="24"/>
          <w:szCs w:val="24"/>
        </w:rPr>
        <w:t xml:space="preserve"> we </w:t>
      </w:r>
      <w:r w:rsidR="009D1439" w:rsidRPr="006C7F1D">
        <w:rPr>
          <w:rFonts w:ascii="Cambria" w:hAnsi="Cambria" w:cs="Times New Roman"/>
          <w:sz w:val="24"/>
          <w:szCs w:val="24"/>
        </w:rPr>
        <w:t xml:space="preserve">first generated a list of </w:t>
      </w:r>
      <w:r w:rsidR="00C16CA3" w:rsidRPr="006C7F1D">
        <w:rPr>
          <w:rFonts w:ascii="Cambria" w:hAnsi="Cambria" w:cs="Times New Roman"/>
          <w:sz w:val="24"/>
          <w:szCs w:val="24"/>
        </w:rPr>
        <w:t xml:space="preserve">over 60 </w:t>
      </w:r>
      <w:r w:rsidR="009D1439" w:rsidRPr="006C7F1D">
        <w:rPr>
          <w:rFonts w:ascii="Cambria" w:hAnsi="Cambria" w:cs="Times New Roman"/>
          <w:sz w:val="24"/>
          <w:szCs w:val="24"/>
        </w:rPr>
        <w:t>statements about dementia</w:t>
      </w:r>
      <w:r w:rsidR="00C16CA3" w:rsidRPr="006C7F1D">
        <w:rPr>
          <w:rFonts w:ascii="Cambria" w:hAnsi="Cambria" w:cs="Times New Roman"/>
          <w:sz w:val="24"/>
          <w:szCs w:val="24"/>
        </w:rPr>
        <w:t xml:space="preserve"> from self-help leaflets </w:t>
      </w:r>
      <w:r w:rsidR="00C16CA3" w:rsidRPr="006C7F1D">
        <w:rPr>
          <w:rFonts w:ascii="Cambria" w:hAnsi="Cambria" w:cs="Times New Roman"/>
          <w:noProof/>
          <w:sz w:val="24"/>
          <w:szCs w:val="24"/>
        </w:rPr>
        <w:t>designed</w:t>
      </w:r>
      <w:r w:rsidR="00C16CA3" w:rsidRPr="006C7F1D">
        <w:rPr>
          <w:rFonts w:ascii="Cambria" w:hAnsi="Cambria" w:cs="Times New Roman"/>
          <w:sz w:val="24"/>
          <w:szCs w:val="24"/>
        </w:rPr>
        <w:t xml:space="preserve"> for people with </w:t>
      </w:r>
      <w:r w:rsidR="00C16CA3" w:rsidRPr="006C7F1D">
        <w:rPr>
          <w:rFonts w:ascii="Cambria" w:hAnsi="Cambria" w:cs="Times New Roman"/>
          <w:noProof/>
          <w:sz w:val="24"/>
          <w:szCs w:val="24"/>
        </w:rPr>
        <w:t xml:space="preserve">dementia written either by the Alzheimer's Society or by the National Health Service.  We then asked </w:t>
      </w:r>
      <w:r w:rsidR="008B46C5" w:rsidRPr="006C7F1D">
        <w:rPr>
          <w:rFonts w:ascii="Cambria" w:hAnsi="Cambria" w:cs="Times New Roman"/>
          <w:noProof/>
          <w:sz w:val="24"/>
          <w:szCs w:val="24"/>
        </w:rPr>
        <w:t xml:space="preserve">staff and students at the University of the West of England to rate </w:t>
      </w:r>
      <w:r w:rsidR="00C16CA3" w:rsidRPr="006C7F1D">
        <w:rPr>
          <w:rFonts w:ascii="Cambria" w:hAnsi="Cambria" w:cs="Times New Roman"/>
          <w:noProof/>
          <w:sz w:val="24"/>
          <w:szCs w:val="24"/>
        </w:rPr>
        <w:t xml:space="preserve">these </w:t>
      </w:r>
      <w:r w:rsidR="008B46C5" w:rsidRPr="006C7F1D">
        <w:rPr>
          <w:rFonts w:ascii="Cambria" w:hAnsi="Cambria" w:cs="Times New Roman"/>
          <w:noProof/>
          <w:sz w:val="24"/>
          <w:szCs w:val="24"/>
        </w:rPr>
        <w:t xml:space="preserve">statements </w:t>
      </w:r>
      <w:r w:rsidR="006938EC" w:rsidRPr="006C7F1D">
        <w:rPr>
          <w:rFonts w:ascii="Cambria" w:hAnsi="Cambria" w:cs="Times New Roman"/>
          <w:noProof/>
          <w:sz w:val="24"/>
          <w:szCs w:val="24"/>
        </w:rPr>
        <w:t xml:space="preserve">in terms of </w:t>
      </w:r>
      <w:r w:rsidR="008B46C5" w:rsidRPr="006C7F1D">
        <w:rPr>
          <w:rFonts w:ascii="Cambria" w:hAnsi="Cambria" w:cs="Times New Roman"/>
          <w:noProof/>
          <w:sz w:val="24"/>
          <w:szCs w:val="24"/>
        </w:rPr>
        <w:t xml:space="preserve">how threatening they were to </w:t>
      </w:r>
      <w:r w:rsidR="00A96F29">
        <w:rPr>
          <w:rFonts w:ascii="Cambria" w:hAnsi="Cambria" w:cs="Times New Roman"/>
          <w:noProof/>
          <w:sz w:val="24"/>
          <w:szCs w:val="24"/>
        </w:rPr>
        <w:t xml:space="preserve">their </w:t>
      </w:r>
      <w:r w:rsidR="008B46C5" w:rsidRPr="006C7F1D">
        <w:rPr>
          <w:rFonts w:ascii="Cambria" w:hAnsi="Cambria" w:cs="Times New Roman"/>
          <w:noProof/>
          <w:sz w:val="24"/>
          <w:szCs w:val="24"/>
        </w:rPr>
        <w:t>well-being.</w:t>
      </w:r>
      <w:r w:rsidR="008B46C5" w:rsidRPr="006C7F1D">
        <w:rPr>
          <w:rFonts w:ascii="Cambria" w:hAnsi="Cambria" w:cs="Times New Roman"/>
          <w:sz w:val="24"/>
          <w:szCs w:val="24"/>
        </w:rPr>
        <w:t xml:space="preserve"> From </w:t>
      </w:r>
      <w:r w:rsidR="006938EC" w:rsidRPr="006C7F1D">
        <w:rPr>
          <w:rFonts w:ascii="Cambria" w:hAnsi="Cambria" w:cs="Times New Roman"/>
          <w:sz w:val="24"/>
          <w:szCs w:val="24"/>
        </w:rPr>
        <w:t>their responses</w:t>
      </w:r>
      <w:r w:rsidR="008B46C5" w:rsidRPr="006C7F1D">
        <w:rPr>
          <w:rFonts w:ascii="Cambria" w:hAnsi="Cambria" w:cs="Times New Roman"/>
          <w:sz w:val="24"/>
          <w:szCs w:val="24"/>
        </w:rPr>
        <w:t xml:space="preserve"> we selected the twelve most threatening </w:t>
      </w:r>
      <w:r w:rsidR="004D0FCF">
        <w:rPr>
          <w:rFonts w:ascii="Cambria" w:hAnsi="Cambria" w:cs="Times New Roman"/>
          <w:sz w:val="24"/>
          <w:szCs w:val="24"/>
        </w:rPr>
        <w:t>(e.g., “</w:t>
      </w:r>
      <w:r w:rsidR="004D0FCF" w:rsidRPr="006C7F1D">
        <w:rPr>
          <w:rFonts w:ascii="Cambria" w:eastAsia="Times New Roman" w:hAnsi="Cambria" w:cs="Times New Roman"/>
          <w:i/>
          <w:iCs/>
          <w:noProof/>
          <w:color w:val="000000"/>
          <w:sz w:val="24"/>
          <w:szCs w:val="24"/>
        </w:rPr>
        <w:t xml:space="preserve">As the illness gets worse, so </w:t>
      </w:r>
      <w:r w:rsidR="004D0FCF" w:rsidRPr="006C7F1D">
        <w:rPr>
          <w:rFonts w:ascii="Cambria" w:eastAsia="Times New Roman" w:hAnsi="Cambria" w:cs="Times New Roman"/>
          <w:bCs/>
          <w:i/>
          <w:iCs/>
          <w:noProof/>
          <w:color w:val="000000"/>
          <w:sz w:val="24"/>
          <w:szCs w:val="24"/>
        </w:rPr>
        <w:t>you</w:t>
      </w:r>
      <w:r w:rsidR="004D0FCF" w:rsidRPr="006C7F1D">
        <w:rPr>
          <w:rFonts w:ascii="Cambria" w:eastAsia="Times New Roman" w:hAnsi="Cambria" w:cs="Times New Roman"/>
          <w:i/>
          <w:iCs/>
          <w:noProof/>
          <w:color w:val="000000"/>
          <w:sz w:val="24"/>
          <w:szCs w:val="24"/>
        </w:rPr>
        <w:t xml:space="preserve"> will increasingly come to rely on others</w:t>
      </w:r>
      <w:r w:rsidR="004D0FCF" w:rsidRPr="006C7F1D">
        <w:rPr>
          <w:rFonts w:ascii="Cambria" w:hAnsi="Cambria" w:cs="Times New Roman"/>
          <w:noProof/>
          <w:sz w:val="24"/>
          <w:szCs w:val="24"/>
        </w:rPr>
        <w:t>”</w:t>
      </w:r>
      <w:r w:rsidR="004D0FCF">
        <w:rPr>
          <w:rFonts w:ascii="Cambria" w:hAnsi="Cambria" w:cs="Times New Roman"/>
          <w:noProof/>
          <w:sz w:val="24"/>
          <w:szCs w:val="24"/>
        </w:rPr>
        <w:t xml:space="preserve">) </w:t>
      </w:r>
      <w:r w:rsidR="008B46C5" w:rsidRPr="006C7F1D">
        <w:rPr>
          <w:rFonts w:ascii="Cambria" w:hAnsi="Cambria" w:cs="Times New Roman"/>
          <w:sz w:val="24"/>
          <w:szCs w:val="24"/>
        </w:rPr>
        <w:t xml:space="preserve">and the twelve least </w:t>
      </w:r>
      <w:r w:rsidR="008B46C5" w:rsidRPr="006C7F1D">
        <w:rPr>
          <w:rFonts w:ascii="Cambria" w:hAnsi="Cambria" w:cs="Times New Roman"/>
          <w:noProof/>
          <w:sz w:val="24"/>
          <w:szCs w:val="24"/>
        </w:rPr>
        <w:t>threatening</w:t>
      </w:r>
      <w:r w:rsidR="004227E4" w:rsidRPr="006C7F1D">
        <w:rPr>
          <w:rFonts w:ascii="Cambria" w:hAnsi="Cambria" w:cs="Times New Roman"/>
          <w:noProof/>
          <w:sz w:val="24"/>
          <w:szCs w:val="24"/>
        </w:rPr>
        <w:t xml:space="preserve"> statements</w:t>
      </w:r>
      <w:r w:rsidR="004D0FCF">
        <w:rPr>
          <w:rFonts w:ascii="Cambria" w:hAnsi="Cambria" w:cs="Times New Roman"/>
          <w:noProof/>
          <w:sz w:val="24"/>
          <w:szCs w:val="24"/>
        </w:rPr>
        <w:t xml:space="preserve"> (e.g., </w:t>
      </w:r>
      <w:r w:rsidR="004D0FCF" w:rsidRPr="006C7F1D">
        <w:rPr>
          <w:rFonts w:ascii="Cambria" w:hAnsi="Cambria" w:cs="Times New Roman"/>
          <w:noProof/>
          <w:sz w:val="24"/>
          <w:szCs w:val="24"/>
        </w:rPr>
        <w:t>“</w:t>
      </w:r>
      <w:r w:rsidR="004D0FCF" w:rsidRPr="006C7F1D">
        <w:rPr>
          <w:rFonts w:ascii="Cambria" w:eastAsia="Times New Roman" w:hAnsi="Cambria" w:cs="Times New Roman"/>
          <w:i/>
          <w:iCs/>
          <w:noProof/>
          <w:color w:val="000000"/>
          <w:sz w:val="24"/>
          <w:szCs w:val="24"/>
        </w:rPr>
        <w:t xml:space="preserve">In the illness proteins can gradually build-up inside </w:t>
      </w:r>
      <w:r w:rsidR="004D0FCF" w:rsidRPr="006C7F1D">
        <w:rPr>
          <w:rFonts w:ascii="Cambria" w:eastAsia="Times New Roman" w:hAnsi="Cambria" w:cs="Times New Roman"/>
          <w:bCs/>
          <w:i/>
          <w:iCs/>
          <w:noProof/>
          <w:color w:val="000000"/>
          <w:sz w:val="24"/>
          <w:szCs w:val="24"/>
        </w:rPr>
        <w:t>your</w:t>
      </w:r>
      <w:r w:rsidR="004D0FCF">
        <w:rPr>
          <w:rFonts w:ascii="Cambria" w:eastAsia="Times New Roman" w:hAnsi="Cambria" w:cs="Times New Roman"/>
          <w:bCs/>
          <w:i/>
          <w:iCs/>
          <w:noProof/>
          <w:color w:val="000000"/>
          <w:sz w:val="24"/>
          <w:szCs w:val="24"/>
        </w:rPr>
        <w:t xml:space="preserve"> </w:t>
      </w:r>
      <w:r w:rsidR="004D0FCF" w:rsidRPr="006C7F1D">
        <w:rPr>
          <w:rFonts w:ascii="Cambria" w:eastAsia="Times New Roman" w:hAnsi="Cambria" w:cs="Times New Roman"/>
          <w:i/>
          <w:iCs/>
          <w:noProof/>
          <w:color w:val="000000"/>
          <w:sz w:val="24"/>
          <w:szCs w:val="24"/>
        </w:rPr>
        <w:t>brain</w:t>
      </w:r>
      <w:r w:rsidR="004D0FCF" w:rsidRPr="006C7F1D">
        <w:rPr>
          <w:rFonts w:ascii="Cambria" w:hAnsi="Cambria" w:cs="Times New Roman"/>
          <w:noProof/>
          <w:sz w:val="24"/>
          <w:szCs w:val="24"/>
        </w:rPr>
        <w:t>”</w:t>
      </w:r>
      <w:r w:rsidR="004D0FCF">
        <w:rPr>
          <w:rFonts w:ascii="Cambria" w:hAnsi="Cambria" w:cs="Times New Roman"/>
          <w:noProof/>
          <w:sz w:val="24"/>
          <w:szCs w:val="24"/>
        </w:rPr>
        <w:t>)</w:t>
      </w:r>
      <w:r w:rsidR="008B46C5" w:rsidRPr="006C7F1D">
        <w:rPr>
          <w:rFonts w:ascii="Cambria" w:hAnsi="Cambria" w:cs="Times New Roman"/>
          <w:sz w:val="24"/>
          <w:szCs w:val="24"/>
        </w:rPr>
        <w:t>.</w:t>
      </w:r>
      <w:r w:rsidR="004D0FCF">
        <w:rPr>
          <w:rFonts w:ascii="Cambria" w:hAnsi="Cambria" w:cs="Times New Roman"/>
          <w:sz w:val="24"/>
          <w:szCs w:val="24"/>
        </w:rPr>
        <w:t xml:space="preserve"> </w:t>
      </w:r>
      <w:r w:rsidR="008B46C5" w:rsidRPr="006C7F1D">
        <w:rPr>
          <w:rFonts w:ascii="Cambria" w:hAnsi="Cambria" w:cs="Times New Roman"/>
          <w:sz w:val="24"/>
          <w:szCs w:val="24"/>
        </w:rPr>
        <w:t xml:space="preserve">We </w:t>
      </w:r>
      <w:r w:rsidR="004D0FCF">
        <w:rPr>
          <w:rFonts w:ascii="Cambria" w:hAnsi="Cambria" w:cs="Times New Roman"/>
          <w:sz w:val="24"/>
          <w:szCs w:val="24"/>
        </w:rPr>
        <w:t xml:space="preserve">split these 24 statements </w:t>
      </w:r>
      <w:r w:rsidR="001C528B" w:rsidRPr="006C7F1D">
        <w:rPr>
          <w:rFonts w:ascii="Cambria" w:hAnsi="Cambria" w:cs="Times New Roman"/>
          <w:sz w:val="24"/>
          <w:szCs w:val="24"/>
        </w:rPr>
        <w:t>into four groups of six</w:t>
      </w:r>
      <w:r w:rsidR="004D0FCF">
        <w:rPr>
          <w:rFonts w:ascii="Cambria" w:hAnsi="Cambria" w:cs="Times New Roman"/>
          <w:sz w:val="24"/>
          <w:szCs w:val="24"/>
        </w:rPr>
        <w:t xml:space="preserve"> before </w:t>
      </w:r>
      <w:r w:rsidR="008B46C5" w:rsidRPr="006C7F1D">
        <w:rPr>
          <w:rFonts w:ascii="Cambria" w:hAnsi="Cambria" w:cs="Times New Roman"/>
          <w:sz w:val="24"/>
          <w:szCs w:val="24"/>
        </w:rPr>
        <w:t>read</w:t>
      </w:r>
      <w:r w:rsidR="004D0FCF">
        <w:rPr>
          <w:rFonts w:ascii="Cambria" w:hAnsi="Cambria" w:cs="Times New Roman"/>
          <w:sz w:val="24"/>
          <w:szCs w:val="24"/>
        </w:rPr>
        <w:t>ing</w:t>
      </w:r>
      <w:r w:rsidR="008B46C5" w:rsidRPr="006C7F1D">
        <w:rPr>
          <w:rFonts w:ascii="Cambria" w:hAnsi="Cambria" w:cs="Times New Roman"/>
          <w:sz w:val="24"/>
          <w:szCs w:val="24"/>
        </w:rPr>
        <w:t xml:space="preserve"> out </w:t>
      </w:r>
      <w:r w:rsidR="001C528B" w:rsidRPr="006C7F1D">
        <w:rPr>
          <w:rFonts w:ascii="Cambria" w:hAnsi="Cambria" w:cs="Times New Roman"/>
          <w:sz w:val="24"/>
          <w:szCs w:val="24"/>
        </w:rPr>
        <w:t xml:space="preserve">each group </w:t>
      </w:r>
      <w:r w:rsidR="004D0FCF">
        <w:rPr>
          <w:rFonts w:ascii="Cambria" w:hAnsi="Cambria" w:cs="Times New Roman"/>
          <w:sz w:val="24"/>
          <w:szCs w:val="24"/>
        </w:rPr>
        <w:t xml:space="preserve">of statements </w:t>
      </w:r>
      <w:r w:rsidR="008B46C5" w:rsidRPr="006C7F1D">
        <w:rPr>
          <w:rFonts w:ascii="Cambria" w:hAnsi="Cambria" w:cs="Times New Roman"/>
          <w:sz w:val="24"/>
          <w:szCs w:val="24"/>
        </w:rPr>
        <w:t xml:space="preserve">to </w:t>
      </w:r>
      <w:r w:rsidR="004D0FCF">
        <w:rPr>
          <w:rFonts w:ascii="Cambria" w:hAnsi="Cambria" w:cs="Times New Roman"/>
          <w:sz w:val="24"/>
          <w:szCs w:val="24"/>
        </w:rPr>
        <w:t xml:space="preserve">62 </w:t>
      </w:r>
      <w:r w:rsidR="001C528B" w:rsidRPr="006C7F1D">
        <w:rPr>
          <w:rFonts w:ascii="Cambria" w:hAnsi="Cambria" w:cs="Times New Roman"/>
          <w:sz w:val="24"/>
          <w:szCs w:val="24"/>
        </w:rPr>
        <w:t>participants</w:t>
      </w:r>
      <w:r w:rsidR="004D0FCF">
        <w:rPr>
          <w:rFonts w:ascii="Cambria" w:hAnsi="Cambria" w:cs="Times New Roman"/>
          <w:sz w:val="24"/>
          <w:szCs w:val="24"/>
        </w:rPr>
        <w:t xml:space="preserve"> </w:t>
      </w:r>
      <w:r w:rsidR="004D0FCF" w:rsidRPr="006C7F1D">
        <w:rPr>
          <w:rFonts w:ascii="Cambria" w:hAnsi="Cambria" w:cs="Times New Roman"/>
          <w:noProof/>
          <w:sz w:val="24"/>
          <w:szCs w:val="24"/>
        </w:rPr>
        <w:t>all of whom</w:t>
      </w:r>
      <w:r w:rsidR="004D0FCF" w:rsidRPr="006C7F1D">
        <w:rPr>
          <w:rFonts w:ascii="Cambria" w:hAnsi="Cambria" w:cs="Times New Roman"/>
          <w:sz w:val="24"/>
          <w:szCs w:val="24"/>
        </w:rPr>
        <w:t xml:space="preserve"> had had been diagnosed relatively recently </w:t>
      </w:r>
      <w:r w:rsidR="004D0FCF">
        <w:rPr>
          <w:rFonts w:ascii="Cambria" w:hAnsi="Cambria" w:cs="Times New Roman"/>
          <w:sz w:val="24"/>
          <w:szCs w:val="24"/>
        </w:rPr>
        <w:t xml:space="preserve">with </w:t>
      </w:r>
      <w:r w:rsidR="004D0FCF" w:rsidRPr="006C7F1D">
        <w:rPr>
          <w:rFonts w:ascii="Cambria" w:hAnsi="Cambria" w:cs="Times New Roman"/>
          <w:sz w:val="24"/>
          <w:szCs w:val="24"/>
        </w:rPr>
        <w:t>either Alzheimer’s disease, vascular, or mixed dementia</w:t>
      </w:r>
      <w:r w:rsidR="004D0FCF" w:rsidRPr="006C7F1D">
        <w:rPr>
          <w:rFonts w:ascii="Cambria" w:hAnsi="Cambria" w:cs="Times New Roman"/>
          <w:noProof/>
          <w:sz w:val="24"/>
          <w:szCs w:val="24"/>
        </w:rPr>
        <w:t>.</w:t>
      </w:r>
      <w:r w:rsidR="004D0FCF" w:rsidRPr="006C7F1D">
        <w:rPr>
          <w:rFonts w:ascii="Cambria" w:hAnsi="Cambria" w:cs="Times New Roman"/>
          <w:sz w:val="24"/>
          <w:szCs w:val="24"/>
        </w:rPr>
        <w:t xml:space="preserve"> </w:t>
      </w:r>
      <w:r w:rsidR="004D0FCF">
        <w:rPr>
          <w:rFonts w:ascii="Cambria" w:hAnsi="Cambria" w:cs="Times New Roman"/>
          <w:sz w:val="24"/>
          <w:szCs w:val="24"/>
        </w:rPr>
        <w:t xml:space="preserve">Participants were asked to recall as </w:t>
      </w:r>
      <w:r w:rsidR="004D0FCF">
        <w:rPr>
          <w:rFonts w:ascii="Cambria" w:hAnsi="Cambria" w:cs="Times New Roman"/>
          <w:sz w:val="24"/>
          <w:szCs w:val="24"/>
        </w:rPr>
        <w:lastRenderedPageBreak/>
        <w:t>many statements as they could</w:t>
      </w:r>
      <w:r w:rsidR="008B46C5" w:rsidRPr="006C7F1D">
        <w:rPr>
          <w:rFonts w:ascii="Cambria" w:hAnsi="Cambria" w:cs="Times New Roman"/>
          <w:sz w:val="24"/>
          <w:szCs w:val="24"/>
        </w:rPr>
        <w:t>. Half of the participants</w:t>
      </w:r>
      <w:r w:rsidR="008E5685" w:rsidRPr="006C7F1D">
        <w:rPr>
          <w:rFonts w:ascii="Cambria" w:hAnsi="Cambria" w:cs="Times New Roman"/>
          <w:sz w:val="24"/>
          <w:szCs w:val="24"/>
        </w:rPr>
        <w:t xml:space="preserve"> </w:t>
      </w:r>
      <w:r w:rsidR="008B46C5" w:rsidRPr="006C7F1D">
        <w:rPr>
          <w:rFonts w:ascii="Cambria" w:hAnsi="Cambria" w:cs="Times New Roman"/>
          <w:sz w:val="24"/>
          <w:szCs w:val="24"/>
        </w:rPr>
        <w:t xml:space="preserve">had the </w:t>
      </w:r>
      <w:r w:rsidR="008B46C5" w:rsidRPr="006C7F1D">
        <w:rPr>
          <w:rFonts w:ascii="Cambria" w:hAnsi="Cambria" w:cs="Times New Roman"/>
          <w:noProof/>
          <w:sz w:val="24"/>
          <w:szCs w:val="24"/>
          <w:shd w:val="clear" w:color="auto" w:fill="FFFFFF"/>
        </w:rPr>
        <w:t>statements</w:t>
      </w:r>
      <w:r w:rsidR="008B46C5" w:rsidRPr="006C7F1D">
        <w:rPr>
          <w:rFonts w:ascii="Cambria" w:hAnsi="Cambria" w:cs="Times New Roman"/>
          <w:sz w:val="24"/>
          <w:szCs w:val="24"/>
          <w:shd w:val="clear" w:color="auto" w:fill="FFFFFF"/>
        </w:rPr>
        <w:t xml:space="preserve"> read to them as if they referred directly to themselves, while the other half had them </w:t>
      </w:r>
      <w:r w:rsidR="008B46C5" w:rsidRPr="006C7F1D">
        <w:rPr>
          <w:rFonts w:ascii="Cambria" w:hAnsi="Cambria" w:cs="Times New Roman"/>
          <w:noProof/>
          <w:sz w:val="24"/>
          <w:szCs w:val="24"/>
          <w:shd w:val="clear" w:color="auto" w:fill="FFFFFF"/>
        </w:rPr>
        <w:t>read</w:t>
      </w:r>
      <w:r w:rsidR="008B46C5" w:rsidRPr="006C7F1D">
        <w:rPr>
          <w:rFonts w:ascii="Cambria" w:hAnsi="Cambria" w:cs="Times New Roman"/>
          <w:sz w:val="24"/>
          <w:szCs w:val="24"/>
          <w:shd w:val="clear" w:color="auto" w:fill="FFFFFF"/>
        </w:rPr>
        <w:t xml:space="preserve"> as if they </w:t>
      </w:r>
      <w:r w:rsidR="008B46C5" w:rsidRPr="006C7F1D">
        <w:rPr>
          <w:rFonts w:ascii="Cambria" w:hAnsi="Cambria" w:cs="Times New Roman"/>
          <w:noProof/>
          <w:sz w:val="24"/>
          <w:szCs w:val="24"/>
          <w:shd w:val="clear" w:color="auto" w:fill="FFFFFF"/>
        </w:rPr>
        <w:t>referred</w:t>
      </w:r>
      <w:r w:rsidR="008B46C5" w:rsidRPr="006C7F1D">
        <w:rPr>
          <w:rFonts w:ascii="Cambria" w:hAnsi="Cambria" w:cs="Times New Roman"/>
          <w:sz w:val="24"/>
          <w:szCs w:val="24"/>
          <w:shd w:val="clear" w:color="auto" w:fill="FFFFFF"/>
        </w:rPr>
        <w:t xml:space="preserve"> to a hypothetical person called Chris. </w:t>
      </w:r>
      <w:r w:rsidR="00B51C24" w:rsidRPr="006C7F1D">
        <w:rPr>
          <w:rFonts w:ascii="Cambria" w:hAnsi="Cambria" w:cs="Times New Roman"/>
          <w:sz w:val="24"/>
          <w:szCs w:val="24"/>
        </w:rPr>
        <w:t>Our results confirmed our hypothesis:</w:t>
      </w:r>
      <w:r w:rsidR="00A96F29">
        <w:rPr>
          <w:rFonts w:ascii="Cambria" w:hAnsi="Cambria" w:cs="Times New Roman"/>
          <w:sz w:val="24"/>
          <w:szCs w:val="24"/>
        </w:rPr>
        <w:t xml:space="preserve"> the</w:t>
      </w:r>
      <w:r w:rsidR="00B51C24" w:rsidRPr="006C7F1D">
        <w:rPr>
          <w:rFonts w:ascii="Cambria" w:hAnsi="Cambria" w:cs="Times New Roman"/>
          <w:sz w:val="24"/>
          <w:szCs w:val="24"/>
        </w:rPr>
        <w:t xml:space="preserve"> </w:t>
      </w:r>
      <w:r w:rsidR="009B4A6B" w:rsidRPr="006C7F1D">
        <w:rPr>
          <w:rFonts w:ascii="Cambria" w:hAnsi="Cambria" w:cs="Times New Roman"/>
          <w:sz w:val="24"/>
          <w:szCs w:val="24"/>
        </w:rPr>
        <w:t xml:space="preserve">MNE meant </w:t>
      </w:r>
      <w:r w:rsidR="008B46C5" w:rsidRPr="006C7F1D">
        <w:rPr>
          <w:rFonts w:ascii="Cambria" w:hAnsi="Cambria" w:cs="Times New Roman"/>
          <w:sz w:val="24"/>
          <w:szCs w:val="24"/>
        </w:rPr>
        <w:t xml:space="preserve">that people with dementia recalled fewer of the </w:t>
      </w:r>
      <w:r w:rsidR="00650888" w:rsidRPr="006C7F1D">
        <w:rPr>
          <w:rFonts w:ascii="Cambria" w:hAnsi="Cambria" w:cs="Times New Roman"/>
          <w:sz w:val="24"/>
          <w:szCs w:val="24"/>
        </w:rPr>
        <w:t xml:space="preserve">most </w:t>
      </w:r>
      <w:r w:rsidR="008B46C5" w:rsidRPr="006C7F1D">
        <w:rPr>
          <w:rFonts w:ascii="Cambria" w:hAnsi="Cambria" w:cs="Times New Roman"/>
          <w:sz w:val="24"/>
          <w:szCs w:val="24"/>
        </w:rPr>
        <w:t>threatening dementia-related statements</w:t>
      </w:r>
      <w:r w:rsidR="00650888" w:rsidRPr="006C7F1D">
        <w:rPr>
          <w:rFonts w:ascii="Cambria" w:hAnsi="Cambria" w:cs="Times New Roman"/>
          <w:sz w:val="24"/>
          <w:szCs w:val="24"/>
        </w:rPr>
        <w:t xml:space="preserve"> </w:t>
      </w:r>
      <w:r w:rsidR="004D0FCF">
        <w:rPr>
          <w:rFonts w:ascii="Cambria" w:hAnsi="Cambria" w:cs="Times New Roman"/>
          <w:sz w:val="24"/>
          <w:szCs w:val="24"/>
        </w:rPr>
        <w:t xml:space="preserve">when these referred to themselves </w:t>
      </w:r>
      <w:r w:rsidR="00650888" w:rsidRPr="006C7F1D">
        <w:rPr>
          <w:rFonts w:ascii="Cambria" w:hAnsi="Cambria" w:cs="Times New Roman"/>
          <w:sz w:val="24"/>
          <w:szCs w:val="24"/>
        </w:rPr>
        <w:t xml:space="preserve">than </w:t>
      </w:r>
      <w:r w:rsidR="004D0FCF">
        <w:rPr>
          <w:rFonts w:ascii="Cambria" w:hAnsi="Cambria" w:cs="Times New Roman"/>
          <w:sz w:val="24"/>
          <w:szCs w:val="24"/>
        </w:rPr>
        <w:t xml:space="preserve">to Chris. There was no difference in recall </w:t>
      </w:r>
      <w:r w:rsidR="00650888" w:rsidRPr="006C7F1D">
        <w:rPr>
          <w:rFonts w:ascii="Cambria" w:hAnsi="Cambria" w:cs="Times New Roman"/>
          <w:sz w:val="24"/>
          <w:szCs w:val="24"/>
        </w:rPr>
        <w:t xml:space="preserve">of the least threatening </w:t>
      </w:r>
      <w:r w:rsidR="004D0FCF">
        <w:rPr>
          <w:rFonts w:ascii="Cambria" w:hAnsi="Cambria" w:cs="Times New Roman"/>
          <w:sz w:val="24"/>
          <w:szCs w:val="24"/>
        </w:rPr>
        <w:t>statement</w:t>
      </w:r>
      <w:r w:rsidR="00650888" w:rsidRPr="006C7F1D">
        <w:rPr>
          <w:rFonts w:ascii="Cambria" w:hAnsi="Cambria" w:cs="Times New Roman"/>
          <w:sz w:val="24"/>
          <w:szCs w:val="24"/>
        </w:rPr>
        <w:t>s</w:t>
      </w:r>
      <w:r w:rsidR="00450BF3" w:rsidRPr="006C7F1D">
        <w:rPr>
          <w:rFonts w:ascii="Cambria" w:hAnsi="Cambria" w:cs="Times New Roman"/>
          <w:sz w:val="24"/>
          <w:szCs w:val="24"/>
        </w:rPr>
        <w:t xml:space="preserve"> (Cheston et al</w:t>
      </w:r>
      <w:r w:rsidR="001C528B" w:rsidRPr="006C7F1D">
        <w:rPr>
          <w:rFonts w:ascii="Cambria" w:hAnsi="Cambria" w:cs="Times New Roman"/>
          <w:sz w:val="24"/>
          <w:szCs w:val="24"/>
        </w:rPr>
        <w:t>.</w:t>
      </w:r>
      <w:r w:rsidR="00450BF3" w:rsidRPr="006C7F1D">
        <w:rPr>
          <w:rFonts w:ascii="Cambria" w:hAnsi="Cambria" w:cs="Times New Roman"/>
          <w:sz w:val="24"/>
          <w:szCs w:val="24"/>
        </w:rPr>
        <w:t xml:space="preserve">, </w:t>
      </w:r>
      <w:r w:rsidR="001C528B" w:rsidRPr="006C7F1D">
        <w:rPr>
          <w:rFonts w:ascii="Cambria" w:hAnsi="Cambria" w:cs="Times New Roman"/>
          <w:sz w:val="24"/>
          <w:szCs w:val="24"/>
        </w:rPr>
        <w:t>2018</w:t>
      </w:r>
      <w:r w:rsidR="008C28E1">
        <w:rPr>
          <w:rFonts w:ascii="Cambria" w:hAnsi="Cambria" w:cs="Times New Roman"/>
          <w:sz w:val="24"/>
          <w:szCs w:val="24"/>
        </w:rPr>
        <w:t>a</w:t>
      </w:r>
      <w:r w:rsidR="00450BF3" w:rsidRPr="006C7F1D">
        <w:rPr>
          <w:rFonts w:ascii="Cambria" w:hAnsi="Cambria" w:cs="Times New Roman"/>
          <w:sz w:val="24"/>
          <w:szCs w:val="24"/>
        </w:rPr>
        <w:t>)</w:t>
      </w:r>
      <w:r w:rsidR="008B46C5" w:rsidRPr="006C7F1D">
        <w:rPr>
          <w:rFonts w:ascii="Cambria" w:hAnsi="Cambria" w:cs="Times New Roman"/>
          <w:sz w:val="24"/>
          <w:szCs w:val="24"/>
        </w:rPr>
        <w:t xml:space="preserve">. </w:t>
      </w:r>
      <w:r w:rsidR="00E802CF">
        <w:rPr>
          <w:rFonts w:ascii="Cambria" w:hAnsi="Cambria" w:cs="Times New Roman"/>
          <w:sz w:val="24"/>
          <w:szCs w:val="24"/>
        </w:rPr>
        <w:t xml:space="preserve">What this suggests is that people living </w:t>
      </w:r>
      <w:r w:rsidR="008B46C5" w:rsidRPr="006C7F1D">
        <w:rPr>
          <w:rFonts w:ascii="Cambria" w:hAnsi="Cambria" w:cs="Times New Roman"/>
          <w:sz w:val="24"/>
          <w:szCs w:val="24"/>
        </w:rPr>
        <w:t xml:space="preserve">with dementia </w:t>
      </w:r>
      <w:r w:rsidR="00E802CF">
        <w:rPr>
          <w:rFonts w:ascii="Cambria" w:hAnsi="Cambria" w:cs="Times New Roman"/>
          <w:sz w:val="24"/>
          <w:szCs w:val="24"/>
        </w:rPr>
        <w:t xml:space="preserve">may show a tendency to forget information about themselves and their dementia which is especially threatening to their sense of self. </w:t>
      </w:r>
    </w:p>
    <w:p w14:paraId="7B98C2B2" w14:textId="0E2EE46D" w:rsidR="00025C5D" w:rsidRPr="006C7F1D" w:rsidRDefault="00A22E32" w:rsidP="00691B9C">
      <w:pPr>
        <w:pStyle w:val="PlainText"/>
        <w:spacing w:before="120" w:after="120" w:line="480" w:lineRule="auto"/>
        <w:ind w:firstLine="720"/>
        <w:rPr>
          <w:rFonts w:ascii="Cambria" w:eastAsia="Times New Roman" w:hAnsi="Cambria" w:cs="Times New Roman"/>
          <w:sz w:val="24"/>
          <w:szCs w:val="24"/>
        </w:rPr>
      </w:pPr>
      <w:r w:rsidRPr="00691B9C">
        <w:rPr>
          <w:rFonts w:ascii="Cambria" w:eastAsia="Times New Roman" w:hAnsi="Cambria" w:cs="Times New Roman"/>
          <w:sz w:val="24"/>
          <w:szCs w:val="24"/>
        </w:rPr>
        <w:t xml:space="preserve">Given that the MNE </w:t>
      </w:r>
      <w:r w:rsidR="00691B9C" w:rsidRPr="00691B9C">
        <w:rPr>
          <w:rFonts w:ascii="Cambria" w:eastAsia="Times New Roman" w:hAnsi="Cambria" w:cs="Times New Roman"/>
          <w:sz w:val="24"/>
          <w:szCs w:val="24"/>
        </w:rPr>
        <w:t xml:space="preserve">acts </w:t>
      </w:r>
      <w:r w:rsidRPr="00691B9C">
        <w:rPr>
          <w:rFonts w:ascii="Cambria" w:eastAsia="Times New Roman" w:hAnsi="Cambria" w:cs="Times New Roman"/>
          <w:sz w:val="24"/>
          <w:szCs w:val="24"/>
        </w:rPr>
        <w:t>to protect the self against the anxiety that would otherwise arise from a</w:t>
      </w:r>
      <w:r w:rsidR="00691B9C" w:rsidRPr="00691B9C">
        <w:rPr>
          <w:rFonts w:ascii="Cambria" w:eastAsia="Times New Roman" w:hAnsi="Cambria" w:cs="Times New Roman"/>
          <w:sz w:val="24"/>
          <w:szCs w:val="24"/>
        </w:rPr>
        <w:t xml:space="preserve">n existential </w:t>
      </w:r>
      <w:r w:rsidRPr="00691B9C">
        <w:rPr>
          <w:rFonts w:ascii="Cambria" w:eastAsia="Times New Roman" w:hAnsi="Cambria" w:cs="Times New Roman"/>
          <w:sz w:val="24"/>
          <w:szCs w:val="24"/>
        </w:rPr>
        <w:t xml:space="preserve">threat </w:t>
      </w:r>
      <w:r w:rsidR="00691B9C" w:rsidRPr="00691B9C">
        <w:rPr>
          <w:rFonts w:ascii="Cambria" w:eastAsia="Times New Roman" w:hAnsi="Cambria" w:cs="Times New Roman"/>
          <w:sz w:val="24"/>
          <w:szCs w:val="24"/>
        </w:rPr>
        <w:t>such as dementia</w:t>
      </w:r>
      <w:r w:rsidRPr="00691B9C">
        <w:rPr>
          <w:rFonts w:ascii="Cambria" w:eastAsia="Times New Roman" w:hAnsi="Cambria" w:cs="Times New Roman"/>
          <w:sz w:val="24"/>
          <w:szCs w:val="24"/>
        </w:rPr>
        <w:t>, then if we bolster the person’s sense of self, th</w:t>
      </w:r>
      <w:r w:rsidR="00691B9C" w:rsidRPr="00691B9C">
        <w:rPr>
          <w:rFonts w:ascii="Cambria" w:eastAsia="Times New Roman" w:hAnsi="Cambria" w:cs="Times New Roman"/>
          <w:sz w:val="24"/>
          <w:szCs w:val="24"/>
        </w:rPr>
        <w:t>is should reduce or</w:t>
      </w:r>
      <w:r w:rsidRPr="00691B9C">
        <w:rPr>
          <w:rFonts w:ascii="Cambria" w:eastAsia="Times New Roman" w:hAnsi="Cambria" w:cs="Times New Roman"/>
          <w:sz w:val="24"/>
          <w:szCs w:val="24"/>
        </w:rPr>
        <w:t xml:space="preserve"> </w:t>
      </w:r>
      <w:r w:rsidR="00691B9C" w:rsidRPr="00691B9C">
        <w:rPr>
          <w:rFonts w:ascii="Cambria" w:eastAsia="Times New Roman" w:hAnsi="Cambria" w:cs="Times New Roman"/>
          <w:sz w:val="24"/>
          <w:szCs w:val="24"/>
        </w:rPr>
        <w:t>eliminate</w:t>
      </w:r>
      <w:r w:rsidRPr="00691B9C">
        <w:rPr>
          <w:rFonts w:ascii="Cambria" w:eastAsia="Times New Roman" w:hAnsi="Cambria" w:cs="Times New Roman"/>
          <w:sz w:val="24"/>
          <w:szCs w:val="24"/>
        </w:rPr>
        <w:t xml:space="preserve"> the need for </w:t>
      </w:r>
      <w:r w:rsidR="00691B9C" w:rsidRPr="00691B9C">
        <w:rPr>
          <w:rFonts w:ascii="Cambria" w:eastAsia="Times New Roman" w:hAnsi="Cambria" w:cs="Times New Roman"/>
          <w:sz w:val="24"/>
          <w:szCs w:val="24"/>
        </w:rPr>
        <w:t xml:space="preserve">the MNE to operate. Acting on this premise we </w:t>
      </w:r>
      <w:r w:rsidR="00691B9C">
        <w:rPr>
          <w:rFonts w:ascii="Cambria" w:eastAsia="Times New Roman" w:hAnsi="Cambria" w:cs="Times New Roman"/>
          <w:sz w:val="24"/>
          <w:szCs w:val="24"/>
        </w:rPr>
        <w:t>set out to see if it was possible to improve participants’ recall of self-threatening information. We did this by drawing on another process that o</w:t>
      </w:r>
      <w:r w:rsidR="003E5BBE" w:rsidRPr="00691B9C">
        <w:rPr>
          <w:rFonts w:ascii="Cambria" w:eastAsia="Times New Roman" w:hAnsi="Cambria" w:cs="Times New Roman"/>
          <w:sz w:val="24"/>
          <w:szCs w:val="24"/>
        </w:rPr>
        <w:t>ur col</w:t>
      </w:r>
      <w:r w:rsidR="003E5BBE" w:rsidRPr="006C7F1D">
        <w:rPr>
          <w:rFonts w:ascii="Cambria" w:eastAsia="Times New Roman" w:hAnsi="Cambria" w:cs="Times New Roman"/>
          <w:sz w:val="24"/>
          <w:szCs w:val="24"/>
        </w:rPr>
        <w:t xml:space="preserve">leagues </w:t>
      </w:r>
      <w:r w:rsidR="006C0CF3" w:rsidRPr="006C7F1D">
        <w:rPr>
          <w:rFonts w:ascii="Cambria" w:eastAsia="Times New Roman" w:hAnsi="Cambria" w:cs="Times New Roman"/>
          <w:sz w:val="24"/>
          <w:szCs w:val="24"/>
        </w:rPr>
        <w:t>in Southampton had</w:t>
      </w:r>
      <w:r w:rsidR="00691B9C">
        <w:rPr>
          <w:rFonts w:ascii="Cambria" w:eastAsia="Times New Roman" w:hAnsi="Cambria" w:cs="Times New Roman"/>
          <w:sz w:val="24"/>
          <w:szCs w:val="24"/>
        </w:rPr>
        <w:t xml:space="preserve"> previously identified – namely </w:t>
      </w:r>
      <w:r w:rsidR="006C0CF3" w:rsidRPr="006C7F1D">
        <w:rPr>
          <w:rFonts w:ascii="Cambria" w:eastAsia="Times New Roman" w:hAnsi="Cambria" w:cs="Times New Roman"/>
          <w:sz w:val="24"/>
          <w:szCs w:val="24"/>
        </w:rPr>
        <w:t xml:space="preserve">that when people </w:t>
      </w:r>
      <w:r w:rsidR="002C3901" w:rsidRPr="006C7F1D">
        <w:rPr>
          <w:rFonts w:ascii="Cambria" w:eastAsia="Times New Roman" w:hAnsi="Cambria" w:cs="Times New Roman"/>
          <w:sz w:val="24"/>
          <w:szCs w:val="24"/>
        </w:rPr>
        <w:t xml:space="preserve">recall a nostalgic </w:t>
      </w:r>
      <w:r w:rsidR="00691B9C">
        <w:rPr>
          <w:rFonts w:ascii="Cambria" w:eastAsia="Times New Roman" w:hAnsi="Cambria" w:cs="Times New Roman"/>
          <w:sz w:val="24"/>
          <w:szCs w:val="24"/>
        </w:rPr>
        <w:t xml:space="preserve">(compared to </w:t>
      </w:r>
      <w:r w:rsidR="00D84F57" w:rsidRPr="006C7F1D">
        <w:rPr>
          <w:rFonts w:ascii="Cambria" w:eastAsia="Times New Roman" w:hAnsi="Cambria" w:cs="Times New Roman"/>
          <w:sz w:val="24"/>
          <w:szCs w:val="24"/>
        </w:rPr>
        <w:t xml:space="preserve">an ordinary </w:t>
      </w:r>
      <w:r w:rsidR="002C3901" w:rsidRPr="006C7F1D">
        <w:rPr>
          <w:rFonts w:ascii="Cambria" w:eastAsia="Times New Roman" w:hAnsi="Cambria" w:cs="Times New Roman"/>
          <w:sz w:val="24"/>
          <w:szCs w:val="24"/>
        </w:rPr>
        <w:t>memory</w:t>
      </w:r>
      <w:r w:rsidR="00691B9C">
        <w:rPr>
          <w:rFonts w:ascii="Cambria" w:eastAsia="Times New Roman" w:hAnsi="Cambria" w:cs="Times New Roman"/>
          <w:sz w:val="24"/>
          <w:szCs w:val="24"/>
        </w:rPr>
        <w:t>)</w:t>
      </w:r>
      <w:r w:rsidR="002C3901" w:rsidRPr="006C7F1D">
        <w:rPr>
          <w:rFonts w:ascii="Cambria" w:eastAsia="Times New Roman" w:hAnsi="Cambria" w:cs="Times New Roman"/>
          <w:sz w:val="24"/>
          <w:szCs w:val="24"/>
        </w:rPr>
        <w:t xml:space="preserve"> then</w:t>
      </w:r>
      <w:r w:rsidR="00D84F57" w:rsidRPr="006C7F1D">
        <w:rPr>
          <w:rFonts w:ascii="Cambria" w:eastAsia="Times New Roman" w:hAnsi="Cambria" w:cs="Times New Roman"/>
          <w:sz w:val="24"/>
          <w:szCs w:val="24"/>
        </w:rPr>
        <w:t xml:space="preserve"> </w:t>
      </w:r>
      <w:r w:rsidR="00691B9C">
        <w:rPr>
          <w:rFonts w:ascii="Cambria" w:eastAsia="Times New Roman" w:hAnsi="Cambria" w:cs="Times New Roman"/>
          <w:sz w:val="24"/>
          <w:szCs w:val="24"/>
        </w:rPr>
        <w:t xml:space="preserve">this </w:t>
      </w:r>
      <w:r w:rsidR="00D84F57" w:rsidRPr="006C7F1D">
        <w:rPr>
          <w:rFonts w:ascii="Cambria" w:eastAsia="Times New Roman" w:hAnsi="Cambria" w:cs="Times New Roman"/>
          <w:sz w:val="24"/>
          <w:szCs w:val="24"/>
        </w:rPr>
        <w:t>boost</w:t>
      </w:r>
      <w:r w:rsidR="00691B9C">
        <w:rPr>
          <w:rFonts w:ascii="Cambria" w:eastAsia="Times New Roman" w:hAnsi="Cambria" w:cs="Times New Roman"/>
          <w:sz w:val="24"/>
          <w:szCs w:val="24"/>
        </w:rPr>
        <w:t>s</w:t>
      </w:r>
      <w:r w:rsidR="00D84F57" w:rsidRPr="006C7F1D">
        <w:rPr>
          <w:rFonts w:ascii="Cambria" w:eastAsia="Times New Roman" w:hAnsi="Cambria" w:cs="Times New Roman"/>
          <w:sz w:val="24"/>
          <w:szCs w:val="24"/>
        </w:rPr>
        <w:t xml:space="preserve"> their psychological resources</w:t>
      </w:r>
      <w:r w:rsidR="00691B9C">
        <w:rPr>
          <w:rFonts w:ascii="Cambria" w:eastAsia="Times New Roman" w:hAnsi="Cambria" w:cs="Times New Roman"/>
          <w:sz w:val="24"/>
          <w:szCs w:val="24"/>
        </w:rPr>
        <w:t xml:space="preserve"> including </w:t>
      </w:r>
      <w:r w:rsidR="00171D81" w:rsidRPr="006C7F1D">
        <w:rPr>
          <w:rFonts w:ascii="Cambria" w:eastAsia="Times New Roman" w:hAnsi="Cambria" w:cs="Times New Roman"/>
          <w:sz w:val="24"/>
          <w:szCs w:val="24"/>
        </w:rPr>
        <w:t xml:space="preserve">self-esteem, social connectedness and </w:t>
      </w:r>
      <w:r w:rsidR="00691B9C">
        <w:rPr>
          <w:rFonts w:ascii="Cambria" w:eastAsia="Times New Roman" w:hAnsi="Cambria" w:cs="Times New Roman"/>
          <w:sz w:val="24"/>
          <w:szCs w:val="24"/>
        </w:rPr>
        <w:t xml:space="preserve">their </w:t>
      </w:r>
      <w:r w:rsidR="00213146" w:rsidRPr="006C7F1D">
        <w:rPr>
          <w:rFonts w:ascii="Cambria" w:eastAsia="Times New Roman" w:hAnsi="Cambria" w:cs="Times New Roman"/>
          <w:sz w:val="24"/>
          <w:szCs w:val="24"/>
        </w:rPr>
        <w:t>sense that life was meaningful</w:t>
      </w:r>
      <w:r w:rsidR="004C7E47" w:rsidRPr="006C7F1D">
        <w:rPr>
          <w:rFonts w:ascii="Cambria" w:eastAsia="Times New Roman" w:hAnsi="Cambria" w:cs="Times New Roman"/>
          <w:sz w:val="24"/>
          <w:szCs w:val="24"/>
        </w:rPr>
        <w:t xml:space="preserve"> (e.g., Wilds</w:t>
      </w:r>
      <w:r w:rsidR="00A96F29">
        <w:rPr>
          <w:rFonts w:ascii="Cambria" w:eastAsia="Times New Roman" w:hAnsi="Cambria" w:cs="Times New Roman"/>
          <w:sz w:val="24"/>
          <w:szCs w:val="24"/>
        </w:rPr>
        <w:t>c</w:t>
      </w:r>
      <w:r w:rsidR="004C7E47" w:rsidRPr="006C7F1D">
        <w:rPr>
          <w:rFonts w:ascii="Cambria" w:eastAsia="Times New Roman" w:hAnsi="Cambria" w:cs="Times New Roman"/>
          <w:sz w:val="24"/>
          <w:szCs w:val="24"/>
        </w:rPr>
        <w:t>hut et al., 2006)</w:t>
      </w:r>
      <w:r w:rsidR="00213146" w:rsidRPr="006C7F1D">
        <w:rPr>
          <w:rFonts w:ascii="Cambria" w:eastAsia="Times New Roman" w:hAnsi="Cambria" w:cs="Times New Roman"/>
          <w:sz w:val="24"/>
          <w:szCs w:val="24"/>
        </w:rPr>
        <w:t xml:space="preserve">. </w:t>
      </w:r>
      <w:r w:rsidR="004C7E47" w:rsidRPr="006C7F1D">
        <w:rPr>
          <w:rFonts w:ascii="Cambria" w:eastAsia="Times New Roman" w:hAnsi="Cambria" w:cs="Times New Roman"/>
          <w:sz w:val="24"/>
          <w:szCs w:val="24"/>
        </w:rPr>
        <w:t>A doctoral student I supervised</w:t>
      </w:r>
      <w:r w:rsidR="00CC2095" w:rsidRPr="006C7F1D">
        <w:rPr>
          <w:rFonts w:ascii="Cambria" w:eastAsia="Times New Roman" w:hAnsi="Cambria" w:cs="Times New Roman"/>
          <w:sz w:val="24"/>
          <w:szCs w:val="24"/>
        </w:rPr>
        <w:t xml:space="preserve">, </w:t>
      </w:r>
      <w:r w:rsidR="00FF5866" w:rsidRPr="006C7F1D">
        <w:rPr>
          <w:rFonts w:ascii="Cambria" w:eastAsia="Times New Roman" w:hAnsi="Cambria" w:cs="Times New Roman"/>
          <w:sz w:val="24"/>
          <w:szCs w:val="24"/>
        </w:rPr>
        <w:t xml:space="preserve">Sanda </w:t>
      </w:r>
      <w:r w:rsidR="00CC2095" w:rsidRPr="006C7F1D">
        <w:rPr>
          <w:rFonts w:ascii="Cambria" w:eastAsia="Times New Roman" w:hAnsi="Cambria" w:cs="Times New Roman"/>
          <w:sz w:val="24"/>
          <w:szCs w:val="24"/>
        </w:rPr>
        <w:t>I</w:t>
      </w:r>
      <w:r w:rsidR="00FF5866" w:rsidRPr="006C7F1D">
        <w:rPr>
          <w:rFonts w:ascii="Cambria" w:eastAsia="Times New Roman" w:hAnsi="Cambria" w:cs="Times New Roman"/>
          <w:sz w:val="24"/>
          <w:szCs w:val="24"/>
        </w:rPr>
        <w:t xml:space="preserve">smail, </w:t>
      </w:r>
      <w:r w:rsidR="004C7E47" w:rsidRPr="006C7F1D">
        <w:rPr>
          <w:rFonts w:ascii="Cambria" w:eastAsia="Times New Roman" w:hAnsi="Cambria" w:cs="Times New Roman"/>
          <w:sz w:val="24"/>
          <w:szCs w:val="24"/>
        </w:rPr>
        <w:t xml:space="preserve">was able to </w:t>
      </w:r>
      <w:r w:rsidR="00CC2095" w:rsidRPr="006C7F1D">
        <w:rPr>
          <w:rFonts w:ascii="Cambria" w:eastAsia="Times New Roman" w:hAnsi="Cambria" w:cs="Times New Roman"/>
          <w:sz w:val="24"/>
          <w:szCs w:val="24"/>
        </w:rPr>
        <w:t xml:space="preserve">show that these benefits also applied to people living with dementia (Ismail, </w:t>
      </w:r>
      <w:r w:rsidR="004C7E47" w:rsidRPr="006C7F1D">
        <w:rPr>
          <w:rFonts w:ascii="Cambria" w:eastAsia="Times New Roman" w:hAnsi="Cambria" w:cs="Times New Roman"/>
          <w:sz w:val="24"/>
          <w:szCs w:val="24"/>
        </w:rPr>
        <w:t>2017</w:t>
      </w:r>
      <w:r w:rsidR="00CC2095" w:rsidRPr="006C7F1D">
        <w:rPr>
          <w:rFonts w:ascii="Cambria" w:eastAsia="Times New Roman" w:hAnsi="Cambria" w:cs="Times New Roman"/>
          <w:sz w:val="24"/>
          <w:szCs w:val="24"/>
        </w:rPr>
        <w:t>)</w:t>
      </w:r>
      <w:r w:rsidR="00F51C3E" w:rsidRPr="006C7F1D">
        <w:rPr>
          <w:rFonts w:ascii="Cambria" w:eastAsia="Times New Roman" w:hAnsi="Cambria" w:cs="Times New Roman"/>
          <w:sz w:val="24"/>
          <w:szCs w:val="24"/>
        </w:rPr>
        <w:t>. We therefore hypothesised</w:t>
      </w:r>
      <w:r w:rsidR="00AA0587" w:rsidRPr="006C7F1D">
        <w:rPr>
          <w:rFonts w:ascii="Cambria" w:eastAsia="Times New Roman" w:hAnsi="Cambria" w:cs="Times New Roman"/>
          <w:sz w:val="24"/>
          <w:szCs w:val="24"/>
        </w:rPr>
        <w:t xml:space="preserve"> that the psychological benefits that</w:t>
      </w:r>
      <w:r w:rsidR="00393240" w:rsidRPr="006C7F1D">
        <w:rPr>
          <w:rFonts w:ascii="Cambria" w:eastAsia="Times New Roman" w:hAnsi="Cambria" w:cs="Times New Roman"/>
          <w:sz w:val="24"/>
          <w:szCs w:val="24"/>
        </w:rPr>
        <w:t xml:space="preserve"> accrued from nostalgia might buffer </w:t>
      </w:r>
      <w:r w:rsidR="002E7436" w:rsidRPr="006C7F1D">
        <w:rPr>
          <w:rFonts w:ascii="Cambria" w:eastAsia="Times New Roman" w:hAnsi="Cambria" w:cs="Times New Roman"/>
          <w:sz w:val="24"/>
          <w:szCs w:val="24"/>
        </w:rPr>
        <w:t>the self</w:t>
      </w:r>
      <w:r w:rsidR="00691B9C">
        <w:rPr>
          <w:rFonts w:ascii="Cambria" w:eastAsia="Times New Roman" w:hAnsi="Cambria" w:cs="Times New Roman"/>
          <w:sz w:val="24"/>
          <w:szCs w:val="24"/>
        </w:rPr>
        <w:t xml:space="preserve"> </w:t>
      </w:r>
      <w:r w:rsidR="002E7436" w:rsidRPr="006C7F1D">
        <w:rPr>
          <w:rFonts w:ascii="Cambria" w:eastAsia="Times New Roman" w:hAnsi="Cambria" w:cs="Times New Roman"/>
          <w:sz w:val="24"/>
          <w:szCs w:val="24"/>
        </w:rPr>
        <w:t xml:space="preserve">of someone living with dementia to the extent that </w:t>
      </w:r>
      <w:r w:rsidR="00393240" w:rsidRPr="006C7F1D">
        <w:rPr>
          <w:rFonts w:ascii="Cambria" w:eastAsia="Times New Roman" w:hAnsi="Cambria" w:cs="Times New Roman"/>
          <w:sz w:val="24"/>
          <w:szCs w:val="24"/>
        </w:rPr>
        <w:t xml:space="preserve">they </w:t>
      </w:r>
      <w:r w:rsidR="002E7436" w:rsidRPr="006C7F1D">
        <w:rPr>
          <w:rFonts w:ascii="Cambria" w:eastAsia="Times New Roman" w:hAnsi="Cambria" w:cs="Times New Roman"/>
          <w:sz w:val="24"/>
          <w:szCs w:val="24"/>
        </w:rPr>
        <w:t>would be</w:t>
      </w:r>
      <w:r w:rsidR="00691B9C">
        <w:rPr>
          <w:rFonts w:ascii="Cambria" w:eastAsia="Times New Roman" w:hAnsi="Cambria" w:cs="Times New Roman"/>
          <w:sz w:val="24"/>
          <w:szCs w:val="24"/>
        </w:rPr>
        <w:t xml:space="preserve"> more</w:t>
      </w:r>
      <w:r w:rsidR="002E7436" w:rsidRPr="006C7F1D">
        <w:rPr>
          <w:rFonts w:ascii="Cambria" w:eastAsia="Times New Roman" w:hAnsi="Cambria" w:cs="Times New Roman"/>
          <w:sz w:val="24"/>
          <w:szCs w:val="24"/>
        </w:rPr>
        <w:t xml:space="preserve"> able to tolerate the psychological threat that dementia represents</w:t>
      </w:r>
      <w:r w:rsidR="00691B9C">
        <w:rPr>
          <w:rFonts w:ascii="Cambria" w:eastAsia="Times New Roman" w:hAnsi="Cambria" w:cs="Times New Roman"/>
          <w:sz w:val="24"/>
          <w:szCs w:val="24"/>
        </w:rPr>
        <w:t xml:space="preserve"> and consequently </w:t>
      </w:r>
      <w:r w:rsidR="002E7436" w:rsidRPr="006C7F1D">
        <w:rPr>
          <w:rFonts w:ascii="Cambria" w:eastAsia="Times New Roman" w:hAnsi="Cambria" w:cs="Times New Roman"/>
          <w:sz w:val="24"/>
          <w:szCs w:val="24"/>
        </w:rPr>
        <w:t>not</w:t>
      </w:r>
      <w:r w:rsidR="00393240" w:rsidRPr="006C7F1D">
        <w:rPr>
          <w:rFonts w:ascii="Cambria" w:eastAsia="Times New Roman" w:hAnsi="Cambria" w:cs="Times New Roman"/>
          <w:sz w:val="24"/>
          <w:szCs w:val="24"/>
        </w:rPr>
        <w:t xml:space="preserve"> need to rely on </w:t>
      </w:r>
      <w:r w:rsidR="001B1E4C" w:rsidRPr="006C7F1D">
        <w:rPr>
          <w:rFonts w:ascii="Cambria" w:eastAsia="Times New Roman" w:hAnsi="Cambria" w:cs="Times New Roman"/>
          <w:sz w:val="24"/>
          <w:szCs w:val="24"/>
        </w:rPr>
        <w:t xml:space="preserve">forgetting threatening information </w:t>
      </w:r>
      <w:r w:rsidR="002E7436" w:rsidRPr="006C7F1D">
        <w:rPr>
          <w:rFonts w:ascii="Cambria" w:eastAsia="Times New Roman" w:hAnsi="Cambria" w:cs="Times New Roman"/>
          <w:sz w:val="24"/>
          <w:szCs w:val="24"/>
        </w:rPr>
        <w:t>to reduce their distress. I</w:t>
      </w:r>
      <w:r w:rsidR="001B1E4C" w:rsidRPr="006C7F1D">
        <w:rPr>
          <w:rFonts w:ascii="Cambria" w:eastAsia="Times New Roman" w:hAnsi="Cambria" w:cs="Times New Roman"/>
          <w:sz w:val="24"/>
          <w:szCs w:val="24"/>
        </w:rPr>
        <w:t xml:space="preserve">n other words, </w:t>
      </w:r>
      <w:r w:rsidR="002E7436" w:rsidRPr="006C7F1D">
        <w:rPr>
          <w:rFonts w:ascii="Cambria" w:eastAsia="Times New Roman" w:hAnsi="Cambria" w:cs="Times New Roman"/>
          <w:sz w:val="24"/>
          <w:szCs w:val="24"/>
        </w:rPr>
        <w:t xml:space="preserve">people who recalled a nostalgic memory might not </w:t>
      </w:r>
      <w:r w:rsidR="00691B9C">
        <w:rPr>
          <w:rFonts w:ascii="Cambria" w:eastAsia="Times New Roman" w:hAnsi="Cambria" w:cs="Times New Roman"/>
          <w:sz w:val="24"/>
          <w:szCs w:val="24"/>
        </w:rPr>
        <w:t xml:space="preserve">subsequently show </w:t>
      </w:r>
      <w:r w:rsidR="001B1E4C" w:rsidRPr="006C7F1D">
        <w:rPr>
          <w:rFonts w:ascii="Cambria" w:eastAsia="Times New Roman" w:hAnsi="Cambria" w:cs="Times New Roman"/>
          <w:sz w:val="24"/>
          <w:szCs w:val="24"/>
        </w:rPr>
        <w:t xml:space="preserve">the </w:t>
      </w:r>
      <w:r w:rsidR="00393240" w:rsidRPr="006C7F1D">
        <w:rPr>
          <w:rFonts w:ascii="Cambria" w:eastAsia="Times New Roman" w:hAnsi="Cambria" w:cs="Times New Roman"/>
          <w:sz w:val="24"/>
          <w:szCs w:val="24"/>
        </w:rPr>
        <w:t>MNE</w:t>
      </w:r>
      <w:r w:rsidR="002E7436" w:rsidRPr="006C7F1D">
        <w:rPr>
          <w:rFonts w:ascii="Cambria" w:eastAsia="Times New Roman" w:hAnsi="Cambria" w:cs="Times New Roman"/>
          <w:sz w:val="24"/>
          <w:szCs w:val="24"/>
        </w:rPr>
        <w:t xml:space="preserve"> for dementia-related information</w:t>
      </w:r>
      <w:r w:rsidR="001B1E4C" w:rsidRPr="006C7F1D">
        <w:rPr>
          <w:rFonts w:ascii="Cambria" w:eastAsia="Times New Roman" w:hAnsi="Cambria" w:cs="Times New Roman"/>
          <w:sz w:val="24"/>
          <w:szCs w:val="24"/>
        </w:rPr>
        <w:t>.</w:t>
      </w:r>
      <w:r w:rsidR="00A96F29">
        <w:rPr>
          <w:rFonts w:ascii="Cambria" w:eastAsia="Times New Roman" w:hAnsi="Cambria" w:cs="Times New Roman"/>
          <w:sz w:val="24"/>
          <w:szCs w:val="24"/>
        </w:rPr>
        <w:t xml:space="preserve"> I</w:t>
      </w:r>
      <w:r w:rsidR="002E7436" w:rsidRPr="006C7F1D">
        <w:rPr>
          <w:rFonts w:ascii="Cambria" w:eastAsia="Times New Roman" w:hAnsi="Cambria" w:cs="Times New Roman"/>
          <w:sz w:val="24"/>
          <w:szCs w:val="24"/>
        </w:rPr>
        <w:t xml:space="preserve">n order to test this out, </w:t>
      </w:r>
      <w:r w:rsidR="002E7436" w:rsidRPr="006C7F1D">
        <w:rPr>
          <w:rFonts w:ascii="Cambria" w:eastAsia="Times New Roman" w:hAnsi="Cambria" w:cs="Times New Roman"/>
          <w:sz w:val="24"/>
          <w:szCs w:val="24"/>
        </w:rPr>
        <w:lastRenderedPageBreak/>
        <w:t>w</w:t>
      </w:r>
      <w:r w:rsidR="001B1E4C" w:rsidRPr="006C7F1D">
        <w:rPr>
          <w:rFonts w:ascii="Cambria" w:eastAsia="Times New Roman" w:hAnsi="Cambria" w:cs="Times New Roman"/>
          <w:sz w:val="24"/>
          <w:szCs w:val="24"/>
        </w:rPr>
        <w:t>e replicated our</w:t>
      </w:r>
      <w:r w:rsidR="00E802CF">
        <w:rPr>
          <w:rFonts w:ascii="Cambria" w:eastAsia="Times New Roman" w:hAnsi="Cambria" w:cs="Times New Roman"/>
          <w:sz w:val="24"/>
          <w:szCs w:val="24"/>
        </w:rPr>
        <w:t xml:space="preserve"> initial </w:t>
      </w:r>
      <w:r w:rsidR="001B1E4C" w:rsidRPr="006C7F1D">
        <w:rPr>
          <w:rFonts w:ascii="Cambria" w:eastAsia="Times New Roman" w:hAnsi="Cambria" w:cs="Times New Roman"/>
          <w:sz w:val="24"/>
          <w:szCs w:val="24"/>
        </w:rPr>
        <w:t xml:space="preserve">study, but </w:t>
      </w:r>
      <w:r w:rsidR="000535B8" w:rsidRPr="006C7F1D">
        <w:rPr>
          <w:rFonts w:ascii="Cambria" w:eastAsia="Times New Roman" w:hAnsi="Cambria" w:cs="Times New Roman"/>
          <w:sz w:val="24"/>
          <w:szCs w:val="24"/>
        </w:rPr>
        <w:t>with two changes. First</w:t>
      </w:r>
      <w:r w:rsidR="005A47F6" w:rsidRPr="006C7F1D">
        <w:rPr>
          <w:rFonts w:ascii="Cambria" w:eastAsia="Times New Roman" w:hAnsi="Cambria" w:cs="Times New Roman"/>
          <w:sz w:val="24"/>
          <w:szCs w:val="24"/>
        </w:rPr>
        <w:t>,</w:t>
      </w:r>
      <w:r w:rsidR="000535B8" w:rsidRPr="006C7F1D">
        <w:rPr>
          <w:rFonts w:ascii="Cambria" w:eastAsia="Times New Roman" w:hAnsi="Cambria" w:cs="Times New Roman"/>
          <w:sz w:val="24"/>
          <w:szCs w:val="24"/>
        </w:rPr>
        <w:t xml:space="preserve"> we randomised 50 participants with dementia to either recall a nostalgic or an ordinary memory, and secondly</w:t>
      </w:r>
      <w:r w:rsidR="005A47F6" w:rsidRPr="006C7F1D">
        <w:rPr>
          <w:rFonts w:ascii="Cambria" w:eastAsia="Times New Roman" w:hAnsi="Cambria" w:cs="Times New Roman"/>
          <w:sz w:val="24"/>
          <w:szCs w:val="24"/>
        </w:rPr>
        <w:t>,</w:t>
      </w:r>
      <w:r w:rsidR="000535B8" w:rsidRPr="006C7F1D">
        <w:rPr>
          <w:rFonts w:ascii="Cambria" w:eastAsia="Times New Roman" w:hAnsi="Cambria" w:cs="Times New Roman"/>
          <w:sz w:val="24"/>
          <w:szCs w:val="24"/>
        </w:rPr>
        <w:t xml:space="preserve"> we </w:t>
      </w:r>
      <w:r w:rsidR="00B25B8C" w:rsidRPr="006C7F1D">
        <w:rPr>
          <w:rFonts w:ascii="Cambria" w:eastAsia="Times New Roman" w:hAnsi="Cambria" w:cs="Times New Roman"/>
          <w:sz w:val="24"/>
          <w:szCs w:val="24"/>
        </w:rPr>
        <w:t xml:space="preserve">asked all of the participants to think of the statements as if they applied to </w:t>
      </w:r>
      <w:r w:rsidR="00EB4BFC" w:rsidRPr="006C7F1D">
        <w:rPr>
          <w:rFonts w:ascii="Cambria" w:eastAsia="Times New Roman" w:hAnsi="Cambria" w:cs="Times New Roman"/>
          <w:sz w:val="24"/>
          <w:szCs w:val="24"/>
        </w:rPr>
        <w:t>them and</w:t>
      </w:r>
      <w:r w:rsidR="00CC0E0D" w:rsidRPr="006C7F1D">
        <w:rPr>
          <w:rFonts w:ascii="Cambria" w:eastAsia="Times New Roman" w:hAnsi="Cambria" w:cs="Times New Roman"/>
          <w:sz w:val="24"/>
          <w:szCs w:val="24"/>
        </w:rPr>
        <w:t xml:space="preserve"> did not read the Chris-related statements at all</w:t>
      </w:r>
      <w:r w:rsidR="00B25B8C" w:rsidRPr="006C7F1D">
        <w:rPr>
          <w:rFonts w:ascii="Cambria" w:eastAsia="Times New Roman" w:hAnsi="Cambria" w:cs="Times New Roman"/>
          <w:sz w:val="24"/>
          <w:szCs w:val="24"/>
        </w:rPr>
        <w:t xml:space="preserve">. The results confirmed our hypothesis: participants who </w:t>
      </w:r>
      <w:r w:rsidR="00B22F01" w:rsidRPr="006C7F1D">
        <w:rPr>
          <w:rFonts w:ascii="Cambria" w:eastAsia="Times New Roman" w:hAnsi="Cambria" w:cs="Times New Roman"/>
          <w:sz w:val="24"/>
          <w:szCs w:val="24"/>
        </w:rPr>
        <w:t xml:space="preserve">remembered </w:t>
      </w:r>
      <w:r w:rsidR="00C96A4B" w:rsidRPr="006C7F1D">
        <w:rPr>
          <w:rFonts w:ascii="Cambria" w:eastAsia="Times New Roman" w:hAnsi="Cambria" w:cs="Times New Roman"/>
          <w:sz w:val="24"/>
          <w:szCs w:val="24"/>
        </w:rPr>
        <w:t>the n</w:t>
      </w:r>
      <w:r w:rsidR="005B65F8" w:rsidRPr="006C7F1D">
        <w:rPr>
          <w:rFonts w:ascii="Cambria" w:eastAsia="Times New Roman" w:hAnsi="Cambria" w:cs="Times New Roman"/>
          <w:sz w:val="24"/>
          <w:szCs w:val="24"/>
        </w:rPr>
        <w:t xml:space="preserve">ostalgic </w:t>
      </w:r>
      <w:r w:rsidR="00B22F01" w:rsidRPr="006C7F1D">
        <w:rPr>
          <w:rFonts w:ascii="Cambria" w:eastAsia="Times New Roman" w:hAnsi="Cambria" w:cs="Times New Roman"/>
          <w:sz w:val="24"/>
          <w:szCs w:val="24"/>
        </w:rPr>
        <w:t xml:space="preserve">rather than an ordinary </w:t>
      </w:r>
      <w:r w:rsidR="005B65F8" w:rsidRPr="006C7F1D">
        <w:rPr>
          <w:rFonts w:ascii="Cambria" w:eastAsia="Times New Roman" w:hAnsi="Cambria" w:cs="Times New Roman"/>
          <w:sz w:val="24"/>
          <w:szCs w:val="24"/>
        </w:rPr>
        <w:t xml:space="preserve">memory then </w:t>
      </w:r>
      <w:r w:rsidR="00EB4BFC" w:rsidRPr="006C7F1D">
        <w:rPr>
          <w:rFonts w:ascii="Cambria" w:eastAsia="Times New Roman" w:hAnsi="Cambria" w:cs="Times New Roman"/>
          <w:sz w:val="24"/>
          <w:szCs w:val="24"/>
        </w:rPr>
        <w:t xml:space="preserve">went on to </w:t>
      </w:r>
      <w:r w:rsidR="005A47F6" w:rsidRPr="006C7F1D">
        <w:rPr>
          <w:rFonts w:ascii="Cambria" w:eastAsia="Times New Roman" w:hAnsi="Cambria" w:cs="Times New Roman"/>
          <w:sz w:val="24"/>
          <w:szCs w:val="24"/>
        </w:rPr>
        <w:t>recall significantly more self-referent dementia statements, including the most threatening. Importantly they did this without any increase i</w:t>
      </w:r>
      <w:r w:rsidR="006E4F18" w:rsidRPr="006C7F1D">
        <w:rPr>
          <w:rFonts w:ascii="Cambria" w:eastAsia="Times New Roman" w:hAnsi="Cambria" w:cs="Times New Roman"/>
          <w:sz w:val="24"/>
          <w:szCs w:val="24"/>
        </w:rPr>
        <w:t>n their</w:t>
      </w:r>
      <w:r w:rsidR="005A47F6" w:rsidRPr="006C7F1D">
        <w:rPr>
          <w:rFonts w:ascii="Cambria" w:eastAsia="Times New Roman" w:hAnsi="Cambria" w:cs="Times New Roman"/>
          <w:sz w:val="24"/>
          <w:szCs w:val="24"/>
        </w:rPr>
        <w:t xml:space="preserve"> levels of distress</w:t>
      </w:r>
      <w:r w:rsidR="002B3A57" w:rsidRPr="006C7F1D">
        <w:rPr>
          <w:rFonts w:ascii="Cambria" w:eastAsia="Times New Roman" w:hAnsi="Cambria" w:cs="Times New Roman"/>
          <w:sz w:val="24"/>
          <w:szCs w:val="24"/>
        </w:rPr>
        <w:t xml:space="preserve"> (Ismail et al</w:t>
      </w:r>
      <w:r w:rsidR="005A47F6" w:rsidRPr="006C7F1D">
        <w:rPr>
          <w:rFonts w:ascii="Cambria" w:eastAsia="Times New Roman" w:hAnsi="Cambria" w:cs="Times New Roman"/>
          <w:sz w:val="24"/>
          <w:szCs w:val="24"/>
        </w:rPr>
        <w:t>.</w:t>
      </w:r>
      <w:r w:rsidR="002B3A57" w:rsidRPr="006C7F1D">
        <w:rPr>
          <w:rFonts w:ascii="Cambria" w:eastAsia="Times New Roman" w:hAnsi="Cambria" w:cs="Times New Roman"/>
          <w:sz w:val="24"/>
          <w:szCs w:val="24"/>
        </w:rPr>
        <w:t>, 2018).</w:t>
      </w:r>
      <w:r w:rsidR="005A47F6" w:rsidRPr="006C7F1D">
        <w:rPr>
          <w:rFonts w:ascii="Cambria" w:eastAsia="Times New Roman" w:hAnsi="Cambria" w:cs="Times New Roman"/>
          <w:sz w:val="24"/>
          <w:szCs w:val="24"/>
        </w:rPr>
        <w:t xml:space="preserve"> </w:t>
      </w:r>
      <w:r w:rsidR="00A96F29">
        <w:rPr>
          <w:rFonts w:ascii="Cambria" w:eastAsia="Times New Roman" w:hAnsi="Cambria" w:cs="Times New Roman"/>
          <w:sz w:val="24"/>
          <w:szCs w:val="24"/>
        </w:rPr>
        <w:t xml:space="preserve">Recalling more information had not been upsetting for them. </w:t>
      </w:r>
    </w:p>
    <w:p w14:paraId="77859877" w14:textId="4E41AFA9" w:rsidR="00151D79" w:rsidRPr="006C7F1D" w:rsidRDefault="00151D79" w:rsidP="006C7F1D">
      <w:pPr>
        <w:pStyle w:val="PlainText"/>
        <w:spacing w:before="120" w:after="120" w:line="480" w:lineRule="auto"/>
        <w:ind w:firstLine="720"/>
        <w:jc w:val="center"/>
        <w:rPr>
          <w:rFonts w:ascii="Cambria" w:eastAsia="Times New Roman" w:hAnsi="Cambria" w:cs="Times New Roman"/>
          <w:i/>
          <w:iCs/>
          <w:sz w:val="24"/>
          <w:szCs w:val="24"/>
        </w:rPr>
      </w:pPr>
      <w:r w:rsidRPr="006C7F1D">
        <w:rPr>
          <w:rFonts w:ascii="Cambria" w:eastAsia="Times New Roman" w:hAnsi="Cambria" w:cs="Times New Roman"/>
          <w:i/>
          <w:iCs/>
          <w:sz w:val="24"/>
          <w:szCs w:val="24"/>
        </w:rPr>
        <w:t>MNE and clinical experiences.</w:t>
      </w:r>
    </w:p>
    <w:p w14:paraId="50A61DF3" w14:textId="79205450" w:rsidR="00EC3324" w:rsidRPr="006C7F1D" w:rsidRDefault="00151D79" w:rsidP="006C7F1D">
      <w:pPr>
        <w:pStyle w:val="PlainText"/>
        <w:spacing w:before="120" w:after="120" w:line="480" w:lineRule="auto"/>
        <w:ind w:firstLine="720"/>
        <w:rPr>
          <w:rFonts w:ascii="Cambria" w:hAnsi="Cambria" w:cs="Times New Roman"/>
          <w:sz w:val="24"/>
          <w:szCs w:val="24"/>
        </w:rPr>
      </w:pPr>
      <w:r w:rsidRPr="006C7F1D">
        <w:rPr>
          <w:rFonts w:ascii="Cambria" w:hAnsi="Cambria" w:cs="Times New Roman"/>
          <w:sz w:val="24"/>
          <w:szCs w:val="24"/>
        </w:rPr>
        <w:t>Until the start of the pandemic, I worked for one morning a week at the RICE memory clinic in Bath often working with couples one of whom had been diagnosed with dementia and offering a space to them to talk about how this was impacting on their lives</w:t>
      </w:r>
      <w:r w:rsidR="00442C55" w:rsidRPr="006C7F1D">
        <w:rPr>
          <w:rFonts w:ascii="Cambria" w:hAnsi="Cambria" w:cs="Times New Roman"/>
          <w:sz w:val="24"/>
          <w:szCs w:val="24"/>
        </w:rPr>
        <w:t xml:space="preserve">. </w:t>
      </w:r>
      <w:r w:rsidR="00DB1D47" w:rsidRPr="006C7F1D">
        <w:rPr>
          <w:rFonts w:ascii="Cambria" w:hAnsi="Cambria" w:cs="Times New Roman"/>
          <w:sz w:val="24"/>
          <w:szCs w:val="24"/>
        </w:rPr>
        <w:t xml:space="preserve">Almost invariably </w:t>
      </w:r>
      <w:r w:rsidR="00531D24" w:rsidRPr="006C7F1D">
        <w:rPr>
          <w:rFonts w:ascii="Cambria" w:hAnsi="Cambria" w:cs="Times New Roman"/>
          <w:sz w:val="24"/>
          <w:szCs w:val="24"/>
        </w:rPr>
        <w:t xml:space="preserve">the people I meet </w:t>
      </w:r>
      <w:r w:rsidR="008B46C5" w:rsidRPr="006C7F1D">
        <w:rPr>
          <w:rFonts w:ascii="Cambria" w:hAnsi="Cambria" w:cs="Times New Roman"/>
          <w:sz w:val="24"/>
          <w:szCs w:val="24"/>
        </w:rPr>
        <w:t xml:space="preserve">find it hard to talk about their </w:t>
      </w:r>
      <w:r w:rsidR="008B46C5" w:rsidRPr="006C7F1D">
        <w:rPr>
          <w:rFonts w:ascii="Cambria" w:hAnsi="Cambria" w:cs="Times New Roman"/>
          <w:noProof/>
          <w:sz w:val="24"/>
          <w:szCs w:val="24"/>
        </w:rPr>
        <w:t>illness</w:t>
      </w:r>
      <w:r w:rsidR="00932056" w:rsidRPr="006C7F1D">
        <w:rPr>
          <w:rFonts w:ascii="Cambria" w:hAnsi="Cambria" w:cs="Times New Roman"/>
          <w:noProof/>
          <w:sz w:val="24"/>
          <w:szCs w:val="24"/>
        </w:rPr>
        <w:t xml:space="preserve"> at first</w:t>
      </w:r>
      <w:r w:rsidR="008B46C5" w:rsidRPr="006C7F1D">
        <w:rPr>
          <w:rFonts w:ascii="Cambria" w:hAnsi="Cambria" w:cs="Times New Roman"/>
          <w:sz w:val="24"/>
          <w:szCs w:val="24"/>
        </w:rPr>
        <w:t xml:space="preserve">. </w:t>
      </w:r>
      <w:r w:rsidR="006454E6" w:rsidRPr="006C7F1D">
        <w:rPr>
          <w:rFonts w:ascii="Cambria" w:hAnsi="Cambria" w:cs="Times New Roman"/>
          <w:sz w:val="24"/>
          <w:szCs w:val="24"/>
        </w:rPr>
        <w:t xml:space="preserve"> </w:t>
      </w:r>
      <w:r w:rsidR="008B46C5" w:rsidRPr="006C7F1D">
        <w:rPr>
          <w:rFonts w:ascii="Cambria" w:hAnsi="Cambria" w:cs="Times New Roman"/>
          <w:noProof/>
          <w:sz w:val="24"/>
          <w:szCs w:val="24"/>
        </w:rPr>
        <w:t xml:space="preserve">Typically, they </w:t>
      </w:r>
      <w:r w:rsidR="004F6705" w:rsidRPr="006C7F1D">
        <w:rPr>
          <w:rFonts w:ascii="Cambria" w:hAnsi="Cambria" w:cs="Times New Roman"/>
          <w:noProof/>
          <w:sz w:val="24"/>
          <w:szCs w:val="24"/>
        </w:rPr>
        <w:t xml:space="preserve">may </w:t>
      </w:r>
      <w:r w:rsidRPr="006C7F1D">
        <w:rPr>
          <w:rFonts w:ascii="Cambria" w:hAnsi="Cambria" w:cs="Times New Roman"/>
          <w:noProof/>
          <w:sz w:val="24"/>
          <w:szCs w:val="24"/>
        </w:rPr>
        <w:t>struggle to talk about the diagnosis openly</w:t>
      </w:r>
      <w:r w:rsidR="00DC3DF9" w:rsidRPr="006C7F1D">
        <w:rPr>
          <w:rFonts w:ascii="Cambria" w:hAnsi="Cambria" w:cs="Times New Roman"/>
          <w:noProof/>
          <w:sz w:val="24"/>
          <w:szCs w:val="24"/>
        </w:rPr>
        <w:t>, sometimes forgetting important details or being greatly distressed when they do</w:t>
      </w:r>
      <w:r w:rsidR="008B46C5" w:rsidRPr="006C7F1D">
        <w:rPr>
          <w:rFonts w:ascii="Cambria" w:hAnsi="Cambria" w:cs="Times New Roman"/>
          <w:noProof/>
          <w:sz w:val="24"/>
          <w:szCs w:val="24"/>
        </w:rPr>
        <w:t xml:space="preserve">.  </w:t>
      </w:r>
      <w:r w:rsidR="00DC3DF9" w:rsidRPr="006C7F1D">
        <w:rPr>
          <w:rFonts w:ascii="Cambria" w:hAnsi="Cambria" w:cs="Times New Roman"/>
          <w:noProof/>
          <w:sz w:val="24"/>
          <w:szCs w:val="24"/>
        </w:rPr>
        <w:t>Sometimes</w:t>
      </w:r>
      <w:r w:rsidR="008B46C5" w:rsidRPr="006C7F1D">
        <w:rPr>
          <w:rFonts w:ascii="Cambria" w:hAnsi="Cambria" w:cs="Times New Roman"/>
          <w:noProof/>
          <w:sz w:val="24"/>
          <w:szCs w:val="24"/>
        </w:rPr>
        <w:t xml:space="preserve">, </w:t>
      </w:r>
      <w:r w:rsidR="00DC3DF9" w:rsidRPr="006C7F1D">
        <w:rPr>
          <w:rFonts w:ascii="Cambria" w:hAnsi="Cambria" w:cs="Times New Roman"/>
          <w:noProof/>
          <w:sz w:val="24"/>
          <w:szCs w:val="24"/>
        </w:rPr>
        <w:t xml:space="preserve">the person with dementia </w:t>
      </w:r>
      <w:r w:rsidRPr="006C7F1D">
        <w:rPr>
          <w:rFonts w:ascii="Cambria" w:hAnsi="Cambria" w:cs="Times New Roman"/>
          <w:noProof/>
          <w:sz w:val="24"/>
          <w:szCs w:val="24"/>
        </w:rPr>
        <w:t>may forg</w:t>
      </w:r>
      <w:r w:rsidR="00DC3DF9" w:rsidRPr="006C7F1D">
        <w:rPr>
          <w:rFonts w:ascii="Cambria" w:hAnsi="Cambria" w:cs="Times New Roman"/>
          <w:noProof/>
          <w:sz w:val="24"/>
          <w:szCs w:val="24"/>
        </w:rPr>
        <w:t>et</w:t>
      </w:r>
      <w:r w:rsidRPr="006C7F1D">
        <w:rPr>
          <w:rFonts w:ascii="Cambria" w:hAnsi="Cambria" w:cs="Times New Roman"/>
          <w:noProof/>
          <w:sz w:val="24"/>
          <w:szCs w:val="24"/>
        </w:rPr>
        <w:t xml:space="preserve"> </w:t>
      </w:r>
      <w:r w:rsidR="008B46C5" w:rsidRPr="006C7F1D">
        <w:rPr>
          <w:rFonts w:ascii="Cambria" w:hAnsi="Cambria" w:cs="Times New Roman"/>
          <w:noProof/>
          <w:sz w:val="24"/>
          <w:szCs w:val="24"/>
        </w:rPr>
        <w:t>that they have been told about their diagnosis, or they might insist that they can still function as they have always done</w:t>
      </w:r>
      <w:r w:rsidR="00DC3DF9" w:rsidRPr="006C7F1D">
        <w:rPr>
          <w:rFonts w:ascii="Cambria" w:hAnsi="Cambria" w:cs="Times New Roman"/>
          <w:noProof/>
          <w:sz w:val="24"/>
          <w:szCs w:val="24"/>
        </w:rPr>
        <w:t xml:space="preserve"> even when being contradicted by their partner</w:t>
      </w:r>
      <w:r w:rsidR="008B46C5" w:rsidRPr="006C7F1D">
        <w:rPr>
          <w:rFonts w:ascii="Cambria" w:hAnsi="Cambria" w:cs="Times New Roman"/>
          <w:noProof/>
          <w:sz w:val="24"/>
          <w:szCs w:val="24"/>
        </w:rPr>
        <w:t xml:space="preserve">.  </w:t>
      </w:r>
      <w:r w:rsidR="008B46C5" w:rsidRPr="006C7F1D">
        <w:rPr>
          <w:rFonts w:ascii="Cambria" w:hAnsi="Cambria" w:cs="Times New Roman"/>
          <w:sz w:val="24"/>
          <w:szCs w:val="24"/>
        </w:rPr>
        <w:t xml:space="preserve">These </w:t>
      </w:r>
      <w:r w:rsidR="00DC3DF9" w:rsidRPr="006C7F1D">
        <w:rPr>
          <w:rFonts w:ascii="Cambria" w:hAnsi="Cambria" w:cs="Times New Roman"/>
          <w:sz w:val="24"/>
          <w:szCs w:val="24"/>
        </w:rPr>
        <w:t xml:space="preserve">responses are very similar to the </w:t>
      </w:r>
      <w:r w:rsidR="008B46C5" w:rsidRPr="006C7F1D">
        <w:rPr>
          <w:rFonts w:ascii="Cambria" w:hAnsi="Cambria" w:cs="Times New Roman"/>
          <w:sz w:val="24"/>
          <w:szCs w:val="24"/>
        </w:rPr>
        <w:t xml:space="preserve">two </w:t>
      </w:r>
      <w:r w:rsidR="00DC3DF9" w:rsidRPr="006C7F1D">
        <w:rPr>
          <w:rFonts w:ascii="Cambria" w:hAnsi="Cambria" w:cs="Times New Roman"/>
          <w:sz w:val="24"/>
          <w:szCs w:val="24"/>
        </w:rPr>
        <w:t>types</w:t>
      </w:r>
      <w:r w:rsidR="008B46C5" w:rsidRPr="006C7F1D">
        <w:rPr>
          <w:rFonts w:ascii="Cambria" w:hAnsi="Cambria" w:cs="Times New Roman"/>
          <w:sz w:val="24"/>
          <w:szCs w:val="24"/>
        </w:rPr>
        <w:t xml:space="preserve"> of </w:t>
      </w:r>
      <w:r w:rsidR="00DC3DF9" w:rsidRPr="006C7F1D">
        <w:rPr>
          <w:rFonts w:ascii="Cambria" w:hAnsi="Cambria" w:cs="Times New Roman"/>
          <w:sz w:val="24"/>
          <w:szCs w:val="24"/>
        </w:rPr>
        <w:t xml:space="preserve">recall </w:t>
      </w:r>
      <w:r w:rsidR="008B46C5" w:rsidRPr="006C7F1D">
        <w:rPr>
          <w:rFonts w:ascii="Cambria" w:hAnsi="Cambria" w:cs="Times New Roman"/>
          <w:sz w:val="24"/>
          <w:szCs w:val="24"/>
        </w:rPr>
        <w:t xml:space="preserve">errors we found in our experiments: people </w:t>
      </w:r>
      <w:r w:rsidR="00DC3DF9" w:rsidRPr="006C7F1D">
        <w:rPr>
          <w:rFonts w:ascii="Cambria" w:hAnsi="Cambria" w:cs="Times New Roman"/>
          <w:sz w:val="24"/>
          <w:szCs w:val="24"/>
        </w:rPr>
        <w:t xml:space="preserve">are more likely to forget about </w:t>
      </w:r>
      <w:r w:rsidR="008B46C5" w:rsidRPr="006C7F1D">
        <w:rPr>
          <w:rFonts w:ascii="Cambria" w:hAnsi="Cambria" w:cs="Times New Roman"/>
          <w:sz w:val="24"/>
          <w:szCs w:val="24"/>
        </w:rPr>
        <w:t>the more threatening aspects of their illness</w:t>
      </w:r>
      <w:r w:rsidR="00DC3DF9" w:rsidRPr="006C7F1D">
        <w:rPr>
          <w:rFonts w:ascii="Cambria" w:hAnsi="Cambria" w:cs="Times New Roman"/>
          <w:sz w:val="24"/>
          <w:szCs w:val="24"/>
        </w:rPr>
        <w:t xml:space="preserve"> and </w:t>
      </w:r>
      <w:r w:rsidR="008B46C5" w:rsidRPr="006C7F1D">
        <w:rPr>
          <w:rFonts w:ascii="Cambria" w:hAnsi="Cambria" w:cs="Times New Roman"/>
          <w:sz w:val="24"/>
          <w:szCs w:val="24"/>
        </w:rPr>
        <w:t xml:space="preserve">when they </w:t>
      </w:r>
      <w:r w:rsidR="00DC3DF9" w:rsidRPr="006C7F1D">
        <w:rPr>
          <w:rFonts w:ascii="Cambria" w:hAnsi="Cambria" w:cs="Times New Roman"/>
          <w:sz w:val="24"/>
          <w:szCs w:val="24"/>
        </w:rPr>
        <w:t xml:space="preserve">do </w:t>
      </w:r>
      <w:r w:rsidR="008B46C5" w:rsidRPr="006C7F1D">
        <w:rPr>
          <w:rFonts w:ascii="Cambria" w:hAnsi="Cambria" w:cs="Times New Roman"/>
          <w:sz w:val="24"/>
          <w:szCs w:val="24"/>
        </w:rPr>
        <w:t xml:space="preserve">recall </w:t>
      </w:r>
      <w:r w:rsidR="00A96F29">
        <w:rPr>
          <w:rFonts w:ascii="Cambria" w:hAnsi="Cambria" w:cs="Times New Roman"/>
          <w:sz w:val="24"/>
          <w:szCs w:val="24"/>
        </w:rPr>
        <w:t xml:space="preserve">information </w:t>
      </w:r>
      <w:r w:rsidR="00DC3DF9" w:rsidRPr="006C7F1D">
        <w:rPr>
          <w:rFonts w:ascii="Cambria" w:hAnsi="Cambria" w:cs="Times New Roman"/>
          <w:sz w:val="24"/>
          <w:szCs w:val="24"/>
        </w:rPr>
        <w:t xml:space="preserve">then they </w:t>
      </w:r>
      <w:r w:rsidR="00A96F29">
        <w:rPr>
          <w:rFonts w:ascii="Cambria" w:hAnsi="Cambria" w:cs="Times New Roman"/>
          <w:sz w:val="24"/>
          <w:szCs w:val="24"/>
        </w:rPr>
        <w:t>may</w:t>
      </w:r>
      <w:r w:rsidR="00DC3DF9" w:rsidRPr="006C7F1D">
        <w:rPr>
          <w:rFonts w:ascii="Cambria" w:hAnsi="Cambria" w:cs="Times New Roman"/>
          <w:sz w:val="24"/>
          <w:szCs w:val="24"/>
        </w:rPr>
        <w:t xml:space="preserve"> mis-recall </w:t>
      </w:r>
      <w:r w:rsidR="00A96F29">
        <w:rPr>
          <w:rFonts w:ascii="Cambria" w:hAnsi="Cambria" w:cs="Times New Roman"/>
          <w:sz w:val="24"/>
          <w:szCs w:val="24"/>
        </w:rPr>
        <w:t xml:space="preserve">it </w:t>
      </w:r>
      <w:r w:rsidR="00DC3DF9" w:rsidRPr="006C7F1D">
        <w:rPr>
          <w:rFonts w:ascii="Cambria" w:hAnsi="Cambria" w:cs="Times New Roman"/>
          <w:sz w:val="24"/>
          <w:szCs w:val="24"/>
        </w:rPr>
        <w:t>in such a way that it is less threatening to them</w:t>
      </w:r>
      <w:r w:rsidR="008B46C5" w:rsidRPr="006C7F1D">
        <w:rPr>
          <w:rFonts w:ascii="Cambria" w:hAnsi="Cambria" w:cs="Times New Roman"/>
          <w:sz w:val="24"/>
          <w:szCs w:val="24"/>
        </w:rPr>
        <w:t xml:space="preserve">. </w:t>
      </w:r>
    </w:p>
    <w:p w14:paraId="49352E8F" w14:textId="78CC5F5C" w:rsidR="00EC3324" w:rsidRPr="006C7F1D" w:rsidRDefault="00A96F29" w:rsidP="006C7F1D">
      <w:pPr>
        <w:pStyle w:val="PlainText"/>
        <w:spacing w:before="120" w:after="120" w:line="480" w:lineRule="auto"/>
        <w:ind w:firstLine="720"/>
        <w:rPr>
          <w:rFonts w:ascii="Cambria" w:hAnsi="Cambria"/>
          <w:sz w:val="24"/>
          <w:szCs w:val="24"/>
        </w:rPr>
      </w:pPr>
      <w:r>
        <w:rPr>
          <w:rFonts w:ascii="Cambria" w:hAnsi="Cambria" w:cs="Times New Roman"/>
          <w:sz w:val="24"/>
          <w:szCs w:val="24"/>
        </w:rPr>
        <w:t>However</w:t>
      </w:r>
      <w:r w:rsidR="008B46C5" w:rsidRPr="006C7F1D">
        <w:rPr>
          <w:rFonts w:ascii="Cambria" w:hAnsi="Cambria" w:cs="Times New Roman"/>
          <w:sz w:val="24"/>
          <w:szCs w:val="24"/>
        </w:rPr>
        <w:t>,</w:t>
      </w:r>
      <w:r w:rsidR="00DC3DF9" w:rsidRPr="006C7F1D">
        <w:rPr>
          <w:rFonts w:ascii="Cambria" w:hAnsi="Cambria" w:cs="Times New Roman"/>
          <w:sz w:val="24"/>
          <w:szCs w:val="24"/>
        </w:rPr>
        <w:t xml:space="preserve"> in my clinic I also met many people who were so psychologically resilient that they could openly talk about what they found upsetting about their </w:t>
      </w:r>
      <w:r w:rsidR="00DC3DF9" w:rsidRPr="006C7F1D">
        <w:rPr>
          <w:rFonts w:ascii="Cambria" w:hAnsi="Cambria" w:cs="Times New Roman"/>
          <w:sz w:val="24"/>
          <w:szCs w:val="24"/>
        </w:rPr>
        <w:lastRenderedPageBreak/>
        <w:t>dementia. Sometimes, this resilience was always apparent, even when we first met. At other times, the resilience emerged more slowly</w:t>
      </w:r>
      <w:r w:rsidR="00EC3324" w:rsidRPr="006C7F1D">
        <w:rPr>
          <w:rFonts w:ascii="Cambria" w:hAnsi="Cambria" w:cs="Times New Roman"/>
          <w:sz w:val="24"/>
          <w:szCs w:val="24"/>
        </w:rPr>
        <w:t>,</w:t>
      </w:r>
      <w:r w:rsidR="00DC3DF9" w:rsidRPr="006C7F1D">
        <w:rPr>
          <w:rFonts w:ascii="Cambria" w:hAnsi="Cambria" w:cs="Times New Roman"/>
          <w:sz w:val="24"/>
          <w:szCs w:val="24"/>
        </w:rPr>
        <w:t xml:space="preserve"> and it took several sessions, before they start</w:t>
      </w:r>
      <w:r w:rsidR="00EC3324" w:rsidRPr="006C7F1D">
        <w:rPr>
          <w:rFonts w:ascii="Cambria" w:hAnsi="Cambria" w:cs="Times New Roman"/>
          <w:sz w:val="24"/>
          <w:szCs w:val="24"/>
        </w:rPr>
        <w:t>ed</w:t>
      </w:r>
      <w:r w:rsidR="00DC3DF9" w:rsidRPr="006C7F1D">
        <w:rPr>
          <w:rFonts w:ascii="Cambria" w:hAnsi="Cambria" w:cs="Times New Roman"/>
          <w:sz w:val="24"/>
          <w:szCs w:val="24"/>
        </w:rPr>
        <w:t xml:space="preserve"> to feel safe</w:t>
      </w:r>
      <w:r w:rsidR="00EC3324" w:rsidRPr="006C7F1D">
        <w:rPr>
          <w:rFonts w:ascii="Cambria" w:hAnsi="Cambria" w:cs="Times New Roman"/>
          <w:sz w:val="24"/>
          <w:szCs w:val="24"/>
        </w:rPr>
        <w:t xml:space="preserve"> enough to </w:t>
      </w:r>
      <w:r w:rsidR="00DC3DF9" w:rsidRPr="006C7F1D">
        <w:rPr>
          <w:rFonts w:ascii="Cambria" w:hAnsi="Cambria" w:cs="Times New Roman"/>
          <w:sz w:val="24"/>
          <w:szCs w:val="24"/>
        </w:rPr>
        <w:t>explor</w:t>
      </w:r>
      <w:r w:rsidR="00EC3324" w:rsidRPr="006C7F1D">
        <w:rPr>
          <w:rFonts w:ascii="Cambria" w:hAnsi="Cambria" w:cs="Times New Roman"/>
          <w:sz w:val="24"/>
          <w:szCs w:val="24"/>
        </w:rPr>
        <w:t>e</w:t>
      </w:r>
      <w:r w:rsidR="00DC3DF9" w:rsidRPr="006C7F1D">
        <w:rPr>
          <w:rFonts w:ascii="Cambria" w:hAnsi="Cambria" w:cs="Times New Roman"/>
          <w:sz w:val="24"/>
          <w:szCs w:val="24"/>
        </w:rPr>
        <w:t xml:space="preserve"> their illness</w:t>
      </w:r>
      <w:r w:rsidR="00EC3324" w:rsidRPr="006C7F1D">
        <w:rPr>
          <w:rFonts w:ascii="Cambria" w:hAnsi="Cambria" w:cs="Times New Roman"/>
          <w:sz w:val="24"/>
          <w:szCs w:val="24"/>
        </w:rPr>
        <w:t xml:space="preserve"> with me, adjusting slowly to what was had happened. </w:t>
      </w:r>
      <w:r w:rsidR="00EC3324" w:rsidRPr="006C7F1D">
        <w:rPr>
          <w:rFonts w:ascii="Cambria" w:hAnsi="Cambria"/>
          <w:sz w:val="24"/>
          <w:szCs w:val="24"/>
        </w:rPr>
        <w:t>My experiences in the clinic seem to parallel, I believe, the evidence we have gathered from our more ‘</w:t>
      </w:r>
      <w:r w:rsidR="00D73B88" w:rsidRPr="006C7F1D">
        <w:rPr>
          <w:rFonts w:ascii="Cambria" w:hAnsi="Cambria"/>
          <w:sz w:val="24"/>
          <w:szCs w:val="24"/>
        </w:rPr>
        <w:t>laboratory</w:t>
      </w:r>
      <w:r w:rsidR="00BC4C1A" w:rsidRPr="006C7F1D">
        <w:rPr>
          <w:rFonts w:ascii="Cambria" w:hAnsi="Cambria"/>
          <w:sz w:val="24"/>
          <w:szCs w:val="24"/>
        </w:rPr>
        <w:t>-</w:t>
      </w:r>
      <w:r w:rsidR="006E0177" w:rsidRPr="006C7F1D">
        <w:rPr>
          <w:rFonts w:ascii="Cambria" w:hAnsi="Cambria"/>
          <w:sz w:val="24"/>
          <w:szCs w:val="24"/>
        </w:rPr>
        <w:t>based</w:t>
      </w:r>
      <w:r w:rsidR="00EC3324" w:rsidRPr="006C7F1D">
        <w:rPr>
          <w:rFonts w:ascii="Cambria" w:hAnsi="Cambria"/>
          <w:sz w:val="24"/>
          <w:szCs w:val="24"/>
        </w:rPr>
        <w:t xml:space="preserve">’ experiments around the MNE. Importantly, both strands of work are concerned with understanding </w:t>
      </w:r>
      <w:r w:rsidR="008B1804" w:rsidRPr="006C7F1D">
        <w:rPr>
          <w:rFonts w:ascii="Cambria" w:hAnsi="Cambria"/>
          <w:sz w:val="24"/>
          <w:szCs w:val="24"/>
        </w:rPr>
        <w:t xml:space="preserve">how </w:t>
      </w:r>
      <w:r w:rsidR="009B34B9" w:rsidRPr="006C7F1D">
        <w:rPr>
          <w:rFonts w:ascii="Cambria" w:hAnsi="Cambria"/>
          <w:sz w:val="24"/>
          <w:szCs w:val="24"/>
        </w:rPr>
        <w:t xml:space="preserve">people defend themselves against </w:t>
      </w:r>
      <w:r w:rsidR="00EC3324" w:rsidRPr="006C7F1D">
        <w:rPr>
          <w:rFonts w:ascii="Cambria" w:hAnsi="Cambria"/>
          <w:sz w:val="24"/>
          <w:szCs w:val="24"/>
        </w:rPr>
        <w:t xml:space="preserve">the </w:t>
      </w:r>
      <w:r w:rsidR="008B1804" w:rsidRPr="006C7F1D">
        <w:rPr>
          <w:rFonts w:ascii="Cambria" w:hAnsi="Cambria"/>
          <w:sz w:val="24"/>
          <w:szCs w:val="24"/>
        </w:rPr>
        <w:t>threat</w:t>
      </w:r>
      <w:r w:rsidR="009D5B33" w:rsidRPr="006C7F1D">
        <w:rPr>
          <w:rFonts w:ascii="Cambria" w:hAnsi="Cambria"/>
          <w:sz w:val="24"/>
          <w:szCs w:val="24"/>
        </w:rPr>
        <w:t xml:space="preserve"> </w:t>
      </w:r>
      <w:r w:rsidR="00EC3324" w:rsidRPr="006C7F1D">
        <w:rPr>
          <w:rFonts w:ascii="Cambria" w:hAnsi="Cambria"/>
          <w:sz w:val="24"/>
          <w:szCs w:val="24"/>
        </w:rPr>
        <w:t xml:space="preserve">of dementia </w:t>
      </w:r>
      <w:r w:rsidR="009D5B33" w:rsidRPr="006C7F1D">
        <w:rPr>
          <w:rFonts w:ascii="Cambria" w:hAnsi="Cambria"/>
          <w:sz w:val="24"/>
          <w:szCs w:val="24"/>
        </w:rPr>
        <w:t xml:space="preserve">and how </w:t>
      </w:r>
      <w:r w:rsidR="00EC3324" w:rsidRPr="006C7F1D">
        <w:rPr>
          <w:rFonts w:ascii="Cambria" w:hAnsi="Cambria"/>
          <w:sz w:val="24"/>
          <w:szCs w:val="24"/>
        </w:rPr>
        <w:t xml:space="preserve">this can be </w:t>
      </w:r>
      <w:r w:rsidR="009D5B33" w:rsidRPr="006C7F1D">
        <w:rPr>
          <w:rFonts w:ascii="Cambria" w:hAnsi="Cambria"/>
          <w:sz w:val="24"/>
          <w:szCs w:val="24"/>
        </w:rPr>
        <w:t>mitigate</w:t>
      </w:r>
      <w:r w:rsidR="00EC3324" w:rsidRPr="006C7F1D">
        <w:rPr>
          <w:rFonts w:ascii="Cambria" w:hAnsi="Cambria"/>
          <w:sz w:val="24"/>
          <w:szCs w:val="24"/>
        </w:rPr>
        <w:t>d. In so doing, we are coming, I think, to a more nuanced understanding of whether, and how, we can support people living with dementia to adjust to their illness. It is to this issue that I will now turn</w:t>
      </w:r>
      <w:r w:rsidR="00782854" w:rsidRPr="006C7F1D">
        <w:rPr>
          <w:rFonts w:ascii="Cambria" w:hAnsi="Cambria"/>
          <w:sz w:val="24"/>
          <w:szCs w:val="24"/>
        </w:rPr>
        <w:t xml:space="preserve"> to reflect on a second aspect of our research work.</w:t>
      </w:r>
    </w:p>
    <w:p w14:paraId="0091D5F1" w14:textId="3D91C627" w:rsidR="00965E3C" w:rsidRPr="006C7F1D" w:rsidRDefault="00965E3C" w:rsidP="006C7F1D">
      <w:pPr>
        <w:spacing w:before="120" w:after="120" w:line="480" w:lineRule="auto"/>
        <w:ind w:firstLine="720"/>
        <w:jc w:val="center"/>
        <w:rPr>
          <w:rFonts w:ascii="Cambria" w:hAnsi="Cambria"/>
          <w:i/>
          <w:iCs/>
          <w:sz w:val="24"/>
          <w:szCs w:val="24"/>
        </w:rPr>
      </w:pPr>
      <w:r w:rsidRPr="006C7F1D">
        <w:rPr>
          <w:rFonts w:ascii="Cambria" w:hAnsi="Cambria"/>
          <w:i/>
          <w:iCs/>
          <w:sz w:val="24"/>
          <w:szCs w:val="24"/>
        </w:rPr>
        <w:t xml:space="preserve">Adjusting to </w:t>
      </w:r>
      <w:r w:rsidR="00E370E9" w:rsidRPr="006C7F1D">
        <w:rPr>
          <w:rFonts w:ascii="Cambria" w:hAnsi="Cambria"/>
          <w:i/>
          <w:iCs/>
          <w:sz w:val="24"/>
          <w:szCs w:val="24"/>
        </w:rPr>
        <w:t xml:space="preserve">the threat of </w:t>
      </w:r>
      <w:r w:rsidRPr="006C7F1D">
        <w:rPr>
          <w:rFonts w:ascii="Cambria" w:hAnsi="Cambria"/>
          <w:i/>
          <w:iCs/>
          <w:sz w:val="24"/>
          <w:szCs w:val="24"/>
        </w:rPr>
        <w:t>dementia</w:t>
      </w:r>
      <w:r w:rsidR="00E5194E" w:rsidRPr="006C7F1D">
        <w:rPr>
          <w:rFonts w:ascii="Cambria" w:hAnsi="Cambria"/>
          <w:i/>
          <w:iCs/>
          <w:sz w:val="24"/>
          <w:szCs w:val="24"/>
        </w:rPr>
        <w:t>.</w:t>
      </w:r>
    </w:p>
    <w:p w14:paraId="0DC1AD82" w14:textId="07C28CAB" w:rsidR="004841BC" w:rsidRPr="006C7F1D" w:rsidRDefault="00C973E3" w:rsidP="006C7F1D">
      <w:pPr>
        <w:spacing w:before="120" w:after="120" w:line="480" w:lineRule="auto"/>
        <w:ind w:firstLine="720"/>
        <w:rPr>
          <w:rFonts w:ascii="Cambria" w:hAnsi="Cambria"/>
          <w:sz w:val="24"/>
          <w:szCs w:val="24"/>
        </w:rPr>
      </w:pPr>
      <w:r w:rsidRPr="006C7F1D">
        <w:rPr>
          <w:rFonts w:ascii="Cambria" w:hAnsi="Cambria"/>
          <w:sz w:val="24"/>
          <w:szCs w:val="24"/>
        </w:rPr>
        <w:t xml:space="preserve">If people living with dementia are to be helped to adjust </w:t>
      </w:r>
      <w:r w:rsidR="00C061A5" w:rsidRPr="006C7F1D">
        <w:rPr>
          <w:rFonts w:ascii="Cambria" w:hAnsi="Cambria"/>
          <w:sz w:val="24"/>
          <w:szCs w:val="24"/>
        </w:rPr>
        <w:t>to their illness, then this require</w:t>
      </w:r>
      <w:r w:rsidR="00F3366B" w:rsidRPr="006C7F1D">
        <w:rPr>
          <w:rFonts w:ascii="Cambria" w:hAnsi="Cambria"/>
          <w:sz w:val="24"/>
          <w:szCs w:val="24"/>
        </w:rPr>
        <w:t>s</w:t>
      </w:r>
      <w:r w:rsidR="00C061A5" w:rsidRPr="006C7F1D">
        <w:rPr>
          <w:rFonts w:ascii="Cambria" w:hAnsi="Cambria"/>
          <w:sz w:val="24"/>
          <w:szCs w:val="24"/>
        </w:rPr>
        <w:t xml:space="preserve"> an intervention that </w:t>
      </w:r>
      <w:r w:rsidR="00C710DE" w:rsidRPr="006C7F1D">
        <w:rPr>
          <w:rFonts w:ascii="Cambria" w:hAnsi="Cambria"/>
          <w:sz w:val="24"/>
          <w:szCs w:val="24"/>
        </w:rPr>
        <w:t xml:space="preserve">can be rolled out on a national basis </w:t>
      </w:r>
      <w:r w:rsidR="00CF0F1C" w:rsidRPr="006C7F1D">
        <w:rPr>
          <w:rFonts w:ascii="Cambria" w:hAnsi="Cambria"/>
          <w:sz w:val="24"/>
          <w:szCs w:val="24"/>
        </w:rPr>
        <w:t xml:space="preserve">and </w:t>
      </w:r>
      <w:r w:rsidR="00C710DE" w:rsidRPr="006C7F1D">
        <w:rPr>
          <w:rFonts w:ascii="Cambria" w:hAnsi="Cambria"/>
          <w:sz w:val="24"/>
          <w:szCs w:val="24"/>
        </w:rPr>
        <w:t xml:space="preserve">delivered by staff who </w:t>
      </w:r>
      <w:r w:rsidR="00CF0F1C" w:rsidRPr="006C7F1D">
        <w:rPr>
          <w:rFonts w:ascii="Cambria" w:hAnsi="Cambria"/>
          <w:sz w:val="24"/>
          <w:szCs w:val="24"/>
        </w:rPr>
        <w:t>whilst k</w:t>
      </w:r>
      <w:r w:rsidR="00C710DE" w:rsidRPr="006C7F1D">
        <w:rPr>
          <w:rFonts w:ascii="Cambria" w:hAnsi="Cambria"/>
          <w:sz w:val="24"/>
          <w:szCs w:val="24"/>
        </w:rPr>
        <w:t xml:space="preserve">nowing about dementia, </w:t>
      </w:r>
      <w:r w:rsidR="00C0521D" w:rsidRPr="006C7F1D">
        <w:rPr>
          <w:rFonts w:ascii="Cambria" w:hAnsi="Cambria"/>
          <w:sz w:val="24"/>
          <w:szCs w:val="24"/>
        </w:rPr>
        <w:t xml:space="preserve">may not have had prior experience of delivering psychological interventions. It was for this reason that </w:t>
      </w:r>
      <w:r w:rsidR="00CF0F1C" w:rsidRPr="006C7F1D">
        <w:rPr>
          <w:rFonts w:ascii="Cambria" w:hAnsi="Cambria"/>
          <w:sz w:val="24"/>
          <w:szCs w:val="24"/>
        </w:rPr>
        <w:t xml:space="preserve">Ann </w:t>
      </w:r>
      <w:r w:rsidR="00C0521D" w:rsidRPr="006C7F1D">
        <w:rPr>
          <w:rFonts w:ascii="Cambria" w:hAnsi="Cambria"/>
          <w:sz w:val="24"/>
          <w:szCs w:val="24"/>
        </w:rPr>
        <w:t xml:space="preserve">Marshall and I </w:t>
      </w:r>
      <w:r w:rsidR="00F73FD9" w:rsidRPr="006C7F1D">
        <w:rPr>
          <w:rFonts w:ascii="Cambria" w:hAnsi="Cambria"/>
          <w:sz w:val="24"/>
          <w:szCs w:val="24"/>
        </w:rPr>
        <w:t xml:space="preserve">have produced </w:t>
      </w:r>
      <w:r w:rsidR="00324008" w:rsidRPr="006C7F1D">
        <w:rPr>
          <w:rFonts w:ascii="Cambria" w:hAnsi="Cambria"/>
          <w:sz w:val="24"/>
          <w:szCs w:val="24"/>
        </w:rPr>
        <w:t xml:space="preserve">the </w:t>
      </w:r>
      <w:r w:rsidR="00F73FD9" w:rsidRPr="006C7F1D">
        <w:rPr>
          <w:rFonts w:ascii="Cambria" w:hAnsi="Cambria"/>
          <w:sz w:val="24"/>
          <w:szCs w:val="24"/>
        </w:rPr>
        <w:t>L</w:t>
      </w:r>
      <w:r w:rsidR="00324008" w:rsidRPr="006C7F1D">
        <w:rPr>
          <w:rFonts w:ascii="Cambria" w:hAnsi="Cambria"/>
          <w:sz w:val="24"/>
          <w:szCs w:val="24"/>
        </w:rPr>
        <w:t xml:space="preserve">iving well with </w:t>
      </w:r>
      <w:r w:rsidR="00F73FD9" w:rsidRPr="006C7F1D">
        <w:rPr>
          <w:rFonts w:ascii="Cambria" w:hAnsi="Cambria"/>
          <w:sz w:val="24"/>
          <w:szCs w:val="24"/>
        </w:rPr>
        <w:t>D</w:t>
      </w:r>
      <w:r w:rsidR="00324008" w:rsidRPr="006C7F1D">
        <w:rPr>
          <w:rFonts w:ascii="Cambria" w:hAnsi="Cambria"/>
          <w:sz w:val="24"/>
          <w:szCs w:val="24"/>
        </w:rPr>
        <w:t>ementia post-diagnostic course</w:t>
      </w:r>
      <w:r w:rsidR="00F73FD9" w:rsidRPr="006C7F1D">
        <w:rPr>
          <w:rFonts w:ascii="Cambria" w:hAnsi="Cambria"/>
          <w:sz w:val="24"/>
          <w:szCs w:val="24"/>
        </w:rPr>
        <w:t xml:space="preserve"> or LivDem</w:t>
      </w:r>
      <w:r w:rsidR="00782854" w:rsidRPr="006C7F1D">
        <w:rPr>
          <w:rFonts w:ascii="Cambria" w:hAnsi="Cambria"/>
          <w:sz w:val="24"/>
          <w:szCs w:val="24"/>
        </w:rPr>
        <w:t xml:space="preserve"> (Marshall et al., 2015)</w:t>
      </w:r>
      <w:r w:rsidR="00324008" w:rsidRPr="006C7F1D">
        <w:rPr>
          <w:rFonts w:ascii="Cambria" w:hAnsi="Cambria"/>
          <w:sz w:val="24"/>
          <w:szCs w:val="24"/>
        </w:rPr>
        <w:t>.</w:t>
      </w:r>
      <w:r w:rsidR="00F73FD9" w:rsidRPr="006C7F1D">
        <w:rPr>
          <w:rFonts w:ascii="Cambria" w:hAnsi="Cambria"/>
          <w:sz w:val="24"/>
          <w:szCs w:val="24"/>
        </w:rPr>
        <w:t xml:space="preserve"> </w:t>
      </w:r>
      <w:r w:rsidR="00A37764" w:rsidRPr="006C7F1D">
        <w:rPr>
          <w:rFonts w:ascii="Cambria" w:hAnsi="Cambria"/>
          <w:sz w:val="24"/>
          <w:szCs w:val="24"/>
        </w:rPr>
        <w:t xml:space="preserve">The course lasts for eight weeks and is intended to be delivered to 6 to 8 people living with dementia. </w:t>
      </w:r>
      <w:r w:rsidR="00687C67" w:rsidRPr="006C7F1D">
        <w:rPr>
          <w:rFonts w:ascii="Cambria" w:hAnsi="Cambria"/>
          <w:sz w:val="24"/>
          <w:szCs w:val="24"/>
        </w:rPr>
        <w:t xml:space="preserve">Additional sessions before and after course involve </w:t>
      </w:r>
      <w:r w:rsidR="00022116" w:rsidRPr="006C7F1D">
        <w:rPr>
          <w:rFonts w:ascii="Cambria" w:hAnsi="Cambria"/>
          <w:sz w:val="24"/>
          <w:szCs w:val="24"/>
        </w:rPr>
        <w:t xml:space="preserve">the </w:t>
      </w:r>
      <w:r w:rsidR="00687C67" w:rsidRPr="006C7F1D">
        <w:rPr>
          <w:rFonts w:ascii="Cambria" w:hAnsi="Cambria"/>
          <w:sz w:val="24"/>
          <w:szCs w:val="24"/>
        </w:rPr>
        <w:t>person</w:t>
      </w:r>
      <w:r w:rsidR="00022116" w:rsidRPr="006C7F1D">
        <w:rPr>
          <w:rFonts w:ascii="Cambria" w:hAnsi="Cambria"/>
          <w:sz w:val="24"/>
          <w:szCs w:val="24"/>
        </w:rPr>
        <w:t>’s</w:t>
      </w:r>
      <w:r w:rsidR="00687C67" w:rsidRPr="006C7F1D">
        <w:rPr>
          <w:rFonts w:ascii="Cambria" w:hAnsi="Cambria"/>
          <w:sz w:val="24"/>
          <w:szCs w:val="24"/>
        </w:rPr>
        <w:t xml:space="preserve"> family or friends</w:t>
      </w:r>
      <w:r w:rsidR="00782854" w:rsidRPr="006C7F1D">
        <w:rPr>
          <w:rFonts w:ascii="Cambria" w:hAnsi="Cambria"/>
          <w:sz w:val="24"/>
          <w:szCs w:val="24"/>
        </w:rPr>
        <w:t>,</w:t>
      </w:r>
      <w:r w:rsidR="00687C67" w:rsidRPr="006C7F1D">
        <w:rPr>
          <w:rFonts w:ascii="Cambria" w:hAnsi="Cambria"/>
          <w:sz w:val="24"/>
          <w:szCs w:val="24"/>
        </w:rPr>
        <w:t xml:space="preserve"> and </w:t>
      </w:r>
      <w:r w:rsidR="00022116" w:rsidRPr="006C7F1D">
        <w:rPr>
          <w:rFonts w:ascii="Cambria" w:hAnsi="Cambria"/>
          <w:sz w:val="24"/>
          <w:szCs w:val="24"/>
        </w:rPr>
        <w:t xml:space="preserve">LivDem </w:t>
      </w:r>
      <w:r w:rsidR="00687C67" w:rsidRPr="006C7F1D">
        <w:rPr>
          <w:rFonts w:ascii="Cambria" w:hAnsi="Cambria"/>
          <w:sz w:val="24"/>
          <w:szCs w:val="24"/>
        </w:rPr>
        <w:t>is designed to be delivered by nurses</w:t>
      </w:r>
      <w:r w:rsidR="00022116" w:rsidRPr="006C7F1D">
        <w:rPr>
          <w:rFonts w:ascii="Cambria" w:hAnsi="Cambria"/>
          <w:sz w:val="24"/>
          <w:szCs w:val="24"/>
        </w:rPr>
        <w:t xml:space="preserve">, </w:t>
      </w:r>
      <w:r w:rsidR="00687C67" w:rsidRPr="006C7F1D">
        <w:rPr>
          <w:rFonts w:ascii="Cambria" w:hAnsi="Cambria"/>
          <w:sz w:val="24"/>
          <w:szCs w:val="24"/>
        </w:rPr>
        <w:t xml:space="preserve">occupational therapists </w:t>
      </w:r>
      <w:r w:rsidR="0008050C" w:rsidRPr="006C7F1D">
        <w:rPr>
          <w:rFonts w:ascii="Cambria" w:hAnsi="Cambria"/>
          <w:sz w:val="24"/>
          <w:szCs w:val="24"/>
        </w:rPr>
        <w:t xml:space="preserve">and psychology </w:t>
      </w:r>
      <w:r w:rsidR="00022116" w:rsidRPr="006C7F1D">
        <w:rPr>
          <w:rFonts w:ascii="Cambria" w:hAnsi="Cambria"/>
          <w:sz w:val="24"/>
          <w:szCs w:val="24"/>
        </w:rPr>
        <w:t xml:space="preserve">assistants, albeit </w:t>
      </w:r>
      <w:r w:rsidR="0008050C" w:rsidRPr="006C7F1D">
        <w:rPr>
          <w:rFonts w:ascii="Cambria" w:hAnsi="Cambria"/>
          <w:sz w:val="24"/>
          <w:szCs w:val="24"/>
        </w:rPr>
        <w:t xml:space="preserve">ideally </w:t>
      </w:r>
      <w:r w:rsidR="00F43631" w:rsidRPr="006C7F1D">
        <w:rPr>
          <w:rFonts w:ascii="Cambria" w:hAnsi="Cambria"/>
          <w:sz w:val="24"/>
          <w:szCs w:val="24"/>
        </w:rPr>
        <w:t xml:space="preserve">with </w:t>
      </w:r>
      <w:r w:rsidR="0008050C" w:rsidRPr="006C7F1D">
        <w:rPr>
          <w:rFonts w:ascii="Cambria" w:hAnsi="Cambria"/>
          <w:sz w:val="24"/>
          <w:szCs w:val="24"/>
        </w:rPr>
        <w:t xml:space="preserve">supervision </w:t>
      </w:r>
      <w:r w:rsidR="00F43631" w:rsidRPr="006C7F1D">
        <w:rPr>
          <w:rFonts w:ascii="Cambria" w:hAnsi="Cambria"/>
          <w:sz w:val="24"/>
          <w:szCs w:val="24"/>
        </w:rPr>
        <w:t xml:space="preserve">and </w:t>
      </w:r>
      <w:r w:rsidR="0008050C" w:rsidRPr="006C7F1D">
        <w:rPr>
          <w:rFonts w:ascii="Cambria" w:hAnsi="Cambria"/>
          <w:sz w:val="24"/>
          <w:szCs w:val="24"/>
        </w:rPr>
        <w:t>training from local clinical psychologist</w:t>
      </w:r>
      <w:r w:rsidR="00F43631" w:rsidRPr="006C7F1D">
        <w:rPr>
          <w:rFonts w:ascii="Cambria" w:hAnsi="Cambria"/>
          <w:sz w:val="24"/>
          <w:szCs w:val="24"/>
        </w:rPr>
        <w:t>s</w:t>
      </w:r>
      <w:r w:rsidR="0008050C" w:rsidRPr="006C7F1D">
        <w:rPr>
          <w:rFonts w:ascii="Cambria" w:hAnsi="Cambria"/>
          <w:sz w:val="24"/>
          <w:szCs w:val="24"/>
        </w:rPr>
        <w:t xml:space="preserve">. Over the past few years </w:t>
      </w:r>
      <w:r w:rsidR="00F43631" w:rsidRPr="006C7F1D">
        <w:rPr>
          <w:rFonts w:ascii="Cambria" w:hAnsi="Cambria"/>
          <w:sz w:val="24"/>
          <w:szCs w:val="24"/>
        </w:rPr>
        <w:t>LivDem h</w:t>
      </w:r>
      <w:r w:rsidR="0008050C" w:rsidRPr="006C7F1D">
        <w:rPr>
          <w:rFonts w:ascii="Cambria" w:hAnsi="Cambria"/>
          <w:sz w:val="24"/>
          <w:szCs w:val="24"/>
        </w:rPr>
        <w:t xml:space="preserve">as proved to be </w:t>
      </w:r>
      <w:r w:rsidR="005764B9" w:rsidRPr="006C7F1D">
        <w:rPr>
          <w:rFonts w:ascii="Cambria" w:hAnsi="Cambria"/>
          <w:sz w:val="24"/>
          <w:szCs w:val="24"/>
        </w:rPr>
        <w:t>a</w:t>
      </w:r>
      <w:r w:rsidR="00782854" w:rsidRPr="006C7F1D">
        <w:rPr>
          <w:rFonts w:ascii="Cambria" w:hAnsi="Cambria"/>
          <w:sz w:val="24"/>
          <w:szCs w:val="24"/>
        </w:rPr>
        <w:t xml:space="preserve">n increasingly </w:t>
      </w:r>
      <w:r w:rsidR="005764B9" w:rsidRPr="006C7F1D">
        <w:rPr>
          <w:rFonts w:ascii="Cambria" w:hAnsi="Cambria"/>
          <w:sz w:val="24"/>
          <w:szCs w:val="24"/>
        </w:rPr>
        <w:t xml:space="preserve">popular </w:t>
      </w:r>
      <w:r w:rsidR="00F43631" w:rsidRPr="006C7F1D">
        <w:rPr>
          <w:rFonts w:ascii="Cambria" w:hAnsi="Cambria"/>
          <w:sz w:val="24"/>
          <w:szCs w:val="24"/>
        </w:rPr>
        <w:t xml:space="preserve">adjunct </w:t>
      </w:r>
      <w:r w:rsidR="005764B9" w:rsidRPr="006C7F1D">
        <w:rPr>
          <w:rFonts w:ascii="Cambria" w:hAnsi="Cambria"/>
          <w:sz w:val="24"/>
          <w:szCs w:val="24"/>
        </w:rPr>
        <w:t xml:space="preserve">to </w:t>
      </w:r>
      <w:r w:rsidR="00F43631" w:rsidRPr="006C7F1D">
        <w:rPr>
          <w:rFonts w:ascii="Cambria" w:hAnsi="Cambria"/>
          <w:sz w:val="24"/>
          <w:szCs w:val="24"/>
        </w:rPr>
        <w:t xml:space="preserve">a </w:t>
      </w:r>
      <w:r w:rsidR="005764B9" w:rsidRPr="006C7F1D">
        <w:rPr>
          <w:rFonts w:ascii="Cambria" w:hAnsi="Cambria"/>
          <w:sz w:val="24"/>
          <w:szCs w:val="24"/>
        </w:rPr>
        <w:t xml:space="preserve">number of services across the UK as well as in Ireland and Italy. The manual was published in 2019 </w:t>
      </w:r>
      <w:r w:rsidR="009D5B33" w:rsidRPr="006C7F1D">
        <w:rPr>
          <w:rFonts w:ascii="Cambria" w:hAnsi="Cambria"/>
          <w:sz w:val="24"/>
          <w:szCs w:val="24"/>
        </w:rPr>
        <w:t xml:space="preserve">(Cheston and Marshall, 2019) </w:t>
      </w:r>
      <w:r w:rsidR="00DD6778" w:rsidRPr="006C7F1D">
        <w:rPr>
          <w:rFonts w:ascii="Cambria" w:hAnsi="Cambria"/>
          <w:sz w:val="24"/>
          <w:szCs w:val="24"/>
        </w:rPr>
        <w:t xml:space="preserve">and </w:t>
      </w:r>
      <w:r w:rsidR="00F3366B" w:rsidRPr="006C7F1D">
        <w:rPr>
          <w:rFonts w:ascii="Cambria" w:hAnsi="Cambria"/>
          <w:sz w:val="24"/>
          <w:szCs w:val="24"/>
        </w:rPr>
        <w:t xml:space="preserve">last year we launched a website </w:t>
      </w:r>
      <w:r w:rsidR="00DD6778" w:rsidRPr="006C7F1D">
        <w:rPr>
          <w:rFonts w:ascii="Cambria" w:hAnsi="Cambria"/>
          <w:sz w:val="24"/>
          <w:szCs w:val="24"/>
        </w:rPr>
        <w:t>dedicated to the course (</w:t>
      </w:r>
      <w:hyperlink r:id="rId8" w:history="1">
        <w:r w:rsidR="00DD6778" w:rsidRPr="006C7F1D">
          <w:rPr>
            <w:rStyle w:val="Hyperlink"/>
            <w:rFonts w:ascii="Cambria" w:hAnsi="Cambria"/>
            <w:sz w:val="24"/>
            <w:szCs w:val="24"/>
          </w:rPr>
          <w:t>www.LivDem.co.uk</w:t>
        </w:r>
      </w:hyperlink>
      <w:r w:rsidR="00DD6778" w:rsidRPr="006C7F1D">
        <w:rPr>
          <w:rFonts w:ascii="Cambria" w:hAnsi="Cambria"/>
          <w:sz w:val="24"/>
          <w:szCs w:val="24"/>
        </w:rPr>
        <w:t>)</w:t>
      </w:r>
      <w:r w:rsidR="00D30F3B" w:rsidRPr="006C7F1D">
        <w:rPr>
          <w:rFonts w:ascii="Cambria" w:hAnsi="Cambria"/>
          <w:sz w:val="24"/>
          <w:szCs w:val="24"/>
        </w:rPr>
        <w:t xml:space="preserve">. </w:t>
      </w:r>
      <w:r w:rsidR="002B286B" w:rsidRPr="006C7F1D">
        <w:rPr>
          <w:rFonts w:ascii="Cambria" w:hAnsi="Cambria"/>
          <w:sz w:val="24"/>
          <w:szCs w:val="24"/>
        </w:rPr>
        <w:t xml:space="preserve">LivDem </w:t>
      </w:r>
      <w:r w:rsidR="002B286B" w:rsidRPr="006C7F1D">
        <w:rPr>
          <w:rFonts w:ascii="Cambria" w:hAnsi="Cambria"/>
          <w:sz w:val="24"/>
          <w:szCs w:val="24"/>
        </w:rPr>
        <w:lastRenderedPageBreak/>
        <w:t xml:space="preserve">is not the only way to help people to adjust, </w:t>
      </w:r>
      <w:r w:rsidR="004A73E2" w:rsidRPr="006C7F1D">
        <w:rPr>
          <w:rFonts w:ascii="Cambria" w:hAnsi="Cambria"/>
          <w:sz w:val="24"/>
          <w:szCs w:val="24"/>
        </w:rPr>
        <w:t xml:space="preserve">and </w:t>
      </w:r>
      <w:r w:rsidR="00E14391" w:rsidRPr="006C7F1D">
        <w:rPr>
          <w:rFonts w:ascii="Cambria" w:hAnsi="Cambria"/>
          <w:sz w:val="24"/>
          <w:szCs w:val="24"/>
        </w:rPr>
        <w:t xml:space="preserve">we do </w:t>
      </w:r>
      <w:r w:rsidR="004A73E2" w:rsidRPr="006C7F1D">
        <w:rPr>
          <w:rFonts w:ascii="Cambria" w:hAnsi="Cambria"/>
          <w:sz w:val="24"/>
          <w:szCs w:val="24"/>
        </w:rPr>
        <w:t xml:space="preserve">not </w:t>
      </w:r>
      <w:r w:rsidR="00E14391" w:rsidRPr="006C7F1D">
        <w:rPr>
          <w:rFonts w:ascii="Cambria" w:hAnsi="Cambria"/>
          <w:sz w:val="24"/>
          <w:szCs w:val="24"/>
        </w:rPr>
        <w:t xml:space="preserve">believe that </w:t>
      </w:r>
      <w:r w:rsidR="004A73E2" w:rsidRPr="006C7F1D">
        <w:rPr>
          <w:rFonts w:ascii="Cambria" w:hAnsi="Cambria"/>
          <w:sz w:val="24"/>
          <w:szCs w:val="24"/>
        </w:rPr>
        <w:t xml:space="preserve">everyone </w:t>
      </w:r>
      <w:r w:rsidR="004841BC" w:rsidRPr="006C7F1D">
        <w:rPr>
          <w:rFonts w:ascii="Cambria" w:hAnsi="Cambria"/>
          <w:sz w:val="24"/>
          <w:szCs w:val="24"/>
        </w:rPr>
        <w:t xml:space="preserve">who has been diagnosed </w:t>
      </w:r>
      <w:r w:rsidR="00E14391" w:rsidRPr="006C7F1D">
        <w:rPr>
          <w:rFonts w:ascii="Cambria" w:hAnsi="Cambria"/>
          <w:sz w:val="24"/>
          <w:szCs w:val="24"/>
        </w:rPr>
        <w:t xml:space="preserve">with dementia </w:t>
      </w:r>
      <w:r w:rsidR="004841BC" w:rsidRPr="006C7F1D">
        <w:rPr>
          <w:rFonts w:ascii="Cambria" w:hAnsi="Cambria"/>
          <w:sz w:val="24"/>
          <w:szCs w:val="24"/>
        </w:rPr>
        <w:t xml:space="preserve">should attend </w:t>
      </w:r>
      <w:r w:rsidR="00E14391" w:rsidRPr="006C7F1D">
        <w:rPr>
          <w:rFonts w:ascii="Cambria" w:hAnsi="Cambria"/>
          <w:sz w:val="24"/>
          <w:szCs w:val="24"/>
        </w:rPr>
        <w:t>a LivDem course</w:t>
      </w:r>
      <w:r w:rsidR="00E22153" w:rsidRPr="006C7F1D">
        <w:rPr>
          <w:rFonts w:ascii="Cambria" w:hAnsi="Cambria"/>
          <w:sz w:val="24"/>
          <w:szCs w:val="24"/>
        </w:rPr>
        <w:t>,</w:t>
      </w:r>
      <w:r w:rsidR="00E14391" w:rsidRPr="006C7F1D">
        <w:rPr>
          <w:rFonts w:ascii="Cambria" w:hAnsi="Cambria"/>
          <w:sz w:val="24"/>
          <w:szCs w:val="24"/>
        </w:rPr>
        <w:t xml:space="preserve"> </w:t>
      </w:r>
      <w:r w:rsidR="004841BC" w:rsidRPr="006C7F1D">
        <w:rPr>
          <w:rFonts w:ascii="Cambria" w:hAnsi="Cambria"/>
          <w:sz w:val="24"/>
          <w:szCs w:val="24"/>
        </w:rPr>
        <w:t xml:space="preserve">but it does provide </w:t>
      </w:r>
      <w:r w:rsidR="00404FBD" w:rsidRPr="006C7F1D">
        <w:rPr>
          <w:rFonts w:ascii="Cambria" w:hAnsi="Cambria"/>
          <w:sz w:val="24"/>
          <w:szCs w:val="24"/>
        </w:rPr>
        <w:t>a structured</w:t>
      </w:r>
      <w:r w:rsidR="00C65A5A" w:rsidRPr="006C7F1D">
        <w:rPr>
          <w:rFonts w:ascii="Cambria" w:hAnsi="Cambria"/>
          <w:sz w:val="24"/>
          <w:szCs w:val="24"/>
        </w:rPr>
        <w:t xml:space="preserve"> </w:t>
      </w:r>
      <w:r w:rsidR="0069741B" w:rsidRPr="006C7F1D">
        <w:rPr>
          <w:rFonts w:ascii="Cambria" w:hAnsi="Cambria"/>
          <w:sz w:val="24"/>
          <w:szCs w:val="24"/>
        </w:rPr>
        <w:t>way of helping people to attend to their diagnosis.</w:t>
      </w:r>
    </w:p>
    <w:p w14:paraId="743C0C2B" w14:textId="6A4C97EB" w:rsidR="00F665C6" w:rsidRPr="006C7F1D" w:rsidRDefault="00F665C6" w:rsidP="006C7F1D">
      <w:pPr>
        <w:spacing w:before="120" w:after="120" w:line="480" w:lineRule="auto"/>
        <w:ind w:firstLine="720"/>
        <w:rPr>
          <w:rFonts w:ascii="Cambria" w:hAnsi="Cambria" w:cs="Times New Roman"/>
          <w:sz w:val="24"/>
          <w:szCs w:val="24"/>
        </w:rPr>
      </w:pPr>
      <w:r w:rsidRPr="006C7F1D">
        <w:rPr>
          <w:rFonts w:ascii="Cambria" w:hAnsi="Cambria" w:cs="Times New Roman"/>
          <w:sz w:val="24"/>
          <w:szCs w:val="24"/>
        </w:rPr>
        <w:t>So how does the LivDem course help people to adjust to their diagnosis? Well</w:t>
      </w:r>
      <w:r w:rsidR="009D5B33" w:rsidRPr="006C7F1D">
        <w:rPr>
          <w:rFonts w:ascii="Cambria" w:hAnsi="Cambria" w:cs="Times New Roman"/>
          <w:sz w:val="24"/>
          <w:szCs w:val="24"/>
        </w:rPr>
        <w:t>,</w:t>
      </w:r>
      <w:r w:rsidRPr="006C7F1D">
        <w:rPr>
          <w:rFonts w:ascii="Cambria" w:hAnsi="Cambria" w:cs="Times New Roman"/>
          <w:sz w:val="24"/>
          <w:szCs w:val="24"/>
        </w:rPr>
        <w:t xml:space="preserve"> I suspect </w:t>
      </w:r>
      <w:r w:rsidR="00B22849" w:rsidRPr="006C7F1D">
        <w:rPr>
          <w:rFonts w:ascii="Cambria" w:hAnsi="Cambria" w:cs="Times New Roman"/>
          <w:sz w:val="24"/>
          <w:szCs w:val="24"/>
        </w:rPr>
        <w:t xml:space="preserve">that the LivDem course contains a number of elements that </w:t>
      </w:r>
      <w:r w:rsidRPr="006C7F1D">
        <w:rPr>
          <w:rFonts w:ascii="Cambria" w:hAnsi="Cambria" w:cs="Times New Roman"/>
          <w:sz w:val="24"/>
          <w:szCs w:val="24"/>
        </w:rPr>
        <w:t>reduc</w:t>
      </w:r>
      <w:r w:rsidR="00B22849" w:rsidRPr="006C7F1D">
        <w:rPr>
          <w:rFonts w:ascii="Cambria" w:hAnsi="Cambria" w:cs="Times New Roman"/>
          <w:sz w:val="24"/>
          <w:szCs w:val="24"/>
        </w:rPr>
        <w:t>e</w:t>
      </w:r>
      <w:r w:rsidRPr="006C7F1D">
        <w:rPr>
          <w:rFonts w:ascii="Cambria" w:hAnsi="Cambria" w:cs="Times New Roman"/>
          <w:sz w:val="24"/>
          <w:szCs w:val="24"/>
        </w:rPr>
        <w:t xml:space="preserve"> the extent to which people feel threatened by dementia. First, </w:t>
      </w:r>
      <w:r w:rsidR="00782854" w:rsidRPr="006C7F1D">
        <w:rPr>
          <w:rFonts w:ascii="Cambria" w:hAnsi="Cambria" w:cs="Times New Roman"/>
          <w:sz w:val="24"/>
          <w:szCs w:val="24"/>
        </w:rPr>
        <w:t xml:space="preserve">the structured nature of the course encourages </w:t>
      </w:r>
      <w:r w:rsidRPr="006C7F1D">
        <w:rPr>
          <w:rFonts w:ascii="Cambria" w:hAnsi="Cambria" w:cs="Times New Roman"/>
          <w:sz w:val="24"/>
          <w:szCs w:val="24"/>
        </w:rPr>
        <w:t>participants to distance themselves from the dementia</w:t>
      </w:r>
      <w:r w:rsidR="00782854" w:rsidRPr="006C7F1D">
        <w:rPr>
          <w:rFonts w:ascii="Cambria" w:hAnsi="Cambria" w:cs="Times New Roman"/>
          <w:sz w:val="24"/>
          <w:szCs w:val="24"/>
        </w:rPr>
        <w:t xml:space="preserve"> (Cheston, 2013) and enables them to talk at their own pace</w:t>
      </w:r>
      <w:r w:rsidRPr="006C7F1D">
        <w:rPr>
          <w:rFonts w:ascii="Cambria" w:hAnsi="Cambria" w:cs="Times New Roman"/>
          <w:sz w:val="24"/>
          <w:szCs w:val="24"/>
        </w:rPr>
        <w:t xml:space="preserve">. In the initial sessions, facilitators encourage the group to talk about their symptoms, then in subsequent sessions ask about the emotions associated with memory loss before turning to how people cope with these feelings including who they talk to. It is not until week six that the group </w:t>
      </w:r>
      <w:r w:rsidR="008809D0">
        <w:rPr>
          <w:rFonts w:ascii="Cambria" w:hAnsi="Cambria" w:cs="Times New Roman"/>
          <w:sz w:val="24"/>
          <w:szCs w:val="24"/>
        </w:rPr>
        <w:t xml:space="preserve">are asked to </w:t>
      </w:r>
      <w:r w:rsidRPr="006C7F1D">
        <w:rPr>
          <w:rFonts w:ascii="Cambria" w:hAnsi="Cambria" w:cs="Times New Roman"/>
          <w:sz w:val="24"/>
          <w:szCs w:val="24"/>
        </w:rPr>
        <w:t xml:space="preserve">talk directly about their diagnosis. As a consequence, participants </w:t>
      </w:r>
      <w:r w:rsidR="008809D0" w:rsidRPr="006C7F1D">
        <w:rPr>
          <w:rFonts w:ascii="Cambria" w:hAnsi="Cambria" w:cs="Times New Roman"/>
          <w:sz w:val="24"/>
          <w:szCs w:val="24"/>
        </w:rPr>
        <w:t>do not</w:t>
      </w:r>
      <w:r w:rsidRPr="006C7F1D">
        <w:rPr>
          <w:rFonts w:ascii="Cambria" w:hAnsi="Cambria" w:cs="Times New Roman"/>
          <w:sz w:val="24"/>
          <w:szCs w:val="24"/>
        </w:rPr>
        <w:t xml:space="preserve"> feel forced to talk about something that they would prefer not to. Secondly, there is the sense of universality that people get from meeting others in their position, talking about what is happening and as a consequence realising that they are not on their own. </w:t>
      </w:r>
      <w:r w:rsidR="00541699" w:rsidRPr="006C7F1D">
        <w:rPr>
          <w:rFonts w:ascii="Cambria" w:hAnsi="Cambria" w:cs="Times New Roman"/>
          <w:sz w:val="24"/>
          <w:szCs w:val="24"/>
        </w:rPr>
        <w:t xml:space="preserve">In our work on nostalgia, we found that its impact on </w:t>
      </w:r>
      <w:r w:rsidR="00B71E37" w:rsidRPr="006C7F1D">
        <w:rPr>
          <w:rFonts w:ascii="Cambria" w:hAnsi="Cambria" w:cs="Times New Roman"/>
          <w:sz w:val="24"/>
          <w:szCs w:val="24"/>
        </w:rPr>
        <w:t xml:space="preserve">the recall of threatening information about dementia was mediated by the extent to which </w:t>
      </w:r>
      <w:r w:rsidR="00056B24" w:rsidRPr="006C7F1D">
        <w:rPr>
          <w:rFonts w:ascii="Cambria" w:hAnsi="Cambria" w:cs="Times New Roman"/>
          <w:sz w:val="24"/>
          <w:szCs w:val="24"/>
        </w:rPr>
        <w:t>nostalgia</w:t>
      </w:r>
      <w:r w:rsidR="00B71E37" w:rsidRPr="006C7F1D">
        <w:rPr>
          <w:rFonts w:ascii="Cambria" w:hAnsi="Cambria" w:cs="Times New Roman"/>
          <w:sz w:val="24"/>
          <w:szCs w:val="24"/>
        </w:rPr>
        <w:t xml:space="preserve"> produced feelings of social connectedness</w:t>
      </w:r>
      <w:r w:rsidR="00782854" w:rsidRPr="006C7F1D">
        <w:rPr>
          <w:rFonts w:ascii="Cambria" w:hAnsi="Cambria" w:cs="Times New Roman"/>
          <w:sz w:val="24"/>
          <w:szCs w:val="24"/>
        </w:rPr>
        <w:t xml:space="preserve"> (Ismail et al., 2018)</w:t>
      </w:r>
      <w:r w:rsidR="00B71E37" w:rsidRPr="006C7F1D">
        <w:rPr>
          <w:rFonts w:ascii="Cambria" w:hAnsi="Cambria" w:cs="Times New Roman"/>
          <w:sz w:val="24"/>
          <w:szCs w:val="24"/>
        </w:rPr>
        <w:t xml:space="preserve">, and it may well be that </w:t>
      </w:r>
      <w:r w:rsidR="00056B24" w:rsidRPr="006C7F1D">
        <w:rPr>
          <w:rFonts w:ascii="Cambria" w:hAnsi="Cambria" w:cs="Times New Roman"/>
          <w:sz w:val="24"/>
          <w:szCs w:val="24"/>
        </w:rPr>
        <w:t xml:space="preserve">the impact of LivDem is also mediated by a similar sense of sociality. </w:t>
      </w:r>
      <w:r w:rsidRPr="006C7F1D">
        <w:rPr>
          <w:rFonts w:ascii="Cambria" w:hAnsi="Cambria" w:cs="Times New Roman"/>
          <w:sz w:val="24"/>
          <w:szCs w:val="24"/>
        </w:rPr>
        <w:t>Finally, by exploring and sharing distressing emotional experiences including shame (Watkins et al</w:t>
      </w:r>
      <w:r w:rsidR="00782854" w:rsidRPr="006C7F1D">
        <w:rPr>
          <w:rFonts w:ascii="Cambria" w:hAnsi="Cambria" w:cs="Times New Roman"/>
          <w:sz w:val="24"/>
          <w:szCs w:val="24"/>
        </w:rPr>
        <w:t>.</w:t>
      </w:r>
      <w:r w:rsidRPr="006C7F1D">
        <w:rPr>
          <w:rFonts w:ascii="Cambria" w:hAnsi="Cambria" w:cs="Times New Roman"/>
          <w:sz w:val="24"/>
          <w:szCs w:val="24"/>
        </w:rPr>
        <w:t xml:space="preserve">, </w:t>
      </w:r>
      <w:r w:rsidR="00782854" w:rsidRPr="006C7F1D">
        <w:rPr>
          <w:rFonts w:ascii="Cambria" w:hAnsi="Cambria" w:cs="Times New Roman"/>
          <w:sz w:val="24"/>
          <w:szCs w:val="24"/>
        </w:rPr>
        <w:t>2006</w:t>
      </w:r>
      <w:r w:rsidRPr="006C7F1D">
        <w:rPr>
          <w:rFonts w:ascii="Cambria" w:hAnsi="Cambria" w:cs="Times New Roman"/>
          <w:sz w:val="24"/>
          <w:szCs w:val="24"/>
        </w:rPr>
        <w:t xml:space="preserve">) and loss of control (Cheston, </w:t>
      </w:r>
      <w:r w:rsidR="00782854" w:rsidRPr="006C7F1D">
        <w:rPr>
          <w:rFonts w:ascii="Cambria" w:hAnsi="Cambria" w:cs="Times New Roman"/>
          <w:sz w:val="24"/>
          <w:szCs w:val="24"/>
        </w:rPr>
        <w:t>2015</w:t>
      </w:r>
      <w:r w:rsidRPr="006C7F1D">
        <w:rPr>
          <w:rFonts w:ascii="Cambria" w:hAnsi="Cambria" w:cs="Times New Roman"/>
          <w:sz w:val="24"/>
          <w:szCs w:val="24"/>
        </w:rPr>
        <w:t>), so LivDem encourages the assimilation of the most problematic aspects of dementia (Cheston et al</w:t>
      </w:r>
      <w:r w:rsidR="00782854" w:rsidRPr="006C7F1D">
        <w:rPr>
          <w:rFonts w:ascii="Cambria" w:hAnsi="Cambria" w:cs="Times New Roman"/>
          <w:sz w:val="24"/>
          <w:szCs w:val="24"/>
        </w:rPr>
        <w:t>.</w:t>
      </w:r>
      <w:r w:rsidRPr="006C7F1D">
        <w:rPr>
          <w:rFonts w:ascii="Cambria" w:hAnsi="Cambria" w:cs="Times New Roman"/>
          <w:sz w:val="24"/>
          <w:szCs w:val="24"/>
        </w:rPr>
        <w:t xml:space="preserve">, </w:t>
      </w:r>
      <w:r w:rsidR="00782854" w:rsidRPr="006C7F1D">
        <w:rPr>
          <w:rFonts w:ascii="Cambria" w:hAnsi="Cambria" w:cs="Times New Roman"/>
          <w:sz w:val="24"/>
          <w:szCs w:val="24"/>
        </w:rPr>
        <w:t>2017</w:t>
      </w:r>
      <w:r w:rsidRPr="006C7F1D">
        <w:rPr>
          <w:rFonts w:ascii="Cambria" w:hAnsi="Cambria" w:cs="Times New Roman"/>
          <w:sz w:val="24"/>
          <w:szCs w:val="24"/>
        </w:rPr>
        <w:t xml:space="preserve">, </w:t>
      </w:r>
      <w:r w:rsidR="00782854" w:rsidRPr="006C7F1D">
        <w:rPr>
          <w:rFonts w:ascii="Cambria" w:hAnsi="Cambria" w:cs="Times New Roman"/>
          <w:sz w:val="24"/>
          <w:szCs w:val="24"/>
        </w:rPr>
        <w:t>2018</w:t>
      </w:r>
      <w:r w:rsidR="002D2893">
        <w:rPr>
          <w:rFonts w:ascii="Cambria" w:hAnsi="Cambria" w:cs="Times New Roman"/>
          <w:sz w:val="24"/>
          <w:szCs w:val="24"/>
        </w:rPr>
        <w:t>b</w:t>
      </w:r>
      <w:r w:rsidRPr="006C7F1D">
        <w:rPr>
          <w:rFonts w:ascii="Cambria" w:hAnsi="Cambria" w:cs="Times New Roman"/>
          <w:sz w:val="24"/>
          <w:szCs w:val="24"/>
        </w:rPr>
        <w:t xml:space="preserve">). </w:t>
      </w:r>
      <w:r w:rsidR="00FA2FBA" w:rsidRPr="006C7F1D">
        <w:rPr>
          <w:rFonts w:ascii="Cambria" w:hAnsi="Cambria" w:cs="Times New Roman"/>
          <w:sz w:val="24"/>
          <w:szCs w:val="24"/>
        </w:rPr>
        <w:t>Adjustment is inherently an emotional experience</w:t>
      </w:r>
      <w:r w:rsidR="005935C2" w:rsidRPr="006C7F1D">
        <w:rPr>
          <w:rFonts w:ascii="Cambria" w:hAnsi="Cambria" w:cs="Times New Roman"/>
          <w:sz w:val="24"/>
          <w:szCs w:val="24"/>
        </w:rPr>
        <w:t xml:space="preserve"> – and</w:t>
      </w:r>
      <w:r w:rsidR="008F706E" w:rsidRPr="006C7F1D">
        <w:rPr>
          <w:rFonts w:ascii="Cambria" w:hAnsi="Cambria" w:cs="Times New Roman"/>
          <w:sz w:val="24"/>
          <w:szCs w:val="24"/>
        </w:rPr>
        <w:t xml:space="preserve"> as psychologists</w:t>
      </w:r>
      <w:r w:rsidR="005935C2" w:rsidRPr="006C7F1D">
        <w:rPr>
          <w:rFonts w:ascii="Cambria" w:hAnsi="Cambria" w:cs="Times New Roman"/>
          <w:sz w:val="24"/>
          <w:szCs w:val="24"/>
        </w:rPr>
        <w:t xml:space="preserve"> </w:t>
      </w:r>
      <w:r w:rsidR="008F706E" w:rsidRPr="006C7F1D">
        <w:rPr>
          <w:rFonts w:ascii="Cambria" w:hAnsi="Cambria" w:cs="Times New Roman"/>
          <w:sz w:val="24"/>
          <w:szCs w:val="24"/>
        </w:rPr>
        <w:t xml:space="preserve">we </w:t>
      </w:r>
      <w:r w:rsidR="008809D0">
        <w:rPr>
          <w:rFonts w:ascii="Cambria" w:hAnsi="Cambria" w:cs="Times New Roman"/>
          <w:sz w:val="24"/>
          <w:szCs w:val="24"/>
        </w:rPr>
        <w:t xml:space="preserve">do not attend to </w:t>
      </w:r>
      <w:r w:rsidR="008F706E" w:rsidRPr="006C7F1D">
        <w:rPr>
          <w:rFonts w:ascii="Cambria" w:hAnsi="Cambria" w:cs="Times New Roman"/>
          <w:sz w:val="24"/>
          <w:szCs w:val="24"/>
        </w:rPr>
        <w:t>this aspect of dementia at our peril</w:t>
      </w:r>
      <w:r w:rsidR="00F81137" w:rsidRPr="006C7F1D">
        <w:rPr>
          <w:rFonts w:ascii="Cambria" w:hAnsi="Cambria" w:cs="Times New Roman"/>
          <w:sz w:val="24"/>
          <w:szCs w:val="24"/>
        </w:rPr>
        <w:t>.</w:t>
      </w:r>
    </w:p>
    <w:p w14:paraId="21324AD8" w14:textId="7270BFC1" w:rsidR="00965E3C" w:rsidRPr="006C7F1D" w:rsidRDefault="002030DE" w:rsidP="006C7F1D">
      <w:pPr>
        <w:spacing w:before="120" w:after="120" w:line="480" w:lineRule="auto"/>
        <w:ind w:firstLine="720"/>
        <w:jc w:val="center"/>
        <w:rPr>
          <w:rFonts w:ascii="Cambria" w:hAnsi="Cambria" w:cs="Times New Roman"/>
          <w:i/>
          <w:iCs/>
          <w:sz w:val="24"/>
          <w:szCs w:val="24"/>
        </w:rPr>
      </w:pPr>
      <w:r w:rsidRPr="006C7F1D">
        <w:rPr>
          <w:rFonts w:ascii="Cambria" w:hAnsi="Cambria" w:cs="Times New Roman"/>
          <w:i/>
          <w:iCs/>
          <w:sz w:val="24"/>
          <w:szCs w:val="24"/>
        </w:rPr>
        <w:lastRenderedPageBreak/>
        <w:t>Looking at (and away from) the sun.</w:t>
      </w:r>
    </w:p>
    <w:p w14:paraId="015C960F" w14:textId="2E18DD11" w:rsidR="00312BB9" w:rsidRPr="006C7F1D" w:rsidRDefault="00312BB9" w:rsidP="006C7F1D">
      <w:pPr>
        <w:spacing w:before="120" w:after="120" w:line="480" w:lineRule="auto"/>
        <w:ind w:firstLine="720"/>
        <w:rPr>
          <w:rFonts w:ascii="Cambria" w:hAnsi="Cambria" w:cs="Times New Roman"/>
          <w:sz w:val="24"/>
          <w:szCs w:val="24"/>
        </w:rPr>
      </w:pPr>
      <w:r w:rsidRPr="006C7F1D">
        <w:rPr>
          <w:rFonts w:ascii="Cambria" w:hAnsi="Cambria" w:cs="Times New Roman"/>
          <w:sz w:val="24"/>
          <w:szCs w:val="24"/>
        </w:rPr>
        <w:t xml:space="preserve">In one of my early encounters with existential psychology I came across Irvin Yalom’s book </w:t>
      </w:r>
      <w:r w:rsidRPr="006C7F1D">
        <w:rPr>
          <w:rFonts w:ascii="Cambria" w:hAnsi="Cambria" w:cs="Times New Roman"/>
          <w:i/>
          <w:iCs/>
          <w:sz w:val="24"/>
          <w:szCs w:val="24"/>
        </w:rPr>
        <w:t>Staring at the Sun: Overcoming the Terror of Death</w:t>
      </w:r>
      <w:r w:rsidRPr="006C7F1D">
        <w:rPr>
          <w:rFonts w:ascii="Cambria" w:hAnsi="Cambria" w:cs="Times New Roman"/>
          <w:sz w:val="24"/>
          <w:szCs w:val="24"/>
        </w:rPr>
        <w:t xml:space="preserve"> (Yalom, 2008). The central conceit within the book is that looking at our own death is much like looking at the sun –</w:t>
      </w:r>
      <w:r w:rsidR="00762F87">
        <w:rPr>
          <w:rFonts w:ascii="Cambria" w:hAnsi="Cambria" w:cs="Times New Roman"/>
          <w:sz w:val="24"/>
          <w:szCs w:val="24"/>
        </w:rPr>
        <w:t xml:space="preserve"> </w:t>
      </w:r>
      <w:r w:rsidRPr="006C7F1D">
        <w:rPr>
          <w:rFonts w:ascii="Cambria" w:hAnsi="Cambria" w:cs="Times New Roman"/>
          <w:sz w:val="24"/>
          <w:szCs w:val="24"/>
        </w:rPr>
        <w:t xml:space="preserve">both </w:t>
      </w:r>
      <w:r w:rsidR="008809D0">
        <w:rPr>
          <w:rFonts w:ascii="Cambria" w:hAnsi="Cambria" w:cs="Times New Roman"/>
          <w:sz w:val="24"/>
          <w:szCs w:val="24"/>
        </w:rPr>
        <w:t xml:space="preserve">are </w:t>
      </w:r>
      <w:r w:rsidRPr="006C7F1D">
        <w:rPr>
          <w:rFonts w:ascii="Cambria" w:hAnsi="Cambria" w:cs="Times New Roman"/>
          <w:sz w:val="24"/>
          <w:szCs w:val="24"/>
        </w:rPr>
        <w:t>too powerful for us to look at directly for any length of time. Instead, we shade our eyes or glimpse them indirectly, obscured by clouds or being aware at the shadows they cast. We know that death and the sun are both present in our lives, but for most of the time we are unaware of them. We know about our own mortality, but we also chose not to know. A life lived constantly in the full glare of death might be overwhelming, so we look away.</w:t>
      </w:r>
    </w:p>
    <w:p w14:paraId="5EEE833C" w14:textId="111FDCC8" w:rsidR="001B4C0F" w:rsidRPr="006C7F1D" w:rsidRDefault="00312BB9" w:rsidP="001B4C0F">
      <w:pPr>
        <w:spacing w:before="120" w:after="120" w:line="480" w:lineRule="auto"/>
        <w:ind w:firstLine="720"/>
        <w:rPr>
          <w:rFonts w:ascii="Cambria" w:hAnsi="Cambria" w:cs="Times New Roman"/>
          <w:sz w:val="24"/>
          <w:szCs w:val="24"/>
        </w:rPr>
      </w:pPr>
      <w:r w:rsidRPr="006C7F1D">
        <w:rPr>
          <w:rFonts w:ascii="Cambria" w:hAnsi="Cambria" w:cs="Times New Roman"/>
          <w:sz w:val="24"/>
          <w:szCs w:val="24"/>
        </w:rPr>
        <w:t xml:space="preserve">It is the same, I believe, with dementia. The people I work with look at their dementia and then look away. They both know about dementia, but also do not know. This is the case in the clinic or in LivDem groups, where people approach, and then retreat from their dementia. </w:t>
      </w:r>
      <w:r w:rsidR="00CA0371" w:rsidRPr="006C7F1D">
        <w:rPr>
          <w:rFonts w:ascii="Cambria" w:hAnsi="Cambria" w:cs="Times New Roman"/>
          <w:sz w:val="24"/>
          <w:szCs w:val="24"/>
        </w:rPr>
        <w:t xml:space="preserve">Knowing that you can retreat from something gives you the courage to go closer. </w:t>
      </w:r>
      <w:r w:rsidR="00762F87">
        <w:rPr>
          <w:rFonts w:ascii="Cambria" w:hAnsi="Cambria" w:cs="Times New Roman"/>
          <w:sz w:val="24"/>
          <w:szCs w:val="24"/>
        </w:rPr>
        <w:t xml:space="preserve">We found this </w:t>
      </w:r>
      <w:r w:rsidR="00CA0371" w:rsidRPr="006C7F1D">
        <w:rPr>
          <w:rFonts w:ascii="Cambria" w:hAnsi="Cambria" w:cs="Times New Roman"/>
          <w:sz w:val="24"/>
          <w:szCs w:val="24"/>
        </w:rPr>
        <w:t>in our experimental work</w:t>
      </w:r>
      <w:r w:rsidR="00762F87">
        <w:rPr>
          <w:rFonts w:ascii="Cambria" w:hAnsi="Cambria" w:cs="Times New Roman"/>
          <w:sz w:val="24"/>
          <w:szCs w:val="24"/>
        </w:rPr>
        <w:t xml:space="preserve">: selective forgetting allows </w:t>
      </w:r>
      <w:r w:rsidR="001B4C0F">
        <w:rPr>
          <w:rFonts w:ascii="Cambria" w:hAnsi="Cambria" w:cs="Times New Roman"/>
          <w:sz w:val="24"/>
          <w:szCs w:val="24"/>
        </w:rPr>
        <w:t>people living with dementia to filter out its</w:t>
      </w:r>
      <w:r w:rsidR="00762F87">
        <w:rPr>
          <w:rFonts w:ascii="Cambria" w:hAnsi="Cambria" w:cs="Times New Roman"/>
          <w:sz w:val="24"/>
          <w:szCs w:val="24"/>
        </w:rPr>
        <w:t xml:space="preserve"> more threatening</w:t>
      </w:r>
      <w:r w:rsidRPr="006C7F1D">
        <w:rPr>
          <w:rFonts w:ascii="Cambria" w:hAnsi="Cambria" w:cs="Times New Roman"/>
          <w:sz w:val="24"/>
          <w:szCs w:val="24"/>
        </w:rPr>
        <w:t xml:space="preserve"> </w:t>
      </w:r>
      <w:r w:rsidR="00762F87">
        <w:rPr>
          <w:rFonts w:ascii="Cambria" w:hAnsi="Cambria" w:cs="Times New Roman"/>
          <w:sz w:val="24"/>
          <w:szCs w:val="24"/>
        </w:rPr>
        <w:t>aspects.</w:t>
      </w:r>
      <w:r w:rsidR="00231D11">
        <w:rPr>
          <w:rFonts w:ascii="Cambria" w:hAnsi="Cambria" w:cs="Times New Roman"/>
          <w:sz w:val="24"/>
          <w:szCs w:val="24"/>
        </w:rPr>
        <w:t xml:space="preserve"> I sometimes also wonder whether something similar can occur within dementia services </w:t>
      </w:r>
      <w:r w:rsidR="001B4C0F">
        <w:rPr>
          <w:rFonts w:ascii="Cambria" w:hAnsi="Cambria" w:cs="Times New Roman"/>
          <w:sz w:val="24"/>
          <w:szCs w:val="24"/>
        </w:rPr>
        <w:t>–</w:t>
      </w:r>
      <w:r w:rsidR="00231D11">
        <w:rPr>
          <w:rFonts w:ascii="Cambria" w:hAnsi="Cambria" w:cs="Times New Roman"/>
          <w:sz w:val="24"/>
          <w:szCs w:val="24"/>
        </w:rPr>
        <w:t xml:space="preserve"> </w:t>
      </w:r>
      <w:r w:rsidR="001B4C0F">
        <w:rPr>
          <w:rFonts w:ascii="Cambria" w:hAnsi="Cambria" w:cs="Times New Roman"/>
          <w:sz w:val="24"/>
          <w:szCs w:val="24"/>
        </w:rPr>
        <w:t xml:space="preserve">sometimes it may be easier to frame dementia as a condition that it is possible to live well with, than to stay with its awfulness. </w:t>
      </w:r>
      <w:r w:rsidR="001B4C0F" w:rsidRPr="006C7F1D">
        <w:rPr>
          <w:rFonts w:ascii="Cambria" w:hAnsi="Cambria" w:cs="Times New Roman"/>
          <w:sz w:val="24"/>
          <w:szCs w:val="24"/>
        </w:rPr>
        <w:t xml:space="preserve">If we now recognise that a diagnosis of dementia brings the possibility of hope, then we must </w:t>
      </w:r>
      <w:r w:rsidR="001B4C0F">
        <w:rPr>
          <w:rFonts w:ascii="Cambria" w:hAnsi="Cambria" w:cs="Times New Roman"/>
          <w:sz w:val="24"/>
          <w:szCs w:val="24"/>
        </w:rPr>
        <w:t xml:space="preserve">also remember </w:t>
      </w:r>
      <w:r w:rsidR="001B4C0F" w:rsidRPr="006C7F1D">
        <w:rPr>
          <w:rFonts w:ascii="Cambria" w:hAnsi="Cambria" w:cs="Times New Roman"/>
          <w:sz w:val="24"/>
          <w:szCs w:val="24"/>
        </w:rPr>
        <w:t>that it also inherently brings threat. Importantly, by being prepared to explicitly recognise this aspect of the lived reality of dementia for our clients, we can bear witness to the way in which they manage the existential threat it represents. Only by doing this can we fully attend to dementia.</w:t>
      </w:r>
    </w:p>
    <w:p w14:paraId="59383A8E" w14:textId="77777777" w:rsidR="00EC3324" w:rsidRDefault="00EC3324" w:rsidP="00F665C6">
      <w:pPr>
        <w:spacing w:before="120" w:after="120" w:line="276" w:lineRule="auto"/>
        <w:ind w:firstLine="720"/>
        <w:rPr>
          <w:rFonts w:ascii="Cambria" w:hAnsi="Cambria" w:cs="Times New Roman"/>
          <w:sz w:val="24"/>
          <w:szCs w:val="24"/>
        </w:rPr>
      </w:pPr>
    </w:p>
    <w:p w14:paraId="61BDA655" w14:textId="6BC3D4D3" w:rsidR="00F81137" w:rsidRPr="002D2893" w:rsidRDefault="005935C2" w:rsidP="002D2893">
      <w:pPr>
        <w:spacing w:before="120" w:after="120" w:line="480" w:lineRule="auto"/>
        <w:rPr>
          <w:rFonts w:ascii="Cambria" w:hAnsi="Cambria" w:cs="Times New Roman"/>
          <w:b/>
          <w:bCs/>
          <w:sz w:val="24"/>
          <w:szCs w:val="24"/>
        </w:rPr>
      </w:pPr>
      <w:r w:rsidRPr="002D2893">
        <w:rPr>
          <w:rFonts w:ascii="Cambria" w:hAnsi="Cambria" w:cs="Times New Roman"/>
          <w:b/>
          <w:bCs/>
          <w:sz w:val="24"/>
          <w:szCs w:val="24"/>
        </w:rPr>
        <w:t>References</w:t>
      </w:r>
    </w:p>
    <w:p w14:paraId="1B635F6C" w14:textId="77777777" w:rsidR="002D2893" w:rsidRPr="002D2893" w:rsidRDefault="002D2893" w:rsidP="002D2893">
      <w:pPr>
        <w:spacing w:before="120" w:after="120" w:line="480" w:lineRule="auto"/>
        <w:ind w:left="720" w:hanging="720"/>
        <w:rPr>
          <w:rFonts w:ascii="Cambria" w:hAnsi="Cambria"/>
          <w:bCs/>
          <w:color w:val="000000"/>
          <w:sz w:val="24"/>
          <w:szCs w:val="24"/>
        </w:rPr>
      </w:pPr>
      <w:r w:rsidRPr="002D2893">
        <w:rPr>
          <w:rFonts w:ascii="Cambria" w:hAnsi="Cambria"/>
          <w:color w:val="000000"/>
          <w:sz w:val="24"/>
          <w:szCs w:val="24"/>
          <w:lang w:val="fi-FI"/>
        </w:rPr>
        <w:t xml:space="preserve">Cheston, R (2013) Assimilation of </w:t>
      </w:r>
      <w:r w:rsidRPr="002D2893">
        <w:rPr>
          <w:rFonts w:ascii="Cambria" w:hAnsi="Cambria"/>
          <w:bCs/>
          <w:color w:val="000000"/>
          <w:sz w:val="24"/>
          <w:szCs w:val="24"/>
        </w:rPr>
        <w:t xml:space="preserve">problematic voices within psychotherapeutic work with people with dementia, </w:t>
      </w:r>
      <w:r w:rsidRPr="002D2893">
        <w:rPr>
          <w:rFonts w:ascii="Cambria" w:hAnsi="Cambria"/>
          <w:bCs/>
          <w:i/>
          <w:color w:val="000000"/>
          <w:sz w:val="24"/>
          <w:szCs w:val="24"/>
        </w:rPr>
        <w:t xml:space="preserve">Neurodisability and Psychotherapy, </w:t>
      </w:r>
      <w:r w:rsidRPr="002D2893">
        <w:rPr>
          <w:rFonts w:ascii="Cambria" w:hAnsi="Cambria"/>
          <w:bCs/>
          <w:color w:val="000000"/>
          <w:sz w:val="24"/>
          <w:szCs w:val="24"/>
        </w:rPr>
        <w:t>1 (1), 70-95</w:t>
      </w:r>
    </w:p>
    <w:p w14:paraId="117ABF47" w14:textId="77777777" w:rsidR="006C7F1D" w:rsidRPr="002D2893" w:rsidRDefault="006C7F1D" w:rsidP="002D2893">
      <w:pPr>
        <w:spacing w:before="120" w:after="120" w:line="480" w:lineRule="auto"/>
        <w:ind w:left="720" w:hanging="720"/>
        <w:rPr>
          <w:rFonts w:ascii="Cambria" w:hAnsi="Cambria"/>
          <w:bCs/>
          <w:color w:val="000000"/>
          <w:sz w:val="24"/>
          <w:szCs w:val="24"/>
        </w:rPr>
      </w:pPr>
      <w:r w:rsidRPr="002D2893">
        <w:rPr>
          <w:rFonts w:ascii="Cambria" w:hAnsi="Cambria"/>
          <w:sz w:val="24"/>
          <w:szCs w:val="24"/>
        </w:rPr>
        <w:t xml:space="preserve">Cheston R (2015) </w:t>
      </w:r>
      <w:r w:rsidRPr="002D2893">
        <w:rPr>
          <w:rFonts w:ascii="Cambria" w:hAnsi="Cambria"/>
          <w:sz w:val="24"/>
          <w:szCs w:val="24"/>
          <w:lang w:val="en-US"/>
        </w:rPr>
        <w:t>The role of the fear-of-loss-of-control marker within the accounts of people affected by dementia about their illness: implications for psychotherapy</w:t>
      </w:r>
      <w:r w:rsidRPr="002D2893">
        <w:rPr>
          <w:rFonts w:ascii="Cambria" w:hAnsi="Cambria"/>
          <w:sz w:val="24"/>
          <w:szCs w:val="24"/>
        </w:rPr>
        <w:t xml:space="preserve">, </w:t>
      </w:r>
      <w:r w:rsidRPr="002D2893">
        <w:rPr>
          <w:rFonts w:ascii="Cambria" w:hAnsi="Cambria"/>
          <w:i/>
          <w:sz w:val="24"/>
          <w:szCs w:val="24"/>
        </w:rPr>
        <w:t>Quaderni di Psicoterapia Cognitiva</w:t>
      </w:r>
      <w:r w:rsidRPr="002D2893">
        <w:rPr>
          <w:rStyle w:val="citation-volume"/>
          <w:rFonts w:ascii="Cambria" w:hAnsi="Cambria"/>
          <w:sz w:val="24"/>
          <w:szCs w:val="24"/>
        </w:rPr>
        <w:t>, 37, pp 45-66 doi: 10.3280/qpc2015-037003</w:t>
      </w:r>
      <w:r w:rsidRPr="002D2893">
        <w:rPr>
          <w:rFonts w:ascii="Cambria" w:hAnsi="Cambria"/>
          <w:sz w:val="24"/>
          <w:szCs w:val="24"/>
        </w:rPr>
        <w:t>.</w:t>
      </w:r>
    </w:p>
    <w:p w14:paraId="2D08C090" w14:textId="77777777" w:rsidR="006C7F1D" w:rsidRPr="002D2893" w:rsidRDefault="006C7F1D" w:rsidP="002D2893">
      <w:pPr>
        <w:spacing w:before="120" w:after="120" w:line="480" w:lineRule="auto"/>
        <w:ind w:left="720" w:hanging="720"/>
        <w:rPr>
          <w:rFonts w:ascii="Cambria" w:hAnsi="Cambria"/>
          <w:sz w:val="24"/>
          <w:szCs w:val="24"/>
        </w:rPr>
      </w:pPr>
      <w:r w:rsidRPr="002D2893">
        <w:rPr>
          <w:rFonts w:ascii="Cambria" w:hAnsi="Cambria"/>
          <w:sz w:val="24"/>
          <w:szCs w:val="24"/>
        </w:rPr>
        <w:t>Cheston R and Christopher G (2019)</w:t>
      </w:r>
      <w:r w:rsidRPr="002D2893">
        <w:rPr>
          <w:rFonts w:ascii="Cambria" w:hAnsi="Cambria"/>
          <w:i/>
          <w:sz w:val="24"/>
          <w:szCs w:val="24"/>
        </w:rPr>
        <w:t xml:space="preserve"> Confronting the Existential Threat of Dementia: an Exploration into Emotion Regulation</w:t>
      </w:r>
      <w:r w:rsidRPr="002D2893">
        <w:rPr>
          <w:rFonts w:ascii="Cambria" w:hAnsi="Cambria"/>
          <w:sz w:val="24"/>
          <w:szCs w:val="24"/>
        </w:rPr>
        <w:t xml:space="preserve">, Palgrave-MacMillan. ISBN: 978-3-030-12349-9. </w:t>
      </w:r>
    </w:p>
    <w:p w14:paraId="43D02FE0" w14:textId="77777777" w:rsidR="006C7F1D" w:rsidRPr="002D2893" w:rsidRDefault="006C7F1D" w:rsidP="002D2893">
      <w:pPr>
        <w:spacing w:before="120" w:after="120" w:line="480" w:lineRule="auto"/>
        <w:ind w:left="720" w:hanging="720"/>
        <w:rPr>
          <w:rFonts w:ascii="Cambria" w:hAnsi="Cambria"/>
          <w:sz w:val="24"/>
          <w:szCs w:val="24"/>
        </w:rPr>
      </w:pPr>
      <w:r w:rsidRPr="002D2893">
        <w:rPr>
          <w:rFonts w:ascii="Cambria" w:hAnsi="Cambria"/>
          <w:sz w:val="24"/>
          <w:szCs w:val="24"/>
        </w:rPr>
        <w:t xml:space="preserve">Cheston R and Marshall A (2019) </w:t>
      </w:r>
      <w:r w:rsidRPr="002D2893">
        <w:rPr>
          <w:rFonts w:ascii="Cambria" w:hAnsi="Cambria"/>
          <w:i/>
          <w:sz w:val="24"/>
          <w:szCs w:val="24"/>
        </w:rPr>
        <w:t>The Living Well with Dementia course - a workbook for facilitators</w:t>
      </w:r>
      <w:r w:rsidRPr="002D2893">
        <w:rPr>
          <w:rFonts w:ascii="Cambria" w:hAnsi="Cambria"/>
          <w:sz w:val="24"/>
          <w:szCs w:val="24"/>
        </w:rPr>
        <w:t xml:space="preserve">, Taylor-Francis. </w:t>
      </w:r>
    </w:p>
    <w:p w14:paraId="24C97CDE" w14:textId="77777777" w:rsidR="006C7F1D" w:rsidRPr="002D2893" w:rsidRDefault="006C7F1D" w:rsidP="002D2893">
      <w:pPr>
        <w:spacing w:before="120" w:after="120" w:line="480" w:lineRule="auto"/>
        <w:ind w:left="720" w:hanging="720"/>
        <w:rPr>
          <w:rFonts w:ascii="Cambria" w:hAnsi="Cambria"/>
          <w:color w:val="0000FF"/>
          <w:sz w:val="24"/>
          <w:szCs w:val="24"/>
          <w:lang w:val="en-US"/>
        </w:rPr>
      </w:pPr>
      <w:r w:rsidRPr="002D2893">
        <w:rPr>
          <w:rFonts w:ascii="Cambria" w:hAnsi="Cambria"/>
          <w:sz w:val="24"/>
          <w:szCs w:val="24"/>
        </w:rPr>
        <w:t xml:space="preserve">Cheston R, Dodd E, Christopher G, Jones C, Wildschut T and Sedikides C (2018) Selective Forgetting: Mnemic Neglect for statements about dementia in People with Mild Dementia, </w:t>
      </w:r>
      <w:r w:rsidRPr="002D2893">
        <w:rPr>
          <w:rFonts w:ascii="Cambria" w:hAnsi="Cambria"/>
          <w:i/>
          <w:sz w:val="24"/>
          <w:szCs w:val="24"/>
        </w:rPr>
        <w:t xml:space="preserve">International Journal of Geriatric Psychiatry, </w:t>
      </w:r>
      <w:r w:rsidRPr="002D2893">
        <w:rPr>
          <w:rFonts w:ascii="Cambria" w:hAnsi="Cambria"/>
          <w:sz w:val="24"/>
          <w:szCs w:val="24"/>
        </w:rPr>
        <w:t>33 (8), 1065-1073</w:t>
      </w:r>
      <w:r w:rsidRPr="002D2893">
        <w:rPr>
          <w:rFonts w:ascii="Cambria" w:hAnsi="Cambria"/>
          <w:color w:val="000000"/>
          <w:sz w:val="24"/>
          <w:szCs w:val="24"/>
          <w:lang w:val="en-US"/>
        </w:rPr>
        <w:t xml:space="preserve"> </w:t>
      </w:r>
      <w:hyperlink r:id="rId9" w:history="1">
        <w:r w:rsidRPr="002D2893">
          <w:rPr>
            <w:rStyle w:val="Hyperlink"/>
            <w:rFonts w:ascii="Cambria" w:hAnsi="Cambria"/>
            <w:sz w:val="24"/>
            <w:szCs w:val="24"/>
            <w:lang w:val="en-US"/>
          </w:rPr>
          <w:t>https://doi.org/10.1002/gps.4894</w:t>
        </w:r>
      </w:hyperlink>
      <w:r w:rsidRPr="002D2893">
        <w:rPr>
          <w:rFonts w:ascii="Cambria" w:hAnsi="Cambria"/>
          <w:color w:val="0000FF"/>
          <w:sz w:val="24"/>
          <w:szCs w:val="24"/>
          <w:lang w:val="en-US"/>
        </w:rPr>
        <w:t>.</w:t>
      </w:r>
    </w:p>
    <w:p w14:paraId="774CCF06" w14:textId="53A17C2C" w:rsidR="006C7F1D" w:rsidRPr="002D2893" w:rsidRDefault="006C7F1D" w:rsidP="002D2893">
      <w:pPr>
        <w:spacing w:before="120" w:after="120" w:line="480" w:lineRule="auto"/>
        <w:ind w:left="567" w:hanging="720"/>
        <w:rPr>
          <w:rFonts w:ascii="Cambria" w:hAnsi="Cambria"/>
          <w:i/>
          <w:sz w:val="24"/>
          <w:szCs w:val="24"/>
        </w:rPr>
      </w:pPr>
      <w:r w:rsidRPr="002D2893">
        <w:rPr>
          <w:rFonts w:ascii="Cambria" w:hAnsi="Cambria"/>
          <w:sz w:val="24"/>
          <w:szCs w:val="24"/>
        </w:rPr>
        <w:t xml:space="preserve">Cheston R, Gatting L, Marshall A, Spreadbury J and Coleman P (2017) </w:t>
      </w:r>
      <w:r w:rsidRPr="002D2893">
        <w:rPr>
          <w:rFonts w:ascii="Cambria" w:hAnsi="Cambria" w:cs="Arial"/>
          <w:sz w:val="24"/>
          <w:szCs w:val="24"/>
        </w:rPr>
        <w:t xml:space="preserve">Markers of Assimilation of Problematic Experiences in Dementia within the LIVDEM project, </w:t>
      </w:r>
      <w:r w:rsidRPr="002D2893">
        <w:rPr>
          <w:rFonts w:ascii="Cambria" w:hAnsi="Cambria"/>
          <w:i/>
          <w:sz w:val="24"/>
          <w:szCs w:val="24"/>
        </w:rPr>
        <w:t xml:space="preserve">Dementia: the International Journal of Social Research and Policy, </w:t>
      </w:r>
      <w:r w:rsidRPr="002D2893">
        <w:rPr>
          <w:rFonts w:ascii="Cambria" w:hAnsi="Cambria"/>
          <w:sz w:val="24"/>
          <w:szCs w:val="24"/>
        </w:rPr>
        <w:t>16 (4), 443-460, doi: 10.1177/1471301215602473</w:t>
      </w:r>
    </w:p>
    <w:p w14:paraId="58AF0706" w14:textId="77777777" w:rsidR="006C7F1D" w:rsidRPr="002D2893" w:rsidRDefault="006C7F1D" w:rsidP="002D2893">
      <w:pPr>
        <w:spacing w:before="120" w:after="120" w:line="480" w:lineRule="auto"/>
        <w:ind w:left="720" w:hanging="720"/>
        <w:rPr>
          <w:rFonts w:ascii="Cambria" w:hAnsi="Cambria"/>
          <w:sz w:val="24"/>
          <w:szCs w:val="24"/>
        </w:rPr>
      </w:pPr>
      <w:r w:rsidRPr="002D2893">
        <w:rPr>
          <w:rFonts w:ascii="Cambria" w:hAnsi="Cambria"/>
          <w:sz w:val="24"/>
          <w:szCs w:val="24"/>
        </w:rPr>
        <w:t xml:space="preserve">Cheston R, Marshall A, Jones A, Spreadbury J and Coleman P (2018) Living Well with Dementia Groups: changes in participant and therapist verbal behaviour, </w:t>
      </w:r>
      <w:r w:rsidRPr="002D2893">
        <w:rPr>
          <w:rFonts w:ascii="Cambria" w:hAnsi="Cambria"/>
          <w:i/>
          <w:sz w:val="24"/>
          <w:szCs w:val="24"/>
        </w:rPr>
        <w:t>Aging and Mental Health,</w:t>
      </w:r>
      <w:r w:rsidRPr="002D2893">
        <w:rPr>
          <w:rFonts w:ascii="Cambria" w:hAnsi="Cambria"/>
          <w:sz w:val="24"/>
          <w:szCs w:val="24"/>
        </w:rPr>
        <w:t xml:space="preserve"> 22 (1), 61-69, doi: </w:t>
      </w:r>
      <w:r w:rsidRPr="002D2893">
        <w:rPr>
          <w:rFonts w:ascii="Cambria" w:hAnsi="Cambria" w:cs="Calibri"/>
          <w:sz w:val="24"/>
          <w:szCs w:val="24"/>
          <w:lang w:val="en-US"/>
        </w:rPr>
        <w:t>10.1080/13607863.2016.1231171</w:t>
      </w:r>
    </w:p>
    <w:p w14:paraId="1B94C29A" w14:textId="77777777" w:rsidR="006C7F1D" w:rsidRPr="002D2893" w:rsidRDefault="006C7F1D" w:rsidP="002D2893">
      <w:pPr>
        <w:spacing w:before="120" w:after="120" w:line="480" w:lineRule="auto"/>
        <w:ind w:left="720" w:hanging="720"/>
        <w:rPr>
          <w:rFonts w:ascii="Cambria" w:hAnsi="Cambria" w:cs="Arial"/>
          <w:color w:val="222222"/>
          <w:sz w:val="24"/>
          <w:szCs w:val="24"/>
          <w:shd w:val="clear" w:color="auto" w:fill="FFFFFF"/>
        </w:rPr>
      </w:pPr>
      <w:r w:rsidRPr="002D2893">
        <w:rPr>
          <w:rFonts w:ascii="Cambria" w:hAnsi="Cambria"/>
          <w:sz w:val="24"/>
          <w:szCs w:val="24"/>
        </w:rPr>
        <w:lastRenderedPageBreak/>
        <w:t xml:space="preserve">Ismail S, Christopher G, Dodd E, Wildschut T, Sedikides C, Ingram T, Jones R, Noonan K, Tingley D and Cheston R (2018) </w:t>
      </w:r>
      <w:r w:rsidRPr="002D2893">
        <w:rPr>
          <w:rFonts w:ascii="Cambria" w:hAnsi="Cambria"/>
          <w:sz w:val="24"/>
          <w:szCs w:val="24"/>
          <w:lang w:val="en-US"/>
        </w:rPr>
        <w:t>Psychological and Mnemonic Benefits of Nostalgia for People with Dementia</w:t>
      </w:r>
      <w:r w:rsidRPr="002D2893">
        <w:rPr>
          <w:rFonts w:ascii="Cambria" w:hAnsi="Cambria"/>
          <w:sz w:val="24"/>
          <w:szCs w:val="24"/>
        </w:rPr>
        <w:t xml:space="preserve">, </w:t>
      </w:r>
      <w:r w:rsidRPr="002D2893">
        <w:rPr>
          <w:rFonts w:ascii="Cambria" w:hAnsi="Cambria"/>
          <w:i/>
          <w:sz w:val="24"/>
          <w:szCs w:val="24"/>
        </w:rPr>
        <w:t xml:space="preserve">Journal of Alzheimer’s Disease, </w:t>
      </w:r>
      <w:r w:rsidRPr="002D2893">
        <w:rPr>
          <w:rFonts w:ascii="Cambria" w:hAnsi="Cambria"/>
          <w:sz w:val="24"/>
          <w:szCs w:val="24"/>
        </w:rPr>
        <w:t>65 (4), 1327-1344</w:t>
      </w:r>
      <w:r w:rsidRPr="002D2893">
        <w:rPr>
          <w:rFonts w:ascii="Cambria" w:hAnsi="Cambria"/>
          <w:i/>
          <w:sz w:val="24"/>
          <w:szCs w:val="24"/>
        </w:rPr>
        <w:t xml:space="preserve">, </w:t>
      </w:r>
      <w:r w:rsidRPr="002D2893">
        <w:rPr>
          <w:rFonts w:ascii="Cambria" w:hAnsi="Cambria"/>
          <w:sz w:val="24"/>
          <w:szCs w:val="24"/>
        </w:rPr>
        <w:t>doi: 10.3233/JAD-180075.</w:t>
      </w:r>
    </w:p>
    <w:p w14:paraId="58DBDC25" w14:textId="77777777" w:rsidR="006C7F1D" w:rsidRPr="002D2893" w:rsidRDefault="006C7F1D" w:rsidP="002D2893">
      <w:pPr>
        <w:spacing w:before="120" w:after="120" w:line="480" w:lineRule="auto"/>
        <w:ind w:left="720" w:hanging="720"/>
        <w:rPr>
          <w:rFonts w:ascii="Cambria" w:hAnsi="Cambria" w:cs="Arial"/>
          <w:color w:val="222222"/>
          <w:sz w:val="24"/>
          <w:szCs w:val="24"/>
          <w:shd w:val="clear" w:color="auto" w:fill="FFFFFF"/>
        </w:rPr>
      </w:pPr>
      <w:r w:rsidRPr="002D2893">
        <w:rPr>
          <w:rFonts w:ascii="Cambria" w:hAnsi="Cambria" w:cs="Arial"/>
          <w:color w:val="222222"/>
          <w:sz w:val="24"/>
          <w:szCs w:val="24"/>
          <w:shd w:val="clear" w:color="auto" w:fill="FFFFFF"/>
        </w:rPr>
        <w:t>Ismail, S. U. (2017). </w:t>
      </w:r>
      <w:r w:rsidRPr="002D2893">
        <w:rPr>
          <w:rFonts w:ascii="Cambria" w:hAnsi="Cambria" w:cs="Arial"/>
          <w:i/>
          <w:iCs/>
          <w:color w:val="222222"/>
          <w:sz w:val="24"/>
          <w:szCs w:val="24"/>
          <w:shd w:val="clear" w:color="auto" w:fill="FFFFFF"/>
        </w:rPr>
        <w:t>Nostalgia as a psychological resource for people with dementia</w:t>
      </w:r>
      <w:r w:rsidRPr="002D2893">
        <w:rPr>
          <w:rFonts w:ascii="Cambria" w:hAnsi="Cambria" w:cs="Arial"/>
          <w:color w:val="222222"/>
          <w:sz w:val="24"/>
          <w:szCs w:val="24"/>
          <w:shd w:val="clear" w:color="auto" w:fill="FFFFFF"/>
        </w:rPr>
        <w:t> (Doctoral dissertation, University of the West of England).</w:t>
      </w:r>
    </w:p>
    <w:p w14:paraId="2C4B82BF" w14:textId="01FCC345" w:rsidR="006C7F1D" w:rsidRPr="006C7F1D" w:rsidRDefault="006C7F1D" w:rsidP="002D2893">
      <w:pPr>
        <w:spacing w:before="120" w:after="120" w:line="480" w:lineRule="auto"/>
        <w:ind w:left="720" w:hanging="720"/>
        <w:rPr>
          <w:rFonts w:ascii="Cambria" w:hAnsi="Cambria" w:cs="Arial"/>
          <w:color w:val="222222"/>
          <w:sz w:val="24"/>
          <w:szCs w:val="24"/>
          <w:shd w:val="clear" w:color="auto" w:fill="FFFFFF"/>
        </w:rPr>
      </w:pPr>
      <w:r w:rsidRPr="002D2893">
        <w:rPr>
          <w:rFonts w:ascii="Cambria" w:hAnsi="Cambria"/>
          <w:sz w:val="24"/>
          <w:szCs w:val="24"/>
        </w:rPr>
        <w:t xml:space="preserve">Marshall A, Spreadbury J, Cheston R, Coleman P, </w:t>
      </w:r>
      <w:r w:rsidRPr="002D2893">
        <w:rPr>
          <w:rFonts w:ascii="Cambria" w:hAnsi="Cambria"/>
          <w:noProof/>
          <w:sz w:val="24"/>
          <w:szCs w:val="24"/>
        </w:rPr>
        <w:t>Ballinger C,</w:t>
      </w:r>
      <w:r w:rsidRPr="002D2893">
        <w:rPr>
          <w:rFonts w:ascii="Cambria" w:hAnsi="Cambria"/>
          <w:sz w:val="24"/>
          <w:szCs w:val="24"/>
        </w:rPr>
        <w:t xml:space="preserve"> </w:t>
      </w:r>
      <w:r w:rsidRPr="002D2893">
        <w:rPr>
          <w:rFonts w:ascii="Cambria" w:hAnsi="Cambria"/>
          <w:noProof/>
          <w:sz w:val="24"/>
          <w:szCs w:val="24"/>
        </w:rPr>
        <w:t>Mullee</w:t>
      </w:r>
      <w:r w:rsidRPr="002D2893">
        <w:rPr>
          <w:rStyle w:val="FootnoteReference"/>
          <w:rFonts w:ascii="Cambria" w:eastAsia="Calibri" w:hAnsi="Cambria"/>
          <w:noProof/>
          <w:sz w:val="24"/>
          <w:szCs w:val="24"/>
        </w:rPr>
        <w:t xml:space="preserve"> </w:t>
      </w:r>
      <w:r w:rsidRPr="002D2893">
        <w:rPr>
          <w:rFonts w:ascii="Cambria" w:hAnsi="Cambria"/>
          <w:noProof/>
          <w:sz w:val="24"/>
          <w:szCs w:val="24"/>
        </w:rPr>
        <w:t>M, Pritchard J,  Russell</w:t>
      </w:r>
      <w:r w:rsidRPr="002D2893">
        <w:rPr>
          <w:rStyle w:val="FootnoteReference"/>
          <w:rFonts w:ascii="Cambria" w:eastAsia="Calibri" w:hAnsi="Cambria"/>
          <w:noProof/>
          <w:sz w:val="24"/>
          <w:szCs w:val="24"/>
        </w:rPr>
        <w:t xml:space="preserve"> </w:t>
      </w:r>
      <w:r w:rsidRPr="002D2893">
        <w:rPr>
          <w:rFonts w:ascii="Cambria" w:hAnsi="Cambria"/>
          <w:noProof/>
          <w:sz w:val="24"/>
          <w:szCs w:val="24"/>
        </w:rPr>
        <w:t xml:space="preserve">C and Bartlett E (2015) </w:t>
      </w:r>
      <w:r w:rsidRPr="002D2893">
        <w:rPr>
          <w:rFonts w:ascii="Cambria" w:hAnsi="Cambria" w:cs="Verdana,Bold"/>
          <w:bCs/>
          <w:sz w:val="24"/>
          <w:szCs w:val="24"/>
        </w:rPr>
        <w:t>A Pilot Randomised Control trial to compare changes in quality of life for participants with early diagnosis dementia who attend a "Living Well with</w:t>
      </w:r>
      <w:r w:rsidRPr="00F3500D">
        <w:rPr>
          <w:rFonts w:ascii="Cambria" w:hAnsi="Cambria" w:cs="Verdana,Bold"/>
          <w:bCs/>
          <w:sz w:val="24"/>
          <w:szCs w:val="24"/>
        </w:rPr>
        <w:t xml:space="preserve"> Dementia" group compared to waiting list control, </w:t>
      </w:r>
      <w:r w:rsidRPr="00F3500D">
        <w:rPr>
          <w:rFonts w:ascii="Cambria" w:hAnsi="Cambria" w:cs="Verdana,Bold"/>
          <w:bCs/>
          <w:i/>
          <w:sz w:val="24"/>
          <w:szCs w:val="24"/>
        </w:rPr>
        <w:t xml:space="preserve">Aging and Mental Health, </w:t>
      </w:r>
      <w:r w:rsidRPr="00F3500D">
        <w:rPr>
          <w:rFonts w:ascii="Cambria" w:hAnsi="Cambria"/>
          <w:color w:val="000000"/>
          <w:sz w:val="24"/>
          <w:szCs w:val="24"/>
          <w:shd w:val="clear" w:color="auto" w:fill="FFFFFF"/>
        </w:rPr>
        <w:t xml:space="preserve">19 (6), 526-535, </w:t>
      </w:r>
      <w:r w:rsidRPr="00F3500D">
        <w:rPr>
          <w:rFonts w:ascii="Cambria" w:hAnsi="Cambria"/>
          <w:bCs/>
          <w:color w:val="000000"/>
          <w:sz w:val="24"/>
          <w:szCs w:val="24"/>
        </w:rPr>
        <w:t xml:space="preserve">DOI: </w:t>
      </w:r>
      <w:r w:rsidRPr="00F3500D">
        <w:rPr>
          <w:rFonts w:ascii="Cambria" w:hAnsi="Cambria"/>
          <w:color w:val="000000"/>
          <w:sz w:val="24"/>
          <w:szCs w:val="24"/>
        </w:rPr>
        <w:t>10.1080/13607863.2014.954527.</w:t>
      </w:r>
    </w:p>
    <w:p w14:paraId="67E3982D" w14:textId="77777777" w:rsidR="006C7F1D" w:rsidRPr="00F3500D" w:rsidRDefault="006C7F1D" w:rsidP="006C7F1D">
      <w:pPr>
        <w:spacing w:before="120" w:after="120" w:line="480" w:lineRule="auto"/>
        <w:ind w:left="567" w:hanging="720"/>
        <w:rPr>
          <w:rFonts w:ascii="Cambria" w:hAnsi="Cambria" w:cs="Arial"/>
          <w:color w:val="222222"/>
          <w:sz w:val="24"/>
          <w:szCs w:val="24"/>
          <w:shd w:val="clear" w:color="auto" w:fill="FFFFFF"/>
        </w:rPr>
      </w:pPr>
      <w:r w:rsidRPr="00F3500D">
        <w:rPr>
          <w:rFonts w:ascii="Cambria" w:hAnsi="Cambria" w:cs="Arial"/>
          <w:color w:val="222222"/>
          <w:sz w:val="24"/>
          <w:szCs w:val="24"/>
          <w:shd w:val="clear" w:color="auto" w:fill="FFFFFF"/>
        </w:rPr>
        <w:t>Sedikides, C., Green, J. D., Saunders, J., Skowronski, J. J., &amp; Zengel, B. (2016). Mnemic neglect: Selective amnesia of one’s faults. </w:t>
      </w:r>
      <w:r w:rsidRPr="00F3500D">
        <w:rPr>
          <w:rFonts w:ascii="Cambria" w:hAnsi="Cambria" w:cs="Arial"/>
          <w:i/>
          <w:iCs/>
          <w:color w:val="222222"/>
          <w:sz w:val="24"/>
          <w:szCs w:val="24"/>
          <w:shd w:val="clear" w:color="auto" w:fill="FFFFFF"/>
        </w:rPr>
        <w:t>European Review of Social Psychology</w:t>
      </w:r>
      <w:r w:rsidRPr="00F3500D">
        <w:rPr>
          <w:rFonts w:ascii="Cambria" w:hAnsi="Cambria" w:cs="Arial"/>
          <w:color w:val="222222"/>
          <w:sz w:val="24"/>
          <w:szCs w:val="24"/>
          <w:shd w:val="clear" w:color="auto" w:fill="FFFFFF"/>
        </w:rPr>
        <w:t>, </w:t>
      </w:r>
      <w:r w:rsidRPr="00F3500D">
        <w:rPr>
          <w:rFonts w:ascii="Cambria" w:hAnsi="Cambria" w:cs="Arial"/>
          <w:i/>
          <w:iCs/>
          <w:color w:val="222222"/>
          <w:sz w:val="24"/>
          <w:szCs w:val="24"/>
          <w:shd w:val="clear" w:color="auto" w:fill="FFFFFF"/>
        </w:rPr>
        <w:t>27</w:t>
      </w:r>
      <w:r w:rsidRPr="00F3500D">
        <w:rPr>
          <w:rFonts w:ascii="Cambria" w:hAnsi="Cambria" w:cs="Arial"/>
          <w:color w:val="222222"/>
          <w:sz w:val="24"/>
          <w:szCs w:val="24"/>
          <w:shd w:val="clear" w:color="auto" w:fill="FFFFFF"/>
        </w:rPr>
        <w:t>(1), 1-62.</w:t>
      </w:r>
    </w:p>
    <w:p w14:paraId="5BE8C4E2" w14:textId="77777777" w:rsidR="006C7F1D" w:rsidRPr="00F3500D" w:rsidRDefault="006C7F1D" w:rsidP="006C7F1D">
      <w:pPr>
        <w:tabs>
          <w:tab w:val="right" w:leader="dot" w:pos="567"/>
        </w:tabs>
        <w:spacing w:before="120" w:after="120" w:line="480" w:lineRule="auto"/>
        <w:ind w:left="567" w:hanging="720"/>
        <w:rPr>
          <w:rFonts w:ascii="Cambria" w:hAnsi="Cambria"/>
          <w:b/>
          <w:sz w:val="24"/>
          <w:szCs w:val="24"/>
        </w:rPr>
      </w:pPr>
      <w:r w:rsidRPr="00F3500D">
        <w:rPr>
          <w:rFonts w:ascii="Cambria" w:hAnsi="Cambria"/>
          <w:sz w:val="24"/>
          <w:szCs w:val="24"/>
        </w:rPr>
        <w:t xml:space="preserve">Watkins B, Cheston R, Jones K and Gilliard J (2006) “Coming out with Alzheimer’s disease”: changes in insight during a psychotherapy group for people with dementia, </w:t>
      </w:r>
      <w:r w:rsidRPr="00F3500D">
        <w:rPr>
          <w:rFonts w:ascii="Cambria" w:hAnsi="Cambria"/>
          <w:i/>
          <w:sz w:val="24"/>
          <w:szCs w:val="24"/>
        </w:rPr>
        <w:t xml:space="preserve">Aging and Mental Health </w:t>
      </w:r>
      <w:r w:rsidRPr="00F3500D">
        <w:rPr>
          <w:rFonts w:ascii="Cambria" w:hAnsi="Cambria" w:cs="Arial"/>
          <w:sz w:val="24"/>
          <w:szCs w:val="24"/>
        </w:rPr>
        <w:t>10 (2); 1-11</w:t>
      </w:r>
    </w:p>
    <w:p w14:paraId="0BD5F28A" w14:textId="77777777" w:rsidR="006C7F1D" w:rsidRPr="00F3500D" w:rsidRDefault="006C7F1D" w:rsidP="006C7F1D">
      <w:pPr>
        <w:spacing w:before="120" w:after="120" w:line="480" w:lineRule="auto"/>
        <w:ind w:left="567" w:hanging="720"/>
        <w:rPr>
          <w:rFonts w:ascii="Cambria" w:hAnsi="Cambria" w:cs="Arial"/>
          <w:color w:val="222222"/>
          <w:sz w:val="24"/>
          <w:szCs w:val="24"/>
          <w:shd w:val="clear" w:color="auto" w:fill="FFFFFF"/>
        </w:rPr>
      </w:pPr>
      <w:r w:rsidRPr="00F3500D">
        <w:rPr>
          <w:rFonts w:ascii="Cambria" w:hAnsi="Cambria" w:cs="Arial"/>
          <w:color w:val="222222"/>
          <w:sz w:val="24"/>
          <w:szCs w:val="24"/>
          <w:shd w:val="clear" w:color="auto" w:fill="FFFFFF"/>
        </w:rPr>
        <w:t>Wildschut, T., Sedikides, C., Arndt, J., &amp; Routledge, C. (2006). Nostalgia: content, triggers, functions. </w:t>
      </w:r>
      <w:r w:rsidRPr="00F3500D">
        <w:rPr>
          <w:rFonts w:ascii="Cambria" w:hAnsi="Cambria" w:cs="Arial"/>
          <w:i/>
          <w:iCs/>
          <w:color w:val="222222"/>
          <w:sz w:val="24"/>
          <w:szCs w:val="24"/>
          <w:shd w:val="clear" w:color="auto" w:fill="FFFFFF"/>
        </w:rPr>
        <w:t xml:space="preserve">Journal of </w:t>
      </w:r>
      <w:r>
        <w:rPr>
          <w:rFonts w:ascii="Cambria" w:hAnsi="Cambria" w:cs="Arial"/>
          <w:i/>
          <w:iCs/>
          <w:color w:val="222222"/>
          <w:sz w:val="24"/>
          <w:szCs w:val="24"/>
          <w:shd w:val="clear" w:color="auto" w:fill="FFFFFF"/>
        </w:rPr>
        <w:t>P</w:t>
      </w:r>
      <w:r w:rsidRPr="00F3500D">
        <w:rPr>
          <w:rFonts w:ascii="Cambria" w:hAnsi="Cambria" w:cs="Arial"/>
          <w:i/>
          <w:iCs/>
          <w:color w:val="222222"/>
          <w:sz w:val="24"/>
          <w:szCs w:val="24"/>
          <w:shd w:val="clear" w:color="auto" w:fill="FFFFFF"/>
        </w:rPr>
        <w:t xml:space="preserve">ersonality and </w:t>
      </w:r>
      <w:r>
        <w:rPr>
          <w:rFonts w:ascii="Cambria" w:hAnsi="Cambria" w:cs="Arial"/>
          <w:i/>
          <w:iCs/>
          <w:color w:val="222222"/>
          <w:sz w:val="24"/>
          <w:szCs w:val="24"/>
          <w:shd w:val="clear" w:color="auto" w:fill="FFFFFF"/>
        </w:rPr>
        <w:t>S</w:t>
      </w:r>
      <w:r w:rsidRPr="00F3500D">
        <w:rPr>
          <w:rFonts w:ascii="Cambria" w:hAnsi="Cambria" w:cs="Arial"/>
          <w:i/>
          <w:iCs/>
          <w:color w:val="222222"/>
          <w:sz w:val="24"/>
          <w:szCs w:val="24"/>
          <w:shd w:val="clear" w:color="auto" w:fill="FFFFFF"/>
        </w:rPr>
        <w:t xml:space="preserve">ocial </w:t>
      </w:r>
      <w:r>
        <w:rPr>
          <w:rFonts w:ascii="Cambria" w:hAnsi="Cambria" w:cs="Arial"/>
          <w:i/>
          <w:iCs/>
          <w:color w:val="222222"/>
          <w:sz w:val="24"/>
          <w:szCs w:val="24"/>
          <w:shd w:val="clear" w:color="auto" w:fill="FFFFFF"/>
        </w:rPr>
        <w:t>P</w:t>
      </w:r>
      <w:r w:rsidRPr="00F3500D">
        <w:rPr>
          <w:rFonts w:ascii="Cambria" w:hAnsi="Cambria" w:cs="Arial"/>
          <w:i/>
          <w:iCs/>
          <w:color w:val="222222"/>
          <w:sz w:val="24"/>
          <w:szCs w:val="24"/>
          <w:shd w:val="clear" w:color="auto" w:fill="FFFFFF"/>
        </w:rPr>
        <w:t>sychology</w:t>
      </w:r>
      <w:r w:rsidRPr="00F3500D">
        <w:rPr>
          <w:rFonts w:ascii="Cambria" w:hAnsi="Cambria" w:cs="Arial"/>
          <w:color w:val="222222"/>
          <w:sz w:val="24"/>
          <w:szCs w:val="24"/>
          <w:shd w:val="clear" w:color="auto" w:fill="FFFFFF"/>
        </w:rPr>
        <w:t>, </w:t>
      </w:r>
      <w:r w:rsidRPr="00F3500D">
        <w:rPr>
          <w:rFonts w:ascii="Cambria" w:hAnsi="Cambria" w:cs="Arial"/>
          <w:i/>
          <w:iCs/>
          <w:color w:val="222222"/>
          <w:sz w:val="24"/>
          <w:szCs w:val="24"/>
          <w:shd w:val="clear" w:color="auto" w:fill="FFFFFF"/>
        </w:rPr>
        <w:t>91</w:t>
      </w:r>
      <w:r w:rsidRPr="00F3500D">
        <w:rPr>
          <w:rFonts w:ascii="Cambria" w:hAnsi="Cambria" w:cs="Arial"/>
          <w:color w:val="222222"/>
          <w:sz w:val="24"/>
          <w:szCs w:val="24"/>
          <w:shd w:val="clear" w:color="auto" w:fill="FFFFFF"/>
        </w:rPr>
        <w:t>(5), 975.</w:t>
      </w:r>
    </w:p>
    <w:p w14:paraId="29C642D8" w14:textId="77777777" w:rsidR="006C7F1D" w:rsidRPr="00F3500D" w:rsidRDefault="006C7F1D" w:rsidP="006C7F1D">
      <w:pPr>
        <w:spacing w:before="120" w:after="120" w:line="480" w:lineRule="auto"/>
        <w:ind w:left="567" w:hanging="720"/>
        <w:rPr>
          <w:rFonts w:ascii="Cambria" w:hAnsi="Cambria"/>
          <w:sz w:val="24"/>
          <w:szCs w:val="24"/>
        </w:rPr>
      </w:pPr>
      <w:r w:rsidRPr="00F3500D">
        <w:rPr>
          <w:rFonts w:ascii="Cambria" w:hAnsi="Cambria"/>
          <w:sz w:val="24"/>
          <w:szCs w:val="24"/>
        </w:rPr>
        <w:t xml:space="preserve">Yalom, I (2008) </w:t>
      </w:r>
      <w:r w:rsidRPr="00F3500D">
        <w:rPr>
          <w:rFonts w:ascii="Cambria" w:hAnsi="Cambria"/>
          <w:i/>
          <w:iCs/>
          <w:sz w:val="24"/>
          <w:szCs w:val="24"/>
        </w:rPr>
        <w:t>Staring at the sun: overcoming the terror of death.</w:t>
      </w:r>
      <w:r w:rsidRPr="00F3500D">
        <w:rPr>
          <w:rFonts w:ascii="Cambria" w:hAnsi="Cambria"/>
          <w:sz w:val="24"/>
          <w:szCs w:val="24"/>
        </w:rPr>
        <w:t xml:space="preserve"> Josey-Bass Publishers.</w:t>
      </w:r>
    </w:p>
    <w:p w14:paraId="49F3C233" w14:textId="77777777" w:rsidR="00F43DD7" w:rsidRPr="0055731B" w:rsidRDefault="00F43DD7" w:rsidP="005935C2">
      <w:pPr>
        <w:spacing w:before="120" w:after="120"/>
        <w:ind w:left="567" w:hanging="567"/>
        <w:rPr>
          <w:rFonts w:ascii="Cambria" w:hAnsi="Cambria"/>
          <w:bCs/>
          <w:sz w:val="24"/>
          <w:szCs w:val="24"/>
        </w:rPr>
      </w:pPr>
    </w:p>
    <w:p w14:paraId="52C88E2C" w14:textId="77777777" w:rsidR="005935C2" w:rsidRPr="0055731B" w:rsidRDefault="005935C2" w:rsidP="00F665C6">
      <w:pPr>
        <w:spacing w:before="120" w:after="120" w:line="276" w:lineRule="auto"/>
        <w:ind w:firstLine="720"/>
        <w:rPr>
          <w:rFonts w:ascii="Cambria" w:hAnsi="Cambria" w:cs="Times New Roman"/>
          <w:sz w:val="24"/>
          <w:szCs w:val="24"/>
        </w:rPr>
      </w:pPr>
    </w:p>
    <w:p w14:paraId="00FECF9A" w14:textId="77777777" w:rsidR="0000624E" w:rsidRPr="0055731B" w:rsidRDefault="0000624E" w:rsidP="00FB7CBC">
      <w:pPr>
        <w:spacing w:before="120" w:after="120" w:line="276" w:lineRule="auto"/>
        <w:rPr>
          <w:rFonts w:ascii="Cambria" w:hAnsi="Cambria"/>
          <w:sz w:val="24"/>
          <w:szCs w:val="24"/>
        </w:rPr>
      </w:pPr>
    </w:p>
    <w:sectPr w:rsidR="0000624E" w:rsidRPr="005573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2702" w14:textId="77777777" w:rsidR="00FF1663" w:rsidRDefault="00FF1663" w:rsidP="004B783F">
      <w:pPr>
        <w:spacing w:after="0" w:line="240" w:lineRule="auto"/>
      </w:pPr>
      <w:r>
        <w:separator/>
      </w:r>
    </w:p>
  </w:endnote>
  <w:endnote w:type="continuationSeparator" w:id="0">
    <w:p w14:paraId="76B328FE" w14:textId="77777777" w:rsidR="00FF1663" w:rsidRDefault="00FF1663" w:rsidP="004B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25423"/>
      <w:docPartObj>
        <w:docPartGallery w:val="Page Numbers (Bottom of Page)"/>
        <w:docPartUnique/>
      </w:docPartObj>
    </w:sdtPr>
    <w:sdtEndPr>
      <w:rPr>
        <w:rFonts w:ascii="Cambria" w:hAnsi="Cambria"/>
        <w:noProof/>
      </w:rPr>
    </w:sdtEndPr>
    <w:sdtContent>
      <w:p w14:paraId="053E1CE7" w14:textId="5E57D6A3" w:rsidR="004B783F" w:rsidRPr="00152DF9" w:rsidRDefault="004B783F">
        <w:pPr>
          <w:pStyle w:val="Footer"/>
          <w:jc w:val="center"/>
          <w:rPr>
            <w:rFonts w:ascii="Cambria" w:hAnsi="Cambria"/>
          </w:rPr>
        </w:pPr>
        <w:r w:rsidRPr="00152DF9">
          <w:rPr>
            <w:rFonts w:ascii="Cambria" w:hAnsi="Cambria"/>
          </w:rPr>
          <w:fldChar w:fldCharType="begin"/>
        </w:r>
        <w:r w:rsidRPr="00152DF9">
          <w:rPr>
            <w:rFonts w:ascii="Cambria" w:hAnsi="Cambria"/>
          </w:rPr>
          <w:instrText xml:space="preserve"> PAGE   \* MERGEFORMAT </w:instrText>
        </w:r>
        <w:r w:rsidRPr="00152DF9">
          <w:rPr>
            <w:rFonts w:ascii="Cambria" w:hAnsi="Cambria"/>
          </w:rPr>
          <w:fldChar w:fldCharType="separate"/>
        </w:r>
        <w:r w:rsidRPr="00152DF9">
          <w:rPr>
            <w:rFonts w:ascii="Cambria" w:hAnsi="Cambria"/>
            <w:noProof/>
          </w:rPr>
          <w:t>2</w:t>
        </w:r>
        <w:r w:rsidRPr="00152DF9">
          <w:rPr>
            <w:rFonts w:ascii="Cambria" w:hAnsi="Cambria"/>
            <w:noProof/>
          </w:rPr>
          <w:fldChar w:fldCharType="end"/>
        </w:r>
      </w:p>
    </w:sdtContent>
  </w:sdt>
  <w:p w14:paraId="49ABB6C6" w14:textId="77777777" w:rsidR="004B783F" w:rsidRDefault="004B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D046" w14:textId="77777777" w:rsidR="00FF1663" w:rsidRDefault="00FF1663" w:rsidP="004B783F">
      <w:pPr>
        <w:spacing w:after="0" w:line="240" w:lineRule="auto"/>
      </w:pPr>
      <w:r>
        <w:separator/>
      </w:r>
    </w:p>
  </w:footnote>
  <w:footnote w:type="continuationSeparator" w:id="0">
    <w:p w14:paraId="5777FBC6" w14:textId="77777777" w:rsidR="00FF1663" w:rsidRDefault="00FF1663" w:rsidP="004B783F">
      <w:pPr>
        <w:spacing w:after="0" w:line="240" w:lineRule="auto"/>
      </w:pPr>
      <w:r>
        <w:continuationSeparator/>
      </w:r>
    </w:p>
  </w:footnote>
  <w:footnote w:id="1">
    <w:p w14:paraId="68408681" w14:textId="20EE92C8" w:rsidR="00BE6E87" w:rsidRPr="00762F87" w:rsidRDefault="00BE6E87">
      <w:pPr>
        <w:pStyle w:val="FootnoteText"/>
        <w:rPr>
          <w:rFonts w:ascii="Cambria" w:hAnsi="Cambria"/>
          <w:lang w:val="en-US"/>
        </w:rPr>
      </w:pPr>
      <w:r>
        <w:rPr>
          <w:rStyle w:val="FootnoteReference"/>
        </w:rPr>
        <w:footnoteRef/>
      </w:r>
      <w:r>
        <w:t xml:space="preserve"> </w:t>
      </w:r>
      <w:r w:rsidRPr="00762F87">
        <w:rPr>
          <w:rFonts w:ascii="Cambria" w:hAnsi="Cambria"/>
        </w:rPr>
        <w:t xml:space="preserve">YouGov. Are you worried about dementia? Available from: </w:t>
      </w:r>
      <w:hyperlink r:id="rId1" w:history="1">
        <w:r w:rsidRPr="00762F87">
          <w:rPr>
            <w:rStyle w:val="Hyperlink"/>
            <w:rFonts w:ascii="Cambria" w:hAnsi="Cambria"/>
          </w:rPr>
          <w:t>https://yougov.co.uk/topics/lifestyle/articles-reports/2012/05/22/are-you-worried-about-dementia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BE99" w14:textId="197EEBD9" w:rsidR="00152DF9" w:rsidRDefault="00152DF9" w:rsidP="00152DF9">
    <w:pPr>
      <w:pStyle w:val="Header"/>
      <w:jc w:val="right"/>
    </w:pPr>
    <w:r w:rsidRPr="00152DF9">
      <w:rPr>
        <w:rFonts w:ascii="Cambria" w:hAnsi="Cambria"/>
      </w:rPr>
      <w:t>Attended Dementia</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23B3"/>
    <w:multiLevelType w:val="hybridMultilevel"/>
    <w:tmpl w:val="76AAFC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EA39CE"/>
    <w:multiLevelType w:val="hybridMultilevel"/>
    <w:tmpl w:val="9DF8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F1"/>
    <w:rsid w:val="0000309E"/>
    <w:rsid w:val="0000624E"/>
    <w:rsid w:val="000146EB"/>
    <w:rsid w:val="00022116"/>
    <w:rsid w:val="0002511E"/>
    <w:rsid w:val="00025C5D"/>
    <w:rsid w:val="0003495C"/>
    <w:rsid w:val="00034A9B"/>
    <w:rsid w:val="0004084E"/>
    <w:rsid w:val="00050721"/>
    <w:rsid w:val="00053099"/>
    <w:rsid w:val="000535B8"/>
    <w:rsid w:val="0005513E"/>
    <w:rsid w:val="00056B24"/>
    <w:rsid w:val="00057F0D"/>
    <w:rsid w:val="00060986"/>
    <w:rsid w:val="00066161"/>
    <w:rsid w:val="0006731B"/>
    <w:rsid w:val="00071570"/>
    <w:rsid w:val="0008050C"/>
    <w:rsid w:val="00097EAD"/>
    <w:rsid w:val="000A025A"/>
    <w:rsid w:val="000A1C43"/>
    <w:rsid w:val="000A1CB7"/>
    <w:rsid w:val="000A3CEE"/>
    <w:rsid w:val="000B09A8"/>
    <w:rsid w:val="000B3B25"/>
    <w:rsid w:val="000D15D0"/>
    <w:rsid w:val="000D3006"/>
    <w:rsid w:val="000D7718"/>
    <w:rsid w:val="000E1323"/>
    <w:rsid w:val="000E3EB6"/>
    <w:rsid w:val="00103855"/>
    <w:rsid w:val="001112A4"/>
    <w:rsid w:val="00111DAC"/>
    <w:rsid w:val="00121164"/>
    <w:rsid w:val="00123E81"/>
    <w:rsid w:val="00141DE2"/>
    <w:rsid w:val="00143691"/>
    <w:rsid w:val="00150C43"/>
    <w:rsid w:val="00151D79"/>
    <w:rsid w:val="00152DF9"/>
    <w:rsid w:val="0015777F"/>
    <w:rsid w:val="00161FB0"/>
    <w:rsid w:val="001632FB"/>
    <w:rsid w:val="0016785A"/>
    <w:rsid w:val="00171D81"/>
    <w:rsid w:val="00171F17"/>
    <w:rsid w:val="0017594D"/>
    <w:rsid w:val="00177B54"/>
    <w:rsid w:val="0018391C"/>
    <w:rsid w:val="00184AFA"/>
    <w:rsid w:val="0018558D"/>
    <w:rsid w:val="0019039B"/>
    <w:rsid w:val="0019119C"/>
    <w:rsid w:val="00193051"/>
    <w:rsid w:val="00197054"/>
    <w:rsid w:val="001A1E2A"/>
    <w:rsid w:val="001B069A"/>
    <w:rsid w:val="001B1D82"/>
    <w:rsid w:val="001B1E4C"/>
    <w:rsid w:val="001B2F38"/>
    <w:rsid w:val="001B4C0F"/>
    <w:rsid w:val="001B5662"/>
    <w:rsid w:val="001C528B"/>
    <w:rsid w:val="001E05B2"/>
    <w:rsid w:val="001E0C71"/>
    <w:rsid w:val="001E4F39"/>
    <w:rsid w:val="001E717F"/>
    <w:rsid w:val="001F5D35"/>
    <w:rsid w:val="001F7120"/>
    <w:rsid w:val="002030DE"/>
    <w:rsid w:val="00203B15"/>
    <w:rsid w:val="00211F9B"/>
    <w:rsid w:val="00213146"/>
    <w:rsid w:val="00231D11"/>
    <w:rsid w:val="0023294C"/>
    <w:rsid w:val="00242980"/>
    <w:rsid w:val="002649E8"/>
    <w:rsid w:val="002726FD"/>
    <w:rsid w:val="00283D50"/>
    <w:rsid w:val="002865C1"/>
    <w:rsid w:val="002948E9"/>
    <w:rsid w:val="002955F1"/>
    <w:rsid w:val="002965BD"/>
    <w:rsid w:val="002A39E0"/>
    <w:rsid w:val="002A4D4D"/>
    <w:rsid w:val="002A6DD6"/>
    <w:rsid w:val="002B286B"/>
    <w:rsid w:val="002B3A57"/>
    <w:rsid w:val="002C3901"/>
    <w:rsid w:val="002C6446"/>
    <w:rsid w:val="002D0A51"/>
    <w:rsid w:val="002D23FC"/>
    <w:rsid w:val="002D2893"/>
    <w:rsid w:val="002D5486"/>
    <w:rsid w:val="002E6B4A"/>
    <w:rsid w:val="002E7436"/>
    <w:rsid w:val="002F4D92"/>
    <w:rsid w:val="00302421"/>
    <w:rsid w:val="00312BB9"/>
    <w:rsid w:val="00320751"/>
    <w:rsid w:val="00324008"/>
    <w:rsid w:val="003271FA"/>
    <w:rsid w:val="00332C0A"/>
    <w:rsid w:val="0034014E"/>
    <w:rsid w:val="00343997"/>
    <w:rsid w:val="00363BD1"/>
    <w:rsid w:val="00375636"/>
    <w:rsid w:val="00377947"/>
    <w:rsid w:val="00392170"/>
    <w:rsid w:val="00393240"/>
    <w:rsid w:val="00397752"/>
    <w:rsid w:val="00397DFF"/>
    <w:rsid w:val="003C55D4"/>
    <w:rsid w:val="003D2448"/>
    <w:rsid w:val="003E0D65"/>
    <w:rsid w:val="003E529B"/>
    <w:rsid w:val="003E5BBE"/>
    <w:rsid w:val="003E6CC0"/>
    <w:rsid w:val="003E7A48"/>
    <w:rsid w:val="003F0B0F"/>
    <w:rsid w:val="003F2B7E"/>
    <w:rsid w:val="003F4AF0"/>
    <w:rsid w:val="00400B7A"/>
    <w:rsid w:val="00404EAB"/>
    <w:rsid w:val="00404FBD"/>
    <w:rsid w:val="00406F05"/>
    <w:rsid w:val="00417AC0"/>
    <w:rsid w:val="0042237E"/>
    <w:rsid w:val="004227E4"/>
    <w:rsid w:val="00430816"/>
    <w:rsid w:val="00433BEB"/>
    <w:rsid w:val="00441280"/>
    <w:rsid w:val="00441B75"/>
    <w:rsid w:val="0044273F"/>
    <w:rsid w:val="00442C55"/>
    <w:rsid w:val="00444BFA"/>
    <w:rsid w:val="0044691C"/>
    <w:rsid w:val="00450BF3"/>
    <w:rsid w:val="00454D65"/>
    <w:rsid w:val="00472988"/>
    <w:rsid w:val="004735E2"/>
    <w:rsid w:val="0048193B"/>
    <w:rsid w:val="00483087"/>
    <w:rsid w:val="004841BC"/>
    <w:rsid w:val="00493B75"/>
    <w:rsid w:val="004A5C67"/>
    <w:rsid w:val="004A73E2"/>
    <w:rsid w:val="004B69A3"/>
    <w:rsid w:val="004B783F"/>
    <w:rsid w:val="004C1D14"/>
    <w:rsid w:val="004C1DF0"/>
    <w:rsid w:val="004C7939"/>
    <w:rsid w:val="004C7E47"/>
    <w:rsid w:val="004D017B"/>
    <w:rsid w:val="004D0FCF"/>
    <w:rsid w:val="004E0375"/>
    <w:rsid w:val="004E70B1"/>
    <w:rsid w:val="004F665E"/>
    <w:rsid w:val="004F6705"/>
    <w:rsid w:val="00500471"/>
    <w:rsid w:val="00522D8A"/>
    <w:rsid w:val="00525862"/>
    <w:rsid w:val="00531D24"/>
    <w:rsid w:val="00541699"/>
    <w:rsid w:val="00547579"/>
    <w:rsid w:val="0055367C"/>
    <w:rsid w:val="005537B0"/>
    <w:rsid w:val="0055731B"/>
    <w:rsid w:val="005621EA"/>
    <w:rsid w:val="00566074"/>
    <w:rsid w:val="005702D0"/>
    <w:rsid w:val="00573AFD"/>
    <w:rsid w:val="00573F0D"/>
    <w:rsid w:val="005764B9"/>
    <w:rsid w:val="00576C84"/>
    <w:rsid w:val="00590223"/>
    <w:rsid w:val="00590553"/>
    <w:rsid w:val="005931C6"/>
    <w:rsid w:val="005935C2"/>
    <w:rsid w:val="005A47F6"/>
    <w:rsid w:val="005A55AE"/>
    <w:rsid w:val="005B1FE9"/>
    <w:rsid w:val="005B285B"/>
    <w:rsid w:val="005B65F8"/>
    <w:rsid w:val="005B7AFC"/>
    <w:rsid w:val="005C7B9B"/>
    <w:rsid w:val="005D1030"/>
    <w:rsid w:val="005E4AF4"/>
    <w:rsid w:val="00600A46"/>
    <w:rsid w:val="00603644"/>
    <w:rsid w:val="00611B62"/>
    <w:rsid w:val="006212AB"/>
    <w:rsid w:val="00625C2A"/>
    <w:rsid w:val="00627FB1"/>
    <w:rsid w:val="0064313C"/>
    <w:rsid w:val="006454E6"/>
    <w:rsid w:val="00647A44"/>
    <w:rsid w:val="00650888"/>
    <w:rsid w:val="0067759A"/>
    <w:rsid w:val="0068099C"/>
    <w:rsid w:val="006821D4"/>
    <w:rsid w:val="00687C67"/>
    <w:rsid w:val="006916FF"/>
    <w:rsid w:val="00691B9C"/>
    <w:rsid w:val="006938EC"/>
    <w:rsid w:val="0069741B"/>
    <w:rsid w:val="00697DE8"/>
    <w:rsid w:val="006A1783"/>
    <w:rsid w:val="006A58AE"/>
    <w:rsid w:val="006B1520"/>
    <w:rsid w:val="006C0CF3"/>
    <w:rsid w:val="006C7F1D"/>
    <w:rsid w:val="006C7F7D"/>
    <w:rsid w:val="006E0177"/>
    <w:rsid w:val="006E4F18"/>
    <w:rsid w:val="006E5D43"/>
    <w:rsid w:val="006F2C18"/>
    <w:rsid w:val="006F5A1A"/>
    <w:rsid w:val="006F7392"/>
    <w:rsid w:val="0072028E"/>
    <w:rsid w:val="007232AB"/>
    <w:rsid w:val="007615AC"/>
    <w:rsid w:val="0076287B"/>
    <w:rsid w:val="00762F87"/>
    <w:rsid w:val="00764F8B"/>
    <w:rsid w:val="00780A79"/>
    <w:rsid w:val="00782854"/>
    <w:rsid w:val="00782E53"/>
    <w:rsid w:val="00784ABB"/>
    <w:rsid w:val="00787AA0"/>
    <w:rsid w:val="00792043"/>
    <w:rsid w:val="007B4B3F"/>
    <w:rsid w:val="007D630B"/>
    <w:rsid w:val="007E0AB5"/>
    <w:rsid w:val="007E219F"/>
    <w:rsid w:val="007E2C57"/>
    <w:rsid w:val="007E3ABB"/>
    <w:rsid w:val="007E4716"/>
    <w:rsid w:val="007F2FF8"/>
    <w:rsid w:val="007F504E"/>
    <w:rsid w:val="007F5C50"/>
    <w:rsid w:val="007F7396"/>
    <w:rsid w:val="00802F4F"/>
    <w:rsid w:val="00825B31"/>
    <w:rsid w:val="00826B64"/>
    <w:rsid w:val="00827F4D"/>
    <w:rsid w:val="00835A32"/>
    <w:rsid w:val="00844688"/>
    <w:rsid w:val="00861ADA"/>
    <w:rsid w:val="008625BF"/>
    <w:rsid w:val="00870AFF"/>
    <w:rsid w:val="008779EA"/>
    <w:rsid w:val="008809D0"/>
    <w:rsid w:val="00884BA6"/>
    <w:rsid w:val="008944A1"/>
    <w:rsid w:val="00894870"/>
    <w:rsid w:val="00894B8A"/>
    <w:rsid w:val="008B1804"/>
    <w:rsid w:val="008B3B60"/>
    <w:rsid w:val="008B46C5"/>
    <w:rsid w:val="008B5FDF"/>
    <w:rsid w:val="008C28E1"/>
    <w:rsid w:val="008D38BB"/>
    <w:rsid w:val="008D4A6D"/>
    <w:rsid w:val="008D5353"/>
    <w:rsid w:val="008D61CC"/>
    <w:rsid w:val="008D771A"/>
    <w:rsid w:val="008E0C5B"/>
    <w:rsid w:val="008E5685"/>
    <w:rsid w:val="008E6796"/>
    <w:rsid w:val="008F07C5"/>
    <w:rsid w:val="008F706E"/>
    <w:rsid w:val="0091143C"/>
    <w:rsid w:val="009252A2"/>
    <w:rsid w:val="00932056"/>
    <w:rsid w:val="00933C98"/>
    <w:rsid w:val="00941672"/>
    <w:rsid w:val="00943525"/>
    <w:rsid w:val="009437DD"/>
    <w:rsid w:val="0094776E"/>
    <w:rsid w:val="00951729"/>
    <w:rsid w:val="00952C2D"/>
    <w:rsid w:val="00957B8A"/>
    <w:rsid w:val="00965E3C"/>
    <w:rsid w:val="00975588"/>
    <w:rsid w:val="009858E0"/>
    <w:rsid w:val="009A7B44"/>
    <w:rsid w:val="009B0AB5"/>
    <w:rsid w:val="009B34B9"/>
    <w:rsid w:val="009B4109"/>
    <w:rsid w:val="009B415E"/>
    <w:rsid w:val="009B4A6B"/>
    <w:rsid w:val="009B4FB5"/>
    <w:rsid w:val="009B754D"/>
    <w:rsid w:val="009C1172"/>
    <w:rsid w:val="009C6771"/>
    <w:rsid w:val="009D1439"/>
    <w:rsid w:val="009D2F63"/>
    <w:rsid w:val="009D5B33"/>
    <w:rsid w:val="009E625C"/>
    <w:rsid w:val="009F21F1"/>
    <w:rsid w:val="009F4A9F"/>
    <w:rsid w:val="009F5B60"/>
    <w:rsid w:val="00A002C1"/>
    <w:rsid w:val="00A0087D"/>
    <w:rsid w:val="00A0737A"/>
    <w:rsid w:val="00A22DD1"/>
    <w:rsid w:val="00A22E32"/>
    <w:rsid w:val="00A25BA2"/>
    <w:rsid w:val="00A30A0F"/>
    <w:rsid w:val="00A32D27"/>
    <w:rsid w:val="00A339A0"/>
    <w:rsid w:val="00A340B4"/>
    <w:rsid w:val="00A37764"/>
    <w:rsid w:val="00A5765D"/>
    <w:rsid w:val="00A654B0"/>
    <w:rsid w:val="00A72780"/>
    <w:rsid w:val="00A779E5"/>
    <w:rsid w:val="00A806E4"/>
    <w:rsid w:val="00A82903"/>
    <w:rsid w:val="00A962B4"/>
    <w:rsid w:val="00A96F29"/>
    <w:rsid w:val="00AA0587"/>
    <w:rsid w:val="00AA5417"/>
    <w:rsid w:val="00AA574E"/>
    <w:rsid w:val="00AA72F2"/>
    <w:rsid w:val="00AD51EF"/>
    <w:rsid w:val="00B0158E"/>
    <w:rsid w:val="00B0253A"/>
    <w:rsid w:val="00B13930"/>
    <w:rsid w:val="00B21DE7"/>
    <w:rsid w:val="00B22026"/>
    <w:rsid w:val="00B22849"/>
    <w:rsid w:val="00B22F01"/>
    <w:rsid w:val="00B25B8C"/>
    <w:rsid w:val="00B264B5"/>
    <w:rsid w:val="00B2717D"/>
    <w:rsid w:val="00B31ABA"/>
    <w:rsid w:val="00B34FE1"/>
    <w:rsid w:val="00B44C1C"/>
    <w:rsid w:val="00B4590E"/>
    <w:rsid w:val="00B50B8A"/>
    <w:rsid w:val="00B51774"/>
    <w:rsid w:val="00B51C24"/>
    <w:rsid w:val="00B57CAC"/>
    <w:rsid w:val="00B71E37"/>
    <w:rsid w:val="00B805A8"/>
    <w:rsid w:val="00B82761"/>
    <w:rsid w:val="00B83D52"/>
    <w:rsid w:val="00B8497D"/>
    <w:rsid w:val="00B91B87"/>
    <w:rsid w:val="00BA5144"/>
    <w:rsid w:val="00BA5F46"/>
    <w:rsid w:val="00BB1B1B"/>
    <w:rsid w:val="00BB2BC6"/>
    <w:rsid w:val="00BB397C"/>
    <w:rsid w:val="00BC4C1A"/>
    <w:rsid w:val="00BD69ED"/>
    <w:rsid w:val="00BE0981"/>
    <w:rsid w:val="00BE3E3B"/>
    <w:rsid w:val="00BE6E87"/>
    <w:rsid w:val="00C0521D"/>
    <w:rsid w:val="00C061A5"/>
    <w:rsid w:val="00C11FBA"/>
    <w:rsid w:val="00C13A96"/>
    <w:rsid w:val="00C156C5"/>
    <w:rsid w:val="00C16CA3"/>
    <w:rsid w:val="00C25FE0"/>
    <w:rsid w:val="00C4088C"/>
    <w:rsid w:val="00C44DF6"/>
    <w:rsid w:val="00C501D3"/>
    <w:rsid w:val="00C5035F"/>
    <w:rsid w:val="00C509FF"/>
    <w:rsid w:val="00C61AA5"/>
    <w:rsid w:val="00C65A5A"/>
    <w:rsid w:val="00C710DE"/>
    <w:rsid w:val="00C7792C"/>
    <w:rsid w:val="00C81D81"/>
    <w:rsid w:val="00C9431F"/>
    <w:rsid w:val="00C96A4B"/>
    <w:rsid w:val="00C973E3"/>
    <w:rsid w:val="00CA0371"/>
    <w:rsid w:val="00CA5298"/>
    <w:rsid w:val="00CB0FC4"/>
    <w:rsid w:val="00CB27F3"/>
    <w:rsid w:val="00CB43D0"/>
    <w:rsid w:val="00CC0E0D"/>
    <w:rsid w:val="00CC2095"/>
    <w:rsid w:val="00CD0951"/>
    <w:rsid w:val="00CD41B6"/>
    <w:rsid w:val="00CD6349"/>
    <w:rsid w:val="00CD7FDF"/>
    <w:rsid w:val="00CF0F1C"/>
    <w:rsid w:val="00D12B12"/>
    <w:rsid w:val="00D155C6"/>
    <w:rsid w:val="00D24BE5"/>
    <w:rsid w:val="00D27F67"/>
    <w:rsid w:val="00D30F3B"/>
    <w:rsid w:val="00D439A9"/>
    <w:rsid w:val="00D571AB"/>
    <w:rsid w:val="00D616CA"/>
    <w:rsid w:val="00D73B88"/>
    <w:rsid w:val="00D7599D"/>
    <w:rsid w:val="00D81054"/>
    <w:rsid w:val="00D81952"/>
    <w:rsid w:val="00D84F57"/>
    <w:rsid w:val="00D90B8D"/>
    <w:rsid w:val="00D911F7"/>
    <w:rsid w:val="00D92DA1"/>
    <w:rsid w:val="00DA3430"/>
    <w:rsid w:val="00DA614F"/>
    <w:rsid w:val="00DA7F01"/>
    <w:rsid w:val="00DB0A25"/>
    <w:rsid w:val="00DB1D47"/>
    <w:rsid w:val="00DB2175"/>
    <w:rsid w:val="00DC2204"/>
    <w:rsid w:val="00DC3DF9"/>
    <w:rsid w:val="00DD1296"/>
    <w:rsid w:val="00DD5442"/>
    <w:rsid w:val="00DD6778"/>
    <w:rsid w:val="00E14391"/>
    <w:rsid w:val="00E167CF"/>
    <w:rsid w:val="00E209A5"/>
    <w:rsid w:val="00E22153"/>
    <w:rsid w:val="00E370E9"/>
    <w:rsid w:val="00E5194E"/>
    <w:rsid w:val="00E528D2"/>
    <w:rsid w:val="00E62992"/>
    <w:rsid w:val="00E73970"/>
    <w:rsid w:val="00E802CF"/>
    <w:rsid w:val="00E80AC7"/>
    <w:rsid w:val="00E81636"/>
    <w:rsid w:val="00E93BC5"/>
    <w:rsid w:val="00E97BDC"/>
    <w:rsid w:val="00EA1728"/>
    <w:rsid w:val="00EA6CDC"/>
    <w:rsid w:val="00EA7DD3"/>
    <w:rsid w:val="00EB4BFC"/>
    <w:rsid w:val="00EB53C3"/>
    <w:rsid w:val="00EC1887"/>
    <w:rsid w:val="00EC3324"/>
    <w:rsid w:val="00EC3EFD"/>
    <w:rsid w:val="00EC5A86"/>
    <w:rsid w:val="00ED5EE4"/>
    <w:rsid w:val="00ED70A6"/>
    <w:rsid w:val="00EE5168"/>
    <w:rsid w:val="00EE679A"/>
    <w:rsid w:val="00EF1288"/>
    <w:rsid w:val="00EF4097"/>
    <w:rsid w:val="00EF5D7D"/>
    <w:rsid w:val="00F04C63"/>
    <w:rsid w:val="00F17D0E"/>
    <w:rsid w:val="00F3366B"/>
    <w:rsid w:val="00F35647"/>
    <w:rsid w:val="00F426CA"/>
    <w:rsid w:val="00F43631"/>
    <w:rsid w:val="00F43DD7"/>
    <w:rsid w:val="00F44A82"/>
    <w:rsid w:val="00F47809"/>
    <w:rsid w:val="00F51589"/>
    <w:rsid w:val="00F51C3E"/>
    <w:rsid w:val="00F520C4"/>
    <w:rsid w:val="00F578E6"/>
    <w:rsid w:val="00F60DC3"/>
    <w:rsid w:val="00F62C0C"/>
    <w:rsid w:val="00F6305B"/>
    <w:rsid w:val="00F665C6"/>
    <w:rsid w:val="00F66900"/>
    <w:rsid w:val="00F73FD9"/>
    <w:rsid w:val="00F81137"/>
    <w:rsid w:val="00FA2172"/>
    <w:rsid w:val="00FA2FBA"/>
    <w:rsid w:val="00FA5D00"/>
    <w:rsid w:val="00FB0553"/>
    <w:rsid w:val="00FB0972"/>
    <w:rsid w:val="00FB6E36"/>
    <w:rsid w:val="00FB7CBC"/>
    <w:rsid w:val="00FE2D91"/>
    <w:rsid w:val="00FF1663"/>
    <w:rsid w:val="00FF4BC4"/>
    <w:rsid w:val="00FF5866"/>
    <w:rsid w:val="00FF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6DC5"/>
  <w15:chartTrackingRefBased/>
  <w15:docId w15:val="{8723A446-4243-4E74-B2B4-421C29F8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paragraph" w:styleId="PlainText">
    <w:name w:val="Plain Text"/>
    <w:basedOn w:val="Normal"/>
    <w:link w:val="PlainTextChar"/>
    <w:uiPriority w:val="99"/>
    <w:rsid w:val="008B46C5"/>
    <w:pPr>
      <w:spacing w:after="0" w:line="240" w:lineRule="auto"/>
    </w:pPr>
    <w:rPr>
      <w:rFonts w:ascii="Consolas" w:eastAsia="Calibri" w:hAnsi="Consolas" w:cs="Consolas"/>
      <w:sz w:val="21"/>
      <w:szCs w:val="21"/>
      <w:lang w:eastAsia="ja-JP"/>
    </w:rPr>
  </w:style>
  <w:style w:type="character" w:customStyle="1" w:styleId="PlainTextChar">
    <w:name w:val="Plain Text Char"/>
    <w:basedOn w:val="DefaultParagraphFont"/>
    <w:link w:val="PlainText"/>
    <w:uiPriority w:val="99"/>
    <w:rsid w:val="008B46C5"/>
    <w:rPr>
      <w:rFonts w:ascii="Consolas" w:eastAsia="Calibri" w:hAnsi="Consolas" w:cs="Consolas"/>
      <w:sz w:val="21"/>
      <w:szCs w:val="21"/>
      <w:lang w:eastAsia="ja-JP"/>
    </w:rPr>
  </w:style>
  <w:style w:type="paragraph" w:customStyle="1" w:styleId="Body1">
    <w:name w:val="Body 1"/>
    <w:rsid w:val="008B46C5"/>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DD6778"/>
    <w:rPr>
      <w:color w:val="0563C1" w:themeColor="hyperlink"/>
      <w:u w:val="single"/>
    </w:rPr>
  </w:style>
  <w:style w:type="character" w:styleId="UnresolvedMention">
    <w:name w:val="Unresolved Mention"/>
    <w:basedOn w:val="DefaultParagraphFont"/>
    <w:uiPriority w:val="99"/>
    <w:semiHidden/>
    <w:unhideWhenUsed/>
    <w:rsid w:val="00DD6778"/>
    <w:rPr>
      <w:color w:val="605E5C"/>
      <w:shd w:val="clear" w:color="auto" w:fill="E1DFDD"/>
    </w:rPr>
  </w:style>
  <w:style w:type="paragraph" w:styleId="Header">
    <w:name w:val="header"/>
    <w:basedOn w:val="Normal"/>
    <w:link w:val="HeaderChar"/>
    <w:uiPriority w:val="99"/>
    <w:unhideWhenUsed/>
    <w:rsid w:val="004B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83F"/>
  </w:style>
  <w:style w:type="paragraph" w:styleId="Footer">
    <w:name w:val="footer"/>
    <w:basedOn w:val="Normal"/>
    <w:link w:val="FooterChar"/>
    <w:uiPriority w:val="99"/>
    <w:unhideWhenUsed/>
    <w:rsid w:val="004B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3F"/>
  </w:style>
  <w:style w:type="character" w:styleId="FootnoteReference">
    <w:name w:val="footnote reference"/>
    <w:basedOn w:val="DefaultParagraphFont"/>
    <w:uiPriority w:val="99"/>
    <w:semiHidden/>
    <w:unhideWhenUsed/>
    <w:rsid w:val="006C7F1D"/>
    <w:rPr>
      <w:vertAlign w:val="superscript"/>
    </w:rPr>
  </w:style>
  <w:style w:type="character" w:customStyle="1" w:styleId="citation-volume">
    <w:name w:val="citation-volume"/>
    <w:basedOn w:val="DefaultParagraphFont"/>
    <w:rsid w:val="006C7F1D"/>
  </w:style>
  <w:style w:type="paragraph" w:styleId="FootnoteText">
    <w:name w:val="footnote text"/>
    <w:basedOn w:val="Normal"/>
    <w:link w:val="FootnoteTextChar"/>
    <w:uiPriority w:val="99"/>
    <w:semiHidden/>
    <w:unhideWhenUsed/>
    <w:rsid w:val="00BE6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E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Dem.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2/gps.489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ougov.co.uk/topics/lifestyle/articles-reports/2012/05/22/are-you-worried-about-dem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1911-86A1-4669-B708-1B8D907D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Cheston</dc:creator>
  <cp:keywords/>
  <dc:description/>
  <cp:lastModifiedBy>Richard Cheston</cp:lastModifiedBy>
  <cp:revision>10</cp:revision>
  <dcterms:created xsi:type="dcterms:W3CDTF">2021-07-06T12:18:00Z</dcterms:created>
  <dcterms:modified xsi:type="dcterms:W3CDTF">2021-08-30T08:36:00Z</dcterms:modified>
</cp:coreProperties>
</file>