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1E" w:rsidRPr="00043345" w:rsidRDefault="007322C9" w:rsidP="00043345">
      <w:pPr>
        <w:jc w:val="center"/>
        <w:rPr>
          <w:b/>
        </w:rPr>
      </w:pPr>
      <w:r w:rsidRPr="00043345">
        <w:rPr>
          <w:b/>
        </w:rPr>
        <w:t>INDIA A</w:t>
      </w:r>
      <w:r w:rsidR="003B3757" w:rsidRPr="00043345">
        <w:rPr>
          <w:b/>
        </w:rPr>
        <w:t>ND A</w:t>
      </w:r>
      <w:r w:rsidRPr="00043345">
        <w:rPr>
          <w:b/>
        </w:rPr>
        <w:t xml:space="preserve"> CUSTO</w:t>
      </w:r>
      <w:r w:rsidR="0030362A" w:rsidRPr="00043345">
        <w:rPr>
          <w:b/>
        </w:rPr>
        <w:t>MARY COMPREHENSIVE NUCLEAR TEST-</w:t>
      </w:r>
      <w:r w:rsidRPr="00043345">
        <w:rPr>
          <w:b/>
        </w:rPr>
        <w:t xml:space="preserve">BAN: </w:t>
      </w:r>
      <w:r w:rsidR="003B3757" w:rsidRPr="00043345">
        <w:rPr>
          <w:b/>
        </w:rPr>
        <w:t>PERSISTENT OBJECTION,</w:t>
      </w:r>
      <w:r w:rsidRPr="00043345">
        <w:rPr>
          <w:b/>
        </w:rPr>
        <w:t xml:space="preserve"> PEREMPTORY </w:t>
      </w:r>
      <w:r w:rsidR="003B3757" w:rsidRPr="00043345">
        <w:rPr>
          <w:b/>
        </w:rPr>
        <w:t>NORMS</w:t>
      </w:r>
      <w:r w:rsidRPr="00043345">
        <w:rPr>
          <w:b/>
        </w:rPr>
        <w:t xml:space="preserve"> AND THE 123 AGREEMENT</w:t>
      </w:r>
    </w:p>
    <w:p w:rsidR="007322C9" w:rsidRPr="00043345" w:rsidRDefault="007322C9" w:rsidP="00043345">
      <w:pPr>
        <w:jc w:val="center"/>
      </w:pPr>
    </w:p>
    <w:p w:rsidR="005C6C88" w:rsidRPr="00043345" w:rsidRDefault="007943E5" w:rsidP="0066265B">
      <w:pPr>
        <w:jc w:val="center"/>
        <w:rPr>
          <w:smallCaps/>
        </w:rPr>
      </w:pPr>
      <w:r w:rsidRPr="00043345">
        <w:rPr>
          <w:smallCaps/>
        </w:rPr>
        <w:t>James A. Green</w:t>
      </w:r>
      <w:r w:rsidR="00AE25BF" w:rsidRPr="00043345">
        <w:rPr>
          <w:rStyle w:val="FootnoteReference"/>
          <w:smallCaps/>
        </w:rPr>
        <w:footnoteReference w:customMarkFollows="1" w:id="1"/>
        <w:sym w:font="Symbol" w:char="F02A"/>
      </w:r>
    </w:p>
    <w:p w:rsidR="005C6C88" w:rsidRPr="00043345" w:rsidRDefault="005C6C88" w:rsidP="00043345">
      <w:pPr>
        <w:jc w:val="center"/>
        <w:rPr>
          <w:smallCaps/>
        </w:rPr>
      </w:pPr>
    </w:p>
    <w:p w:rsidR="005C6C88" w:rsidRDefault="005C6C88" w:rsidP="00043345">
      <w:pPr>
        <w:jc w:val="center"/>
        <w:rPr>
          <w:b/>
        </w:rPr>
      </w:pPr>
      <w:r w:rsidRPr="00043345">
        <w:rPr>
          <w:b/>
        </w:rPr>
        <w:t>ABSTRACT</w:t>
      </w:r>
    </w:p>
    <w:p w:rsidR="00043345" w:rsidRPr="00043345" w:rsidRDefault="00043345" w:rsidP="00043345">
      <w:pPr>
        <w:jc w:val="center"/>
        <w:rPr>
          <w:b/>
        </w:rPr>
      </w:pPr>
    </w:p>
    <w:p w:rsidR="00281AE0" w:rsidRPr="0066265B" w:rsidRDefault="005C6C88" w:rsidP="00043345">
      <w:pPr>
        <w:spacing w:line="480" w:lineRule="auto"/>
        <w:jc w:val="both"/>
      </w:pPr>
      <w:r w:rsidRPr="0066265B">
        <w:t xml:space="preserve">This article considers the possible customary international law status of a comprehensive ban on nuclear weapons testing and the implications of any such customary norm for India.  A number of writers have argued that a comprehensive test-ban now exists </w:t>
      </w:r>
      <w:r w:rsidR="005B70E7" w:rsidRPr="0066265B">
        <w:t>in custom</w:t>
      </w:r>
      <w:r w:rsidRPr="0066265B">
        <w:t>, or, in other words, that the key norm of the 1996 Comprehensive Nuclear-Test-Ban Treaty (CTBT), found in Article I, has been codified into, or perhaps reflected already existing,</w:t>
      </w:r>
      <w:r w:rsidR="005B70E7" w:rsidRPr="0066265B">
        <w:t xml:space="preserve"> customary international law</w:t>
      </w:r>
      <w:r w:rsidRPr="0066265B">
        <w:t xml:space="preserve">.  If this is the case, then India would be legally bound to refrain from any future nuclear testing, irrespective of the fact that India is not a </w:t>
      </w:r>
      <w:r w:rsidR="0081252D" w:rsidRPr="0066265B">
        <w:t xml:space="preserve">Party </w:t>
      </w:r>
      <w:r w:rsidRPr="0066265B">
        <w:t xml:space="preserve">to the CTBT or the fact that the </w:t>
      </w:r>
      <w:r w:rsidR="005B70E7" w:rsidRPr="0066265B">
        <w:t>treaty</w:t>
      </w:r>
      <w:r w:rsidRPr="0066265B">
        <w:t xml:space="preserve"> is not yet in force.  However, it is here argued that even if a customary rule prohibiting all forms of nuclear weapons testing has emerged, India must be viewed as a </w:t>
      </w:r>
      <w:r w:rsidR="0028349D" w:rsidRPr="0066265B">
        <w:t>“</w:t>
      </w:r>
      <w:r w:rsidRPr="0066265B">
        <w:t xml:space="preserve">persistent </w:t>
      </w:r>
      <w:r w:rsidR="0028349D" w:rsidRPr="0066265B">
        <w:t xml:space="preserve">objector” </w:t>
      </w:r>
      <w:r w:rsidRPr="0066265B">
        <w:t>and</w:t>
      </w:r>
      <w:r w:rsidR="005770B6" w:rsidRPr="0066265B">
        <w:t>,</w:t>
      </w:r>
      <w:r w:rsidRPr="0066265B">
        <w:t xml:space="preserve"> thus</w:t>
      </w:r>
      <w:r w:rsidR="005770B6" w:rsidRPr="0066265B">
        <w:t>,</w:t>
      </w:r>
      <w:r w:rsidRPr="0066265B">
        <w:t xml:space="preserve"> is exempt from th</w:t>
      </w:r>
      <w:r w:rsidR="005B70E7" w:rsidRPr="0066265B">
        <w:t>at</w:t>
      </w:r>
      <w:r w:rsidRPr="0066265B">
        <w:t xml:space="preserve"> prohibition.  Having said this, one author has </w:t>
      </w:r>
      <w:r w:rsidR="006214BF" w:rsidRPr="0066265B">
        <w:t xml:space="preserve">recently </w:t>
      </w:r>
      <w:r w:rsidRPr="0066265B">
        <w:t xml:space="preserve">claimed that the test-ban may have taken on the status of a peremptory norm of </w:t>
      </w:r>
      <w:r w:rsidR="00575EB9" w:rsidRPr="0066265B">
        <w:t xml:space="preserve">general </w:t>
      </w:r>
      <w:r w:rsidRPr="0066265B">
        <w:t>international law.  Most writ</w:t>
      </w:r>
      <w:r w:rsidR="005B70E7" w:rsidRPr="0066265B">
        <w:t>ers</w:t>
      </w:r>
      <w:r w:rsidRPr="0066265B">
        <w:t xml:space="preserve"> would argue that persistent objection is not permitted in relation to such rules of </w:t>
      </w:r>
      <w:r w:rsidRPr="00807391">
        <w:rPr>
          <w:i/>
        </w:rPr>
        <w:t>jus cogens.</w:t>
      </w:r>
      <w:r w:rsidRPr="0066265B">
        <w:t xml:space="preserve">  It is argued here, however, that it is difficult to view </w:t>
      </w:r>
      <w:r w:rsidR="005B70E7" w:rsidRPr="0066265B">
        <w:t>the</w:t>
      </w:r>
      <w:r w:rsidRPr="0066265B">
        <w:t xml:space="preserve"> comprehensive prohibition on nuclear testing as being peremptory</w:t>
      </w:r>
      <w:r w:rsidR="00AD6EC8" w:rsidRPr="0066265B">
        <w:t xml:space="preserve">.  As such, </w:t>
      </w:r>
      <w:r w:rsidRPr="0066265B">
        <w:t xml:space="preserve">India’s persistent objector status has been maintained, both </w:t>
      </w:r>
      <w:r w:rsidRPr="00807391">
        <w:rPr>
          <w:i/>
        </w:rPr>
        <w:t>de jure</w:t>
      </w:r>
      <w:r w:rsidRPr="0066265B">
        <w:t xml:space="preserve"> and </w:t>
      </w:r>
      <w:r w:rsidRPr="00807391">
        <w:rPr>
          <w:i/>
        </w:rPr>
        <w:t>de facto.</w:t>
      </w:r>
      <w:r w:rsidRPr="0066265B">
        <w:t xml:space="preserve">  Finally, the implications of the recent </w:t>
      </w:r>
      <w:r w:rsidR="001D7BAF" w:rsidRPr="0066265B">
        <w:t xml:space="preserve">2008 </w:t>
      </w:r>
      <w:r w:rsidRPr="0066265B">
        <w:t xml:space="preserve">Indo-US 123 Agreement are examined.  It has been claimed by some </w:t>
      </w:r>
      <w:r w:rsidR="005B70E7" w:rsidRPr="0066265B">
        <w:t xml:space="preserve">scholars </w:t>
      </w:r>
      <w:r w:rsidRPr="0066265B">
        <w:lastRenderedPageBreak/>
        <w:t xml:space="preserve">that this has eroded India’s persistent objector stance and that India may have </w:t>
      </w:r>
      <w:r w:rsidR="0028349D" w:rsidRPr="0066265B">
        <w:t>“</w:t>
      </w:r>
      <w:r w:rsidRPr="0066265B">
        <w:t>contracted away</w:t>
      </w:r>
      <w:r w:rsidR="0028349D" w:rsidRPr="0066265B">
        <w:t>”</w:t>
      </w:r>
      <w:r w:rsidRPr="0066265B">
        <w:t xml:space="preserve"> its right to test under the </w:t>
      </w:r>
      <w:r w:rsidR="006214BF" w:rsidRPr="0066265B">
        <w:t>123 Agreement</w:t>
      </w:r>
      <w:r w:rsidRPr="0066265B">
        <w:t xml:space="preserve">.  </w:t>
      </w:r>
      <w:r w:rsidR="005B70E7" w:rsidRPr="0066265B">
        <w:t>L</w:t>
      </w:r>
      <w:r w:rsidRPr="0066265B">
        <w:t>egally</w:t>
      </w:r>
      <w:r w:rsidR="00575EB9" w:rsidRPr="0066265B">
        <w:t>,</w:t>
      </w:r>
      <w:r w:rsidRPr="0066265B">
        <w:t xml:space="preserve"> this view is incorrect.  Nonetheless, the political implications of the </w:t>
      </w:r>
      <w:r w:rsidR="006214BF" w:rsidRPr="0066265B">
        <w:t xml:space="preserve">Indo-US </w:t>
      </w:r>
      <w:r w:rsidRPr="0066265B">
        <w:t xml:space="preserve">deal mean that it is likely to have significantly reduced the chances of a future Indian test </w:t>
      </w:r>
      <w:r w:rsidRPr="00807391">
        <w:rPr>
          <w:i/>
        </w:rPr>
        <w:t>de facto.</w:t>
      </w:r>
      <w:r w:rsidRPr="0066265B">
        <w:t xml:space="preserve"> </w:t>
      </w:r>
    </w:p>
    <w:p w:rsidR="00704706" w:rsidRPr="00043345" w:rsidRDefault="00AE25BF" w:rsidP="00043345">
      <w:pPr>
        <w:jc w:val="center"/>
        <w:rPr>
          <w:b/>
        </w:rPr>
      </w:pPr>
      <w:r w:rsidRPr="00043345">
        <w:rPr>
          <w:b/>
        </w:rPr>
        <w:t xml:space="preserve">I. </w:t>
      </w:r>
      <w:r w:rsidR="00704706" w:rsidRPr="00043345">
        <w:rPr>
          <w:b/>
        </w:rPr>
        <w:t>I</w:t>
      </w:r>
      <w:r w:rsidRPr="00043345">
        <w:rPr>
          <w:b/>
        </w:rPr>
        <w:t>NTRODUCTION</w:t>
      </w:r>
    </w:p>
    <w:p w:rsidR="00EE5824" w:rsidRPr="00043345" w:rsidRDefault="00EE5824" w:rsidP="00043345">
      <w:pPr>
        <w:jc w:val="both"/>
      </w:pPr>
    </w:p>
    <w:p w:rsidR="00845029" w:rsidRPr="00043345" w:rsidRDefault="0075124B" w:rsidP="00311920">
      <w:pPr>
        <w:spacing w:line="480" w:lineRule="auto"/>
        <w:ind w:firstLine="720"/>
        <w:jc w:val="both"/>
      </w:pPr>
      <w:r w:rsidRPr="00043345">
        <w:t xml:space="preserve">India </w:t>
      </w:r>
      <w:r w:rsidR="009943A4" w:rsidRPr="00043345">
        <w:t xml:space="preserve">has, with </w:t>
      </w:r>
      <w:r w:rsidR="007322C9" w:rsidRPr="00043345">
        <w:t xml:space="preserve">rather </w:t>
      </w:r>
      <w:r w:rsidR="009943A4" w:rsidRPr="00043345">
        <w:t>few exceptions, consistently maintained an isolationist policy with regard to international law’s nuclear regime.</w:t>
      </w:r>
      <w:r w:rsidR="00A23FB1" w:rsidRPr="00043345">
        <w:rPr>
          <w:rStyle w:val="FootnoteReference"/>
        </w:rPr>
        <w:footnoteReference w:id="2"/>
      </w:r>
      <w:r w:rsidR="009943A4" w:rsidRPr="00043345">
        <w:t xml:space="preserve">  Perhaps most notably, it has </w:t>
      </w:r>
      <w:r w:rsidR="00903FED" w:rsidRPr="00043345">
        <w:t xml:space="preserve">always been and </w:t>
      </w:r>
      <w:r w:rsidRPr="00043345">
        <w:t xml:space="preserve">remains a non-signatory </w:t>
      </w:r>
      <w:r w:rsidR="00DA2FA7" w:rsidRPr="00043345">
        <w:t xml:space="preserve">to the </w:t>
      </w:r>
      <w:r w:rsidR="0022703F" w:rsidRPr="00043345">
        <w:t xml:space="preserve">1968 </w:t>
      </w:r>
      <w:r w:rsidR="00CA0618" w:rsidRPr="00043345">
        <w:t>Treaty on the Non-Proliferation of Nuclear Weapons (NPT).</w:t>
      </w:r>
      <w:r w:rsidR="00CA0618" w:rsidRPr="00043345">
        <w:rPr>
          <w:rStyle w:val="FootnoteReference"/>
        </w:rPr>
        <w:footnoteReference w:id="3"/>
      </w:r>
      <w:r w:rsidR="00911A75" w:rsidRPr="00043345">
        <w:t xml:space="preserve">  </w:t>
      </w:r>
      <w:r w:rsidR="0022703F" w:rsidRPr="00043345">
        <w:t xml:space="preserve">Obviously, it follows from this that </w:t>
      </w:r>
      <w:r w:rsidR="00A23FB1" w:rsidRPr="00043345">
        <w:t>India</w:t>
      </w:r>
      <w:r w:rsidRPr="00043345">
        <w:t xml:space="preserve"> </w:t>
      </w:r>
      <w:r w:rsidR="008C489F" w:rsidRPr="00043345">
        <w:t xml:space="preserve">is </w:t>
      </w:r>
      <w:r w:rsidR="00903FED" w:rsidRPr="00043345">
        <w:t>not</w:t>
      </w:r>
      <w:r w:rsidR="00DA2FA7" w:rsidRPr="00043345">
        <w:t>,</w:t>
      </w:r>
      <w:r w:rsidR="0084793F" w:rsidRPr="00043345">
        <w:t xml:space="preserve"> </w:t>
      </w:r>
      <w:r w:rsidR="00903FED" w:rsidRPr="00043345">
        <w:t>and has never been</w:t>
      </w:r>
      <w:r w:rsidR="00DA2FA7" w:rsidRPr="00043345">
        <w:t xml:space="preserve">, </w:t>
      </w:r>
      <w:r w:rsidRPr="00043345">
        <w:t>bound by that treaty</w:t>
      </w:r>
      <w:r w:rsidR="009943A4" w:rsidRPr="00043345">
        <w:t>.</w:t>
      </w:r>
      <w:r w:rsidR="00642E2A" w:rsidRPr="00043345">
        <w:rPr>
          <w:rStyle w:val="FootnoteReference"/>
        </w:rPr>
        <w:footnoteReference w:id="4"/>
      </w:r>
      <w:r w:rsidR="009943A4" w:rsidRPr="00043345">
        <w:t xml:space="preserve">  </w:t>
      </w:r>
      <w:r w:rsidR="00845029" w:rsidRPr="00043345">
        <w:t xml:space="preserve">The NPT is often said to represent the </w:t>
      </w:r>
      <w:r w:rsidR="0028349D">
        <w:t>“</w:t>
      </w:r>
      <w:r w:rsidR="00845029" w:rsidRPr="00043345">
        <w:t>cornerstone</w:t>
      </w:r>
      <w:r w:rsidR="0028349D">
        <w:t>”</w:t>
      </w:r>
      <w:r w:rsidR="00845029" w:rsidRPr="00043345">
        <w:t xml:space="preserve"> of international law’s system of non-proliferation,</w:t>
      </w:r>
      <w:r w:rsidR="00845029" w:rsidRPr="00043345">
        <w:rPr>
          <w:rStyle w:val="FootnoteReference"/>
        </w:rPr>
        <w:footnoteReference w:id="5"/>
      </w:r>
      <w:r w:rsidR="00845029" w:rsidRPr="00043345">
        <w:t xml:space="preserve"> but it is the cornerstone </w:t>
      </w:r>
      <w:r w:rsidR="00A23FB1" w:rsidRPr="00043345">
        <w:t>of</w:t>
      </w:r>
      <w:r w:rsidR="00845029" w:rsidRPr="00043345">
        <w:t xml:space="preserve"> a building that India has never entered.</w:t>
      </w:r>
    </w:p>
    <w:p w:rsidR="00660179" w:rsidRPr="00043345" w:rsidRDefault="004B65C4" w:rsidP="0066265B">
      <w:pPr>
        <w:spacing w:line="480" w:lineRule="auto"/>
        <w:ind w:firstLine="720"/>
        <w:jc w:val="both"/>
      </w:pPr>
      <w:r w:rsidRPr="00043345">
        <w:lastRenderedPageBreak/>
        <w:t>Following</w:t>
      </w:r>
      <w:r w:rsidR="00845029" w:rsidRPr="00043345">
        <w:t xml:space="preserve"> India’s 1998 </w:t>
      </w:r>
      <w:r w:rsidR="00845029" w:rsidRPr="00043345">
        <w:rPr>
          <w:rStyle w:val="Emphasis"/>
          <w:i w:val="0"/>
          <w:color w:val="000000"/>
        </w:rPr>
        <w:t>Pokhran</w:t>
      </w:r>
      <w:r w:rsidR="00845029" w:rsidRPr="00043345">
        <w:t xml:space="preserve">-II nuclear tests and its </w:t>
      </w:r>
      <w:r w:rsidR="0022703F" w:rsidRPr="00043345">
        <w:t xml:space="preserve">subsequent </w:t>
      </w:r>
      <w:r w:rsidR="00845029" w:rsidRPr="00043345">
        <w:t xml:space="preserve">explicit self-declaration of nuclear </w:t>
      </w:r>
      <w:r w:rsidR="0022703F" w:rsidRPr="00043345">
        <w:t>weaponisation</w:t>
      </w:r>
      <w:r w:rsidR="00845029" w:rsidRPr="00043345">
        <w:t>,</w:t>
      </w:r>
      <w:r w:rsidR="00A62560" w:rsidRPr="00043345">
        <w:rPr>
          <w:rStyle w:val="FootnoteReference"/>
        </w:rPr>
        <w:footnoteReference w:id="6"/>
      </w:r>
      <w:r w:rsidR="00845029" w:rsidRPr="00043345">
        <w:t xml:space="preserve"> the focus of nuclear policy </w:t>
      </w:r>
      <w:r w:rsidR="0022703F" w:rsidRPr="00043345">
        <w:t>for</w:t>
      </w:r>
      <w:r w:rsidR="00845029" w:rsidRPr="00043345">
        <w:t xml:space="preserve"> many </w:t>
      </w:r>
      <w:r w:rsidR="00583307">
        <w:t>S</w:t>
      </w:r>
      <w:r w:rsidR="00583307" w:rsidRPr="00043345">
        <w:t xml:space="preserve">tates </w:t>
      </w:r>
      <w:r w:rsidR="00845029" w:rsidRPr="00043345">
        <w:t>with regard to India moved away from the NPT regime</w:t>
      </w:r>
      <w:r w:rsidRPr="00043345">
        <w:t xml:space="preserve"> </w:t>
      </w:r>
      <w:r w:rsidRPr="00043345">
        <w:rPr>
          <w:i/>
        </w:rPr>
        <w:t>per se</w:t>
      </w:r>
      <w:r w:rsidR="00845029" w:rsidRPr="00043345">
        <w:t xml:space="preserve">.  Instead of pursuing the now patent fantasy of India joining the NPT as a non-nuclear weapon </w:t>
      </w:r>
      <w:r w:rsidR="00583307">
        <w:t>S</w:t>
      </w:r>
      <w:r w:rsidR="00583307" w:rsidRPr="00043345">
        <w:t xml:space="preserve">tate </w:t>
      </w:r>
      <w:r w:rsidR="00845029" w:rsidRPr="00043345">
        <w:t>(NNWS),</w:t>
      </w:r>
      <w:r w:rsidRPr="00043345">
        <w:rPr>
          <w:rStyle w:val="FootnoteReference"/>
        </w:rPr>
        <w:footnoteReference w:id="7"/>
      </w:r>
      <w:r w:rsidR="0022703F" w:rsidRPr="00043345">
        <w:t xml:space="preserve"> W</w:t>
      </w:r>
      <w:r w:rsidR="00845029" w:rsidRPr="00043345">
        <w:t xml:space="preserve">estern policy towards the </w:t>
      </w:r>
      <w:r w:rsidR="0028349D">
        <w:t>“</w:t>
      </w:r>
      <w:r w:rsidR="00845029" w:rsidRPr="00043345">
        <w:t>Indian nuclear weapons question</w:t>
      </w:r>
      <w:r w:rsidR="0028349D">
        <w:t>”</w:t>
      </w:r>
      <w:r w:rsidR="00845029" w:rsidRPr="00043345">
        <w:t xml:space="preserve"> has been based on a</w:t>
      </w:r>
      <w:r w:rsidR="0022703F" w:rsidRPr="00043345">
        <w:t>n arguably</w:t>
      </w:r>
      <w:r w:rsidR="00845029" w:rsidRPr="00043345">
        <w:t xml:space="preserve"> more realistic goal: Indian acceptance of a comprehensive prohibition on nuclear testing</w:t>
      </w:r>
      <w:r w:rsidR="00660179" w:rsidRPr="00043345">
        <w:t>.</w:t>
      </w:r>
      <w:r w:rsidR="0048021D" w:rsidRPr="00043345">
        <w:rPr>
          <w:rStyle w:val="FootnoteReference"/>
        </w:rPr>
        <w:footnoteReference w:id="8"/>
      </w:r>
    </w:p>
    <w:p w:rsidR="009943A4" w:rsidRPr="00043345" w:rsidRDefault="00215D52" w:rsidP="0066265B">
      <w:pPr>
        <w:spacing w:line="480" w:lineRule="auto"/>
        <w:ind w:firstLine="720"/>
        <w:jc w:val="both"/>
      </w:pPr>
      <w:r>
        <w:t>Yet</w:t>
      </w:r>
      <w:r w:rsidR="00845029" w:rsidRPr="00043345">
        <w:t xml:space="preserve"> as with the NPT, </w:t>
      </w:r>
      <w:r w:rsidR="009943A4" w:rsidRPr="00043345">
        <w:t>India is a non-signatory to the 1996 Comprehensive Nuclear-Test-Ban Treaty (CTBT).</w:t>
      </w:r>
      <w:r w:rsidR="009943A4" w:rsidRPr="00043345">
        <w:rPr>
          <w:rStyle w:val="FootnoteReference"/>
        </w:rPr>
        <w:footnoteReference w:id="9"/>
      </w:r>
      <w:r w:rsidR="00A23FB1" w:rsidRPr="00043345">
        <w:t xml:space="preserve">  </w:t>
      </w:r>
      <w:r w:rsidR="009943A4" w:rsidRPr="00043345">
        <w:t xml:space="preserve">The CTBT is widely signed and ratified, but </w:t>
      </w:r>
      <w:r w:rsidR="0022703F" w:rsidRPr="00043345">
        <w:t xml:space="preserve">it </w:t>
      </w:r>
      <w:r w:rsidR="0022703F" w:rsidRPr="00043345">
        <w:lastRenderedPageBreak/>
        <w:t>has</w:t>
      </w:r>
      <w:r w:rsidR="009943A4" w:rsidRPr="00043345">
        <w:t xml:space="preserve"> not yet </w:t>
      </w:r>
      <w:r w:rsidR="0022703F" w:rsidRPr="00043345">
        <w:t xml:space="preserve">entered </w:t>
      </w:r>
      <w:r w:rsidR="009943A4" w:rsidRPr="00043345">
        <w:t>in</w:t>
      </w:r>
      <w:r w:rsidR="0022703F" w:rsidRPr="00043345">
        <w:t>to</w:t>
      </w:r>
      <w:r w:rsidR="009943A4" w:rsidRPr="00043345">
        <w:t xml:space="preserve"> force.</w:t>
      </w:r>
      <w:r w:rsidR="009943A4" w:rsidRPr="00043345">
        <w:rPr>
          <w:rStyle w:val="FootnoteReference"/>
        </w:rPr>
        <w:footnoteReference w:id="10"/>
      </w:r>
      <w:r w:rsidR="009943A4" w:rsidRPr="00043345">
        <w:t xml:space="preserve">  Nonetheless, it has been </w:t>
      </w:r>
      <w:r w:rsidR="009F2CB1" w:rsidRPr="00043345">
        <w:t>convincingly</w:t>
      </w:r>
      <w:r w:rsidR="009943A4" w:rsidRPr="00043345">
        <w:t xml:space="preserve"> argued – on the basis of Article 18 of the </w:t>
      </w:r>
      <w:r w:rsidR="007E6188">
        <w:t xml:space="preserve">1969 </w:t>
      </w:r>
      <w:r w:rsidR="009943A4" w:rsidRPr="00043345">
        <w:rPr>
          <w:lang w:val="en-US"/>
        </w:rPr>
        <w:t>Vienna Convention on the Law of Treaties</w:t>
      </w:r>
      <w:r w:rsidR="009943A4" w:rsidRPr="00043345">
        <w:t xml:space="preserve"> (VCLT)</w:t>
      </w:r>
      <w:r w:rsidR="009943A4" w:rsidRPr="00043345">
        <w:rPr>
          <w:rStyle w:val="FootnoteReference"/>
        </w:rPr>
        <w:footnoteReference w:id="11"/>
      </w:r>
      <w:r w:rsidR="009943A4" w:rsidRPr="00043345">
        <w:t xml:space="preserve"> – that </w:t>
      </w:r>
      <w:r w:rsidR="00A23FB1" w:rsidRPr="00043345">
        <w:t xml:space="preserve">the </w:t>
      </w:r>
      <w:r w:rsidR="00583307">
        <w:t>S</w:t>
      </w:r>
      <w:r w:rsidR="00583307" w:rsidRPr="00043345">
        <w:t xml:space="preserve">tates </w:t>
      </w:r>
      <w:r w:rsidR="009943A4" w:rsidRPr="00043345">
        <w:t>that have signed (and especially those that have also ratified) the treaty are bound by its obligation of non-testing in spite of the treaty not yet being in force.</w:t>
      </w:r>
      <w:r w:rsidR="009943A4" w:rsidRPr="00043345">
        <w:rPr>
          <w:rStyle w:val="FootnoteReference"/>
        </w:rPr>
        <w:footnoteReference w:id="12"/>
      </w:r>
      <w:r w:rsidR="009943A4" w:rsidRPr="00043345">
        <w:t xml:space="preserve">  This </w:t>
      </w:r>
      <w:r w:rsidR="00A23FB1" w:rsidRPr="00043345">
        <w:t>requirement</w:t>
      </w:r>
      <w:r w:rsidR="009943A4" w:rsidRPr="00043345">
        <w:t xml:space="preserve"> is </w:t>
      </w:r>
      <w:r w:rsidR="005B70E7">
        <w:t>supplemented</w:t>
      </w:r>
      <w:r w:rsidR="009943A4" w:rsidRPr="00043345">
        <w:t xml:space="preserve"> in the case of many </w:t>
      </w:r>
      <w:r w:rsidR="005E5275" w:rsidRPr="00043345">
        <w:t xml:space="preserve">CTBT </w:t>
      </w:r>
      <w:r w:rsidR="0081252D">
        <w:t>P</w:t>
      </w:r>
      <w:r w:rsidR="0081252D" w:rsidRPr="00043345">
        <w:t xml:space="preserve">arties </w:t>
      </w:r>
      <w:r w:rsidR="009943A4" w:rsidRPr="00043345">
        <w:t>by other regional or partial treaty obligations not to test.</w:t>
      </w:r>
      <w:r w:rsidR="009943A4" w:rsidRPr="00043345">
        <w:rPr>
          <w:rStyle w:val="FootnoteReference"/>
        </w:rPr>
        <w:footnoteReference w:id="13"/>
      </w:r>
      <w:r w:rsidR="009943A4" w:rsidRPr="00043345">
        <w:t xml:space="preserve">   In addition, most </w:t>
      </w:r>
      <w:r w:rsidR="009943A4" w:rsidRPr="00043345">
        <w:rPr>
          <w:i/>
        </w:rPr>
        <w:t>non-signatory</w:t>
      </w:r>
      <w:r w:rsidR="009943A4" w:rsidRPr="00043345">
        <w:t xml:space="preserve"> CTBT </w:t>
      </w:r>
      <w:r w:rsidR="00583307">
        <w:t>S</w:t>
      </w:r>
      <w:r w:rsidR="00583307" w:rsidRPr="00043345">
        <w:t xml:space="preserve">tates </w:t>
      </w:r>
      <w:r w:rsidR="009943A4" w:rsidRPr="00043345">
        <w:t>are otherwise conventionally bound not to conduct nuclear tests</w:t>
      </w:r>
      <w:r w:rsidR="00A23FB1" w:rsidRPr="00043345">
        <w:t xml:space="preserve"> in all (or virtually all) instances</w:t>
      </w:r>
      <w:r w:rsidR="009943A4" w:rsidRPr="00043345">
        <w:t>.</w:t>
      </w:r>
      <w:r w:rsidR="009943A4" w:rsidRPr="00043345">
        <w:rPr>
          <w:rStyle w:val="FootnoteReference"/>
        </w:rPr>
        <w:footnoteReference w:id="14"/>
      </w:r>
      <w:r w:rsidR="009943A4" w:rsidRPr="00043345">
        <w:t xml:space="preserve">  </w:t>
      </w:r>
    </w:p>
    <w:p w:rsidR="005E5275" w:rsidRPr="00043345" w:rsidRDefault="009943A4" w:rsidP="0066265B">
      <w:pPr>
        <w:spacing w:line="480" w:lineRule="auto"/>
        <w:ind w:firstLine="720"/>
        <w:jc w:val="both"/>
      </w:pPr>
      <w:r w:rsidRPr="00043345">
        <w:t xml:space="preserve">In </w:t>
      </w:r>
      <w:r w:rsidR="005E5275" w:rsidRPr="00043345">
        <w:t xml:space="preserve">stark </w:t>
      </w:r>
      <w:r w:rsidRPr="00043345">
        <w:t xml:space="preserve">contrast, India </w:t>
      </w:r>
      <w:r w:rsidR="00A23FB1" w:rsidRPr="00043345">
        <w:t xml:space="preserve">– along with Pakistan and </w:t>
      </w:r>
      <w:r w:rsidR="00EE156F" w:rsidRPr="00043345">
        <w:rPr>
          <w:bCs/>
        </w:rPr>
        <w:t>the Democratic People’s Republic of Korea</w:t>
      </w:r>
      <w:r w:rsidR="00EE156F" w:rsidRPr="00043345">
        <w:t xml:space="preserve"> (</w:t>
      </w:r>
      <w:r w:rsidR="00EE156F" w:rsidRPr="00043345">
        <w:rPr>
          <w:bCs/>
        </w:rPr>
        <w:t>DPRK)</w:t>
      </w:r>
      <w:r w:rsidR="00A23FB1" w:rsidRPr="00043345">
        <w:t xml:space="preserve"> – </w:t>
      </w:r>
      <w:r w:rsidRPr="00043345">
        <w:t>is not o</w:t>
      </w:r>
      <w:r w:rsidR="0022703F" w:rsidRPr="00043345">
        <w:t>nly a non-signatory to the CTBT</w:t>
      </w:r>
      <w:r w:rsidRPr="00043345">
        <w:t xml:space="preserve"> but is also </w:t>
      </w:r>
      <w:r w:rsidRPr="00043345">
        <w:lastRenderedPageBreak/>
        <w:t>largely exem</w:t>
      </w:r>
      <w:r w:rsidR="0030362A" w:rsidRPr="00043345">
        <w:t>pt from other treaty-based test-</w:t>
      </w:r>
      <w:r w:rsidRPr="00043345">
        <w:t>ban obligations.</w:t>
      </w:r>
      <w:r w:rsidRPr="00043345">
        <w:rPr>
          <w:rStyle w:val="FootnoteReference"/>
        </w:rPr>
        <w:footnoteReference w:id="15"/>
      </w:r>
      <w:r w:rsidR="005E5275" w:rsidRPr="00043345">
        <w:t xml:space="preserve">  As such, based on conventional </w:t>
      </w:r>
      <w:r w:rsidR="00A23FB1" w:rsidRPr="00043345">
        <w:t xml:space="preserve">international </w:t>
      </w:r>
      <w:r w:rsidR="005E5275" w:rsidRPr="00043345">
        <w:t>law</w:t>
      </w:r>
      <w:r w:rsidR="00A23FB1" w:rsidRPr="00043345">
        <w:t xml:space="preserve"> at least</w:t>
      </w:r>
      <w:r w:rsidR="005E5275" w:rsidRPr="00043345">
        <w:t xml:space="preserve">, India has </w:t>
      </w:r>
      <w:r w:rsidR="00FF0A53" w:rsidRPr="00043345">
        <w:t xml:space="preserve">retained </w:t>
      </w:r>
      <w:r w:rsidR="005E5275" w:rsidRPr="00043345">
        <w:t xml:space="preserve">a </w:t>
      </w:r>
      <w:r w:rsidR="0028349D">
        <w:t>“</w:t>
      </w:r>
      <w:r w:rsidR="00FF0A53" w:rsidRPr="00043345">
        <w:t>sovereign</w:t>
      </w:r>
      <w:r w:rsidR="005E5275" w:rsidRPr="00043345">
        <w:t xml:space="preserve"> right</w:t>
      </w:r>
      <w:r w:rsidR="0028349D">
        <w:t>”</w:t>
      </w:r>
      <w:r w:rsidR="005E5275" w:rsidRPr="00043345">
        <w:t xml:space="preserve"> to test nuclear weapons,</w:t>
      </w:r>
      <w:r w:rsidR="00FF0A53" w:rsidRPr="00043345">
        <w:rPr>
          <w:rStyle w:val="FootnoteReference"/>
        </w:rPr>
        <w:footnoteReference w:id="16"/>
      </w:r>
      <w:r w:rsidR="005E5275" w:rsidRPr="00043345">
        <w:t xml:space="preserve"> so long as such tests comply with the requirements of the 1963 </w:t>
      </w:r>
      <w:r w:rsidR="00CF2F01" w:rsidRPr="00CF2F01">
        <w:rPr>
          <w:bCs/>
          <w:kern w:val="36"/>
        </w:rPr>
        <w:t>Treaty Banning Nuclear Weapon Tests in the Atmosphere, in Outer Space and Under Water</w:t>
      </w:r>
      <w:r w:rsidR="00BF0E1D">
        <w:t xml:space="preserve"> (</w:t>
      </w:r>
      <w:r w:rsidR="005E5275" w:rsidRPr="00043345">
        <w:t>PTBT), to</w:t>
      </w:r>
      <w:r w:rsidR="00FF0A53" w:rsidRPr="00043345">
        <w:t xml:space="preserve"> </w:t>
      </w:r>
      <w:r w:rsidR="005E5275" w:rsidRPr="00043345">
        <w:t xml:space="preserve">which India is a </w:t>
      </w:r>
      <w:r w:rsidR="0081252D">
        <w:t>P</w:t>
      </w:r>
      <w:r w:rsidR="0081252D" w:rsidRPr="00043345">
        <w:t>arty</w:t>
      </w:r>
      <w:r w:rsidR="005E5275" w:rsidRPr="00043345">
        <w:t>.</w:t>
      </w:r>
      <w:r w:rsidR="005E5275" w:rsidRPr="00043345">
        <w:rPr>
          <w:rStyle w:val="FootnoteReference"/>
        </w:rPr>
        <w:footnoteReference w:id="17"/>
      </w:r>
      <w:r w:rsidR="005E5275" w:rsidRPr="00043345">
        <w:t xml:space="preserve">  The PTBT, of course, </w:t>
      </w:r>
      <w:r w:rsidR="00FF0A53" w:rsidRPr="00043345">
        <w:t>requires</w:t>
      </w:r>
      <w:r w:rsidR="005E5275" w:rsidRPr="00043345">
        <w:t xml:space="preserve"> </w:t>
      </w:r>
      <w:r w:rsidR="0081252D">
        <w:t>P</w:t>
      </w:r>
      <w:r w:rsidR="0081252D" w:rsidRPr="00043345">
        <w:t xml:space="preserve">arties </w:t>
      </w:r>
      <w:r w:rsidR="00FF0A53" w:rsidRPr="00043345">
        <w:t>to refrain</w:t>
      </w:r>
      <w:r w:rsidR="005E5275" w:rsidRPr="00043345">
        <w:t xml:space="preserve"> from conducting nuclear tests in the atmosphere, underwater or </w:t>
      </w:r>
      <w:r w:rsidR="005B70E7">
        <w:t>in any other instance</w:t>
      </w:r>
      <w:r w:rsidR="005E5275" w:rsidRPr="00043345">
        <w:t xml:space="preserve"> where this </w:t>
      </w:r>
      <w:r w:rsidR="00977DEF">
        <w:t>causes</w:t>
      </w:r>
      <w:r w:rsidR="005E5275" w:rsidRPr="00043345">
        <w:t xml:space="preserve"> transboundary nuclear debris.</w:t>
      </w:r>
      <w:r w:rsidR="00FF0A53" w:rsidRPr="00043345">
        <w:rPr>
          <w:rStyle w:val="FootnoteReference"/>
        </w:rPr>
        <w:footnoteReference w:id="18"/>
      </w:r>
      <w:r w:rsidR="005E5275" w:rsidRPr="00043345">
        <w:t xml:space="preserve">  Ultimately, though, India is under no conventional obligation to refrain from nuclear testing within its territory</w:t>
      </w:r>
      <w:r w:rsidR="00A23FB1" w:rsidRPr="00043345">
        <w:t xml:space="preserve"> and with localised effects</w:t>
      </w:r>
      <w:r w:rsidR="00513A21" w:rsidRPr="00043345">
        <w:t>, such as underground nuclear testing</w:t>
      </w:r>
      <w:r w:rsidR="005E5275" w:rsidRPr="00043345">
        <w:t>.</w:t>
      </w:r>
    </w:p>
    <w:p w:rsidR="005E5275" w:rsidRPr="00043345" w:rsidRDefault="005E5275" w:rsidP="0066265B">
      <w:pPr>
        <w:spacing w:line="480" w:lineRule="auto"/>
        <w:ind w:firstLine="720"/>
        <w:jc w:val="both"/>
      </w:pPr>
      <w:r w:rsidRPr="00043345">
        <w:t>India’s 1998 nuclear tests were</w:t>
      </w:r>
      <w:r w:rsidR="00097501" w:rsidRPr="00043345">
        <w:t xml:space="preserve"> conducted underground (as were Pakistan’s tests of the same year) and</w:t>
      </w:r>
      <w:r w:rsidR="001C00C0">
        <w:t>,</w:t>
      </w:r>
      <w:r w:rsidR="00097501" w:rsidRPr="00043345">
        <w:t xml:space="preserve"> thus</w:t>
      </w:r>
      <w:r w:rsidR="001C00C0">
        <w:t>,</w:t>
      </w:r>
      <w:r w:rsidR="00097501" w:rsidRPr="00043345">
        <w:t xml:space="preserve"> were not contrary to the PTBT.  As India is under </w:t>
      </w:r>
      <w:r w:rsidR="00513A21" w:rsidRPr="00043345">
        <w:t>no</w:t>
      </w:r>
      <w:r w:rsidR="00097501" w:rsidRPr="00043345">
        <w:t xml:space="preserve"> </w:t>
      </w:r>
      <w:r w:rsidR="00513A21" w:rsidRPr="00043345">
        <w:t xml:space="preserve">other conventional </w:t>
      </w:r>
      <w:r w:rsidR="00097501" w:rsidRPr="00043345">
        <w:t xml:space="preserve">obligation </w:t>
      </w:r>
      <w:r w:rsidR="00513A21" w:rsidRPr="00043345">
        <w:t xml:space="preserve">to refrain from </w:t>
      </w:r>
      <w:r w:rsidR="005B70E7">
        <w:t xml:space="preserve">underground </w:t>
      </w:r>
      <w:r w:rsidR="00513A21" w:rsidRPr="00043345">
        <w:t xml:space="preserve">testing, </w:t>
      </w:r>
      <w:r w:rsidR="00513A21" w:rsidRPr="00043345">
        <w:rPr>
          <w:rStyle w:val="Emphasis"/>
          <w:i w:val="0"/>
          <w:color w:val="000000"/>
        </w:rPr>
        <w:t>Pokhran</w:t>
      </w:r>
      <w:r w:rsidR="00513A21" w:rsidRPr="00043345">
        <w:t xml:space="preserve">-II was </w:t>
      </w:r>
      <w:r w:rsidRPr="00043345">
        <w:t xml:space="preserve">not in breach of </w:t>
      </w:r>
      <w:r w:rsidR="00994675">
        <w:t xml:space="preserve">conventional </w:t>
      </w:r>
      <w:r w:rsidRPr="00043345">
        <w:t xml:space="preserve">international law, at least </w:t>
      </w:r>
      <w:r w:rsidR="00CC07A1">
        <w:t xml:space="preserve">not </w:t>
      </w:r>
      <w:r w:rsidRPr="00043345">
        <w:rPr>
          <w:i/>
        </w:rPr>
        <w:t>prima facie</w:t>
      </w:r>
      <w:r w:rsidRPr="00043345">
        <w:t xml:space="preserve">.  However, it is notable that a large number of </w:t>
      </w:r>
      <w:r w:rsidR="00583307">
        <w:t>S</w:t>
      </w:r>
      <w:r w:rsidR="00583307" w:rsidRPr="00043345">
        <w:t xml:space="preserve">tates </w:t>
      </w:r>
      <w:r w:rsidRPr="00043345">
        <w:t>condemned the tests</w:t>
      </w:r>
      <w:r w:rsidR="0022703F" w:rsidRPr="00043345">
        <w:t xml:space="preserve"> in 1998</w:t>
      </w:r>
      <w:r w:rsidRPr="00043345">
        <w:t>, as did U</w:t>
      </w:r>
      <w:r w:rsidR="00BA22EE" w:rsidRPr="00043345">
        <w:t>nited Nations (UN)</w:t>
      </w:r>
      <w:r w:rsidRPr="00043345">
        <w:t xml:space="preserve"> Security Council </w:t>
      </w:r>
      <w:r w:rsidR="0022703F" w:rsidRPr="00043345">
        <w:t>R</w:t>
      </w:r>
      <w:r w:rsidR="00BA22EE" w:rsidRPr="00043345">
        <w:t>esolution 1172</w:t>
      </w:r>
      <w:r w:rsidR="00BA22EE" w:rsidRPr="00043345">
        <w:rPr>
          <w:rStyle w:val="FootnoteReference"/>
        </w:rPr>
        <w:footnoteReference w:id="19"/>
      </w:r>
      <w:r w:rsidR="0022703F" w:rsidRPr="00043345">
        <w:t xml:space="preserve"> and UN General Assembly Resolution 53/77</w:t>
      </w:r>
      <w:r w:rsidR="00BA22EE" w:rsidRPr="00043345">
        <w:t>.</w:t>
      </w:r>
      <w:r w:rsidR="00BA22EE" w:rsidRPr="00043345">
        <w:rPr>
          <w:rStyle w:val="FootnoteReference"/>
        </w:rPr>
        <w:footnoteReference w:id="20"/>
      </w:r>
      <w:r w:rsidRPr="00043345">
        <w:t xml:space="preserve">  This widespread condemnation </w:t>
      </w:r>
      <w:r w:rsidR="00CC07A1" w:rsidRPr="00043345">
        <w:t>suggest</w:t>
      </w:r>
      <w:r w:rsidR="00CC07A1">
        <w:t>s</w:t>
      </w:r>
      <w:r w:rsidR="00CC07A1" w:rsidRPr="00043345">
        <w:t xml:space="preserve"> </w:t>
      </w:r>
      <w:r w:rsidRPr="00043345">
        <w:t xml:space="preserve">that India was </w:t>
      </w:r>
      <w:r w:rsidR="00FF0A53" w:rsidRPr="00043345">
        <w:t xml:space="preserve">viewed as being </w:t>
      </w:r>
      <w:r w:rsidRPr="00043345">
        <w:t>in breach of an international legal norm, in spite of the fact that no such norm c</w:t>
      </w:r>
      <w:r w:rsidR="00BD216A" w:rsidRPr="00043345">
        <w:t>ould</w:t>
      </w:r>
      <w:r w:rsidRPr="00043345">
        <w:t xml:space="preserve"> be found in treaty law.</w:t>
      </w:r>
    </w:p>
    <w:p w:rsidR="00911A75" w:rsidRPr="00043345" w:rsidRDefault="00FF0A53" w:rsidP="0066265B">
      <w:pPr>
        <w:spacing w:line="480" w:lineRule="auto"/>
        <w:ind w:firstLine="720"/>
        <w:jc w:val="both"/>
      </w:pPr>
      <w:r w:rsidRPr="00043345">
        <w:lastRenderedPageBreak/>
        <w:t xml:space="preserve">This discrepancy has been explained </w:t>
      </w:r>
      <w:r w:rsidR="009F2CB1" w:rsidRPr="00043345">
        <w:t>by a number of writers</w:t>
      </w:r>
      <w:r w:rsidRPr="00043345">
        <w:t xml:space="preserve"> on the basis that</w:t>
      </w:r>
      <w:r w:rsidR="00D56F1E" w:rsidRPr="00043345">
        <w:t xml:space="preserve"> a comprehensive nuclear test-</w:t>
      </w:r>
      <w:r w:rsidR="00911A75" w:rsidRPr="00043345">
        <w:t xml:space="preserve">ban exists under </w:t>
      </w:r>
      <w:r w:rsidR="00911A75" w:rsidRPr="00043345">
        <w:rPr>
          <w:i/>
        </w:rPr>
        <w:t>customary international law</w:t>
      </w:r>
      <w:r w:rsidR="00911A75" w:rsidRPr="00043345">
        <w:t>.</w:t>
      </w:r>
      <w:r w:rsidR="00FF4DF6" w:rsidRPr="00043345">
        <w:rPr>
          <w:rStyle w:val="FootnoteReference"/>
        </w:rPr>
        <w:footnoteReference w:id="21"/>
      </w:r>
      <w:r w:rsidR="005E5275" w:rsidRPr="00043345">
        <w:t xml:space="preserve">  In other words, it has been claimed </w:t>
      </w:r>
      <w:r w:rsidRPr="00043345">
        <w:t>that the provisions of the CTBT –</w:t>
      </w:r>
      <w:r w:rsidR="005E5275" w:rsidRPr="00043345">
        <w:t xml:space="preserve"> in particular Article I</w:t>
      </w:r>
      <w:r w:rsidR="00BD216A" w:rsidRPr="00043345">
        <w:t>, which</w:t>
      </w:r>
      <w:r w:rsidR="005E5275" w:rsidRPr="00043345">
        <w:t xml:space="preserve"> set</w:t>
      </w:r>
      <w:r w:rsidR="00BD216A" w:rsidRPr="00043345">
        <w:t>s</w:t>
      </w:r>
      <w:r w:rsidR="005E5275" w:rsidRPr="00043345">
        <w:t xml:space="preserve"> out the comprehensive nuclear test-ban </w:t>
      </w:r>
      <w:r w:rsidRPr="00043345">
        <w:t xml:space="preserve">– </w:t>
      </w:r>
      <w:r w:rsidR="005E5275" w:rsidRPr="00043345">
        <w:t>h</w:t>
      </w:r>
      <w:r w:rsidRPr="00043345">
        <w:t>as</w:t>
      </w:r>
      <w:r w:rsidR="005E5275" w:rsidRPr="00043345">
        <w:t xml:space="preserve"> </w:t>
      </w:r>
      <w:r w:rsidR="00BD216A" w:rsidRPr="00043345">
        <w:t>been adopted into</w:t>
      </w:r>
      <w:r w:rsidR="005E5275" w:rsidRPr="00043345">
        <w:t xml:space="preserve">, or reflected already existing, customary international law.  </w:t>
      </w:r>
      <w:r w:rsidR="00BD216A" w:rsidRPr="00043345">
        <w:t>As a general matter, of course, r</w:t>
      </w:r>
      <w:r w:rsidR="004C771B" w:rsidRPr="00043345">
        <w:t>ules of custom</w:t>
      </w:r>
      <w:r w:rsidR="00BD216A" w:rsidRPr="00043345">
        <w:t xml:space="preserve"> </w:t>
      </w:r>
      <w:r w:rsidR="004C771B" w:rsidRPr="00043345">
        <w:t xml:space="preserve">bind all </w:t>
      </w:r>
      <w:r w:rsidR="00583307">
        <w:t>S</w:t>
      </w:r>
      <w:r w:rsidR="00583307" w:rsidRPr="00043345">
        <w:t xml:space="preserve">tates </w:t>
      </w:r>
      <w:r w:rsidR="004C771B" w:rsidRPr="00043345">
        <w:rPr>
          <w:i/>
        </w:rPr>
        <w:t>prima facie</w:t>
      </w:r>
      <w:r w:rsidR="004C771B" w:rsidRPr="00043345">
        <w:t>.</w:t>
      </w:r>
      <w:r w:rsidR="004C771B" w:rsidRPr="00043345">
        <w:rPr>
          <w:rStyle w:val="FootnoteReference"/>
        </w:rPr>
        <w:footnoteReference w:id="22"/>
      </w:r>
      <w:r w:rsidR="004C771B" w:rsidRPr="00043345">
        <w:t xml:space="preserve">  </w:t>
      </w:r>
      <w:r w:rsidR="005E5275" w:rsidRPr="00043345">
        <w:t>I</w:t>
      </w:r>
      <w:r w:rsidR="00AD4356" w:rsidRPr="00043345">
        <w:t xml:space="preserve">f </w:t>
      </w:r>
      <w:r w:rsidR="005E5275" w:rsidRPr="00043345">
        <w:t>a</w:t>
      </w:r>
      <w:r w:rsidR="00AD4356" w:rsidRPr="00043345">
        <w:t xml:space="preserve"> comprehensive test-ban has developed in custom, then</w:t>
      </w:r>
      <w:r w:rsidR="00BD216A" w:rsidRPr="00043345">
        <w:t>,</w:t>
      </w:r>
      <w:r w:rsidR="009F2CB1" w:rsidRPr="00043345">
        <w:t xml:space="preserve"> depending on when that norm crystallised</w:t>
      </w:r>
      <w:r w:rsidR="004C771B" w:rsidRPr="00043345">
        <w:t>, this would mean</w:t>
      </w:r>
      <w:r w:rsidR="00911A75" w:rsidRPr="00043345">
        <w:t xml:space="preserve"> </w:t>
      </w:r>
      <w:r w:rsidR="00BD216A" w:rsidRPr="00043345">
        <w:t xml:space="preserve">that </w:t>
      </w:r>
      <w:r w:rsidR="00911A75" w:rsidRPr="00043345">
        <w:t xml:space="preserve">India’s </w:t>
      </w:r>
      <w:r w:rsidR="00AD4356" w:rsidRPr="00043345">
        <w:rPr>
          <w:rStyle w:val="Emphasis"/>
          <w:i w:val="0"/>
          <w:color w:val="000000"/>
        </w:rPr>
        <w:t>Pokhran</w:t>
      </w:r>
      <w:r w:rsidR="00AD4356" w:rsidRPr="00043345">
        <w:t>-II tests breach</w:t>
      </w:r>
      <w:r w:rsidR="00BD216A" w:rsidRPr="00043345">
        <w:t>ed</w:t>
      </w:r>
      <w:r w:rsidR="00AD4356" w:rsidRPr="00043345">
        <w:t xml:space="preserve"> international law (as</w:t>
      </w:r>
      <w:r w:rsidR="00BD216A" w:rsidRPr="00043345">
        <w:t>, indeed,</w:t>
      </w:r>
      <w:r w:rsidR="00AD4356" w:rsidRPr="00043345">
        <w:t xml:space="preserve"> would </w:t>
      </w:r>
      <w:r w:rsidR="009F2CB1" w:rsidRPr="00043345">
        <w:t>any further Indian test</w:t>
      </w:r>
      <w:r w:rsidR="00BD216A" w:rsidRPr="00043345">
        <w:t>s</w:t>
      </w:r>
      <w:r w:rsidR="00AD4356" w:rsidRPr="00043345">
        <w:t>)</w:t>
      </w:r>
      <w:r w:rsidR="00911A75" w:rsidRPr="00043345">
        <w:t>.</w:t>
      </w:r>
      <w:r w:rsidR="00D56F1E" w:rsidRPr="00043345">
        <w:rPr>
          <w:rStyle w:val="FootnoteReference"/>
        </w:rPr>
        <w:footnoteReference w:id="23"/>
      </w:r>
      <w:r w:rsidR="00911A75" w:rsidRPr="00043345">
        <w:t xml:space="preserve">  </w:t>
      </w:r>
    </w:p>
    <w:p w:rsidR="009F2CB1" w:rsidRPr="00043345" w:rsidRDefault="00F84ACA" w:rsidP="0066265B">
      <w:pPr>
        <w:spacing w:line="480" w:lineRule="auto"/>
        <w:ind w:firstLine="720"/>
        <w:jc w:val="both"/>
      </w:pPr>
      <w:r w:rsidRPr="00043345">
        <w:t>However, t</w:t>
      </w:r>
      <w:r w:rsidR="0075124B" w:rsidRPr="00043345">
        <w:t>he possible exception to customary international law’s universal</w:t>
      </w:r>
      <w:r w:rsidR="00BD216A" w:rsidRPr="00043345">
        <w:t>ly</w:t>
      </w:r>
      <w:r w:rsidR="0075124B" w:rsidRPr="00043345">
        <w:t xml:space="preserve"> binding force is t</w:t>
      </w:r>
      <w:r w:rsidR="00874213" w:rsidRPr="00043345">
        <w:t xml:space="preserve">he so-called </w:t>
      </w:r>
      <w:r w:rsidR="0028349D">
        <w:t>“</w:t>
      </w:r>
      <w:r w:rsidR="00874213" w:rsidRPr="00043345">
        <w:t>persistent objector rule</w:t>
      </w:r>
      <w:r w:rsidR="00542DC7">
        <w:t>.</w:t>
      </w:r>
      <w:r w:rsidR="0028349D">
        <w:t>”</w:t>
      </w:r>
      <w:r w:rsidR="0075124B" w:rsidRPr="00043345">
        <w:t xml:space="preserve">  Th</w:t>
      </w:r>
      <w:r w:rsidR="002E7740" w:rsidRPr="00043345">
        <w:t>is</w:t>
      </w:r>
      <w:r w:rsidR="0075124B" w:rsidRPr="00043345">
        <w:t xml:space="preserve"> rule provides</w:t>
      </w:r>
      <w:r w:rsidR="00874213" w:rsidRPr="00043345">
        <w:t xml:space="preserve"> that </w:t>
      </w:r>
      <w:r w:rsidR="0028349D">
        <w:t>“</w:t>
      </w:r>
      <w:r w:rsidR="004473A9" w:rsidRPr="00043345">
        <w:t>a State which persistently objects to a rule of customary international law during the formative stages of that rule will not be bound by it when it comes into existence.</w:t>
      </w:r>
      <w:r w:rsidR="0028349D">
        <w:t>”</w:t>
      </w:r>
      <w:r w:rsidR="004473A9" w:rsidRPr="00043345">
        <w:rPr>
          <w:rStyle w:val="FootnoteReference"/>
        </w:rPr>
        <w:footnoteReference w:id="24"/>
      </w:r>
      <w:r w:rsidR="007F1948" w:rsidRPr="00043345">
        <w:t xml:space="preserve">  </w:t>
      </w:r>
      <w:r w:rsidR="00903FED" w:rsidRPr="00043345">
        <w:lastRenderedPageBreak/>
        <w:t>S</w:t>
      </w:r>
      <w:r w:rsidR="007F1948" w:rsidRPr="00043345">
        <w:t>tates are thus</w:t>
      </w:r>
      <w:r w:rsidR="00BD216A" w:rsidRPr="00043345">
        <w:t>, at least in theory,</w:t>
      </w:r>
      <w:r w:rsidR="007F1948" w:rsidRPr="00043345">
        <w:t xml:space="preserve"> not bound by new customary rules</w:t>
      </w:r>
      <w:r w:rsidR="00903FED" w:rsidRPr="00043345">
        <w:t xml:space="preserve"> to which they have </w:t>
      </w:r>
      <w:r w:rsidR="0084793F" w:rsidRPr="00043345">
        <w:t xml:space="preserve">persistently </w:t>
      </w:r>
      <w:r w:rsidR="00903FED" w:rsidRPr="00043345">
        <w:t>objected</w:t>
      </w:r>
      <w:r w:rsidR="0084793F" w:rsidRPr="00043345">
        <w:t>.</w:t>
      </w:r>
      <w:r w:rsidR="009F2CB1" w:rsidRPr="00043345">
        <w:t xml:space="preserve">  </w:t>
      </w:r>
    </w:p>
    <w:p w:rsidR="00646E79" w:rsidRPr="00043345" w:rsidRDefault="00A23FB1" w:rsidP="0066265B">
      <w:pPr>
        <w:spacing w:line="480" w:lineRule="auto"/>
        <w:ind w:firstLine="720"/>
        <w:jc w:val="both"/>
      </w:pPr>
      <w:r w:rsidRPr="00043345">
        <w:t>India certainly fits the model of a persistent ob</w:t>
      </w:r>
      <w:r w:rsidR="00BD216A" w:rsidRPr="00043345">
        <w:t xml:space="preserve">jector </w:t>
      </w:r>
      <w:r w:rsidR="00583307">
        <w:t>S</w:t>
      </w:r>
      <w:r w:rsidR="00583307" w:rsidRPr="00043345">
        <w:t xml:space="preserve">tate </w:t>
      </w:r>
      <w:r w:rsidR="00BD216A" w:rsidRPr="00043345">
        <w:t>in relation to any</w:t>
      </w:r>
      <w:r w:rsidRPr="00043345">
        <w:t xml:space="preserve"> alleged customary </w:t>
      </w:r>
      <w:r w:rsidR="00BD216A" w:rsidRPr="00043345">
        <w:t xml:space="preserve">comprehensive nuclear </w:t>
      </w:r>
      <w:r w:rsidRPr="00043345">
        <w:t>test-ban.  Its sustained</w:t>
      </w:r>
      <w:r w:rsidR="0084793F" w:rsidRPr="00043345">
        <w:t xml:space="preserve"> </w:t>
      </w:r>
      <w:r w:rsidR="0075124B" w:rsidRPr="00043345">
        <w:t xml:space="preserve">practice </w:t>
      </w:r>
      <w:r w:rsidRPr="00043345">
        <w:t>in</w:t>
      </w:r>
      <w:r w:rsidR="0075124B" w:rsidRPr="00043345">
        <w:t xml:space="preserve"> rejecting </w:t>
      </w:r>
      <w:r w:rsidR="002E7740" w:rsidRPr="00043345">
        <w:t xml:space="preserve">the </w:t>
      </w:r>
      <w:r w:rsidR="00F84ACA" w:rsidRPr="00043345">
        <w:t xml:space="preserve">very nature </w:t>
      </w:r>
      <w:r w:rsidR="0075124B" w:rsidRPr="00043345">
        <w:t xml:space="preserve">of </w:t>
      </w:r>
      <w:r w:rsidR="00BD216A" w:rsidRPr="00043345">
        <w:t>international law’s</w:t>
      </w:r>
      <w:r w:rsidR="00723E14" w:rsidRPr="00043345">
        <w:t xml:space="preserve"> </w:t>
      </w:r>
      <w:r w:rsidR="00485F0D" w:rsidRPr="00043345">
        <w:t xml:space="preserve">nuclear </w:t>
      </w:r>
      <w:r w:rsidR="0052698D" w:rsidRPr="00043345">
        <w:t>non-proliferation regime</w:t>
      </w:r>
      <w:r w:rsidR="00FF0A53" w:rsidRPr="00043345">
        <w:t xml:space="preserve">, its refusal to sign </w:t>
      </w:r>
      <w:r w:rsidRPr="00043345">
        <w:t>(</w:t>
      </w:r>
      <w:r w:rsidR="00FF0A53" w:rsidRPr="00043345">
        <w:t>and explicit rejection of</w:t>
      </w:r>
      <w:r w:rsidRPr="00043345">
        <w:t>)</w:t>
      </w:r>
      <w:r w:rsidR="00FF0A53" w:rsidRPr="00043345">
        <w:t xml:space="preserve"> the CTBT</w:t>
      </w:r>
      <w:r w:rsidR="00F84ACA" w:rsidRPr="00043345">
        <w:t xml:space="preserve"> and its </w:t>
      </w:r>
      <w:r w:rsidR="00FF0A53" w:rsidRPr="00043345">
        <w:t xml:space="preserve">status as one of the few </w:t>
      </w:r>
      <w:r w:rsidR="00583307">
        <w:t>S</w:t>
      </w:r>
      <w:r w:rsidR="00583307" w:rsidRPr="00043345">
        <w:t xml:space="preserve">tates </w:t>
      </w:r>
      <w:r w:rsidR="00FF0A53" w:rsidRPr="00043345">
        <w:t xml:space="preserve">that is in possession of and has </w:t>
      </w:r>
      <w:r w:rsidR="00F84ACA" w:rsidRPr="00043345">
        <w:t>test</w:t>
      </w:r>
      <w:r w:rsidR="00FF0A53" w:rsidRPr="00043345">
        <w:t>ed</w:t>
      </w:r>
      <w:r w:rsidR="00F84ACA" w:rsidRPr="00043345">
        <w:t xml:space="preserve"> nuclear </w:t>
      </w:r>
      <w:r w:rsidR="00FF0A53" w:rsidRPr="00043345">
        <w:t>weapons</w:t>
      </w:r>
      <w:r w:rsidR="0075124B" w:rsidRPr="00043345">
        <w:t xml:space="preserve"> </w:t>
      </w:r>
      <w:r w:rsidR="00BD216A" w:rsidRPr="00043345">
        <w:t>w</w:t>
      </w:r>
      <w:r w:rsidR="009E001C" w:rsidRPr="00043345">
        <w:t xml:space="preserve">ould all indicate what has been termed </w:t>
      </w:r>
      <w:r w:rsidR="0028349D">
        <w:t>“</w:t>
      </w:r>
      <w:r w:rsidR="009E001C" w:rsidRPr="00043345">
        <w:t>persistent resistance</w:t>
      </w:r>
      <w:r w:rsidR="0028349D">
        <w:t>”</w:t>
      </w:r>
      <w:r w:rsidR="009E001C" w:rsidRPr="00043345">
        <w:t xml:space="preserve"> on the part of India</w:t>
      </w:r>
      <w:r w:rsidR="0075124B" w:rsidRPr="00043345">
        <w:t>.</w:t>
      </w:r>
      <w:r w:rsidR="009E001C" w:rsidRPr="00043345">
        <w:rPr>
          <w:rStyle w:val="FootnoteReference"/>
        </w:rPr>
        <w:footnoteReference w:id="25"/>
      </w:r>
      <w:r w:rsidR="0084793F" w:rsidRPr="00043345">
        <w:t xml:space="preserve">  </w:t>
      </w:r>
      <w:r w:rsidR="00646E79" w:rsidRPr="00043345">
        <w:t>I</w:t>
      </w:r>
      <w:r w:rsidR="0084793F" w:rsidRPr="00043345">
        <w:t xml:space="preserve">t </w:t>
      </w:r>
      <w:r w:rsidR="00BD216A" w:rsidRPr="00043345">
        <w:t>could,</w:t>
      </w:r>
      <w:r w:rsidR="0084793F" w:rsidRPr="00043345">
        <w:t xml:space="preserve"> </w:t>
      </w:r>
      <w:r w:rsidR="00646E79" w:rsidRPr="00043345">
        <w:t>therefore</w:t>
      </w:r>
      <w:r w:rsidR="00BD216A" w:rsidRPr="00043345">
        <w:t>,</w:t>
      </w:r>
      <w:r w:rsidR="00646E79" w:rsidRPr="00043345">
        <w:t xml:space="preserve"> </w:t>
      </w:r>
      <w:r w:rsidR="0084793F" w:rsidRPr="00043345">
        <w:t xml:space="preserve">be </w:t>
      </w:r>
      <w:r w:rsidR="00BD216A" w:rsidRPr="00043345">
        <w:t xml:space="preserve">argued </w:t>
      </w:r>
      <w:r w:rsidR="0084793F" w:rsidRPr="00043345">
        <w:t xml:space="preserve">that </w:t>
      </w:r>
      <w:r w:rsidR="00F84ACA" w:rsidRPr="00043345">
        <w:t xml:space="preserve">– even if </w:t>
      </w:r>
      <w:r w:rsidR="005E5275" w:rsidRPr="00043345">
        <w:t xml:space="preserve">a </w:t>
      </w:r>
      <w:r w:rsidR="00F84ACA" w:rsidRPr="00043345">
        <w:t xml:space="preserve">customary </w:t>
      </w:r>
      <w:r w:rsidRPr="00043345">
        <w:t>test-ban</w:t>
      </w:r>
      <w:r w:rsidR="00F84ACA" w:rsidRPr="00043345">
        <w:t xml:space="preserve"> exist</w:t>
      </w:r>
      <w:r w:rsidR="005E5275" w:rsidRPr="00043345">
        <w:t>s</w:t>
      </w:r>
      <w:r w:rsidR="00FF0A53" w:rsidRPr="00043345">
        <w:t xml:space="preserve"> </w:t>
      </w:r>
      <w:r w:rsidR="001620D7" w:rsidRPr="00043345">
        <w:t>–</w:t>
      </w:r>
      <w:r w:rsidR="00F84ACA" w:rsidRPr="00043345">
        <w:t xml:space="preserve"> </w:t>
      </w:r>
      <w:r w:rsidR="0084793F" w:rsidRPr="00043345">
        <w:t>India should be viewed as a persistent objector</w:t>
      </w:r>
      <w:r w:rsidR="00F84ACA" w:rsidRPr="00043345">
        <w:t xml:space="preserve"> and</w:t>
      </w:r>
      <w:r w:rsidR="001C00C0">
        <w:t>,</w:t>
      </w:r>
      <w:r w:rsidR="00F84ACA" w:rsidRPr="00043345">
        <w:t xml:space="preserve"> thus</w:t>
      </w:r>
      <w:r w:rsidR="001C00C0">
        <w:t>,</w:t>
      </w:r>
      <w:r w:rsidR="00F84ACA" w:rsidRPr="00043345">
        <w:t xml:space="preserve"> as being exempt from the</w:t>
      </w:r>
      <w:r w:rsidR="005E5275" w:rsidRPr="00043345">
        <w:t xml:space="preserve"> norm in question</w:t>
      </w:r>
      <w:r w:rsidR="00F84ACA" w:rsidRPr="00043345">
        <w:t>.</w:t>
      </w:r>
      <w:r w:rsidR="0048021D" w:rsidRPr="00043345">
        <w:rPr>
          <w:rStyle w:val="FootnoteReference"/>
        </w:rPr>
        <w:footnoteReference w:id="26"/>
      </w:r>
    </w:p>
    <w:p w:rsidR="00CA0618" w:rsidRPr="00043345" w:rsidRDefault="00215D52" w:rsidP="0066265B">
      <w:pPr>
        <w:spacing w:line="480" w:lineRule="auto"/>
        <w:ind w:firstLine="720"/>
        <w:jc w:val="both"/>
      </w:pPr>
      <w:r>
        <w:t>T</w:t>
      </w:r>
      <w:r w:rsidR="00F84ACA" w:rsidRPr="00043345">
        <w:t>o complicate this picture still further</w:t>
      </w:r>
      <w:r w:rsidR="00646E79" w:rsidRPr="00043345">
        <w:t xml:space="preserve">, </w:t>
      </w:r>
      <w:r>
        <w:t xml:space="preserve">however, </w:t>
      </w:r>
      <w:r w:rsidR="00646E79" w:rsidRPr="00043345">
        <w:t>India</w:t>
      </w:r>
      <w:r w:rsidR="00F84ACA" w:rsidRPr="00043345">
        <w:t>’s</w:t>
      </w:r>
      <w:r w:rsidR="00646E79" w:rsidRPr="00043345">
        <w:t xml:space="preserve"> apparent persistent objector status </w:t>
      </w:r>
      <w:r w:rsidR="005E5275" w:rsidRPr="00043345">
        <w:t>can be</w:t>
      </w:r>
      <w:r w:rsidR="00646E79" w:rsidRPr="00043345">
        <w:t xml:space="preserve"> questioned </w:t>
      </w:r>
      <w:r w:rsidR="00BA22EE" w:rsidRPr="00043345">
        <w:t xml:space="preserve">for two reasons.  First, </w:t>
      </w:r>
      <w:r w:rsidR="00646E79" w:rsidRPr="00043345">
        <w:t xml:space="preserve">the persistent objector rule is </w:t>
      </w:r>
      <w:r w:rsidR="009923D8">
        <w:t>usu</w:t>
      </w:r>
      <w:r w:rsidR="00A23FB1" w:rsidRPr="00043345">
        <w:t xml:space="preserve">ally viewed as being inapplicable </w:t>
      </w:r>
      <w:r w:rsidR="00646E79" w:rsidRPr="00043345">
        <w:t>in relation to</w:t>
      </w:r>
      <w:r w:rsidR="00E26FA8" w:rsidRPr="00043345">
        <w:t xml:space="preserve"> peremptory </w:t>
      </w:r>
      <w:r w:rsidR="00646E79" w:rsidRPr="00043345">
        <w:t>norms</w:t>
      </w:r>
      <w:r w:rsidR="009F2CB1" w:rsidRPr="00043345">
        <w:t xml:space="preserve"> of </w:t>
      </w:r>
      <w:r w:rsidR="00575EB9">
        <w:t xml:space="preserve">general </w:t>
      </w:r>
      <w:r w:rsidR="009F2CB1" w:rsidRPr="00043345">
        <w:t>international law (</w:t>
      </w:r>
      <w:r w:rsidR="009F2CB1" w:rsidRPr="00043345">
        <w:rPr>
          <w:i/>
        </w:rPr>
        <w:t>jus cogens</w:t>
      </w:r>
      <w:r w:rsidR="009F2CB1" w:rsidRPr="00043345">
        <w:t>)</w:t>
      </w:r>
      <w:r w:rsidR="00646E79" w:rsidRPr="00043345">
        <w:t>.</w:t>
      </w:r>
      <w:r w:rsidR="00E26FA8" w:rsidRPr="00043345">
        <w:rPr>
          <w:rStyle w:val="FootnoteReference"/>
        </w:rPr>
        <w:footnoteReference w:id="27"/>
      </w:r>
      <w:r w:rsidR="00646E79" w:rsidRPr="00043345">
        <w:t xml:space="preserve">  It </w:t>
      </w:r>
      <w:r w:rsidR="003C1CF2" w:rsidRPr="00043345">
        <w:t>was</w:t>
      </w:r>
      <w:r w:rsidR="00646E79" w:rsidRPr="00043345">
        <w:t xml:space="preserve"> </w:t>
      </w:r>
      <w:r w:rsidR="003C1CF2" w:rsidRPr="00043345">
        <w:t>recently</w:t>
      </w:r>
      <w:r w:rsidR="00646E79" w:rsidRPr="00043345">
        <w:t xml:space="preserve"> </w:t>
      </w:r>
      <w:r w:rsidR="003C1CF2" w:rsidRPr="00043345">
        <w:t>argued</w:t>
      </w:r>
      <w:r w:rsidR="00646E79" w:rsidRPr="00043345">
        <w:t xml:space="preserve"> </w:t>
      </w:r>
      <w:r w:rsidR="00AD4356" w:rsidRPr="00043345">
        <w:t xml:space="preserve">by </w:t>
      </w:r>
      <w:r w:rsidR="003C1CF2" w:rsidRPr="00043345">
        <w:t>one writer</w:t>
      </w:r>
      <w:r w:rsidR="00575EB9">
        <w:t>, for example,</w:t>
      </w:r>
      <w:r w:rsidR="00AD4356" w:rsidRPr="00043345">
        <w:t xml:space="preserve"> </w:t>
      </w:r>
      <w:r w:rsidR="00646E79" w:rsidRPr="00043345">
        <w:t>that</w:t>
      </w:r>
      <w:r w:rsidR="00AD4356" w:rsidRPr="00043345">
        <w:t xml:space="preserve"> the </w:t>
      </w:r>
      <w:r w:rsidR="009F2CB1" w:rsidRPr="00043345">
        <w:t>comprehensive</w:t>
      </w:r>
      <w:r w:rsidR="00F84ACA" w:rsidRPr="00043345">
        <w:t xml:space="preserve"> </w:t>
      </w:r>
      <w:r w:rsidR="00D56F1E" w:rsidRPr="00043345">
        <w:t>test-</w:t>
      </w:r>
      <w:r w:rsidR="00646E79" w:rsidRPr="00043345">
        <w:t>ban fall</w:t>
      </w:r>
      <w:r w:rsidR="00BA22EE" w:rsidRPr="00043345">
        <w:t>s</w:t>
      </w:r>
      <w:r w:rsidR="00646E79" w:rsidRPr="00043345">
        <w:t xml:space="preserve"> within this </w:t>
      </w:r>
      <w:r w:rsidR="00575EB9">
        <w:t>group of norms</w:t>
      </w:r>
      <w:r w:rsidR="003C1CF2" w:rsidRPr="00043345">
        <w:t xml:space="preserve"> </w:t>
      </w:r>
      <w:r w:rsidR="001620D7" w:rsidRPr="00043345">
        <w:t>and that, c</w:t>
      </w:r>
      <w:r w:rsidR="00AD4356" w:rsidRPr="00043345">
        <w:t>onsequently,</w:t>
      </w:r>
      <w:r w:rsidR="00646E79" w:rsidRPr="00043345">
        <w:t xml:space="preserve"> </w:t>
      </w:r>
      <w:r w:rsidR="00BA22EE" w:rsidRPr="00043345">
        <w:t xml:space="preserve">even </w:t>
      </w:r>
      <w:r w:rsidR="00583307">
        <w:t>S</w:t>
      </w:r>
      <w:r w:rsidR="00583307" w:rsidRPr="00043345">
        <w:t xml:space="preserve">tates </w:t>
      </w:r>
      <w:r w:rsidR="00646E79" w:rsidRPr="00043345">
        <w:t>that</w:t>
      </w:r>
      <w:r w:rsidR="00E835D8" w:rsidRPr="00043345">
        <w:t xml:space="preserve"> have</w:t>
      </w:r>
      <w:r w:rsidR="00646E79" w:rsidRPr="00043345">
        <w:t xml:space="preserve"> persistently object</w:t>
      </w:r>
      <w:r w:rsidR="00FF0A53" w:rsidRPr="00043345">
        <w:t>ed</w:t>
      </w:r>
      <w:r w:rsidR="00646E79" w:rsidRPr="00043345">
        <w:t xml:space="preserve"> to the </w:t>
      </w:r>
      <w:r w:rsidR="009F2CB1" w:rsidRPr="00043345">
        <w:t>prohibition</w:t>
      </w:r>
      <w:r w:rsidR="00BA22EE" w:rsidRPr="00043345">
        <w:t xml:space="preserve"> remain </w:t>
      </w:r>
      <w:r w:rsidR="00646E79" w:rsidRPr="00043345">
        <w:t xml:space="preserve">bound by </w:t>
      </w:r>
      <w:r w:rsidR="00BA22EE" w:rsidRPr="00043345">
        <w:t>it</w:t>
      </w:r>
      <w:r w:rsidR="00646E79" w:rsidRPr="00043345">
        <w:t>.</w:t>
      </w:r>
      <w:r w:rsidR="00A6000A" w:rsidRPr="00043345">
        <w:rPr>
          <w:rStyle w:val="FootnoteReference"/>
        </w:rPr>
        <w:footnoteReference w:id="28"/>
      </w:r>
      <w:r w:rsidR="00B05DE6">
        <w:t xml:space="preserve">  </w:t>
      </w:r>
      <w:r w:rsidR="00BA22EE" w:rsidRPr="00043345">
        <w:t xml:space="preserve">Secondly, it has been suggested that under the </w:t>
      </w:r>
      <w:r w:rsidR="00B05DE6">
        <w:t xml:space="preserve">2008 </w:t>
      </w:r>
      <w:r w:rsidR="00F84ACA" w:rsidRPr="00043345">
        <w:rPr>
          <w:lang w:eastAsia="en-US"/>
        </w:rPr>
        <w:t xml:space="preserve">Agreement for Cooperation Between the Government of the United States of America and the </w:t>
      </w:r>
      <w:r w:rsidR="00F84ACA" w:rsidRPr="00043345">
        <w:rPr>
          <w:lang w:eastAsia="en-US"/>
        </w:rPr>
        <w:lastRenderedPageBreak/>
        <w:t>Government of India Concerning Peaceful Uses of Nuclear Energy</w:t>
      </w:r>
      <w:r w:rsidR="00F84ACA" w:rsidRPr="00043345">
        <w:rPr>
          <w:rStyle w:val="FootnoteReference"/>
        </w:rPr>
        <w:t xml:space="preserve"> </w:t>
      </w:r>
      <w:r w:rsidR="00F84ACA" w:rsidRPr="00043345">
        <w:t>(123 Agreement)</w:t>
      </w:r>
      <w:r w:rsidR="00CA0618" w:rsidRPr="00043345">
        <w:t>,</w:t>
      </w:r>
      <w:r w:rsidR="00F84ACA" w:rsidRPr="00043345">
        <w:rPr>
          <w:rStyle w:val="FootnoteReference"/>
        </w:rPr>
        <w:footnoteReference w:id="29"/>
      </w:r>
      <w:r w:rsidR="00CA0618" w:rsidRPr="00043345">
        <w:t xml:space="preserve"> </w:t>
      </w:r>
      <w:r w:rsidR="00BA22EE" w:rsidRPr="00043345">
        <w:t xml:space="preserve">India has contracted away any previous </w:t>
      </w:r>
      <w:r w:rsidR="00AE2399" w:rsidRPr="00043345">
        <w:t xml:space="preserve">right </w:t>
      </w:r>
      <w:r w:rsidR="00481E0F">
        <w:t xml:space="preserve">that </w:t>
      </w:r>
      <w:r w:rsidR="00AE2399" w:rsidRPr="00043345">
        <w:t>it may have had to test.</w:t>
      </w:r>
      <w:r w:rsidR="00AE2399" w:rsidRPr="00043345">
        <w:rPr>
          <w:rStyle w:val="FootnoteReference"/>
        </w:rPr>
        <w:footnoteReference w:id="30"/>
      </w:r>
      <w:r w:rsidR="00AE2399" w:rsidRPr="00043345">
        <w:t xml:space="preserve">  The 123 Agreement is a bilateral treaty between India and the United States, which was </w:t>
      </w:r>
      <w:r w:rsidR="00817EDF" w:rsidRPr="00043345">
        <w:t>announced</w:t>
      </w:r>
      <w:r w:rsidR="00AE2399" w:rsidRPr="00043345">
        <w:t xml:space="preserve"> in 2005 and finally adopted in 2008.  Its purpose is </w:t>
      </w:r>
      <w:r w:rsidR="0028349D">
        <w:t>“</w:t>
      </w:r>
      <w:r w:rsidR="00AE2399" w:rsidRPr="00043345">
        <w:t xml:space="preserve">to enable </w:t>
      </w:r>
      <w:r w:rsidR="00AE2399" w:rsidRPr="00043345">
        <w:lastRenderedPageBreak/>
        <w:t>full civil nuclear energy cooperation</w:t>
      </w:r>
      <w:r w:rsidR="0028349D">
        <w:t>”</w:t>
      </w:r>
      <w:r w:rsidR="00AE2399" w:rsidRPr="00043345">
        <w:t xml:space="preserve"> between the United States and India.</w:t>
      </w:r>
      <w:r w:rsidR="00AE2399" w:rsidRPr="00043345">
        <w:rPr>
          <w:rStyle w:val="FootnoteReference"/>
        </w:rPr>
        <w:footnoteReference w:id="31"/>
      </w:r>
      <w:r w:rsidR="00AE2399" w:rsidRPr="00043345">
        <w:t xml:space="preserve">  </w:t>
      </w:r>
      <w:r w:rsidR="00BA22EE" w:rsidRPr="00043345">
        <w:t xml:space="preserve">The deal has </w:t>
      </w:r>
      <w:r w:rsidR="00CA0618" w:rsidRPr="00043345">
        <w:t xml:space="preserve">been viewed </w:t>
      </w:r>
      <w:r w:rsidR="00BA22EE" w:rsidRPr="00043345">
        <w:t xml:space="preserve">by many writers </w:t>
      </w:r>
      <w:r w:rsidR="00CA0618" w:rsidRPr="00043345">
        <w:t>as a revocation by India of its previous policy of nuclear isolationism.</w:t>
      </w:r>
      <w:r w:rsidR="00D10466" w:rsidRPr="00043345">
        <w:rPr>
          <w:rStyle w:val="FootnoteReference"/>
        </w:rPr>
        <w:footnoteReference w:id="32"/>
      </w:r>
      <w:r w:rsidR="00CA0618" w:rsidRPr="00043345">
        <w:t xml:space="preserve">  </w:t>
      </w:r>
      <w:r w:rsidR="00BA22EE" w:rsidRPr="00043345">
        <w:t>I</w:t>
      </w:r>
      <w:r w:rsidR="00AE2399" w:rsidRPr="00043345">
        <w:t>ndeed, India itself has cast</w:t>
      </w:r>
      <w:r w:rsidR="00BA22EE" w:rsidRPr="00043345">
        <w:t xml:space="preserve"> </w:t>
      </w:r>
      <w:r w:rsidR="00AE2399" w:rsidRPr="00043345">
        <w:t>it</w:t>
      </w:r>
      <w:r w:rsidR="00BA22EE" w:rsidRPr="00043345">
        <w:t xml:space="preserve"> in these terms.</w:t>
      </w:r>
      <w:r w:rsidR="00BA22EE" w:rsidRPr="00043345">
        <w:rPr>
          <w:rStyle w:val="FootnoteReference"/>
        </w:rPr>
        <w:footnoteReference w:id="33"/>
      </w:r>
      <w:r w:rsidR="00BA22EE" w:rsidRPr="00043345">
        <w:t xml:space="preserve">  T</w:t>
      </w:r>
      <w:r w:rsidR="00D10466" w:rsidRPr="00043345">
        <w:t xml:space="preserve">he </w:t>
      </w:r>
      <w:r w:rsidR="001D59A9">
        <w:t xml:space="preserve">123 </w:t>
      </w:r>
      <w:r w:rsidR="00D10466" w:rsidRPr="00043345">
        <w:t>A</w:t>
      </w:r>
      <w:r w:rsidR="00F84ACA" w:rsidRPr="00043345">
        <w:t xml:space="preserve">greement </w:t>
      </w:r>
      <w:r w:rsidR="00BA22EE" w:rsidRPr="00043345">
        <w:t xml:space="preserve">certainly </w:t>
      </w:r>
      <w:r w:rsidR="00F84ACA" w:rsidRPr="00043345">
        <w:t xml:space="preserve">brings India </w:t>
      </w:r>
      <w:r w:rsidR="00CA0618" w:rsidRPr="00043345">
        <w:t>in from the nuclear wilderness</w:t>
      </w:r>
      <w:r w:rsidR="00BA22EE" w:rsidRPr="00043345">
        <w:t xml:space="preserve"> to an extent</w:t>
      </w:r>
      <w:r w:rsidR="00CA0618" w:rsidRPr="00043345">
        <w:t xml:space="preserve">.  </w:t>
      </w:r>
      <w:r w:rsidR="00BA22EE" w:rsidRPr="00043345">
        <w:t>It</w:t>
      </w:r>
      <w:r w:rsidR="00CA0618" w:rsidRPr="00043345">
        <w:t xml:space="preserve"> </w:t>
      </w:r>
      <w:r w:rsidR="00D10466" w:rsidRPr="00043345">
        <w:t>has</w:t>
      </w:r>
      <w:r w:rsidR="00050631">
        <w:t>,</w:t>
      </w:r>
      <w:r w:rsidR="00CA0618" w:rsidRPr="00043345">
        <w:t xml:space="preserve"> therefore</w:t>
      </w:r>
      <w:r w:rsidR="00050631">
        <w:t>,</w:t>
      </w:r>
      <w:r w:rsidR="00CA0618" w:rsidRPr="00043345">
        <w:t xml:space="preserve"> be</w:t>
      </w:r>
      <w:r w:rsidR="00D10466" w:rsidRPr="00043345">
        <w:t>en</w:t>
      </w:r>
      <w:r w:rsidR="00CA0618" w:rsidRPr="00043345">
        <w:t xml:space="preserve"> interpreted </w:t>
      </w:r>
      <w:r w:rsidR="004B1382" w:rsidRPr="00043345">
        <w:t xml:space="preserve">by some </w:t>
      </w:r>
      <w:r w:rsidR="00CA0618" w:rsidRPr="00043345">
        <w:t xml:space="preserve">as a weakening </w:t>
      </w:r>
      <w:r w:rsidR="004B1382" w:rsidRPr="00043345">
        <w:t>– or perhaps even</w:t>
      </w:r>
      <w:r w:rsidR="00E835D8" w:rsidRPr="00043345">
        <w:t xml:space="preserve"> </w:t>
      </w:r>
      <w:r w:rsidR="002B1FDA">
        <w:t xml:space="preserve">as </w:t>
      </w:r>
      <w:r w:rsidR="00E835D8" w:rsidRPr="00043345">
        <w:t>a</w:t>
      </w:r>
      <w:r w:rsidR="004B1382" w:rsidRPr="00043345">
        <w:t xml:space="preserve"> </w:t>
      </w:r>
      <w:r w:rsidR="004B1382" w:rsidRPr="00043345">
        <w:rPr>
          <w:i/>
        </w:rPr>
        <w:t>revocation</w:t>
      </w:r>
      <w:r w:rsidR="004B1382" w:rsidRPr="00043345">
        <w:t xml:space="preserve"> – </w:t>
      </w:r>
      <w:r w:rsidR="00CA0618" w:rsidRPr="00043345">
        <w:t xml:space="preserve">of India’s persistent objector </w:t>
      </w:r>
      <w:r w:rsidR="004B1382" w:rsidRPr="00043345">
        <w:t>status</w:t>
      </w:r>
      <w:r>
        <w:t xml:space="preserve"> with regard to nuclear weapons testing</w:t>
      </w:r>
      <w:r w:rsidR="00CA0618" w:rsidRPr="00043345">
        <w:t>.</w:t>
      </w:r>
      <w:r w:rsidR="00601A8C" w:rsidRPr="00043345">
        <w:rPr>
          <w:rStyle w:val="FootnoteReference"/>
        </w:rPr>
        <w:footnoteReference w:id="34"/>
      </w:r>
      <w:r w:rsidR="00CA0618" w:rsidRPr="00043345">
        <w:t xml:space="preserve">  </w:t>
      </w:r>
    </w:p>
    <w:p w:rsidR="00CA0618" w:rsidRPr="00043345" w:rsidRDefault="00CA0618" w:rsidP="0066265B">
      <w:pPr>
        <w:spacing w:line="480" w:lineRule="auto"/>
        <w:ind w:firstLine="720"/>
        <w:jc w:val="both"/>
      </w:pPr>
      <w:r w:rsidRPr="00043345">
        <w:t xml:space="preserve">To </w:t>
      </w:r>
      <w:r w:rsidR="00C7067A" w:rsidRPr="00043345">
        <w:t>summarise</w:t>
      </w:r>
      <w:r w:rsidR="004C771B" w:rsidRPr="00043345">
        <w:t xml:space="preserve">, </w:t>
      </w:r>
      <w:r w:rsidRPr="00043345">
        <w:t>it has been argued</w:t>
      </w:r>
      <w:r w:rsidR="00D10466" w:rsidRPr="00043345">
        <w:t xml:space="preserve"> by some writers</w:t>
      </w:r>
      <w:r w:rsidRPr="00043345">
        <w:t xml:space="preserve"> that</w:t>
      </w:r>
      <w:r w:rsidR="002B1FDA">
        <w:t>:</w:t>
      </w:r>
      <w:r w:rsidRPr="00043345">
        <w:t xml:space="preserve"> </w:t>
      </w:r>
      <w:r w:rsidR="00006610" w:rsidRPr="00043345">
        <w:t xml:space="preserve">1) </w:t>
      </w:r>
      <w:r w:rsidRPr="00043345">
        <w:t xml:space="preserve">India is </w:t>
      </w:r>
      <w:r w:rsidRPr="00043345">
        <w:rPr>
          <w:i/>
        </w:rPr>
        <w:t>prima facie</w:t>
      </w:r>
      <w:r w:rsidRPr="00043345">
        <w:t xml:space="preserve"> bound by </w:t>
      </w:r>
      <w:r w:rsidR="00BA22EE" w:rsidRPr="00043345">
        <w:t xml:space="preserve">a </w:t>
      </w:r>
      <w:r w:rsidRPr="00043345">
        <w:t xml:space="preserve">customary </w:t>
      </w:r>
      <w:r w:rsidR="00AE2399" w:rsidRPr="00043345">
        <w:t>comprehensive prohibition on the t</w:t>
      </w:r>
      <w:r w:rsidR="00006610" w:rsidRPr="00043345">
        <w:t xml:space="preserve">esting of nuclear </w:t>
      </w:r>
      <w:r w:rsidR="00050631">
        <w:t>weapons</w:t>
      </w:r>
      <w:r w:rsidR="00006610" w:rsidRPr="00043345">
        <w:t>;</w:t>
      </w:r>
      <w:r w:rsidRPr="00043345">
        <w:t xml:space="preserve"> </w:t>
      </w:r>
      <w:r w:rsidR="00006610" w:rsidRPr="00043345">
        <w:t xml:space="preserve">2) </w:t>
      </w:r>
      <w:r w:rsidRPr="00043345">
        <w:t xml:space="preserve">that any possible persistent objection to </w:t>
      </w:r>
      <w:r w:rsidR="00BA22EE" w:rsidRPr="00043345">
        <w:t>this obligation</w:t>
      </w:r>
      <w:r w:rsidRPr="00043345">
        <w:t xml:space="preserve"> </w:t>
      </w:r>
      <w:r w:rsidR="00E835D8" w:rsidRPr="00043345">
        <w:t>by India has been</w:t>
      </w:r>
      <w:r w:rsidRPr="00043345">
        <w:t xml:space="preserve"> overridden by the </w:t>
      </w:r>
      <w:r w:rsidR="00C7067A" w:rsidRPr="00043345">
        <w:t>fact that the norm in q</w:t>
      </w:r>
      <w:r w:rsidR="00ED094E" w:rsidRPr="00043345">
        <w:t xml:space="preserve">uestion </w:t>
      </w:r>
      <w:r w:rsidR="00AE2399" w:rsidRPr="00043345">
        <w:t>is</w:t>
      </w:r>
      <w:r w:rsidR="00ED094E" w:rsidRPr="00043345">
        <w:t xml:space="preserve"> of a peremptory character</w:t>
      </w:r>
      <w:r w:rsidR="00006610" w:rsidRPr="00043345">
        <w:t xml:space="preserve">; and 3) that, </w:t>
      </w:r>
      <w:r w:rsidR="003C1CF2" w:rsidRPr="00043345">
        <w:t>in any event</w:t>
      </w:r>
      <w:r w:rsidR="00006610" w:rsidRPr="00043345">
        <w:t xml:space="preserve">, India has now accepted an international legal prohibition on </w:t>
      </w:r>
      <w:r w:rsidR="00AE2399" w:rsidRPr="00043345">
        <w:t xml:space="preserve">all forms of </w:t>
      </w:r>
      <w:r w:rsidR="009F2CB1" w:rsidRPr="00043345">
        <w:t xml:space="preserve">nuclear </w:t>
      </w:r>
      <w:r w:rsidR="00215D52">
        <w:t xml:space="preserve">weapons </w:t>
      </w:r>
      <w:r w:rsidR="00006610" w:rsidRPr="00043345">
        <w:t>testing through</w:t>
      </w:r>
      <w:r w:rsidR="00C7067A" w:rsidRPr="00043345">
        <w:t xml:space="preserve"> the adoption of </w:t>
      </w:r>
      <w:r w:rsidR="00006610" w:rsidRPr="00043345">
        <w:t>the 123 Agreement.</w:t>
      </w:r>
    </w:p>
    <w:p w:rsidR="00090C3A" w:rsidRPr="00043345" w:rsidRDefault="00CA0618" w:rsidP="0066265B">
      <w:pPr>
        <w:spacing w:line="480" w:lineRule="auto"/>
        <w:ind w:firstLine="720"/>
        <w:jc w:val="both"/>
      </w:pPr>
      <w:r w:rsidRPr="00043345">
        <w:t xml:space="preserve">The aim of this article is to </w:t>
      </w:r>
      <w:r w:rsidR="00C7067A" w:rsidRPr="00043345">
        <w:t xml:space="preserve">analyse and </w:t>
      </w:r>
      <w:r w:rsidRPr="00043345">
        <w:t>critique th</w:t>
      </w:r>
      <w:r w:rsidR="00C7067A" w:rsidRPr="00043345">
        <w:t>ese</w:t>
      </w:r>
      <w:r w:rsidRPr="00043345">
        <w:t xml:space="preserve"> argument</w:t>
      </w:r>
      <w:r w:rsidR="00C7067A" w:rsidRPr="00043345">
        <w:t>s</w:t>
      </w:r>
      <w:r w:rsidRPr="00043345">
        <w:t>.</w:t>
      </w:r>
      <w:r w:rsidR="00A93566" w:rsidRPr="00043345">
        <w:t xml:space="preserve">  </w:t>
      </w:r>
      <w:r w:rsidR="003746BC" w:rsidRPr="00043345">
        <w:t xml:space="preserve">Section </w:t>
      </w:r>
      <w:r w:rsidR="00903FED" w:rsidRPr="00043345">
        <w:t>II</w:t>
      </w:r>
      <w:r w:rsidR="0075124B" w:rsidRPr="00043345">
        <w:t xml:space="preserve"> </w:t>
      </w:r>
      <w:r w:rsidR="00090C3A" w:rsidRPr="00043345">
        <w:t xml:space="preserve">examines the extent to which the obligation under Article </w:t>
      </w:r>
      <w:r w:rsidR="00D10466" w:rsidRPr="00043345">
        <w:t>I</w:t>
      </w:r>
      <w:r w:rsidR="00090C3A" w:rsidRPr="00043345">
        <w:t xml:space="preserve"> </w:t>
      </w:r>
      <w:r w:rsidR="00D10466" w:rsidRPr="00043345">
        <w:t xml:space="preserve">of the </w:t>
      </w:r>
      <w:r w:rsidR="00E835D8" w:rsidRPr="00043345">
        <w:t xml:space="preserve">CTBT, which </w:t>
      </w:r>
      <w:r w:rsidR="00D10466" w:rsidRPr="00043345">
        <w:t>prohibit</w:t>
      </w:r>
      <w:r w:rsidR="00E835D8" w:rsidRPr="00043345">
        <w:t>s</w:t>
      </w:r>
      <w:r w:rsidR="00D10466" w:rsidRPr="00043345">
        <w:t xml:space="preserve"> </w:t>
      </w:r>
      <w:r w:rsidR="00E835D8" w:rsidRPr="00043345">
        <w:t xml:space="preserve">all forms of </w:t>
      </w:r>
      <w:r w:rsidR="00D10466" w:rsidRPr="00043345">
        <w:t>nuclear</w:t>
      </w:r>
      <w:r w:rsidR="00E835D8" w:rsidRPr="00043345">
        <w:t xml:space="preserve"> weapons testing,</w:t>
      </w:r>
      <w:r w:rsidR="00D10466" w:rsidRPr="00043345">
        <w:t xml:space="preserve"> </w:t>
      </w:r>
      <w:r w:rsidR="00090C3A" w:rsidRPr="00043345">
        <w:t xml:space="preserve">may </w:t>
      </w:r>
      <w:r w:rsidR="00173D1D">
        <w:t xml:space="preserve">also </w:t>
      </w:r>
      <w:r w:rsidR="00090C3A" w:rsidRPr="00043345">
        <w:t xml:space="preserve">be viewed as </w:t>
      </w:r>
      <w:r w:rsidR="00006610" w:rsidRPr="00043345">
        <w:t>a rule</w:t>
      </w:r>
      <w:r w:rsidR="00090C3A" w:rsidRPr="00043345">
        <w:t xml:space="preserve"> of customary international law.</w:t>
      </w:r>
      <w:r w:rsidR="00A93566" w:rsidRPr="00043345">
        <w:t xml:space="preserve">  </w:t>
      </w:r>
      <w:r w:rsidR="00090C3A" w:rsidRPr="00043345">
        <w:t>A</w:t>
      </w:r>
      <w:r w:rsidR="004447D6" w:rsidRPr="00043345">
        <w:t xml:space="preserve"> brief overview of the persistent objector rule </w:t>
      </w:r>
      <w:r w:rsidR="00903FED" w:rsidRPr="00043345">
        <w:t>as it is commonly understood</w:t>
      </w:r>
      <w:r w:rsidR="00090C3A" w:rsidRPr="00043345">
        <w:t xml:space="preserve"> is provided in </w:t>
      </w:r>
      <w:r w:rsidR="005523AB">
        <w:t>S</w:t>
      </w:r>
      <w:r w:rsidR="005523AB" w:rsidRPr="00043345">
        <w:t xml:space="preserve">ection </w:t>
      </w:r>
      <w:r w:rsidR="00090C3A" w:rsidRPr="00043345">
        <w:t xml:space="preserve">III, which then goes on to assess </w:t>
      </w:r>
      <w:r w:rsidR="00090C3A" w:rsidRPr="00043345">
        <w:lastRenderedPageBreak/>
        <w:t xml:space="preserve">whether India may correctly be seen as a persistent objector to the </w:t>
      </w:r>
      <w:r w:rsidR="00ED094E" w:rsidRPr="00043345">
        <w:t xml:space="preserve">alleged </w:t>
      </w:r>
      <w:r w:rsidR="00090C3A" w:rsidRPr="00043345">
        <w:t xml:space="preserve">customary </w:t>
      </w:r>
      <w:r w:rsidR="00006610" w:rsidRPr="00043345">
        <w:t>prohibition</w:t>
      </w:r>
      <w:r w:rsidR="00E835D8" w:rsidRPr="00043345">
        <w:t xml:space="preserve"> on nuclear testing</w:t>
      </w:r>
      <w:r w:rsidR="00090C3A" w:rsidRPr="00043345">
        <w:t>.  Section IV considers whether persistent objection is</w:t>
      </w:r>
      <w:r w:rsidR="00900FB1">
        <w:t>,</w:t>
      </w:r>
      <w:r w:rsidR="00090C3A" w:rsidRPr="00043345">
        <w:t xml:space="preserve"> </w:t>
      </w:r>
      <w:r w:rsidR="00D10466" w:rsidRPr="00043345">
        <w:t>in fact</w:t>
      </w:r>
      <w:r w:rsidR="00900FB1">
        <w:t>,</w:t>
      </w:r>
      <w:r w:rsidR="00D10466" w:rsidRPr="00043345">
        <w:t xml:space="preserve"> impermissible</w:t>
      </w:r>
      <w:r w:rsidR="00090C3A" w:rsidRPr="00043345">
        <w:t xml:space="preserve"> in relation to norms of </w:t>
      </w:r>
      <w:r w:rsidR="00090C3A" w:rsidRPr="00043345">
        <w:rPr>
          <w:i/>
        </w:rPr>
        <w:t>jus cogens</w:t>
      </w:r>
      <w:r w:rsidR="00D10466" w:rsidRPr="00043345">
        <w:t>, as is often claimed</w:t>
      </w:r>
      <w:r w:rsidR="004C771B" w:rsidRPr="00043345">
        <w:t>, and then</w:t>
      </w:r>
      <w:r w:rsidR="00090C3A" w:rsidRPr="00043345">
        <w:t xml:space="preserve"> question</w:t>
      </w:r>
      <w:r w:rsidR="00006610" w:rsidRPr="00043345">
        <w:t>s</w:t>
      </w:r>
      <w:r w:rsidR="00090C3A" w:rsidRPr="00043345">
        <w:t xml:space="preserve"> whether </w:t>
      </w:r>
      <w:r w:rsidR="00006610" w:rsidRPr="00043345">
        <w:t>the comprehensive test-ban is peremptory</w:t>
      </w:r>
      <w:r w:rsidR="004C771B" w:rsidRPr="00043345">
        <w:t>.  It is further considered</w:t>
      </w:r>
      <w:r w:rsidR="009F2CB1" w:rsidRPr="00043345">
        <w:t xml:space="preserve"> whether, </w:t>
      </w:r>
      <w:r w:rsidR="00006610" w:rsidRPr="00043345">
        <w:rPr>
          <w:i/>
        </w:rPr>
        <w:t>de facto</w:t>
      </w:r>
      <w:r w:rsidR="00006610" w:rsidRPr="00043345">
        <w:t xml:space="preserve">, the condemnation of India’s 1998 tests indicates that its </w:t>
      </w:r>
      <w:r w:rsidR="004C771B" w:rsidRPr="00043345">
        <w:t xml:space="preserve">apparent </w:t>
      </w:r>
      <w:r w:rsidR="00006610" w:rsidRPr="00043345">
        <w:t xml:space="preserve">persistent objector status was </w:t>
      </w:r>
      <w:r w:rsidR="0028349D">
        <w:t>“</w:t>
      </w:r>
      <w:r w:rsidR="00006610" w:rsidRPr="00043345">
        <w:t>overruled</w:t>
      </w:r>
      <w:r w:rsidR="00542DC7">
        <w:t>,</w:t>
      </w:r>
      <w:r w:rsidR="0028349D">
        <w:t>”</w:t>
      </w:r>
      <w:r w:rsidR="009F2CB1" w:rsidRPr="00043345">
        <w:t xml:space="preserve"> irrespective of </w:t>
      </w:r>
      <w:r w:rsidR="00E835D8" w:rsidRPr="00043345">
        <w:t xml:space="preserve">the </w:t>
      </w:r>
      <w:r w:rsidR="009F2CB1" w:rsidRPr="00043345">
        <w:t>peremptory status</w:t>
      </w:r>
      <w:r w:rsidR="00534933" w:rsidRPr="00043345">
        <w:t xml:space="preserve"> of the norm</w:t>
      </w:r>
      <w:r w:rsidR="009F2CB1" w:rsidRPr="00043345">
        <w:t xml:space="preserve"> </w:t>
      </w:r>
      <w:r w:rsidR="009F2CB1" w:rsidRPr="00043345">
        <w:rPr>
          <w:i/>
        </w:rPr>
        <w:t>de jure</w:t>
      </w:r>
      <w:r w:rsidR="00006610" w:rsidRPr="00043345">
        <w:t xml:space="preserve">.  Finally, Section V </w:t>
      </w:r>
      <w:r w:rsidR="00ED094E" w:rsidRPr="00043345">
        <w:t>consider</w:t>
      </w:r>
      <w:r w:rsidR="00006610" w:rsidRPr="00043345">
        <w:t>s</w:t>
      </w:r>
      <w:r w:rsidR="00ED094E" w:rsidRPr="00043345">
        <w:t xml:space="preserve"> t</w:t>
      </w:r>
      <w:r w:rsidR="00090C3A" w:rsidRPr="00043345">
        <w:t>he implicatio</w:t>
      </w:r>
      <w:r w:rsidR="00ED094E" w:rsidRPr="00043345">
        <w:t>ns of the 123 A</w:t>
      </w:r>
      <w:r w:rsidR="00090C3A" w:rsidRPr="00043345">
        <w:t xml:space="preserve">greement in </w:t>
      </w:r>
      <w:r w:rsidR="00ED094E" w:rsidRPr="00043345">
        <w:t xml:space="preserve">relation to India’s </w:t>
      </w:r>
      <w:r w:rsidR="00E835D8" w:rsidRPr="00043345">
        <w:t>right to test</w:t>
      </w:r>
      <w:r w:rsidR="00F52CAF">
        <w:t>: does the</w:t>
      </w:r>
      <w:r w:rsidR="001D59A9">
        <w:t xml:space="preserve"> </w:t>
      </w:r>
      <w:r w:rsidR="00006610" w:rsidRPr="00043345">
        <w:t xml:space="preserve">Agreement require India to refrain from nuclear </w:t>
      </w:r>
      <w:r w:rsidR="00215D52">
        <w:t xml:space="preserve">weapons </w:t>
      </w:r>
      <w:r w:rsidR="00006610" w:rsidRPr="00043345">
        <w:t>testing</w:t>
      </w:r>
      <w:r w:rsidR="003C1CF2" w:rsidRPr="00043345">
        <w:t xml:space="preserve">, either </w:t>
      </w:r>
      <w:r w:rsidR="00173D1D">
        <w:t xml:space="preserve">in law </w:t>
      </w:r>
      <w:r w:rsidR="003C1CF2" w:rsidRPr="00043345">
        <w:t xml:space="preserve">or </w:t>
      </w:r>
      <w:r w:rsidR="00173D1D">
        <w:t>in fact?</w:t>
      </w:r>
      <w:r w:rsidR="00173D1D">
        <w:rPr>
          <w:i/>
        </w:rPr>
        <w:t xml:space="preserve">  </w:t>
      </w:r>
    </w:p>
    <w:p w:rsidR="00946286" w:rsidRPr="00043345" w:rsidRDefault="00090C3A" w:rsidP="0066265B">
      <w:pPr>
        <w:spacing w:line="480" w:lineRule="auto"/>
        <w:ind w:firstLine="720"/>
        <w:jc w:val="both"/>
      </w:pPr>
      <w:r w:rsidRPr="00043345">
        <w:t xml:space="preserve">Ultimately, </w:t>
      </w:r>
      <w:r w:rsidR="00E835D8" w:rsidRPr="00043345">
        <w:t>this article</w:t>
      </w:r>
      <w:r w:rsidRPr="00043345">
        <w:t xml:space="preserve"> argue</w:t>
      </w:r>
      <w:r w:rsidR="00E835D8" w:rsidRPr="00043345">
        <w:t>s</w:t>
      </w:r>
      <w:r w:rsidRPr="00043345">
        <w:t xml:space="preserve"> that India has maintained persistent objector status with regard to </w:t>
      </w:r>
      <w:r w:rsidR="00006610" w:rsidRPr="00043345">
        <w:t xml:space="preserve">a customary </w:t>
      </w:r>
      <w:r w:rsidR="009F4809" w:rsidRPr="00043345">
        <w:t xml:space="preserve">comprehensive </w:t>
      </w:r>
      <w:r w:rsidR="00006610" w:rsidRPr="00043345">
        <w:t xml:space="preserve">test-ban </w:t>
      </w:r>
      <w:r w:rsidR="004C771B" w:rsidRPr="00043345">
        <w:t>(</w:t>
      </w:r>
      <w:r w:rsidR="00ED094E" w:rsidRPr="00043345">
        <w:t>to the extent that th</w:t>
      </w:r>
      <w:r w:rsidR="00006610" w:rsidRPr="00043345">
        <w:t>is</w:t>
      </w:r>
      <w:r w:rsidR="00ED094E" w:rsidRPr="00043345">
        <w:t xml:space="preserve"> </w:t>
      </w:r>
      <w:r w:rsidR="00050631">
        <w:t xml:space="preserve">prohibition </w:t>
      </w:r>
      <w:r w:rsidR="00ED094E" w:rsidRPr="00043345">
        <w:t xml:space="preserve">may be viewed as </w:t>
      </w:r>
      <w:r w:rsidR="00006610" w:rsidRPr="00043345">
        <w:t xml:space="preserve">a </w:t>
      </w:r>
      <w:r w:rsidR="00ED094E" w:rsidRPr="00043345">
        <w:t>customary obligation at all</w:t>
      </w:r>
      <w:r w:rsidR="004C771B" w:rsidRPr="00043345">
        <w:t>)</w:t>
      </w:r>
      <w:r w:rsidRPr="00043345">
        <w:t xml:space="preserve">.  The </w:t>
      </w:r>
      <w:r w:rsidR="004C771B" w:rsidRPr="00043345">
        <w:t>test-ban</w:t>
      </w:r>
      <w:r w:rsidR="00006610" w:rsidRPr="00043345">
        <w:t xml:space="preserve"> </w:t>
      </w:r>
      <w:r w:rsidR="009F4809" w:rsidRPr="00043345">
        <w:t>i</w:t>
      </w:r>
      <w:r w:rsidRPr="00043345">
        <w:t>s</w:t>
      </w:r>
      <w:r w:rsidR="009F4809" w:rsidRPr="00043345">
        <w:t xml:space="preserve"> certainly not a </w:t>
      </w:r>
      <w:r w:rsidR="009F4809" w:rsidRPr="00043345">
        <w:rPr>
          <w:i/>
        </w:rPr>
        <w:t>jus cogens</w:t>
      </w:r>
      <w:r w:rsidR="009F4809" w:rsidRPr="00043345">
        <w:t xml:space="preserve"> norm and</w:t>
      </w:r>
      <w:r w:rsidR="00911768">
        <w:t>,</w:t>
      </w:r>
      <w:r w:rsidR="009F4809" w:rsidRPr="00043345">
        <w:t xml:space="preserve"> in any event,</w:t>
      </w:r>
      <w:r w:rsidRPr="00043345">
        <w:t xml:space="preserve"> it is clear that India successfully maintain</w:t>
      </w:r>
      <w:r w:rsidR="004C771B" w:rsidRPr="00043345">
        <w:t>ed</w:t>
      </w:r>
      <w:r w:rsidRPr="00043345">
        <w:t xml:space="preserve"> its persistent obj</w:t>
      </w:r>
      <w:r w:rsidR="004C771B" w:rsidRPr="00043345">
        <w:t xml:space="preserve">ector stance </w:t>
      </w:r>
      <w:r w:rsidR="009F4809" w:rsidRPr="00043345">
        <w:rPr>
          <w:i/>
        </w:rPr>
        <w:t>de facto</w:t>
      </w:r>
      <w:r w:rsidR="009F4809" w:rsidRPr="00043345">
        <w:t xml:space="preserve"> </w:t>
      </w:r>
      <w:r w:rsidR="004C771B" w:rsidRPr="00043345">
        <w:t>following the 1998 tests.  Moreover, t</w:t>
      </w:r>
      <w:r w:rsidRPr="00043345">
        <w:t xml:space="preserve">he 123 Agreement </w:t>
      </w:r>
      <w:r w:rsidR="00006610" w:rsidRPr="00043345">
        <w:t>does not require India to refrain from testing</w:t>
      </w:r>
      <w:r w:rsidR="009F4809" w:rsidRPr="00043345">
        <w:t xml:space="preserve"> either</w:t>
      </w:r>
      <w:r w:rsidR="00006610" w:rsidRPr="00043345">
        <w:t xml:space="preserve">, at least not </w:t>
      </w:r>
      <w:r w:rsidR="00006610" w:rsidRPr="00043345">
        <w:rPr>
          <w:i/>
        </w:rPr>
        <w:t>de jure</w:t>
      </w:r>
      <w:r w:rsidRPr="00043345">
        <w:t>.</w:t>
      </w:r>
    </w:p>
    <w:p w:rsidR="003921E5" w:rsidRPr="00043345" w:rsidRDefault="003921E5" w:rsidP="00043345">
      <w:pPr>
        <w:jc w:val="center"/>
        <w:rPr>
          <w:b/>
        </w:rPr>
      </w:pPr>
      <w:r w:rsidRPr="00043345">
        <w:rPr>
          <w:b/>
        </w:rPr>
        <w:t>II. THE CUSTOMARY STA</w:t>
      </w:r>
      <w:r w:rsidR="00D56F1E" w:rsidRPr="00043345">
        <w:rPr>
          <w:b/>
        </w:rPr>
        <w:t xml:space="preserve">TUS OF THE </w:t>
      </w:r>
      <w:r w:rsidR="00F534AC">
        <w:rPr>
          <w:b/>
        </w:rPr>
        <w:t xml:space="preserve">COMPREHENSIVE NUCLEAR </w:t>
      </w:r>
      <w:r w:rsidR="00D56F1E" w:rsidRPr="00043345">
        <w:rPr>
          <w:b/>
        </w:rPr>
        <w:t>TEST-</w:t>
      </w:r>
      <w:r w:rsidR="004C771B" w:rsidRPr="00043345">
        <w:rPr>
          <w:b/>
        </w:rPr>
        <w:t>BAN</w:t>
      </w:r>
    </w:p>
    <w:p w:rsidR="003921E5" w:rsidRPr="00043345" w:rsidRDefault="003921E5" w:rsidP="00043345">
      <w:pPr>
        <w:jc w:val="both"/>
      </w:pPr>
    </w:p>
    <w:p w:rsidR="00B20703" w:rsidRPr="00043345" w:rsidRDefault="00397F24" w:rsidP="0066265B">
      <w:pPr>
        <w:spacing w:line="480" w:lineRule="auto"/>
        <w:ind w:firstLine="567"/>
        <w:jc w:val="both"/>
      </w:pPr>
      <w:r w:rsidRPr="00043345">
        <w:t xml:space="preserve">This </w:t>
      </w:r>
      <w:r w:rsidR="005523AB">
        <w:t>S</w:t>
      </w:r>
      <w:r w:rsidR="005523AB" w:rsidRPr="00043345">
        <w:t xml:space="preserve">ection </w:t>
      </w:r>
      <w:r w:rsidRPr="00043345">
        <w:t>considers whether a comprehensive prohibition on nuclear testing may h</w:t>
      </w:r>
      <w:r w:rsidR="00B20703" w:rsidRPr="00043345">
        <w:t>ave achieved customary status</w:t>
      </w:r>
      <w:r w:rsidR="004B0591" w:rsidRPr="00043345">
        <w:t xml:space="preserve"> in international law</w:t>
      </w:r>
      <w:r w:rsidR="00B20703" w:rsidRPr="00043345">
        <w:t xml:space="preserve">.  If so, this would make the obligation binding on India, at least </w:t>
      </w:r>
      <w:r w:rsidR="00B20703" w:rsidRPr="00043345">
        <w:rPr>
          <w:i/>
        </w:rPr>
        <w:t>prima facie</w:t>
      </w:r>
      <w:r w:rsidR="00B20703" w:rsidRPr="00043345">
        <w:t xml:space="preserve">.  </w:t>
      </w:r>
      <w:r w:rsidR="004B0591" w:rsidRPr="00043345">
        <w:t>A number of</w:t>
      </w:r>
      <w:r w:rsidR="00B20703" w:rsidRPr="00043345">
        <w:t xml:space="preserve"> writers have argued that a customary comprehensive nuclear test-ban norm has emerged.</w:t>
      </w:r>
      <w:r w:rsidR="00B20703" w:rsidRPr="00043345">
        <w:rPr>
          <w:rStyle w:val="FootnoteReference"/>
        </w:rPr>
        <w:footnoteReference w:id="35"/>
      </w:r>
      <w:r w:rsidR="00B20703" w:rsidRPr="00043345">
        <w:t xml:space="preserve">  In other words, it has been claimed that Article I of the CTBT has </w:t>
      </w:r>
      <w:r w:rsidR="0094323B">
        <w:t>been codified into, or perhaps reflect</w:t>
      </w:r>
      <w:r w:rsidR="00F52CAF">
        <w:t>s</w:t>
      </w:r>
      <w:r w:rsidR="0094323B">
        <w:t xml:space="preserve"> already existing, </w:t>
      </w:r>
      <w:r w:rsidR="00B20703" w:rsidRPr="00043345">
        <w:t xml:space="preserve">customary international law.  Article I </w:t>
      </w:r>
      <w:r w:rsidR="0094323B">
        <w:t xml:space="preserve">of the </w:t>
      </w:r>
      <w:r w:rsidR="00B20703" w:rsidRPr="00043345">
        <w:t>CTBT provides:</w:t>
      </w:r>
    </w:p>
    <w:p w:rsidR="00B20703" w:rsidRPr="00043345" w:rsidRDefault="00B20703" w:rsidP="00043345">
      <w:pPr>
        <w:spacing w:line="480" w:lineRule="auto"/>
        <w:jc w:val="both"/>
      </w:pPr>
    </w:p>
    <w:p w:rsidR="00B20703" w:rsidRPr="00043345" w:rsidRDefault="00B20703" w:rsidP="0066265B">
      <w:pPr>
        <w:numPr>
          <w:ilvl w:val="0"/>
          <w:numId w:val="3"/>
        </w:numPr>
        <w:autoSpaceDE w:val="0"/>
        <w:autoSpaceDN w:val="0"/>
        <w:adjustRightInd w:val="0"/>
        <w:ind w:left="720" w:right="720" w:firstLine="0"/>
        <w:jc w:val="both"/>
      </w:pPr>
      <w:r w:rsidRPr="00043345">
        <w:t>Each State Party undertakes not to carry out any nuclear weapon test explosion or any other nuclear explosion, and to prohibit and prevent any such nuclear explosion at any place under its jurisdiction or control.</w:t>
      </w:r>
    </w:p>
    <w:p w:rsidR="00B20703" w:rsidRPr="00043345" w:rsidRDefault="00B20703" w:rsidP="0066265B">
      <w:pPr>
        <w:autoSpaceDE w:val="0"/>
        <w:autoSpaceDN w:val="0"/>
        <w:adjustRightInd w:val="0"/>
        <w:ind w:left="720" w:right="720"/>
        <w:jc w:val="both"/>
      </w:pPr>
    </w:p>
    <w:p w:rsidR="00B20703" w:rsidRDefault="00B20703" w:rsidP="0066265B">
      <w:pPr>
        <w:numPr>
          <w:ilvl w:val="0"/>
          <w:numId w:val="3"/>
        </w:numPr>
        <w:autoSpaceDE w:val="0"/>
        <w:autoSpaceDN w:val="0"/>
        <w:adjustRightInd w:val="0"/>
        <w:ind w:left="720" w:right="720" w:firstLine="0"/>
        <w:jc w:val="both"/>
      </w:pPr>
      <w:r w:rsidRPr="00043345">
        <w:t>Each State Party undertakes, furthermore, to refrain from causing, encouraging, or in any way participating in the carrying out of any nuclear weapon test explosion or any other nuclear explosion.</w:t>
      </w:r>
    </w:p>
    <w:p w:rsidR="0066265B" w:rsidRPr="00043345" w:rsidRDefault="0066265B" w:rsidP="0066265B">
      <w:pPr>
        <w:autoSpaceDE w:val="0"/>
        <w:autoSpaceDN w:val="0"/>
        <w:adjustRightInd w:val="0"/>
        <w:ind w:right="720"/>
        <w:jc w:val="both"/>
      </w:pPr>
    </w:p>
    <w:p w:rsidR="00B20703" w:rsidRPr="00043345" w:rsidRDefault="00B20703" w:rsidP="00043345">
      <w:pPr>
        <w:spacing w:line="480" w:lineRule="auto"/>
        <w:jc w:val="both"/>
      </w:pPr>
      <w:r w:rsidRPr="00043345">
        <w:t xml:space="preserve">It is certainly possible for rules of customary international law to stem initially from obligations found in multilateral treaties and </w:t>
      </w:r>
      <w:r w:rsidR="0094323B">
        <w:t xml:space="preserve">to </w:t>
      </w:r>
      <w:r w:rsidRPr="00043345">
        <w:t>become binding on non-</w:t>
      </w:r>
      <w:r w:rsidR="0081252D">
        <w:t>P</w:t>
      </w:r>
      <w:r w:rsidR="0081252D" w:rsidRPr="00043345">
        <w:t>arties</w:t>
      </w:r>
      <w:r w:rsidRPr="00043345">
        <w:rPr>
          <w:rStyle w:val="FootnoteReference"/>
        </w:rPr>
        <w:footnoteReference w:id="36"/>
      </w:r>
      <w:r w:rsidRPr="00043345">
        <w:t xml:space="preserve"> </w:t>
      </w:r>
      <w:r w:rsidR="004B0591" w:rsidRPr="00043345">
        <w:t>and</w:t>
      </w:r>
      <w:r w:rsidR="00E835D8" w:rsidRPr="00043345">
        <w:t xml:space="preserve">, </w:t>
      </w:r>
      <w:r w:rsidR="00074ACF" w:rsidRPr="00043345">
        <w:t>more commonly</w:t>
      </w:r>
      <w:r w:rsidR="00E835D8" w:rsidRPr="00043345">
        <w:t>,</w:t>
      </w:r>
      <w:r w:rsidR="00074ACF" w:rsidRPr="00043345">
        <w:t xml:space="preserve"> </w:t>
      </w:r>
      <w:r w:rsidRPr="00043345">
        <w:t xml:space="preserve">for treaties to </w:t>
      </w:r>
      <w:r w:rsidR="0094323B">
        <w:t xml:space="preserve">codify </w:t>
      </w:r>
      <w:r w:rsidRPr="00043345">
        <w:t>existing custom.</w:t>
      </w:r>
      <w:r w:rsidRPr="00043345">
        <w:rPr>
          <w:rStyle w:val="FootnoteReference"/>
        </w:rPr>
        <w:footnoteReference w:id="37"/>
      </w:r>
      <w:r w:rsidRPr="00043345">
        <w:t xml:space="preserve">  In either instance, however, the </w:t>
      </w:r>
      <w:r w:rsidRPr="00043345">
        <w:rPr>
          <w:i/>
        </w:rPr>
        <w:t>customary</w:t>
      </w:r>
      <w:r w:rsidRPr="00043345">
        <w:t xml:space="preserve"> status of any given rule ultimately turns on whether said rule has been sufficiently practiced and whether </w:t>
      </w:r>
      <w:r w:rsidR="00583307">
        <w:t>S</w:t>
      </w:r>
      <w:r w:rsidR="00583307" w:rsidRPr="00043345">
        <w:t xml:space="preserve">tates </w:t>
      </w:r>
      <w:r w:rsidRPr="00043345">
        <w:t xml:space="preserve">have accepted the rule as being customary </w:t>
      </w:r>
      <w:r w:rsidR="004B0591" w:rsidRPr="00043345">
        <w:t xml:space="preserve">international </w:t>
      </w:r>
      <w:r w:rsidRPr="00043345">
        <w:t xml:space="preserve">law (the </w:t>
      </w:r>
      <w:r w:rsidRPr="00043345">
        <w:rPr>
          <w:i/>
        </w:rPr>
        <w:t>opinio juris</w:t>
      </w:r>
      <w:r w:rsidRPr="00043345">
        <w:t xml:space="preserve"> element)</w:t>
      </w:r>
      <w:r w:rsidR="00467BB1" w:rsidRPr="00043345">
        <w:t>,</w:t>
      </w:r>
      <w:r w:rsidR="00F534AC">
        <w:rPr>
          <w:rStyle w:val="FootnoteReference"/>
        </w:rPr>
        <w:footnoteReference w:id="38"/>
      </w:r>
      <w:r w:rsidR="00467BB1" w:rsidRPr="00043345">
        <w:t xml:space="preserve"> as is the case for any customary rule</w:t>
      </w:r>
      <w:r w:rsidRPr="00043345">
        <w:t>.</w:t>
      </w:r>
      <w:r w:rsidRPr="00043345">
        <w:rPr>
          <w:rStyle w:val="FootnoteReference"/>
        </w:rPr>
        <w:footnoteReference w:id="39"/>
      </w:r>
      <w:r w:rsidRPr="00043345">
        <w:t xml:space="preserve">  </w:t>
      </w:r>
    </w:p>
    <w:p w:rsidR="00B20703" w:rsidRPr="00043345" w:rsidRDefault="00B20703" w:rsidP="00043345">
      <w:pPr>
        <w:spacing w:line="480" w:lineRule="auto"/>
        <w:jc w:val="both"/>
      </w:pPr>
    </w:p>
    <w:p w:rsidR="00B20703" w:rsidRPr="00043345" w:rsidRDefault="000363BD" w:rsidP="0066265B">
      <w:pPr>
        <w:spacing w:line="480" w:lineRule="auto"/>
        <w:ind w:firstLine="720"/>
        <w:jc w:val="both"/>
      </w:pPr>
      <w:r w:rsidRPr="00043345">
        <w:t xml:space="preserve">The most obvious evidence </w:t>
      </w:r>
      <w:r w:rsidR="00B20703" w:rsidRPr="00043345">
        <w:t xml:space="preserve">of </w:t>
      </w:r>
      <w:r w:rsidR="00583307">
        <w:t>S</w:t>
      </w:r>
      <w:r w:rsidR="00583307" w:rsidRPr="00043345">
        <w:t xml:space="preserve">tate </w:t>
      </w:r>
      <w:r w:rsidR="00B20703" w:rsidRPr="00043345">
        <w:t xml:space="preserve">practice </w:t>
      </w:r>
      <w:r w:rsidRPr="00043345">
        <w:t>in</w:t>
      </w:r>
      <w:r w:rsidR="00AB57B4" w:rsidRPr="00043345">
        <w:t xml:space="preserve"> support </w:t>
      </w:r>
      <w:r w:rsidR="00C10010">
        <w:t xml:space="preserve">of </w:t>
      </w:r>
      <w:r w:rsidR="00AB57B4" w:rsidRPr="00043345">
        <w:t>th</w:t>
      </w:r>
      <w:r w:rsidRPr="00043345">
        <w:t>e customary status of the prohibition</w:t>
      </w:r>
      <w:r w:rsidR="00B20703" w:rsidRPr="00043345">
        <w:t xml:space="preserve"> on testing</w:t>
      </w:r>
      <w:r w:rsidR="00EE7E69" w:rsidRPr="00043345">
        <w:t xml:space="preserve"> </w:t>
      </w:r>
      <w:r w:rsidRPr="00043345">
        <w:t xml:space="preserve">is </w:t>
      </w:r>
      <w:r w:rsidR="00EE7E69" w:rsidRPr="00043345">
        <w:t xml:space="preserve">the CTBT itself.  </w:t>
      </w:r>
      <w:r w:rsidR="00742CB0" w:rsidRPr="00043345">
        <w:t>A</w:t>
      </w:r>
      <w:r w:rsidR="00EE7E69" w:rsidRPr="00043345">
        <w:t xml:space="preserve">s of </w:t>
      </w:r>
      <w:r w:rsidR="00AC59D6">
        <w:t>July</w:t>
      </w:r>
      <w:r w:rsidR="00EE7E69" w:rsidRPr="00043345">
        <w:t xml:space="preserve"> 2011, 182 </w:t>
      </w:r>
      <w:r w:rsidR="00583307">
        <w:t>S</w:t>
      </w:r>
      <w:r w:rsidR="00583307" w:rsidRPr="00043345">
        <w:t xml:space="preserve">tates </w:t>
      </w:r>
      <w:r w:rsidR="00EE7E69" w:rsidRPr="00043345">
        <w:t>ha</w:t>
      </w:r>
      <w:r w:rsidR="009923D8">
        <w:t>d</w:t>
      </w:r>
      <w:r w:rsidR="00911768">
        <w:t xml:space="preserve"> signed the CTBT</w:t>
      </w:r>
      <w:r w:rsidR="00AC59D6">
        <w:t xml:space="preserve"> and 154</w:t>
      </w:r>
      <w:r w:rsidR="00EE7E69" w:rsidRPr="00043345">
        <w:t xml:space="preserve"> of those </w:t>
      </w:r>
      <w:r w:rsidR="00583307">
        <w:t>S</w:t>
      </w:r>
      <w:r w:rsidR="00583307" w:rsidRPr="00043345">
        <w:t xml:space="preserve">tates </w:t>
      </w:r>
      <w:r w:rsidR="00EE7E69" w:rsidRPr="00043345">
        <w:t>ha</w:t>
      </w:r>
      <w:r w:rsidR="009923D8">
        <w:t>d</w:t>
      </w:r>
      <w:r w:rsidR="00EE7E69" w:rsidRPr="00043345">
        <w:t xml:space="preserve"> also ratified it.</w:t>
      </w:r>
      <w:r w:rsidR="00742CB0" w:rsidRPr="00043345">
        <w:rPr>
          <w:rStyle w:val="FootnoteReference"/>
        </w:rPr>
        <w:footnoteReference w:id="40"/>
      </w:r>
      <w:r w:rsidR="00EE7E69" w:rsidRPr="00043345">
        <w:t xml:space="preserve">  This </w:t>
      </w:r>
      <w:r w:rsidR="00742CB0" w:rsidRPr="00043345">
        <w:t>demonstrates</w:t>
      </w:r>
      <w:r w:rsidR="00EE7E69" w:rsidRPr="00043345">
        <w:t xml:space="preserve"> notable </w:t>
      </w:r>
      <w:r w:rsidR="00583307">
        <w:t>S</w:t>
      </w:r>
      <w:r w:rsidR="00583307" w:rsidRPr="00043345">
        <w:t xml:space="preserve">tate </w:t>
      </w:r>
      <w:r w:rsidR="00EE7E69" w:rsidRPr="00043345">
        <w:t xml:space="preserve">practice in favour of the comprehensive test-ban.  </w:t>
      </w:r>
      <w:r w:rsidR="00742CB0" w:rsidRPr="00043345">
        <w:t xml:space="preserve">Indeed, </w:t>
      </w:r>
      <w:r w:rsidR="009923D8">
        <w:t>“</w:t>
      </w:r>
      <w:r w:rsidR="00EE7E69" w:rsidRPr="00043345">
        <w:t>[t]he significance of that statistic</w:t>
      </w:r>
      <w:r w:rsidR="00911768">
        <w:t xml:space="preserve"> deserves emphasis: 150 [now 154</w:t>
      </w:r>
      <w:r w:rsidR="00EE7E69" w:rsidRPr="00043345">
        <w:t xml:space="preserve">] national parliaments have </w:t>
      </w:r>
      <w:r w:rsidR="00E31B66" w:rsidRPr="00043345">
        <w:t>scrutinised</w:t>
      </w:r>
      <w:r w:rsidR="00EE7E69" w:rsidRPr="00043345">
        <w:t xml:space="preserve"> the treaty, considered national security interests juxtaposed against all other factors </w:t>
      </w:r>
      <w:r w:rsidR="00E31B66" w:rsidRPr="00043345">
        <w:t>and concluded by approving ratification.</w:t>
      </w:r>
      <w:r w:rsidR="0028349D">
        <w:t>”</w:t>
      </w:r>
      <w:r w:rsidR="00742CB0" w:rsidRPr="00043345">
        <w:rPr>
          <w:rStyle w:val="FootnoteReference"/>
        </w:rPr>
        <w:footnoteReference w:id="41"/>
      </w:r>
      <w:r w:rsidR="00B20703" w:rsidRPr="00043345">
        <w:t xml:space="preserve">  </w:t>
      </w:r>
    </w:p>
    <w:p w:rsidR="00E13D08" w:rsidRPr="00043345" w:rsidRDefault="0009112D" w:rsidP="0066265B">
      <w:pPr>
        <w:spacing w:line="480" w:lineRule="auto"/>
        <w:ind w:firstLine="720"/>
        <w:jc w:val="both"/>
      </w:pPr>
      <w:r w:rsidRPr="00043345">
        <w:t>The CTBT is also relevan</w:t>
      </w:r>
      <w:r w:rsidR="00A74F85" w:rsidRPr="00043345">
        <w:t>t</w:t>
      </w:r>
      <w:r w:rsidRPr="00043345">
        <w:t xml:space="preserve"> with regard to the </w:t>
      </w:r>
      <w:r w:rsidRPr="00043345">
        <w:rPr>
          <w:i/>
        </w:rPr>
        <w:t xml:space="preserve">opinio juris </w:t>
      </w:r>
      <w:r w:rsidR="00E13D08" w:rsidRPr="00043345">
        <w:t>requirement.  As t</w:t>
      </w:r>
      <w:r w:rsidR="00C07B05" w:rsidRPr="00043345">
        <w:t>he International Criminal Tribunal for the former Yugoslavia has held</w:t>
      </w:r>
      <w:r w:rsidR="00E13D08" w:rsidRPr="00043345">
        <w:t>,</w:t>
      </w:r>
      <w:r w:rsidR="00C07B05" w:rsidRPr="00043345">
        <w:t xml:space="preserve"> </w:t>
      </w:r>
      <w:r w:rsidR="00E31B66" w:rsidRPr="00043345">
        <w:t xml:space="preserve">treaty ratification </w:t>
      </w:r>
      <w:r w:rsidR="00E13D08" w:rsidRPr="00043345">
        <w:t>can</w:t>
      </w:r>
      <w:r w:rsidR="00E31B66" w:rsidRPr="00043345">
        <w:t xml:space="preserve"> be viewed as an authoritative expression of </w:t>
      </w:r>
      <w:r w:rsidR="00E31B66" w:rsidRPr="00043345">
        <w:rPr>
          <w:i/>
        </w:rPr>
        <w:t>opinio juris</w:t>
      </w:r>
      <w:r w:rsidR="00C07B05" w:rsidRPr="00043345">
        <w:t>.</w:t>
      </w:r>
      <w:r w:rsidR="00742CB0" w:rsidRPr="00043345">
        <w:rPr>
          <w:rStyle w:val="FootnoteReference"/>
        </w:rPr>
        <w:footnoteReference w:id="42"/>
      </w:r>
      <w:r w:rsidR="00AB57B4" w:rsidRPr="00043345">
        <w:t xml:space="preserve">  </w:t>
      </w:r>
      <w:r w:rsidR="00F534AC">
        <w:t>On this basis</w:t>
      </w:r>
      <w:r w:rsidR="00C07B05" w:rsidRPr="00043345">
        <w:t xml:space="preserve"> </w:t>
      </w:r>
      <w:r w:rsidR="00E31B66" w:rsidRPr="00043345">
        <w:t xml:space="preserve">the widespread support for the CTBT </w:t>
      </w:r>
      <w:r w:rsidRPr="00043345">
        <w:t>is</w:t>
      </w:r>
      <w:r w:rsidR="00E31B66" w:rsidRPr="00043345">
        <w:t xml:space="preserve"> suggestive of </w:t>
      </w:r>
      <w:r w:rsidRPr="00043345">
        <w:t>customary law formation</w:t>
      </w:r>
      <w:r w:rsidR="00742CB0" w:rsidRPr="00043345">
        <w:t xml:space="preserve"> (</w:t>
      </w:r>
      <w:r w:rsidRPr="00043345">
        <w:t xml:space="preserve">potentially </w:t>
      </w:r>
      <w:r w:rsidR="007E310D" w:rsidRPr="00043345">
        <w:t>representing</w:t>
      </w:r>
      <w:r w:rsidR="00742CB0" w:rsidRPr="00043345">
        <w:t xml:space="preserve"> both </w:t>
      </w:r>
      <w:r w:rsidR="00583307">
        <w:t>S</w:t>
      </w:r>
      <w:r w:rsidR="00583307" w:rsidRPr="00043345">
        <w:t xml:space="preserve">tate </w:t>
      </w:r>
      <w:r w:rsidR="00742CB0" w:rsidRPr="00043345">
        <w:t xml:space="preserve">practice and </w:t>
      </w:r>
      <w:r w:rsidR="00742CB0" w:rsidRPr="00043345">
        <w:rPr>
          <w:i/>
        </w:rPr>
        <w:t>opinio juris</w:t>
      </w:r>
      <w:r w:rsidR="00742CB0" w:rsidRPr="00043345">
        <w:t xml:space="preserve"> elements)</w:t>
      </w:r>
      <w:r w:rsidR="00E31B66" w:rsidRPr="00043345">
        <w:t>.</w:t>
      </w:r>
      <w:r w:rsidR="000363BD" w:rsidRPr="00043345">
        <w:rPr>
          <w:rStyle w:val="FootnoteReference"/>
        </w:rPr>
        <w:footnoteReference w:id="43"/>
      </w:r>
      <w:r w:rsidR="006D20FE" w:rsidRPr="00043345">
        <w:t xml:space="preserve">  </w:t>
      </w:r>
      <w:r w:rsidR="007F2538" w:rsidRPr="00043345">
        <w:t xml:space="preserve">Having said this, inferring </w:t>
      </w:r>
      <w:r w:rsidR="007F2538" w:rsidRPr="00043345">
        <w:rPr>
          <w:i/>
        </w:rPr>
        <w:t>opinio juris</w:t>
      </w:r>
      <w:r w:rsidR="007F2538" w:rsidRPr="00043345">
        <w:t xml:space="preserve"> from the signature or ratification of a treaty</w:t>
      </w:r>
      <w:r w:rsidR="00E13D08" w:rsidRPr="00043345">
        <w:t xml:space="preserve"> is problematic because </w:t>
      </w:r>
      <w:r w:rsidR="00583307">
        <w:t>S</w:t>
      </w:r>
      <w:r w:rsidR="00583307" w:rsidRPr="00043345">
        <w:t xml:space="preserve">tate </w:t>
      </w:r>
      <w:r w:rsidR="00E13D08" w:rsidRPr="00043345">
        <w:t xml:space="preserve">adherence to obligations contained in a treaty may simply be because </w:t>
      </w:r>
      <w:r w:rsidR="00E13D08" w:rsidRPr="00043345">
        <w:lastRenderedPageBreak/>
        <w:t xml:space="preserve">the treaty-based obligations are already binding on </w:t>
      </w:r>
      <w:r w:rsidR="00583307">
        <w:t>S</w:t>
      </w:r>
      <w:r w:rsidR="00583307" w:rsidRPr="00043345">
        <w:t xml:space="preserve">tates </w:t>
      </w:r>
      <w:r w:rsidR="0081252D">
        <w:t>P</w:t>
      </w:r>
      <w:r w:rsidR="0081252D" w:rsidRPr="00043345">
        <w:t>arties</w:t>
      </w:r>
      <w:r w:rsidR="001E70BD">
        <w:t>.  This is</w:t>
      </w:r>
      <w:r w:rsidR="00E13D08" w:rsidRPr="00043345">
        <w:t xml:space="preserve"> something that </w:t>
      </w:r>
      <w:r w:rsidR="00EF3B7E">
        <w:t xml:space="preserve">would seem to be particularly the case </w:t>
      </w:r>
      <w:r w:rsidR="00E13D08" w:rsidRPr="00043345">
        <w:t xml:space="preserve">when the treaty </w:t>
      </w:r>
      <w:r w:rsidR="00EF3B7E">
        <w:t xml:space="preserve">at issue </w:t>
      </w:r>
      <w:r w:rsidR="00E13D08" w:rsidRPr="00043345">
        <w:t>is one</w:t>
      </w:r>
      <w:r w:rsidR="001E70BD">
        <w:t xml:space="preserve"> that</w:t>
      </w:r>
      <w:r w:rsidR="00EF3B7E">
        <w:t xml:space="preserve"> has a </w:t>
      </w:r>
      <w:r w:rsidR="00E13D08" w:rsidRPr="00043345">
        <w:t>substantial membership</w:t>
      </w:r>
      <w:r w:rsidR="001E70BD">
        <w:t>, such as the CTBT (even in</w:t>
      </w:r>
      <w:r w:rsidR="001E70BD" w:rsidRPr="001E70BD">
        <w:t xml:space="preserve"> </w:t>
      </w:r>
      <w:r w:rsidR="001E70BD" w:rsidRPr="00043345">
        <w:t xml:space="preserve">spite of </w:t>
      </w:r>
      <w:r w:rsidR="001E70BD">
        <w:t>the fact that the CTBT is not yet in force).</w:t>
      </w:r>
      <w:r w:rsidR="001E70BD" w:rsidRPr="00043345">
        <w:rPr>
          <w:rStyle w:val="FootnoteReference"/>
        </w:rPr>
        <w:footnoteReference w:id="44"/>
      </w:r>
      <w:r w:rsidR="001E70BD">
        <w:t xml:space="preserve">  Thus</w:t>
      </w:r>
      <w:r w:rsidR="00E13D08" w:rsidRPr="00043345">
        <w:t xml:space="preserve">, treaty </w:t>
      </w:r>
      <w:r w:rsidR="00EF3B7E">
        <w:t xml:space="preserve">signature or </w:t>
      </w:r>
      <w:r w:rsidR="00E13D08" w:rsidRPr="00043345">
        <w:t xml:space="preserve">ratification alone is perhaps not entirely sufficient in terms of identifying </w:t>
      </w:r>
      <w:r w:rsidR="00E13D08" w:rsidRPr="00043345">
        <w:rPr>
          <w:i/>
        </w:rPr>
        <w:t>opinio juris</w:t>
      </w:r>
      <w:r w:rsidR="00E13D08" w:rsidRPr="00043345">
        <w:t xml:space="preserve"> supporting the emergence of a customary rule.</w:t>
      </w:r>
    </w:p>
    <w:p w:rsidR="006D20FE" w:rsidRPr="0066265B" w:rsidRDefault="00E13D08" w:rsidP="0066265B">
      <w:pPr>
        <w:spacing w:line="480" w:lineRule="auto"/>
        <w:ind w:firstLine="567"/>
        <w:jc w:val="both"/>
      </w:pPr>
      <w:r w:rsidRPr="00043345">
        <w:t>M</w:t>
      </w:r>
      <w:r w:rsidR="00DF51CD" w:rsidRPr="00043345">
        <w:t xml:space="preserve">ore than simply inferring </w:t>
      </w:r>
      <w:r w:rsidR="00DF51CD" w:rsidRPr="00043345">
        <w:rPr>
          <w:i/>
        </w:rPr>
        <w:t>opinio juris</w:t>
      </w:r>
      <w:r w:rsidR="00DF51CD" w:rsidRPr="00043345">
        <w:t xml:space="preserve"> from the signature or ratification of the CTBT, </w:t>
      </w:r>
      <w:r w:rsidRPr="00043345">
        <w:t xml:space="preserve">then, </w:t>
      </w:r>
      <w:r w:rsidR="00DF51CD" w:rsidRPr="00043345">
        <w:t xml:space="preserve">it is </w:t>
      </w:r>
      <w:r w:rsidR="007F2538" w:rsidRPr="00043345">
        <w:t>important to note</w:t>
      </w:r>
      <w:r w:rsidR="00DF51CD" w:rsidRPr="00043345">
        <w:t xml:space="preserve"> </w:t>
      </w:r>
      <w:r w:rsidR="00F534AC">
        <w:t xml:space="preserve">the </w:t>
      </w:r>
      <w:r w:rsidR="00DF51CD" w:rsidRPr="00043345">
        <w:t>explicit statement</w:t>
      </w:r>
      <w:r w:rsidR="006D20FE" w:rsidRPr="00043345">
        <w:t>s</w:t>
      </w:r>
      <w:r w:rsidR="00DF51CD" w:rsidRPr="00043345">
        <w:t xml:space="preserve"> of </w:t>
      </w:r>
      <w:r w:rsidR="00DF51CD" w:rsidRPr="00043345">
        <w:rPr>
          <w:i/>
        </w:rPr>
        <w:t>opinio juris</w:t>
      </w:r>
      <w:r w:rsidR="00DF51CD" w:rsidRPr="00043345">
        <w:t xml:space="preserve"> </w:t>
      </w:r>
      <w:r w:rsidR="007F2538" w:rsidRPr="00043345">
        <w:t xml:space="preserve">that were </w:t>
      </w:r>
      <w:r w:rsidR="00DF51CD" w:rsidRPr="00043345">
        <w:t xml:space="preserve">made during the development of the </w:t>
      </w:r>
      <w:r w:rsidR="004B0591" w:rsidRPr="00043345">
        <w:t>treaty</w:t>
      </w:r>
      <w:r w:rsidR="006D20FE" w:rsidRPr="00043345">
        <w:t xml:space="preserve">.  These indicate </w:t>
      </w:r>
      <w:r w:rsidR="00DF51CD" w:rsidRPr="00043345">
        <w:t xml:space="preserve">that </w:t>
      </w:r>
      <w:r w:rsidR="004B0591" w:rsidRPr="00043345">
        <w:t xml:space="preserve">at least some </w:t>
      </w:r>
      <w:r w:rsidR="00583307">
        <w:t>S</w:t>
      </w:r>
      <w:r w:rsidR="00583307" w:rsidRPr="00043345">
        <w:t xml:space="preserve">tates </w:t>
      </w:r>
      <w:r w:rsidR="006D20FE" w:rsidRPr="00043345">
        <w:t xml:space="preserve">felt that </w:t>
      </w:r>
      <w:r w:rsidR="00DF51CD" w:rsidRPr="00043345">
        <w:t>the core obligation</w:t>
      </w:r>
      <w:r w:rsidR="00A74F85" w:rsidRPr="00043345">
        <w:t xml:space="preserve"> not to test</w:t>
      </w:r>
      <w:r w:rsidR="00DF51CD" w:rsidRPr="00043345">
        <w:t xml:space="preserve"> </w:t>
      </w:r>
      <w:r w:rsidR="006D20FE" w:rsidRPr="00043345">
        <w:t xml:space="preserve">(contained in </w:t>
      </w:r>
      <w:r w:rsidR="00805BA3" w:rsidRPr="00043345">
        <w:t xml:space="preserve">Article I </w:t>
      </w:r>
      <w:r w:rsidR="00805BA3">
        <w:t xml:space="preserve">of the </w:t>
      </w:r>
      <w:r w:rsidR="006D20FE" w:rsidRPr="00043345">
        <w:t>CTBT)</w:t>
      </w:r>
      <w:r w:rsidR="00DF51CD" w:rsidRPr="00043345">
        <w:t xml:space="preserve"> was also emerging in custom.  For example, </w:t>
      </w:r>
      <w:r w:rsidR="00A74F85" w:rsidRPr="00043345">
        <w:t>Norwegian Prime Minister</w:t>
      </w:r>
      <w:r w:rsidR="006D20FE" w:rsidRPr="00043345">
        <w:t xml:space="preserve"> </w:t>
      </w:r>
      <w:r w:rsidR="006D20FE" w:rsidRPr="00043345">
        <w:rPr>
          <w:bCs/>
        </w:rPr>
        <w:t>Gro Harlem Brundtland stated in 1996 that:</w:t>
      </w:r>
    </w:p>
    <w:p w:rsidR="006D20FE" w:rsidRPr="00043345" w:rsidRDefault="006D20FE" w:rsidP="0066265B">
      <w:pPr>
        <w:autoSpaceDE w:val="0"/>
        <w:autoSpaceDN w:val="0"/>
        <w:adjustRightInd w:val="0"/>
        <w:ind w:left="720" w:right="720"/>
        <w:jc w:val="both"/>
      </w:pPr>
      <w:r w:rsidRPr="00043345">
        <w:t>Thanks to the United Nations, the norm of non-testing has been galvanized. It is today part and parcel of international law.  In the future, no country, whether it has signed that treaty or not, will be able to break that norm.</w:t>
      </w:r>
      <w:r w:rsidR="00F534AC">
        <w:t xml:space="preserve"> </w:t>
      </w:r>
      <w:r w:rsidRPr="00043345">
        <w:t xml:space="preserve"> That can no longer be done with impunity.</w:t>
      </w:r>
      <w:r w:rsidRPr="00043345">
        <w:rPr>
          <w:rStyle w:val="FootnoteReference"/>
        </w:rPr>
        <w:footnoteReference w:id="45"/>
      </w:r>
      <w:r w:rsidRPr="00043345">
        <w:rPr>
          <w:bCs/>
        </w:rPr>
        <w:t xml:space="preserve"> </w:t>
      </w:r>
    </w:p>
    <w:p w:rsidR="00AB57B4" w:rsidRPr="00043345" w:rsidRDefault="00AB57B4" w:rsidP="00043345">
      <w:pPr>
        <w:spacing w:line="480" w:lineRule="auto"/>
        <w:jc w:val="both"/>
      </w:pPr>
    </w:p>
    <w:p w:rsidR="007E310D" w:rsidRPr="00043345" w:rsidRDefault="00E31B66" w:rsidP="00043345">
      <w:pPr>
        <w:spacing w:line="480" w:lineRule="auto"/>
        <w:jc w:val="both"/>
      </w:pPr>
      <w:r w:rsidRPr="00043345">
        <w:lastRenderedPageBreak/>
        <w:t>However, viewing the CTBT</w:t>
      </w:r>
      <w:r w:rsidR="007F2538" w:rsidRPr="00043345">
        <w:t xml:space="preserve"> and its negotiations</w:t>
      </w:r>
      <w:r w:rsidRPr="00043345">
        <w:t xml:space="preserve"> as the basis for a customary international law prohibition is problematic for a number of reasons.  First, the treaty is not yet in force.  Of course</w:t>
      </w:r>
      <w:r w:rsidR="007E310D" w:rsidRPr="00043345">
        <w:t>,</w:t>
      </w:r>
      <w:r w:rsidRPr="00043345">
        <w:t xml:space="preserve"> </w:t>
      </w:r>
      <w:r w:rsidR="001D5516" w:rsidRPr="00043345">
        <w:t>th</w:t>
      </w:r>
      <w:r w:rsidR="001D5516">
        <w:t>is</w:t>
      </w:r>
      <w:r w:rsidR="001D5516" w:rsidRPr="00043345">
        <w:t xml:space="preserve"> </w:t>
      </w:r>
      <w:r w:rsidR="00A74F85" w:rsidRPr="00043345">
        <w:t>fact</w:t>
      </w:r>
      <w:r w:rsidRPr="00043345">
        <w:t xml:space="preserve"> </w:t>
      </w:r>
      <w:r w:rsidR="00805BA3">
        <w:t>alone</w:t>
      </w:r>
      <w:r w:rsidRPr="00043345">
        <w:t xml:space="preserve"> is not determina</w:t>
      </w:r>
      <w:r w:rsidR="00A74F85" w:rsidRPr="00043345">
        <w:t xml:space="preserve">tive.  It is entirely possible that </w:t>
      </w:r>
      <w:r w:rsidR="00583307">
        <w:t>S</w:t>
      </w:r>
      <w:r w:rsidR="00583307" w:rsidRPr="00043345">
        <w:t xml:space="preserve">tates </w:t>
      </w:r>
      <w:r w:rsidR="00A74F85" w:rsidRPr="00043345">
        <w:t xml:space="preserve">could have accepted – through practice and </w:t>
      </w:r>
      <w:r w:rsidR="00A74F85" w:rsidRPr="00043345">
        <w:rPr>
          <w:i/>
        </w:rPr>
        <w:t>opinio juris</w:t>
      </w:r>
      <w:r w:rsidR="00A74F85" w:rsidRPr="00043345">
        <w:t xml:space="preserve"> – norms contained within the CTBT as being binding in custom without the treaty itself being in force, especially as there is an extremely restrictive process for entry into force built-in to the CTBT.</w:t>
      </w:r>
      <w:r w:rsidR="00A74F85" w:rsidRPr="00043345">
        <w:rPr>
          <w:rStyle w:val="FootnoteReference"/>
        </w:rPr>
        <w:footnoteReference w:id="46"/>
      </w:r>
      <w:r w:rsidR="00A74F85" w:rsidRPr="00043345">
        <w:t xml:space="preserve">  Having said this, the fact that the CTBT is not yet in force </w:t>
      </w:r>
      <w:r w:rsidRPr="00043345">
        <w:t xml:space="preserve">is </w:t>
      </w:r>
      <w:r w:rsidR="0009112D" w:rsidRPr="00043345">
        <w:t>perhaps indicative</w:t>
      </w:r>
      <w:r w:rsidRPr="00043345">
        <w:t xml:space="preserve"> of a lack of acceptance</w:t>
      </w:r>
      <w:r w:rsidR="00AB57B4" w:rsidRPr="00043345">
        <w:t xml:space="preserve"> by the wider international community of the norms contained within the treaty</w:t>
      </w:r>
      <w:r w:rsidR="00A74F85" w:rsidRPr="00043345">
        <w:t xml:space="preserve"> and may</w:t>
      </w:r>
      <w:r w:rsidR="001D5516">
        <w:t>,</w:t>
      </w:r>
      <w:r w:rsidR="00A74F85" w:rsidRPr="00043345">
        <w:t xml:space="preserve"> thus</w:t>
      </w:r>
      <w:r w:rsidR="001D5516">
        <w:t>,</w:t>
      </w:r>
      <w:r w:rsidR="00A74F85" w:rsidRPr="00043345">
        <w:t xml:space="preserve"> evidence a lack of sufficient </w:t>
      </w:r>
      <w:r w:rsidR="00A74F85" w:rsidRPr="00043345">
        <w:rPr>
          <w:i/>
        </w:rPr>
        <w:t>opinio juris</w:t>
      </w:r>
      <w:r w:rsidR="00A74F85" w:rsidRPr="00043345">
        <w:t xml:space="preserve">.  </w:t>
      </w:r>
      <w:r w:rsidRPr="00043345">
        <w:t xml:space="preserve"> </w:t>
      </w:r>
    </w:p>
    <w:p w:rsidR="007E310D" w:rsidRPr="00043345" w:rsidRDefault="007E310D" w:rsidP="0066265B">
      <w:pPr>
        <w:spacing w:line="480" w:lineRule="auto"/>
        <w:ind w:firstLine="720"/>
        <w:jc w:val="both"/>
      </w:pPr>
      <w:r w:rsidRPr="00043345">
        <w:t>Secondly</w:t>
      </w:r>
      <w:r w:rsidR="00E31B66" w:rsidRPr="00043345">
        <w:t xml:space="preserve">, the CTBT is a </w:t>
      </w:r>
      <w:r w:rsidR="00AB57B4" w:rsidRPr="00043345">
        <w:t xml:space="preserve">relatively </w:t>
      </w:r>
      <w:r w:rsidR="00E31B66" w:rsidRPr="00043345">
        <w:t xml:space="preserve">recent treaty, which was opened for </w:t>
      </w:r>
      <w:r w:rsidR="00BA60CC" w:rsidRPr="00043345">
        <w:t>signature</w:t>
      </w:r>
      <w:r w:rsidR="00E31B66" w:rsidRPr="00043345">
        <w:t xml:space="preserve"> in 1996.  </w:t>
      </w:r>
      <w:r w:rsidR="00AB57B4" w:rsidRPr="00043345">
        <w:t xml:space="preserve">It does not have the longevity of, say, the NPT.  </w:t>
      </w:r>
      <w:r w:rsidR="00E31B66" w:rsidRPr="00043345">
        <w:t xml:space="preserve">This </w:t>
      </w:r>
      <w:r w:rsidR="00D14CB9">
        <w:t xml:space="preserve">might </w:t>
      </w:r>
      <w:r w:rsidR="00E31B66" w:rsidRPr="00043345">
        <w:t xml:space="preserve">suggest that sufficient time </w:t>
      </w:r>
      <w:r w:rsidR="00805BA3">
        <w:t>ha</w:t>
      </w:r>
      <w:r w:rsidR="00805BA3" w:rsidRPr="00043345">
        <w:t xml:space="preserve">s </w:t>
      </w:r>
      <w:r w:rsidR="00E31B66" w:rsidRPr="00043345">
        <w:t xml:space="preserve">yet to pass for any resulting </w:t>
      </w:r>
      <w:r w:rsidRPr="00043345">
        <w:t>customary norm to materialise</w:t>
      </w:r>
      <w:r w:rsidR="0009112D" w:rsidRPr="00043345">
        <w:t>.  Yet</w:t>
      </w:r>
      <w:r w:rsidR="00E31B66" w:rsidRPr="00043345">
        <w:t xml:space="preserve"> the length of time required for custom to </w:t>
      </w:r>
      <w:r w:rsidR="004B0591" w:rsidRPr="00043345">
        <w:t>develop</w:t>
      </w:r>
      <w:r w:rsidR="00190102" w:rsidRPr="00043345">
        <w:t xml:space="preserve"> is not fixed</w:t>
      </w:r>
      <w:r w:rsidR="00E31B66" w:rsidRPr="00043345">
        <w:t xml:space="preserve"> but</w:t>
      </w:r>
      <w:r w:rsidR="00190102" w:rsidRPr="00043345">
        <w:t>,</w:t>
      </w:r>
      <w:r w:rsidR="00E31B66" w:rsidRPr="00043345">
        <w:t xml:space="preserve"> </w:t>
      </w:r>
      <w:r w:rsidR="004B0591" w:rsidRPr="00043345">
        <w:t>rather</w:t>
      </w:r>
      <w:r w:rsidR="00190102" w:rsidRPr="00043345">
        <w:t>,</w:t>
      </w:r>
      <w:r w:rsidR="004B0591" w:rsidRPr="00043345">
        <w:t xml:space="preserve"> </w:t>
      </w:r>
      <w:r w:rsidR="00E31B66" w:rsidRPr="00043345">
        <w:t>is</w:t>
      </w:r>
      <w:r w:rsidR="004B0591" w:rsidRPr="00043345">
        <w:t xml:space="preserve"> </w:t>
      </w:r>
      <w:r w:rsidR="00E31B66" w:rsidRPr="00043345">
        <w:t>context specific and relative to the other criteria for the formation of customary law.</w:t>
      </w:r>
      <w:r w:rsidR="0009112D" w:rsidRPr="00043345">
        <w:rPr>
          <w:rStyle w:val="FootnoteReference"/>
        </w:rPr>
        <w:footnoteReference w:id="47"/>
      </w:r>
      <w:r w:rsidR="00E31B66" w:rsidRPr="00043345">
        <w:t xml:space="preserve">  </w:t>
      </w:r>
      <w:r w:rsidR="0009112D" w:rsidRPr="00043345">
        <w:t>Indeed, m</w:t>
      </w:r>
      <w:r w:rsidR="00E31B66" w:rsidRPr="00043345">
        <w:t>uch shorter periods of time have argu</w:t>
      </w:r>
      <w:r w:rsidR="00190102" w:rsidRPr="00043345">
        <w:t>ably sufficed</w:t>
      </w:r>
      <w:r w:rsidR="00E31B66" w:rsidRPr="00043345">
        <w:t xml:space="preserve"> in </w:t>
      </w:r>
      <w:r w:rsidR="00E31B66" w:rsidRPr="00043345">
        <w:lastRenderedPageBreak/>
        <w:t>certain instances.</w:t>
      </w:r>
      <w:r w:rsidR="0009112D" w:rsidRPr="00043345">
        <w:rPr>
          <w:rStyle w:val="FootnoteReference"/>
        </w:rPr>
        <w:footnoteReference w:id="48"/>
      </w:r>
      <w:r w:rsidR="00AB57B4" w:rsidRPr="00043345">
        <w:t xml:space="preserve">  </w:t>
      </w:r>
      <w:r w:rsidR="0009112D" w:rsidRPr="00043345">
        <w:t>T</w:t>
      </w:r>
      <w:r w:rsidR="00AB57B4" w:rsidRPr="00043345">
        <w:t>his temporal issue does not</w:t>
      </w:r>
      <w:r w:rsidR="00061A4F">
        <w:t>,</w:t>
      </w:r>
      <w:r w:rsidR="00AB57B4" w:rsidRPr="00043345">
        <w:t xml:space="preserve"> </w:t>
      </w:r>
      <w:r w:rsidR="0009112D" w:rsidRPr="00043345">
        <w:t>therefore</w:t>
      </w:r>
      <w:r w:rsidR="00061A4F">
        <w:t>,</w:t>
      </w:r>
      <w:r w:rsidR="0009112D" w:rsidRPr="00043345">
        <w:t xml:space="preserve"> </w:t>
      </w:r>
      <w:r w:rsidR="00AB57B4" w:rsidRPr="00043345">
        <w:t>rule out the existence of a customa</w:t>
      </w:r>
      <w:r w:rsidR="0009112D" w:rsidRPr="00043345">
        <w:t>ry norm flowing from the CTBT</w:t>
      </w:r>
      <w:r w:rsidR="00AB57B4" w:rsidRPr="00043345">
        <w:t>.</w:t>
      </w:r>
      <w:r w:rsidR="00E31B66" w:rsidRPr="00043345">
        <w:t xml:space="preserve">  </w:t>
      </w:r>
    </w:p>
    <w:p w:rsidR="007E310D" w:rsidRPr="00043345" w:rsidRDefault="004B0591" w:rsidP="00332040">
      <w:pPr>
        <w:spacing w:line="480" w:lineRule="auto"/>
        <w:ind w:firstLine="720"/>
        <w:jc w:val="both"/>
      </w:pPr>
      <w:r w:rsidRPr="00043345">
        <w:t xml:space="preserve">Another </w:t>
      </w:r>
      <w:r w:rsidR="00E31B66" w:rsidRPr="00043345">
        <w:t>critique of the claim that the CTBT has created binding custom</w:t>
      </w:r>
      <w:r w:rsidR="00190102" w:rsidRPr="00043345">
        <w:t>,</w:t>
      </w:r>
      <w:r w:rsidR="00E31B66" w:rsidRPr="00043345">
        <w:t xml:space="preserve"> in spite of the fact that a significant majority of </w:t>
      </w:r>
      <w:r w:rsidR="00583307">
        <w:t>S</w:t>
      </w:r>
      <w:r w:rsidR="00583307" w:rsidRPr="00043345">
        <w:t xml:space="preserve">tates </w:t>
      </w:r>
      <w:r w:rsidR="00E31B66" w:rsidRPr="00043345">
        <w:t>have signed it</w:t>
      </w:r>
      <w:r w:rsidR="00190102" w:rsidRPr="00043345">
        <w:t>,</w:t>
      </w:r>
      <w:r w:rsidR="00E31B66" w:rsidRPr="00043345">
        <w:t xml:space="preserve"> is that it is not merely the </w:t>
      </w:r>
      <w:r w:rsidR="0028349D">
        <w:t>“</w:t>
      </w:r>
      <w:r w:rsidR="00E31B66" w:rsidRPr="00043345">
        <w:t>usual suspects</w:t>
      </w:r>
      <w:r w:rsidR="0028349D">
        <w:t>”</w:t>
      </w:r>
      <w:r w:rsidR="00E31B66" w:rsidRPr="00043345">
        <w:t xml:space="preserve"> of the NPT </w:t>
      </w:r>
      <w:r w:rsidR="0009112D" w:rsidRPr="00043345">
        <w:t>non-</w:t>
      </w:r>
      <w:r w:rsidR="0081252D">
        <w:t>P</w:t>
      </w:r>
      <w:r w:rsidR="0081252D" w:rsidRPr="00043345">
        <w:t xml:space="preserve">arties </w:t>
      </w:r>
      <w:r w:rsidR="00E31B66" w:rsidRPr="00043345">
        <w:t xml:space="preserve">that have failed to ratify the treaty.  Indeed, more notably, </w:t>
      </w:r>
      <w:r w:rsidR="00BA60CC" w:rsidRPr="00043345">
        <w:t xml:space="preserve">a number of the </w:t>
      </w:r>
      <w:r w:rsidR="00E31B66" w:rsidRPr="00043345">
        <w:t xml:space="preserve">NPT </w:t>
      </w:r>
      <w:r w:rsidR="0009112D" w:rsidRPr="00043345">
        <w:t xml:space="preserve">nuclear weapon </w:t>
      </w:r>
      <w:r w:rsidR="00583307">
        <w:t>S</w:t>
      </w:r>
      <w:r w:rsidR="00583307" w:rsidRPr="00043345">
        <w:t xml:space="preserve">tates </w:t>
      </w:r>
      <w:r w:rsidR="0009112D" w:rsidRPr="00043345">
        <w:t>(</w:t>
      </w:r>
      <w:r w:rsidR="00E31B66" w:rsidRPr="00043345">
        <w:t>NWS</w:t>
      </w:r>
      <w:r w:rsidR="0009112D" w:rsidRPr="00043345">
        <w:t>)</w:t>
      </w:r>
      <w:r w:rsidR="00E31B66" w:rsidRPr="00043345">
        <w:t xml:space="preserve"> – the very </w:t>
      </w:r>
      <w:r w:rsidR="00583307">
        <w:t>S</w:t>
      </w:r>
      <w:r w:rsidR="00583307" w:rsidRPr="00043345">
        <w:t xml:space="preserve">tates </w:t>
      </w:r>
      <w:r w:rsidR="00E31B66" w:rsidRPr="00043345">
        <w:t xml:space="preserve">in a position to be able to conduct such tests </w:t>
      </w:r>
      <w:r w:rsidR="00BA60CC" w:rsidRPr="00043345">
        <w:t>– have rejected the CTBT</w:t>
      </w:r>
      <w:r w:rsidR="00AB57B4" w:rsidRPr="00043345">
        <w:t>.  Take, for example, the United States, which</w:t>
      </w:r>
      <w:r w:rsidR="009658C1" w:rsidRPr="00043345">
        <w:t>,</w:t>
      </w:r>
      <w:r w:rsidR="0009112D" w:rsidRPr="00043345">
        <w:t xml:space="preserve"> while having signed the treaty in 1996</w:t>
      </w:r>
      <w:r w:rsidR="009658C1" w:rsidRPr="00043345">
        <w:t>,</w:t>
      </w:r>
      <w:r w:rsidR="0009112D" w:rsidRPr="00043345">
        <w:t xml:space="preserve"> has </w:t>
      </w:r>
      <w:r w:rsidR="006521DB">
        <w:t xml:space="preserve">since </w:t>
      </w:r>
      <w:r w:rsidR="0009112D" w:rsidRPr="00043345">
        <w:t xml:space="preserve">failed to ratify </w:t>
      </w:r>
      <w:r w:rsidR="009658C1" w:rsidRPr="00043345">
        <w:t xml:space="preserve">it.  Indeed, </w:t>
      </w:r>
      <w:r w:rsidR="00190102" w:rsidRPr="00043345">
        <w:t>particularly</w:t>
      </w:r>
      <w:r w:rsidR="00AB57B4" w:rsidRPr="00043345">
        <w:t xml:space="preserve"> under the </w:t>
      </w:r>
      <w:r w:rsidR="006521DB">
        <w:t xml:space="preserve">(George W.) </w:t>
      </w:r>
      <w:r w:rsidR="00AB57B4" w:rsidRPr="00043345">
        <w:t>Bush administration</w:t>
      </w:r>
      <w:r w:rsidR="009658C1" w:rsidRPr="00043345">
        <w:t>, the United States</w:t>
      </w:r>
      <w:r w:rsidR="00AB57B4" w:rsidRPr="00043345">
        <w:t xml:space="preserve"> </w:t>
      </w:r>
      <w:r w:rsidR="0009112D" w:rsidRPr="00043345">
        <w:t xml:space="preserve">adopted a policy </w:t>
      </w:r>
      <w:r w:rsidR="00AB57B4" w:rsidRPr="00043345">
        <w:t xml:space="preserve">strongly opposed </w:t>
      </w:r>
      <w:r w:rsidR="00FC7C80">
        <w:t xml:space="preserve">to </w:t>
      </w:r>
      <w:r w:rsidR="00AB57B4" w:rsidRPr="00043345">
        <w:t>the CTBT.</w:t>
      </w:r>
      <w:r w:rsidR="0009112D" w:rsidRPr="00043345">
        <w:rPr>
          <w:rStyle w:val="FootnoteReference"/>
        </w:rPr>
        <w:footnoteReference w:id="49"/>
      </w:r>
    </w:p>
    <w:p w:rsidR="007E310D" w:rsidRPr="00043345" w:rsidRDefault="007E310D" w:rsidP="00043345">
      <w:pPr>
        <w:spacing w:line="480" w:lineRule="auto"/>
        <w:jc w:val="both"/>
      </w:pPr>
    </w:p>
    <w:p w:rsidR="00BA60CC" w:rsidRPr="00043345" w:rsidRDefault="00BA60CC" w:rsidP="00043345">
      <w:pPr>
        <w:spacing w:line="480" w:lineRule="auto"/>
        <w:jc w:val="both"/>
      </w:pPr>
      <w:r w:rsidRPr="00043345">
        <w:lastRenderedPageBreak/>
        <w:t xml:space="preserve">All of </w:t>
      </w:r>
      <w:r w:rsidR="001E70BD">
        <w:t xml:space="preserve">the above </w:t>
      </w:r>
      <w:r w:rsidRPr="00043345">
        <w:t xml:space="preserve">has led </w:t>
      </w:r>
      <w:r w:rsidRPr="00043345">
        <w:rPr>
          <w:rStyle w:val="authname"/>
        </w:rPr>
        <w:t>Le Mon to conclude:</w:t>
      </w:r>
    </w:p>
    <w:p w:rsidR="00EE7E69" w:rsidRDefault="00BA60CC" w:rsidP="0066265B">
      <w:pPr>
        <w:ind w:left="720" w:right="720"/>
        <w:jc w:val="both"/>
      </w:pPr>
      <w:r w:rsidRPr="00043345">
        <w:t>Given that the CTBT is such a recent document, and unfortunately has yet to even enter into force</w:t>
      </w:r>
      <w:r w:rsidR="009A1121">
        <w:t xml:space="preserve"> [. . .] </w:t>
      </w:r>
      <w:r w:rsidRPr="00043345">
        <w:t xml:space="preserve">its provisions cannot be considered to have developed into customary international law. Moreover, given that states specifically concerned with nuclear weapons testing have failed to ratify the treaty, they must lack the </w:t>
      </w:r>
      <w:r w:rsidRPr="00043345">
        <w:rPr>
          <w:i/>
        </w:rPr>
        <w:t>opinio juris</w:t>
      </w:r>
      <w:r w:rsidRPr="00043345">
        <w:t xml:space="preserve"> that they are prohibited from such testing, thus eliminating the argument that the CTBT codified existing customary international law.</w:t>
      </w:r>
      <w:r w:rsidRPr="00043345">
        <w:rPr>
          <w:rStyle w:val="FootnoteReference"/>
        </w:rPr>
        <w:footnoteReference w:id="50"/>
      </w:r>
    </w:p>
    <w:p w:rsidR="0066265B" w:rsidRPr="00043345" w:rsidRDefault="0066265B" w:rsidP="0066265B">
      <w:pPr>
        <w:ind w:left="720" w:right="720"/>
        <w:jc w:val="both"/>
      </w:pPr>
    </w:p>
    <w:p w:rsidR="007E310D" w:rsidRPr="00043345" w:rsidRDefault="00AB57B4" w:rsidP="00043345">
      <w:pPr>
        <w:spacing w:line="480" w:lineRule="auto"/>
        <w:jc w:val="both"/>
      </w:pPr>
      <w:r w:rsidRPr="00043345">
        <w:t>It is argued here that w</w:t>
      </w:r>
      <w:r w:rsidR="00BA60CC" w:rsidRPr="00043345">
        <w:t xml:space="preserve">hile </w:t>
      </w:r>
      <w:r w:rsidR="007E310D" w:rsidRPr="00043345">
        <w:t>none of the</w:t>
      </w:r>
      <w:r w:rsidR="00BA60CC" w:rsidRPr="00043345">
        <w:t xml:space="preserve"> </w:t>
      </w:r>
      <w:r w:rsidRPr="00043345">
        <w:t xml:space="preserve">issues </w:t>
      </w:r>
      <w:r w:rsidR="009658C1" w:rsidRPr="00043345">
        <w:t>raised</w:t>
      </w:r>
      <w:r w:rsidR="00BA60CC" w:rsidRPr="00043345">
        <w:t xml:space="preserve"> conclusively demonstrate that no customary test-ban has formed </w:t>
      </w:r>
      <w:r w:rsidR="007E310D" w:rsidRPr="00043345">
        <w:t xml:space="preserve">based on the CTBT </w:t>
      </w:r>
      <w:r w:rsidR="00BA60CC" w:rsidRPr="00043345">
        <w:t xml:space="preserve">as Le Mon concludes, </w:t>
      </w:r>
      <w:r w:rsidRPr="00043345">
        <w:t>cumulatively the</w:t>
      </w:r>
      <w:r w:rsidR="000363BD" w:rsidRPr="00043345">
        <w:t>y</w:t>
      </w:r>
      <w:r w:rsidR="00F534AC">
        <w:t xml:space="preserve"> </w:t>
      </w:r>
      <w:r w:rsidR="00E347F0">
        <w:t xml:space="preserve">do </w:t>
      </w:r>
      <w:r w:rsidR="001E70BD">
        <w:t>appear</w:t>
      </w:r>
      <w:r w:rsidR="00E347F0">
        <w:t xml:space="preserve"> to </w:t>
      </w:r>
      <w:r w:rsidR="000363BD" w:rsidRPr="00043345">
        <w:t>undermine</w:t>
      </w:r>
      <w:r w:rsidR="00A04CB4">
        <w:t>, at least to an extent,</w:t>
      </w:r>
      <w:r w:rsidR="007E310D" w:rsidRPr="00043345">
        <w:t xml:space="preserve"> </w:t>
      </w:r>
      <w:r w:rsidR="0003345E">
        <w:t xml:space="preserve">a finding of such a customary prohibition </w:t>
      </w:r>
      <w:r w:rsidR="000363BD" w:rsidRPr="00043345">
        <w:t xml:space="preserve">based on </w:t>
      </w:r>
      <w:r w:rsidR="004B0591" w:rsidRPr="00043345">
        <w:t>the widespread</w:t>
      </w:r>
      <w:r w:rsidR="000363BD" w:rsidRPr="00043345">
        <w:t xml:space="preserve"> acceptance of</w:t>
      </w:r>
      <w:r w:rsidR="00BA60CC" w:rsidRPr="00043345">
        <w:t xml:space="preserve"> the CTBT alone.  </w:t>
      </w:r>
    </w:p>
    <w:p w:rsidR="00A43C0E" w:rsidRPr="00043345" w:rsidRDefault="00F44349" w:rsidP="0066265B">
      <w:pPr>
        <w:pStyle w:val="bodytext0"/>
        <w:spacing w:before="0" w:beforeAutospacing="0" w:after="0" w:afterAutospacing="0" w:line="480" w:lineRule="auto"/>
        <w:ind w:firstLine="720"/>
        <w:jc w:val="both"/>
      </w:pPr>
      <w:r>
        <w:t>T</w:t>
      </w:r>
      <w:r w:rsidR="009658C1" w:rsidRPr="00043345">
        <w:t>here are</w:t>
      </w:r>
      <w:r>
        <w:t>, however,</w:t>
      </w:r>
      <w:r w:rsidR="009658C1" w:rsidRPr="00043345">
        <w:t xml:space="preserve"> other factors </w:t>
      </w:r>
      <w:r>
        <w:t>that</w:t>
      </w:r>
      <w:r w:rsidR="009658C1" w:rsidRPr="00043345">
        <w:t xml:space="preserve"> would support the customary status of </w:t>
      </w:r>
      <w:r w:rsidR="0003345E">
        <w:t>a</w:t>
      </w:r>
      <w:r w:rsidR="009658C1" w:rsidRPr="00043345">
        <w:t xml:space="preserve"> comprehensive prohibition on nuclear testing.  First,</w:t>
      </w:r>
      <w:r w:rsidR="0009112D" w:rsidRPr="00043345">
        <w:t xml:space="preserve"> </w:t>
      </w:r>
      <w:r w:rsidR="00545E94" w:rsidRPr="00043345">
        <w:t>the widespread signing of, ratification of, and statements in support of</w:t>
      </w:r>
      <w:r w:rsidR="0009112D" w:rsidRPr="00043345">
        <w:t xml:space="preserve"> the CTBT </w:t>
      </w:r>
      <w:r w:rsidR="0034677B" w:rsidRPr="00043345">
        <w:t>must be viewed in light of</w:t>
      </w:r>
      <w:r w:rsidR="0009112D" w:rsidRPr="00043345">
        <w:t xml:space="preserve"> the more </w:t>
      </w:r>
      <w:r w:rsidR="009658C1" w:rsidRPr="00043345">
        <w:t>tangible</w:t>
      </w:r>
      <w:r w:rsidR="0009112D" w:rsidRPr="00043345">
        <w:t xml:space="preserve"> fact that only three </w:t>
      </w:r>
      <w:r w:rsidR="00583307">
        <w:t>S</w:t>
      </w:r>
      <w:r w:rsidR="00583307" w:rsidRPr="00043345">
        <w:t xml:space="preserve">tates </w:t>
      </w:r>
      <w:r w:rsidR="0009112D" w:rsidRPr="00043345">
        <w:t xml:space="preserve">(India, Pakistan and </w:t>
      </w:r>
      <w:r w:rsidR="00EE156F" w:rsidRPr="00043345">
        <w:t>the DPRK</w:t>
      </w:r>
      <w:r w:rsidR="0009112D" w:rsidRPr="00043345">
        <w:t xml:space="preserve">) have tested nuclear weapons since 1996, and only one </w:t>
      </w:r>
      <w:r w:rsidR="00E347F0">
        <w:t xml:space="preserve">of these </w:t>
      </w:r>
      <w:r w:rsidR="0009112D" w:rsidRPr="00043345">
        <w:t>(</w:t>
      </w:r>
      <w:r w:rsidR="00EE156F" w:rsidRPr="00043345">
        <w:t>the DPRK</w:t>
      </w:r>
      <w:r w:rsidR="0009112D" w:rsidRPr="00043345">
        <w:t>) has done so since 1998.</w:t>
      </w:r>
      <w:r w:rsidR="00F534AC">
        <w:t xml:space="preserve"> </w:t>
      </w:r>
      <w:r w:rsidR="0009112D" w:rsidRPr="00043345">
        <w:t xml:space="preserve"> </w:t>
      </w:r>
      <w:r w:rsidR="00EA3F6E" w:rsidRPr="00043345">
        <w:t xml:space="preserve">The vast majority of </w:t>
      </w:r>
      <w:r w:rsidR="00583307">
        <w:t>S</w:t>
      </w:r>
      <w:r w:rsidR="00583307" w:rsidRPr="00043345">
        <w:t xml:space="preserve">tates </w:t>
      </w:r>
      <w:r w:rsidR="00EA3F6E" w:rsidRPr="00043345">
        <w:t>– including the majority of nuclear powers – have</w:t>
      </w:r>
      <w:r w:rsidR="0003345E">
        <w:t xml:space="preserve"> </w:t>
      </w:r>
      <w:r w:rsidR="00EA3F6E" w:rsidRPr="00043345">
        <w:t>refrained from conducting nuclear tests since the adoption of the CTBT by the General Assembly in 1996.</w:t>
      </w:r>
      <w:r w:rsidR="00F534AC" w:rsidRPr="00043345">
        <w:rPr>
          <w:rStyle w:val="FootnoteReference"/>
        </w:rPr>
        <w:footnoteReference w:id="51"/>
      </w:r>
    </w:p>
    <w:p w:rsidR="00642E2A" w:rsidRPr="00043345" w:rsidRDefault="00190102" w:rsidP="0066265B">
      <w:pPr>
        <w:pStyle w:val="bodytext0"/>
        <w:spacing w:before="0" w:beforeAutospacing="0" w:after="0" w:afterAutospacing="0" w:line="480" w:lineRule="auto"/>
        <w:ind w:firstLine="720"/>
        <w:jc w:val="both"/>
      </w:pPr>
      <w:r w:rsidRPr="00043345">
        <w:t xml:space="preserve">Indeed, this </w:t>
      </w:r>
      <w:r w:rsidR="00EA3F6E" w:rsidRPr="00043345">
        <w:t>pervasive stance of abstinence</w:t>
      </w:r>
      <w:r w:rsidR="00A43C0E" w:rsidRPr="00043345">
        <w:t xml:space="preserve"> from all forms of nuclear testing</w:t>
      </w:r>
      <w:r w:rsidRPr="00043345">
        <w:t xml:space="preserve"> </w:t>
      </w:r>
      <w:r w:rsidR="00A43C0E" w:rsidRPr="00043345">
        <w:t>has</w:t>
      </w:r>
      <w:r w:rsidRPr="00043345">
        <w:t xml:space="preserve"> often </w:t>
      </w:r>
      <w:r w:rsidR="00EA3F6E" w:rsidRPr="00043345">
        <w:t xml:space="preserve">been </w:t>
      </w:r>
      <w:r w:rsidRPr="00043345">
        <w:t>made explicit.</w:t>
      </w:r>
      <w:r w:rsidR="00642E2A" w:rsidRPr="00043345">
        <w:t xml:space="preserve">  </w:t>
      </w:r>
      <w:r w:rsidR="00A43C0E" w:rsidRPr="00043345">
        <w:t>For example, President George H.</w:t>
      </w:r>
      <w:r w:rsidR="00E347F0">
        <w:t xml:space="preserve"> </w:t>
      </w:r>
      <w:r w:rsidR="00A43C0E" w:rsidRPr="00043345">
        <w:t>W. Bush announced a United States moratorium on testing in 1992,</w:t>
      </w:r>
      <w:r w:rsidR="00A43C0E" w:rsidRPr="00043345">
        <w:rPr>
          <w:rStyle w:val="FootnoteReference"/>
        </w:rPr>
        <w:footnoteReference w:id="52"/>
      </w:r>
      <w:r w:rsidR="00A43C0E" w:rsidRPr="00043345">
        <w:t xml:space="preserve"> which has since been reaffirmed by </w:t>
      </w:r>
      <w:r w:rsidR="00A43C0E" w:rsidRPr="00043345">
        <w:lastRenderedPageBreak/>
        <w:t>subsequent administrations and remains in place.  The 1992 moratorium announcement contained a similar commitment from the United Kingdom.</w:t>
      </w:r>
      <w:r w:rsidR="00A43C0E" w:rsidRPr="00043345">
        <w:rPr>
          <w:rStyle w:val="FootnoteReference"/>
        </w:rPr>
        <w:footnoteReference w:id="53"/>
      </w:r>
      <w:r w:rsidR="00A43C0E" w:rsidRPr="00043345">
        <w:t xml:space="preserve">  </w:t>
      </w:r>
      <w:r w:rsidR="00E347F0">
        <w:t xml:space="preserve">The </w:t>
      </w:r>
      <w:r w:rsidR="00A43C0E" w:rsidRPr="00043345">
        <w:t>Russia</w:t>
      </w:r>
      <w:r w:rsidR="00E347F0">
        <w:t>n Federation</w:t>
      </w:r>
      <w:r w:rsidR="00EC049B">
        <w:t>,</w:t>
      </w:r>
      <w:r w:rsidR="00A43C0E" w:rsidRPr="00043345">
        <w:t xml:space="preserve"> too</w:t>
      </w:r>
      <w:r w:rsidR="00EC049B">
        <w:t>,</w:t>
      </w:r>
      <w:r w:rsidR="00A43C0E" w:rsidRPr="00043345">
        <w:t xml:space="preserve"> explicitly declared a moratorium on nuclear testing in 1990.</w:t>
      </w:r>
      <w:r w:rsidR="00A43C0E" w:rsidRPr="00043345">
        <w:rPr>
          <w:rStyle w:val="FootnoteReference"/>
        </w:rPr>
        <w:footnoteReference w:id="54"/>
      </w:r>
      <w:r w:rsidR="00A43C0E" w:rsidRPr="00043345">
        <w:t xml:space="preserve">  </w:t>
      </w:r>
      <w:r w:rsidR="00E347F0">
        <w:t>It</w:t>
      </w:r>
      <w:r w:rsidR="00A43C0E" w:rsidRPr="00043345">
        <w:t xml:space="preserve"> has consistently maintained this position since and has not tested nuclear weapons since the breakup of the Soviet Union.   Similarly, following its final nuclear tests in January 1996, Fr</w:t>
      </w:r>
      <w:r w:rsidR="002E3DE0" w:rsidRPr="00043345">
        <w:t>ench President Jacques Chirac</w:t>
      </w:r>
      <w:r w:rsidR="00A43C0E" w:rsidRPr="00043345">
        <w:t xml:space="preserve"> announced that </w:t>
      </w:r>
      <w:r w:rsidR="002E3DE0" w:rsidRPr="00043345">
        <w:t>France</w:t>
      </w:r>
      <w:r w:rsidR="00A43C0E" w:rsidRPr="00043345">
        <w:t xml:space="preserve"> would no longer test nuclear weapons,</w:t>
      </w:r>
      <w:r w:rsidR="00A43C0E" w:rsidRPr="00043345">
        <w:rPr>
          <w:rStyle w:val="FootnoteReference"/>
        </w:rPr>
        <w:footnoteReference w:id="55"/>
      </w:r>
      <w:r w:rsidR="00A43C0E" w:rsidRPr="00043345">
        <w:t xml:space="preserve"> thus reinstating </w:t>
      </w:r>
      <w:r w:rsidR="002948AE" w:rsidRPr="00043345">
        <w:t>France’</w:t>
      </w:r>
      <w:r w:rsidR="00A43C0E" w:rsidRPr="00043345">
        <w:t xml:space="preserve">s previous moratorium on </w:t>
      </w:r>
      <w:r w:rsidR="002948AE" w:rsidRPr="00043345">
        <w:t xml:space="preserve">all forms of </w:t>
      </w:r>
      <w:r w:rsidR="00A43C0E" w:rsidRPr="00043345">
        <w:t>testing.</w:t>
      </w:r>
      <w:r w:rsidR="00A43C0E" w:rsidRPr="00043345">
        <w:rPr>
          <w:rStyle w:val="FootnoteReference"/>
        </w:rPr>
        <w:footnoteReference w:id="56"/>
      </w:r>
    </w:p>
    <w:p w:rsidR="0009112D" w:rsidRPr="00043345" w:rsidRDefault="00EA3F6E" w:rsidP="0066265B">
      <w:pPr>
        <w:spacing w:line="480" w:lineRule="auto"/>
        <w:ind w:firstLine="720"/>
        <w:jc w:val="both"/>
      </w:pPr>
      <w:r w:rsidRPr="00043345">
        <w:t xml:space="preserve">This </w:t>
      </w:r>
      <w:r w:rsidR="00583307">
        <w:t>S</w:t>
      </w:r>
      <w:r w:rsidR="00583307" w:rsidRPr="00043345">
        <w:t xml:space="preserve">tate </w:t>
      </w:r>
      <w:r w:rsidRPr="00043345">
        <w:t xml:space="preserve">practice shows a widespread and general abstention from nuclear testing.  </w:t>
      </w:r>
      <w:r w:rsidR="00190102" w:rsidRPr="00043345">
        <w:t xml:space="preserve">With regard to </w:t>
      </w:r>
      <w:r w:rsidR="005E7408" w:rsidRPr="00043345">
        <w:t xml:space="preserve">the fact that three </w:t>
      </w:r>
      <w:r w:rsidR="00583307">
        <w:t>S</w:t>
      </w:r>
      <w:r w:rsidR="00583307" w:rsidRPr="00043345">
        <w:t xml:space="preserve">tates </w:t>
      </w:r>
      <w:r w:rsidR="005E7408" w:rsidRPr="00043345">
        <w:rPr>
          <w:i/>
        </w:rPr>
        <w:t>have</w:t>
      </w:r>
      <w:r w:rsidR="005E7408" w:rsidRPr="00043345">
        <w:t xml:space="preserve"> tested since then</w:t>
      </w:r>
      <w:r w:rsidR="00190102" w:rsidRPr="00043345">
        <w:t xml:space="preserve">, it </w:t>
      </w:r>
      <w:r w:rsidR="00E347F0">
        <w:t xml:space="preserve">should be </w:t>
      </w:r>
      <w:r w:rsidR="001F2691">
        <w:t>noted</w:t>
      </w:r>
      <w:r w:rsidR="00E347F0">
        <w:t xml:space="preserve"> </w:t>
      </w:r>
      <w:r w:rsidR="00190102" w:rsidRPr="00043345">
        <w:t xml:space="preserve">that </w:t>
      </w:r>
      <w:r w:rsidR="00190102" w:rsidRPr="00043345">
        <w:rPr>
          <w:i/>
        </w:rPr>
        <w:t>u</w:t>
      </w:r>
      <w:r w:rsidR="0009112D" w:rsidRPr="00043345">
        <w:rPr>
          <w:i/>
        </w:rPr>
        <w:t>niversal</w:t>
      </w:r>
      <w:r w:rsidR="0009112D" w:rsidRPr="00043345">
        <w:t xml:space="preserve"> practice is certainly not required for customary international law formation</w:t>
      </w:r>
      <w:r w:rsidR="005E7408" w:rsidRPr="00043345">
        <w:t>.</w:t>
      </w:r>
      <w:r w:rsidR="0009112D" w:rsidRPr="00043345">
        <w:rPr>
          <w:rStyle w:val="FootnoteReference"/>
        </w:rPr>
        <w:footnoteReference w:id="57"/>
      </w:r>
      <w:r w:rsidR="005E7408" w:rsidRPr="00043345">
        <w:t xml:space="preserve">  Moreover, </w:t>
      </w:r>
      <w:r w:rsidR="0009112D" w:rsidRPr="00043345">
        <w:t xml:space="preserve">as will be discussed in </w:t>
      </w:r>
      <w:r w:rsidR="005523AB">
        <w:t>S</w:t>
      </w:r>
      <w:r w:rsidR="005523AB" w:rsidRPr="00043345">
        <w:t xml:space="preserve">ection </w:t>
      </w:r>
      <w:r w:rsidR="0009112D" w:rsidRPr="00043345">
        <w:t xml:space="preserve">III, </w:t>
      </w:r>
      <w:r w:rsidR="005E7408" w:rsidRPr="00043345">
        <w:t>India, Pakistan and the DPRK</w:t>
      </w:r>
      <w:r w:rsidR="0009112D" w:rsidRPr="00043345">
        <w:t xml:space="preserve"> can perhaps be considered as persistent objector</w:t>
      </w:r>
      <w:r w:rsidR="001966F2">
        <w:t xml:space="preserve"> States</w:t>
      </w:r>
      <w:r w:rsidR="001E70BD">
        <w:t xml:space="preserve"> in any event.</w:t>
      </w:r>
    </w:p>
    <w:p w:rsidR="009658C1" w:rsidRPr="00043345" w:rsidRDefault="00F534AC" w:rsidP="0066265B">
      <w:pPr>
        <w:spacing w:line="480" w:lineRule="auto"/>
        <w:ind w:firstLine="720"/>
        <w:jc w:val="both"/>
      </w:pPr>
      <w:r>
        <w:lastRenderedPageBreak/>
        <w:t>Additionally</w:t>
      </w:r>
      <w:r w:rsidR="00BA60CC" w:rsidRPr="00043345">
        <w:t xml:space="preserve">, </w:t>
      </w:r>
      <w:r w:rsidR="00F72AF6" w:rsidRPr="00043345">
        <w:t xml:space="preserve">one </w:t>
      </w:r>
      <w:r w:rsidR="00E347F0">
        <w:t>could</w:t>
      </w:r>
      <w:r w:rsidR="00E347F0" w:rsidRPr="00043345">
        <w:t xml:space="preserve"> </w:t>
      </w:r>
      <w:r w:rsidR="00F72AF6" w:rsidRPr="00043345">
        <w:t>highlight</w:t>
      </w:r>
      <w:r w:rsidR="00BA60CC" w:rsidRPr="00043345">
        <w:t xml:space="preserve"> the </w:t>
      </w:r>
      <w:r w:rsidR="00E347F0">
        <w:t xml:space="preserve">international community’s </w:t>
      </w:r>
      <w:r w:rsidR="00BA60CC" w:rsidRPr="00043345">
        <w:t xml:space="preserve">reaction to the instances of nuclear testing in 1998 (India and Pakistan) and </w:t>
      </w:r>
      <w:r w:rsidR="00F72AF6" w:rsidRPr="00043345">
        <w:t>in 2006 and 2009</w:t>
      </w:r>
      <w:r w:rsidR="00BA60CC" w:rsidRPr="00043345">
        <w:t xml:space="preserve"> (</w:t>
      </w:r>
      <w:r w:rsidR="00EE156F" w:rsidRPr="00043345">
        <w:t>DPRK</w:t>
      </w:r>
      <w:r w:rsidR="00BA60CC" w:rsidRPr="00043345">
        <w:t xml:space="preserve">).  </w:t>
      </w:r>
      <w:r w:rsidR="00545E94" w:rsidRPr="00043345">
        <w:t>N</w:t>
      </w:r>
      <w:r w:rsidR="003921E5" w:rsidRPr="00043345">
        <w:t xml:space="preserve">umerous </w:t>
      </w:r>
      <w:r w:rsidR="00583307">
        <w:t>S</w:t>
      </w:r>
      <w:r w:rsidR="00583307" w:rsidRPr="00043345">
        <w:t xml:space="preserve">tates </w:t>
      </w:r>
      <w:r w:rsidR="003921E5" w:rsidRPr="00043345">
        <w:t>c</w:t>
      </w:r>
      <w:r w:rsidR="00545E94" w:rsidRPr="00043345">
        <w:t>ondemned the</w:t>
      </w:r>
      <w:r w:rsidR="003921E5" w:rsidRPr="00043345">
        <w:t xml:space="preserve"> 1998</w:t>
      </w:r>
      <w:r w:rsidR="00545E94" w:rsidRPr="00043345">
        <w:t xml:space="preserve"> tests by both India and Pakistan</w:t>
      </w:r>
      <w:r w:rsidR="002D299A" w:rsidRPr="00043345">
        <w:t>.</w:t>
      </w:r>
      <w:r w:rsidR="002D299A" w:rsidRPr="00043345">
        <w:rPr>
          <w:rStyle w:val="FootnoteReference"/>
        </w:rPr>
        <w:footnoteReference w:id="58"/>
      </w:r>
      <w:r w:rsidR="009658C1" w:rsidRPr="00043345">
        <w:t xml:space="preserve">  </w:t>
      </w:r>
      <w:r w:rsidR="00545E94" w:rsidRPr="00043345">
        <w:t>Indeed, the five NPT NWS issued a joint communiqué to this effect.</w:t>
      </w:r>
      <w:r w:rsidR="00545E94" w:rsidRPr="00043345">
        <w:rPr>
          <w:rStyle w:val="FootnoteReference"/>
        </w:rPr>
        <w:footnoteReference w:id="59"/>
      </w:r>
      <w:r w:rsidR="00545E94" w:rsidRPr="00043345">
        <w:t xml:space="preserve">  </w:t>
      </w:r>
      <w:r w:rsidR="00D86CA4" w:rsidRPr="00043345">
        <w:t>In 1998, for example, t</w:t>
      </w:r>
      <w:r w:rsidR="009658C1" w:rsidRPr="00043345">
        <w:t>he United States</w:t>
      </w:r>
      <w:r w:rsidR="00545E94" w:rsidRPr="00043345">
        <w:t xml:space="preserve"> – </w:t>
      </w:r>
      <w:r w:rsidR="00D86CA4" w:rsidRPr="00043345">
        <w:t xml:space="preserve">now </w:t>
      </w:r>
      <w:r w:rsidR="00545E94" w:rsidRPr="00043345">
        <w:t>India’s new partner in nuclear trade under the 123 Agreement –</w:t>
      </w:r>
      <w:r w:rsidR="00D86CA4" w:rsidRPr="00043345">
        <w:t xml:space="preserve"> led a</w:t>
      </w:r>
      <w:r w:rsidR="009658C1" w:rsidRPr="00043345">
        <w:t xml:space="preserve"> widespread sanctions </w:t>
      </w:r>
      <w:r w:rsidR="00D86CA4" w:rsidRPr="00043345">
        <w:t xml:space="preserve">campaign </w:t>
      </w:r>
      <w:r w:rsidR="009658C1" w:rsidRPr="00043345">
        <w:t xml:space="preserve">against India and Indian entities following </w:t>
      </w:r>
      <w:r w:rsidR="00D86CA4" w:rsidRPr="00043345">
        <w:t xml:space="preserve">the </w:t>
      </w:r>
      <w:r w:rsidR="00545E94" w:rsidRPr="00043345">
        <w:t>Pokhran-II</w:t>
      </w:r>
      <w:r w:rsidR="009658C1" w:rsidRPr="00043345">
        <w:t xml:space="preserve"> tests.</w:t>
      </w:r>
      <w:r w:rsidR="009658C1" w:rsidRPr="00043345">
        <w:rPr>
          <w:rStyle w:val="FootnoteReference"/>
        </w:rPr>
        <w:footnoteReference w:id="60"/>
      </w:r>
      <w:r w:rsidR="009658C1" w:rsidRPr="00043345">
        <w:t xml:space="preserve">  These san</w:t>
      </w:r>
      <w:r w:rsidR="00D86CA4" w:rsidRPr="00043345">
        <w:t>ctions were</w:t>
      </w:r>
      <w:r w:rsidR="00BF5CDA">
        <w:t xml:space="preserve"> </w:t>
      </w:r>
      <w:r w:rsidR="009658C1" w:rsidRPr="00043345">
        <w:t>general</w:t>
      </w:r>
      <w:r w:rsidR="00D86CA4" w:rsidRPr="00043345">
        <w:t>ly</w:t>
      </w:r>
      <w:r w:rsidR="009658C1" w:rsidRPr="00043345">
        <w:t xml:space="preserve"> unquestioned by other </w:t>
      </w:r>
      <w:r w:rsidR="00583307">
        <w:t>S</w:t>
      </w:r>
      <w:r w:rsidR="00583307" w:rsidRPr="00043345">
        <w:t>tates</w:t>
      </w:r>
      <w:r w:rsidR="009658C1" w:rsidRPr="00043345">
        <w:t>.</w:t>
      </w:r>
      <w:r w:rsidR="009658C1" w:rsidRPr="00043345">
        <w:rPr>
          <w:rStyle w:val="FootnoteReference"/>
        </w:rPr>
        <w:footnoteReference w:id="61"/>
      </w:r>
      <w:r w:rsidR="009658C1" w:rsidRPr="00043345">
        <w:t xml:space="preserve">  Overall, a</w:t>
      </w:r>
      <w:r w:rsidR="002D299A" w:rsidRPr="00043345">
        <w:t xml:space="preserve"> significant number of </w:t>
      </w:r>
      <w:r w:rsidR="00583307">
        <w:t>S</w:t>
      </w:r>
      <w:r w:rsidR="00583307" w:rsidRPr="00043345">
        <w:t xml:space="preserve">tates </w:t>
      </w:r>
      <w:r w:rsidR="009658C1" w:rsidRPr="00043345">
        <w:t>implied through their reaction</w:t>
      </w:r>
      <w:r w:rsidR="00E347F0">
        <w:t>s</w:t>
      </w:r>
      <w:r w:rsidR="009658C1" w:rsidRPr="00043345">
        <w:t xml:space="preserve"> in 1998</w:t>
      </w:r>
      <w:r w:rsidR="003921E5" w:rsidRPr="00043345">
        <w:t xml:space="preserve"> that </w:t>
      </w:r>
      <w:r w:rsidR="00115329" w:rsidRPr="00043345">
        <w:rPr>
          <w:rStyle w:val="Emphasis"/>
          <w:i w:val="0"/>
          <w:color w:val="000000"/>
        </w:rPr>
        <w:t>both India and Pakistan</w:t>
      </w:r>
      <w:r w:rsidR="003921E5" w:rsidRPr="00043345">
        <w:t xml:space="preserve"> </w:t>
      </w:r>
      <w:r w:rsidR="004B0591" w:rsidRPr="00043345">
        <w:t>had violated</w:t>
      </w:r>
      <w:r w:rsidR="00D37085" w:rsidRPr="00043345">
        <w:t xml:space="preserve"> a developed legal norm prohibiting </w:t>
      </w:r>
      <w:r w:rsidR="003921E5" w:rsidRPr="00043345">
        <w:t>nuclear testing</w:t>
      </w:r>
      <w:r w:rsidR="002D299A" w:rsidRPr="00043345">
        <w:t>.  Equally, in condemning the Indian</w:t>
      </w:r>
      <w:r w:rsidR="004B0591" w:rsidRPr="00043345">
        <w:t xml:space="preserve"> and Pakistani</w:t>
      </w:r>
      <w:r w:rsidR="002D299A" w:rsidRPr="00043345">
        <w:t xml:space="preserve"> tests, </w:t>
      </w:r>
      <w:r w:rsidR="004B0591" w:rsidRPr="00043345">
        <w:t xml:space="preserve">it is notable that </w:t>
      </w:r>
      <w:r w:rsidR="00583307">
        <w:t>S</w:t>
      </w:r>
      <w:r w:rsidR="00583307" w:rsidRPr="00043345">
        <w:t xml:space="preserve">tates </w:t>
      </w:r>
      <w:r w:rsidR="002D299A" w:rsidRPr="00043345">
        <w:t xml:space="preserve">did not </w:t>
      </w:r>
      <w:r w:rsidR="003921E5" w:rsidRPr="00043345">
        <w:t>explicitly refer to</w:t>
      </w:r>
      <w:r w:rsidR="00115329" w:rsidRPr="00043345">
        <w:t xml:space="preserve"> </w:t>
      </w:r>
      <w:r w:rsidR="004B0591" w:rsidRPr="00043345">
        <w:t xml:space="preserve">a </w:t>
      </w:r>
      <w:r w:rsidR="0028349D">
        <w:t>“</w:t>
      </w:r>
      <w:r w:rsidR="004B0591" w:rsidRPr="00043345">
        <w:t xml:space="preserve">breach of </w:t>
      </w:r>
      <w:r w:rsidR="003921E5" w:rsidRPr="00043345">
        <w:t>customary international law</w:t>
      </w:r>
      <w:r w:rsidR="0028349D">
        <w:t>”</w:t>
      </w:r>
      <w:r w:rsidR="002D299A" w:rsidRPr="00043345">
        <w:t xml:space="preserve"> as such</w:t>
      </w:r>
      <w:r w:rsidR="003921E5" w:rsidRPr="00043345">
        <w:t>.</w:t>
      </w:r>
      <w:r w:rsidR="00115329" w:rsidRPr="00043345">
        <w:rPr>
          <w:rStyle w:val="FootnoteReference"/>
        </w:rPr>
        <w:footnoteReference w:id="62"/>
      </w:r>
      <w:r w:rsidR="00F72AF6" w:rsidRPr="00043345">
        <w:t xml:space="preserve">  </w:t>
      </w:r>
    </w:p>
    <w:p w:rsidR="00C349EF" w:rsidRPr="0066265B" w:rsidRDefault="00F72AF6" w:rsidP="0066265B">
      <w:pPr>
        <w:autoSpaceDE w:val="0"/>
        <w:autoSpaceDN w:val="0"/>
        <w:adjustRightInd w:val="0"/>
        <w:spacing w:line="480" w:lineRule="auto"/>
        <w:ind w:firstLine="720"/>
        <w:jc w:val="both"/>
      </w:pPr>
      <w:r w:rsidRPr="00043345">
        <w:t xml:space="preserve">What is </w:t>
      </w:r>
      <w:r w:rsidR="004B0591" w:rsidRPr="00043345">
        <w:t xml:space="preserve">therefore </w:t>
      </w:r>
      <w:r w:rsidR="0015538D" w:rsidRPr="00043345">
        <w:t xml:space="preserve">perhaps </w:t>
      </w:r>
      <w:r w:rsidRPr="00043345">
        <w:t xml:space="preserve">more telling is that </w:t>
      </w:r>
      <w:r w:rsidR="002D299A" w:rsidRPr="00043345">
        <w:t xml:space="preserve">both the UN Security Council and the UN General Assembly passed resolutions </w:t>
      </w:r>
      <w:r w:rsidR="00545E94" w:rsidRPr="00043345">
        <w:t>condemning the Indian and Pakistani tests.</w:t>
      </w:r>
      <w:r w:rsidR="0022703F" w:rsidRPr="00043345">
        <w:t xml:space="preserve">  The Security Council adopted R</w:t>
      </w:r>
      <w:r w:rsidR="00545E94" w:rsidRPr="00043345">
        <w:t>esolution 1172</w:t>
      </w:r>
      <w:r w:rsidR="0015538D" w:rsidRPr="00043345">
        <w:t xml:space="preserve"> in June 1998</w:t>
      </w:r>
      <w:r w:rsidR="00C349EF" w:rsidRPr="00043345">
        <w:t xml:space="preserve">, which, </w:t>
      </w:r>
      <w:r w:rsidR="00C349EF" w:rsidRPr="00043345">
        <w:rPr>
          <w:i/>
        </w:rPr>
        <w:t>inter alia</w:t>
      </w:r>
      <w:r w:rsidR="00C349EF" w:rsidRPr="00043345">
        <w:t xml:space="preserve">, </w:t>
      </w:r>
      <w:r w:rsidR="00726BD6" w:rsidRPr="00043345">
        <w:t xml:space="preserve">demanded </w:t>
      </w:r>
      <w:r w:rsidR="0028349D">
        <w:t>“</w:t>
      </w:r>
      <w:r w:rsidR="00726BD6" w:rsidRPr="00043345">
        <w:t>that India and Pakistan refrain from further nuclear tests</w:t>
      </w:r>
      <w:r w:rsidR="0028349D">
        <w:t>”</w:t>
      </w:r>
      <w:r w:rsidR="00726BD6" w:rsidRPr="00043345">
        <w:t xml:space="preserve"> but also went on to call upon </w:t>
      </w:r>
      <w:r w:rsidR="0028349D">
        <w:t>“</w:t>
      </w:r>
      <w:r w:rsidR="00726BD6" w:rsidRPr="00043345">
        <w:t xml:space="preserve">all States not to carry out any nuclear weapon test </w:t>
      </w:r>
      <w:r w:rsidR="00726BD6" w:rsidRPr="00043345">
        <w:lastRenderedPageBreak/>
        <w:t>explosion or any other nuclear explosion in accordance with the provisions of the Comprehensive Nuclear Test Ban Treaty.</w:t>
      </w:r>
      <w:r w:rsidR="0028349D">
        <w:t>”</w:t>
      </w:r>
      <w:r w:rsidR="00726BD6" w:rsidRPr="00043345">
        <w:rPr>
          <w:rStyle w:val="FootnoteReference"/>
        </w:rPr>
        <w:footnoteReference w:id="63"/>
      </w:r>
      <w:r w:rsidR="00726BD6" w:rsidRPr="00043345">
        <w:t xml:space="preserve">  </w:t>
      </w:r>
      <w:r w:rsidR="00534933" w:rsidRPr="00043345">
        <w:t>For its part,</w:t>
      </w:r>
      <w:r w:rsidR="00C42A32" w:rsidRPr="00043345">
        <w:t xml:space="preserve"> the General Assembly </w:t>
      </w:r>
      <w:r w:rsidR="0028349D">
        <w:t>“</w:t>
      </w:r>
      <w:r w:rsidR="009F17C0" w:rsidRPr="00043345">
        <w:t xml:space="preserve">strongly </w:t>
      </w:r>
      <w:r w:rsidR="00C42A32" w:rsidRPr="00043345">
        <w:t>deplored</w:t>
      </w:r>
      <w:r w:rsidR="0028349D">
        <w:t>”</w:t>
      </w:r>
      <w:r w:rsidR="00C42A32" w:rsidRPr="00043345">
        <w:t xml:space="preserve"> the tests</w:t>
      </w:r>
      <w:r w:rsidR="0022703F" w:rsidRPr="00043345">
        <w:t xml:space="preserve"> in R</w:t>
      </w:r>
      <w:r w:rsidR="009F17C0" w:rsidRPr="00043345">
        <w:t>esolution 53/77</w:t>
      </w:r>
      <w:r w:rsidR="00C42A32" w:rsidRPr="00043345">
        <w:t>.</w:t>
      </w:r>
      <w:r w:rsidR="0015538D" w:rsidRPr="00043345">
        <w:rPr>
          <w:rStyle w:val="FootnoteReference"/>
        </w:rPr>
        <w:footnoteReference w:id="64"/>
      </w:r>
      <w:r w:rsidR="00DE3B51" w:rsidRPr="00043345">
        <w:t xml:space="preserve">  </w:t>
      </w:r>
      <w:r w:rsidR="00C84705" w:rsidRPr="00043345">
        <w:t>Security Council</w:t>
      </w:r>
      <w:r w:rsidR="0022703F" w:rsidRPr="00043345">
        <w:t xml:space="preserve"> R</w:t>
      </w:r>
      <w:r w:rsidR="00C42A32" w:rsidRPr="00043345">
        <w:t>esolution</w:t>
      </w:r>
      <w:r w:rsidR="00C84705" w:rsidRPr="00043345">
        <w:t xml:space="preserve"> 1172</w:t>
      </w:r>
      <w:r w:rsidR="00C42A32" w:rsidRPr="00043345">
        <w:t xml:space="preserve"> </w:t>
      </w:r>
      <w:r w:rsidR="0022703F" w:rsidRPr="00043345">
        <w:t>and General Assembly R</w:t>
      </w:r>
      <w:r w:rsidR="00C84705" w:rsidRPr="00043345">
        <w:t>esolution 53/77</w:t>
      </w:r>
      <w:r w:rsidR="00DE3B51" w:rsidRPr="00043345">
        <w:t xml:space="preserve"> – beyond their own direct legal implications –</w:t>
      </w:r>
      <w:r w:rsidR="00C84705" w:rsidRPr="00043345">
        <w:t xml:space="preserve"> </w:t>
      </w:r>
      <w:r w:rsidR="00C42A32" w:rsidRPr="00043345">
        <w:t xml:space="preserve">are </w:t>
      </w:r>
      <w:r w:rsidR="00DE3B51" w:rsidRPr="00043345">
        <w:t xml:space="preserve">also </w:t>
      </w:r>
      <w:r w:rsidR="00C42A32" w:rsidRPr="00043345">
        <w:t xml:space="preserve">suggestive of </w:t>
      </w:r>
      <w:r w:rsidR="00C42A32" w:rsidRPr="00043345">
        <w:rPr>
          <w:i/>
        </w:rPr>
        <w:t>opinio juris</w:t>
      </w:r>
      <w:r w:rsidR="00C42A32" w:rsidRPr="00043345">
        <w:t xml:space="preserve"> supporting an emerging customary prohibition.</w:t>
      </w:r>
      <w:r w:rsidR="00F534AC" w:rsidRPr="00043345">
        <w:rPr>
          <w:rStyle w:val="FootnoteReference"/>
        </w:rPr>
        <w:footnoteReference w:id="65"/>
      </w:r>
      <w:r w:rsidR="00726BD6" w:rsidRPr="00043345">
        <w:t xml:space="preserve">  It is particularly notable that Security Council Resolution 1172 did not merely stop at </w:t>
      </w:r>
      <w:r w:rsidR="004B0591" w:rsidRPr="00043345">
        <w:t>demanding</w:t>
      </w:r>
      <w:r w:rsidR="00726BD6" w:rsidRPr="00043345">
        <w:t xml:space="preserve"> </w:t>
      </w:r>
      <w:r w:rsidR="00E347F0">
        <w:t xml:space="preserve">that </w:t>
      </w:r>
      <w:r w:rsidR="00726BD6" w:rsidRPr="00043345">
        <w:t>India an</w:t>
      </w:r>
      <w:r w:rsidR="00D86CA4" w:rsidRPr="00043345">
        <w:t>d Pakistan refrain from testing</w:t>
      </w:r>
      <w:r w:rsidR="00726BD6" w:rsidRPr="00043345">
        <w:t xml:space="preserve"> but </w:t>
      </w:r>
      <w:r w:rsidR="004B0591" w:rsidRPr="00043345">
        <w:t xml:space="preserve">also </w:t>
      </w:r>
      <w:r w:rsidR="00726BD6" w:rsidRPr="00043345">
        <w:t xml:space="preserve">stressed a wider prohibition applicable to all </w:t>
      </w:r>
      <w:r w:rsidR="00583307">
        <w:t>S</w:t>
      </w:r>
      <w:r w:rsidR="00583307" w:rsidRPr="00043345">
        <w:t>tates</w:t>
      </w:r>
      <w:r w:rsidR="00726BD6" w:rsidRPr="00043345">
        <w:t>.</w:t>
      </w:r>
    </w:p>
    <w:p w:rsidR="00CC69D8" w:rsidRPr="00043345" w:rsidRDefault="00C42A32" w:rsidP="0066265B">
      <w:pPr>
        <w:spacing w:line="480" w:lineRule="auto"/>
        <w:ind w:firstLine="720"/>
        <w:jc w:val="both"/>
      </w:pPr>
      <w:r w:rsidRPr="00043345">
        <w:t xml:space="preserve">The </w:t>
      </w:r>
      <w:r w:rsidR="008A1402">
        <w:t xml:space="preserve">case for the </w:t>
      </w:r>
      <w:r w:rsidRPr="00043345">
        <w:t xml:space="preserve">continued development of </w:t>
      </w:r>
      <w:r w:rsidR="00726BD6" w:rsidRPr="00043345">
        <w:t>a customary test-ban</w:t>
      </w:r>
      <w:r w:rsidRPr="00043345">
        <w:t xml:space="preserve"> is further supported by the reaction</w:t>
      </w:r>
      <w:r w:rsidR="004B0591" w:rsidRPr="00043345">
        <w:t>s</w:t>
      </w:r>
      <w:r w:rsidRPr="00043345">
        <w:t xml:space="preserve"> to the nuclear tests conducted by </w:t>
      </w:r>
      <w:r w:rsidR="00EE156F" w:rsidRPr="00043345">
        <w:t>the DPRK</w:t>
      </w:r>
      <w:r w:rsidRPr="00043345">
        <w:t xml:space="preserve"> in 2006 and 2009, which w</w:t>
      </w:r>
      <w:r w:rsidR="004B0591" w:rsidRPr="00043345">
        <w:t>ere</w:t>
      </w:r>
      <w:r w:rsidRPr="00043345">
        <w:t xml:space="preserve"> far more severe than had been the case in 1998.  The Security Council adopted </w:t>
      </w:r>
      <w:r w:rsidR="0022703F" w:rsidRPr="00043345">
        <w:t>R</w:t>
      </w:r>
      <w:r w:rsidRPr="00043345">
        <w:t>esolutions 1718</w:t>
      </w:r>
      <w:r w:rsidR="0015538D" w:rsidRPr="00043345">
        <w:rPr>
          <w:rStyle w:val="FootnoteReference"/>
        </w:rPr>
        <w:footnoteReference w:id="66"/>
      </w:r>
      <w:r w:rsidRPr="00043345">
        <w:t xml:space="preserve"> and 1874</w:t>
      </w:r>
      <w:r w:rsidR="0015538D" w:rsidRPr="00043345">
        <w:rPr>
          <w:rStyle w:val="FootnoteReference"/>
        </w:rPr>
        <w:footnoteReference w:id="67"/>
      </w:r>
      <w:r w:rsidRPr="00043345">
        <w:t xml:space="preserve"> with respect to these two tests</w:t>
      </w:r>
      <w:r w:rsidR="00DE3B51" w:rsidRPr="00043345">
        <w:t>,</w:t>
      </w:r>
      <w:r w:rsidRPr="00043345">
        <w:t xml:space="preserve"> explicitly under Chapter VII</w:t>
      </w:r>
      <w:r w:rsidR="00DE3B51" w:rsidRPr="00043345">
        <w:t xml:space="preserve"> of the UN Charter</w:t>
      </w:r>
      <w:r w:rsidRPr="00043345">
        <w:t xml:space="preserve">.  </w:t>
      </w:r>
      <w:r w:rsidR="004B0591" w:rsidRPr="00043345">
        <w:t>The r</w:t>
      </w:r>
      <w:r w:rsidRPr="00043345">
        <w:t xml:space="preserve">esolutions condemned the tests and, </w:t>
      </w:r>
      <w:r w:rsidRPr="00043345">
        <w:rPr>
          <w:i/>
        </w:rPr>
        <w:t>inter alia</w:t>
      </w:r>
      <w:r w:rsidRPr="00043345">
        <w:t xml:space="preserve">, obliged </w:t>
      </w:r>
      <w:r w:rsidR="00EE156F" w:rsidRPr="00043345">
        <w:t xml:space="preserve">the DPRK </w:t>
      </w:r>
      <w:r w:rsidRPr="00043345">
        <w:t>to refrain from any further testing in the strongest possible terms.</w:t>
      </w:r>
      <w:r w:rsidR="0015538D" w:rsidRPr="00043345">
        <w:rPr>
          <w:rStyle w:val="FootnoteReference"/>
        </w:rPr>
        <w:footnoteReference w:id="68"/>
      </w:r>
      <w:r w:rsidR="00EE156F" w:rsidRPr="00043345">
        <w:t xml:space="preserve">  </w:t>
      </w:r>
      <w:r w:rsidR="00C349EF" w:rsidRPr="00043345">
        <w:t>Irrespective of any customary</w:t>
      </w:r>
      <w:r w:rsidR="00B82BE0" w:rsidRPr="00043345">
        <w:t xml:space="preserve"> comprehensive nuclear </w:t>
      </w:r>
      <w:r w:rsidR="00C349EF" w:rsidRPr="00043345">
        <w:t xml:space="preserve">test-ban, these resolutions are obviously </w:t>
      </w:r>
      <w:r w:rsidR="00DE3B51" w:rsidRPr="00043345">
        <w:t xml:space="preserve">directly </w:t>
      </w:r>
      <w:r w:rsidR="00C349EF" w:rsidRPr="00043345">
        <w:t xml:space="preserve">binding on </w:t>
      </w:r>
      <w:r w:rsidR="00EE156F" w:rsidRPr="00043345">
        <w:t>the DPRK</w:t>
      </w:r>
      <w:r w:rsidR="00C349EF" w:rsidRPr="00043345">
        <w:t xml:space="preserve"> by virtue of the simple fact </w:t>
      </w:r>
      <w:r w:rsidR="0022703F" w:rsidRPr="00043345">
        <w:t>that they are Security Council r</w:t>
      </w:r>
      <w:r w:rsidR="00C349EF" w:rsidRPr="00043345">
        <w:t>esolutions adopted under Chapter VII.</w:t>
      </w:r>
      <w:r w:rsidR="0015538D" w:rsidRPr="00043345">
        <w:rPr>
          <w:rStyle w:val="FootnoteReference"/>
        </w:rPr>
        <w:footnoteReference w:id="69"/>
      </w:r>
      <w:r w:rsidR="00C349EF" w:rsidRPr="00043345">
        <w:t xml:space="preserve">  In addition, </w:t>
      </w:r>
      <w:r w:rsidR="00C349EF" w:rsidRPr="00043345">
        <w:lastRenderedPageBreak/>
        <w:t xml:space="preserve">though, they </w:t>
      </w:r>
      <w:r w:rsidR="009F17C0" w:rsidRPr="00043345">
        <w:t>represent</w:t>
      </w:r>
      <w:r w:rsidR="00C349EF" w:rsidRPr="00043345">
        <w:t xml:space="preserve"> further indications of the international community’s perception of nuclear testing as an inherently unlawful activity.</w:t>
      </w:r>
      <w:r w:rsidR="009F17C0" w:rsidRPr="00043345">
        <w:t xml:space="preserve">  </w:t>
      </w:r>
      <w:r w:rsidR="00C349EF" w:rsidRPr="00043345">
        <w:t xml:space="preserve">Indeed, </w:t>
      </w:r>
      <w:r w:rsidR="0015538D" w:rsidRPr="00043345">
        <w:t xml:space="preserve">all </w:t>
      </w:r>
      <w:r w:rsidR="008A1402">
        <w:t xml:space="preserve">of </w:t>
      </w:r>
      <w:r w:rsidR="00C349EF" w:rsidRPr="00043345">
        <w:t xml:space="preserve">the UN resolutions </w:t>
      </w:r>
      <w:r w:rsidR="0015538D" w:rsidRPr="00043345">
        <w:t xml:space="preserve">discussed </w:t>
      </w:r>
      <w:r w:rsidR="009F17C0" w:rsidRPr="00043345">
        <w:t xml:space="preserve">in this </w:t>
      </w:r>
      <w:r w:rsidR="005523AB">
        <w:t>S</w:t>
      </w:r>
      <w:r w:rsidR="005523AB" w:rsidRPr="00043345">
        <w:t xml:space="preserve">ection </w:t>
      </w:r>
      <w:r w:rsidR="00C349EF" w:rsidRPr="00043345">
        <w:t xml:space="preserve">can be interpreted as adding the cumulative fuel of </w:t>
      </w:r>
      <w:r w:rsidR="00C349EF" w:rsidRPr="00043345">
        <w:rPr>
          <w:i/>
        </w:rPr>
        <w:t>opinio juris</w:t>
      </w:r>
      <w:r w:rsidR="00C349EF" w:rsidRPr="00043345">
        <w:t xml:space="preserve"> to the customary test-ban fire.  </w:t>
      </w:r>
    </w:p>
    <w:p w:rsidR="00C84705" w:rsidRPr="00043345" w:rsidRDefault="00C84705" w:rsidP="0066265B">
      <w:pPr>
        <w:spacing w:line="480" w:lineRule="auto"/>
        <w:ind w:firstLine="720"/>
        <w:jc w:val="both"/>
      </w:pPr>
      <w:r w:rsidRPr="00043345">
        <w:t>I</w:t>
      </w:r>
      <w:r w:rsidR="00C349EF" w:rsidRPr="00043345">
        <w:t xml:space="preserve">t can </w:t>
      </w:r>
      <w:r w:rsidRPr="00043345">
        <w:t xml:space="preserve">equally </w:t>
      </w:r>
      <w:r w:rsidR="00C349EF" w:rsidRPr="00043345">
        <w:t>be argued</w:t>
      </w:r>
      <w:r w:rsidRPr="00043345">
        <w:t>, however,</w:t>
      </w:r>
      <w:r w:rsidR="00C349EF" w:rsidRPr="00043345">
        <w:t xml:space="preserve"> that – </w:t>
      </w:r>
      <w:r w:rsidR="00B82BE0" w:rsidRPr="00043345">
        <w:t xml:space="preserve">if </w:t>
      </w:r>
      <w:r w:rsidR="00C349EF" w:rsidRPr="00043345">
        <w:t xml:space="preserve">a customary </w:t>
      </w:r>
      <w:r w:rsidR="00B82BE0" w:rsidRPr="00043345">
        <w:t>prohibition on testing really had emerged</w:t>
      </w:r>
      <w:r w:rsidR="00C349EF" w:rsidRPr="00043345">
        <w:t xml:space="preserve"> – such resolutions would </w:t>
      </w:r>
      <w:r w:rsidRPr="00043345">
        <w:t>have been wholly</w:t>
      </w:r>
      <w:r w:rsidR="00C349EF" w:rsidRPr="00043345">
        <w:t xml:space="preserve"> unnecessary</w:t>
      </w:r>
      <w:r w:rsidRPr="00043345">
        <w:t xml:space="preserve">.  Thus, the very existence of these resolutions shows </w:t>
      </w:r>
      <w:r w:rsidR="00DA28BD">
        <w:t xml:space="preserve">precisely </w:t>
      </w:r>
      <w:r w:rsidRPr="00043345">
        <w:t>that no customary rule has developed</w:t>
      </w:r>
      <w:r w:rsidR="00C349EF" w:rsidRPr="00043345">
        <w:t>.</w:t>
      </w:r>
      <w:r w:rsidR="0015538D" w:rsidRPr="00043345">
        <w:rPr>
          <w:rStyle w:val="FootnoteReference"/>
        </w:rPr>
        <w:footnoteReference w:id="70"/>
      </w:r>
      <w:r w:rsidR="00C349EF" w:rsidRPr="00043345">
        <w:t xml:space="preserve">  This </w:t>
      </w:r>
      <w:r w:rsidR="0015538D" w:rsidRPr="00043345">
        <w:t xml:space="preserve">latter </w:t>
      </w:r>
      <w:r w:rsidR="00C349EF" w:rsidRPr="00043345">
        <w:t>argument, while valid</w:t>
      </w:r>
      <w:r w:rsidR="00F170A4" w:rsidRPr="00043345">
        <w:t xml:space="preserve"> to an extent</w:t>
      </w:r>
      <w:r w:rsidR="00C349EF" w:rsidRPr="00043345">
        <w:t xml:space="preserve">, ignores </w:t>
      </w:r>
      <w:r w:rsidR="00B82BE0" w:rsidRPr="00043345">
        <w:t>a</w:t>
      </w:r>
      <w:r w:rsidR="00C349EF" w:rsidRPr="00043345">
        <w:t xml:space="preserve"> common practice in international law in cases </w:t>
      </w:r>
      <w:r w:rsidR="00DA28BD">
        <w:t>in which</w:t>
      </w:r>
      <w:r w:rsidR="00C349EF" w:rsidRPr="00043345">
        <w:t xml:space="preserve"> an established rule is </w:t>
      </w:r>
      <w:r w:rsidR="00B82BE0" w:rsidRPr="00043345">
        <w:t>perceived as weak or is p</w:t>
      </w:r>
      <w:r w:rsidR="00C349EF" w:rsidRPr="00043345">
        <w:t xml:space="preserve">roving </w:t>
      </w:r>
      <w:r w:rsidR="00B82BE0" w:rsidRPr="00043345">
        <w:t>in</w:t>
      </w:r>
      <w:r w:rsidR="00C349EF" w:rsidRPr="00043345">
        <w:t xml:space="preserve">effective: the established rule is often reinforced though the creation of </w:t>
      </w:r>
      <w:r w:rsidR="00B82BE0" w:rsidRPr="00043345">
        <w:t>additional</w:t>
      </w:r>
      <w:r w:rsidR="00EC049B">
        <w:t>,</w:t>
      </w:r>
      <w:r w:rsidR="00C349EF" w:rsidRPr="00043345">
        <w:t xml:space="preserve"> complimentary rules.</w:t>
      </w:r>
      <w:r w:rsidR="00C349EF" w:rsidRPr="00043345">
        <w:rPr>
          <w:rStyle w:val="FootnoteReference"/>
        </w:rPr>
        <w:footnoteReference w:id="71"/>
      </w:r>
      <w:r w:rsidRPr="00043345">
        <w:t xml:space="preserve">  </w:t>
      </w:r>
      <w:r w:rsidR="00F170A4" w:rsidRPr="00043345">
        <w:t>One may well argue that it is valu</w:t>
      </w:r>
      <w:r w:rsidR="00DA28BD">
        <w:t>able</w:t>
      </w:r>
      <w:r w:rsidR="00F170A4" w:rsidRPr="00043345">
        <w:t xml:space="preserve"> </w:t>
      </w:r>
      <w:r w:rsidR="00DA28BD">
        <w:t xml:space="preserve">in and of </w:t>
      </w:r>
      <w:r w:rsidR="00DA28BD">
        <w:lastRenderedPageBreak/>
        <w:t xml:space="preserve">itself </w:t>
      </w:r>
      <w:r w:rsidR="00F170A4" w:rsidRPr="00043345">
        <w:t xml:space="preserve">to have </w:t>
      </w:r>
      <w:r w:rsidR="00DA28BD">
        <w:t>a</w:t>
      </w:r>
      <w:r w:rsidR="00DA28BD" w:rsidRPr="00043345">
        <w:t xml:space="preserve"> </w:t>
      </w:r>
      <w:r w:rsidR="00F170A4" w:rsidRPr="00043345">
        <w:t>l</w:t>
      </w:r>
      <w:r w:rsidR="00DA28BD">
        <w:t xml:space="preserve">egal norm </w:t>
      </w:r>
      <w:r w:rsidR="00F170A4" w:rsidRPr="00043345">
        <w:t>formally restated even if it already exists under custom.  The argument that the UN resolutions undermine any claim of customary status</w:t>
      </w:r>
      <w:r w:rsidRPr="00043345">
        <w:t xml:space="preserve"> also ignores the fact that India, Pakistan and </w:t>
      </w:r>
      <w:r w:rsidR="00EE156F" w:rsidRPr="00043345">
        <w:t>the DPRK</w:t>
      </w:r>
      <w:r w:rsidRPr="00043345">
        <w:t xml:space="preserve"> could, as will be discussed in the next </w:t>
      </w:r>
      <w:r w:rsidR="005523AB">
        <w:t>S</w:t>
      </w:r>
      <w:r w:rsidR="005523AB" w:rsidRPr="00043345">
        <w:t>ection</w:t>
      </w:r>
      <w:r w:rsidRPr="00043345">
        <w:t xml:space="preserve">, potentially be </w:t>
      </w:r>
      <w:r w:rsidR="00EC049B">
        <w:t xml:space="preserve">viewed as being </w:t>
      </w:r>
      <w:r w:rsidRPr="00043345">
        <w:t>persistent objectors to any customary prohibition on nuclear testing</w:t>
      </w:r>
      <w:r w:rsidR="00EC049B">
        <w:t xml:space="preserve"> in any event</w:t>
      </w:r>
      <w:r w:rsidRPr="00043345">
        <w:t>, which would</w:t>
      </w:r>
      <w:r w:rsidR="00EC049B">
        <w:t>, of course,</w:t>
      </w:r>
      <w:r w:rsidRPr="00043345">
        <w:t xml:space="preserve"> make the ban inapplicable to those </w:t>
      </w:r>
      <w:r w:rsidR="00583307">
        <w:t>S</w:t>
      </w:r>
      <w:r w:rsidR="00583307" w:rsidRPr="00043345">
        <w:t xml:space="preserve">tates </w:t>
      </w:r>
      <w:r w:rsidRPr="00043345">
        <w:t>(thus requiring other legal measures, such as Chapter VII resolutions</w:t>
      </w:r>
      <w:r w:rsidR="00B82BE0" w:rsidRPr="00043345">
        <w:t>,</w:t>
      </w:r>
      <w:r w:rsidRPr="00043345">
        <w:t xml:space="preserve"> to create an obligation not to test that would be incumbent upon these </w:t>
      </w:r>
      <w:r w:rsidR="00583307">
        <w:t>S</w:t>
      </w:r>
      <w:r w:rsidR="00583307" w:rsidRPr="00043345">
        <w:t>tates</w:t>
      </w:r>
      <w:r w:rsidRPr="00043345">
        <w:t>).</w:t>
      </w:r>
    </w:p>
    <w:p w:rsidR="00B82BE0" w:rsidRPr="00043345" w:rsidRDefault="0061412A" w:rsidP="0066265B">
      <w:pPr>
        <w:spacing w:line="480" w:lineRule="auto"/>
        <w:ind w:firstLine="720"/>
        <w:jc w:val="both"/>
      </w:pPr>
      <w:r w:rsidRPr="00043345">
        <w:t xml:space="preserve">Of course, any customary norm against testing is strongly reinforced by the fact that </w:t>
      </w:r>
      <w:r w:rsidR="00D079AB" w:rsidRPr="00043345">
        <w:t xml:space="preserve">virtually all </w:t>
      </w:r>
      <w:r w:rsidRPr="00043345">
        <w:t xml:space="preserve">NNWS are NPT </w:t>
      </w:r>
      <w:r w:rsidR="0081252D">
        <w:t>P</w:t>
      </w:r>
      <w:r w:rsidR="0081252D" w:rsidRPr="00043345">
        <w:t>arties</w:t>
      </w:r>
      <w:r w:rsidR="00D079AB" w:rsidRPr="00043345">
        <w:t xml:space="preserve"> and are</w:t>
      </w:r>
      <w:r w:rsidR="00DA28BD">
        <w:t>,</w:t>
      </w:r>
      <w:r w:rsidR="00D079AB" w:rsidRPr="00043345">
        <w:t xml:space="preserve"> therefore</w:t>
      </w:r>
      <w:r w:rsidR="00DA28BD">
        <w:t>,</w:t>
      </w:r>
      <w:r w:rsidRPr="00043345">
        <w:t xml:space="preserve"> obliged to refrain from the acquisition by any means of a nuclear weapon in the first place.</w:t>
      </w:r>
      <w:r w:rsidR="001D1D9A" w:rsidRPr="00043345">
        <w:rPr>
          <w:rStyle w:val="FootnoteReference"/>
        </w:rPr>
        <w:footnoteReference w:id="72"/>
      </w:r>
      <w:r w:rsidRPr="00043345">
        <w:t xml:space="preserve">  Thus, the widespread practice in relation to non-testing may</w:t>
      </w:r>
      <w:r w:rsidR="00900FB1">
        <w:t>,</w:t>
      </w:r>
      <w:r w:rsidRPr="00043345">
        <w:t xml:space="preserve"> in fact</w:t>
      </w:r>
      <w:r w:rsidR="00900FB1">
        <w:t>,</w:t>
      </w:r>
      <w:r w:rsidRPr="00043345">
        <w:t xml:space="preserve"> </w:t>
      </w:r>
      <w:r w:rsidR="00DA28BD">
        <w:t xml:space="preserve">simply </w:t>
      </w:r>
      <w:r w:rsidR="001D1D9A" w:rsidRPr="00043345">
        <w:t>constitute</w:t>
      </w:r>
      <w:r w:rsidRPr="00043345">
        <w:t xml:space="preserve"> a mere by-product of the </w:t>
      </w:r>
      <w:r w:rsidR="00583307">
        <w:t>S</w:t>
      </w:r>
      <w:r w:rsidR="00583307" w:rsidRPr="00043345">
        <w:t xml:space="preserve">tate </w:t>
      </w:r>
      <w:r w:rsidRPr="00043345">
        <w:t>practice on non-proliferation</w:t>
      </w:r>
      <w:r w:rsidR="009658C1" w:rsidRPr="00043345">
        <w:t xml:space="preserve"> more generally under the NPT regime</w:t>
      </w:r>
      <w:r w:rsidRPr="00043345">
        <w:t xml:space="preserve">.  </w:t>
      </w:r>
      <w:r w:rsidR="001D1D9A" w:rsidRPr="00043345">
        <w:t>This</w:t>
      </w:r>
      <w:r w:rsidRPr="00043345">
        <w:t xml:space="preserve"> fact</w:t>
      </w:r>
      <w:r w:rsidR="00B82BE0" w:rsidRPr="00043345">
        <w:t>or</w:t>
      </w:r>
      <w:r w:rsidRPr="00043345">
        <w:t xml:space="preserve"> is </w:t>
      </w:r>
      <w:r w:rsidR="001D1D9A" w:rsidRPr="00043345">
        <w:t>probably ir</w:t>
      </w:r>
      <w:r w:rsidRPr="00043345">
        <w:t xml:space="preserve">relevant </w:t>
      </w:r>
      <w:r w:rsidR="001D1D9A" w:rsidRPr="00043345">
        <w:t>with regard to</w:t>
      </w:r>
      <w:r w:rsidRPr="00043345">
        <w:t xml:space="preserve"> the validity of the </w:t>
      </w:r>
      <w:r w:rsidR="0028349D">
        <w:t>“</w:t>
      </w:r>
      <w:r w:rsidR="00583307">
        <w:t>S</w:t>
      </w:r>
      <w:r w:rsidR="00583307" w:rsidRPr="00043345">
        <w:t xml:space="preserve">tate </w:t>
      </w:r>
      <w:r w:rsidRPr="00043345">
        <w:t>practice</w:t>
      </w:r>
      <w:r w:rsidR="0028349D">
        <w:t>”</w:t>
      </w:r>
      <w:r w:rsidRPr="00043345">
        <w:t xml:space="preserve"> </w:t>
      </w:r>
      <w:r w:rsidR="001D1D9A" w:rsidRPr="00043345">
        <w:t xml:space="preserve">element </w:t>
      </w:r>
      <w:r w:rsidRPr="00043345">
        <w:t xml:space="preserve">in terms of ascertaining </w:t>
      </w:r>
      <w:r w:rsidR="00DA28BD">
        <w:t xml:space="preserve">the </w:t>
      </w:r>
      <w:r w:rsidRPr="00043345">
        <w:t xml:space="preserve">customary status </w:t>
      </w:r>
      <w:r w:rsidR="001966F2">
        <w:t>of</w:t>
      </w:r>
      <w:r w:rsidRPr="00043345">
        <w:t xml:space="preserve"> the test-ban.</w:t>
      </w:r>
      <w:r w:rsidR="002D299A" w:rsidRPr="00043345">
        <w:t xml:space="preserve">  Materially, </w:t>
      </w:r>
      <w:r w:rsidR="00583307">
        <w:t>S</w:t>
      </w:r>
      <w:r w:rsidR="00583307" w:rsidRPr="00043345">
        <w:t xml:space="preserve">tates </w:t>
      </w:r>
      <w:r w:rsidR="002D299A" w:rsidRPr="00043345">
        <w:t xml:space="preserve">have in the overwhelming majority of cases practiced abstention in relation </w:t>
      </w:r>
      <w:r w:rsidR="00F170A4" w:rsidRPr="00043345">
        <w:t xml:space="preserve">to </w:t>
      </w:r>
      <w:r w:rsidR="002D299A" w:rsidRPr="00043345">
        <w:t>nuclear testing</w:t>
      </w:r>
      <w:r w:rsidR="00B82BE0" w:rsidRPr="00043345">
        <w:t>: the motives underpinning this practice are largely irrelevant</w:t>
      </w:r>
      <w:r w:rsidR="002D299A" w:rsidRPr="00043345">
        <w:t>.</w:t>
      </w:r>
      <w:r w:rsidR="00F170A4" w:rsidRPr="00043345">
        <w:t xml:space="preserve">  With regard to the </w:t>
      </w:r>
      <w:r w:rsidR="001D1D9A" w:rsidRPr="00043345">
        <w:rPr>
          <w:i/>
        </w:rPr>
        <w:t>opinio juris</w:t>
      </w:r>
      <w:r w:rsidR="001D1D9A" w:rsidRPr="00043345">
        <w:t xml:space="preserve"> element, however, </w:t>
      </w:r>
      <w:r w:rsidR="00B82BE0" w:rsidRPr="00043345">
        <w:t xml:space="preserve">such </w:t>
      </w:r>
      <w:r w:rsidR="0028349D">
        <w:t>“</w:t>
      </w:r>
      <w:r w:rsidR="00B82BE0" w:rsidRPr="00043345">
        <w:t>psychological</w:t>
      </w:r>
      <w:r w:rsidR="0028349D">
        <w:t>”</w:t>
      </w:r>
      <w:r w:rsidR="00B82BE0" w:rsidRPr="00043345">
        <w:t xml:space="preserve"> factors may somewhat undermine</w:t>
      </w:r>
      <w:r w:rsidR="001D1D9A" w:rsidRPr="00043345">
        <w:t xml:space="preserve"> the legally binding nature of a customary test-ban.</w:t>
      </w:r>
      <w:r w:rsidR="001D1D9A" w:rsidRPr="00043345">
        <w:rPr>
          <w:rStyle w:val="FootnoteReference"/>
        </w:rPr>
        <w:footnoteReference w:id="73"/>
      </w:r>
      <w:r w:rsidR="002D299A" w:rsidRPr="00043345">
        <w:t xml:space="preserve">  </w:t>
      </w:r>
      <w:r w:rsidR="00B82BE0" w:rsidRPr="00043345">
        <w:lastRenderedPageBreak/>
        <w:t xml:space="preserve">In other words, </w:t>
      </w:r>
      <w:r w:rsidR="00583307">
        <w:t>S</w:t>
      </w:r>
      <w:r w:rsidR="00583307" w:rsidRPr="00043345">
        <w:t xml:space="preserve">tates </w:t>
      </w:r>
      <w:r w:rsidR="002D299A" w:rsidRPr="00043345">
        <w:t xml:space="preserve">may be </w:t>
      </w:r>
      <w:r w:rsidR="009658C1" w:rsidRPr="00043345">
        <w:t xml:space="preserve">refraining from </w:t>
      </w:r>
      <w:r w:rsidR="002D299A" w:rsidRPr="00043345">
        <w:t>testing because of a belief that there is a</w:t>
      </w:r>
      <w:r w:rsidR="009658C1" w:rsidRPr="00043345">
        <w:t xml:space="preserve"> legal</w:t>
      </w:r>
      <w:r w:rsidR="002D299A" w:rsidRPr="00043345">
        <w:t xml:space="preserve"> obligation not to have nuclear weapons in the first place, rather than an obligation not to test</w:t>
      </w:r>
      <w:r w:rsidR="009658C1" w:rsidRPr="00043345">
        <w:t xml:space="preserve"> </w:t>
      </w:r>
      <w:r w:rsidR="002D299A" w:rsidRPr="00043345">
        <w:rPr>
          <w:i/>
        </w:rPr>
        <w:t>per se</w:t>
      </w:r>
      <w:r w:rsidR="002D299A" w:rsidRPr="00043345">
        <w:t>.</w:t>
      </w:r>
    </w:p>
    <w:p w:rsidR="003921E5" w:rsidRPr="00043345" w:rsidRDefault="009658C1" w:rsidP="00BC3B8D">
      <w:pPr>
        <w:spacing w:line="480" w:lineRule="auto"/>
        <w:ind w:firstLine="720"/>
        <w:jc w:val="both"/>
      </w:pPr>
      <w:r w:rsidRPr="00043345">
        <w:t>O</w:t>
      </w:r>
      <w:r w:rsidR="002D299A" w:rsidRPr="00043345">
        <w:t xml:space="preserve">ne could </w:t>
      </w:r>
      <w:r w:rsidRPr="00043345">
        <w:t xml:space="preserve">also argue that while only three </w:t>
      </w:r>
      <w:r w:rsidR="00583307">
        <w:t>S</w:t>
      </w:r>
      <w:r w:rsidR="00583307" w:rsidRPr="00043345">
        <w:t xml:space="preserve">tates </w:t>
      </w:r>
      <w:r w:rsidRPr="00043345">
        <w:t>have tested since the adoption of the CTBT by the General Assembly</w:t>
      </w:r>
      <w:r w:rsidR="00D33693" w:rsidRPr="00043345">
        <w:t xml:space="preserve"> in 1996</w:t>
      </w:r>
      <w:r w:rsidRPr="00043345">
        <w:t xml:space="preserve">, it is equally true that </w:t>
      </w:r>
      <w:r w:rsidR="002D299A" w:rsidRPr="00043345">
        <w:t xml:space="preserve">only nine </w:t>
      </w:r>
      <w:r w:rsidR="00583307">
        <w:t>S</w:t>
      </w:r>
      <w:r w:rsidR="00583307" w:rsidRPr="00043345">
        <w:t xml:space="preserve">tates </w:t>
      </w:r>
      <w:r w:rsidR="002D299A" w:rsidRPr="00043345">
        <w:t xml:space="preserve">in the world </w:t>
      </w:r>
      <w:r w:rsidRPr="00043345">
        <w:t xml:space="preserve">currently </w:t>
      </w:r>
      <w:r w:rsidR="006C25EA">
        <w:t>possess such weapons</w:t>
      </w:r>
      <w:r w:rsidR="002D299A" w:rsidRPr="00043345">
        <w:t xml:space="preserve"> and</w:t>
      </w:r>
      <w:r w:rsidR="006C25EA">
        <w:t>,</w:t>
      </w:r>
      <w:r w:rsidR="002D299A" w:rsidRPr="00043345">
        <w:t xml:space="preserve"> </w:t>
      </w:r>
      <w:r w:rsidRPr="00043345">
        <w:t>as such</w:t>
      </w:r>
      <w:r w:rsidR="00EC049B">
        <w:t>,</w:t>
      </w:r>
      <w:r w:rsidRPr="00043345">
        <w:t xml:space="preserve"> </w:t>
      </w:r>
      <w:r w:rsidR="002D299A" w:rsidRPr="00043345">
        <w:rPr>
          <w:i/>
        </w:rPr>
        <w:t>a third</w:t>
      </w:r>
      <w:r w:rsidRPr="00043345">
        <w:rPr>
          <w:i/>
        </w:rPr>
        <w:t xml:space="preserve"> of the total</w:t>
      </w:r>
      <w:r w:rsidR="00BE71F1" w:rsidRPr="00043345">
        <w:t xml:space="preserve"> have tested since 1998.  </w:t>
      </w:r>
      <w:r w:rsidR="007903D5" w:rsidRPr="00043345">
        <w:t>The view is commonly taken</w:t>
      </w:r>
      <w:r w:rsidR="00BE71F1" w:rsidRPr="00043345">
        <w:t xml:space="preserve"> that the practice of </w:t>
      </w:r>
      <w:r w:rsidR="00583307">
        <w:t>S</w:t>
      </w:r>
      <w:r w:rsidR="00583307" w:rsidRPr="00043345">
        <w:t xml:space="preserve">tates </w:t>
      </w:r>
      <w:r w:rsidR="00BE71F1" w:rsidRPr="00043345">
        <w:t xml:space="preserve">that are </w:t>
      </w:r>
      <w:r w:rsidR="0028349D">
        <w:t>“</w:t>
      </w:r>
      <w:r w:rsidR="007903D5" w:rsidRPr="00043345">
        <w:t>specially</w:t>
      </w:r>
      <w:r w:rsidR="00BE71F1" w:rsidRPr="00043345">
        <w:t xml:space="preserve"> </w:t>
      </w:r>
      <w:r w:rsidR="007903D5" w:rsidRPr="00043345">
        <w:t>affected</w:t>
      </w:r>
      <w:r w:rsidR="0028349D">
        <w:t>”</w:t>
      </w:r>
      <w:r w:rsidR="007903D5" w:rsidRPr="00043345">
        <w:t xml:space="preserve"> by an emerging </w:t>
      </w:r>
      <w:r w:rsidR="00BE71F1" w:rsidRPr="00043345">
        <w:t>norm</w:t>
      </w:r>
      <w:r w:rsidR="007903D5" w:rsidRPr="00043345">
        <w:t xml:space="preserve"> of customary international law</w:t>
      </w:r>
      <w:r w:rsidR="00BE71F1" w:rsidRPr="00043345">
        <w:t xml:space="preserve"> is </w:t>
      </w:r>
      <w:r w:rsidR="007903D5" w:rsidRPr="00043345">
        <w:t xml:space="preserve">of greater </w:t>
      </w:r>
      <w:r w:rsidR="00BE71F1" w:rsidRPr="00043345">
        <w:t>importan</w:t>
      </w:r>
      <w:r w:rsidR="007903D5" w:rsidRPr="00043345">
        <w:t>ce</w:t>
      </w:r>
      <w:r w:rsidR="00BE71F1" w:rsidRPr="00043345">
        <w:t xml:space="preserve"> in determining the </w:t>
      </w:r>
      <w:r w:rsidR="007903D5" w:rsidRPr="00043345">
        <w:t xml:space="preserve">customary status of that rule than the practice of other </w:t>
      </w:r>
      <w:r w:rsidR="00583307">
        <w:t>S</w:t>
      </w:r>
      <w:r w:rsidR="00583307" w:rsidRPr="00043345">
        <w:t>tates</w:t>
      </w:r>
      <w:r w:rsidR="007903D5" w:rsidRPr="00043345">
        <w:t>.</w:t>
      </w:r>
      <w:r w:rsidR="007903D5" w:rsidRPr="00043345">
        <w:rPr>
          <w:rStyle w:val="FootnoteReference"/>
        </w:rPr>
        <w:footnoteReference w:id="74"/>
      </w:r>
      <w:r w:rsidR="007903D5" w:rsidRPr="00043345">
        <w:t xml:space="preserve">  The usual example given here is the </w:t>
      </w:r>
      <w:r w:rsidR="00DA28BD">
        <w:t xml:space="preserve">law of the sea and the </w:t>
      </w:r>
      <w:r w:rsidR="007903D5" w:rsidRPr="00043345">
        <w:t>practice of co</w:t>
      </w:r>
      <w:r w:rsidR="00583307">
        <w:t>a</w:t>
      </w:r>
      <w:r w:rsidR="007903D5" w:rsidRPr="00043345">
        <w:t xml:space="preserve">stal </w:t>
      </w:r>
      <w:r w:rsidR="00583307">
        <w:t>S</w:t>
      </w:r>
      <w:r w:rsidR="00583307" w:rsidRPr="00043345">
        <w:t>tates</w:t>
      </w:r>
      <w:r w:rsidR="00F80942" w:rsidRPr="00043345">
        <w:t>, which is viewed as</w:t>
      </w:r>
      <w:r w:rsidR="00534933" w:rsidRPr="00043345">
        <w:t xml:space="preserve"> being of much greater value tha</w:t>
      </w:r>
      <w:r w:rsidR="00F80942" w:rsidRPr="00043345">
        <w:t xml:space="preserve">n that of landlocked </w:t>
      </w:r>
      <w:r w:rsidR="00583307">
        <w:t>S</w:t>
      </w:r>
      <w:r w:rsidR="00583307" w:rsidRPr="00043345">
        <w:t>tates</w:t>
      </w:r>
      <w:r w:rsidR="007903D5" w:rsidRPr="00043345">
        <w:t>.</w:t>
      </w:r>
      <w:r w:rsidR="007903D5" w:rsidRPr="00043345">
        <w:rPr>
          <w:rStyle w:val="FootnoteReference"/>
        </w:rPr>
        <w:footnoteReference w:id="75"/>
      </w:r>
      <w:r w:rsidR="007903D5" w:rsidRPr="00043345">
        <w:t xml:space="preserve">  With regard to the testing of nuclear weapons, the view could be taken that those </w:t>
      </w:r>
      <w:r w:rsidR="00583307">
        <w:t>S</w:t>
      </w:r>
      <w:r w:rsidR="00583307" w:rsidRPr="00043345">
        <w:t xml:space="preserve">tates </w:t>
      </w:r>
      <w:r w:rsidR="007903D5" w:rsidRPr="00043345">
        <w:t xml:space="preserve">in possession of such weapons are those that would be </w:t>
      </w:r>
      <w:r w:rsidR="0028349D">
        <w:t>“</w:t>
      </w:r>
      <w:r w:rsidR="007903D5" w:rsidRPr="00043345">
        <w:t>specially affected</w:t>
      </w:r>
      <w:r w:rsidR="0028349D">
        <w:t>”</w:t>
      </w:r>
      <w:r w:rsidR="006C25EA">
        <w:t xml:space="preserve"> by any test-ban</w:t>
      </w:r>
      <w:r w:rsidR="007903D5" w:rsidRPr="00043345">
        <w:t xml:space="preserve"> and</w:t>
      </w:r>
      <w:r w:rsidR="006C25EA">
        <w:t>,</w:t>
      </w:r>
      <w:r w:rsidR="007903D5" w:rsidRPr="00043345">
        <w:t xml:space="preserve"> thus</w:t>
      </w:r>
      <w:r w:rsidR="00DA28BD">
        <w:t>,</w:t>
      </w:r>
      <w:r w:rsidR="007903D5" w:rsidRPr="00043345">
        <w:t xml:space="preserve"> the fact </w:t>
      </w:r>
      <w:r w:rsidR="00DA28BD" w:rsidRPr="00043345">
        <w:t>th</w:t>
      </w:r>
      <w:r w:rsidR="00DA28BD">
        <w:t>at</w:t>
      </w:r>
      <w:r w:rsidR="00DA28BD" w:rsidRPr="00043345">
        <w:t xml:space="preserve"> </w:t>
      </w:r>
      <w:r w:rsidR="007903D5" w:rsidRPr="00043345">
        <w:t xml:space="preserve">a third of </w:t>
      </w:r>
      <w:r w:rsidR="00DA28BD">
        <w:t xml:space="preserve">the States in this </w:t>
      </w:r>
      <w:r w:rsidR="007903D5" w:rsidRPr="00043345">
        <w:t xml:space="preserve">group </w:t>
      </w:r>
      <w:r w:rsidR="002C15A3" w:rsidRPr="00043345">
        <w:t>ha</w:t>
      </w:r>
      <w:r w:rsidR="002C15A3">
        <w:t>ve</w:t>
      </w:r>
      <w:r w:rsidR="002C15A3" w:rsidRPr="00043345">
        <w:t xml:space="preserve"> </w:t>
      </w:r>
      <w:r w:rsidR="007903D5" w:rsidRPr="00043345">
        <w:t xml:space="preserve">tested since 1996 further </w:t>
      </w:r>
      <w:r w:rsidR="002D299A" w:rsidRPr="00043345">
        <w:t xml:space="preserve">weakens the case for saying that a comprehensive test-ban has entered </w:t>
      </w:r>
      <w:r w:rsidR="006C25EA">
        <w:t xml:space="preserve">into </w:t>
      </w:r>
      <w:r w:rsidR="002D299A" w:rsidRPr="00043345">
        <w:t>customary international law.</w:t>
      </w:r>
    </w:p>
    <w:p w:rsidR="00F534AC" w:rsidRPr="00043345" w:rsidRDefault="00F534AC" w:rsidP="00BC3B8D">
      <w:pPr>
        <w:spacing w:line="480" w:lineRule="auto"/>
        <w:ind w:firstLine="720"/>
        <w:jc w:val="both"/>
      </w:pPr>
      <w:r>
        <w:t>T</w:t>
      </w:r>
      <w:r w:rsidR="003921E5" w:rsidRPr="00043345">
        <w:t xml:space="preserve">he inexact process by which customary international law comes into being means that there is a good deal of latitude </w:t>
      </w:r>
      <w:r w:rsidR="00DA28BD">
        <w:t>in</w:t>
      </w:r>
      <w:r w:rsidR="003921E5" w:rsidRPr="00043345">
        <w:t xml:space="preserve"> construct</w:t>
      </w:r>
      <w:r w:rsidR="00DA28BD">
        <w:t>ing</w:t>
      </w:r>
      <w:r w:rsidR="003921E5" w:rsidRPr="00043345">
        <w:t xml:space="preserve"> a claim that a</w:t>
      </w:r>
      <w:r w:rsidR="002C15A3">
        <w:t>ny</w:t>
      </w:r>
      <w:r w:rsidR="003921E5" w:rsidRPr="00043345">
        <w:t xml:space="preserve"> given rule is or is not binding in custom.</w:t>
      </w:r>
      <w:r w:rsidR="003921E5" w:rsidRPr="00043345">
        <w:rPr>
          <w:rStyle w:val="FootnoteReference"/>
        </w:rPr>
        <w:footnoteReference w:id="76"/>
      </w:r>
      <w:r w:rsidR="003921E5" w:rsidRPr="00043345">
        <w:t xml:space="preserve">  This is partic</w:t>
      </w:r>
      <w:r w:rsidR="00D33693" w:rsidRPr="00043345">
        <w:t>ularly pronounced when the rule</w:t>
      </w:r>
      <w:r w:rsidR="003921E5" w:rsidRPr="00043345">
        <w:t xml:space="preserve"> in </w:t>
      </w:r>
      <w:r w:rsidR="003921E5" w:rsidRPr="00043345">
        <w:lastRenderedPageBreak/>
        <w:t>question ha</w:t>
      </w:r>
      <w:r w:rsidR="00D33693" w:rsidRPr="00043345">
        <w:t>s its</w:t>
      </w:r>
      <w:r w:rsidR="003921E5" w:rsidRPr="00043345">
        <w:t xml:space="preserve"> roots in a treaty.</w:t>
      </w:r>
      <w:r w:rsidR="003921E5" w:rsidRPr="00043345">
        <w:rPr>
          <w:rStyle w:val="FootnoteReference"/>
        </w:rPr>
        <w:footnoteReference w:id="77"/>
      </w:r>
      <w:r w:rsidR="00E13D08" w:rsidRPr="00043345">
        <w:t xml:space="preserve">  </w:t>
      </w:r>
      <w:r w:rsidR="00DA28BD">
        <w:t>As such, o</w:t>
      </w:r>
      <w:r w:rsidR="00DA28BD" w:rsidRPr="00043345">
        <w:t xml:space="preserve">ne </w:t>
      </w:r>
      <w:r w:rsidR="003921E5" w:rsidRPr="00043345">
        <w:t xml:space="preserve">must be very careful in unilaterally asserting that a rule – any rule – is binding </w:t>
      </w:r>
      <w:r w:rsidR="006C25EA">
        <w:t>under</w:t>
      </w:r>
      <w:r w:rsidR="003921E5" w:rsidRPr="00043345">
        <w:t xml:space="preserve"> custom</w:t>
      </w:r>
      <w:r w:rsidR="006C25EA">
        <w:t>ary international law</w:t>
      </w:r>
      <w:r w:rsidR="003921E5" w:rsidRPr="00043345">
        <w:t>.</w:t>
      </w:r>
    </w:p>
    <w:p w:rsidR="00E774CB" w:rsidRPr="00043345" w:rsidRDefault="00B95A2D" w:rsidP="00BC3B8D">
      <w:pPr>
        <w:spacing w:line="480" w:lineRule="auto"/>
        <w:ind w:firstLine="720"/>
        <w:jc w:val="both"/>
      </w:pPr>
      <w:r w:rsidRPr="00043345">
        <w:t>Overall, it must be said that there is clear evidence to support a comprehensive nuclear test-ban</w:t>
      </w:r>
      <w:r w:rsidR="006C25EA">
        <w:t xml:space="preserve"> in customary international law</w:t>
      </w:r>
      <w:r w:rsidRPr="00043345">
        <w:t xml:space="preserve">.  Equally, the customary status of a test-ban norm is </w:t>
      </w:r>
      <w:r w:rsidR="00D33693" w:rsidRPr="00043345">
        <w:t>not entirely</w:t>
      </w:r>
      <w:r w:rsidRPr="00043345">
        <w:t xml:space="preserve"> certain, based on </w:t>
      </w:r>
      <w:r w:rsidR="0015538D" w:rsidRPr="00043345">
        <w:t xml:space="preserve">existing </w:t>
      </w:r>
      <w:r w:rsidR="00583307">
        <w:t>S</w:t>
      </w:r>
      <w:r w:rsidR="00583307" w:rsidRPr="00043345">
        <w:t xml:space="preserve">tate </w:t>
      </w:r>
      <w:r w:rsidRPr="00043345">
        <w:t xml:space="preserve">practice and </w:t>
      </w:r>
      <w:r w:rsidRPr="00043345">
        <w:rPr>
          <w:i/>
        </w:rPr>
        <w:t>opinio juris</w:t>
      </w:r>
      <w:r w:rsidRPr="00043345">
        <w:t xml:space="preserve">: </w:t>
      </w:r>
      <w:r w:rsidR="00D33693" w:rsidRPr="00043345">
        <w:t>some</w:t>
      </w:r>
      <w:r w:rsidRPr="00043345">
        <w:t xml:space="preserve"> doubts remain.  </w:t>
      </w:r>
      <w:r w:rsidR="00B82BE0" w:rsidRPr="00043345">
        <w:t>T</w:t>
      </w:r>
      <w:r w:rsidR="003921E5" w:rsidRPr="00043345">
        <w:t>his paper</w:t>
      </w:r>
      <w:r w:rsidR="00D33693" w:rsidRPr="00043345">
        <w:t xml:space="preserve"> nonetheless </w:t>
      </w:r>
      <w:r w:rsidR="003921E5" w:rsidRPr="00043345">
        <w:t xml:space="preserve">proceeds based on the assumption that </w:t>
      </w:r>
      <w:r w:rsidRPr="00043345">
        <w:t xml:space="preserve">the obligation contained in </w:t>
      </w:r>
      <w:r w:rsidR="003921E5" w:rsidRPr="00043345">
        <w:t xml:space="preserve">Article </w:t>
      </w:r>
      <w:r w:rsidR="00E774CB" w:rsidRPr="00043345">
        <w:t>I</w:t>
      </w:r>
      <w:r w:rsidR="003921E5" w:rsidRPr="00043345">
        <w:t xml:space="preserve"> </w:t>
      </w:r>
      <w:r w:rsidR="002C15A3">
        <w:t xml:space="preserve">of the </w:t>
      </w:r>
      <w:r w:rsidR="003921E5" w:rsidRPr="00043345">
        <w:t xml:space="preserve">CTBT </w:t>
      </w:r>
      <w:r w:rsidR="00D33693" w:rsidRPr="00043345">
        <w:t>also</w:t>
      </w:r>
      <w:r w:rsidR="003921E5" w:rsidRPr="00043345">
        <w:t xml:space="preserve"> exist</w:t>
      </w:r>
      <w:r w:rsidRPr="00043345">
        <w:t>s</w:t>
      </w:r>
      <w:r w:rsidR="003921E5" w:rsidRPr="00043345">
        <w:t xml:space="preserve"> as part of customary international law</w:t>
      </w:r>
      <w:r w:rsidR="00D33693" w:rsidRPr="00043345">
        <w:t xml:space="preserve"> because, based on a preponderance of </w:t>
      </w:r>
      <w:r w:rsidR="002C15A3">
        <w:t xml:space="preserve">the </w:t>
      </w:r>
      <w:r w:rsidR="00D33693" w:rsidRPr="00043345">
        <w:t>evidence,</w:t>
      </w:r>
      <w:r w:rsidR="00E774CB" w:rsidRPr="00043345">
        <w:t xml:space="preserve"> claims </w:t>
      </w:r>
      <w:r w:rsidRPr="00043345">
        <w:t xml:space="preserve">to that effect </w:t>
      </w:r>
      <w:r w:rsidR="00450241">
        <w:t>appear correct.</w:t>
      </w:r>
    </w:p>
    <w:p w:rsidR="00FB7B0A" w:rsidRPr="00043345" w:rsidRDefault="00FB7B0A" w:rsidP="00043345">
      <w:pPr>
        <w:jc w:val="center"/>
        <w:rPr>
          <w:b/>
        </w:rPr>
      </w:pPr>
      <w:r w:rsidRPr="00043345">
        <w:rPr>
          <w:b/>
        </w:rPr>
        <w:t xml:space="preserve">III. INDIA AS </w:t>
      </w:r>
      <w:r w:rsidR="00450241">
        <w:rPr>
          <w:b/>
        </w:rPr>
        <w:t xml:space="preserve">A </w:t>
      </w:r>
      <w:r w:rsidRPr="00043345">
        <w:rPr>
          <w:b/>
        </w:rPr>
        <w:t>PERSISTENT OBJECTOR?</w:t>
      </w:r>
    </w:p>
    <w:p w:rsidR="00FB7B0A" w:rsidRPr="00043345" w:rsidRDefault="00FB7B0A" w:rsidP="00043345">
      <w:pPr>
        <w:jc w:val="both"/>
        <w:rPr>
          <w:b/>
        </w:rPr>
      </w:pPr>
    </w:p>
    <w:p w:rsidR="00613411" w:rsidRPr="00043345" w:rsidRDefault="00DA28BD" w:rsidP="00BC3B8D">
      <w:pPr>
        <w:spacing w:line="480" w:lineRule="auto"/>
        <w:ind w:firstLine="720"/>
        <w:jc w:val="both"/>
      </w:pPr>
      <w:r>
        <w:t xml:space="preserve">Based on the assumption that </w:t>
      </w:r>
      <w:r w:rsidR="00D56F1E" w:rsidRPr="00043345">
        <w:t>the comprehensive test-</w:t>
      </w:r>
      <w:r w:rsidR="00FB7B0A" w:rsidRPr="00043345">
        <w:t xml:space="preserve">ban </w:t>
      </w:r>
      <w:r w:rsidR="00D33693" w:rsidRPr="00043345">
        <w:t xml:space="preserve">is </w:t>
      </w:r>
      <w:r w:rsidR="00FB7B0A" w:rsidRPr="00043345">
        <w:t xml:space="preserve">binding in custom, this </w:t>
      </w:r>
      <w:r w:rsidR="005523AB">
        <w:t>S</w:t>
      </w:r>
      <w:r w:rsidR="005523AB" w:rsidRPr="00043345">
        <w:t xml:space="preserve">ection </w:t>
      </w:r>
      <w:r w:rsidR="00D33693" w:rsidRPr="00043345">
        <w:t>examines</w:t>
      </w:r>
      <w:r w:rsidR="00D079AB" w:rsidRPr="00043345">
        <w:t xml:space="preserve"> </w:t>
      </w:r>
      <w:r w:rsidR="00D33693" w:rsidRPr="00043345">
        <w:t xml:space="preserve">whether India, </w:t>
      </w:r>
      <w:r w:rsidR="00FB7B0A" w:rsidRPr="00043345">
        <w:t xml:space="preserve">as a long standing </w:t>
      </w:r>
      <w:r w:rsidR="0028349D">
        <w:t>“</w:t>
      </w:r>
      <w:r w:rsidR="00FB7B0A" w:rsidRPr="00043345">
        <w:t>outsider</w:t>
      </w:r>
      <w:r w:rsidR="0028349D">
        <w:t>”</w:t>
      </w:r>
      <w:r w:rsidR="00FB7B0A" w:rsidRPr="00043345">
        <w:t xml:space="preserve"> to the inte</w:t>
      </w:r>
      <w:r w:rsidR="00D33693" w:rsidRPr="00043345">
        <w:t xml:space="preserve">rnational nuclear legal order, </w:t>
      </w:r>
      <w:r w:rsidR="00FB7B0A" w:rsidRPr="00043345">
        <w:t>can be considered a persistent objector</w:t>
      </w:r>
      <w:r w:rsidR="0028349D">
        <w:t xml:space="preserve"> </w:t>
      </w:r>
      <w:r w:rsidR="00583307">
        <w:t>S</w:t>
      </w:r>
      <w:r w:rsidR="00583307" w:rsidRPr="00043345">
        <w:t xml:space="preserve">tate </w:t>
      </w:r>
      <w:r w:rsidR="00F24BC1" w:rsidRPr="00043345">
        <w:t>with regard to this norm</w:t>
      </w:r>
      <w:r w:rsidR="00FB7B0A" w:rsidRPr="00043345">
        <w:t xml:space="preserve">.  If so, India would seemingly not be bound by </w:t>
      </w:r>
      <w:r w:rsidR="00D079AB" w:rsidRPr="00043345">
        <w:t xml:space="preserve">any </w:t>
      </w:r>
      <w:r w:rsidR="00FB7B0A" w:rsidRPr="00043345">
        <w:t xml:space="preserve">customary obligation </w:t>
      </w:r>
      <w:r>
        <w:t xml:space="preserve">to </w:t>
      </w:r>
      <w:r w:rsidR="00FB7B0A" w:rsidRPr="00043345">
        <w:t>refrain from nuclear testing.</w:t>
      </w:r>
    </w:p>
    <w:p w:rsidR="00F52CAF" w:rsidRDefault="000C350E">
      <w:pPr>
        <w:jc w:val="center"/>
        <w:rPr>
          <w:i/>
        </w:rPr>
      </w:pPr>
      <w:r w:rsidRPr="00C64277">
        <w:rPr>
          <w:b/>
        </w:rPr>
        <w:t>A. Common Understandings of the Persistent Objector Rule</w:t>
      </w:r>
    </w:p>
    <w:p w:rsidR="00FB7B0A" w:rsidRPr="00043345" w:rsidRDefault="00FB7B0A" w:rsidP="00043345">
      <w:pPr>
        <w:jc w:val="both"/>
      </w:pPr>
    </w:p>
    <w:p w:rsidR="00FB7B0A" w:rsidRPr="00043345" w:rsidRDefault="00E91E43" w:rsidP="00BC3B8D">
      <w:pPr>
        <w:spacing w:line="480" w:lineRule="auto"/>
        <w:ind w:firstLine="720"/>
        <w:jc w:val="both"/>
      </w:pPr>
      <w:r w:rsidRPr="00043345">
        <w:t>It is first necessary to briefly set out the nature of</w:t>
      </w:r>
      <w:r w:rsidR="00765AED" w:rsidRPr="00043345">
        <w:t xml:space="preserve"> the persistent objector rule.  Throughout the UN era</w:t>
      </w:r>
      <w:r w:rsidR="00DA53FE">
        <w:t>,</w:t>
      </w:r>
      <w:r w:rsidR="00765AED" w:rsidRPr="00043345">
        <w:t xml:space="preserve"> there has been widespread scholarly</w:t>
      </w:r>
      <w:r w:rsidR="00765AED" w:rsidRPr="00043345">
        <w:rPr>
          <w:rStyle w:val="FootnoteReference"/>
        </w:rPr>
        <w:footnoteReference w:id="78"/>
      </w:r>
      <w:r w:rsidR="00765AED" w:rsidRPr="00043345">
        <w:t xml:space="preserve"> and </w:t>
      </w:r>
      <w:r w:rsidR="00450241">
        <w:t xml:space="preserve">some </w:t>
      </w:r>
      <w:r w:rsidR="00765AED" w:rsidRPr="00043345">
        <w:t>judicial</w:t>
      </w:r>
      <w:r w:rsidR="00765AED" w:rsidRPr="00043345">
        <w:rPr>
          <w:rStyle w:val="FootnoteReference"/>
        </w:rPr>
        <w:footnoteReference w:id="79"/>
      </w:r>
      <w:r w:rsidR="00765AED" w:rsidRPr="00043345">
        <w:t xml:space="preserve"> </w:t>
      </w:r>
      <w:r w:rsidR="00765AED" w:rsidRPr="00043345">
        <w:lastRenderedPageBreak/>
        <w:t xml:space="preserve">acceptance of the rule as an aspect of customary international law formation.  </w:t>
      </w:r>
      <w:r w:rsidR="00FB7B0A" w:rsidRPr="00043345">
        <w:t xml:space="preserve">As </w:t>
      </w:r>
      <w:r w:rsidR="00765AED" w:rsidRPr="00043345">
        <w:t xml:space="preserve">has </w:t>
      </w:r>
      <w:r w:rsidRPr="00043345">
        <w:t xml:space="preserve">already </w:t>
      </w:r>
      <w:r w:rsidR="00765AED" w:rsidRPr="00043345">
        <w:t xml:space="preserve">been </w:t>
      </w:r>
      <w:r w:rsidRPr="00043345">
        <w:t>noted</w:t>
      </w:r>
      <w:r w:rsidR="00FB7B0A" w:rsidRPr="00043345">
        <w:t xml:space="preserve">, the </w:t>
      </w:r>
      <w:r w:rsidR="00765AED" w:rsidRPr="00043345">
        <w:t xml:space="preserve">persistent objector </w:t>
      </w:r>
      <w:r w:rsidR="00FB7B0A" w:rsidRPr="00043345">
        <w:t xml:space="preserve">rule says that if a </w:t>
      </w:r>
      <w:r w:rsidR="00583307">
        <w:t>S</w:t>
      </w:r>
      <w:r w:rsidR="00583307" w:rsidRPr="00043345">
        <w:t xml:space="preserve">tate </w:t>
      </w:r>
      <w:r w:rsidR="00FB7B0A" w:rsidRPr="00043345">
        <w:t>persistently objects to a newly emerging norm of customary international law during the formation of that norm, then it is exempt from it once the custom has crystallised.</w:t>
      </w:r>
      <w:r w:rsidR="00FB7B0A" w:rsidRPr="00043345">
        <w:rPr>
          <w:rStyle w:val="FootnoteReference"/>
        </w:rPr>
        <w:footnoteReference w:id="80"/>
      </w:r>
      <w:r w:rsidR="00FB7B0A" w:rsidRPr="00043345">
        <w:t xml:space="preserve">  The rule is</w:t>
      </w:r>
      <w:r w:rsidR="00D33693" w:rsidRPr="00043345">
        <w:t>,</w:t>
      </w:r>
      <w:r w:rsidR="00FB7B0A" w:rsidRPr="00043345">
        <w:t xml:space="preserve"> therefore</w:t>
      </w:r>
      <w:r w:rsidR="00D33693" w:rsidRPr="00043345">
        <w:t>,</w:t>
      </w:r>
      <w:r w:rsidR="00FB7B0A" w:rsidRPr="00043345">
        <w:t xml:space="preserve"> usually viewed as having two elements, </w:t>
      </w:r>
      <w:r w:rsidR="00DA53FE">
        <w:t xml:space="preserve">both of </w:t>
      </w:r>
      <w:r w:rsidR="00FB7B0A" w:rsidRPr="00043345">
        <w:t>which need to be satisfied for it to operate:</w:t>
      </w:r>
      <w:r w:rsidR="00FB7B0A" w:rsidRPr="00043345">
        <w:rPr>
          <w:rStyle w:val="FootnoteReference"/>
        </w:rPr>
        <w:footnoteReference w:id="81"/>
      </w:r>
    </w:p>
    <w:p w:rsidR="00FB7B0A" w:rsidRPr="00043345" w:rsidRDefault="00FB7B0A" w:rsidP="00BC3B8D">
      <w:pPr>
        <w:numPr>
          <w:ilvl w:val="0"/>
          <w:numId w:val="4"/>
        </w:numPr>
        <w:ind w:left="720" w:right="720"/>
        <w:jc w:val="both"/>
      </w:pPr>
      <w:r w:rsidRPr="00043345">
        <w:t xml:space="preserve">Somewhat obviously, given the rule’s name, the </w:t>
      </w:r>
      <w:r w:rsidR="00583307">
        <w:t>S</w:t>
      </w:r>
      <w:r w:rsidR="00583307" w:rsidRPr="00043345">
        <w:t xml:space="preserve">tate </w:t>
      </w:r>
      <w:r w:rsidRPr="00043345">
        <w:t xml:space="preserve">in question must object </w:t>
      </w:r>
      <w:r w:rsidRPr="00043345">
        <w:rPr>
          <w:i/>
        </w:rPr>
        <w:t>persistently</w:t>
      </w:r>
      <w:r w:rsidRPr="00043345">
        <w:t xml:space="preserve">.  It is not seen as sufficient for a </w:t>
      </w:r>
      <w:r w:rsidR="00583307">
        <w:t>S</w:t>
      </w:r>
      <w:r w:rsidR="00583307" w:rsidRPr="00043345">
        <w:t xml:space="preserve">tate </w:t>
      </w:r>
      <w:r w:rsidRPr="00043345">
        <w:t xml:space="preserve">to object to a newly emerging law only once: put simply, </w:t>
      </w:r>
      <w:r w:rsidR="0028349D">
        <w:t>“</w:t>
      </w:r>
      <w:r w:rsidRPr="00043345">
        <w:t>sporadic or isolated objections will not do.</w:t>
      </w:r>
      <w:r w:rsidR="0028349D">
        <w:t>”</w:t>
      </w:r>
      <w:r w:rsidRPr="00043345">
        <w:rPr>
          <w:rStyle w:val="FootnoteReference"/>
        </w:rPr>
        <w:footnoteReference w:id="82"/>
      </w:r>
    </w:p>
    <w:p w:rsidR="00FB7B0A" w:rsidRPr="00043345" w:rsidRDefault="00FB7B0A" w:rsidP="00BC3B8D">
      <w:pPr>
        <w:ind w:left="720" w:right="720"/>
        <w:jc w:val="both"/>
      </w:pPr>
    </w:p>
    <w:p w:rsidR="00FB7B0A" w:rsidRDefault="00FB7B0A" w:rsidP="00BC3B8D">
      <w:pPr>
        <w:numPr>
          <w:ilvl w:val="0"/>
          <w:numId w:val="4"/>
        </w:numPr>
        <w:ind w:left="720" w:right="720"/>
        <w:jc w:val="both"/>
      </w:pPr>
      <w:r w:rsidRPr="00043345">
        <w:t xml:space="preserve">The persistent objection must occur </w:t>
      </w:r>
      <w:r w:rsidRPr="00043345">
        <w:rPr>
          <w:i/>
        </w:rPr>
        <w:t>during the formation</w:t>
      </w:r>
      <w:r w:rsidRPr="00043345">
        <w:t xml:space="preserve"> of the norm.  Objection once the new law has become binding is insufficient; in other words, </w:t>
      </w:r>
      <w:r w:rsidR="00583307">
        <w:t>S</w:t>
      </w:r>
      <w:r w:rsidR="00583307" w:rsidRPr="00043345">
        <w:t xml:space="preserve">tates </w:t>
      </w:r>
      <w:r w:rsidRPr="00043345">
        <w:t xml:space="preserve">that are </w:t>
      </w:r>
      <w:r w:rsidR="0028349D">
        <w:t>“</w:t>
      </w:r>
      <w:r w:rsidRPr="00043345">
        <w:t>subsequent objectors</w:t>
      </w:r>
      <w:r w:rsidR="0028349D">
        <w:t>”</w:t>
      </w:r>
      <w:r w:rsidRPr="00043345">
        <w:t xml:space="preserve"> will nonetheless be bound.</w:t>
      </w:r>
      <w:r w:rsidR="00092E71" w:rsidRPr="00043345">
        <w:rPr>
          <w:rStyle w:val="FootnoteReference"/>
        </w:rPr>
        <w:footnoteReference w:id="83"/>
      </w:r>
    </w:p>
    <w:p w:rsidR="00BC3B8D" w:rsidRPr="00043345" w:rsidRDefault="00BC3B8D" w:rsidP="00BC3B8D">
      <w:pPr>
        <w:ind w:right="720"/>
        <w:jc w:val="both"/>
      </w:pPr>
    </w:p>
    <w:p w:rsidR="00BD7061" w:rsidRPr="00043345" w:rsidRDefault="00765AED" w:rsidP="00043345">
      <w:pPr>
        <w:spacing w:line="480" w:lineRule="auto"/>
        <w:jc w:val="both"/>
      </w:pPr>
      <w:r w:rsidRPr="00043345">
        <w:t>I</w:t>
      </w:r>
      <w:r w:rsidR="00FB7B0A" w:rsidRPr="00043345">
        <w:t xml:space="preserve">n predominant positivist understandings of the </w:t>
      </w:r>
      <w:r w:rsidR="0028349D">
        <w:t>“</w:t>
      </w:r>
      <w:r w:rsidRPr="00043345">
        <w:t>horizontal</w:t>
      </w:r>
      <w:r w:rsidR="0028349D">
        <w:t>”</w:t>
      </w:r>
      <w:r w:rsidRPr="00043345">
        <w:t xml:space="preserve"> </w:t>
      </w:r>
      <w:r w:rsidR="00FB7B0A" w:rsidRPr="00043345">
        <w:t xml:space="preserve">international legal system, </w:t>
      </w:r>
      <w:r w:rsidR="00583307">
        <w:t>S</w:t>
      </w:r>
      <w:r w:rsidR="00583307" w:rsidRPr="00043345">
        <w:t xml:space="preserve">tates </w:t>
      </w:r>
      <w:r w:rsidR="00FB7B0A" w:rsidRPr="00043345">
        <w:t xml:space="preserve">are not bound by law </w:t>
      </w:r>
      <w:r w:rsidR="005E63F1" w:rsidRPr="00043345">
        <w:t>to which</w:t>
      </w:r>
      <w:r w:rsidR="00FB7B0A" w:rsidRPr="00043345">
        <w:t xml:space="preserve"> they h</w:t>
      </w:r>
      <w:r w:rsidR="005E63F1" w:rsidRPr="00043345">
        <w:t>ave not consented</w:t>
      </w:r>
      <w:r w:rsidR="000B2053">
        <w:t xml:space="preserve"> to be bound</w:t>
      </w:r>
      <w:r w:rsidR="00FB7B0A" w:rsidRPr="00043345">
        <w:t>.</w:t>
      </w:r>
      <w:r w:rsidR="00FB7B0A" w:rsidRPr="00043345">
        <w:rPr>
          <w:rStyle w:val="FootnoteReference"/>
        </w:rPr>
        <w:footnoteReference w:id="84"/>
      </w:r>
      <w:r w:rsidR="00FB7B0A" w:rsidRPr="00043345">
        <w:t xml:space="preserve">  </w:t>
      </w:r>
      <w:r w:rsidR="00DA53FE">
        <w:t>I</w:t>
      </w:r>
      <w:r w:rsidR="00FB7B0A" w:rsidRPr="00043345">
        <w:t>dentif</w:t>
      </w:r>
      <w:r w:rsidR="00DA53FE">
        <w:t>ying</w:t>
      </w:r>
      <w:r w:rsidR="00FB7B0A" w:rsidRPr="00043345">
        <w:t xml:space="preserve"> consent </w:t>
      </w:r>
      <w:r w:rsidRPr="00043345">
        <w:t xml:space="preserve">with regard to treaties </w:t>
      </w:r>
      <w:r w:rsidR="00FB7B0A" w:rsidRPr="00043345">
        <w:t>is obviously relatively straightforward</w:t>
      </w:r>
      <w:r w:rsidR="00D33693" w:rsidRPr="00043345">
        <w:t xml:space="preserve"> (based on the process of signature and ratification)</w:t>
      </w:r>
      <w:r w:rsidRPr="00043345">
        <w:t xml:space="preserve">, but consent is more difficult to </w:t>
      </w:r>
      <w:r w:rsidRPr="00043345">
        <w:lastRenderedPageBreak/>
        <w:t>establish for customary international law.</w:t>
      </w:r>
      <w:r w:rsidR="00FB7B0A" w:rsidRPr="00043345">
        <w:rPr>
          <w:rStyle w:val="FootnoteReference"/>
        </w:rPr>
        <w:footnoteReference w:id="85"/>
      </w:r>
      <w:r w:rsidRPr="00043345">
        <w:t xml:space="preserve">  C</w:t>
      </w:r>
      <w:r w:rsidR="00FB7B0A" w:rsidRPr="00043345">
        <w:t xml:space="preserve">onsent </w:t>
      </w:r>
      <w:r w:rsidRPr="00043345">
        <w:t xml:space="preserve">in the context of the formation of custom </w:t>
      </w:r>
      <w:r w:rsidR="00FB7B0A" w:rsidRPr="00043345">
        <w:t>is necessarily premised on silence a</w:t>
      </w:r>
      <w:r w:rsidR="005E63F1" w:rsidRPr="00043345">
        <w:t>s constituting tacit consent.  T</w:t>
      </w:r>
      <w:r w:rsidR="00FB7B0A" w:rsidRPr="00043345">
        <w:t xml:space="preserve">his is largely for practical reasons, as customary international law would stagnate if explicit consent on the part of all </w:t>
      </w:r>
      <w:r w:rsidR="00583307">
        <w:t>S</w:t>
      </w:r>
      <w:r w:rsidR="00583307" w:rsidRPr="00043345">
        <w:t xml:space="preserve">tates </w:t>
      </w:r>
      <w:r w:rsidR="00DA53FE" w:rsidRPr="00043345">
        <w:t>w</w:t>
      </w:r>
      <w:r w:rsidR="00DA53FE">
        <w:t>ere</w:t>
      </w:r>
      <w:r w:rsidR="00DA53FE" w:rsidRPr="00043345">
        <w:t xml:space="preserve"> </w:t>
      </w:r>
      <w:r w:rsidR="00FB7B0A" w:rsidRPr="00043345">
        <w:t>required.</w:t>
      </w:r>
      <w:r w:rsidR="00FB7B0A" w:rsidRPr="00043345">
        <w:rPr>
          <w:rStyle w:val="FootnoteReference"/>
        </w:rPr>
        <w:footnoteReference w:id="86"/>
      </w:r>
      <w:r w:rsidR="00FB7B0A" w:rsidRPr="00043345">
        <w:t xml:space="preserve">  It is here </w:t>
      </w:r>
      <w:r w:rsidR="00DA53FE">
        <w:t>that</w:t>
      </w:r>
      <w:r w:rsidR="00DA53FE" w:rsidRPr="00043345">
        <w:t xml:space="preserve"> </w:t>
      </w:r>
      <w:r w:rsidR="00FB7B0A" w:rsidRPr="00043345">
        <w:t xml:space="preserve">the persistent objector rule is commonly seen as fulfilling a crucial role.  At least theoretically, the rule preserves </w:t>
      </w:r>
      <w:r w:rsidR="00583307">
        <w:t>S</w:t>
      </w:r>
      <w:r w:rsidR="00583307" w:rsidRPr="00043345">
        <w:t xml:space="preserve">tate </w:t>
      </w:r>
      <w:r w:rsidR="00FB7B0A" w:rsidRPr="00043345">
        <w:t xml:space="preserve">autonomy – not to mention the positivist conception of a consent-based </w:t>
      </w:r>
      <w:r w:rsidR="00450241">
        <w:t xml:space="preserve">legal </w:t>
      </w:r>
      <w:r w:rsidR="00FB7B0A" w:rsidRPr="00043345">
        <w:t xml:space="preserve">system – by providing </w:t>
      </w:r>
      <w:r w:rsidR="00583307">
        <w:t>S</w:t>
      </w:r>
      <w:r w:rsidR="00583307" w:rsidRPr="00043345">
        <w:t xml:space="preserve">tates </w:t>
      </w:r>
      <w:r w:rsidR="00FB7B0A" w:rsidRPr="00043345">
        <w:t xml:space="preserve">with a means to </w:t>
      </w:r>
      <w:r w:rsidRPr="00043345">
        <w:rPr>
          <w:i/>
        </w:rPr>
        <w:t>withdraw</w:t>
      </w:r>
      <w:r w:rsidRPr="00043345">
        <w:t xml:space="preserve"> consent</w:t>
      </w:r>
      <w:r w:rsidR="00FB7B0A" w:rsidRPr="00043345">
        <w:t>.</w:t>
      </w:r>
      <w:r w:rsidR="00FB7B0A" w:rsidRPr="00043345">
        <w:rPr>
          <w:rStyle w:val="FootnoteReference"/>
        </w:rPr>
        <w:footnoteReference w:id="87"/>
      </w:r>
    </w:p>
    <w:p w:rsidR="00FB7B0A" w:rsidRPr="00043345" w:rsidRDefault="0074337E" w:rsidP="00BC3B8D">
      <w:pPr>
        <w:autoSpaceDE w:val="0"/>
        <w:autoSpaceDN w:val="0"/>
        <w:adjustRightInd w:val="0"/>
        <w:spacing w:line="480" w:lineRule="auto"/>
        <w:ind w:firstLine="720"/>
        <w:jc w:val="both"/>
      </w:pPr>
      <w:r w:rsidRPr="00043345">
        <w:t>There are numerous issues concerning the persistent objector rule that a</w:t>
      </w:r>
      <w:r w:rsidR="005E63F1" w:rsidRPr="00043345">
        <w:t>re worthy of further discussion</w:t>
      </w:r>
      <w:r w:rsidRPr="00043345">
        <w:t xml:space="preserve"> but which go beyond the scope of this </w:t>
      </w:r>
      <w:r w:rsidR="001D7BAF">
        <w:t>article</w:t>
      </w:r>
      <w:r w:rsidRPr="00043345">
        <w:t>.</w:t>
      </w:r>
      <w:r w:rsidRPr="00043345">
        <w:rPr>
          <w:rStyle w:val="FootnoteReference"/>
        </w:rPr>
        <w:footnoteReference w:id="88"/>
      </w:r>
      <w:r w:rsidRPr="00043345">
        <w:t xml:space="preserve">  Yet two further points need to be made about the rule for our purposes.  First</w:t>
      </w:r>
      <w:r w:rsidR="00A25683" w:rsidRPr="00043345">
        <w:t xml:space="preserve">, </w:t>
      </w:r>
      <w:r w:rsidRPr="00043345">
        <w:t>it is important to note</w:t>
      </w:r>
      <w:r w:rsidR="005E63F1" w:rsidRPr="00043345">
        <w:t>,</w:t>
      </w:r>
      <w:r w:rsidRPr="00043345">
        <w:t xml:space="preserve"> given the focus of this article on the CTBT</w:t>
      </w:r>
      <w:r w:rsidR="005E63F1" w:rsidRPr="00043345">
        <w:t>,</w:t>
      </w:r>
      <w:r w:rsidRPr="00043345">
        <w:t xml:space="preserve"> that </w:t>
      </w:r>
      <w:r w:rsidR="00163565" w:rsidRPr="00043345">
        <w:t>non-</w:t>
      </w:r>
      <w:r w:rsidR="003F17DC">
        <w:t>P</w:t>
      </w:r>
      <w:r w:rsidR="003F17DC" w:rsidRPr="00043345">
        <w:t xml:space="preserve">arties </w:t>
      </w:r>
      <w:r w:rsidR="00163565" w:rsidRPr="00043345">
        <w:t xml:space="preserve">to </w:t>
      </w:r>
      <w:r w:rsidR="00A25683" w:rsidRPr="00043345">
        <w:t xml:space="preserve">a </w:t>
      </w:r>
      <w:r w:rsidR="00163565" w:rsidRPr="00043345">
        <w:t>treat</w:t>
      </w:r>
      <w:r w:rsidR="00A25683" w:rsidRPr="00043345">
        <w:t>y</w:t>
      </w:r>
      <w:r w:rsidR="00163565" w:rsidRPr="00043345">
        <w:t xml:space="preserve"> </w:t>
      </w:r>
      <w:r w:rsidR="00A25683" w:rsidRPr="00043345">
        <w:t xml:space="preserve">can similarly achieve exemption </w:t>
      </w:r>
      <w:r w:rsidRPr="00043345">
        <w:t xml:space="preserve">through the usual operation of the persistent objector rule </w:t>
      </w:r>
      <w:r w:rsidR="00A25683" w:rsidRPr="00043345">
        <w:t xml:space="preserve">from any customary counterpart norms that emerge: </w:t>
      </w:r>
      <w:r w:rsidR="0028349D">
        <w:t>“</w:t>
      </w:r>
      <w:r w:rsidR="00A25683" w:rsidRPr="00043345">
        <w:t>[i]</w:t>
      </w:r>
      <w:r w:rsidR="00163565" w:rsidRPr="00043345">
        <w:t xml:space="preserve">f they persist with their </w:t>
      </w:r>
      <w:r w:rsidR="00163565" w:rsidRPr="00043345">
        <w:lastRenderedPageBreak/>
        <w:t>objection to the provisions of the treaty, they could become persistent objectors on the international plane.</w:t>
      </w:r>
      <w:r w:rsidR="0028349D">
        <w:t>”</w:t>
      </w:r>
      <w:r w:rsidR="00163565" w:rsidRPr="00043345">
        <w:rPr>
          <w:rStyle w:val="FootnoteReference"/>
        </w:rPr>
        <w:footnoteReference w:id="89"/>
      </w:r>
      <w:r w:rsidRPr="00043345">
        <w:t xml:space="preserve">  Secondly, it is necessary to</w:t>
      </w:r>
      <w:r w:rsidR="00937E84" w:rsidRPr="00043345">
        <w:t xml:space="preserve"> consider whether </w:t>
      </w:r>
      <w:r w:rsidR="00937E84" w:rsidRPr="00043345">
        <w:rPr>
          <w:i/>
        </w:rPr>
        <w:t>acts</w:t>
      </w:r>
      <w:r w:rsidR="00937E84" w:rsidRPr="00043345">
        <w:t xml:space="preserve"> are enough to constitute </w:t>
      </w:r>
      <w:r w:rsidR="0028349D">
        <w:t>“</w:t>
      </w:r>
      <w:r w:rsidR="00937E84" w:rsidRPr="00043345">
        <w:t>objections</w:t>
      </w:r>
      <w:r w:rsidR="0028349D">
        <w:t>”</w:t>
      </w:r>
      <w:r w:rsidR="00937E84" w:rsidRPr="00043345">
        <w:t xml:space="preserve"> for the purposes </w:t>
      </w:r>
      <w:r w:rsidR="005E63F1" w:rsidRPr="00043345">
        <w:t>of the persistent objector rule</w:t>
      </w:r>
      <w:r w:rsidR="00937E84" w:rsidRPr="00043345">
        <w:t xml:space="preserve"> or whether explicit statements of objection are required.</w:t>
      </w:r>
      <w:r w:rsidR="00937E84" w:rsidRPr="00043345">
        <w:rPr>
          <w:rStyle w:val="FootnoteReference"/>
        </w:rPr>
        <w:footnoteReference w:id="90"/>
      </w:r>
      <w:r w:rsidR="00937E84" w:rsidRPr="00043345">
        <w:t xml:space="preserve">  </w:t>
      </w:r>
      <w:r w:rsidR="00BD7061" w:rsidRPr="00043345">
        <w:t>P</w:t>
      </w:r>
      <w:r w:rsidR="00937E84" w:rsidRPr="00043345">
        <w:t xml:space="preserve">reponderant academic opinion seems to support the view that </w:t>
      </w:r>
      <w:r w:rsidR="0028349D">
        <w:t>“</w:t>
      </w:r>
      <w:r w:rsidR="00937E84" w:rsidRPr="00043345">
        <w:t>acts</w:t>
      </w:r>
      <w:r w:rsidR="0028349D">
        <w:t>”</w:t>
      </w:r>
      <w:r w:rsidR="00937E84" w:rsidRPr="00043345">
        <w:t xml:space="preserve"> of objection will suffice.</w:t>
      </w:r>
      <w:r w:rsidR="00937E84" w:rsidRPr="00043345">
        <w:rPr>
          <w:rStyle w:val="FootnoteReference"/>
        </w:rPr>
        <w:footnoteReference w:id="91"/>
      </w:r>
    </w:p>
    <w:p w:rsidR="00F52CAF" w:rsidRDefault="000C350E">
      <w:pPr>
        <w:jc w:val="center"/>
        <w:rPr>
          <w:i/>
        </w:rPr>
      </w:pPr>
      <w:r w:rsidRPr="00C64277">
        <w:rPr>
          <w:b/>
        </w:rPr>
        <w:t>B. India as a Persistent Objector to a Customary Prohibition on Nuclear Testing</w:t>
      </w:r>
    </w:p>
    <w:p w:rsidR="003F2C19" w:rsidRPr="00043345" w:rsidRDefault="003F2C19" w:rsidP="00043345">
      <w:pPr>
        <w:jc w:val="both"/>
      </w:pPr>
    </w:p>
    <w:p w:rsidR="001A124B" w:rsidRPr="00043345" w:rsidRDefault="00FB7B0A" w:rsidP="00BC3B8D">
      <w:pPr>
        <w:spacing w:line="480" w:lineRule="auto"/>
        <w:ind w:firstLine="720"/>
        <w:jc w:val="both"/>
      </w:pPr>
      <w:r w:rsidRPr="00043345">
        <w:t xml:space="preserve">Perhaps the clearest indications of India’s persistent objector status, then, are its </w:t>
      </w:r>
      <w:r w:rsidRPr="00043345">
        <w:rPr>
          <w:i/>
        </w:rPr>
        <w:t>actions</w:t>
      </w:r>
      <w:r w:rsidRPr="00043345">
        <w:t xml:space="preserve">.  India’s </w:t>
      </w:r>
      <w:r w:rsidR="00937E84" w:rsidRPr="00043345">
        <w:rPr>
          <w:rStyle w:val="Emphasis"/>
          <w:i w:val="0"/>
          <w:color w:val="000000"/>
        </w:rPr>
        <w:t>Pokhran-I</w:t>
      </w:r>
      <w:r w:rsidR="00937E84" w:rsidRPr="00043345">
        <w:t xml:space="preserve"> nuclear tests of 1974</w:t>
      </w:r>
      <w:r w:rsidR="00937E84" w:rsidRPr="00043345">
        <w:rPr>
          <w:rStyle w:val="FootnoteReference"/>
        </w:rPr>
        <w:footnoteReference w:id="92"/>
      </w:r>
      <w:r w:rsidRPr="00043345">
        <w:t xml:space="preserve"> and more notably </w:t>
      </w:r>
      <w:r w:rsidR="00937E84" w:rsidRPr="00043345">
        <w:t xml:space="preserve">the </w:t>
      </w:r>
      <w:r w:rsidRPr="00043345">
        <w:t>1998</w:t>
      </w:r>
      <w:r w:rsidR="00937E84" w:rsidRPr="00043345">
        <w:t xml:space="preserve"> </w:t>
      </w:r>
      <w:r w:rsidR="00937E84" w:rsidRPr="00043345">
        <w:rPr>
          <w:rStyle w:val="Emphasis"/>
          <w:i w:val="0"/>
          <w:color w:val="000000"/>
        </w:rPr>
        <w:t>Pokhran-II</w:t>
      </w:r>
      <w:r w:rsidR="00937E84" w:rsidRPr="00043345">
        <w:t xml:space="preserve"> tests and India’s explicit self-proclamation</w:t>
      </w:r>
      <w:r w:rsidR="001A124B" w:rsidRPr="00043345">
        <w:t xml:space="preserve"> of nuclear power st</w:t>
      </w:r>
      <w:r w:rsidR="00937E84" w:rsidRPr="00043345">
        <w:t>atus</w:t>
      </w:r>
      <w:r w:rsidRPr="00043345">
        <w:t xml:space="preserve"> are acts </w:t>
      </w:r>
      <w:r w:rsidR="0011424D" w:rsidRPr="00043345">
        <w:lastRenderedPageBreak/>
        <w:t xml:space="preserve">that </w:t>
      </w:r>
      <w:r w:rsidRPr="00043345">
        <w:t xml:space="preserve">clearly demonstrate a </w:t>
      </w:r>
      <w:r w:rsidR="00D56F1E" w:rsidRPr="00043345">
        <w:t>rejection of any customary test-</w:t>
      </w:r>
      <w:r w:rsidRPr="00043345">
        <w:t>ban norm.</w:t>
      </w:r>
      <w:r w:rsidR="007D5887" w:rsidRPr="00043345">
        <w:rPr>
          <w:rStyle w:val="FootnoteReference"/>
        </w:rPr>
        <w:footnoteReference w:id="93"/>
      </w:r>
      <w:r w:rsidRPr="00043345">
        <w:t xml:space="preserve">  India’s </w:t>
      </w:r>
      <w:r w:rsidR="00F24BC1" w:rsidRPr="00043345">
        <w:t>attainment</w:t>
      </w:r>
      <w:r w:rsidRPr="00043345">
        <w:t xml:space="preserve"> of nuclear power status in 1974 </w:t>
      </w:r>
      <w:r w:rsidR="0011424D" w:rsidRPr="00043345">
        <w:t>amounts to</w:t>
      </w:r>
      <w:r w:rsidRPr="00043345">
        <w:t xml:space="preserve"> </w:t>
      </w:r>
      <w:r w:rsidR="0028349D">
        <w:t>“</w:t>
      </w:r>
      <w:r w:rsidRPr="00043345">
        <w:t>objection by deed</w:t>
      </w:r>
      <w:r w:rsidR="0028349D">
        <w:t>”</w:t>
      </w:r>
      <w:r w:rsidRPr="00043345">
        <w:t xml:space="preserve"> to </w:t>
      </w:r>
      <w:r w:rsidR="00F24BC1" w:rsidRPr="00043345">
        <w:t>any such testing norm</w:t>
      </w:r>
      <w:r w:rsidRPr="00043345">
        <w:t xml:space="preserve">, as does its overt acknowledgement of its possession of nuclear weapons and their testing in 1998.  </w:t>
      </w:r>
    </w:p>
    <w:p w:rsidR="0011424D" w:rsidRPr="00043345" w:rsidRDefault="00BD7061" w:rsidP="00BC3B8D">
      <w:pPr>
        <w:spacing w:line="480" w:lineRule="auto"/>
        <w:ind w:firstLine="720"/>
        <w:jc w:val="both"/>
      </w:pPr>
      <w:r w:rsidRPr="00043345">
        <w:t>I</w:t>
      </w:r>
      <w:r w:rsidR="00FB7B0A" w:rsidRPr="00043345">
        <w:t>n spite of a longstanding commitment to non-proliferation</w:t>
      </w:r>
      <w:r w:rsidR="003B3757" w:rsidRPr="00043345">
        <w:t xml:space="preserve"> and an excellent record in this regard</w:t>
      </w:r>
      <w:r w:rsidR="00FB7B0A" w:rsidRPr="00043345">
        <w:t>,</w:t>
      </w:r>
      <w:r w:rsidR="003B3757" w:rsidRPr="00043345">
        <w:rPr>
          <w:rStyle w:val="FootnoteReference"/>
        </w:rPr>
        <w:footnoteReference w:id="94"/>
      </w:r>
      <w:r w:rsidR="00FB7B0A" w:rsidRPr="00043345">
        <w:t xml:space="preserve"> India has repeatedly rejected the obligations of the legal nuclear non-proliferation regime (and its differentiated framework) outright.  </w:t>
      </w:r>
      <w:r w:rsidR="0011424D" w:rsidRPr="00043345">
        <w:t xml:space="preserve">As Frey notes, India’s discourse on nuclear weapons has always </w:t>
      </w:r>
      <w:r w:rsidR="0028349D">
        <w:t>“</w:t>
      </w:r>
      <w:r w:rsidR="0011424D" w:rsidRPr="00043345">
        <w:t>vehemently dismissed</w:t>
      </w:r>
      <w:r w:rsidR="0028349D">
        <w:t>”</w:t>
      </w:r>
      <w:r w:rsidR="0011424D" w:rsidRPr="00043345">
        <w:t xml:space="preserve"> the legal </w:t>
      </w:r>
      <w:r w:rsidR="0011424D" w:rsidRPr="00043345">
        <w:rPr>
          <w:i/>
        </w:rPr>
        <w:t>status quo</w:t>
      </w:r>
      <w:r w:rsidR="0011424D" w:rsidRPr="00043345">
        <w:t xml:space="preserve"> as </w:t>
      </w:r>
      <w:r w:rsidR="0028349D">
        <w:t>“</w:t>
      </w:r>
      <w:r w:rsidR="0011424D" w:rsidRPr="00043345">
        <w:t>discrim</w:t>
      </w:r>
      <w:r w:rsidR="00C90B95" w:rsidRPr="00043345">
        <w:t>in</w:t>
      </w:r>
      <w:r w:rsidR="0011424D" w:rsidRPr="00043345">
        <w:t>atory and imperialist.</w:t>
      </w:r>
      <w:r w:rsidR="0028349D">
        <w:t>”</w:t>
      </w:r>
      <w:r w:rsidR="00C90B95" w:rsidRPr="00043345">
        <w:rPr>
          <w:rStyle w:val="FootnoteReference"/>
        </w:rPr>
        <w:footnoteReference w:id="95"/>
      </w:r>
      <w:r w:rsidR="0011424D" w:rsidRPr="00043345">
        <w:t xml:space="preserve">  Indeed, India has famously promulgated the term </w:t>
      </w:r>
      <w:r w:rsidR="0028349D">
        <w:t>“</w:t>
      </w:r>
      <w:r w:rsidR="0011424D" w:rsidRPr="00043345">
        <w:t>nuclear apartheid</w:t>
      </w:r>
      <w:r w:rsidR="0028349D">
        <w:t>”</w:t>
      </w:r>
      <w:r w:rsidR="0011424D" w:rsidRPr="00043345">
        <w:t xml:space="preserve"> to describe international law’s approach to nuclear non-proliferation.</w:t>
      </w:r>
      <w:r w:rsidR="0011424D" w:rsidRPr="00043345">
        <w:rPr>
          <w:rStyle w:val="FootnoteReference"/>
        </w:rPr>
        <w:footnoteReference w:id="96"/>
      </w:r>
      <w:r w:rsidR="0011424D" w:rsidRPr="00043345">
        <w:t xml:space="preserve">  </w:t>
      </w:r>
    </w:p>
    <w:p w:rsidR="00D2179B" w:rsidRPr="00043345" w:rsidRDefault="00FB7B0A" w:rsidP="00BC3B8D">
      <w:pPr>
        <w:spacing w:line="480" w:lineRule="auto"/>
        <w:ind w:firstLine="720"/>
        <w:jc w:val="both"/>
        <w:rPr>
          <w:rStyle w:val="byline"/>
        </w:rPr>
      </w:pPr>
      <w:r w:rsidRPr="00043345">
        <w:lastRenderedPageBreak/>
        <w:t>India’s consistent and absolute rejection of the NPT</w:t>
      </w:r>
      <w:r w:rsidR="00F24BC1" w:rsidRPr="00043345">
        <w:t xml:space="preserve"> and international law’s wider nuclear regime</w:t>
      </w:r>
      <w:r w:rsidRPr="00043345">
        <w:t xml:space="preserve"> – from inception</w:t>
      </w:r>
      <w:r w:rsidR="00F24BC1" w:rsidRPr="00043345">
        <w:t xml:space="preserve"> </w:t>
      </w:r>
      <w:r w:rsidRPr="00043345">
        <w:t xml:space="preserve">– </w:t>
      </w:r>
      <w:r w:rsidR="008C17B1">
        <w:t>is clear from</w:t>
      </w:r>
      <w:r w:rsidRPr="00043345">
        <w:t xml:space="preserve"> numerous official statements.  </w:t>
      </w:r>
      <w:r w:rsidR="00D2179B" w:rsidRPr="00043345">
        <w:t>One classic example</w:t>
      </w:r>
      <w:r w:rsidRPr="00043345">
        <w:t xml:space="preserve"> is a speech made by </w:t>
      </w:r>
      <w:r w:rsidR="008C17B1">
        <w:t xml:space="preserve">Prime Minister </w:t>
      </w:r>
      <w:r w:rsidRPr="00043345">
        <w:t xml:space="preserve">Indira Gandhi to the Indian Parliament in 1968, </w:t>
      </w:r>
      <w:r w:rsidR="008C17B1">
        <w:t>in which she</w:t>
      </w:r>
      <w:r w:rsidRPr="00043345">
        <w:t xml:space="preserve"> was explicit in rejecting the entire NPT framework, based on a policy of </w:t>
      </w:r>
      <w:r w:rsidR="0028349D">
        <w:t>“</w:t>
      </w:r>
      <w:r w:rsidRPr="00043345">
        <w:t>enlightened self-interest and the considerations of national security.</w:t>
      </w:r>
      <w:r w:rsidR="0028349D">
        <w:t>”</w:t>
      </w:r>
      <w:r w:rsidRPr="00043345">
        <w:rPr>
          <w:rStyle w:val="FootnoteReference"/>
        </w:rPr>
        <w:footnoteReference w:id="97"/>
      </w:r>
      <w:r w:rsidR="003F2C19" w:rsidRPr="00043345">
        <w:t xml:space="preserve">  </w:t>
      </w:r>
      <w:r w:rsidR="003F2C19" w:rsidRPr="00043345">
        <w:rPr>
          <w:rStyle w:val="byline"/>
        </w:rPr>
        <w:t>A</w:t>
      </w:r>
      <w:r w:rsidR="003F2C19" w:rsidRPr="00043345">
        <w:t xml:space="preserve">s Rai summaries, India has </w:t>
      </w:r>
      <w:r w:rsidR="00322A78" w:rsidRPr="00043345">
        <w:t>always</w:t>
      </w:r>
      <w:r w:rsidR="003F2C19" w:rsidRPr="00043345">
        <w:t xml:space="preserve"> been </w:t>
      </w:r>
      <w:r w:rsidR="0028349D">
        <w:t>“</w:t>
      </w:r>
      <w:r w:rsidR="003F2C19" w:rsidRPr="00043345">
        <w:t>against [the international legal regime relating to nuclear weapons] and its philosophy because of its discriminatory character.</w:t>
      </w:r>
      <w:r w:rsidR="0028349D">
        <w:t>”</w:t>
      </w:r>
      <w:r w:rsidR="003F2C19" w:rsidRPr="00043345">
        <w:rPr>
          <w:rStyle w:val="FootnoteReference"/>
        </w:rPr>
        <w:footnoteReference w:id="98"/>
      </w:r>
    </w:p>
    <w:p w:rsidR="00D2179B" w:rsidRPr="00043345" w:rsidRDefault="00BD7061" w:rsidP="00BC3B8D">
      <w:pPr>
        <w:spacing w:line="480" w:lineRule="auto"/>
        <w:ind w:firstLine="720"/>
        <w:jc w:val="both"/>
      </w:pPr>
      <w:r w:rsidRPr="00043345">
        <w:t xml:space="preserve">Of course, the very fact that India is not a signatory to the CTBT demonstrates, by way of deed, </w:t>
      </w:r>
      <w:r w:rsidR="005631EE">
        <w:t>its</w:t>
      </w:r>
      <w:r w:rsidRPr="00043345">
        <w:t xml:space="preserve"> objection to any parallel customary regime.</w:t>
      </w:r>
      <w:r w:rsidRPr="00043345">
        <w:rPr>
          <w:rStyle w:val="FootnoteReference"/>
        </w:rPr>
        <w:footnoteReference w:id="99"/>
      </w:r>
      <w:r w:rsidRPr="00043345">
        <w:t xml:space="preserve">  Moreover, </w:t>
      </w:r>
      <w:r w:rsidR="002A76DA" w:rsidRPr="00043345">
        <w:rPr>
          <w:rStyle w:val="byline"/>
        </w:rPr>
        <w:t>India not only opted against signing a</w:t>
      </w:r>
      <w:r w:rsidR="005E63F1" w:rsidRPr="00043345">
        <w:rPr>
          <w:rStyle w:val="byline"/>
        </w:rPr>
        <w:t>nd ratifying the treaty in 1996:</w:t>
      </w:r>
      <w:r w:rsidR="002A76DA" w:rsidRPr="00043345">
        <w:rPr>
          <w:rStyle w:val="byline"/>
        </w:rPr>
        <w:t xml:space="preserve"> it </w:t>
      </w:r>
      <w:r w:rsidR="005631EE">
        <w:rPr>
          <w:rStyle w:val="byline"/>
        </w:rPr>
        <w:t xml:space="preserve">also </w:t>
      </w:r>
      <w:r w:rsidR="002A76DA" w:rsidRPr="00043345">
        <w:rPr>
          <w:rStyle w:val="byline"/>
        </w:rPr>
        <w:t>sought to ensure that it was not adopted at all.  A</w:t>
      </w:r>
      <w:r w:rsidR="00322A78" w:rsidRPr="00043345">
        <w:rPr>
          <w:rStyle w:val="byline"/>
        </w:rPr>
        <w:t>t the 1996 Conference on Disarmament in Genev</w:t>
      </w:r>
      <w:r w:rsidR="002A76DA" w:rsidRPr="00043345">
        <w:rPr>
          <w:rStyle w:val="byline"/>
        </w:rPr>
        <w:t>a, India vetoed the full final text of the CTBT, essentially meaning that the draft could not be adopted at the conference.</w:t>
      </w:r>
      <w:r w:rsidR="002A76DA" w:rsidRPr="00043345">
        <w:rPr>
          <w:rStyle w:val="FootnoteReference"/>
        </w:rPr>
        <w:footnoteReference w:id="100"/>
      </w:r>
      <w:r w:rsidR="002A76DA" w:rsidRPr="00043345">
        <w:rPr>
          <w:rStyle w:val="byline"/>
        </w:rPr>
        <w:t xml:space="preserve">  </w:t>
      </w:r>
      <w:r w:rsidR="002A76DA" w:rsidRPr="00043345">
        <w:t xml:space="preserve">India’s chief negotiator at the conference, Arundhati Ghose, unequivocally stated that </w:t>
      </w:r>
      <w:r w:rsidR="0028349D">
        <w:t>“</w:t>
      </w:r>
      <w:r w:rsidR="002A76DA" w:rsidRPr="00043345">
        <w:t>India will never sign this unequal treaty – not now, not ever.</w:t>
      </w:r>
      <w:r w:rsidR="0028349D">
        <w:t>”</w:t>
      </w:r>
      <w:r w:rsidR="002A76DA" w:rsidRPr="00043345">
        <w:rPr>
          <w:rStyle w:val="FootnoteReference"/>
        </w:rPr>
        <w:footnoteReference w:id="101"/>
      </w:r>
      <w:r w:rsidR="005E3C38" w:rsidRPr="00043345">
        <w:t xml:space="preserve">  </w:t>
      </w:r>
      <w:r w:rsidR="002A76DA" w:rsidRPr="00043345">
        <w:rPr>
          <w:rStyle w:val="byline"/>
        </w:rPr>
        <w:t xml:space="preserve">Similarly, when the same text </w:t>
      </w:r>
      <w:r w:rsidR="002A76DA" w:rsidRPr="00043345">
        <w:rPr>
          <w:rStyle w:val="byline"/>
        </w:rPr>
        <w:lastRenderedPageBreak/>
        <w:t xml:space="preserve">was </w:t>
      </w:r>
      <w:r w:rsidR="00F43301">
        <w:rPr>
          <w:rStyle w:val="byline"/>
        </w:rPr>
        <w:t xml:space="preserve">later that year </w:t>
      </w:r>
      <w:r w:rsidR="002A76DA" w:rsidRPr="00043345">
        <w:rPr>
          <w:rStyle w:val="byline"/>
        </w:rPr>
        <w:t xml:space="preserve">presented by Australia </w:t>
      </w:r>
      <w:r w:rsidR="003E5793" w:rsidRPr="00043345">
        <w:rPr>
          <w:rStyle w:val="byline"/>
        </w:rPr>
        <w:t>(with no fewer than 126 cosponsors)</w:t>
      </w:r>
      <w:r w:rsidR="003E5793">
        <w:rPr>
          <w:rStyle w:val="byline"/>
        </w:rPr>
        <w:t xml:space="preserve"> </w:t>
      </w:r>
      <w:r w:rsidR="002A76DA" w:rsidRPr="00043345">
        <w:rPr>
          <w:rStyle w:val="byline"/>
        </w:rPr>
        <w:t>for adoption by the General Assembly, India</w:t>
      </w:r>
      <w:r w:rsidR="00E3647E" w:rsidRPr="00043345">
        <w:rPr>
          <w:rStyle w:val="byline"/>
        </w:rPr>
        <w:t xml:space="preserve"> voted against its adoption </w:t>
      </w:r>
      <w:r w:rsidR="002A76DA" w:rsidRPr="00043345">
        <w:rPr>
          <w:rStyle w:val="byline"/>
          <w:i/>
        </w:rPr>
        <w:t>per se</w:t>
      </w:r>
      <w:r w:rsidR="002A76DA" w:rsidRPr="00043345">
        <w:rPr>
          <w:rStyle w:val="byline"/>
        </w:rPr>
        <w:t>.  I</w:t>
      </w:r>
      <w:r w:rsidR="00D4767A" w:rsidRPr="00043345">
        <w:rPr>
          <w:rStyle w:val="byline"/>
        </w:rPr>
        <w:t xml:space="preserve">t was </w:t>
      </w:r>
      <w:r w:rsidR="00E3647E" w:rsidRPr="00043345">
        <w:rPr>
          <w:rStyle w:val="byline"/>
        </w:rPr>
        <w:t xml:space="preserve">one of only three </w:t>
      </w:r>
      <w:r w:rsidR="00583307">
        <w:rPr>
          <w:rStyle w:val="byline"/>
        </w:rPr>
        <w:t>S</w:t>
      </w:r>
      <w:r w:rsidR="00583307" w:rsidRPr="00043345">
        <w:rPr>
          <w:rStyle w:val="byline"/>
        </w:rPr>
        <w:t xml:space="preserve">tates </w:t>
      </w:r>
      <w:r w:rsidR="00E3647E" w:rsidRPr="00043345">
        <w:rPr>
          <w:rStyle w:val="byline"/>
        </w:rPr>
        <w:t xml:space="preserve">to do so, with 158 </w:t>
      </w:r>
      <w:r w:rsidR="00583307">
        <w:rPr>
          <w:rStyle w:val="byline"/>
        </w:rPr>
        <w:t>S</w:t>
      </w:r>
      <w:r w:rsidR="00583307" w:rsidRPr="00043345">
        <w:rPr>
          <w:rStyle w:val="byline"/>
        </w:rPr>
        <w:t xml:space="preserve">tates </w:t>
      </w:r>
      <w:r w:rsidR="002A76DA" w:rsidRPr="00043345">
        <w:rPr>
          <w:rStyle w:val="byline"/>
        </w:rPr>
        <w:t>voting in favour</w:t>
      </w:r>
      <w:r w:rsidR="00E3647E" w:rsidRPr="00043345">
        <w:rPr>
          <w:rStyle w:val="byline"/>
        </w:rPr>
        <w:t>.</w:t>
      </w:r>
      <w:r w:rsidR="00E3647E" w:rsidRPr="00043345">
        <w:rPr>
          <w:rStyle w:val="FootnoteReference"/>
        </w:rPr>
        <w:footnoteReference w:id="102"/>
      </w:r>
      <w:r w:rsidR="00E3647E" w:rsidRPr="00043345">
        <w:rPr>
          <w:rStyle w:val="byline"/>
        </w:rPr>
        <w:t xml:space="preserve">  India was </w:t>
      </w:r>
      <w:r w:rsidR="002A76DA" w:rsidRPr="00043345">
        <w:rPr>
          <w:rStyle w:val="byline"/>
        </w:rPr>
        <w:t xml:space="preserve">again </w:t>
      </w:r>
      <w:r w:rsidR="00E3647E" w:rsidRPr="00043345">
        <w:rPr>
          <w:rStyle w:val="byline"/>
        </w:rPr>
        <w:t xml:space="preserve">very explicit in its rejection of the CTBT in </w:t>
      </w:r>
      <w:r w:rsidR="00D2179B" w:rsidRPr="00043345">
        <w:rPr>
          <w:rStyle w:val="byline"/>
        </w:rPr>
        <w:t>the General Assembly</w:t>
      </w:r>
      <w:r w:rsidR="00E3647E" w:rsidRPr="00043345">
        <w:rPr>
          <w:rStyle w:val="byline"/>
        </w:rPr>
        <w:t xml:space="preserve">, going so far as to claim that the treaty </w:t>
      </w:r>
      <w:r w:rsidR="0028349D">
        <w:rPr>
          <w:rStyle w:val="byline"/>
        </w:rPr>
        <w:t>“</w:t>
      </w:r>
      <w:r w:rsidR="00E3647E" w:rsidRPr="00043345">
        <w:rPr>
          <w:rStyle w:val="byline"/>
        </w:rPr>
        <w:t>betrayed</w:t>
      </w:r>
      <w:r w:rsidR="0028349D">
        <w:rPr>
          <w:rStyle w:val="byline"/>
        </w:rPr>
        <w:t>”</w:t>
      </w:r>
      <w:r w:rsidR="00E3647E" w:rsidRPr="00043345">
        <w:rPr>
          <w:rStyle w:val="byline"/>
        </w:rPr>
        <w:t xml:space="preserve"> the goal of enhancing peace and security.</w:t>
      </w:r>
      <w:r w:rsidR="00E3647E" w:rsidRPr="00043345">
        <w:rPr>
          <w:rStyle w:val="FootnoteReference"/>
        </w:rPr>
        <w:footnoteReference w:id="103"/>
      </w:r>
    </w:p>
    <w:p w:rsidR="00A43C0E" w:rsidRPr="00043345" w:rsidRDefault="00A43C0E" w:rsidP="00BC3B8D">
      <w:pPr>
        <w:autoSpaceDE w:val="0"/>
        <w:autoSpaceDN w:val="0"/>
        <w:adjustRightInd w:val="0"/>
        <w:spacing w:line="480" w:lineRule="auto"/>
        <w:ind w:firstLine="720"/>
        <w:jc w:val="both"/>
      </w:pPr>
      <w:r w:rsidRPr="00043345">
        <w:t>One</w:t>
      </w:r>
      <w:r w:rsidR="00FB7B0A" w:rsidRPr="00043345">
        <w:t xml:space="preserve"> will recall </w:t>
      </w:r>
      <w:r w:rsidR="001A124B" w:rsidRPr="00043345">
        <w:t xml:space="preserve">from the previous </w:t>
      </w:r>
      <w:r w:rsidR="005523AB">
        <w:t>S</w:t>
      </w:r>
      <w:r w:rsidR="005523AB" w:rsidRPr="00043345">
        <w:t xml:space="preserve">ubsection </w:t>
      </w:r>
      <w:r w:rsidR="00FB7B0A" w:rsidRPr="00043345">
        <w:t>that persistent objection must occur during the formation of the customary</w:t>
      </w:r>
      <w:r w:rsidR="005E63F1" w:rsidRPr="00043345">
        <w:t xml:space="preserve"> rule</w:t>
      </w:r>
      <w:r w:rsidR="00FB7B0A" w:rsidRPr="00043345">
        <w:t xml:space="preserve"> and not after </w:t>
      </w:r>
      <w:r w:rsidR="005E63F1" w:rsidRPr="00043345">
        <w:t xml:space="preserve">its </w:t>
      </w:r>
      <w:r w:rsidR="00FB7B0A" w:rsidRPr="00043345">
        <w:t>crystallisation</w:t>
      </w:r>
      <w:r w:rsidR="005E63F1" w:rsidRPr="00043345">
        <w:t xml:space="preserve"> alone</w:t>
      </w:r>
      <w:r w:rsidR="00FB7B0A" w:rsidRPr="00043345">
        <w:t>.</w:t>
      </w:r>
      <w:r w:rsidR="00FB7B0A" w:rsidRPr="00043345">
        <w:rPr>
          <w:rStyle w:val="FootnoteReference"/>
        </w:rPr>
        <w:footnoteReference w:id="104"/>
      </w:r>
      <w:r w:rsidR="00FB7B0A" w:rsidRPr="00043345">
        <w:t xml:space="preserve">  </w:t>
      </w:r>
      <w:r w:rsidR="003F2C19" w:rsidRPr="00043345">
        <w:t>I</w:t>
      </w:r>
      <w:r w:rsidR="00F43301">
        <w:t xml:space="preserve">t is worth noting, then, that </w:t>
      </w:r>
      <w:r w:rsidR="003F2C19" w:rsidRPr="00043345">
        <w:t xml:space="preserve">it is </w:t>
      </w:r>
      <w:r w:rsidR="00F43301">
        <w:t xml:space="preserve">extremely </w:t>
      </w:r>
      <w:r w:rsidR="003F2C19" w:rsidRPr="00043345">
        <w:t xml:space="preserve">unlikely that </w:t>
      </w:r>
      <w:r w:rsidR="00F43301">
        <w:t xml:space="preserve">a </w:t>
      </w:r>
      <w:r w:rsidR="00F43301" w:rsidRPr="00043345">
        <w:t xml:space="preserve">comprehensive </w:t>
      </w:r>
      <w:r w:rsidR="00F43301">
        <w:t xml:space="preserve">nuclear </w:t>
      </w:r>
      <w:r w:rsidR="00F43301" w:rsidRPr="00043345">
        <w:t>test-ban</w:t>
      </w:r>
      <w:r w:rsidR="003F2C19" w:rsidRPr="00043345">
        <w:t xml:space="preserve"> existed </w:t>
      </w:r>
      <w:r w:rsidR="00F43301">
        <w:t>under</w:t>
      </w:r>
      <w:r w:rsidR="003F2C19" w:rsidRPr="00043345">
        <w:t xml:space="preserve"> custom</w:t>
      </w:r>
      <w:r w:rsidR="00F43301">
        <w:t>ary international law</w:t>
      </w:r>
      <w:r w:rsidR="003F2C19" w:rsidRPr="00043345">
        <w:t xml:space="preserve"> in the </w:t>
      </w:r>
      <w:r w:rsidR="00782A16" w:rsidRPr="00043345">
        <w:t>early</w:t>
      </w:r>
      <w:r w:rsidR="00782A16">
        <w:t>-</w:t>
      </w:r>
      <w:r w:rsidR="003F2C19" w:rsidRPr="00043345">
        <w:t>1990s.</w:t>
      </w:r>
      <w:r w:rsidR="003F2C19" w:rsidRPr="00043345">
        <w:rPr>
          <w:rStyle w:val="FootnoteReference"/>
        </w:rPr>
        <w:footnoteReference w:id="105"/>
      </w:r>
      <w:r w:rsidR="003F2C19" w:rsidRPr="00043345">
        <w:t xml:space="preserve">  </w:t>
      </w:r>
      <w:r w:rsidRPr="00043345">
        <w:t xml:space="preserve">For example, the </w:t>
      </w:r>
      <w:r w:rsidR="00214633">
        <w:t xml:space="preserve">various </w:t>
      </w:r>
      <w:r w:rsidRPr="00043345">
        <w:t xml:space="preserve">unilateral moratoria on all forms of nuclear testing </w:t>
      </w:r>
      <w:r w:rsidR="00214633">
        <w:t>of</w:t>
      </w:r>
      <w:r w:rsidRPr="00043345">
        <w:t xml:space="preserve"> the </w:t>
      </w:r>
      <w:r w:rsidR="0028349D">
        <w:t>“</w:t>
      </w:r>
      <w:r w:rsidRPr="00043345">
        <w:t>official</w:t>
      </w:r>
      <w:r w:rsidR="0028349D">
        <w:t>”</w:t>
      </w:r>
      <w:r w:rsidRPr="00043345">
        <w:t xml:space="preserve"> NPT NWS began in the early</w:t>
      </w:r>
      <w:r w:rsidR="00782A16">
        <w:t>-</w:t>
      </w:r>
      <w:r w:rsidRPr="00043345">
        <w:t xml:space="preserve"> to mid</w:t>
      </w:r>
      <w:r w:rsidR="003E5793">
        <w:t>-</w:t>
      </w:r>
      <w:r w:rsidRPr="00043345">
        <w:t>1990s, and both France and China tes</w:t>
      </w:r>
      <w:r w:rsidR="00EB239D" w:rsidRPr="00043345">
        <w:t xml:space="preserve">ted for the final time in 1996.  </w:t>
      </w:r>
      <w:r w:rsidR="00214633">
        <w:t>A</w:t>
      </w:r>
      <w:r w:rsidR="00EB239D" w:rsidRPr="00043345">
        <w:t xml:space="preserve">s Koplow points out, </w:t>
      </w:r>
      <w:r w:rsidR="00137369">
        <w:t>although there were</w:t>
      </w:r>
      <w:r w:rsidR="00EB239D" w:rsidRPr="00043345">
        <w:t xml:space="preserve"> discussions over the possibility of a comprehensive test-ban during debates on the NPT in the 1960s, </w:t>
      </w:r>
      <w:r w:rsidR="00137369">
        <w:t xml:space="preserve">there was almost no </w:t>
      </w:r>
      <w:r w:rsidR="00EB239D" w:rsidRPr="00043345">
        <w:t xml:space="preserve">serious consideration </w:t>
      </w:r>
      <w:r w:rsidR="00137369">
        <w:t xml:space="preserve">at all </w:t>
      </w:r>
      <w:r w:rsidR="00EB239D" w:rsidRPr="00043345">
        <w:t xml:space="preserve">by </w:t>
      </w:r>
      <w:r w:rsidR="00583307">
        <w:t>S</w:t>
      </w:r>
      <w:r w:rsidR="00583307" w:rsidRPr="00043345">
        <w:t xml:space="preserve">tates </w:t>
      </w:r>
      <w:r w:rsidR="00EB239D" w:rsidRPr="00043345">
        <w:t xml:space="preserve">of a comprehensive legal restriction on nuclear testing </w:t>
      </w:r>
      <w:r w:rsidR="00F43301">
        <w:t>during</w:t>
      </w:r>
      <w:r w:rsidR="00EB239D" w:rsidRPr="00043345">
        <w:t xml:space="preserve"> the 1980s and </w:t>
      </w:r>
      <w:r w:rsidR="00782A16" w:rsidRPr="00043345">
        <w:t>early</w:t>
      </w:r>
      <w:r w:rsidR="00782A16">
        <w:t>-</w:t>
      </w:r>
      <w:r w:rsidR="00EB239D" w:rsidRPr="00043345">
        <w:t>1990s.</w:t>
      </w:r>
      <w:r w:rsidR="00EB239D" w:rsidRPr="00043345">
        <w:rPr>
          <w:rStyle w:val="FootnoteReference"/>
        </w:rPr>
        <w:footnoteReference w:id="106"/>
      </w:r>
      <w:r w:rsidR="00EB239D" w:rsidRPr="00043345">
        <w:t xml:space="preserve">  </w:t>
      </w:r>
    </w:p>
    <w:p w:rsidR="00613411" w:rsidRPr="00043345" w:rsidRDefault="001A124B" w:rsidP="00BC3B8D">
      <w:pPr>
        <w:spacing w:line="480" w:lineRule="auto"/>
        <w:ind w:firstLine="720"/>
        <w:jc w:val="both"/>
      </w:pPr>
      <w:r w:rsidRPr="00043345">
        <w:t>It is absolutely certain that</w:t>
      </w:r>
      <w:r w:rsidR="003F2C19" w:rsidRPr="00043345">
        <w:t xml:space="preserve"> no comprehensive test-ban existed in custom prior to the 1974 Pokhran-I tests.  Any customary norm prohibiting nuclear testing, if it has </w:t>
      </w:r>
      <w:r w:rsidR="003F2C19" w:rsidRPr="00043345">
        <w:lastRenderedPageBreak/>
        <w:t xml:space="preserve">emerged at all, is most credibly viewed as having arisen during the </w:t>
      </w:r>
      <w:r w:rsidR="00AA04AC">
        <w:t xml:space="preserve">negotiations leading up to </w:t>
      </w:r>
      <w:r w:rsidR="003F2C19" w:rsidRPr="00043345">
        <w:t>the</w:t>
      </w:r>
      <w:r w:rsidR="006C25EA">
        <w:t xml:space="preserve"> adoption of</w:t>
      </w:r>
      <w:r w:rsidR="003F2C19" w:rsidRPr="00043345">
        <w:t xml:space="preserve"> CTBT in </w:t>
      </w:r>
      <w:r w:rsidR="00782A16" w:rsidRPr="00043345">
        <w:t>late</w:t>
      </w:r>
      <w:r w:rsidR="00782A16">
        <w:t>-</w:t>
      </w:r>
      <w:r w:rsidR="003F2C19" w:rsidRPr="00043345">
        <w:t>1996</w:t>
      </w:r>
      <w:r w:rsidR="00A43C0E" w:rsidRPr="00043345">
        <w:t xml:space="preserve"> at the earliest</w:t>
      </w:r>
      <w:r w:rsidR="00AC6902" w:rsidRPr="00043345">
        <w:t>.</w:t>
      </w:r>
      <w:r w:rsidR="00E12700" w:rsidRPr="00043345">
        <w:rPr>
          <w:rStyle w:val="FootnoteReference"/>
        </w:rPr>
        <w:footnoteReference w:id="107"/>
      </w:r>
      <w:r w:rsidR="00A43C0E" w:rsidRPr="00043345">
        <w:t xml:space="preserve">  </w:t>
      </w:r>
      <w:r w:rsidR="003F2C19" w:rsidRPr="00043345">
        <w:t xml:space="preserve">As such, India’s persistent objections </w:t>
      </w:r>
      <w:r w:rsidR="00F43301">
        <w:t xml:space="preserve">clearly </w:t>
      </w:r>
      <w:r w:rsidR="003F2C19" w:rsidRPr="00043345">
        <w:t>predate the norm crystallising in custom (if, of course, one accepts that such crystall</w:t>
      </w:r>
      <w:r w:rsidR="00026AB9" w:rsidRPr="00043345">
        <w:t>isation has taken place at all)</w:t>
      </w:r>
      <w:r w:rsidR="003F2C19" w:rsidRPr="00043345">
        <w:t xml:space="preserve"> and can</w:t>
      </w:r>
      <w:r w:rsidR="00026AB9" w:rsidRPr="00043345">
        <w:t>,</w:t>
      </w:r>
      <w:r w:rsidR="003F2C19" w:rsidRPr="00043345">
        <w:t xml:space="preserve"> therefore</w:t>
      </w:r>
      <w:r w:rsidR="00026AB9" w:rsidRPr="00043345">
        <w:t>,</w:t>
      </w:r>
      <w:r w:rsidR="003F2C19" w:rsidRPr="00043345">
        <w:t xml:space="preserve"> reasonably be viewed as having occurred during the formation of the customary international law rule in question.</w:t>
      </w:r>
      <w:r w:rsidR="00E12700" w:rsidRPr="00043345">
        <w:rPr>
          <w:rStyle w:val="FootnoteReference"/>
        </w:rPr>
        <w:footnoteReference w:id="108"/>
      </w:r>
    </w:p>
    <w:p w:rsidR="00FB7B0A" w:rsidRPr="00043345" w:rsidRDefault="00613411" w:rsidP="00BC3B8D">
      <w:pPr>
        <w:spacing w:line="480" w:lineRule="auto"/>
        <w:ind w:firstLine="720"/>
        <w:jc w:val="both"/>
      </w:pPr>
      <w:r w:rsidRPr="00043345">
        <w:t xml:space="preserve">India’s various </w:t>
      </w:r>
      <w:r w:rsidR="002403B5">
        <w:t>objections</w:t>
      </w:r>
      <w:r w:rsidRPr="00043345">
        <w:t>, by way of both deed and explicit statement, have all the hallmarks of classic persistent objection in a technical sense</w:t>
      </w:r>
      <w:r w:rsidR="003F2C19" w:rsidRPr="00043345">
        <w:t xml:space="preserve"> with regard to a customary comprehensive test-ban</w:t>
      </w:r>
      <w:r w:rsidRPr="00043345">
        <w:t xml:space="preserve">.  India’s objections have been both sustained and prior to crystallisation.  As such, </w:t>
      </w:r>
      <w:r w:rsidR="00BD7061" w:rsidRPr="00043345">
        <w:t>if one accepts that</w:t>
      </w:r>
      <w:r w:rsidRPr="00043345">
        <w:t xml:space="preserve"> </w:t>
      </w:r>
      <w:r w:rsidR="00AC6902" w:rsidRPr="00043345">
        <w:t>a</w:t>
      </w:r>
      <w:r w:rsidRPr="00043345">
        <w:t xml:space="preserve"> customary international law </w:t>
      </w:r>
      <w:r w:rsidR="00AC6902" w:rsidRPr="00043345">
        <w:t>comprehensive test-ban</w:t>
      </w:r>
      <w:r w:rsidR="00BD7061" w:rsidRPr="00043345">
        <w:t xml:space="preserve"> norm</w:t>
      </w:r>
      <w:r w:rsidR="00AC6902" w:rsidRPr="00043345">
        <w:t xml:space="preserve"> </w:t>
      </w:r>
      <w:r w:rsidRPr="00043345">
        <w:t>exist</w:t>
      </w:r>
      <w:r w:rsidR="00AC6902" w:rsidRPr="00043345">
        <w:t>s</w:t>
      </w:r>
      <w:r w:rsidR="002403B5">
        <w:t xml:space="preserve"> in fact</w:t>
      </w:r>
      <w:r w:rsidR="00026AB9" w:rsidRPr="00043345">
        <w:t xml:space="preserve">, India </w:t>
      </w:r>
      <w:r w:rsidR="002403B5">
        <w:t>should be regarded</w:t>
      </w:r>
      <w:r w:rsidR="00026AB9" w:rsidRPr="00043345">
        <w:t xml:space="preserve">, </w:t>
      </w:r>
      <w:r w:rsidRPr="00043345">
        <w:t xml:space="preserve">at least </w:t>
      </w:r>
      <w:r w:rsidRPr="00043345">
        <w:rPr>
          <w:i/>
        </w:rPr>
        <w:t>prima facie</w:t>
      </w:r>
      <w:r w:rsidR="00026AB9" w:rsidRPr="00043345">
        <w:t xml:space="preserve">, </w:t>
      </w:r>
      <w:r w:rsidR="00B04F43">
        <w:t xml:space="preserve">as </w:t>
      </w:r>
      <w:r w:rsidRPr="00043345">
        <w:t>a persistent objector</w:t>
      </w:r>
      <w:r w:rsidR="00BD7061" w:rsidRPr="00043345">
        <w:t xml:space="preserve"> to it</w:t>
      </w:r>
      <w:r w:rsidR="003F2C19" w:rsidRPr="00043345">
        <w:t>.</w:t>
      </w:r>
      <w:r w:rsidR="003F2C19" w:rsidRPr="00043345">
        <w:rPr>
          <w:rStyle w:val="FootnoteReference"/>
        </w:rPr>
        <w:footnoteReference w:id="109"/>
      </w:r>
    </w:p>
    <w:p w:rsidR="00580C77" w:rsidRPr="00043345" w:rsidRDefault="003921E5" w:rsidP="00043345">
      <w:pPr>
        <w:jc w:val="center"/>
        <w:rPr>
          <w:b/>
        </w:rPr>
      </w:pPr>
      <w:r w:rsidRPr="00043345">
        <w:rPr>
          <w:b/>
        </w:rPr>
        <w:t>I</w:t>
      </w:r>
      <w:r w:rsidR="00A83D1D" w:rsidRPr="00043345">
        <w:rPr>
          <w:b/>
        </w:rPr>
        <w:t>V</w:t>
      </w:r>
      <w:r w:rsidRPr="00043345">
        <w:rPr>
          <w:b/>
        </w:rPr>
        <w:t xml:space="preserve">. </w:t>
      </w:r>
      <w:r w:rsidR="00580C77" w:rsidRPr="00043345">
        <w:rPr>
          <w:b/>
        </w:rPr>
        <w:t>INDIA’S OBJECTIONS OVERRULED</w:t>
      </w:r>
      <w:r w:rsidR="008B5727" w:rsidRPr="00043345">
        <w:rPr>
          <w:b/>
        </w:rPr>
        <w:t>?</w:t>
      </w:r>
      <w:r w:rsidR="00580C77" w:rsidRPr="00043345">
        <w:rPr>
          <w:b/>
        </w:rPr>
        <w:t xml:space="preserve">: </w:t>
      </w:r>
      <w:r w:rsidR="00A62DD9" w:rsidRPr="00043345">
        <w:rPr>
          <w:b/>
        </w:rPr>
        <w:t xml:space="preserve">THE IMPLICATIONS OF </w:t>
      </w:r>
      <w:r w:rsidR="00A62DD9" w:rsidRPr="00043345">
        <w:rPr>
          <w:b/>
          <w:i/>
        </w:rPr>
        <w:t>JUS COGENS</w:t>
      </w:r>
      <w:r w:rsidR="00A62DD9" w:rsidRPr="00043345">
        <w:rPr>
          <w:b/>
        </w:rPr>
        <w:t xml:space="preserve"> </w:t>
      </w:r>
      <w:r w:rsidR="00FE07C0" w:rsidRPr="00043345">
        <w:rPr>
          <w:b/>
        </w:rPr>
        <w:t xml:space="preserve">AND THE </w:t>
      </w:r>
      <w:r w:rsidR="00580C77" w:rsidRPr="00043345">
        <w:rPr>
          <w:b/>
        </w:rPr>
        <w:t>INTERNATIONAL PRESSURE TO CONFORM</w:t>
      </w:r>
    </w:p>
    <w:p w:rsidR="003921E5" w:rsidRPr="00043345" w:rsidRDefault="003921E5" w:rsidP="00043345">
      <w:pPr>
        <w:jc w:val="both"/>
      </w:pPr>
    </w:p>
    <w:p w:rsidR="00B80340" w:rsidRPr="00043345" w:rsidRDefault="00B80340" w:rsidP="00BC3B8D">
      <w:pPr>
        <w:spacing w:line="480" w:lineRule="auto"/>
        <w:ind w:firstLine="720"/>
        <w:jc w:val="both"/>
      </w:pPr>
      <w:r w:rsidRPr="00043345">
        <w:t xml:space="preserve">It </w:t>
      </w:r>
      <w:r w:rsidR="00084FFA" w:rsidRPr="00043345">
        <w:t>was</w:t>
      </w:r>
      <w:r w:rsidRPr="00043345">
        <w:t xml:space="preserve"> argued in </w:t>
      </w:r>
      <w:r w:rsidR="005523AB">
        <w:t>S</w:t>
      </w:r>
      <w:r w:rsidR="005523AB" w:rsidRPr="00043345">
        <w:t xml:space="preserve">ection </w:t>
      </w:r>
      <w:r w:rsidRPr="00043345">
        <w:t xml:space="preserve">II that the comprehensive nuclear test-ban can </w:t>
      </w:r>
      <w:r w:rsidR="002403B5">
        <w:t xml:space="preserve">plausibly </w:t>
      </w:r>
      <w:r w:rsidRPr="00043345">
        <w:t>be viewed as being binding</w:t>
      </w:r>
      <w:r w:rsidR="00026AB9" w:rsidRPr="00043345">
        <w:t xml:space="preserve"> in customary international law</w:t>
      </w:r>
      <w:r w:rsidRPr="00043345">
        <w:t xml:space="preserve"> and could</w:t>
      </w:r>
      <w:r w:rsidR="00026AB9" w:rsidRPr="00043345">
        <w:t>,</w:t>
      </w:r>
      <w:r w:rsidRPr="00043345">
        <w:t xml:space="preserve"> therefore</w:t>
      </w:r>
      <w:r w:rsidR="00026AB9" w:rsidRPr="00043345">
        <w:t>,</w:t>
      </w:r>
      <w:r w:rsidRPr="00043345">
        <w:t xml:space="preserve"> bind India.  It was then concluded</w:t>
      </w:r>
      <w:r w:rsidR="00084FFA" w:rsidRPr="00043345">
        <w:t xml:space="preserve"> in </w:t>
      </w:r>
      <w:r w:rsidR="005523AB">
        <w:t>S</w:t>
      </w:r>
      <w:r w:rsidR="005523AB" w:rsidRPr="00043345">
        <w:t xml:space="preserve">ection </w:t>
      </w:r>
      <w:r w:rsidR="00084FFA" w:rsidRPr="00043345">
        <w:t>III</w:t>
      </w:r>
      <w:r w:rsidRPr="00043345">
        <w:t xml:space="preserve">, </w:t>
      </w:r>
      <w:r w:rsidRPr="00043345">
        <w:rPr>
          <w:i/>
          <w:color w:val="000000"/>
        </w:rPr>
        <w:t>argumentum a contrario</w:t>
      </w:r>
      <w:r w:rsidRPr="00043345">
        <w:rPr>
          <w:color w:val="000000"/>
        </w:rPr>
        <w:t>,</w:t>
      </w:r>
      <w:r w:rsidRPr="00043345">
        <w:t xml:space="preserve"> that even if t</w:t>
      </w:r>
      <w:r w:rsidR="00214633">
        <w:t xml:space="preserve">he </w:t>
      </w:r>
      <w:r w:rsidRPr="00043345">
        <w:t xml:space="preserve">customary status of the prohibition is accepted, India </w:t>
      </w:r>
      <w:r w:rsidR="00084FFA" w:rsidRPr="00043345">
        <w:t>would</w:t>
      </w:r>
      <w:r w:rsidRPr="00043345">
        <w:t xml:space="preserve"> nonetheless not </w:t>
      </w:r>
      <w:r w:rsidR="00026AB9" w:rsidRPr="00043345">
        <w:t xml:space="preserve">be </w:t>
      </w:r>
      <w:r w:rsidRPr="00043345">
        <w:t>bound by it</w:t>
      </w:r>
      <w:r w:rsidR="001F219B">
        <w:t xml:space="preserve"> </w:t>
      </w:r>
      <w:r w:rsidR="002403B5">
        <w:t xml:space="preserve">since </w:t>
      </w:r>
      <w:r w:rsidRPr="00043345">
        <w:t xml:space="preserve">it has the status of a persistent objector.   </w:t>
      </w:r>
    </w:p>
    <w:p w:rsidR="00B80340" w:rsidRPr="00043345" w:rsidRDefault="002403B5" w:rsidP="00BC3B8D">
      <w:pPr>
        <w:spacing w:line="480" w:lineRule="auto"/>
        <w:ind w:firstLine="720"/>
        <w:jc w:val="both"/>
      </w:pPr>
      <w:r>
        <w:t>O</w:t>
      </w:r>
      <w:r w:rsidR="00B80340" w:rsidRPr="00043345">
        <w:t xml:space="preserve">ne possible factor that </w:t>
      </w:r>
      <w:r>
        <w:t xml:space="preserve">could </w:t>
      </w:r>
      <w:r w:rsidR="00B80340" w:rsidRPr="00043345">
        <w:t>undermine India’s apparent persistent objector status</w:t>
      </w:r>
      <w:r>
        <w:t>, however,</w:t>
      </w:r>
      <w:r w:rsidR="00B80340" w:rsidRPr="00043345">
        <w:t xml:space="preserve"> is </w:t>
      </w:r>
      <w:r w:rsidR="00417BFC">
        <w:t xml:space="preserve">the fact </w:t>
      </w:r>
      <w:r w:rsidR="00B80340" w:rsidRPr="00043345">
        <w:t>that persist</w:t>
      </w:r>
      <w:r w:rsidR="00084FFA" w:rsidRPr="00043345">
        <w:t>ent</w:t>
      </w:r>
      <w:r w:rsidR="00B80340" w:rsidRPr="00043345">
        <w:t xml:space="preserve"> objection is generally agreed to be </w:t>
      </w:r>
      <w:r w:rsidR="00B80340" w:rsidRPr="00043345">
        <w:lastRenderedPageBreak/>
        <w:t xml:space="preserve">inapplicable in relation to peremptory norms of international law.  On this basis, </w:t>
      </w:r>
      <w:r w:rsidR="003C1CF2" w:rsidRPr="00043345">
        <w:t xml:space="preserve">Tabassi notably </w:t>
      </w:r>
      <w:r w:rsidR="00B80340" w:rsidRPr="00043345">
        <w:t xml:space="preserve">argued </w:t>
      </w:r>
      <w:r w:rsidR="00742F0C" w:rsidRPr="00043345">
        <w:t>in her</w:t>
      </w:r>
      <w:r w:rsidR="003C1CF2" w:rsidRPr="00043345">
        <w:t xml:space="preserve"> 2009 article in the </w:t>
      </w:r>
      <w:r w:rsidR="003C1CF2" w:rsidRPr="00043345">
        <w:rPr>
          <w:i/>
        </w:rPr>
        <w:t>Journal of Conflict and Security Law</w:t>
      </w:r>
      <w:r w:rsidR="003C1CF2" w:rsidRPr="00043345">
        <w:t xml:space="preserve"> </w:t>
      </w:r>
      <w:r w:rsidR="00B80340" w:rsidRPr="00043345">
        <w:t xml:space="preserve">that India </w:t>
      </w:r>
      <w:r>
        <w:t xml:space="preserve">remains </w:t>
      </w:r>
      <w:r w:rsidR="00B80340" w:rsidRPr="00043345">
        <w:t xml:space="preserve">bound by a comprehensive test-ban because the </w:t>
      </w:r>
      <w:r w:rsidR="00084FFA" w:rsidRPr="00043345">
        <w:t>prohibition</w:t>
      </w:r>
      <w:r w:rsidR="00B80340" w:rsidRPr="00043345">
        <w:t xml:space="preserve"> is not just a customary rule </w:t>
      </w:r>
      <w:r w:rsidR="00B80340" w:rsidRPr="00043345">
        <w:rPr>
          <w:i/>
        </w:rPr>
        <w:t>simpliciter</w:t>
      </w:r>
      <w:r w:rsidR="00B80340" w:rsidRPr="00043345">
        <w:t xml:space="preserve"> but is also a norm of </w:t>
      </w:r>
      <w:r w:rsidR="00B80340" w:rsidRPr="00043345">
        <w:rPr>
          <w:i/>
        </w:rPr>
        <w:t>jus cogens</w:t>
      </w:r>
      <w:r w:rsidR="00B80340" w:rsidRPr="00043345">
        <w:t>.</w:t>
      </w:r>
      <w:r w:rsidR="00084FFA" w:rsidRPr="00043345">
        <w:rPr>
          <w:rStyle w:val="FootnoteReference"/>
        </w:rPr>
        <w:footnoteReference w:id="110"/>
      </w:r>
      <w:r w:rsidR="00B80340" w:rsidRPr="00043345">
        <w:t xml:space="preserve">  This </w:t>
      </w:r>
      <w:r w:rsidR="005523AB">
        <w:t>S</w:t>
      </w:r>
      <w:r w:rsidR="005523AB" w:rsidRPr="00043345">
        <w:t xml:space="preserve">ection </w:t>
      </w:r>
      <w:r w:rsidR="00B80340" w:rsidRPr="00043345">
        <w:t xml:space="preserve">tests </w:t>
      </w:r>
      <w:r>
        <w:t>this</w:t>
      </w:r>
      <w:r w:rsidRPr="00043345">
        <w:t xml:space="preserve"> </w:t>
      </w:r>
      <w:r w:rsidR="00B80340" w:rsidRPr="00043345">
        <w:t>claim, first by considering whether persistent objection is</w:t>
      </w:r>
      <w:r w:rsidR="00F70A2B">
        <w:t>,</w:t>
      </w:r>
      <w:r w:rsidR="00B80340" w:rsidRPr="00043345">
        <w:t xml:space="preserve"> in fact</w:t>
      </w:r>
      <w:r w:rsidR="00F70A2B">
        <w:t>,</w:t>
      </w:r>
      <w:r w:rsidR="00B80340" w:rsidRPr="00043345">
        <w:t xml:space="preserve"> impermissible in the context of </w:t>
      </w:r>
      <w:r w:rsidR="00B80340" w:rsidRPr="00043345">
        <w:rPr>
          <w:i/>
        </w:rPr>
        <w:t>jus cogens</w:t>
      </w:r>
      <w:r w:rsidR="00026AB9" w:rsidRPr="00043345">
        <w:t xml:space="preserve"> norms</w:t>
      </w:r>
      <w:r w:rsidR="00B80340" w:rsidRPr="00043345">
        <w:t xml:space="preserve"> and then by assessing whether the </w:t>
      </w:r>
      <w:r w:rsidR="00194EE4" w:rsidRPr="00043345">
        <w:t xml:space="preserve">comprehensive </w:t>
      </w:r>
      <w:r w:rsidR="00B80340" w:rsidRPr="00043345">
        <w:t>test-ban</w:t>
      </w:r>
      <w:r w:rsidR="00084FFA" w:rsidRPr="00043345">
        <w:t xml:space="preserve"> has qualified as</w:t>
      </w:r>
      <w:r w:rsidR="00B80340" w:rsidRPr="00043345">
        <w:t xml:space="preserve"> a rule of this special </w:t>
      </w:r>
      <w:r w:rsidR="0028349D">
        <w:t>“</w:t>
      </w:r>
      <w:r w:rsidR="00B80340" w:rsidRPr="00043345">
        <w:t>supernorm</w:t>
      </w:r>
      <w:r w:rsidR="0028349D">
        <w:t>”</w:t>
      </w:r>
      <w:r w:rsidR="00B80340" w:rsidRPr="00043345">
        <w:t xml:space="preserve"> sort.  The </w:t>
      </w:r>
      <w:r w:rsidR="005523AB">
        <w:t>S</w:t>
      </w:r>
      <w:r w:rsidR="005523AB" w:rsidRPr="00043345">
        <w:t xml:space="preserve">ection </w:t>
      </w:r>
      <w:r w:rsidR="00B80340" w:rsidRPr="00043345">
        <w:t>then goes on to consider whether</w:t>
      </w:r>
      <w:r w:rsidR="00BA7B94">
        <w:t xml:space="preserve"> –</w:t>
      </w:r>
      <w:r w:rsidR="00B80340" w:rsidRPr="00043345">
        <w:t xml:space="preserve"> even if the test-ban is not a peremptory norm </w:t>
      </w:r>
      <w:r w:rsidR="00B80340" w:rsidRPr="00043345">
        <w:rPr>
          <w:i/>
        </w:rPr>
        <w:t>de jure</w:t>
      </w:r>
      <w:r w:rsidR="00B80340" w:rsidRPr="00043345">
        <w:t xml:space="preserve"> </w:t>
      </w:r>
      <w:r w:rsidR="00BA7B94">
        <w:t>– i</w:t>
      </w:r>
      <w:r w:rsidR="00B80340" w:rsidRPr="00043345">
        <w:t xml:space="preserve">t is a rule of such importance that India’s persistent objection was nonetheless </w:t>
      </w:r>
      <w:r w:rsidR="0028349D">
        <w:t>“</w:t>
      </w:r>
      <w:r w:rsidR="00B80340" w:rsidRPr="00043345">
        <w:t>overruled</w:t>
      </w:r>
      <w:r w:rsidR="0028349D">
        <w:t>”</w:t>
      </w:r>
      <w:r w:rsidR="00B80340" w:rsidRPr="00043345">
        <w:t xml:space="preserve"> in 1998 </w:t>
      </w:r>
      <w:r w:rsidR="00B80340" w:rsidRPr="00043345">
        <w:rPr>
          <w:i/>
        </w:rPr>
        <w:t>de facto</w:t>
      </w:r>
      <w:r w:rsidR="00B80340" w:rsidRPr="00043345">
        <w:t>.</w:t>
      </w:r>
    </w:p>
    <w:p w:rsidR="00F52CAF" w:rsidRDefault="000C350E">
      <w:pPr>
        <w:jc w:val="center"/>
        <w:rPr>
          <w:b/>
        </w:rPr>
      </w:pPr>
      <w:r>
        <w:rPr>
          <w:b/>
        </w:rPr>
        <w:t>A.</w:t>
      </w:r>
      <w:r w:rsidR="00CF2F01" w:rsidRPr="00CF2F01">
        <w:rPr>
          <w:b/>
        </w:rPr>
        <w:t xml:space="preserve"> Persistent Objection to Peremptory Norms</w:t>
      </w:r>
    </w:p>
    <w:p w:rsidR="00B80340" w:rsidRPr="00043345" w:rsidRDefault="00B80340" w:rsidP="00043345">
      <w:pPr>
        <w:jc w:val="both"/>
      </w:pPr>
    </w:p>
    <w:p w:rsidR="003921E5" w:rsidRPr="00043345" w:rsidRDefault="003921E5" w:rsidP="0062262C">
      <w:pPr>
        <w:spacing w:line="480" w:lineRule="auto"/>
        <w:ind w:firstLine="720"/>
        <w:jc w:val="both"/>
      </w:pPr>
      <w:r w:rsidRPr="00043345">
        <w:t xml:space="preserve">While the persistent objector rule is </w:t>
      </w:r>
      <w:r w:rsidR="00B80340" w:rsidRPr="00043345">
        <w:t>usually</w:t>
      </w:r>
      <w:r w:rsidRPr="00043345">
        <w:t xml:space="preserve"> viewed in the literature as being a crucial mechanism underpinning positivist understandings of a consent-based international legal system,</w:t>
      </w:r>
      <w:r w:rsidR="009A2FB0" w:rsidRPr="00043345">
        <w:rPr>
          <w:rStyle w:val="FootnoteReference"/>
        </w:rPr>
        <w:footnoteReference w:id="111"/>
      </w:r>
      <w:r w:rsidRPr="00043345">
        <w:t xml:space="preserve"> commentators </w:t>
      </w:r>
      <w:r w:rsidR="00026AB9" w:rsidRPr="00043345">
        <w:t xml:space="preserve">generally agree </w:t>
      </w:r>
      <w:r w:rsidRPr="00043345">
        <w:t>that there exists at least one situation</w:t>
      </w:r>
      <w:r w:rsidR="00750BEF">
        <w:t xml:space="preserve"> in which </w:t>
      </w:r>
      <w:r w:rsidRPr="00043345">
        <w:t xml:space="preserve">a </w:t>
      </w:r>
      <w:r w:rsidR="00583307">
        <w:t>S</w:t>
      </w:r>
      <w:r w:rsidR="00583307" w:rsidRPr="00043345">
        <w:t xml:space="preserve">tate </w:t>
      </w:r>
      <w:r w:rsidRPr="00043345">
        <w:t xml:space="preserve">will find its objections to be unavailing (even when the usual criteria for persistent objection are </w:t>
      </w:r>
      <w:r w:rsidR="00750BEF">
        <w:t xml:space="preserve">otherwise </w:t>
      </w:r>
      <w:r w:rsidRPr="00043345">
        <w:t xml:space="preserve">met).  A large majority of scholars hold the view that a </w:t>
      </w:r>
      <w:r w:rsidR="00583307">
        <w:t>S</w:t>
      </w:r>
      <w:r w:rsidR="00583307" w:rsidRPr="00043345">
        <w:t xml:space="preserve">tate </w:t>
      </w:r>
      <w:r w:rsidRPr="00043345">
        <w:t>cannot exempt itself from a peremptory norm through persistent objection.</w:t>
      </w:r>
      <w:r w:rsidRPr="00043345">
        <w:rPr>
          <w:rStyle w:val="FootnoteReference"/>
        </w:rPr>
        <w:footnoteReference w:id="112"/>
      </w:r>
      <w:r w:rsidRPr="00043345">
        <w:t xml:space="preserve">  Thus, where a rule is considered a norm of </w:t>
      </w:r>
      <w:r w:rsidRPr="00043345">
        <w:rPr>
          <w:i/>
        </w:rPr>
        <w:t>jus cogens</w:t>
      </w:r>
      <w:r w:rsidRPr="00043345">
        <w:t xml:space="preserve">, even a </w:t>
      </w:r>
      <w:r w:rsidRPr="00043345">
        <w:lastRenderedPageBreak/>
        <w:t xml:space="preserve">persistent objector </w:t>
      </w:r>
      <w:r w:rsidR="00750BEF">
        <w:t xml:space="preserve">will be </w:t>
      </w:r>
      <w:r w:rsidRPr="00043345">
        <w:t>bound</w:t>
      </w:r>
      <w:r w:rsidR="009A2FB0" w:rsidRPr="00043345">
        <w:t xml:space="preserve"> by it</w:t>
      </w:r>
      <w:r w:rsidRPr="00043345">
        <w:t xml:space="preserve">. </w:t>
      </w:r>
      <w:r w:rsidR="00D72118" w:rsidRPr="00043345">
        <w:t xml:space="preserve"> The rationale underpinning this is based on a conceptualisation of the </w:t>
      </w:r>
      <w:r w:rsidR="00D72118" w:rsidRPr="00043345">
        <w:rPr>
          <w:i/>
        </w:rPr>
        <w:t>purpose</w:t>
      </w:r>
      <w:r w:rsidR="00D72118" w:rsidRPr="00043345">
        <w:t xml:space="preserve"> of peremptory norms, </w:t>
      </w:r>
      <w:r w:rsidR="00214633">
        <w:t>as being aimed at</w:t>
      </w:r>
      <w:r w:rsidR="00D72118" w:rsidRPr="00043345">
        <w:t xml:space="preserve"> protecting </w:t>
      </w:r>
      <w:r w:rsidR="0028349D">
        <w:t>“</w:t>
      </w:r>
      <w:r w:rsidR="00D72118" w:rsidRPr="00043345">
        <w:t>fundamental</w:t>
      </w:r>
      <w:r w:rsidR="0028349D">
        <w:t>”</w:t>
      </w:r>
      <w:r w:rsidR="00D72118" w:rsidRPr="00043345">
        <w:t xml:space="preserve"> values of common interest.  </w:t>
      </w:r>
      <w:r w:rsidR="009A2FB0" w:rsidRPr="00043345">
        <w:t>The p</w:t>
      </w:r>
      <w:r w:rsidR="00D72118" w:rsidRPr="00043345">
        <w:t>ersistent object</w:t>
      </w:r>
      <w:r w:rsidR="009A2FB0" w:rsidRPr="00043345">
        <w:t>or process</w:t>
      </w:r>
      <w:r w:rsidR="00026AB9" w:rsidRPr="00043345">
        <w:t>,</w:t>
      </w:r>
      <w:r w:rsidR="00D72118" w:rsidRPr="00043345">
        <w:t xml:space="preserve"> therefore</w:t>
      </w:r>
      <w:r w:rsidR="00026AB9" w:rsidRPr="00043345">
        <w:t>,</w:t>
      </w:r>
      <w:r w:rsidR="00D72118" w:rsidRPr="00043345">
        <w:t xml:space="preserve"> </w:t>
      </w:r>
      <w:r w:rsidR="00214633">
        <w:t>is seen by many</w:t>
      </w:r>
      <w:r w:rsidR="00D72118" w:rsidRPr="00043345">
        <w:t xml:space="preserve"> as</w:t>
      </w:r>
      <w:r w:rsidR="00BB4505">
        <w:t xml:space="preserve"> being</w:t>
      </w:r>
      <w:r w:rsidR="00D72118" w:rsidRPr="00043345">
        <w:t xml:space="preserve"> inherently contrary to the </w:t>
      </w:r>
      <w:r w:rsidR="00D72118" w:rsidRPr="00043345">
        <w:rPr>
          <w:i/>
        </w:rPr>
        <w:t>jus cogens</w:t>
      </w:r>
      <w:r w:rsidR="00D72118" w:rsidRPr="00043345">
        <w:t xml:space="preserve"> project in international law.</w:t>
      </w:r>
      <w:r w:rsidR="00D72118" w:rsidRPr="00043345">
        <w:rPr>
          <w:rStyle w:val="FootnoteReference"/>
        </w:rPr>
        <w:footnoteReference w:id="113"/>
      </w:r>
    </w:p>
    <w:p w:rsidR="003921E5" w:rsidRPr="00043345" w:rsidRDefault="003921E5" w:rsidP="00BC3B8D">
      <w:pPr>
        <w:spacing w:line="480" w:lineRule="auto"/>
        <w:ind w:firstLine="720"/>
        <w:jc w:val="both"/>
      </w:pPr>
      <w:r w:rsidRPr="00043345">
        <w:t>Admittedly, th</w:t>
      </w:r>
      <w:r w:rsidR="009A2FB0" w:rsidRPr="00043345">
        <w:t>is</w:t>
      </w:r>
      <w:r w:rsidRPr="00043345">
        <w:t xml:space="preserve"> majority view – that the persistent objector rule is inapplicable in relation to </w:t>
      </w:r>
      <w:r w:rsidRPr="00043345">
        <w:rPr>
          <w:i/>
        </w:rPr>
        <w:t>jus cogens</w:t>
      </w:r>
      <w:r w:rsidRPr="00043345">
        <w:t xml:space="preserve"> norms – has been rejected by</w:t>
      </w:r>
      <w:r w:rsidR="00BA7B94">
        <w:t xml:space="preserve"> a small number of </w:t>
      </w:r>
      <w:r w:rsidRPr="00043345">
        <w:t xml:space="preserve">writers, who have argued that this would amount to an erosion of the sovereign right of </w:t>
      </w:r>
      <w:r w:rsidR="00583307">
        <w:t>S</w:t>
      </w:r>
      <w:r w:rsidR="00583307" w:rsidRPr="00043345">
        <w:t xml:space="preserve">tates </w:t>
      </w:r>
      <w:r w:rsidRPr="00043345">
        <w:t>to consent (or not) to rules of international law.</w:t>
      </w:r>
      <w:r w:rsidRPr="00043345">
        <w:rPr>
          <w:rStyle w:val="FootnoteReference"/>
        </w:rPr>
        <w:footnoteReference w:id="114"/>
      </w:r>
      <w:r w:rsidRPr="00043345">
        <w:t xml:space="preserve">  In addition, of course, </w:t>
      </w:r>
      <w:r w:rsidR="00214633">
        <w:t>t</w:t>
      </w:r>
      <w:r w:rsidRPr="00043345">
        <w:t>here is a good deal of academic debate as to t</w:t>
      </w:r>
      <w:r w:rsidR="00026AB9" w:rsidRPr="00043345">
        <w:t>he scope, nature</w:t>
      </w:r>
      <w:r w:rsidRPr="00043345">
        <w:t xml:space="preserve"> and</w:t>
      </w:r>
      <w:r w:rsidR="00026AB9" w:rsidRPr="00043345">
        <w:t>,</w:t>
      </w:r>
      <w:r w:rsidRPr="00043345">
        <w:t xml:space="preserve"> indeed</w:t>
      </w:r>
      <w:r w:rsidR="00026AB9" w:rsidRPr="00043345">
        <w:t>, the</w:t>
      </w:r>
      <w:r w:rsidRPr="00043345">
        <w:t xml:space="preserve"> very existence of </w:t>
      </w:r>
      <w:r w:rsidRPr="00043345">
        <w:rPr>
          <w:i/>
        </w:rPr>
        <w:t>jus cogens</w:t>
      </w:r>
      <w:r w:rsidRPr="00043345">
        <w:t xml:space="preserve"> norms.</w:t>
      </w:r>
      <w:r w:rsidRPr="00043345">
        <w:rPr>
          <w:rStyle w:val="FootnoteReference"/>
        </w:rPr>
        <w:footnoteReference w:id="115"/>
      </w:r>
      <w:r w:rsidRPr="00043345">
        <w:t xml:space="preserve">  As such, the claim that the persistent objector rule is inapplicable to peremptory norms is far from uncontroversial.</w:t>
      </w:r>
    </w:p>
    <w:p w:rsidR="001F512D" w:rsidRPr="00043345" w:rsidRDefault="003921E5" w:rsidP="00BC3B8D">
      <w:pPr>
        <w:spacing w:line="480" w:lineRule="auto"/>
        <w:ind w:firstLine="720"/>
        <w:jc w:val="both"/>
      </w:pPr>
      <w:r w:rsidRPr="00043345">
        <w:lastRenderedPageBreak/>
        <w:t xml:space="preserve">Moving beyond this issue in the literature, however, it is notable when one examines the actual practice of </w:t>
      </w:r>
      <w:r w:rsidR="00583307">
        <w:t>S</w:t>
      </w:r>
      <w:r w:rsidR="00583307" w:rsidRPr="00043345">
        <w:t xml:space="preserve">tates </w:t>
      </w:r>
      <w:r w:rsidRPr="00043345">
        <w:t xml:space="preserve">invoking the persistent objector rule that there are a number of examples where </w:t>
      </w:r>
      <w:r w:rsidR="00583307">
        <w:t>S</w:t>
      </w:r>
      <w:r w:rsidR="00583307" w:rsidRPr="00043345">
        <w:t xml:space="preserve">tates </w:t>
      </w:r>
      <w:r w:rsidRPr="00043345">
        <w:t>have been unable to maintain persistent objection in relation to peremptory (or</w:t>
      </w:r>
      <w:r w:rsidR="00C85B34">
        <w:t>,</w:t>
      </w:r>
      <w:r w:rsidRPr="00043345">
        <w:t xml:space="preserve"> at least, arguably peremptory) norms.  </w:t>
      </w:r>
      <w:r w:rsidR="009B4D54">
        <w:t xml:space="preserve">These examples support the view </w:t>
      </w:r>
      <w:r w:rsidRPr="00043345">
        <w:t xml:space="preserve">that the </w:t>
      </w:r>
      <w:r w:rsidR="009B4D54">
        <w:t xml:space="preserve">inapplicability of the </w:t>
      </w:r>
      <w:r w:rsidRPr="00043345">
        <w:t xml:space="preserve">persistent objector rule in relation to </w:t>
      </w:r>
      <w:r w:rsidRPr="00043345">
        <w:rPr>
          <w:i/>
        </w:rPr>
        <w:t>jus cogens</w:t>
      </w:r>
      <w:r w:rsidRPr="00043345">
        <w:t xml:space="preserve"> norms </w:t>
      </w:r>
      <w:r w:rsidR="00194EE4" w:rsidRPr="00043345">
        <w:t xml:space="preserve">is </w:t>
      </w:r>
      <w:r w:rsidRPr="00043345">
        <w:t xml:space="preserve">a </w:t>
      </w:r>
      <w:r w:rsidR="009B4D54">
        <w:t xml:space="preserve">matter of </w:t>
      </w:r>
      <w:r w:rsidRPr="00043345">
        <w:t xml:space="preserve">customary </w:t>
      </w:r>
      <w:r w:rsidR="009B4D54">
        <w:t>international law</w:t>
      </w:r>
      <w:r w:rsidRPr="00043345">
        <w:t xml:space="preserve">.  </w:t>
      </w:r>
    </w:p>
    <w:p w:rsidR="00B80340" w:rsidRPr="00043345" w:rsidRDefault="00675113" w:rsidP="00BC3B8D">
      <w:pPr>
        <w:pStyle w:val="NormalWeb"/>
        <w:spacing w:before="0" w:beforeAutospacing="0" w:after="0" w:afterAutospacing="0" w:line="480" w:lineRule="auto"/>
        <w:ind w:firstLine="720"/>
        <w:jc w:val="both"/>
      </w:pPr>
      <w:r w:rsidRPr="00043345">
        <w:t xml:space="preserve">A classic example of an </w:t>
      </w:r>
      <w:r w:rsidR="0028349D">
        <w:t>“</w:t>
      </w:r>
      <w:r w:rsidRPr="00043345">
        <w:t>objection overruled</w:t>
      </w:r>
      <w:r w:rsidR="0028349D">
        <w:t>”</w:t>
      </w:r>
      <w:r w:rsidRPr="00043345">
        <w:t xml:space="preserve"> in relation to a </w:t>
      </w:r>
      <w:r w:rsidRPr="00043345">
        <w:rPr>
          <w:i/>
        </w:rPr>
        <w:t>jus cogens</w:t>
      </w:r>
      <w:r w:rsidRPr="00043345">
        <w:t xml:space="preserve"> norm is the case of South Africa</w:t>
      </w:r>
      <w:r w:rsidR="00BA7B94">
        <w:t>,</w:t>
      </w:r>
      <w:r w:rsidRPr="00043345">
        <w:t xml:space="preserve"> with regard to its continued objections to the customary international law norm prohibiting the policy of apartheid.</w:t>
      </w:r>
      <w:r w:rsidRPr="00043345">
        <w:rPr>
          <w:rStyle w:val="FootnoteReference"/>
        </w:rPr>
        <w:footnoteReference w:id="116"/>
      </w:r>
      <w:r w:rsidRPr="00043345">
        <w:t xml:space="preserve">  Despite </w:t>
      </w:r>
      <w:r w:rsidR="00194EE4" w:rsidRPr="00043345">
        <w:t>its</w:t>
      </w:r>
      <w:r w:rsidRPr="00043345">
        <w:t xml:space="preserve"> persistent </w:t>
      </w:r>
      <w:r w:rsidRPr="00043345">
        <w:lastRenderedPageBreak/>
        <w:t xml:space="preserve">objector status, South Africa was viewed by other </w:t>
      </w:r>
      <w:r w:rsidR="00583307">
        <w:t>S</w:t>
      </w:r>
      <w:r w:rsidR="00583307" w:rsidRPr="00043345">
        <w:t xml:space="preserve">tates </w:t>
      </w:r>
      <w:r w:rsidRPr="00043345">
        <w:t>as being in breach of a peremptory norm</w:t>
      </w:r>
      <w:r w:rsidR="009A2FB0" w:rsidRPr="00043345">
        <w:rPr>
          <w:rStyle w:val="FootnoteReference"/>
        </w:rPr>
        <w:footnoteReference w:id="117"/>
      </w:r>
      <w:r w:rsidRPr="00043345">
        <w:t xml:space="preserve"> and was</w:t>
      </w:r>
      <w:r w:rsidR="006F15EA">
        <w:t>,</w:t>
      </w:r>
      <w:r w:rsidRPr="00043345">
        <w:t xml:space="preserve"> thus</w:t>
      </w:r>
      <w:r w:rsidR="006F15EA">
        <w:t>,</w:t>
      </w:r>
      <w:r w:rsidRPr="00043345">
        <w:t xml:space="preserve"> ultimately forced to conform.</w:t>
      </w:r>
      <w:r w:rsidR="00185C4A" w:rsidRPr="00043345">
        <w:rPr>
          <w:rStyle w:val="FootnoteReference"/>
        </w:rPr>
        <w:footnoteReference w:id="118"/>
      </w:r>
      <w:r w:rsidRPr="00043345">
        <w:t xml:space="preserve">  A more recent example can be seen in the policy of the United States with regard to the juvenile death penalty.</w:t>
      </w:r>
      <w:r w:rsidRPr="00043345">
        <w:rPr>
          <w:rStyle w:val="FootnoteReference"/>
        </w:rPr>
        <w:footnoteReference w:id="119"/>
      </w:r>
      <w:r w:rsidRPr="00043345">
        <w:t xml:space="preserve">  In the 2002 </w:t>
      </w:r>
      <w:r w:rsidRPr="00043345">
        <w:rPr>
          <w:i/>
          <w:lang w:val="en-US"/>
        </w:rPr>
        <w:t>Domingues</w:t>
      </w:r>
      <w:r w:rsidRPr="00043345">
        <w:rPr>
          <w:lang w:val="en-US"/>
        </w:rPr>
        <w:t xml:space="preserve"> </w:t>
      </w:r>
      <w:r w:rsidRPr="00043345">
        <w:t xml:space="preserve">case, the </w:t>
      </w:r>
      <w:r w:rsidRPr="00043345">
        <w:rPr>
          <w:lang w:val="en-US"/>
        </w:rPr>
        <w:t>Inter-American Commission on Human Rights</w:t>
      </w:r>
      <w:r w:rsidRPr="00043345">
        <w:t xml:space="preserve"> rejected the argument of the United States that it was a persistent objector to the prohibition of the execution of juveniles, on the basis that the prohibition had the status of a norm of </w:t>
      </w:r>
      <w:r w:rsidRPr="00043345">
        <w:rPr>
          <w:i/>
        </w:rPr>
        <w:t>jus cogens</w:t>
      </w:r>
      <w:r w:rsidRPr="00043345">
        <w:t>.</w:t>
      </w:r>
      <w:r w:rsidRPr="00043345">
        <w:rPr>
          <w:rStyle w:val="FootnoteReference"/>
          <w:lang w:val="en-US"/>
        </w:rPr>
        <w:footnoteReference w:id="120"/>
      </w:r>
      <w:r w:rsidRPr="00043345">
        <w:t xml:space="preserve">  </w:t>
      </w:r>
      <w:r w:rsidR="00026AB9" w:rsidRPr="00043345">
        <w:t>T</w:t>
      </w:r>
      <w:r w:rsidRPr="00043345">
        <w:t>he United States ultimately reversed this policy in 2005.</w:t>
      </w:r>
      <w:r w:rsidRPr="00043345">
        <w:rPr>
          <w:rStyle w:val="FootnoteReference"/>
        </w:rPr>
        <w:footnoteReference w:id="121"/>
      </w:r>
      <w:r w:rsidRPr="00043345">
        <w:t xml:space="preserve">  </w:t>
      </w:r>
      <w:r w:rsidR="003921E5" w:rsidRPr="00043345">
        <w:t>In contrast</w:t>
      </w:r>
      <w:r w:rsidRPr="00043345">
        <w:t xml:space="preserve"> to these examples</w:t>
      </w:r>
      <w:r w:rsidR="003921E5" w:rsidRPr="00043345">
        <w:t xml:space="preserve">, instances where persistent objection has been </w:t>
      </w:r>
      <w:r w:rsidR="0028349D">
        <w:t>“</w:t>
      </w:r>
      <w:r w:rsidR="003921E5" w:rsidRPr="00043345">
        <w:t>successful</w:t>
      </w:r>
      <w:r w:rsidR="0028349D">
        <w:t>”</w:t>
      </w:r>
      <w:r w:rsidR="003921E5" w:rsidRPr="00043345">
        <w:t xml:space="preserve"> in practice</w:t>
      </w:r>
      <w:r w:rsidR="00026AB9" w:rsidRPr="00043345">
        <w:t>,</w:t>
      </w:r>
      <w:r w:rsidR="003921E5" w:rsidRPr="00043345">
        <w:t xml:space="preserve"> </w:t>
      </w:r>
      <w:r w:rsidR="006F15EA">
        <w:t xml:space="preserve">that is, </w:t>
      </w:r>
      <w:r w:rsidR="003921E5" w:rsidRPr="00043345">
        <w:t xml:space="preserve">where </w:t>
      </w:r>
      <w:r w:rsidR="00583307">
        <w:t>S</w:t>
      </w:r>
      <w:r w:rsidR="00583307" w:rsidRPr="00043345">
        <w:t xml:space="preserve">tates </w:t>
      </w:r>
      <w:r w:rsidR="003921E5" w:rsidRPr="00043345">
        <w:t>have been able to maintain exemption following persistent objection</w:t>
      </w:r>
      <w:r w:rsidR="00026AB9" w:rsidRPr="00043345">
        <w:t>,</w:t>
      </w:r>
      <w:r w:rsidR="003921E5" w:rsidRPr="00043345">
        <w:t xml:space="preserve"> have tended to relate to </w:t>
      </w:r>
      <w:r w:rsidR="00E227DD" w:rsidRPr="00043345">
        <w:lastRenderedPageBreak/>
        <w:t xml:space="preserve">clearly non-peremptory rules concerning </w:t>
      </w:r>
      <w:r w:rsidR="00194EE4" w:rsidRPr="00043345">
        <w:t>issues</w:t>
      </w:r>
      <w:r w:rsidR="003921E5" w:rsidRPr="00043345">
        <w:t xml:space="preserve"> such as the extent of the territorial sea or international trade.</w:t>
      </w:r>
      <w:r w:rsidR="003921E5" w:rsidRPr="00043345">
        <w:rPr>
          <w:rStyle w:val="FootnoteReference"/>
        </w:rPr>
        <w:footnoteReference w:id="122"/>
      </w:r>
    </w:p>
    <w:p w:rsidR="001F512D" w:rsidRPr="00043345" w:rsidRDefault="006F15EA" w:rsidP="00BC3B8D">
      <w:pPr>
        <w:spacing w:line="480" w:lineRule="auto"/>
        <w:ind w:firstLine="720"/>
        <w:jc w:val="both"/>
      </w:pPr>
      <w:r>
        <w:t>Therefore, i</w:t>
      </w:r>
      <w:r w:rsidR="00E227DD" w:rsidRPr="00043345">
        <w:t>t may be said that t</w:t>
      </w:r>
      <w:r w:rsidR="00675113" w:rsidRPr="00043345">
        <w:t xml:space="preserve">here is a trend in practice </w:t>
      </w:r>
      <w:r>
        <w:t xml:space="preserve">according to which </w:t>
      </w:r>
      <w:r w:rsidR="00137369">
        <w:t xml:space="preserve">a </w:t>
      </w:r>
      <w:r w:rsidR="00583307">
        <w:t>S</w:t>
      </w:r>
      <w:r w:rsidR="00583307" w:rsidRPr="00043345">
        <w:t xml:space="preserve">tate </w:t>
      </w:r>
      <w:r w:rsidR="00137369">
        <w:t xml:space="preserve">that </w:t>
      </w:r>
      <w:r w:rsidR="00B76321">
        <w:t>ha</w:t>
      </w:r>
      <w:r w:rsidR="00137369">
        <w:t>s</w:t>
      </w:r>
      <w:r w:rsidR="00B76321">
        <w:t xml:space="preserve"> </w:t>
      </w:r>
      <w:r w:rsidR="00675113" w:rsidRPr="00043345">
        <w:t xml:space="preserve">apparently </w:t>
      </w:r>
      <w:r w:rsidR="00137369">
        <w:t>met the criteria for persistent objection in r</w:t>
      </w:r>
      <w:r w:rsidR="00675113" w:rsidRPr="00043345">
        <w:t xml:space="preserve">elation to </w:t>
      </w:r>
      <w:r w:rsidR="00137369">
        <w:t>a legal norm</w:t>
      </w:r>
      <w:r w:rsidR="00675113" w:rsidRPr="00043345">
        <w:t xml:space="preserve"> that </w:t>
      </w:r>
      <w:r w:rsidR="00137369">
        <w:t>is</w:t>
      </w:r>
      <w:r w:rsidR="00675113" w:rsidRPr="00043345">
        <w:t xml:space="preserve"> viewed as being peremptory</w:t>
      </w:r>
      <w:r>
        <w:t xml:space="preserve"> in nature</w:t>
      </w:r>
      <w:r w:rsidR="00137369">
        <w:t xml:space="preserve"> will not be able </w:t>
      </w:r>
      <w:r w:rsidR="00675113" w:rsidRPr="00043345">
        <w:t>to exempt</w:t>
      </w:r>
      <w:r w:rsidR="00137369">
        <w:t xml:space="preserve"> itself</w:t>
      </w:r>
      <w:r w:rsidR="00675113" w:rsidRPr="00043345">
        <w:t xml:space="preserve"> from the new norm</w:t>
      </w:r>
      <w:r w:rsidR="00137369">
        <w:t xml:space="preserve">, irrespective of the State’s otherwise valid persistent objector status (or, </w:t>
      </w:r>
      <w:r w:rsidR="00675113" w:rsidRPr="00043345">
        <w:t>at least</w:t>
      </w:r>
      <w:r w:rsidR="00137369">
        <w:t>,</w:t>
      </w:r>
      <w:r w:rsidR="00675113" w:rsidRPr="00043345">
        <w:t xml:space="preserve"> </w:t>
      </w:r>
      <w:r w:rsidR="00137369">
        <w:t xml:space="preserve">it will not be able to exempt itself </w:t>
      </w:r>
      <w:r w:rsidR="00675113" w:rsidRPr="00043345">
        <w:t>for long</w:t>
      </w:r>
      <w:r w:rsidR="00137369">
        <w:t>)</w:t>
      </w:r>
      <w:r w:rsidR="00675113" w:rsidRPr="00043345">
        <w:t xml:space="preserve">.  Other </w:t>
      </w:r>
      <w:r w:rsidR="00583307">
        <w:t>S</w:t>
      </w:r>
      <w:r w:rsidR="00583307" w:rsidRPr="00043345">
        <w:t xml:space="preserve">tates </w:t>
      </w:r>
      <w:r w:rsidR="00675113" w:rsidRPr="00043345">
        <w:t>– either individually or</w:t>
      </w:r>
      <w:r w:rsidR="00CA3408">
        <w:t>,</w:t>
      </w:r>
      <w:r w:rsidR="00675113" w:rsidRPr="00043345">
        <w:t xml:space="preserve"> more abstractly</w:t>
      </w:r>
      <w:r w:rsidR="00CA3408">
        <w:t>, collectively as the</w:t>
      </w:r>
      <w:r w:rsidR="00675113" w:rsidRPr="00043345">
        <w:t xml:space="preserve"> </w:t>
      </w:r>
      <w:r w:rsidR="00F47A18">
        <w:t>“</w:t>
      </w:r>
      <w:r w:rsidR="00675113" w:rsidRPr="00043345">
        <w:t xml:space="preserve">international </w:t>
      </w:r>
      <w:r w:rsidR="0028349D" w:rsidRPr="00043345">
        <w:t>community</w:t>
      </w:r>
      <w:r w:rsidR="0028349D">
        <w:t>”</w:t>
      </w:r>
      <w:r w:rsidR="0028349D" w:rsidRPr="00043345">
        <w:t xml:space="preserve"> </w:t>
      </w:r>
      <w:r w:rsidR="00675113" w:rsidRPr="00043345">
        <w:t xml:space="preserve">– have insisted that dissenters </w:t>
      </w:r>
      <w:r>
        <w:t>must still</w:t>
      </w:r>
      <w:r w:rsidRPr="00043345">
        <w:t xml:space="preserve"> </w:t>
      </w:r>
      <w:r w:rsidR="00675113" w:rsidRPr="00043345">
        <w:t xml:space="preserve">comply with the </w:t>
      </w:r>
      <w:r w:rsidR="0028349D">
        <w:t>“</w:t>
      </w:r>
      <w:r w:rsidR="00675113" w:rsidRPr="00043345">
        <w:t>majority</w:t>
      </w:r>
      <w:r w:rsidR="0028349D">
        <w:t xml:space="preserve">” </w:t>
      </w:r>
      <w:r w:rsidR="00675113" w:rsidRPr="00043345">
        <w:t xml:space="preserve">position in acceding to the binding nature of </w:t>
      </w:r>
      <w:r w:rsidR="00675113" w:rsidRPr="00043345">
        <w:rPr>
          <w:i/>
        </w:rPr>
        <w:t xml:space="preserve">jus cogens </w:t>
      </w:r>
      <w:r w:rsidR="00675113" w:rsidRPr="00043345">
        <w:t>norms.</w:t>
      </w:r>
    </w:p>
    <w:p w:rsidR="00F52CAF" w:rsidRDefault="000C350E">
      <w:pPr>
        <w:jc w:val="center"/>
        <w:rPr>
          <w:b/>
          <w:lang w:val="en-US"/>
        </w:rPr>
      </w:pPr>
      <w:r>
        <w:rPr>
          <w:b/>
          <w:lang w:val="en-US"/>
        </w:rPr>
        <w:t>B.</w:t>
      </w:r>
      <w:r w:rsidR="00CF2F01" w:rsidRPr="00CF2F01">
        <w:rPr>
          <w:b/>
          <w:lang w:val="en-US"/>
        </w:rPr>
        <w:t xml:space="preserve"> India’s Objections Overruled </w:t>
      </w:r>
      <w:r w:rsidR="00CF2F01" w:rsidRPr="00CF2F01">
        <w:rPr>
          <w:b/>
          <w:i/>
          <w:lang w:val="en-US"/>
        </w:rPr>
        <w:t>De Jure</w:t>
      </w:r>
      <w:r w:rsidR="00CF2F01" w:rsidRPr="00CF2F01">
        <w:rPr>
          <w:b/>
          <w:lang w:val="en-US"/>
        </w:rPr>
        <w:t>?: Is the Obligation to Refrain from Testing a Peremptory Norm?</w:t>
      </w:r>
    </w:p>
    <w:p w:rsidR="00B80340" w:rsidRPr="00043345" w:rsidRDefault="00B80340" w:rsidP="00043345">
      <w:pPr>
        <w:jc w:val="both"/>
      </w:pPr>
    </w:p>
    <w:p w:rsidR="005A1F0B" w:rsidRPr="00043345" w:rsidRDefault="00B80340" w:rsidP="00BC3B8D">
      <w:pPr>
        <w:spacing w:line="480" w:lineRule="auto"/>
        <w:ind w:firstLine="720"/>
        <w:jc w:val="both"/>
      </w:pPr>
      <w:r w:rsidRPr="00043345">
        <w:t xml:space="preserve">As has been noted above, it </w:t>
      </w:r>
      <w:r w:rsidR="00CA3408">
        <w:t xml:space="preserve">has been </w:t>
      </w:r>
      <w:r w:rsidR="003C1CF2" w:rsidRPr="00043345">
        <w:t xml:space="preserve">argued </w:t>
      </w:r>
      <w:r w:rsidR="00CA3408">
        <w:t xml:space="preserve">by at least one writer </w:t>
      </w:r>
      <w:r w:rsidRPr="00043345">
        <w:t>that the prohibition on the testing of nuclear weapons is not only a customa</w:t>
      </w:r>
      <w:r w:rsidR="00026AB9" w:rsidRPr="00043345">
        <w:t>ry international law obligation</w:t>
      </w:r>
      <w:r w:rsidRPr="00043345">
        <w:t xml:space="preserve"> but is </w:t>
      </w:r>
      <w:r w:rsidR="00026AB9" w:rsidRPr="00043345">
        <w:t xml:space="preserve">also </w:t>
      </w:r>
      <w:r w:rsidRPr="00043345">
        <w:t xml:space="preserve">a </w:t>
      </w:r>
      <w:r w:rsidRPr="00043345">
        <w:rPr>
          <w:i/>
        </w:rPr>
        <w:t>jus cogens</w:t>
      </w:r>
      <w:r w:rsidRPr="00043345">
        <w:t xml:space="preserve"> norm.</w:t>
      </w:r>
      <w:r w:rsidRPr="00043345">
        <w:rPr>
          <w:rStyle w:val="FootnoteReference"/>
        </w:rPr>
        <w:footnoteReference w:id="123"/>
      </w:r>
      <w:r w:rsidRPr="00043345">
        <w:t xml:space="preserve">  If </w:t>
      </w:r>
      <w:r w:rsidR="006F15EA">
        <w:t xml:space="preserve">one accepts this argument, </w:t>
      </w:r>
      <w:r w:rsidR="005A1F0B" w:rsidRPr="00043345">
        <w:t>based on t</w:t>
      </w:r>
      <w:r w:rsidR="00194EE4" w:rsidRPr="00043345">
        <w:t xml:space="preserve">he analysis in the previous </w:t>
      </w:r>
      <w:r w:rsidR="005523AB">
        <w:t>S</w:t>
      </w:r>
      <w:r w:rsidR="005523AB" w:rsidRPr="00043345">
        <w:t>ubsection</w:t>
      </w:r>
      <w:r w:rsidR="005A1F0B" w:rsidRPr="00043345">
        <w:t>,</w:t>
      </w:r>
      <w:r w:rsidRPr="00043345">
        <w:t xml:space="preserve"> India would – irrespective of its persistent </w:t>
      </w:r>
      <w:r w:rsidRPr="00043345">
        <w:lastRenderedPageBreak/>
        <w:t>objections – be bound</w:t>
      </w:r>
      <w:r w:rsidR="00E227DD" w:rsidRPr="00043345">
        <w:t xml:space="preserve"> by this </w:t>
      </w:r>
      <w:r w:rsidR="00E227DD" w:rsidRPr="00043345">
        <w:rPr>
          <w:i/>
        </w:rPr>
        <w:t>jus cogens</w:t>
      </w:r>
      <w:r w:rsidR="00E227DD" w:rsidRPr="00043345">
        <w:t xml:space="preserve"> </w:t>
      </w:r>
      <w:r w:rsidR="00194EE4" w:rsidRPr="00043345">
        <w:t>prohibition</w:t>
      </w:r>
      <w:r w:rsidRPr="00043345">
        <w:t xml:space="preserve"> (as would </w:t>
      </w:r>
      <w:r w:rsidR="003C1CF2" w:rsidRPr="00043345">
        <w:t xml:space="preserve">the </w:t>
      </w:r>
      <w:r w:rsidRPr="00043345">
        <w:t xml:space="preserve">other possible </w:t>
      </w:r>
      <w:r w:rsidR="00F43301">
        <w:t xml:space="preserve">persistent </w:t>
      </w:r>
      <w:r w:rsidRPr="00043345">
        <w:t xml:space="preserve">objector </w:t>
      </w:r>
      <w:r w:rsidR="00583307">
        <w:t>S</w:t>
      </w:r>
      <w:r w:rsidR="00583307" w:rsidRPr="00043345">
        <w:t>tates</w:t>
      </w:r>
      <w:r w:rsidR="006F15EA">
        <w:t xml:space="preserve">, </w:t>
      </w:r>
      <w:r w:rsidRPr="00043345">
        <w:t>Pakistan</w:t>
      </w:r>
      <w:r w:rsidR="005A1F0B" w:rsidRPr="00043345">
        <w:t xml:space="preserve"> and </w:t>
      </w:r>
      <w:r w:rsidR="00EE156F" w:rsidRPr="00043345">
        <w:t>the DPRK</w:t>
      </w:r>
      <w:r w:rsidR="005A1F0B" w:rsidRPr="00043345">
        <w:t>).</w:t>
      </w:r>
      <w:r w:rsidR="00E227DD" w:rsidRPr="00043345">
        <w:t xml:space="preserve">  </w:t>
      </w:r>
      <w:r w:rsidR="005A1F0B" w:rsidRPr="00043345">
        <w:t xml:space="preserve">Is the test-ban a peremptory norm?  </w:t>
      </w:r>
      <w:r w:rsidRPr="00043345">
        <w:t xml:space="preserve">While </w:t>
      </w:r>
      <w:r w:rsidR="003C1CF2" w:rsidRPr="00043345">
        <w:t xml:space="preserve">the prohibition is certainly a rule of paramount importance </w:t>
      </w:r>
      <w:r w:rsidR="006F15EA">
        <w:t>to</w:t>
      </w:r>
      <w:r w:rsidR="006F15EA" w:rsidRPr="00043345">
        <w:t xml:space="preserve"> </w:t>
      </w:r>
      <w:r w:rsidR="003C1CF2" w:rsidRPr="00043345">
        <w:t>the international community generally,</w:t>
      </w:r>
      <w:r w:rsidR="003C1CF2" w:rsidRPr="00043345">
        <w:rPr>
          <w:rStyle w:val="FootnoteReference"/>
        </w:rPr>
        <w:footnoteReference w:id="124"/>
      </w:r>
      <w:r w:rsidR="003C1CF2" w:rsidRPr="00043345">
        <w:t xml:space="preserve"> </w:t>
      </w:r>
      <w:r w:rsidR="00194EE4" w:rsidRPr="00043345">
        <w:t xml:space="preserve"> </w:t>
      </w:r>
      <w:r w:rsidR="00026AB9" w:rsidRPr="00043345">
        <w:t>the</w:t>
      </w:r>
      <w:r w:rsidRPr="00043345">
        <w:t xml:space="preserve"> claim </w:t>
      </w:r>
      <w:r w:rsidR="003C1CF2" w:rsidRPr="00043345">
        <w:t xml:space="preserve">as to </w:t>
      </w:r>
      <w:r w:rsidR="00194EE4" w:rsidRPr="00043345">
        <w:t xml:space="preserve">the </w:t>
      </w:r>
      <w:r w:rsidR="003C1CF2" w:rsidRPr="00043345">
        <w:t xml:space="preserve">peremptory </w:t>
      </w:r>
      <w:r w:rsidR="00194EE4" w:rsidRPr="00043345">
        <w:t>nature of the test-ban</w:t>
      </w:r>
      <w:r w:rsidR="003C1CF2" w:rsidRPr="00043345">
        <w:t xml:space="preserve"> </w:t>
      </w:r>
      <w:r w:rsidRPr="00043345">
        <w:t>can</w:t>
      </w:r>
      <w:r w:rsidR="006F15EA">
        <w:t xml:space="preserve"> actually</w:t>
      </w:r>
      <w:r w:rsidR="003C1CF2" w:rsidRPr="00043345">
        <w:t xml:space="preserve"> </w:t>
      </w:r>
      <w:r w:rsidRPr="00043345">
        <w:t xml:space="preserve">be </w:t>
      </w:r>
      <w:r w:rsidR="003C1CF2" w:rsidRPr="00043345">
        <w:t>disproved</w:t>
      </w:r>
      <w:r w:rsidR="00E227DD" w:rsidRPr="00043345">
        <w:t xml:space="preserve"> relatively easily.  When one considers how </w:t>
      </w:r>
      <w:r w:rsidR="00E227DD" w:rsidRPr="00043345">
        <w:rPr>
          <w:i/>
        </w:rPr>
        <w:t>jus cogens</w:t>
      </w:r>
      <w:r w:rsidR="00E227DD" w:rsidRPr="00043345">
        <w:t xml:space="preserve"> norms are created, it </w:t>
      </w:r>
      <w:r w:rsidR="006F15EA">
        <w:t>i</w:t>
      </w:r>
      <w:r w:rsidR="006F15EA" w:rsidRPr="00043345">
        <w:t xml:space="preserve">s </w:t>
      </w:r>
      <w:r w:rsidR="00E227DD" w:rsidRPr="00043345">
        <w:t xml:space="preserve">extremely </w:t>
      </w:r>
      <w:r w:rsidRPr="00043345">
        <w:t xml:space="preserve">difficult to </w:t>
      </w:r>
      <w:r w:rsidR="006F15EA">
        <w:t>conclude</w:t>
      </w:r>
      <w:r w:rsidR="00E227DD" w:rsidRPr="00043345">
        <w:t xml:space="preserve"> that the comprehensive </w:t>
      </w:r>
      <w:r w:rsidR="00BF5839" w:rsidRPr="00043345">
        <w:t>prohibition on nuclear testing</w:t>
      </w:r>
      <w:r w:rsidRPr="00043345">
        <w:t xml:space="preserve"> </w:t>
      </w:r>
      <w:r w:rsidR="00E227DD" w:rsidRPr="00043345">
        <w:t>has</w:t>
      </w:r>
      <w:r w:rsidR="005A1F0B" w:rsidRPr="00043345">
        <w:t xml:space="preserve"> </w:t>
      </w:r>
      <w:r w:rsidR="002F7CDF">
        <w:t xml:space="preserve">taken on </w:t>
      </w:r>
      <w:r w:rsidR="006F15EA">
        <w:t>a</w:t>
      </w:r>
      <w:r w:rsidR="006F15EA" w:rsidRPr="00043345">
        <w:t xml:space="preserve"> </w:t>
      </w:r>
      <w:r w:rsidR="005A1F0B" w:rsidRPr="00043345">
        <w:t xml:space="preserve">peremptory status.  </w:t>
      </w:r>
    </w:p>
    <w:p w:rsidR="00B80340" w:rsidRPr="00BC3B8D" w:rsidRDefault="00B80340" w:rsidP="00BC3B8D">
      <w:pPr>
        <w:spacing w:line="480" w:lineRule="auto"/>
        <w:ind w:firstLine="720"/>
        <w:jc w:val="both"/>
      </w:pPr>
      <w:r w:rsidRPr="00043345">
        <w:rPr>
          <w:lang w:val="en-US"/>
        </w:rPr>
        <w:t>This article is not the place to provide a detailed discuss</w:t>
      </w:r>
      <w:r w:rsidR="00E227DD" w:rsidRPr="00043345">
        <w:rPr>
          <w:lang w:val="en-US"/>
        </w:rPr>
        <w:t>ion</w:t>
      </w:r>
      <w:r w:rsidRPr="00043345">
        <w:rPr>
          <w:lang w:val="en-US"/>
        </w:rPr>
        <w:t xml:space="preserve"> </w:t>
      </w:r>
      <w:r w:rsidR="00E227DD" w:rsidRPr="00043345">
        <w:rPr>
          <w:lang w:val="en-US"/>
        </w:rPr>
        <w:t>of</w:t>
      </w:r>
      <w:r w:rsidRPr="00043345">
        <w:rPr>
          <w:lang w:val="en-US"/>
        </w:rPr>
        <w:t xml:space="preserve"> how</w:t>
      </w:r>
      <w:r w:rsidR="00E227DD" w:rsidRPr="00043345">
        <w:rPr>
          <w:lang w:val="en-US"/>
        </w:rPr>
        <w:t xml:space="preserve"> peremptory </w:t>
      </w:r>
      <w:r w:rsidR="00575EB9">
        <w:rPr>
          <w:lang w:val="en-US"/>
        </w:rPr>
        <w:t xml:space="preserve">norms </w:t>
      </w:r>
      <w:r w:rsidR="00E227DD" w:rsidRPr="00043345">
        <w:rPr>
          <w:lang w:val="en-US"/>
        </w:rPr>
        <w:t>of international law come into being</w:t>
      </w:r>
      <w:r w:rsidRPr="00043345">
        <w:rPr>
          <w:lang w:val="en-US"/>
        </w:rPr>
        <w:t>.</w:t>
      </w:r>
      <w:r w:rsidRPr="00043345">
        <w:rPr>
          <w:rStyle w:val="FootnoteReference"/>
        </w:rPr>
        <w:footnoteReference w:id="125"/>
      </w:r>
      <w:r w:rsidRPr="00043345">
        <w:rPr>
          <w:lang w:val="en-US"/>
        </w:rPr>
        <w:t xml:space="preserve">  Nonetheless, it is worth recalling </w:t>
      </w:r>
      <w:r w:rsidR="006F15EA">
        <w:rPr>
          <w:lang w:val="en-US"/>
        </w:rPr>
        <w:t xml:space="preserve">here </w:t>
      </w:r>
      <w:r w:rsidRPr="00043345">
        <w:rPr>
          <w:lang w:val="en-US"/>
        </w:rPr>
        <w:t xml:space="preserve">the positivist understanding of how such norms </w:t>
      </w:r>
      <w:r w:rsidR="00E227DD" w:rsidRPr="00043345">
        <w:rPr>
          <w:lang w:val="en-US"/>
        </w:rPr>
        <w:t>emerge</w:t>
      </w:r>
      <w:r w:rsidRPr="00043345">
        <w:rPr>
          <w:lang w:val="en-US"/>
        </w:rPr>
        <w:t>.  The most widely quoted definition of a</w:t>
      </w:r>
      <w:r w:rsidRPr="00043345">
        <w:rPr>
          <w:i/>
          <w:lang w:val="en-US"/>
        </w:rPr>
        <w:t xml:space="preserve"> jus cogens</w:t>
      </w:r>
      <w:r w:rsidRPr="00043345">
        <w:rPr>
          <w:lang w:val="en-US"/>
        </w:rPr>
        <w:t xml:space="preserve"> norm comes from Article 53 of the VCLT:</w:t>
      </w:r>
    </w:p>
    <w:p w:rsidR="00B80340" w:rsidRDefault="00B80340" w:rsidP="00BC3B8D">
      <w:pPr>
        <w:autoSpaceDE w:val="0"/>
        <w:autoSpaceDN w:val="0"/>
        <w:adjustRightInd w:val="0"/>
        <w:ind w:left="720" w:right="720"/>
        <w:jc w:val="both"/>
        <w:rPr>
          <w:lang w:val="en-US"/>
        </w:rPr>
      </w:pPr>
      <w:r w:rsidRPr="00043345">
        <w:rPr>
          <w:lang w:val="en-US"/>
        </w:rPr>
        <w:t>A treaty is void if, at the time of its conclusion, it conflicts with a peremptory norm of general international law.  For the purposes of the present Convention, a peremptory norm of general international law</w:t>
      </w:r>
      <w:r w:rsidR="00647465">
        <w:rPr>
          <w:lang w:val="en-US"/>
        </w:rPr>
        <w:t xml:space="preserve"> is a norm accepted and </w:t>
      </w:r>
      <w:r w:rsidR="00647465">
        <w:t>recogniz</w:t>
      </w:r>
      <w:r w:rsidRPr="00647465">
        <w:t xml:space="preserve">ed </w:t>
      </w:r>
      <w:r w:rsidRPr="00043345">
        <w:rPr>
          <w:lang w:val="en-US"/>
        </w:rPr>
        <w:t xml:space="preserve">by the international community of States as a whole as a norm from </w:t>
      </w:r>
      <w:r w:rsidRPr="00647465">
        <w:t>which</w:t>
      </w:r>
      <w:r w:rsidRPr="00043345">
        <w:rPr>
          <w:lang w:val="en-US"/>
        </w:rPr>
        <w:t xml:space="preserve"> no derogation is permitted and which can be modified only by a subsequent norm of general international law having the same character.</w:t>
      </w:r>
      <w:r w:rsidRPr="00043345">
        <w:rPr>
          <w:rStyle w:val="FootnoteReference"/>
          <w:lang w:val="en-US"/>
        </w:rPr>
        <w:footnoteReference w:id="126"/>
      </w:r>
    </w:p>
    <w:p w:rsidR="00BC3B8D" w:rsidRPr="00043345" w:rsidRDefault="00BC3B8D" w:rsidP="00BC3B8D">
      <w:pPr>
        <w:autoSpaceDE w:val="0"/>
        <w:autoSpaceDN w:val="0"/>
        <w:adjustRightInd w:val="0"/>
        <w:ind w:left="720" w:right="720"/>
        <w:jc w:val="both"/>
        <w:rPr>
          <w:lang w:val="en-US"/>
        </w:rPr>
      </w:pPr>
    </w:p>
    <w:p w:rsidR="00B80340" w:rsidRPr="00043345" w:rsidRDefault="00B80340" w:rsidP="00043345">
      <w:pPr>
        <w:spacing w:line="480" w:lineRule="auto"/>
        <w:jc w:val="both"/>
      </w:pPr>
      <w:r w:rsidRPr="00043345">
        <w:rPr>
          <w:lang w:val="en-US"/>
        </w:rPr>
        <w:t xml:space="preserve">Using Article 53 as a definition of </w:t>
      </w:r>
      <w:r w:rsidRPr="00043345">
        <w:rPr>
          <w:i/>
          <w:lang w:val="en-US"/>
        </w:rPr>
        <w:t>jus cogens</w:t>
      </w:r>
      <w:r w:rsidRPr="00043345">
        <w:rPr>
          <w:lang w:val="en-US"/>
        </w:rPr>
        <w:t xml:space="preserve"> is not entirely satisfactory, </w:t>
      </w:r>
      <w:r w:rsidR="006F15EA">
        <w:rPr>
          <w:lang w:val="en-US"/>
        </w:rPr>
        <w:t>though the reasons for this, again,</w:t>
      </w:r>
      <w:r w:rsidRPr="00043345">
        <w:rPr>
          <w:lang w:val="en-US"/>
        </w:rPr>
        <w:t xml:space="preserve"> go beyond the scope of this paper.</w:t>
      </w:r>
      <w:r w:rsidRPr="00043345">
        <w:rPr>
          <w:rStyle w:val="FootnoteReference"/>
        </w:rPr>
        <w:footnoteReference w:id="127"/>
      </w:r>
      <w:r w:rsidRPr="00043345">
        <w:rPr>
          <w:lang w:val="en-US"/>
        </w:rPr>
        <w:t xml:space="preserve">  Nonetheless, Article 53 offers a clear starting point for identifying a norm of </w:t>
      </w:r>
      <w:r w:rsidRPr="00043345">
        <w:rPr>
          <w:i/>
          <w:lang w:val="en-US"/>
        </w:rPr>
        <w:t>jus cogens</w:t>
      </w:r>
      <w:r w:rsidRPr="00043345">
        <w:rPr>
          <w:lang w:val="en-US"/>
        </w:rPr>
        <w:t xml:space="preserve">, and </w:t>
      </w:r>
      <w:r w:rsidR="006F15EA">
        <w:rPr>
          <w:lang w:val="en-US"/>
        </w:rPr>
        <w:t xml:space="preserve">it </w:t>
      </w:r>
      <w:r w:rsidRPr="00043345">
        <w:rPr>
          <w:lang w:val="en-US"/>
        </w:rPr>
        <w:t xml:space="preserve">is </w:t>
      </w:r>
      <w:r w:rsidR="00E227DD" w:rsidRPr="00043345">
        <w:rPr>
          <w:lang w:val="en-US"/>
        </w:rPr>
        <w:t xml:space="preserve">today </w:t>
      </w:r>
      <w:r w:rsidRPr="00043345">
        <w:rPr>
          <w:lang w:val="en-US"/>
        </w:rPr>
        <w:t xml:space="preserve">largely </w:t>
      </w:r>
      <w:r w:rsidRPr="00043345">
        <w:rPr>
          <w:lang w:val="en-US"/>
        </w:rPr>
        <w:lastRenderedPageBreak/>
        <w:t xml:space="preserve">accepted as the key </w:t>
      </w:r>
      <w:r w:rsidR="006F15EA">
        <w:rPr>
          <w:lang w:val="en-US"/>
        </w:rPr>
        <w:t xml:space="preserve">reference point </w:t>
      </w:r>
      <w:r w:rsidRPr="00043345">
        <w:rPr>
          <w:lang w:val="en-US"/>
        </w:rPr>
        <w:t>for the content of peremptory rules.</w:t>
      </w:r>
      <w:r w:rsidRPr="00043345">
        <w:rPr>
          <w:rStyle w:val="FootnoteReference"/>
          <w:lang w:val="en-US"/>
        </w:rPr>
        <w:footnoteReference w:id="128"/>
      </w:r>
      <w:r w:rsidRPr="00043345">
        <w:rPr>
          <w:lang w:val="en-US"/>
        </w:rPr>
        <w:t xml:space="preserve">  Thus, simply put, for a norm to be considered peremptory, it must be</w:t>
      </w:r>
      <w:r w:rsidRPr="00043345">
        <w:t xml:space="preserve"> </w:t>
      </w:r>
      <w:r w:rsidR="0028349D">
        <w:t>“</w:t>
      </w:r>
      <w:r w:rsidR="00647465">
        <w:t>accepted and recognis</w:t>
      </w:r>
      <w:r w:rsidRPr="00043345">
        <w:t>ed by the international community of States as a whole</w:t>
      </w:r>
      <w:r w:rsidR="0028349D">
        <w:t>”</w:t>
      </w:r>
      <w:r w:rsidRPr="00043345">
        <w:t xml:space="preserve"> as a </w:t>
      </w:r>
      <w:r w:rsidR="00E227DD" w:rsidRPr="00043345">
        <w:t xml:space="preserve">special </w:t>
      </w:r>
      <w:r w:rsidR="0028349D">
        <w:t>“</w:t>
      </w:r>
      <w:r w:rsidR="00E227DD" w:rsidRPr="00043345">
        <w:t>type</w:t>
      </w:r>
      <w:r w:rsidR="0028349D">
        <w:t>”</w:t>
      </w:r>
      <w:r w:rsidR="00BF5839" w:rsidRPr="00043345">
        <w:t xml:space="preserve"> of norm</w:t>
      </w:r>
      <w:r w:rsidR="00E227DD" w:rsidRPr="00043345">
        <w:t xml:space="preserve"> </w:t>
      </w:r>
      <w:r w:rsidRPr="00043345">
        <w:t>from which no derogation is permitted.</w:t>
      </w:r>
    </w:p>
    <w:p w:rsidR="00B80340" w:rsidRPr="00043345" w:rsidRDefault="00B80340" w:rsidP="00BC3B8D">
      <w:pPr>
        <w:spacing w:line="480" w:lineRule="auto"/>
        <w:ind w:firstLine="720"/>
        <w:jc w:val="both"/>
      </w:pPr>
      <w:r w:rsidRPr="00043345">
        <w:t>Having said this, acceptanc</w:t>
      </w:r>
      <w:r w:rsidR="00C85B34">
        <w:t xml:space="preserve">e and recognition of peremptory status by the </w:t>
      </w:r>
      <w:r w:rsidR="0028349D">
        <w:t>“</w:t>
      </w:r>
      <w:r w:rsidRPr="00043345">
        <w:t>international community of States as a whole</w:t>
      </w:r>
      <w:r w:rsidR="0028349D">
        <w:t>”</w:t>
      </w:r>
      <w:r w:rsidRPr="00043345">
        <w:t xml:space="preserve"> does not necessitate </w:t>
      </w:r>
      <w:r w:rsidRPr="00043345">
        <w:rPr>
          <w:i/>
        </w:rPr>
        <w:t>universal</w:t>
      </w:r>
      <w:r w:rsidRPr="00043345">
        <w:t xml:space="preserve"> acceptance by </w:t>
      </w:r>
      <w:r w:rsidR="00583307">
        <w:t>S</w:t>
      </w:r>
      <w:r w:rsidR="00583307" w:rsidRPr="00043345">
        <w:t xml:space="preserve">tates </w:t>
      </w:r>
      <w:r w:rsidRPr="00043345">
        <w:t xml:space="preserve">as to the peremptory character of any given norm.  As the chairman of the Drafting Committee of the </w:t>
      </w:r>
      <w:r w:rsidR="00BF5839" w:rsidRPr="00043345">
        <w:t>VCLT</w:t>
      </w:r>
      <w:r w:rsidRPr="00043345">
        <w:t xml:space="preserve"> made clear</w:t>
      </w:r>
      <w:r w:rsidR="002004CC">
        <w:t xml:space="preserve"> in</w:t>
      </w:r>
      <w:r w:rsidR="001F2691">
        <w:t xml:space="preserve"> 1968</w:t>
      </w:r>
      <w:r w:rsidRPr="00043345">
        <w:t xml:space="preserve">, it is enough for </w:t>
      </w:r>
      <w:r w:rsidR="0028349D">
        <w:t>“</w:t>
      </w:r>
      <w:r w:rsidRPr="00043345">
        <w:t>a large majority</w:t>
      </w:r>
      <w:r w:rsidR="0028349D">
        <w:t>”</w:t>
      </w:r>
      <w:r w:rsidRPr="00043345">
        <w:t xml:space="preserve"> of </w:t>
      </w:r>
      <w:r w:rsidR="00583307">
        <w:t>S</w:t>
      </w:r>
      <w:r w:rsidR="00583307" w:rsidRPr="00043345">
        <w:t xml:space="preserve">tates </w:t>
      </w:r>
      <w:r w:rsidRPr="00043345">
        <w:t>to take such a position.</w:t>
      </w:r>
      <w:r w:rsidRPr="00043345">
        <w:rPr>
          <w:rStyle w:val="FootnoteReference"/>
        </w:rPr>
        <w:footnoteReference w:id="129"/>
      </w:r>
      <w:r w:rsidRPr="00043345">
        <w:t xml:space="preserve">  Therefore, persistent objection on the part of India (or</w:t>
      </w:r>
      <w:r w:rsidR="00EE156F" w:rsidRPr="00043345">
        <w:t>,</w:t>
      </w:r>
      <w:r w:rsidRPr="00043345">
        <w:t xml:space="preserve"> indeed</w:t>
      </w:r>
      <w:r w:rsidR="00EE156F" w:rsidRPr="00043345">
        <w:t>,</w:t>
      </w:r>
      <w:r w:rsidRPr="00043345">
        <w:t xml:space="preserve"> Pakistan</w:t>
      </w:r>
      <w:r w:rsidR="00E227DD" w:rsidRPr="00043345">
        <w:t xml:space="preserve"> </w:t>
      </w:r>
      <w:r w:rsidRPr="00043345">
        <w:t xml:space="preserve">or </w:t>
      </w:r>
      <w:r w:rsidR="00EE156F" w:rsidRPr="00043345">
        <w:t>the DPRK</w:t>
      </w:r>
      <w:r w:rsidRPr="00043345">
        <w:t xml:space="preserve">) would not preclude the </w:t>
      </w:r>
      <w:r w:rsidR="00E227DD" w:rsidRPr="00043345">
        <w:t>test-ban</w:t>
      </w:r>
      <w:r w:rsidRPr="00043345">
        <w:t xml:space="preserve"> acquiring peremptory status, albeit </w:t>
      </w:r>
      <w:r w:rsidR="002004CC">
        <w:t xml:space="preserve">with the caveat </w:t>
      </w:r>
      <w:r w:rsidRPr="00043345">
        <w:t xml:space="preserve">that such persistent objection would, as has been </w:t>
      </w:r>
      <w:r w:rsidR="00E227DD" w:rsidRPr="00043345">
        <w:t>discussed</w:t>
      </w:r>
      <w:r w:rsidRPr="00043345">
        <w:t xml:space="preserve">, be legally ineffectual in exempting the </w:t>
      </w:r>
      <w:r w:rsidR="00583307">
        <w:t>S</w:t>
      </w:r>
      <w:r w:rsidR="00583307" w:rsidRPr="00043345">
        <w:t xml:space="preserve">tate </w:t>
      </w:r>
      <w:r w:rsidR="002004CC">
        <w:t xml:space="preserve">(or States) </w:t>
      </w:r>
      <w:r w:rsidRPr="00043345">
        <w:t xml:space="preserve">from the binding force of </w:t>
      </w:r>
      <w:r w:rsidR="00BF5839" w:rsidRPr="00043345">
        <w:t>the</w:t>
      </w:r>
      <w:r w:rsidRPr="00043345">
        <w:t xml:space="preserve"> peremptory norm.</w:t>
      </w:r>
    </w:p>
    <w:p w:rsidR="00B80340" w:rsidRPr="00043345" w:rsidRDefault="002004CC" w:rsidP="00BC3B8D">
      <w:pPr>
        <w:pStyle w:val="BodyText"/>
        <w:spacing w:line="480" w:lineRule="auto"/>
        <w:ind w:firstLine="720"/>
        <w:rPr>
          <w:rFonts w:ascii="Times New Roman" w:hAnsi="Times New Roman"/>
          <w:sz w:val="24"/>
          <w:szCs w:val="24"/>
        </w:rPr>
      </w:pPr>
      <w:r>
        <w:rPr>
          <w:rFonts w:ascii="Times New Roman" w:hAnsi="Times New Roman"/>
          <w:sz w:val="24"/>
          <w:szCs w:val="24"/>
        </w:rPr>
        <w:t xml:space="preserve">Despite </w:t>
      </w:r>
      <w:r w:rsidR="00B80340" w:rsidRPr="00043345">
        <w:rPr>
          <w:rFonts w:ascii="Times New Roman" w:hAnsi="Times New Roman"/>
          <w:sz w:val="24"/>
          <w:szCs w:val="24"/>
        </w:rPr>
        <w:t xml:space="preserve">the fact that universality is not required, </w:t>
      </w:r>
      <w:r>
        <w:rPr>
          <w:rFonts w:ascii="Times New Roman" w:hAnsi="Times New Roman"/>
          <w:sz w:val="24"/>
          <w:szCs w:val="24"/>
        </w:rPr>
        <w:t xml:space="preserve">however, </w:t>
      </w:r>
      <w:r w:rsidR="00B80340" w:rsidRPr="00043345">
        <w:rPr>
          <w:rFonts w:ascii="Times New Roman" w:hAnsi="Times New Roman"/>
          <w:sz w:val="24"/>
          <w:szCs w:val="24"/>
        </w:rPr>
        <w:t xml:space="preserve">the legal tests for establishing any given norm </w:t>
      </w:r>
      <w:r w:rsidR="00CA3408">
        <w:rPr>
          <w:rFonts w:ascii="Times New Roman" w:hAnsi="Times New Roman"/>
          <w:sz w:val="24"/>
          <w:szCs w:val="24"/>
        </w:rPr>
        <w:t>as being peremptory</w:t>
      </w:r>
      <w:r w:rsidR="00B80340" w:rsidRPr="00043345">
        <w:rPr>
          <w:rFonts w:ascii="Times New Roman" w:hAnsi="Times New Roman"/>
          <w:sz w:val="24"/>
          <w:szCs w:val="24"/>
        </w:rPr>
        <w:t xml:space="preserve"> are notably onerous.  As Rozakis has correctly stated, the criteria for the formation (or moderation) of </w:t>
      </w:r>
      <w:r w:rsidR="00CA3408" w:rsidRPr="00CA3408">
        <w:rPr>
          <w:rFonts w:ascii="Times New Roman" w:hAnsi="Times New Roman"/>
          <w:i/>
          <w:sz w:val="24"/>
          <w:szCs w:val="24"/>
        </w:rPr>
        <w:t>jus cogens</w:t>
      </w:r>
      <w:r w:rsidR="00B80340" w:rsidRPr="00043345">
        <w:rPr>
          <w:rFonts w:ascii="Times New Roman" w:hAnsi="Times New Roman"/>
          <w:sz w:val="24"/>
          <w:szCs w:val="24"/>
        </w:rPr>
        <w:t xml:space="preserve"> norms as set out in Article 53 of the </w:t>
      </w:r>
      <w:r w:rsidR="00BF5839" w:rsidRPr="00043345">
        <w:rPr>
          <w:rFonts w:ascii="Times New Roman" w:hAnsi="Times New Roman"/>
          <w:sz w:val="24"/>
          <w:szCs w:val="24"/>
        </w:rPr>
        <w:t>VCLT</w:t>
      </w:r>
      <w:r w:rsidR="00B80340" w:rsidRPr="00043345">
        <w:rPr>
          <w:rFonts w:ascii="Times New Roman" w:hAnsi="Times New Roman"/>
          <w:sz w:val="24"/>
          <w:szCs w:val="24"/>
        </w:rPr>
        <w:t xml:space="preserve"> </w:t>
      </w:r>
      <w:r w:rsidR="0028349D">
        <w:rPr>
          <w:rFonts w:ascii="Times New Roman" w:hAnsi="Times New Roman"/>
          <w:sz w:val="24"/>
          <w:szCs w:val="24"/>
        </w:rPr>
        <w:t>“</w:t>
      </w:r>
      <w:r w:rsidR="00B80340" w:rsidRPr="00043345">
        <w:rPr>
          <w:rFonts w:ascii="Times New Roman" w:hAnsi="Times New Roman"/>
          <w:sz w:val="24"/>
          <w:szCs w:val="24"/>
        </w:rPr>
        <w:t>are quite severe.</w:t>
      </w:r>
      <w:r w:rsidR="0028349D">
        <w:rPr>
          <w:rFonts w:ascii="Times New Roman" w:hAnsi="Times New Roman"/>
          <w:sz w:val="24"/>
          <w:szCs w:val="24"/>
        </w:rPr>
        <w:t>”</w:t>
      </w:r>
      <w:r w:rsidR="00B80340" w:rsidRPr="00043345">
        <w:rPr>
          <w:rStyle w:val="FootnoteReference"/>
          <w:rFonts w:ascii="Times New Roman" w:hAnsi="Times New Roman"/>
          <w:sz w:val="24"/>
          <w:szCs w:val="24"/>
        </w:rPr>
        <w:footnoteReference w:id="130"/>
      </w:r>
      <w:r w:rsidR="00B80340" w:rsidRPr="00043345">
        <w:rPr>
          <w:rFonts w:ascii="Times New Roman" w:hAnsi="Times New Roman"/>
          <w:sz w:val="24"/>
          <w:szCs w:val="24"/>
        </w:rPr>
        <w:t xml:space="preserve">  Whatever the merit or moral </w:t>
      </w:r>
      <w:r w:rsidR="0028349D">
        <w:rPr>
          <w:rFonts w:ascii="Times New Roman" w:hAnsi="Times New Roman"/>
          <w:sz w:val="24"/>
          <w:szCs w:val="24"/>
        </w:rPr>
        <w:t>“</w:t>
      </w:r>
      <w:r w:rsidR="00B80340" w:rsidRPr="00043345">
        <w:rPr>
          <w:rFonts w:ascii="Times New Roman" w:hAnsi="Times New Roman"/>
          <w:sz w:val="24"/>
          <w:szCs w:val="24"/>
        </w:rPr>
        <w:t>value</w:t>
      </w:r>
      <w:r w:rsidR="0028349D">
        <w:rPr>
          <w:rFonts w:ascii="Times New Roman" w:hAnsi="Times New Roman"/>
          <w:sz w:val="24"/>
          <w:szCs w:val="24"/>
        </w:rPr>
        <w:t>”</w:t>
      </w:r>
      <w:r w:rsidR="00B80340" w:rsidRPr="00043345">
        <w:rPr>
          <w:rFonts w:ascii="Times New Roman" w:hAnsi="Times New Roman"/>
          <w:sz w:val="24"/>
          <w:szCs w:val="24"/>
        </w:rPr>
        <w:t xml:space="preserve"> of any given</w:t>
      </w:r>
      <w:r w:rsidR="00E227DD" w:rsidRPr="00043345">
        <w:rPr>
          <w:rFonts w:ascii="Times New Roman" w:hAnsi="Times New Roman"/>
          <w:sz w:val="24"/>
          <w:szCs w:val="24"/>
        </w:rPr>
        <w:t xml:space="preserve"> legal</w:t>
      </w:r>
      <w:r w:rsidR="00B80340" w:rsidRPr="00043345">
        <w:rPr>
          <w:rFonts w:ascii="Times New Roman" w:hAnsi="Times New Roman"/>
          <w:sz w:val="24"/>
          <w:szCs w:val="24"/>
        </w:rPr>
        <w:t xml:space="preserve"> </w:t>
      </w:r>
      <w:r w:rsidR="00E227DD" w:rsidRPr="00043345">
        <w:rPr>
          <w:rFonts w:ascii="Times New Roman" w:hAnsi="Times New Roman"/>
          <w:sz w:val="24"/>
          <w:szCs w:val="24"/>
        </w:rPr>
        <w:t>rule</w:t>
      </w:r>
      <w:r w:rsidR="00B80340" w:rsidRPr="00043345">
        <w:rPr>
          <w:rFonts w:ascii="Times New Roman" w:hAnsi="Times New Roman"/>
          <w:sz w:val="24"/>
          <w:szCs w:val="24"/>
        </w:rPr>
        <w:t>, this does not in itself</w:t>
      </w:r>
      <w:r w:rsidR="00CA3408">
        <w:rPr>
          <w:rFonts w:ascii="Times New Roman" w:hAnsi="Times New Roman"/>
          <w:sz w:val="24"/>
          <w:szCs w:val="24"/>
        </w:rPr>
        <w:t xml:space="preserve"> turn it into a peremptory norm;</w:t>
      </w:r>
      <w:r w:rsidR="00B80340" w:rsidRPr="00043345">
        <w:rPr>
          <w:rFonts w:ascii="Times New Roman" w:hAnsi="Times New Roman"/>
          <w:sz w:val="24"/>
          <w:szCs w:val="24"/>
        </w:rPr>
        <w:t xml:space="preserve"> nor do pronouncements to this effect </w:t>
      </w:r>
      <w:r w:rsidR="00E227DD" w:rsidRPr="00043345">
        <w:rPr>
          <w:rFonts w:ascii="Times New Roman" w:hAnsi="Times New Roman"/>
          <w:sz w:val="24"/>
          <w:szCs w:val="24"/>
        </w:rPr>
        <w:t xml:space="preserve">made </w:t>
      </w:r>
      <w:r w:rsidR="00B80340" w:rsidRPr="00043345">
        <w:rPr>
          <w:rFonts w:ascii="Times New Roman" w:hAnsi="Times New Roman"/>
          <w:sz w:val="24"/>
          <w:szCs w:val="24"/>
        </w:rPr>
        <w:t>by scholars</w:t>
      </w:r>
      <w:r w:rsidR="00E227DD" w:rsidRPr="00043345">
        <w:rPr>
          <w:rFonts w:ascii="Times New Roman" w:hAnsi="Times New Roman"/>
          <w:sz w:val="24"/>
          <w:szCs w:val="24"/>
        </w:rPr>
        <w:t>, however numerous</w:t>
      </w:r>
      <w:r w:rsidR="00B80340" w:rsidRPr="00043345">
        <w:rPr>
          <w:rFonts w:ascii="Times New Roman" w:hAnsi="Times New Roman"/>
          <w:sz w:val="24"/>
          <w:szCs w:val="24"/>
        </w:rPr>
        <w:t>.</w:t>
      </w:r>
      <w:r w:rsidR="00B80340" w:rsidRPr="00043345">
        <w:rPr>
          <w:rStyle w:val="FootnoteReference"/>
          <w:rFonts w:ascii="Times New Roman" w:hAnsi="Times New Roman"/>
          <w:sz w:val="24"/>
          <w:szCs w:val="24"/>
        </w:rPr>
        <w:footnoteReference w:id="131"/>
      </w:r>
      <w:r w:rsidR="00B80340" w:rsidRPr="00043345">
        <w:rPr>
          <w:rFonts w:ascii="Times New Roman" w:hAnsi="Times New Roman"/>
          <w:sz w:val="24"/>
          <w:szCs w:val="24"/>
        </w:rPr>
        <w:t xml:space="preserve">  The test is, rather, whether the vast majority of </w:t>
      </w:r>
      <w:r w:rsidR="00583307">
        <w:rPr>
          <w:rFonts w:ascii="Times New Roman" w:hAnsi="Times New Roman"/>
          <w:sz w:val="24"/>
          <w:szCs w:val="24"/>
        </w:rPr>
        <w:t>S</w:t>
      </w:r>
      <w:r w:rsidR="00583307" w:rsidRPr="00043345">
        <w:rPr>
          <w:rFonts w:ascii="Times New Roman" w:hAnsi="Times New Roman"/>
          <w:sz w:val="24"/>
          <w:szCs w:val="24"/>
        </w:rPr>
        <w:t xml:space="preserve">tates </w:t>
      </w:r>
      <w:r w:rsidR="00B80340" w:rsidRPr="00043345">
        <w:rPr>
          <w:rFonts w:ascii="Times New Roman" w:hAnsi="Times New Roman"/>
          <w:sz w:val="24"/>
          <w:szCs w:val="24"/>
        </w:rPr>
        <w:t xml:space="preserve">of the world have accepted </w:t>
      </w:r>
      <w:r w:rsidR="00F43301">
        <w:rPr>
          <w:rFonts w:ascii="Times New Roman" w:hAnsi="Times New Roman"/>
          <w:sz w:val="24"/>
          <w:szCs w:val="24"/>
        </w:rPr>
        <w:t xml:space="preserve">and recognised </w:t>
      </w:r>
      <w:r w:rsidR="00B80340" w:rsidRPr="00043345">
        <w:rPr>
          <w:rFonts w:ascii="Times New Roman" w:hAnsi="Times New Roman"/>
          <w:sz w:val="24"/>
          <w:szCs w:val="24"/>
        </w:rPr>
        <w:t xml:space="preserve">the norm as being peremptory.  </w:t>
      </w:r>
    </w:p>
    <w:p w:rsidR="00B80340" w:rsidRPr="00BC3B8D" w:rsidRDefault="00B80340" w:rsidP="00BC3B8D">
      <w:pPr>
        <w:pStyle w:val="BodyText"/>
        <w:spacing w:line="480" w:lineRule="auto"/>
        <w:ind w:firstLine="720"/>
        <w:rPr>
          <w:rFonts w:ascii="Times New Roman" w:hAnsi="Times New Roman"/>
          <w:sz w:val="24"/>
          <w:szCs w:val="24"/>
        </w:rPr>
      </w:pPr>
      <w:r w:rsidRPr="00043345">
        <w:rPr>
          <w:rFonts w:ascii="Times New Roman" w:hAnsi="Times New Roman"/>
          <w:sz w:val="24"/>
          <w:szCs w:val="24"/>
        </w:rPr>
        <w:lastRenderedPageBreak/>
        <w:t xml:space="preserve">This test is so </w:t>
      </w:r>
      <w:r w:rsidR="00E227DD" w:rsidRPr="00043345">
        <w:rPr>
          <w:rFonts w:ascii="Times New Roman" w:hAnsi="Times New Roman"/>
          <w:sz w:val="24"/>
          <w:szCs w:val="24"/>
        </w:rPr>
        <w:t>burdensome</w:t>
      </w:r>
      <w:r w:rsidRPr="00043345">
        <w:rPr>
          <w:rFonts w:ascii="Times New Roman" w:hAnsi="Times New Roman"/>
          <w:sz w:val="24"/>
          <w:szCs w:val="24"/>
        </w:rPr>
        <w:t xml:space="preserve"> that peremptory status has been debated by some writers even </w:t>
      </w:r>
      <w:r w:rsidR="00CA3408">
        <w:rPr>
          <w:rFonts w:ascii="Times New Roman" w:hAnsi="Times New Roman"/>
          <w:sz w:val="24"/>
          <w:szCs w:val="24"/>
        </w:rPr>
        <w:t>with regard to</w:t>
      </w:r>
      <w:r w:rsidRPr="00043345">
        <w:rPr>
          <w:rFonts w:ascii="Times New Roman" w:hAnsi="Times New Roman"/>
          <w:sz w:val="24"/>
          <w:szCs w:val="24"/>
        </w:rPr>
        <w:t xml:space="preserve"> norms that are generally viewed as </w:t>
      </w:r>
      <w:r w:rsidRPr="00043345">
        <w:rPr>
          <w:rFonts w:ascii="Times New Roman" w:hAnsi="Times New Roman"/>
          <w:i/>
          <w:sz w:val="24"/>
          <w:szCs w:val="24"/>
        </w:rPr>
        <w:t>jus cogens</w:t>
      </w:r>
      <w:r w:rsidRPr="00043345">
        <w:rPr>
          <w:rFonts w:ascii="Times New Roman" w:hAnsi="Times New Roman"/>
          <w:sz w:val="24"/>
          <w:szCs w:val="24"/>
        </w:rPr>
        <w:t xml:space="preserve">, and are certainly universally accepted by </w:t>
      </w:r>
      <w:r w:rsidR="00583307">
        <w:rPr>
          <w:rFonts w:ascii="Times New Roman" w:hAnsi="Times New Roman"/>
          <w:sz w:val="24"/>
          <w:szCs w:val="24"/>
        </w:rPr>
        <w:t>S</w:t>
      </w:r>
      <w:r w:rsidR="00583307" w:rsidRPr="00043345">
        <w:rPr>
          <w:rFonts w:ascii="Times New Roman" w:hAnsi="Times New Roman"/>
          <w:sz w:val="24"/>
          <w:szCs w:val="24"/>
        </w:rPr>
        <w:t xml:space="preserve">tates </w:t>
      </w:r>
      <w:r w:rsidRPr="00043345">
        <w:rPr>
          <w:rFonts w:ascii="Times New Roman" w:hAnsi="Times New Roman"/>
          <w:sz w:val="24"/>
          <w:szCs w:val="24"/>
        </w:rPr>
        <w:t>in a general sense.  When one begin</w:t>
      </w:r>
      <w:r w:rsidR="00F70A2B">
        <w:rPr>
          <w:rFonts w:ascii="Times New Roman" w:hAnsi="Times New Roman"/>
          <w:sz w:val="24"/>
          <w:szCs w:val="24"/>
        </w:rPr>
        <w:t>s</w:t>
      </w:r>
      <w:r w:rsidRPr="00043345">
        <w:rPr>
          <w:rFonts w:ascii="Times New Roman" w:hAnsi="Times New Roman"/>
          <w:sz w:val="24"/>
          <w:szCs w:val="24"/>
        </w:rPr>
        <w:t xml:space="preserve"> to </w:t>
      </w:r>
      <w:r w:rsidR="00F70A2B">
        <w:rPr>
          <w:rFonts w:ascii="Times New Roman" w:hAnsi="Times New Roman"/>
          <w:sz w:val="24"/>
          <w:szCs w:val="24"/>
        </w:rPr>
        <w:t>actually</w:t>
      </w:r>
      <w:r w:rsidRPr="00043345">
        <w:rPr>
          <w:rFonts w:ascii="Times New Roman" w:hAnsi="Times New Roman"/>
          <w:sz w:val="24"/>
          <w:szCs w:val="24"/>
        </w:rPr>
        <w:t xml:space="preserve"> test, for example, the prohibition of the use of force</w:t>
      </w:r>
      <w:r w:rsidRPr="00043345">
        <w:rPr>
          <w:rStyle w:val="FootnoteReference"/>
          <w:rFonts w:ascii="Times New Roman" w:hAnsi="Times New Roman"/>
          <w:sz w:val="24"/>
          <w:szCs w:val="24"/>
        </w:rPr>
        <w:footnoteReference w:id="132"/>
      </w:r>
      <w:r w:rsidRPr="00043345">
        <w:rPr>
          <w:rFonts w:ascii="Times New Roman" w:hAnsi="Times New Roman"/>
          <w:sz w:val="24"/>
          <w:szCs w:val="24"/>
        </w:rPr>
        <w:t xml:space="preserve"> or the prohibition of genocide</w:t>
      </w:r>
      <w:r w:rsidRPr="00043345">
        <w:rPr>
          <w:rStyle w:val="FootnoteReference"/>
          <w:rFonts w:ascii="Times New Roman" w:hAnsi="Times New Roman"/>
          <w:sz w:val="24"/>
          <w:szCs w:val="24"/>
        </w:rPr>
        <w:footnoteReference w:id="133"/>
      </w:r>
      <w:r w:rsidRPr="00043345">
        <w:rPr>
          <w:rFonts w:ascii="Times New Roman" w:hAnsi="Times New Roman"/>
          <w:sz w:val="24"/>
          <w:szCs w:val="24"/>
        </w:rPr>
        <w:t xml:space="preserve"> against the Article 53 criteria, it is far from c</w:t>
      </w:r>
      <w:r w:rsidR="00CA3408">
        <w:rPr>
          <w:rFonts w:ascii="Times New Roman" w:hAnsi="Times New Roman"/>
          <w:sz w:val="24"/>
          <w:szCs w:val="24"/>
        </w:rPr>
        <w:t>ertain</w:t>
      </w:r>
      <w:r w:rsidRPr="00043345">
        <w:rPr>
          <w:rFonts w:ascii="Times New Roman" w:hAnsi="Times New Roman"/>
          <w:sz w:val="24"/>
          <w:szCs w:val="24"/>
        </w:rPr>
        <w:t xml:space="preserve"> whether </w:t>
      </w:r>
      <w:r w:rsidR="00BF5839" w:rsidRPr="00043345">
        <w:rPr>
          <w:rFonts w:ascii="Times New Roman" w:hAnsi="Times New Roman"/>
          <w:sz w:val="24"/>
          <w:szCs w:val="24"/>
        </w:rPr>
        <w:t xml:space="preserve">even </w:t>
      </w:r>
      <w:r w:rsidRPr="00043345">
        <w:rPr>
          <w:rFonts w:ascii="Times New Roman" w:hAnsi="Times New Roman"/>
          <w:sz w:val="24"/>
          <w:szCs w:val="24"/>
        </w:rPr>
        <w:t>these fundamental norms</w:t>
      </w:r>
      <w:r w:rsidR="00F70A2B">
        <w:rPr>
          <w:rFonts w:ascii="Times New Roman" w:hAnsi="Times New Roman"/>
          <w:sz w:val="24"/>
          <w:szCs w:val="24"/>
        </w:rPr>
        <w:t xml:space="preserve"> </w:t>
      </w:r>
      <w:r w:rsidRPr="00043345">
        <w:rPr>
          <w:rFonts w:ascii="Times New Roman" w:hAnsi="Times New Roman"/>
          <w:sz w:val="24"/>
          <w:szCs w:val="24"/>
        </w:rPr>
        <w:t xml:space="preserve">meet the required standard.  As such, the claim that </w:t>
      </w:r>
      <w:r w:rsidR="00BF5839" w:rsidRPr="00043345">
        <w:rPr>
          <w:rFonts w:ascii="Times New Roman" w:hAnsi="Times New Roman"/>
          <w:sz w:val="24"/>
          <w:szCs w:val="24"/>
        </w:rPr>
        <w:t>an avowed norm</w:t>
      </w:r>
      <w:r w:rsidRPr="00043345">
        <w:rPr>
          <w:rFonts w:ascii="Times New Roman" w:hAnsi="Times New Roman"/>
          <w:sz w:val="24"/>
          <w:szCs w:val="24"/>
        </w:rPr>
        <w:t xml:space="preserve"> of customary law relating to the testing of nuclear weapons </w:t>
      </w:r>
      <w:r w:rsidR="00BF5839" w:rsidRPr="00043345">
        <w:rPr>
          <w:rFonts w:ascii="Times New Roman" w:hAnsi="Times New Roman"/>
          <w:sz w:val="24"/>
          <w:szCs w:val="24"/>
        </w:rPr>
        <w:t>is a</w:t>
      </w:r>
      <w:r w:rsidRPr="00043345">
        <w:rPr>
          <w:rFonts w:ascii="Times New Roman" w:hAnsi="Times New Roman"/>
          <w:sz w:val="24"/>
          <w:szCs w:val="24"/>
        </w:rPr>
        <w:t xml:space="preserve"> </w:t>
      </w:r>
      <w:r w:rsidRPr="00043345">
        <w:rPr>
          <w:rFonts w:ascii="Times New Roman" w:hAnsi="Times New Roman"/>
          <w:i/>
          <w:sz w:val="24"/>
          <w:szCs w:val="24"/>
        </w:rPr>
        <w:t>jus cogens</w:t>
      </w:r>
      <w:r w:rsidRPr="00043345">
        <w:rPr>
          <w:rFonts w:ascii="Times New Roman" w:hAnsi="Times New Roman"/>
          <w:sz w:val="24"/>
          <w:szCs w:val="24"/>
        </w:rPr>
        <w:t xml:space="preserve"> </w:t>
      </w:r>
      <w:r w:rsidR="00BF5839" w:rsidRPr="00043345">
        <w:rPr>
          <w:rFonts w:ascii="Times New Roman" w:hAnsi="Times New Roman"/>
          <w:sz w:val="24"/>
          <w:szCs w:val="24"/>
        </w:rPr>
        <w:t>rule</w:t>
      </w:r>
      <w:r w:rsidRPr="00043345">
        <w:rPr>
          <w:rFonts w:ascii="Times New Roman" w:hAnsi="Times New Roman"/>
          <w:sz w:val="24"/>
          <w:szCs w:val="24"/>
        </w:rPr>
        <w:t xml:space="preserve"> can be dismissed rather conclusively.</w:t>
      </w:r>
    </w:p>
    <w:p w:rsidR="00B80340" w:rsidRPr="00043345" w:rsidRDefault="00B80340" w:rsidP="00BC3B8D">
      <w:pPr>
        <w:spacing w:line="480" w:lineRule="auto"/>
        <w:ind w:firstLine="720"/>
        <w:jc w:val="both"/>
      </w:pPr>
      <w:r w:rsidRPr="00043345">
        <w:t xml:space="preserve">The obligation on </w:t>
      </w:r>
      <w:r w:rsidR="00583307">
        <w:t>S</w:t>
      </w:r>
      <w:r w:rsidR="00583307" w:rsidRPr="00043345">
        <w:t xml:space="preserve">tates </w:t>
      </w:r>
      <w:r w:rsidRPr="00043345">
        <w:t xml:space="preserve">not to test </w:t>
      </w:r>
      <w:r w:rsidR="0018454F" w:rsidRPr="00043345">
        <w:t>nuclear weapons has</w:t>
      </w:r>
      <w:r w:rsidRPr="00043345">
        <w:t xml:space="preserve"> clearly not achieved the status of</w:t>
      </w:r>
      <w:r w:rsidR="0018454F" w:rsidRPr="00043345">
        <w:t xml:space="preserve"> a</w:t>
      </w:r>
      <w:r w:rsidRPr="00043345">
        <w:t xml:space="preserve"> </w:t>
      </w:r>
      <w:r w:rsidRPr="00043345">
        <w:rPr>
          <w:i/>
        </w:rPr>
        <w:t>jus cogens</w:t>
      </w:r>
      <w:r w:rsidR="0018454F" w:rsidRPr="00043345">
        <w:t xml:space="preserve"> norm</w:t>
      </w:r>
      <w:r w:rsidRPr="00043345">
        <w:t xml:space="preserve">.  As was discussed in some detail in </w:t>
      </w:r>
      <w:r w:rsidR="005523AB">
        <w:t>S</w:t>
      </w:r>
      <w:r w:rsidR="005523AB" w:rsidRPr="00043345">
        <w:t xml:space="preserve">ection </w:t>
      </w:r>
      <w:r w:rsidRPr="00043345">
        <w:t>II, it is</w:t>
      </w:r>
      <w:r w:rsidR="00F85797" w:rsidRPr="00043345">
        <w:t xml:space="preserve"> to some extent</w:t>
      </w:r>
      <w:r w:rsidRPr="00043345">
        <w:t xml:space="preserve"> disputable whether Article I </w:t>
      </w:r>
      <w:r w:rsidR="00712F99">
        <w:t xml:space="preserve">of the </w:t>
      </w:r>
      <w:r w:rsidRPr="00043345">
        <w:t>CTBT ha</w:t>
      </w:r>
      <w:r w:rsidR="0018454F" w:rsidRPr="00043345">
        <w:t>s</w:t>
      </w:r>
      <w:r w:rsidRPr="00043345">
        <w:t xml:space="preserve"> </w:t>
      </w:r>
      <w:r w:rsidR="008A5D5B">
        <w:t xml:space="preserve">even </w:t>
      </w:r>
      <w:r w:rsidRPr="00043345">
        <w:t xml:space="preserve">crystallised into customary international law </w:t>
      </w:r>
      <w:r w:rsidRPr="00043345">
        <w:rPr>
          <w:i/>
        </w:rPr>
        <w:t>at all</w:t>
      </w:r>
      <w:r w:rsidRPr="00043345">
        <w:t xml:space="preserve">.  Such </w:t>
      </w:r>
      <w:r w:rsidR="00F85797" w:rsidRPr="00043345">
        <w:t xml:space="preserve">comparatively </w:t>
      </w:r>
      <w:r w:rsidRPr="00043345">
        <w:t xml:space="preserve">equivocal </w:t>
      </w:r>
      <w:r w:rsidR="00583307">
        <w:t>S</w:t>
      </w:r>
      <w:r w:rsidR="00583307" w:rsidRPr="00043345">
        <w:t xml:space="preserve">tate </w:t>
      </w:r>
      <w:r w:rsidRPr="00043345">
        <w:t xml:space="preserve">practice and </w:t>
      </w:r>
      <w:r w:rsidRPr="00043345">
        <w:rPr>
          <w:i/>
        </w:rPr>
        <w:t>opinio juris</w:t>
      </w:r>
      <w:r w:rsidRPr="00043345">
        <w:t xml:space="preserve"> in relation to customary status </w:t>
      </w:r>
      <w:r w:rsidRPr="00043345">
        <w:rPr>
          <w:i/>
        </w:rPr>
        <w:t>simpliciter</w:t>
      </w:r>
      <w:r w:rsidRPr="00043345">
        <w:t xml:space="preserve"> is impossible to equate to the near-universal acceptance</w:t>
      </w:r>
      <w:r w:rsidR="00CA3408">
        <w:t xml:space="preserve"> and recognition</w:t>
      </w:r>
      <w:r w:rsidRPr="00043345">
        <w:t xml:space="preserve"> of </w:t>
      </w:r>
      <w:r w:rsidR="008A5D5B">
        <w:t>“</w:t>
      </w:r>
      <w:r w:rsidRPr="00043345">
        <w:t>supernorm</w:t>
      </w:r>
      <w:r w:rsidR="008A5D5B">
        <w:t>”</w:t>
      </w:r>
      <w:r w:rsidRPr="00043345">
        <w:t xml:space="preserve"> status required for elevation to the </w:t>
      </w:r>
      <w:r w:rsidR="0018454F" w:rsidRPr="00043345">
        <w:t xml:space="preserve">hallowed </w:t>
      </w:r>
      <w:r w:rsidRPr="00043345">
        <w:t xml:space="preserve">group of </w:t>
      </w:r>
      <w:r w:rsidR="008A5D5B" w:rsidRPr="00043345">
        <w:t xml:space="preserve">peremptory </w:t>
      </w:r>
      <w:r w:rsidRPr="00043345">
        <w:t>international legal rules.</w:t>
      </w:r>
    </w:p>
    <w:p w:rsidR="00511CC3" w:rsidRDefault="00B80340" w:rsidP="00BC3B8D">
      <w:pPr>
        <w:spacing w:line="480" w:lineRule="auto"/>
        <w:ind w:firstLine="720"/>
        <w:jc w:val="both"/>
      </w:pPr>
      <w:r w:rsidRPr="00043345">
        <w:t xml:space="preserve">Indeed, the present author has been unable to identify </w:t>
      </w:r>
      <w:r w:rsidRPr="00CA3408">
        <w:rPr>
          <w:i/>
        </w:rPr>
        <w:t>a single instance</w:t>
      </w:r>
      <w:r w:rsidRPr="00043345">
        <w:t xml:space="preserve"> </w:t>
      </w:r>
      <w:r w:rsidR="00712F99">
        <w:t xml:space="preserve">in which </w:t>
      </w:r>
      <w:r w:rsidRPr="00043345">
        <w:t xml:space="preserve">a </w:t>
      </w:r>
      <w:r w:rsidR="00583307">
        <w:t>State</w:t>
      </w:r>
      <w:r w:rsidR="00583307">
        <w:rPr>
          <w:i/>
        </w:rPr>
        <w:t xml:space="preserve"> </w:t>
      </w:r>
      <w:r w:rsidRPr="00043345">
        <w:t xml:space="preserve">has claimed that the </w:t>
      </w:r>
      <w:r w:rsidR="00647465">
        <w:t xml:space="preserve">prohibition of the </w:t>
      </w:r>
      <w:r w:rsidRPr="00043345">
        <w:t>testing of nuclear weapons represents a norm</w:t>
      </w:r>
      <w:r w:rsidR="004608D4" w:rsidRPr="00043345">
        <w:t xml:space="preserve"> of </w:t>
      </w:r>
      <w:r w:rsidR="004608D4" w:rsidRPr="00043345">
        <w:rPr>
          <w:i/>
        </w:rPr>
        <w:t>jus cogens</w:t>
      </w:r>
      <w:r w:rsidRPr="00043345">
        <w:t xml:space="preserve">.  Tellingly, </w:t>
      </w:r>
      <w:r w:rsidR="004608D4" w:rsidRPr="00043345">
        <w:t>Tabassi</w:t>
      </w:r>
      <w:r w:rsidR="0018454F" w:rsidRPr="00043345">
        <w:t xml:space="preserve"> did</w:t>
      </w:r>
      <w:r w:rsidRPr="00043345">
        <w:t xml:space="preserve"> not base </w:t>
      </w:r>
      <w:r w:rsidR="004608D4" w:rsidRPr="00043345">
        <w:t>her assertion of peremptory status</w:t>
      </w:r>
      <w:r w:rsidRPr="00043345">
        <w:t xml:space="preserve"> </w:t>
      </w:r>
      <w:r w:rsidR="004608D4" w:rsidRPr="00043345">
        <w:t xml:space="preserve">on </w:t>
      </w:r>
      <w:r w:rsidR="00583307">
        <w:t>S</w:t>
      </w:r>
      <w:r w:rsidR="00583307" w:rsidRPr="00043345">
        <w:t xml:space="preserve">tate </w:t>
      </w:r>
      <w:r w:rsidRPr="00043345">
        <w:t xml:space="preserve">acceptance </w:t>
      </w:r>
      <w:r w:rsidR="008A5D5B">
        <w:t xml:space="preserve">and recognition </w:t>
      </w:r>
      <w:r w:rsidRPr="00043345">
        <w:t xml:space="preserve">of the peremptory </w:t>
      </w:r>
      <w:r w:rsidR="004608D4" w:rsidRPr="00043345">
        <w:t xml:space="preserve">nature </w:t>
      </w:r>
      <w:r w:rsidRPr="00043345">
        <w:t xml:space="preserve">of </w:t>
      </w:r>
      <w:r w:rsidR="0018454F" w:rsidRPr="00043345">
        <w:t>the prohibition</w:t>
      </w:r>
      <w:r w:rsidRPr="00043345">
        <w:t>.</w:t>
      </w:r>
      <w:r w:rsidR="00BF5839" w:rsidRPr="00043345">
        <w:t xml:space="preserve">  S</w:t>
      </w:r>
      <w:r w:rsidR="004608D4" w:rsidRPr="00043345">
        <w:t>he</w:t>
      </w:r>
      <w:r w:rsidRPr="00043345">
        <w:t xml:space="preserve"> argue</w:t>
      </w:r>
      <w:r w:rsidR="00BF5839" w:rsidRPr="00043345">
        <w:t>d</w:t>
      </w:r>
      <w:r w:rsidR="008A5D5B">
        <w:t>,</w:t>
      </w:r>
      <w:r w:rsidR="00BF5839" w:rsidRPr="00043345">
        <w:t xml:space="preserve"> instead</w:t>
      </w:r>
      <w:r w:rsidR="008A5D5B">
        <w:t>,</w:t>
      </w:r>
      <w:r w:rsidRPr="00043345">
        <w:t xml:space="preserve"> for the peremptory status of the test-ban norm by pointing to the fact that India and Pakistan were condemned for their 1998 nuclear tests, in spite of </w:t>
      </w:r>
      <w:r w:rsidR="008A5D5B">
        <w:t xml:space="preserve">the fact that </w:t>
      </w:r>
      <w:r w:rsidRPr="00043345">
        <w:t xml:space="preserve">both </w:t>
      </w:r>
      <w:r w:rsidR="00583307">
        <w:t>S</w:t>
      </w:r>
      <w:r w:rsidR="00583307" w:rsidRPr="00043345">
        <w:t xml:space="preserve">tates </w:t>
      </w:r>
      <w:r w:rsidR="008A5D5B">
        <w:t>are</w:t>
      </w:r>
      <w:r w:rsidR="008A5D5B" w:rsidRPr="00043345">
        <w:t xml:space="preserve"> </w:t>
      </w:r>
      <w:r w:rsidRPr="00043345">
        <w:t>undoubted</w:t>
      </w:r>
      <w:r w:rsidR="008A5D5B">
        <w:t>ly</w:t>
      </w:r>
      <w:r w:rsidRPr="00043345">
        <w:t xml:space="preserve"> persistent objectors: </w:t>
      </w:r>
      <w:r w:rsidR="0028349D">
        <w:lastRenderedPageBreak/>
        <w:t>“</w:t>
      </w:r>
      <w:r w:rsidRPr="00043345">
        <w:t>Although it would seem absurdly pre</w:t>
      </w:r>
      <w:r w:rsidR="0030362A" w:rsidRPr="00043345">
        <w:t>mature to suggest that the test-</w:t>
      </w:r>
      <w:r w:rsidRPr="00043345">
        <w:t>ban could qualify as a peremptory norm, a qualification so rarely accepted, it is difficult to otherwise explain the condemnation of the Indian and Pakistani tests.</w:t>
      </w:r>
      <w:r w:rsidR="0028349D">
        <w:t>”</w:t>
      </w:r>
      <w:r w:rsidRPr="00043345">
        <w:rPr>
          <w:rStyle w:val="FootnoteReference"/>
        </w:rPr>
        <w:footnoteReference w:id="134"/>
      </w:r>
      <w:r w:rsidR="005468E8" w:rsidRPr="00043345">
        <w:t xml:space="preserve">  </w:t>
      </w:r>
    </w:p>
    <w:p w:rsidR="004608D4" w:rsidRPr="00043345" w:rsidRDefault="00B80340" w:rsidP="00BC3B8D">
      <w:pPr>
        <w:spacing w:line="480" w:lineRule="auto"/>
        <w:ind w:firstLine="720"/>
        <w:jc w:val="both"/>
      </w:pPr>
      <w:r w:rsidRPr="00043345">
        <w:t xml:space="preserve">The condemnation by </w:t>
      </w:r>
      <w:r w:rsidR="00583307">
        <w:t>S</w:t>
      </w:r>
      <w:r w:rsidR="00583307" w:rsidRPr="00043345">
        <w:t xml:space="preserve">tates </w:t>
      </w:r>
      <w:r w:rsidRPr="00043345">
        <w:t xml:space="preserve">of the 1998 tests has been discussed in </w:t>
      </w:r>
      <w:r w:rsidR="005523AB">
        <w:t>S</w:t>
      </w:r>
      <w:r w:rsidR="00915643">
        <w:t>ubs</w:t>
      </w:r>
      <w:r w:rsidR="005523AB" w:rsidRPr="00043345">
        <w:t xml:space="preserve">ection </w:t>
      </w:r>
      <w:r w:rsidRPr="00043345">
        <w:t>II</w:t>
      </w:r>
      <w:r w:rsidR="008A5D5B">
        <w:t>I</w:t>
      </w:r>
      <w:r w:rsidR="00CF2F01" w:rsidRPr="00CF2F01">
        <w:t>(</w:t>
      </w:r>
      <w:r w:rsidR="00CD24C4" w:rsidRPr="00CD24C4">
        <w:t>B</w:t>
      </w:r>
      <w:r w:rsidR="00CF2F01" w:rsidRPr="00CF2F01">
        <w:t>)</w:t>
      </w:r>
      <w:r w:rsidR="004C3082" w:rsidRPr="00043345">
        <w:t xml:space="preserve"> and will</w:t>
      </w:r>
      <w:r w:rsidR="0018454F" w:rsidRPr="00043345">
        <w:t xml:space="preserve"> be returned to in the next </w:t>
      </w:r>
      <w:r w:rsidR="005523AB">
        <w:t>S</w:t>
      </w:r>
      <w:r w:rsidR="005523AB" w:rsidRPr="00043345">
        <w:t>ubsection</w:t>
      </w:r>
      <w:r w:rsidRPr="00043345">
        <w:t>.  At this juncture</w:t>
      </w:r>
      <w:r w:rsidR="008A5D5B">
        <w:t xml:space="preserve">, one can simply </w:t>
      </w:r>
      <w:r w:rsidRPr="00043345">
        <w:t xml:space="preserve">note that Tabassi’s argument amounts to reverse logic, which does not hold up to scrutiny.  </w:t>
      </w:r>
      <w:r w:rsidR="004608D4" w:rsidRPr="00043345">
        <w:t>Her assertion</w:t>
      </w:r>
      <w:r w:rsidRPr="00043345">
        <w:t xml:space="preserve"> is that because persistent objectors cannot object to </w:t>
      </w:r>
      <w:r w:rsidRPr="00043345">
        <w:rPr>
          <w:i/>
        </w:rPr>
        <w:t>jus cogens</w:t>
      </w:r>
      <w:r w:rsidR="004C3082" w:rsidRPr="00043345">
        <w:t xml:space="preserve"> norms</w:t>
      </w:r>
      <w:r w:rsidRPr="00043345">
        <w:t xml:space="preserve"> and </w:t>
      </w:r>
      <w:r w:rsidR="008A5D5B">
        <w:t xml:space="preserve">because </w:t>
      </w:r>
      <w:r w:rsidRPr="00043345">
        <w:t>India and Pakistan were condemned by the international community for testing, the test-ban must</w:t>
      </w:r>
      <w:r w:rsidR="006521DB">
        <w:t xml:space="preserve">, </w:t>
      </w:r>
      <w:r w:rsidR="0018454F" w:rsidRPr="00043345">
        <w:t>therefore</w:t>
      </w:r>
      <w:r w:rsidR="006521DB">
        <w:t>,</w:t>
      </w:r>
      <w:r w:rsidR="0018454F" w:rsidRPr="00043345">
        <w:t xml:space="preserve"> </w:t>
      </w:r>
      <w:r w:rsidRPr="00043345">
        <w:t xml:space="preserve">be a </w:t>
      </w:r>
      <w:r w:rsidRPr="00043345">
        <w:rPr>
          <w:i/>
        </w:rPr>
        <w:t>jus cogens</w:t>
      </w:r>
      <w:r w:rsidRPr="00043345">
        <w:t xml:space="preserve"> norm.</w:t>
      </w:r>
      <w:r w:rsidR="00BF5839" w:rsidRPr="00043345">
        <w:t xml:space="preserve">  </w:t>
      </w:r>
      <w:r w:rsidR="004608D4" w:rsidRPr="00043345">
        <w:t xml:space="preserve">Yet we know that the only thing that establishes peremptory status is if the vast majority of </w:t>
      </w:r>
      <w:r w:rsidR="00583307">
        <w:t>S</w:t>
      </w:r>
      <w:r w:rsidR="00583307" w:rsidRPr="00043345">
        <w:t xml:space="preserve">tates </w:t>
      </w:r>
      <w:r w:rsidR="004608D4" w:rsidRPr="00043345">
        <w:t xml:space="preserve">have accepted and recognised a norm as such.  Given that no evidence indicates that </w:t>
      </w:r>
      <w:r w:rsidR="00583307">
        <w:t>S</w:t>
      </w:r>
      <w:r w:rsidR="00583307" w:rsidRPr="00043345">
        <w:t xml:space="preserve">tates </w:t>
      </w:r>
      <w:r w:rsidR="004608D4" w:rsidRPr="00043345">
        <w:t xml:space="preserve">have attested to the peremptory status of </w:t>
      </w:r>
      <w:r w:rsidR="00BF5839" w:rsidRPr="00043345">
        <w:t xml:space="preserve">a comprehensive </w:t>
      </w:r>
      <w:r w:rsidR="004608D4" w:rsidRPr="00043345">
        <w:t>test-ban and given that</w:t>
      </w:r>
      <w:r w:rsidR="00BF5839" w:rsidRPr="00043345">
        <w:t xml:space="preserve"> even </w:t>
      </w:r>
      <w:r w:rsidR="004608D4" w:rsidRPr="00043345">
        <w:t xml:space="preserve">the mere customary status of the rule is somewhat in doubt, it is simply not the case that the prohibition has attained </w:t>
      </w:r>
      <w:r w:rsidR="004608D4" w:rsidRPr="00043345">
        <w:rPr>
          <w:i/>
        </w:rPr>
        <w:t>jus cogens</w:t>
      </w:r>
      <w:r w:rsidR="004608D4" w:rsidRPr="00043345">
        <w:t xml:space="preserve"> status.</w:t>
      </w:r>
    </w:p>
    <w:p w:rsidR="00C47141" w:rsidRPr="00043345" w:rsidRDefault="00BF5839" w:rsidP="00BC3B8D">
      <w:pPr>
        <w:spacing w:line="480" w:lineRule="auto"/>
        <w:ind w:firstLine="720"/>
        <w:jc w:val="both"/>
      </w:pPr>
      <w:r w:rsidRPr="00043345">
        <w:t xml:space="preserve">Widespread </w:t>
      </w:r>
      <w:r w:rsidR="00583307">
        <w:t>S</w:t>
      </w:r>
      <w:r w:rsidR="00583307" w:rsidRPr="00043345">
        <w:t xml:space="preserve">tate </w:t>
      </w:r>
      <w:r w:rsidRPr="00043345">
        <w:t>c</w:t>
      </w:r>
      <w:r w:rsidR="005468E8" w:rsidRPr="00043345">
        <w:t>ondemnation of a persistent objector does not confer peremptory status upon otherwise non-peremptory norms to which the objector is objecting</w:t>
      </w:r>
      <w:r w:rsidR="00647465">
        <w:t>; rather,</w:t>
      </w:r>
      <w:r w:rsidRPr="00043345">
        <w:t xml:space="preserve"> it </w:t>
      </w:r>
      <w:r w:rsidR="00647465">
        <w:t>is</w:t>
      </w:r>
      <w:r w:rsidRPr="00043345">
        <w:t xml:space="preserve"> </w:t>
      </w:r>
      <w:r w:rsidR="005468E8" w:rsidRPr="00043345">
        <w:t xml:space="preserve">symptomatic of the political realities of acting as an isolated </w:t>
      </w:r>
      <w:r w:rsidR="00583307">
        <w:t>S</w:t>
      </w:r>
      <w:r w:rsidR="00583307" w:rsidRPr="00043345">
        <w:t>tate</w:t>
      </w:r>
      <w:r w:rsidR="005468E8" w:rsidRPr="00043345">
        <w:t>.</w:t>
      </w:r>
      <w:r w:rsidR="004608D4" w:rsidRPr="00043345">
        <w:t xml:space="preserve">  </w:t>
      </w:r>
      <w:r w:rsidRPr="00043345">
        <w:t xml:space="preserve">The objector may find itself unable to maintain its exemption </w:t>
      </w:r>
      <w:r w:rsidRPr="00043345">
        <w:rPr>
          <w:i/>
        </w:rPr>
        <w:t>de facto</w:t>
      </w:r>
      <w:r w:rsidRPr="00043345">
        <w:t xml:space="preserve">, irrespective of peremptory status.  </w:t>
      </w:r>
      <w:r w:rsidR="004608D4" w:rsidRPr="00043345">
        <w:t>It is to this issue that this article now turns.</w:t>
      </w:r>
      <w:r w:rsidR="005468E8" w:rsidRPr="00043345">
        <w:t xml:space="preserve">  </w:t>
      </w:r>
    </w:p>
    <w:p w:rsidR="00F52CAF" w:rsidRDefault="00CF2F01">
      <w:pPr>
        <w:jc w:val="center"/>
        <w:rPr>
          <w:b/>
        </w:rPr>
      </w:pPr>
      <w:r w:rsidRPr="00CF2F01">
        <w:rPr>
          <w:b/>
        </w:rPr>
        <w:t xml:space="preserve">C. </w:t>
      </w:r>
      <w:r w:rsidRPr="00CF2F01">
        <w:rPr>
          <w:b/>
          <w:lang w:val="en-US"/>
        </w:rPr>
        <w:t xml:space="preserve">India’s Objections Overruled </w:t>
      </w:r>
      <w:r w:rsidRPr="00CF2F01">
        <w:rPr>
          <w:b/>
          <w:i/>
        </w:rPr>
        <w:t>De Facto</w:t>
      </w:r>
      <w:r w:rsidRPr="00CF2F01">
        <w:rPr>
          <w:b/>
          <w:lang w:val="en-US"/>
        </w:rPr>
        <w:t xml:space="preserve">?: </w:t>
      </w:r>
      <w:r w:rsidRPr="00CF2F01">
        <w:rPr>
          <w:b/>
        </w:rPr>
        <w:t>Has Political Pressure Meant that India has been Unable to Maintain its Persistent Objector Status?</w:t>
      </w:r>
    </w:p>
    <w:p w:rsidR="005A1F0B" w:rsidRPr="00043345" w:rsidRDefault="005A1F0B" w:rsidP="00043345">
      <w:pPr>
        <w:jc w:val="both"/>
      </w:pPr>
    </w:p>
    <w:p w:rsidR="004608D4" w:rsidRPr="00043345" w:rsidRDefault="00B80340" w:rsidP="00BC3B8D">
      <w:pPr>
        <w:spacing w:line="480" w:lineRule="auto"/>
        <w:ind w:firstLine="720"/>
        <w:jc w:val="both"/>
      </w:pPr>
      <w:r w:rsidRPr="00043345">
        <w:t xml:space="preserve">While it can be concluded unequivocally that the </w:t>
      </w:r>
      <w:r w:rsidR="00C85B34">
        <w:t xml:space="preserve">comprehensive </w:t>
      </w:r>
      <w:r w:rsidRPr="00043345">
        <w:t>test-ban norm ha</w:t>
      </w:r>
      <w:r w:rsidR="006264F9" w:rsidRPr="00043345">
        <w:t xml:space="preserve">s not </w:t>
      </w:r>
      <w:r w:rsidR="008A5D5B">
        <w:t>(</w:t>
      </w:r>
      <w:r w:rsidR="006264F9" w:rsidRPr="00043345">
        <w:t>yet</w:t>
      </w:r>
      <w:r w:rsidR="008A5D5B">
        <w:t>)</w:t>
      </w:r>
      <w:r w:rsidR="006264F9" w:rsidRPr="00043345">
        <w:t xml:space="preserve"> </w:t>
      </w:r>
      <w:r w:rsidRPr="00043345">
        <w:t>attain</w:t>
      </w:r>
      <w:r w:rsidR="001833AA" w:rsidRPr="00043345">
        <w:t>ed</w:t>
      </w:r>
      <w:r w:rsidRPr="00043345">
        <w:t xml:space="preserve"> peremptory status, it is possible to argue that India has </w:t>
      </w:r>
      <w:r w:rsidRPr="00043345">
        <w:rPr>
          <w:i/>
        </w:rPr>
        <w:lastRenderedPageBreak/>
        <w:t>nonetheless</w:t>
      </w:r>
      <w:r w:rsidRPr="00043345">
        <w:t xml:space="preserve"> found itself unable to maintain its </w:t>
      </w:r>
      <w:r w:rsidR="00C85B34">
        <w:t xml:space="preserve">position as a </w:t>
      </w:r>
      <w:r w:rsidRPr="00043345">
        <w:t>persistent objector with regard to the</w:t>
      </w:r>
      <w:r w:rsidR="001833AA" w:rsidRPr="00043345">
        <w:t xml:space="preserve"> prohibition</w:t>
      </w:r>
      <w:r w:rsidRPr="00043345">
        <w:t xml:space="preserve">.  </w:t>
      </w:r>
      <w:r w:rsidR="004608D4" w:rsidRPr="00043345">
        <w:t xml:space="preserve">Tabassi is entirely correct in identifying a notable discrepancy between India’s </w:t>
      </w:r>
      <w:r w:rsidR="004608D4" w:rsidRPr="00043345">
        <w:rPr>
          <w:i/>
        </w:rPr>
        <w:t>de jure</w:t>
      </w:r>
      <w:r w:rsidR="004608D4" w:rsidRPr="00043345">
        <w:t xml:space="preserve"> persistent objector status and the condemnation it received for the 1998 Pokhran-II tests, especially in the form of resolutions </w:t>
      </w:r>
      <w:r w:rsidR="004127F7" w:rsidRPr="00043345">
        <w:t>issued by</w:t>
      </w:r>
      <w:r w:rsidR="004608D4" w:rsidRPr="00043345">
        <w:t xml:space="preserve"> UN organs.</w:t>
      </w:r>
    </w:p>
    <w:p w:rsidR="00B80340" w:rsidRPr="00043345" w:rsidRDefault="004608D4" w:rsidP="00BC3B8D">
      <w:pPr>
        <w:spacing w:line="480" w:lineRule="auto"/>
        <w:ind w:firstLine="720"/>
        <w:jc w:val="both"/>
      </w:pPr>
      <w:r w:rsidRPr="00043345">
        <w:t xml:space="preserve">However, it is clear </w:t>
      </w:r>
      <w:r w:rsidR="0049553D">
        <w:t xml:space="preserve">that </w:t>
      </w:r>
      <w:r w:rsidRPr="00043345">
        <w:t>the reason for this is not based on the peremptory status of the test-ban.  It is here argued</w:t>
      </w:r>
      <w:r w:rsidR="008A5D5B">
        <w:t>, by contrast,</w:t>
      </w:r>
      <w:r w:rsidRPr="00043345">
        <w:t xml:space="preserve"> that the denunciation of </w:t>
      </w:r>
      <w:r w:rsidR="00C85B34" w:rsidRPr="00043345">
        <w:t>Pokhran-II</w:t>
      </w:r>
      <w:r w:rsidRPr="00043345">
        <w:t xml:space="preserve"> in spite of </w:t>
      </w:r>
      <w:r w:rsidR="00C85B34">
        <w:t>India</w:t>
      </w:r>
      <w:r w:rsidRPr="00043345">
        <w:t xml:space="preserve"> seemingly possess</w:t>
      </w:r>
      <w:r w:rsidR="00C85B34">
        <w:t>ing a valid legal right to test</w:t>
      </w:r>
      <w:r w:rsidRPr="00043345">
        <w:t xml:space="preserve"> was extra-legal.  This</w:t>
      </w:r>
      <w:r w:rsidR="00B80340" w:rsidRPr="00043345">
        <w:t xml:space="preserve"> is a fundamentally realist interpretation</w:t>
      </w:r>
      <w:r w:rsidRPr="00043345">
        <w:t>: t</w:t>
      </w:r>
      <w:r w:rsidR="00B80340" w:rsidRPr="00043345">
        <w:t xml:space="preserve">he formal legal position is that the persistent objector rule applies to all </w:t>
      </w:r>
      <w:r w:rsidR="00B379F5">
        <w:t xml:space="preserve">norms of </w:t>
      </w:r>
      <w:r w:rsidR="00B80340" w:rsidRPr="00043345">
        <w:t xml:space="preserve">customary international law, other than in the case of </w:t>
      </w:r>
      <w:r w:rsidR="00B80340" w:rsidRPr="00043345">
        <w:rPr>
          <w:i/>
        </w:rPr>
        <w:t>jus cogens</w:t>
      </w:r>
      <w:r w:rsidR="00B80340" w:rsidRPr="00043345">
        <w:t xml:space="preserve"> norms.  Political </w:t>
      </w:r>
      <w:r w:rsidR="006264F9" w:rsidRPr="00043345">
        <w:t>realities</w:t>
      </w:r>
      <w:r w:rsidR="00B80340" w:rsidRPr="00043345">
        <w:t xml:space="preserve">, however, mean that where a </w:t>
      </w:r>
      <w:r w:rsidR="00583307">
        <w:t>S</w:t>
      </w:r>
      <w:r w:rsidR="00583307" w:rsidRPr="00043345">
        <w:t xml:space="preserve">tate </w:t>
      </w:r>
      <w:r w:rsidR="00B80340" w:rsidRPr="00043345">
        <w:t xml:space="preserve">objects to a </w:t>
      </w:r>
      <w:r w:rsidR="006264F9" w:rsidRPr="00043345">
        <w:t xml:space="preserve">non-peremptory </w:t>
      </w:r>
      <w:r w:rsidR="00B80340" w:rsidRPr="00043345">
        <w:t>norm to which all (or almo</w:t>
      </w:r>
      <w:r w:rsidR="001833AA" w:rsidRPr="00043345">
        <w:t xml:space="preserve">st all) other </w:t>
      </w:r>
      <w:r w:rsidR="00583307">
        <w:t>S</w:t>
      </w:r>
      <w:r w:rsidR="00583307" w:rsidRPr="00043345">
        <w:t xml:space="preserve">tates </w:t>
      </w:r>
      <w:r w:rsidR="001833AA" w:rsidRPr="00043345">
        <w:t>subscribe</w:t>
      </w:r>
      <w:r w:rsidR="004127F7" w:rsidRPr="00043345">
        <w:t>,</w:t>
      </w:r>
      <w:r w:rsidR="00B80340" w:rsidRPr="00043345">
        <w:t xml:space="preserve"> </w:t>
      </w:r>
      <w:r w:rsidR="006264F9" w:rsidRPr="00043345">
        <w:t xml:space="preserve">the </w:t>
      </w:r>
      <w:r w:rsidR="004127F7" w:rsidRPr="00043345">
        <w:t>dissent</w:t>
      </w:r>
      <w:r w:rsidR="008A5D5B">
        <w:t>ing State</w:t>
      </w:r>
      <w:r w:rsidR="006264F9" w:rsidRPr="00043345">
        <w:t xml:space="preserve"> may in </w:t>
      </w:r>
      <w:r w:rsidR="001833AA" w:rsidRPr="00043345">
        <w:t>rare</w:t>
      </w:r>
      <w:r w:rsidR="006264F9" w:rsidRPr="00043345">
        <w:t xml:space="preserve"> cases</w:t>
      </w:r>
      <w:r w:rsidR="00B80340" w:rsidRPr="00043345">
        <w:t xml:space="preserve"> be forced to comply</w:t>
      </w:r>
      <w:r w:rsidR="001833AA" w:rsidRPr="00043345">
        <w:t>, irrespective of its technical status as a persistent objector under international law</w:t>
      </w:r>
      <w:r w:rsidR="00185C4A" w:rsidRPr="00043345">
        <w:t>.</w:t>
      </w:r>
      <w:r w:rsidR="00185C4A" w:rsidRPr="00043345">
        <w:rPr>
          <w:rStyle w:val="FootnoteReference"/>
        </w:rPr>
        <w:footnoteReference w:id="135"/>
      </w:r>
      <w:r w:rsidR="001833AA" w:rsidRPr="00043345">
        <w:t xml:space="preserve">  This is especially likely if the norm in question relates to a particularly </w:t>
      </w:r>
      <w:r w:rsidR="0028349D">
        <w:t>“</w:t>
      </w:r>
      <w:r w:rsidR="001833AA" w:rsidRPr="00043345">
        <w:t>sensitive</w:t>
      </w:r>
      <w:r w:rsidR="0028349D">
        <w:t>”</w:t>
      </w:r>
      <w:r w:rsidR="001833AA" w:rsidRPr="00043345">
        <w:t xml:space="preserve"> issue</w:t>
      </w:r>
      <w:r w:rsidR="0049553D">
        <w:t xml:space="preserve">, </w:t>
      </w:r>
      <w:r w:rsidR="001833AA" w:rsidRPr="00043345">
        <w:t>such as</w:t>
      </w:r>
      <w:r w:rsidRPr="00043345">
        <w:t>,</w:t>
      </w:r>
      <w:r w:rsidR="004C3082" w:rsidRPr="00043345">
        <w:t xml:space="preserve"> </w:t>
      </w:r>
      <w:r w:rsidR="001D5516">
        <w:t>for example</w:t>
      </w:r>
      <w:r w:rsidR="004C3082" w:rsidRPr="00043345">
        <w:t>, human rights</w:t>
      </w:r>
      <w:r w:rsidR="001833AA" w:rsidRPr="00043345">
        <w:t xml:space="preserve"> or</w:t>
      </w:r>
      <w:r w:rsidR="004C3082" w:rsidRPr="00043345">
        <w:t>,</w:t>
      </w:r>
      <w:r w:rsidR="001833AA" w:rsidRPr="00043345">
        <w:t xml:space="preserve"> perhaps</w:t>
      </w:r>
      <w:r w:rsidR="004C3082" w:rsidRPr="00043345">
        <w:t xml:space="preserve">, </w:t>
      </w:r>
      <w:r w:rsidR="001833AA" w:rsidRPr="00043345">
        <w:t xml:space="preserve">nuclear weapons. </w:t>
      </w:r>
    </w:p>
    <w:p w:rsidR="00B80340" w:rsidRPr="00043345" w:rsidRDefault="00B80340" w:rsidP="00BC3B8D">
      <w:pPr>
        <w:spacing w:line="480" w:lineRule="auto"/>
        <w:ind w:firstLine="720"/>
        <w:jc w:val="both"/>
      </w:pPr>
      <w:r w:rsidRPr="00043345">
        <w:t xml:space="preserve">It is evident that, in practice, </w:t>
      </w:r>
      <w:r w:rsidR="00583307">
        <w:t>S</w:t>
      </w:r>
      <w:r w:rsidR="00583307" w:rsidRPr="00043345">
        <w:t xml:space="preserve">tates </w:t>
      </w:r>
      <w:r w:rsidRPr="00043345">
        <w:t xml:space="preserve">have </w:t>
      </w:r>
      <w:r w:rsidR="008A5D5B">
        <w:t xml:space="preserve">occasionally </w:t>
      </w:r>
      <w:r w:rsidRPr="00043345">
        <w:t xml:space="preserve">found </w:t>
      </w:r>
      <w:r w:rsidR="008A5D5B">
        <w:t xml:space="preserve">themselves unable </w:t>
      </w:r>
      <w:r w:rsidRPr="00043345">
        <w:t xml:space="preserve">to maintain persistent objector status in the face of political pressure to conform from the vast majority of </w:t>
      </w:r>
      <w:r w:rsidR="008A5D5B">
        <w:t xml:space="preserve">subjects of </w:t>
      </w:r>
      <w:r w:rsidRPr="00043345">
        <w:t>the international community</w:t>
      </w:r>
      <w:r w:rsidR="006264F9" w:rsidRPr="00043345">
        <w:t>,</w:t>
      </w:r>
      <w:r w:rsidRPr="00043345">
        <w:t xml:space="preserve"> even where the norm being objected to is clearly not peremptory.  A good example of this phenomenon</w:t>
      </w:r>
      <w:r w:rsidR="008A5D5B">
        <w:t xml:space="preserve"> </w:t>
      </w:r>
      <w:r w:rsidR="00B379F5">
        <w:t>is</w:t>
      </w:r>
      <w:r w:rsidR="008A5D5B">
        <w:t xml:space="preserve"> </w:t>
      </w:r>
      <w:r w:rsidRPr="00043345">
        <w:t xml:space="preserve">the position of Australia with regard to a number of customary </w:t>
      </w:r>
      <w:r w:rsidRPr="00043345">
        <w:lastRenderedPageBreak/>
        <w:t>international law norms concerning the rights of indigenous peoples.</w:t>
      </w:r>
      <w:r w:rsidR="001833AA" w:rsidRPr="00043345">
        <w:rPr>
          <w:rStyle w:val="FootnoteReference"/>
        </w:rPr>
        <w:footnoteReference w:id="136"/>
      </w:r>
      <w:r w:rsidR="001833AA" w:rsidRPr="00043345">
        <w:t xml:space="preserve">  Australia was, until 2009, undoubtedly a persistent objector to certain </w:t>
      </w:r>
      <w:r w:rsidR="00B379F5">
        <w:t>legal norms</w:t>
      </w:r>
      <w:r w:rsidR="001833AA" w:rsidRPr="00043345">
        <w:t xml:space="preserve"> relating to indigenous rights,</w:t>
      </w:r>
      <w:r w:rsidR="001833AA" w:rsidRPr="00043345">
        <w:rPr>
          <w:rStyle w:val="FootnoteReference"/>
        </w:rPr>
        <w:footnoteReference w:id="137"/>
      </w:r>
      <w:r w:rsidR="001833AA" w:rsidRPr="00043345">
        <w:t xml:space="preserve"> which were almost certainly </w:t>
      </w:r>
      <w:r w:rsidR="001833AA" w:rsidRPr="00043345">
        <w:rPr>
          <w:i/>
        </w:rPr>
        <w:t>not</w:t>
      </w:r>
      <w:r w:rsidR="001833AA" w:rsidRPr="00043345">
        <w:t xml:space="preserve"> norms of </w:t>
      </w:r>
      <w:r w:rsidR="001833AA" w:rsidRPr="00043345">
        <w:rPr>
          <w:i/>
        </w:rPr>
        <w:t>jus cogens</w:t>
      </w:r>
      <w:r w:rsidR="001833AA" w:rsidRPr="00043345">
        <w:t xml:space="preserve">.  Nonetheless, given the </w:t>
      </w:r>
      <w:r w:rsidR="009243AB" w:rsidRPr="00043345">
        <w:t>fundamental</w:t>
      </w:r>
      <w:r w:rsidR="001833AA" w:rsidRPr="00043345">
        <w:t xml:space="preserve"> nature of the human rights norms</w:t>
      </w:r>
      <w:r w:rsidRPr="00043345">
        <w:t xml:space="preserve"> </w:t>
      </w:r>
      <w:r w:rsidR="001833AA" w:rsidRPr="00043345">
        <w:t xml:space="preserve">in question, </w:t>
      </w:r>
      <w:r w:rsidRPr="00043345">
        <w:t>increasing political pressure</w:t>
      </w:r>
      <w:r w:rsidR="001833AA" w:rsidRPr="00043345">
        <w:t xml:space="preserve"> </w:t>
      </w:r>
      <w:r w:rsidRPr="00043345">
        <w:t xml:space="preserve">ultimately led to a </w:t>
      </w:r>
      <w:r w:rsidRPr="00043345">
        <w:rPr>
          <w:i/>
        </w:rPr>
        <w:t>volte-face</w:t>
      </w:r>
      <w:r w:rsidRPr="00043345">
        <w:t xml:space="preserve"> of the Australian position.</w:t>
      </w:r>
      <w:r w:rsidR="0093672D" w:rsidRPr="00043345">
        <w:rPr>
          <w:rStyle w:val="FootnoteReference"/>
        </w:rPr>
        <w:footnoteReference w:id="138"/>
      </w:r>
      <w:r w:rsidR="009243AB" w:rsidRPr="00043345">
        <w:t xml:space="preserve">  </w:t>
      </w:r>
      <w:r w:rsidRPr="00043345">
        <w:t xml:space="preserve">In other words, Australia found its persistent objector status overruled </w:t>
      </w:r>
      <w:r w:rsidRPr="00043345">
        <w:rPr>
          <w:i/>
        </w:rPr>
        <w:t>de facto</w:t>
      </w:r>
      <w:r w:rsidR="009243AB" w:rsidRPr="00043345">
        <w:t xml:space="preserve">, </w:t>
      </w:r>
      <w:r w:rsidRPr="00043345">
        <w:t xml:space="preserve">even </w:t>
      </w:r>
      <w:r w:rsidRPr="00043345">
        <w:lastRenderedPageBreak/>
        <w:t xml:space="preserve">though </w:t>
      </w:r>
      <w:r w:rsidR="009243AB" w:rsidRPr="00043345">
        <w:t>this</w:t>
      </w:r>
      <w:r w:rsidRPr="00043345">
        <w:t xml:space="preserve"> was not</w:t>
      </w:r>
      <w:r w:rsidR="009243AB" w:rsidRPr="00043345">
        <w:t xml:space="preserve"> the case</w:t>
      </w:r>
      <w:r w:rsidRPr="00043345">
        <w:t xml:space="preserve"> </w:t>
      </w:r>
      <w:r w:rsidRPr="00043345">
        <w:rPr>
          <w:i/>
        </w:rPr>
        <w:t>de jure</w:t>
      </w:r>
      <w:r w:rsidRPr="00043345">
        <w:t xml:space="preserve"> </w:t>
      </w:r>
      <w:r w:rsidR="007B2E02" w:rsidRPr="00043345">
        <w:t>(</w:t>
      </w:r>
      <w:r w:rsidR="0093672D" w:rsidRPr="00043345">
        <w:t>because there was no</w:t>
      </w:r>
      <w:r w:rsidR="009243AB" w:rsidRPr="00043345">
        <w:t xml:space="preserve"> </w:t>
      </w:r>
      <w:r w:rsidRPr="00043345">
        <w:t>conflict with a peremptory norm</w:t>
      </w:r>
      <w:r w:rsidR="007B2E02" w:rsidRPr="00043345">
        <w:t>)</w:t>
      </w:r>
      <w:r w:rsidRPr="00043345">
        <w:t>.</w:t>
      </w:r>
    </w:p>
    <w:p w:rsidR="00B80340" w:rsidRPr="00043345" w:rsidRDefault="00B80340" w:rsidP="004277D1">
      <w:pPr>
        <w:spacing w:line="480" w:lineRule="auto"/>
        <w:ind w:firstLine="720"/>
        <w:jc w:val="both"/>
      </w:pPr>
      <w:r w:rsidRPr="00043345">
        <w:t xml:space="preserve">It could be argued that India’s stance with regard to the </w:t>
      </w:r>
      <w:r w:rsidR="004C3082" w:rsidRPr="00043345">
        <w:t>testing</w:t>
      </w:r>
      <w:r w:rsidRPr="00043345">
        <w:t xml:space="preserve"> of nuclear weapons is</w:t>
      </w:r>
      <w:r w:rsidR="004E0DA7">
        <w:t xml:space="preserve"> </w:t>
      </w:r>
      <w:r w:rsidRPr="00043345">
        <w:t>comparable</w:t>
      </w:r>
      <w:r w:rsidR="004E0DA7">
        <w:t xml:space="preserve"> to the Australian example</w:t>
      </w:r>
      <w:r w:rsidR="009243AB" w:rsidRPr="00043345">
        <w:t xml:space="preserve">.  </w:t>
      </w:r>
      <w:r w:rsidRPr="00043345">
        <w:t xml:space="preserve">The reaction of </w:t>
      </w:r>
      <w:r w:rsidR="00B379F5">
        <w:t>S</w:t>
      </w:r>
      <w:r w:rsidRPr="00043345">
        <w:t>tates to the 1998 tests</w:t>
      </w:r>
      <w:r w:rsidR="009243AB" w:rsidRPr="00043345">
        <w:t xml:space="preserve"> </w:t>
      </w:r>
      <w:r w:rsidR="008D242D">
        <w:t>was</w:t>
      </w:r>
      <w:r w:rsidR="009243AB" w:rsidRPr="00043345">
        <w:t xml:space="preserve"> discussed in </w:t>
      </w:r>
      <w:r w:rsidR="005523AB">
        <w:t>S</w:t>
      </w:r>
      <w:r w:rsidR="005523AB" w:rsidRPr="00043345">
        <w:t xml:space="preserve">ection </w:t>
      </w:r>
      <w:r w:rsidRPr="00043345">
        <w:t xml:space="preserve">II, so it will not be repeated in detail here.  </w:t>
      </w:r>
      <w:r w:rsidR="009243AB" w:rsidRPr="00043345">
        <w:t>However, i</w:t>
      </w:r>
      <w:r w:rsidRPr="00043345">
        <w:t>t</w:t>
      </w:r>
      <w:r w:rsidR="008D242D">
        <w:t xml:space="preserve"> should </w:t>
      </w:r>
      <w:r w:rsidRPr="00043345">
        <w:t xml:space="preserve">be recalled that </w:t>
      </w:r>
      <w:r w:rsidR="00583307">
        <w:t>S</w:t>
      </w:r>
      <w:r w:rsidR="00583307" w:rsidRPr="00043345">
        <w:t xml:space="preserve">tates </w:t>
      </w:r>
      <w:r w:rsidR="00145487" w:rsidRPr="00043345">
        <w:t>strongly</w:t>
      </w:r>
      <w:r w:rsidRPr="00043345">
        <w:t xml:space="preserve"> opposed the nuclear tests</w:t>
      </w:r>
      <w:r w:rsidR="00145487" w:rsidRPr="00043345">
        <w:t>, leading in some cases to sanctions being adopted, as well as</w:t>
      </w:r>
      <w:r w:rsidR="00B379F5">
        <w:t xml:space="preserve"> to</w:t>
      </w:r>
      <w:r w:rsidR="00145487" w:rsidRPr="00043345">
        <w:t xml:space="preserve"> </w:t>
      </w:r>
      <w:r w:rsidR="008D242D">
        <w:t xml:space="preserve">the adoption of </w:t>
      </w:r>
      <w:r w:rsidR="00145487" w:rsidRPr="00043345">
        <w:t xml:space="preserve">resolutions </w:t>
      </w:r>
      <w:r w:rsidR="004C3082" w:rsidRPr="00043345">
        <w:t>by</w:t>
      </w:r>
      <w:r w:rsidR="00145487" w:rsidRPr="00043345">
        <w:t xml:space="preserve"> both the</w:t>
      </w:r>
      <w:r w:rsidRPr="00043345">
        <w:t xml:space="preserve"> Security Council </w:t>
      </w:r>
      <w:r w:rsidR="00145487" w:rsidRPr="00043345">
        <w:t>and General Assembly demanding that</w:t>
      </w:r>
      <w:r w:rsidRPr="00043345">
        <w:t xml:space="preserve"> India</w:t>
      </w:r>
      <w:r w:rsidR="00145487" w:rsidRPr="00043345">
        <w:t xml:space="preserve"> and Pakistan</w:t>
      </w:r>
      <w:r w:rsidRPr="00043345">
        <w:t xml:space="preserve"> refrain </w:t>
      </w:r>
      <w:r w:rsidR="00145487" w:rsidRPr="00043345">
        <w:t xml:space="preserve">from further </w:t>
      </w:r>
      <w:r w:rsidR="007B2E02" w:rsidRPr="00043345">
        <w:t>testing.</w:t>
      </w:r>
      <w:r w:rsidR="00C85B34">
        <w:rPr>
          <w:rStyle w:val="FootnoteReference"/>
        </w:rPr>
        <w:footnoteReference w:id="139"/>
      </w:r>
      <w:r w:rsidR="007B2E02" w:rsidRPr="00043345">
        <w:t xml:space="preserve">  Overall, there was </w:t>
      </w:r>
      <w:r w:rsidR="004C3082" w:rsidRPr="00043345">
        <w:t>significant</w:t>
      </w:r>
      <w:r w:rsidR="007B2E02" w:rsidRPr="00043345">
        <w:t xml:space="preserve"> i</w:t>
      </w:r>
      <w:r w:rsidR="004C3082" w:rsidRPr="00043345">
        <w:t>nternational political pressure</w:t>
      </w:r>
      <w:r w:rsidR="007B2E02" w:rsidRPr="00043345">
        <w:t xml:space="preserve"> </w:t>
      </w:r>
      <w:r w:rsidR="008D242D">
        <w:t xml:space="preserve">on India </w:t>
      </w:r>
      <w:r w:rsidR="007B2E02" w:rsidRPr="00043345">
        <w:t>in the im</w:t>
      </w:r>
      <w:r w:rsidR="004C3082" w:rsidRPr="00043345">
        <w:t>mediate aftermath of Pokhran-II</w:t>
      </w:r>
      <w:r w:rsidR="007B2E02" w:rsidRPr="00043345">
        <w:t xml:space="preserve"> to conform to the nuclear </w:t>
      </w:r>
      <w:r w:rsidR="007B2E02" w:rsidRPr="00043345">
        <w:rPr>
          <w:i/>
        </w:rPr>
        <w:t>status quo</w:t>
      </w:r>
      <w:r w:rsidR="008D242D">
        <w:rPr>
          <w:i/>
        </w:rPr>
        <w:t xml:space="preserve"> ante</w:t>
      </w:r>
      <w:r w:rsidR="007B2E02" w:rsidRPr="00043345">
        <w:t>.</w:t>
      </w:r>
      <w:r w:rsidR="007B2E02" w:rsidRPr="00043345">
        <w:rPr>
          <w:rStyle w:val="FootnoteReference"/>
        </w:rPr>
        <w:footnoteReference w:id="140"/>
      </w:r>
      <w:r w:rsidR="007B2E02" w:rsidRPr="00043345">
        <w:t xml:space="preserve">  </w:t>
      </w:r>
    </w:p>
    <w:p w:rsidR="006264F9" w:rsidRPr="00043345" w:rsidRDefault="00B80340" w:rsidP="004277D1">
      <w:pPr>
        <w:spacing w:line="480" w:lineRule="auto"/>
        <w:ind w:firstLine="720"/>
        <w:jc w:val="both"/>
      </w:pPr>
      <w:r w:rsidRPr="00043345">
        <w:t xml:space="preserve">While </w:t>
      </w:r>
      <w:r w:rsidR="00583307">
        <w:t>S</w:t>
      </w:r>
      <w:r w:rsidR="00583307" w:rsidRPr="00043345">
        <w:t xml:space="preserve">tate </w:t>
      </w:r>
      <w:r w:rsidRPr="00043345">
        <w:t xml:space="preserve">reaction to the 1998 tests does not alchemically confer peremptory status on the test-ban as Tabassi </w:t>
      </w:r>
      <w:r w:rsidR="009243AB" w:rsidRPr="00043345">
        <w:t>suggests</w:t>
      </w:r>
      <w:r w:rsidRPr="00043345">
        <w:t>,</w:t>
      </w:r>
      <w:r w:rsidRPr="00043345">
        <w:rPr>
          <w:rStyle w:val="FootnoteReference"/>
        </w:rPr>
        <w:footnoteReference w:id="141"/>
      </w:r>
      <w:r w:rsidRPr="00043345">
        <w:t xml:space="preserve"> th</w:t>
      </w:r>
      <w:r w:rsidR="007B2E02" w:rsidRPr="00043345">
        <w:t>e</w:t>
      </w:r>
      <w:r w:rsidRPr="00043345">
        <w:t xml:space="preserve"> </w:t>
      </w:r>
      <w:r w:rsidR="00660179" w:rsidRPr="00043345">
        <w:t>predominantly</w:t>
      </w:r>
      <w:r w:rsidRPr="00043345">
        <w:t xml:space="preserve"> negative reaction</w:t>
      </w:r>
      <w:r w:rsidR="007B2E02" w:rsidRPr="00043345">
        <w:t xml:space="preserve"> to Pokhran-II</w:t>
      </w:r>
      <w:r w:rsidRPr="00043345">
        <w:t xml:space="preserve"> </w:t>
      </w:r>
      <w:r w:rsidR="007B2E02" w:rsidRPr="00043345">
        <w:t xml:space="preserve">and the significant political pressure on India to conform </w:t>
      </w:r>
      <w:r w:rsidRPr="00043345">
        <w:t xml:space="preserve">may be indicative of a </w:t>
      </w:r>
      <w:r w:rsidRPr="00043345">
        <w:rPr>
          <w:i/>
        </w:rPr>
        <w:t>de facto</w:t>
      </w:r>
      <w:r w:rsidRPr="00043345">
        <w:t xml:space="preserve"> </w:t>
      </w:r>
      <w:r w:rsidR="0028349D">
        <w:t>“</w:t>
      </w:r>
      <w:r w:rsidRPr="00043345">
        <w:t>revocation</w:t>
      </w:r>
      <w:r w:rsidR="0028349D">
        <w:t>”</w:t>
      </w:r>
      <w:r w:rsidRPr="00043345">
        <w:t xml:space="preserve"> by the international community of India’s persist</w:t>
      </w:r>
      <w:r w:rsidR="007B2E02" w:rsidRPr="00043345">
        <w:t>ent objector status.  If India wa</w:t>
      </w:r>
      <w:r w:rsidRPr="00043345">
        <w:t xml:space="preserve">s viewed by other </w:t>
      </w:r>
      <w:r w:rsidR="00583307">
        <w:t>S</w:t>
      </w:r>
      <w:r w:rsidR="00583307" w:rsidRPr="00043345">
        <w:t xml:space="preserve">tates </w:t>
      </w:r>
      <w:r w:rsidRPr="00043345">
        <w:t>as having breached international law in 1998</w:t>
      </w:r>
      <w:r w:rsidR="004C3082" w:rsidRPr="00043345">
        <w:t xml:space="preserve"> </w:t>
      </w:r>
      <w:r w:rsidRPr="00043345">
        <w:t xml:space="preserve">despite breaching no conventional obligation by </w:t>
      </w:r>
      <w:r w:rsidR="00C85B34">
        <w:t>testing</w:t>
      </w:r>
      <w:r w:rsidRPr="00043345">
        <w:t xml:space="preserve"> and despite </w:t>
      </w:r>
      <w:r w:rsidR="001517BD">
        <w:t xml:space="preserve">apparently </w:t>
      </w:r>
      <w:r w:rsidRPr="00043345">
        <w:t xml:space="preserve">having persistent objector status </w:t>
      </w:r>
      <w:r w:rsidR="009243AB" w:rsidRPr="00043345">
        <w:t xml:space="preserve">with regard </w:t>
      </w:r>
      <w:r w:rsidR="004C3082" w:rsidRPr="00043345">
        <w:t xml:space="preserve">to any customary prohibition, </w:t>
      </w:r>
      <w:r w:rsidRPr="00043345">
        <w:t>does this indicate that India has not</w:t>
      </w:r>
      <w:r w:rsidR="00F70A2B">
        <w:t>,</w:t>
      </w:r>
      <w:r w:rsidRPr="00043345">
        <w:t xml:space="preserve"> in fact</w:t>
      </w:r>
      <w:r w:rsidR="00F70A2B">
        <w:t>,</w:t>
      </w:r>
      <w:r w:rsidRPr="00043345">
        <w:t xml:space="preserve"> been able to maintain persistent objector status (irrespective of the fact that the test-ban is not a peremptory norm)?</w:t>
      </w:r>
    </w:p>
    <w:p w:rsidR="00916BC0" w:rsidRPr="00043345" w:rsidRDefault="009243AB" w:rsidP="004277D1">
      <w:pPr>
        <w:spacing w:line="480" w:lineRule="auto"/>
        <w:ind w:firstLine="720"/>
        <w:jc w:val="both"/>
      </w:pPr>
      <w:r w:rsidRPr="00043345">
        <w:lastRenderedPageBreak/>
        <w:t xml:space="preserve">The answer to this question is not entirely clear, especially as we have moved into extra-legal territory.  </w:t>
      </w:r>
      <w:r w:rsidR="00660179" w:rsidRPr="00043345">
        <w:t>For example</w:t>
      </w:r>
      <w:r w:rsidR="00C85B34">
        <w:t>,</w:t>
      </w:r>
      <w:r w:rsidR="00660179" w:rsidRPr="00043345">
        <w:t xml:space="preserve"> as pr</w:t>
      </w:r>
      <w:r w:rsidR="00C85B34">
        <w:t>eviously noted,</w:t>
      </w:r>
      <w:r w:rsidR="00660179" w:rsidRPr="00043345">
        <w:t xml:space="preserve"> the United States instigated a widespread programme of sanctions against India immediately following the Pokhran-II tests,</w:t>
      </w:r>
      <w:r w:rsidR="00916BC0" w:rsidRPr="00043345">
        <w:rPr>
          <w:rStyle w:val="FootnoteReference"/>
        </w:rPr>
        <w:footnoteReference w:id="142"/>
      </w:r>
      <w:r w:rsidR="00660179" w:rsidRPr="00043345">
        <w:t xml:space="preserve"> which would suggest </w:t>
      </w:r>
      <w:r w:rsidR="0049553D">
        <w:t xml:space="preserve">that </w:t>
      </w:r>
      <w:r w:rsidR="00660179" w:rsidRPr="00043345">
        <w:t>the Unites States saw the Indian action as being unlawful</w:t>
      </w:r>
      <w:r w:rsidR="007B2E02" w:rsidRPr="00043345">
        <w:t xml:space="preserve"> – or at least unacceptable –</w:t>
      </w:r>
      <w:r w:rsidR="00660179" w:rsidRPr="00043345">
        <w:t xml:space="preserve"> irrespective of its persistent objector status.  Equally, the American sanctions were lifted after only six months (long before negotiations began on the 123 Agreement),</w:t>
      </w:r>
      <w:r w:rsidR="00916BC0" w:rsidRPr="00043345">
        <w:rPr>
          <w:rStyle w:val="FootnoteReference"/>
        </w:rPr>
        <w:footnoteReference w:id="143"/>
      </w:r>
      <w:r w:rsidR="00660179" w:rsidRPr="00043345">
        <w:t xml:space="preserve"> which</w:t>
      </w:r>
      <w:r w:rsidR="00916BC0" w:rsidRPr="00043345">
        <w:t xml:space="preserve"> would hardly indicate that the United States saw India’s </w:t>
      </w:r>
      <w:r w:rsidR="00C524D9" w:rsidRPr="00043345">
        <w:t>persistent</w:t>
      </w:r>
      <w:r w:rsidR="00916BC0" w:rsidRPr="00043345">
        <w:t xml:space="preserve"> objection to any test-ban norm as being fundamentally </w:t>
      </w:r>
      <w:r w:rsidR="004C3082" w:rsidRPr="00043345">
        <w:t>unlawful</w:t>
      </w:r>
      <w:r w:rsidR="00916BC0" w:rsidRPr="00043345">
        <w:t>.</w:t>
      </w:r>
    </w:p>
    <w:p w:rsidR="00C524D9" w:rsidRPr="004277D1" w:rsidRDefault="00C524D9" w:rsidP="004277D1">
      <w:pPr>
        <w:pStyle w:val="Default"/>
        <w:spacing w:line="480" w:lineRule="auto"/>
        <w:ind w:firstLine="720"/>
        <w:jc w:val="both"/>
        <w:rPr>
          <w:rFonts w:ascii="Times New Roman" w:eastAsia="Times New Roman" w:hAnsi="Times New Roman" w:cs="Times New Roman"/>
          <w:lang w:eastAsia="en-GB"/>
        </w:rPr>
      </w:pPr>
      <w:r w:rsidRPr="00043345">
        <w:rPr>
          <w:rFonts w:ascii="Times New Roman" w:hAnsi="Times New Roman" w:cs="Times New Roman"/>
        </w:rPr>
        <w:t xml:space="preserve">It is also possible to argue that, faced with the political </w:t>
      </w:r>
      <w:r w:rsidR="00534933" w:rsidRPr="00043345">
        <w:rPr>
          <w:rFonts w:ascii="Times New Roman" w:hAnsi="Times New Roman" w:cs="Times New Roman"/>
        </w:rPr>
        <w:t xml:space="preserve">pressure that followed its 1998 </w:t>
      </w:r>
      <w:r w:rsidRPr="00043345">
        <w:rPr>
          <w:rFonts w:ascii="Times New Roman" w:hAnsi="Times New Roman" w:cs="Times New Roman"/>
        </w:rPr>
        <w:t>tests, India itself began to slowly withdraw its persistent ob</w:t>
      </w:r>
      <w:r w:rsidR="004C3082" w:rsidRPr="00043345">
        <w:rPr>
          <w:rFonts w:ascii="Times New Roman" w:hAnsi="Times New Roman" w:cs="Times New Roman"/>
        </w:rPr>
        <w:t>jection to a customary test-ban</w:t>
      </w:r>
      <w:r w:rsidRPr="00043345">
        <w:rPr>
          <w:rFonts w:ascii="Times New Roman" w:hAnsi="Times New Roman" w:cs="Times New Roman"/>
        </w:rPr>
        <w:t xml:space="preserve"> and moved, at least tentatively, towards conformity</w:t>
      </w:r>
      <w:r w:rsidR="001517BD">
        <w:rPr>
          <w:rFonts w:ascii="Times New Roman" w:hAnsi="Times New Roman" w:cs="Times New Roman"/>
        </w:rPr>
        <w:t xml:space="preserve"> with the consensus</w:t>
      </w:r>
      <w:r w:rsidRPr="00043345">
        <w:rPr>
          <w:rFonts w:ascii="Times New Roman" w:hAnsi="Times New Roman" w:cs="Times New Roman"/>
        </w:rPr>
        <w:t xml:space="preserve">.  The obvious example from this period is India’s signature </w:t>
      </w:r>
      <w:r w:rsidR="006C39E4" w:rsidRPr="00043345">
        <w:rPr>
          <w:rFonts w:ascii="Times New Roman" w:hAnsi="Times New Roman" w:cs="Times New Roman"/>
        </w:rPr>
        <w:t>in February 1999 of</w:t>
      </w:r>
      <w:r w:rsidRPr="00043345">
        <w:rPr>
          <w:rFonts w:ascii="Times New Roman" w:hAnsi="Times New Roman" w:cs="Times New Roman"/>
        </w:rPr>
        <w:t xml:space="preserve"> the bilateral Lahore Declaration and Memorandum of </w:t>
      </w:r>
      <w:r w:rsidR="006C39E4" w:rsidRPr="00043345">
        <w:rPr>
          <w:rFonts w:ascii="Times New Roman" w:hAnsi="Times New Roman" w:cs="Times New Roman"/>
        </w:rPr>
        <w:t>Understanding</w:t>
      </w:r>
      <w:r w:rsidRPr="00043345">
        <w:rPr>
          <w:rFonts w:ascii="Times New Roman" w:hAnsi="Times New Roman" w:cs="Times New Roman"/>
        </w:rPr>
        <w:t xml:space="preserve"> (MOU) </w:t>
      </w:r>
      <w:r w:rsidR="006C39E4" w:rsidRPr="00043345">
        <w:rPr>
          <w:rFonts w:ascii="Times New Roman" w:hAnsi="Times New Roman" w:cs="Times New Roman"/>
        </w:rPr>
        <w:t>with</w:t>
      </w:r>
      <w:r w:rsidRPr="00043345">
        <w:rPr>
          <w:rFonts w:ascii="Times New Roman" w:hAnsi="Times New Roman" w:cs="Times New Roman"/>
        </w:rPr>
        <w:t xml:space="preserve"> Pakistan.</w:t>
      </w:r>
      <w:r w:rsidR="006C39E4" w:rsidRPr="00043345">
        <w:rPr>
          <w:rStyle w:val="FootnoteReference"/>
          <w:rFonts w:ascii="Times New Roman" w:hAnsi="Times New Roman" w:cs="Times New Roman"/>
        </w:rPr>
        <w:footnoteReference w:id="144"/>
      </w:r>
      <w:r w:rsidRPr="00043345">
        <w:rPr>
          <w:rFonts w:ascii="Times New Roman" w:hAnsi="Times New Roman" w:cs="Times New Roman"/>
        </w:rPr>
        <w:t xml:space="preserve">  Under the MOU, both </w:t>
      </w:r>
      <w:r w:rsidR="007F7E94">
        <w:rPr>
          <w:rFonts w:ascii="Times New Roman" w:hAnsi="Times New Roman" w:cs="Times New Roman"/>
        </w:rPr>
        <w:t>S</w:t>
      </w:r>
      <w:r w:rsidR="007F7E94" w:rsidRPr="00043345">
        <w:rPr>
          <w:rFonts w:ascii="Times New Roman" w:hAnsi="Times New Roman" w:cs="Times New Roman"/>
        </w:rPr>
        <w:t xml:space="preserve">tates </w:t>
      </w:r>
      <w:r w:rsidR="006C39E4" w:rsidRPr="00043345">
        <w:rPr>
          <w:rFonts w:ascii="Times New Roman" w:hAnsi="Times New Roman" w:cs="Times New Roman"/>
        </w:rPr>
        <w:t>(re)</w:t>
      </w:r>
      <w:r w:rsidRPr="00043345">
        <w:rPr>
          <w:rFonts w:ascii="Times New Roman" w:hAnsi="Times New Roman" w:cs="Times New Roman"/>
        </w:rPr>
        <w:t xml:space="preserve">committed </w:t>
      </w:r>
      <w:r w:rsidR="002F5E5C">
        <w:rPr>
          <w:rFonts w:ascii="Times New Roman" w:hAnsi="Times New Roman" w:cs="Times New Roman"/>
        </w:rPr>
        <w:t xml:space="preserve">themselves </w:t>
      </w:r>
      <w:r w:rsidRPr="00043345">
        <w:rPr>
          <w:rFonts w:ascii="Times New Roman" w:hAnsi="Times New Roman" w:cs="Times New Roman"/>
        </w:rPr>
        <w:t>to their respective unilateral moratoria on nuclear testing.</w:t>
      </w:r>
      <w:r w:rsidR="006C39E4" w:rsidRPr="00043345">
        <w:rPr>
          <w:rStyle w:val="FootnoteReference"/>
          <w:rFonts w:ascii="Times New Roman" w:hAnsi="Times New Roman" w:cs="Times New Roman"/>
        </w:rPr>
        <w:footnoteReference w:id="145"/>
      </w:r>
      <w:r w:rsidRPr="00043345">
        <w:rPr>
          <w:rFonts w:ascii="Times New Roman" w:hAnsi="Times New Roman" w:cs="Times New Roman"/>
        </w:rPr>
        <w:t xml:space="preserve">  The Lahore MOU was non-binding in itself, of course, </w:t>
      </w:r>
      <w:r w:rsidR="00A13F63" w:rsidRPr="00043345">
        <w:rPr>
          <w:rFonts w:ascii="Times New Roman" w:hAnsi="Times New Roman" w:cs="Times New Roman"/>
        </w:rPr>
        <w:t>and is at most an example of</w:t>
      </w:r>
      <w:r w:rsidRPr="00043345">
        <w:rPr>
          <w:rFonts w:ascii="Times New Roman" w:hAnsi="Times New Roman" w:cs="Times New Roman"/>
        </w:rPr>
        <w:t xml:space="preserve"> soft law.</w:t>
      </w:r>
      <w:r w:rsidR="00145487" w:rsidRPr="00043345">
        <w:rPr>
          <w:rStyle w:val="FootnoteReference"/>
          <w:rFonts w:ascii="Times New Roman" w:hAnsi="Times New Roman" w:cs="Times New Roman"/>
        </w:rPr>
        <w:footnoteReference w:id="146"/>
      </w:r>
      <w:r w:rsidRPr="00043345">
        <w:rPr>
          <w:rFonts w:ascii="Times New Roman" w:hAnsi="Times New Roman" w:cs="Times New Roman"/>
        </w:rPr>
        <w:t xml:space="preserve">  </w:t>
      </w:r>
      <w:r w:rsidR="00A13F63" w:rsidRPr="00043345">
        <w:rPr>
          <w:rFonts w:ascii="Times New Roman" w:hAnsi="Times New Roman" w:cs="Times New Roman"/>
        </w:rPr>
        <w:t>Indeed</w:t>
      </w:r>
      <w:r w:rsidRPr="00043345">
        <w:rPr>
          <w:rFonts w:ascii="Times New Roman" w:hAnsi="Times New Roman" w:cs="Times New Roman"/>
        </w:rPr>
        <w:t xml:space="preserve">, not only was the MOU non-binding, it also referred only to the </w:t>
      </w:r>
      <w:r w:rsidR="003F17DC">
        <w:rPr>
          <w:rFonts w:ascii="Times New Roman" w:hAnsi="Times New Roman" w:cs="Times New Roman"/>
        </w:rPr>
        <w:t>P</w:t>
      </w:r>
      <w:r w:rsidR="003F17DC" w:rsidRPr="00043345">
        <w:rPr>
          <w:rFonts w:ascii="Times New Roman" w:hAnsi="Times New Roman" w:cs="Times New Roman"/>
        </w:rPr>
        <w:t xml:space="preserve">arties’ </w:t>
      </w:r>
      <w:r w:rsidR="006C39E4" w:rsidRPr="00043345">
        <w:rPr>
          <w:rFonts w:ascii="Times New Roman" w:hAnsi="Times New Roman" w:cs="Times New Roman"/>
        </w:rPr>
        <w:t>own</w:t>
      </w:r>
      <w:r w:rsidRPr="00043345">
        <w:rPr>
          <w:rFonts w:ascii="Times New Roman" w:hAnsi="Times New Roman" w:cs="Times New Roman"/>
        </w:rPr>
        <w:t xml:space="preserve"> self-regulatory policies (</w:t>
      </w:r>
      <w:r w:rsidR="006C39E4" w:rsidRPr="00043345">
        <w:rPr>
          <w:rFonts w:ascii="Times New Roman" w:hAnsi="Times New Roman" w:cs="Times New Roman"/>
        </w:rPr>
        <w:t xml:space="preserve">and </w:t>
      </w:r>
      <w:r w:rsidRPr="00043345">
        <w:rPr>
          <w:rFonts w:ascii="Times New Roman" w:hAnsi="Times New Roman" w:cs="Times New Roman"/>
        </w:rPr>
        <w:t>not to any</w:t>
      </w:r>
      <w:r w:rsidR="007B2E02" w:rsidRPr="00043345">
        <w:rPr>
          <w:rFonts w:ascii="Times New Roman" w:hAnsi="Times New Roman" w:cs="Times New Roman"/>
        </w:rPr>
        <w:t>thing approaching a</w:t>
      </w:r>
      <w:r w:rsidRPr="00043345">
        <w:rPr>
          <w:rFonts w:ascii="Times New Roman" w:hAnsi="Times New Roman" w:cs="Times New Roman"/>
        </w:rPr>
        <w:t xml:space="preserve"> comprehensive ban), and it also</w:t>
      </w:r>
      <w:r w:rsidR="007B2E02" w:rsidRPr="00043345">
        <w:rPr>
          <w:rFonts w:ascii="Times New Roman" w:hAnsi="Times New Roman" w:cs="Times New Roman"/>
        </w:rPr>
        <w:t xml:space="preserve"> contained </w:t>
      </w:r>
      <w:r w:rsidR="007B2E02" w:rsidRPr="00043345">
        <w:rPr>
          <w:rFonts w:ascii="Times New Roman" w:hAnsi="Times New Roman" w:cs="Times New Roman"/>
        </w:rPr>
        <w:lastRenderedPageBreak/>
        <w:t xml:space="preserve">a catch-all </w:t>
      </w:r>
      <w:r w:rsidR="0028349D">
        <w:rPr>
          <w:rFonts w:ascii="Times New Roman" w:hAnsi="Times New Roman" w:cs="Times New Roman"/>
        </w:rPr>
        <w:t>“</w:t>
      </w:r>
      <w:r w:rsidR="007B2E02" w:rsidRPr="00043345">
        <w:rPr>
          <w:rFonts w:ascii="Times New Roman" w:hAnsi="Times New Roman" w:cs="Times New Roman"/>
        </w:rPr>
        <w:t>get-out</w:t>
      </w:r>
      <w:r w:rsidRPr="00043345">
        <w:rPr>
          <w:rFonts w:ascii="Times New Roman" w:hAnsi="Times New Roman" w:cs="Times New Roman"/>
        </w:rPr>
        <w:t xml:space="preserve"> clause</w:t>
      </w:r>
      <w:r w:rsidR="0028349D">
        <w:rPr>
          <w:rFonts w:ascii="Times New Roman" w:hAnsi="Times New Roman" w:cs="Times New Roman"/>
        </w:rPr>
        <w:t>”</w:t>
      </w:r>
      <w:r w:rsidRPr="00043345">
        <w:rPr>
          <w:rFonts w:ascii="Times New Roman" w:hAnsi="Times New Roman" w:cs="Times New Roman"/>
        </w:rPr>
        <w:t xml:space="preserve"> relating to </w:t>
      </w:r>
      <w:r w:rsidR="0028349D">
        <w:rPr>
          <w:rFonts w:ascii="Times New Roman" w:hAnsi="Times New Roman" w:cs="Times New Roman"/>
        </w:rPr>
        <w:t>“</w:t>
      </w:r>
      <w:r w:rsidRPr="00043345">
        <w:rPr>
          <w:rFonts w:ascii="Times New Roman" w:hAnsi="Times New Roman" w:cs="Times New Roman"/>
        </w:rPr>
        <w:t>extraordinary events</w:t>
      </w:r>
      <w:r w:rsidR="0028349D">
        <w:rPr>
          <w:rFonts w:ascii="Times New Roman" w:hAnsi="Times New Roman" w:cs="Times New Roman"/>
        </w:rPr>
        <w:t>”</w:t>
      </w:r>
      <w:r w:rsidRPr="00043345">
        <w:rPr>
          <w:rFonts w:ascii="Times New Roman" w:hAnsi="Times New Roman" w:cs="Times New Roman"/>
        </w:rPr>
        <w:t xml:space="preserve"> that jeopardise</w:t>
      </w:r>
      <w:r w:rsidR="006C39E4" w:rsidRPr="00043345">
        <w:rPr>
          <w:rFonts w:ascii="Times New Roman" w:hAnsi="Times New Roman" w:cs="Times New Roman"/>
        </w:rPr>
        <w:t>d</w:t>
      </w:r>
      <w:r w:rsidRPr="00043345">
        <w:rPr>
          <w:rFonts w:ascii="Times New Roman" w:hAnsi="Times New Roman" w:cs="Times New Roman"/>
        </w:rPr>
        <w:t xml:space="preserve"> </w:t>
      </w:r>
      <w:r w:rsidR="0028349D">
        <w:rPr>
          <w:rFonts w:ascii="Times New Roman" w:hAnsi="Times New Roman" w:cs="Times New Roman"/>
        </w:rPr>
        <w:t>“</w:t>
      </w:r>
      <w:r w:rsidRPr="00043345">
        <w:rPr>
          <w:rFonts w:ascii="Times New Roman" w:hAnsi="Times New Roman" w:cs="Times New Roman"/>
        </w:rPr>
        <w:t>supreme interests</w:t>
      </w:r>
      <w:r w:rsidR="00542DC7">
        <w:rPr>
          <w:rFonts w:ascii="Times New Roman" w:hAnsi="Times New Roman" w:cs="Times New Roman"/>
        </w:rPr>
        <w:t>.</w:t>
      </w:r>
      <w:r w:rsidR="0028349D">
        <w:rPr>
          <w:rFonts w:ascii="Times New Roman" w:hAnsi="Times New Roman" w:cs="Times New Roman"/>
        </w:rPr>
        <w:t>”</w:t>
      </w:r>
      <w:r w:rsidR="006C39E4" w:rsidRPr="00043345">
        <w:rPr>
          <w:rStyle w:val="FootnoteReference"/>
          <w:rFonts w:ascii="Times New Roman" w:hAnsi="Times New Roman" w:cs="Times New Roman"/>
        </w:rPr>
        <w:footnoteReference w:id="147"/>
      </w:r>
      <w:r w:rsidRPr="00043345">
        <w:rPr>
          <w:rFonts w:ascii="Times New Roman" w:hAnsi="Times New Roman" w:cs="Times New Roman"/>
        </w:rPr>
        <w:t xml:space="preserve"> </w:t>
      </w:r>
    </w:p>
    <w:p w:rsidR="00DC0ABD" w:rsidRPr="00043345" w:rsidRDefault="006C39E4" w:rsidP="004277D1">
      <w:pPr>
        <w:spacing w:line="480" w:lineRule="auto"/>
        <w:ind w:firstLine="720"/>
        <w:jc w:val="both"/>
      </w:pPr>
      <w:r w:rsidRPr="00043345">
        <w:t>In fact, w</w:t>
      </w:r>
      <w:r w:rsidR="00C524D9" w:rsidRPr="00043345">
        <w:t xml:space="preserve">hen one considers India’s position </w:t>
      </w:r>
      <w:r w:rsidR="002F5E5C">
        <w:t xml:space="preserve">after </w:t>
      </w:r>
      <w:r w:rsidR="00C524D9" w:rsidRPr="00043345">
        <w:t xml:space="preserve">1998, </w:t>
      </w:r>
      <w:r w:rsidR="006264F9" w:rsidRPr="00043345">
        <w:t xml:space="preserve">it is </w:t>
      </w:r>
      <w:r w:rsidR="00660179" w:rsidRPr="00043345">
        <w:t>evident</w:t>
      </w:r>
      <w:r w:rsidR="006264F9" w:rsidRPr="00043345">
        <w:t xml:space="preserve"> that it remain</w:t>
      </w:r>
      <w:r w:rsidRPr="00043345">
        <w:t>ed</w:t>
      </w:r>
      <w:r w:rsidR="006264F9" w:rsidRPr="00043345">
        <w:t xml:space="preserve"> a defiant objector to the general international nuclear regime.  India may have been condemned for its 1998 tests, but not only did it retain its nuclear weapons, it refused to renounce nuclear testing (other than through </w:t>
      </w:r>
      <w:r w:rsidR="009243AB" w:rsidRPr="00043345">
        <w:t xml:space="preserve">the </w:t>
      </w:r>
      <w:r w:rsidR="006264F9" w:rsidRPr="00043345">
        <w:t>self-regulation</w:t>
      </w:r>
      <w:r w:rsidR="009243AB" w:rsidRPr="00043345">
        <w:t xml:space="preserve"> of its unilateral moratorium)</w:t>
      </w:r>
      <w:r w:rsidR="006264F9" w:rsidRPr="00043345">
        <w:t>.  I</w:t>
      </w:r>
      <w:r w:rsidR="009243AB" w:rsidRPr="00043345">
        <w:t>ndia</w:t>
      </w:r>
      <w:r w:rsidR="006264F9" w:rsidRPr="00043345">
        <w:t xml:space="preserve"> has remained explicit in its rejection of both</w:t>
      </w:r>
      <w:r w:rsidR="00DC0ABD" w:rsidRPr="00043345">
        <w:t xml:space="preserve"> the NPT and the CTBT.</w:t>
      </w:r>
    </w:p>
    <w:p w:rsidR="006264F9" w:rsidRPr="00043345" w:rsidRDefault="00DC0ABD" w:rsidP="004277D1">
      <w:pPr>
        <w:spacing w:line="480" w:lineRule="auto"/>
        <w:ind w:firstLine="720"/>
        <w:jc w:val="both"/>
        <w:rPr>
          <w:rStyle w:val="byline"/>
        </w:rPr>
      </w:pPr>
      <w:r w:rsidRPr="00043345">
        <w:t>F</w:t>
      </w:r>
      <w:r w:rsidR="006264F9" w:rsidRPr="00043345">
        <w:t xml:space="preserve">or example, in 2009, Shyam Saran, an Indian special envoy on climate change, made a clear statement of continued rejection of the NPT and of the obligations of the CTBT, with India instead maintaining its approach of </w:t>
      </w:r>
      <w:r w:rsidR="009243AB" w:rsidRPr="00043345">
        <w:t xml:space="preserve">a </w:t>
      </w:r>
      <w:r w:rsidR="0028349D">
        <w:t>“</w:t>
      </w:r>
      <w:r w:rsidR="006264F9" w:rsidRPr="00043345">
        <w:t xml:space="preserve">unilateral moratorium on </w:t>
      </w:r>
      <w:r w:rsidR="006C3230" w:rsidRPr="00043345">
        <w:t>nuclear tests</w:t>
      </w:r>
      <w:r w:rsidR="006264F9" w:rsidRPr="00043345">
        <w:t>.</w:t>
      </w:r>
      <w:r w:rsidR="0028349D">
        <w:t>”</w:t>
      </w:r>
      <w:r w:rsidR="006264F9" w:rsidRPr="00043345">
        <w:rPr>
          <w:rStyle w:val="FootnoteReference"/>
        </w:rPr>
        <w:footnoteReference w:id="148"/>
      </w:r>
      <w:r w:rsidRPr="00043345">
        <w:t xml:space="preserve">  </w:t>
      </w:r>
      <w:r w:rsidR="006264F9" w:rsidRPr="00043345">
        <w:t xml:space="preserve">Similarly, </w:t>
      </w:r>
      <w:r w:rsidR="006264F9" w:rsidRPr="00043345">
        <w:rPr>
          <w:color w:val="000000"/>
        </w:rPr>
        <w:t xml:space="preserve">Hardeep Puri, </w:t>
      </w:r>
      <w:r w:rsidR="006264F9" w:rsidRPr="00043345">
        <w:t xml:space="preserve">the Indian </w:t>
      </w:r>
      <w:r w:rsidR="006264F9" w:rsidRPr="00043345">
        <w:rPr>
          <w:color w:val="000000"/>
        </w:rPr>
        <w:t>Permanent Representative to the UN</w:t>
      </w:r>
      <w:r w:rsidR="00092E71" w:rsidRPr="00043345">
        <w:rPr>
          <w:color w:val="000000"/>
        </w:rPr>
        <w:t>,</w:t>
      </w:r>
      <w:r w:rsidR="006264F9" w:rsidRPr="00043345">
        <w:rPr>
          <w:color w:val="000000"/>
        </w:rPr>
        <w:t xml:space="preserve"> wrote to United States UN Ambassador </w:t>
      </w:r>
      <w:r w:rsidR="00D8408E">
        <w:rPr>
          <w:color w:val="000000"/>
        </w:rPr>
        <w:t xml:space="preserve">Susan Rice </w:t>
      </w:r>
      <w:r w:rsidR="006264F9" w:rsidRPr="00043345">
        <w:rPr>
          <w:color w:val="000000"/>
        </w:rPr>
        <w:t>in September 2009 that</w:t>
      </w:r>
      <w:r w:rsidRPr="00043345">
        <w:rPr>
          <w:color w:val="000000"/>
        </w:rPr>
        <w:t xml:space="preserve"> in regard to both the NPT and the CTBT, </w:t>
      </w:r>
      <w:r w:rsidR="006264F9" w:rsidRPr="00043345">
        <w:rPr>
          <w:color w:val="000000"/>
        </w:rPr>
        <w:t xml:space="preserve">India did not </w:t>
      </w:r>
      <w:r w:rsidR="0028349D">
        <w:rPr>
          <w:color w:val="000000"/>
        </w:rPr>
        <w:t>“</w:t>
      </w:r>
      <w:r w:rsidR="006264F9" w:rsidRPr="00043345">
        <w:rPr>
          <w:color w:val="000000"/>
        </w:rPr>
        <w:t>accept any obligations arising from treaties that [it] has not signed or ratified.</w:t>
      </w:r>
      <w:r w:rsidR="0028349D">
        <w:rPr>
          <w:color w:val="000000"/>
        </w:rPr>
        <w:t>”</w:t>
      </w:r>
      <w:r w:rsidR="006264F9" w:rsidRPr="00043345">
        <w:rPr>
          <w:rStyle w:val="FootnoteReference"/>
          <w:color w:val="000000"/>
        </w:rPr>
        <w:footnoteReference w:id="149"/>
      </w:r>
    </w:p>
    <w:p w:rsidR="006264F9" w:rsidRPr="00043345" w:rsidRDefault="007B2E02" w:rsidP="004277D1">
      <w:pPr>
        <w:spacing w:line="480" w:lineRule="auto"/>
        <w:ind w:firstLine="720"/>
        <w:jc w:val="both"/>
      </w:pPr>
      <w:r w:rsidRPr="00043345">
        <w:t>I</w:t>
      </w:r>
      <w:r w:rsidR="00DC0ABD" w:rsidRPr="00043345">
        <w:t xml:space="preserve">n spite of measures such as </w:t>
      </w:r>
      <w:r w:rsidR="0022703F" w:rsidRPr="00043345">
        <w:t>Security Council R</w:t>
      </w:r>
      <w:r w:rsidRPr="00043345">
        <w:t>esolution 1172</w:t>
      </w:r>
      <w:r w:rsidR="00DC0ABD" w:rsidRPr="00043345">
        <w:t>, soon after</w:t>
      </w:r>
      <w:r w:rsidR="006264F9" w:rsidRPr="00043345">
        <w:t xml:space="preserve"> the </w:t>
      </w:r>
      <w:r w:rsidR="00DC0ABD" w:rsidRPr="00043345">
        <w:t xml:space="preserve">dust had (literally) settled following the </w:t>
      </w:r>
      <w:r w:rsidR="006264F9" w:rsidRPr="00043345">
        <w:t xml:space="preserve">1998 tests, India’s status as a </w:t>
      </w:r>
      <w:r w:rsidR="00DC0ABD" w:rsidRPr="00043345">
        <w:t>nuclear weapons power</w:t>
      </w:r>
      <w:r w:rsidR="006264F9" w:rsidRPr="00043345">
        <w:t xml:space="preserve"> was largely accepted by other </w:t>
      </w:r>
      <w:r w:rsidR="007F7E94">
        <w:t>S</w:t>
      </w:r>
      <w:r w:rsidR="007F7E94" w:rsidRPr="00043345">
        <w:t xml:space="preserve">tates </w:t>
      </w:r>
      <w:r w:rsidR="006264F9" w:rsidRPr="00043345">
        <w:t>(</w:t>
      </w:r>
      <w:r w:rsidR="00DC0ABD" w:rsidRPr="00043345">
        <w:t>at least</w:t>
      </w:r>
      <w:r w:rsidR="006264F9" w:rsidRPr="00043345">
        <w:t xml:space="preserve"> </w:t>
      </w:r>
      <w:r w:rsidR="006264F9" w:rsidRPr="00043345">
        <w:rPr>
          <w:i/>
        </w:rPr>
        <w:t>de facto</w:t>
      </w:r>
      <w:r w:rsidR="006264F9" w:rsidRPr="00043345">
        <w:t xml:space="preserve">): India’s stance </w:t>
      </w:r>
      <w:r w:rsidR="006264F9" w:rsidRPr="00043345">
        <w:lastRenderedPageBreak/>
        <w:t xml:space="preserve">was </w:t>
      </w:r>
      <w:r w:rsidR="0028349D">
        <w:t>“</w:t>
      </w:r>
      <w:r w:rsidR="006264F9" w:rsidRPr="00043345">
        <w:t>accepted, not only within India but also by the majority of the states of the world.</w:t>
      </w:r>
      <w:r w:rsidR="0028349D">
        <w:t>”</w:t>
      </w:r>
      <w:r w:rsidR="006264F9" w:rsidRPr="00043345">
        <w:rPr>
          <w:rStyle w:val="FootnoteReference"/>
        </w:rPr>
        <w:footnoteReference w:id="150"/>
      </w:r>
      <w:r w:rsidR="00710D85" w:rsidRPr="00043345">
        <w:t xml:space="preserve">  Pragmatically,</w:t>
      </w:r>
      <w:r w:rsidR="00DC0ABD" w:rsidRPr="00043345">
        <w:t xml:space="preserve"> the </w:t>
      </w:r>
      <w:r w:rsidR="00710D85" w:rsidRPr="00043345">
        <w:t>international community</w:t>
      </w:r>
      <w:r w:rsidR="00DC0ABD" w:rsidRPr="00043345">
        <w:t xml:space="preserve"> </w:t>
      </w:r>
      <w:r w:rsidR="00710D85" w:rsidRPr="00043345">
        <w:t xml:space="preserve">took the view </w:t>
      </w:r>
      <w:r w:rsidR="002F5E5C">
        <w:t>after</w:t>
      </w:r>
      <w:r w:rsidR="0049553D">
        <w:t xml:space="preserve"> </w:t>
      </w:r>
      <w:r w:rsidR="006264F9" w:rsidRPr="00043345">
        <w:t xml:space="preserve">1998 that the Indian nuclear genie would not go back in the </w:t>
      </w:r>
      <w:r w:rsidR="00580C77" w:rsidRPr="00043345">
        <w:t xml:space="preserve">lead-lined </w:t>
      </w:r>
      <w:r w:rsidR="006264F9" w:rsidRPr="00043345">
        <w:t xml:space="preserve">bottle, just as </w:t>
      </w:r>
      <w:r w:rsidR="00DC0ABD" w:rsidRPr="00043345">
        <w:t xml:space="preserve">it </w:t>
      </w:r>
      <w:r w:rsidR="00C85B34">
        <w:t xml:space="preserve">had </w:t>
      </w:r>
      <w:r w:rsidR="006264F9" w:rsidRPr="00043345">
        <w:t xml:space="preserve">long ago accepted </w:t>
      </w:r>
      <w:r w:rsidR="00710D85" w:rsidRPr="00043345">
        <w:t xml:space="preserve">the same situation at the inception of the NPT in relation to the </w:t>
      </w:r>
      <w:r w:rsidR="0028349D">
        <w:t>“</w:t>
      </w:r>
      <w:r w:rsidR="00710D85" w:rsidRPr="00043345">
        <w:t>official</w:t>
      </w:r>
      <w:r w:rsidR="0028349D">
        <w:t>”</w:t>
      </w:r>
      <w:r w:rsidR="00710D85" w:rsidRPr="00043345">
        <w:t xml:space="preserve"> NWS.</w:t>
      </w:r>
      <w:r w:rsidR="006264F9" w:rsidRPr="00043345">
        <w:t xml:space="preserve">  </w:t>
      </w:r>
    </w:p>
    <w:p w:rsidR="0093672D" w:rsidRPr="00043345" w:rsidRDefault="006264F9" w:rsidP="004277D1">
      <w:pPr>
        <w:spacing w:line="480" w:lineRule="auto"/>
        <w:ind w:firstLine="720"/>
        <w:jc w:val="both"/>
      </w:pPr>
      <w:r w:rsidRPr="00043345">
        <w:t xml:space="preserve">As Steinfeld points out, the </w:t>
      </w:r>
      <w:r w:rsidR="0028349D">
        <w:t>“</w:t>
      </w:r>
      <w:r w:rsidRPr="00043345">
        <w:t>nuclear objector</w:t>
      </w:r>
      <w:r w:rsidR="0028349D">
        <w:t>”</w:t>
      </w:r>
      <w:r w:rsidRPr="00043345">
        <w:t xml:space="preserve"> is extremely unlikely to buckle under pressure from the wider international community, as can be seen from the failure of the NWS to meet </w:t>
      </w:r>
      <w:r w:rsidR="00710D85" w:rsidRPr="00043345">
        <w:t xml:space="preserve">their </w:t>
      </w:r>
      <w:r w:rsidRPr="00043345">
        <w:t>disarmament obligations, most notably under Article VI</w:t>
      </w:r>
      <w:r w:rsidR="002F5E5C">
        <w:t xml:space="preserve"> of the NPT</w:t>
      </w:r>
      <w:r w:rsidRPr="00043345">
        <w:t>.</w:t>
      </w:r>
      <w:r w:rsidRPr="00043345">
        <w:rPr>
          <w:rStyle w:val="FootnoteReference"/>
        </w:rPr>
        <w:footnoteReference w:id="151"/>
      </w:r>
      <w:r w:rsidRPr="00043345">
        <w:t xml:space="preserve">  Given the </w:t>
      </w:r>
      <w:r w:rsidR="008B5727" w:rsidRPr="00043345">
        <w:t>perception</w:t>
      </w:r>
      <w:r w:rsidRPr="00043345">
        <w:t xml:space="preserve"> of nuclear weapons as an effective security deterrent, so intrinsically tied up with notions of self-determination, power and defence, </w:t>
      </w:r>
      <w:r w:rsidR="00580C77" w:rsidRPr="00043345">
        <w:t>if international law</w:t>
      </w:r>
      <w:r w:rsidRPr="00043345">
        <w:t xml:space="preserve"> </w:t>
      </w:r>
      <w:r w:rsidR="002F5E5C" w:rsidRPr="00043345">
        <w:t>w</w:t>
      </w:r>
      <w:r w:rsidR="002F5E5C">
        <w:t>ere</w:t>
      </w:r>
      <w:r w:rsidR="002F5E5C" w:rsidRPr="00043345">
        <w:t xml:space="preserve"> </w:t>
      </w:r>
      <w:r w:rsidRPr="00043345">
        <w:t xml:space="preserve">to consider persistent objection </w:t>
      </w:r>
      <w:r w:rsidR="00580C77" w:rsidRPr="00043345">
        <w:t xml:space="preserve">in this context </w:t>
      </w:r>
      <w:r w:rsidRPr="00043345">
        <w:t>to be unacceptable, such a position would be naive</w:t>
      </w:r>
      <w:r w:rsidR="00580C77" w:rsidRPr="00043345">
        <w:t xml:space="preserve"> to the point of irrelevancy</w:t>
      </w:r>
      <w:r w:rsidRPr="00043345">
        <w:t>.  India would not (and will not) relinquish the bomb.</w:t>
      </w:r>
      <w:r w:rsidRPr="00043345">
        <w:rPr>
          <w:rStyle w:val="FootnoteReference"/>
        </w:rPr>
        <w:footnoteReference w:id="152"/>
      </w:r>
    </w:p>
    <w:p w:rsidR="00B80340" w:rsidRPr="004277D1" w:rsidRDefault="0093672D" w:rsidP="004277D1">
      <w:pPr>
        <w:spacing w:line="480" w:lineRule="auto"/>
        <w:ind w:firstLine="720"/>
        <w:jc w:val="both"/>
      </w:pPr>
      <w:r w:rsidRPr="00043345">
        <w:t xml:space="preserve">More pertinent in relation to this article is </w:t>
      </w:r>
      <w:r w:rsidR="00647465">
        <w:t xml:space="preserve">the fact </w:t>
      </w:r>
      <w:r w:rsidRPr="00043345">
        <w:t xml:space="preserve">that India will not relinquish its right to test </w:t>
      </w:r>
      <w:r w:rsidR="002F5E5C">
        <w:t xml:space="preserve">nuclear </w:t>
      </w:r>
      <w:r w:rsidRPr="00043345">
        <w:t>weapons, should it wish</w:t>
      </w:r>
      <w:r w:rsidR="002F5E5C">
        <w:t xml:space="preserve"> to do so</w:t>
      </w:r>
      <w:r w:rsidR="00467618">
        <w:t xml:space="preserve"> again</w:t>
      </w:r>
      <w:r w:rsidR="00C85B34">
        <w:t>.</w:t>
      </w:r>
      <w:r w:rsidRPr="00043345">
        <w:t xml:space="preserve">  Despite some suggestions, the 1</w:t>
      </w:r>
      <w:r w:rsidR="00B379F5">
        <w:t>23 Agreement confirms this fact</w:t>
      </w:r>
      <w:r w:rsidRPr="00043345">
        <w:t xml:space="preserve"> rather than undermining it.</w:t>
      </w:r>
    </w:p>
    <w:p w:rsidR="00AE25BF" w:rsidRPr="00043345" w:rsidRDefault="00580C77" w:rsidP="00043345">
      <w:pPr>
        <w:pStyle w:val="NormalWeb"/>
        <w:spacing w:before="0" w:beforeAutospacing="0" w:after="0" w:afterAutospacing="0"/>
        <w:jc w:val="center"/>
        <w:rPr>
          <w:b/>
        </w:rPr>
      </w:pPr>
      <w:r w:rsidRPr="00043345">
        <w:rPr>
          <w:b/>
        </w:rPr>
        <w:t>V. INDIA’S OBJECTIONS RETRACTED</w:t>
      </w:r>
      <w:r w:rsidR="008B5727" w:rsidRPr="00043345">
        <w:rPr>
          <w:b/>
        </w:rPr>
        <w:t>?</w:t>
      </w:r>
      <w:r w:rsidRPr="00043345">
        <w:rPr>
          <w:b/>
        </w:rPr>
        <w:t xml:space="preserve">: </w:t>
      </w:r>
      <w:r w:rsidR="00A83D1D" w:rsidRPr="00043345">
        <w:rPr>
          <w:b/>
        </w:rPr>
        <w:t>THE IM</w:t>
      </w:r>
      <w:r w:rsidRPr="00043345">
        <w:rPr>
          <w:b/>
        </w:rPr>
        <w:t>PLICATIONS OF THE 123 AGREEMENT</w:t>
      </w:r>
    </w:p>
    <w:p w:rsidR="003D635E" w:rsidRPr="00043345" w:rsidRDefault="003D635E" w:rsidP="00043345">
      <w:pPr>
        <w:pStyle w:val="NormalWeb"/>
        <w:spacing w:before="0" w:beforeAutospacing="0" w:after="0" w:afterAutospacing="0"/>
        <w:jc w:val="both"/>
      </w:pPr>
    </w:p>
    <w:p w:rsidR="00F52CAF" w:rsidRDefault="000C350E">
      <w:pPr>
        <w:jc w:val="center"/>
        <w:rPr>
          <w:b/>
          <w:lang w:val="en-US"/>
        </w:rPr>
      </w:pPr>
      <w:r>
        <w:rPr>
          <w:b/>
          <w:lang w:val="en-US"/>
        </w:rPr>
        <w:t>A.</w:t>
      </w:r>
      <w:r w:rsidR="00CF2F01" w:rsidRPr="00CF2F01">
        <w:rPr>
          <w:b/>
          <w:lang w:val="en-US"/>
        </w:rPr>
        <w:t xml:space="preserve"> Background to the 123 Agreement</w:t>
      </w:r>
    </w:p>
    <w:p w:rsidR="00A62DD9" w:rsidRPr="00043345" w:rsidRDefault="00A62DD9" w:rsidP="00043345">
      <w:pPr>
        <w:jc w:val="both"/>
      </w:pPr>
    </w:p>
    <w:p w:rsidR="00185C4A" w:rsidRPr="00043345" w:rsidRDefault="00185C4A" w:rsidP="004277D1">
      <w:pPr>
        <w:spacing w:line="480" w:lineRule="auto"/>
        <w:ind w:firstLine="720"/>
        <w:jc w:val="both"/>
      </w:pPr>
      <w:r w:rsidRPr="00043345">
        <w:t xml:space="preserve">The 123 Agreement is a groundbreaking bilateral treaty in that it represents the first time that a </w:t>
      </w:r>
      <w:r w:rsidR="007F7E94">
        <w:t>S</w:t>
      </w:r>
      <w:r w:rsidR="007F7E94" w:rsidRPr="00043345">
        <w:t xml:space="preserve">tate </w:t>
      </w:r>
      <w:r w:rsidRPr="00043345">
        <w:t>possessing nuclear weapons outside the framework of the NPT has had its civil nuclear energy programme brought within</w:t>
      </w:r>
      <w:r w:rsidR="00FA4EC5">
        <w:t xml:space="preserve"> international law’s </w:t>
      </w:r>
      <w:r w:rsidRPr="00043345">
        <w:t xml:space="preserve">nuclear non-proliferation regime.  In so doing, the 123 Agreement </w:t>
      </w:r>
      <w:r w:rsidR="00FA4EC5">
        <w:t xml:space="preserve">contrasts with </w:t>
      </w:r>
      <w:r w:rsidRPr="00043345">
        <w:t xml:space="preserve">the previous </w:t>
      </w:r>
      <w:r w:rsidRPr="00043345">
        <w:lastRenderedPageBreak/>
        <w:t>isolationist position taken by post-nuclear India,</w:t>
      </w:r>
      <w:r w:rsidR="000B6540" w:rsidRPr="00043345">
        <w:rPr>
          <w:rStyle w:val="FootnoteReference"/>
        </w:rPr>
        <w:footnoteReference w:id="153"/>
      </w:r>
      <w:r w:rsidRPr="00043345">
        <w:t xml:space="preserve"> </w:t>
      </w:r>
      <w:r w:rsidR="00FA4EC5">
        <w:t>as well as</w:t>
      </w:r>
      <w:r w:rsidR="00FA4EC5" w:rsidRPr="00043345">
        <w:t xml:space="preserve"> </w:t>
      </w:r>
      <w:r w:rsidR="00B379F5">
        <w:t xml:space="preserve">with </w:t>
      </w:r>
      <w:r w:rsidRPr="00043345">
        <w:t>the three decade long policy of the United States with regard to NPT non-</w:t>
      </w:r>
      <w:r w:rsidR="003F17DC">
        <w:t>P</w:t>
      </w:r>
      <w:r w:rsidR="003F17DC" w:rsidRPr="00043345">
        <w:t xml:space="preserve">arties </w:t>
      </w:r>
      <w:r w:rsidRPr="00043345">
        <w:t>in possession of nuclear weapons.</w:t>
      </w:r>
      <w:r w:rsidR="000B6540" w:rsidRPr="00043345">
        <w:rPr>
          <w:rStyle w:val="FootnoteReference"/>
        </w:rPr>
        <w:footnoteReference w:id="154"/>
      </w:r>
    </w:p>
    <w:p w:rsidR="00182D97" w:rsidRPr="00043345" w:rsidRDefault="00185C4A" w:rsidP="004277D1">
      <w:pPr>
        <w:spacing w:line="480" w:lineRule="auto"/>
        <w:ind w:firstLine="720"/>
        <w:jc w:val="both"/>
      </w:pPr>
      <w:r w:rsidRPr="00043345">
        <w:t>This is not the place to discuss the 123 Agreement</w:t>
      </w:r>
      <w:r w:rsidR="00A27E3A" w:rsidRPr="00043345">
        <w:t xml:space="preserve"> in any detail: a notable amount </w:t>
      </w:r>
      <w:r w:rsidRPr="00043345">
        <w:t>of literature already exists examining the deal.</w:t>
      </w:r>
      <w:r w:rsidR="00A27E3A" w:rsidRPr="00043345">
        <w:rPr>
          <w:rStyle w:val="FootnoteReference"/>
        </w:rPr>
        <w:footnoteReference w:id="155"/>
      </w:r>
      <w:r w:rsidR="00C76F53" w:rsidRPr="00043345">
        <w:t xml:space="preserve">  </w:t>
      </w:r>
      <w:r w:rsidR="00F96A8A" w:rsidRPr="00043345">
        <w:t xml:space="preserve">In brief summary, </w:t>
      </w:r>
      <w:r w:rsidR="00B50DBB" w:rsidRPr="00043345">
        <w:t>the United States undertakes to provide India with nuclear materials and technology</w:t>
      </w:r>
      <w:r w:rsidR="00FA4EC5">
        <w:t xml:space="preserve"> under the treaty</w:t>
      </w:r>
      <w:r w:rsidR="00B50DBB" w:rsidRPr="00043345">
        <w:t>.</w:t>
      </w:r>
      <w:r w:rsidR="00B50DBB" w:rsidRPr="00043345">
        <w:rPr>
          <w:rStyle w:val="FootnoteReference"/>
        </w:rPr>
        <w:footnoteReference w:id="156"/>
      </w:r>
      <w:r w:rsidR="00B50DBB" w:rsidRPr="00043345">
        <w:t xml:space="preserve">  In return, </w:t>
      </w:r>
      <w:r w:rsidR="00F777B9" w:rsidRPr="00043345">
        <w:t xml:space="preserve">India </w:t>
      </w:r>
      <w:r w:rsidR="00B50DBB" w:rsidRPr="00043345">
        <w:t xml:space="preserve">is </w:t>
      </w:r>
      <w:r w:rsidR="00F777B9" w:rsidRPr="00043345">
        <w:t>to place all civil nuclear facilities</w:t>
      </w:r>
      <w:r w:rsidR="00754031" w:rsidRPr="00043345">
        <w:t xml:space="preserve"> – and any material transferred pursuant to the Agreement – under</w:t>
      </w:r>
      <w:r w:rsidR="00F777B9" w:rsidRPr="00043345">
        <w:t xml:space="preserve"> </w:t>
      </w:r>
      <w:r w:rsidR="00013815" w:rsidRPr="00043345">
        <w:t xml:space="preserve">International Atomic Energy Agency (IAEA) </w:t>
      </w:r>
      <w:r w:rsidR="00F777B9" w:rsidRPr="00043345">
        <w:t>safeguards,</w:t>
      </w:r>
      <w:r w:rsidR="00754031" w:rsidRPr="00043345">
        <w:rPr>
          <w:rStyle w:val="FootnoteReference"/>
        </w:rPr>
        <w:footnoteReference w:id="157"/>
      </w:r>
      <w:r w:rsidR="00F777B9" w:rsidRPr="00043345">
        <w:t xml:space="preserve"> as well as </w:t>
      </w:r>
      <w:r w:rsidR="00754031" w:rsidRPr="00043345">
        <w:t>being</w:t>
      </w:r>
      <w:r w:rsidR="00C85DFE" w:rsidRPr="00043345">
        <w:t xml:space="preserve"> required to </w:t>
      </w:r>
      <w:r w:rsidR="00F777B9" w:rsidRPr="00043345">
        <w:t>conclud</w:t>
      </w:r>
      <w:r w:rsidR="00C85DFE" w:rsidRPr="00043345">
        <w:t>e</w:t>
      </w:r>
      <w:r w:rsidR="00F777B9" w:rsidRPr="00043345">
        <w:t xml:space="preserve"> an Additional Protocol with the IAEA</w:t>
      </w:r>
      <w:r w:rsidR="00C85DFE" w:rsidRPr="00043345">
        <w:t xml:space="preserve"> in relation to nuclear trade with the United States</w:t>
      </w:r>
      <w:r w:rsidR="00F777B9" w:rsidRPr="00043345">
        <w:t>.</w:t>
      </w:r>
      <w:r w:rsidR="00C85DFE" w:rsidRPr="00043345">
        <w:rPr>
          <w:rStyle w:val="FootnoteReference"/>
        </w:rPr>
        <w:footnoteReference w:id="158"/>
      </w:r>
      <w:r w:rsidR="00754031" w:rsidRPr="00043345">
        <w:t xml:space="preserve">  </w:t>
      </w:r>
      <w:r w:rsidR="00580C77" w:rsidRPr="00043345">
        <w:t>T</w:t>
      </w:r>
      <w:r w:rsidR="00C85DFE" w:rsidRPr="00043345">
        <w:t xml:space="preserve">he </w:t>
      </w:r>
      <w:r w:rsidR="00D83AA1" w:rsidRPr="00043345">
        <w:t xml:space="preserve">123 </w:t>
      </w:r>
      <w:r w:rsidR="00C85DFE" w:rsidRPr="00043345">
        <w:t xml:space="preserve">Agreement </w:t>
      </w:r>
      <w:r w:rsidR="00580C77" w:rsidRPr="00043345">
        <w:t xml:space="preserve">also </w:t>
      </w:r>
      <w:r w:rsidR="00C85DFE" w:rsidRPr="00043345">
        <w:t xml:space="preserve">prohibits the use of any material transferred between the </w:t>
      </w:r>
      <w:r w:rsidR="003F17DC">
        <w:t>P</w:t>
      </w:r>
      <w:r w:rsidR="003F17DC" w:rsidRPr="00043345">
        <w:t xml:space="preserve">arties </w:t>
      </w:r>
      <w:r w:rsidR="00C85DFE" w:rsidRPr="00043345">
        <w:t xml:space="preserve">for </w:t>
      </w:r>
      <w:r w:rsidR="00C85DFE" w:rsidRPr="00043345">
        <w:lastRenderedPageBreak/>
        <w:t>anything other than peaceful purposes.</w:t>
      </w:r>
      <w:r w:rsidR="003A243E" w:rsidRPr="00043345">
        <w:rPr>
          <w:rStyle w:val="FootnoteReference"/>
        </w:rPr>
        <w:footnoteReference w:id="159"/>
      </w:r>
      <w:r w:rsidR="00C85DFE" w:rsidRPr="00043345">
        <w:t xml:space="preserve">  This </w:t>
      </w:r>
      <w:r w:rsidR="00C85B34">
        <w:t>puts</w:t>
      </w:r>
      <w:r w:rsidR="00C85DFE" w:rsidRPr="00043345">
        <w:t xml:space="preserve"> certain limits on India with regard to further acquisition of nuclear armaments</w:t>
      </w:r>
      <w:r w:rsidR="00F96A8A" w:rsidRPr="00043345">
        <w:t>, at least in relation to materials and technology transferred under the auspices of the deal</w:t>
      </w:r>
      <w:r w:rsidR="00C85DFE" w:rsidRPr="00043345">
        <w:t>.</w:t>
      </w:r>
      <w:r w:rsidR="003A243E" w:rsidRPr="00043345">
        <w:t xml:space="preserve"> </w:t>
      </w:r>
      <w:r w:rsidR="00D83AA1" w:rsidRPr="00043345">
        <w:t xml:space="preserve"> </w:t>
      </w:r>
      <w:r w:rsidR="003A243E" w:rsidRPr="00043345">
        <w:t>Indeed, both India</w:t>
      </w:r>
      <w:r w:rsidR="008B5727" w:rsidRPr="00043345">
        <w:t xml:space="preserve"> and the United States profess</w:t>
      </w:r>
      <w:r w:rsidR="003A243E" w:rsidRPr="00043345">
        <w:t xml:space="preserve"> a shared commitment </w:t>
      </w:r>
      <w:r w:rsidR="008B5727" w:rsidRPr="00043345">
        <w:t xml:space="preserve">under the </w:t>
      </w:r>
      <w:r w:rsidR="008C2459">
        <w:t>treaty</w:t>
      </w:r>
      <w:r w:rsidR="008B5727" w:rsidRPr="00043345">
        <w:t xml:space="preserve"> </w:t>
      </w:r>
      <w:r w:rsidR="003A243E" w:rsidRPr="00043345">
        <w:t xml:space="preserve">to peaceful uses of nuclear energy and the prevention of </w:t>
      </w:r>
      <w:r w:rsidR="00580C77" w:rsidRPr="00043345">
        <w:t xml:space="preserve">the </w:t>
      </w:r>
      <w:r w:rsidR="003A243E" w:rsidRPr="00043345">
        <w:t>proliferation</w:t>
      </w:r>
      <w:r w:rsidR="00580C77" w:rsidRPr="00043345">
        <w:t xml:space="preserve"> of weapons of mass destruction</w:t>
      </w:r>
      <w:r w:rsidR="003A243E" w:rsidRPr="00043345">
        <w:t>.</w:t>
      </w:r>
      <w:r w:rsidR="003A243E" w:rsidRPr="00043345">
        <w:rPr>
          <w:rStyle w:val="FootnoteReference"/>
        </w:rPr>
        <w:footnoteReference w:id="160"/>
      </w:r>
      <w:r w:rsidR="00B50DBB" w:rsidRPr="00043345">
        <w:t xml:space="preserve">  </w:t>
      </w:r>
    </w:p>
    <w:p w:rsidR="003F540E" w:rsidRPr="00043345" w:rsidRDefault="00F96A8A" w:rsidP="004277D1">
      <w:pPr>
        <w:spacing w:line="480" w:lineRule="auto"/>
        <w:ind w:firstLine="720"/>
        <w:jc w:val="both"/>
      </w:pPr>
      <w:r w:rsidRPr="00043345">
        <w:t xml:space="preserve">Ultimately, though, the 123 Agreement in no way legally restricts India’s continued possession of nuclear weapons or </w:t>
      </w:r>
      <w:r w:rsidR="00182D97" w:rsidRPr="00043345">
        <w:t>its</w:t>
      </w:r>
      <w:r w:rsidRPr="00043345">
        <w:t xml:space="preserve"> further acquisition </w:t>
      </w:r>
      <w:r w:rsidR="00182D97" w:rsidRPr="00043345">
        <w:t xml:space="preserve">of them </w:t>
      </w:r>
      <w:r w:rsidRPr="00043345">
        <w:t xml:space="preserve">through means unrelated to </w:t>
      </w:r>
      <w:r w:rsidR="00182D97" w:rsidRPr="00043345">
        <w:t>the transfers envisaged by the deal</w:t>
      </w:r>
      <w:r w:rsidR="00FA4EC5">
        <w:t>,</w:t>
      </w:r>
      <w:r w:rsidRPr="00043345">
        <w:rPr>
          <w:rStyle w:val="FootnoteReference"/>
        </w:rPr>
        <w:footnoteReference w:id="161"/>
      </w:r>
      <w:r w:rsidR="003F540E" w:rsidRPr="00043345">
        <w:t xml:space="preserve"> </w:t>
      </w:r>
      <w:r w:rsidR="00FA4EC5">
        <w:t>n</w:t>
      </w:r>
      <w:r w:rsidR="003F540E" w:rsidRPr="00043345">
        <w:t xml:space="preserve">or does </w:t>
      </w:r>
      <w:r w:rsidR="00FA4EC5">
        <w:t>i</w:t>
      </w:r>
      <w:r w:rsidR="003F540E" w:rsidRPr="00043345">
        <w:t>t limit India’s right to possess, acquire and develop means of delivery for nuclear explosive devices, such as ballistic missiles.</w:t>
      </w:r>
      <w:r w:rsidR="003F540E" w:rsidRPr="00043345">
        <w:rPr>
          <w:rStyle w:val="FootnoteReference"/>
        </w:rPr>
        <w:footnoteReference w:id="162"/>
      </w:r>
      <w:r w:rsidR="003F540E" w:rsidRPr="00043345">
        <w:t xml:space="preserve">  </w:t>
      </w:r>
      <w:r w:rsidRPr="00043345">
        <w:t xml:space="preserve">The </w:t>
      </w:r>
      <w:r w:rsidR="0028349D">
        <w:t>“</w:t>
      </w:r>
      <w:r w:rsidRPr="00043345">
        <w:t>separation</w:t>
      </w:r>
      <w:r w:rsidR="0028349D">
        <w:t>”</w:t>
      </w:r>
      <w:r w:rsidRPr="00043345">
        <w:t xml:space="preserve"> of India’s civil and military nuclear programmes </w:t>
      </w:r>
      <w:r w:rsidR="00D83AA1" w:rsidRPr="00043345">
        <w:t xml:space="preserve">under the </w:t>
      </w:r>
      <w:r w:rsidR="001D59A9">
        <w:t xml:space="preserve">123 </w:t>
      </w:r>
      <w:r w:rsidR="00182D97" w:rsidRPr="00043345">
        <w:t>Agreement</w:t>
      </w:r>
      <w:r w:rsidR="00DB60D8" w:rsidRPr="00043345">
        <w:rPr>
          <w:rStyle w:val="FootnoteReference"/>
        </w:rPr>
        <w:footnoteReference w:id="163"/>
      </w:r>
      <w:r w:rsidR="00D83AA1" w:rsidRPr="00043345">
        <w:t xml:space="preserve"> </w:t>
      </w:r>
      <w:r w:rsidRPr="00043345">
        <w:t xml:space="preserve">means </w:t>
      </w:r>
      <w:r w:rsidR="008B5727" w:rsidRPr="00043345">
        <w:t xml:space="preserve">that </w:t>
      </w:r>
      <w:r w:rsidRPr="00043345">
        <w:t xml:space="preserve">it can continue its strategic </w:t>
      </w:r>
      <w:r w:rsidR="00B50DBB" w:rsidRPr="00043345">
        <w:t xml:space="preserve">nuclear </w:t>
      </w:r>
      <w:r w:rsidRPr="00043345">
        <w:t xml:space="preserve">policies </w:t>
      </w:r>
      <w:r w:rsidR="00A27E3A" w:rsidRPr="00043345">
        <w:t xml:space="preserve">essentially </w:t>
      </w:r>
      <w:r w:rsidRPr="00043345">
        <w:t xml:space="preserve">unrestricted by the IAEA </w:t>
      </w:r>
      <w:r w:rsidR="00A27E3A" w:rsidRPr="00043345">
        <w:t>(</w:t>
      </w:r>
      <w:r w:rsidRPr="00043345">
        <w:t>or</w:t>
      </w:r>
      <w:r w:rsidR="00A27E3A" w:rsidRPr="00043345">
        <w:t>, indeed,</w:t>
      </w:r>
      <w:r w:rsidRPr="00043345">
        <w:t xml:space="preserve"> </w:t>
      </w:r>
      <w:r w:rsidR="00B50DBB" w:rsidRPr="00043345">
        <w:t xml:space="preserve">by </w:t>
      </w:r>
      <w:r w:rsidRPr="00043345">
        <w:t>any</w:t>
      </w:r>
      <w:r w:rsidR="008B5727" w:rsidRPr="00043345">
        <w:t xml:space="preserve"> other entity</w:t>
      </w:r>
      <w:r w:rsidR="00A27E3A" w:rsidRPr="00043345">
        <w:t>)</w:t>
      </w:r>
      <w:r w:rsidRPr="00043345">
        <w:t xml:space="preserve">.  </w:t>
      </w:r>
    </w:p>
    <w:p w:rsidR="00872AB8" w:rsidRPr="00043345" w:rsidRDefault="003F540E" w:rsidP="004277D1">
      <w:pPr>
        <w:spacing w:line="480" w:lineRule="auto"/>
        <w:ind w:firstLine="720"/>
        <w:jc w:val="both"/>
      </w:pPr>
      <w:r w:rsidRPr="00043345">
        <w:t>I</w:t>
      </w:r>
      <w:r w:rsidR="00FA4EC5">
        <w:t>n fact, i</w:t>
      </w:r>
      <w:r w:rsidR="00F96A8A" w:rsidRPr="00043345">
        <w:t>t has</w:t>
      </w:r>
      <w:r w:rsidRPr="00043345">
        <w:t xml:space="preserve"> </w:t>
      </w:r>
      <w:r w:rsidR="00F96A8A" w:rsidRPr="00043345">
        <w:t xml:space="preserve">been argued by some writers that the </w:t>
      </w:r>
      <w:r w:rsidR="00580C77" w:rsidRPr="00043345">
        <w:t>123 Agreement</w:t>
      </w:r>
      <w:r w:rsidR="00F96A8A" w:rsidRPr="00043345">
        <w:t xml:space="preserve"> will actually facilitate further Indian weapons production, because the wealth of </w:t>
      </w:r>
      <w:r w:rsidR="00A27E3A" w:rsidRPr="00043345">
        <w:t>possibilities</w:t>
      </w:r>
      <w:r w:rsidR="00F96A8A" w:rsidRPr="00043345">
        <w:t xml:space="preserve"> for  the </w:t>
      </w:r>
      <w:r w:rsidR="00A27E3A" w:rsidRPr="00043345">
        <w:t>acquisition</w:t>
      </w:r>
      <w:r w:rsidR="00F96A8A" w:rsidRPr="00043345">
        <w:t xml:space="preserve"> of nuclear materials for civil </w:t>
      </w:r>
      <w:r w:rsidR="00A27E3A" w:rsidRPr="00043345">
        <w:t>purposes</w:t>
      </w:r>
      <w:r w:rsidR="00580C77" w:rsidRPr="00043345">
        <w:t xml:space="preserve"> that the deal </w:t>
      </w:r>
      <w:r w:rsidR="00580C77" w:rsidRPr="00043345">
        <w:lastRenderedPageBreak/>
        <w:t>provides</w:t>
      </w:r>
      <w:r w:rsidR="00F96A8A" w:rsidRPr="00043345">
        <w:t xml:space="preserve"> will </w:t>
      </w:r>
      <w:r w:rsidR="0028349D">
        <w:t>“</w:t>
      </w:r>
      <w:r w:rsidR="00F96A8A" w:rsidRPr="00043345">
        <w:t xml:space="preserve">free </w:t>
      </w:r>
      <w:r w:rsidR="0028349D" w:rsidRPr="00043345">
        <w:t>up</w:t>
      </w:r>
      <w:r w:rsidR="0028349D">
        <w:t>”</w:t>
      </w:r>
      <w:r w:rsidR="0028349D" w:rsidRPr="00043345">
        <w:t xml:space="preserve"> </w:t>
      </w:r>
      <w:r w:rsidR="00A27E3A" w:rsidRPr="00043345">
        <w:t>India’s domestic</w:t>
      </w:r>
      <w:r w:rsidR="00F96A8A" w:rsidRPr="00043345">
        <w:t xml:space="preserve"> uranium deposits for </w:t>
      </w:r>
      <w:r w:rsidR="00A27E3A" w:rsidRPr="00043345">
        <w:t>it</w:t>
      </w:r>
      <w:r w:rsidR="00F96A8A" w:rsidRPr="00043345">
        <w:t>s weapons programme, should it so wish</w:t>
      </w:r>
      <w:r w:rsidR="00A27E3A" w:rsidRPr="00043345">
        <w:t>.</w:t>
      </w:r>
      <w:r w:rsidR="00A27E3A" w:rsidRPr="00043345">
        <w:rPr>
          <w:rStyle w:val="FootnoteReference"/>
        </w:rPr>
        <w:footnoteReference w:id="164"/>
      </w:r>
      <w:r w:rsidR="006C39E4" w:rsidRPr="00043345">
        <w:t xml:space="preserve">  This concern has </w:t>
      </w:r>
      <w:r w:rsidR="00FA4EC5">
        <w:t xml:space="preserve">been </w:t>
      </w:r>
      <w:r w:rsidR="00E1745A" w:rsidRPr="00043345">
        <w:t xml:space="preserve">conspicuously </w:t>
      </w:r>
      <w:r w:rsidR="006C39E4" w:rsidRPr="00043345">
        <w:t>expressed by Pakistan.</w:t>
      </w:r>
      <w:r w:rsidR="006C39E4" w:rsidRPr="00043345">
        <w:rPr>
          <w:rStyle w:val="FootnoteReference"/>
        </w:rPr>
        <w:footnoteReference w:id="165"/>
      </w:r>
      <w:r w:rsidRPr="00043345">
        <w:t xml:space="preserve">  It should be noted, however, that a number of writers have disputed </w:t>
      </w:r>
      <w:r w:rsidR="00E1745A" w:rsidRPr="00043345">
        <w:t>this claim and questioned – for a variety of reasons – whether the 123 Agreement will</w:t>
      </w:r>
      <w:r w:rsidR="00F70A2B">
        <w:t>,</w:t>
      </w:r>
      <w:r w:rsidR="00E1745A" w:rsidRPr="00043345">
        <w:t xml:space="preserve"> in fact</w:t>
      </w:r>
      <w:r w:rsidR="00F70A2B">
        <w:t>,</w:t>
      </w:r>
      <w:r w:rsidR="00E1745A" w:rsidRPr="00043345">
        <w:t xml:space="preserve"> lead to any increase in the size of India’s nuclear arsenal, or even whether the deal will factually increase the </w:t>
      </w:r>
      <w:r w:rsidR="00E1745A" w:rsidRPr="00043345">
        <w:rPr>
          <w:i/>
        </w:rPr>
        <w:t>capability</w:t>
      </w:r>
      <w:r w:rsidR="00E1745A" w:rsidRPr="00043345">
        <w:t xml:space="preserve"> of India to enlarge its nuclear stockpiles.</w:t>
      </w:r>
      <w:r w:rsidR="00E1745A" w:rsidRPr="00043345">
        <w:rPr>
          <w:rStyle w:val="FootnoteReference"/>
        </w:rPr>
        <w:footnoteReference w:id="166"/>
      </w:r>
    </w:p>
    <w:p w:rsidR="00F52CAF" w:rsidRDefault="000C350E">
      <w:pPr>
        <w:jc w:val="center"/>
        <w:rPr>
          <w:b/>
          <w:lang w:val="en-US"/>
        </w:rPr>
      </w:pPr>
      <w:r>
        <w:rPr>
          <w:b/>
          <w:lang w:val="en-US"/>
        </w:rPr>
        <w:t>B.</w:t>
      </w:r>
      <w:r w:rsidR="00CF2F01" w:rsidRPr="00CF2F01">
        <w:rPr>
          <w:b/>
          <w:lang w:val="en-US"/>
        </w:rPr>
        <w:t xml:space="preserve"> India’s Objections Retracted </w:t>
      </w:r>
      <w:r w:rsidR="00CF2F01" w:rsidRPr="00CF2F01">
        <w:rPr>
          <w:b/>
          <w:i/>
          <w:lang w:val="en-US"/>
        </w:rPr>
        <w:t>De Jure</w:t>
      </w:r>
      <w:r w:rsidR="00CF2F01" w:rsidRPr="00CF2F01">
        <w:rPr>
          <w:b/>
          <w:lang w:val="en-US"/>
        </w:rPr>
        <w:t>?: Does the 123 Agreement Prohibit Nuclear Testing?</w:t>
      </w:r>
    </w:p>
    <w:p w:rsidR="00A62DD9" w:rsidRPr="00043345" w:rsidRDefault="00A62DD9" w:rsidP="00955F35">
      <w:pPr>
        <w:autoSpaceDE w:val="0"/>
        <w:autoSpaceDN w:val="0"/>
        <w:adjustRightInd w:val="0"/>
        <w:jc w:val="both"/>
      </w:pPr>
    </w:p>
    <w:p w:rsidR="002E1D47" w:rsidRPr="00043345" w:rsidRDefault="00C76F53" w:rsidP="004277D1">
      <w:pPr>
        <w:autoSpaceDE w:val="0"/>
        <w:autoSpaceDN w:val="0"/>
        <w:adjustRightInd w:val="0"/>
        <w:spacing w:line="480" w:lineRule="auto"/>
        <w:ind w:firstLine="720"/>
        <w:jc w:val="both"/>
      </w:pPr>
      <w:r w:rsidRPr="00043345">
        <w:t xml:space="preserve">While the 123 Agreement clearly does not restrict India’s possession or further </w:t>
      </w:r>
      <w:r w:rsidR="00A27E3A" w:rsidRPr="00043345">
        <w:t>development</w:t>
      </w:r>
      <w:r w:rsidRPr="00043345">
        <w:t xml:space="preserve"> of nuclear weapons, what is important for the purposes of this article is</w:t>
      </w:r>
      <w:r w:rsidR="00FA4EC5">
        <w:t xml:space="preserve"> to note</w:t>
      </w:r>
      <w:r w:rsidRPr="00043345">
        <w:t xml:space="preserve"> that some writer</w:t>
      </w:r>
      <w:r w:rsidR="00A27E3A" w:rsidRPr="00043345">
        <w:t>s</w:t>
      </w:r>
      <w:r w:rsidRPr="00043345">
        <w:t xml:space="preserve"> have </w:t>
      </w:r>
      <w:r w:rsidR="00182D97" w:rsidRPr="00043345">
        <w:t>argued</w:t>
      </w:r>
      <w:r w:rsidRPr="00043345">
        <w:t xml:space="preserve"> that the deal </w:t>
      </w:r>
      <w:r w:rsidR="00A27E3A" w:rsidRPr="00043345">
        <w:rPr>
          <w:i/>
        </w:rPr>
        <w:t>does</w:t>
      </w:r>
      <w:r w:rsidR="00A27E3A" w:rsidRPr="00043345">
        <w:t xml:space="preserve"> </w:t>
      </w:r>
      <w:r w:rsidR="00182D97" w:rsidRPr="00043345">
        <w:t>impose an obligation on</w:t>
      </w:r>
      <w:r w:rsidRPr="00043345">
        <w:t xml:space="preserve"> India to refrain from </w:t>
      </w:r>
      <w:r w:rsidRPr="00043345">
        <w:rPr>
          <w:i/>
        </w:rPr>
        <w:t>testing</w:t>
      </w:r>
      <w:r w:rsidRPr="00043345">
        <w:t xml:space="preserve"> such weapons.</w:t>
      </w:r>
      <w:r w:rsidR="005B70E7">
        <w:rPr>
          <w:rStyle w:val="FootnoteReference"/>
        </w:rPr>
        <w:footnoteReference w:id="167"/>
      </w:r>
      <w:r w:rsidRPr="00043345">
        <w:t xml:space="preserve">  </w:t>
      </w:r>
      <w:r w:rsidR="00BB501E" w:rsidRPr="00043345">
        <w:t xml:space="preserve">Erkel, for example, states that the 123 Agreement requires </w:t>
      </w:r>
      <w:r w:rsidR="0028349D">
        <w:t>“</w:t>
      </w:r>
      <w:r w:rsidR="00BB501E" w:rsidRPr="00043345">
        <w:t>India to concede the right to future nuclear weapons tests.</w:t>
      </w:r>
      <w:r w:rsidR="0028349D">
        <w:t>”</w:t>
      </w:r>
      <w:r w:rsidR="00BB501E" w:rsidRPr="00043345">
        <w:rPr>
          <w:rStyle w:val="FootnoteReference"/>
        </w:rPr>
        <w:footnoteReference w:id="168"/>
      </w:r>
      <w:r w:rsidR="00BB501E" w:rsidRPr="00043345">
        <w:t xml:space="preserve">  </w:t>
      </w:r>
      <w:r w:rsidR="002E1D47" w:rsidRPr="00043345">
        <w:lastRenderedPageBreak/>
        <w:t xml:space="preserve">Slightly less emphatically, certain other writers have </w:t>
      </w:r>
      <w:r w:rsidR="00601555" w:rsidRPr="00043345">
        <w:t>taken the view</w:t>
      </w:r>
      <w:r w:rsidR="002E1D47" w:rsidRPr="00043345">
        <w:t xml:space="preserve"> that a </w:t>
      </w:r>
      <w:r w:rsidR="00742C5C" w:rsidRPr="00043345">
        <w:t>continua</w:t>
      </w:r>
      <w:r w:rsidR="00742C5C">
        <w:t>tion</w:t>
      </w:r>
      <w:r w:rsidR="00742C5C" w:rsidRPr="00043345">
        <w:t xml:space="preserve"> </w:t>
      </w:r>
      <w:r w:rsidR="002E1D47" w:rsidRPr="00043345">
        <w:t xml:space="preserve">of India’s unilateral moratorium on testing was a prerequisite for the </w:t>
      </w:r>
      <w:r w:rsidR="008C2459">
        <w:t>treaty</w:t>
      </w:r>
      <w:r w:rsidR="002E1D47" w:rsidRPr="00043345">
        <w:t>.</w:t>
      </w:r>
      <w:r w:rsidR="003434A5" w:rsidRPr="00043345">
        <w:rPr>
          <w:rStyle w:val="FootnoteReference"/>
        </w:rPr>
        <w:footnoteReference w:id="169"/>
      </w:r>
      <w:r w:rsidR="002E1D47" w:rsidRPr="00043345">
        <w:t xml:space="preserve">  W</w:t>
      </w:r>
      <w:r w:rsidR="00580C77" w:rsidRPr="00043345">
        <w:t>ithin India,</w:t>
      </w:r>
      <w:r w:rsidR="004443CC" w:rsidRPr="00043345">
        <w:t xml:space="preserve"> the </w:t>
      </w:r>
      <w:r w:rsidR="00A62DD9" w:rsidRPr="00043345">
        <w:t xml:space="preserve">Bharatiya Janata Party </w:t>
      </w:r>
      <w:r w:rsidR="004443CC" w:rsidRPr="00043345">
        <w:t xml:space="preserve">argued strongly </w:t>
      </w:r>
      <w:r w:rsidR="00A62DD9" w:rsidRPr="00043345">
        <w:t>during</w:t>
      </w:r>
      <w:r w:rsidR="004443CC" w:rsidRPr="00043345">
        <w:t xml:space="preserve"> debates over the deal that the 123 Agreement would prevent India from conducting future tests.</w:t>
      </w:r>
      <w:r w:rsidR="00A62DD9" w:rsidRPr="00043345">
        <w:rPr>
          <w:rStyle w:val="FootnoteReference"/>
        </w:rPr>
        <w:footnoteReference w:id="170"/>
      </w:r>
      <w:r w:rsidR="004443CC" w:rsidRPr="00043345">
        <w:t xml:space="preserve">  </w:t>
      </w:r>
    </w:p>
    <w:p w:rsidR="00075C73" w:rsidRPr="00043345" w:rsidRDefault="00C76F53" w:rsidP="004277D1">
      <w:pPr>
        <w:autoSpaceDE w:val="0"/>
        <w:autoSpaceDN w:val="0"/>
        <w:adjustRightInd w:val="0"/>
        <w:spacing w:line="480" w:lineRule="auto"/>
        <w:ind w:firstLine="720"/>
        <w:jc w:val="both"/>
      </w:pPr>
      <w:r w:rsidRPr="00043345">
        <w:t>If th</w:t>
      </w:r>
      <w:r w:rsidR="003434A5" w:rsidRPr="00043345">
        <w:t>e 123 Agreement does</w:t>
      </w:r>
      <w:r w:rsidR="00F70A2B">
        <w:t>,</w:t>
      </w:r>
      <w:r w:rsidR="003434A5" w:rsidRPr="00043345">
        <w:t xml:space="preserve"> in fact</w:t>
      </w:r>
      <w:r w:rsidR="00F70A2B">
        <w:t>,</w:t>
      </w:r>
      <w:r w:rsidR="003434A5" w:rsidRPr="00043345">
        <w:t xml:space="preserve"> restrict further Indian testing</w:t>
      </w:r>
      <w:r w:rsidRPr="00043345">
        <w:t xml:space="preserve">, the </w:t>
      </w:r>
      <w:r w:rsidR="003434A5" w:rsidRPr="00043345">
        <w:t>deal</w:t>
      </w:r>
      <w:r w:rsidRPr="00043345">
        <w:t xml:space="preserve"> </w:t>
      </w:r>
      <w:r w:rsidR="00401196" w:rsidRPr="00043345">
        <w:t>would</w:t>
      </w:r>
      <w:r w:rsidRPr="00043345">
        <w:t xml:space="preserve"> amount to a revocation by India of its persistent objector status with regard to nuclear testing, irrespective of th</w:t>
      </w:r>
      <w:r w:rsidR="00092E6E" w:rsidRPr="00043345">
        <w:t>e</w:t>
      </w:r>
      <w:r w:rsidRPr="00043345">
        <w:t xml:space="preserve"> fact that the comprehensive </w:t>
      </w:r>
      <w:r w:rsidR="00092E6E" w:rsidRPr="00043345">
        <w:t>test-</w:t>
      </w:r>
      <w:r w:rsidRPr="00043345">
        <w:t>ban is not peremptory in nature.</w:t>
      </w:r>
      <w:r w:rsidR="006C39E4" w:rsidRPr="00043345">
        <w:t xml:space="preserve">  Unlike</w:t>
      </w:r>
      <w:r w:rsidR="008C2459">
        <w:t>, say,</w:t>
      </w:r>
      <w:r w:rsidR="006C39E4" w:rsidRPr="00043345">
        <w:t xml:space="preserve"> the Lahore MOU, the 123 Agreement binds India directly under international law.</w:t>
      </w:r>
    </w:p>
    <w:p w:rsidR="002E1D47" w:rsidRPr="00043345" w:rsidRDefault="002E1D47" w:rsidP="004277D1">
      <w:pPr>
        <w:spacing w:line="480" w:lineRule="auto"/>
        <w:ind w:firstLine="720"/>
        <w:jc w:val="both"/>
      </w:pPr>
      <w:r w:rsidRPr="00043345">
        <w:t xml:space="preserve">There are a number of factors </w:t>
      </w:r>
      <w:r w:rsidR="003434A5" w:rsidRPr="00043345">
        <w:t>suggesting</w:t>
      </w:r>
      <w:r w:rsidRPr="00043345">
        <w:t xml:space="preserve"> that the 123 Agreement may impose a comprehensive </w:t>
      </w:r>
      <w:r w:rsidR="008C2459">
        <w:t xml:space="preserve">nuclear </w:t>
      </w:r>
      <w:r w:rsidRPr="00043345">
        <w:t>test-ban obligation</w:t>
      </w:r>
      <w:r w:rsidR="003434A5" w:rsidRPr="00043345">
        <w:t>.  Fi</w:t>
      </w:r>
      <w:r w:rsidR="00181273" w:rsidRPr="00043345">
        <w:t>rst, it is notable that</w:t>
      </w:r>
      <w:r w:rsidR="00534933" w:rsidRPr="00043345">
        <w:t>,</w:t>
      </w:r>
      <w:r w:rsidR="00181273" w:rsidRPr="00043345">
        <w:t xml:space="preserve"> in the </w:t>
      </w:r>
      <w:r w:rsidR="0028349D">
        <w:t>“</w:t>
      </w:r>
      <w:r w:rsidR="00181273" w:rsidRPr="00043345">
        <w:t>Joint S</w:t>
      </w:r>
      <w:r w:rsidR="003434A5" w:rsidRPr="00043345">
        <w:t>tatement</w:t>
      </w:r>
      <w:r w:rsidR="0028349D">
        <w:t>”</w:t>
      </w:r>
      <w:r w:rsidR="003434A5" w:rsidRPr="00043345">
        <w:t xml:space="preserve"> issued by the United States and India in 2005 outlining their plans for nuclear cooperation (of which the </w:t>
      </w:r>
      <w:r w:rsidR="00BF6DB7" w:rsidRPr="00043345">
        <w:t xml:space="preserve">123 Agreement </w:t>
      </w:r>
      <w:r w:rsidR="003434A5" w:rsidRPr="00043345">
        <w:t xml:space="preserve">is the integral part), Indian Prime Minister Manmohan </w:t>
      </w:r>
      <w:r w:rsidR="00181273" w:rsidRPr="00043345">
        <w:t>Singh clearly</w:t>
      </w:r>
      <w:r w:rsidR="003434A5" w:rsidRPr="00043345">
        <w:t xml:space="preserve"> affirmed India’s commitment to continuing its moratorium.</w:t>
      </w:r>
      <w:r w:rsidR="003434A5" w:rsidRPr="00043345">
        <w:rPr>
          <w:rStyle w:val="FootnoteReference"/>
        </w:rPr>
        <w:footnoteReference w:id="171"/>
      </w:r>
    </w:p>
    <w:p w:rsidR="00181273" w:rsidRPr="00043345" w:rsidRDefault="003434A5" w:rsidP="004277D1">
      <w:pPr>
        <w:spacing w:line="480" w:lineRule="auto"/>
        <w:ind w:firstLine="720"/>
        <w:jc w:val="both"/>
      </w:pPr>
      <w:r w:rsidRPr="00043345">
        <w:t xml:space="preserve">Secondly, </w:t>
      </w:r>
      <w:r w:rsidR="00181273" w:rsidRPr="00043345">
        <w:t xml:space="preserve">the </w:t>
      </w:r>
      <w:r w:rsidR="0028349D">
        <w:t>“</w:t>
      </w:r>
      <w:r w:rsidR="00181273" w:rsidRPr="00043345">
        <w:t>Statement on Civil Nuclear Cooperation with India</w:t>
      </w:r>
      <w:r w:rsidR="0028349D">
        <w:t>”</w:t>
      </w:r>
      <w:r w:rsidR="00181273" w:rsidRPr="00043345">
        <w:t xml:space="preserve"> issued by the Nuclear Suppliers Group (NSG) explicitly referred to India refraining from any </w:t>
      </w:r>
      <w:r w:rsidR="00181273" w:rsidRPr="00043345">
        <w:lastRenderedPageBreak/>
        <w:t>future nuclear tests.</w:t>
      </w:r>
      <w:r w:rsidR="00181273" w:rsidRPr="00043345">
        <w:rPr>
          <w:rStyle w:val="FootnoteReference"/>
        </w:rPr>
        <w:footnoteReference w:id="172"/>
      </w:r>
      <w:r w:rsidR="00181273" w:rsidRPr="00043345">
        <w:t xml:space="preserve">  The statement set out the NSG waiver, which – in regard to India – lifted the political restriction on trading nuclear materials and technologies to </w:t>
      </w:r>
      <w:r w:rsidR="007F7E94">
        <w:t>S</w:t>
      </w:r>
      <w:r w:rsidR="007F7E94" w:rsidRPr="00043345">
        <w:t xml:space="preserve">tates </w:t>
      </w:r>
      <w:r w:rsidR="00181273" w:rsidRPr="00043345">
        <w:t xml:space="preserve">that are not </w:t>
      </w:r>
      <w:r w:rsidR="0081252D">
        <w:t>P</w:t>
      </w:r>
      <w:r w:rsidR="0081252D" w:rsidRPr="00043345">
        <w:t>art</w:t>
      </w:r>
      <w:r w:rsidR="0081252D">
        <w:t>ies</w:t>
      </w:r>
      <w:r w:rsidR="0081252D" w:rsidRPr="00043345">
        <w:t xml:space="preserve"> </w:t>
      </w:r>
      <w:r w:rsidR="00181273" w:rsidRPr="00043345">
        <w:t xml:space="preserve">to the NPT or other non-proliferation instruments and which have not submitted to </w:t>
      </w:r>
      <w:r w:rsidR="0028349D">
        <w:t>“</w:t>
      </w:r>
      <w:r w:rsidR="00181273" w:rsidRPr="00043345">
        <w:t>full-scope</w:t>
      </w:r>
      <w:r w:rsidR="0028349D">
        <w:t>”</w:t>
      </w:r>
      <w:r w:rsidR="00181273" w:rsidRPr="00043345">
        <w:t xml:space="preserve"> safeguards.</w:t>
      </w:r>
      <w:r w:rsidR="00181273" w:rsidRPr="00043345">
        <w:rPr>
          <w:rStyle w:val="FootnoteReference"/>
        </w:rPr>
        <w:footnoteReference w:id="173"/>
      </w:r>
      <w:r w:rsidR="00181273" w:rsidRPr="00043345">
        <w:t xml:space="preserve">  The NSG waiver was required for the United States to be able to </w:t>
      </w:r>
      <w:r w:rsidR="0028349D">
        <w:t>“</w:t>
      </w:r>
      <w:r w:rsidR="00181273" w:rsidRPr="00043345">
        <w:t>operationalise</w:t>
      </w:r>
      <w:r w:rsidR="0028349D">
        <w:t>”</w:t>
      </w:r>
      <w:r w:rsidR="00181273" w:rsidRPr="00043345">
        <w:t xml:space="preserve"> the 123 Agreement.</w:t>
      </w:r>
      <w:r w:rsidR="00181273" w:rsidRPr="00043345">
        <w:rPr>
          <w:rStyle w:val="FootnoteReference"/>
        </w:rPr>
        <w:footnoteReference w:id="174"/>
      </w:r>
      <w:r w:rsidR="00181273" w:rsidRPr="00043345">
        <w:t xml:space="preserve">  The statement of waiver </w:t>
      </w:r>
      <w:r w:rsidR="008218E3">
        <w:t xml:space="preserve">certainly </w:t>
      </w:r>
      <w:r w:rsidR="00181273" w:rsidRPr="00043345">
        <w:t xml:space="preserve">made clear reference to the </w:t>
      </w:r>
      <w:r w:rsidR="0028349D">
        <w:t>“</w:t>
      </w:r>
      <w:r w:rsidR="00181273" w:rsidRPr="00043345">
        <w:t>testing</w:t>
      </w:r>
      <w:r w:rsidR="0028349D">
        <w:t>”</w:t>
      </w:r>
      <w:r w:rsidR="00181273" w:rsidRPr="00043345">
        <w:t xml:space="preserve"> issue</w:t>
      </w:r>
      <w:r w:rsidR="008218E3">
        <w:t xml:space="preserve">, and on this basis it has been argued </w:t>
      </w:r>
      <w:r w:rsidR="002608F6">
        <w:t xml:space="preserve">that abstention from testing was a </w:t>
      </w:r>
      <w:r w:rsidR="0028349D">
        <w:t>“</w:t>
      </w:r>
      <w:r w:rsidR="002608F6">
        <w:t>conditional requirement</w:t>
      </w:r>
      <w:r w:rsidR="0028349D">
        <w:t>”</w:t>
      </w:r>
      <w:r w:rsidR="002608F6">
        <w:t xml:space="preserve"> for the waiver</w:t>
      </w:r>
      <w:r w:rsidR="00181273" w:rsidRPr="00043345">
        <w:t>.</w:t>
      </w:r>
      <w:r w:rsidR="002608F6">
        <w:rPr>
          <w:rStyle w:val="FootnoteReference"/>
        </w:rPr>
        <w:footnoteReference w:id="175"/>
      </w:r>
    </w:p>
    <w:p w:rsidR="002608F6" w:rsidRDefault="00181273" w:rsidP="004277D1">
      <w:pPr>
        <w:spacing w:line="480" w:lineRule="auto"/>
        <w:ind w:firstLine="720"/>
        <w:jc w:val="both"/>
      </w:pPr>
      <w:r w:rsidRPr="00043345">
        <w:t xml:space="preserve">Thirdly, </w:t>
      </w:r>
      <w:r w:rsidR="003434A5" w:rsidRPr="00043345">
        <w:t xml:space="preserve">the </w:t>
      </w:r>
      <w:r w:rsidRPr="00043345">
        <w:t>question</w:t>
      </w:r>
      <w:r w:rsidR="003434A5" w:rsidRPr="00043345">
        <w:t xml:space="preserve"> of </w:t>
      </w:r>
      <w:r w:rsidRPr="00043345">
        <w:t xml:space="preserve">future </w:t>
      </w:r>
      <w:r w:rsidR="003434A5" w:rsidRPr="00043345">
        <w:t>Indian nuclear test</w:t>
      </w:r>
      <w:r w:rsidRPr="00043345">
        <w:t>s</w:t>
      </w:r>
      <w:r w:rsidR="003434A5" w:rsidRPr="00043345">
        <w:t xml:space="preserve"> in the context of the 123 </w:t>
      </w:r>
      <w:r w:rsidR="003434A5" w:rsidRPr="002608F6">
        <w:t xml:space="preserve">Agreement can be assessed in </w:t>
      </w:r>
      <w:r w:rsidR="00BF6DB7" w:rsidRPr="002608F6">
        <w:t>relation to</w:t>
      </w:r>
      <w:r w:rsidR="003434A5" w:rsidRPr="002608F6">
        <w:t xml:space="preserve"> the </w:t>
      </w:r>
      <w:r w:rsidR="00401196" w:rsidRPr="002608F6">
        <w:t xml:space="preserve">domestic </w:t>
      </w:r>
      <w:r w:rsidR="006C39E4" w:rsidRPr="002608F6">
        <w:t xml:space="preserve">export </w:t>
      </w:r>
      <w:r w:rsidR="00401196" w:rsidRPr="002608F6">
        <w:t>law</w:t>
      </w:r>
      <w:r w:rsidR="006C39E4" w:rsidRPr="002608F6">
        <w:t>s</w:t>
      </w:r>
      <w:r w:rsidR="00401196" w:rsidRPr="002608F6">
        <w:t xml:space="preserve"> of the United States</w:t>
      </w:r>
      <w:r w:rsidR="00013815" w:rsidRPr="002608F6">
        <w:t>.</w:t>
      </w:r>
      <w:r w:rsidR="002608F6" w:rsidRPr="002608F6">
        <w:t xml:space="preserve">  </w:t>
      </w:r>
      <w:r w:rsidR="002608F6">
        <w:t xml:space="preserve">Focus on American legislation has led to the argument </w:t>
      </w:r>
      <w:r w:rsidR="002608F6" w:rsidRPr="002608F6">
        <w:t xml:space="preserve">that under the 123 Agreement, </w:t>
      </w:r>
      <w:r w:rsidR="0028349D">
        <w:t>“</w:t>
      </w:r>
      <w:r w:rsidR="002608F6" w:rsidRPr="002608F6">
        <w:t>India is now bound by U.S. law.  This means India has lost its right to nuclear test.</w:t>
      </w:r>
      <w:r w:rsidR="0028349D">
        <w:t>”</w:t>
      </w:r>
      <w:r w:rsidR="002608F6" w:rsidRPr="002608F6">
        <w:rPr>
          <w:rStyle w:val="FootnoteReference"/>
        </w:rPr>
        <w:footnoteReference w:id="176"/>
      </w:r>
      <w:r w:rsidR="002608F6" w:rsidRPr="002608F6">
        <w:t xml:space="preserve">  It is certainly the case that a future Indian test would – since the signing of the 123 Agreement – have notable implications</w:t>
      </w:r>
      <w:r w:rsidR="00013815" w:rsidRPr="002608F6">
        <w:t xml:space="preserve"> </w:t>
      </w:r>
      <w:r w:rsidR="002608F6" w:rsidRPr="002608F6">
        <w:t xml:space="preserve">under American domestic law.  </w:t>
      </w:r>
    </w:p>
    <w:p w:rsidR="00E62785" w:rsidRPr="00043345" w:rsidRDefault="00401196" w:rsidP="004277D1">
      <w:pPr>
        <w:spacing w:line="480" w:lineRule="auto"/>
        <w:ind w:firstLine="720"/>
        <w:jc w:val="both"/>
      </w:pPr>
      <w:r w:rsidRPr="002608F6">
        <w:t>Section 123</w:t>
      </w:r>
      <w:r w:rsidR="00013815" w:rsidRPr="002608F6">
        <w:t xml:space="preserve"> </w:t>
      </w:r>
      <w:r w:rsidR="00075C73" w:rsidRPr="002608F6">
        <w:t>of the Atomic Energy Act (AEA)</w:t>
      </w:r>
      <w:r w:rsidRPr="002608F6">
        <w:t xml:space="preserve"> 1954</w:t>
      </w:r>
      <w:r w:rsidR="00075C73" w:rsidRPr="002608F6">
        <w:rPr>
          <w:rStyle w:val="FootnoteReference"/>
        </w:rPr>
        <w:footnoteReference w:id="177"/>
      </w:r>
      <w:r w:rsidRPr="002608F6">
        <w:t xml:space="preserve"> </w:t>
      </w:r>
      <w:r w:rsidR="00013815" w:rsidRPr="002608F6">
        <w:t>regulates American nuclear</w:t>
      </w:r>
      <w:r w:rsidR="00013815" w:rsidRPr="00043345">
        <w:t xml:space="preserve"> cooperation with other </w:t>
      </w:r>
      <w:r w:rsidR="007D7C9E">
        <w:t>S</w:t>
      </w:r>
      <w:r w:rsidR="007D7C9E" w:rsidRPr="00043345">
        <w:t>tates</w:t>
      </w:r>
      <w:r w:rsidR="00013815" w:rsidRPr="00043345">
        <w:t xml:space="preserve">.  Specifically, Section 123(a)(2) of the AEA </w:t>
      </w:r>
      <w:r w:rsidRPr="00043345">
        <w:t xml:space="preserve">prohibits the United States from </w:t>
      </w:r>
      <w:r w:rsidR="00013815" w:rsidRPr="00043345">
        <w:t xml:space="preserve">international </w:t>
      </w:r>
      <w:r w:rsidRPr="00043345">
        <w:t xml:space="preserve">nuclear cooperation unless </w:t>
      </w:r>
      <w:r w:rsidR="0028349D">
        <w:t>“</w:t>
      </w:r>
      <w:r w:rsidR="00075C73" w:rsidRPr="00043345">
        <w:t>full-scope</w:t>
      </w:r>
      <w:r w:rsidR="0028349D">
        <w:t>”</w:t>
      </w:r>
      <w:r w:rsidR="00075C73" w:rsidRPr="00043345">
        <w:t xml:space="preserve"> </w:t>
      </w:r>
      <w:r w:rsidRPr="00043345">
        <w:lastRenderedPageBreak/>
        <w:t xml:space="preserve">IAEA safeguards are </w:t>
      </w:r>
      <w:r w:rsidR="00075C73" w:rsidRPr="00043345">
        <w:t>in place.</w:t>
      </w:r>
      <w:r w:rsidRPr="00043345">
        <w:rPr>
          <w:rStyle w:val="FootnoteReference"/>
        </w:rPr>
        <w:footnoteReference w:id="178"/>
      </w:r>
      <w:r w:rsidRPr="00043345">
        <w:t xml:space="preserve">  The </w:t>
      </w:r>
      <w:r w:rsidR="0028349D">
        <w:t>“</w:t>
      </w:r>
      <w:r w:rsidRPr="00043345">
        <w:t>separation</w:t>
      </w:r>
      <w:r w:rsidR="0028349D">
        <w:t>”</w:t>
      </w:r>
      <w:r w:rsidRPr="00043345">
        <w:t xml:space="preserve"> of Indian civil and military nuclear programmes as part of the 123 Agreement meant </w:t>
      </w:r>
      <w:r w:rsidR="005523AB">
        <w:t xml:space="preserve">that </w:t>
      </w:r>
      <w:r w:rsidRPr="00043345">
        <w:t xml:space="preserve">an amendment </w:t>
      </w:r>
      <w:r w:rsidR="005523AB">
        <w:t>to</w:t>
      </w:r>
      <w:r w:rsidR="005523AB" w:rsidRPr="00043345">
        <w:t xml:space="preserve"> </w:t>
      </w:r>
      <w:r w:rsidRPr="00043345">
        <w:t xml:space="preserve">Section 123(a)(2) </w:t>
      </w:r>
      <w:r w:rsidR="00915643">
        <w:t xml:space="preserve">of the </w:t>
      </w:r>
      <w:r w:rsidRPr="00043345">
        <w:t>AEA was required before the United States could conclude the nuclear deal with India.</w:t>
      </w:r>
      <w:r w:rsidR="00DB60D8" w:rsidRPr="00043345">
        <w:rPr>
          <w:rStyle w:val="FootnoteReference"/>
        </w:rPr>
        <w:footnoteReference w:id="179"/>
      </w:r>
      <w:r w:rsidRPr="00043345">
        <w:t xml:space="preserve">  This legislative amendment was made </w:t>
      </w:r>
      <w:r w:rsidR="00182D97" w:rsidRPr="00043345">
        <w:t xml:space="preserve">by the </w:t>
      </w:r>
      <w:r w:rsidR="00D85D1E">
        <w:t xml:space="preserve">2006 </w:t>
      </w:r>
      <w:r w:rsidRPr="00043345">
        <w:t>Henry J. Hyde United States-India Peaceful Atomic Energy Cooperation Act (Hyde Act).</w:t>
      </w:r>
      <w:r w:rsidR="001F1C42" w:rsidRPr="00043345">
        <w:rPr>
          <w:rStyle w:val="FootnoteReference"/>
        </w:rPr>
        <w:footnoteReference w:id="180"/>
      </w:r>
    </w:p>
    <w:p w:rsidR="00401196" w:rsidRPr="00043345" w:rsidRDefault="00E62785" w:rsidP="004277D1">
      <w:pPr>
        <w:spacing w:line="480" w:lineRule="auto"/>
        <w:ind w:firstLine="720"/>
        <w:jc w:val="both"/>
      </w:pPr>
      <w:r w:rsidRPr="00043345">
        <w:t xml:space="preserve">The Hyde Act provides, in Section 106, that the United States shall immediately terminate all nuclear </w:t>
      </w:r>
      <w:r w:rsidR="00C16369" w:rsidRPr="00043345">
        <w:t>cooperation with</w:t>
      </w:r>
      <w:r w:rsidRPr="00043345">
        <w:t xml:space="preserve"> India should India resume the testing of nuclear weapons.</w:t>
      </w:r>
      <w:r w:rsidR="005C23A8" w:rsidRPr="00043345">
        <w:rPr>
          <w:rStyle w:val="FootnoteReference"/>
        </w:rPr>
        <w:footnoteReference w:id="181"/>
      </w:r>
      <w:r w:rsidR="00C16369" w:rsidRPr="00043345">
        <w:t xml:space="preserve">  This is a specific restatement – in relation to India – of a general obligation under Section 129 of the AEA, which requires the United States to cease nuclear trade </w:t>
      </w:r>
      <w:r w:rsidR="001F1C42" w:rsidRPr="00043345">
        <w:t xml:space="preserve">and cooperation </w:t>
      </w:r>
      <w:r w:rsidR="00C16369" w:rsidRPr="00043345">
        <w:t xml:space="preserve">with any </w:t>
      </w:r>
      <w:r w:rsidR="007D7C9E">
        <w:t>S</w:t>
      </w:r>
      <w:r w:rsidR="007D7C9E" w:rsidRPr="00043345">
        <w:t xml:space="preserve">tate </w:t>
      </w:r>
      <w:r w:rsidR="00C16369" w:rsidRPr="00043345">
        <w:t>that explodes a nuclear device.</w:t>
      </w:r>
      <w:r w:rsidR="005C23A8" w:rsidRPr="00043345">
        <w:rPr>
          <w:rStyle w:val="FootnoteReference"/>
        </w:rPr>
        <w:footnoteReference w:id="182"/>
      </w:r>
      <w:r w:rsidR="00C16369" w:rsidRPr="00043345">
        <w:t xml:space="preserve">  As such, the United States is bound, under both the AEA and the Hyde Act, to terminate the 123 Agreement if India tests</w:t>
      </w:r>
      <w:r w:rsidR="001F1C42" w:rsidRPr="00043345">
        <w:t xml:space="preserve"> another nuclear weapon</w:t>
      </w:r>
      <w:r w:rsidR="00C16369" w:rsidRPr="00043345">
        <w:t>.</w:t>
      </w:r>
    </w:p>
    <w:p w:rsidR="003962EC" w:rsidRPr="00043345" w:rsidRDefault="001F1C42" w:rsidP="004277D1">
      <w:pPr>
        <w:spacing w:line="480" w:lineRule="auto"/>
        <w:ind w:firstLine="720"/>
        <w:jc w:val="both"/>
      </w:pPr>
      <w:r w:rsidRPr="00043345">
        <w:t xml:space="preserve">Moreover, under Section </w:t>
      </w:r>
      <w:r w:rsidR="00CE22C7" w:rsidRPr="00043345">
        <w:t xml:space="preserve">102 of the </w:t>
      </w:r>
      <w:r w:rsidR="00D85D1E">
        <w:t xml:space="preserve">1977 </w:t>
      </w:r>
      <w:r w:rsidR="00CE22C7" w:rsidRPr="00043345">
        <w:t>Arms Export Control Act (AECA)</w:t>
      </w:r>
      <w:r w:rsidR="00CE22C7" w:rsidRPr="00043345">
        <w:rPr>
          <w:rStyle w:val="FootnoteReference"/>
        </w:rPr>
        <w:footnoteReference w:id="183"/>
      </w:r>
      <w:r w:rsidR="00CE22C7" w:rsidRPr="00043345">
        <w:t xml:space="preserve"> (the so-called </w:t>
      </w:r>
      <w:r w:rsidR="0028349D">
        <w:t>“</w:t>
      </w:r>
      <w:r w:rsidR="00CE22C7" w:rsidRPr="00043345">
        <w:t>Glen</w:t>
      </w:r>
      <w:r w:rsidR="00EC69FD" w:rsidRPr="00043345">
        <w:t>n</w:t>
      </w:r>
      <w:r w:rsidR="00CE22C7" w:rsidRPr="00043345">
        <w:t xml:space="preserve"> Amendment</w:t>
      </w:r>
      <w:r w:rsidR="0028349D">
        <w:t>”</w:t>
      </w:r>
      <w:r w:rsidR="00CE22C7" w:rsidRPr="00043345">
        <w:t xml:space="preserve">), the President of the United States is required to impose sanctions on any </w:t>
      </w:r>
      <w:r w:rsidR="0028349D">
        <w:t>“</w:t>
      </w:r>
      <w:r w:rsidR="00CE22C7" w:rsidRPr="00043345">
        <w:t>technical</w:t>
      </w:r>
      <w:r w:rsidR="0028349D">
        <w:t>”</w:t>
      </w:r>
      <w:r w:rsidR="00CE22C7" w:rsidRPr="00043345">
        <w:t xml:space="preserve"> NNWS (as designated by the NPT)</w:t>
      </w:r>
      <w:r w:rsidR="00182D97" w:rsidRPr="00043345">
        <w:rPr>
          <w:rStyle w:val="FootnoteReference"/>
        </w:rPr>
        <w:footnoteReference w:id="184"/>
      </w:r>
      <w:r w:rsidR="00CE22C7" w:rsidRPr="00043345">
        <w:t xml:space="preserve"> if th</w:t>
      </w:r>
      <w:r w:rsidR="00182D97" w:rsidRPr="00043345">
        <w:t>e</w:t>
      </w:r>
      <w:r w:rsidR="00CE22C7" w:rsidRPr="00043345">
        <w:t xml:space="preserve"> </w:t>
      </w:r>
      <w:r w:rsidR="007D7C9E">
        <w:t>S</w:t>
      </w:r>
      <w:r w:rsidR="007D7C9E" w:rsidRPr="00043345">
        <w:t xml:space="preserve">tate </w:t>
      </w:r>
      <w:r w:rsidR="00182D97" w:rsidRPr="00043345">
        <w:t xml:space="preserve">in question </w:t>
      </w:r>
      <w:r w:rsidR="00CE22C7" w:rsidRPr="00043345">
        <w:t xml:space="preserve">explodes a nuclear device.  Thus, under its own domestic law, the United States would be obliged not merely to terminate the 123 Agreement should </w:t>
      </w:r>
      <w:r w:rsidR="00641C5D" w:rsidRPr="00043345">
        <w:t>India</w:t>
      </w:r>
      <w:r w:rsidR="00CE22C7" w:rsidRPr="00043345">
        <w:t xml:space="preserve"> conduct another nuclear test but also – at least </w:t>
      </w:r>
      <w:r w:rsidR="00CE22C7" w:rsidRPr="00043345">
        <w:rPr>
          <w:i/>
        </w:rPr>
        <w:t>prima facie</w:t>
      </w:r>
      <w:r w:rsidR="00641C5D" w:rsidRPr="00043345">
        <w:t xml:space="preserve"> –</w:t>
      </w:r>
      <w:r w:rsidR="00182D97" w:rsidRPr="00043345">
        <w:t xml:space="preserve"> </w:t>
      </w:r>
      <w:r w:rsidR="00CE22C7" w:rsidRPr="00043345">
        <w:t xml:space="preserve">to implement sanctions </w:t>
      </w:r>
      <w:r w:rsidR="00CE22C7" w:rsidRPr="00043345">
        <w:lastRenderedPageBreak/>
        <w:t>against India</w:t>
      </w:r>
      <w:r w:rsidR="00641C5D" w:rsidRPr="00043345">
        <w:t xml:space="preserve"> in response.  </w:t>
      </w:r>
      <w:r w:rsidR="00CE22C7" w:rsidRPr="00043345">
        <w:t>Having said this, the President does have a waiver with regard to this requirement.</w:t>
      </w:r>
      <w:r w:rsidR="00CE22C7" w:rsidRPr="00043345">
        <w:rPr>
          <w:rStyle w:val="FootnoteReference"/>
        </w:rPr>
        <w:footnoteReference w:id="185"/>
      </w:r>
      <w:r w:rsidR="00CE22C7" w:rsidRPr="00043345">
        <w:t xml:space="preserve">  </w:t>
      </w:r>
      <w:r w:rsidR="00641C5D" w:rsidRPr="00043345">
        <w:t>Therefore</w:t>
      </w:r>
      <w:r w:rsidR="00D85D1E">
        <w:t>,</w:t>
      </w:r>
      <w:r w:rsidR="00641C5D" w:rsidRPr="00043345">
        <w:t xml:space="preserve"> it would not necessarily be the case that sanctions would be imposed, but would </w:t>
      </w:r>
      <w:r w:rsidR="00C50120">
        <w:t xml:space="preserve">certainly </w:t>
      </w:r>
      <w:r w:rsidR="00641C5D" w:rsidRPr="00043345">
        <w:t xml:space="preserve">seem </w:t>
      </w:r>
      <w:r w:rsidR="00686934">
        <w:t xml:space="preserve">to be </w:t>
      </w:r>
      <w:r w:rsidR="00641C5D" w:rsidRPr="00043345">
        <w:t>probable</w:t>
      </w:r>
      <w:r w:rsidR="00AA5F3C">
        <w:t xml:space="preserve"> that they would be,</w:t>
      </w:r>
      <w:r w:rsidR="00641C5D" w:rsidRPr="00043345">
        <w:t xml:space="preserve"> </w:t>
      </w:r>
      <w:r w:rsidR="00AA5F3C">
        <w:t xml:space="preserve">especially </w:t>
      </w:r>
      <w:r w:rsidR="00641C5D" w:rsidRPr="00043345">
        <w:t xml:space="preserve">given </w:t>
      </w:r>
      <w:r w:rsidR="00C50120">
        <w:t xml:space="preserve">that </w:t>
      </w:r>
      <w:r w:rsidR="00AA5F3C">
        <w:t xml:space="preserve">sanctions </w:t>
      </w:r>
      <w:r w:rsidR="00C50120">
        <w:t xml:space="preserve">have been </w:t>
      </w:r>
      <w:r w:rsidR="00182D97" w:rsidRPr="00043345">
        <w:t>taken against</w:t>
      </w:r>
      <w:r w:rsidR="00641C5D" w:rsidRPr="00043345">
        <w:t xml:space="preserve"> India by the United States in the past.</w:t>
      </w:r>
      <w:r w:rsidR="00EC69FD" w:rsidRPr="00043345">
        <w:rPr>
          <w:rStyle w:val="FootnoteReference"/>
        </w:rPr>
        <w:footnoteReference w:id="186"/>
      </w:r>
    </w:p>
    <w:p w:rsidR="001D1D2F" w:rsidRPr="00043345" w:rsidRDefault="00641C5D" w:rsidP="004277D1">
      <w:pPr>
        <w:autoSpaceDE w:val="0"/>
        <w:autoSpaceDN w:val="0"/>
        <w:adjustRightInd w:val="0"/>
        <w:spacing w:line="480" w:lineRule="auto"/>
        <w:ind w:firstLine="709"/>
        <w:jc w:val="both"/>
        <w:rPr>
          <w:color w:val="000000"/>
        </w:rPr>
      </w:pPr>
      <w:r w:rsidRPr="00043345">
        <w:t xml:space="preserve">Based on all of this, a spokesman for the State Department of the United States, Sean </w:t>
      </w:r>
      <w:r w:rsidRPr="00043345">
        <w:rPr>
          <w:color w:val="000000"/>
        </w:rPr>
        <w:t>McCormack,</w:t>
      </w:r>
      <w:r w:rsidRPr="00043345">
        <w:t xml:space="preserve"> explicitly concluded in 2007 that </w:t>
      </w:r>
      <w:r w:rsidR="0028349D">
        <w:t>“</w:t>
      </w:r>
      <w:r w:rsidRPr="00043345">
        <w:t>[t]</w:t>
      </w:r>
      <w:r w:rsidRPr="00043345">
        <w:rPr>
          <w:color w:val="000000"/>
        </w:rPr>
        <w:t>he proposed 123 Agreement has provisions in it that in an event of a nuclear test by India, then all nuclear cooperation is terminated</w:t>
      </w:r>
      <w:r w:rsidR="00EC69FD" w:rsidRPr="00043345">
        <w:rPr>
          <w:color w:val="000000"/>
        </w:rPr>
        <w:t>.</w:t>
      </w:r>
      <w:r w:rsidR="0028349D">
        <w:rPr>
          <w:color w:val="000000"/>
        </w:rPr>
        <w:t>”</w:t>
      </w:r>
      <w:r w:rsidR="00EC69FD" w:rsidRPr="00043345">
        <w:rPr>
          <w:rStyle w:val="FootnoteReference"/>
          <w:color w:val="000000"/>
        </w:rPr>
        <w:footnoteReference w:id="187"/>
      </w:r>
      <w:r w:rsidR="001D1D2F" w:rsidRPr="00043345">
        <w:rPr>
          <w:color w:val="000000"/>
        </w:rPr>
        <w:t xml:space="preserve">  </w:t>
      </w:r>
      <w:r w:rsidR="00686934">
        <w:rPr>
          <w:color w:val="000000"/>
        </w:rPr>
        <w:t>T</w:t>
      </w:r>
      <w:r w:rsidR="006D7F53" w:rsidRPr="00043345">
        <w:rPr>
          <w:color w:val="000000"/>
        </w:rPr>
        <w:t xml:space="preserve">his is </w:t>
      </w:r>
      <w:r w:rsidR="00647465">
        <w:rPr>
          <w:color w:val="000000"/>
        </w:rPr>
        <w:t xml:space="preserve">patently </w:t>
      </w:r>
      <w:r w:rsidR="006D7F53" w:rsidRPr="00043345">
        <w:rPr>
          <w:color w:val="000000"/>
        </w:rPr>
        <w:t>incorrect.</w:t>
      </w:r>
      <w:r w:rsidR="00601555" w:rsidRPr="00043345">
        <w:rPr>
          <w:color w:val="000000"/>
        </w:rPr>
        <w:t xml:space="preserve">  </w:t>
      </w:r>
      <w:r w:rsidR="006D7F53" w:rsidRPr="00043345">
        <w:rPr>
          <w:color w:val="000000"/>
        </w:rPr>
        <w:t>The 123 Agreement does not</w:t>
      </w:r>
      <w:r w:rsidR="00F70A2B">
        <w:rPr>
          <w:color w:val="000000"/>
        </w:rPr>
        <w:t>,</w:t>
      </w:r>
      <w:r w:rsidR="00601555" w:rsidRPr="00043345">
        <w:rPr>
          <w:color w:val="000000"/>
        </w:rPr>
        <w:t xml:space="preserve"> </w:t>
      </w:r>
      <w:r w:rsidR="00182D97" w:rsidRPr="00043345">
        <w:rPr>
          <w:color w:val="000000"/>
        </w:rPr>
        <w:t>in fact</w:t>
      </w:r>
      <w:r w:rsidR="00F70A2B">
        <w:rPr>
          <w:color w:val="000000"/>
        </w:rPr>
        <w:t>,</w:t>
      </w:r>
      <w:r w:rsidR="00182D97" w:rsidRPr="00043345">
        <w:rPr>
          <w:color w:val="000000"/>
        </w:rPr>
        <w:t xml:space="preserve"> </w:t>
      </w:r>
      <w:r w:rsidR="006D7F53" w:rsidRPr="00043345">
        <w:rPr>
          <w:color w:val="000000"/>
        </w:rPr>
        <w:t xml:space="preserve">refer to nuclear testing (by either </w:t>
      </w:r>
      <w:r w:rsidR="0081252D">
        <w:rPr>
          <w:color w:val="000000"/>
        </w:rPr>
        <w:t>P</w:t>
      </w:r>
      <w:r w:rsidR="0081252D" w:rsidRPr="00043345">
        <w:rPr>
          <w:color w:val="000000"/>
        </w:rPr>
        <w:t>arty</w:t>
      </w:r>
      <w:r w:rsidR="006D7F53" w:rsidRPr="00043345">
        <w:rPr>
          <w:color w:val="000000"/>
        </w:rPr>
        <w:t xml:space="preserve">) </w:t>
      </w:r>
      <w:r w:rsidR="006D7F53" w:rsidRPr="00043345">
        <w:rPr>
          <w:i/>
          <w:color w:val="000000"/>
        </w:rPr>
        <w:t>at all</w:t>
      </w:r>
      <w:r w:rsidR="006D7F53" w:rsidRPr="00043345">
        <w:rPr>
          <w:color w:val="000000"/>
        </w:rPr>
        <w:t>.</w:t>
      </w:r>
      <w:r w:rsidR="00001874" w:rsidRPr="00043345">
        <w:rPr>
          <w:rStyle w:val="FootnoteReference"/>
          <w:color w:val="000000"/>
        </w:rPr>
        <w:footnoteReference w:id="188"/>
      </w:r>
      <w:r w:rsidR="00601555" w:rsidRPr="00043345">
        <w:rPr>
          <w:color w:val="000000"/>
        </w:rPr>
        <w:t xml:space="preserve">  Moreover, </w:t>
      </w:r>
      <w:r w:rsidR="002E1D47" w:rsidRPr="00043345">
        <w:rPr>
          <w:color w:val="000000"/>
        </w:rPr>
        <w:t>Article 2(4)</w:t>
      </w:r>
      <w:r w:rsidR="001D1D2F" w:rsidRPr="00043345">
        <w:rPr>
          <w:color w:val="000000"/>
        </w:rPr>
        <w:t xml:space="preserve"> explicitly </w:t>
      </w:r>
      <w:r w:rsidR="001D1D2F" w:rsidRPr="007D7C9E">
        <w:rPr>
          <w:color w:val="000000"/>
        </w:rPr>
        <w:t>state</w:t>
      </w:r>
      <w:r w:rsidR="001D1D2F" w:rsidRPr="00043345">
        <w:rPr>
          <w:color w:val="000000"/>
        </w:rPr>
        <w:t>s that the deal must:</w:t>
      </w:r>
    </w:p>
    <w:p w:rsidR="006D7F53" w:rsidRDefault="009A1121" w:rsidP="004277D1">
      <w:pPr>
        <w:autoSpaceDE w:val="0"/>
        <w:autoSpaceDN w:val="0"/>
        <w:adjustRightInd w:val="0"/>
        <w:ind w:left="720" w:right="720"/>
        <w:jc w:val="both"/>
      </w:pPr>
      <w:r>
        <w:rPr>
          <w:color w:val="000000"/>
        </w:rPr>
        <w:t xml:space="preserve">[. . .] </w:t>
      </w:r>
      <w:r w:rsidR="001D1D2F" w:rsidRPr="00043345">
        <w:t>be implemented in a manner so as not to hinder or otherwise interfere with any other activities involving the use of nuclear material, non-nuclear material, equipment, components, information or technology and military nuclear facilities produced, acquired or developed by them independent of this Agreement for their own purposes.</w:t>
      </w:r>
      <w:r w:rsidR="002E1D47" w:rsidRPr="00043345">
        <w:rPr>
          <w:rStyle w:val="FootnoteReference"/>
        </w:rPr>
        <w:footnoteReference w:id="189"/>
      </w:r>
    </w:p>
    <w:p w:rsidR="004277D1" w:rsidRPr="004277D1" w:rsidRDefault="004277D1" w:rsidP="004277D1">
      <w:pPr>
        <w:autoSpaceDE w:val="0"/>
        <w:autoSpaceDN w:val="0"/>
        <w:adjustRightInd w:val="0"/>
        <w:ind w:left="720" w:right="720"/>
        <w:jc w:val="both"/>
      </w:pPr>
    </w:p>
    <w:p w:rsidR="003D3B8B" w:rsidRPr="00043345" w:rsidRDefault="00AB3415" w:rsidP="00043345">
      <w:pPr>
        <w:spacing w:line="480" w:lineRule="auto"/>
        <w:jc w:val="both"/>
      </w:pPr>
      <w:r w:rsidRPr="00043345">
        <w:t>Somewhat unsurprisingly –</w:t>
      </w:r>
      <w:r w:rsidR="00182D97" w:rsidRPr="00043345">
        <w:t xml:space="preserve"> gi</w:t>
      </w:r>
      <w:r w:rsidR="003D3B8B" w:rsidRPr="00043345">
        <w:t>ven the domestic legal provisions of the AEA and AECA</w:t>
      </w:r>
      <w:r w:rsidRPr="00043345">
        <w:t xml:space="preserve"> –</w:t>
      </w:r>
      <w:r w:rsidR="003D3B8B" w:rsidRPr="00043345">
        <w:t xml:space="preserve"> the usual policy of the United States when entering into nuclear </w:t>
      </w:r>
      <w:r w:rsidR="002B27F9" w:rsidRPr="00043345">
        <w:t xml:space="preserve">cooperation </w:t>
      </w:r>
      <w:r w:rsidR="003D3B8B" w:rsidRPr="00043345">
        <w:t xml:space="preserve">agreements with other </w:t>
      </w:r>
      <w:r w:rsidR="00FA014D">
        <w:t>S</w:t>
      </w:r>
      <w:r w:rsidR="00FA014D" w:rsidRPr="00043345">
        <w:t xml:space="preserve">tates </w:t>
      </w:r>
      <w:r w:rsidR="003D3B8B" w:rsidRPr="00043345">
        <w:t xml:space="preserve">has been to require an explicit test-ban provision in the </w:t>
      </w:r>
      <w:r w:rsidR="003D3B8B" w:rsidRPr="00043345">
        <w:lastRenderedPageBreak/>
        <w:t>relevant treaty.</w:t>
      </w:r>
      <w:r w:rsidR="003D3B8B" w:rsidRPr="00043345">
        <w:rPr>
          <w:rStyle w:val="FootnoteReference"/>
        </w:rPr>
        <w:footnoteReference w:id="190"/>
      </w:r>
      <w:r w:rsidR="00BC63E6" w:rsidRPr="00043345">
        <w:t xml:space="preserve"> </w:t>
      </w:r>
      <w:r w:rsidR="003D3B8B" w:rsidRPr="00043345">
        <w:t xml:space="preserve"> However, in</w:t>
      </w:r>
      <w:r w:rsidR="00182D97" w:rsidRPr="00043345">
        <w:t xml:space="preserve"> the case of the 123 Agreement</w:t>
      </w:r>
      <w:r w:rsidR="00811726" w:rsidRPr="00043345">
        <w:t xml:space="preserve">, </w:t>
      </w:r>
      <w:r w:rsidR="00132AA5" w:rsidRPr="00043345">
        <w:t>irrespective of Prime Minister Singh’s commitment to refrain from further tests</w:t>
      </w:r>
      <w:r w:rsidR="00811726" w:rsidRPr="00043345">
        <w:t>,</w:t>
      </w:r>
      <w:r w:rsidR="00132AA5" w:rsidRPr="00043345">
        <w:t xml:space="preserve"> </w:t>
      </w:r>
      <w:r w:rsidR="00182D97" w:rsidRPr="00043345">
        <w:t xml:space="preserve">from the beginning of discussions </w:t>
      </w:r>
      <w:r w:rsidR="003D3B8B" w:rsidRPr="00043345">
        <w:t xml:space="preserve">New Delhi opposed any explicit provision in the deal </w:t>
      </w:r>
      <w:r w:rsidR="00181273" w:rsidRPr="00043345">
        <w:t xml:space="preserve">itself </w:t>
      </w:r>
      <w:r w:rsidR="003D3B8B" w:rsidRPr="00043345">
        <w:t xml:space="preserve">relating to a blanket prohibition on testing, or even </w:t>
      </w:r>
      <w:r w:rsidR="002B27F9" w:rsidRPr="00043345">
        <w:t>a provision requiring the</w:t>
      </w:r>
      <w:r w:rsidR="003D3B8B" w:rsidRPr="00043345">
        <w:t xml:space="preserve"> termination of the deal if testing </w:t>
      </w:r>
      <w:r w:rsidR="00C50120">
        <w:t xml:space="preserve">did </w:t>
      </w:r>
      <w:r w:rsidR="003D3B8B" w:rsidRPr="00043345">
        <w:t>occ</w:t>
      </w:r>
      <w:r w:rsidR="00AA5F3C">
        <w:t>u</w:t>
      </w:r>
      <w:r w:rsidR="003D3B8B" w:rsidRPr="00043345">
        <w:t>r.</w:t>
      </w:r>
      <w:r w:rsidR="003D3B8B" w:rsidRPr="00043345">
        <w:rPr>
          <w:rStyle w:val="FootnoteReference"/>
        </w:rPr>
        <w:footnoteReference w:id="191"/>
      </w:r>
    </w:p>
    <w:p w:rsidR="00181273" w:rsidRPr="00043345" w:rsidRDefault="00C50120" w:rsidP="004277D1">
      <w:pPr>
        <w:spacing w:line="480" w:lineRule="auto"/>
        <w:ind w:firstLine="720"/>
        <w:jc w:val="both"/>
      </w:pPr>
      <w:r w:rsidRPr="00043345">
        <w:t>India</w:t>
      </w:r>
      <w:r>
        <w:t>’s</w:t>
      </w:r>
      <w:r w:rsidRPr="00043345">
        <w:t xml:space="preserve"> </w:t>
      </w:r>
      <w:r w:rsidR="00181273" w:rsidRPr="00043345">
        <w:t xml:space="preserve">undertaking in the 2005 </w:t>
      </w:r>
      <w:r w:rsidR="0028349D">
        <w:t>“</w:t>
      </w:r>
      <w:r w:rsidR="00181273" w:rsidRPr="00043345">
        <w:t>Joint Statement</w:t>
      </w:r>
      <w:r w:rsidR="0028349D">
        <w:t>”</w:t>
      </w:r>
      <w:r w:rsidR="00181273" w:rsidRPr="00043345">
        <w:t xml:space="preserve"> regarding nuclear testing was simply a restatement of </w:t>
      </w:r>
      <w:r>
        <w:t>it</w:t>
      </w:r>
      <w:r w:rsidRPr="00043345">
        <w:t xml:space="preserve">s </w:t>
      </w:r>
      <w:r w:rsidR="00181273" w:rsidRPr="00043345">
        <w:t>pre-existing position.</w:t>
      </w:r>
      <w:r w:rsidR="000F7BC4" w:rsidRPr="00043345">
        <w:rPr>
          <w:rStyle w:val="FootnoteReference"/>
        </w:rPr>
        <w:footnoteReference w:id="192"/>
      </w:r>
      <w:r w:rsidR="00181273" w:rsidRPr="00043345">
        <w:t xml:space="preserve">  India already had a unilateral moratorium in place prior to 2005 and</w:t>
      </w:r>
      <w:r w:rsidR="000F7BC4" w:rsidRPr="00043345">
        <w:t>,</w:t>
      </w:r>
      <w:r w:rsidR="00181273" w:rsidRPr="00043345">
        <w:t xml:space="preserve"> in the context </w:t>
      </w:r>
      <w:r w:rsidR="00BC4D22" w:rsidRPr="00043345">
        <w:t>of</w:t>
      </w:r>
      <w:r w:rsidR="00181273" w:rsidRPr="00043345">
        <w:t xml:space="preserve"> negotiating a plan for nuclear cooperation with the United States, </w:t>
      </w:r>
      <w:r>
        <w:t>it</w:t>
      </w:r>
      <w:r w:rsidRPr="00043345">
        <w:t xml:space="preserve"> </w:t>
      </w:r>
      <w:r w:rsidR="00181273" w:rsidRPr="00043345">
        <w:t xml:space="preserve">did no more than stress that it would continue </w:t>
      </w:r>
      <w:r w:rsidR="000F7BC4" w:rsidRPr="00043345">
        <w:t>its</w:t>
      </w:r>
      <w:r w:rsidR="00BC4D22" w:rsidRPr="00043345">
        <w:t xml:space="preserve"> </w:t>
      </w:r>
      <w:r w:rsidR="00394152">
        <w:t>practice</w:t>
      </w:r>
      <w:r w:rsidR="00BC4D22" w:rsidRPr="00043345">
        <w:t xml:space="preserve"> of self-restraint</w:t>
      </w:r>
      <w:r w:rsidR="00181273" w:rsidRPr="00043345">
        <w:t>.</w:t>
      </w:r>
      <w:r w:rsidR="000F7BC4" w:rsidRPr="00043345">
        <w:rPr>
          <w:rStyle w:val="FootnoteReference"/>
        </w:rPr>
        <w:footnoteReference w:id="193"/>
      </w:r>
      <w:r w:rsidR="00181273" w:rsidRPr="00043345">
        <w:t xml:space="preserve">  Th</w:t>
      </w:r>
      <w:r w:rsidR="000F7BC4" w:rsidRPr="00043345">
        <w:t>is reaffirmation of an existing policy</w:t>
      </w:r>
      <w:r w:rsidR="00181273" w:rsidRPr="00043345">
        <w:t xml:space="preserve"> in no way legally binds India should it wish to end its moratorium at some (unspecified) time in the future.</w:t>
      </w:r>
    </w:p>
    <w:p w:rsidR="00DC6833" w:rsidRPr="00043345" w:rsidRDefault="006D7F53" w:rsidP="004277D1">
      <w:pPr>
        <w:spacing w:line="480" w:lineRule="auto"/>
        <w:ind w:firstLine="720"/>
        <w:jc w:val="both"/>
      </w:pPr>
      <w:r w:rsidRPr="00043345">
        <w:t xml:space="preserve">When the Indo-US proposal for </w:t>
      </w:r>
      <w:r w:rsidR="00156521" w:rsidRPr="00043345">
        <w:t xml:space="preserve">the necessary NSG waiver </w:t>
      </w:r>
      <w:r w:rsidRPr="00043345">
        <w:t>was placed before the NSG in August 2008, s</w:t>
      </w:r>
      <w:r w:rsidR="00EC69FD" w:rsidRPr="00043345">
        <w:t>even</w:t>
      </w:r>
      <w:r w:rsidRPr="00043345">
        <w:t xml:space="preserve"> NSG states </w:t>
      </w:r>
      <w:r w:rsidR="00EC69FD" w:rsidRPr="00043345">
        <w:t>took the view</w:t>
      </w:r>
      <w:r w:rsidRPr="00043345">
        <w:t xml:space="preserve"> that the 123 Agreement </w:t>
      </w:r>
      <w:r w:rsidR="00EC69FD" w:rsidRPr="00043345">
        <w:t xml:space="preserve">needed to include explicit provisions setting out the automatic termination of the deal </w:t>
      </w:r>
      <w:r w:rsidR="00817EDF" w:rsidRPr="00043345">
        <w:t>(</w:t>
      </w:r>
      <w:r w:rsidR="00EC69FD" w:rsidRPr="00043345">
        <w:t xml:space="preserve">and of </w:t>
      </w:r>
      <w:r w:rsidR="00817EDF" w:rsidRPr="00043345">
        <w:t xml:space="preserve">the </w:t>
      </w:r>
      <w:r w:rsidR="00EC69FD" w:rsidRPr="00043345">
        <w:t xml:space="preserve">NSG </w:t>
      </w:r>
      <w:r w:rsidR="00817EDF" w:rsidRPr="00043345">
        <w:t>waiver related to it)</w:t>
      </w:r>
      <w:r w:rsidR="00EC69FD" w:rsidRPr="00043345">
        <w:t xml:space="preserve"> should India </w:t>
      </w:r>
      <w:r w:rsidR="00C50120">
        <w:t xml:space="preserve">conduct </w:t>
      </w:r>
      <w:r w:rsidR="00EC69FD" w:rsidRPr="00043345">
        <w:t>another nuclear test.</w:t>
      </w:r>
      <w:r w:rsidR="00EC69FD" w:rsidRPr="00043345">
        <w:rPr>
          <w:rStyle w:val="FootnoteReference"/>
        </w:rPr>
        <w:footnoteReference w:id="194"/>
      </w:r>
      <w:r w:rsidR="00EC69FD" w:rsidRPr="00043345">
        <w:t xml:space="preserve">  </w:t>
      </w:r>
      <w:r w:rsidR="00397F88" w:rsidRPr="00043345">
        <w:t xml:space="preserve">Yet </w:t>
      </w:r>
      <w:r w:rsidR="00397F88" w:rsidRPr="00043345">
        <w:lastRenderedPageBreak/>
        <w:t xml:space="preserve">India </w:t>
      </w:r>
      <w:r w:rsidR="00817EDF" w:rsidRPr="00043345">
        <w:t xml:space="preserve">again </w:t>
      </w:r>
      <w:r w:rsidR="00397F88" w:rsidRPr="00043345">
        <w:t>rejected any suggestion</w:t>
      </w:r>
      <w:r w:rsidR="00075C73" w:rsidRPr="00043345">
        <w:t xml:space="preserve"> of incorporating restrictions on testing into the deal</w:t>
      </w:r>
      <w:r w:rsidR="00397F88" w:rsidRPr="00043345">
        <w:t xml:space="preserve"> during the process of seeking the NSG</w:t>
      </w:r>
      <w:r w:rsidR="00075C73" w:rsidRPr="00043345">
        <w:t xml:space="preserve"> waiver.</w:t>
      </w:r>
      <w:r w:rsidR="00075C73" w:rsidRPr="00043345">
        <w:rPr>
          <w:rStyle w:val="FootnoteReference"/>
        </w:rPr>
        <w:footnoteReference w:id="195"/>
      </w:r>
      <w:r w:rsidR="00075C73" w:rsidRPr="00043345">
        <w:t xml:space="preserve">  It is notable that</w:t>
      </w:r>
      <w:r w:rsidR="00B56EF8">
        <w:t xml:space="preserve">, ultimately, neither </w:t>
      </w:r>
      <w:r w:rsidRPr="00043345">
        <w:t xml:space="preserve">the amended proposal </w:t>
      </w:r>
      <w:r w:rsidR="00817EDF" w:rsidRPr="00043345">
        <w:t xml:space="preserve">for the </w:t>
      </w:r>
      <w:r w:rsidR="00B56EF8">
        <w:t xml:space="preserve">NSG </w:t>
      </w:r>
      <w:r w:rsidR="00817EDF" w:rsidRPr="00043345">
        <w:t>waiver</w:t>
      </w:r>
      <w:r w:rsidR="00B56EF8">
        <w:t xml:space="preserve">, </w:t>
      </w:r>
      <w:r w:rsidR="00B56EF8" w:rsidRPr="00043345">
        <w:t xml:space="preserve">nor </w:t>
      </w:r>
      <w:r w:rsidR="00B56EF8">
        <w:t>t</w:t>
      </w:r>
      <w:r w:rsidR="00B56EF8" w:rsidRPr="00043345">
        <w:t>he 123 Agreement</w:t>
      </w:r>
      <w:r w:rsidR="00B56EF8">
        <w:t xml:space="preserve"> itself,</w:t>
      </w:r>
      <w:r w:rsidR="00817EDF" w:rsidRPr="00043345">
        <w:t xml:space="preserve"> </w:t>
      </w:r>
      <w:r w:rsidRPr="00043345">
        <w:t>contain</w:t>
      </w:r>
      <w:r w:rsidR="00B56EF8">
        <w:t>ed</w:t>
      </w:r>
      <w:r w:rsidRPr="00043345">
        <w:t xml:space="preserve"> any restriction on Indian </w:t>
      </w:r>
      <w:r w:rsidR="00B56EF8">
        <w:t xml:space="preserve">nuclear testing; </w:t>
      </w:r>
      <w:r w:rsidRPr="00043345">
        <w:t xml:space="preserve">yet </w:t>
      </w:r>
      <w:r w:rsidR="00B56EF8">
        <w:t xml:space="preserve">both documents </w:t>
      </w:r>
      <w:r w:rsidRPr="00043345">
        <w:t>were approved by the NSG nonetheless.</w:t>
      </w:r>
      <w:r w:rsidR="00EC69FD" w:rsidRPr="00043345">
        <w:rPr>
          <w:rStyle w:val="FootnoteReference"/>
        </w:rPr>
        <w:footnoteReference w:id="196"/>
      </w:r>
    </w:p>
    <w:p w:rsidR="00CB5C0D" w:rsidRPr="00043345" w:rsidRDefault="00817EDF" w:rsidP="004277D1">
      <w:pPr>
        <w:autoSpaceDE w:val="0"/>
        <w:autoSpaceDN w:val="0"/>
        <w:adjustRightInd w:val="0"/>
        <w:spacing w:line="480" w:lineRule="auto"/>
        <w:ind w:firstLine="720"/>
        <w:jc w:val="both"/>
      </w:pPr>
      <w:r w:rsidRPr="00043345">
        <w:t xml:space="preserve">Given that India </w:t>
      </w:r>
      <w:r w:rsidR="00AB3415" w:rsidRPr="00043345">
        <w:t xml:space="preserve">has </w:t>
      </w:r>
      <w:r w:rsidRPr="00043345">
        <w:t xml:space="preserve">itself rejected any </w:t>
      </w:r>
      <w:r w:rsidR="00CB5C0D" w:rsidRPr="00043345">
        <w:t xml:space="preserve">general </w:t>
      </w:r>
      <w:r w:rsidRPr="00043345">
        <w:t xml:space="preserve">prohibition on </w:t>
      </w:r>
      <w:r w:rsidR="00CB5C0D" w:rsidRPr="00043345">
        <w:t xml:space="preserve">nuclear </w:t>
      </w:r>
      <w:r w:rsidRPr="00043345">
        <w:t xml:space="preserve">testing and </w:t>
      </w:r>
      <w:r w:rsidR="00CB5C0D" w:rsidRPr="00043345">
        <w:t xml:space="preserve">given </w:t>
      </w:r>
      <w:r w:rsidR="00AB3415" w:rsidRPr="00043345">
        <w:t xml:space="preserve">that </w:t>
      </w:r>
      <w:r w:rsidRPr="00043345">
        <w:t xml:space="preserve">the </w:t>
      </w:r>
      <w:r w:rsidRPr="00043345">
        <w:rPr>
          <w:i/>
        </w:rPr>
        <w:t>opinio juris</w:t>
      </w:r>
      <w:r w:rsidRPr="00043345">
        <w:t xml:space="preserve"> </w:t>
      </w:r>
      <w:r w:rsidR="00CB5C0D" w:rsidRPr="00043345">
        <w:t>supporting such a ban</w:t>
      </w:r>
      <w:r w:rsidRPr="00043345">
        <w:t xml:space="preserve"> </w:t>
      </w:r>
      <w:r w:rsidR="00CB5C0D" w:rsidRPr="00043345">
        <w:t xml:space="preserve">in the context of the 123 Agreement negotiations </w:t>
      </w:r>
      <w:r w:rsidRPr="00043345">
        <w:t xml:space="preserve">came from </w:t>
      </w:r>
      <w:r w:rsidR="00CB5C0D" w:rsidRPr="00043345">
        <w:t>certain</w:t>
      </w:r>
      <w:r w:rsidRPr="00043345">
        <w:t xml:space="preserve"> NSG members, the </w:t>
      </w:r>
      <w:r w:rsidR="00CB5C0D" w:rsidRPr="00043345">
        <w:t xml:space="preserve">NSG </w:t>
      </w:r>
      <w:r w:rsidRPr="00043345">
        <w:t xml:space="preserve">statement </w:t>
      </w:r>
      <w:r w:rsidR="00CB5C0D" w:rsidRPr="00043345">
        <w:t xml:space="preserve">of waiver </w:t>
      </w:r>
      <w:r w:rsidRPr="00043345">
        <w:t xml:space="preserve">has no bearing on </w:t>
      </w:r>
      <w:r w:rsidR="00AB3415" w:rsidRPr="00043345">
        <w:t>India’s</w:t>
      </w:r>
      <w:r w:rsidRPr="00043345">
        <w:t xml:space="preserve"> persistent objector status to any customary </w:t>
      </w:r>
      <w:r w:rsidR="00647465">
        <w:t>test-</w:t>
      </w:r>
      <w:r w:rsidRPr="00043345">
        <w:t xml:space="preserve">ban.  </w:t>
      </w:r>
      <w:r w:rsidR="003962EC" w:rsidRPr="00043345">
        <w:t xml:space="preserve">Moreover, the </w:t>
      </w:r>
      <w:r w:rsidRPr="00043345">
        <w:t xml:space="preserve">NSG </w:t>
      </w:r>
      <w:r w:rsidR="003962EC" w:rsidRPr="00043345">
        <w:t>statement merely noted that India had undertaken a voluntary commitment to continue its unilateral moratorium on testing.  This was essentially observational, and no trigger of revocation of the waiver upon further nuclear testing was formally built into the statement by the NSG</w:t>
      </w:r>
      <w:r w:rsidR="00DC6833" w:rsidRPr="00043345">
        <w:t xml:space="preserve">, </w:t>
      </w:r>
      <w:r w:rsidR="00C50120">
        <w:t xml:space="preserve">even though </w:t>
      </w:r>
      <w:r w:rsidR="00DC6833" w:rsidRPr="00043345">
        <w:t xml:space="preserve">a number of NSG </w:t>
      </w:r>
      <w:r w:rsidR="00125F4E">
        <w:t>S</w:t>
      </w:r>
      <w:r w:rsidR="00125F4E" w:rsidRPr="00043345">
        <w:t>tates</w:t>
      </w:r>
      <w:r w:rsidR="00C50120">
        <w:t xml:space="preserve"> lobbied, unsuccessfully, for</w:t>
      </w:r>
      <w:r w:rsidR="00DC6833" w:rsidRPr="00043345">
        <w:t xml:space="preserve"> </w:t>
      </w:r>
      <w:r w:rsidR="00AA5F3C">
        <w:t xml:space="preserve">such </w:t>
      </w:r>
      <w:r w:rsidR="00DC6833" w:rsidRPr="00043345">
        <w:t>a provision</w:t>
      </w:r>
      <w:r w:rsidR="003962EC" w:rsidRPr="00043345">
        <w:t>.</w:t>
      </w:r>
      <w:r w:rsidR="00DC6833" w:rsidRPr="00043345">
        <w:rPr>
          <w:rStyle w:val="FootnoteReference"/>
        </w:rPr>
        <w:footnoteReference w:id="197"/>
      </w:r>
    </w:p>
    <w:p w:rsidR="00CB5C0D" w:rsidRPr="00043345" w:rsidRDefault="00F84886" w:rsidP="00511CC3">
      <w:pPr>
        <w:spacing w:line="480" w:lineRule="auto"/>
        <w:ind w:firstLine="720"/>
        <w:jc w:val="both"/>
      </w:pPr>
      <w:r w:rsidRPr="00043345">
        <w:t>Most crucially, it is important to keep in mind that</w:t>
      </w:r>
      <w:r w:rsidR="00CB5C0D" w:rsidRPr="00043345">
        <w:t xml:space="preserve"> the NSG is essentially an informal nuclear cartel, and its guidelines and decisions are not legally binding on its members or on other </w:t>
      </w:r>
      <w:r w:rsidR="00125F4E">
        <w:t>S</w:t>
      </w:r>
      <w:r w:rsidR="00125F4E" w:rsidRPr="00043345">
        <w:t>tates</w:t>
      </w:r>
      <w:r w:rsidRPr="00043345">
        <w:t>.</w:t>
      </w:r>
      <w:r w:rsidRPr="00043345">
        <w:rPr>
          <w:rStyle w:val="FootnoteReference"/>
        </w:rPr>
        <w:footnoteReference w:id="198"/>
      </w:r>
      <w:r w:rsidRPr="00043345">
        <w:t xml:space="preserve">  Therefore, w</w:t>
      </w:r>
      <w:r w:rsidR="00CB5C0D" w:rsidRPr="00043345">
        <w:t>hile</w:t>
      </w:r>
      <w:r w:rsidRPr="00043345">
        <w:t xml:space="preserve"> </w:t>
      </w:r>
      <w:r w:rsidR="00CB5C0D" w:rsidRPr="00043345">
        <w:t xml:space="preserve">the NSG statement setting out the waiver did explicitly refer to a </w:t>
      </w:r>
      <w:r w:rsidR="00BF6DB7" w:rsidRPr="00043345">
        <w:t>limitation on Indian testing</w:t>
      </w:r>
      <w:r w:rsidR="00CB5C0D" w:rsidRPr="00043345">
        <w:t>,</w:t>
      </w:r>
      <w:r w:rsidR="00CB5C0D" w:rsidRPr="00043345">
        <w:rPr>
          <w:rStyle w:val="FootnoteReference"/>
        </w:rPr>
        <w:footnoteReference w:id="199"/>
      </w:r>
      <w:r w:rsidR="00CB5C0D" w:rsidRPr="00043345">
        <w:t xml:space="preserve"> the statement </w:t>
      </w:r>
      <w:r w:rsidRPr="00043345">
        <w:t xml:space="preserve">was </w:t>
      </w:r>
      <w:r w:rsidR="00BF6DB7" w:rsidRPr="00043345">
        <w:t>rather</w:t>
      </w:r>
      <w:r w:rsidRPr="00043345">
        <w:t xml:space="preserve"> vague in this regard</w:t>
      </w:r>
      <w:r w:rsidR="00C50120">
        <w:t>,</w:t>
      </w:r>
      <w:r w:rsidRPr="00043345">
        <w:t xml:space="preserve"> and </w:t>
      </w:r>
      <w:r w:rsidR="00C50120">
        <w:t xml:space="preserve">it </w:t>
      </w:r>
      <w:r w:rsidR="00CB5C0D" w:rsidRPr="00043345">
        <w:t xml:space="preserve">is certainly not </w:t>
      </w:r>
      <w:r w:rsidR="00C50120">
        <w:t xml:space="preserve">formally </w:t>
      </w:r>
      <w:r w:rsidR="00CB5C0D" w:rsidRPr="00043345">
        <w:t>binding on India</w:t>
      </w:r>
      <w:r w:rsidRPr="00043345">
        <w:t xml:space="preserve"> </w:t>
      </w:r>
      <w:r w:rsidR="00AA5F3C">
        <w:t>in any event</w:t>
      </w:r>
      <w:r w:rsidR="00CB5C0D" w:rsidRPr="00043345">
        <w:t xml:space="preserve">. </w:t>
      </w:r>
    </w:p>
    <w:p w:rsidR="00CB5C0D" w:rsidRPr="00043345" w:rsidRDefault="00CB5C0D" w:rsidP="00043345">
      <w:pPr>
        <w:spacing w:line="480" w:lineRule="auto"/>
        <w:jc w:val="both"/>
        <w:rPr>
          <w:color w:val="000000"/>
        </w:rPr>
      </w:pPr>
    </w:p>
    <w:p w:rsidR="00BC63E6" w:rsidRPr="00043345" w:rsidRDefault="00CB5C0D" w:rsidP="004277D1">
      <w:pPr>
        <w:spacing w:line="480" w:lineRule="auto"/>
        <w:ind w:firstLine="720"/>
        <w:jc w:val="both"/>
        <w:rPr>
          <w:color w:val="000000"/>
        </w:rPr>
      </w:pPr>
      <w:r w:rsidRPr="00043345">
        <w:rPr>
          <w:color w:val="000000"/>
        </w:rPr>
        <w:t xml:space="preserve">As for the provisions of various </w:t>
      </w:r>
      <w:r w:rsidR="00001874" w:rsidRPr="00043345">
        <w:rPr>
          <w:color w:val="000000"/>
        </w:rPr>
        <w:t>American</w:t>
      </w:r>
      <w:r w:rsidRPr="00043345">
        <w:rPr>
          <w:color w:val="000000"/>
        </w:rPr>
        <w:t xml:space="preserve"> statutes, it is clear that the</w:t>
      </w:r>
      <w:r w:rsidR="00001874" w:rsidRPr="00043345">
        <w:rPr>
          <w:color w:val="000000"/>
        </w:rPr>
        <w:t xml:space="preserve"> </w:t>
      </w:r>
      <w:r w:rsidR="00001874" w:rsidRPr="00043345">
        <w:rPr>
          <w:i/>
          <w:color w:val="000000"/>
        </w:rPr>
        <w:t>domestic</w:t>
      </w:r>
      <w:r w:rsidR="00001874" w:rsidRPr="00043345">
        <w:rPr>
          <w:color w:val="000000"/>
        </w:rPr>
        <w:t xml:space="preserve"> law </w:t>
      </w:r>
      <w:r w:rsidRPr="00043345">
        <w:rPr>
          <w:color w:val="000000"/>
        </w:rPr>
        <w:t xml:space="preserve">of the United States </w:t>
      </w:r>
      <w:r w:rsidR="00001874" w:rsidRPr="00043345">
        <w:rPr>
          <w:color w:val="000000"/>
        </w:rPr>
        <w:t xml:space="preserve">provides for the termination of the 123 Agreement in the event of </w:t>
      </w:r>
      <w:r w:rsidR="00F84886" w:rsidRPr="00043345">
        <w:rPr>
          <w:color w:val="000000"/>
        </w:rPr>
        <w:t xml:space="preserve">Indian </w:t>
      </w:r>
      <w:r w:rsidR="00001874" w:rsidRPr="00043345">
        <w:rPr>
          <w:color w:val="000000"/>
        </w:rPr>
        <w:t>nuclear testing</w:t>
      </w:r>
      <w:r w:rsidR="00F84886" w:rsidRPr="00043345">
        <w:rPr>
          <w:color w:val="000000"/>
        </w:rPr>
        <w:t xml:space="preserve">.  However, </w:t>
      </w:r>
      <w:r w:rsidR="00BF6DB7" w:rsidRPr="00043345">
        <w:rPr>
          <w:color w:val="000000"/>
        </w:rPr>
        <w:t>quite simply</w:t>
      </w:r>
      <w:r w:rsidR="00001874" w:rsidRPr="00043345">
        <w:rPr>
          <w:color w:val="000000"/>
        </w:rPr>
        <w:t xml:space="preserve"> and somewhat obviously, the domestic law of the United States does not bind India.  As one Indian writer has put it: </w:t>
      </w:r>
      <w:r w:rsidR="0028349D">
        <w:rPr>
          <w:color w:val="000000"/>
        </w:rPr>
        <w:t>“</w:t>
      </w:r>
      <w:r w:rsidR="00001874" w:rsidRPr="00043345">
        <w:rPr>
          <w:color w:val="000000"/>
        </w:rPr>
        <w:t>Neither the Hyde Act nor the publicly available internal correspondence within the US government on this topic are binding on us [India].</w:t>
      </w:r>
      <w:r w:rsidR="0028349D">
        <w:rPr>
          <w:color w:val="000000"/>
        </w:rPr>
        <w:t>”</w:t>
      </w:r>
      <w:r w:rsidR="00BC63E6" w:rsidRPr="00043345">
        <w:rPr>
          <w:rStyle w:val="FootnoteReference"/>
          <w:color w:val="000000"/>
        </w:rPr>
        <w:footnoteReference w:id="200"/>
      </w:r>
      <w:r w:rsidR="00BC63E6" w:rsidRPr="00043345">
        <w:rPr>
          <w:color w:val="000000"/>
        </w:rPr>
        <w:t xml:space="preserve">  </w:t>
      </w:r>
    </w:p>
    <w:p w:rsidR="00BC63E6" w:rsidRPr="00043345" w:rsidRDefault="00BC63E6" w:rsidP="004277D1">
      <w:pPr>
        <w:spacing w:line="480" w:lineRule="auto"/>
        <w:ind w:firstLine="567"/>
        <w:jc w:val="both"/>
      </w:pPr>
      <w:r w:rsidRPr="00043345">
        <w:rPr>
          <w:color w:val="000000"/>
        </w:rPr>
        <w:t xml:space="preserve">Indeed, not only are the relevant rules under the AEA, the AECA and the Hyde Act legally inapplicable to India, they also relate specifically to the termination of the 123 Agreement and </w:t>
      </w:r>
      <w:r w:rsidR="00850C78" w:rsidRPr="00043345">
        <w:rPr>
          <w:color w:val="000000"/>
        </w:rPr>
        <w:t xml:space="preserve">to </w:t>
      </w:r>
      <w:r w:rsidR="00DC6833" w:rsidRPr="00043345">
        <w:rPr>
          <w:color w:val="000000"/>
        </w:rPr>
        <w:t xml:space="preserve">possible sanctions rather than to </w:t>
      </w:r>
      <w:r w:rsidRPr="00043345">
        <w:rPr>
          <w:color w:val="000000"/>
        </w:rPr>
        <w:t xml:space="preserve">anything resembling </w:t>
      </w:r>
      <w:r w:rsidR="00850C78" w:rsidRPr="00043345">
        <w:rPr>
          <w:color w:val="000000"/>
        </w:rPr>
        <w:t xml:space="preserve">the general obligation contained in </w:t>
      </w:r>
      <w:r w:rsidRPr="00043345">
        <w:rPr>
          <w:color w:val="000000"/>
        </w:rPr>
        <w:t>Article I CTBT.  To put this another way, there is</w:t>
      </w:r>
      <w:r w:rsidR="00C50120">
        <w:rPr>
          <w:color w:val="000000"/>
        </w:rPr>
        <w:t xml:space="preserve"> </w:t>
      </w:r>
      <w:r w:rsidRPr="00043345">
        <w:rPr>
          <w:color w:val="000000"/>
        </w:rPr>
        <w:t xml:space="preserve">nothing remotely approaching a comprehensive ban on nuclear testing </w:t>
      </w:r>
      <w:r w:rsidR="00850C78" w:rsidRPr="00043345">
        <w:rPr>
          <w:color w:val="000000"/>
        </w:rPr>
        <w:t xml:space="preserve">that is </w:t>
      </w:r>
      <w:r w:rsidRPr="00043345">
        <w:rPr>
          <w:color w:val="000000"/>
        </w:rPr>
        <w:t xml:space="preserve">even indirectly associated with the 123 Agreement </w:t>
      </w:r>
      <w:r w:rsidR="00850C78" w:rsidRPr="00043345">
        <w:rPr>
          <w:color w:val="000000"/>
        </w:rPr>
        <w:t>(</w:t>
      </w:r>
      <w:r w:rsidR="00BF6DB7" w:rsidRPr="00043345">
        <w:rPr>
          <w:color w:val="000000"/>
        </w:rPr>
        <w:t xml:space="preserve">through India’s restatement of its unilateral moratorium, </w:t>
      </w:r>
      <w:r w:rsidR="00850C78" w:rsidRPr="00043345">
        <w:rPr>
          <w:color w:val="000000"/>
        </w:rPr>
        <w:t>by way of</w:t>
      </w:r>
      <w:r w:rsidRPr="00043345">
        <w:rPr>
          <w:color w:val="000000"/>
        </w:rPr>
        <w:t xml:space="preserve"> the domestic law of one of the </w:t>
      </w:r>
      <w:r w:rsidR="003F17DC">
        <w:rPr>
          <w:color w:val="000000"/>
        </w:rPr>
        <w:t>P</w:t>
      </w:r>
      <w:r w:rsidR="003F17DC" w:rsidRPr="00043345">
        <w:rPr>
          <w:color w:val="000000"/>
        </w:rPr>
        <w:t>arties</w:t>
      </w:r>
      <w:r w:rsidR="00DC6833" w:rsidRPr="00043345">
        <w:rPr>
          <w:color w:val="000000"/>
        </w:rPr>
        <w:t xml:space="preserve"> or </w:t>
      </w:r>
      <w:r w:rsidR="00BF6DB7" w:rsidRPr="00043345">
        <w:rPr>
          <w:color w:val="000000"/>
        </w:rPr>
        <w:t>as a consequence</w:t>
      </w:r>
      <w:r w:rsidR="00DC6833" w:rsidRPr="00043345">
        <w:rPr>
          <w:color w:val="000000"/>
        </w:rPr>
        <w:t xml:space="preserve"> of the NSG waiver</w:t>
      </w:r>
      <w:r w:rsidR="00850C78" w:rsidRPr="00043345">
        <w:rPr>
          <w:color w:val="000000"/>
        </w:rPr>
        <w:t>)</w:t>
      </w:r>
      <w:r w:rsidRPr="00043345">
        <w:rPr>
          <w:color w:val="000000"/>
        </w:rPr>
        <w:t>.  Thus, the final version of the 123 Agreement</w:t>
      </w:r>
      <w:r w:rsidR="00C50120">
        <w:rPr>
          <w:color w:val="000000"/>
        </w:rPr>
        <w:t>,</w:t>
      </w:r>
      <w:r w:rsidRPr="00043345">
        <w:rPr>
          <w:color w:val="000000"/>
        </w:rPr>
        <w:t xml:space="preserve"> signed in 2008: </w:t>
      </w:r>
    </w:p>
    <w:p w:rsidR="00BC63E6" w:rsidRDefault="009A1121" w:rsidP="004277D1">
      <w:pPr>
        <w:ind w:left="720" w:right="720"/>
        <w:jc w:val="both"/>
        <w:rPr>
          <w:color w:val="000000"/>
        </w:rPr>
      </w:pPr>
      <w:r>
        <w:t xml:space="preserve">[. . .] </w:t>
      </w:r>
      <w:r w:rsidR="00BC63E6" w:rsidRPr="00043345">
        <w:t>contains no binding disarmament commitments – not even preliminary steps, such as a pledge to ratify the CTBT</w:t>
      </w:r>
      <w:r>
        <w:t xml:space="preserve"> [. . .] </w:t>
      </w:r>
      <w:r w:rsidR="00BC63E6" w:rsidRPr="00043345">
        <w:t>Moreover, a clear signal that the international community will not tolerate a future Indian test is missing from both the NSG approval and the US-India Agreement.</w:t>
      </w:r>
      <w:r w:rsidR="00BC63E6" w:rsidRPr="00043345">
        <w:rPr>
          <w:rStyle w:val="FootnoteReference"/>
        </w:rPr>
        <w:footnoteReference w:id="201"/>
      </w:r>
    </w:p>
    <w:p w:rsidR="004277D1" w:rsidRPr="00043345" w:rsidRDefault="004277D1" w:rsidP="004277D1">
      <w:pPr>
        <w:ind w:left="720" w:right="720"/>
        <w:jc w:val="both"/>
        <w:rPr>
          <w:color w:val="000000"/>
        </w:rPr>
      </w:pPr>
    </w:p>
    <w:p w:rsidR="00850C78" w:rsidRPr="00043345" w:rsidRDefault="00850C78" w:rsidP="00043345">
      <w:pPr>
        <w:spacing w:line="480" w:lineRule="auto"/>
        <w:jc w:val="both"/>
        <w:rPr>
          <w:color w:val="000000"/>
        </w:rPr>
      </w:pPr>
      <w:r w:rsidRPr="00043345">
        <w:rPr>
          <w:i/>
          <w:color w:val="000000"/>
        </w:rPr>
        <w:t>De jure</w:t>
      </w:r>
      <w:r w:rsidRPr="00043345">
        <w:rPr>
          <w:color w:val="000000"/>
        </w:rPr>
        <w:t>, India can still test nuclear weapons, as it remains both unbound by any conventional obligation not to test (other than under the P</w:t>
      </w:r>
      <w:r w:rsidR="00AB3415" w:rsidRPr="00043345">
        <w:rPr>
          <w:color w:val="000000"/>
        </w:rPr>
        <w:t>TBT)</w:t>
      </w:r>
      <w:r w:rsidRPr="00043345">
        <w:rPr>
          <w:color w:val="000000"/>
        </w:rPr>
        <w:t xml:space="preserve"> and similarly has retained persistent objector status with regard to any </w:t>
      </w:r>
      <w:r w:rsidR="002C4B36" w:rsidRPr="00043345">
        <w:rPr>
          <w:color w:val="000000"/>
        </w:rPr>
        <w:t>corresponding</w:t>
      </w:r>
      <w:r w:rsidRPr="00043345">
        <w:rPr>
          <w:color w:val="000000"/>
        </w:rPr>
        <w:t xml:space="preserve"> customary prohibition.  Despite some claims to the contrary, the 123 Agreement has no legal </w:t>
      </w:r>
      <w:r w:rsidRPr="00043345">
        <w:rPr>
          <w:color w:val="000000"/>
        </w:rPr>
        <w:lastRenderedPageBreak/>
        <w:t>implications for India’s persistent objection to a customary</w:t>
      </w:r>
      <w:r w:rsidR="00394152">
        <w:rPr>
          <w:color w:val="000000"/>
        </w:rPr>
        <w:t xml:space="preserve"> comprehensive nuclear </w:t>
      </w:r>
      <w:r w:rsidRPr="00043345">
        <w:rPr>
          <w:color w:val="000000"/>
        </w:rPr>
        <w:t xml:space="preserve">test-ban.  </w:t>
      </w:r>
    </w:p>
    <w:p w:rsidR="00F52CAF" w:rsidRDefault="000C350E">
      <w:pPr>
        <w:jc w:val="center"/>
        <w:rPr>
          <w:b/>
        </w:rPr>
      </w:pPr>
      <w:r>
        <w:rPr>
          <w:b/>
        </w:rPr>
        <w:t>C.</w:t>
      </w:r>
      <w:r w:rsidR="00CF2F01" w:rsidRPr="00CF2F01">
        <w:rPr>
          <w:b/>
        </w:rPr>
        <w:t xml:space="preserve"> </w:t>
      </w:r>
      <w:r w:rsidR="00CF2F01" w:rsidRPr="00CF2F01">
        <w:rPr>
          <w:b/>
          <w:lang w:val="en-US"/>
        </w:rPr>
        <w:t xml:space="preserve">India’s Objections Retracted </w:t>
      </w:r>
      <w:r w:rsidR="00CF2F01" w:rsidRPr="00CF2F01">
        <w:rPr>
          <w:b/>
          <w:i/>
        </w:rPr>
        <w:t>De Facto</w:t>
      </w:r>
      <w:r w:rsidR="00CF2F01" w:rsidRPr="00CF2F01">
        <w:rPr>
          <w:b/>
          <w:lang w:val="en-US"/>
        </w:rPr>
        <w:t>?:</w:t>
      </w:r>
      <w:r w:rsidR="00CF2F01" w:rsidRPr="00CF2F01">
        <w:rPr>
          <w:b/>
        </w:rPr>
        <w:t xml:space="preserve"> Has the 123 Agreement in Reality Restricted Future Indian Nuclear Testing?</w:t>
      </w:r>
    </w:p>
    <w:p w:rsidR="008B5400" w:rsidRPr="00043345" w:rsidRDefault="008B5400" w:rsidP="00955F35">
      <w:pPr>
        <w:jc w:val="both"/>
        <w:rPr>
          <w:color w:val="000000"/>
        </w:rPr>
      </w:pPr>
    </w:p>
    <w:p w:rsidR="00AB175A" w:rsidRPr="00043345" w:rsidRDefault="00850C78" w:rsidP="004277D1">
      <w:pPr>
        <w:spacing w:line="480" w:lineRule="auto"/>
        <w:ind w:firstLine="720"/>
        <w:jc w:val="both"/>
      </w:pPr>
      <w:r w:rsidRPr="00043345">
        <w:rPr>
          <w:color w:val="000000"/>
        </w:rPr>
        <w:t xml:space="preserve">What about </w:t>
      </w:r>
      <w:r w:rsidRPr="00043345">
        <w:rPr>
          <w:i/>
          <w:color w:val="000000"/>
        </w:rPr>
        <w:t>de facto</w:t>
      </w:r>
      <w:r w:rsidR="002C4B36" w:rsidRPr="00043345">
        <w:rPr>
          <w:color w:val="000000"/>
        </w:rPr>
        <w:t>?  H</w:t>
      </w:r>
      <w:r w:rsidRPr="00043345">
        <w:rPr>
          <w:color w:val="000000"/>
        </w:rPr>
        <w:t xml:space="preserve">as the 123 Agreement in fact restricted India’s ability to test?  </w:t>
      </w:r>
      <w:r w:rsidRPr="00043345">
        <w:t xml:space="preserve">Again, as with the response to the 1998 tests, it is on the (extra-legal) political level where the deal is </w:t>
      </w:r>
      <w:r w:rsidR="002C4B36" w:rsidRPr="00043345">
        <w:t xml:space="preserve">more </w:t>
      </w:r>
      <w:r w:rsidRPr="00043345">
        <w:t xml:space="preserve">likely to have an effect on any </w:t>
      </w:r>
      <w:r w:rsidR="002C4B36" w:rsidRPr="00043345">
        <w:t xml:space="preserve">possible </w:t>
      </w:r>
      <w:r w:rsidRPr="00043345">
        <w:t xml:space="preserve">future nuclear tests by India.  The political pressures </w:t>
      </w:r>
      <w:r w:rsidR="001B3863" w:rsidRPr="00043345">
        <w:t xml:space="preserve">to refrain from testing </w:t>
      </w:r>
      <w:r w:rsidR="00952364">
        <w:t>that</w:t>
      </w:r>
      <w:r w:rsidRPr="00043345">
        <w:t xml:space="preserve"> India has taken upon itself </w:t>
      </w:r>
      <w:r w:rsidRPr="00AB175A">
        <w:t xml:space="preserve">by signing </w:t>
      </w:r>
      <w:r w:rsidR="00AB175A" w:rsidRPr="00AB175A">
        <w:t xml:space="preserve">the 123 Agreement are notable.  </w:t>
      </w:r>
      <w:r w:rsidR="00C50120">
        <w:t>Given this, i</w:t>
      </w:r>
      <w:r w:rsidR="00C50120" w:rsidRPr="00AB175A">
        <w:t xml:space="preserve">t </w:t>
      </w:r>
      <w:r w:rsidR="00AB175A" w:rsidRPr="00AB175A">
        <w:t xml:space="preserve">has been argued that </w:t>
      </w:r>
      <w:r w:rsidR="0028349D">
        <w:rPr>
          <w:bCs/>
        </w:rPr>
        <w:t>“</w:t>
      </w:r>
      <w:r w:rsidR="00AB175A" w:rsidRPr="00AB175A">
        <w:t>[f]or all practical purposes, the</w:t>
      </w:r>
      <w:r w:rsidR="00AB175A" w:rsidRPr="00AB175A">
        <w:rPr>
          <w:bCs/>
        </w:rPr>
        <w:t xml:space="preserve"> </w:t>
      </w:r>
      <w:r w:rsidR="00AB175A" w:rsidRPr="00AB175A">
        <w:t>option of testing will be as good as dead and remains</w:t>
      </w:r>
      <w:r w:rsidR="00AB175A" w:rsidRPr="00AB175A">
        <w:rPr>
          <w:bCs/>
        </w:rPr>
        <w:t xml:space="preserve"> </w:t>
      </w:r>
      <w:r w:rsidR="00AB175A" w:rsidRPr="00AB175A">
        <w:t>only in theory.</w:t>
      </w:r>
      <w:r w:rsidR="0028349D">
        <w:t>”</w:t>
      </w:r>
      <w:r w:rsidR="00AB175A">
        <w:rPr>
          <w:rStyle w:val="FootnoteReference"/>
        </w:rPr>
        <w:footnoteReference w:id="202"/>
      </w:r>
    </w:p>
    <w:p w:rsidR="00BF6DB7" w:rsidRPr="00043345" w:rsidRDefault="00BF6DB7" w:rsidP="004277D1">
      <w:pPr>
        <w:spacing w:line="480" w:lineRule="auto"/>
        <w:ind w:firstLine="720"/>
        <w:jc w:val="both"/>
      </w:pPr>
      <w:r w:rsidRPr="00043345">
        <w:t xml:space="preserve">The </w:t>
      </w:r>
      <w:r w:rsidR="00114ADF">
        <w:t xml:space="preserve">123 </w:t>
      </w:r>
      <w:r w:rsidRPr="00043345">
        <w:t xml:space="preserve">Agreement </w:t>
      </w:r>
      <w:r w:rsidR="00114ADF">
        <w:t xml:space="preserve">certainly </w:t>
      </w:r>
      <w:r w:rsidRPr="00043345">
        <w:t xml:space="preserve">does not </w:t>
      </w:r>
      <w:r w:rsidRPr="00114ADF">
        <w:rPr>
          <w:i/>
        </w:rPr>
        <w:t>legally</w:t>
      </w:r>
      <w:r w:rsidRPr="00043345">
        <w:t xml:space="preserve"> require India to refrain from nuclear testing, as was discus</w:t>
      </w:r>
      <w:r w:rsidR="00394152">
        <w:t xml:space="preserve">sed in the previous </w:t>
      </w:r>
      <w:r w:rsidR="005523AB">
        <w:t>Subsection</w:t>
      </w:r>
      <w:r w:rsidR="00394152">
        <w:t xml:space="preserve">.  However, </w:t>
      </w:r>
      <w:r w:rsidRPr="00043345">
        <w:t>Article 14(1) of the deal does allow the United States (or</w:t>
      </w:r>
      <w:r w:rsidR="00A90D31" w:rsidRPr="00043345">
        <w:t>, of course,</w:t>
      </w:r>
      <w:r w:rsidRPr="00043345">
        <w:t xml:space="preserve"> India) to </w:t>
      </w:r>
      <w:r w:rsidRPr="00043345">
        <w:rPr>
          <w:i/>
        </w:rPr>
        <w:t>withdraw</w:t>
      </w:r>
      <w:r w:rsidRPr="00043345">
        <w:t xml:space="preserve"> from the treaty,</w:t>
      </w:r>
      <w:r w:rsidRPr="00043345">
        <w:rPr>
          <w:rStyle w:val="FootnoteReference"/>
        </w:rPr>
        <w:footnoteReference w:id="203"/>
      </w:r>
      <w:r w:rsidRPr="00043345">
        <w:t xml:space="preserve"> and such a withdrawal could certainly be </w:t>
      </w:r>
      <w:r w:rsidR="00394152">
        <w:t xml:space="preserve">justified on the basis that </w:t>
      </w:r>
      <w:r w:rsidRPr="00043345">
        <w:t xml:space="preserve">the other </w:t>
      </w:r>
      <w:r w:rsidR="0081252D">
        <w:t>P</w:t>
      </w:r>
      <w:r w:rsidR="0081252D" w:rsidRPr="00043345">
        <w:t xml:space="preserve">arty </w:t>
      </w:r>
      <w:r w:rsidRPr="00043345">
        <w:t xml:space="preserve">had resumed </w:t>
      </w:r>
      <w:r w:rsidR="00394152">
        <w:t xml:space="preserve">nuclear </w:t>
      </w:r>
      <w:r w:rsidRPr="00043345">
        <w:t xml:space="preserve">testing.  Article 14 does not elaborate </w:t>
      </w:r>
      <w:r w:rsidR="00C50120">
        <w:t xml:space="preserve">upon </w:t>
      </w:r>
      <w:r w:rsidRPr="00043345">
        <w:t xml:space="preserve">the specific circumstances that might bring about the termination of the deal or a cessation of cooperation between the </w:t>
      </w:r>
      <w:r w:rsidR="003F17DC">
        <w:t>P</w:t>
      </w:r>
      <w:r w:rsidR="003F17DC" w:rsidRPr="00043345">
        <w:t>arties</w:t>
      </w:r>
      <w:r w:rsidRPr="00043345">
        <w:t>,</w:t>
      </w:r>
      <w:r w:rsidRPr="00043345">
        <w:rPr>
          <w:rStyle w:val="FootnoteReference"/>
        </w:rPr>
        <w:footnoteReference w:id="204"/>
      </w:r>
      <w:r w:rsidRPr="00043345">
        <w:t xml:space="preserve"> but it undoubtedly gives either </w:t>
      </w:r>
      <w:r w:rsidR="0081252D">
        <w:t>P</w:t>
      </w:r>
      <w:r w:rsidR="0081252D" w:rsidRPr="00043345">
        <w:t xml:space="preserve">arty </w:t>
      </w:r>
      <w:r w:rsidRPr="00043345">
        <w:t xml:space="preserve">the legal right to terminate, including in the event </w:t>
      </w:r>
      <w:r w:rsidR="00522082">
        <w:t xml:space="preserve">that </w:t>
      </w:r>
      <w:r w:rsidRPr="00043345">
        <w:t xml:space="preserve">the other </w:t>
      </w:r>
      <w:r w:rsidR="0081252D">
        <w:t>P</w:t>
      </w:r>
      <w:r w:rsidR="0081252D" w:rsidRPr="00043345">
        <w:t xml:space="preserve">arty </w:t>
      </w:r>
      <w:r w:rsidR="00522082" w:rsidRPr="00043345">
        <w:t>explod</w:t>
      </w:r>
      <w:r w:rsidR="00522082">
        <w:t>es</w:t>
      </w:r>
      <w:r w:rsidR="00522082" w:rsidRPr="00043345">
        <w:t xml:space="preserve"> </w:t>
      </w:r>
      <w:r w:rsidRPr="00043345">
        <w:t xml:space="preserve">another nuclear </w:t>
      </w:r>
      <w:r w:rsidRPr="00043345">
        <w:lastRenderedPageBreak/>
        <w:t>device.</w:t>
      </w:r>
      <w:r w:rsidRPr="00043345">
        <w:rPr>
          <w:rStyle w:val="FootnoteReference"/>
        </w:rPr>
        <w:footnoteReference w:id="205"/>
      </w:r>
      <w:r w:rsidRPr="00043345">
        <w:t xml:space="preserve">  Further</w:t>
      </w:r>
      <w:r w:rsidR="00394152">
        <w:t>more</w:t>
      </w:r>
      <w:r w:rsidRPr="00043345">
        <w:t xml:space="preserve">, Article 14(4) provides </w:t>
      </w:r>
      <w:r w:rsidRPr="00043345">
        <w:rPr>
          <w:color w:val="000000"/>
        </w:rPr>
        <w:t xml:space="preserve">for the return of all nuclear materials between the </w:t>
      </w:r>
      <w:r w:rsidR="003F17DC">
        <w:rPr>
          <w:color w:val="000000"/>
        </w:rPr>
        <w:t>P</w:t>
      </w:r>
      <w:r w:rsidR="003F17DC" w:rsidRPr="00043345">
        <w:rPr>
          <w:color w:val="000000"/>
        </w:rPr>
        <w:t xml:space="preserve">arties </w:t>
      </w:r>
      <w:r w:rsidRPr="00043345">
        <w:rPr>
          <w:color w:val="000000"/>
        </w:rPr>
        <w:t>should the deal be terminated.</w:t>
      </w:r>
      <w:r w:rsidRPr="00043345">
        <w:rPr>
          <w:rStyle w:val="FootnoteReference"/>
          <w:color w:val="000000"/>
        </w:rPr>
        <w:footnoteReference w:id="206"/>
      </w:r>
    </w:p>
    <w:p w:rsidR="0007400B" w:rsidRPr="00043345" w:rsidRDefault="0007400B" w:rsidP="004277D1">
      <w:pPr>
        <w:autoSpaceDE w:val="0"/>
        <w:autoSpaceDN w:val="0"/>
        <w:adjustRightInd w:val="0"/>
        <w:spacing w:line="480" w:lineRule="auto"/>
        <w:ind w:firstLine="709"/>
        <w:jc w:val="both"/>
      </w:pPr>
      <w:r w:rsidRPr="00043345">
        <w:t xml:space="preserve">Article 14(2) of the </w:t>
      </w:r>
      <w:r w:rsidR="00952364">
        <w:t xml:space="preserve">123 </w:t>
      </w:r>
      <w:r w:rsidR="00952364" w:rsidRPr="00043345">
        <w:t>Agreement</w:t>
      </w:r>
      <w:r w:rsidR="00952364">
        <w:t xml:space="preserve"> </w:t>
      </w:r>
      <w:r w:rsidR="00394152">
        <w:t xml:space="preserve">admittedly </w:t>
      </w:r>
      <w:r w:rsidRPr="00043345">
        <w:t xml:space="preserve">specifies that the </w:t>
      </w:r>
      <w:r w:rsidR="003F17DC">
        <w:t>P</w:t>
      </w:r>
      <w:r w:rsidR="003F17DC" w:rsidRPr="00043345">
        <w:t xml:space="preserve">arties </w:t>
      </w:r>
      <w:r w:rsidRPr="00043345">
        <w:t xml:space="preserve">are to </w:t>
      </w:r>
      <w:r w:rsidR="0028349D">
        <w:t>“</w:t>
      </w:r>
      <w:r w:rsidRPr="00043345">
        <w:t>hold consultations</w:t>
      </w:r>
      <w:r w:rsidR="0028349D">
        <w:t>”</w:t>
      </w:r>
      <w:r w:rsidRPr="00043345">
        <w:t xml:space="preserve"> in the case of </w:t>
      </w:r>
      <w:r w:rsidR="00E74805">
        <w:t xml:space="preserve">a </w:t>
      </w:r>
      <w:r w:rsidRPr="00043345">
        <w:t>dispute, prior to any termination of the deal.</w:t>
      </w:r>
      <w:r w:rsidRPr="00043345">
        <w:rPr>
          <w:rStyle w:val="FootnoteReference"/>
        </w:rPr>
        <w:footnoteReference w:id="207"/>
      </w:r>
      <w:r w:rsidRPr="00043345">
        <w:t xml:space="preserve">  In so doing, the United States and India are to:</w:t>
      </w:r>
    </w:p>
    <w:p w:rsidR="0007400B" w:rsidRDefault="009A1121" w:rsidP="004277D1">
      <w:pPr>
        <w:autoSpaceDE w:val="0"/>
        <w:autoSpaceDN w:val="0"/>
        <w:adjustRightInd w:val="0"/>
        <w:ind w:left="720" w:right="720"/>
        <w:jc w:val="both"/>
      </w:pPr>
      <w:r>
        <w:t xml:space="preserve">[. . .] </w:t>
      </w:r>
      <w:r w:rsidR="0007400B" w:rsidRPr="00043345">
        <w:t>take into account whether the circumstances that may lead to termination or cessation resulted from a Party’s serious concern about a changed security environment or as a response to similar actions by other States which could impact national security.</w:t>
      </w:r>
      <w:r w:rsidR="0007400B" w:rsidRPr="00043345">
        <w:rPr>
          <w:rStyle w:val="FootnoteReference"/>
        </w:rPr>
        <w:footnoteReference w:id="208"/>
      </w:r>
    </w:p>
    <w:p w:rsidR="004277D1" w:rsidRPr="00043345" w:rsidRDefault="004277D1" w:rsidP="004277D1">
      <w:pPr>
        <w:autoSpaceDE w:val="0"/>
        <w:autoSpaceDN w:val="0"/>
        <w:adjustRightInd w:val="0"/>
        <w:ind w:left="720" w:right="720"/>
        <w:jc w:val="both"/>
      </w:pPr>
    </w:p>
    <w:p w:rsidR="00F403A8" w:rsidRPr="00AB175A" w:rsidRDefault="0007400B" w:rsidP="004277D1">
      <w:pPr>
        <w:autoSpaceDE w:val="0"/>
        <w:autoSpaceDN w:val="0"/>
        <w:adjustRightInd w:val="0"/>
        <w:spacing w:line="480" w:lineRule="auto"/>
        <w:jc w:val="both"/>
      </w:pPr>
      <w:r w:rsidRPr="00043345">
        <w:t>As Kerr has noted, this provision could suggest that in the event of an Indian nuclear test, New Delhi may be able to argue that the deal should not be terminated because security concerns justified the test.</w:t>
      </w:r>
      <w:r w:rsidRPr="00043345">
        <w:rPr>
          <w:rStyle w:val="FootnoteReference"/>
        </w:rPr>
        <w:footnoteReference w:id="209"/>
      </w:r>
      <w:r w:rsidRPr="00043345">
        <w:t xml:space="preserve">  However, even in such circumstances, the United States </w:t>
      </w:r>
      <w:r w:rsidR="00394152">
        <w:t>would still have</w:t>
      </w:r>
      <w:r w:rsidRPr="00043345">
        <w:t xml:space="preserve"> </w:t>
      </w:r>
      <w:r w:rsidR="00E67B54">
        <w:t xml:space="preserve">every </w:t>
      </w:r>
      <w:r w:rsidRPr="00043345">
        <w:t>legal</w:t>
      </w:r>
      <w:r w:rsidR="00BF6DB7" w:rsidRPr="00043345">
        <w:t xml:space="preserve"> right</w:t>
      </w:r>
      <w:r w:rsidRPr="00043345">
        <w:t xml:space="preserve"> to terminate the 123 Agreement, cease nuclear cooperation with India and demand the return of all traded nuclear materials.</w:t>
      </w:r>
      <w:r w:rsidRPr="00043345">
        <w:rPr>
          <w:rStyle w:val="FootnoteReference"/>
        </w:rPr>
        <w:footnoteReference w:id="210"/>
      </w:r>
      <w:r w:rsidR="00F403A8" w:rsidRPr="00043345">
        <w:t xml:space="preserve">  </w:t>
      </w:r>
      <w:r w:rsidR="008A6126">
        <w:t>It would seem politically likely that the United States would take this step if India tested again.</w:t>
      </w:r>
      <w:r w:rsidR="008A6126">
        <w:rPr>
          <w:rStyle w:val="FootnoteReference"/>
        </w:rPr>
        <w:footnoteReference w:id="211"/>
      </w:r>
      <w:r w:rsidR="008A6126">
        <w:t xml:space="preserve">  </w:t>
      </w:r>
      <w:r w:rsidR="00177DBC" w:rsidRPr="00043345">
        <w:t>Indeed, w</w:t>
      </w:r>
      <w:r w:rsidR="00850C78" w:rsidRPr="00043345">
        <w:t xml:space="preserve">hile India </w:t>
      </w:r>
      <w:r w:rsidR="002C4B36" w:rsidRPr="00043345">
        <w:t>is</w:t>
      </w:r>
      <w:r w:rsidR="00850C78" w:rsidRPr="00043345">
        <w:t xml:space="preserve"> not bound by the various provisions of American domestic law discussed above</w:t>
      </w:r>
      <w:r w:rsidR="001B3863" w:rsidRPr="00043345">
        <w:t>,</w:t>
      </w:r>
      <w:r w:rsidR="00850C78" w:rsidRPr="00043345">
        <w:t xml:space="preserve"> the United States obviously is</w:t>
      </w:r>
      <w:r w:rsidR="00952364">
        <w:t>,</w:t>
      </w:r>
      <w:r w:rsidR="00E74805">
        <w:t xml:space="preserve"> and</w:t>
      </w:r>
      <w:r w:rsidR="00952364">
        <w:t>,</w:t>
      </w:r>
      <w:r w:rsidR="00E74805">
        <w:t xml:space="preserve"> </w:t>
      </w:r>
      <w:r w:rsidR="00850C78" w:rsidRPr="00043345">
        <w:t>as such</w:t>
      </w:r>
      <w:r w:rsidR="00D34A5A" w:rsidRPr="00043345">
        <w:t>,</w:t>
      </w:r>
      <w:r w:rsidR="00850C78" w:rsidRPr="00043345">
        <w:t xml:space="preserve"> the United States </w:t>
      </w:r>
      <w:r w:rsidR="00177DBC" w:rsidRPr="00043345">
        <w:t xml:space="preserve">not only </w:t>
      </w:r>
      <w:r w:rsidR="00850C78" w:rsidRPr="00043345">
        <w:t xml:space="preserve">has the </w:t>
      </w:r>
      <w:r w:rsidR="00DC6833" w:rsidRPr="00043345">
        <w:t xml:space="preserve">legal </w:t>
      </w:r>
      <w:r w:rsidR="00850C78" w:rsidRPr="00043345">
        <w:t>right</w:t>
      </w:r>
      <w:r w:rsidR="00177DBC" w:rsidRPr="00043345">
        <w:t xml:space="preserve"> </w:t>
      </w:r>
      <w:r w:rsidR="00F403A8" w:rsidRPr="00043345">
        <w:t xml:space="preserve">to terminate the deal, </w:t>
      </w:r>
      <w:r w:rsidR="00177DBC" w:rsidRPr="00043345">
        <w:t xml:space="preserve">but </w:t>
      </w:r>
      <w:r w:rsidR="00177DBC" w:rsidRPr="00AB175A">
        <w:lastRenderedPageBreak/>
        <w:t xml:space="preserve">arguably also </w:t>
      </w:r>
      <w:r w:rsidR="00952364">
        <w:t xml:space="preserve">has </w:t>
      </w:r>
      <w:r w:rsidR="00850C78" w:rsidRPr="00AB175A">
        <w:t>a</w:t>
      </w:r>
      <w:r w:rsidR="00DC6833" w:rsidRPr="00AB175A">
        <w:t xml:space="preserve"> legal</w:t>
      </w:r>
      <w:r w:rsidR="00850C78" w:rsidRPr="00AB175A">
        <w:t xml:space="preserve"> </w:t>
      </w:r>
      <w:r w:rsidR="00850C78" w:rsidRPr="00AB175A">
        <w:rPr>
          <w:i/>
        </w:rPr>
        <w:t>duty</w:t>
      </w:r>
      <w:r w:rsidR="00177DBC" w:rsidRPr="00AB175A">
        <w:t xml:space="preserve"> </w:t>
      </w:r>
      <w:r w:rsidR="00850C78" w:rsidRPr="00AB175A">
        <w:t xml:space="preserve">to </w:t>
      </w:r>
      <w:r w:rsidR="001B3863" w:rsidRPr="00AB175A">
        <w:t xml:space="preserve">immediately </w:t>
      </w:r>
      <w:r w:rsidR="00F403A8" w:rsidRPr="00AB175A">
        <w:t>do so</w:t>
      </w:r>
      <w:r w:rsidR="00850C78" w:rsidRPr="00AB175A">
        <w:t xml:space="preserve"> and recall any transferred material should India test again.</w:t>
      </w:r>
    </w:p>
    <w:p w:rsidR="003962EC" w:rsidRPr="004277D1" w:rsidRDefault="00850C78" w:rsidP="004277D1">
      <w:pPr>
        <w:autoSpaceDE w:val="0"/>
        <w:autoSpaceDN w:val="0"/>
        <w:adjustRightInd w:val="0"/>
        <w:spacing w:line="480" w:lineRule="auto"/>
        <w:ind w:firstLine="720"/>
        <w:jc w:val="both"/>
      </w:pPr>
      <w:r w:rsidRPr="00AB175A">
        <w:t>As with any failed relationship,</w:t>
      </w:r>
      <w:r w:rsidR="00394152">
        <w:t xml:space="preserve"> if one party wants to break up</w:t>
      </w:r>
      <w:r w:rsidRPr="00AB175A">
        <w:t xml:space="preserve"> there is little the other party can do about it</w:t>
      </w:r>
      <w:r w:rsidR="00AB175A">
        <w:t xml:space="preserve">.  </w:t>
      </w:r>
      <w:r w:rsidRPr="00AB175A">
        <w:t xml:space="preserve">India is likely to be wary of losing </w:t>
      </w:r>
      <w:r w:rsidR="00DC6833" w:rsidRPr="00AB175A">
        <w:t xml:space="preserve">its new partner, and – as a result – </w:t>
      </w:r>
      <w:r w:rsidR="00D34A5A" w:rsidRPr="00AB175A">
        <w:t xml:space="preserve">the </w:t>
      </w:r>
      <w:r w:rsidRPr="00AB175A">
        <w:t>vast economic</w:t>
      </w:r>
      <w:r w:rsidRPr="00AB175A">
        <w:rPr>
          <w:color w:val="000000"/>
        </w:rPr>
        <w:t>, social and security</w:t>
      </w:r>
      <w:r w:rsidR="00D34A5A" w:rsidRPr="00AB175A">
        <w:rPr>
          <w:color w:val="000000"/>
        </w:rPr>
        <w:t xml:space="preserve"> related gains that will flow from the </w:t>
      </w:r>
      <w:r w:rsidR="00DC6833" w:rsidRPr="00AB175A">
        <w:rPr>
          <w:color w:val="000000"/>
        </w:rPr>
        <w:t>123 Agreement.  This is</w:t>
      </w:r>
      <w:r w:rsidR="00D34A5A" w:rsidRPr="00AB175A">
        <w:rPr>
          <w:color w:val="000000"/>
        </w:rPr>
        <w:t xml:space="preserve"> not to mention the risk of </w:t>
      </w:r>
      <w:r w:rsidR="00DC6833" w:rsidRPr="00AB175A">
        <w:rPr>
          <w:color w:val="000000"/>
        </w:rPr>
        <w:t xml:space="preserve">India </w:t>
      </w:r>
      <w:r w:rsidR="00D34A5A" w:rsidRPr="00AB175A">
        <w:rPr>
          <w:color w:val="000000"/>
        </w:rPr>
        <w:t xml:space="preserve">having the deal’s </w:t>
      </w:r>
      <w:r w:rsidR="00D34A5A" w:rsidRPr="00AB175A">
        <w:rPr>
          <w:i/>
          <w:color w:val="000000"/>
        </w:rPr>
        <w:t>de facto</w:t>
      </w:r>
      <w:r w:rsidR="00D34A5A" w:rsidRPr="00AB175A">
        <w:rPr>
          <w:color w:val="000000"/>
        </w:rPr>
        <w:t xml:space="preserve"> recognition of its nuclear power status</w:t>
      </w:r>
      <w:r w:rsidR="00E835F8" w:rsidRPr="00AB175A">
        <w:rPr>
          <w:rStyle w:val="FootnoteReference"/>
          <w:color w:val="000000"/>
        </w:rPr>
        <w:footnoteReference w:id="212"/>
      </w:r>
      <w:r w:rsidR="00D34A5A" w:rsidRPr="00AB175A">
        <w:rPr>
          <w:color w:val="000000"/>
        </w:rPr>
        <w:t xml:space="preserve"> withdrawn and finding itself thrown back out into the nuclear cold.  </w:t>
      </w:r>
      <w:r w:rsidR="001B3863" w:rsidRPr="00AB175A">
        <w:rPr>
          <w:color w:val="000000"/>
        </w:rPr>
        <w:t>More generally</w:t>
      </w:r>
      <w:r w:rsidR="00D34A5A" w:rsidRPr="00AB175A">
        <w:rPr>
          <w:color w:val="000000"/>
        </w:rPr>
        <w:t xml:space="preserve">, of course, </w:t>
      </w:r>
      <w:r w:rsidR="001B3863" w:rsidRPr="00AB175A">
        <w:rPr>
          <w:color w:val="000000"/>
        </w:rPr>
        <w:t xml:space="preserve">it is </w:t>
      </w:r>
      <w:r w:rsidR="00D34A5A" w:rsidRPr="00AB175A">
        <w:rPr>
          <w:color w:val="000000"/>
        </w:rPr>
        <w:t xml:space="preserve">politically unwise to anger the mightiest </w:t>
      </w:r>
      <w:r w:rsidR="00125F4E">
        <w:rPr>
          <w:color w:val="000000"/>
        </w:rPr>
        <w:t>S</w:t>
      </w:r>
      <w:r w:rsidR="00125F4E" w:rsidRPr="00AB175A">
        <w:rPr>
          <w:color w:val="000000"/>
        </w:rPr>
        <w:t xml:space="preserve">tate </w:t>
      </w:r>
      <w:r w:rsidR="00D34A5A" w:rsidRPr="00AB175A">
        <w:rPr>
          <w:color w:val="000000"/>
        </w:rPr>
        <w:t>in the world</w:t>
      </w:r>
      <w:r w:rsidR="00DC6833" w:rsidRPr="00AB175A">
        <w:rPr>
          <w:color w:val="000000"/>
        </w:rPr>
        <w:t xml:space="preserve"> in any context</w:t>
      </w:r>
      <w:r w:rsidR="00D34A5A" w:rsidRPr="00AB175A">
        <w:rPr>
          <w:color w:val="000000"/>
        </w:rPr>
        <w:t>, especially after finally reaching an understanding following thirty years of sanctions and political ill will.</w:t>
      </w:r>
      <w:r w:rsidR="003962EC" w:rsidRPr="00AB175A">
        <w:rPr>
          <w:color w:val="000000"/>
        </w:rPr>
        <w:t xml:space="preserve">  </w:t>
      </w:r>
    </w:p>
    <w:p w:rsidR="00F403A8" w:rsidRPr="004277D1" w:rsidRDefault="003962EC" w:rsidP="004277D1">
      <w:pPr>
        <w:spacing w:line="480" w:lineRule="auto"/>
        <w:ind w:firstLine="720"/>
        <w:jc w:val="both"/>
      </w:pPr>
      <w:r w:rsidRPr="00AB175A">
        <w:rPr>
          <w:color w:val="000000"/>
        </w:rPr>
        <w:t xml:space="preserve">On top of this is the fact that a number of </w:t>
      </w:r>
      <w:r w:rsidR="00E74805">
        <w:rPr>
          <w:color w:val="000000"/>
        </w:rPr>
        <w:t xml:space="preserve">NSG </w:t>
      </w:r>
      <w:r w:rsidRPr="00AB175A">
        <w:rPr>
          <w:color w:val="000000"/>
        </w:rPr>
        <w:t xml:space="preserve">members were clear that they wanted the NSG waiver to be conditional </w:t>
      </w:r>
      <w:r w:rsidR="00B94CBE">
        <w:rPr>
          <w:color w:val="000000"/>
        </w:rPr>
        <w:t>up</w:t>
      </w:r>
      <w:r w:rsidRPr="00AB175A">
        <w:rPr>
          <w:color w:val="000000"/>
        </w:rPr>
        <w:t xml:space="preserve">on India refraining from </w:t>
      </w:r>
      <w:r w:rsidR="00B94CBE">
        <w:rPr>
          <w:color w:val="000000"/>
        </w:rPr>
        <w:t xml:space="preserve">future </w:t>
      </w:r>
      <w:r w:rsidRPr="00AB175A">
        <w:rPr>
          <w:color w:val="000000"/>
        </w:rPr>
        <w:t>testing.</w:t>
      </w:r>
      <w:r w:rsidRPr="00AB175A">
        <w:rPr>
          <w:rStyle w:val="FootnoteReference"/>
          <w:color w:val="000000"/>
        </w:rPr>
        <w:footnoteReference w:id="213"/>
      </w:r>
      <w:r w:rsidRPr="00AB175A">
        <w:rPr>
          <w:color w:val="000000"/>
        </w:rPr>
        <w:t xml:space="preserve">  While this </w:t>
      </w:r>
      <w:r w:rsidR="00156521" w:rsidRPr="00AB175A">
        <w:rPr>
          <w:color w:val="000000"/>
        </w:rPr>
        <w:t xml:space="preserve">proposal </w:t>
      </w:r>
      <w:r w:rsidRPr="00AB175A">
        <w:rPr>
          <w:color w:val="000000"/>
        </w:rPr>
        <w:t>was not formally implemented in either the 123 Agreement or the NSG statement</w:t>
      </w:r>
      <w:r w:rsidR="00156521" w:rsidRPr="00AB175A">
        <w:rPr>
          <w:color w:val="000000"/>
        </w:rPr>
        <w:t xml:space="preserve"> of waiver</w:t>
      </w:r>
      <w:r w:rsidRPr="00AB175A">
        <w:rPr>
          <w:color w:val="000000"/>
        </w:rPr>
        <w:t>, the implication of the fact that an acknowledgeme</w:t>
      </w:r>
      <w:r w:rsidR="00194EE4" w:rsidRPr="00AB175A">
        <w:rPr>
          <w:color w:val="000000"/>
        </w:rPr>
        <w:t>nt of India’s self-imposed test-</w:t>
      </w:r>
      <w:r w:rsidRPr="00AB175A">
        <w:rPr>
          <w:color w:val="000000"/>
        </w:rPr>
        <w:t xml:space="preserve">ban </w:t>
      </w:r>
      <w:r w:rsidRPr="00AB175A">
        <w:rPr>
          <w:i/>
          <w:color w:val="000000"/>
        </w:rPr>
        <w:t>was</w:t>
      </w:r>
      <w:r w:rsidRPr="00AB175A">
        <w:rPr>
          <w:color w:val="000000"/>
        </w:rPr>
        <w:t xml:space="preserve"> included in the waiver statement</w:t>
      </w:r>
      <w:r w:rsidR="00156521" w:rsidRPr="00AB175A">
        <w:rPr>
          <w:rStyle w:val="FootnoteReference"/>
          <w:color w:val="000000"/>
        </w:rPr>
        <w:footnoteReference w:id="214"/>
      </w:r>
      <w:r w:rsidRPr="00AB175A">
        <w:rPr>
          <w:color w:val="000000"/>
        </w:rPr>
        <w:t xml:space="preserve"> is that the waiver </w:t>
      </w:r>
      <w:r w:rsidR="002C4B36" w:rsidRPr="00AB175A">
        <w:rPr>
          <w:color w:val="000000"/>
        </w:rPr>
        <w:t>will</w:t>
      </w:r>
      <w:r w:rsidRPr="00AB175A">
        <w:rPr>
          <w:color w:val="000000"/>
        </w:rPr>
        <w:t xml:space="preserve"> be withdrawn should </w:t>
      </w:r>
      <w:r w:rsidR="00156521" w:rsidRPr="00AB175A">
        <w:rPr>
          <w:color w:val="000000"/>
        </w:rPr>
        <w:t>India</w:t>
      </w:r>
      <w:r w:rsidRPr="00AB175A">
        <w:rPr>
          <w:color w:val="000000"/>
        </w:rPr>
        <w:t xml:space="preserve"> end its moratorium.  </w:t>
      </w:r>
      <w:r w:rsidR="00F13A92" w:rsidRPr="00AB175A">
        <w:t xml:space="preserve">For example, New Zealand stated in 2008 that </w:t>
      </w:r>
      <w:r w:rsidR="0028349D">
        <w:t>“</w:t>
      </w:r>
      <w:r w:rsidR="00F13A92" w:rsidRPr="00AB175A">
        <w:t>in the event of a nuclear test</w:t>
      </w:r>
      <w:r w:rsidR="00F13A92" w:rsidRPr="00043345">
        <w:t xml:space="preserve"> by India, this exemption will become null and void.</w:t>
      </w:r>
      <w:r w:rsidR="0028349D">
        <w:t>”</w:t>
      </w:r>
      <w:r w:rsidR="00F13A92" w:rsidRPr="00043345">
        <w:rPr>
          <w:rStyle w:val="FootnoteReference"/>
        </w:rPr>
        <w:footnoteReference w:id="215"/>
      </w:r>
      <w:r w:rsidR="00F13A92" w:rsidRPr="00043345">
        <w:t xml:space="preserve">  </w:t>
      </w:r>
      <w:r w:rsidR="00BE25FD">
        <w:t>Of course, t</w:t>
      </w:r>
      <w:r w:rsidR="00BE25FD" w:rsidRPr="00043345">
        <w:t xml:space="preserve">his </w:t>
      </w:r>
      <w:r w:rsidR="00177DBC" w:rsidRPr="00043345">
        <w:t xml:space="preserve">is </w:t>
      </w:r>
      <w:r w:rsidR="00F13A92" w:rsidRPr="00043345">
        <w:t xml:space="preserve">not the case </w:t>
      </w:r>
      <w:r w:rsidR="00177DBC" w:rsidRPr="00043345">
        <w:rPr>
          <w:i/>
        </w:rPr>
        <w:t>per se</w:t>
      </w:r>
      <w:r w:rsidR="00F13A92" w:rsidRPr="00043345">
        <w:t xml:space="preserve"> under the terms of the waiver, but it would seem a likely consequence of an</w:t>
      </w:r>
      <w:r w:rsidR="00177DBC" w:rsidRPr="00043345">
        <w:t>y</w:t>
      </w:r>
      <w:r w:rsidR="00F13A92" w:rsidRPr="00043345">
        <w:t xml:space="preserve"> Indian test.</w:t>
      </w:r>
      <w:r w:rsidR="00F403A8" w:rsidRPr="00043345">
        <w:rPr>
          <w:rStyle w:val="FootnoteReference"/>
        </w:rPr>
        <w:footnoteReference w:id="216"/>
      </w:r>
      <w:r w:rsidR="00F13A92" w:rsidRPr="00043345">
        <w:t xml:space="preserve">  </w:t>
      </w:r>
    </w:p>
    <w:p w:rsidR="007A0D1E" w:rsidRPr="00043345" w:rsidRDefault="00C411CB" w:rsidP="004277D1">
      <w:pPr>
        <w:spacing w:line="480" w:lineRule="auto"/>
        <w:ind w:firstLine="720"/>
        <w:jc w:val="both"/>
        <w:rPr>
          <w:color w:val="000000"/>
        </w:rPr>
      </w:pPr>
      <w:r w:rsidRPr="00043345">
        <w:rPr>
          <w:color w:val="000000"/>
        </w:rPr>
        <w:lastRenderedPageBreak/>
        <w:t xml:space="preserve">In spite of all of the factors discussed that would indicate that the deal has notably decreased the likelihood of a future Indian nuclear test </w:t>
      </w:r>
      <w:r w:rsidRPr="00043345">
        <w:rPr>
          <w:i/>
          <w:color w:val="000000"/>
        </w:rPr>
        <w:t>de facto</w:t>
      </w:r>
      <w:r w:rsidRPr="00043345">
        <w:rPr>
          <w:color w:val="000000"/>
        </w:rPr>
        <w:t>, t</w:t>
      </w:r>
      <w:r w:rsidR="007A0D1E" w:rsidRPr="00043345">
        <w:rPr>
          <w:color w:val="000000"/>
        </w:rPr>
        <w:t xml:space="preserve">he political implications of the 123 Agreement in </w:t>
      </w:r>
      <w:r w:rsidRPr="00043345">
        <w:rPr>
          <w:color w:val="000000"/>
        </w:rPr>
        <w:t>this context</w:t>
      </w:r>
      <w:r w:rsidR="007A0D1E" w:rsidRPr="00043345">
        <w:rPr>
          <w:color w:val="000000"/>
        </w:rPr>
        <w:t xml:space="preserve"> </w:t>
      </w:r>
      <w:r w:rsidRPr="00043345">
        <w:rPr>
          <w:color w:val="000000"/>
        </w:rPr>
        <w:t>remain</w:t>
      </w:r>
      <w:r w:rsidR="007A0D1E" w:rsidRPr="00043345">
        <w:rPr>
          <w:color w:val="000000"/>
        </w:rPr>
        <w:t xml:space="preserve"> difficult to judge. </w:t>
      </w:r>
      <w:r w:rsidRPr="00043345">
        <w:rPr>
          <w:color w:val="000000"/>
        </w:rPr>
        <w:t xml:space="preserve"> For example</w:t>
      </w:r>
      <w:r w:rsidR="007A0D1E" w:rsidRPr="00043345">
        <w:rPr>
          <w:color w:val="000000"/>
        </w:rPr>
        <w:t xml:space="preserve">, the fact that Pakistan has raised concern over the potential </w:t>
      </w:r>
      <w:r w:rsidR="00BE25FD">
        <w:rPr>
          <w:color w:val="000000"/>
        </w:rPr>
        <w:t xml:space="preserve">of </w:t>
      </w:r>
      <w:r w:rsidR="007A0D1E" w:rsidRPr="00043345">
        <w:rPr>
          <w:color w:val="000000"/>
        </w:rPr>
        <w:t>the 123 Agreement to indirectly increase India’s nuclear weapons stockpiles (by releasing domestic uranium for military purposes)</w:t>
      </w:r>
      <w:r w:rsidR="00506B2C" w:rsidRPr="00043345">
        <w:rPr>
          <w:rStyle w:val="FootnoteReference"/>
          <w:color w:val="000000"/>
        </w:rPr>
        <w:footnoteReference w:id="217"/>
      </w:r>
      <w:r w:rsidR="007A0D1E" w:rsidRPr="00043345">
        <w:rPr>
          <w:color w:val="000000"/>
        </w:rPr>
        <w:t xml:space="preserve"> means </w:t>
      </w:r>
      <w:r w:rsidR="002C4B36" w:rsidRPr="00043345">
        <w:rPr>
          <w:color w:val="000000"/>
        </w:rPr>
        <w:t xml:space="preserve">that </w:t>
      </w:r>
      <w:r w:rsidR="007A0D1E" w:rsidRPr="00043345">
        <w:rPr>
          <w:color w:val="000000"/>
        </w:rPr>
        <w:t xml:space="preserve">Pakistan itself may well feel compelled to further test, develop and stockpile </w:t>
      </w:r>
      <w:r w:rsidR="00236BD0" w:rsidRPr="00043345">
        <w:rPr>
          <w:color w:val="000000"/>
        </w:rPr>
        <w:t xml:space="preserve">its own </w:t>
      </w:r>
      <w:r w:rsidR="007A0D1E" w:rsidRPr="00043345">
        <w:rPr>
          <w:color w:val="000000"/>
        </w:rPr>
        <w:t>nuclear weapons.</w:t>
      </w:r>
      <w:r w:rsidR="00506B2C" w:rsidRPr="00043345">
        <w:rPr>
          <w:rStyle w:val="FootnoteReference"/>
          <w:color w:val="000000"/>
        </w:rPr>
        <w:footnoteReference w:id="218"/>
      </w:r>
      <w:r w:rsidR="007A0D1E" w:rsidRPr="00043345">
        <w:rPr>
          <w:color w:val="000000"/>
        </w:rPr>
        <w:t xml:space="preserve">  The security implications of </w:t>
      </w:r>
      <w:r w:rsidR="00236BD0" w:rsidRPr="00043345">
        <w:rPr>
          <w:color w:val="000000"/>
        </w:rPr>
        <w:t xml:space="preserve">an enlarged </w:t>
      </w:r>
      <w:r w:rsidR="007A0D1E" w:rsidRPr="00043345">
        <w:rPr>
          <w:color w:val="000000"/>
        </w:rPr>
        <w:t xml:space="preserve">Pakistani </w:t>
      </w:r>
      <w:r w:rsidR="00236BD0" w:rsidRPr="00043345">
        <w:rPr>
          <w:color w:val="000000"/>
        </w:rPr>
        <w:t>nuclear arsenal</w:t>
      </w:r>
      <w:r w:rsidR="007A0D1E" w:rsidRPr="00043345">
        <w:rPr>
          <w:color w:val="000000"/>
        </w:rPr>
        <w:t xml:space="preserve"> could</w:t>
      </w:r>
      <w:r w:rsidR="00BE25FD">
        <w:rPr>
          <w:color w:val="000000"/>
        </w:rPr>
        <w:t>,</w:t>
      </w:r>
      <w:r w:rsidR="007A0D1E" w:rsidRPr="00043345">
        <w:rPr>
          <w:color w:val="000000"/>
        </w:rPr>
        <w:t xml:space="preserve"> in turn</w:t>
      </w:r>
      <w:r w:rsidR="00BE25FD">
        <w:rPr>
          <w:color w:val="000000"/>
        </w:rPr>
        <w:t>,</w:t>
      </w:r>
      <w:r w:rsidR="007A0D1E" w:rsidRPr="00043345">
        <w:rPr>
          <w:color w:val="000000"/>
        </w:rPr>
        <w:t xml:space="preserve"> lead to an </w:t>
      </w:r>
      <w:r w:rsidR="007A0D1E" w:rsidRPr="00043345">
        <w:rPr>
          <w:i/>
          <w:color w:val="000000"/>
        </w:rPr>
        <w:t>increased</w:t>
      </w:r>
      <w:r w:rsidR="007A0D1E" w:rsidRPr="00043345">
        <w:rPr>
          <w:color w:val="000000"/>
        </w:rPr>
        <w:t xml:space="preserve"> likelihood of a f</w:t>
      </w:r>
      <w:r w:rsidR="00236BD0" w:rsidRPr="00043345">
        <w:rPr>
          <w:color w:val="000000"/>
        </w:rPr>
        <w:t>uture Indian test</w:t>
      </w:r>
      <w:r w:rsidR="00952364">
        <w:rPr>
          <w:color w:val="000000"/>
        </w:rPr>
        <w:t xml:space="preserve"> as well,</w:t>
      </w:r>
      <w:r w:rsidR="00236BD0" w:rsidRPr="00043345">
        <w:rPr>
          <w:color w:val="000000"/>
        </w:rPr>
        <w:t xml:space="preserve"> as </w:t>
      </w:r>
      <w:r w:rsidR="007A0D1E" w:rsidRPr="00043345">
        <w:rPr>
          <w:color w:val="000000"/>
        </w:rPr>
        <w:t xml:space="preserve">a </w:t>
      </w:r>
      <w:r w:rsidR="007A0D1E" w:rsidRPr="00043345">
        <w:rPr>
          <w:i/>
          <w:color w:val="000000"/>
        </w:rPr>
        <w:t>de facto</w:t>
      </w:r>
      <w:r w:rsidR="007A0D1E" w:rsidRPr="00043345">
        <w:rPr>
          <w:color w:val="000000"/>
        </w:rPr>
        <w:t xml:space="preserve"> indirect consequence of the 123 deal.</w:t>
      </w:r>
      <w:r w:rsidR="00C471DA" w:rsidRPr="00043345">
        <w:rPr>
          <w:rStyle w:val="FootnoteReference"/>
          <w:color w:val="000000"/>
        </w:rPr>
        <w:footnoteReference w:id="219"/>
      </w:r>
    </w:p>
    <w:p w:rsidR="00813A0D" w:rsidRPr="00043345" w:rsidRDefault="007A0D1E" w:rsidP="004277D1">
      <w:pPr>
        <w:spacing w:line="480" w:lineRule="auto"/>
        <w:ind w:firstLine="720"/>
        <w:jc w:val="both"/>
      </w:pPr>
      <w:r w:rsidRPr="00043345">
        <w:lastRenderedPageBreak/>
        <w:t xml:space="preserve">Overall, therefore, the picture is </w:t>
      </w:r>
      <w:r w:rsidR="00322544" w:rsidRPr="00043345">
        <w:t>not entirely</w:t>
      </w:r>
      <w:r w:rsidRPr="00043345">
        <w:t xml:space="preserve"> clear.  </w:t>
      </w:r>
      <w:r w:rsidR="00D34A5A" w:rsidRPr="00043345">
        <w:t xml:space="preserve">Joyner </w:t>
      </w:r>
      <w:r w:rsidRPr="00043345">
        <w:t xml:space="preserve">has </w:t>
      </w:r>
      <w:r w:rsidR="00D34A5A" w:rsidRPr="00043345">
        <w:t>state</w:t>
      </w:r>
      <w:r w:rsidRPr="00043345">
        <w:t>d</w:t>
      </w:r>
      <w:r w:rsidR="00D34A5A" w:rsidRPr="00043345">
        <w:t xml:space="preserve"> that</w:t>
      </w:r>
      <w:r w:rsidRPr="00043345">
        <w:t xml:space="preserve"> </w:t>
      </w:r>
      <w:r w:rsidR="00D34A5A" w:rsidRPr="00043345">
        <w:t xml:space="preserve">under the 123 Agreement, India </w:t>
      </w:r>
      <w:r w:rsidR="0028349D">
        <w:t>“</w:t>
      </w:r>
      <w:r w:rsidR="00D34A5A" w:rsidRPr="00043345">
        <w:t>agreed to</w:t>
      </w:r>
      <w:r w:rsidR="009A1121">
        <w:t xml:space="preserve"> [. . .] </w:t>
      </w:r>
      <w:r w:rsidR="00D34A5A" w:rsidRPr="00043345">
        <w:t>continue its unilatera</w:t>
      </w:r>
      <w:r w:rsidRPr="00043345">
        <w:t>l moratorium o</w:t>
      </w:r>
      <w:r w:rsidR="002C4B36" w:rsidRPr="00043345">
        <w:t>n nuclear testing.</w:t>
      </w:r>
      <w:r w:rsidR="0028349D">
        <w:t>”</w:t>
      </w:r>
      <w:r w:rsidR="00D34A5A" w:rsidRPr="00043345">
        <w:rPr>
          <w:rStyle w:val="FootnoteReference"/>
        </w:rPr>
        <w:footnoteReference w:id="220"/>
      </w:r>
      <w:r w:rsidR="002C4B36" w:rsidRPr="00043345">
        <w:t xml:space="preserve">  T</w:t>
      </w:r>
      <w:r w:rsidR="00D34A5A" w:rsidRPr="00043345">
        <w:t>his statement can be read as a</w:t>
      </w:r>
      <w:r w:rsidR="001B3863" w:rsidRPr="00043345">
        <w:t xml:space="preserve"> wholly</w:t>
      </w:r>
      <w:r w:rsidR="00D34A5A" w:rsidRPr="00043345">
        <w:t xml:space="preserve"> incorrect claim </w:t>
      </w:r>
      <w:r w:rsidR="00D34A5A" w:rsidRPr="00043345">
        <w:rPr>
          <w:i/>
        </w:rPr>
        <w:t>de jure</w:t>
      </w:r>
      <w:r w:rsidR="00D34A5A" w:rsidRPr="00043345">
        <w:t>, in that legally India agreed to no such thing</w:t>
      </w:r>
      <w:r w:rsidR="00BE25FD">
        <w:t xml:space="preserve"> in the deal</w:t>
      </w:r>
      <w:r w:rsidR="00D34A5A" w:rsidRPr="00043345">
        <w:t xml:space="preserve">: indeed, it rejected any such provision appearing in the </w:t>
      </w:r>
      <w:r w:rsidR="001D59A9">
        <w:t xml:space="preserve">123 </w:t>
      </w:r>
      <w:r w:rsidR="00D34A5A" w:rsidRPr="00043345">
        <w:t xml:space="preserve">Agreement.  </w:t>
      </w:r>
      <w:r w:rsidR="002C4B36" w:rsidRPr="00043345">
        <w:t>Equally</w:t>
      </w:r>
      <w:r w:rsidR="001B3863" w:rsidRPr="00043345">
        <w:t>,</w:t>
      </w:r>
      <w:r w:rsidR="00D34A5A" w:rsidRPr="00043345">
        <w:t xml:space="preserve"> Joyn</w:t>
      </w:r>
      <w:r w:rsidRPr="00043345">
        <w:t xml:space="preserve">er’s statement can be read as </w:t>
      </w:r>
      <w:r w:rsidR="002C4B36" w:rsidRPr="00043345">
        <w:t>a fairly</w:t>
      </w:r>
      <w:r w:rsidRPr="00043345">
        <w:t xml:space="preserve"> </w:t>
      </w:r>
      <w:r w:rsidR="00D34A5A" w:rsidRPr="00043345">
        <w:t xml:space="preserve">accurate reading of the deal in its wider context, </w:t>
      </w:r>
      <w:r w:rsidR="00D34A5A" w:rsidRPr="00043345">
        <w:rPr>
          <w:i/>
        </w:rPr>
        <w:t>de facto</w:t>
      </w:r>
      <w:r w:rsidR="00D34A5A" w:rsidRPr="00043345">
        <w:t xml:space="preserve">: </w:t>
      </w:r>
      <w:r w:rsidRPr="00043345">
        <w:t>looking at all factors</w:t>
      </w:r>
      <w:r w:rsidR="00986A39">
        <w:t>,</w:t>
      </w:r>
      <w:r w:rsidRPr="00043345">
        <w:t xml:space="preserve"> it is probably the case that </w:t>
      </w:r>
      <w:r w:rsidR="00F30120" w:rsidRPr="00043345">
        <w:t xml:space="preserve">India is, following the signing of the 123 Agreement, </w:t>
      </w:r>
      <w:r w:rsidR="00952364">
        <w:t xml:space="preserve">rather </w:t>
      </w:r>
      <w:r w:rsidR="00F30120" w:rsidRPr="00043345">
        <w:t>less likely to test than</w:t>
      </w:r>
      <w:r w:rsidR="001B3863" w:rsidRPr="00043345">
        <w:t xml:space="preserve"> it </w:t>
      </w:r>
      <w:r w:rsidR="00322544" w:rsidRPr="00043345">
        <w:t xml:space="preserve">previously </w:t>
      </w:r>
      <w:r w:rsidR="001B3863" w:rsidRPr="00043345">
        <w:t>was.</w:t>
      </w:r>
    </w:p>
    <w:p w:rsidR="00813A0D" w:rsidRPr="00043345" w:rsidRDefault="00AE25BF" w:rsidP="00955F35">
      <w:pPr>
        <w:jc w:val="center"/>
        <w:rPr>
          <w:b/>
        </w:rPr>
      </w:pPr>
      <w:r w:rsidRPr="00043345">
        <w:rPr>
          <w:b/>
        </w:rPr>
        <w:t xml:space="preserve">VI. </w:t>
      </w:r>
      <w:r w:rsidR="00281AE0" w:rsidRPr="00043345">
        <w:rPr>
          <w:b/>
        </w:rPr>
        <w:t>C</w:t>
      </w:r>
      <w:r w:rsidRPr="00043345">
        <w:rPr>
          <w:b/>
        </w:rPr>
        <w:t>ONCLUSION</w:t>
      </w:r>
    </w:p>
    <w:p w:rsidR="00281AE0" w:rsidRPr="00043345" w:rsidRDefault="00281AE0" w:rsidP="00955F35">
      <w:pPr>
        <w:jc w:val="both"/>
      </w:pPr>
    </w:p>
    <w:p w:rsidR="00284991" w:rsidRPr="00043345" w:rsidRDefault="00C93800" w:rsidP="004277D1">
      <w:pPr>
        <w:spacing w:line="480" w:lineRule="auto"/>
        <w:ind w:firstLine="720"/>
        <w:jc w:val="both"/>
      </w:pPr>
      <w:r>
        <w:t>I</w:t>
      </w:r>
      <w:r w:rsidR="00B8454F" w:rsidRPr="00043345">
        <w:t xml:space="preserve">t is </w:t>
      </w:r>
      <w:r w:rsidR="001F2691">
        <w:t>arguable</w:t>
      </w:r>
      <w:r w:rsidR="00B8454F" w:rsidRPr="00043345">
        <w:t xml:space="preserve"> that a </w:t>
      </w:r>
      <w:r w:rsidR="00236BD0" w:rsidRPr="00043345">
        <w:t xml:space="preserve">comprehensive nuclear </w:t>
      </w:r>
      <w:r w:rsidR="00B8454F" w:rsidRPr="00043345">
        <w:t xml:space="preserve">test-ban </w:t>
      </w:r>
      <w:r>
        <w:t xml:space="preserve">now </w:t>
      </w:r>
      <w:r w:rsidR="00B8454F" w:rsidRPr="00043345">
        <w:t>exists</w:t>
      </w:r>
      <w:r w:rsidR="00EA729C">
        <w:t xml:space="preserve"> under customary international law</w:t>
      </w:r>
      <w:r w:rsidR="00B8454F" w:rsidRPr="00043345">
        <w:t xml:space="preserve">, although the evidence in support of </w:t>
      </w:r>
      <w:r w:rsidR="00B4718C" w:rsidRPr="00043345">
        <w:t>this</w:t>
      </w:r>
      <w:r w:rsidR="00B8454F" w:rsidRPr="00043345">
        <w:t xml:space="preserve"> is </w:t>
      </w:r>
      <w:r w:rsidR="00B4718C" w:rsidRPr="00043345">
        <w:t>admittedly not</w:t>
      </w:r>
      <w:r w:rsidR="00B8454F" w:rsidRPr="00043345">
        <w:t xml:space="preserve"> entirely conclusive.  </w:t>
      </w:r>
      <w:r w:rsidR="00236BD0" w:rsidRPr="00043345">
        <w:t xml:space="preserve">Any such customary norm would </w:t>
      </w:r>
      <w:r w:rsidR="00236BD0" w:rsidRPr="00043345">
        <w:rPr>
          <w:i/>
        </w:rPr>
        <w:t>prima facie</w:t>
      </w:r>
      <w:r w:rsidR="00236BD0" w:rsidRPr="00043345">
        <w:t xml:space="preserve"> bind India.  </w:t>
      </w:r>
      <w:r w:rsidR="00215D52">
        <w:t>However</w:t>
      </w:r>
      <w:r w:rsidR="00B8454F" w:rsidRPr="00043345">
        <w:t>, if the test-ban is customary, India has clearly persistently objected to it</w:t>
      </w:r>
      <w:r w:rsidR="00284991" w:rsidRPr="00043345">
        <w:t>, through sustained deed and statement prior to and during the formation of the customary norm</w:t>
      </w:r>
      <w:r w:rsidR="00B4718C" w:rsidRPr="00043345">
        <w:t xml:space="preserve"> (and through to the present)</w:t>
      </w:r>
      <w:r w:rsidR="00AD1B00">
        <w:t>.  T</w:t>
      </w:r>
      <w:r w:rsidR="00284991" w:rsidRPr="00043345">
        <w:t>he comprehensive test-ban clearly does not meet the test for a peremptory norm</w:t>
      </w:r>
      <w:r w:rsidR="00AD1B00">
        <w:t xml:space="preserve"> – d</w:t>
      </w:r>
      <w:r w:rsidR="00AD1B00" w:rsidRPr="00043345">
        <w:t>espite th</w:t>
      </w:r>
      <w:r w:rsidR="00AD1B00">
        <w:t>is being</w:t>
      </w:r>
      <w:r w:rsidR="00AD1B00" w:rsidRPr="00043345">
        <w:t xml:space="preserve"> claim</w:t>
      </w:r>
      <w:r w:rsidR="00AD1B00">
        <w:t>ed</w:t>
      </w:r>
      <w:r w:rsidR="00AD1B00" w:rsidRPr="00043345">
        <w:t xml:space="preserve"> by at least one writer </w:t>
      </w:r>
      <w:r w:rsidR="00AD1B00">
        <w:t xml:space="preserve">– </w:t>
      </w:r>
      <w:r w:rsidR="00B4718C" w:rsidRPr="00043345">
        <w:t>though</w:t>
      </w:r>
      <w:r w:rsidR="00284991" w:rsidRPr="00043345">
        <w:t xml:space="preserve"> if it did, this would invalidate India’s persistent objector status </w:t>
      </w:r>
      <w:r w:rsidR="00284991" w:rsidRPr="00043345">
        <w:rPr>
          <w:i/>
        </w:rPr>
        <w:t>de jure</w:t>
      </w:r>
      <w:r w:rsidR="00284991" w:rsidRPr="00043345">
        <w:t>.</w:t>
      </w:r>
    </w:p>
    <w:p w:rsidR="00B8454F" w:rsidRPr="00043345" w:rsidRDefault="00284991" w:rsidP="004277D1">
      <w:pPr>
        <w:spacing w:line="480" w:lineRule="auto"/>
        <w:ind w:firstLine="720"/>
        <w:jc w:val="both"/>
      </w:pPr>
      <w:r w:rsidRPr="00043345">
        <w:t xml:space="preserve">More interestingly, India found its persistent objector status under threat </w:t>
      </w:r>
      <w:r w:rsidRPr="00043345">
        <w:rPr>
          <w:i/>
        </w:rPr>
        <w:t>de facto</w:t>
      </w:r>
      <w:r w:rsidR="00EA729C">
        <w:t xml:space="preserve"> in 1998</w:t>
      </w:r>
      <w:r w:rsidRPr="00043345">
        <w:t xml:space="preserve">, </w:t>
      </w:r>
      <w:r w:rsidR="00EA729C">
        <w:t>when</w:t>
      </w:r>
      <w:r w:rsidR="00EA729C" w:rsidRPr="00043345">
        <w:t xml:space="preserve"> </w:t>
      </w:r>
      <w:r w:rsidRPr="00043345">
        <w:t xml:space="preserve">it </w:t>
      </w:r>
      <w:r w:rsidR="002D7E1D">
        <w:t xml:space="preserve">was </w:t>
      </w:r>
      <w:r w:rsidRPr="00043345">
        <w:t xml:space="preserve">faced with huge pressure from other </w:t>
      </w:r>
      <w:r w:rsidR="00125F4E">
        <w:t>S</w:t>
      </w:r>
      <w:r w:rsidR="00125F4E" w:rsidRPr="00043345">
        <w:t xml:space="preserve">tates </w:t>
      </w:r>
      <w:r w:rsidRPr="00043345">
        <w:t>(individually and collectively) to refrain from testing in the fu</w:t>
      </w:r>
      <w:r w:rsidR="00215D52">
        <w:t>ture and to sign the CTBT.  Yet</w:t>
      </w:r>
      <w:r w:rsidRPr="00043345">
        <w:t xml:space="preserve"> it is clear that in spite of this, India has maintained its objections to the CTBT and to the </w:t>
      </w:r>
      <w:r w:rsidRPr="00043345">
        <w:lastRenderedPageBreak/>
        <w:t xml:space="preserve">international </w:t>
      </w:r>
      <w:r w:rsidR="00236BD0" w:rsidRPr="00043345">
        <w:t>legal regime</w:t>
      </w:r>
      <w:r w:rsidRPr="00043345">
        <w:t xml:space="preserve"> governing nuclear weapons more generally.  In the final analysis, what matters most is the hard fact that India has the bomb and is understandably determined to keep hold of it: this is surely the </w:t>
      </w:r>
      <w:r w:rsidR="00236BD0" w:rsidRPr="00043345">
        <w:t>most potent</w:t>
      </w:r>
      <w:r w:rsidRPr="00043345">
        <w:t xml:space="preserve"> indication of </w:t>
      </w:r>
      <w:r w:rsidR="00092E71" w:rsidRPr="00043345">
        <w:t xml:space="preserve">India’s </w:t>
      </w:r>
      <w:r w:rsidRPr="00043345">
        <w:t>continued persistent objectio</w:t>
      </w:r>
      <w:r w:rsidR="00092E71" w:rsidRPr="00043345">
        <w:t>n.</w:t>
      </w:r>
    </w:p>
    <w:p w:rsidR="00AD1B00" w:rsidRDefault="00284991" w:rsidP="004277D1">
      <w:pPr>
        <w:spacing w:line="480" w:lineRule="auto"/>
        <w:ind w:firstLine="720"/>
        <w:jc w:val="both"/>
      </w:pPr>
      <w:r w:rsidRPr="00043345">
        <w:t xml:space="preserve">It has also been suggested by some writers that the 123 Agreement may have imposed a </w:t>
      </w:r>
      <w:r w:rsidR="00C93800">
        <w:t xml:space="preserve">comprehensive nuclear </w:t>
      </w:r>
      <w:r w:rsidRPr="00043345">
        <w:t>test-ban obligation on</w:t>
      </w:r>
      <w:r w:rsidR="00B4718C" w:rsidRPr="00043345">
        <w:t xml:space="preserve"> India</w:t>
      </w:r>
      <w:r w:rsidRPr="00043345">
        <w:t xml:space="preserve"> and</w:t>
      </w:r>
      <w:r w:rsidR="00B4718C" w:rsidRPr="00043345">
        <w:t>,</w:t>
      </w:r>
      <w:r w:rsidRPr="00043345">
        <w:t xml:space="preserve"> therefore</w:t>
      </w:r>
      <w:r w:rsidR="00B4718C" w:rsidRPr="00043345">
        <w:t xml:space="preserve">, </w:t>
      </w:r>
      <w:r w:rsidR="00EA729C">
        <w:t xml:space="preserve">that </w:t>
      </w:r>
      <w:r w:rsidR="00B4718C" w:rsidRPr="00043345">
        <w:t>the deal may have</w:t>
      </w:r>
      <w:r w:rsidRPr="00043345">
        <w:t xml:space="preserve"> effectively resulted in </w:t>
      </w:r>
      <w:r w:rsidR="00B4718C" w:rsidRPr="00043345">
        <w:t xml:space="preserve">India </w:t>
      </w:r>
      <w:r w:rsidR="00236BD0" w:rsidRPr="00043345">
        <w:t>retracting</w:t>
      </w:r>
      <w:r w:rsidRPr="00043345">
        <w:t xml:space="preserve"> its persistent objector status.  </w:t>
      </w:r>
      <w:r w:rsidR="00215D52">
        <w:t>Yet</w:t>
      </w:r>
      <w:r w:rsidRPr="00043345">
        <w:t xml:space="preserve"> when one examines the </w:t>
      </w:r>
      <w:r w:rsidR="00B4718C" w:rsidRPr="00043345">
        <w:t>123 Agreement</w:t>
      </w:r>
      <w:r w:rsidRPr="00043345">
        <w:t>, it is clear that nothing in it requires</w:t>
      </w:r>
      <w:r w:rsidR="003B090A" w:rsidRPr="00043345">
        <w:t xml:space="preserve"> India to refrain from </w:t>
      </w:r>
      <w:r w:rsidR="00C93800">
        <w:t xml:space="preserve">nuclear </w:t>
      </w:r>
      <w:r w:rsidR="003B090A" w:rsidRPr="00043345">
        <w:t>testing.  In this context, then</w:t>
      </w:r>
      <w:r w:rsidR="00236BD0" w:rsidRPr="00043345">
        <w:t>,</w:t>
      </w:r>
      <w:r w:rsidR="003B090A" w:rsidRPr="00043345">
        <w:t xml:space="preserve"> it may be said that 123 Agreement allows India to </w:t>
      </w:r>
      <w:r w:rsidR="0028349D">
        <w:t>“</w:t>
      </w:r>
      <w:r w:rsidR="003B090A" w:rsidRPr="00043345">
        <w:t>have its radioactive cake and eat it too.</w:t>
      </w:r>
      <w:r w:rsidR="0028349D">
        <w:t>”</w:t>
      </w:r>
      <w:r w:rsidR="003B090A" w:rsidRPr="00043345">
        <w:rPr>
          <w:rStyle w:val="FootnoteReference"/>
        </w:rPr>
        <w:footnoteReference w:id="221"/>
      </w:r>
      <w:r w:rsidR="003B090A" w:rsidRPr="00043345">
        <w:t xml:space="preserve">  </w:t>
      </w:r>
    </w:p>
    <w:p w:rsidR="00AD1B00" w:rsidRDefault="00AD1B00" w:rsidP="004277D1">
      <w:pPr>
        <w:spacing w:line="480" w:lineRule="auto"/>
        <w:ind w:firstLine="720"/>
        <w:jc w:val="both"/>
      </w:pPr>
      <w:r w:rsidRPr="00043345">
        <w:t xml:space="preserve">Prime Minister Singh stated in 2007 that the 123 Agreement </w:t>
      </w:r>
      <w:r>
        <w:t>“</w:t>
      </w:r>
      <w:r w:rsidRPr="00043345">
        <w:t>does not in any way affect India’s right to undertake future nuclear tests.</w:t>
      </w:r>
      <w:r>
        <w:t>”</w:t>
      </w:r>
      <w:r w:rsidRPr="00043345">
        <w:rPr>
          <w:rStyle w:val="FootnoteReference"/>
        </w:rPr>
        <w:footnoteReference w:id="222"/>
      </w:r>
      <w:r w:rsidRPr="00043345">
        <w:t xml:space="preserve">  </w:t>
      </w:r>
      <w:r>
        <w:t>While t</w:t>
      </w:r>
      <w:r w:rsidRPr="00043345">
        <w:t>his is certainly correct on a legal level, it is perhaps not entirely reflective of the political factors underpinning the deal.</w:t>
      </w:r>
      <w:r>
        <w:t xml:space="preserve">  A</w:t>
      </w:r>
      <w:r w:rsidR="00284991" w:rsidRPr="00043345">
        <w:t xml:space="preserve">gain </w:t>
      </w:r>
      <w:r w:rsidR="00284991" w:rsidRPr="00043345">
        <w:rPr>
          <w:i/>
        </w:rPr>
        <w:t>de facto</w:t>
      </w:r>
      <w:r w:rsidR="00284991" w:rsidRPr="00043345">
        <w:t xml:space="preserve">, the political implications of the </w:t>
      </w:r>
      <w:r>
        <w:t>123 Agreement</w:t>
      </w:r>
      <w:r w:rsidR="003B090A" w:rsidRPr="00043345">
        <w:t xml:space="preserve"> –</w:t>
      </w:r>
      <w:r w:rsidR="00284991" w:rsidRPr="00043345">
        <w:t xml:space="preserve"> particularly given key provisions of </w:t>
      </w:r>
      <w:r w:rsidR="003B090A" w:rsidRPr="00043345">
        <w:t>American</w:t>
      </w:r>
      <w:r w:rsidR="00284991" w:rsidRPr="00043345">
        <w:t xml:space="preserve"> domestic law and the waiver of the NSG</w:t>
      </w:r>
      <w:r w:rsidR="003B090A" w:rsidRPr="00043345">
        <w:t xml:space="preserve"> – are likely to</w:t>
      </w:r>
      <w:r w:rsidR="002D7E1D">
        <w:t>,</w:t>
      </w:r>
      <w:r w:rsidR="003B090A" w:rsidRPr="00043345">
        <w:t xml:space="preserve"> in effect</w:t>
      </w:r>
      <w:r w:rsidR="002D7E1D">
        <w:t>,</w:t>
      </w:r>
      <w:r w:rsidR="003B090A" w:rsidRPr="00043345">
        <w:t xml:space="preserve"> decrease the </w:t>
      </w:r>
      <w:r w:rsidR="00C93800">
        <w:t>chances</w:t>
      </w:r>
      <w:r w:rsidR="003B090A" w:rsidRPr="00043345">
        <w:t xml:space="preserve"> of future Indian tests.</w:t>
      </w:r>
    </w:p>
    <w:p w:rsidR="00811726" w:rsidRPr="00043345" w:rsidRDefault="00AD1B00" w:rsidP="004277D1">
      <w:pPr>
        <w:spacing w:line="480" w:lineRule="auto"/>
        <w:ind w:firstLine="720"/>
        <w:jc w:val="both"/>
      </w:pPr>
      <w:r>
        <w:t>Ultimately,</w:t>
      </w:r>
      <w:r w:rsidR="00F30120" w:rsidRPr="00043345">
        <w:t xml:space="preserve"> India has explicitly reserved the </w:t>
      </w:r>
      <w:r w:rsidR="00236BD0" w:rsidRPr="00043345">
        <w:t xml:space="preserve">legal </w:t>
      </w:r>
      <w:r w:rsidR="00F30120" w:rsidRPr="00043345">
        <w:t xml:space="preserve">right to test, </w:t>
      </w:r>
      <w:r w:rsidR="00EA729C">
        <w:t xml:space="preserve">and this, </w:t>
      </w:r>
      <w:r w:rsidR="00F30120" w:rsidRPr="00043345">
        <w:t>in itself, indicates that it wishes to keep the nuclear testing option open</w:t>
      </w:r>
      <w:r w:rsidR="002D7E1D">
        <w:t xml:space="preserve">.  This also </w:t>
      </w:r>
      <w:r w:rsidR="003B090A" w:rsidRPr="00043345">
        <w:t xml:space="preserve">means </w:t>
      </w:r>
      <w:r w:rsidR="00412C49" w:rsidRPr="00043345">
        <w:t xml:space="preserve">that </w:t>
      </w:r>
      <w:r w:rsidR="003B090A" w:rsidRPr="00043345">
        <w:t>India retains its position as a persistent objector to any customary comprehensive test-ban norm</w:t>
      </w:r>
      <w:r w:rsidR="00EA729C">
        <w:t xml:space="preserve"> that may exist</w:t>
      </w:r>
      <w:r w:rsidR="00F30120" w:rsidRPr="00043345">
        <w:t>.</w:t>
      </w:r>
      <w:r w:rsidR="00811726" w:rsidRPr="00043345">
        <w:t xml:space="preserve">  Any attempts to pressure India into signing the CTBT, or to otherwise accept a legal restriction on its sovereign right to test, have </w:t>
      </w:r>
      <w:r w:rsidR="0028349D">
        <w:t>“</w:t>
      </w:r>
      <w:r w:rsidR="00811726" w:rsidRPr="00043345">
        <w:t>aroused intense nuclear nationalism</w:t>
      </w:r>
      <w:r w:rsidR="009A1121">
        <w:t xml:space="preserve"> [. . .] </w:t>
      </w:r>
      <w:r w:rsidR="00811726" w:rsidRPr="00043345">
        <w:t xml:space="preserve">This form of nationalism is much stronger in India </w:t>
      </w:r>
      <w:r w:rsidR="00811726" w:rsidRPr="00043345">
        <w:lastRenderedPageBreak/>
        <w:t>than any other nuclear countries and is very much tied to India’s notion of national independence and their particular colonial history.</w:t>
      </w:r>
      <w:r w:rsidR="0028349D">
        <w:t>”</w:t>
      </w:r>
      <w:r w:rsidR="00811726" w:rsidRPr="00043345">
        <w:rPr>
          <w:rStyle w:val="FootnoteReference"/>
        </w:rPr>
        <w:footnoteReference w:id="223"/>
      </w:r>
      <w:r w:rsidR="00811726" w:rsidRPr="00043345">
        <w:t xml:space="preserve">  </w:t>
      </w:r>
    </w:p>
    <w:p w:rsidR="00212622" w:rsidRPr="00043345" w:rsidRDefault="003B090A" w:rsidP="004277D1">
      <w:pPr>
        <w:autoSpaceDE w:val="0"/>
        <w:autoSpaceDN w:val="0"/>
        <w:adjustRightInd w:val="0"/>
        <w:spacing w:line="480" w:lineRule="auto"/>
        <w:ind w:firstLine="720"/>
        <w:jc w:val="both"/>
      </w:pPr>
      <w:r w:rsidRPr="00043345">
        <w:t>While</w:t>
      </w:r>
      <w:r w:rsidR="008F6A01" w:rsidRPr="00043345">
        <w:rPr>
          <w:color w:val="000000"/>
        </w:rPr>
        <w:t xml:space="preserve"> the 123 Agreement may mean the door to Indian nuclear testing is not as wid</w:t>
      </w:r>
      <w:r w:rsidRPr="00043345">
        <w:rPr>
          <w:color w:val="000000"/>
        </w:rPr>
        <w:t>e open as it was prior to 2005 (</w:t>
      </w:r>
      <w:r w:rsidR="008F6A01" w:rsidRPr="00043345">
        <w:rPr>
          <w:color w:val="000000"/>
        </w:rPr>
        <w:t>and certainly 2008</w:t>
      </w:r>
      <w:r w:rsidRPr="00043345">
        <w:rPr>
          <w:color w:val="000000"/>
        </w:rPr>
        <w:t>)</w:t>
      </w:r>
      <w:r w:rsidR="008F6A01" w:rsidRPr="00043345">
        <w:rPr>
          <w:color w:val="000000"/>
        </w:rPr>
        <w:t xml:space="preserve">, the very fact that India fought for the </w:t>
      </w:r>
      <w:r w:rsidR="0028349D">
        <w:rPr>
          <w:color w:val="000000"/>
        </w:rPr>
        <w:t>“</w:t>
      </w:r>
      <w:r w:rsidR="008F6A01" w:rsidRPr="00043345">
        <w:rPr>
          <w:color w:val="000000"/>
        </w:rPr>
        <w:t>testing</w:t>
      </w:r>
      <w:r w:rsidR="0028349D">
        <w:rPr>
          <w:color w:val="000000"/>
        </w:rPr>
        <w:t>”</w:t>
      </w:r>
      <w:r w:rsidR="008F6A01" w:rsidRPr="00043345">
        <w:rPr>
          <w:color w:val="000000"/>
        </w:rPr>
        <w:t xml:space="preserve"> issue to remain absen</w:t>
      </w:r>
      <w:r w:rsidR="00236BD0" w:rsidRPr="00043345">
        <w:rPr>
          <w:color w:val="000000"/>
        </w:rPr>
        <w:t>t</w:t>
      </w:r>
      <w:r w:rsidR="008F6A01" w:rsidRPr="00043345">
        <w:rPr>
          <w:color w:val="000000"/>
        </w:rPr>
        <w:t xml:space="preserve"> </w:t>
      </w:r>
      <w:r w:rsidRPr="00043345">
        <w:rPr>
          <w:color w:val="000000"/>
        </w:rPr>
        <w:t xml:space="preserve">from the substance of the deal – not to mention </w:t>
      </w:r>
      <w:r w:rsidR="008F6A01" w:rsidRPr="00043345">
        <w:rPr>
          <w:color w:val="000000"/>
        </w:rPr>
        <w:t>its continued explicit rejection</w:t>
      </w:r>
      <w:r w:rsidRPr="00043345">
        <w:rPr>
          <w:color w:val="000000"/>
        </w:rPr>
        <w:t xml:space="preserve"> of the CTBT –</w:t>
      </w:r>
      <w:r w:rsidR="008F6A01" w:rsidRPr="00043345">
        <w:rPr>
          <w:color w:val="000000"/>
        </w:rPr>
        <w:t xml:space="preserve"> clearly shows that India is keeping that door ajar.  It is a door that will certainly not be fully closed any time soon.  </w:t>
      </w:r>
    </w:p>
    <w:sectPr w:rsidR="00212622" w:rsidRPr="00043345" w:rsidSect="000604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6FA" w:rsidRDefault="00B956FA">
      <w:r>
        <w:separator/>
      </w:r>
    </w:p>
  </w:endnote>
  <w:endnote w:type="continuationSeparator" w:id="0">
    <w:p w:rsidR="00B956FA" w:rsidRDefault="00B95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alligraph421 BT">
    <w:altName w:val="Calligraph421 BT"/>
    <w:panose1 w:val="00000000000000000000"/>
    <w:charset w:val="00"/>
    <w:family w:val="roman"/>
    <w:notTrueType/>
    <w:pitch w:val="default"/>
    <w:sig w:usb0="00000003" w:usb1="00000000" w:usb2="00000000" w:usb3="00000000" w:csb0="00000001" w:csb1="00000000"/>
  </w:font>
  <w:font w:name="Courier New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6FA" w:rsidRDefault="00B956FA">
      <w:r>
        <w:separator/>
      </w:r>
    </w:p>
  </w:footnote>
  <w:footnote w:type="continuationSeparator" w:id="0">
    <w:p w:rsidR="00B956FA" w:rsidRDefault="00B956FA">
      <w:r>
        <w:continuationSeparator/>
      </w:r>
    </w:p>
  </w:footnote>
  <w:footnote w:id="1">
    <w:p w:rsidR="00F44349" w:rsidRPr="00332040" w:rsidRDefault="00F44349" w:rsidP="00332040">
      <w:pPr>
        <w:pStyle w:val="FootnoteText"/>
        <w:spacing w:line="480" w:lineRule="auto"/>
        <w:jc w:val="both"/>
      </w:pPr>
      <w:r w:rsidRPr="00332040">
        <w:rPr>
          <w:rStyle w:val="FootnoteReference"/>
        </w:rPr>
        <w:sym w:font="Symbol" w:char="F02A"/>
      </w:r>
      <w:r w:rsidRPr="00332040">
        <w:t xml:space="preserve"> Reader in Public International Law, School of Law, University of Reading.  The author would like to thank Prof. Daniel H. Joyner, Dr. Robert P. Barnidge, Jr. and Dr. Francis Grimal for their invaluable comments on a previous draft of this article.</w:t>
      </w:r>
    </w:p>
  </w:footnote>
  <w:footnote w:id="2">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generally</w:t>
      </w:r>
      <w:r w:rsidRPr="00332040">
        <w:t xml:space="preserve"> Subsection III(B).</w:t>
      </w:r>
    </w:p>
  </w:footnote>
  <w:footnote w:id="3">
    <w:p w:rsidR="00F44349" w:rsidRPr="00332040" w:rsidRDefault="00F44349" w:rsidP="00332040">
      <w:pPr>
        <w:pStyle w:val="FootnoteText"/>
        <w:spacing w:line="480" w:lineRule="auto"/>
        <w:jc w:val="both"/>
      </w:pPr>
      <w:r w:rsidRPr="00332040">
        <w:rPr>
          <w:rStyle w:val="FootnoteReference"/>
        </w:rPr>
        <w:footnoteRef/>
      </w:r>
      <w:r w:rsidRPr="00332040">
        <w:t xml:space="preserve"> Treaty on the Non-Proliferation of Nuclear Weapons 1968, entered into force 1970, </w:t>
      </w:r>
      <w:r w:rsidRPr="00332040">
        <w:rPr>
          <w:i/>
        </w:rPr>
        <w:t>United Nations Treaty Series</w:t>
      </w:r>
      <w:r w:rsidRPr="00332040">
        <w:t>, vol. 729, p. 161.</w:t>
      </w:r>
    </w:p>
  </w:footnote>
  <w:footnote w:id="4">
    <w:p w:rsidR="00F44349" w:rsidRPr="00332040" w:rsidRDefault="00F44349" w:rsidP="00332040">
      <w:pPr>
        <w:pStyle w:val="PlainText"/>
        <w:spacing w:line="480" w:lineRule="auto"/>
        <w:jc w:val="both"/>
        <w:rPr>
          <w:rFonts w:ascii="Times New Roman" w:hAnsi="Times New Roman" w:cs="Times New Roman"/>
        </w:rPr>
      </w:pPr>
      <w:r w:rsidRPr="00332040">
        <w:rPr>
          <w:rStyle w:val="FootnoteReference"/>
          <w:rFonts w:ascii="Times New Roman" w:hAnsi="Times New Roman" w:cs="Times New Roman"/>
        </w:rPr>
        <w:footnoteRef/>
      </w:r>
      <w:r w:rsidRPr="00332040">
        <w:rPr>
          <w:rFonts w:ascii="Times New Roman" w:hAnsi="Times New Roman" w:cs="Times New Roman"/>
        </w:rPr>
        <w:t xml:space="preserve"> On the basis of the rule that treaties do not directly bind non-Parties.  </w:t>
      </w:r>
      <w:r w:rsidRPr="00332040">
        <w:rPr>
          <w:rFonts w:ascii="Times New Roman" w:hAnsi="Times New Roman" w:cs="Times New Roman"/>
          <w:i/>
        </w:rPr>
        <w:t>See</w:t>
      </w:r>
      <w:r w:rsidRPr="00332040">
        <w:rPr>
          <w:rFonts w:ascii="Times New Roman" w:hAnsi="Times New Roman" w:cs="Times New Roman"/>
        </w:rPr>
        <w:t xml:space="preserve"> Vienna Convention on the Law of Treaties 1969, entered into force 1980, </w:t>
      </w:r>
      <w:r w:rsidRPr="00332040">
        <w:rPr>
          <w:rFonts w:ascii="Times New Roman" w:hAnsi="Times New Roman" w:cs="Times New Roman"/>
          <w:i/>
        </w:rPr>
        <w:t>United Nations Treaty Series</w:t>
      </w:r>
      <w:r w:rsidRPr="00332040">
        <w:rPr>
          <w:rFonts w:ascii="Times New Roman" w:hAnsi="Times New Roman" w:cs="Times New Roman"/>
        </w:rPr>
        <w:t>, vol. 1155, p. 331, Article 34 (providing that “[a] treaty does not create either obligations or rights for a third State without its consent.”).</w:t>
      </w:r>
    </w:p>
  </w:footnote>
  <w:footnote w:id="5">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e.g., </w:t>
      </w:r>
      <w:r w:rsidRPr="00332040">
        <w:rPr>
          <w:sz w:val="20"/>
          <w:szCs w:val="20"/>
        </w:rPr>
        <w:t xml:space="preserve">D. H. Joyner, </w:t>
      </w:r>
      <w:r w:rsidRPr="00332040">
        <w:rPr>
          <w:bCs/>
          <w:i/>
          <w:sz w:val="20"/>
          <w:szCs w:val="20"/>
        </w:rPr>
        <w:t>International Law and the Proliferation of Weapons of Mass Destruction</w:t>
      </w:r>
      <w:r w:rsidRPr="00332040">
        <w:rPr>
          <w:bCs/>
          <w:sz w:val="20"/>
          <w:szCs w:val="20"/>
        </w:rPr>
        <w:t xml:space="preserve"> </w:t>
      </w:r>
      <w:r w:rsidRPr="00332040">
        <w:rPr>
          <w:bCs/>
          <w:sz w:val="20"/>
          <w:szCs w:val="20"/>
          <w:lang w:val="en-US"/>
        </w:rPr>
        <w:t>(2009)</w:t>
      </w:r>
      <w:r w:rsidRPr="00332040">
        <w:rPr>
          <w:sz w:val="20"/>
          <w:szCs w:val="20"/>
        </w:rPr>
        <w:t xml:space="preserve">, p. 8; J. Simpson, “The Future of the NPT,” </w:t>
      </w:r>
      <w:r w:rsidRPr="00332040">
        <w:rPr>
          <w:i/>
          <w:sz w:val="20"/>
          <w:szCs w:val="20"/>
        </w:rPr>
        <w:t>in</w:t>
      </w:r>
      <w:r w:rsidRPr="00332040">
        <w:rPr>
          <w:sz w:val="20"/>
          <w:szCs w:val="20"/>
        </w:rPr>
        <w:t xml:space="preserve"> N. E. Busch and D. H. Joyner (eds.), </w:t>
      </w:r>
      <w:r w:rsidRPr="00332040">
        <w:rPr>
          <w:i/>
          <w:sz w:val="20"/>
          <w:szCs w:val="20"/>
        </w:rPr>
        <w:t>Combating Weapons of Mass Destruction: The Future of International Nonproliferation Policy</w:t>
      </w:r>
      <w:r w:rsidRPr="00332040">
        <w:rPr>
          <w:sz w:val="20"/>
          <w:szCs w:val="20"/>
        </w:rPr>
        <w:t xml:space="preserve"> (2009), pp. 45-73 at p. 46; W. P. Nagan and E. K. Slemmens, “National Security Policy and Ratification of the Comprehensive Test Ban Treaty,” </w:t>
      </w:r>
      <w:r w:rsidRPr="00332040">
        <w:rPr>
          <w:i/>
          <w:sz w:val="20"/>
          <w:szCs w:val="20"/>
        </w:rPr>
        <w:t>Houston Journal of International Law</w:t>
      </w:r>
      <w:r w:rsidRPr="00332040">
        <w:rPr>
          <w:sz w:val="20"/>
          <w:szCs w:val="20"/>
        </w:rPr>
        <w:t xml:space="preserve">, vol. 32 (2009-2010), pp. 1-96 at p. 40; “Fact Sheet: Nuclear Non-Proliferation Treaty,” </w:t>
      </w:r>
      <w:r w:rsidRPr="00332040">
        <w:rPr>
          <w:i/>
          <w:sz w:val="20"/>
          <w:szCs w:val="20"/>
        </w:rPr>
        <w:t>United States Department of State Dispatch</w:t>
      </w:r>
      <w:r w:rsidRPr="00332040">
        <w:rPr>
          <w:sz w:val="20"/>
          <w:szCs w:val="20"/>
        </w:rPr>
        <w:t>, vol. 2 (1991), p. 12.</w:t>
      </w:r>
    </w:p>
  </w:footnote>
  <w:footnote w:id="6">
    <w:p w:rsidR="00F44349" w:rsidRPr="00332040" w:rsidRDefault="00F44349" w:rsidP="00332040">
      <w:pPr>
        <w:spacing w:line="480" w:lineRule="auto"/>
        <w:jc w:val="both"/>
        <w:rPr>
          <w:rStyle w:val="date1"/>
          <w:rFonts w:ascii="Times New Roman" w:hAnsi="Times New Roman"/>
          <w:color w:val="auto"/>
          <w:sz w:val="20"/>
          <w:szCs w:val="20"/>
        </w:rPr>
      </w:pPr>
      <w:r w:rsidRPr="00332040">
        <w:rPr>
          <w:rStyle w:val="FootnoteReference"/>
          <w:sz w:val="20"/>
          <w:szCs w:val="20"/>
        </w:rPr>
        <w:footnoteRef/>
      </w:r>
      <w:r w:rsidRPr="00332040">
        <w:rPr>
          <w:sz w:val="20"/>
          <w:szCs w:val="20"/>
        </w:rPr>
        <w:t xml:space="preserve"> </w:t>
      </w:r>
      <w:r w:rsidRPr="00332040">
        <w:rPr>
          <w:bCs/>
          <w:i/>
          <w:sz w:val="20"/>
          <w:szCs w:val="20"/>
        </w:rPr>
        <w:t>See</w:t>
      </w:r>
      <w:r w:rsidRPr="00332040">
        <w:rPr>
          <w:bCs/>
          <w:sz w:val="20"/>
          <w:szCs w:val="20"/>
        </w:rPr>
        <w:t xml:space="preserve"> “Statements from India and Pakistan,”</w:t>
      </w:r>
      <w:r w:rsidRPr="00332040">
        <w:rPr>
          <w:rStyle w:val="date1"/>
          <w:rFonts w:ascii="Times New Roman" w:hAnsi="Times New Roman"/>
          <w:color w:val="auto"/>
          <w:sz w:val="20"/>
          <w:szCs w:val="20"/>
        </w:rPr>
        <w:t xml:space="preserve"> </w:t>
      </w:r>
      <w:r w:rsidRPr="00332040">
        <w:rPr>
          <w:rStyle w:val="date1"/>
          <w:rFonts w:ascii="Times New Roman" w:hAnsi="Times New Roman"/>
          <w:i/>
          <w:color w:val="auto"/>
          <w:sz w:val="20"/>
          <w:szCs w:val="20"/>
        </w:rPr>
        <w:t>BBC News</w:t>
      </w:r>
      <w:r>
        <w:rPr>
          <w:rStyle w:val="date1"/>
          <w:rFonts w:ascii="Times New Roman" w:hAnsi="Times New Roman"/>
          <w:color w:val="auto"/>
          <w:sz w:val="20"/>
          <w:szCs w:val="20"/>
        </w:rPr>
        <w:t>, 16 June 1998</w:t>
      </w:r>
      <w:r w:rsidRPr="00332040">
        <w:rPr>
          <w:rStyle w:val="date1"/>
          <w:rFonts w:ascii="Times New Roman" w:hAnsi="Times New Roman"/>
          <w:color w:val="auto"/>
          <w:sz w:val="20"/>
          <w:szCs w:val="20"/>
        </w:rPr>
        <w:t xml:space="preserve">, </w:t>
      </w:r>
    </w:p>
    <w:p w:rsidR="00F44349" w:rsidRPr="00332040" w:rsidRDefault="00F44349" w:rsidP="00332040">
      <w:pPr>
        <w:spacing w:line="480" w:lineRule="auto"/>
        <w:jc w:val="both"/>
        <w:rPr>
          <w:sz w:val="20"/>
          <w:szCs w:val="20"/>
        </w:rPr>
      </w:pPr>
      <w:r w:rsidRPr="00332040">
        <w:rPr>
          <w:rStyle w:val="date1"/>
          <w:rFonts w:ascii="Times New Roman" w:hAnsi="Times New Roman"/>
          <w:color w:val="auto"/>
          <w:sz w:val="20"/>
          <w:szCs w:val="20"/>
        </w:rPr>
        <w:t>&lt;</w:t>
      </w:r>
      <w:r w:rsidRPr="00332040">
        <w:rPr>
          <w:sz w:val="20"/>
          <w:szCs w:val="20"/>
        </w:rPr>
        <w:t>http://news.bbc.co.uk/1/hi/events/asia_nuclear_crisis/world_media/114139.stm&gt;.</w:t>
      </w:r>
    </w:p>
  </w:footnote>
  <w:footnote w:id="7">
    <w:p w:rsidR="00F44349" w:rsidRPr="00332040" w:rsidRDefault="00F44349" w:rsidP="00332040">
      <w:pPr>
        <w:autoSpaceDE w:val="0"/>
        <w:autoSpaceDN w:val="0"/>
        <w:adjustRightInd w:val="0"/>
        <w:spacing w:line="480" w:lineRule="auto"/>
        <w:jc w:val="both"/>
        <w:rPr>
          <w:sz w:val="20"/>
          <w:szCs w:val="20"/>
        </w:rPr>
      </w:pPr>
      <w:r w:rsidRPr="00332040">
        <w:rPr>
          <w:rStyle w:val="FootnoteReference"/>
          <w:sz w:val="20"/>
          <w:szCs w:val="20"/>
        </w:rPr>
        <w:footnoteRef/>
      </w:r>
      <w:r w:rsidRPr="00332040">
        <w:rPr>
          <w:sz w:val="20"/>
          <w:szCs w:val="20"/>
        </w:rPr>
        <w:t xml:space="preserve"> Un</w:t>
      </w:r>
      <w:r>
        <w:rPr>
          <w:sz w:val="20"/>
          <w:szCs w:val="20"/>
        </w:rPr>
        <w:t>der the NPT, a “nuclear weapon S</w:t>
      </w:r>
      <w:r w:rsidRPr="00332040">
        <w:rPr>
          <w:sz w:val="20"/>
          <w:szCs w:val="20"/>
        </w:rPr>
        <w:t xml:space="preserve">tate” (NWS) “is one which has manufactured and exploded a nuclear weapon or other nuclear explosive device prior to 1 January 1967.”  NPT, note 2, Article IX(3).  This group is comprised of the permanent members of the United Nations Security Council: the United States, the United Kingdom, the Russian Federation (formerly the Soviet Union), France and China.  The NWS are contrasted with the NNWS, which comprise all other nations of the world.  India, then, is technically </w:t>
      </w:r>
      <w:r>
        <w:rPr>
          <w:sz w:val="20"/>
          <w:szCs w:val="20"/>
        </w:rPr>
        <w:t xml:space="preserve">defined as </w:t>
      </w:r>
      <w:r w:rsidRPr="00332040">
        <w:rPr>
          <w:sz w:val="20"/>
          <w:szCs w:val="20"/>
        </w:rPr>
        <w:t xml:space="preserve">a NNWS under the NPT, albeit </w:t>
      </w:r>
      <w:r>
        <w:rPr>
          <w:sz w:val="20"/>
          <w:szCs w:val="20"/>
        </w:rPr>
        <w:t xml:space="preserve">that it is </w:t>
      </w:r>
      <w:r w:rsidRPr="00332040">
        <w:rPr>
          <w:sz w:val="20"/>
          <w:szCs w:val="20"/>
        </w:rPr>
        <w:t xml:space="preserve">one with </w:t>
      </w:r>
      <w:r w:rsidRPr="00332040">
        <w:rPr>
          <w:i/>
          <w:sz w:val="20"/>
          <w:szCs w:val="20"/>
        </w:rPr>
        <w:t>de facto</w:t>
      </w:r>
      <w:r w:rsidRPr="00332040">
        <w:rPr>
          <w:sz w:val="20"/>
          <w:szCs w:val="20"/>
        </w:rPr>
        <w:t xml:space="preserve"> nuclear power status.  </w:t>
      </w:r>
      <w:r w:rsidRPr="00332040">
        <w:rPr>
          <w:i/>
          <w:sz w:val="20"/>
          <w:szCs w:val="20"/>
        </w:rPr>
        <w:t>See</w:t>
      </w:r>
      <w:r w:rsidRPr="00332040">
        <w:rPr>
          <w:sz w:val="20"/>
          <w:szCs w:val="20"/>
        </w:rPr>
        <w:t xml:space="preserve"> K. M. Wable, “The US-India Strategic Nuclear Partnership: A Debilitating Blow to the Non-Proliferation Regime,” </w:t>
      </w:r>
      <w:r w:rsidRPr="00332040">
        <w:rPr>
          <w:i/>
          <w:sz w:val="20"/>
          <w:szCs w:val="20"/>
        </w:rPr>
        <w:t>Brooklyn Journal of International Law</w:t>
      </w:r>
      <w:r w:rsidRPr="00332040">
        <w:rPr>
          <w:sz w:val="20"/>
          <w:szCs w:val="20"/>
        </w:rPr>
        <w:t>, vol. 33 (2007-2008), pp. 719-759 at p. 730.</w:t>
      </w:r>
    </w:p>
  </w:footnote>
  <w:footnote w:id="8">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 xml:space="preserve">S. Gahlaut, “South Asia and the Nonproliferation Regime,” </w:t>
      </w:r>
      <w:r w:rsidRPr="00332040">
        <w:rPr>
          <w:i/>
          <w:sz w:val="20"/>
          <w:szCs w:val="20"/>
        </w:rPr>
        <w:t>in</w:t>
      </w:r>
      <w:r w:rsidRPr="00332040">
        <w:rPr>
          <w:sz w:val="20"/>
          <w:szCs w:val="20"/>
        </w:rPr>
        <w:t xml:space="preserve"> Busch and Joyner (eds.), note 4, pp. 222-244 at p. 234; K. Frey, </w:t>
      </w:r>
      <w:r w:rsidRPr="00332040">
        <w:rPr>
          <w:i/>
          <w:sz w:val="20"/>
          <w:szCs w:val="20"/>
        </w:rPr>
        <w:t>India’s Nuclear Bomb and National Security</w:t>
      </w:r>
      <w:r w:rsidRPr="00332040">
        <w:rPr>
          <w:sz w:val="20"/>
          <w:szCs w:val="20"/>
        </w:rPr>
        <w:t xml:space="preserve"> (2006), p. 153.</w:t>
      </w:r>
    </w:p>
  </w:footnote>
  <w:footnote w:id="9">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Comprehensive Nuclear-Test-Ban Treaty 1996, U.N. Doc. A/50/1027.  For an authoritative account of the historical development, political underpinnings and legal implications of a comprehensive prohibition on nuclear weapons testing, see D. A. Koplow, </w:t>
      </w:r>
      <w:r w:rsidRPr="00332040">
        <w:rPr>
          <w:i/>
          <w:sz w:val="20"/>
          <w:szCs w:val="20"/>
        </w:rPr>
        <w:t xml:space="preserve">Testing a Nuclear Test Ban: What Should be Prohibited by a “Comprehensive” Treaty? </w:t>
      </w:r>
      <w:r w:rsidRPr="00332040">
        <w:rPr>
          <w:sz w:val="20"/>
          <w:szCs w:val="20"/>
        </w:rPr>
        <w:t>(1996), which was published during the same year as – though, in fact, just prior to – the adoption of the CTBT by the United Nations General Assembly in 1996.</w:t>
      </w:r>
    </w:p>
  </w:footnote>
  <w:footnote w:id="10">
    <w:p w:rsidR="00F44349" w:rsidRPr="00332040" w:rsidRDefault="00F44349" w:rsidP="00332040">
      <w:pPr>
        <w:pStyle w:val="FootnoteText"/>
        <w:spacing w:line="480" w:lineRule="auto"/>
        <w:jc w:val="both"/>
      </w:pPr>
      <w:r w:rsidRPr="00332040">
        <w:rPr>
          <w:rStyle w:val="FootnoteReference"/>
        </w:rPr>
        <w:footnoteRef/>
      </w:r>
      <w:r w:rsidRPr="00332040">
        <w:t xml:space="preserve"> As of July 2011,</w:t>
      </w:r>
      <w:r>
        <w:t xml:space="preserve"> 182 States had signed the CTBT</w:t>
      </w:r>
      <w:r w:rsidRPr="00332040">
        <w:t xml:space="preserve"> and 154 States have ratified it.  However, the CTBT will only enter into force following ratification by all States listed in Annex 2 of the Treaty (see CTBT, note 8, Article XIV).  The current status of the CTBT can be found at: &lt;http://www.ctbto.org/the-treaty/status-of-signature-and-ratification/&gt;.</w:t>
      </w:r>
    </w:p>
  </w:footnote>
  <w:footnote w:id="11">
    <w:p w:rsidR="00F44349" w:rsidRPr="00332040" w:rsidRDefault="00F44349" w:rsidP="00332040">
      <w:pPr>
        <w:pStyle w:val="FootnoteText"/>
        <w:spacing w:line="480" w:lineRule="auto"/>
        <w:jc w:val="both"/>
      </w:pPr>
      <w:r w:rsidRPr="00332040">
        <w:rPr>
          <w:rStyle w:val="FootnoteReference"/>
        </w:rPr>
        <w:footnoteRef/>
      </w:r>
      <w:r w:rsidRPr="00332040">
        <w:t xml:space="preserve"> Article 18 provides that “[a] State is obliged to refrain from acts which would defeat the object and purpose of a treaty when [. . .] it has expressed its consent to be bound by the treaty, pending the entry into force of the treaty and provided that such entry into force is not unduly delayed.”  VCLT, note 3.</w:t>
      </w:r>
    </w:p>
  </w:footnote>
  <w:footnote w:id="12">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This is on the basis that signatory States have an obligation not to do anything that would “defeat the object and purpose” of the CTBT (according to Article 18 of the VCLT), and that conducting any such test would be a violation of this obligation.  </w:t>
      </w:r>
      <w:r w:rsidRPr="00332040">
        <w:rPr>
          <w:i/>
          <w:sz w:val="20"/>
          <w:szCs w:val="20"/>
        </w:rPr>
        <w:t>See</w:t>
      </w:r>
      <w:r w:rsidRPr="00332040">
        <w:rPr>
          <w:sz w:val="20"/>
          <w:szCs w:val="20"/>
        </w:rPr>
        <w:t xml:space="preserve"> M. Asada, “CTBT: Legal Questions Arising from its Non-Entry-into-Force,” </w:t>
      </w:r>
      <w:r w:rsidRPr="00332040">
        <w:rPr>
          <w:i/>
          <w:sz w:val="20"/>
          <w:szCs w:val="20"/>
        </w:rPr>
        <w:t>Journal of Conflict and Security Law</w:t>
      </w:r>
      <w:r w:rsidRPr="00332040">
        <w:rPr>
          <w:sz w:val="20"/>
          <w:szCs w:val="20"/>
        </w:rPr>
        <w:t xml:space="preserve">, vol. 7 (2002), pp. 85-122 at pp. 94-103 and pp. 121-122; D. S. Jonas, “The Comprehensive Nuclear Test Ban Treaty: Current Legal Status in the United States and the Implications of a Nuclear Test Explosion,” </w:t>
      </w:r>
      <w:r w:rsidRPr="00332040">
        <w:rPr>
          <w:i/>
          <w:sz w:val="20"/>
          <w:szCs w:val="20"/>
        </w:rPr>
        <w:t>New York University Journal of International Law and Politics</w:t>
      </w:r>
      <w:r w:rsidRPr="00332040">
        <w:rPr>
          <w:sz w:val="20"/>
          <w:szCs w:val="20"/>
        </w:rPr>
        <w:t xml:space="preserve">, vol. 39 (2007), pp. 1007-1046 at pp. 1029-1040; L. Tabassi, “The Nuclear Test Ban: </w:t>
      </w:r>
      <w:r w:rsidRPr="00332040">
        <w:rPr>
          <w:i/>
          <w:sz w:val="20"/>
          <w:szCs w:val="20"/>
        </w:rPr>
        <w:t>Lex Lata</w:t>
      </w:r>
      <w:r w:rsidRPr="00332040">
        <w:rPr>
          <w:sz w:val="20"/>
          <w:szCs w:val="20"/>
        </w:rPr>
        <w:t xml:space="preserve"> or </w:t>
      </w:r>
      <w:r w:rsidRPr="00332040">
        <w:rPr>
          <w:i/>
          <w:sz w:val="20"/>
          <w:szCs w:val="20"/>
        </w:rPr>
        <w:t>de Lege Ferenda</w:t>
      </w:r>
      <w:r w:rsidRPr="00332040">
        <w:rPr>
          <w:sz w:val="20"/>
          <w:szCs w:val="20"/>
        </w:rPr>
        <w:t xml:space="preserve">?”, </w:t>
      </w:r>
      <w:r w:rsidRPr="00332040">
        <w:rPr>
          <w:i/>
          <w:sz w:val="20"/>
          <w:szCs w:val="20"/>
        </w:rPr>
        <w:t>Journal of Conflict and Security Law</w:t>
      </w:r>
      <w:r w:rsidRPr="00332040">
        <w:rPr>
          <w:sz w:val="20"/>
          <w:szCs w:val="20"/>
        </w:rPr>
        <w:t>, vol. 14 (2009), pp. 309-352 at pp. 313-321.</w:t>
      </w:r>
    </w:p>
  </w:footnote>
  <w:footnote w:id="1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Tabassi, note 11.</w:t>
      </w:r>
    </w:p>
  </w:footnote>
  <w:footnote w:id="14">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pp. 321-322.</w:t>
      </w:r>
    </w:p>
  </w:footnote>
  <w:footnote w:id="15">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p>
  </w:footnote>
  <w:footnote w:id="16">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P. R. Chari “Introduction,” </w:t>
      </w:r>
      <w:r w:rsidRPr="00332040">
        <w:rPr>
          <w:i/>
          <w:sz w:val="20"/>
          <w:szCs w:val="20"/>
        </w:rPr>
        <w:t>in</w:t>
      </w:r>
      <w:r w:rsidRPr="00332040">
        <w:rPr>
          <w:sz w:val="20"/>
          <w:szCs w:val="20"/>
        </w:rPr>
        <w:t xml:space="preserve"> P. R. Chari (ed.), </w:t>
      </w:r>
      <w:r w:rsidRPr="00332040">
        <w:rPr>
          <w:i/>
          <w:sz w:val="20"/>
          <w:szCs w:val="20"/>
        </w:rPr>
        <w:t>Indo-US Nuclear Deal: Seeking Synergy in Bilateralism</w:t>
      </w:r>
      <w:r w:rsidRPr="00332040">
        <w:rPr>
          <w:sz w:val="20"/>
          <w:szCs w:val="20"/>
        </w:rPr>
        <w:t xml:space="preserve"> (2009), pp. 1-17 at p. 11.</w:t>
      </w:r>
    </w:p>
  </w:footnote>
  <w:footnote w:id="17">
    <w:p w:rsidR="00F44349" w:rsidRPr="00332040" w:rsidRDefault="00F44349" w:rsidP="00332040">
      <w:pPr>
        <w:spacing w:line="480" w:lineRule="auto"/>
        <w:jc w:val="both"/>
        <w:outlineLvl w:val="0"/>
        <w:rPr>
          <w:bCs/>
          <w:kern w:val="36"/>
          <w:sz w:val="20"/>
          <w:szCs w:val="20"/>
        </w:rPr>
      </w:pPr>
      <w:r w:rsidRPr="00332040">
        <w:rPr>
          <w:rStyle w:val="FootnoteReference"/>
          <w:sz w:val="20"/>
          <w:szCs w:val="20"/>
        </w:rPr>
        <w:footnoteRef/>
      </w:r>
      <w:r w:rsidRPr="00332040">
        <w:rPr>
          <w:sz w:val="20"/>
          <w:szCs w:val="20"/>
        </w:rPr>
        <w:t xml:space="preserve"> </w:t>
      </w:r>
      <w:r w:rsidRPr="00332040">
        <w:rPr>
          <w:bCs/>
          <w:kern w:val="36"/>
          <w:sz w:val="20"/>
          <w:szCs w:val="20"/>
        </w:rPr>
        <w:t xml:space="preserve">Treaty Banning Nuclear Weapon Tests in the Atmosphere, in Outer Space and Under Water 1963, entered into force 1963, </w:t>
      </w:r>
      <w:r w:rsidRPr="00332040">
        <w:rPr>
          <w:i/>
          <w:sz w:val="20"/>
          <w:szCs w:val="20"/>
        </w:rPr>
        <w:t>United Nations Treaty Series</w:t>
      </w:r>
      <w:r w:rsidRPr="00332040">
        <w:rPr>
          <w:sz w:val="20"/>
          <w:szCs w:val="20"/>
        </w:rPr>
        <w:t>, vol. 480, p. 43.</w:t>
      </w:r>
    </w:p>
  </w:footnote>
  <w:footnote w:id="18">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Article I.</w:t>
      </w:r>
    </w:p>
  </w:footnote>
  <w:footnote w:id="19">
    <w:p w:rsidR="00F44349" w:rsidRPr="00332040" w:rsidRDefault="00F44349" w:rsidP="00332040">
      <w:pPr>
        <w:pStyle w:val="FootnoteText"/>
        <w:spacing w:line="480" w:lineRule="auto"/>
        <w:jc w:val="both"/>
      </w:pPr>
      <w:r w:rsidRPr="00332040">
        <w:rPr>
          <w:rStyle w:val="FootnoteReference"/>
        </w:rPr>
        <w:footnoteRef/>
      </w:r>
      <w:r w:rsidRPr="00332040">
        <w:t xml:space="preserve"> Security Council Resolution 1172 (1998), U.N. Doc. S/RES/1172.</w:t>
      </w:r>
    </w:p>
  </w:footnote>
  <w:footnote w:id="20">
    <w:p w:rsidR="00F44349" w:rsidRPr="00332040" w:rsidRDefault="00F44349" w:rsidP="00332040">
      <w:pPr>
        <w:pStyle w:val="FootnoteText"/>
        <w:spacing w:line="480" w:lineRule="auto"/>
        <w:jc w:val="both"/>
      </w:pPr>
      <w:r w:rsidRPr="00332040">
        <w:rPr>
          <w:rStyle w:val="FootnoteReference"/>
        </w:rPr>
        <w:footnoteRef/>
      </w:r>
      <w:r w:rsidRPr="00332040">
        <w:t xml:space="preserve"> General Assembly Resolution 53/77 (1998), Section G(1), U.N. Doc. A/RES/53/77.</w:t>
      </w:r>
    </w:p>
  </w:footnote>
  <w:footnote w:id="21">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e.g., </w:t>
      </w:r>
      <w:r w:rsidRPr="00332040">
        <w:t xml:space="preserve">G. Guthrie, “Nuclear Testing Rocks the Sub-Continent: Can International Law Halt the Impending Nuclear Conflict Between India and Pakistan,” </w:t>
      </w:r>
      <w:r w:rsidRPr="00332040">
        <w:rPr>
          <w:i/>
        </w:rPr>
        <w:t>Hastings International and Comparative Law Review</w:t>
      </w:r>
      <w:r w:rsidRPr="00332040">
        <w:t xml:space="preserve">, vol. 23 (1999-2000), pp. 495-526 at pp. 508-518; Tabassi, note 11, pp. 309-352; </w:t>
      </w:r>
      <w:r w:rsidRPr="00332040">
        <w:rPr>
          <w:noProof/>
        </w:rPr>
        <w:t>G. Bunn, “</w:t>
      </w:r>
      <w:r w:rsidRPr="00332040">
        <w:t xml:space="preserve">Nuclear Tests Violate International Norm,” </w:t>
      </w:r>
      <w:r w:rsidRPr="00332040">
        <w:rPr>
          <w:i/>
          <w:noProof/>
        </w:rPr>
        <w:t>Arms Control Today</w:t>
      </w:r>
      <w:r w:rsidRPr="00332040">
        <w:rPr>
          <w:noProof/>
        </w:rPr>
        <w:t>, vol. 28 (1998), &lt;</w:t>
      </w:r>
      <w:r w:rsidRPr="00332040">
        <w:t>http://www.armscontrol.org/act/1998_05/bnmy98&gt;; P. Hulsroj, “</w:t>
      </w:r>
      <w:r w:rsidRPr="00332040">
        <w:rPr>
          <w:i/>
        </w:rPr>
        <w:t>Jus Cogens</w:t>
      </w:r>
      <w:r w:rsidRPr="00332040">
        <w:t xml:space="preserve"> and Disarmament,” </w:t>
      </w:r>
      <w:r w:rsidRPr="00332040">
        <w:rPr>
          <w:i/>
        </w:rPr>
        <w:t>Indian Journal of International Law</w:t>
      </w:r>
      <w:r w:rsidRPr="00332040">
        <w:t>, vol. 46 (2006), pp. 1-11 at pp. 8-10; Wable, note 6, p. 738 and p. 755 (though this is only implicit in Wable’s analysis).</w:t>
      </w:r>
    </w:p>
  </w:footnote>
  <w:footnote w:id="22">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e.g., </w:t>
      </w:r>
      <w:r w:rsidRPr="00332040">
        <w:t xml:space="preserve">J. P. Kelly, “The Twilight of Customary International Law,” </w:t>
      </w:r>
      <w:r w:rsidRPr="00332040">
        <w:rPr>
          <w:i/>
        </w:rPr>
        <w:t>Virginia Journal of International Law</w:t>
      </w:r>
      <w:r w:rsidRPr="00332040">
        <w:t>, vol. 40 (1999-2000), pp. 449-543 at p. 451.</w:t>
      </w:r>
    </w:p>
  </w:footnote>
  <w:footnote w:id="2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Bunn, note 20 </w:t>
      </w:r>
      <w:r w:rsidRPr="00332040">
        <w:rPr>
          <w:noProof/>
        </w:rPr>
        <w:t>(arguing that the 1998 Indian and Pakistani nuclear tests violated a customary international law norm prohibiting nuclear testing).</w:t>
      </w:r>
    </w:p>
  </w:footnote>
  <w:footnote w:id="24">
    <w:p w:rsidR="00F44349" w:rsidRPr="00332040" w:rsidRDefault="00F44349" w:rsidP="00332040">
      <w:pPr>
        <w:pStyle w:val="FootnoteText"/>
        <w:spacing w:line="480" w:lineRule="auto"/>
        <w:jc w:val="both"/>
      </w:pPr>
      <w:r w:rsidRPr="00332040">
        <w:rPr>
          <w:rStyle w:val="FootnoteReference"/>
        </w:rPr>
        <w:footnoteRef/>
      </w:r>
      <w:r w:rsidRPr="00332040">
        <w:t xml:space="preserve"> O. Elias, “Persistent Objector,” </w:t>
      </w:r>
      <w:r w:rsidRPr="00332040">
        <w:rPr>
          <w:i/>
        </w:rPr>
        <w:t>Max Planck Encyclopaedia of Public International Law</w:t>
      </w:r>
      <w:r w:rsidRPr="00332040">
        <w:t xml:space="preserve"> (2009), &lt;http://www.mpepil.com&gt;, para. 1.  </w:t>
      </w:r>
    </w:p>
  </w:footnote>
  <w:footnote w:id="25">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A. J. Paulus and J. Müller, “Survival Through Law: Is There a Law Against Nuclear Proliferation?”, </w:t>
      </w:r>
      <w:r w:rsidRPr="00332040">
        <w:rPr>
          <w:i/>
          <w:sz w:val="20"/>
          <w:szCs w:val="20"/>
        </w:rPr>
        <w:t>Finnish Yearbook of International Law</w:t>
      </w:r>
      <w:r w:rsidRPr="00332040">
        <w:rPr>
          <w:sz w:val="20"/>
          <w:szCs w:val="20"/>
        </w:rPr>
        <w:t>, vol. 18 (2007), pp. 83-135 at p. 118.</w:t>
      </w:r>
    </w:p>
  </w:footnote>
  <w:footnote w:id="26">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 xml:space="preserve">A. Packer, “Nuclear Proliferation in South Asia,” </w:t>
      </w:r>
      <w:r w:rsidRPr="00332040">
        <w:rPr>
          <w:i/>
        </w:rPr>
        <w:t>Columbia Journal of Transnational Law</w:t>
      </w:r>
      <w:r w:rsidRPr="00332040">
        <w:t>, vol. 38 (2000), pp. 631-668 at p. 651.</w:t>
      </w:r>
    </w:p>
  </w:footnote>
  <w:footnote w:id="27">
    <w:p w:rsidR="00F44349" w:rsidRPr="00332040" w:rsidRDefault="00F44349" w:rsidP="00332040">
      <w:pPr>
        <w:spacing w:line="480" w:lineRule="auto"/>
        <w:jc w:val="both"/>
        <w:rPr>
          <w:sz w:val="20"/>
          <w:szCs w:val="20"/>
          <w:lang w:val="en-US"/>
        </w:rPr>
      </w:pPr>
      <w:r w:rsidRPr="00332040">
        <w:rPr>
          <w:rStyle w:val="FootnoteReference"/>
          <w:sz w:val="20"/>
          <w:szCs w:val="20"/>
        </w:rPr>
        <w:footnoteRef/>
      </w:r>
      <w:r w:rsidRPr="00332040">
        <w:rPr>
          <w:sz w:val="20"/>
          <w:szCs w:val="20"/>
        </w:rPr>
        <w:t xml:space="preserve"> </w:t>
      </w:r>
      <w:r w:rsidRPr="00332040">
        <w:rPr>
          <w:i/>
          <w:sz w:val="20"/>
          <w:szCs w:val="20"/>
          <w:lang w:val="en-US"/>
        </w:rPr>
        <w:t>Jus cogens</w:t>
      </w:r>
      <w:r w:rsidRPr="00332040">
        <w:rPr>
          <w:sz w:val="20"/>
          <w:szCs w:val="20"/>
          <w:lang w:val="en-US"/>
        </w:rPr>
        <w:t xml:space="preserve"> norms may be broadly defined as “fundamental legal norms from which no derogation is permitted.”  H. Charlesworth and C. Chinkin, “The Gender of </w:t>
      </w:r>
      <w:r w:rsidRPr="00332040">
        <w:rPr>
          <w:i/>
          <w:sz w:val="20"/>
          <w:szCs w:val="20"/>
          <w:lang w:val="en-US"/>
        </w:rPr>
        <w:t>Jus Cogens,</w:t>
      </w:r>
      <w:r w:rsidRPr="00332040">
        <w:rPr>
          <w:sz w:val="20"/>
          <w:szCs w:val="20"/>
          <w:lang w:val="en-US"/>
        </w:rPr>
        <w:t xml:space="preserve">” </w:t>
      </w:r>
      <w:r w:rsidRPr="00332040">
        <w:rPr>
          <w:i/>
          <w:sz w:val="20"/>
          <w:szCs w:val="20"/>
          <w:lang w:val="en-US"/>
        </w:rPr>
        <w:t>Human Rights Quarterly</w:t>
      </w:r>
      <w:r w:rsidRPr="00332040">
        <w:rPr>
          <w:sz w:val="20"/>
          <w:szCs w:val="20"/>
          <w:lang w:val="en-US"/>
        </w:rPr>
        <w:t>, vol. 15 (1993), pp. 63-76 at p. 63.</w:t>
      </w:r>
    </w:p>
  </w:footnote>
  <w:footnote w:id="28">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Tabassi, note 11, pp. 347-350.</w:t>
      </w:r>
    </w:p>
  </w:footnote>
  <w:footnote w:id="29">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sz w:val="20"/>
          <w:szCs w:val="20"/>
          <w:lang w:val="en-US" w:eastAsia="en-US"/>
        </w:rPr>
        <w:t xml:space="preserve">Agreement for Cooperation Between the Government of the United States of America and the Government of India Concerning Peaceful Uses of Nuclear Energy, 10 Oct. 2008, &lt;http://responsiblenucleartrade.com/keydocuments/india_123_agreement_text.pdf&gt;.  </w:t>
      </w:r>
      <w:r w:rsidRPr="00332040">
        <w:rPr>
          <w:sz w:val="20"/>
          <w:szCs w:val="20"/>
        </w:rPr>
        <w:t>Th</w:t>
      </w:r>
      <w:r>
        <w:rPr>
          <w:sz w:val="20"/>
          <w:szCs w:val="20"/>
        </w:rPr>
        <w:t>is</w:t>
      </w:r>
      <w:r w:rsidRPr="00332040">
        <w:rPr>
          <w:sz w:val="20"/>
          <w:szCs w:val="20"/>
        </w:rPr>
        <w:t xml:space="preserve"> deal is commonly referred to as a “123 Agreement” after Section 123 of the 1954 United States Atomic Energy Act (AEA), </w:t>
      </w:r>
      <w:r w:rsidRPr="00332040">
        <w:rPr>
          <w:i/>
          <w:sz w:val="20"/>
          <w:szCs w:val="20"/>
        </w:rPr>
        <w:t>Public Law</w:t>
      </w:r>
      <w:r w:rsidRPr="00332040">
        <w:rPr>
          <w:sz w:val="20"/>
          <w:szCs w:val="20"/>
        </w:rPr>
        <w:t xml:space="preserve"> </w:t>
      </w:r>
      <w:r w:rsidRPr="00332040">
        <w:rPr>
          <w:bCs/>
          <w:sz w:val="20"/>
          <w:szCs w:val="20"/>
        </w:rPr>
        <w:t xml:space="preserve">83-703, 68 Statute 919, </w:t>
      </w:r>
      <w:r w:rsidRPr="00332040">
        <w:rPr>
          <w:sz w:val="20"/>
          <w:szCs w:val="20"/>
        </w:rPr>
        <w:t xml:space="preserve">which provides, </w:t>
      </w:r>
      <w:r w:rsidRPr="00332040">
        <w:rPr>
          <w:i/>
          <w:sz w:val="20"/>
          <w:szCs w:val="20"/>
        </w:rPr>
        <w:t>inter alia</w:t>
      </w:r>
      <w:r w:rsidRPr="00332040">
        <w:rPr>
          <w:sz w:val="20"/>
          <w:szCs w:val="20"/>
        </w:rPr>
        <w:t xml:space="preserve">, that before the United States can cooperate over nuclear materials with any other State, an agreement must be signed setting out the “terms, conditions, duration, nature and scope of the cooperation.”  The United States has made over twenty such bilateral “123” agreements, most recently with the United Arab </w:t>
      </w:r>
      <w:r w:rsidRPr="00332040">
        <w:rPr>
          <w:bCs/>
          <w:sz w:val="20"/>
          <w:szCs w:val="20"/>
        </w:rPr>
        <w:t xml:space="preserve">Emirates in December 2009.  </w:t>
      </w:r>
      <w:r w:rsidRPr="00332040">
        <w:rPr>
          <w:bCs/>
          <w:i/>
          <w:sz w:val="20"/>
          <w:szCs w:val="20"/>
        </w:rPr>
        <w:t>See</w:t>
      </w:r>
      <w:r w:rsidRPr="00332040">
        <w:rPr>
          <w:bCs/>
          <w:sz w:val="20"/>
          <w:szCs w:val="20"/>
        </w:rPr>
        <w:t xml:space="preserve"> US-UAE </w:t>
      </w:r>
      <w:r w:rsidRPr="00332040">
        <w:rPr>
          <w:sz w:val="20"/>
          <w:szCs w:val="20"/>
        </w:rPr>
        <w:t>Agreement for Peaceful Civilian Nuclear Energy Cooperation 2009, &lt;http://www.uae-embassy.org/media/press-releases/17-Dec-2009&gt;.</w:t>
      </w:r>
    </w:p>
  </w:footnote>
  <w:footnote w:id="30">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R. Kazi, “The Process of Negotiation of the Nuclear Deal/123 Agreement (India),” </w:t>
      </w:r>
      <w:r w:rsidRPr="00332040">
        <w:rPr>
          <w:i/>
          <w:sz w:val="20"/>
          <w:szCs w:val="20"/>
        </w:rPr>
        <w:t>in</w:t>
      </w:r>
      <w:r w:rsidRPr="00332040">
        <w:rPr>
          <w:sz w:val="20"/>
          <w:szCs w:val="20"/>
        </w:rPr>
        <w:t xml:space="preserve"> Chari (ed.), note 15, pp. 76-98 at p. 93; B. B. Singh, “The Hyde Act 2006: India’s Nuclear Dilemma,” </w:t>
      </w:r>
      <w:r w:rsidRPr="00332040">
        <w:rPr>
          <w:i/>
          <w:sz w:val="20"/>
          <w:szCs w:val="20"/>
        </w:rPr>
        <w:t>Atoms for Peace: An International Journal</w:t>
      </w:r>
      <w:r w:rsidRPr="00332040">
        <w:rPr>
          <w:sz w:val="20"/>
          <w:szCs w:val="20"/>
        </w:rPr>
        <w:t xml:space="preserve">, vol. 1 (2007), pp. 307-319 at p. 316; S. Erkel, </w:t>
      </w:r>
      <w:r w:rsidRPr="00332040">
        <w:rPr>
          <w:bCs/>
          <w:i/>
          <w:kern w:val="36"/>
          <w:sz w:val="20"/>
          <w:szCs w:val="20"/>
        </w:rPr>
        <w:t>India’s Nuclear Policy: With Special Reference to the India-US Nuclear Deal</w:t>
      </w:r>
      <w:r w:rsidRPr="00332040">
        <w:rPr>
          <w:bCs/>
          <w:kern w:val="36"/>
          <w:sz w:val="20"/>
          <w:szCs w:val="20"/>
        </w:rPr>
        <w:t xml:space="preserve"> (2008)</w:t>
      </w:r>
      <w:r w:rsidRPr="00332040">
        <w:rPr>
          <w:sz w:val="20"/>
          <w:szCs w:val="20"/>
        </w:rPr>
        <w:t>, p. 13; V. K. Thakur, “Indian ICBM: A Flawed Deterrent,” (2005), &lt;http://kuku.sawf.org/Articles/2367.aspx&gt;; V. K. Thakur, “</w:t>
      </w:r>
      <w:r w:rsidRPr="00332040">
        <w:rPr>
          <w:rStyle w:val="articletitle1"/>
          <w:rFonts w:ascii="Times New Roman" w:hAnsi="Times New Roman"/>
          <w:b w:val="0"/>
          <w:sz w:val="20"/>
          <w:szCs w:val="20"/>
        </w:rPr>
        <w:t>Did India Sell Itself Short?,</w:t>
      </w:r>
      <w:r w:rsidRPr="00332040">
        <w:rPr>
          <w:bCs/>
          <w:sz w:val="20"/>
          <w:szCs w:val="20"/>
        </w:rPr>
        <w:t>” (2005),</w:t>
      </w:r>
      <w:r w:rsidRPr="00332040">
        <w:rPr>
          <w:sz w:val="20"/>
          <w:szCs w:val="20"/>
        </w:rPr>
        <w:t xml:space="preserve"> &lt;</w:t>
      </w:r>
      <w:r w:rsidRPr="00332040">
        <w:rPr>
          <w:bCs/>
          <w:sz w:val="20"/>
          <w:szCs w:val="20"/>
        </w:rPr>
        <w:t>http://kuku.sawf.org/Articles/1818.aspx</w:t>
      </w:r>
      <w:r w:rsidRPr="00332040">
        <w:rPr>
          <w:sz w:val="20"/>
          <w:szCs w:val="20"/>
        </w:rPr>
        <w:t>&gt;</w:t>
      </w:r>
      <w:r w:rsidRPr="00332040">
        <w:rPr>
          <w:bCs/>
          <w:sz w:val="20"/>
          <w:szCs w:val="20"/>
        </w:rPr>
        <w:t xml:space="preserve">; </w:t>
      </w:r>
      <w:r w:rsidRPr="00332040">
        <w:rPr>
          <w:sz w:val="20"/>
          <w:szCs w:val="20"/>
        </w:rPr>
        <w:t xml:space="preserve">H. Nakanishi, “Rethinking the U.S.-India Civilian Nuclear Cooperation Agreement: A Possibility of Trade-Offs Between India’s Right to a Nuclear Test and Nuclear Cooperation,” draft paper, presented at the third “123 Agreement Project” workshop hosted by the Indian Society of International Law, New Delhi, 3 Apr. 2011 (on file with author, cited with permission), in general, but particularly at p. 1, p. 15 and p. 21; P. K. Kerr, “U.S. Nuclear Cooperation with India: Issues for Congress,” </w:t>
      </w:r>
      <w:r w:rsidRPr="00332040">
        <w:rPr>
          <w:i/>
          <w:sz w:val="20"/>
          <w:szCs w:val="20"/>
        </w:rPr>
        <w:t>Congressional Research Service</w:t>
      </w:r>
      <w:r w:rsidRPr="00332040">
        <w:rPr>
          <w:sz w:val="20"/>
          <w:szCs w:val="20"/>
        </w:rPr>
        <w:t>, Report for Congress, Order Code RL33016 (2008), p. 14, &lt;http://fpc.state.gov/documents/organization/112037.pdf&gt; (noting, but not necessarily subscribing to, this viewpoint).</w:t>
      </w:r>
    </w:p>
  </w:footnote>
  <w:footnote w:id="31">
    <w:p w:rsidR="00F44349" w:rsidRPr="00332040" w:rsidRDefault="00F44349" w:rsidP="00332040">
      <w:pPr>
        <w:pStyle w:val="FootnoteText"/>
        <w:spacing w:line="480" w:lineRule="auto"/>
        <w:jc w:val="both"/>
      </w:pPr>
      <w:r w:rsidRPr="00332040">
        <w:rPr>
          <w:rStyle w:val="FootnoteReference"/>
        </w:rPr>
        <w:footnoteRef/>
      </w:r>
      <w:r w:rsidRPr="00332040">
        <w:t xml:space="preserve"> 123 Agreement, note 28, Article 2.</w:t>
      </w:r>
    </w:p>
  </w:footnote>
  <w:footnote w:id="32">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e.g., </w:t>
      </w:r>
      <w:r w:rsidRPr="00332040">
        <w:t xml:space="preserve">M. E. Carranza, </w:t>
      </w:r>
      <w:r w:rsidRPr="00332040">
        <w:rPr>
          <w:i/>
        </w:rPr>
        <w:t>South Asian Security and International Nuclear Order: Creating a Robust Indo-Pakistani Nuclear Arms Control Regime</w:t>
      </w:r>
      <w:r w:rsidRPr="00332040">
        <w:t xml:space="preserve"> (2009), p. 2 and p. 44 (viewing the 123 Agreement as India’s “admission to the nuclear club”); Wable, note 6, pp. 720-721.</w:t>
      </w:r>
    </w:p>
  </w:footnote>
  <w:footnote w:id="3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Chari, note 15, p. 14.</w:t>
      </w:r>
    </w:p>
  </w:footnote>
  <w:footnote w:id="34">
    <w:p w:rsidR="00F44349" w:rsidRPr="0097358E" w:rsidRDefault="00F44349" w:rsidP="00332040">
      <w:pPr>
        <w:pStyle w:val="Default"/>
        <w:spacing w:line="480" w:lineRule="auto"/>
        <w:jc w:val="both"/>
        <w:rPr>
          <w:rFonts w:ascii="Times New Roman" w:hAnsi="Times New Roman" w:cs="Times New Roman"/>
          <w:sz w:val="20"/>
          <w:szCs w:val="20"/>
        </w:rPr>
      </w:pPr>
      <w:r w:rsidRPr="00332040">
        <w:rPr>
          <w:rStyle w:val="FootnoteReference"/>
          <w:rFonts w:ascii="Times New Roman" w:hAnsi="Times New Roman" w:cs="Times New Roman"/>
          <w:color w:val="auto"/>
          <w:sz w:val="20"/>
          <w:szCs w:val="20"/>
        </w:rPr>
        <w:footnoteRef/>
      </w:r>
      <w:r w:rsidRPr="00332040">
        <w:rPr>
          <w:rFonts w:ascii="Times New Roman" w:hAnsi="Times New Roman" w:cs="Times New Roman"/>
          <w:color w:val="auto"/>
          <w:sz w:val="20"/>
          <w:szCs w:val="20"/>
        </w:rPr>
        <w:t xml:space="preserve"> An interpretation that is noted, but not necessarily subscribed to, in R.</w:t>
      </w:r>
      <w:r w:rsidRPr="00332040">
        <w:rPr>
          <w:rFonts w:ascii="Times New Roman" w:hAnsi="Times New Roman" w:cs="Times New Roman"/>
          <w:sz w:val="20"/>
          <w:szCs w:val="20"/>
        </w:rPr>
        <w:t xml:space="preserve"> A. Cossa and B. Glosserman, “Regional Overview: Inaction for Inaction, With Unhelpful Reactions,” </w:t>
      </w:r>
      <w:r w:rsidRPr="00332040">
        <w:rPr>
          <w:rFonts w:ascii="Times New Roman" w:hAnsi="Times New Roman" w:cs="Times New Roman"/>
          <w:i/>
          <w:sz w:val="20"/>
          <w:szCs w:val="20"/>
        </w:rPr>
        <w:t>Comparative Connections: East Asian Bilateral Relations</w:t>
      </w:r>
      <w:r w:rsidRPr="00332040">
        <w:rPr>
          <w:rFonts w:ascii="Times New Roman" w:hAnsi="Times New Roman" w:cs="Times New Roman"/>
          <w:sz w:val="20"/>
          <w:szCs w:val="20"/>
        </w:rPr>
        <w:t>, vol. 10 (2008), pp. 1-14 at p. 7, &lt;</w:t>
      </w:r>
      <w:r w:rsidRPr="00332040">
        <w:rPr>
          <w:rFonts w:ascii="Times New Roman" w:hAnsi="Times New Roman" w:cs="Times New Roman"/>
          <w:color w:val="auto"/>
          <w:sz w:val="20"/>
          <w:szCs w:val="20"/>
        </w:rPr>
        <w:t>http://csis.org/files/media/csis/pubs/0803q.pdf&gt;.</w:t>
      </w:r>
    </w:p>
  </w:footnote>
  <w:footnote w:id="35">
    <w:p w:rsidR="00F44349" w:rsidRPr="00332040" w:rsidRDefault="00F44349" w:rsidP="00332040">
      <w:pPr>
        <w:pStyle w:val="FootnoteText"/>
        <w:spacing w:line="480" w:lineRule="auto"/>
        <w:jc w:val="both"/>
      </w:pPr>
      <w:r w:rsidRPr="00332040">
        <w:rPr>
          <w:rStyle w:val="FootnoteReference"/>
        </w:rPr>
        <w:footnoteRef/>
      </w:r>
      <w:r w:rsidRPr="00332040">
        <w:t xml:space="preserve"> See writers referred to in note 20.</w:t>
      </w:r>
    </w:p>
  </w:footnote>
  <w:footnote w:id="36">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For example, Article 38 of the VCLT, note 3, holds that a treaty can become “binding upon a third State as a customary rul</w:t>
      </w:r>
      <w:r w:rsidR="00647465">
        <w:rPr>
          <w:sz w:val="20"/>
          <w:szCs w:val="20"/>
        </w:rPr>
        <w:t>e of international law, recogniz</w:t>
      </w:r>
      <w:r w:rsidRPr="00332040">
        <w:rPr>
          <w:sz w:val="20"/>
          <w:szCs w:val="20"/>
        </w:rPr>
        <w:t xml:space="preserve">ed as such.”  This position has also been adopted more than once by the International Court of Justice (ICJ), most notably in the </w:t>
      </w:r>
      <w:r w:rsidRPr="00332040">
        <w:rPr>
          <w:i/>
          <w:sz w:val="20"/>
          <w:szCs w:val="20"/>
        </w:rPr>
        <w:t xml:space="preserve">North Sea Continental Shelf Cases </w:t>
      </w:r>
      <w:r w:rsidRPr="00332040">
        <w:rPr>
          <w:rFonts w:eastAsia="Calibri"/>
          <w:bCs/>
          <w:i/>
          <w:sz w:val="20"/>
          <w:szCs w:val="20"/>
          <w:lang w:val="en-US"/>
        </w:rPr>
        <w:t>(Federal Republic of Germany v. Denmark, Federal Republic of Germany v. Netherlands)</w:t>
      </w:r>
      <w:r w:rsidRPr="00332040">
        <w:rPr>
          <w:i/>
          <w:sz w:val="20"/>
          <w:szCs w:val="20"/>
        </w:rPr>
        <w:t xml:space="preserve">, </w:t>
      </w:r>
      <w:r w:rsidRPr="00332040">
        <w:rPr>
          <w:rFonts w:eastAsia="Calibri"/>
          <w:bCs/>
          <w:sz w:val="20"/>
          <w:szCs w:val="20"/>
          <w:lang w:val="en-US"/>
        </w:rPr>
        <w:t xml:space="preserve">ICJ Reports (1969), pp. </w:t>
      </w:r>
      <w:r w:rsidRPr="00332040">
        <w:rPr>
          <w:sz w:val="20"/>
          <w:szCs w:val="20"/>
        </w:rPr>
        <w:t xml:space="preserve">3-56, particularly at pp. 37-45.  </w:t>
      </w:r>
      <w:r w:rsidRPr="00332040">
        <w:rPr>
          <w:i/>
          <w:sz w:val="20"/>
          <w:szCs w:val="20"/>
        </w:rPr>
        <w:t>See also</w:t>
      </w:r>
      <w:r w:rsidRPr="00332040">
        <w:rPr>
          <w:sz w:val="20"/>
          <w:szCs w:val="20"/>
        </w:rPr>
        <w:t xml:space="preserve"> </w:t>
      </w:r>
      <w:r w:rsidRPr="00332040">
        <w:rPr>
          <w:rFonts w:eastAsia="Calibri"/>
          <w:bCs/>
          <w:sz w:val="20"/>
          <w:szCs w:val="20"/>
          <w:lang w:val="en-US"/>
        </w:rPr>
        <w:t xml:space="preserve">R. S. Clark, “Treaty and Custom,” </w:t>
      </w:r>
      <w:r w:rsidRPr="00332040">
        <w:rPr>
          <w:rFonts w:eastAsia="Calibri"/>
          <w:bCs/>
          <w:i/>
          <w:sz w:val="20"/>
          <w:szCs w:val="20"/>
          <w:lang w:val="en-US"/>
        </w:rPr>
        <w:t xml:space="preserve">in </w:t>
      </w:r>
      <w:r w:rsidRPr="00332040">
        <w:rPr>
          <w:bCs/>
          <w:sz w:val="20"/>
          <w:szCs w:val="20"/>
          <w:lang w:val="en-US"/>
        </w:rPr>
        <w:t>L. Boisson de Chazournes and P. Sands (eds.),</w:t>
      </w:r>
      <w:r w:rsidRPr="00332040">
        <w:rPr>
          <w:rFonts w:eastAsia="Calibri"/>
          <w:bCs/>
          <w:sz w:val="20"/>
          <w:szCs w:val="20"/>
          <w:lang w:val="en-US"/>
        </w:rPr>
        <w:t xml:space="preserve"> </w:t>
      </w:r>
      <w:r w:rsidRPr="00332040">
        <w:rPr>
          <w:rFonts w:eastAsia="Calibri"/>
          <w:bCs/>
          <w:i/>
          <w:sz w:val="20"/>
          <w:szCs w:val="20"/>
          <w:lang w:val="en-US"/>
        </w:rPr>
        <w:t>International Law, the International Court of Justice and Nuclear Weapons</w:t>
      </w:r>
      <w:r w:rsidRPr="00332040">
        <w:rPr>
          <w:rFonts w:eastAsia="Calibri"/>
          <w:bCs/>
          <w:sz w:val="20"/>
          <w:szCs w:val="20"/>
          <w:lang w:val="en-US"/>
        </w:rPr>
        <w:t xml:space="preserve"> (1999), pp. 171-180 at pp. 172-176</w:t>
      </w:r>
      <w:r w:rsidRPr="00332040">
        <w:rPr>
          <w:sz w:val="20"/>
          <w:szCs w:val="20"/>
        </w:rPr>
        <w:t>.</w:t>
      </w:r>
    </w:p>
  </w:footnote>
  <w:footnote w:id="37">
    <w:p w:rsidR="00F44349" w:rsidRPr="00332040" w:rsidRDefault="00F44349" w:rsidP="00332040">
      <w:pPr>
        <w:tabs>
          <w:tab w:val="left" w:pos="1843"/>
        </w:tabs>
        <w:spacing w:line="480" w:lineRule="auto"/>
        <w:jc w:val="both"/>
        <w:rPr>
          <w:sz w:val="20"/>
          <w:szCs w:val="20"/>
        </w:rPr>
      </w:pPr>
      <w:r w:rsidRPr="00332040">
        <w:rPr>
          <w:rStyle w:val="FootnoteReference"/>
          <w:sz w:val="20"/>
          <w:szCs w:val="20"/>
        </w:rPr>
        <w:footnoteRef/>
      </w:r>
      <w:r w:rsidRPr="00332040">
        <w:rPr>
          <w:sz w:val="20"/>
          <w:szCs w:val="20"/>
        </w:rPr>
        <w:t xml:space="preserve"> On codification in international law, see A. Boyle and C. Chinkin, </w:t>
      </w:r>
      <w:r w:rsidRPr="00332040">
        <w:rPr>
          <w:i/>
          <w:sz w:val="20"/>
          <w:szCs w:val="20"/>
        </w:rPr>
        <w:t>The Making of International Law</w:t>
      </w:r>
      <w:r w:rsidRPr="00332040">
        <w:rPr>
          <w:sz w:val="20"/>
          <w:szCs w:val="20"/>
        </w:rPr>
        <w:t xml:space="preserve"> (2007), pp. 161-209.  More specifically in relation to codification treaties, see A. Aust, </w:t>
      </w:r>
      <w:r w:rsidRPr="00332040">
        <w:rPr>
          <w:i/>
          <w:sz w:val="20"/>
          <w:szCs w:val="20"/>
        </w:rPr>
        <w:t>Modern Treaty Law and Practice</w:t>
      </w:r>
      <w:r w:rsidRPr="00332040">
        <w:rPr>
          <w:sz w:val="20"/>
          <w:szCs w:val="20"/>
        </w:rPr>
        <w:t xml:space="preserve"> </w:t>
      </w:r>
      <w:r w:rsidR="0066265B">
        <w:rPr>
          <w:sz w:val="20"/>
          <w:szCs w:val="20"/>
        </w:rPr>
        <w:t xml:space="preserve">(2d ed., </w:t>
      </w:r>
      <w:r w:rsidRPr="00332040">
        <w:rPr>
          <w:rFonts w:eastAsia="Calibri"/>
          <w:bCs/>
          <w:sz w:val="20"/>
          <w:szCs w:val="20"/>
          <w:lang w:val="en-US"/>
        </w:rPr>
        <w:t xml:space="preserve">2007), p. 11.  </w:t>
      </w:r>
      <w:r w:rsidRPr="00332040">
        <w:rPr>
          <w:sz w:val="20"/>
          <w:szCs w:val="20"/>
        </w:rPr>
        <w:t xml:space="preserve">On the parallel nature of obligations </w:t>
      </w:r>
      <w:r>
        <w:rPr>
          <w:sz w:val="20"/>
          <w:szCs w:val="20"/>
        </w:rPr>
        <w:t>that</w:t>
      </w:r>
      <w:r w:rsidRPr="00332040">
        <w:rPr>
          <w:sz w:val="20"/>
          <w:szCs w:val="20"/>
        </w:rPr>
        <w:t xml:space="preserve"> are binding in both conventional and customary international law, see </w:t>
      </w:r>
      <w:r w:rsidRPr="00332040">
        <w:rPr>
          <w:i/>
          <w:sz w:val="20"/>
          <w:szCs w:val="20"/>
        </w:rPr>
        <w:t>Military and Paramilitary Activities in and Against Nicaragua (Nicaragua</w:t>
      </w:r>
      <w:r w:rsidRPr="00332040">
        <w:rPr>
          <w:sz w:val="20"/>
          <w:szCs w:val="20"/>
        </w:rPr>
        <w:t xml:space="preserve"> </w:t>
      </w:r>
      <w:r w:rsidRPr="00332040">
        <w:rPr>
          <w:i/>
          <w:sz w:val="20"/>
          <w:szCs w:val="20"/>
        </w:rPr>
        <w:t>v.</w:t>
      </w:r>
      <w:r w:rsidRPr="00332040">
        <w:rPr>
          <w:sz w:val="20"/>
          <w:szCs w:val="20"/>
        </w:rPr>
        <w:t xml:space="preserve"> </w:t>
      </w:r>
      <w:r w:rsidRPr="00332040">
        <w:rPr>
          <w:i/>
          <w:sz w:val="20"/>
          <w:szCs w:val="20"/>
        </w:rPr>
        <w:t>United States of America),</w:t>
      </w:r>
      <w:r w:rsidRPr="00332040">
        <w:rPr>
          <w:sz w:val="20"/>
          <w:szCs w:val="20"/>
        </w:rPr>
        <w:t xml:space="preserve"> </w:t>
      </w:r>
      <w:r w:rsidRPr="00332040">
        <w:rPr>
          <w:rFonts w:eastAsia="Calibri"/>
          <w:bCs/>
          <w:sz w:val="20"/>
          <w:szCs w:val="20"/>
          <w:lang w:val="en-US"/>
        </w:rPr>
        <w:t>ICJ Reports</w:t>
      </w:r>
      <w:r w:rsidRPr="00332040">
        <w:rPr>
          <w:sz w:val="20"/>
          <w:szCs w:val="20"/>
        </w:rPr>
        <w:t xml:space="preserve"> (1984), pp. 392-443 at pp. 424-425.</w:t>
      </w:r>
    </w:p>
  </w:footnote>
  <w:footnote w:id="38">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R. Cryer, “Of Custom, Treaties, Scholars and the Gavel: The Influence of the International Criminal Tribunals on the ICRC Customary Law Study,” </w:t>
      </w:r>
      <w:r w:rsidRPr="00332040">
        <w:rPr>
          <w:i/>
        </w:rPr>
        <w:t>Journal of Conflict and Security Law</w:t>
      </w:r>
      <w:r w:rsidRPr="00332040">
        <w:t>, vol. 11 (2006), pp. 239-263 at p. 244.</w:t>
      </w:r>
    </w:p>
  </w:footnote>
  <w:footnote w:id="39">
    <w:p w:rsidR="00F44349" w:rsidRPr="00332040" w:rsidRDefault="00F44349" w:rsidP="00332040">
      <w:pPr>
        <w:pStyle w:val="FootnoteText"/>
        <w:spacing w:line="480" w:lineRule="auto"/>
        <w:jc w:val="both"/>
      </w:pPr>
      <w:r w:rsidRPr="00332040">
        <w:rPr>
          <w:rStyle w:val="FootnoteReference"/>
        </w:rPr>
        <w:footnoteRef/>
      </w:r>
      <w:r w:rsidRPr="00332040">
        <w:t xml:space="preserve"> These two elements – State practice and </w:t>
      </w:r>
      <w:r w:rsidRPr="00332040">
        <w:rPr>
          <w:i/>
        </w:rPr>
        <w:t>opinio juris</w:t>
      </w:r>
      <w:r w:rsidRPr="00332040">
        <w:t xml:space="preserve"> – form the basis of all customary international law formation.  For a detailed examination, see M. Akehurst, “Custom as a Source of International Law,” </w:t>
      </w:r>
      <w:r w:rsidRPr="00332040">
        <w:rPr>
          <w:i/>
        </w:rPr>
        <w:t>British Yearbook of International Law</w:t>
      </w:r>
      <w:r w:rsidRPr="00332040">
        <w:t>, vol. 47 (1974-1975), pp. 1-53.</w:t>
      </w:r>
    </w:p>
  </w:footnote>
  <w:footnote w:id="40">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note 9.</w:t>
      </w:r>
    </w:p>
  </w:footnote>
  <w:footnote w:id="41">
    <w:p w:rsidR="00F44349" w:rsidRPr="00332040" w:rsidRDefault="00F44349" w:rsidP="00332040">
      <w:pPr>
        <w:pStyle w:val="FootnoteText"/>
        <w:spacing w:line="480" w:lineRule="auto"/>
        <w:jc w:val="both"/>
      </w:pPr>
      <w:r w:rsidRPr="00332040">
        <w:rPr>
          <w:rStyle w:val="FootnoteReference"/>
        </w:rPr>
        <w:footnoteRef/>
      </w:r>
      <w:r w:rsidRPr="00332040">
        <w:t xml:space="preserve"> Tabassi, note 11, p. 333.</w:t>
      </w:r>
    </w:p>
  </w:footnote>
  <w:footnote w:id="42">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This point is made by Tabassi,</w:t>
      </w:r>
      <w:r w:rsidRPr="00332040">
        <w:rPr>
          <w:i/>
          <w:sz w:val="20"/>
          <w:szCs w:val="20"/>
        </w:rPr>
        <w:t xml:space="preserve"> ibid.</w:t>
      </w:r>
      <w:r w:rsidRPr="00332040">
        <w:rPr>
          <w:sz w:val="20"/>
          <w:szCs w:val="20"/>
        </w:rPr>
        <w:t xml:space="preserve">  </w:t>
      </w:r>
      <w:r w:rsidRPr="00332040">
        <w:rPr>
          <w:i/>
          <w:sz w:val="20"/>
          <w:szCs w:val="20"/>
        </w:rPr>
        <w:t>See</w:t>
      </w:r>
      <w:r w:rsidRPr="00332040">
        <w:rPr>
          <w:sz w:val="20"/>
          <w:szCs w:val="20"/>
        </w:rPr>
        <w:t xml:space="preserve"> </w:t>
      </w:r>
      <w:r w:rsidRPr="00332040">
        <w:rPr>
          <w:bCs/>
          <w:i/>
          <w:sz w:val="20"/>
          <w:szCs w:val="20"/>
        </w:rPr>
        <w:t>Prosecutor v. Blagoje Simic, Milan Simic, Miroslav Tadic, Stevan Todorovic and Simo Zaric</w:t>
      </w:r>
      <w:r w:rsidRPr="00332040">
        <w:rPr>
          <w:bCs/>
          <w:sz w:val="20"/>
          <w:szCs w:val="20"/>
        </w:rPr>
        <w:t xml:space="preserve">, Case No. IT-95-9-PT, Decision on the Prosecution Motion under Rule 73 for a Ruling Concerning the Testimony of a Witness (Order Releasing </w:t>
      </w:r>
      <w:r w:rsidRPr="00332040">
        <w:rPr>
          <w:bCs/>
          <w:i/>
          <w:iCs/>
          <w:sz w:val="20"/>
          <w:szCs w:val="20"/>
        </w:rPr>
        <w:t>ex parte</w:t>
      </w:r>
      <w:r w:rsidRPr="00332040">
        <w:rPr>
          <w:bCs/>
          <w:sz w:val="20"/>
          <w:szCs w:val="20"/>
        </w:rPr>
        <w:t xml:space="preserve"> Confidential Decision of the Trial Chamber (1999).  On the potential for inferring State practice, </w:t>
      </w:r>
      <w:r w:rsidRPr="00332040">
        <w:rPr>
          <w:bCs/>
          <w:i/>
          <w:sz w:val="20"/>
          <w:szCs w:val="20"/>
        </w:rPr>
        <w:t xml:space="preserve">opinio juris, </w:t>
      </w:r>
      <w:r w:rsidRPr="00332040">
        <w:rPr>
          <w:bCs/>
          <w:sz w:val="20"/>
          <w:szCs w:val="20"/>
        </w:rPr>
        <w:t xml:space="preserve">or both State practice and </w:t>
      </w:r>
      <w:r w:rsidRPr="00332040">
        <w:rPr>
          <w:bCs/>
          <w:i/>
          <w:sz w:val="20"/>
          <w:szCs w:val="20"/>
        </w:rPr>
        <w:t>opinio juris</w:t>
      </w:r>
      <w:r w:rsidRPr="00332040">
        <w:rPr>
          <w:bCs/>
          <w:sz w:val="20"/>
          <w:szCs w:val="20"/>
        </w:rPr>
        <w:t xml:space="preserve"> from treaty signature or ratification, see also </w:t>
      </w:r>
      <w:r w:rsidRPr="00332040">
        <w:rPr>
          <w:sz w:val="20"/>
          <w:szCs w:val="20"/>
        </w:rPr>
        <w:t xml:space="preserve">M. Byers, </w:t>
      </w:r>
      <w:r w:rsidRPr="00332040">
        <w:rPr>
          <w:i/>
          <w:sz w:val="20"/>
          <w:szCs w:val="20"/>
        </w:rPr>
        <w:t>Custom, Power and the Power of Rules</w:t>
      </w:r>
      <w:r w:rsidRPr="00332040">
        <w:rPr>
          <w:sz w:val="20"/>
          <w:szCs w:val="20"/>
        </w:rPr>
        <w:t xml:space="preserve"> </w:t>
      </w:r>
      <w:r w:rsidRPr="00332040">
        <w:rPr>
          <w:rFonts w:eastAsia="Calibri"/>
          <w:bCs/>
          <w:sz w:val="20"/>
          <w:szCs w:val="20"/>
          <w:lang w:val="en-US"/>
        </w:rPr>
        <w:t>(1999)</w:t>
      </w:r>
      <w:r w:rsidRPr="00332040">
        <w:rPr>
          <w:sz w:val="20"/>
          <w:szCs w:val="20"/>
        </w:rPr>
        <w:t>, pp. 167-172</w:t>
      </w:r>
      <w:r w:rsidRPr="00332040">
        <w:rPr>
          <w:bCs/>
          <w:sz w:val="20"/>
          <w:szCs w:val="20"/>
        </w:rPr>
        <w:t xml:space="preserve">; </w:t>
      </w:r>
      <w:r w:rsidRPr="00332040">
        <w:rPr>
          <w:sz w:val="20"/>
          <w:szCs w:val="20"/>
        </w:rPr>
        <w:t>Cryer, note 37, p. 244</w:t>
      </w:r>
      <w:r w:rsidRPr="00332040">
        <w:rPr>
          <w:bCs/>
          <w:sz w:val="20"/>
          <w:szCs w:val="20"/>
        </w:rPr>
        <w:t>.</w:t>
      </w:r>
    </w:p>
  </w:footnote>
  <w:footnote w:id="4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Tabassi, note 11, p. 333.</w:t>
      </w:r>
    </w:p>
  </w:footnote>
  <w:footnote w:id="44">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See the dissenting opinion of Judge Sir Robert Jennings attached to the Merits decision in the </w:t>
      </w:r>
      <w:r w:rsidRPr="00332040">
        <w:rPr>
          <w:i/>
          <w:sz w:val="20"/>
          <w:szCs w:val="20"/>
        </w:rPr>
        <w:t>Nicaragua</w:t>
      </w:r>
      <w:r w:rsidRPr="00332040">
        <w:rPr>
          <w:sz w:val="20"/>
          <w:szCs w:val="20"/>
        </w:rPr>
        <w:t xml:space="preserve"> case, as to the customary status of the prohibition of the use of force deriving from Article 2(4) of the Charter of the United Nations 1945, </w:t>
      </w:r>
      <w:r w:rsidRPr="00332040">
        <w:rPr>
          <w:i/>
          <w:sz w:val="20"/>
          <w:szCs w:val="20"/>
        </w:rPr>
        <w:t>United Nations Treaty Series</w:t>
      </w:r>
      <w:r w:rsidRPr="00332040">
        <w:rPr>
          <w:sz w:val="20"/>
          <w:szCs w:val="20"/>
        </w:rPr>
        <w:t>, vol. 1, p. 16: “there are obvious difficulties about extracting even a scintilla of relevant ‘practice’ [. . .] from the behaviour of those few States which are not parties to the C</w:t>
      </w:r>
      <w:r>
        <w:rPr>
          <w:sz w:val="20"/>
          <w:szCs w:val="20"/>
        </w:rPr>
        <w:t>harter; and the behaviour of all</w:t>
      </w:r>
      <w:r w:rsidRPr="00332040">
        <w:rPr>
          <w:sz w:val="20"/>
          <w:szCs w:val="20"/>
        </w:rPr>
        <w:t xml:space="preserve"> the rest, and the </w:t>
      </w:r>
      <w:r w:rsidRPr="00332040">
        <w:rPr>
          <w:bCs/>
          <w:i/>
          <w:iCs/>
          <w:sz w:val="20"/>
          <w:szCs w:val="20"/>
        </w:rPr>
        <w:t xml:space="preserve">opinio juris </w:t>
      </w:r>
      <w:r w:rsidRPr="00332040">
        <w:rPr>
          <w:sz w:val="20"/>
          <w:szCs w:val="20"/>
        </w:rPr>
        <w:t xml:space="preserve">which it might otherwise evidence, is surely explained by their being bound by the Charter itself.”  </w:t>
      </w:r>
      <w:r w:rsidRPr="00332040">
        <w:rPr>
          <w:i/>
          <w:sz w:val="20"/>
          <w:szCs w:val="20"/>
        </w:rPr>
        <w:t>Military and Paramilitary Activities in and Against Nicaragua (Nicaragua</w:t>
      </w:r>
      <w:r w:rsidRPr="00332040">
        <w:rPr>
          <w:sz w:val="20"/>
          <w:szCs w:val="20"/>
        </w:rPr>
        <w:t xml:space="preserve"> </w:t>
      </w:r>
      <w:r w:rsidRPr="00332040">
        <w:rPr>
          <w:i/>
          <w:sz w:val="20"/>
          <w:szCs w:val="20"/>
        </w:rPr>
        <w:t>v.</w:t>
      </w:r>
      <w:r w:rsidRPr="00332040">
        <w:rPr>
          <w:sz w:val="20"/>
          <w:szCs w:val="20"/>
        </w:rPr>
        <w:t xml:space="preserve"> </w:t>
      </w:r>
      <w:r w:rsidRPr="00332040">
        <w:rPr>
          <w:i/>
          <w:sz w:val="20"/>
          <w:szCs w:val="20"/>
        </w:rPr>
        <w:t>United States of America),</w:t>
      </w:r>
      <w:r w:rsidRPr="00332040">
        <w:rPr>
          <w:sz w:val="20"/>
          <w:szCs w:val="20"/>
        </w:rPr>
        <w:t xml:space="preserve"> </w:t>
      </w:r>
      <w:r w:rsidRPr="00332040">
        <w:rPr>
          <w:rFonts w:eastAsia="Calibri"/>
          <w:bCs/>
          <w:sz w:val="20"/>
          <w:szCs w:val="20"/>
          <w:lang w:val="en-US"/>
        </w:rPr>
        <w:t>ICJ Reports (1986)</w:t>
      </w:r>
      <w:r w:rsidRPr="00332040">
        <w:rPr>
          <w:sz w:val="20"/>
          <w:szCs w:val="20"/>
        </w:rPr>
        <w:t xml:space="preserve">, pp. 528-46 at p. 531 (Judge Jennings, dissenting).  </w:t>
      </w:r>
      <w:r w:rsidRPr="00332040">
        <w:rPr>
          <w:i/>
          <w:sz w:val="20"/>
          <w:szCs w:val="20"/>
        </w:rPr>
        <w:t>See also</w:t>
      </w:r>
      <w:r w:rsidRPr="00332040">
        <w:rPr>
          <w:sz w:val="20"/>
          <w:szCs w:val="20"/>
        </w:rPr>
        <w:t xml:space="preserve"> Byers, note 41, pp. 170-172; Cryer, note 37, p. 244; A. A. D’Amato, “Trashing Customary International Law,” </w:t>
      </w:r>
      <w:r w:rsidRPr="00332040">
        <w:rPr>
          <w:i/>
          <w:sz w:val="20"/>
          <w:szCs w:val="20"/>
        </w:rPr>
        <w:t>American Journal of International Law</w:t>
      </w:r>
      <w:r w:rsidRPr="00332040">
        <w:rPr>
          <w:sz w:val="20"/>
          <w:szCs w:val="20"/>
        </w:rPr>
        <w:t>, vol. 81 (1987), pp. 101-105.</w:t>
      </w:r>
    </w:p>
  </w:footnote>
  <w:footnote w:id="45">
    <w:p w:rsidR="00F44349" w:rsidRPr="00332040" w:rsidRDefault="00F44349" w:rsidP="00332040">
      <w:pPr>
        <w:pStyle w:val="FootnoteText"/>
        <w:spacing w:line="480" w:lineRule="auto"/>
        <w:jc w:val="both"/>
      </w:pPr>
      <w:r w:rsidRPr="00332040">
        <w:rPr>
          <w:rStyle w:val="FootnoteReference"/>
        </w:rPr>
        <w:footnoteRef/>
      </w:r>
      <w:r w:rsidRPr="00332040">
        <w:t xml:space="preserve"> U.N. Doc. A/51/PV.5 (1996), p. 8.</w:t>
      </w:r>
    </w:p>
  </w:footnote>
  <w:footnote w:id="46">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 xml:space="preserve">CTBT, note 8, Article XIV.  </w:t>
      </w:r>
      <w:r w:rsidRPr="00332040">
        <w:rPr>
          <w:i/>
        </w:rPr>
        <w:t>See</w:t>
      </w:r>
      <w:r w:rsidRPr="00332040">
        <w:t xml:space="preserve"> Asada, note 11, p. 86.</w:t>
      </w:r>
    </w:p>
  </w:footnote>
  <w:footnote w:id="47">
    <w:p w:rsidR="00F44349" w:rsidRPr="00332040" w:rsidRDefault="00F44349" w:rsidP="00332040">
      <w:pPr>
        <w:autoSpaceDE w:val="0"/>
        <w:autoSpaceDN w:val="0"/>
        <w:adjustRightInd w:val="0"/>
        <w:spacing w:line="480" w:lineRule="auto"/>
        <w:jc w:val="both"/>
        <w:rPr>
          <w:sz w:val="20"/>
          <w:szCs w:val="20"/>
        </w:rPr>
      </w:pPr>
      <w:r w:rsidRPr="00332040">
        <w:rPr>
          <w:rStyle w:val="FootnoteReference"/>
          <w:sz w:val="20"/>
          <w:szCs w:val="20"/>
        </w:rPr>
        <w:footnoteRef/>
      </w:r>
      <w:r w:rsidRPr="00332040">
        <w:rPr>
          <w:sz w:val="20"/>
          <w:szCs w:val="20"/>
        </w:rPr>
        <w:t xml:space="preserve"> See, for example, </w:t>
      </w:r>
      <w:r w:rsidRPr="00332040">
        <w:rPr>
          <w:i/>
          <w:sz w:val="20"/>
          <w:szCs w:val="20"/>
        </w:rPr>
        <w:t>North Sea Continental Shelf Cases,</w:t>
      </w:r>
      <w:r w:rsidRPr="00332040">
        <w:rPr>
          <w:sz w:val="20"/>
          <w:szCs w:val="20"/>
        </w:rPr>
        <w:t xml:space="preserve"> </w:t>
      </w:r>
      <w:r w:rsidRPr="00332040">
        <w:rPr>
          <w:rFonts w:eastAsia="Calibri"/>
          <w:bCs/>
          <w:sz w:val="20"/>
          <w:szCs w:val="20"/>
          <w:lang w:val="en-US"/>
        </w:rPr>
        <w:t>note 35, p. 43</w:t>
      </w:r>
      <w:r w:rsidRPr="00332040">
        <w:rPr>
          <w:sz w:val="20"/>
          <w:szCs w:val="20"/>
        </w:rPr>
        <w:t xml:space="preserve">, where the ICJ stated that, “[a]lthough the passage of only a short period of time is not necessarily, or of itself, a bar to the formation of a new rule of customary international law on the basis of what was originally a purely conventional rule, an indispensable requirement would be that within the period in question, short though it might be, State practice [. . .] should have been both extensive and virtually uniform.”  </w:t>
      </w:r>
      <w:r w:rsidRPr="00332040">
        <w:rPr>
          <w:i/>
          <w:sz w:val="20"/>
          <w:szCs w:val="20"/>
        </w:rPr>
        <w:t>See generally,</w:t>
      </w:r>
      <w:r w:rsidRPr="00332040">
        <w:rPr>
          <w:sz w:val="20"/>
          <w:szCs w:val="20"/>
        </w:rPr>
        <w:t xml:space="preserve"> Byers, note 41, pp. 160-161.</w:t>
      </w:r>
    </w:p>
  </w:footnote>
  <w:footnote w:id="48">
    <w:p w:rsidR="00F44349" w:rsidRPr="00332040" w:rsidRDefault="00F44349" w:rsidP="00630602">
      <w:pPr>
        <w:autoSpaceDE w:val="0"/>
        <w:autoSpaceDN w:val="0"/>
        <w:adjustRightInd w:val="0"/>
        <w:spacing w:line="480" w:lineRule="auto"/>
        <w:jc w:val="both"/>
        <w:rPr>
          <w:sz w:val="20"/>
          <w:szCs w:val="20"/>
        </w:rPr>
      </w:pPr>
      <w:r w:rsidRPr="00332040">
        <w:rPr>
          <w:rStyle w:val="FootnoteReference"/>
          <w:sz w:val="20"/>
          <w:szCs w:val="20"/>
        </w:rPr>
        <w:footnoteRef/>
      </w:r>
      <w:r w:rsidRPr="00332040">
        <w:rPr>
          <w:sz w:val="20"/>
          <w:szCs w:val="20"/>
        </w:rPr>
        <w:t xml:space="preserve"> For a discussion of the possibility of “instant” customary international law, see the much quoted B. Cheng, “United Nations Resolutions on Outer Space: ‘Instant’ International Customary Law?”, </w:t>
      </w:r>
      <w:r w:rsidRPr="00332040">
        <w:rPr>
          <w:i/>
          <w:sz w:val="20"/>
          <w:szCs w:val="20"/>
        </w:rPr>
        <w:t>Indian Journal of International Law</w:t>
      </w:r>
      <w:r w:rsidRPr="00332040">
        <w:rPr>
          <w:sz w:val="20"/>
          <w:szCs w:val="20"/>
        </w:rPr>
        <w:t xml:space="preserve">, vol. 5 (1965), pp. 23-48.  It is worth noting, however, that some scholars have been sceptical about this concept.  </w:t>
      </w:r>
      <w:r w:rsidRPr="00332040">
        <w:rPr>
          <w:i/>
          <w:sz w:val="20"/>
          <w:szCs w:val="20"/>
        </w:rPr>
        <w:t xml:space="preserve">See, e.g., </w:t>
      </w:r>
      <w:r w:rsidRPr="00332040">
        <w:rPr>
          <w:sz w:val="20"/>
          <w:szCs w:val="20"/>
        </w:rPr>
        <w:t xml:space="preserve">A. A. D’Amato, </w:t>
      </w:r>
      <w:r w:rsidRPr="00332040">
        <w:rPr>
          <w:i/>
          <w:sz w:val="20"/>
          <w:szCs w:val="20"/>
        </w:rPr>
        <w:t xml:space="preserve">The Concept of Custom in International Law </w:t>
      </w:r>
      <w:r w:rsidRPr="00332040">
        <w:rPr>
          <w:bCs/>
          <w:sz w:val="20"/>
          <w:szCs w:val="20"/>
          <w:lang w:val="en-US"/>
        </w:rPr>
        <w:t>(1971)</w:t>
      </w:r>
      <w:r w:rsidRPr="00332040">
        <w:rPr>
          <w:sz w:val="20"/>
          <w:szCs w:val="20"/>
        </w:rPr>
        <w:t>, p. 50.</w:t>
      </w:r>
    </w:p>
  </w:footnote>
  <w:footnote w:id="49">
    <w:p w:rsidR="00F44349" w:rsidRPr="00630602" w:rsidRDefault="00F44349" w:rsidP="00630602">
      <w:pPr>
        <w:spacing w:line="480" w:lineRule="auto"/>
        <w:jc w:val="both"/>
        <w:rPr>
          <w:bCs/>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00F979A7">
        <w:rPr>
          <w:sz w:val="20"/>
          <w:szCs w:val="20"/>
        </w:rPr>
        <w:t>J</w:t>
      </w:r>
      <w:r w:rsidR="00F979A7" w:rsidRPr="00332040">
        <w:rPr>
          <w:sz w:val="20"/>
          <w:szCs w:val="20"/>
        </w:rPr>
        <w:t>onas, note 11, p. 1028</w:t>
      </w:r>
      <w:r w:rsidR="00F979A7">
        <w:rPr>
          <w:sz w:val="20"/>
          <w:szCs w:val="20"/>
        </w:rPr>
        <w:t xml:space="preserve">; </w:t>
      </w:r>
      <w:r w:rsidR="00F979A7" w:rsidRPr="00332040">
        <w:rPr>
          <w:sz w:val="20"/>
          <w:szCs w:val="20"/>
        </w:rPr>
        <w:t xml:space="preserve">D. H. Joyner, </w:t>
      </w:r>
      <w:r w:rsidR="00F979A7" w:rsidRPr="00332040">
        <w:rPr>
          <w:bCs/>
          <w:i/>
          <w:sz w:val="20"/>
          <w:szCs w:val="20"/>
        </w:rPr>
        <w:t>I</w:t>
      </w:r>
      <w:r w:rsidR="00F979A7">
        <w:rPr>
          <w:bCs/>
          <w:i/>
          <w:sz w:val="20"/>
          <w:szCs w:val="20"/>
        </w:rPr>
        <w:t>nterpreting the Nuclear Non-Proliferation Treaty</w:t>
      </w:r>
      <w:r w:rsidR="00F979A7" w:rsidRPr="00332040">
        <w:rPr>
          <w:bCs/>
          <w:sz w:val="20"/>
          <w:szCs w:val="20"/>
        </w:rPr>
        <w:t xml:space="preserve"> </w:t>
      </w:r>
      <w:r w:rsidR="00F979A7" w:rsidRPr="00332040">
        <w:rPr>
          <w:bCs/>
          <w:sz w:val="20"/>
          <w:szCs w:val="20"/>
          <w:lang w:val="en-US"/>
        </w:rPr>
        <w:t>(20</w:t>
      </w:r>
      <w:r w:rsidR="00F979A7">
        <w:rPr>
          <w:bCs/>
          <w:sz w:val="20"/>
          <w:szCs w:val="20"/>
          <w:lang w:val="en-US"/>
        </w:rPr>
        <w:t>11</w:t>
      </w:r>
      <w:r w:rsidR="00F979A7" w:rsidRPr="00332040">
        <w:rPr>
          <w:bCs/>
          <w:sz w:val="20"/>
          <w:szCs w:val="20"/>
          <w:lang w:val="en-US"/>
        </w:rPr>
        <w:t>)</w:t>
      </w:r>
      <w:r w:rsidR="00F43301">
        <w:rPr>
          <w:sz w:val="20"/>
          <w:szCs w:val="20"/>
        </w:rPr>
        <w:t>, p. 40</w:t>
      </w:r>
      <w:r w:rsidRPr="00332040">
        <w:rPr>
          <w:sz w:val="20"/>
          <w:szCs w:val="20"/>
        </w:rPr>
        <w:t xml:space="preserve">.  It is notable that the Obama administration is much more supportive of the CTBT, with President Barack Obama having </w:t>
      </w:r>
      <w:r w:rsidR="00F979A7">
        <w:rPr>
          <w:sz w:val="20"/>
          <w:szCs w:val="20"/>
        </w:rPr>
        <w:t xml:space="preserve">stated in April 2009 that his administration would “immediately and aggressively pursue U.S. ratification of the Comprehensive Test Ban Treaty.”  </w:t>
      </w:r>
      <w:r w:rsidR="00630602" w:rsidRPr="00BE758C">
        <w:rPr>
          <w:rStyle w:val="Strong"/>
          <w:b w:val="0"/>
          <w:sz w:val="20"/>
          <w:szCs w:val="20"/>
        </w:rPr>
        <w:t>Remarks by President Barack Obama,</w:t>
      </w:r>
      <w:r w:rsidR="00630602" w:rsidRPr="00BE758C">
        <w:rPr>
          <w:rStyle w:val="Strong"/>
          <w:sz w:val="20"/>
          <w:szCs w:val="20"/>
        </w:rPr>
        <w:t xml:space="preserve"> </w:t>
      </w:r>
      <w:r w:rsidR="00630602" w:rsidRPr="00BE758C">
        <w:rPr>
          <w:sz w:val="20"/>
          <w:szCs w:val="20"/>
        </w:rPr>
        <w:t xml:space="preserve">Hradcany Square, Prague, Czech Republic, 5 Apr. 2009, </w:t>
      </w:r>
      <w:r w:rsidR="00630602">
        <w:rPr>
          <w:sz w:val="20"/>
          <w:szCs w:val="20"/>
        </w:rPr>
        <w:t>&lt;</w:t>
      </w:r>
      <w:r w:rsidR="00630602" w:rsidRPr="00630602">
        <w:rPr>
          <w:sz w:val="20"/>
          <w:szCs w:val="20"/>
        </w:rPr>
        <w:t>http://www.whitehouse.gov/the_press_office/Remarks-By-President-Barack-Obama-In-Prague-As-Delivered</w:t>
      </w:r>
      <w:r w:rsidR="00630602">
        <w:rPr>
          <w:sz w:val="20"/>
          <w:szCs w:val="20"/>
        </w:rPr>
        <w:t>&gt;</w:t>
      </w:r>
      <w:r w:rsidR="00630602">
        <w:rPr>
          <w:bCs/>
          <w:sz w:val="20"/>
          <w:szCs w:val="20"/>
        </w:rPr>
        <w:t xml:space="preserve">.  </w:t>
      </w:r>
      <w:r w:rsidR="00F979A7">
        <w:rPr>
          <w:sz w:val="20"/>
          <w:szCs w:val="20"/>
        </w:rPr>
        <w:t>Indeed,</w:t>
      </w:r>
      <w:r w:rsidRPr="00332040">
        <w:rPr>
          <w:sz w:val="20"/>
          <w:szCs w:val="20"/>
        </w:rPr>
        <w:t xml:space="preserve"> the </w:t>
      </w:r>
      <w:r w:rsidR="00F979A7">
        <w:rPr>
          <w:sz w:val="20"/>
          <w:szCs w:val="20"/>
        </w:rPr>
        <w:t>Obama</w:t>
      </w:r>
      <w:r w:rsidR="00630602">
        <w:rPr>
          <w:sz w:val="20"/>
          <w:szCs w:val="20"/>
        </w:rPr>
        <w:t xml:space="preserve"> administration has taken steps t</w:t>
      </w:r>
      <w:r w:rsidR="00F979A7">
        <w:rPr>
          <w:sz w:val="20"/>
          <w:szCs w:val="20"/>
        </w:rPr>
        <w:t>o</w:t>
      </w:r>
      <w:r w:rsidRPr="00332040">
        <w:rPr>
          <w:sz w:val="20"/>
          <w:szCs w:val="20"/>
        </w:rPr>
        <w:t xml:space="preserve"> urge other States to sign and ratify </w:t>
      </w:r>
      <w:r w:rsidR="00F979A7">
        <w:rPr>
          <w:sz w:val="20"/>
          <w:szCs w:val="20"/>
        </w:rPr>
        <w:t>the CTBT</w:t>
      </w:r>
      <w:r w:rsidRPr="00332040">
        <w:rPr>
          <w:sz w:val="20"/>
          <w:szCs w:val="20"/>
        </w:rPr>
        <w:t xml:space="preserve">.  Nonetheless, the United States has still not ratified the </w:t>
      </w:r>
      <w:r w:rsidR="00F979A7">
        <w:rPr>
          <w:sz w:val="20"/>
          <w:szCs w:val="20"/>
        </w:rPr>
        <w:t>treaty</w:t>
      </w:r>
      <w:r w:rsidRPr="00332040">
        <w:rPr>
          <w:sz w:val="20"/>
          <w:szCs w:val="20"/>
        </w:rPr>
        <w:t xml:space="preserve">, largely due to internal political divisions on the issue.  </w:t>
      </w:r>
      <w:r w:rsidRPr="00332040">
        <w:rPr>
          <w:i/>
          <w:sz w:val="20"/>
          <w:szCs w:val="20"/>
        </w:rPr>
        <w:t>See</w:t>
      </w:r>
      <w:r w:rsidRPr="00332040">
        <w:rPr>
          <w:sz w:val="20"/>
          <w:szCs w:val="20"/>
        </w:rPr>
        <w:t xml:space="preserve"> D. Dombey and H. Morris, </w:t>
      </w:r>
      <w:r w:rsidRPr="00332040">
        <w:rPr>
          <w:bCs/>
          <w:kern w:val="36"/>
          <w:sz w:val="20"/>
          <w:szCs w:val="20"/>
        </w:rPr>
        <w:t xml:space="preserve">“UN backs Obama on Nuclear Controls,” </w:t>
      </w:r>
      <w:r w:rsidRPr="00332040">
        <w:rPr>
          <w:bCs/>
          <w:i/>
          <w:kern w:val="36"/>
          <w:sz w:val="20"/>
          <w:szCs w:val="20"/>
        </w:rPr>
        <w:t>Financial Times</w:t>
      </w:r>
      <w:r w:rsidRPr="00332040">
        <w:rPr>
          <w:bCs/>
          <w:kern w:val="36"/>
          <w:sz w:val="20"/>
          <w:szCs w:val="20"/>
        </w:rPr>
        <w:t>, 24 Sept. 2009, &lt;http://www.ft.com/cms/s/0/e9cd02b2-a914-11de-9b7f-00144feabdc0.html#axzz1JJhMhcnH&gt;.</w:t>
      </w:r>
    </w:p>
  </w:footnote>
  <w:footnote w:id="50">
    <w:p w:rsidR="00F44349" w:rsidRPr="00332040" w:rsidRDefault="00F44349" w:rsidP="00630602">
      <w:pPr>
        <w:spacing w:line="480" w:lineRule="auto"/>
        <w:jc w:val="both"/>
        <w:rPr>
          <w:bCs/>
          <w:sz w:val="20"/>
          <w:szCs w:val="20"/>
        </w:rPr>
      </w:pPr>
      <w:r w:rsidRPr="00332040">
        <w:rPr>
          <w:rStyle w:val="FootnoteReference"/>
          <w:sz w:val="20"/>
          <w:szCs w:val="20"/>
        </w:rPr>
        <w:footnoteRef/>
      </w:r>
      <w:r w:rsidRPr="00332040">
        <w:rPr>
          <w:sz w:val="20"/>
          <w:szCs w:val="20"/>
        </w:rPr>
        <w:t xml:space="preserve"> C. Le Mon, </w:t>
      </w:r>
      <w:r w:rsidRPr="00332040">
        <w:rPr>
          <w:bCs/>
          <w:sz w:val="20"/>
          <w:szCs w:val="20"/>
        </w:rPr>
        <w:t xml:space="preserve">“Did North Korea’s Nuclear Test Violate International Law?”, </w:t>
      </w:r>
      <w:r w:rsidRPr="00332040">
        <w:rPr>
          <w:bCs/>
          <w:i/>
          <w:sz w:val="20"/>
          <w:szCs w:val="20"/>
        </w:rPr>
        <w:t>Opinio Juris</w:t>
      </w:r>
      <w:r w:rsidRPr="00332040">
        <w:rPr>
          <w:bCs/>
          <w:sz w:val="20"/>
          <w:szCs w:val="20"/>
        </w:rPr>
        <w:t>, 9 Oct. 2006, &lt;http</w:t>
      </w:r>
      <w:r w:rsidRPr="00332040">
        <w:rPr>
          <w:sz w:val="20"/>
          <w:szCs w:val="20"/>
        </w:rPr>
        <w:t xml:space="preserve">://opiniojuris.org/2006/10/09/did-north-koreas-nuclear-test-violate-international-law&gt;.  </w:t>
      </w:r>
      <w:r w:rsidRPr="00332040">
        <w:rPr>
          <w:i/>
          <w:sz w:val="20"/>
          <w:szCs w:val="20"/>
        </w:rPr>
        <w:t>See also</w:t>
      </w:r>
      <w:r w:rsidRPr="00332040">
        <w:rPr>
          <w:sz w:val="20"/>
          <w:szCs w:val="20"/>
        </w:rPr>
        <w:t xml:space="preserve"> Packer, note 25, pp. 650-651; Asada, note 11 pp. 92-94.</w:t>
      </w:r>
    </w:p>
  </w:footnote>
  <w:footnote w:id="51">
    <w:p w:rsidR="00F44349" w:rsidRPr="00332040" w:rsidRDefault="00F44349" w:rsidP="00332040">
      <w:pPr>
        <w:pStyle w:val="FootnoteText"/>
        <w:spacing w:line="480" w:lineRule="auto"/>
        <w:jc w:val="both"/>
      </w:pPr>
      <w:r w:rsidRPr="00332040">
        <w:rPr>
          <w:rStyle w:val="FootnoteReference"/>
        </w:rPr>
        <w:footnoteRef/>
      </w:r>
      <w:r w:rsidRPr="00332040">
        <w:t xml:space="preserve"> Tabassi refers to this as the “continuing respect” for the ban on testing.</w:t>
      </w:r>
      <w:r w:rsidRPr="00332040">
        <w:rPr>
          <w:i/>
        </w:rPr>
        <w:t xml:space="preserve">  </w:t>
      </w:r>
      <w:r w:rsidRPr="00332040">
        <w:t>Tabassi, note 11, p. 334.</w:t>
      </w:r>
    </w:p>
  </w:footnote>
  <w:footnote w:id="52">
    <w:p w:rsidR="00F44349" w:rsidRPr="00332040" w:rsidRDefault="00F44349" w:rsidP="00332040">
      <w:pPr>
        <w:shd w:val="clear" w:color="auto" w:fill="FFFFFF"/>
        <w:spacing w:line="480" w:lineRule="auto"/>
        <w:jc w:val="both"/>
        <w:outlineLvl w:val="0"/>
        <w:rPr>
          <w:bCs/>
          <w:kern w:val="36"/>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bCs/>
          <w:kern w:val="36"/>
          <w:sz w:val="20"/>
          <w:szCs w:val="20"/>
        </w:rPr>
        <w:t xml:space="preserve">R. Cornwell, “Bush Signs Nuclear Test Moratorium,” </w:t>
      </w:r>
      <w:r w:rsidRPr="00332040">
        <w:rPr>
          <w:bCs/>
          <w:i/>
          <w:kern w:val="36"/>
          <w:sz w:val="20"/>
          <w:szCs w:val="20"/>
        </w:rPr>
        <w:t>The Independent</w:t>
      </w:r>
      <w:r w:rsidRPr="00332040">
        <w:rPr>
          <w:bCs/>
          <w:kern w:val="36"/>
          <w:sz w:val="20"/>
          <w:szCs w:val="20"/>
        </w:rPr>
        <w:t xml:space="preserve">, 3 Oct. 1992, </w:t>
      </w:r>
    </w:p>
    <w:p w:rsidR="00F44349" w:rsidRPr="00332040" w:rsidRDefault="00F44349" w:rsidP="00332040">
      <w:pPr>
        <w:shd w:val="clear" w:color="auto" w:fill="FFFFFF"/>
        <w:spacing w:line="480" w:lineRule="auto"/>
        <w:jc w:val="both"/>
        <w:outlineLvl w:val="0"/>
        <w:rPr>
          <w:bCs/>
          <w:kern w:val="36"/>
          <w:sz w:val="20"/>
          <w:szCs w:val="20"/>
        </w:rPr>
      </w:pPr>
      <w:r w:rsidRPr="00332040">
        <w:rPr>
          <w:bCs/>
          <w:kern w:val="36"/>
          <w:sz w:val="20"/>
          <w:szCs w:val="20"/>
        </w:rPr>
        <w:t>&lt;http://www.independent.co.uk/news/world/bush-signs-nuclear-test-moratorium-1555090.html&gt;.</w:t>
      </w:r>
    </w:p>
  </w:footnote>
  <w:footnote w:id="5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p>
  </w:footnote>
  <w:footnote w:id="54">
    <w:p w:rsidR="00F44349" w:rsidRPr="00332040" w:rsidRDefault="00F44349" w:rsidP="00332040">
      <w:pPr>
        <w:pStyle w:val="body-text"/>
        <w:spacing w:before="0" w:beforeAutospacing="0" w:after="0" w:afterAutospacing="0" w:line="480" w:lineRule="auto"/>
        <w:jc w:val="both"/>
        <w:rPr>
          <w:rStyle w:val="title11"/>
          <w:b w:val="0"/>
          <w:color w:val="auto"/>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iCs/>
          <w:sz w:val="20"/>
          <w:szCs w:val="20"/>
        </w:rPr>
        <w:t>J. Richelson, “</w:t>
      </w:r>
      <w:r w:rsidRPr="00332040">
        <w:rPr>
          <w:rStyle w:val="title11"/>
          <w:b w:val="0"/>
          <w:color w:val="auto"/>
          <w:sz w:val="20"/>
          <w:szCs w:val="20"/>
        </w:rPr>
        <w:t xml:space="preserve">U.S. Intelligence on Russian Nuclear Testing Activities,” </w:t>
      </w:r>
      <w:r w:rsidRPr="00332040">
        <w:rPr>
          <w:rStyle w:val="title11"/>
          <w:b w:val="0"/>
          <w:i/>
          <w:color w:val="auto"/>
          <w:sz w:val="20"/>
          <w:szCs w:val="20"/>
        </w:rPr>
        <w:t>Nuclear Files, George Washington University</w:t>
      </w:r>
      <w:r w:rsidRPr="00332040">
        <w:rPr>
          <w:rStyle w:val="title11"/>
          <w:b w:val="0"/>
          <w:color w:val="auto"/>
          <w:sz w:val="20"/>
          <w:szCs w:val="20"/>
        </w:rPr>
        <w:t xml:space="preserve"> (2000), </w:t>
      </w:r>
    </w:p>
    <w:p w:rsidR="00F44349" w:rsidRPr="00332040" w:rsidRDefault="00F44349" w:rsidP="00332040">
      <w:pPr>
        <w:pStyle w:val="body-text"/>
        <w:spacing w:before="0" w:beforeAutospacing="0" w:after="0" w:afterAutospacing="0" w:line="480" w:lineRule="auto"/>
        <w:jc w:val="both"/>
        <w:rPr>
          <w:sz w:val="20"/>
          <w:szCs w:val="20"/>
        </w:rPr>
      </w:pPr>
      <w:r w:rsidRPr="00332040">
        <w:rPr>
          <w:rStyle w:val="title11"/>
          <w:b w:val="0"/>
          <w:color w:val="auto"/>
          <w:sz w:val="20"/>
          <w:szCs w:val="20"/>
        </w:rPr>
        <w:t>&lt;</w:t>
      </w:r>
      <w:r w:rsidRPr="00332040">
        <w:rPr>
          <w:sz w:val="20"/>
          <w:szCs w:val="20"/>
        </w:rPr>
        <w:t>http://www.nuclearfiles.org/menu/key-issues/nuclear-weapons/issues/testing/russian-testing-intelligence.htm&gt;.</w:t>
      </w:r>
    </w:p>
  </w:footnote>
  <w:footnote w:id="55">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J. Medalia, “Nuclear Weapons: Comprehensive Test Ban Treaty,” </w:t>
      </w:r>
      <w:r w:rsidRPr="00332040">
        <w:rPr>
          <w:i/>
          <w:sz w:val="20"/>
          <w:szCs w:val="20"/>
        </w:rPr>
        <w:t>Congressional Research Service</w:t>
      </w:r>
      <w:r w:rsidRPr="00332040">
        <w:rPr>
          <w:sz w:val="20"/>
          <w:szCs w:val="20"/>
        </w:rPr>
        <w:t xml:space="preserve">, Report for Congress, Order Code IB92099, (2002), p. 5, </w:t>
      </w:r>
    </w:p>
    <w:p w:rsidR="00F44349" w:rsidRPr="00332040" w:rsidRDefault="00F44349" w:rsidP="00332040">
      <w:pPr>
        <w:spacing w:line="480" w:lineRule="auto"/>
        <w:jc w:val="both"/>
        <w:rPr>
          <w:sz w:val="20"/>
          <w:szCs w:val="20"/>
        </w:rPr>
      </w:pPr>
      <w:r w:rsidRPr="00332040">
        <w:rPr>
          <w:sz w:val="20"/>
          <w:szCs w:val="20"/>
        </w:rPr>
        <w:t>&lt;http://fpc.state.gov/documents/organization/9071.pdf&gt;.</w:t>
      </w:r>
    </w:p>
  </w:footnote>
  <w:footnote w:id="56">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In 1992, President </w:t>
      </w:r>
      <w:r w:rsidRPr="00332040">
        <w:rPr>
          <w:bCs/>
          <w:sz w:val="20"/>
          <w:szCs w:val="20"/>
        </w:rPr>
        <w:t>François</w:t>
      </w:r>
      <w:r w:rsidRPr="00332040">
        <w:rPr>
          <w:sz w:val="20"/>
          <w:szCs w:val="20"/>
        </w:rPr>
        <w:t xml:space="preserve"> Mitterrand announced a moratorium on all forms of nuclear testing.  </w:t>
      </w:r>
      <w:r w:rsidRPr="00332040">
        <w:rPr>
          <w:i/>
          <w:sz w:val="20"/>
          <w:szCs w:val="20"/>
        </w:rPr>
        <w:t>See</w:t>
      </w:r>
      <w:r w:rsidRPr="00332040">
        <w:rPr>
          <w:sz w:val="20"/>
          <w:szCs w:val="20"/>
        </w:rPr>
        <w:t xml:space="preserve"> </w:t>
      </w:r>
      <w:r w:rsidRPr="00332040">
        <w:rPr>
          <w:i/>
          <w:sz w:val="20"/>
          <w:szCs w:val="20"/>
        </w:rPr>
        <w:t>ibid</w:t>
      </w:r>
      <w:r w:rsidRPr="00332040">
        <w:rPr>
          <w:sz w:val="20"/>
          <w:szCs w:val="20"/>
        </w:rPr>
        <w:t xml:space="preserve">., p. 2.  However, this was abandoned in 1995 with the eight French tests conducted at Mururoa Atoll in the South Pacific.  </w:t>
      </w:r>
      <w:r w:rsidRPr="00332040">
        <w:rPr>
          <w:i/>
          <w:sz w:val="20"/>
          <w:szCs w:val="20"/>
        </w:rPr>
        <w:t>See</w:t>
      </w:r>
      <w:r w:rsidRPr="00332040">
        <w:rPr>
          <w:sz w:val="20"/>
          <w:szCs w:val="20"/>
        </w:rPr>
        <w:t xml:space="preserve"> </w:t>
      </w:r>
      <w:r w:rsidRPr="00332040">
        <w:rPr>
          <w:i/>
          <w:sz w:val="20"/>
          <w:szCs w:val="20"/>
        </w:rPr>
        <w:t>ibid</w:t>
      </w:r>
      <w:r w:rsidRPr="00332040">
        <w:rPr>
          <w:sz w:val="20"/>
          <w:szCs w:val="20"/>
        </w:rPr>
        <w:t>., p. 5.</w:t>
      </w:r>
    </w:p>
  </w:footnote>
  <w:footnote w:id="57">
    <w:p w:rsidR="00F44349" w:rsidRPr="00332040" w:rsidRDefault="00F44349" w:rsidP="00332040">
      <w:pPr>
        <w:pStyle w:val="BlockText"/>
        <w:spacing w:line="480" w:lineRule="auto"/>
        <w:ind w:left="0" w:right="0"/>
        <w:rPr>
          <w:rFonts w:ascii="Times New Roman" w:hAnsi="Times New Roman"/>
        </w:rPr>
      </w:pPr>
      <w:r w:rsidRPr="00332040">
        <w:rPr>
          <w:rStyle w:val="FootnoteReference"/>
          <w:rFonts w:ascii="Times New Roman" w:hAnsi="Times New Roman"/>
        </w:rPr>
        <w:footnoteRef/>
      </w:r>
      <w:r w:rsidRPr="00332040">
        <w:rPr>
          <w:rFonts w:ascii="Times New Roman" w:hAnsi="Times New Roman"/>
        </w:rPr>
        <w:t xml:space="preserve"> As the ICJ noted in 1986: “It is not to be expected that in the practice of States the application of rules in question should be perfect [. . .] The Court does not consider that, for the rule to be established, the corresponding practice must be in absolute rigorous conformity with the rule.”  </w:t>
      </w:r>
      <w:r w:rsidRPr="00332040">
        <w:rPr>
          <w:rFonts w:ascii="Times New Roman" w:hAnsi="Times New Roman"/>
          <w:i/>
        </w:rPr>
        <w:t>Nicaragua</w:t>
      </w:r>
      <w:r w:rsidRPr="00332040">
        <w:rPr>
          <w:rFonts w:ascii="Times New Roman" w:hAnsi="Times New Roman"/>
        </w:rPr>
        <w:t>, note 43, p. 98.</w:t>
      </w:r>
    </w:p>
  </w:footnote>
  <w:footnote w:id="58">
    <w:p w:rsidR="00F44349" w:rsidRPr="00332040" w:rsidRDefault="00F44349" w:rsidP="00332040">
      <w:pPr>
        <w:spacing w:line="480" w:lineRule="auto"/>
        <w:jc w:val="both"/>
        <w:rPr>
          <w:rStyle w:val="date1"/>
          <w:rFonts w:ascii="Times New Roman" w:hAnsi="Times New Roman"/>
          <w:color w:val="auto"/>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e.g., </w:t>
      </w:r>
      <w:r w:rsidRPr="00332040">
        <w:rPr>
          <w:sz w:val="20"/>
          <w:szCs w:val="20"/>
        </w:rPr>
        <w:t>“</w:t>
      </w:r>
      <w:r w:rsidRPr="00332040">
        <w:rPr>
          <w:bCs/>
          <w:sz w:val="20"/>
          <w:szCs w:val="20"/>
        </w:rPr>
        <w:t>World Concern at Nuclear Tests,”</w:t>
      </w:r>
      <w:r w:rsidRPr="00332040">
        <w:rPr>
          <w:rStyle w:val="date1"/>
          <w:rFonts w:ascii="Times New Roman" w:hAnsi="Times New Roman"/>
          <w:color w:val="auto"/>
          <w:sz w:val="20"/>
          <w:szCs w:val="20"/>
        </w:rPr>
        <w:t xml:space="preserve"> </w:t>
      </w:r>
      <w:r w:rsidRPr="00332040">
        <w:rPr>
          <w:rStyle w:val="date1"/>
          <w:rFonts w:ascii="Times New Roman" w:hAnsi="Times New Roman"/>
          <w:i/>
          <w:color w:val="auto"/>
          <w:sz w:val="20"/>
          <w:szCs w:val="20"/>
        </w:rPr>
        <w:t>BBC News</w:t>
      </w:r>
      <w:r>
        <w:rPr>
          <w:rStyle w:val="date1"/>
          <w:rFonts w:ascii="Times New Roman" w:hAnsi="Times New Roman"/>
          <w:color w:val="auto"/>
          <w:sz w:val="20"/>
          <w:szCs w:val="20"/>
        </w:rPr>
        <w:t>, 1 June 1998</w:t>
      </w:r>
      <w:r w:rsidRPr="00332040">
        <w:rPr>
          <w:rStyle w:val="date1"/>
          <w:rFonts w:ascii="Times New Roman" w:hAnsi="Times New Roman"/>
          <w:color w:val="auto"/>
          <w:sz w:val="20"/>
          <w:szCs w:val="20"/>
        </w:rPr>
        <w:t xml:space="preserve">, </w:t>
      </w:r>
    </w:p>
    <w:p w:rsidR="00F44349" w:rsidRPr="00332040" w:rsidRDefault="00F44349" w:rsidP="00332040">
      <w:pPr>
        <w:spacing w:line="480" w:lineRule="auto"/>
        <w:jc w:val="both"/>
        <w:rPr>
          <w:sz w:val="20"/>
          <w:szCs w:val="20"/>
        </w:rPr>
      </w:pPr>
      <w:r w:rsidRPr="00332040">
        <w:rPr>
          <w:rStyle w:val="date1"/>
          <w:rFonts w:ascii="Times New Roman" w:hAnsi="Times New Roman"/>
          <w:color w:val="auto"/>
          <w:sz w:val="20"/>
          <w:szCs w:val="20"/>
        </w:rPr>
        <w:t>&lt;http://news.bbc.co.uk/1/hi/events/asia_nuclear_crisis/archive/92844.stm&gt;.</w:t>
      </w:r>
    </w:p>
  </w:footnote>
  <w:footnote w:id="59">
    <w:p w:rsidR="00F44349" w:rsidRPr="00332040" w:rsidRDefault="00F44349" w:rsidP="00332040">
      <w:pPr>
        <w:autoSpaceDE w:val="0"/>
        <w:autoSpaceDN w:val="0"/>
        <w:adjustRightInd w:val="0"/>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U.N. Doc. S/1998/473 (1998).</w:t>
      </w:r>
    </w:p>
  </w:footnote>
  <w:footnote w:id="60">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Over 200 Indian entities were targeted by American sanctions.  </w:t>
      </w:r>
      <w:r w:rsidRPr="00332040">
        <w:rPr>
          <w:i/>
          <w:sz w:val="20"/>
          <w:szCs w:val="20"/>
        </w:rPr>
        <w:t xml:space="preserve">See </w:t>
      </w:r>
      <w:r w:rsidRPr="00332040">
        <w:rPr>
          <w:sz w:val="20"/>
          <w:szCs w:val="20"/>
        </w:rPr>
        <w:t>Gahlaut, note 7, p. 235; Wable, note 6, p. 755.</w:t>
      </w:r>
    </w:p>
  </w:footnote>
  <w:footnote w:id="61">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Frey, note 7, pp. 155-156.</w:t>
      </w:r>
    </w:p>
  </w:footnote>
  <w:footnote w:id="62">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Asada, note 11, p. 93.</w:t>
      </w:r>
    </w:p>
  </w:footnote>
  <w:footnote w:id="63">
    <w:p w:rsidR="00F44349" w:rsidRPr="00332040" w:rsidRDefault="00F44349" w:rsidP="00332040">
      <w:pPr>
        <w:pStyle w:val="FootnoteText"/>
        <w:spacing w:line="480" w:lineRule="auto"/>
        <w:jc w:val="both"/>
      </w:pPr>
      <w:r w:rsidRPr="00332040">
        <w:rPr>
          <w:rStyle w:val="FootnoteReference"/>
        </w:rPr>
        <w:footnoteRef/>
      </w:r>
      <w:r w:rsidRPr="00332040">
        <w:t xml:space="preserve"> Security Council Resolution 1172 (1998), U.N. Doc. S/RES/1172, para. 3.</w:t>
      </w:r>
    </w:p>
  </w:footnote>
  <w:footnote w:id="64">
    <w:p w:rsidR="00F44349" w:rsidRPr="00332040" w:rsidRDefault="00F44349" w:rsidP="00332040">
      <w:pPr>
        <w:pStyle w:val="FootnoteText"/>
        <w:spacing w:line="480" w:lineRule="auto"/>
        <w:jc w:val="both"/>
      </w:pPr>
      <w:r w:rsidRPr="00332040">
        <w:rPr>
          <w:rStyle w:val="FootnoteReference"/>
        </w:rPr>
        <w:footnoteRef/>
      </w:r>
      <w:r w:rsidRPr="00332040">
        <w:t xml:space="preserve"> General Assembly Resolution 53/77 (1998), Section G(1), U.N. Doc. A/RES/53/77.</w:t>
      </w:r>
    </w:p>
  </w:footnote>
  <w:footnote w:id="65">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As the ICJ stated in </w:t>
      </w:r>
      <w:r w:rsidRPr="00332040">
        <w:rPr>
          <w:i/>
          <w:sz w:val="20"/>
          <w:szCs w:val="20"/>
        </w:rPr>
        <w:t>Nicaragua</w:t>
      </w:r>
      <w:r w:rsidRPr="00332040">
        <w:rPr>
          <w:sz w:val="20"/>
          <w:szCs w:val="20"/>
        </w:rPr>
        <w:t>, note 43, pp. 99-100, “</w:t>
      </w:r>
      <w:r w:rsidRPr="00332040">
        <w:rPr>
          <w:i/>
          <w:sz w:val="20"/>
          <w:szCs w:val="20"/>
        </w:rPr>
        <w:t>o</w:t>
      </w:r>
      <w:r w:rsidRPr="00332040">
        <w:rPr>
          <w:i/>
          <w:iCs/>
          <w:sz w:val="20"/>
          <w:szCs w:val="20"/>
        </w:rPr>
        <w:t xml:space="preserve">pinio juris </w:t>
      </w:r>
      <w:r w:rsidRPr="00332040">
        <w:rPr>
          <w:sz w:val="20"/>
          <w:szCs w:val="20"/>
        </w:rPr>
        <w:t xml:space="preserve">may, though with all due caution, be deduced from, </w:t>
      </w:r>
      <w:r w:rsidRPr="00332040">
        <w:rPr>
          <w:i/>
          <w:sz w:val="20"/>
          <w:szCs w:val="20"/>
        </w:rPr>
        <w:t>inter alia</w:t>
      </w:r>
      <w:r w:rsidRPr="00332040">
        <w:rPr>
          <w:sz w:val="20"/>
          <w:szCs w:val="20"/>
        </w:rPr>
        <w:t>, the attitude [. . .] of States towards [UN] resolutions.”</w:t>
      </w:r>
    </w:p>
  </w:footnote>
  <w:footnote w:id="66">
    <w:p w:rsidR="00F44349" w:rsidRPr="00332040" w:rsidRDefault="00F44349" w:rsidP="00332040">
      <w:pPr>
        <w:pStyle w:val="FootnoteText"/>
        <w:spacing w:line="480" w:lineRule="auto"/>
        <w:jc w:val="both"/>
      </w:pPr>
      <w:r w:rsidRPr="00332040">
        <w:rPr>
          <w:rStyle w:val="FootnoteReference"/>
        </w:rPr>
        <w:footnoteRef/>
      </w:r>
      <w:r w:rsidRPr="00332040">
        <w:t xml:space="preserve"> Security Council Resolution 1718 (2006), U.N. Doc. S/RES/1718.</w:t>
      </w:r>
    </w:p>
  </w:footnote>
  <w:footnote w:id="67">
    <w:p w:rsidR="00F44349" w:rsidRPr="00332040" w:rsidRDefault="00F44349" w:rsidP="00332040">
      <w:pPr>
        <w:pStyle w:val="FootnoteText"/>
        <w:spacing w:line="480" w:lineRule="auto"/>
        <w:jc w:val="both"/>
      </w:pPr>
      <w:r w:rsidRPr="00332040">
        <w:rPr>
          <w:rStyle w:val="FootnoteReference"/>
        </w:rPr>
        <w:footnoteRef/>
      </w:r>
      <w:r w:rsidRPr="00332040">
        <w:t xml:space="preserve"> Security Council Resolution 1874 (2009), U.N. Doc. S/RES/1874.</w:t>
      </w:r>
    </w:p>
  </w:footnote>
  <w:footnote w:id="68">
    <w:p w:rsidR="00F44349" w:rsidRPr="00332040" w:rsidRDefault="00F44349" w:rsidP="00332040">
      <w:pPr>
        <w:pStyle w:val="FootnoteText"/>
        <w:spacing w:line="480" w:lineRule="auto"/>
        <w:jc w:val="both"/>
      </w:pPr>
      <w:r w:rsidRPr="00332040">
        <w:rPr>
          <w:rStyle w:val="FootnoteReference"/>
        </w:rPr>
        <w:footnoteRef/>
      </w:r>
      <w:r w:rsidRPr="00332040">
        <w:t xml:space="preserve"> See, pa</w:t>
      </w:r>
      <w:r w:rsidR="001966F2">
        <w:t>rticularly, operative paragraph</w:t>
      </w:r>
      <w:r w:rsidRPr="00332040">
        <w:t xml:space="preserve"> 2 of both Security Council Resolutions 1718 and 1874.</w:t>
      </w:r>
    </w:p>
  </w:footnote>
  <w:footnote w:id="69">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On the binding nature of Security Council Resolutions, see the UN Charter, note 43, Article 25; </w:t>
      </w:r>
      <w:r w:rsidRPr="00332040">
        <w:rPr>
          <w:rFonts w:eastAsiaTheme="minorHAnsi"/>
          <w:i/>
          <w:iCs/>
          <w:sz w:val="20"/>
          <w:szCs w:val="20"/>
          <w:lang w:eastAsia="en-US"/>
        </w:rPr>
        <w:t>Legal Consequences for States of the Continued Presence of South Africa in Namibia (South West Africa) Notwithstanding Security Council Resolution 276 (1970) (Advisory Opinion),</w:t>
      </w:r>
      <w:r w:rsidRPr="00332040">
        <w:rPr>
          <w:rFonts w:eastAsiaTheme="minorHAnsi"/>
          <w:iCs/>
          <w:sz w:val="20"/>
          <w:szCs w:val="20"/>
          <w:lang w:eastAsia="en-US"/>
        </w:rPr>
        <w:t xml:space="preserve"> ICJ Reports (1971), p</w:t>
      </w:r>
      <w:r w:rsidRPr="00332040">
        <w:rPr>
          <w:rFonts w:eastAsia="Calibri"/>
          <w:bCs/>
          <w:sz w:val="20"/>
          <w:szCs w:val="20"/>
          <w:lang w:val="en-US"/>
        </w:rPr>
        <w:t xml:space="preserve">p. </w:t>
      </w:r>
      <w:r w:rsidRPr="00332040">
        <w:rPr>
          <w:rFonts w:eastAsiaTheme="minorHAnsi"/>
          <w:iCs/>
          <w:sz w:val="20"/>
          <w:szCs w:val="20"/>
          <w:lang w:eastAsia="en-US"/>
        </w:rPr>
        <w:t xml:space="preserve">16-66, particularly pp. 52-54; </w:t>
      </w:r>
      <w:r w:rsidRPr="00332040">
        <w:rPr>
          <w:bCs/>
          <w:i/>
          <w:sz w:val="20"/>
          <w:szCs w:val="20"/>
        </w:rPr>
        <w:t>Accordance with International Law of the Unilateral Declaration of Independence in Respect of Kosovo</w:t>
      </w:r>
      <w:r w:rsidRPr="00332040">
        <w:rPr>
          <w:bCs/>
          <w:sz w:val="20"/>
          <w:szCs w:val="20"/>
        </w:rPr>
        <w:t xml:space="preserve"> </w:t>
      </w:r>
      <w:r w:rsidRPr="00332040">
        <w:rPr>
          <w:bCs/>
          <w:i/>
          <w:sz w:val="20"/>
          <w:szCs w:val="20"/>
        </w:rPr>
        <w:t>(Advisory Opinion)</w:t>
      </w:r>
      <w:r w:rsidRPr="00332040">
        <w:rPr>
          <w:bCs/>
          <w:sz w:val="20"/>
          <w:szCs w:val="20"/>
        </w:rPr>
        <w:t>, ICJ (2010), para. 85, &lt;http://www.icj-cij.org/docket/files/141/15987.pdf&gt;</w:t>
      </w:r>
      <w:r w:rsidRPr="00332040">
        <w:rPr>
          <w:sz w:val="20"/>
          <w:szCs w:val="20"/>
        </w:rPr>
        <w:t>;</w:t>
      </w:r>
      <w:r w:rsidRPr="00332040">
        <w:rPr>
          <w:rFonts w:eastAsiaTheme="minorHAnsi"/>
          <w:iCs/>
          <w:sz w:val="20"/>
          <w:szCs w:val="20"/>
          <w:lang w:eastAsia="en-US"/>
        </w:rPr>
        <w:t xml:space="preserve"> </w:t>
      </w:r>
      <w:r w:rsidRPr="00332040">
        <w:rPr>
          <w:sz w:val="20"/>
          <w:szCs w:val="20"/>
        </w:rPr>
        <w:t xml:space="preserve">R. Higgins, “The Advisory Opinion on Namibia: Which UN Resolutions are Binding Under Article 25 of the Charter?”, </w:t>
      </w:r>
      <w:r w:rsidRPr="00332040">
        <w:rPr>
          <w:i/>
          <w:sz w:val="20"/>
          <w:szCs w:val="20"/>
        </w:rPr>
        <w:t>International and Comparative Law Quarterly</w:t>
      </w:r>
      <w:r w:rsidRPr="00332040">
        <w:rPr>
          <w:sz w:val="20"/>
          <w:szCs w:val="20"/>
        </w:rPr>
        <w:t>, vol. 21 (1972), pp. 270-286.</w:t>
      </w:r>
    </w:p>
  </w:footnote>
  <w:footnote w:id="70">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Asada, note 11, pp. 93-94.</w:t>
      </w:r>
    </w:p>
  </w:footnote>
  <w:footnote w:id="71">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A good example can be found in the context of international humanitarian law.  There is a general international humanitarian law prohibition both on the use of indiscriminate weaponry and on weaponry that will cause unnecessary suffering.  These prohibitions are explicit in Article 35(2) of the Protocol Additional to the Geneva Conventions of 12 August 1949, and Relating to the Protection of Victims of International Armed Conflicts 1977, </w:t>
      </w:r>
      <w:r w:rsidRPr="00332040">
        <w:rPr>
          <w:i/>
          <w:sz w:val="20"/>
          <w:szCs w:val="20"/>
        </w:rPr>
        <w:t>United Nations Treaty Series</w:t>
      </w:r>
      <w:r w:rsidRPr="00332040">
        <w:rPr>
          <w:sz w:val="20"/>
          <w:szCs w:val="20"/>
        </w:rPr>
        <w:t>, vol. 1125, p. 3, but are also widely accepted rules of cu</w:t>
      </w:r>
      <w:r>
        <w:rPr>
          <w:sz w:val="20"/>
          <w:szCs w:val="20"/>
        </w:rPr>
        <w:t>stomary international law.  Yet</w:t>
      </w:r>
      <w:r w:rsidRPr="00332040">
        <w:rPr>
          <w:sz w:val="20"/>
          <w:szCs w:val="20"/>
        </w:rPr>
        <w:t xml:space="preserve"> international humanitarian law has a long tradition of additionally prohibiting the use of specific weapons, even in cases in which the use of the weapons in question was previously already prohibited under the more general rules.  Take, for example, the 2008 Convention on Cluster Munitions, CCM/77, 47713.  On this issue of “doubling up” legal prohibitions in international humanitarian law, see Y. Dinstein, </w:t>
      </w:r>
      <w:r w:rsidRPr="00332040">
        <w:rPr>
          <w:i/>
          <w:sz w:val="20"/>
          <w:szCs w:val="20"/>
        </w:rPr>
        <w:t>The Conduct of Hostilities Under the Law of International Armed Conflict</w:t>
      </w:r>
      <w:r w:rsidRPr="00332040">
        <w:rPr>
          <w:sz w:val="20"/>
          <w:szCs w:val="20"/>
        </w:rPr>
        <w:t xml:space="preserve"> </w:t>
      </w:r>
      <w:r w:rsidR="0066265B">
        <w:rPr>
          <w:sz w:val="20"/>
          <w:szCs w:val="20"/>
        </w:rPr>
        <w:t>(</w:t>
      </w:r>
      <w:r w:rsidRPr="00332040">
        <w:rPr>
          <w:sz w:val="20"/>
          <w:szCs w:val="20"/>
        </w:rPr>
        <w:t xml:space="preserve">2d </w:t>
      </w:r>
      <w:r w:rsidR="0066265B">
        <w:rPr>
          <w:sz w:val="20"/>
          <w:szCs w:val="20"/>
        </w:rPr>
        <w:t xml:space="preserve">ed., </w:t>
      </w:r>
      <w:r w:rsidRPr="00332040">
        <w:rPr>
          <w:sz w:val="20"/>
          <w:szCs w:val="20"/>
        </w:rPr>
        <w:t>2010), pp. 67-68.</w:t>
      </w:r>
    </w:p>
  </w:footnote>
  <w:footnote w:id="72">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 xml:space="preserve">NPT, note 2, Article II, which obliges NNWS not to seek to acquire, through transference or indigenous manufacture, a nuclear weapon or other nuclear explosive device.  </w:t>
      </w:r>
      <w:r w:rsidRPr="00332040">
        <w:rPr>
          <w:i/>
          <w:sz w:val="20"/>
          <w:szCs w:val="20"/>
        </w:rPr>
        <w:t>See</w:t>
      </w:r>
      <w:r w:rsidRPr="00332040">
        <w:rPr>
          <w:sz w:val="20"/>
          <w:szCs w:val="20"/>
        </w:rPr>
        <w:t xml:space="preserve"> </w:t>
      </w:r>
      <w:r w:rsidRPr="00332040">
        <w:rPr>
          <w:rStyle w:val="fn"/>
          <w:sz w:val="20"/>
          <w:szCs w:val="20"/>
        </w:rPr>
        <w:t>A. Persbo, “</w:t>
      </w:r>
      <w:r w:rsidRPr="00332040">
        <w:rPr>
          <w:sz w:val="20"/>
          <w:szCs w:val="20"/>
        </w:rPr>
        <w:t xml:space="preserve">Is the Partial Test Ban Treaty Customary Law?”, (2006), </w:t>
      </w:r>
    </w:p>
    <w:p w:rsidR="00F44349" w:rsidRPr="00332040" w:rsidRDefault="00F44349" w:rsidP="00332040">
      <w:pPr>
        <w:spacing w:line="480" w:lineRule="auto"/>
        <w:jc w:val="both"/>
        <w:rPr>
          <w:sz w:val="20"/>
          <w:szCs w:val="20"/>
        </w:rPr>
      </w:pPr>
      <w:r w:rsidRPr="00332040">
        <w:rPr>
          <w:sz w:val="20"/>
          <w:szCs w:val="20"/>
        </w:rPr>
        <w:t>&lt;http://www.armscontrolverification.org/2006/10/is-partial-test-ban-treaty-customary.html&gt;.</w:t>
      </w:r>
    </w:p>
  </w:footnote>
  <w:footnote w:id="73">
    <w:p w:rsidR="00F44349" w:rsidRPr="00332040" w:rsidRDefault="00F44349" w:rsidP="00332040">
      <w:pPr>
        <w:pStyle w:val="FootnoteText"/>
        <w:spacing w:line="480" w:lineRule="auto"/>
        <w:jc w:val="both"/>
      </w:pPr>
      <w:r w:rsidRPr="00332040">
        <w:rPr>
          <w:rStyle w:val="FootnoteReference"/>
        </w:rPr>
        <w:footnoteRef/>
      </w:r>
      <w:r w:rsidRPr="00332040">
        <w:t xml:space="preserve"> Persbo, note 71.</w:t>
      </w:r>
    </w:p>
  </w:footnote>
  <w:footnote w:id="74">
    <w:p w:rsidR="00F44349" w:rsidRPr="00332040" w:rsidRDefault="00F44349" w:rsidP="00332040">
      <w:pPr>
        <w:pStyle w:val="FootnoteText"/>
        <w:spacing w:line="480" w:lineRule="auto"/>
        <w:jc w:val="both"/>
      </w:pPr>
      <w:r w:rsidRPr="00332040">
        <w:rPr>
          <w:rStyle w:val="FootnoteReference"/>
        </w:rPr>
        <w:footnoteRef/>
      </w:r>
      <w:r w:rsidRPr="00332040">
        <w:t xml:space="preserve"> This view has been taken by the ICJ.  </w:t>
      </w:r>
      <w:r w:rsidRPr="00332040">
        <w:rPr>
          <w:i/>
        </w:rPr>
        <w:t>See North Sea Continental Shelf Cases,</w:t>
      </w:r>
      <w:r w:rsidRPr="00332040">
        <w:t xml:space="preserve"> </w:t>
      </w:r>
      <w:r w:rsidRPr="00332040">
        <w:rPr>
          <w:rFonts w:eastAsia="Calibri"/>
          <w:bCs/>
          <w:lang w:val="en-US"/>
        </w:rPr>
        <w:t>note 35, pp. 42-43</w:t>
      </w:r>
      <w:r w:rsidRPr="00332040">
        <w:t>.</w:t>
      </w:r>
    </w:p>
  </w:footnote>
  <w:footnote w:id="75">
    <w:p w:rsidR="00F44349" w:rsidRPr="00332040" w:rsidRDefault="00F44349" w:rsidP="00332040">
      <w:pPr>
        <w:pStyle w:val="FootnoteText"/>
        <w:spacing w:line="480" w:lineRule="auto"/>
        <w:jc w:val="both"/>
      </w:pPr>
      <w:r w:rsidRPr="00332040">
        <w:rPr>
          <w:rStyle w:val="FootnoteReference"/>
        </w:rPr>
        <w:footnoteRef/>
      </w:r>
      <w:r w:rsidRPr="00332040">
        <w:t xml:space="preserve"> For this example, see M.N. Shaw, </w:t>
      </w:r>
      <w:r w:rsidRPr="00332040">
        <w:rPr>
          <w:i/>
        </w:rPr>
        <w:t>International Law</w:t>
      </w:r>
      <w:r w:rsidRPr="00332040">
        <w:t xml:space="preserve"> </w:t>
      </w:r>
      <w:r w:rsidR="0066265B">
        <w:t>(</w:t>
      </w:r>
      <w:r w:rsidRPr="00332040">
        <w:t xml:space="preserve">6th </w:t>
      </w:r>
      <w:r w:rsidR="0066265B">
        <w:t xml:space="preserve">ed., </w:t>
      </w:r>
      <w:r w:rsidRPr="00332040">
        <w:t xml:space="preserve">2008), pp. 79-80; P. Malanczuk, </w:t>
      </w:r>
      <w:r w:rsidRPr="00332040">
        <w:rPr>
          <w:i/>
        </w:rPr>
        <w:t>Akehurst’s Modern Introduction to International Law</w:t>
      </w:r>
      <w:r w:rsidRPr="00332040">
        <w:t xml:space="preserve"> </w:t>
      </w:r>
      <w:r w:rsidR="0066265B">
        <w:t>(</w:t>
      </w:r>
      <w:r w:rsidRPr="00332040">
        <w:t xml:space="preserve">7th </w:t>
      </w:r>
      <w:r w:rsidR="0066265B">
        <w:t>e</w:t>
      </w:r>
      <w:r w:rsidRPr="00332040">
        <w:t>d</w:t>
      </w:r>
      <w:r w:rsidR="0066265B">
        <w:t xml:space="preserve">., </w:t>
      </w:r>
      <w:r w:rsidRPr="00332040">
        <w:t xml:space="preserve">1997), p. 42.  Indeed, the ICJ itself has referred to the fact that the practice of coastal States is of more normative significance than that of landlocked States in the context of the law of the sea.  </w:t>
      </w:r>
      <w:r w:rsidRPr="00332040">
        <w:rPr>
          <w:i/>
        </w:rPr>
        <w:t>See North Sea Continental Shelf Cases,</w:t>
      </w:r>
      <w:r w:rsidRPr="00332040">
        <w:t xml:space="preserve"> </w:t>
      </w:r>
      <w:r w:rsidRPr="00332040">
        <w:rPr>
          <w:rFonts w:eastAsia="Calibri"/>
          <w:bCs/>
          <w:lang w:val="en-US"/>
        </w:rPr>
        <w:t>note 35, p. 42</w:t>
      </w:r>
      <w:r w:rsidRPr="00332040">
        <w:t>.</w:t>
      </w:r>
    </w:p>
  </w:footnote>
  <w:footnote w:id="76">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Byers, note 41, </w:t>
      </w:r>
      <w:r w:rsidRPr="00332040">
        <w:rPr>
          <w:rFonts w:eastAsia="Calibri"/>
          <w:bCs/>
          <w:lang w:val="en-US"/>
        </w:rPr>
        <w:t xml:space="preserve">pp. </w:t>
      </w:r>
      <w:r w:rsidRPr="00332040">
        <w:t>129-165.</w:t>
      </w:r>
    </w:p>
  </w:footnote>
  <w:footnote w:id="77">
    <w:p w:rsidR="00F44349" w:rsidRPr="00332040" w:rsidRDefault="00F44349" w:rsidP="00332040">
      <w:pPr>
        <w:pStyle w:val="FootnoteText"/>
        <w:spacing w:line="480" w:lineRule="auto"/>
        <w:jc w:val="both"/>
      </w:pPr>
      <w:r w:rsidRPr="00332040">
        <w:rPr>
          <w:rStyle w:val="FootnoteReference"/>
        </w:rPr>
        <w:footnoteRef/>
      </w:r>
      <w:r w:rsidRPr="00332040">
        <w:t xml:space="preserve"> As the ICJ has stated, “this result [a finding that customary international law obligations have derived from treaty-based obligations] is not lightly to be regarded as having been attained.”  </w:t>
      </w:r>
      <w:r w:rsidRPr="00332040">
        <w:rPr>
          <w:i/>
        </w:rPr>
        <w:t>North Sea Continental Shelf Cases,</w:t>
      </w:r>
      <w:r w:rsidRPr="00332040">
        <w:t xml:space="preserve"> </w:t>
      </w:r>
      <w:r w:rsidRPr="00332040">
        <w:rPr>
          <w:rFonts w:eastAsia="Calibri"/>
          <w:bCs/>
          <w:lang w:val="en-US"/>
        </w:rPr>
        <w:t>note 35, p. 41</w:t>
      </w:r>
      <w:r w:rsidRPr="00332040">
        <w:rPr>
          <w:lang w:val="en-US"/>
        </w:rPr>
        <w:t>.</w:t>
      </w:r>
      <w:r w:rsidRPr="00332040">
        <w:t xml:space="preserve">  </w:t>
      </w:r>
      <w:r w:rsidRPr="00332040">
        <w:rPr>
          <w:i/>
        </w:rPr>
        <w:t>See also</w:t>
      </w:r>
      <w:r w:rsidRPr="00332040">
        <w:t xml:space="preserve"> note 43 and accompanying text.</w:t>
      </w:r>
    </w:p>
  </w:footnote>
  <w:footnote w:id="78">
    <w:p w:rsidR="00F44349" w:rsidRPr="00332040" w:rsidRDefault="00F44349" w:rsidP="00332040">
      <w:pPr>
        <w:spacing w:line="480" w:lineRule="auto"/>
        <w:jc w:val="both"/>
        <w:rPr>
          <w:bCs/>
          <w:sz w:val="20"/>
          <w:szCs w:val="20"/>
        </w:rPr>
      </w:pPr>
      <w:r w:rsidRPr="00332040">
        <w:rPr>
          <w:rStyle w:val="FootnoteReference"/>
          <w:sz w:val="20"/>
          <w:szCs w:val="20"/>
        </w:rPr>
        <w:footnoteRef/>
      </w:r>
      <w:r w:rsidRPr="00332040">
        <w:rPr>
          <w:sz w:val="20"/>
          <w:szCs w:val="20"/>
        </w:rPr>
        <w:t xml:space="preserve"> For a few examples of key textbooks referencing the rule, see Shaw, note 74, pp. 89-91; Malanczuk, note 74, pp. 47-48; M. Dixon, </w:t>
      </w:r>
      <w:r w:rsidRPr="00332040">
        <w:rPr>
          <w:i/>
          <w:sz w:val="20"/>
          <w:szCs w:val="20"/>
        </w:rPr>
        <w:t>Textbook on International Law</w:t>
      </w:r>
      <w:r w:rsidRPr="00332040">
        <w:rPr>
          <w:sz w:val="20"/>
          <w:szCs w:val="20"/>
        </w:rPr>
        <w:t xml:space="preserve"> </w:t>
      </w:r>
      <w:r w:rsidR="0066265B">
        <w:rPr>
          <w:sz w:val="20"/>
          <w:szCs w:val="20"/>
        </w:rPr>
        <w:t>(</w:t>
      </w:r>
      <w:r w:rsidRPr="00332040">
        <w:rPr>
          <w:sz w:val="20"/>
          <w:szCs w:val="20"/>
        </w:rPr>
        <w:t>6th</w:t>
      </w:r>
      <w:r w:rsidRPr="00332040">
        <w:rPr>
          <w:sz w:val="20"/>
          <w:szCs w:val="20"/>
          <w:vertAlign w:val="superscript"/>
        </w:rPr>
        <w:t xml:space="preserve"> </w:t>
      </w:r>
      <w:r w:rsidR="0066265B">
        <w:rPr>
          <w:sz w:val="20"/>
          <w:szCs w:val="20"/>
        </w:rPr>
        <w:t xml:space="preserve">ed., </w:t>
      </w:r>
      <w:r w:rsidRPr="00332040">
        <w:rPr>
          <w:sz w:val="20"/>
          <w:szCs w:val="20"/>
        </w:rPr>
        <w:t xml:space="preserve">2007), pp. 32-33; I. Brownlie, </w:t>
      </w:r>
      <w:r w:rsidRPr="00332040">
        <w:rPr>
          <w:i/>
          <w:sz w:val="20"/>
          <w:szCs w:val="20"/>
        </w:rPr>
        <w:t>Principles of Public International Law</w:t>
      </w:r>
      <w:r w:rsidRPr="00332040">
        <w:rPr>
          <w:sz w:val="20"/>
          <w:szCs w:val="20"/>
        </w:rPr>
        <w:t xml:space="preserve"> </w:t>
      </w:r>
      <w:r w:rsidR="0066265B">
        <w:rPr>
          <w:sz w:val="20"/>
          <w:szCs w:val="20"/>
        </w:rPr>
        <w:t>(</w:t>
      </w:r>
      <w:r w:rsidRPr="00332040">
        <w:rPr>
          <w:sz w:val="20"/>
          <w:szCs w:val="20"/>
        </w:rPr>
        <w:t xml:space="preserve">7th </w:t>
      </w:r>
      <w:r w:rsidR="0066265B">
        <w:rPr>
          <w:sz w:val="20"/>
          <w:szCs w:val="20"/>
        </w:rPr>
        <w:t xml:space="preserve">ed., </w:t>
      </w:r>
      <w:r w:rsidRPr="00332040">
        <w:rPr>
          <w:sz w:val="20"/>
          <w:szCs w:val="20"/>
        </w:rPr>
        <w:t>2008), p. 11.</w:t>
      </w:r>
    </w:p>
  </w:footnote>
  <w:footnote w:id="79">
    <w:p w:rsidR="00F44349" w:rsidRPr="00332040" w:rsidRDefault="00F44349" w:rsidP="00332040">
      <w:pPr>
        <w:pStyle w:val="FootnoteText"/>
        <w:tabs>
          <w:tab w:val="left" w:pos="-1418"/>
        </w:tabs>
        <w:spacing w:line="480" w:lineRule="auto"/>
        <w:jc w:val="both"/>
      </w:pPr>
      <w:r w:rsidRPr="00332040">
        <w:rPr>
          <w:rStyle w:val="FootnoteReference"/>
        </w:rPr>
        <w:footnoteRef/>
      </w:r>
      <w:r w:rsidRPr="00332040">
        <w:t xml:space="preserve"> </w:t>
      </w:r>
      <w:r w:rsidRPr="00332040">
        <w:rPr>
          <w:rFonts w:eastAsia="Calibri"/>
          <w:bCs/>
          <w:i/>
          <w:lang w:val="en-US"/>
        </w:rPr>
        <w:t>See</w:t>
      </w:r>
      <w:r w:rsidRPr="00332040">
        <w:rPr>
          <w:rFonts w:eastAsia="Calibri"/>
          <w:bCs/>
          <w:lang w:val="en-US"/>
        </w:rPr>
        <w:t xml:space="preserve"> </w:t>
      </w:r>
      <w:r w:rsidRPr="00332040">
        <w:rPr>
          <w:rFonts w:eastAsia="Calibri"/>
          <w:bCs/>
          <w:i/>
          <w:lang w:val="en-US"/>
        </w:rPr>
        <w:t>Asylum Case</w:t>
      </w:r>
      <w:r w:rsidRPr="00332040">
        <w:rPr>
          <w:rFonts w:eastAsia="Calibri"/>
          <w:bCs/>
          <w:lang w:val="en-US"/>
        </w:rPr>
        <w:t xml:space="preserve"> </w:t>
      </w:r>
      <w:r w:rsidRPr="00332040">
        <w:rPr>
          <w:rFonts w:eastAsia="Calibri"/>
          <w:bCs/>
          <w:i/>
          <w:lang w:val="en-US"/>
        </w:rPr>
        <w:t>(Columbia</w:t>
      </w:r>
      <w:r w:rsidRPr="00332040">
        <w:rPr>
          <w:rFonts w:eastAsia="Calibri"/>
          <w:bCs/>
          <w:lang w:val="en-US"/>
        </w:rPr>
        <w:t xml:space="preserve"> </w:t>
      </w:r>
      <w:r w:rsidRPr="00332040">
        <w:rPr>
          <w:rFonts w:eastAsia="Calibri"/>
          <w:bCs/>
          <w:i/>
          <w:lang w:val="en-US"/>
        </w:rPr>
        <w:t>v.</w:t>
      </w:r>
      <w:r w:rsidRPr="00332040">
        <w:rPr>
          <w:rFonts w:eastAsia="Calibri"/>
          <w:bCs/>
          <w:lang w:val="en-US"/>
        </w:rPr>
        <w:t xml:space="preserve"> </w:t>
      </w:r>
      <w:r w:rsidRPr="00332040">
        <w:rPr>
          <w:rFonts w:eastAsia="Calibri"/>
          <w:bCs/>
          <w:i/>
          <w:lang w:val="en-US"/>
        </w:rPr>
        <w:t>Peru),</w:t>
      </w:r>
      <w:r w:rsidRPr="00332040">
        <w:rPr>
          <w:rFonts w:eastAsia="Calibri"/>
          <w:bCs/>
          <w:lang w:val="en-US"/>
        </w:rPr>
        <w:t xml:space="preserve"> ICJ Reports (1950), pp. 266-389 at pp. 277-278; </w:t>
      </w:r>
      <w:r w:rsidRPr="00332040">
        <w:rPr>
          <w:rFonts w:eastAsia="Calibri"/>
          <w:bCs/>
          <w:i/>
          <w:lang w:val="en-US"/>
        </w:rPr>
        <w:t>Fisheries Case</w:t>
      </w:r>
      <w:r w:rsidRPr="00332040">
        <w:rPr>
          <w:rFonts w:eastAsia="Calibri"/>
          <w:bCs/>
          <w:lang w:val="en-US"/>
        </w:rPr>
        <w:t xml:space="preserve"> </w:t>
      </w:r>
      <w:r w:rsidRPr="00332040">
        <w:rPr>
          <w:rFonts w:eastAsia="Calibri"/>
          <w:bCs/>
          <w:i/>
          <w:lang w:val="en-US"/>
        </w:rPr>
        <w:t>(United Kingdom</w:t>
      </w:r>
      <w:r w:rsidRPr="00332040">
        <w:rPr>
          <w:rFonts w:eastAsia="Calibri"/>
          <w:bCs/>
          <w:lang w:val="en-US"/>
        </w:rPr>
        <w:t xml:space="preserve"> </w:t>
      </w:r>
      <w:r w:rsidRPr="00332040">
        <w:rPr>
          <w:rFonts w:eastAsia="Calibri"/>
          <w:bCs/>
          <w:i/>
          <w:lang w:val="en-US"/>
        </w:rPr>
        <w:t>v. Norway),</w:t>
      </w:r>
      <w:r w:rsidRPr="00332040">
        <w:rPr>
          <w:rFonts w:eastAsia="Calibri"/>
          <w:bCs/>
          <w:lang w:val="en-US"/>
        </w:rPr>
        <w:t xml:space="preserve"> ICJ Reports (1951), pp. 116-144 at p. 131.</w:t>
      </w:r>
    </w:p>
  </w:footnote>
  <w:footnote w:id="80">
    <w:p w:rsidR="00F44349" w:rsidRPr="00332040" w:rsidRDefault="00F44349" w:rsidP="00332040">
      <w:pPr>
        <w:pStyle w:val="FootnoteText"/>
        <w:spacing w:line="480" w:lineRule="auto"/>
        <w:jc w:val="both"/>
      </w:pPr>
      <w:r w:rsidRPr="00332040">
        <w:rPr>
          <w:rStyle w:val="FootnoteReference"/>
        </w:rPr>
        <w:footnoteRef/>
      </w:r>
      <w:r w:rsidRPr="00332040">
        <w:t xml:space="preserve"> See note 23 and accompanying text.</w:t>
      </w:r>
    </w:p>
  </w:footnote>
  <w:footnote w:id="81">
    <w:p w:rsidR="00F44349" w:rsidRPr="00332040" w:rsidRDefault="00F44349" w:rsidP="00332040">
      <w:pPr>
        <w:pStyle w:val="FootnoteText"/>
        <w:spacing w:line="480" w:lineRule="auto"/>
        <w:jc w:val="both"/>
      </w:pPr>
      <w:r w:rsidRPr="00332040">
        <w:rPr>
          <w:rStyle w:val="FootnoteReference"/>
        </w:rPr>
        <w:footnoteRef/>
      </w:r>
      <w:r w:rsidRPr="00332040">
        <w:t xml:space="preserve"> These criteria are apparent throughout the literature on the persistent objector rule but are set out in a similar manner to the </w:t>
      </w:r>
      <w:r w:rsidR="001966F2">
        <w:t>way that they are</w:t>
      </w:r>
      <w:r w:rsidRPr="00332040">
        <w:t xml:space="preserve"> used here in J. B. McClane, “How Late in the Emergence of a Norm of Customary International Law May a Persistent Objector Object?”, </w:t>
      </w:r>
      <w:r w:rsidRPr="00332040">
        <w:rPr>
          <w:i/>
        </w:rPr>
        <w:t>International Law Students Association Journal of International Law</w:t>
      </w:r>
      <w:r w:rsidRPr="00332040">
        <w:t>, vol. 13 (1989), pp. 1-26 at p. 20.</w:t>
      </w:r>
    </w:p>
  </w:footnote>
  <w:footnote w:id="82">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D. Kritsiotis, “On the Possibilities of and For Persistent Objection,” </w:t>
      </w:r>
      <w:r w:rsidRPr="00332040">
        <w:rPr>
          <w:i/>
          <w:sz w:val="20"/>
          <w:szCs w:val="20"/>
        </w:rPr>
        <w:t>Duke Journal of Comparative and International Law</w:t>
      </w:r>
      <w:r w:rsidRPr="00332040">
        <w:rPr>
          <w:sz w:val="20"/>
          <w:szCs w:val="20"/>
        </w:rPr>
        <w:t>, vol. 21 (2010), pp. 121-141 at p. 130.</w:t>
      </w:r>
    </w:p>
  </w:footnote>
  <w:footnote w:id="83">
    <w:p w:rsidR="00F44349" w:rsidRPr="00332040" w:rsidRDefault="00F44349" w:rsidP="00332040">
      <w:pPr>
        <w:pStyle w:val="FootnoteText"/>
        <w:spacing w:line="480" w:lineRule="auto"/>
        <w:jc w:val="both"/>
      </w:pPr>
      <w:r w:rsidRPr="00332040">
        <w:rPr>
          <w:rStyle w:val="FootnoteReference"/>
        </w:rPr>
        <w:footnoteRef/>
      </w:r>
      <w:r w:rsidRPr="00332040">
        <w:t xml:space="preserve"> O. Elias, “Some Remarks on the Persistent Objector Rule in Customary International Law,” </w:t>
      </w:r>
      <w:r w:rsidRPr="00332040">
        <w:rPr>
          <w:i/>
        </w:rPr>
        <w:t>Denning Law Journal</w:t>
      </w:r>
      <w:r w:rsidRPr="00332040">
        <w:t>, vol. 6 (1991), pp. 37-51 at p. 38.</w:t>
      </w:r>
    </w:p>
  </w:footnote>
  <w:footnote w:id="84">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A. Cassese, </w:t>
      </w:r>
      <w:r w:rsidRPr="00332040">
        <w:rPr>
          <w:i/>
        </w:rPr>
        <w:t>International Law in a Divided World</w:t>
      </w:r>
      <w:r w:rsidRPr="00332040">
        <w:t xml:space="preserve"> (1986), p. 169.</w:t>
      </w:r>
    </w:p>
  </w:footnote>
  <w:footnote w:id="85">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H. Charlesworth, “Customary International Law and the </w:t>
      </w:r>
      <w:r w:rsidRPr="00332040">
        <w:rPr>
          <w:i/>
        </w:rPr>
        <w:t>Nicaragua</w:t>
      </w:r>
      <w:r w:rsidRPr="00332040">
        <w:t xml:space="preserve"> Case,” </w:t>
      </w:r>
      <w:r w:rsidRPr="00332040">
        <w:rPr>
          <w:i/>
        </w:rPr>
        <w:t>Australian Yearbook of International Law</w:t>
      </w:r>
      <w:r w:rsidRPr="00332040">
        <w:t>, vol. 11 (1984-1985), pp. 1-31 at p. 3 (comparing the ease of identifying State consent in treaty law with the problems inherent in so doing for custom).</w:t>
      </w:r>
    </w:p>
  </w:footnote>
  <w:footnote w:id="86">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Elias, note 23, para. 3.</w:t>
      </w:r>
    </w:p>
  </w:footnote>
  <w:footnote w:id="87">
    <w:p w:rsidR="00F44349" w:rsidRPr="00332040" w:rsidRDefault="00F44349" w:rsidP="00332040">
      <w:pPr>
        <w:spacing w:line="480" w:lineRule="auto"/>
        <w:jc w:val="both"/>
        <w:rPr>
          <w:sz w:val="20"/>
          <w:szCs w:val="20"/>
          <w:lang w:val="en-US"/>
        </w:rPr>
      </w:pPr>
      <w:r w:rsidRPr="00332040">
        <w:rPr>
          <w:rStyle w:val="FootnoteReference"/>
          <w:sz w:val="20"/>
          <w:szCs w:val="20"/>
        </w:rPr>
        <w:footnoteRef/>
      </w:r>
      <w:r w:rsidRPr="00332040">
        <w:rPr>
          <w:sz w:val="20"/>
          <w:szCs w:val="20"/>
        </w:rPr>
        <w:t xml:space="preserve"> </w:t>
      </w:r>
      <w:r w:rsidRPr="00332040">
        <w:rPr>
          <w:i/>
          <w:sz w:val="20"/>
          <w:szCs w:val="20"/>
          <w:lang w:val="en-US"/>
        </w:rPr>
        <w:t>See</w:t>
      </w:r>
      <w:r w:rsidRPr="00332040">
        <w:rPr>
          <w:sz w:val="20"/>
          <w:szCs w:val="20"/>
          <w:lang w:val="en-US"/>
        </w:rPr>
        <w:t xml:space="preserve"> A. Steinfeld, “Nuclear Objections: The Persistent Objector and the Legality of the Use of Nuclear Weapons,” </w:t>
      </w:r>
      <w:r w:rsidRPr="00332040">
        <w:rPr>
          <w:i/>
          <w:sz w:val="20"/>
          <w:szCs w:val="20"/>
          <w:lang w:val="en-US"/>
        </w:rPr>
        <w:t>Brooklyn Law Review</w:t>
      </w:r>
      <w:r w:rsidRPr="00332040">
        <w:rPr>
          <w:sz w:val="20"/>
          <w:szCs w:val="20"/>
          <w:lang w:val="en-US"/>
        </w:rPr>
        <w:t>, vol. 62 (1996), pp. 1635-1686 at p. 1655 (stating that “[t]he Persistent Objector Rule is a logical product of the consent theory”).</w:t>
      </w:r>
    </w:p>
  </w:footnote>
  <w:footnote w:id="88">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For example, some writers have questioned how many times a State must object for this to qualify as “persistent” objection.  It is commonly agreed that a single objection will not suffice, but it is far from clear exactly how “persistent” persistent objection must be.  </w:t>
      </w:r>
      <w:r w:rsidRPr="00332040">
        <w:rPr>
          <w:i/>
          <w:sz w:val="20"/>
          <w:szCs w:val="20"/>
        </w:rPr>
        <w:t>See</w:t>
      </w:r>
      <w:r w:rsidRPr="00332040">
        <w:rPr>
          <w:sz w:val="20"/>
          <w:szCs w:val="20"/>
        </w:rPr>
        <w:t xml:space="preserve"> D. A. Colson, “How Persistent Must the Persistent Objector Be?”, </w:t>
      </w:r>
      <w:r w:rsidRPr="00332040">
        <w:rPr>
          <w:i/>
          <w:sz w:val="20"/>
          <w:szCs w:val="20"/>
        </w:rPr>
        <w:t>Washington Law Review</w:t>
      </w:r>
      <w:r w:rsidRPr="00332040">
        <w:rPr>
          <w:sz w:val="20"/>
          <w:szCs w:val="20"/>
        </w:rPr>
        <w:t xml:space="preserve">, vol. 61 (1986), pp. 957-970, in general but particularly at pp. 965-970.  </w:t>
      </w:r>
      <w:r w:rsidR="001966F2">
        <w:rPr>
          <w:sz w:val="20"/>
          <w:szCs w:val="20"/>
        </w:rPr>
        <w:t>Commentators</w:t>
      </w:r>
      <w:r w:rsidRPr="00332040">
        <w:rPr>
          <w:sz w:val="20"/>
          <w:szCs w:val="20"/>
        </w:rPr>
        <w:t xml:space="preserve"> have similarly struggled with the issue of how late in the formation of a new customary international law norm a State can object and still become exempt from the rule.  </w:t>
      </w:r>
      <w:r w:rsidRPr="00332040">
        <w:rPr>
          <w:i/>
          <w:sz w:val="20"/>
          <w:szCs w:val="20"/>
        </w:rPr>
        <w:t>See</w:t>
      </w:r>
      <w:r w:rsidRPr="00332040">
        <w:rPr>
          <w:sz w:val="20"/>
          <w:szCs w:val="20"/>
        </w:rPr>
        <w:t xml:space="preserve"> McClane, note 80.</w:t>
      </w:r>
    </w:p>
  </w:footnote>
  <w:footnote w:id="89">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B. B. Jia, “The Relations Between Treaties and Custom,” </w:t>
      </w:r>
      <w:r w:rsidRPr="00332040">
        <w:rPr>
          <w:i/>
          <w:sz w:val="20"/>
          <w:szCs w:val="20"/>
        </w:rPr>
        <w:t>Chinese Journal of International Law</w:t>
      </w:r>
      <w:r w:rsidRPr="00332040">
        <w:rPr>
          <w:sz w:val="20"/>
          <w:szCs w:val="20"/>
        </w:rPr>
        <w:t xml:space="preserve">, vol. </w:t>
      </w:r>
      <w:r w:rsidRPr="00332040">
        <w:rPr>
          <w:rStyle w:val="slug-vol"/>
          <w:sz w:val="20"/>
          <w:szCs w:val="20"/>
        </w:rPr>
        <w:t xml:space="preserve">9 </w:t>
      </w:r>
      <w:r w:rsidRPr="00332040">
        <w:rPr>
          <w:rStyle w:val="slug-issue"/>
          <w:sz w:val="20"/>
          <w:szCs w:val="20"/>
        </w:rPr>
        <w:t xml:space="preserve">(2010), pp. </w:t>
      </w:r>
      <w:r w:rsidRPr="00332040">
        <w:rPr>
          <w:sz w:val="20"/>
          <w:szCs w:val="20"/>
        </w:rPr>
        <w:t>81-109 at p. 83.</w:t>
      </w:r>
    </w:p>
  </w:footnote>
  <w:footnote w:id="90">
    <w:p w:rsidR="00F44349" w:rsidRPr="00332040" w:rsidRDefault="00F44349" w:rsidP="00332040">
      <w:pPr>
        <w:spacing w:line="480" w:lineRule="auto"/>
        <w:jc w:val="both"/>
        <w:rPr>
          <w:sz w:val="20"/>
          <w:szCs w:val="20"/>
          <w:lang w:val="en-US"/>
        </w:rPr>
      </w:pPr>
      <w:r w:rsidRPr="00332040">
        <w:rPr>
          <w:rStyle w:val="FootnoteReference"/>
          <w:sz w:val="20"/>
          <w:szCs w:val="20"/>
        </w:rPr>
        <w:footnoteRef/>
      </w:r>
      <w:r w:rsidRPr="00332040">
        <w:rPr>
          <w:sz w:val="20"/>
          <w:szCs w:val="20"/>
        </w:rPr>
        <w:t xml:space="preserve"> On this debate, see Colson, note 87, pp. 961-965; </w:t>
      </w:r>
      <w:r w:rsidRPr="00332040">
        <w:rPr>
          <w:sz w:val="20"/>
          <w:szCs w:val="20"/>
          <w:lang w:val="en-US"/>
        </w:rPr>
        <w:t>T. L</w:t>
      </w:r>
      <w:r w:rsidRPr="00332040">
        <w:rPr>
          <w:sz w:val="20"/>
          <w:szCs w:val="20"/>
        </w:rPr>
        <w:t xml:space="preserve">. Stein, “The Approach of the Different Drummer: The Principle of the Persistent Objector in International Law,” </w:t>
      </w:r>
      <w:r w:rsidRPr="00332040">
        <w:rPr>
          <w:i/>
          <w:sz w:val="20"/>
          <w:szCs w:val="20"/>
        </w:rPr>
        <w:t>Harvard International Law Journal</w:t>
      </w:r>
      <w:r w:rsidRPr="00332040">
        <w:rPr>
          <w:sz w:val="20"/>
          <w:szCs w:val="20"/>
        </w:rPr>
        <w:t>, vol. 26 (1985), pp. 457-482 at pp. 478-479.</w:t>
      </w:r>
    </w:p>
  </w:footnote>
  <w:footnote w:id="91">
    <w:p w:rsidR="00F44349" w:rsidRPr="00332040" w:rsidRDefault="00F44349" w:rsidP="00332040">
      <w:pPr>
        <w:pStyle w:val="FootnoteText"/>
        <w:spacing w:line="480" w:lineRule="auto"/>
        <w:jc w:val="both"/>
      </w:pPr>
      <w:r w:rsidRPr="00332040">
        <w:rPr>
          <w:rStyle w:val="FootnoteReference"/>
        </w:rPr>
        <w:footnoteRef/>
      </w:r>
      <w:r w:rsidRPr="00332040">
        <w:t xml:space="preserve"> For example, </w:t>
      </w:r>
      <w:r w:rsidRPr="00332040">
        <w:rPr>
          <w:lang w:val="en-US"/>
        </w:rPr>
        <w:t xml:space="preserve">Steinfeld, note 86, p. 1673, states that “an objection to a customary rule may take a variety of forms, from actual exercise of a legal right, to statements expressing a desire to preserve that right.” (emphasis removed from original).  </w:t>
      </w:r>
      <w:r w:rsidRPr="00332040">
        <w:rPr>
          <w:i/>
          <w:lang w:val="en-US"/>
        </w:rPr>
        <w:t>See also</w:t>
      </w:r>
      <w:r w:rsidRPr="00332040">
        <w:rPr>
          <w:lang w:val="en-US"/>
        </w:rPr>
        <w:t xml:space="preserve"> </w:t>
      </w:r>
      <w:r w:rsidRPr="00332040">
        <w:t xml:space="preserve">Colson, note 87 p. 958.  However, for a contrary view, see C. A. Bradley and M. Gulati, “Withdrawing from International Custom,” </w:t>
      </w:r>
      <w:r w:rsidRPr="00332040">
        <w:rPr>
          <w:i/>
        </w:rPr>
        <w:t>Yale Law Journal</w:t>
      </w:r>
      <w:r w:rsidRPr="00332040">
        <w:t>, vol. 120 (2010), pp. 202-275 at p. 211.</w:t>
      </w:r>
    </w:p>
  </w:footnote>
  <w:footnote w:id="92">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bCs/>
          <w:sz w:val="20"/>
          <w:szCs w:val="20"/>
        </w:rPr>
        <w:t xml:space="preserve">P. R. Chari, “Pokharan-I: Personal Reflections,” </w:t>
      </w:r>
      <w:r w:rsidRPr="00332040">
        <w:rPr>
          <w:bCs/>
          <w:i/>
          <w:sz w:val="20"/>
          <w:szCs w:val="20"/>
        </w:rPr>
        <w:t>Institute of Peace and Conflict Studies</w:t>
      </w:r>
      <w:r w:rsidRPr="00332040">
        <w:rPr>
          <w:bCs/>
          <w:sz w:val="20"/>
          <w:szCs w:val="20"/>
        </w:rPr>
        <w:t>, Special Report, vol. 80 (1999), &lt;http</w:t>
      </w:r>
      <w:r w:rsidRPr="00332040">
        <w:rPr>
          <w:sz w:val="20"/>
          <w:szCs w:val="20"/>
        </w:rPr>
        <w:t xml:space="preserve">://www.ipcs.org/pdf_file/issue/SR80-Chari-Final.pdf&gt;.  The 1974 Pokhran-I tests constituted the detonations of what India termed “peaceful nuclear explosions.”  In reality, however, these tests were largely indistinguishable from the explosion of a nuclear weapon.  </w:t>
      </w:r>
      <w:r w:rsidRPr="00332040">
        <w:rPr>
          <w:i/>
          <w:sz w:val="20"/>
          <w:szCs w:val="20"/>
        </w:rPr>
        <w:t>See</w:t>
      </w:r>
      <w:r w:rsidRPr="00332040">
        <w:rPr>
          <w:sz w:val="20"/>
          <w:szCs w:val="20"/>
        </w:rPr>
        <w:t xml:space="preserve"> Carranza, note 31, p. 44.  On this basis, </w:t>
      </w:r>
      <w:r w:rsidRPr="00332040">
        <w:rPr>
          <w:bCs/>
          <w:sz w:val="20"/>
          <w:szCs w:val="20"/>
        </w:rPr>
        <w:t>Ahlström</w:t>
      </w:r>
      <w:r w:rsidRPr="00332040">
        <w:rPr>
          <w:sz w:val="20"/>
          <w:szCs w:val="20"/>
        </w:rPr>
        <w:t xml:space="preserve"> tellingly refers to the tests</w:t>
      </w:r>
      <w:r w:rsidR="00D3082E">
        <w:rPr>
          <w:sz w:val="20"/>
          <w:szCs w:val="20"/>
        </w:rPr>
        <w:t xml:space="preserve"> as being “allegedly peaceful.”  </w:t>
      </w:r>
      <w:r w:rsidRPr="00332040">
        <w:rPr>
          <w:sz w:val="20"/>
          <w:szCs w:val="20"/>
        </w:rPr>
        <w:t xml:space="preserve">C. </w:t>
      </w:r>
      <w:r w:rsidRPr="00332040">
        <w:rPr>
          <w:bCs/>
          <w:sz w:val="20"/>
          <w:szCs w:val="20"/>
        </w:rPr>
        <w:t>Ahlström</w:t>
      </w:r>
      <w:r w:rsidRPr="00332040">
        <w:rPr>
          <w:sz w:val="20"/>
          <w:szCs w:val="20"/>
        </w:rPr>
        <w:t xml:space="preserve">, “Arrows for India? – Technology Transfers of Ballistic Missile Defence and the Missile Technology Control Regime,” </w:t>
      </w:r>
      <w:r w:rsidRPr="00332040">
        <w:rPr>
          <w:i/>
          <w:sz w:val="20"/>
          <w:szCs w:val="20"/>
        </w:rPr>
        <w:t>Journal of Conflict and Security Law</w:t>
      </w:r>
      <w:r w:rsidRPr="00332040">
        <w:rPr>
          <w:sz w:val="20"/>
          <w:szCs w:val="20"/>
        </w:rPr>
        <w:t xml:space="preserve">, vol. 9 (2004), pp. 103-125 at p. 119.  The 1974 tests, therefore, represent India’s </w:t>
      </w:r>
      <w:r w:rsidRPr="00332040">
        <w:rPr>
          <w:i/>
          <w:sz w:val="20"/>
          <w:szCs w:val="20"/>
        </w:rPr>
        <w:t>de facto</w:t>
      </w:r>
      <w:r w:rsidRPr="00332040">
        <w:rPr>
          <w:sz w:val="20"/>
          <w:szCs w:val="20"/>
        </w:rPr>
        <w:t xml:space="preserve"> entrance into the “nuclear powers club.”</w:t>
      </w:r>
    </w:p>
  </w:footnote>
  <w:footnote w:id="93">
    <w:p w:rsidR="00F44349" w:rsidRPr="00332040" w:rsidRDefault="00F44349" w:rsidP="00332040">
      <w:pPr>
        <w:pStyle w:val="FootnoteText"/>
        <w:spacing w:line="480" w:lineRule="auto"/>
        <w:jc w:val="both"/>
      </w:pPr>
      <w:r w:rsidRPr="00332040">
        <w:rPr>
          <w:rStyle w:val="FootnoteReference"/>
        </w:rPr>
        <w:footnoteRef/>
      </w:r>
      <w:r w:rsidRPr="00332040">
        <w:t xml:space="preserve"> Interestingly, “nuclear weapons testing” was one example – given by D’Amato in his seminal work on customary international law – of an unequivocal and objectively identifiable manifestation of State practice of a type about which there could be little doubt as to the legal position of the State in question (though this example was not used specifically in relation to the persistent objector rule).  </w:t>
      </w:r>
      <w:r w:rsidRPr="00332040">
        <w:rPr>
          <w:i/>
        </w:rPr>
        <w:t>See</w:t>
      </w:r>
      <w:r w:rsidRPr="00332040">
        <w:t xml:space="preserve"> D’Amato, note 47, p. 88.</w:t>
      </w:r>
    </w:p>
  </w:footnote>
  <w:footnote w:id="94">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w:t>
      </w:r>
      <w:r w:rsidRPr="00332040">
        <w:rPr>
          <w:bCs/>
          <w:sz w:val="20"/>
          <w:szCs w:val="20"/>
        </w:rPr>
        <w:t xml:space="preserve">U. </w:t>
      </w:r>
      <w:r w:rsidRPr="00332040">
        <w:rPr>
          <w:sz w:val="20"/>
          <w:szCs w:val="20"/>
        </w:rPr>
        <w:t>Choudhury</w:t>
      </w:r>
      <w:r w:rsidRPr="00332040">
        <w:rPr>
          <w:bCs/>
          <w:sz w:val="20"/>
          <w:szCs w:val="20"/>
        </w:rPr>
        <w:t xml:space="preserve">, “The Indo-USA Nuclear Deal and its Impact on India’s Ballistic Missile Programme,” </w:t>
      </w:r>
      <w:r w:rsidRPr="00332040">
        <w:rPr>
          <w:i/>
          <w:sz w:val="20"/>
          <w:szCs w:val="20"/>
        </w:rPr>
        <w:t>South Asian Strategic Stability Institute</w:t>
      </w:r>
      <w:r w:rsidR="00F43301">
        <w:rPr>
          <w:sz w:val="20"/>
          <w:szCs w:val="20"/>
        </w:rPr>
        <w:t xml:space="preserve"> (2008), </w:t>
      </w:r>
      <w:r w:rsidR="00F43301" w:rsidRPr="00332040">
        <w:rPr>
          <w:sz w:val="20"/>
          <w:szCs w:val="20"/>
        </w:rPr>
        <w:t>p. 10</w:t>
      </w:r>
      <w:r w:rsidR="00F43301">
        <w:rPr>
          <w:sz w:val="20"/>
          <w:szCs w:val="20"/>
        </w:rPr>
        <w:t>,</w:t>
      </w:r>
    </w:p>
    <w:p w:rsidR="00F44349" w:rsidRPr="00332040" w:rsidRDefault="00F44349" w:rsidP="00332040">
      <w:pPr>
        <w:spacing w:line="480" w:lineRule="auto"/>
        <w:jc w:val="both"/>
        <w:rPr>
          <w:sz w:val="20"/>
          <w:szCs w:val="20"/>
        </w:rPr>
      </w:pPr>
      <w:r w:rsidRPr="00332040">
        <w:rPr>
          <w:sz w:val="20"/>
          <w:szCs w:val="20"/>
        </w:rPr>
        <w:t xml:space="preserve">&lt;http://www.isn.ethz.ch/isn/Digital-Library/Publications/Detail/?ots591=0c54e3b3-1e9c-be1e-2c24-a6a8c7060233&amp;lng=en&amp;id=99928&gt;.  Indeed, India is the only State in possession of nuclear weapons that has not helped another State to also acquire such weapons.  </w:t>
      </w:r>
      <w:r w:rsidRPr="00332040">
        <w:rPr>
          <w:i/>
          <w:sz w:val="20"/>
          <w:szCs w:val="20"/>
        </w:rPr>
        <w:t>See</w:t>
      </w:r>
      <w:r w:rsidRPr="00332040">
        <w:rPr>
          <w:sz w:val="20"/>
          <w:szCs w:val="20"/>
        </w:rPr>
        <w:t xml:space="preserve"> C. Kuppuswamy, “Is the Nuclear Non-Proliferation Treaty Shaking at its Foundations? Stock Taking after the 2005 NPT Review Conference,” </w:t>
      </w:r>
      <w:r w:rsidRPr="00332040">
        <w:rPr>
          <w:i/>
          <w:iCs/>
          <w:sz w:val="20"/>
          <w:szCs w:val="20"/>
        </w:rPr>
        <w:t>Journal of Conflict and Security Law</w:t>
      </w:r>
      <w:r w:rsidRPr="00332040">
        <w:rPr>
          <w:iCs/>
          <w:sz w:val="20"/>
          <w:szCs w:val="20"/>
        </w:rPr>
        <w:t>, vol. 11 (2006), pp. 141-155</w:t>
      </w:r>
      <w:r w:rsidRPr="00332040">
        <w:rPr>
          <w:sz w:val="20"/>
          <w:szCs w:val="20"/>
        </w:rPr>
        <w:t xml:space="preserve"> at p. 145.</w:t>
      </w:r>
    </w:p>
  </w:footnote>
  <w:footnote w:id="95">
    <w:p w:rsidR="00F44349" w:rsidRPr="00332040" w:rsidRDefault="00F44349" w:rsidP="00332040">
      <w:pPr>
        <w:pStyle w:val="FootnoteText"/>
        <w:spacing w:line="480" w:lineRule="auto"/>
        <w:jc w:val="both"/>
      </w:pPr>
      <w:r w:rsidRPr="00332040">
        <w:rPr>
          <w:rStyle w:val="FootnoteReference"/>
        </w:rPr>
        <w:footnoteRef/>
      </w:r>
      <w:r w:rsidRPr="00332040">
        <w:t xml:space="preserve"> Frey, note 7, p. 19.</w:t>
      </w:r>
    </w:p>
  </w:footnote>
  <w:footnote w:id="96">
    <w:p w:rsidR="00F44349" w:rsidRPr="00332040" w:rsidRDefault="00F44349" w:rsidP="00332040">
      <w:pPr>
        <w:spacing w:line="480" w:lineRule="auto"/>
        <w:jc w:val="both"/>
        <w:textAlignment w:val="top"/>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W. Walker, “International Nuclear Relations after the Indian and Pakistani Test Explosions,” </w:t>
      </w:r>
      <w:r w:rsidRPr="00332040">
        <w:rPr>
          <w:i/>
          <w:sz w:val="20"/>
          <w:szCs w:val="20"/>
        </w:rPr>
        <w:t>International Affairs</w:t>
      </w:r>
      <w:r w:rsidRPr="00332040">
        <w:rPr>
          <w:sz w:val="20"/>
          <w:szCs w:val="20"/>
        </w:rPr>
        <w:t xml:space="preserve">, vol. 74 (1998), pp. 505-528 at p. 511; J. Singh, “Against Nuclear Apartheid,” </w:t>
      </w:r>
      <w:r w:rsidRPr="00332040">
        <w:rPr>
          <w:i/>
          <w:sz w:val="20"/>
          <w:szCs w:val="20"/>
        </w:rPr>
        <w:t>Foreign Affairs</w:t>
      </w:r>
      <w:r w:rsidRPr="00332040">
        <w:rPr>
          <w:sz w:val="20"/>
          <w:szCs w:val="20"/>
        </w:rPr>
        <w:t xml:space="preserve">, vol. 77 (1998), pp. 41-52; F. Z. Ntoubandi, “Reflections on the USA-India Atomic Energy Cooperation,” </w:t>
      </w:r>
      <w:r w:rsidRPr="00332040">
        <w:rPr>
          <w:i/>
          <w:iCs/>
          <w:sz w:val="20"/>
          <w:szCs w:val="20"/>
        </w:rPr>
        <w:t>Journal of Conflict and Security Law</w:t>
      </w:r>
      <w:r w:rsidRPr="00332040">
        <w:rPr>
          <w:iCs/>
          <w:sz w:val="20"/>
          <w:szCs w:val="20"/>
        </w:rPr>
        <w:t>, vol. 13 (2008),</w:t>
      </w:r>
      <w:r w:rsidRPr="00332040">
        <w:rPr>
          <w:sz w:val="20"/>
          <w:szCs w:val="20"/>
        </w:rPr>
        <w:t xml:space="preserve"> pp. 273-287 at p. 287; Carranza, note 31, p. 1.</w:t>
      </w:r>
    </w:p>
  </w:footnote>
  <w:footnote w:id="97">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Debate on Foreign Affairs with Indira Gandhi, Lok Sabha, New Delhi, 5 Apr. 1968, quoted in </w:t>
      </w:r>
      <w:r w:rsidRPr="00332040">
        <w:rPr>
          <w:bCs/>
          <w:sz w:val="20"/>
          <w:szCs w:val="20"/>
        </w:rPr>
        <w:t xml:space="preserve">A. Ghose, “Negotiating the CTBT: India’s Security Concerns and Nuclear Disarmament,” </w:t>
      </w:r>
      <w:r w:rsidRPr="00332040">
        <w:rPr>
          <w:i/>
          <w:iCs/>
          <w:sz w:val="20"/>
          <w:szCs w:val="20"/>
        </w:rPr>
        <w:t>Journal of International Affairs</w:t>
      </w:r>
      <w:r w:rsidRPr="00332040">
        <w:rPr>
          <w:iCs/>
          <w:sz w:val="20"/>
          <w:szCs w:val="20"/>
        </w:rPr>
        <w:t>, vol. 51 (1997),</w:t>
      </w:r>
      <w:r w:rsidRPr="00332040">
        <w:rPr>
          <w:sz w:val="20"/>
          <w:szCs w:val="20"/>
        </w:rPr>
        <w:t xml:space="preserve"> pp. 239-261 at p. 242.</w:t>
      </w:r>
    </w:p>
  </w:footnote>
  <w:footnote w:id="98">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A. K. Rai, </w:t>
      </w:r>
      <w:r w:rsidRPr="00332040">
        <w:rPr>
          <w:i/>
          <w:sz w:val="20"/>
          <w:szCs w:val="20"/>
        </w:rPr>
        <w:t>India’s Nuclear Policy after Pokhran II</w:t>
      </w:r>
      <w:r w:rsidRPr="00332040">
        <w:rPr>
          <w:sz w:val="20"/>
          <w:szCs w:val="20"/>
        </w:rPr>
        <w:t xml:space="preserve"> (2009), p. 208.  </w:t>
      </w:r>
      <w:r w:rsidRPr="00332040">
        <w:rPr>
          <w:i/>
          <w:sz w:val="20"/>
          <w:szCs w:val="20"/>
        </w:rPr>
        <w:t xml:space="preserve">See </w:t>
      </w:r>
      <w:r w:rsidRPr="00332040">
        <w:rPr>
          <w:sz w:val="20"/>
          <w:szCs w:val="20"/>
        </w:rPr>
        <w:t>Wable, note 6, p. 722.</w:t>
      </w:r>
    </w:p>
  </w:footnote>
  <w:footnote w:id="99">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Carranza, note 31, p. 130.</w:t>
      </w:r>
    </w:p>
  </w:footnote>
  <w:footnote w:id="100">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Asada, note 11, p. 86; Wable, note 6, p. 747.</w:t>
      </w:r>
    </w:p>
  </w:footnote>
  <w:footnote w:id="101">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00F43301">
        <w:rPr>
          <w:sz w:val="20"/>
          <w:szCs w:val="20"/>
        </w:rPr>
        <w:t xml:space="preserve">Quoted in </w:t>
      </w:r>
      <w:r w:rsidRPr="00332040">
        <w:rPr>
          <w:sz w:val="20"/>
          <w:szCs w:val="20"/>
        </w:rPr>
        <w:t xml:space="preserve">M. Goozner, </w:t>
      </w:r>
      <w:r w:rsidRPr="00332040">
        <w:rPr>
          <w:bCs/>
          <w:kern w:val="36"/>
          <w:sz w:val="20"/>
          <w:szCs w:val="20"/>
        </w:rPr>
        <w:t xml:space="preserve">“Holdouts Endanger Nuclear Treaty,” </w:t>
      </w:r>
      <w:r w:rsidRPr="00332040">
        <w:rPr>
          <w:i/>
          <w:sz w:val="20"/>
          <w:szCs w:val="20"/>
        </w:rPr>
        <w:t>Chicago Tribune</w:t>
      </w:r>
      <w:r w:rsidRPr="00332040">
        <w:rPr>
          <w:sz w:val="20"/>
          <w:szCs w:val="20"/>
        </w:rPr>
        <w:t>,</w:t>
      </w:r>
      <w:r w:rsidRPr="00332040">
        <w:rPr>
          <w:i/>
          <w:sz w:val="20"/>
          <w:szCs w:val="20"/>
        </w:rPr>
        <w:t xml:space="preserve"> </w:t>
      </w:r>
      <w:r w:rsidRPr="00332040">
        <w:rPr>
          <w:sz w:val="20"/>
          <w:szCs w:val="20"/>
        </w:rPr>
        <w:t>11 Sept. 1996, &lt;http://articles.chicagotribune.com/1996-09-11/news/9609110214_1_test-ban-treaty-five-declared-nuclear-powers-nuclear-weapons&gt;.</w:t>
      </w:r>
    </w:p>
  </w:footnote>
  <w:footnote w:id="102">
    <w:p w:rsidR="00F44349" w:rsidRPr="00332040" w:rsidRDefault="00F44349" w:rsidP="00332040">
      <w:pPr>
        <w:spacing w:line="480" w:lineRule="auto"/>
        <w:jc w:val="both"/>
        <w:rPr>
          <w:bCs/>
          <w:sz w:val="20"/>
          <w:szCs w:val="20"/>
        </w:rPr>
      </w:pPr>
      <w:r w:rsidRPr="00332040">
        <w:rPr>
          <w:rStyle w:val="FootnoteReference"/>
          <w:sz w:val="20"/>
          <w:szCs w:val="20"/>
        </w:rPr>
        <w:footnoteRef/>
      </w:r>
      <w:r w:rsidRPr="00332040">
        <w:rPr>
          <w:sz w:val="20"/>
          <w:szCs w:val="20"/>
        </w:rPr>
        <w:t xml:space="preserve"> </w:t>
      </w:r>
      <w:r w:rsidRPr="00332040">
        <w:rPr>
          <w:rStyle w:val="Strong"/>
          <w:b w:val="0"/>
          <w:i/>
          <w:sz w:val="20"/>
          <w:szCs w:val="20"/>
        </w:rPr>
        <w:t>See</w:t>
      </w:r>
      <w:r w:rsidRPr="00332040">
        <w:rPr>
          <w:rStyle w:val="Strong"/>
          <w:b w:val="0"/>
          <w:sz w:val="20"/>
          <w:szCs w:val="20"/>
        </w:rPr>
        <w:t xml:space="preserve"> General Assembly Resolution 50/245, U.N. Doc. A/RES/50/245 (1996); U.N. Doc. </w:t>
      </w:r>
      <w:r w:rsidRPr="00332040">
        <w:rPr>
          <w:sz w:val="20"/>
          <w:szCs w:val="20"/>
        </w:rPr>
        <w:t>A/50/PV.125 (1996),</w:t>
      </w:r>
      <w:r w:rsidRPr="00332040">
        <w:rPr>
          <w:rStyle w:val="Strong"/>
          <w:b w:val="0"/>
          <w:sz w:val="20"/>
          <w:szCs w:val="20"/>
        </w:rPr>
        <w:t xml:space="preserve"> p. 7 (the other two States that cast negative votes were </w:t>
      </w:r>
      <w:r w:rsidRPr="00332040">
        <w:rPr>
          <w:sz w:val="20"/>
          <w:szCs w:val="20"/>
        </w:rPr>
        <w:t>Bhutan and Libya)</w:t>
      </w:r>
      <w:r w:rsidRPr="00332040">
        <w:rPr>
          <w:rStyle w:val="Strong"/>
          <w:b w:val="0"/>
          <w:sz w:val="20"/>
          <w:szCs w:val="20"/>
        </w:rPr>
        <w:t>.</w:t>
      </w:r>
    </w:p>
  </w:footnote>
  <w:footnote w:id="103">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rStyle w:val="Strong"/>
          <w:b w:val="0"/>
          <w:sz w:val="20"/>
          <w:szCs w:val="20"/>
        </w:rPr>
        <w:t xml:space="preserve">U.N. Doc. </w:t>
      </w:r>
      <w:r w:rsidRPr="00332040">
        <w:rPr>
          <w:sz w:val="20"/>
          <w:szCs w:val="20"/>
        </w:rPr>
        <w:t xml:space="preserve">A/50/PV.125, note 101, </w:t>
      </w:r>
      <w:r w:rsidRPr="00332040">
        <w:rPr>
          <w:rStyle w:val="Strong"/>
          <w:b w:val="0"/>
          <w:sz w:val="20"/>
          <w:szCs w:val="20"/>
        </w:rPr>
        <w:t>pp. 3-4, quoted at p. 3.</w:t>
      </w:r>
    </w:p>
  </w:footnote>
  <w:footnote w:id="104">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note 82 and accompanying text.</w:t>
      </w:r>
    </w:p>
  </w:footnote>
  <w:footnote w:id="105">
    <w:p w:rsidR="00F44349" w:rsidRPr="00332040" w:rsidRDefault="00F44349" w:rsidP="00332040">
      <w:pPr>
        <w:autoSpaceDE w:val="0"/>
        <w:autoSpaceDN w:val="0"/>
        <w:adjustRightInd w:val="0"/>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e.g., </w:t>
      </w:r>
      <w:r w:rsidRPr="00332040">
        <w:rPr>
          <w:sz w:val="20"/>
          <w:szCs w:val="20"/>
        </w:rPr>
        <w:t xml:space="preserve">N. Giref, “Legal Aspects of Nuclear Testing,” </w:t>
      </w:r>
      <w:r w:rsidRPr="00332040">
        <w:rPr>
          <w:i/>
          <w:sz w:val="20"/>
          <w:szCs w:val="20"/>
        </w:rPr>
        <w:t>Bracton Law Journal</w:t>
      </w:r>
      <w:r w:rsidRPr="00332040">
        <w:rPr>
          <w:sz w:val="20"/>
          <w:szCs w:val="20"/>
        </w:rPr>
        <w:t>, vol. 23 (1991), pp. 25-24 at p. 30 (arguing in 1991 that no such customary test-ban had (yet) emerged).</w:t>
      </w:r>
    </w:p>
  </w:footnote>
  <w:footnote w:id="106">
    <w:p w:rsidR="00F44349" w:rsidRPr="00332040" w:rsidRDefault="00F44349" w:rsidP="00332040">
      <w:pPr>
        <w:autoSpaceDE w:val="0"/>
        <w:autoSpaceDN w:val="0"/>
        <w:adjustRightInd w:val="0"/>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 xml:space="preserve">D. A. Koplow, “Bonehead Non-Proliferation,” </w:t>
      </w:r>
      <w:r w:rsidRPr="00332040">
        <w:rPr>
          <w:i/>
          <w:sz w:val="20"/>
          <w:szCs w:val="20"/>
        </w:rPr>
        <w:t>Fletcher Forum of World Affairs</w:t>
      </w:r>
      <w:r w:rsidRPr="00332040">
        <w:rPr>
          <w:sz w:val="20"/>
          <w:szCs w:val="20"/>
        </w:rPr>
        <w:t>, vol. 7 (1993), pp. 145-158 at pp. 150-152.</w:t>
      </w:r>
    </w:p>
  </w:footnote>
  <w:footnote w:id="107">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Guthrie, note 20, p. 518.</w:t>
      </w:r>
    </w:p>
  </w:footnote>
  <w:footnote w:id="108">
    <w:p w:rsidR="00F44349" w:rsidRPr="00332040" w:rsidRDefault="00F44349" w:rsidP="00332040">
      <w:pPr>
        <w:pStyle w:val="FootnoteText"/>
        <w:spacing w:line="480" w:lineRule="auto"/>
        <w:jc w:val="both"/>
      </w:pPr>
      <w:r w:rsidRPr="00332040">
        <w:rPr>
          <w:rStyle w:val="FootnoteReference"/>
        </w:rPr>
        <w:footnoteRef/>
      </w:r>
      <w:r w:rsidRPr="00332040">
        <w:t xml:space="preserve"> For a contrary view, see </w:t>
      </w:r>
      <w:r w:rsidRPr="00332040">
        <w:rPr>
          <w:i/>
        </w:rPr>
        <w:t>ibid.</w:t>
      </w:r>
      <w:r w:rsidRPr="00332040">
        <w:t xml:space="preserve">, pp. 517-518 (arguing – surely incorrectly – that India only began to persistently object at the time of its 1998 tests and, therefore, </w:t>
      </w:r>
      <w:r w:rsidRPr="00332040">
        <w:rPr>
          <w:i/>
        </w:rPr>
        <w:t>after</w:t>
      </w:r>
      <w:r w:rsidRPr="00332040">
        <w:t xml:space="preserve"> the customary test-ban had crystallised).</w:t>
      </w:r>
    </w:p>
  </w:footnote>
  <w:footnote w:id="109">
    <w:p w:rsidR="00F44349" w:rsidRPr="00332040" w:rsidRDefault="00F44349" w:rsidP="00332040">
      <w:pPr>
        <w:autoSpaceDE w:val="0"/>
        <w:autoSpaceDN w:val="0"/>
        <w:adjustRightInd w:val="0"/>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V. S. Mani, “India’s Tests: The Legal Issues,” </w:t>
      </w:r>
      <w:r w:rsidRPr="00332040">
        <w:rPr>
          <w:i/>
          <w:sz w:val="20"/>
          <w:szCs w:val="20"/>
        </w:rPr>
        <w:t>The Hindu</w:t>
      </w:r>
      <w:r w:rsidRPr="00332040">
        <w:rPr>
          <w:sz w:val="20"/>
          <w:szCs w:val="20"/>
        </w:rPr>
        <w:t>, 5 June 1998; Packer, note 25, p. 651.</w:t>
      </w:r>
    </w:p>
  </w:footnote>
  <w:footnote w:id="110">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Tabassi, note 11, pp. 347-350.  It is worth noting that other writers have argued that the prohibition on</w:t>
      </w:r>
      <w:r w:rsidRPr="00332040">
        <w:rPr>
          <w:i/>
          <w:sz w:val="20"/>
          <w:szCs w:val="20"/>
        </w:rPr>
        <w:t xml:space="preserve"> atmospheric </w:t>
      </w:r>
      <w:r w:rsidRPr="00332040">
        <w:rPr>
          <w:sz w:val="20"/>
          <w:szCs w:val="20"/>
        </w:rPr>
        <w:t xml:space="preserve">nuclear testing is a norm of </w:t>
      </w:r>
      <w:r w:rsidRPr="00332040">
        <w:rPr>
          <w:i/>
          <w:sz w:val="20"/>
          <w:szCs w:val="20"/>
        </w:rPr>
        <w:t xml:space="preserve">jus cogens.  </w:t>
      </w:r>
      <w:r w:rsidRPr="00332040">
        <w:rPr>
          <w:sz w:val="20"/>
          <w:szCs w:val="20"/>
        </w:rPr>
        <w:t xml:space="preserve">In other words, it has been suggested that Article I(1)(a) of the PTBT has not only entered into customary international law but has also attained peremptory status.  </w:t>
      </w:r>
      <w:r w:rsidRPr="00332040">
        <w:rPr>
          <w:i/>
          <w:sz w:val="20"/>
          <w:szCs w:val="20"/>
        </w:rPr>
        <w:t>See, e.g.,</w:t>
      </w:r>
      <w:r w:rsidRPr="00332040">
        <w:rPr>
          <w:sz w:val="20"/>
          <w:szCs w:val="20"/>
        </w:rPr>
        <w:t xml:space="preserve"> Hulsroj, note 20, p. 8.</w:t>
      </w:r>
    </w:p>
  </w:footnote>
  <w:footnote w:id="111">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notes 83-86 and accompanying text.</w:t>
      </w:r>
    </w:p>
  </w:footnote>
  <w:footnote w:id="112">
    <w:p w:rsidR="00F44349" w:rsidRPr="00332040" w:rsidRDefault="00F44349" w:rsidP="00332040">
      <w:pPr>
        <w:spacing w:line="480" w:lineRule="auto"/>
        <w:jc w:val="both"/>
        <w:rPr>
          <w:sz w:val="20"/>
          <w:szCs w:val="20"/>
          <w:lang w:val="en-US"/>
        </w:rPr>
      </w:pPr>
      <w:r w:rsidRPr="00332040">
        <w:rPr>
          <w:rStyle w:val="FootnoteReference"/>
          <w:sz w:val="20"/>
          <w:szCs w:val="20"/>
        </w:rPr>
        <w:footnoteRef/>
      </w:r>
      <w:r w:rsidRPr="00332040">
        <w:rPr>
          <w:sz w:val="20"/>
          <w:szCs w:val="20"/>
        </w:rPr>
        <w:t xml:space="preserve"> </w:t>
      </w:r>
      <w:r w:rsidRPr="00332040">
        <w:rPr>
          <w:i/>
          <w:sz w:val="20"/>
          <w:szCs w:val="20"/>
          <w:lang w:val="en-US"/>
        </w:rPr>
        <w:t xml:space="preserve">See, e.g., </w:t>
      </w:r>
      <w:r w:rsidRPr="00332040">
        <w:rPr>
          <w:rStyle w:val="srchlink"/>
          <w:sz w:val="20"/>
          <w:szCs w:val="20"/>
          <w:lang w:val="en-US"/>
        </w:rPr>
        <w:t xml:space="preserve">B. D. Lepard, </w:t>
      </w:r>
      <w:r w:rsidRPr="00332040">
        <w:rPr>
          <w:rStyle w:val="srchlink"/>
          <w:i/>
          <w:sz w:val="20"/>
          <w:szCs w:val="20"/>
          <w:lang w:val="en-US"/>
        </w:rPr>
        <w:t>Customary International Law: A New Theory with Practical Applications</w:t>
      </w:r>
      <w:r w:rsidRPr="00332040">
        <w:rPr>
          <w:rStyle w:val="srchlink"/>
          <w:sz w:val="20"/>
          <w:szCs w:val="20"/>
          <w:lang w:val="en-US"/>
        </w:rPr>
        <w:t xml:space="preserve"> (2010), p. 7 and p. 38; </w:t>
      </w:r>
      <w:r w:rsidRPr="00332040">
        <w:rPr>
          <w:sz w:val="20"/>
          <w:szCs w:val="20"/>
        </w:rPr>
        <w:t xml:space="preserve">Bradley and Gulati, note 90, p. 213; </w:t>
      </w:r>
      <w:r w:rsidRPr="00332040">
        <w:rPr>
          <w:sz w:val="20"/>
          <w:szCs w:val="20"/>
          <w:lang w:val="en-US"/>
        </w:rPr>
        <w:t xml:space="preserve">J. I. Charney, “Universal International Law,” </w:t>
      </w:r>
      <w:r w:rsidRPr="00332040">
        <w:rPr>
          <w:i/>
          <w:sz w:val="20"/>
          <w:szCs w:val="20"/>
          <w:lang w:val="en-US"/>
        </w:rPr>
        <w:t>American Journal of International Law</w:t>
      </w:r>
      <w:r w:rsidRPr="00332040">
        <w:rPr>
          <w:sz w:val="20"/>
          <w:szCs w:val="20"/>
          <w:lang w:val="en-US"/>
        </w:rPr>
        <w:t xml:space="preserve">, vol. 87 (1993), pp. 529-551 at p. 541; M. Byers, “Conceptualising the Relationship Between </w:t>
      </w:r>
      <w:r w:rsidRPr="00332040">
        <w:rPr>
          <w:i/>
          <w:sz w:val="20"/>
          <w:szCs w:val="20"/>
          <w:lang w:val="en-US"/>
        </w:rPr>
        <w:t>Jus Cogens</w:t>
      </w:r>
      <w:r w:rsidRPr="00332040">
        <w:rPr>
          <w:sz w:val="20"/>
          <w:szCs w:val="20"/>
          <w:lang w:val="en-US"/>
        </w:rPr>
        <w:t xml:space="preserve"> and </w:t>
      </w:r>
      <w:r w:rsidRPr="00332040">
        <w:rPr>
          <w:i/>
          <w:sz w:val="20"/>
          <w:szCs w:val="20"/>
          <w:lang w:val="en-US"/>
        </w:rPr>
        <w:t>Erga Omnes</w:t>
      </w:r>
      <w:r w:rsidRPr="00332040">
        <w:rPr>
          <w:sz w:val="20"/>
          <w:szCs w:val="20"/>
          <w:lang w:val="en-US"/>
        </w:rPr>
        <w:t xml:space="preserve"> Rules,” </w:t>
      </w:r>
      <w:r w:rsidRPr="00332040">
        <w:rPr>
          <w:i/>
          <w:sz w:val="20"/>
          <w:szCs w:val="20"/>
          <w:lang w:val="en-US"/>
        </w:rPr>
        <w:t>Nordic Journal of International Law</w:t>
      </w:r>
      <w:r w:rsidRPr="00332040">
        <w:rPr>
          <w:sz w:val="20"/>
          <w:szCs w:val="20"/>
          <w:lang w:val="en-US"/>
        </w:rPr>
        <w:t>, vol. 66 (1997), pp. 211-330 at p. 217 and p. 223; Kritsiotis, note 81, pp. 132-134</w:t>
      </w:r>
      <w:r w:rsidRPr="00332040">
        <w:rPr>
          <w:sz w:val="20"/>
          <w:szCs w:val="20"/>
        </w:rPr>
        <w:t xml:space="preserve">; H. Lau, “Rethinking the Persistent Objector Doctrine in International Human Rights Law,” </w:t>
      </w:r>
      <w:r w:rsidRPr="00332040">
        <w:rPr>
          <w:i/>
          <w:sz w:val="20"/>
          <w:szCs w:val="20"/>
        </w:rPr>
        <w:t>Chicago Journal of International Law</w:t>
      </w:r>
      <w:r w:rsidRPr="00332040">
        <w:rPr>
          <w:sz w:val="20"/>
          <w:szCs w:val="20"/>
        </w:rPr>
        <w:t xml:space="preserve">, vol. 6 (2005-2006), pp. 495-510 at pp. 495-498 and pp. 504-505; </w:t>
      </w:r>
      <w:r w:rsidRPr="00332040">
        <w:rPr>
          <w:sz w:val="20"/>
          <w:szCs w:val="20"/>
          <w:lang w:val="en-US"/>
        </w:rPr>
        <w:t xml:space="preserve">McClane, note 80, p. 25; </w:t>
      </w:r>
      <w:r w:rsidRPr="00332040">
        <w:rPr>
          <w:sz w:val="20"/>
          <w:szCs w:val="20"/>
        </w:rPr>
        <w:t>Hulsroj, note 20, p. 8 (</w:t>
      </w:r>
      <w:r w:rsidR="00F43301" w:rsidRPr="00332040">
        <w:rPr>
          <w:sz w:val="20"/>
          <w:szCs w:val="20"/>
        </w:rPr>
        <w:t xml:space="preserve">which even goes on to argue that </w:t>
      </w:r>
      <w:r w:rsidR="00F43301">
        <w:rPr>
          <w:sz w:val="20"/>
          <w:szCs w:val="20"/>
        </w:rPr>
        <w:t xml:space="preserve">the principle that </w:t>
      </w:r>
      <w:r w:rsidR="00F43301" w:rsidRPr="00332040">
        <w:rPr>
          <w:sz w:val="20"/>
          <w:szCs w:val="20"/>
        </w:rPr>
        <w:t xml:space="preserve">the persistent objector rule is inapplicable in relation to </w:t>
      </w:r>
      <w:r w:rsidR="00F43301" w:rsidRPr="00332040">
        <w:rPr>
          <w:i/>
          <w:sz w:val="20"/>
          <w:szCs w:val="20"/>
        </w:rPr>
        <w:t>jus cogens</w:t>
      </w:r>
      <w:r w:rsidR="00F43301" w:rsidRPr="00332040">
        <w:rPr>
          <w:sz w:val="20"/>
          <w:szCs w:val="20"/>
        </w:rPr>
        <w:t xml:space="preserve"> norms</w:t>
      </w:r>
      <w:r w:rsidR="00F43301">
        <w:rPr>
          <w:sz w:val="20"/>
          <w:szCs w:val="20"/>
        </w:rPr>
        <w:t xml:space="preserve"> </w:t>
      </w:r>
      <w:r w:rsidR="00F43301" w:rsidRPr="00332040">
        <w:rPr>
          <w:sz w:val="20"/>
          <w:szCs w:val="20"/>
        </w:rPr>
        <w:t xml:space="preserve">might </w:t>
      </w:r>
      <w:r w:rsidR="00F43301">
        <w:rPr>
          <w:sz w:val="20"/>
          <w:szCs w:val="20"/>
        </w:rPr>
        <w:t xml:space="preserve">itself </w:t>
      </w:r>
      <w:r w:rsidR="00F43301" w:rsidRPr="00332040">
        <w:rPr>
          <w:sz w:val="20"/>
          <w:szCs w:val="20"/>
        </w:rPr>
        <w:t xml:space="preserve">be a </w:t>
      </w:r>
      <w:r w:rsidR="00F43301" w:rsidRPr="00332040">
        <w:rPr>
          <w:i/>
          <w:sz w:val="20"/>
          <w:szCs w:val="20"/>
        </w:rPr>
        <w:t>jus cogens</w:t>
      </w:r>
      <w:r w:rsidR="00F43301" w:rsidRPr="00332040">
        <w:rPr>
          <w:sz w:val="20"/>
          <w:szCs w:val="20"/>
        </w:rPr>
        <w:t xml:space="preserve"> norm</w:t>
      </w:r>
      <w:r w:rsidRPr="00332040">
        <w:rPr>
          <w:sz w:val="20"/>
          <w:szCs w:val="20"/>
        </w:rPr>
        <w:t>)</w:t>
      </w:r>
      <w:r w:rsidRPr="00332040">
        <w:rPr>
          <w:sz w:val="20"/>
          <w:szCs w:val="20"/>
          <w:lang w:val="en-US"/>
        </w:rPr>
        <w:t>.</w:t>
      </w:r>
    </w:p>
  </w:footnote>
  <w:footnote w:id="11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rPr>
          <w:lang w:val="en-US"/>
        </w:rPr>
        <w:t>Kritsiotis, note 81, pp. 133-134.</w:t>
      </w:r>
    </w:p>
  </w:footnote>
  <w:footnote w:id="114">
    <w:p w:rsidR="00F44349" w:rsidRPr="00332040" w:rsidRDefault="00F44349" w:rsidP="00332040">
      <w:pPr>
        <w:spacing w:line="480" w:lineRule="auto"/>
        <w:jc w:val="both"/>
        <w:rPr>
          <w:bCs/>
          <w:sz w:val="20"/>
          <w:szCs w:val="20"/>
          <w:lang w:val="en-US"/>
        </w:rPr>
      </w:pPr>
      <w:r w:rsidRPr="00332040">
        <w:rPr>
          <w:rStyle w:val="FootnoteReference"/>
          <w:sz w:val="20"/>
          <w:szCs w:val="20"/>
        </w:rPr>
        <w:footnoteRef/>
      </w:r>
      <w:r w:rsidRPr="00332040">
        <w:rPr>
          <w:sz w:val="20"/>
          <w:szCs w:val="20"/>
        </w:rPr>
        <w:t xml:space="preserve"> </w:t>
      </w:r>
      <w:r w:rsidRPr="00332040">
        <w:rPr>
          <w:rFonts w:eastAsia="Calibri"/>
          <w:bCs/>
          <w:i/>
          <w:sz w:val="20"/>
          <w:szCs w:val="20"/>
          <w:lang w:val="en-US"/>
        </w:rPr>
        <w:t xml:space="preserve">See, e.g., </w:t>
      </w:r>
      <w:r w:rsidRPr="00332040">
        <w:rPr>
          <w:rFonts w:eastAsia="Calibri"/>
          <w:bCs/>
          <w:sz w:val="20"/>
          <w:szCs w:val="20"/>
          <w:lang w:val="en-US" w:eastAsia="en-US"/>
        </w:rPr>
        <w:t>R</w:t>
      </w:r>
      <w:r w:rsidRPr="00332040">
        <w:rPr>
          <w:rFonts w:eastAsia="Calibri"/>
          <w:bCs/>
          <w:sz w:val="20"/>
          <w:szCs w:val="20"/>
          <w:lang w:val="en-US"/>
        </w:rPr>
        <w:t>.</w:t>
      </w:r>
      <w:r w:rsidRPr="00332040">
        <w:rPr>
          <w:rFonts w:eastAsia="Calibri"/>
          <w:bCs/>
          <w:sz w:val="20"/>
          <w:szCs w:val="20"/>
          <w:lang w:val="en-US" w:eastAsia="en-US"/>
        </w:rPr>
        <w:t xml:space="preserve"> Nieto-Navia, </w:t>
      </w:r>
      <w:r w:rsidRPr="00332040">
        <w:rPr>
          <w:rFonts w:eastAsia="Calibri"/>
          <w:bCs/>
          <w:sz w:val="20"/>
          <w:szCs w:val="20"/>
          <w:lang w:val="en-US"/>
        </w:rPr>
        <w:t>“</w:t>
      </w:r>
      <w:r w:rsidRPr="00332040">
        <w:rPr>
          <w:rFonts w:eastAsia="Calibri"/>
          <w:bCs/>
          <w:sz w:val="20"/>
          <w:szCs w:val="20"/>
          <w:lang w:val="en-US" w:eastAsia="en-US"/>
        </w:rPr>
        <w:t>International Peremptory Norms (</w:t>
      </w:r>
      <w:r w:rsidRPr="00332040">
        <w:rPr>
          <w:rFonts w:eastAsia="Calibri"/>
          <w:bCs/>
          <w:i/>
          <w:sz w:val="20"/>
          <w:szCs w:val="20"/>
          <w:lang w:val="en-US" w:eastAsia="en-US"/>
        </w:rPr>
        <w:t>Jus Cogens</w:t>
      </w:r>
      <w:r w:rsidRPr="00332040">
        <w:rPr>
          <w:rFonts w:eastAsia="Calibri"/>
          <w:bCs/>
          <w:sz w:val="20"/>
          <w:szCs w:val="20"/>
          <w:lang w:val="en-US" w:eastAsia="en-US"/>
        </w:rPr>
        <w:t>) and International Humanitarian Law,</w:t>
      </w:r>
      <w:r w:rsidRPr="00332040">
        <w:rPr>
          <w:rFonts w:eastAsia="Calibri"/>
          <w:bCs/>
          <w:sz w:val="20"/>
          <w:szCs w:val="20"/>
          <w:lang w:val="en-US"/>
        </w:rPr>
        <w:t xml:space="preserve">” </w:t>
      </w:r>
      <w:r w:rsidRPr="00332040">
        <w:rPr>
          <w:rFonts w:eastAsia="Calibri"/>
          <w:bCs/>
          <w:i/>
          <w:sz w:val="20"/>
          <w:szCs w:val="20"/>
          <w:lang w:val="en-US"/>
        </w:rPr>
        <w:t xml:space="preserve">in </w:t>
      </w:r>
      <w:r w:rsidRPr="00332040">
        <w:rPr>
          <w:bCs/>
          <w:sz w:val="20"/>
          <w:szCs w:val="20"/>
          <w:lang w:val="en-US"/>
        </w:rPr>
        <w:t>L.C. Vohrah et al. (eds.),</w:t>
      </w:r>
      <w:r w:rsidRPr="00332040">
        <w:rPr>
          <w:rFonts w:eastAsia="Calibri"/>
          <w:bCs/>
          <w:sz w:val="20"/>
          <w:szCs w:val="20"/>
          <w:lang w:val="en-US"/>
        </w:rPr>
        <w:t xml:space="preserve"> </w:t>
      </w:r>
      <w:r w:rsidRPr="00332040">
        <w:rPr>
          <w:bCs/>
          <w:i/>
          <w:sz w:val="20"/>
          <w:szCs w:val="20"/>
          <w:lang w:val="en-US"/>
        </w:rPr>
        <w:t>Man’s Inhumanity to Man: Essays on International Law in Honour of Antonio Cassese</w:t>
      </w:r>
      <w:r w:rsidRPr="00332040">
        <w:rPr>
          <w:bCs/>
          <w:sz w:val="20"/>
          <w:szCs w:val="20"/>
          <w:lang w:val="en-US"/>
        </w:rPr>
        <w:t xml:space="preserve"> (2003), pp. 595-640 at p. 612.</w:t>
      </w:r>
    </w:p>
  </w:footnote>
  <w:footnote w:id="115">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This is not the place to discuss these debates in any detail.  In brief, some writers have questioned the potentially negative impact of peremptory norms on the structure and functionality of the international legal system. </w:t>
      </w:r>
      <w:r w:rsidRPr="00332040">
        <w:rPr>
          <w:i/>
          <w:sz w:val="20"/>
          <w:szCs w:val="20"/>
        </w:rPr>
        <w:t xml:space="preserve">See, e.g., </w:t>
      </w:r>
      <w:r w:rsidRPr="00332040">
        <w:rPr>
          <w:sz w:val="20"/>
          <w:szCs w:val="20"/>
        </w:rPr>
        <w:t xml:space="preserve">P. Weil, “Towards Relative Normativity in International Law?”, </w:t>
      </w:r>
      <w:r w:rsidRPr="00332040">
        <w:rPr>
          <w:i/>
          <w:sz w:val="20"/>
          <w:szCs w:val="20"/>
        </w:rPr>
        <w:t>American Journal of International Law</w:t>
      </w:r>
      <w:r w:rsidRPr="00332040">
        <w:rPr>
          <w:sz w:val="20"/>
          <w:szCs w:val="20"/>
        </w:rPr>
        <w:t xml:space="preserve">, vol. 77 (1983), pp. 413-442 (arguing, </w:t>
      </w:r>
      <w:r w:rsidRPr="00332040">
        <w:rPr>
          <w:i/>
          <w:sz w:val="20"/>
          <w:szCs w:val="20"/>
        </w:rPr>
        <w:t>inter alia</w:t>
      </w:r>
      <w:r w:rsidRPr="00332040">
        <w:rPr>
          <w:sz w:val="20"/>
          <w:szCs w:val="20"/>
        </w:rPr>
        <w:t xml:space="preserve">, that an approach to international law based on the values of the “international community” is dangerous since this does not reflect the reality of power structures within international relations and that the concept of a “relative normativity” of legal norms will act to dilute the rigor and certainty unpinning the law).  The political motivations that underpin the concept of </w:t>
      </w:r>
      <w:r w:rsidRPr="00332040">
        <w:rPr>
          <w:i/>
          <w:sz w:val="20"/>
          <w:szCs w:val="20"/>
        </w:rPr>
        <w:t>jus cogens</w:t>
      </w:r>
      <w:r w:rsidRPr="00332040">
        <w:rPr>
          <w:sz w:val="20"/>
          <w:szCs w:val="20"/>
        </w:rPr>
        <w:t xml:space="preserve"> have also been brought into question.  </w:t>
      </w:r>
      <w:r w:rsidRPr="00332040">
        <w:rPr>
          <w:i/>
          <w:sz w:val="20"/>
          <w:szCs w:val="20"/>
        </w:rPr>
        <w:t xml:space="preserve">See, e.g., </w:t>
      </w:r>
      <w:r w:rsidRPr="00332040">
        <w:rPr>
          <w:sz w:val="20"/>
          <w:szCs w:val="20"/>
        </w:rPr>
        <w:t xml:space="preserve">R. P. Barnidge, Jr., “Questioning the Legitimacy of </w:t>
      </w:r>
      <w:r w:rsidRPr="00332040">
        <w:rPr>
          <w:i/>
          <w:sz w:val="20"/>
          <w:szCs w:val="20"/>
        </w:rPr>
        <w:t>Jus Cogens</w:t>
      </w:r>
      <w:r w:rsidRPr="00332040">
        <w:rPr>
          <w:sz w:val="20"/>
          <w:szCs w:val="20"/>
        </w:rPr>
        <w:t xml:space="preserve"> in the Global Legal Order,” </w:t>
      </w:r>
      <w:r w:rsidRPr="00332040">
        <w:rPr>
          <w:i/>
          <w:sz w:val="20"/>
          <w:szCs w:val="20"/>
        </w:rPr>
        <w:t>Israel Yearbook of Human Rights</w:t>
      </w:r>
      <w:r w:rsidRPr="00332040">
        <w:rPr>
          <w:sz w:val="20"/>
          <w:szCs w:val="20"/>
        </w:rPr>
        <w:t>, vol. 38 (2008), pp. 199-225 at pp. 203–210 (arguing that “</w:t>
      </w:r>
      <w:r w:rsidRPr="00332040">
        <w:rPr>
          <w:i/>
          <w:sz w:val="20"/>
          <w:szCs w:val="20"/>
        </w:rPr>
        <w:t>jus cogens</w:t>
      </w:r>
      <w:r w:rsidRPr="00332040">
        <w:rPr>
          <w:sz w:val="20"/>
          <w:szCs w:val="20"/>
        </w:rPr>
        <w:t xml:space="preserve"> can operate in a way in which the minority elite can control and monopolise the terms of legal debate”).  A number of writers have taken such arguments further and questioned the very existence of </w:t>
      </w:r>
      <w:r w:rsidRPr="00332040">
        <w:rPr>
          <w:i/>
          <w:sz w:val="20"/>
          <w:szCs w:val="20"/>
        </w:rPr>
        <w:t>jus cogens</w:t>
      </w:r>
      <w:r w:rsidRPr="00332040">
        <w:rPr>
          <w:sz w:val="20"/>
          <w:szCs w:val="20"/>
        </w:rPr>
        <w:t xml:space="preserve"> norms.  </w:t>
      </w:r>
      <w:r w:rsidRPr="00332040">
        <w:rPr>
          <w:i/>
          <w:sz w:val="20"/>
          <w:szCs w:val="20"/>
        </w:rPr>
        <w:t xml:space="preserve">See, e.g., </w:t>
      </w:r>
      <w:r w:rsidRPr="00332040">
        <w:rPr>
          <w:sz w:val="20"/>
          <w:szCs w:val="20"/>
        </w:rPr>
        <w:t>G. A. Christenson, “</w:t>
      </w:r>
      <w:r w:rsidRPr="00332040">
        <w:rPr>
          <w:i/>
          <w:sz w:val="20"/>
          <w:szCs w:val="20"/>
        </w:rPr>
        <w:t>Jus Cogens</w:t>
      </w:r>
      <w:r w:rsidRPr="00332040">
        <w:rPr>
          <w:sz w:val="20"/>
          <w:szCs w:val="20"/>
        </w:rPr>
        <w:t xml:space="preserve">: Guarding Interests Fundamental to International Society,” </w:t>
      </w:r>
      <w:r w:rsidRPr="00332040">
        <w:rPr>
          <w:i/>
          <w:sz w:val="20"/>
          <w:szCs w:val="20"/>
        </w:rPr>
        <w:t>Virginia Journal of International Law</w:t>
      </w:r>
      <w:r w:rsidRPr="00332040">
        <w:rPr>
          <w:sz w:val="20"/>
          <w:szCs w:val="20"/>
        </w:rPr>
        <w:t xml:space="preserve">, vol. 28 (1987-1988), pp. 585-648 (arguing, </w:t>
      </w:r>
      <w:r w:rsidRPr="00332040">
        <w:rPr>
          <w:i/>
          <w:sz w:val="20"/>
          <w:szCs w:val="20"/>
        </w:rPr>
        <w:t>inter alia</w:t>
      </w:r>
      <w:r w:rsidRPr="00332040">
        <w:rPr>
          <w:sz w:val="20"/>
          <w:szCs w:val="20"/>
        </w:rPr>
        <w:t xml:space="preserve">, that the concept of </w:t>
      </w:r>
      <w:r w:rsidRPr="00332040">
        <w:rPr>
          <w:i/>
          <w:sz w:val="20"/>
          <w:szCs w:val="20"/>
        </w:rPr>
        <w:t>jus cogens</w:t>
      </w:r>
      <w:r w:rsidRPr="00332040">
        <w:rPr>
          <w:sz w:val="20"/>
          <w:szCs w:val="20"/>
        </w:rPr>
        <w:t xml:space="preserve"> does not correlate with a positivist system based on the will of sovereign States and that peremptory norms are, therefore, for the most part, merely aspirational); M. J. Glennon, “Peremptory Nonsense,” </w:t>
      </w:r>
      <w:r w:rsidRPr="00332040">
        <w:rPr>
          <w:i/>
          <w:sz w:val="20"/>
          <w:szCs w:val="20"/>
        </w:rPr>
        <w:t xml:space="preserve">in </w:t>
      </w:r>
      <w:r w:rsidRPr="00332040">
        <w:rPr>
          <w:sz w:val="20"/>
          <w:szCs w:val="20"/>
        </w:rPr>
        <w:t xml:space="preserve">S. Breitenmoser et al. (eds.), </w:t>
      </w:r>
      <w:r w:rsidRPr="00332040">
        <w:rPr>
          <w:i/>
          <w:sz w:val="20"/>
          <w:szCs w:val="20"/>
        </w:rPr>
        <w:t>Human Rights, Democracy and the Rule of Law: Liber Amicorum Luzius Wildhaber</w:t>
      </w:r>
      <w:r w:rsidRPr="00332040">
        <w:rPr>
          <w:sz w:val="20"/>
          <w:szCs w:val="20"/>
        </w:rPr>
        <w:t xml:space="preserve"> (2007), pp. 1265-1272 (arguing that the “core methodology” behind the </w:t>
      </w:r>
      <w:r w:rsidRPr="00332040">
        <w:rPr>
          <w:i/>
          <w:sz w:val="20"/>
          <w:szCs w:val="20"/>
        </w:rPr>
        <w:t>jus cogens</w:t>
      </w:r>
      <w:r w:rsidRPr="00332040">
        <w:rPr>
          <w:sz w:val="20"/>
          <w:szCs w:val="20"/>
        </w:rPr>
        <w:t xml:space="preserve"> concept—which attempts to mix natural law ideology with positivist underpinnings—is contradictory and incoherent).</w:t>
      </w:r>
    </w:p>
  </w:footnote>
  <w:footnote w:id="116">
    <w:p w:rsidR="00F44349" w:rsidRPr="00332040" w:rsidRDefault="00F44349" w:rsidP="00332040">
      <w:pPr>
        <w:pStyle w:val="FootnoteText"/>
        <w:spacing w:line="480" w:lineRule="auto"/>
        <w:jc w:val="both"/>
      </w:pPr>
      <w:r w:rsidRPr="00332040">
        <w:rPr>
          <w:rStyle w:val="FootnoteReference"/>
        </w:rPr>
        <w:footnoteRef/>
      </w:r>
      <w:r w:rsidRPr="00332040">
        <w:t xml:space="preserve"> The customary prohibition itself is evidenced, for example, by the International Convention on the Suppression and Punishment of the Crime of Apartheid 1973,</w:t>
      </w:r>
      <w:r w:rsidRPr="00332040">
        <w:rPr>
          <w:i/>
        </w:rPr>
        <w:t xml:space="preserve"> United Nations Treaty Series</w:t>
      </w:r>
      <w:r w:rsidRPr="00332040">
        <w:t xml:space="preserve">, vol. 1015, p. 243, which had 107 States Parties (as of July 2011).  On South Africa’s persistent objection, see Stein, note 89, p. 463; Charney, both in </w:t>
      </w:r>
      <w:r w:rsidRPr="00332040">
        <w:rPr>
          <w:lang w:val="en-US"/>
        </w:rPr>
        <w:t xml:space="preserve">J. I. Charney, “The Persistent Objector Rule and the Development of Customary International Law,” </w:t>
      </w:r>
      <w:r w:rsidRPr="00332040">
        <w:rPr>
          <w:i/>
          <w:lang w:val="en-US"/>
        </w:rPr>
        <w:t>British Yearbook of International Law</w:t>
      </w:r>
      <w:r w:rsidRPr="00332040">
        <w:rPr>
          <w:lang w:val="en-US"/>
        </w:rPr>
        <w:t>, vol. 56 (1986), pp. 1-24</w:t>
      </w:r>
      <w:r w:rsidRPr="00332040">
        <w:t xml:space="preserve"> at p. 15 and note 111, p. 539; Elias, note 82, pp. 46-47; </w:t>
      </w:r>
      <w:r w:rsidRPr="00332040">
        <w:rPr>
          <w:lang w:val="en-US"/>
        </w:rPr>
        <w:t>Steinfeld, note 86, p. 1655.</w:t>
      </w:r>
    </w:p>
  </w:footnote>
  <w:footnote w:id="117">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J. Dugard, </w:t>
      </w:r>
      <w:r w:rsidRPr="00332040">
        <w:rPr>
          <w:i/>
        </w:rPr>
        <w:t>International Law: A South African Perspective</w:t>
      </w:r>
      <w:r w:rsidRPr="00332040">
        <w:t xml:space="preserve"> </w:t>
      </w:r>
      <w:r w:rsidR="00CD7FAC">
        <w:t>(</w:t>
      </w:r>
      <w:r w:rsidRPr="00332040">
        <w:t>3</w:t>
      </w:r>
      <w:r w:rsidR="00CD7FAC">
        <w:t>d e</w:t>
      </w:r>
      <w:r w:rsidRPr="00332040">
        <w:t>d</w:t>
      </w:r>
      <w:r w:rsidR="00CD7FAC">
        <w:t xml:space="preserve">., </w:t>
      </w:r>
      <w:r w:rsidRPr="00332040">
        <w:t xml:space="preserve">2008), p. 32; L. Condorelli, “Custom,” </w:t>
      </w:r>
      <w:r w:rsidRPr="00332040">
        <w:rPr>
          <w:i/>
        </w:rPr>
        <w:t xml:space="preserve">in </w:t>
      </w:r>
      <w:r w:rsidRPr="00332040">
        <w:t xml:space="preserve">M. Bedjaoui (ed.), </w:t>
      </w:r>
      <w:r w:rsidRPr="00332040">
        <w:rPr>
          <w:i/>
        </w:rPr>
        <w:t>International Law: Achievements and Prospects</w:t>
      </w:r>
      <w:r w:rsidRPr="00332040">
        <w:t xml:space="preserve"> (1991), pp. 179-211 at p. 205.</w:t>
      </w:r>
    </w:p>
  </w:footnote>
  <w:footnote w:id="118">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As Charney notes, it is fairly clear that in the face of South Africa’s violation of a peremptory norm “persistent objector status did not in any way protect </w:t>
      </w:r>
      <w:r w:rsidR="00F43301">
        <w:rPr>
          <w:sz w:val="20"/>
          <w:szCs w:val="20"/>
        </w:rPr>
        <w:t>[it]</w:t>
      </w:r>
      <w:r w:rsidRPr="00332040">
        <w:rPr>
          <w:sz w:val="20"/>
          <w:szCs w:val="20"/>
        </w:rPr>
        <w:t xml:space="preserve"> from the pressure exerted by the international community to force </w:t>
      </w:r>
      <w:r w:rsidR="00F43301">
        <w:rPr>
          <w:sz w:val="20"/>
          <w:szCs w:val="20"/>
        </w:rPr>
        <w:t>[it]</w:t>
      </w:r>
      <w:r w:rsidRPr="00332040">
        <w:rPr>
          <w:sz w:val="20"/>
          <w:szCs w:val="20"/>
        </w:rPr>
        <w:t xml:space="preserve"> to conform.”  Charney, note 115, p. 15.</w:t>
      </w:r>
    </w:p>
  </w:footnote>
  <w:footnote w:id="119">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w:t>
      </w:r>
      <w:r w:rsidRPr="00332040">
        <w:rPr>
          <w:rStyle w:val="lucenesearchresulturlb"/>
        </w:rPr>
        <w:t xml:space="preserve">D. Weissbrodt, “Execution of Juvenile Offenders by the United States Violates International Human Rights Law,” </w:t>
      </w:r>
      <w:r w:rsidRPr="00332040">
        <w:rPr>
          <w:i/>
          <w:iCs/>
        </w:rPr>
        <w:t>American University Journal of International Law and Policy</w:t>
      </w:r>
      <w:r w:rsidRPr="00332040">
        <w:rPr>
          <w:rStyle w:val="lucenesearchresulturlb"/>
        </w:rPr>
        <w:t>, v</w:t>
      </w:r>
      <w:r w:rsidRPr="00332040">
        <w:t>ol. 3 (1988), pp., 339-382.</w:t>
      </w:r>
    </w:p>
  </w:footnote>
  <w:footnote w:id="120">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lang w:val="en-US"/>
        </w:rPr>
        <w:t>Domingues</w:t>
      </w:r>
      <w:r w:rsidRPr="00332040">
        <w:rPr>
          <w:lang w:val="en-US"/>
        </w:rPr>
        <w:t xml:space="preserve"> </w:t>
      </w:r>
      <w:r w:rsidRPr="00332040">
        <w:rPr>
          <w:i/>
          <w:lang w:val="en-US"/>
        </w:rPr>
        <w:t>v.</w:t>
      </w:r>
      <w:r w:rsidRPr="00332040">
        <w:rPr>
          <w:lang w:val="en-US"/>
        </w:rPr>
        <w:t xml:space="preserve"> </w:t>
      </w:r>
      <w:r w:rsidRPr="00332040">
        <w:rPr>
          <w:i/>
          <w:lang w:val="en-US"/>
        </w:rPr>
        <w:t>United States</w:t>
      </w:r>
      <w:r w:rsidRPr="00332040">
        <w:rPr>
          <w:lang w:val="en-US"/>
        </w:rPr>
        <w:t>, Merits, Inter-Am CHR (2002), Report No. 62/02, Case No. 12.285, in particular at para. 85.  Note, however, that a small number of writers have debated t</w:t>
      </w:r>
      <w:r w:rsidRPr="00332040">
        <w:t xml:space="preserve">he peremptory status of the prohibition of the execution of juveniles.  </w:t>
      </w:r>
      <w:r w:rsidRPr="00332040">
        <w:rPr>
          <w:i/>
        </w:rPr>
        <w:t xml:space="preserve">See, e.g., </w:t>
      </w:r>
      <w:r w:rsidRPr="00332040">
        <w:rPr>
          <w:rStyle w:val="lucenesearchresulturlb"/>
        </w:rPr>
        <w:t>Weissbrodt, note 118, pp. 369-371.</w:t>
      </w:r>
    </w:p>
  </w:footnote>
  <w:footnote w:id="121">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In 2005, the United States Supreme Court ruled that the juvenile death penalty was cruel and unusual punishment and was, therefore, prohibited by the Constitution.  </w:t>
      </w:r>
      <w:r w:rsidRPr="00332040">
        <w:rPr>
          <w:i/>
          <w:sz w:val="20"/>
          <w:szCs w:val="20"/>
        </w:rPr>
        <w:t xml:space="preserve">See </w:t>
      </w:r>
      <w:r w:rsidRPr="00332040">
        <w:rPr>
          <w:bCs/>
          <w:i/>
          <w:iCs/>
          <w:sz w:val="20"/>
          <w:szCs w:val="20"/>
        </w:rPr>
        <w:t>Roper v. Simmons,</w:t>
      </w:r>
      <w:r w:rsidRPr="00332040">
        <w:rPr>
          <w:sz w:val="20"/>
          <w:szCs w:val="20"/>
        </w:rPr>
        <w:t xml:space="preserve"> </w:t>
      </w:r>
      <w:r w:rsidRPr="00332040">
        <w:rPr>
          <w:rStyle w:val="plainlinks"/>
          <w:sz w:val="20"/>
          <w:szCs w:val="20"/>
        </w:rPr>
        <w:t>543 US 551 (2005).</w:t>
      </w:r>
    </w:p>
  </w:footnote>
  <w:footnote w:id="122">
    <w:p w:rsidR="00F44349" w:rsidRPr="00332040" w:rsidRDefault="00F44349" w:rsidP="00332040">
      <w:pPr>
        <w:pStyle w:val="FootnoteText"/>
        <w:spacing w:line="480" w:lineRule="auto"/>
        <w:jc w:val="both"/>
      </w:pPr>
      <w:r w:rsidRPr="00332040">
        <w:rPr>
          <w:rStyle w:val="FootnoteReference"/>
        </w:rPr>
        <w:footnoteRef/>
      </w:r>
      <w:r w:rsidRPr="00332040">
        <w:t xml:space="preserve"> This can be seen, for example, from the application of the persistent objector rule to exclusive fishing zones in the </w:t>
      </w:r>
      <w:r w:rsidRPr="00332040">
        <w:rPr>
          <w:rFonts w:eastAsia="Calibri"/>
          <w:bCs/>
          <w:i/>
          <w:lang w:val="en-US"/>
        </w:rPr>
        <w:t>Fisheries Case</w:t>
      </w:r>
      <w:r w:rsidRPr="00332040">
        <w:rPr>
          <w:bCs/>
          <w:lang w:val="en-US"/>
        </w:rPr>
        <w:t xml:space="preserve">, note 78, </w:t>
      </w:r>
      <w:r w:rsidRPr="00332040">
        <w:rPr>
          <w:rFonts w:eastAsia="Calibri"/>
          <w:bCs/>
          <w:lang w:val="en-US"/>
        </w:rPr>
        <w:t>p. 131</w:t>
      </w:r>
      <w:r w:rsidRPr="00332040">
        <w:rPr>
          <w:bCs/>
          <w:lang w:val="en-US"/>
        </w:rPr>
        <w:t>.  A more recent example is t</w:t>
      </w:r>
      <w:r w:rsidRPr="00332040">
        <w:t xml:space="preserve">he persistent objector status of the United States in relation to certain issues of free trade, as can be seen in the ongoing arbitration under Chapter 11 of the North American Free Trade Agreement, </w:t>
      </w:r>
      <w:r w:rsidRPr="00332040">
        <w:rPr>
          <w:i/>
        </w:rPr>
        <w:t xml:space="preserve">Grand River Enterprises Six Nations Ltd, et al. </w:t>
      </w:r>
      <w:r w:rsidRPr="00332040">
        <w:t>v</w:t>
      </w:r>
      <w:r w:rsidRPr="00332040">
        <w:rPr>
          <w:i/>
        </w:rPr>
        <w:t>. Government of the United States of America</w:t>
      </w:r>
      <w:r w:rsidRPr="00332040">
        <w:t>, Notice of Ar</w:t>
      </w:r>
      <w:r w:rsidR="00044A8E">
        <w:t xml:space="preserve">bitration (2004), UNCITL/NAFTA, </w:t>
      </w:r>
      <w:r w:rsidRPr="00332040">
        <w:t>&lt;http://naftaclaims.com/Disputes/USA/GrandRiver/GrandRiverNoticeOfArbitration.pdf&gt;.  For more on this, see L. E. Peterson, “Persistent Objector Argument also at Issue in NAFTA Case” (2009), &lt;http://kluwerarbitrationblog.com/blog/2009/07/14/persistent-objector-argument-also-at-issue-in-nafta-case&gt;.</w:t>
      </w:r>
    </w:p>
  </w:footnote>
  <w:footnote w:id="12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Tabassi, note 11, pp. 347-350.</w:t>
      </w:r>
    </w:p>
  </w:footnote>
  <w:footnote w:id="124">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Wable, note 6, p. 744.</w:t>
      </w:r>
    </w:p>
  </w:footnote>
  <w:footnote w:id="125">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For a more detailed analysis of how </w:t>
      </w:r>
      <w:r w:rsidRPr="00332040">
        <w:rPr>
          <w:i/>
          <w:sz w:val="20"/>
          <w:szCs w:val="20"/>
        </w:rPr>
        <w:t>jus cogens</w:t>
      </w:r>
      <w:r w:rsidRPr="00332040">
        <w:rPr>
          <w:sz w:val="20"/>
          <w:szCs w:val="20"/>
        </w:rPr>
        <w:t xml:space="preserve"> norms are created, see A. Orakhelashvili, </w:t>
      </w:r>
      <w:r w:rsidRPr="00332040">
        <w:rPr>
          <w:i/>
          <w:sz w:val="20"/>
          <w:szCs w:val="20"/>
        </w:rPr>
        <w:t xml:space="preserve">Peremptory Norms in International Law </w:t>
      </w:r>
      <w:r w:rsidRPr="00332040">
        <w:rPr>
          <w:sz w:val="20"/>
          <w:szCs w:val="20"/>
        </w:rPr>
        <w:t>(2006), pp. 36-130.</w:t>
      </w:r>
    </w:p>
  </w:footnote>
  <w:footnote w:id="126">
    <w:p w:rsidR="00F44349" w:rsidRPr="00332040" w:rsidRDefault="00F44349" w:rsidP="00332040">
      <w:pPr>
        <w:tabs>
          <w:tab w:val="left" w:pos="2865"/>
        </w:tabs>
        <w:spacing w:line="480" w:lineRule="auto"/>
        <w:jc w:val="both"/>
        <w:rPr>
          <w:sz w:val="20"/>
          <w:szCs w:val="20"/>
          <w:lang w:val="en-US"/>
        </w:rPr>
      </w:pPr>
      <w:r w:rsidRPr="00332040">
        <w:rPr>
          <w:rStyle w:val="FootnoteReference"/>
          <w:sz w:val="20"/>
          <w:szCs w:val="20"/>
          <w:lang w:val="en-US"/>
        </w:rPr>
        <w:footnoteRef/>
      </w:r>
      <w:r w:rsidRPr="00332040">
        <w:rPr>
          <w:sz w:val="20"/>
          <w:szCs w:val="20"/>
          <w:lang w:val="en-US"/>
        </w:rPr>
        <w:t xml:space="preserve"> </w:t>
      </w:r>
      <w:r w:rsidRPr="00332040">
        <w:rPr>
          <w:sz w:val="20"/>
          <w:szCs w:val="20"/>
        </w:rPr>
        <w:t>VCLT, note 3, Article 53.  Complementing Article 53 is Article 64 of the VCLT, which states: “If a new peremptory norm of general international law emerges, any existing treaty which is in conflict with that norm becomes void and terminates.”</w:t>
      </w:r>
    </w:p>
  </w:footnote>
  <w:footnote w:id="127">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J. A. Green, “Questioning the Peremptory Status of the Prohibition of the Use of Force,” </w:t>
      </w:r>
      <w:r w:rsidRPr="00332040">
        <w:rPr>
          <w:i/>
          <w:sz w:val="20"/>
          <w:szCs w:val="20"/>
        </w:rPr>
        <w:t>Michigan Journal of International Law</w:t>
      </w:r>
      <w:r w:rsidRPr="00332040">
        <w:rPr>
          <w:sz w:val="20"/>
          <w:szCs w:val="20"/>
        </w:rPr>
        <w:t>, vol. 32 (2011), pp. 215-257 at pp. 219-220.</w:t>
      </w:r>
    </w:p>
  </w:footnote>
  <w:footnote w:id="128">
    <w:p w:rsidR="00F44349" w:rsidRPr="00332040" w:rsidRDefault="00F44349" w:rsidP="00332040">
      <w:pPr>
        <w:spacing w:line="480" w:lineRule="auto"/>
        <w:jc w:val="both"/>
        <w:rPr>
          <w:sz w:val="20"/>
          <w:szCs w:val="20"/>
          <w:lang w:val="en-US"/>
        </w:rPr>
      </w:pPr>
      <w:r w:rsidRPr="00332040">
        <w:rPr>
          <w:rStyle w:val="FootnoteReference"/>
          <w:sz w:val="20"/>
          <w:szCs w:val="20"/>
          <w:lang w:val="en-US"/>
        </w:rPr>
        <w:footnoteRef/>
      </w:r>
      <w:r w:rsidRPr="00332040">
        <w:rPr>
          <w:sz w:val="20"/>
          <w:szCs w:val="20"/>
          <w:lang w:val="en-US"/>
        </w:rPr>
        <w:t xml:space="preserve"> </w:t>
      </w:r>
      <w:r w:rsidRPr="00332040">
        <w:rPr>
          <w:i/>
          <w:sz w:val="20"/>
          <w:szCs w:val="20"/>
          <w:lang w:val="en-US"/>
        </w:rPr>
        <w:t xml:space="preserve">See </w:t>
      </w:r>
      <w:r w:rsidRPr="00332040">
        <w:rPr>
          <w:sz w:val="20"/>
          <w:szCs w:val="20"/>
          <w:lang w:val="en-US"/>
        </w:rPr>
        <w:t xml:space="preserve">L. Hannikainen, </w:t>
      </w:r>
      <w:r w:rsidRPr="00332040">
        <w:rPr>
          <w:i/>
          <w:sz w:val="20"/>
          <w:szCs w:val="20"/>
          <w:lang w:val="en-US"/>
        </w:rPr>
        <w:t>Peremptory Norms</w:t>
      </w:r>
      <w:r w:rsidRPr="00332040">
        <w:rPr>
          <w:sz w:val="20"/>
          <w:szCs w:val="20"/>
          <w:lang w:val="en-US"/>
        </w:rPr>
        <w:t xml:space="preserve"> (Jus Cogens) </w:t>
      </w:r>
      <w:r w:rsidRPr="00332040">
        <w:rPr>
          <w:i/>
          <w:sz w:val="20"/>
          <w:szCs w:val="20"/>
          <w:lang w:val="en-US"/>
        </w:rPr>
        <w:t>in International Law: Historical Development, Criteria, Present Status</w:t>
      </w:r>
      <w:r w:rsidRPr="00332040">
        <w:rPr>
          <w:sz w:val="20"/>
          <w:szCs w:val="20"/>
          <w:lang w:val="en-US"/>
        </w:rPr>
        <w:t xml:space="preserve"> </w:t>
      </w:r>
      <w:r w:rsidRPr="00332040">
        <w:rPr>
          <w:sz w:val="20"/>
          <w:szCs w:val="20"/>
        </w:rPr>
        <w:t>(1988), p. 3.</w:t>
      </w:r>
    </w:p>
  </w:footnote>
  <w:footnote w:id="129">
    <w:p w:rsidR="00F44349" w:rsidRPr="00332040" w:rsidRDefault="00F44349" w:rsidP="00332040">
      <w:pPr>
        <w:autoSpaceDE w:val="0"/>
        <w:autoSpaceDN w:val="0"/>
        <w:adjustRightInd w:val="0"/>
        <w:spacing w:line="480" w:lineRule="auto"/>
        <w:jc w:val="both"/>
        <w:rPr>
          <w:i/>
          <w:iCs/>
          <w:sz w:val="20"/>
          <w:szCs w:val="20"/>
        </w:rPr>
      </w:pPr>
      <w:r w:rsidRPr="00332040">
        <w:rPr>
          <w:rStyle w:val="FootnoteReference"/>
          <w:sz w:val="20"/>
          <w:szCs w:val="20"/>
        </w:rPr>
        <w:footnoteRef/>
      </w:r>
      <w:r w:rsidRPr="00332040">
        <w:rPr>
          <w:sz w:val="20"/>
          <w:szCs w:val="20"/>
        </w:rPr>
        <w:t xml:space="preserve"> </w:t>
      </w:r>
      <w:r w:rsidRPr="00332040">
        <w:rPr>
          <w:rFonts w:eastAsia="Calibri"/>
          <w:bCs/>
          <w:sz w:val="20"/>
          <w:szCs w:val="20"/>
          <w:lang w:eastAsia="en-US"/>
        </w:rPr>
        <w:t>U.N. Doc. A/CONF.39/C.1/SR.80</w:t>
      </w:r>
      <w:r w:rsidRPr="00332040">
        <w:rPr>
          <w:sz w:val="20"/>
          <w:szCs w:val="20"/>
        </w:rPr>
        <w:t>, p. 472.</w:t>
      </w:r>
    </w:p>
  </w:footnote>
  <w:footnote w:id="130">
    <w:p w:rsidR="00F44349" w:rsidRPr="00332040" w:rsidRDefault="00F44349" w:rsidP="00332040">
      <w:pPr>
        <w:pStyle w:val="BodyText"/>
        <w:spacing w:line="480" w:lineRule="auto"/>
        <w:ind w:firstLine="0"/>
        <w:rPr>
          <w:rFonts w:ascii="Times New Roman" w:hAnsi="Times New Roman"/>
          <w:sz w:val="20"/>
        </w:rPr>
      </w:pPr>
      <w:r w:rsidRPr="00332040">
        <w:rPr>
          <w:rStyle w:val="FootnoteReference"/>
          <w:rFonts w:ascii="Times New Roman" w:hAnsi="Times New Roman"/>
          <w:sz w:val="20"/>
        </w:rPr>
        <w:footnoteRef/>
      </w:r>
      <w:r w:rsidRPr="00332040">
        <w:rPr>
          <w:rFonts w:ascii="Times New Roman" w:hAnsi="Times New Roman"/>
          <w:sz w:val="20"/>
        </w:rPr>
        <w:t xml:space="preserve"> C. L. Rozakis, </w:t>
      </w:r>
      <w:r w:rsidRPr="00332040">
        <w:rPr>
          <w:rFonts w:ascii="Times New Roman" w:hAnsi="Times New Roman"/>
          <w:i/>
          <w:sz w:val="20"/>
        </w:rPr>
        <w:t xml:space="preserve">The Concept of </w:t>
      </w:r>
      <w:r w:rsidRPr="00332040">
        <w:rPr>
          <w:rFonts w:ascii="Times New Roman" w:hAnsi="Times New Roman"/>
          <w:sz w:val="20"/>
        </w:rPr>
        <w:t>Jus Cogens</w:t>
      </w:r>
      <w:r w:rsidRPr="00332040">
        <w:rPr>
          <w:rFonts w:ascii="Times New Roman" w:hAnsi="Times New Roman"/>
          <w:i/>
          <w:sz w:val="20"/>
        </w:rPr>
        <w:t xml:space="preserve"> in the Law of Treaties</w:t>
      </w:r>
      <w:r w:rsidRPr="00332040">
        <w:rPr>
          <w:rFonts w:ascii="Times New Roman" w:hAnsi="Times New Roman"/>
          <w:sz w:val="20"/>
        </w:rPr>
        <w:t xml:space="preserve"> (1976), p. 15.</w:t>
      </w:r>
    </w:p>
  </w:footnote>
  <w:footnote w:id="131">
    <w:p w:rsidR="00F44349" w:rsidRPr="00332040" w:rsidRDefault="00F44349" w:rsidP="00332040">
      <w:pPr>
        <w:pStyle w:val="FootnoteText"/>
        <w:spacing w:line="480" w:lineRule="auto"/>
        <w:jc w:val="both"/>
      </w:pPr>
      <w:r w:rsidRPr="00332040">
        <w:rPr>
          <w:rStyle w:val="FootnoteReference"/>
        </w:rPr>
        <w:footnoteRef/>
      </w:r>
      <w:r w:rsidRPr="00332040">
        <w:t xml:space="preserve"> Barnidge, note 114, p. 205.</w:t>
      </w:r>
    </w:p>
  </w:footnote>
  <w:footnote w:id="132">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Green, note 126.</w:t>
      </w:r>
    </w:p>
  </w:footnote>
  <w:footnote w:id="13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 xml:space="preserve">D. Lisson, “Defining National Group in the Genocide Convention: A Case Study of Timor-Leste,” </w:t>
      </w:r>
      <w:r w:rsidRPr="00332040">
        <w:rPr>
          <w:i/>
        </w:rPr>
        <w:t>Stanford Law Review</w:t>
      </w:r>
      <w:r w:rsidRPr="00332040">
        <w:t>, vol. 60 (2007-2008), pp. 1459-1496 at p. 1463.</w:t>
      </w:r>
    </w:p>
  </w:footnote>
  <w:footnote w:id="134">
    <w:p w:rsidR="00F44349" w:rsidRPr="00332040" w:rsidRDefault="00F44349" w:rsidP="00332040">
      <w:pPr>
        <w:pStyle w:val="FootnoteText"/>
        <w:spacing w:line="480" w:lineRule="auto"/>
        <w:jc w:val="both"/>
      </w:pPr>
      <w:r w:rsidRPr="00332040">
        <w:rPr>
          <w:rStyle w:val="FootnoteReference"/>
        </w:rPr>
        <w:footnoteRef/>
      </w:r>
      <w:r w:rsidRPr="00332040">
        <w:t xml:space="preserve"> Tabassi, note 11, p. 349.</w:t>
      </w:r>
    </w:p>
  </w:footnote>
  <w:footnote w:id="135">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 xml:space="preserve">O. Abasheikh, “The Validity of the Persistent Objector Rule in International Law,” </w:t>
      </w:r>
      <w:r w:rsidRPr="00332040">
        <w:rPr>
          <w:i/>
        </w:rPr>
        <w:t>Coventry Law Journal</w:t>
      </w:r>
      <w:r w:rsidRPr="00332040">
        <w:t xml:space="preserve">, vol. 9 (2004), pp. 40-47 at p. 46 (arguing that a major problem with the persistent objector rule is that in practice it does not necessarily </w:t>
      </w:r>
      <w:r w:rsidR="00647465">
        <w:t xml:space="preserve">always </w:t>
      </w:r>
      <w:r w:rsidRPr="00332040">
        <w:t>exempt a State from a norm it has persistently objected to).</w:t>
      </w:r>
    </w:p>
  </w:footnote>
  <w:footnote w:id="136">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The rights of indigenous peoples are protected under international law through a combination general human rights provisions and anti-discrimination norms, as well as more specialised instruments that aim specifically at protecting indigenous groups.  See, in particular, the United Nations Declaration on the Rights of Indigenous Peoples 2007, annexed to General Assembly Resolution 61/296, U.N. Doc. A/RES/61/296 (2007);</w:t>
      </w:r>
      <w:r w:rsidR="00647465">
        <w:rPr>
          <w:sz w:val="20"/>
          <w:szCs w:val="20"/>
        </w:rPr>
        <w:t xml:space="preserve"> </w:t>
      </w:r>
      <w:r w:rsidRPr="00332040">
        <w:rPr>
          <w:sz w:val="20"/>
          <w:szCs w:val="20"/>
        </w:rPr>
        <w:t xml:space="preserve">International Labour Organisation Convention No. 169 Concerning Indigenous and Tribal Peoples in Independent Countries 1989, &lt;http://www.ilo.org/ilolex/cgi-lex/convde.pl?C169&gt;; Universal Declaration of Human Rights 1948, annexed to General Assembly Resolution 217 A(III), U.N. Doc. A/RES/217(III); International Covenant on Civil and Political Rights 1966, </w:t>
      </w:r>
      <w:r w:rsidRPr="00332040">
        <w:rPr>
          <w:i/>
          <w:sz w:val="20"/>
          <w:szCs w:val="20"/>
        </w:rPr>
        <w:t>United Nations Treaty Series</w:t>
      </w:r>
      <w:r w:rsidRPr="00332040">
        <w:rPr>
          <w:sz w:val="20"/>
          <w:szCs w:val="20"/>
        </w:rPr>
        <w:t xml:space="preserve">, vol. 999, p. 171, particularly Article 27; International Convention on the Elimination of All Forms of Racial Discrimination 1966, </w:t>
      </w:r>
      <w:r w:rsidRPr="00332040">
        <w:rPr>
          <w:i/>
          <w:sz w:val="20"/>
          <w:szCs w:val="20"/>
        </w:rPr>
        <w:t>United Nations Treaty Series</w:t>
      </w:r>
      <w:r w:rsidRPr="00332040">
        <w:rPr>
          <w:sz w:val="20"/>
          <w:szCs w:val="20"/>
        </w:rPr>
        <w:t xml:space="preserve">, vol. 660, p. 195.  There has been increasing agreement, particularly since the 1990s, that a number of the obligations contained within these instruments have also attained the status of customary international law.  </w:t>
      </w:r>
      <w:r w:rsidRPr="00332040">
        <w:rPr>
          <w:i/>
          <w:sz w:val="20"/>
          <w:szCs w:val="20"/>
        </w:rPr>
        <w:t>See</w:t>
      </w:r>
      <w:r w:rsidRPr="00332040">
        <w:rPr>
          <w:sz w:val="20"/>
          <w:szCs w:val="20"/>
        </w:rPr>
        <w:t xml:space="preserve"> J. S Anaya, </w:t>
      </w:r>
      <w:r w:rsidRPr="00332040">
        <w:rPr>
          <w:i/>
          <w:sz w:val="20"/>
          <w:szCs w:val="20"/>
        </w:rPr>
        <w:t>Indigenous Peoples in International Law</w:t>
      </w:r>
      <w:r w:rsidRPr="00332040">
        <w:rPr>
          <w:sz w:val="20"/>
          <w:szCs w:val="20"/>
        </w:rPr>
        <w:t xml:space="preserve"> </w:t>
      </w:r>
      <w:r w:rsidR="000B7B6D">
        <w:rPr>
          <w:sz w:val="20"/>
          <w:szCs w:val="20"/>
        </w:rPr>
        <w:t>(</w:t>
      </w:r>
      <w:r w:rsidRPr="00332040">
        <w:rPr>
          <w:sz w:val="20"/>
          <w:szCs w:val="20"/>
        </w:rPr>
        <w:t xml:space="preserve">2d </w:t>
      </w:r>
      <w:r w:rsidR="000B7B6D">
        <w:rPr>
          <w:sz w:val="20"/>
          <w:szCs w:val="20"/>
        </w:rPr>
        <w:t>e</w:t>
      </w:r>
      <w:r w:rsidRPr="00332040">
        <w:rPr>
          <w:sz w:val="20"/>
          <w:szCs w:val="20"/>
        </w:rPr>
        <w:t>d</w:t>
      </w:r>
      <w:r w:rsidR="000B7B6D">
        <w:rPr>
          <w:sz w:val="20"/>
          <w:szCs w:val="20"/>
        </w:rPr>
        <w:t xml:space="preserve">., </w:t>
      </w:r>
      <w:r w:rsidRPr="00332040">
        <w:rPr>
          <w:sz w:val="20"/>
          <w:szCs w:val="20"/>
        </w:rPr>
        <w:t xml:space="preserve">1996), pp. 61-72. </w:t>
      </w:r>
    </w:p>
  </w:footnote>
  <w:footnote w:id="137">
    <w:p w:rsidR="00F44349" w:rsidRPr="00332040" w:rsidRDefault="00F44349" w:rsidP="00332040">
      <w:pPr>
        <w:autoSpaceDE w:val="0"/>
        <w:autoSpaceDN w:val="0"/>
        <w:adjustRightInd w:val="0"/>
        <w:spacing w:line="480" w:lineRule="auto"/>
        <w:jc w:val="both"/>
        <w:rPr>
          <w:bCs/>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w:t>
      </w:r>
      <w:r w:rsidRPr="00332040">
        <w:rPr>
          <w:bCs/>
          <w:sz w:val="20"/>
          <w:szCs w:val="20"/>
        </w:rPr>
        <w:t xml:space="preserve">Indigenous Rights Outlined by UN,” </w:t>
      </w:r>
      <w:r w:rsidRPr="00332040">
        <w:rPr>
          <w:bCs/>
          <w:i/>
          <w:sz w:val="20"/>
          <w:szCs w:val="20"/>
        </w:rPr>
        <w:t>BBC News</w:t>
      </w:r>
      <w:r>
        <w:rPr>
          <w:bCs/>
          <w:sz w:val="20"/>
          <w:szCs w:val="20"/>
        </w:rPr>
        <w:t>, 13 Sept. 2007</w:t>
      </w:r>
      <w:r w:rsidRPr="00332040">
        <w:rPr>
          <w:bCs/>
          <w:sz w:val="20"/>
          <w:szCs w:val="20"/>
        </w:rPr>
        <w:t xml:space="preserve">, </w:t>
      </w:r>
    </w:p>
    <w:p w:rsidR="00F44349" w:rsidRPr="00332040" w:rsidRDefault="00F44349" w:rsidP="00332040">
      <w:pPr>
        <w:autoSpaceDE w:val="0"/>
        <w:autoSpaceDN w:val="0"/>
        <w:adjustRightInd w:val="0"/>
        <w:spacing w:line="480" w:lineRule="auto"/>
        <w:jc w:val="both"/>
        <w:rPr>
          <w:sz w:val="20"/>
          <w:szCs w:val="20"/>
        </w:rPr>
      </w:pPr>
      <w:r w:rsidRPr="00332040">
        <w:rPr>
          <w:bCs/>
          <w:sz w:val="20"/>
          <w:szCs w:val="20"/>
        </w:rPr>
        <w:t>&lt;</w:t>
      </w:r>
      <w:r w:rsidRPr="00332040">
        <w:rPr>
          <w:sz w:val="20"/>
          <w:szCs w:val="20"/>
        </w:rPr>
        <w:t>http://news.bbc.co.uk/1/hi/in_depth/6993776.stm&gt;.  Moreover, Australia is not a Party to the International Labour Organisation Convention No. 169, note 134, and was one of only four States to vote against the General Assembly’s adoption of the Declaration on the Rights of Indigenous Peoples.</w:t>
      </w:r>
    </w:p>
  </w:footnote>
  <w:footnote w:id="138">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In 2009, Australia explicitly endorsed the 2007 Declaration on the Rights of Indigenous Peoples, and apparently reversed its position on the customary status of a number of provisions contained within it.  </w:t>
      </w:r>
      <w:r w:rsidRPr="00332040">
        <w:rPr>
          <w:i/>
          <w:sz w:val="20"/>
          <w:szCs w:val="20"/>
        </w:rPr>
        <w:t>See</w:t>
      </w:r>
      <w:r w:rsidRPr="00332040">
        <w:rPr>
          <w:sz w:val="20"/>
          <w:szCs w:val="20"/>
        </w:rPr>
        <w:t xml:space="preserve"> “Experts Hail Australia’s Backing of UN Declaration of Indigenous Peoples’ Rights,” </w:t>
      </w:r>
      <w:r w:rsidRPr="00332040">
        <w:rPr>
          <w:i/>
          <w:sz w:val="20"/>
          <w:szCs w:val="20"/>
        </w:rPr>
        <w:t>United Nations News Centre</w:t>
      </w:r>
      <w:r w:rsidRPr="00332040">
        <w:rPr>
          <w:sz w:val="20"/>
          <w:szCs w:val="20"/>
        </w:rPr>
        <w:t>, 3 Apr. 2009, &lt;http://www.un.org/apps/news/story.asp?NewsID=30382&gt;.  It should be noted that this reversal was partly due to a change in Canberra from a government led by Prime Minister John Howard to a government led by Prime Minister Kevin Rudd.</w:t>
      </w:r>
    </w:p>
  </w:footnote>
  <w:footnote w:id="139">
    <w:p w:rsidR="00F44349" w:rsidRPr="00332040" w:rsidRDefault="00F44349" w:rsidP="00332040">
      <w:pPr>
        <w:pStyle w:val="FootnoteText"/>
        <w:spacing w:line="480" w:lineRule="auto"/>
        <w:jc w:val="both"/>
      </w:pPr>
      <w:r w:rsidRPr="00332040">
        <w:rPr>
          <w:rStyle w:val="FootnoteReference"/>
        </w:rPr>
        <w:footnoteRef/>
      </w:r>
      <w:r w:rsidRPr="00332040">
        <w:t xml:space="preserve"> See notes 57-64 and accompanying text.</w:t>
      </w:r>
    </w:p>
  </w:footnote>
  <w:footnote w:id="140">
    <w:p w:rsidR="00F44349" w:rsidRPr="00332040" w:rsidRDefault="00F44349" w:rsidP="00332040">
      <w:pPr>
        <w:pStyle w:val="FootnoteText"/>
        <w:spacing w:line="480" w:lineRule="auto"/>
        <w:jc w:val="both"/>
        <w:rPr>
          <w:lang w:val="it-IT"/>
        </w:rPr>
      </w:pPr>
      <w:r w:rsidRPr="00332040">
        <w:rPr>
          <w:rStyle w:val="FootnoteReference"/>
        </w:rPr>
        <w:footnoteRef/>
      </w:r>
      <w:r w:rsidRPr="00332040">
        <w:rPr>
          <w:lang w:val="it-IT"/>
        </w:rPr>
        <w:t xml:space="preserve"> </w:t>
      </w:r>
      <w:r w:rsidRPr="00332040">
        <w:rPr>
          <w:i/>
          <w:lang w:val="it-IT"/>
        </w:rPr>
        <w:t xml:space="preserve">See </w:t>
      </w:r>
      <w:r w:rsidRPr="00332040">
        <w:rPr>
          <w:lang w:val="it-IT"/>
        </w:rPr>
        <w:t>Rai, note 97, p. 221.</w:t>
      </w:r>
    </w:p>
  </w:footnote>
  <w:footnote w:id="141">
    <w:p w:rsidR="00F44349" w:rsidRPr="00332040" w:rsidRDefault="00F44349" w:rsidP="00332040">
      <w:pPr>
        <w:pStyle w:val="FootnoteText"/>
        <w:spacing w:line="480" w:lineRule="auto"/>
        <w:jc w:val="both"/>
        <w:rPr>
          <w:lang w:val="it-IT"/>
        </w:rPr>
      </w:pPr>
      <w:r w:rsidRPr="00332040">
        <w:rPr>
          <w:rStyle w:val="FootnoteReference"/>
        </w:rPr>
        <w:footnoteRef/>
      </w:r>
      <w:r w:rsidRPr="00332040">
        <w:rPr>
          <w:lang w:val="it-IT"/>
        </w:rPr>
        <w:t xml:space="preserve"> </w:t>
      </w:r>
      <w:r w:rsidRPr="00332040">
        <w:rPr>
          <w:i/>
          <w:lang w:val="it-IT"/>
        </w:rPr>
        <w:t xml:space="preserve">See </w:t>
      </w:r>
      <w:r w:rsidRPr="00332040">
        <w:rPr>
          <w:lang w:val="it-IT"/>
        </w:rPr>
        <w:t>Tabassi, note 11, pp. 347-350.</w:t>
      </w:r>
    </w:p>
  </w:footnote>
  <w:footnote w:id="142">
    <w:p w:rsidR="00F44349" w:rsidRPr="00332040" w:rsidRDefault="00F44349" w:rsidP="00332040">
      <w:pPr>
        <w:pStyle w:val="FootnoteText"/>
        <w:spacing w:line="480" w:lineRule="auto"/>
        <w:jc w:val="both"/>
      </w:pPr>
      <w:r w:rsidRPr="00332040">
        <w:rPr>
          <w:rStyle w:val="FootnoteReference"/>
        </w:rPr>
        <w:footnoteRef/>
      </w:r>
      <w:r w:rsidRPr="00332040">
        <w:t xml:space="preserve"> See note 59 and accompanying text.</w:t>
      </w:r>
    </w:p>
  </w:footnote>
  <w:footnote w:id="14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Wable, note 6, p. 755.</w:t>
      </w:r>
    </w:p>
  </w:footnote>
  <w:footnote w:id="144">
    <w:p w:rsidR="00F44349" w:rsidRPr="00332040" w:rsidRDefault="00F44349" w:rsidP="00332040">
      <w:pPr>
        <w:pStyle w:val="FootnoteText"/>
        <w:spacing w:line="480" w:lineRule="auto"/>
        <w:jc w:val="both"/>
      </w:pPr>
      <w:r w:rsidRPr="00332040">
        <w:rPr>
          <w:rStyle w:val="FootnoteReference"/>
        </w:rPr>
        <w:footnoteRef/>
      </w:r>
      <w:r w:rsidRPr="00332040">
        <w:t xml:space="preserve"> Lahore Declaration and Memorandum of Understanding Between India and Pakistan 1999, &lt;http://www.nti.org/e_research/official_docs/inventory/pdfs/aptlahore.pdf&gt;.</w:t>
      </w:r>
    </w:p>
  </w:footnote>
  <w:footnote w:id="145">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Article 4.</w:t>
      </w:r>
    </w:p>
  </w:footnote>
  <w:footnote w:id="146">
    <w:p w:rsidR="00F44349" w:rsidRPr="00332040" w:rsidRDefault="00F44349" w:rsidP="00332040">
      <w:pPr>
        <w:pStyle w:val="FootnoteText"/>
        <w:spacing w:line="480" w:lineRule="auto"/>
        <w:jc w:val="both"/>
      </w:pPr>
      <w:r w:rsidRPr="00332040">
        <w:rPr>
          <w:rStyle w:val="FootnoteReference"/>
        </w:rPr>
        <w:footnoteRef/>
      </w:r>
      <w:r w:rsidRPr="00332040">
        <w:t xml:space="preserve"> On the non-binding nature of MOUs, and on their potential status as soft law, see Aust, note 36, pp. 32-57.</w:t>
      </w:r>
    </w:p>
  </w:footnote>
  <w:footnote w:id="147">
    <w:p w:rsidR="00F44349" w:rsidRPr="00332040" w:rsidRDefault="00F44349" w:rsidP="00332040">
      <w:pPr>
        <w:pStyle w:val="FootnoteText"/>
        <w:spacing w:line="480" w:lineRule="auto"/>
        <w:jc w:val="both"/>
      </w:pPr>
      <w:r w:rsidRPr="00332040">
        <w:rPr>
          <w:rStyle w:val="FootnoteReference"/>
        </w:rPr>
        <w:footnoteRef/>
      </w:r>
      <w:r w:rsidRPr="00332040">
        <w:t xml:space="preserve"> Lahore MOU, note 143, Article 4.</w:t>
      </w:r>
    </w:p>
  </w:footnote>
  <w:footnote w:id="148">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w:t>
      </w:r>
      <w:r w:rsidRPr="00332040">
        <w:rPr>
          <w:bCs/>
          <w:kern w:val="36"/>
          <w:sz w:val="20"/>
          <w:szCs w:val="20"/>
        </w:rPr>
        <w:t xml:space="preserve">“India Stays Firm, Rejects NPT, CTBT,” </w:t>
      </w:r>
      <w:r w:rsidRPr="00332040">
        <w:rPr>
          <w:i/>
          <w:sz w:val="20"/>
          <w:szCs w:val="20"/>
        </w:rPr>
        <w:t>The Economic Times of India</w:t>
      </w:r>
      <w:r w:rsidRPr="00332040">
        <w:rPr>
          <w:sz w:val="20"/>
          <w:szCs w:val="20"/>
        </w:rPr>
        <w:t xml:space="preserve">, </w:t>
      </w:r>
      <w:r w:rsidRPr="00332040">
        <w:rPr>
          <w:rStyle w:val="byline"/>
          <w:sz w:val="20"/>
          <w:szCs w:val="20"/>
        </w:rPr>
        <w:t>26 Sept. 2009, &lt;</w:t>
      </w:r>
      <w:r w:rsidRPr="00332040">
        <w:rPr>
          <w:sz w:val="20"/>
          <w:szCs w:val="20"/>
        </w:rPr>
        <w:t>http://economictimes.indiatimes.com/news/politics/nation/india-stays-firm-rejects-npt-ctbt/articleshow/5058444.cms&gt;.</w:t>
      </w:r>
    </w:p>
  </w:footnote>
  <w:footnote w:id="149">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Letter Dated 23 September 2009 from India’s Permanent Representative to the United Nations to the United States Permanent Representative to the United Nations, quoted in “India says no to NPT as Non-Nuclear Weapon State,” </w:t>
      </w:r>
      <w:r w:rsidRPr="00332040">
        <w:rPr>
          <w:i/>
          <w:sz w:val="20"/>
          <w:szCs w:val="20"/>
        </w:rPr>
        <w:t>iGovernment</w:t>
      </w:r>
      <w:r w:rsidRPr="00332040">
        <w:rPr>
          <w:sz w:val="20"/>
          <w:szCs w:val="20"/>
        </w:rPr>
        <w:t xml:space="preserve"> (2009), &lt;http://igovernment.in/site/India-says-no-to-NPT-as-non-nuclear-weapon-state&gt;.</w:t>
      </w:r>
    </w:p>
  </w:footnote>
  <w:footnote w:id="150">
    <w:p w:rsidR="00F44349" w:rsidRPr="00332040" w:rsidRDefault="00F44349" w:rsidP="00332040">
      <w:pPr>
        <w:pStyle w:val="FootnoteText"/>
        <w:spacing w:line="480" w:lineRule="auto"/>
        <w:jc w:val="both"/>
      </w:pPr>
      <w:r w:rsidRPr="00332040">
        <w:rPr>
          <w:rStyle w:val="FootnoteReference"/>
        </w:rPr>
        <w:footnoteRef/>
      </w:r>
      <w:r w:rsidRPr="00332040">
        <w:t xml:space="preserve"> Rai, note 97, p. 208.</w:t>
      </w:r>
    </w:p>
  </w:footnote>
  <w:footnote w:id="151">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w:t>
      </w:r>
      <w:r w:rsidRPr="00332040">
        <w:rPr>
          <w:lang w:val="en-US"/>
        </w:rPr>
        <w:t>Steinfeld, note 86, p. 1676, p. 1680 and p. 1685.</w:t>
      </w:r>
    </w:p>
  </w:footnote>
  <w:footnote w:id="152">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Frey, note 7, particularly at pp. 18-21; Rai, note 97, p. 221.</w:t>
      </w:r>
    </w:p>
  </w:footnote>
  <w:footnote w:id="15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generally</w:t>
      </w:r>
      <w:r w:rsidRPr="00332040">
        <w:t xml:space="preserve"> Subsection III(B).</w:t>
      </w:r>
    </w:p>
  </w:footnote>
  <w:footnote w:id="154">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Ntoubandi, note 95, p. 273.</w:t>
      </w:r>
    </w:p>
  </w:footnote>
  <w:footnote w:id="155">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 e.g., ibid.</w:t>
      </w:r>
      <w:r w:rsidRPr="00332040">
        <w:rPr>
          <w:sz w:val="20"/>
          <w:szCs w:val="20"/>
        </w:rPr>
        <w:t xml:space="preserve">; J. Müller, “The Signing of the US-India Agreement Concerning Peaceful Uses of Nuclear Energy,” </w:t>
      </w:r>
      <w:r w:rsidRPr="00332040">
        <w:rPr>
          <w:i/>
          <w:iCs/>
          <w:sz w:val="20"/>
          <w:szCs w:val="20"/>
        </w:rPr>
        <w:t>Göttingen Journal of International Law</w:t>
      </w:r>
      <w:r w:rsidRPr="00332040">
        <w:rPr>
          <w:sz w:val="20"/>
          <w:szCs w:val="20"/>
        </w:rPr>
        <w:t xml:space="preserve">, vol. 1 (2009), pp. 179-198; K. Heinzelman, “Towards Common Interests and Responsibilities: The U.S.-India Civil Nuclear Deal and the International Nonproliferation Regime,” </w:t>
      </w:r>
      <w:r w:rsidRPr="00332040">
        <w:rPr>
          <w:i/>
          <w:sz w:val="20"/>
          <w:szCs w:val="20"/>
        </w:rPr>
        <w:t>Yale Journal of International Law</w:t>
      </w:r>
      <w:r w:rsidRPr="00332040">
        <w:rPr>
          <w:sz w:val="20"/>
          <w:szCs w:val="20"/>
        </w:rPr>
        <w:t xml:space="preserve">, vol. 33 (2008), pp. 447-478; Erkel, note 29; Chari (ed.), note 15; </w:t>
      </w:r>
      <w:r w:rsidRPr="00332040">
        <w:rPr>
          <w:bCs/>
          <w:sz w:val="20"/>
          <w:szCs w:val="20"/>
        </w:rPr>
        <w:t xml:space="preserve">A. Gupta (coordinator – various contributors), </w:t>
      </w:r>
      <w:r w:rsidRPr="00332040">
        <w:rPr>
          <w:iCs/>
          <w:sz w:val="20"/>
          <w:szCs w:val="20"/>
        </w:rPr>
        <w:t xml:space="preserve">“Indo-US Nuclear Deal: A Debate,” </w:t>
      </w:r>
      <w:r w:rsidRPr="00332040">
        <w:rPr>
          <w:i/>
          <w:iCs/>
          <w:sz w:val="20"/>
          <w:szCs w:val="20"/>
        </w:rPr>
        <w:t>Vikalpa</w:t>
      </w:r>
      <w:r w:rsidRPr="00332040">
        <w:rPr>
          <w:sz w:val="20"/>
          <w:szCs w:val="20"/>
        </w:rPr>
        <w:t xml:space="preserve">, vol. 32 (2007), pp. 87-111; Joyner, note 4, pp. 37-40; Singh, note 29; Choudhury, note 93; R. P. Rajagopalan, “Indo-US Nuclear Deal: Implications for India and the Global N-Regime,” </w:t>
      </w:r>
      <w:r w:rsidRPr="00332040">
        <w:rPr>
          <w:i/>
          <w:sz w:val="20"/>
          <w:szCs w:val="20"/>
        </w:rPr>
        <w:t>Institute of Peace and Conflict Studies</w:t>
      </w:r>
      <w:r w:rsidRPr="00332040">
        <w:rPr>
          <w:sz w:val="20"/>
          <w:szCs w:val="20"/>
        </w:rPr>
        <w:t>, vol. 62, Special</w:t>
      </w:r>
      <w:r w:rsidRPr="00332040">
        <w:rPr>
          <w:i/>
          <w:sz w:val="20"/>
          <w:szCs w:val="20"/>
        </w:rPr>
        <w:t xml:space="preserve"> </w:t>
      </w:r>
      <w:r w:rsidRPr="00332040">
        <w:rPr>
          <w:sz w:val="20"/>
          <w:szCs w:val="20"/>
        </w:rPr>
        <w:t>Report</w:t>
      </w:r>
      <w:r w:rsidRPr="00332040">
        <w:rPr>
          <w:i/>
          <w:sz w:val="20"/>
          <w:szCs w:val="20"/>
        </w:rPr>
        <w:t xml:space="preserve"> </w:t>
      </w:r>
      <w:r w:rsidRPr="00332040">
        <w:rPr>
          <w:sz w:val="20"/>
          <w:szCs w:val="20"/>
        </w:rPr>
        <w:t xml:space="preserve">(2008), pp. 1-12; Wable, note 6; Carranza, note 31 pp. 108-137; </w:t>
      </w:r>
      <w:r w:rsidRPr="00332040">
        <w:rPr>
          <w:bCs/>
          <w:sz w:val="20"/>
          <w:szCs w:val="20"/>
        </w:rPr>
        <w:t xml:space="preserve">M. Sultan and M. B. Adil, “The Henry J. Hyde Act and the 123 Agreement: An Assessment,” </w:t>
      </w:r>
      <w:r w:rsidRPr="00332040">
        <w:rPr>
          <w:i/>
          <w:sz w:val="20"/>
          <w:szCs w:val="20"/>
        </w:rPr>
        <w:t>South Asian Strategic Stability Institute</w:t>
      </w:r>
      <w:r w:rsidRPr="00332040">
        <w:rPr>
          <w:sz w:val="20"/>
          <w:szCs w:val="20"/>
        </w:rPr>
        <w:t>, Policy Brief 11 (2008), pp.1-8 at p. 3, &lt;http://www.sassi.org/pdfs/The%20123%20Agreement%20and%20Hyde%20Act.pdf&gt;.</w:t>
      </w:r>
    </w:p>
  </w:footnote>
  <w:footnote w:id="156">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123 Agreement, note 28, in particular Articles 5(6)(a) and 5(6)(b).</w:t>
      </w:r>
    </w:p>
  </w:footnote>
  <w:footnote w:id="157">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Articles 5(6)(c) and 10(1) respectively.</w:t>
      </w:r>
    </w:p>
  </w:footnote>
  <w:footnote w:id="158">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Article 10(2).</w:t>
      </w:r>
    </w:p>
  </w:footnote>
  <w:footnote w:id="159">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Article 9.</w:t>
      </w:r>
    </w:p>
  </w:footnote>
  <w:footnote w:id="160">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preamble.</w:t>
      </w:r>
    </w:p>
  </w:footnote>
  <w:footnote w:id="161">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Paulus and Müller, note 24, p. 118; Ntoubandi, note 95, pp. 280-281; Gahlaut, note 7, p. 236; Carranza, note 31, p. 8 and p. 130; Joyner, note 4, p. 40.</w:t>
      </w:r>
    </w:p>
  </w:footnote>
  <w:footnote w:id="162">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 xml:space="preserve">Choudhury, note 93, pp. 7-8.  On India’s delivery systems programmes for nuclear and other weapons generally, see </w:t>
      </w:r>
      <w:r w:rsidRPr="00332040">
        <w:rPr>
          <w:bCs/>
          <w:sz w:val="20"/>
          <w:szCs w:val="20"/>
        </w:rPr>
        <w:t>Ahlström, note 90</w:t>
      </w:r>
      <w:r w:rsidRPr="00332040">
        <w:rPr>
          <w:sz w:val="20"/>
          <w:szCs w:val="20"/>
        </w:rPr>
        <w:t>.</w:t>
      </w:r>
    </w:p>
  </w:footnote>
  <w:footnote w:id="163">
    <w:p w:rsidR="00F44349" w:rsidRPr="00332040" w:rsidRDefault="00F44349" w:rsidP="00332040">
      <w:pPr>
        <w:autoSpaceDE w:val="0"/>
        <w:autoSpaceDN w:val="0"/>
        <w:adjustRightInd w:val="0"/>
        <w:spacing w:line="480" w:lineRule="auto"/>
        <w:jc w:val="both"/>
        <w:rPr>
          <w:iCs/>
          <w:sz w:val="20"/>
          <w:szCs w:val="20"/>
        </w:rPr>
      </w:pPr>
      <w:r w:rsidRPr="00332040">
        <w:rPr>
          <w:rStyle w:val="FootnoteReference"/>
          <w:sz w:val="20"/>
          <w:szCs w:val="20"/>
        </w:rPr>
        <w:footnoteRef/>
      </w:r>
      <w:r w:rsidRPr="00332040">
        <w:rPr>
          <w:sz w:val="20"/>
          <w:szCs w:val="20"/>
        </w:rPr>
        <w:t xml:space="preserve"> This “separation” obligation is apparent in a number of provisions of the Agreement, but see particularly 123 Agreement, note 28, Article 5(6)(c).  </w:t>
      </w:r>
      <w:r w:rsidRPr="00332040">
        <w:rPr>
          <w:iCs/>
          <w:sz w:val="20"/>
          <w:szCs w:val="20"/>
        </w:rPr>
        <w:t xml:space="preserve">For more detail on India’s “separation plan” under the 123 Agreement, see “Report Pursuant to Section 104(c) of the Hyde Act Regarding Civil Nuclear Cooperation with India,” </w:t>
      </w:r>
      <w:r w:rsidRPr="00332040">
        <w:rPr>
          <w:sz w:val="20"/>
          <w:szCs w:val="20"/>
        </w:rPr>
        <w:t>Submitted to the United States Congress, 10 Sept. 2008, &lt;http://www.hcfa.house.gov/110/press091108d.pdf&gt;.</w:t>
      </w:r>
    </w:p>
  </w:footnote>
  <w:footnote w:id="164">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Carranza, note 31, p. 8; J. Cirincione, “Nuclear Cave In,” </w:t>
      </w:r>
      <w:r w:rsidRPr="00332040">
        <w:rPr>
          <w:i/>
          <w:iCs/>
          <w:sz w:val="20"/>
          <w:szCs w:val="20"/>
        </w:rPr>
        <w:t>Pac Net</w:t>
      </w:r>
      <w:r w:rsidRPr="00332040">
        <w:rPr>
          <w:sz w:val="20"/>
          <w:szCs w:val="20"/>
        </w:rPr>
        <w:t>, No. 8A, Pacific Forum, Center for Strategic an</w:t>
      </w:r>
      <w:r w:rsidR="0097358E">
        <w:rPr>
          <w:sz w:val="20"/>
          <w:szCs w:val="20"/>
        </w:rPr>
        <w:t xml:space="preserve">d International Studies (2006), </w:t>
      </w:r>
      <w:r w:rsidRPr="00332040">
        <w:rPr>
          <w:sz w:val="20"/>
          <w:szCs w:val="20"/>
        </w:rPr>
        <w:t>&lt;http://www.csis.org/media/csis/pubs/pac0608a.pdf&gt;; D. G</w:t>
      </w:r>
      <w:r w:rsidR="00647465">
        <w:rPr>
          <w:sz w:val="20"/>
          <w:szCs w:val="20"/>
        </w:rPr>
        <w:t>.</w:t>
      </w:r>
      <w:r w:rsidRPr="00332040">
        <w:rPr>
          <w:sz w:val="20"/>
          <w:szCs w:val="20"/>
        </w:rPr>
        <w:t xml:space="preserve"> Kimball, “Dangerous Deal with New Delhi,” </w:t>
      </w:r>
      <w:r w:rsidRPr="00332040">
        <w:rPr>
          <w:i/>
          <w:iCs/>
          <w:sz w:val="20"/>
          <w:szCs w:val="20"/>
        </w:rPr>
        <w:t>Baltimore Sun</w:t>
      </w:r>
      <w:r w:rsidRPr="00332040">
        <w:rPr>
          <w:sz w:val="20"/>
          <w:szCs w:val="20"/>
        </w:rPr>
        <w:t xml:space="preserve">, 9 Mar. 2006, &lt;http://www.commondreams.org/views06/0309-25.htm&gt;; Paulus and Müller, note 24, p. 117; Ntoubandi, note 95, p. 278. </w:t>
      </w:r>
    </w:p>
  </w:footnote>
  <w:footnote w:id="165">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Wable, note 6, p. 756; Choudhury, note 93, p. 16.</w:t>
      </w:r>
    </w:p>
  </w:footnote>
  <w:footnote w:id="166">
    <w:p w:rsidR="00F44349" w:rsidRPr="00332040" w:rsidRDefault="00F44349" w:rsidP="00332040">
      <w:pPr>
        <w:autoSpaceDE w:val="0"/>
        <w:autoSpaceDN w:val="0"/>
        <w:adjustRightInd w:val="0"/>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R. Nayan, “Pakistan’s Annual Deception,” </w:t>
      </w:r>
      <w:r w:rsidRPr="00332040">
        <w:rPr>
          <w:i/>
          <w:sz w:val="20"/>
          <w:szCs w:val="20"/>
        </w:rPr>
        <w:t>Institute for Defence Studies and Analysis Comment</w:t>
      </w:r>
      <w:r w:rsidRPr="00332040">
        <w:rPr>
          <w:sz w:val="20"/>
          <w:szCs w:val="20"/>
        </w:rPr>
        <w:t xml:space="preserve"> (2011), &lt;http://www.idsa.in/idsacomments/PakistansAnnualDeception_RajivNayan_230211&gt;; Gahlaut, note 7, p. 237; A. Tellis, “Atoms for War? US-Indian Civilian Nuclear Cooperation and India's Nuclear Arsenal,” </w:t>
      </w:r>
      <w:r w:rsidRPr="00332040">
        <w:rPr>
          <w:i/>
          <w:sz w:val="20"/>
          <w:szCs w:val="20"/>
        </w:rPr>
        <w:t>Carnegie Endowment Report</w:t>
      </w:r>
      <w:r w:rsidRPr="00332040">
        <w:rPr>
          <w:sz w:val="20"/>
          <w:szCs w:val="20"/>
        </w:rPr>
        <w:t xml:space="preserve"> (2006), </w:t>
      </w:r>
    </w:p>
    <w:p w:rsidR="00F44349" w:rsidRPr="00332040" w:rsidRDefault="00F44349" w:rsidP="00332040">
      <w:pPr>
        <w:autoSpaceDE w:val="0"/>
        <w:autoSpaceDN w:val="0"/>
        <w:adjustRightInd w:val="0"/>
        <w:spacing w:line="480" w:lineRule="auto"/>
        <w:jc w:val="both"/>
        <w:rPr>
          <w:sz w:val="20"/>
          <w:szCs w:val="20"/>
        </w:rPr>
      </w:pPr>
      <w:r w:rsidRPr="00332040">
        <w:rPr>
          <w:sz w:val="20"/>
          <w:szCs w:val="20"/>
        </w:rPr>
        <w:t xml:space="preserve">&lt;http://www.carnegieendowment.org/files/atomsforwarfinal4.pdf&gt;; R. Rajaraman, “Implications of the Indo-US Nuclear Deal for India’s Energy and Military Programmes,” </w:t>
      </w:r>
      <w:r w:rsidRPr="00332040">
        <w:rPr>
          <w:i/>
          <w:sz w:val="20"/>
          <w:szCs w:val="20"/>
        </w:rPr>
        <w:t xml:space="preserve">in </w:t>
      </w:r>
      <w:r w:rsidRPr="00332040">
        <w:rPr>
          <w:sz w:val="20"/>
          <w:szCs w:val="20"/>
        </w:rPr>
        <w:t>Chari (ed.), note 15, pp. 123-142 at p. 141.</w:t>
      </w:r>
    </w:p>
  </w:footnote>
  <w:footnote w:id="167">
    <w:p w:rsidR="00F44349" w:rsidRPr="00332040" w:rsidRDefault="00F44349" w:rsidP="00332040">
      <w:pPr>
        <w:pStyle w:val="FootnoteText"/>
        <w:spacing w:line="480" w:lineRule="auto"/>
        <w:jc w:val="both"/>
      </w:pPr>
      <w:r w:rsidRPr="00332040">
        <w:rPr>
          <w:rStyle w:val="FootnoteReference"/>
        </w:rPr>
        <w:footnoteRef/>
      </w:r>
      <w:r w:rsidRPr="00332040">
        <w:t xml:space="preserve"> See writers referred to in note 29.</w:t>
      </w:r>
    </w:p>
  </w:footnote>
  <w:footnote w:id="168">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Erkel, note 29, p. 13.</w:t>
      </w:r>
    </w:p>
  </w:footnote>
  <w:footnote w:id="169">
    <w:p w:rsidR="00F44349" w:rsidRPr="00332040" w:rsidRDefault="00F44349" w:rsidP="00332040">
      <w:pPr>
        <w:autoSpaceDE w:val="0"/>
        <w:autoSpaceDN w:val="0"/>
        <w:adjustRightInd w:val="0"/>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Choudhury, note 93, p. 4; Joyner, note 4, p. 37; S. Varadarajan, “The India-Specific Safeguards Agreement and Additional Protocol: A Legal and Political Analysis,” draft paper, presented at the third “123 Agreement Project” workshop hosted by the Indian Society of International Law, New Delhi, 2 Apr. 2011 (on file with author, cited with permission), p. 3.</w:t>
      </w:r>
    </w:p>
  </w:footnote>
  <w:footnote w:id="170">
    <w:p w:rsidR="00F44349" w:rsidRPr="00332040" w:rsidRDefault="00F44349" w:rsidP="00332040">
      <w:pPr>
        <w:spacing w:line="480" w:lineRule="auto"/>
        <w:jc w:val="both"/>
        <w:rPr>
          <w:sz w:val="20"/>
          <w:szCs w:val="20"/>
          <w:highlight w:val="red"/>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Rajagopalan, note 154, p. 3.</w:t>
      </w:r>
    </w:p>
  </w:footnote>
  <w:footnote w:id="171">
    <w:p w:rsidR="00F44349" w:rsidRPr="00332040" w:rsidRDefault="00F44349" w:rsidP="00332040">
      <w:pPr>
        <w:pStyle w:val="NormalWeb"/>
        <w:spacing w:before="0" w:beforeAutospacing="0" w:after="0" w:afterAutospacing="0" w:line="480" w:lineRule="auto"/>
        <w:jc w:val="both"/>
        <w:rPr>
          <w:rFonts w:eastAsia="Times New Roman"/>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rFonts w:eastAsia="Times New Roman"/>
          <w:bCs/>
          <w:sz w:val="20"/>
          <w:szCs w:val="20"/>
        </w:rPr>
        <w:t>Joint Statement Between President George W. Bush and Prime Minister Manmohan Singh (2005), &lt;http://georgewbush-whitehouse.archives.gov/news/releases/2005/07/20050718-6.html&gt;.</w:t>
      </w:r>
    </w:p>
  </w:footnote>
  <w:footnote w:id="172">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Nuclear Suppliers Group, “Statement on Civil Nuclear Cooperation with India” (2008), para. 2(g), &lt;http://www.armscontrol.org/system/files/20080906_Final_NSG_Statement.pdf&gt;.</w:t>
      </w:r>
    </w:p>
  </w:footnote>
  <w:footnote w:id="17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 xml:space="preserve">Wable, note 6, p. 726. “Full-scope” safeguards are those that relate to all nuclear facilities on the State’s territory.  </w:t>
      </w:r>
      <w:r w:rsidRPr="00332040">
        <w:rPr>
          <w:i/>
        </w:rPr>
        <w:t>See</w:t>
      </w:r>
      <w:r w:rsidRPr="00332040">
        <w:t xml:space="preserve"> Joyner, note 4, p. 37.</w:t>
      </w:r>
    </w:p>
  </w:footnote>
  <w:footnote w:id="174">
    <w:p w:rsidR="00F44349" w:rsidRPr="00332040" w:rsidRDefault="00F44349" w:rsidP="00332040">
      <w:pPr>
        <w:pStyle w:val="FootnoteText"/>
        <w:spacing w:line="480" w:lineRule="auto"/>
        <w:jc w:val="both"/>
      </w:pPr>
      <w:r w:rsidRPr="00332040">
        <w:rPr>
          <w:rStyle w:val="FootnoteReference"/>
        </w:rPr>
        <w:footnoteRef/>
      </w:r>
      <w:r w:rsidRPr="00332040">
        <w:t xml:space="preserve"> Joyner, note 4, pp. 37-38.</w:t>
      </w:r>
    </w:p>
  </w:footnote>
  <w:footnote w:id="175">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Nakanishi, note 29, p. 21.</w:t>
      </w:r>
    </w:p>
  </w:footnote>
  <w:footnote w:id="176">
    <w:p w:rsidR="00F44349" w:rsidRPr="00332040" w:rsidRDefault="00F44349" w:rsidP="00332040">
      <w:pPr>
        <w:spacing w:line="480" w:lineRule="auto"/>
        <w:jc w:val="both"/>
        <w:rPr>
          <w:sz w:val="20"/>
          <w:szCs w:val="20"/>
          <w:lang w:val="es-ES_tradnl"/>
        </w:rPr>
      </w:pPr>
      <w:r w:rsidRPr="00332040">
        <w:rPr>
          <w:rStyle w:val="FootnoteReference"/>
          <w:sz w:val="20"/>
          <w:szCs w:val="20"/>
        </w:rPr>
        <w:footnoteRef/>
      </w:r>
      <w:r w:rsidRPr="00332040">
        <w:rPr>
          <w:sz w:val="20"/>
          <w:szCs w:val="20"/>
          <w:lang w:val="es-ES_tradnl"/>
        </w:rPr>
        <w:t xml:space="preserve"> </w:t>
      </w:r>
      <w:r w:rsidRPr="00332040">
        <w:rPr>
          <w:i/>
          <w:sz w:val="20"/>
          <w:szCs w:val="20"/>
          <w:lang w:val="es-ES_tradnl"/>
        </w:rPr>
        <w:t>Ibid.</w:t>
      </w:r>
      <w:r w:rsidRPr="00332040">
        <w:rPr>
          <w:sz w:val="20"/>
          <w:szCs w:val="20"/>
          <w:lang w:val="es-ES_tradnl"/>
        </w:rPr>
        <w:t>, p. 15.</w:t>
      </w:r>
    </w:p>
  </w:footnote>
  <w:footnote w:id="177">
    <w:p w:rsidR="00F44349" w:rsidRPr="00332040" w:rsidRDefault="00F44349" w:rsidP="00332040">
      <w:pPr>
        <w:pStyle w:val="FootnoteText"/>
        <w:spacing w:line="480" w:lineRule="auto"/>
        <w:jc w:val="both"/>
        <w:rPr>
          <w:lang w:val="es-ES_tradnl"/>
        </w:rPr>
      </w:pPr>
      <w:r w:rsidRPr="00332040">
        <w:rPr>
          <w:rStyle w:val="FootnoteReference"/>
        </w:rPr>
        <w:footnoteRef/>
      </w:r>
      <w:r w:rsidRPr="00332040">
        <w:rPr>
          <w:bCs/>
          <w:lang w:val="es-ES_tradnl"/>
        </w:rPr>
        <w:t xml:space="preserve"> AEA, note 28, Section 123.</w:t>
      </w:r>
    </w:p>
  </w:footnote>
  <w:footnote w:id="178">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xml:space="preserve">, </w:t>
      </w:r>
      <w:r w:rsidRPr="00332040">
        <w:rPr>
          <w:bCs/>
        </w:rPr>
        <w:t>Section 123</w:t>
      </w:r>
      <w:r w:rsidRPr="00332040">
        <w:t>(a)(2).</w:t>
      </w:r>
    </w:p>
  </w:footnote>
  <w:footnote w:id="179">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Wable, note 6, pp. 724-725.</w:t>
      </w:r>
    </w:p>
  </w:footnote>
  <w:footnote w:id="180">
    <w:p w:rsidR="00F44349" w:rsidRPr="00332040" w:rsidRDefault="00F44349" w:rsidP="00332040">
      <w:pPr>
        <w:pStyle w:val="FootnoteText"/>
        <w:spacing w:line="480" w:lineRule="auto"/>
        <w:jc w:val="both"/>
      </w:pPr>
      <w:r w:rsidRPr="00332040">
        <w:rPr>
          <w:rStyle w:val="FootnoteReference"/>
        </w:rPr>
        <w:footnoteRef/>
      </w:r>
      <w:r w:rsidRPr="00332040">
        <w:t xml:space="preserve"> Henry J. Hyde United States-India Peaceful Atomic Energy Cooperation Act, </w:t>
      </w:r>
      <w:r w:rsidRPr="00332040">
        <w:rPr>
          <w:i/>
        </w:rPr>
        <w:t>House of Representatives</w:t>
      </w:r>
      <w:r w:rsidRPr="00332040">
        <w:t xml:space="preserve"> 5682 (2006).</w:t>
      </w:r>
    </w:p>
  </w:footnote>
  <w:footnote w:id="181">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Section 106.</w:t>
      </w:r>
    </w:p>
  </w:footnote>
  <w:footnote w:id="182">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AEA, note 28, Section 129.</w:t>
      </w:r>
    </w:p>
  </w:footnote>
  <w:footnote w:id="183">
    <w:p w:rsidR="00F44349" w:rsidRPr="00332040" w:rsidRDefault="00F44349" w:rsidP="00332040">
      <w:pPr>
        <w:pStyle w:val="FootnoteText"/>
        <w:spacing w:line="480" w:lineRule="auto"/>
        <w:jc w:val="both"/>
      </w:pPr>
      <w:r w:rsidRPr="00332040">
        <w:rPr>
          <w:rStyle w:val="FootnoteReference"/>
        </w:rPr>
        <w:footnoteRef/>
      </w:r>
      <w:r w:rsidRPr="00332040">
        <w:t xml:space="preserve"> Arms Export Control Act, </w:t>
      </w:r>
      <w:r w:rsidRPr="00332040">
        <w:rPr>
          <w:i/>
        </w:rPr>
        <w:t>House of Representatives</w:t>
      </w:r>
      <w:r w:rsidRPr="00332040">
        <w:t xml:space="preserve"> 13680, Section 102 (1977).</w:t>
      </w:r>
    </w:p>
  </w:footnote>
  <w:footnote w:id="184">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note 6.</w:t>
      </w:r>
    </w:p>
  </w:footnote>
  <w:footnote w:id="185">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AECA, note 182, Sections 102(5) and 102(6)(B).</w:t>
      </w:r>
    </w:p>
  </w:footnote>
  <w:footnote w:id="186">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Chari, note 15, p. 15 (taking the view that if India tested again, “sanctions would be imposed” because the Glenn Amendment would clearly apply).</w:t>
      </w:r>
    </w:p>
  </w:footnote>
  <w:footnote w:id="187">
    <w:p w:rsidR="00F44349" w:rsidRPr="00332040" w:rsidRDefault="00F44349" w:rsidP="00332040">
      <w:pPr>
        <w:spacing w:line="480" w:lineRule="auto"/>
        <w:jc w:val="both"/>
        <w:rPr>
          <w:bCs/>
          <w:sz w:val="20"/>
          <w:szCs w:val="20"/>
        </w:rPr>
      </w:pPr>
      <w:r w:rsidRPr="00332040">
        <w:rPr>
          <w:rStyle w:val="FootnoteReference"/>
          <w:sz w:val="20"/>
          <w:szCs w:val="20"/>
        </w:rPr>
        <w:footnoteRef/>
      </w:r>
      <w:r w:rsidRPr="00332040">
        <w:rPr>
          <w:sz w:val="20"/>
          <w:szCs w:val="20"/>
        </w:rPr>
        <w:t xml:space="preserve"> Quoted in </w:t>
      </w:r>
      <w:r w:rsidRPr="00332040">
        <w:rPr>
          <w:bCs/>
          <w:sz w:val="20"/>
          <w:szCs w:val="20"/>
        </w:rPr>
        <w:t xml:space="preserve">A. Kumar, “Does India have the Right to Test a Nuclear Weapon?”, </w:t>
      </w:r>
      <w:r w:rsidRPr="00332040">
        <w:rPr>
          <w:i/>
          <w:sz w:val="20"/>
          <w:szCs w:val="20"/>
        </w:rPr>
        <w:t>Daily News and Analysis</w:t>
      </w:r>
      <w:r w:rsidRPr="00332040">
        <w:rPr>
          <w:sz w:val="20"/>
          <w:szCs w:val="20"/>
        </w:rPr>
        <w:t>, 16 Aug. 2007, &lt;http://www.dnaindia.com/india/report_does-india-have-the-right-to-test-a-nuclear-weapon_1115866-all&gt;.</w:t>
      </w:r>
    </w:p>
  </w:footnote>
  <w:footnote w:id="188">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Müller, note 154, p. 190 and pp. 196-197; Choudhury, note 93, p. 15; Rajaraman, note 165, p. 128.</w:t>
      </w:r>
    </w:p>
  </w:footnote>
  <w:footnote w:id="189">
    <w:p w:rsidR="00F44349" w:rsidRPr="00332040" w:rsidRDefault="00F44349" w:rsidP="00332040">
      <w:pPr>
        <w:pStyle w:val="FootnoteText"/>
        <w:spacing w:line="480" w:lineRule="auto"/>
        <w:jc w:val="both"/>
      </w:pPr>
      <w:r w:rsidRPr="00332040">
        <w:rPr>
          <w:rStyle w:val="FootnoteReference"/>
        </w:rPr>
        <w:footnoteRef/>
      </w:r>
      <w:r w:rsidRPr="00332040">
        <w:t xml:space="preserve"> 123 Agreement, note 28, Article 2(4).</w:t>
      </w:r>
    </w:p>
  </w:footnote>
  <w:footnote w:id="190">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rPr>
          <w:bCs/>
        </w:rPr>
        <w:t>Sultan and Adil, note 154, p. 3.</w:t>
      </w:r>
    </w:p>
  </w:footnote>
  <w:footnote w:id="191">
    <w:p w:rsidR="00F44349" w:rsidRPr="00332040" w:rsidRDefault="00F44349" w:rsidP="00332040">
      <w:pPr>
        <w:pStyle w:val="FootnoteText"/>
        <w:tabs>
          <w:tab w:val="left" w:pos="2127"/>
        </w:tabs>
        <w:spacing w:line="480" w:lineRule="auto"/>
        <w:jc w:val="both"/>
        <w:rPr>
          <w:lang w:val="it-IT"/>
        </w:rPr>
      </w:pPr>
      <w:r w:rsidRPr="00332040">
        <w:rPr>
          <w:rStyle w:val="FootnoteReference"/>
        </w:rPr>
        <w:footnoteRef/>
      </w:r>
      <w:r w:rsidRPr="00332040">
        <w:rPr>
          <w:lang w:val="it-IT"/>
        </w:rPr>
        <w:t xml:space="preserve"> </w:t>
      </w:r>
      <w:r w:rsidRPr="00332040">
        <w:rPr>
          <w:i/>
          <w:lang w:val="it-IT"/>
        </w:rPr>
        <w:t>See ibid.</w:t>
      </w:r>
      <w:r w:rsidRPr="00332040">
        <w:rPr>
          <w:lang w:val="it-IT"/>
        </w:rPr>
        <w:t>; Ntoubandi, note 95, p. 278; Kazi, note 29, p. 93.</w:t>
      </w:r>
    </w:p>
  </w:footnote>
  <w:footnote w:id="192">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w:t>
      </w:r>
      <w:r w:rsidRPr="00332040">
        <w:rPr>
          <w:bCs/>
          <w:sz w:val="20"/>
          <w:szCs w:val="20"/>
        </w:rPr>
        <w:t xml:space="preserve">Testimony before the Senate Foreign Relations Committee: “The U.S.-India Civil Nuclear Deal” A Statement by Robert J. Einhorn (Senior Adviser), </w:t>
      </w:r>
      <w:r w:rsidRPr="00332040">
        <w:rPr>
          <w:sz w:val="20"/>
          <w:szCs w:val="20"/>
        </w:rPr>
        <w:t xml:space="preserve">Center for Strategic and International Studies </w:t>
      </w:r>
      <w:r w:rsidRPr="00332040">
        <w:rPr>
          <w:bCs/>
          <w:sz w:val="20"/>
          <w:szCs w:val="20"/>
        </w:rPr>
        <w:t>(2006), &lt;http://csis.org/files/media/csis/congress/ts060426einhorn.pdf&gt; (“</w:t>
      </w:r>
      <w:r w:rsidRPr="00332040">
        <w:rPr>
          <w:sz w:val="20"/>
          <w:szCs w:val="20"/>
        </w:rPr>
        <w:t>Several of the steps promised by India are simply reaffirmations of existing commitments, including its pledges to continue its unilateral moratorium on nuclear weapons testing [. . .]”).</w:t>
      </w:r>
    </w:p>
  </w:footnote>
  <w:footnote w:id="19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w:t>
      </w:r>
    </w:p>
  </w:footnote>
  <w:footnote w:id="194">
    <w:p w:rsidR="00F44349" w:rsidRPr="00332040" w:rsidRDefault="00F44349" w:rsidP="00332040">
      <w:pPr>
        <w:pStyle w:val="FootnoteText"/>
        <w:spacing w:line="480" w:lineRule="auto"/>
        <w:jc w:val="both"/>
      </w:pPr>
      <w:r w:rsidRPr="00332040">
        <w:rPr>
          <w:rStyle w:val="FootnoteReference"/>
        </w:rPr>
        <w:footnoteRef/>
      </w:r>
      <w:r w:rsidRPr="00332040">
        <w:t xml:space="preserve"> These States were Austria, China, Ireland, the Netherlands, New Zealand, Norway and Switzerland.  </w:t>
      </w:r>
      <w:r w:rsidRPr="00332040">
        <w:rPr>
          <w:i/>
        </w:rPr>
        <w:t>See</w:t>
      </w:r>
      <w:r w:rsidRPr="00332040">
        <w:t xml:space="preserve"> Chari, note 15, p. 3; Kerr, note 29, p. 27.</w:t>
      </w:r>
    </w:p>
  </w:footnote>
  <w:footnote w:id="195">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Ntoubandi, note 95, p. 278.</w:t>
      </w:r>
    </w:p>
  </w:footnote>
  <w:footnote w:id="196">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Chari, note 15, p. 3.</w:t>
      </w:r>
    </w:p>
  </w:footnote>
  <w:footnote w:id="197">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note 193 and accompanying text.</w:t>
      </w:r>
    </w:p>
  </w:footnote>
  <w:footnote w:id="198">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D. H. Joyner, “Restructuring the Multilateral Export Control Regime System,” </w:t>
      </w:r>
      <w:r w:rsidRPr="00332040">
        <w:rPr>
          <w:i/>
        </w:rPr>
        <w:t>Journal of Conflict and Security Law</w:t>
      </w:r>
      <w:r w:rsidRPr="00332040">
        <w:t>, vol. 9 (2004), pp. 181-211, generally, but particularly at p. 184 and pp. 190-194</w:t>
      </w:r>
      <w:r w:rsidR="00647465">
        <w:t xml:space="preserve">; </w:t>
      </w:r>
      <w:r w:rsidR="00647465" w:rsidRPr="00332040">
        <w:t>Joyner, note 4</w:t>
      </w:r>
      <w:r w:rsidR="00647465">
        <w:t>8</w:t>
      </w:r>
      <w:r w:rsidR="00647465" w:rsidRPr="00332040">
        <w:t xml:space="preserve">, pp. </w:t>
      </w:r>
      <w:r w:rsidR="00647465">
        <w:t>51-56</w:t>
      </w:r>
      <w:r w:rsidR="00647465" w:rsidRPr="00332040">
        <w:t>, generally, but particularly at p.</w:t>
      </w:r>
      <w:r w:rsidR="00647465">
        <w:t xml:space="preserve"> 55</w:t>
      </w:r>
      <w:r w:rsidRPr="00332040">
        <w:t>.</w:t>
      </w:r>
    </w:p>
  </w:footnote>
  <w:footnote w:id="199">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NSG Statement, note 171, para. 2(g).</w:t>
      </w:r>
    </w:p>
  </w:footnote>
  <w:footnote w:id="200">
    <w:p w:rsidR="00F44349" w:rsidRPr="00332040" w:rsidRDefault="00F44349" w:rsidP="00332040">
      <w:pPr>
        <w:pStyle w:val="FootnoteText"/>
        <w:spacing w:line="480" w:lineRule="auto"/>
        <w:jc w:val="both"/>
        <w:rPr>
          <w:lang w:val="de-DE"/>
        </w:rPr>
      </w:pPr>
      <w:r w:rsidRPr="00332040">
        <w:rPr>
          <w:rStyle w:val="FootnoteReference"/>
        </w:rPr>
        <w:footnoteRef/>
      </w:r>
      <w:r w:rsidRPr="00332040">
        <w:rPr>
          <w:lang w:val="de-DE"/>
        </w:rPr>
        <w:t xml:space="preserve"> Rajaraman, note 165, p. 128.</w:t>
      </w:r>
    </w:p>
  </w:footnote>
  <w:footnote w:id="201">
    <w:p w:rsidR="00F44349" w:rsidRPr="00332040" w:rsidRDefault="00F44349" w:rsidP="00332040">
      <w:pPr>
        <w:pStyle w:val="FootnoteText"/>
        <w:spacing w:line="480" w:lineRule="auto"/>
        <w:jc w:val="both"/>
        <w:rPr>
          <w:lang w:val="de-DE"/>
        </w:rPr>
      </w:pPr>
      <w:r w:rsidRPr="00332040">
        <w:rPr>
          <w:rStyle w:val="FootnoteReference"/>
        </w:rPr>
        <w:footnoteRef/>
      </w:r>
      <w:r w:rsidRPr="00332040">
        <w:rPr>
          <w:lang w:val="de-DE"/>
        </w:rPr>
        <w:t xml:space="preserve"> Müller, note 154, pp. 196-197.</w:t>
      </w:r>
    </w:p>
  </w:footnote>
  <w:footnote w:id="202">
    <w:p w:rsidR="00F44349" w:rsidRPr="00332040" w:rsidRDefault="00F44349" w:rsidP="00332040">
      <w:pPr>
        <w:autoSpaceDE w:val="0"/>
        <w:autoSpaceDN w:val="0"/>
        <w:adjustRightInd w:val="0"/>
        <w:spacing w:line="480" w:lineRule="auto"/>
        <w:jc w:val="both"/>
        <w:rPr>
          <w:bCs/>
          <w:sz w:val="20"/>
          <w:szCs w:val="20"/>
        </w:rPr>
      </w:pPr>
      <w:r w:rsidRPr="00332040">
        <w:rPr>
          <w:rStyle w:val="FootnoteReference"/>
          <w:sz w:val="20"/>
          <w:szCs w:val="20"/>
        </w:rPr>
        <w:footnoteRef/>
      </w:r>
      <w:r w:rsidRPr="00332040">
        <w:rPr>
          <w:sz w:val="20"/>
          <w:szCs w:val="20"/>
        </w:rPr>
        <w:t xml:space="preserve"> </w:t>
      </w:r>
      <w:r w:rsidRPr="00332040">
        <w:rPr>
          <w:bCs/>
          <w:sz w:val="20"/>
          <w:szCs w:val="20"/>
        </w:rPr>
        <w:t xml:space="preserve">A. N. Prasad, </w:t>
      </w:r>
      <w:r w:rsidRPr="00332040">
        <w:rPr>
          <w:bCs/>
          <w:i/>
          <w:sz w:val="20"/>
          <w:szCs w:val="20"/>
        </w:rPr>
        <w:t xml:space="preserve">in </w:t>
      </w:r>
      <w:r w:rsidRPr="00332040">
        <w:rPr>
          <w:bCs/>
          <w:sz w:val="20"/>
          <w:szCs w:val="20"/>
        </w:rPr>
        <w:t>Gupta (coordinator), note 154, p. 96.</w:t>
      </w:r>
    </w:p>
  </w:footnote>
  <w:footnote w:id="203">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123 Agreement, note 28, Article 14(1).</w:t>
      </w:r>
    </w:p>
  </w:footnote>
  <w:footnote w:id="204">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United States Department of State’s “Responses to the 45 Questions for the Record on the U.S.-India 123 Agreement Submitted to Assistant Secretary Jeffrey Bergner by Chairman Tom Lantos, House Committee on Foreign Affairs on October 5, 2007” (2008), Answer to Question 37, &lt;http://www.carnegieendowment.org/files/press090208.pdf&gt;.</w:t>
      </w:r>
    </w:p>
  </w:footnote>
  <w:footnote w:id="205">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 ibid</w:t>
      </w:r>
      <w:r w:rsidRPr="00332040">
        <w:t>., Answer to Question 16.</w:t>
      </w:r>
    </w:p>
  </w:footnote>
  <w:footnote w:id="206">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123 Agreement, note 28, Article 14(4).</w:t>
      </w:r>
    </w:p>
  </w:footnote>
  <w:footnote w:id="207">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Ibid</w:t>
      </w:r>
      <w:r w:rsidRPr="00332040">
        <w:t>., Article 14(2).</w:t>
      </w:r>
    </w:p>
  </w:footnote>
  <w:footnote w:id="208">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Ibid</w:t>
      </w:r>
      <w:r w:rsidRPr="00332040">
        <w:t>.</w:t>
      </w:r>
    </w:p>
  </w:footnote>
  <w:footnote w:id="209">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See</w:t>
      </w:r>
      <w:r w:rsidRPr="00332040">
        <w:t xml:space="preserve"> Kerr, note 29, p. 40.</w:t>
      </w:r>
    </w:p>
  </w:footnote>
  <w:footnote w:id="210">
    <w:p w:rsidR="00F44349" w:rsidRPr="00332040" w:rsidRDefault="00F44349" w:rsidP="00332040">
      <w:pPr>
        <w:autoSpaceDE w:val="0"/>
        <w:autoSpaceDN w:val="0"/>
        <w:adjustRightInd w:val="0"/>
        <w:spacing w:line="480" w:lineRule="auto"/>
        <w:jc w:val="both"/>
        <w:rPr>
          <w:bCs/>
          <w:sz w:val="20"/>
          <w:szCs w:val="20"/>
        </w:rPr>
      </w:pPr>
      <w:r w:rsidRPr="00332040">
        <w:rPr>
          <w:rStyle w:val="FootnoteReference"/>
          <w:sz w:val="20"/>
          <w:szCs w:val="20"/>
        </w:rPr>
        <w:footnoteRef/>
      </w:r>
      <w:r w:rsidRPr="00332040">
        <w:rPr>
          <w:sz w:val="20"/>
          <w:szCs w:val="20"/>
        </w:rPr>
        <w:t xml:space="preserve"> As the former Indian diplomat and Governor of the IAEA </w:t>
      </w:r>
      <w:r w:rsidRPr="00332040">
        <w:rPr>
          <w:bCs/>
          <w:sz w:val="20"/>
          <w:szCs w:val="20"/>
        </w:rPr>
        <w:t xml:space="preserve">T. P. Sreenivasan has stated rather bluntly: </w:t>
      </w:r>
      <w:r w:rsidRPr="00332040">
        <w:rPr>
          <w:sz w:val="20"/>
          <w:szCs w:val="20"/>
        </w:rPr>
        <w:t xml:space="preserve">“India has the right to test, but the US has the right to react!”  </w:t>
      </w:r>
      <w:r w:rsidRPr="00332040">
        <w:rPr>
          <w:bCs/>
          <w:sz w:val="20"/>
          <w:szCs w:val="20"/>
        </w:rPr>
        <w:t xml:space="preserve">T. P. Sreenivasan, </w:t>
      </w:r>
      <w:r w:rsidRPr="00332040">
        <w:rPr>
          <w:bCs/>
          <w:i/>
          <w:sz w:val="20"/>
          <w:szCs w:val="20"/>
        </w:rPr>
        <w:t xml:space="preserve">in </w:t>
      </w:r>
      <w:r w:rsidRPr="00332040">
        <w:rPr>
          <w:bCs/>
          <w:sz w:val="20"/>
          <w:szCs w:val="20"/>
        </w:rPr>
        <w:t xml:space="preserve">Gupta (coordinator), note 154, p. 91.  </w:t>
      </w:r>
      <w:r w:rsidRPr="00332040">
        <w:rPr>
          <w:bCs/>
          <w:i/>
          <w:sz w:val="20"/>
          <w:szCs w:val="20"/>
        </w:rPr>
        <w:t xml:space="preserve">See </w:t>
      </w:r>
      <w:r w:rsidRPr="00332040">
        <w:rPr>
          <w:bCs/>
          <w:sz w:val="20"/>
          <w:szCs w:val="20"/>
        </w:rPr>
        <w:t xml:space="preserve">Kerr, </w:t>
      </w:r>
      <w:r w:rsidRPr="00332040">
        <w:rPr>
          <w:sz w:val="20"/>
          <w:szCs w:val="20"/>
        </w:rPr>
        <w:t>note 29, p. 40; Nakanishi, note 29, p. 6 (at footnote 16); 123 Agreement, note 28, Article 14.</w:t>
      </w:r>
    </w:p>
  </w:footnote>
  <w:footnote w:id="211">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 xml:space="preserve">See </w:t>
      </w:r>
      <w:r w:rsidRPr="00332040">
        <w:rPr>
          <w:sz w:val="20"/>
          <w:szCs w:val="20"/>
        </w:rPr>
        <w:t xml:space="preserve">Nakanishi, note 29, p. 14; </w:t>
      </w:r>
      <w:r w:rsidRPr="00332040">
        <w:rPr>
          <w:bCs/>
          <w:sz w:val="20"/>
          <w:szCs w:val="20"/>
        </w:rPr>
        <w:t>Prasad, note 201, p. 96</w:t>
      </w:r>
      <w:r w:rsidRPr="00332040">
        <w:rPr>
          <w:sz w:val="20"/>
          <w:szCs w:val="20"/>
        </w:rPr>
        <w:t>.</w:t>
      </w:r>
    </w:p>
  </w:footnote>
  <w:footnote w:id="212">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Chari, note 15, p. 7.</w:t>
      </w:r>
    </w:p>
  </w:footnote>
  <w:footnote w:id="213">
    <w:p w:rsidR="00F44349" w:rsidRPr="00332040" w:rsidRDefault="00F44349" w:rsidP="00332040">
      <w:pPr>
        <w:pStyle w:val="FootnoteText"/>
        <w:spacing w:line="480" w:lineRule="auto"/>
        <w:jc w:val="both"/>
      </w:pPr>
      <w:r w:rsidRPr="00332040">
        <w:rPr>
          <w:rStyle w:val="FootnoteReference"/>
        </w:rPr>
        <w:footnoteRef/>
      </w:r>
      <w:r w:rsidRPr="00332040">
        <w:t xml:space="preserve"> See note 193 and accompanying text.</w:t>
      </w:r>
    </w:p>
  </w:footnote>
  <w:footnote w:id="214">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NSG Statement, note 171, para. 2(g).</w:t>
      </w:r>
    </w:p>
  </w:footnote>
  <w:footnote w:id="215">
    <w:p w:rsidR="00F44349" w:rsidRPr="00332040" w:rsidRDefault="00F44349" w:rsidP="00332040">
      <w:pPr>
        <w:pStyle w:val="FootnoteText"/>
        <w:spacing w:line="480" w:lineRule="auto"/>
        <w:jc w:val="both"/>
      </w:pPr>
      <w:r w:rsidRPr="00332040">
        <w:rPr>
          <w:rStyle w:val="FootnoteReference"/>
        </w:rPr>
        <w:footnoteRef/>
      </w:r>
      <w:r w:rsidRPr="00332040">
        <w:t xml:space="preserve"> Quoted in Kerr, note 29, p. 29.</w:t>
      </w:r>
    </w:p>
  </w:footnote>
  <w:footnote w:id="216">
    <w:p w:rsidR="00F44349"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w:t>
      </w:r>
      <w:r w:rsidRPr="00332040">
        <w:rPr>
          <w:i/>
          <w:sz w:val="20"/>
          <w:szCs w:val="20"/>
        </w:rPr>
        <w:t>See</w:t>
      </w:r>
      <w:r w:rsidRPr="00332040">
        <w:rPr>
          <w:sz w:val="20"/>
          <w:szCs w:val="20"/>
        </w:rPr>
        <w:t xml:space="preserve"> Nakanishi, note 29, p. 16.  Having said this, to now withdraw the waiver the NSG would have to agree by consensus to cut off nuclear exports to India.  </w:t>
      </w:r>
      <w:r w:rsidRPr="00332040">
        <w:rPr>
          <w:i/>
          <w:sz w:val="20"/>
          <w:szCs w:val="20"/>
        </w:rPr>
        <w:t>See</w:t>
      </w:r>
      <w:r w:rsidRPr="00332040">
        <w:rPr>
          <w:sz w:val="20"/>
          <w:szCs w:val="20"/>
        </w:rPr>
        <w:t xml:space="preserve"> Kerr, note 29, p. 29.  It has been argued that such a consensus agreement would not necessarily follow from a further Indian nuclear test, as some NSG members may well wish to continue nuclear cooperation with India irrespective of any additional nuclear testing.  </w:t>
      </w:r>
      <w:r w:rsidRPr="00332040">
        <w:rPr>
          <w:i/>
          <w:sz w:val="20"/>
          <w:szCs w:val="20"/>
        </w:rPr>
        <w:t>See</w:t>
      </w:r>
      <w:r w:rsidRPr="00332040">
        <w:rPr>
          <w:sz w:val="20"/>
          <w:szCs w:val="20"/>
        </w:rPr>
        <w:t xml:space="preserve"> Rajaraman, note 165, pp. 128-129.  France, for example – a State that has its o</w:t>
      </w:r>
      <w:r w:rsidR="00AD1B00">
        <w:rPr>
          <w:sz w:val="20"/>
          <w:szCs w:val="20"/>
        </w:rPr>
        <w:t>wn history as an international pariah</w:t>
      </w:r>
      <w:r w:rsidRPr="00332040">
        <w:rPr>
          <w:sz w:val="20"/>
          <w:szCs w:val="20"/>
        </w:rPr>
        <w:t xml:space="preserve"> with regard to nuclear testing – has already signed a separate bilateral agreement for nuclear cooperation with India under the NSG waiver.  </w:t>
      </w:r>
      <w:r w:rsidRPr="00332040">
        <w:rPr>
          <w:i/>
          <w:sz w:val="20"/>
          <w:szCs w:val="20"/>
        </w:rPr>
        <w:t>See</w:t>
      </w:r>
      <w:r w:rsidRPr="00332040">
        <w:rPr>
          <w:sz w:val="20"/>
          <w:szCs w:val="20"/>
        </w:rPr>
        <w:t xml:space="preserve"> Cooperation Agreement Between the Government of the Republic of India and the Government of the French Republic on the Development of Peaceful Uses of Nuclear Energy 2008, </w:t>
      </w:r>
    </w:p>
    <w:p w:rsidR="00F44349" w:rsidRPr="00215D52" w:rsidRDefault="00F44349" w:rsidP="00332040">
      <w:pPr>
        <w:spacing w:line="480" w:lineRule="auto"/>
        <w:jc w:val="both"/>
        <w:rPr>
          <w:sz w:val="20"/>
          <w:szCs w:val="20"/>
        </w:rPr>
      </w:pPr>
      <w:r w:rsidRPr="00332040">
        <w:rPr>
          <w:sz w:val="20"/>
          <w:szCs w:val="20"/>
        </w:rPr>
        <w:t xml:space="preserve">&lt;http://articles.timesofindia.indiatimes.com/2008-09-30/india/27889223_1_nuclear-fuel-indo-france-energy-for-peaceful-purposes&gt;.  </w:t>
      </w:r>
      <w:r w:rsidRPr="00332040">
        <w:rPr>
          <w:i/>
          <w:sz w:val="20"/>
          <w:szCs w:val="20"/>
        </w:rPr>
        <w:t>See also</w:t>
      </w:r>
      <w:r w:rsidRPr="00332040">
        <w:rPr>
          <w:sz w:val="20"/>
          <w:szCs w:val="20"/>
        </w:rPr>
        <w:t xml:space="preserve"> </w:t>
      </w:r>
      <w:r w:rsidRPr="00332040">
        <w:rPr>
          <w:bCs/>
          <w:kern w:val="36"/>
          <w:sz w:val="20"/>
          <w:szCs w:val="20"/>
        </w:rPr>
        <w:t>“India and France in Nuclear Deal,”</w:t>
      </w:r>
      <w:r w:rsidRPr="00332040">
        <w:rPr>
          <w:rStyle w:val="date1"/>
          <w:rFonts w:ascii="Times New Roman" w:hAnsi="Times New Roman"/>
          <w:i/>
          <w:color w:val="auto"/>
          <w:sz w:val="20"/>
          <w:szCs w:val="20"/>
        </w:rPr>
        <w:t xml:space="preserve"> BBC News</w:t>
      </w:r>
      <w:r>
        <w:rPr>
          <w:rStyle w:val="date1"/>
          <w:rFonts w:ascii="Times New Roman" w:hAnsi="Times New Roman"/>
          <w:color w:val="auto"/>
          <w:sz w:val="20"/>
          <w:szCs w:val="20"/>
        </w:rPr>
        <w:t>, 30 Sept. 2008</w:t>
      </w:r>
      <w:r w:rsidRPr="00332040">
        <w:rPr>
          <w:rStyle w:val="date1"/>
          <w:rFonts w:ascii="Times New Roman" w:hAnsi="Times New Roman"/>
          <w:color w:val="auto"/>
          <w:sz w:val="20"/>
          <w:szCs w:val="20"/>
        </w:rPr>
        <w:t>, &lt;</w:t>
      </w:r>
      <w:r w:rsidRPr="00332040">
        <w:rPr>
          <w:sz w:val="20"/>
          <w:szCs w:val="20"/>
        </w:rPr>
        <w:t>http://news.bbc.co.uk/1/hi/7644377.stm&gt;.  Given the international policy shift embodied by the NSG waiver, it is entirely possible that certain bilateral nuclear agreements with India – such as the Indo-Franco deal – could survive further Indian testing, even if the 123 Agreement collapsed.</w:t>
      </w:r>
    </w:p>
  </w:footnote>
  <w:footnote w:id="217">
    <w:p w:rsidR="00F44349" w:rsidRPr="00332040" w:rsidRDefault="00F44349" w:rsidP="00332040">
      <w:pPr>
        <w:pStyle w:val="FootnoteText"/>
        <w:spacing w:line="480" w:lineRule="auto"/>
        <w:jc w:val="both"/>
      </w:pPr>
      <w:r w:rsidRPr="00332040">
        <w:rPr>
          <w:rStyle w:val="FootnoteReference"/>
        </w:rPr>
        <w:footnoteRef/>
      </w:r>
      <w:r w:rsidRPr="00332040">
        <w:t xml:space="preserve"> See note 164 and accompanying text.  On this possible implication of the 123 Agreement more generally, see note 163 and accompanying text.</w:t>
      </w:r>
    </w:p>
  </w:footnote>
  <w:footnote w:id="218">
    <w:p w:rsidR="00F44349" w:rsidRPr="00332040" w:rsidRDefault="00F44349" w:rsidP="00332040">
      <w:pPr>
        <w:pStyle w:val="FootnoteText"/>
        <w:spacing w:line="480" w:lineRule="auto"/>
        <w:jc w:val="both"/>
      </w:pPr>
      <w:r w:rsidRPr="00332040">
        <w:rPr>
          <w:rStyle w:val="FootnoteReference"/>
        </w:rPr>
        <w:footnoteRef/>
      </w:r>
      <w:r w:rsidRPr="00332040">
        <w:t xml:space="preserve"> </w:t>
      </w:r>
      <w:r w:rsidRPr="00332040">
        <w:rPr>
          <w:i/>
        </w:rPr>
        <w:t xml:space="preserve">See </w:t>
      </w:r>
      <w:r w:rsidRPr="00332040">
        <w:t>Wable, note 6, pp. 757-758.</w:t>
      </w:r>
    </w:p>
  </w:footnote>
  <w:footnote w:id="219">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It was noted above that it is arguable whether the 123 Agreement will – or even could – lead to any increase in the size of India’s nuclear arsenal.  </w:t>
      </w:r>
      <w:r w:rsidRPr="00332040">
        <w:rPr>
          <w:i/>
          <w:sz w:val="20"/>
          <w:szCs w:val="20"/>
        </w:rPr>
        <w:t xml:space="preserve">See </w:t>
      </w:r>
      <w:r w:rsidRPr="00332040">
        <w:rPr>
          <w:sz w:val="20"/>
          <w:szCs w:val="20"/>
        </w:rPr>
        <w:t xml:space="preserve">note 165 and accompanying text.  Nonetheless, whether this is a factual consequence of the deal or not, the 123 Agreement is clearly </w:t>
      </w:r>
      <w:r w:rsidRPr="00332040">
        <w:rPr>
          <w:i/>
          <w:sz w:val="20"/>
          <w:szCs w:val="20"/>
        </w:rPr>
        <w:t>perceived</w:t>
      </w:r>
      <w:r w:rsidRPr="00332040">
        <w:rPr>
          <w:sz w:val="20"/>
          <w:szCs w:val="20"/>
        </w:rPr>
        <w:t xml:space="preserve"> as increasing the scope of India’s military nuclear capability within Pakistan, and that perception in itself could lead to an increased likelihood of future Pakistani – and, thus, Indian – nuclear tests.</w:t>
      </w:r>
    </w:p>
  </w:footnote>
  <w:footnote w:id="220">
    <w:p w:rsidR="00F44349" w:rsidRPr="00332040" w:rsidRDefault="00F44349" w:rsidP="00332040">
      <w:pPr>
        <w:pStyle w:val="FootnoteText"/>
        <w:spacing w:line="480" w:lineRule="auto"/>
        <w:jc w:val="both"/>
        <w:rPr>
          <w:lang w:val="it-IT"/>
        </w:rPr>
      </w:pPr>
      <w:r w:rsidRPr="00332040">
        <w:rPr>
          <w:rStyle w:val="FootnoteReference"/>
        </w:rPr>
        <w:footnoteRef/>
      </w:r>
      <w:r w:rsidRPr="00332040">
        <w:rPr>
          <w:lang w:val="it-IT"/>
        </w:rPr>
        <w:t xml:space="preserve"> Joyner, note 4, p. 37.</w:t>
      </w:r>
    </w:p>
  </w:footnote>
  <w:footnote w:id="221">
    <w:p w:rsidR="00F44349" w:rsidRPr="00332040" w:rsidRDefault="00F44349" w:rsidP="00332040">
      <w:pPr>
        <w:pStyle w:val="FootnoteText"/>
        <w:spacing w:line="480" w:lineRule="auto"/>
        <w:jc w:val="both"/>
        <w:rPr>
          <w:lang w:val="it-IT"/>
        </w:rPr>
      </w:pPr>
      <w:r w:rsidRPr="00332040">
        <w:rPr>
          <w:rStyle w:val="FootnoteReference"/>
        </w:rPr>
        <w:footnoteRef/>
      </w:r>
      <w:r w:rsidRPr="00332040">
        <w:rPr>
          <w:lang w:val="it-IT"/>
        </w:rPr>
        <w:t xml:space="preserve"> Carranza, note 31, p. 132.</w:t>
      </w:r>
    </w:p>
  </w:footnote>
  <w:footnote w:id="222">
    <w:p w:rsidR="00AD1B00" w:rsidRPr="00332040" w:rsidRDefault="00AD1B00" w:rsidP="00AD1B00">
      <w:pPr>
        <w:pStyle w:val="FootnoteText"/>
        <w:spacing w:line="480" w:lineRule="auto"/>
        <w:jc w:val="both"/>
      </w:pPr>
      <w:r w:rsidRPr="00332040">
        <w:rPr>
          <w:rStyle w:val="FootnoteReference"/>
        </w:rPr>
        <w:footnoteRef/>
      </w:r>
      <w:r w:rsidRPr="00332040">
        <w:t xml:space="preserve"> Quoted in </w:t>
      </w:r>
      <w:r w:rsidRPr="00332040">
        <w:rPr>
          <w:bCs/>
        </w:rPr>
        <w:t>Sultan and Adil, note 154, p. 3.</w:t>
      </w:r>
    </w:p>
  </w:footnote>
  <w:footnote w:id="223">
    <w:p w:rsidR="00F44349" w:rsidRPr="00332040" w:rsidRDefault="00F44349" w:rsidP="00332040">
      <w:pPr>
        <w:spacing w:line="480" w:lineRule="auto"/>
        <w:jc w:val="both"/>
        <w:rPr>
          <w:sz w:val="20"/>
          <w:szCs w:val="20"/>
        </w:rPr>
      </w:pPr>
      <w:r w:rsidRPr="00332040">
        <w:rPr>
          <w:rStyle w:val="FootnoteReference"/>
          <w:sz w:val="20"/>
          <w:szCs w:val="20"/>
        </w:rPr>
        <w:footnoteRef/>
      </w:r>
      <w:r w:rsidRPr="00332040">
        <w:rPr>
          <w:sz w:val="20"/>
          <w:szCs w:val="20"/>
        </w:rPr>
        <w:t xml:space="preserve"> Choudhury, note 93, p. 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1C31"/>
    <w:multiLevelType w:val="hybridMultilevel"/>
    <w:tmpl w:val="58F8B9C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E013E12"/>
    <w:multiLevelType w:val="hybridMultilevel"/>
    <w:tmpl w:val="ED9C101A"/>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28237FC1"/>
    <w:multiLevelType w:val="hybridMultilevel"/>
    <w:tmpl w:val="A13ADA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32163301"/>
    <w:multiLevelType w:val="hybridMultilevel"/>
    <w:tmpl w:val="E3306388"/>
    <w:lvl w:ilvl="0" w:tplc="6CEAC350">
      <w:start w:val="1"/>
      <w:numFmt w:val="decimal"/>
      <w:lvlText w:val="(%1)"/>
      <w:lvlJc w:val="left"/>
      <w:pPr>
        <w:tabs>
          <w:tab w:val="num" w:pos="0"/>
        </w:tabs>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D27BB5"/>
    <w:multiLevelType w:val="hybridMultilevel"/>
    <w:tmpl w:val="CE8C5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stylePaneFormatFilter w:val="3F01"/>
  <w:defaultTabStop w:val="720"/>
  <w:noPunctuationKerning/>
  <w:characterSpacingControl w:val="doNotCompress"/>
  <w:footnotePr>
    <w:footnote w:id="-1"/>
    <w:footnote w:id="0"/>
  </w:footnotePr>
  <w:endnotePr>
    <w:endnote w:id="-1"/>
    <w:endnote w:id="0"/>
  </w:endnotePr>
  <w:compat/>
  <w:rsids>
    <w:rsidRoot w:val="00874213"/>
    <w:rsid w:val="0000033D"/>
    <w:rsid w:val="00000506"/>
    <w:rsid w:val="00000CE6"/>
    <w:rsid w:val="00001487"/>
    <w:rsid w:val="00001874"/>
    <w:rsid w:val="000018F2"/>
    <w:rsid w:val="00001A4B"/>
    <w:rsid w:val="00001B71"/>
    <w:rsid w:val="00002FC6"/>
    <w:rsid w:val="0000351D"/>
    <w:rsid w:val="0000478D"/>
    <w:rsid w:val="00004F7E"/>
    <w:rsid w:val="00005105"/>
    <w:rsid w:val="00005284"/>
    <w:rsid w:val="00005329"/>
    <w:rsid w:val="00005570"/>
    <w:rsid w:val="00005764"/>
    <w:rsid w:val="00006039"/>
    <w:rsid w:val="00006610"/>
    <w:rsid w:val="000066D3"/>
    <w:rsid w:val="000073AF"/>
    <w:rsid w:val="00010032"/>
    <w:rsid w:val="000102ED"/>
    <w:rsid w:val="00010680"/>
    <w:rsid w:val="00010865"/>
    <w:rsid w:val="00010A74"/>
    <w:rsid w:val="00010BA2"/>
    <w:rsid w:val="00010D60"/>
    <w:rsid w:val="00011C72"/>
    <w:rsid w:val="00011EC7"/>
    <w:rsid w:val="00012092"/>
    <w:rsid w:val="0001212D"/>
    <w:rsid w:val="00012285"/>
    <w:rsid w:val="000122FA"/>
    <w:rsid w:val="000123DF"/>
    <w:rsid w:val="0001297E"/>
    <w:rsid w:val="00012AAF"/>
    <w:rsid w:val="00012B2C"/>
    <w:rsid w:val="00012C08"/>
    <w:rsid w:val="00013321"/>
    <w:rsid w:val="00013815"/>
    <w:rsid w:val="000144AC"/>
    <w:rsid w:val="000145A8"/>
    <w:rsid w:val="000147DC"/>
    <w:rsid w:val="000148E5"/>
    <w:rsid w:val="00014F72"/>
    <w:rsid w:val="00014FC0"/>
    <w:rsid w:val="0001558A"/>
    <w:rsid w:val="00015F9A"/>
    <w:rsid w:val="00016317"/>
    <w:rsid w:val="000164D9"/>
    <w:rsid w:val="000166D6"/>
    <w:rsid w:val="00016A10"/>
    <w:rsid w:val="00016E93"/>
    <w:rsid w:val="00017074"/>
    <w:rsid w:val="00017ADE"/>
    <w:rsid w:val="000204D3"/>
    <w:rsid w:val="00020673"/>
    <w:rsid w:val="000209C3"/>
    <w:rsid w:val="00020BB3"/>
    <w:rsid w:val="00020FE1"/>
    <w:rsid w:val="00021079"/>
    <w:rsid w:val="0002137A"/>
    <w:rsid w:val="0002161F"/>
    <w:rsid w:val="000226CE"/>
    <w:rsid w:val="00023404"/>
    <w:rsid w:val="0002401B"/>
    <w:rsid w:val="0002408A"/>
    <w:rsid w:val="0002428B"/>
    <w:rsid w:val="00024846"/>
    <w:rsid w:val="00024BC7"/>
    <w:rsid w:val="00024D90"/>
    <w:rsid w:val="00025508"/>
    <w:rsid w:val="00025A49"/>
    <w:rsid w:val="00025D84"/>
    <w:rsid w:val="000262E9"/>
    <w:rsid w:val="00026AB9"/>
    <w:rsid w:val="00026B6E"/>
    <w:rsid w:val="00026F9D"/>
    <w:rsid w:val="00027022"/>
    <w:rsid w:val="00030A1E"/>
    <w:rsid w:val="00030E90"/>
    <w:rsid w:val="0003103B"/>
    <w:rsid w:val="00031952"/>
    <w:rsid w:val="00031BF4"/>
    <w:rsid w:val="00031BF5"/>
    <w:rsid w:val="00031F51"/>
    <w:rsid w:val="00032123"/>
    <w:rsid w:val="00032C06"/>
    <w:rsid w:val="0003345E"/>
    <w:rsid w:val="00033A0B"/>
    <w:rsid w:val="00033B51"/>
    <w:rsid w:val="00033DE4"/>
    <w:rsid w:val="0003408B"/>
    <w:rsid w:val="000342AE"/>
    <w:rsid w:val="0003436C"/>
    <w:rsid w:val="00034B89"/>
    <w:rsid w:val="00035EFD"/>
    <w:rsid w:val="00036150"/>
    <w:rsid w:val="000363BD"/>
    <w:rsid w:val="00036581"/>
    <w:rsid w:val="00036BFB"/>
    <w:rsid w:val="00037663"/>
    <w:rsid w:val="00037BB5"/>
    <w:rsid w:val="00040683"/>
    <w:rsid w:val="000407AB"/>
    <w:rsid w:val="0004088E"/>
    <w:rsid w:val="00040F03"/>
    <w:rsid w:val="000411B8"/>
    <w:rsid w:val="00042187"/>
    <w:rsid w:val="00042789"/>
    <w:rsid w:val="00042C89"/>
    <w:rsid w:val="00042F74"/>
    <w:rsid w:val="00043059"/>
    <w:rsid w:val="00043345"/>
    <w:rsid w:val="0004382B"/>
    <w:rsid w:val="00043A43"/>
    <w:rsid w:val="00044774"/>
    <w:rsid w:val="00044A8E"/>
    <w:rsid w:val="00044BC6"/>
    <w:rsid w:val="0004566D"/>
    <w:rsid w:val="000456BD"/>
    <w:rsid w:val="0004592C"/>
    <w:rsid w:val="00045BF6"/>
    <w:rsid w:val="000460E6"/>
    <w:rsid w:val="0004612C"/>
    <w:rsid w:val="00046301"/>
    <w:rsid w:val="000467D3"/>
    <w:rsid w:val="00046DE6"/>
    <w:rsid w:val="000474BE"/>
    <w:rsid w:val="000478D3"/>
    <w:rsid w:val="00047CB3"/>
    <w:rsid w:val="00047F43"/>
    <w:rsid w:val="000500EC"/>
    <w:rsid w:val="0005013B"/>
    <w:rsid w:val="000503C7"/>
    <w:rsid w:val="00050631"/>
    <w:rsid w:val="0005069E"/>
    <w:rsid w:val="0005095F"/>
    <w:rsid w:val="00050A0A"/>
    <w:rsid w:val="00050D9C"/>
    <w:rsid w:val="00050E80"/>
    <w:rsid w:val="00050F5D"/>
    <w:rsid w:val="00051014"/>
    <w:rsid w:val="0005123B"/>
    <w:rsid w:val="00051400"/>
    <w:rsid w:val="00051AB6"/>
    <w:rsid w:val="00052276"/>
    <w:rsid w:val="000523E9"/>
    <w:rsid w:val="0005240C"/>
    <w:rsid w:val="0005395F"/>
    <w:rsid w:val="00053F00"/>
    <w:rsid w:val="00054383"/>
    <w:rsid w:val="0005459E"/>
    <w:rsid w:val="00054A9F"/>
    <w:rsid w:val="00054CFB"/>
    <w:rsid w:val="00055AAD"/>
    <w:rsid w:val="00055B9B"/>
    <w:rsid w:val="00056B0D"/>
    <w:rsid w:val="00056CD5"/>
    <w:rsid w:val="00056EA1"/>
    <w:rsid w:val="00057628"/>
    <w:rsid w:val="00060352"/>
    <w:rsid w:val="0006040C"/>
    <w:rsid w:val="000604ED"/>
    <w:rsid w:val="000605CB"/>
    <w:rsid w:val="00060C02"/>
    <w:rsid w:val="000611C8"/>
    <w:rsid w:val="00061375"/>
    <w:rsid w:val="00061764"/>
    <w:rsid w:val="00061A4F"/>
    <w:rsid w:val="00061AC7"/>
    <w:rsid w:val="000629FA"/>
    <w:rsid w:val="00062B84"/>
    <w:rsid w:val="00062B8C"/>
    <w:rsid w:val="00062E2E"/>
    <w:rsid w:val="00062EF8"/>
    <w:rsid w:val="0006313C"/>
    <w:rsid w:val="00063DEF"/>
    <w:rsid w:val="00064531"/>
    <w:rsid w:val="000647D9"/>
    <w:rsid w:val="00064986"/>
    <w:rsid w:val="000649FC"/>
    <w:rsid w:val="00064A18"/>
    <w:rsid w:val="00064DD4"/>
    <w:rsid w:val="0006555D"/>
    <w:rsid w:val="00065B65"/>
    <w:rsid w:val="00066106"/>
    <w:rsid w:val="00066956"/>
    <w:rsid w:val="0006695C"/>
    <w:rsid w:val="00067459"/>
    <w:rsid w:val="00067A9D"/>
    <w:rsid w:val="00070386"/>
    <w:rsid w:val="00070612"/>
    <w:rsid w:val="00070745"/>
    <w:rsid w:val="000708F0"/>
    <w:rsid w:val="00070CE5"/>
    <w:rsid w:val="000715A8"/>
    <w:rsid w:val="00071963"/>
    <w:rsid w:val="00071AA5"/>
    <w:rsid w:val="00072242"/>
    <w:rsid w:val="00072AE3"/>
    <w:rsid w:val="00073385"/>
    <w:rsid w:val="000733BC"/>
    <w:rsid w:val="00073D11"/>
    <w:rsid w:val="0007400B"/>
    <w:rsid w:val="00074937"/>
    <w:rsid w:val="00074ACF"/>
    <w:rsid w:val="00074C23"/>
    <w:rsid w:val="000752E7"/>
    <w:rsid w:val="000752EB"/>
    <w:rsid w:val="00075C73"/>
    <w:rsid w:val="0007610A"/>
    <w:rsid w:val="000766C6"/>
    <w:rsid w:val="00076AD8"/>
    <w:rsid w:val="00077B33"/>
    <w:rsid w:val="00077B43"/>
    <w:rsid w:val="00077B51"/>
    <w:rsid w:val="00077B6E"/>
    <w:rsid w:val="00080282"/>
    <w:rsid w:val="000807B3"/>
    <w:rsid w:val="00081A31"/>
    <w:rsid w:val="00081AEB"/>
    <w:rsid w:val="00081B6F"/>
    <w:rsid w:val="00081B92"/>
    <w:rsid w:val="00081BD8"/>
    <w:rsid w:val="000828FC"/>
    <w:rsid w:val="0008352B"/>
    <w:rsid w:val="00083B84"/>
    <w:rsid w:val="00083E10"/>
    <w:rsid w:val="00084624"/>
    <w:rsid w:val="00084AC6"/>
    <w:rsid w:val="00084FFA"/>
    <w:rsid w:val="0008515A"/>
    <w:rsid w:val="0008517A"/>
    <w:rsid w:val="000853B1"/>
    <w:rsid w:val="000853F9"/>
    <w:rsid w:val="000858E4"/>
    <w:rsid w:val="0008651A"/>
    <w:rsid w:val="000869D1"/>
    <w:rsid w:val="00086ACB"/>
    <w:rsid w:val="000873C3"/>
    <w:rsid w:val="0008742E"/>
    <w:rsid w:val="00087704"/>
    <w:rsid w:val="00087EB5"/>
    <w:rsid w:val="00090716"/>
    <w:rsid w:val="00090AB6"/>
    <w:rsid w:val="00090C3A"/>
    <w:rsid w:val="00090EA3"/>
    <w:rsid w:val="0009112D"/>
    <w:rsid w:val="000912A0"/>
    <w:rsid w:val="00091CE5"/>
    <w:rsid w:val="00091EFB"/>
    <w:rsid w:val="000920F3"/>
    <w:rsid w:val="0009214F"/>
    <w:rsid w:val="00092AC7"/>
    <w:rsid w:val="00092E6E"/>
    <w:rsid w:val="00092E71"/>
    <w:rsid w:val="000930A9"/>
    <w:rsid w:val="000947F8"/>
    <w:rsid w:val="00094B98"/>
    <w:rsid w:val="00094CBF"/>
    <w:rsid w:val="00095268"/>
    <w:rsid w:val="00095AF9"/>
    <w:rsid w:val="000960B8"/>
    <w:rsid w:val="00096532"/>
    <w:rsid w:val="000973C4"/>
    <w:rsid w:val="00097501"/>
    <w:rsid w:val="00097DF7"/>
    <w:rsid w:val="000A07C1"/>
    <w:rsid w:val="000A0942"/>
    <w:rsid w:val="000A1573"/>
    <w:rsid w:val="000A16C5"/>
    <w:rsid w:val="000A189C"/>
    <w:rsid w:val="000A199D"/>
    <w:rsid w:val="000A1D39"/>
    <w:rsid w:val="000A1DFA"/>
    <w:rsid w:val="000A2073"/>
    <w:rsid w:val="000A2A54"/>
    <w:rsid w:val="000A2EAB"/>
    <w:rsid w:val="000A30C1"/>
    <w:rsid w:val="000A34C7"/>
    <w:rsid w:val="000A3866"/>
    <w:rsid w:val="000A3D1F"/>
    <w:rsid w:val="000A41A3"/>
    <w:rsid w:val="000A48F6"/>
    <w:rsid w:val="000A5764"/>
    <w:rsid w:val="000A5EE4"/>
    <w:rsid w:val="000A63AC"/>
    <w:rsid w:val="000A65CF"/>
    <w:rsid w:val="000A6740"/>
    <w:rsid w:val="000A6785"/>
    <w:rsid w:val="000A68E1"/>
    <w:rsid w:val="000A6B19"/>
    <w:rsid w:val="000A73BF"/>
    <w:rsid w:val="000A7AF2"/>
    <w:rsid w:val="000A7F5E"/>
    <w:rsid w:val="000B0183"/>
    <w:rsid w:val="000B07AD"/>
    <w:rsid w:val="000B0840"/>
    <w:rsid w:val="000B0AC1"/>
    <w:rsid w:val="000B0B52"/>
    <w:rsid w:val="000B0D66"/>
    <w:rsid w:val="000B13AB"/>
    <w:rsid w:val="000B1932"/>
    <w:rsid w:val="000B1F27"/>
    <w:rsid w:val="000B2053"/>
    <w:rsid w:val="000B2311"/>
    <w:rsid w:val="000B233B"/>
    <w:rsid w:val="000B2CC4"/>
    <w:rsid w:val="000B3CC2"/>
    <w:rsid w:val="000B451E"/>
    <w:rsid w:val="000B4725"/>
    <w:rsid w:val="000B47B8"/>
    <w:rsid w:val="000B4D10"/>
    <w:rsid w:val="000B5323"/>
    <w:rsid w:val="000B54AF"/>
    <w:rsid w:val="000B6232"/>
    <w:rsid w:val="000B6540"/>
    <w:rsid w:val="000B689D"/>
    <w:rsid w:val="000B6AB4"/>
    <w:rsid w:val="000B7680"/>
    <w:rsid w:val="000B79A0"/>
    <w:rsid w:val="000B7B4D"/>
    <w:rsid w:val="000B7B6D"/>
    <w:rsid w:val="000B7CFD"/>
    <w:rsid w:val="000C0E47"/>
    <w:rsid w:val="000C13CF"/>
    <w:rsid w:val="000C159F"/>
    <w:rsid w:val="000C24DB"/>
    <w:rsid w:val="000C30DD"/>
    <w:rsid w:val="000C350E"/>
    <w:rsid w:val="000C35DA"/>
    <w:rsid w:val="000C3709"/>
    <w:rsid w:val="000C3CD1"/>
    <w:rsid w:val="000C3E97"/>
    <w:rsid w:val="000C44C2"/>
    <w:rsid w:val="000C4D1F"/>
    <w:rsid w:val="000C4EE7"/>
    <w:rsid w:val="000C5663"/>
    <w:rsid w:val="000C57DE"/>
    <w:rsid w:val="000C5B89"/>
    <w:rsid w:val="000C5CF3"/>
    <w:rsid w:val="000C612A"/>
    <w:rsid w:val="000C62CE"/>
    <w:rsid w:val="000C70E9"/>
    <w:rsid w:val="000C7B07"/>
    <w:rsid w:val="000D03CD"/>
    <w:rsid w:val="000D07E6"/>
    <w:rsid w:val="000D08CF"/>
    <w:rsid w:val="000D186B"/>
    <w:rsid w:val="000D18EF"/>
    <w:rsid w:val="000D1C3A"/>
    <w:rsid w:val="000D22B8"/>
    <w:rsid w:val="000D330A"/>
    <w:rsid w:val="000D3C14"/>
    <w:rsid w:val="000D3D09"/>
    <w:rsid w:val="000D415D"/>
    <w:rsid w:val="000D45CE"/>
    <w:rsid w:val="000D463E"/>
    <w:rsid w:val="000D478C"/>
    <w:rsid w:val="000D5065"/>
    <w:rsid w:val="000D5412"/>
    <w:rsid w:val="000D6705"/>
    <w:rsid w:val="000D6819"/>
    <w:rsid w:val="000D69D3"/>
    <w:rsid w:val="000D6A32"/>
    <w:rsid w:val="000E0411"/>
    <w:rsid w:val="000E0784"/>
    <w:rsid w:val="000E09D4"/>
    <w:rsid w:val="000E0C1A"/>
    <w:rsid w:val="000E0E9B"/>
    <w:rsid w:val="000E10B7"/>
    <w:rsid w:val="000E12BF"/>
    <w:rsid w:val="000E17B4"/>
    <w:rsid w:val="000E2774"/>
    <w:rsid w:val="000E3129"/>
    <w:rsid w:val="000E3C40"/>
    <w:rsid w:val="000E5A0F"/>
    <w:rsid w:val="000E5E8F"/>
    <w:rsid w:val="000E60DF"/>
    <w:rsid w:val="000E6B93"/>
    <w:rsid w:val="000E6E19"/>
    <w:rsid w:val="000E741D"/>
    <w:rsid w:val="000E7AA0"/>
    <w:rsid w:val="000F1949"/>
    <w:rsid w:val="000F2379"/>
    <w:rsid w:val="000F2967"/>
    <w:rsid w:val="000F297C"/>
    <w:rsid w:val="000F2CB1"/>
    <w:rsid w:val="000F2F99"/>
    <w:rsid w:val="000F3012"/>
    <w:rsid w:val="000F3177"/>
    <w:rsid w:val="000F35D5"/>
    <w:rsid w:val="000F35D7"/>
    <w:rsid w:val="000F3CC8"/>
    <w:rsid w:val="000F43FA"/>
    <w:rsid w:val="000F4AB4"/>
    <w:rsid w:val="000F5224"/>
    <w:rsid w:val="000F5487"/>
    <w:rsid w:val="000F560B"/>
    <w:rsid w:val="000F585E"/>
    <w:rsid w:val="000F620C"/>
    <w:rsid w:val="000F62FC"/>
    <w:rsid w:val="000F69FA"/>
    <w:rsid w:val="000F6D37"/>
    <w:rsid w:val="000F7BC4"/>
    <w:rsid w:val="000F7C79"/>
    <w:rsid w:val="00100340"/>
    <w:rsid w:val="001010E0"/>
    <w:rsid w:val="00101C48"/>
    <w:rsid w:val="001021BD"/>
    <w:rsid w:val="001021FB"/>
    <w:rsid w:val="001022E1"/>
    <w:rsid w:val="00102E01"/>
    <w:rsid w:val="00102F81"/>
    <w:rsid w:val="0010305F"/>
    <w:rsid w:val="00103B0E"/>
    <w:rsid w:val="00104226"/>
    <w:rsid w:val="00105407"/>
    <w:rsid w:val="00106B53"/>
    <w:rsid w:val="00107925"/>
    <w:rsid w:val="00107984"/>
    <w:rsid w:val="00107AD2"/>
    <w:rsid w:val="00107E30"/>
    <w:rsid w:val="001106F4"/>
    <w:rsid w:val="00110D23"/>
    <w:rsid w:val="001110D9"/>
    <w:rsid w:val="001113CA"/>
    <w:rsid w:val="001114E6"/>
    <w:rsid w:val="00111D70"/>
    <w:rsid w:val="00111DC7"/>
    <w:rsid w:val="00111F12"/>
    <w:rsid w:val="00112150"/>
    <w:rsid w:val="0011229C"/>
    <w:rsid w:val="0011282C"/>
    <w:rsid w:val="00112A0F"/>
    <w:rsid w:val="001132E5"/>
    <w:rsid w:val="0011335E"/>
    <w:rsid w:val="0011392A"/>
    <w:rsid w:val="0011424D"/>
    <w:rsid w:val="00114ADF"/>
    <w:rsid w:val="001151F2"/>
    <w:rsid w:val="0011523F"/>
    <w:rsid w:val="00115329"/>
    <w:rsid w:val="0011557C"/>
    <w:rsid w:val="0011642B"/>
    <w:rsid w:val="00116527"/>
    <w:rsid w:val="001168A1"/>
    <w:rsid w:val="00116E7E"/>
    <w:rsid w:val="00117217"/>
    <w:rsid w:val="00117C47"/>
    <w:rsid w:val="001201FB"/>
    <w:rsid w:val="0012024F"/>
    <w:rsid w:val="001217C0"/>
    <w:rsid w:val="0012278B"/>
    <w:rsid w:val="00122B0D"/>
    <w:rsid w:val="0012332B"/>
    <w:rsid w:val="001237A3"/>
    <w:rsid w:val="001237A6"/>
    <w:rsid w:val="001237CE"/>
    <w:rsid w:val="00123B2D"/>
    <w:rsid w:val="00123E82"/>
    <w:rsid w:val="00123ECE"/>
    <w:rsid w:val="00124491"/>
    <w:rsid w:val="00124B60"/>
    <w:rsid w:val="00124F55"/>
    <w:rsid w:val="00125106"/>
    <w:rsid w:val="00125F4E"/>
    <w:rsid w:val="00126BDF"/>
    <w:rsid w:val="00126CEC"/>
    <w:rsid w:val="00127664"/>
    <w:rsid w:val="00127A2F"/>
    <w:rsid w:val="00127C88"/>
    <w:rsid w:val="00127D63"/>
    <w:rsid w:val="00127D91"/>
    <w:rsid w:val="001302C2"/>
    <w:rsid w:val="001308B1"/>
    <w:rsid w:val="00130AF8"/>
    <w:rsid w:val="00130CFA"/>
    <w:rsid w:val="00130D1D"/>
    <w:rsid w:val="001310E0"/>
    <w:rsid w:val="001318D8"/>
    <w:rsid w:val="00131A1E"/>
    <w:rsid w:val="00132AA5"/>
    <w:rsid w:val="0013364F"/>
    <w:rsid w:val="00134DE7"/>
    <w:rsid w:val="001357A8"/>
    <w:rsid w:val="001364B2"/>
    <w:rsid w:val="001369F8"/>
    <w:rsid w:val="00137103"/>
    <w:rsid w:val="0013712B"/>
    <w:rsid w:val="00137369"/>
    <w:rsid w:val="001378AA"/>
    <w:rsid w:val="00137D15"/>
    <w:rsid w:val="00140EA7"/>
    <w:rsid w:val="00142465"/>
    <w:rsid w:val="00142716"/>
    <w:rsid w:val="001430A2"/>
    <w:rsid w:val="0014330C"/>
    <w:rsid w:val="0014356D"/>
    <w:rsid w:val="0014415C"/>
    <w:rsid w:val="00144AC4"/>
    <w:rsid w:val="00144C8B"/>
    <w:rsid w:val="00144D12"/>
    <w:rsid w:val="00145487"/>
    <w:rsid w:val="001465EF"/>
    <w:rsid w:val="00146692"/>
    <w:rsid w:val="00146A52"/>
    <w:rsid w:val="00146A80"/>
    <w:rsid w:val="001476A5"/>
    <w:rsid w:val="00147806"/>
    <w:rsid w:val="00147A46"/>
    <w:rsid w:val="00147B32"/>
    <w:rsid w:val="001500E0"/>
    <w:rsid w:val="0015048A"/>
    <w:rsid w:val="00150701"/>
    <w:rsid w:val="00150AE4"/>
    <w:rsid w:val="00150AEE"/>
    <w:rsid w:val="0015157A"/>
    <w:rsid w:val="001517BD"/>
    <w:rsid w:val="00151E15"/>
    <w:rsid w:val="00152C4F"/>
    <w:rsid w:val="00152E30"/>
    <w:rsid w:val="00153AAE"/>
    <w:rsid w:val="0015454F"/>
    <w:rsid w:val="00154AD8"/>
    <w:rsid w:val="00154EAF"/>
    <w:rsid w:val="0015538D"/>
    <w:rsid w:val="00156521"/>
    <w:rsid w:val="0015659B"/>
    <w:rsid w:val="00156988"/>
    <w:rsid w:val="00157AB9"/>
    <w:rsid w:val="00157BBA"/>
    <w:rsid w:val="00157EC3"/>
    <w:rsid w:val="001605D5"/>
    <w:rsid w:val="001607BB"/>
    <w:rsid w:val="001609ED"/>
    <w:rsid w:val="00160AEA"/>
    <w:rsid w:val="00161C54"/>
    <w:rsid w:val="001620D7"/>
    <w:rsid w:val="00162A19"/>
    <w:rsid w:val="00162FB0"/>
    <w:rsid w:val="00163565"/>
    <w:rsid w:val="001639D9"/>
    <w:rsid w:val="001644C3"/>
    <w:rsid w:val="00164535"/>
    <w:rsid w:val="0016498D"/>
    <w:rsid w:val="00164A5A"/>
    <w:rsid w:val="00164A83"/>
    <w:rsid w:val="00164C05"/>
    <w:rsid w:val="001654FE"/>
    <w:rsid w:val="00165620"/>
    <w:rsid w:val="00165809"/>
    <w:rsid w:val="001658C0"/>
    <w:rsid w:val="00165F82"/>
    <w:rsid w:val="00166119"/>
    <w:rsid w:val="00166A89"/>
    <w:rsid w:val="00166C23"/>
    <w:rsid w:val="00166E9C"/>
    <w:rsid w:val="001673E8"/>
    <w:rsid w:val="00167A10"/>
    <w:rsid w:val="00167B30"/>
    <w:rsid w:val="0017063D"/>
    <w:rsid w:val="00170C62"/>
    <w:rsid w:val="001718E7"/>
    <w:rsid w:val="00171FC4"/>
    <w:rsid w:val="0017214F"/>
    <w:rsid w:val="001725E7"/>
    <w:rsid w:val="001728B7"/>
    <w:rsid w:val="0017355A"/>
    <w:rsid w:val="00173839"/>
    <w:rsid w:val="00173909"/>
    <w:rsid w:val="00173B18"/>
    <w:rsid w:val="00173D1D"/>
    <w:rsid w:val="001743AC"/>
    <w:rsid w:val="00174B5A"/>
    <w:rsid w:val="00175EEB"/>
    <w:rsid w:val="0017631E"/>
    <w:rsid w:val="00177130"/>
    <w:rsid w:val="0017748E"/>
    <w:rsid w:val="00177495"/>
    <w:rsid w:val="0017773C"/>
    <w:rsid w:val="00177DBC"/>
    <w:rsid w:val="00177EFF"/>
    <w:rsid w:val="00177F03"/>
    <w:rsid w:val="001804E1"/>
    <w:rsid w:val="00180651"/>
    <w:rsid w:val="00181273"/>
    <w:rsid w:val="001816E4"/>
    <w:rsid w:val="00181B07"/>
    <w:rsid w:val="00181B2E"/>
    <w:rsid w:val="00181C4B"/>
    <w:rsid w:val="001825E0"/>
    <w:rsid w:val="00182A07"/>
    <w:rsid w:val="00182D97"/>
    <w:rsid w:val="00183258"/>
    <w:rsid w:val="001833AA"/>
    <w:rsid w:val="00183C6C"/>
    <w:rsid w:val="0018454F"/>
    <w:rsid w:val="0018463E"/>
    <w:rsid w:val="00184A34"/>
    <w:rsid w:val="00184D3E"/>
    <w:rsid w:val="00184EC7"/>
    <w:rsid w:val="00185104"/>
    <w:rsid w:val="00185C4A"/>
    <w:rsid w:val="00185C66"/>
    <w:rsid w:val="00185E28"/>
    <w:rsid w:val="00186050"/>
    <w:rsid w:val="00186319"/>
    <w:rsid w:val="00186479"/>
    <w:rsid w:val="0018666E"/>
    <w:rsid w:val="00186690"/>
    <w:rsid w:val="00187BBD"/>
    <w:rsid w:val="00187D0F"/>
    <w:rsid w:val="0019009E"/>
    <w:rsid w:val="00190102"/>
    <w:rsid w:val="00190777"/>
    <w:rsid w:val="00190A49"/>
    <w:rsid w:val="00190FED"/>
    <w:rsid w:val="00192F3D"/>
    <w:rsid w:val="00193C09"/>
    <w:rsid w:val="00193F47"/>
    <w:rsid w:val="00194071"/>
    <w:rsid w:val="00194389"/>
    <w:rsid w:val="001944A9"/>
    <w:rsid w:val="001944C2"/>
    <w:rsid w:val="00194C14"/>
    <w:rsid w:val="00194EE4"/>
    <w:rsid w:val="00195328"/>
    <w:rsid w:val="001954EC"/>
    <w:rsid w:val="00195FEC"/>
    <w:rsid w:val="001966F2"/>
    <w:rsid w:val="001968DD"/>
    <w:rsid w:val="00196DC1"/>
    <w:rsid w:val="00197012"/>
    <w:rsid w:val="001974C5"/>
    <w:rsid w:val="001975BF"/>
    <w:rsid w:val="00197691"/>
    <w:rsid w:val="00197B43"/>
    <w:rsid w:val="00197EA2"/>
    <w:rsid w:val="00197FF3"/>
    <w:rsid w:val="001A0161"/>
    <w:rsid w:val="001A01F0"/>
    <w:rsid w:val="001A0833"/>
    <w:rsid w:val="001A0835"/>
    <w:rsid w:val="001A1032"/>
    <w:rsid w:val="001A124B"/>
    <w:rsid w:val="001A18B4"/>
    <w:rsid w:val="001A1C3E"/>
    <w:rsid w:val="001A2257"/>
    <w:rsid w:val="001A2DBF"/>
    <w:rsid w:val="001A2FEC"/>
    <w:rsid w:val="001A3B3B"/>
    <w:rsid w:val="001A461C"/>
    <w:rsid w:val="001A4A14"/>
    <w:rsid w:val="001A4D4F"/>
    <w:rsid w:val="001A535D"/>
    <w:rsid w:val="001A5A32"/>
    <w:rsid w:val="001A6521"/>
    <w:rsid w:val="001A6692"/>
    <w:rsid w:val="001A6A46"/>
    <w:rsid w:val="001A6BC0"/>
    <w:rsid w:val="001A6C75"/>
    <w:rsid w:val="001A7027"/>
    <w:rsid w:val="001A79A4"/>
    <w:rsid w:val="001A7BCC"/>
    <w:rsid w:val="001B05E9"/>
    <w:rsid w:val="001B087B"/>
    <w:rsid w:val="001B096C"/>
    <w:rsid w:val="001B09CB"/>
    <w:rsid w:val="001B0C92"/>
    <w:rsid w:val="001B0EFA"/>
    <w:rsid w:val="001B119B"/>
    <w:rsid w:val="001B2165"/>
    <w:rsid w:val="001B244D"/>
    <w:rsid w:val="001B2763"/>
    <w:rsid w:val="001B3863"/>
    <w:rsid w:val="001B49A3"/>
    <w:rsid w:val="001B5E55"/>
    <w:rsid w:val="001B5F60"/>
    <w:rsid w:val="001B67B1"/>
    <w:rsid w:val="001B70E9"/>
    <w:rsid w:val="001B71B6"/>
    <w:rsid w:val="001B7854"/>
    <w:rsid w:val="001B7906"/>
    <w:rsid w:val="001C00C0"/>
    <w:rsid w:val="001C010C"/>
    <w:rsid w:val="001C0417"/>
    <w:rsid w:val="001C074E"/>
    <w:rsid w:val="001C07E4"/>
    <w:rsid w:val="001C0D3E"/>
    <w:rsid w:val="001C0EB9"/>
    <w:rsid w:val="001C1324"/>
    <w:rsid w:val="001C132D"/>
    <w:rsid w:val="001C18FD"/>
    <w:rsid w:val="001C1A1E"/>
    <w:rsid w:val="001C1A7A"/>
    <w:rsid w:val="001C1F2B"/>
    <w:rsid w:val="001C1FDA"/>
    <w:rsid w:val="001C21FE"/>
    <w:rsid w:val="001C2580"/>
    <w:rsid w:val="001C2743"/>
    <w:rsid w:val="001C2B7F"/>
    <w:rsid w:val="001C2BE1"/>
    <w:rsid w:val="001C3462"/>
    <w:rsid w:val="001C350D"/>
    <w:rsid w:val="001C39E1"/>
    <w:rsid w:val="001C44E0"/>
    <w:rsid w:val="001C4611"/>
    <w:rsid w:val="001C4654"/>
    <w:rsid w:val="001C49CC"/>
    <w:rsid w:val="001C4D1D"/>
    <w:rsid w:val="001C4DEE"/>
    <w:rsid w:val="001C5CA6"/>
    <w:rsid w:val="001C5DF8"/>
    <w:rsid w:val="001C5FB2"/>
    <w:rsid w:val="001C6ABB"/>
    <w:rsid w:val="001C78AC"/>
    <w:rsid w:val="001D04D3"/>
    <w:rsid w:val="001D06DF"/>
    <w:rsid w:val="001D0B8E"/>
    <w:rsid w:val="001D1D2F"/>
    <w:rsid w:val="001D1D9A"/>
    <w:rsid w:val="001D1E13"/>
    <w:rsid w:val="001D2266"/>
    <w:rsid w:val="001D340F"/>
    <w:rsid w:val="001D3726"/>
    <w:rsid w:val="001D3B22"/>
    <w:rsid w:val="001D3BBE"/>
    <w:rsid w:val="001D3CC8"/>
    <w:rsid w:val="001D3D51"/>
    <w:rsid w:val="001D4563"/>
    <w:rsid w:val="001D4F83"/>
    <w:rsid w:val="001D54DF"/>
    <w:rsid w:val="001D5516"/>
    <w:rsid w:val="001D584C"/>
    <w:rsid w:val="001D585A"/>
    <w:rsid w:val="001D5959"/>
    <w:rsid w:val="001D59A9"/>
    <w:rsid w:val="001D5B06"/>
    <w:rsid w:val="001D66D2"/>
    <w:rsid w:val="001D6973"/>
    <w:rsid w:val="001D704C"/>
    <w:rsid w:val="001D7083"/>
    <w:rsid w:val="001D7507"/>
    <w:rsid w:val="001D7AC9"/>
    <w:rsid w:val="001D7BAF"/>
    <w:rsid w:val="001E00A7"/>
    <w:rsid w:val="001E0684"/>
    <w:rsid w:val="001E1774"/>
    <w:rsid w:val="001E208E"/>
    <w:rsid w:val="001E25B3"/>
    <w:rsid w:val="001E2DB3"/>
    <w:rsid w:val="001E2FC2"/>
    <w:rsid w:val="001E330D"/>
    <w:rsid w:val="001E34E0"/>
    <w:rsid w:val="001E3632"/>
    <w:rsid w:val="001E3734"/>
    <w:rsid w:val="001E3E3C"/>
    <w:rsid w:val="001E3E54"/>
    <w:rsid w:val="001E4D0C"/>
    <w:rsid w:val="001E4DD0"/>
    <w:rsid w:val="001E5338"/>
    <w:rsid w:val="001E56E2"/>
    <w:rsid w:val="001E65A9"/>
    <w:rsid w:val="001E6630"/>
    <w:rsid w:val="001E6B6B"/>
    <w:rsid w:val="001E6FA0"/>
    <w:rsid w:val="001E70BD"/>
    <w:rsid w:val="001E71D2"/>
    <w:rsid w:val="001E74EA"/>
    <w:rsid w:val="001F054F"/>
    <w:rsid w:val="001F0625"/>
    <w:rsid w:val="001F08C9"/>
    <w:rsid w:val="001F0C54"/>
    <w:rsid w:val="001F0ECC"/>
    <w:rsid w:val="001F1100"/>
    <w:rsid w:val="001F11F9"/>
    <w:rsid w:val="001F18B9"/>
    <w:rsid w:val="001F1C42"/>
    <w:rsid w:val="001F219B"/>
    <w:rsid w:val="001F2331"/>
    <w:rsid w:val="001F2691"/>
    <w:rsid w:val="001F26C6"/>
    <w:rsid w:val="001F3A2D"/>
    <w:rsid w:val="001F3CC1"/>
    <w:rsid w:val="001F4405"/>
    <w:rsid w:val="001F4461"/>
    <w:rsid w:val="001F4710"/>
    <w:rsid w:val="001F4765"/>
    <w:rsid w:val="001F4A32"/>
    <w:rsid w:val="001F4A60"/>
    <w:rsid w:val="001F4C11"/>
    <w:rsid w:val="001F4FDD"/>
    <w:rsid w:val="001F512D"/>
    <w:rsid w:val="001F5344"/>
    <w:rsid w:val="001F5AF0"/>
    <w:rsid w:val="001F5F77"/>
    <w:rsid w:val="001F62F0"/>
    <w:rsid w:val="001F68B2"/>
    <w:rsid w:val="001F6A02"/>
    <w:rsid w:val="001F6AE0"/>
    <w:rsid w:val="001F71E5"/>
    <w:rsid w:val="001F742F"/>
    <w:rsid w:val="001F7A5A"/>
    <w:rsid w:val="0020004A"/>
    <w:rsid w:val="0020035F"/>
    <w:rsid w:val="002004CC"/>
    <w:rsid w:val="00200EA0"/>
    <w:rsid w:val="00201157"/>
    <w:rsid w:val="002013F8"/>
    <w:rsid w:val="0020159C"/>
    <w:rsid w:val="002018BE"/>
    <w:rsid w:val="0020317A"/>
    <w:rsid w:val="00203A50"/>
    <w:rsid w:val="00203F24"/>
    <w:rsid w:val="00204017"/>
    <w:rsid w:val="002041D1"/>
    <w:rsid w:val="00204390"/>
    <w:rsid w:val="002045E2"/>
    <w:rsid w:val="002048AD"/>
    <w:rsid w:val="00205307"/>
    <w:rsid w:val="0020573C"/>
    <w:rsid w:val="00205DBE"/>
    <w:rsid w:val="00206121"/>
    <w:rsid w:val="002066B5"/>
    <w:rsid w:val="00206E89"/>
    <w:rsid w:val="002072DF"/>
    <w:rsid w:val="00207A35"/>
    <w:rsid w:val="00207EE3"/>
    <w:rsid w:val="0021027A"/>
    <w:rsid w:val="00210286"/>
    <w:rsid w:val="002102CC"/>
    <w:rsid w:val="002102F2"/>
    <w:rsid w:val="00210CE0"/>
    <w:rsid w:val="00210F8B"/>
    <w:rsid w:val="00211CE5"/>
    <w:rsid w:val="00212622"/>
    <w:rsid w:val="002126C2"/>
    <w:rsid w:val="00212840"/>
    <w:rsid w:val="002132D7"/>
    <w:rsid w:val="00213679"/>
    <w:rsid w:val="00213941"/>
    <w:rsid w:val="0021407C"/>
    <w:rsid w:val="002144A4"/>
    <w:rsid w:val="00214633"/>
    <w:rsid w:val="00215731"/>
    <w:rsid w:val="00215D52"/>
    <w:rsid w:val="002165AE"/>
    <w:rsid w:val="002166ED"/>
    <w:rsid w:val="0021706F"/>
    <w:rsid w:val="0021717B"/>
    <w:rsid w:val="0021735A"/>
    <w:rsid w:val="00217D3F"/>
    <w:rsid w:val="00220049"/>
    <w:rsid w:val="00220085"/>
    <w:rsid w:val="0022131F"/>
    <w:rsid w:val="002224A3"/>
    <w:rsid w:val="00222A1E"/>
    <w:rsid w:val="002231E8"/>
    <w:rsid w:val="00223FCF"/>
    <w:rsid w:val="00224F10"/>
    <w:rsid w:val="002256E8"/>
    <w:rsid w:val="0022602A"/>
    <w:rsid w:val="00226599"/>
    <w:rsid w:val="0022682A"/>
    <w:rsid w:val="00226E42"/>
    <w:rsid w:val="00226F1C"/>
    <w:rsid w:val="0022703F"/>
    <w:rsid w:val="00227708"/>
    <w:rsid w:val="00227940"/>
    <w:rsid w:val="00227EDD"/>
    <w:rsid w:val="0023045A"/>
    <w:rsid w:val="00230F40"/>
    <w:rsid w:val="002328F5"/>
    <w:rsid w:val="00232934"/>
    <w:rsid w:val="00232BB4"/>
    <w:rsid w:val="00232E0A"/>
    <w:rsid w:val="00232F80"/>
    <w:rsid w:val="00233100"/>
    <w:rsid w:val="0023372F"/>
    <w:rsid w:val="00233FB3"/>
    <w:rsid w:val="0023417D"/>
    <w:rsid w:val="00234B71"/>
    <w:rsid w:val="00234C64"/>
    <w:rsid w:val="0023593C"/>
    <w:rsid w:val="00236095"/>
    <w:rsid w:val="0023612A"/>
    <w:rsid w:val="002365B2"/>
    <w:rsid w:val="00236BD0"/>
    <w:rsid w:val="0023727B"/>
    <w:rsid w:val="002379F2"/>
    <w:rsid w:val="00237ACC"/>
    <w:rsid w:val="00237BC5"/>
    <w:rsid w:val="00237F4E"/>
    <w:rsid w:val="00240252"/>
    <w:rsid w:val="002403B5"/>
    <w:rsid w:val="002407F3"/>
    <w:rsid w:val="00240FC1"/>
    <w:rsid w:val="002413E2"/>
    <w:rsid w:val="00241E96"/>
    <w:rsid w:val="00242205"/>
    <w:rsid w:val="00242BDC"/>
    <w:rsid w:val="002432EC"/>
    <w:rsid w:val="00243781"/>
    <w:rsid w:val="00243BFE"/>
    <w:rsid w:val="00243C7C"/>
    <w:rsid w:val="002448C1"/>
    <w:rsid w:val="00244CE2"/>
    <w:rsid w:val="00244E45"/>
    <w:rsid w:val="00244E65"/>
    <w:rsid w:val="0024520F"/>
    <w:rsid w:val="00245384"/>
    <w:rsid w:val="00245B63"/>
    <w:rsid w:val="00245C70"/>
    <w:rsid w:val="002462D1"/>
    <w:rsid w:val="002463A8"/>
    <w:rsid w:val="00246D74"/>
    <w:rsid w:val="002476D2"/>
    <w:rsid w:val="0024770F"/>
    <w:rsid w:val="00247EC6"/>
    <w:rsid w:val="00247F9D"/>
    <w:rsid w:val="00250E3D"/>
    <w:rsid w:val="0025143C"/>
    <w:rsid w:val="00251E90"/>
    <w:rsid w:val="002525A5"/>
    <w:rsid w:val="0025279B"/>
    <w:rsid w:val="00252BE7"/>
    <w:rsid w:val="00252CBC"/>
    <w:rsid w:val="00253A73"/>
    <w:rsid w:val="00253EF3"/>
    <w:rsid w:val="00254494"/>
    <w:rsid w:val="00254512"/>
    <w:rsid w:val="00254696"/>
    <w:rsid w:val="00255044"/>
    <w:rsid w:val="0025505C"/>
    <w:rsid w:val="00255DC6"/>
    <w:rsid w:val="002560DC"/>
    <w:rsid w:val="002563FD"/>
    <w:rsid w:val="002567FB"/>
    <w:rsid w:val="00260022"/>
    <w:rsid w:val="002608F6"/>
    <w:rsid w:val="00260CBC"/>
    <w:rsid w:val="00262C14"/>
    <w:rsid w:val="002635BA"/>
    <w:rsid w:val="002645C3"/>
    <w:rsid w:val="002646ED"/>
    <w:rsid w:val="002646FB"/>
    <w:rsid w:val="0026483A"/>
    <w:rsid w:val="00265810"/>
    <w:rsid w:val="00265897"/>
    <w:rsid w:val="00265D65"/>
    <w:rsid w:val="00265FC3"/>
    <w:rsid w:val="0026637F"/>
    <w:rsid w:val="002663C1"/>
    <w:rsid w:val="002668F7"/>
    <w:rsid w:val="002672F5"/>
    <w:rsid w:val="00267791"/>
    <w:rsid w:val="002677AB"/>
    <w:rsid w:val="00270309"/>
    <w:rsid w:val="00270338"/>
    <w:rsid w:val="00270735"/>
    <w:rsid w:val="00270B16"/>
    <w:rsid w:val="00271509"/>
    <w:rsid w:val="00271CB2"/>
    <w:rsid w:val="00272006"/>
    <w:rsid w:val="0027315D"/>
    <w:rsid w:val="0027360D"/>
    <w:rsid w:val="00273D96"/>
    <w:rsid w:val="002741FD"/>
    <w:rsid w:val="00274F9C"/>
    <w:rsid w:val="00275219"/>
    <w:rsid w:val="002758E9"/>
    <w:rsid w:val="002763ED"/>
    <w:rsid w:val="00276B47"/>
    <w:rsid w:val="00277681"/>
    <w:rsid w:val="0028000E"/>
    <w:rsid w:val="002801A8"/>
    <w:rsid w:val="0028155B"/>
    <w:rsid w:val="0028181E"/>
    <w:rsid w:val="00281AE0"/>
    <w:rsid w:val="00281B6B"/>
    <w:rsid w:val="002820D9"/>
    <w:rsid w:val="002822F1"/>
    <w:rsid w:val="00282328"/>
    <w:rsid w:val="00282500"/>
    <w:rsid w:val="00282968"/>
    <w:rsid w:val="00282BE5"/>
    <w:rsid w:val="0028349D"/>
    <w:rsid w:val="00283958"/>
    <w:rsid w:val="00284991"/>
    <w:rsid w:val="00284E5F"/>
    <w:rsid w:val="002851DE"/>
    <w:rsid w:val="00285A27"/>
    <w:rsid w:val="00285BE9"/>
    <w:rsid w:val="00285DF0"/>
    <w:rsid w:val="00286443"/>
    <w:rsid w:val="00287992"/>
    <w:rsid w:val="00287DB1"/>
    <w:rsid w:val="00287E00"/>
    <w:rsid w:val="00287E59"/>
    <w:rsid w:val="00287E9C"/>
    <w:rsid w:val="002903BA"/>
    <w:rsid w:val="00290CB4"/>
    <w:rsid w:val="00290F2E"/>
    <w:rsid w:val="00291070"/>
    <w:rsid w:val="00291E19"/>
    <w:rsid w:val="00292580"/>
    <w:rsid w:val="00292C18"/>
    <w:rsid w:val="0029300A"/>
    <w:rsid w:val="002931B4"/>
    <w:rsid w:val="0029386D"/>
    <w:rsid w:val="002939B8"/>
    <w:rsid w:val="0029429C"/>
    <w:rsid w:val="00294565"/>
    <w:rsid w:val="00294606"/>
    <w:rsid w:val="002948AE"/>
    <w:rsid w:val="00294C41"/>
    <w:rsid w:val="00294F15"/>
    <w:rsid w:val="0029558C"/>
    <w:rsid w:val="00296020"/>
    <w:rsid w:val="00297151"/>
    <w:rsid w:val="0029765B"/>
    <w:rsid w:val="0029778B"/>
    <w:rsid w:val="002977B9"/>
    <w:rsid w:val="002977D6"/>
    <w:rsid w:val="002A1141"/>
    <w:rsid w:val="002A192B"/>
    <w:rsid w:val="002A1FF9"/>
    <w:rsid w:val="002A20BE"/>
    <w:rsid w:val="002A232F"/>
    <w:rsid w:val="002A27C0"/>
    <w:rsid w:val="002A31AB"/>
    <w:rsid w:val="002A31BC"/>
    <w:rsid w:val="002A36C4"/>
    <w:rsid w:val="002A377A"/>
    <w:rsid w:val="002A38CA"/>
    <w:rsid w:val="002A3D6D"/>
    <w:rsid w:val="002A40E0"/>
    <w:rsid w:val="002A41B8"/>
    <w:rsid w:val="002A4709"/>
    <w:rsid w:val="002A5169"/>
    <w:rsid w:val="002A538B"/>
    <w:rsid w:val="002A543D"/>
    <w:rsid w:val="002A5BF7"/>
    <w:rsid w:val="002A5CE0"/>
    <w:rsid w:val="002A6545"/>
    <w:rsid w:val="002A6A4D"/>
    <w:rsid w:val="002A6CE8"/>
    <w:rsid w:val="002A705C"/>
    <w:rsid w:val="002A76DA"/>
    <w:rsid w:val="002A78C0"/>
    <w:rsid w:val="002A7CDF"/>
    <w:rsid w:val="002B00DE"/>
    <w:rsid w:val="002B1351"/>
    <w:rsid w:val="002B146A"/>
    <w:rsid w:val="002B16DD"/>
    <w:rsid w:val="002B199E"/>
    <w:rsid w:val="002B1D08"/>
    <w:rsid w:val="002B1FDA"/>
    <w:rsid w:val="002B203F"/>
    <w:rsid w:val="002B27F9"/>
    <w:rsid w:val="002B2E76"/>
    <w:rsid w:val="002B3600"/>
    <w:rsid w:val="002B3D65"/>
    <w:rsid w:val="002B41AC"/>
    <w:rsid w:val="002B48A5"/>
    <w:rsid w:val="002B4B79"/>
    <w:rsid w:val="002B4E19"/>
    <w:rsid w:val="002B540F"/>
    <w:rsid w:val="002B55AE"/>
    <w:rsid w:val="002B58EB"/>
    <w:rsid w:val="002B5A98"/>
    <w:rsid w:val="002B677E"/>
    <w:rsid w:val="002B6FAF"/>
    <w:rsid w:val="002B7123"/>
    <w:rsid w:val="002B7762"/>
    <w:rsid w:val="002B7E3F"/>
    <w:rsid w:val="002C004D"/>
    <w:rsid w:val="002C0B9D"/>
    <w:rsid w:val="002C15A3"/>
    <w:rsid w:val="002C17E1"/>
    <w:rsid w:val="002C193D"/>
    <w:rsid w:val="002C20CC"/>
    <w:rsid w:val="002C23DC"/>
    <w:rsid w:val="002C27BF"/>
    <w:rsid w:val="002C2887"/>
    <w:rsid w:val="002C2B8A"/>
    <w:rsid w:val="002C30E2"/>
    <w:rsid w:val="002C3377"/>
    <w:rsid w:val="002C446D"/>
    <w:rsid w:val="002C45D8"/>
    <w:rsid w:val="002C4A99"/>
    <w:rsid w:val="002C4B36"/>
    <w:rsid w:val="002C4E54"/>
    <w:rsid w:val="002C50F4"/>
    <w:rsid w:val="002C5F6F"/>
    <w:rsid w:val="002C69B4"/>
    <w:rsid w:val="002C730E"/>
    <w:rsid w:val="002C7DA7"/>
    <w:rsid w:val="002D1270"/>
    <w:rsid w:val="002D15C7"/>
    <w:rsid w:val="002D1C91"/>
    <w:rsid w:val="002D1D79"/>
    <w:rsid w:val="002D2049"/>
    <w:rsid w:val="002D26D8"/>
    <w:rsid w:val="002D28D7"/>
    <w:rsid w:val="002D299A"/>
    <w:rsid w:val="002D2BE5"/>
    <w:rsid w:val="002D2EC7"/>
    <w:rsid w:val="002D3376"/>
    <w:rsid w:val="002D40AD"/>
    <w:rsid w:val="002D50FA"/>
    <w:rsid w:val="002D5740"/>
    <w:rsid w:val="002D62DF"/>
    <w:rsid w:val="002D6322"/>
    <w:rsid w:val="002D6C47"/>
    <w:rsid w:val="002D6D1E"/>
    <w:rsid w:val="002D6E30"/>
    <w:rsid w:val="002D6E75"/>
    <w:rsid w:val="002D7050"/>
    <w:rsid w:val="002D7E1D"/>
    <w:rsid w:val="002E0550"/>
    <w:rsid w:val="002E0D23"/>
    <w:rsid w:val="002E102C"/>
    <w:rsid w:val="002E1166"/>
    <w:rsid w:val="002E1571"/>
    <w:rsid w:val="002E17F8"/>
    <w:rsid w:val="002E1958"/>
    <w:rsid w:val="002E19B7"/>
    <w:rsid w:val="002E1D47"/>
    <w:rsid w:val="002E1D5D"/>
    <w:rsid w:val="002E249B"/>
    <w:rsid w:val="002E24B8"/>
    <w:rsid w:val="002E2559"/>
    <w:rsid w:val="002E2991"/>
    <w:rsid w:val="002E3495"/>
    <w:rsid w:val="002E3DE0"/>
    <w:rsid w:val="002E3E35"/>
    <w:rsid w:val="002E4ED9"/>
    <w:rsid w:val="002E564C"/>
    <w:rsid w:val="002E572E"/>
    <w:rsid w:val="002E5C83"/>
    <w:rsid w:val="002E5F27"/>
    <w:rsid w:val="002E69B8"/>
    <w:rsid w:val="002E6B16"/>
    <w:rsid w:val="002E7253"/>
    <w:rsid w:val="002E75C8"/>
    <w:rsid w:val="002E7740"/>
    <w:rsid w:val="002E796D"/>
    <w:rsid w:val="002E7BC7"/>
    <w:rsid w:val="002F04EB"/>
    <w:rsid w:val="002F06BE"/>
    <w:rsid w:val="002F0865"/>
    <w:rsid w:val="002F170F"/>
    <w:rsid w:val="002F1A2A"/>
    <w:rsid w:val="002F2685"/>
    <w:rsid w:val="002F2E8E"/>
    <w:rsid w:val="002F3B6C"/>
    <w:rsid w:val="002F4104"/>
    <w:rsid w:val="002F45A1"/>
    <w:rsid w:val="002F4BEC"/>
    <w:rsid w:val="002F50ED"/>
    <w:rsid w:val="002F5AE5"/>
    <w:rsid w:val="002F5D9F"/>
    <w:rsid w:val="002F5E5C"/>
    <w:rsid w:val="002F62E9"/>
    <w:rsid w:val="002F6DA0"/>
    <w:rsid w:val="002F6DAA"/>
    <w:rsid w:val="002F7CDF"/>
    <w:rsid w:val="002F7D1F"/>
    <w:rsid w:val="00300A84"/>
    <w:rsid w:val="00300D03"/>
    <w:rsid w:val="00300DE0"/>
    <w:rsid w:val="003010E9"/>
    <w:rsid w:val="003018FA"/>
    <w:rsid w:val="0030192E"/>
    <w:rsid w:val="00301CD9"/>
    <w:rsid w:val="00301DF1"/>
    <w:rsid w:val="00301E83"/>
    <w:rsid w:val="00302156"/>
    <w:rsid w:val="003024C7"/>
    <w:rsid w:val="00302985"/>
    <w:rsid w:val="0030362A"/>
    <w:rsid w:val="00303806"/>
    <w:rsid w:val="00303808"/>
    <w:rsid w:val="0030399A"/>
    <w:rsid w:val="00303F28"/>
    <w:rsid w:val="00304334"/>
    <w:rsid w:val="0030474B"/>
    <w:rsid w:val="003056E1"/>
    <w:rsid w:val="00305782"/>
    <w:rsid w:val="00305FC1"/>
    <w:rsid w:val="00306714"/>
    <w:rsid w:val="00306839"/>
    <w:rsid w:val="003068FF"/>
    <w:rsid w:val="00306C7C"/>
    <w:rsid w:val="00306DF1"/>
    <w:rsid w:val="00306EC5"/>
    <w:rsid w:val="003071B1"/>
    <w:rsid w:val="0030743F"/>
    <w:rsid w:val="003074FA"/>
    <w:rsid w:val="003075A1"/>
    <w:rsid w:val="003075CD"/>
    <w:rsid w:val="00307AF6"/>
    <w:rsid w:val="00307DA9"/>
    <w:rsid w:val="00307F5A"/>
    <w:rsid w:val="00310BF5"/>
    <w:rsid w:val="00310D30"/>
    <w:rsid w:val="00311609"/>
    <w:rsid w:val="00311674"/>
    <w:rsid w:val="00311920"/>
    <w:rsid w:val="00312745"/>
    <w:rsid w:val="003134F5"/>
    <w:rsid w:val="00313675"/>
    <w:rsid w:val="003138FE"/>
    <w:rsid w:val="00313990"/>
    <w:rsid w:val="0031431F"/>
    <w:rsid w:val="0031578F"/>
    <w:rsid w:val="00315B3A"/>
    <w:rsid w:val="00315E49"/>
    <w:rsid w:val="003160D0"/>
    <w:rsid w:val="00316710"/>
    <w:rsid w:val="00316D42"/>
    <w:rsid w:val="00317441"/>
    <w:rsid w:val="003209D0"/>
    <w:rsid w:val="00320C1B"/>
    <w:rsid w:val="00320E4A"/>
    <w:rsid w:val="003216F8"/>
    <w:rsid w:val="00321785"/>
    <w:rsid w:val="00321A44"/>
    <w:rsid w:val="00322544"/>
    <w:rsid w:val="00322855"/>
    <w:rsid w:val="00322A78"/>
    <w:rsid w:val="00322B96"/>
    <w:rsid w:val="003234FB"/>
    <w:rsid w:val="00323AFC"/>
    <w:rsid w:val="003246A4"/>
    <w:rsid w:val="00324DD2"/>
    <w:rsid w:val="00324E7C"/>
    <w:rsid w:val="00324EE8"/>
    <w:rsid w:val="003252B5"/>
    <w:rsid w:val="00325AED"/>
    <w:rsid w:val="00325D81"/>
    <w:rsid w:val="003269CA"/>
    <w:rsid w:val="00326CE6"/>
    <w:rsid w:val="00326D6B"/>
    <w:rsid w:val="003270DD"/>
    <w:rsid w:val="003276F6"/>
    <w:rsid w:val="0032787C"/>
    <w:rsid w:val="00327946"/>
    <w:rsid w:val="00327C5F"/>
    <w:rsid w:val="00327EF1"/>
    <w:rsid w:val="00327FDA"/>
    <w:rsid w:val="003300FD"/>
    <w:rsid w:val="0033066D"/>
    <w:rsid w:val="00330ACD"/>
    <w:rsid w:val="00330C4B"/>
    <w:rsid w:val="00330F15"/>
    <w:rsid w:val="00331239"/>
    <w:rsid w:val="0033124A"/>
    <w:rsid w:val="00331859"/>
    <w:rsid w:val="003318E0"/>
    <w:rsid w:val="00331B26"/>
    <w:rsid w:val="00332040"/>
    <w:rsid w:val="003322B0"/>
    <w:rsid w:val="00332AE2"/>
    <w:rsid w:val="00332E0A"/>
    <w:rsid w:val="00332E52"/>
    <w:rsid w:val="00333614"/>
    <w:rsid w:val="00333624"/>
    <w:rsid w:val="00333E4E"/>
    <w:rsid w:val="00333E8E"/>
    <w:rsid w:val="0033409A"/>
    <w:rsid w:val="003341F1"/>
    <w:rsid w:val="00334215"/>
    <w:rsid w:val="0033431A"/>
    <w:rsid w:val="00334598"/>
    <w:rsid w:val="00334700"/>
    <w:rsid w:val="00334934"/>
    <w:rsid w:val="00334998"/>
    <w:rsid w:val="00334AB7"/>
    <w:rsid w:val="00335197"/>
    <w:rsid w:val="003352A0"/>
    <w:rsid w:val="003352B7"/>
    <w:rsid w:val="00335340"/>
    <w:rsid w:val="00335CF9"/>
    <w:rsid w:val="00336039"/>
    <w:rsid w:val="003364E1"/>
    <w:rsid w:val="003369E3"/>
    <w:rsid w:val="00337AFF"/>
    <w:rsid w:val="00340003"/>
    <w:rsid w:val="003401E2"/>
    <w:rsid w:val="00340A0F"/>
    <w:rsid w:val="003410A9"/>
    <w:rsid w:val="003415C6"/>
    <w:rsid w:val="003419A4"/>
    <w:rsid w:val="00341C3B"/>
    <w:rsid w:val="00341D39"/>
    <w:rsid w:val="00341D61"/>
    <w:rsid w:val="003434A5"/>
    <w:rsid w:val="00343680"/>
    <w:rsid w:val="00344010"/>
    <w:rsid w:val="003440FB"/>
    <w:rsid w:val="003442C0"/>
    <w:rsid w:val="003444F4"/>
    <w:rsid w:val="003459C1"/>
    <w:rsid w:val="00345CEA"/>
    <w:rsid w:val="00345DF0"/>
    <w:rsid w:val="00345E2D"/>
    <w:rsid w:val="00346003"/>
    <w:rsid w:val="0034673C"/>
    <w:rsid w:val="0034677B"/>
    <w:rsid w:val="0034763F"/>
    <w:rsid w:val="003478A1"/>
    <w:rsid w:val="00347F19"/>
    <w:rsid w:val="00350012"/>
    <w:rsid w:val="003507A8"/>
    <w:rsid w:val="00350944"/>
    <w:rsid w:val="00350B52"/>
    <w:rsid w:val="00350E62"/>
    <w:rsid w:val="00351318"/>
    <w:rsid w:val="003515EC"/>
    <w:rsid w:val="00351C5A"/>
    <w:rsid w:val="0035222B"/>
    <w:rsid w:val="003527C6"/>
    <w:rsid w:val="003529A5"/>
    <w:rsid w:val="00352F1E"/>
    <w:rsid w:val="00353045"/>
    <w:rsid w:val="00353097"/>
    <w:rsid w:val="00353188"/>
    <w:rsid w:val="00353CE6"/>
    <w:rsid w:val="0035418C"/>
    <w:rsid w:val="003545D4"/>
    <w:rsid w:val="003547D0"/>
    <w:rsid w:val="00354A8D"/>
    <w:rsid w:val="00354E7F"/>
    <w:rsid w:val="00355102"/>
    <w:rsid w:val="00355517"/>
    <w:rsid w:val="003555E6"/>
    <w:rsid w:val="00356438"/>
    <w:rsid w:val="003566B0"/>
    <w:rsid w:val="003571D7"/>
    <w:rsid w:val="00357A36"/>
    <w:rsid w:val="00357BDD"/>
    <w:rsid w:val="00357BF1"/>
    <w:rsid w:val="00357BF6"/>
    <w:rsid w:val="00357BFA"/>
    <w:rsid w:val="00357D81"/>
    <w:rsid w:val="0036034C"/>
    <w:rsid w:val="003609A5"/>
    <w:rsid w:val="00360C42"/>
    <w:rsid w:val="0036118C"/>
    <w:rsid w:val="003613AC"/>
    <w:rsid w:val="0036158F"/>
    <w:rsid w:val="00361BD9"/>
    <w:rsid w:val="003637AE"/>
    <w:rsid w:val="003641B1"/>
    <w:rsid w:val="003641BF"/>
    <w:rsid w:val="00365421"/>
    <w:rsid w:val="003654B1"/>
    <w:rsid w:val="0036574F"/>
    <w:rsid w:val="00365920"/>
    <w:rsid w:val="0036599A"/>
    <w:rsid w:val="00365B21"/>
    <w:rsid w:val="00365DD7"/>
    <w:rsid w:val="00365FAC"/>
    <w:rsid w:val="003661CD"/>
    <w:rsid w:val="00366C25"/>
    <w:rsid w:val="003674A9"/>
    <w:rsid w:val="00370174"/>
    <w:rsid w:val="003703CC"/>
    <w:rsid w:val="0037044F"/>
    <w:rsid w:val="003704A1"/>
    <w:rsid w:val="00370531"/>
    <w:rsid w:val="0037089E"/>
    <w:rsid w:val="00370912"/>
    <w:rsid w:val="00370D04"/>
    <w:rsid w:val="00371866"/>
    <w:rsid w:val="0037190D"/>
    <w:rsid w:val="00371A3B"/>
    <w:rsid w:val="00372253"/>
    <w:rsid w:val="003723A5"/>
    <w:rsid w:val="00372B72"/>
    <w:rsid w:val="00372EAC"/>
    <w:rsid w:val="00373612"/>
    <w:rsid w:val="003738EE"/>
    <w:rsid w:val="00374101"/>
    <w:rsid w:val="003746BC"/>
    <w:rsid w:val="00374CB9"/>
    <w:rsid w:val="00374EDF"/>
    <w:rsid w:val="00374F65"/>
    <w:rsid w:val="003750CA"/>
    <w:rsid w:val="0037569D"/>
    <w:rsid w:val="003761B4"/>
    <w:rsid w:val="00376705"/>
    <w:rsid w:val="00377201"/>
    <w:rsid w:val="0037728F"/>
    <w:rsid w:val="00377A95"/>
    <w:rsid w:val="00377E7D"/>
    <w:rsid w:val="00377F9B"/>
    <w:rsid w:val="00377FA4"/>
    <w:rsid w:val="0038078C"/>
    <w:rsid w:val="003807A4"/>
    <w:rsid w:val="00380913"/>
    <w:rsid w:val="0038099B"/>
    <w:rsid w:val="00380C32"/>
    <w:rsid w:val="00381451"/>
    <w:rsid w:val="003818DD"/>
    <w:rsid w:val="00381C73"/>
    <w:rsid w:val="00381EC3"/>
    <w:rsid w:val="00381F79"/>
    <w:rsid w:val="00383A97"/>
    <w:rsid w:val="00383EA3"/>
    <w:rsid w:val="00384567"/>
    <w:rsid w:val="00384DD9"/>
    <w:rsid w:val="00385054"/>
    <w:rsid w:val="00385B89"/>
    <w:rsid w:val="003861EE"/>
    <w:rsid w:val="00386294"/>
    <w:rsid w:val="003863B1"/>
    <w:rsid w:val="0038681E"/>
    <w:rsid w:val="003873DE"/>
    <w:rsid w:val="00387480"/>
    <w:rsid w:val="003900AA"/>
    <w:rsid w:val="003901D3"/>
    <w:rsid w:val="00390945"/>
    <w:rsid w:val="00390D42"/>
    <w:rsid w:val="00391472"/>
    <w:rsid w:val="00391659"/>
    <w:rsid w:val="003920FA"/>
    <w:rsid w:val="003921E5"/>
    <w:rsid w:val="00392AD3"/>
    <w:rsid w:val="00392BF3"/>
    <w:rsid w:val="0039331D"/>
    <w:rsid w:val="00393CB5"/>
    <w:rsid w:val="00393F00"/>
    <w:rsid w:val="00394152"/>
    <w:rsid w:val="0039502E"/>
    <w:rsid w:val="003962EC"/>
    <w:rsid w:val="00396875"/>
    <w:rsid w:val="00396A59"/>
    <w:rsid w:val="00396D6F"/>
    <w:rsid w:val="00396ED8"/>
    <w:rsid w:val="00397344"/>
    <w:rsid w:val="003975FA"/>
    <w:rsid w:val="00397982"/>
    <w:rsid w:val="00397F24"/>
    <w:rsid w:val="00397F88"/>
    <w:rsid w:val="003A0F6A"/>
    <w:rsid w:val="003A10D5"/>
    <w:rsid w:val="003A13C1"/>
    <w:rsid w:val="003A149A"/>
    <w:rsid w:val="003A17A6"/>
    <w:rsid w:val="003A1FB4"/>
    <w:rsid w:val="003A243E"/>
    <w:rsid w:val="003A2576"/>
    <w:rsid w:val="003A28E7"/>
    <w:rsid w:val="003A3124"/>
    <w:rsid w:val="003A3269"/>
    <w:rsid w:val="003A394C"/>
    <w:rsid w:val="003A3A86"/>
    <w:rsid w:val="003A414F"/>
    <w:rsid w:val="003A493D"/>
    <w:rsid w:val="003A4A04"/>
    <w:rsid w:val="003A5385"/>
    <w:rsid w:val="003A551C"/>
    <w:rsid w:val="003A57EF"/>
    <w:rsid w:val="003A668B"/>
    <w:rsid w:val="003A69DB"/>
    <w:rsid w:val="003A6E0E"/>
    <w:rsid w:val="003A6E8E"/>
    <w:rsid w:val="003A71A4"/>
    <w:rsid w:val="003A743C"/>
    <w:rsid w:val="003A7897"/>
    <w:rsid w:val="003A7898"/>
    <w:rsid w:val="003A799E"/>
    <w:rsid w:val="003A7C26"/>
    <w:rsid w:val="003A7E00"/>
    <w:rsid w:val="003B01FD"/>
    <w:rsid w:val="003B090A"/>
    <w:rsid w:val="003B15A0"/>
    <w:rsid w:val="003B191D"/>
    <w:rsid w:val="003B1EE9"/>
    <w:rsid w:val="003B237A"/>
    <w:rsid w:val="003B2E52"/>
    <w:rsid w:val="003B3060"/>
    <w:rsid w:val="003B3220"/>
    <w:rsid w:val="003B3475"/>
    <w:rsid w:val="003B3757"/>
    <w:rsid w:val="003B4212"/>
    <w:rsid w:val="003B5120"/>
    <w:rsid w:val="003B5250"/>
    <w:rsid w:val="003B56D3"/>
    <w:rsid w:val="003B58F0"/>
    <w:rsid w:val="003B599A"/>
    <w:rsid w:val="003B5B51"/>
    <w:rsid w:val="003B6042"/>
    <w:rsid w:val="003B6385"/>
    <w:rsid w:val="003B6602"/>
    <w:rsid w:val="003B6AD3"/>
    <w:rsid w:val="003B6EB9"/>
    <w:rsid w:val="003B75BE"/>
    <w:rsid w:val="003C021E"/>
    <w:rsid w:val="003C035B"/>
    <w:rsid w:val="003C0521"/>
    <w:rsid w:val="003C0B24"/>
    <w:rsid w:val="003C0CFE"/>
    <w:rsid w:val="003C0DED"/>
    <w:rsid w:val="003C1883"/>
    <w:rsid w:val="003C1CF2"/>
    <w:rsid w:val="003C1D62"/>
    <w:rsid w:val="003C1DE8"/>
    <w:rsid w:val="003C2274"/>
    <w:rsid w:val="003C2A32"/>
    <w:rsid w:val="003C3016"/>
    <w:rsid w:val="003C3053"/>
    <w:rsid w:val="003C32C7"/>
    <w:rsid w:val="003C3400"/>
    <w:rsid w:val="003C398D"/>
    <w:rsid w:val="003C481A"/>
    <w:rsid w:val="003C4A49"/>
    <w:rsid w:val="003C4B38"/>
    <w:rsid w:val="003C4BED"/>
    <w:rsid w:val="003C4C79"/>
    <w:rsid w:val="003C4F14"/>
    <w:rsid w:val="003C4F39"/>
    <w:rsid w:val="003C4F4A"/>
    <w:rsid w:val="003C531F"/>
    <w:rsid w:val="003C5844"/>
    <w:rsid w:val="003C5D53"/>
    <w:rsid w:val="003C6B98"/>
    <w:rsid w:val="003C6E90"/>
    <w:rsid w:val="003C7214"/>
    <w:rsid w:val="003C7C00"/>
    <w:rsid w:val="003D0A31"/>
    <w:rsid w:val="003D0C2C"/>
    <w:rsid w:val="003D1064"/>
    <w:rsid w:val="003D1142"/>
    <w:rsid w:val="003D12D7"/>
    <w:rsid w:val="003D1579"/>
    <w:rsid w:val="003D1FB3"/>
    <w:rsid w:val="003D2A2B"/>
    <w:rsid w:val="003D2D42"/>
    <w:rsid w:val="003D2EB8"/>
    <w:rsid w:val="003D3432"/>
    <w:rsid w:val="003D3B8B"/>
    <w:rsid w:val="003D3EE0"/>
    <w:rsid w:val="003D40CA"/>
    <w:rsid w:val="003D42A2"/>
    <w:rsid w:val="003D4319"/>
    <w:rsid w:val="003D44D5"/>
    <w:rsid w:val="003D468E"/>
    <w:rsid w:val="003D4C14"/>
    <w:rsid w:val="003D5CC0"/>
    <w:rsid w:val="003D6059"/>
    <w:rsid w:val="003D61C5"/>
    <w:rsid w:val="003D635E"/>
    <w:rsid w:val="003D6923"/>
    <w:rsid w:val="003D6E9E"/>
    <w:rsid w:val="003D7070"/>
    <w:rsid w:val="003D739A"/>
    <w:rsid w:val="003D7C18"/>
    <w:rsid w:val="003E0281"/>
    <w:rsid w:val="003E0726"/>
    <w:rsid w:val="003E0969"/>
    <w:rsid w:val="003E0ED1"/>
    <w:rsid w:val="003E1380"/>
    <w:rsid w:val="003E148D"/>
    <w:rsid w:val="003E15F0"/>
    <w:rsid w:val="003E1946"/>
    <w:rsid w:val="003E1C27"/>
    <w:rsid w:val="003E1F6B"/>
    <w:rsid w:val="003E243E"/>
    <w:rsid w:val="003E24FD"/>
    <w:rsid w:val="003E2584"/>
    <w:rsid w:val="003E2921"/>
    <w:rsid w:val="003E2AF3"/>
    <w:rsid w:val="003E2B9A"/>
    <w:rsid w:val="003E2EFD"/>
    <w:rsid w:val="003E354C"/>
    <w:rsid w:val="003E360E"/>
    <w:rsid w:val="003E3985"/>
    <w:rsid w:val="003E3A31"/>
    <w:rsid w:val="003E3A8C"/>
    <w:rsid w:val="003E3DAD"/>
    <w:rsid w:val="003E3E4E"/>
    <w:rsid w:val="003E44DF"/>
    <w:rsid w:val="003E4A13"/>
    <w:rsid w:val="003E4D32"/>
    <w:rsid w:val="003E4D34"/>
    <w:rsid w:val="003E526B"/>
    <w:rsid w:val="003E54E9"/>
    <w:rsid w:val="003E5793"/>
    <w:rsid w:val="003E5D91"/>
    <w:rsid w:val="003E6058"/>
    <w:rsid w:val="003E6E0C"/>
    <w:rsid w:val="003F000E"/>
    <w:rsid w:val="003F03DF"/>
    <w:rsid w:val="003F0419"/>
    <w:rsid w:val="003F111D"/>
    <w:rsid w:val="003F115D"/>
    <w:rsid w:val="003F128F"/>
    <w:rsid w:val="003F17CC"/>
    <w:rsid w:val="003F17DC"/>
    <w:rsid w:val="003F1F0A"/>
    <w:rsid w:val="003F2BC6"/>
    <w:rsid w:val="003F2C19"/>
    <w:rsid w:val="003F399D"/>
    <w:rsid w:val="003F48D7"/>
    <w:rsid w:val="003F510D"/>
    <w:rsid w:val="003F540E"/>
    <w:rsid w:val="003F5B3E"/>
    <w:rsid w:val="003F5EF6"/>
    <w:rsid w:val="003F7217"/>
    <w:rsid w:val="003F7673"/>
    <w:rsid w:val="003F7725"/>
    <w:rsid w:val="003F7839"/>
    <w:rsid w:val="003F7923"/>
    <w:rsid w:val="003F7E07"/>
    <w:rsid w:val="004003A2"/>
    <w:rsid w:val="00400437"/>
    <w:rsid w:val="0040058A"/>
    <w:rsid w:val="004005A4"/>
    <w:rsid w:val="004009F4"/>
    <w:rsid w:val="00401196"/>
    <w:rsid w:val="0040169B"/>
    <w:rsid w:val="004021BD"/>
    <w:rsid w:val="004029BE"/>
    <w:rsid w:val="00402AB3"/>
    <w:rsid w:val="00402D5C"/>
    <w:rsid w:val="0040355C"/>
    <w:rsid w:val="0040375A"/>
    <w:rsid w:val="004037C5"/>
    <w:rsid w:val="0040397E"/>
    <w:rsid w:val="004039AD"/>
    <w:rsid w:val="00403D0D"/>
    <w:rsid w:val="00404554"/>
    <w:rsid w:val="004049B4"/>
    <w:rsid w:val="00404FF4"/>
    <w:rsid w:val="004053B8"/>
    <w:rsid w:val="00405C03"/>
    <w:rsid w:val="00405CE0"/>
    <w:rsid w:val="00405EB2"/>
    <w:rsid w:val="00405F65"/>
    <w:rsid w:val="00406055"/>
    <w:rsid w:val="0040676C"/>
    <w:rsid w:val="0041002A"/>
    <w:rsid w:val="00410176"/>
    <w:rsid w:val="004107EA"/>
    <w:rsid w:val="00411018"/>
    <w:rsid w:val="004110BA"/>
    <w:rsid w:val="0041224B"/>
    <w:rsid w:val="00412686"/>
    <w:rsid w:val="004127F7"/>
    <w:rsid w:val="00412B86"/>
    <w:rsid w:val="00412C49"/>
    <w:rsid w:val="00412E94"/>
    <w:rsid w:val="00413106"/>
    <w:rsid w:val="004131E4"/>
    <w:rsid w:val="00413539"/>
    <w:rsid w:val="00413C93"/>
    <w:rsid w:val="00414071"/>
    <w:rsid w:val="00414BB4"/>
    <w:rsid w:val="004153D3"/>
    <w:rsid w:val="00415A2D"/>
    <w:rsid w:val="00416677"/>
    <w:rsid w:val="00417BFC"/>
    <w:rsid w:val="004204A8"/>
    <w:rsid w:val="00420542"/>
    <w:rsid w:val="0042062B"/>
    <w:rsid w:val="0042079E"/>
    <w:rsid w:val="004210F4"/>
    <w:rsid w:val="004217F7"/>
    <w:rsid w:val="00422013"/>
    <w:rsid w:val="004222C5"/>
    <w:rsid w:val="00422503"/>
    <w:rsid w:val="00422629"/>
    <w:rsid w:val="00422C5D"/>
    <w:rsid w:val="0042333C"/>
    <w:rsid w:val="004234B3"/>
    <w:rsid w:val="0042355D"/>
    <w:rsid w:val="004235E7"/>
    <w:rsid w:val="0042377E"/>
    <w:rsid w:val="0042381F"/>
    <w:rsid w:val="00423AB4"/>
    <w:rsid w:val="00423CD5"/>
    <w:rsid w:val="00424C40"/>
    <w:rsid w:val="00425423"/>
    <w:rsid w:val="00425536"/>
    <w:rsid w:val="00425AFF"/>
    <w:rsid w:val="004263DA"/>
    <w:rsid w:val="004277D1"/>
    <w:rsid w:val="00427E84"/>
    <w:rsid w:val="00430115"/>
    <w:rsid w:val="004301CC"/>
    <w:rsid w:val="00430616"/>
    <w:rsid w:val="00430747"/>
    <w:rsid w:val="00431789"/>
    <w:rsid w:val="00432D99"/>
    <w:rsid w:val="00432DF0"/>
    <w:rsid w:val="00432E16"/>
    <w:rsid w:val="0043351F"/>
    <w:rsid w:val="00433664"/>
    <w:rsid w:val="004338D0"/>
    <w:rsid w:val="00434068"/>
    <w:rsid w:val="0043465C"/>
    <w:rsid w:val="004346A7"/>
    <w:rsid w:val="00435E4D"/>
    <w:rsid w:val="00435FDE"/>
    <w:rsid w:val="00436035"/>
    <w:rsid w:val="004367AE"/>
    <w:rsid w:val="00436ACD"/>
    <w:rsid w:val="00437506"/>
    <w:rsid w:val="0043787D"/>
    <w:rsid w:val="004379A4"/>
    <w:rsid w:val="00440200"/>
    <w:rsid w:val="004402D9"/>
    <w:rsid w:val="00440B02"/>
    <w:rsid w:val="00440E8E"/>
    <w:rsid w:val="00441165"/>
    <w:rsid w:val="004412A6"/>
    <w:rsid w:val="0044155A"/>
    <w:rsid w:val="00441A39"/>
    <w:rsid w:val="00441BEA"/>
    <w:rsid w:val="00441ECF"/>
    <w:rsid w:val="00441F1B"/>
    <w:rsid w:val="0044219C"/>
    <w:rsid w:val="00442A5E"/>
    <w:rsid w:val="0044301C"/>
    <w:rsid w:val="00443B96"/>
    <w:rsid w:val="00443D4E"/>
    <w:rsid w:val="004440F3"/>
    <w:rsid w:val="004443CC"/>
    <w:rsid w:val="004445AA"/>
    <w:rsid w:val="004447D6"/>
    <w:rsid w:val="00444992"/>
    <w:rsid w:val="00444FB5"/>
    <w:rsid w:val="004450A9"/>
    <w:rsid w:val="00445382"/>
    <w:rsid w:val="004460FE"/>
    <w:rsid w:val="00446275"/>
    <w:rsid w:val="0044639B"/>
    <w:rsid w:val="0044664E"/>
    <w:rsid w:val="004466D5"/>
    <w:rsid w:val="004473A9"/>
    <w:rsid w:val="00447E98"/>
    <w:rsid w:val="00447EA7"/>
    <w:rsid w:val="00447F5A"/>
    <w:rsid w:val="004501E1"/>
    <w:rsid w:val="00450241"/>
    <w:rsid w:val="004502B4"/>
    <w:rsid w:val="00450C0F"/>
    <w:rsid w:val="00451995"/>
    <w:rsid w:val="004527DF"/>
    <w:rsid w:val="00453540"/>
    <w:rsid w:val="0045367A"/>
    <w:rsid w:val="00453C1E"/>
    <w:rsid w:val="00454B06"/>
    <w:rsid w:val="00454D73"/>
    <w:rsid w:val="0045510D"/>
    <w:rsid w:val="00455136"/>
    <w:rsid w:val="0045620C"/>
    <w:rsid w:val="00457617"/>
    <w:rsid w:val="00457D0A"/>
    <w:rsid w:val="00457F97"/>
    <w:rsid w:val="00457FD3"/>
    <w:rsid w:val="004608D4"/>
    <w:rsid w:val="00460CAA"/>
    <w:rsid w:val="00461275"/>
    <w:rsid w:val="004612EA"/>
    <w:rsid w:val="0046155D"/>
    <w:rsid w:val="00461574"/>
    <w:rsid w:val="004615E6"/>
    <w:rsid w:val="004619A1"/>
    <w:rsid w:val="00461AFA"/>
    <w:rsid w:val="00462157"/>
    <w:rsid w:val="00462B00"/>
    <w:rsid w:val="0046303D"/>
    <w:rsid w:val="004630AC"/>
    <w:rsid w:val="00463B73"/>
    <w:rsid w:val="0046418F"/>
    <w:rsid w:val="00464312"/>
    <w:rsid w:val="00465169"/>
    <w:rsid w:val="004655C8"/>
    <w:rsid w:val="004663AE"/>
    <w:rsid w:val="00466401"/>
    <w:rsid w:val="004665DA"/>
    <w:rsid w:val="0046679D"/>
    <w:rsid w:val="00466FE1"/>
    <w:rsid w:val="00467618"/>
    <w:rsid w:val="00467BB1"/>
    <w:rsid w:val="004707D6"/>
    <w:rsid w:val="00470A09"/>
    <w:rsid w:val="00470DDD"/>
    <w:rsid w:val="00471052"/>
    <w:rsid w:val="004713E5"/>
    <w:rsid w:val="00471FFC"/>
    <w:rsid w:val="0047207B"/>
    <w:rsid w:val="0047227D"/>
    <w:rsid w:val="0047271D"/>
    <w:rsid w:val="004734BE"/>
    <w:rsid w:val="004737FD"/>
    <w:rsid w:val="00473F55"/>
    <w:rsid w:val="00474032"/>
    <w:rsid w:val="00474205"/>
    <w:rsid w:val="004747A7"/>
    <w:rsid w:val="00474A2E"/>
    <w:rsid w:val="00474C1C"/>
    <w:rsid w:val="00475D4F"/>
    <w:rsid w:val="0047621A"/>
    <w:rsid w:val="004762DA"/>
    <w:rsid w:val="00476778"/>
    <w:rsid w:val="00476805"/>
    <w:rsid w:val="00476B6C"/>
    <w:rsid w:val="00476BC9"/>
    <w:rsid w:val="00477F5B"/>
    <w:rsid w:val="0048021D"/>
    <w:rsid w:val="0048037A"/>
    <w:rsid w:val="004807A6"/>
    <w:rsid w:val="00480BE2"/>
    <w:rsid w:val="00481334"/>
    <w:rsid w:val="00481446"/>
    <w:rsid w:val="004816A4"/>
    <w:rsid w:val="00481AF9"/>
    <w:rsid w:val="00481E0F"/>
    <w:rsid w:val="00481FBE"/>
    <w:rsid w:val="004822C6"/>
    <w:rsid w:val="0048252D"/>
    <w:rsid w:val="00482883"/>
    <w:rsid w:val="00482A32"/>
    <w:rsid w:val="00482BD2"/>
    <w:rsid w:val="0048367D"/>
    <w:rsid w:val="00483AB4"/>
    <w:rsid w:val="00484698"/>
    <w:rsid w:val="00484ADB"/>
    <w:rsid w:val="00484F6C"/>
    <w:rsid w:val="004850A3"/>
    <w:rsid w:val="004852EE"/>
    <w:rsid w:val="004858D5"/>
    <w:rsid w:val="00485993"/>
    <w:rsid w:val="00485B36"/>
    <w:rsid w:val="00485F0D"/>
    <w:rsid w:val="00485F90"/>
    <w:rsid w:val="004867D7"/>
    <w:rsid w:val="004869BD"/>
    <w:rsid w:val="00486BCF"/>
    <w:rsid w:val="00486CC3"/>
    <w:rsid w:val="00486CDE"/>
    <w:rsid w:val="00487145"/>
    <w:rsid w:val="00487672"/>
    <w:rsid w:val="0048768C"/>
    <w:rsid w:val="004876EB"/>
    <w:rsid w:val="00487820"/>
    <w:rsid w:val="00490B92"/>
    <w:rsid w:val="004918D9"/>
    <w:rsid w:val="00491966"/>
    <w:rsid w:val="00491BCC"/>
    <w:rsid w:val="00492BC2"/>
    <w:rsid w:val="00492D8F"/>
    <w:rsid w:val="00492F70"/>
    <w:rsid w:val="00493E11"/>
    <w:rsid w:val="00493E9E"/>
    <w:rsid w:val="00494056"/>
    <w:rsid w:val="0049406C"/>
    <w:rsid w:val="0049443A"/>
    <w:rsid w:val="00494933"/>
    <w:rsid w:val="00494B96"/>
    <w:rsid w:val="0049553D"/>
    <w:rsid w:val="00495773"/>
    <w:rsid w:val="00495774"/>
    <w:rsid w:val="00495A56"/>
    <w:rsid w:val="00495D34"/>
    <w:rsid w:val="00495DBF"/>
    <w:rsid w:val="0049711B"/>
    <w:rsid w:val="0049776A"/>
    <w:rsid w:val="00497E5E"/>
    <w:rsid w:val="004A01D9"/>
    <w:rsid w:val="004A0399"/>
    <w:rsid w:val="004A04A8"/>
    <w:rsid w:val="004A07F7"/>
    <w:rsid w:val="004A08CE"/>
    <w:rsid w:val="004A0EE4"/>
    <w:rsid w:val="004A0F71"/>
    <w:rsid w:val="004A1E7E"/>
    <w:rsid w:val="004A24BF"/>
    <w:rsid w:val="004A25D2"/>
    <w:rsid w:val="004A26D8"/>
    <w:rsid w:val="004A2C47"/>
    <w:rsid w:val="004A385D"/>
    <w:rsid w:val="004A3D80"/>
    <w:rsid w:val="004A410C"/>
    <w:rsid w:val="004A4162"/>
    <w:rsid w:val="004A43AF"/>
    <w:rsid w:val="004A518E"/>
    <w:rsid w:val="004A5200"/>
    <w:rsid w:val="004A5783"/>
    <w:rsid w:val="004A60D1"/>
    <w:rsid w:val="004A6543"/>
    <w:rsid w:val="004A6DD4"/>
    <w:rsid w:val="004A7CE5"/>
    <w:rsid w:val="004B046E"/>
    <w:rsid w:val="004B0591"/>
    <w:rsid w:val="004B0FDC"/>
    <w:rsid w:val="004B1101"/>
    <w:rsid w:val="004B1382"/>
    <w:rsid w:val="004B1844"/>
    <w:rsid w:val="004B1D56"/>
    <w:rsid w:val="004B2AC4"/>
    <w:rsid w:val="004B2BE8"/>
    <w:rsid w:val="004B2CA3"/>
    <w:rsid w:val="004B3E58"/>
    <w:rsid w:val="004B5020"/>
    <w:rsid w:val="004B55AF"/>
    <w:rsid w:val="004B65C4"/>
    <w:rsid w:val="004B65FA"/>
    <w:rsid w:val="004B6D6F"/>
    <w:rsid w:val="004B7124"/>
    <w:rsid w:val="004B7E31"/>
    <w:rsid w:val="004C0270"/>
    <w:rsid w:val="004C0476"/>
    <w:rsid w:val="004C070E"/>
    <w:rsid w:val="004C0959"/>
    <w:rsid w:val="004C09B9"/>
    <w:rsid w:val="004C103C"/>
    <w:rsid w:val="004C16A1"/>
    <w:rsid w:val="004C25B0"/>
    <w:rsid w:val="004C26B5"/>
    <w:rsid w:val="004C293C"/>
    <w:rsid w:val="004C2DEA"/>
    <w:rsid w:val="004C3082"/>
    <w:rsid w:val="004C33CB"/>
    <w:rsid w:val="004C34EA"/>
    <w:rsid w:val="004C3D6D"/>
    <w:rsid w:val="004C4941"/>
    <w:rsid w:val="004C4F1D"/>
    <w:rsid w:val="004C58F1"/>
    <w:rsid w:val="004C5A5A"/>
    <w:rsid w:val="004C645C"/>
    <w:rsid w:val="004C6B77"/>
    <w:rsid w:val="004C6C2F"/>
    <w:rsid w:val="004C6F91"/>
    <w:rsid w:val="004C75C9"/>
    <w:rsid w:val="004C75F3"/>
    <w:rsid w:val="004C771B"/>
    <w:rsid w:val="004C7859"/>
    <w:rsid w:val="004C7E33"/>
    <w:rsid w:val="004D0267"/>
    <w:rsid w:val="004D03C3"/>
    <w:rsid w:val="004D05AF"/>
    <w:rsid w:val="004D0D48"/>
    <w:rsid w:val="004D1449"/>
    <w:rsid w:val="004D145A"/>
    <w:rsid w:val="004D1AB1"/>
    <w:rsid w:val="004D1AFD"/>
    <w:rsid w:val="004D1D07"/>
    <w:rsid w:val="004D23E0"/>
    <w:rsid w:val="004D2C19"/>
    <w:rsid w:val="004D3277"/>
    <w:rsid w:val="004D3704"/>
    <w:rsid w:val="004D3948"/>
    <w:rsid w:val="004D3A84"/>
    <w:rsid w:val="004D3AD4"/>
    <w:rsid w:val="004D42A2"/>
    <w:rsid w:val="004D45B0"/>
    <w:rsid w:val="004D4A95"/>
    <w:rsid w:val="004D4BF3"/>
    <w:rsid w:val="004D56E8"/>
    <w:rsid w:val="004D5817"/>
    <w:rsid w:val="004D58F0"/>
    <w:rsid w:val="004D6240"/>
    <w:rsid w:val="004D67E5"/>
    <w:rsid w:val="004D68B3"/>
    <w:rsid w:val="004D6F78"/>
    <w:rsid w:val="004D7453"/>
    <w:rsid w:val="004D76A8"/>
    <w:rsid w:val="004D7888"/>
    <w:rsid w:val="004D7F6E"/>
    <w:rsid w:val="004E05C7"/>
    <w:rsid w:val="004E0A05"/>
    <w:rsid w:val="004E0DA7"/>
    <w:rsid w:val="004E0E76"/>
    <w:rsid w:val="004E12A1"/>
    <w:rsid w:val="004E14A0"/>
    <w:rsid w:val="004E164E"/>
    <w:rsid w:val="004E173F"/>
    <w:rsid w:val="004E19AE"/>
    <w:rsid w:val="004E1C4C"/>
    <w:rsid w:val="004E23E3"/>
    <w:rsid w:val="004E37D3"/>
    <w:rsid w:val="004E37FE"/>
    <w:rsid w:val="004E44CF"/>
    <w:rsid w:val="004E510F"/>
    <w:rsid w:val="004E51F9"/>
    <w:rsid w:val="004E55EE"/>
    <w:rsid w:val="004E5B3D"/>
    <w:rsid w:val="004E70C1"/>
    <w:rsid w:val="004E7536"/>
    <w:rsid w:val="004E7F2A"/>
    <w:rsid w:val="004F0AE3"/>
    <w:rsid w:val="004F1553"/>
    <w:rsid w:val="004F1DDA"/>
    <w:rsid w:val="004F1E61"/>
    <w:rsid w:val="004F1EF8"/>
    <w:rsid w:val="004F2010"/>
    <w:rsid w:val="004F256F"/>
    <w:rsid w:val="004F2B58"/>
    <w:rsid w:val="004F2F80"/>
    <w:rsid w:val="004F2FB7"/>
    <w:rsid w:val="004F3306"/>
    <w:rsid w:val="004F337D"/>
    <w:rsid w:val="004F38A4"/>
    <w:rsid w:val="004F3DB5"/>
    <w:rsid w:val="004F419B"/>
    <w:rsid w:val="004F457B"/>
    <w:rsid w:val="004F52F8"/>
    <w:rsid w:val="004F5E56"/>
    <w:rsid w:val="004F5EB3"/>
    <w:rsid w:val="004F5F60"/>
    <w:rsid w:val="004F609B"/>
    <w:rsid w:val="004F728A"/>
    <w:rsid w:val="004F7498"/>
    <w:rsid w:val="00500020"/>
    <w:rsid w:val="005006A0"/>
    <w:rsid w:val="00500EC7"/>
    <w:rsid w:val="00501156"/>
    <w:rsid w:val="00501682"/>
    <w:rsid w:val="00501715"/>
    <w:rsid w:val="0050183B"/>
    <w:rsid w:val="00501FE1"/>
    <w:rsid w:val="005021F5"/>
    <w:rsid w:val="00502A98"/>
    <w:rsid w:val="00502AC0"/>
    <w:rsid w:val="00503BDC"/>
    <w:rsid w:val="00503E34"/>
    <w:rsid w:val="00504524"/>
    <w:rsid w:val="005050BF"/>
    <w:rsid w:val="005051C4"/>
    <w:rsid w:val="005052FB"/>
    <w:rsid w:val="00505571"/>
    <w:rsid w:val="005055FD"/>
    <w:rsid w:val="005065DC"/>
    <w:rsid w:val="00506A37"/>
    <w:rsid w:val="00506B2C"/>
    <w:rsid w:val="00506DBF"/>
    <w:rsid w:val="00507295"/>
    <w:rsid w:val="005116B4"/>
    <w:rsid w:val="005117D4"/>
    <w:rsid w:val="00511CC3"/>
    <w:rsid w:val="005120B1"/>
    <w:rsid w:val="00512906"/>
    <w:rsid w:val="005129E0"/>
    <w:rsid w:val="00513877"/>
    <w:rsid w:val="00513A21"/>
    <w:rsid w:val="0051409F"/>
    <w:rsid w:val="005149FB"/>
    <w:rsid w:val="0051578D"/>
    <w:rsid w:val="00515C22"/>
    <w:rsid w:val="00515F44"/>
    <w:rsid w:val="00515FA6"/>
    <w:rsid w:val="00515FDF"/>
    <w:rsid w:val="00516353"/>
    <w:rsid w:val="00516D7E"/>
    <w:rsid w:val="00516EB7"/>
    <w:rsid w:val="00516EB9"/>
    <w:rsid w:val="00516FE6"/>
    <w:rsid w:val="00517690"/>
    <w:rsid w:val="005178E7"/>
    <w:rsid w:val="005200C6"/>
    <w:rsid w:val="0052081D"/>
    <w:rsid w:val="0052093B"/>
    <w:rsid w:val="00522082"/>
    <w:rsid w:val="0052236B"/>
    <w:rsid w:val="00522618"/>
    <w:rsid w:val="00522EF4"/>
    <w:rsid w:val="005230CD"/>
    <w:rsid w:val="00523179"/>
    <w:rsid w:val="00523820"/>
    <w:rsid w:val="00523A7F"/>
    <w:rsid w:val="005245A6"/>
    <w:rsid w:val="00524C8A"/>
    <w:rsid w:val="00525693"/>
    <w:rsid w:val="00525795"/>
    <w:rsid w:val="005259DE"/>
    <w:rsid w:val="00525BB7"/>
    <w:rsid w:val="00525C51"/>
    <w:rsid w:val="00525CB1"/>
    <w:rsid w:val="00525D9F"/>
    <w:rsid w:val="00526371"/>
    <w:rsid w:val="005263C0"/>
    <w:rsid w:val="005266F7"/>
    <w:rsid w:val="00526704"/>
    <w:rsid w:val="0052698D"/>
    <w:rsid w:val="00527500"/>
    <w:rsid w:val="00527956"/>
    <w:rsid w:val="005279EC"/>
    <w:rsid w:val="0053000E"/>
    <w:rsid w:val="005300D2"/>
    <w:rsid w:val="005304BF"/>
    <w:rsid w:val="00530666"/>
    <w:rsid w:val="00530A5E"/>
    <w:rsid w:val="00531A59"/>
    <w:rsid w:val="00531C10"/>
    <w:rsid w:val="00532ED3"/>
    <w:rsid w:val="0053384C"/>
    <w:rsid w:val="00533C4B"/>
    <w:rsid w:val="00533F6D"/>
    <w:rsid w:val="00533F84"/>
    <w:rsid w:val="00534037"/>
    <w:rsid w:val="00534933"/>
    <w:rsid w:val="00535573"/>
    <w:rsid w:val="0053564C"/>
    <w:rsid w:val="005357B1"/>
    <w:rsid w:val="00536C30"/>
    <w:rsid w:val="00537698"/>
    <w:rsid w:val="0053782B"/>
    <w:rsid w:val="00537987"/>
    <w:rsid w:val="00537DC2"/>
    <w:rsid w:val="0054033F"/>
    <w:rsid w:val="00540BEB"/>
    <w:rsid w:val="00541193"/>
    <w:rsid w:val="00541934"/>
    <w:rsid w:val="00541C80"/>
    <w:rsid w:val="00542021"/>
    <w:rsid w:val="005429E8"/>
    <w:rsid w:val="00542B88"/>
    <w:rsid w:val="00542BE4"/>
    <w:rsid w:val="00542DC7"/>
    <w:rsid w:val="00543E78"/>
    <w:rsid w:val="0054469D"/>
    <w:rsid w:val="00544B53"/>
    <w:rsid w:val="00544D7C"/>
    <w:rsid w:val="0054530B"/>
    <w:rsid w:val="005454E7"/>
    <w:rsid w:val="00545A08"/>
    <w:rsid w:val="00545E94"/>
    <w:rsid w:val="0054687B"/>
    <w:rsid w:val="005468E8"/>
    <w:rsid w:val="005501C9"/>
    <w:rsid w:val="00550881"/>
    <w:rsid w:val="00550D3D"/>
    <w:rsid w:val="00551147"/>
    <w:rsid w:val="005512D1"/>
    <w:rsid w:val="005512E0"/>
    <w:rsid w:val="00552030"/>
    <w:rsid w:val="005523AB"/>
    <w:rsid w:val="00552DD1"/>
    <w:rsid w:val="00553392"/>
    <w:rsid w:val="00554359"/>
    <w:rsid w:val="00554779"/>
    <w:rsid w:val="00554B84"/>
    <w:rsid w:val="00554E67"/>
    <w:rsid w:val="00555A04"/>
    <w:rsid w:val="00555EF8"/>
    <w:rsid w:val="005567E9"/>
    <w:rsid w:val="005570EF"/>
    <w:rsid w:val="005575A6"/>
    <w:rsid w:val="00557753"/>
    <w:rsid w:val="00557AB3"/>
    <w:rsid w:val="00557F09"/>
    <w:rsid w:val="0056044E"/>
    <w:rsid w:val="00560728"/>
    <w:rsid w:val="00560CEB"/>
    <w:rsid w:val="005613A6"/>
    <w:rsid w:val="005614F5"/>
    <w:rsid w:val="00561D9E"/>
    <w:rsid w:val="00561EA7"/>
    <w:rsid w:val="00562B1E"/>
    <w:rsid w:val="00563186"/>
    <w:rsid w:val="005631EE"/>
    <w:rsid w:val="0056349F"/>
    <w:rsid w:val="005639D6"/>
    <w:rsid w:val="00563DEA"/>
    <w:rsid w:val="00563E79"/>
    <w:rsid w:val="0056405A"/>
    <w:rsid w:val="005643FB"/>
    <w:rsid w:val="005644F9"/>
    <w:rsid w:val="00564C2C"/>
    <w:rsid w:val="0056522D"/>
    <w:rsid w:val="00565D6E"/>
    <w:rsid w:val="00566814"/>
    <w:rsid w:val="00566856"/>
    <w:rsid w:val="005669B0"/>
    <w:rsid w:val="00566D70"/>
    <w:rsid w:val="00567304"/>
    <w:rsid w:val="00567404"/>
    <w:rsid w:val="00567B26"/>
    <w:rsid w:val="00567B7F"/>
    <w:rsid w:val="00567BC4"/>
    <w:rsid w:val="00570439"/>
    <w:rsid w:val="0057129F"/>
    <w:rsid w:val="00571750"/>
    <w:rsid w:val="005719B1"/>
    <w:rsid w:val="00571D02"/>
    <w:rsid w:val="005720B5"/>
    <w:rsid w:val="0057228D"/>
    <w:rsid w:val="005726DB"/>
    <w:rsid w:val="0057375A"/>
    <w:rsid w:val="00573B60"/>
    <w:rsid w:val="00573DBA"/>
    <w:rsid w:val="00573E37"/>
    <w:rsid w:val="0057466E"/>
    <w:rsid w:val="00574691"/>
    <w:rsid w:val="005752F8"/>
    <w:rsid w:val="00575770"/>
    <w:rsid w:val="0057599D"/>
    <w:rsid w:val="00575D5E"/>
    <w:rsid w:val="00575EB9"/>
    <w:rsid w:val="00576572"/>
    <w:rsid w:val="00576CEB"/>
    <w:rsid w:val="00576DD6"/>
    <w:rsid w:val="00576DE8"/>
    <w:rsid w:val="00576E3A"/>
    <w:rsid w:val="005770B6"/>
    <w:rsid w:val="00577818"/>
    <w:rsid w:val="00580950"/>
    <w:rsid w:val="00580C77"/>
    <w:rsid w:val="00580D60"/>
    <w:rsid w:val="005811C7"/>
    <w:rsid w:val="005811E9"/>
    <w:rsid w:val="0058165B"/>
    <w:rsid w:val="005816E6"/>
    <w:rsid w:val="00581949"/>
    <w:rsid w:val="00582915"/>
    <w:rsid w:val="00583307"/>
    <w:rsid w:val="0058340B"/>
    <w:rsid w:val="00583965"/>
    <w:rsid w:val="00583B21"/>
    <w:rsid w:val="005842DB"/>
    <w:rsid w:val="00584A2C"/>
    <w:rsid w:val="005855C9"/>
    <w:rsid w:val="0058574F"/>
    <w:rsid w:val="005858EA"/>
    <w:rsid w:val="00585D2E"/>
    <w:rsid w:val="00585FD8"/>
    <w:rsid w:val="005861DF"/>
    <w:rsid w:val="00586399"/>
    <w:rsid w:val="00586548"/>
    <w:rsid w:val="00586643"/>
    <w:rsid w:val="0058699E"/>
    <w:rsid w:val="0058710A"/>
    <w:rsid w:val="005878D0"/>
    <w:rsid w:val="00587AB9"/>
    <w:rsid w:val="00587C8B"/>
    <w:rsid w:val="00587CD8"/>
    <w:rsid w:val="00587E28"/>
    <w:rsid w:val="0059002A"/>
    <w:rsid w:val="005901E1"/>
    <w:rsid w:val="00590AB3"/>
    <w:rsid w:val="00590B40"/>
    <w:rsid w:val="00590CDB"/>
    <w:rsid w:val="00592097"/>
    <w:rsid w:val="00592948"/>
    <w:rsid w:val="00592EBA"/>
    <w:rsid w:val="005930D3"/>
    <w:rsid w:val="0059356C"/>
    <w:rsid w:val="00593817"/>
    <w:rsid w:val="00593AB6"/>
    <w:rsid w:val="00593BFE"/>
    <w:rsid w:val="00594398"/>
    <w:rsid w:val="0059453B"/>
    <w:rsid w:val="005945F9"/>
    <w:rsid w:val="00594679"/>
    <w:rsid w:val="005951D3"/>
    <w:rsid w:val="0059551B"/>
    <w:rsid w:val="005956F1"/>
    <w:rsid w:val="00595B6C"/>
    <w:rsid w:val="00595FD6"/>
    <w:rsid w:val="00596601"/>
    <w:rsid w:val="0059690F"/>
    <w:rsid w:val="00597237"/>
    <w:rsid w:val="00597269"/>
    <w:rsid w:val="00597DA7"/>
    <w:rsid w:val="005A066A"/>
    <w:rsid w:val="005A069C"/>
    <w:rsid w:val="005A0AD0"/>
    <w:rsid w:val="005A12A5"/>
    <w:rsid w:val="005A1591"/>
    <w:rsid w:val="005A1918"/>
    <w:rsid w:val="005A1F0B"/>
    <w:rsid w:val="005A24E2"/>
    <w:rsid w:val="005A25E4"/>
    <w:rsid w:val="005A2CB1"/>
    <w:rsid w:val="005A2EC8"/>
    <w:rsid w:val="005A334B"/>
    <w:rsid w:val="005A345C"/>
    <w:rsid w:val="005A34BA"/>
    <w:rsid w:val="005A4462"/>
    <w:rsid w:val="005A4C7E"/>
    <w:rsid w:val="005A5B1E"/>
    <w:rsid w:val="005A677F"/>
    <w:rsid w:val="005A75B8"/>
    <w:rsid w:val="005B006D"/>
    <w:rsid w:val="005B0A1C"/>
    <w:rsid w:val="005B0BF8"/>
    <w:rsid w:val="005B0FC4"/>
    <w:rsid w:val="005B10CD"/>
    <w:rsid w:val="005B168C"/>
    <w:rsid w:val="005B178B"/>
    <w:rsid w:val="005B18F7"/>
    <w:rsid w:val="005B20AD"/>
    <w:rsid w:val="005B241B"/>
    <w:rsid w:val="005B28B2"/>
    <w:rsid w:val="005B2C36"/>
    <w:rsid w:val="005B3768"/>
    <w:rsid w:val="005B3DBB"/>
    <w:rsid w:val="005B3E33"/>
    <w:rsid w:val="005B4052"/>
    <w:rsid w:val="005B4353"/>
    <w:rsid w:val="005B4438"/>
    <w:rsid w:val="005B482F"/>
    <w:rsid w:val="005B49B5"/>
    <w:rsid w:val="005B4CCA"/>
    <w:rsid w:val="005B4D09"/>
    <w:rsid w:val="005B50DE"/>
    <w:rsid w:val="005B517A"/>
    <w:rsid w:val="005B54D3"/>
    <w:rsid w:val="005B603F"/>
    <w:rsid w:val="005B6411"/>
    <w:rsid w:val="005B6F27"/>
    <w:rsid w:val="005B6F66"/>
    <w:rsid w:val="005B70E7"/>
    <w:rsid w:val="005B7121"/>
    <w:rsid w:val="005B7A19"/>
    <w:rsid w:val="005B7AA8"/>
    <w:rsid w:val="005B7C06"/>
    <w:rsid w:val="005C0AB1"/>
    <w:rsid w:val="005C0B22"/>
    <w:rsid w:val="005C0FE1"/>
    <w:rsid w:val="005C1328"/>
    <w:rsid w:val="005C1475"/>
    <w:rsid w:val="005C195A"/>
    <w:rsid w:val="005C1F1C"/>
    <w:rsid w:val="005C23A8"/>
    <w:rsid w:val="005C2C17"/>
    <w:rsid w:val="005C310F"/>
    <w:rsid w:val="005C5075"/>
    <w:rsid w:val="005C52BE"/>
    <w:rsid w:val="005C5895"/>
    <w:rsid w:val="005C5998"/>
    <w:rsid w:val="005C6667"/>
    <w:rsid w:val="005C6786"/>
    <w:rsid w:val="005C6C88"/>
    <w:rsid w:val="005C6E05"/>
    <w:rsid w:val="005C733B"/>
    <w:rsid w:val="005C7619"/>
    <w:rsid w:val="005C7AE2"/>
    <w:rsid w:val="005D0140"/>
    <w:rsid w:val="005D06A8"/>
    <w:rsid w:val="005D0CF9"/>
    <w:rsid w:val="005D1488"/>
    <w:rsid w:val="005D1873"/>
    <w:rsid w:val="005D1885"/>
    <w:rsid w:val="005D1DE3"/>
    <w:rsid w:val="005D2757"/>
    <w:rsid w:val="005D2E57"/>
    <w:rsid w:val="005D2EBE"/>
    <w:rsid w:val="005D30C9"/>
    <w:rsid w:val="005D3476"/>
    <w:rsid w:val="005D355C"/>
    <w:rsid w:val="005D36A4"/>
    <w:rsid w:val="005D3BA0"/>
    <w:rsid w:val="005D3CE1"/>
    <w:rsid w:val="005D3ED2"/>
    <w:rsid w:val="005D4212"/>
    <w:rsid w:val="005D51B9"/>
    <w:rsid w:val="005D5F5E"/>
    <w:rsid w:val="005D5FC5"/>
    <w:rsid w:val="005D6D47"/>
    <w:rsid w:val="005D7A09"/>
    <w:rsid w:val="005D7A56"/>
    <w:rsid w:val="005D7C3B"/>
    <w:rsid w:val="005D7FF2"/>
    <w:rsid w:val="005E03CC"/>
    <w:rsid w:val="005E088B"/>
    <w:rsid w:val="005E0BE0"/>
    <w:rsid w:val="005E1212"/>
    <w:rsid w:val="005E14B2"/>
    <w:rsid w:val="005E1715"/>
    <w:rsid w:val="005E1D08"/>
    <w:rsid w:val="005E25E9"/>
    <w:rsid w:val="005E265E"/>
    <w:rsid w:val="005E29D1"/>
    <w:rsid w:val="005E3109"/>
    <w:rsid w:val="005E3C38"/>
    <w:rsid w:val="005E3FE0"/>
    <w:rsid w:val="005E5275"/>
    <w:rsid w:val="005E599B"/>
    <w:rsid w:val="005E5AE5"/>
    <w:rsid w:val="005E63F1"/>
    <w:rsid w:val="005E7091"/>
    <w:rsid w:val="005E7408"/>
    <w:rsid w:val="005E77A1"/>
    <w:rsid w:val="005E7859"/>
    <w:rsid w:val="005E7E06"/>
    <w:rsid w:val="005F057E"/>
    <w:rsid w:val="005F07CF"/>
    <w:rsid w:val="005F07EA"/>
    <w:rsid w:val="005F10DE"/>
    <w:rsid w:val="005F1415"/>
    <w:rsid w:val="005F166D"/>
    <w:rsid w:val="005F2148"/>
    <w:rsid w:val="005F2C73"/>
    <w:rsid w:val="005F2EC6"/>
    <w:rsid w:val="005F2FA9"/>
    <w:rsid w:val="005F320B"/>
    <w:rsid w:val="005F3E58"/>
    <w:rsid w:val="005F41BD"/>
    <w:rsid w:val="005F42AB"/>
    <w:rsid w:val="005F4ABB"/>
    <w:rsid w:val="005F4CAA"/>
    <w:rsid w:val="005F503B"/>
    <w:rsid w:val="005F598D"/>
    <w:rsid w:val="005F5D46"/>
    <w:rsid w:val="005F5DC6"/>
    <w:rsid w:val="005F5DDE"/>
    <w:rsid w:val="005F664C"/>
    <w:rsid w:val="005F6D9E"/>
    <w:rsid w:val="005F6DAB"/>
    <w:rsid w:val="005F7025"/>
    <w:rsid w:val="005F76CF"/>
    <w:rsid w:val="005F7739"/>
    <w:rsid w:val="005F7973"/>
    <w:rsid w:val="005F7BAD"/>
    <w:rsid w:val="005F7F74"/>
    <w:rsid w:val="006003D1"/>
    <w:rsid w:val="0060092D"/>
    <w:rsid w:val="00600A0D"/>
    <w:rsid w:val="00600EC5"/>
    <w:rsid w:val="00600FDE"/>
    <w:rsid w:val="006011C4"/>
    <w:rsid w:val="00601555"/>
    <w:rsid w:val="00601A8C"/>
    <w:rsid w:val="00602276"/>
    <w:rsid w:val="00602C88"/>
    <w:rsid w:val="00602D1B"/>
    <w:rsid w:val="0060302E"/>
    <w:rsid w:val="00603123"/>
    <w:rsid w:val="00603E29"/>
    <w:rsid w:val="00604281"/>
    <w:rsid w:val="006043CA"/>
    <w:rsid w:val="00604847"/>
    <w:rsid w:val="00604EAF"/>
    <w:rsid w:val="0060573D"/>
    <w:rsid w:val="00605922"/>
    <w:rsid w:val="00605932"/>
    <w:rsid w:val="006061F4"/>
    <w:rsid w:val="0060644F"/>
    <w:rsid w:val="0060649B"/>
    <w:rsid w:val="0060691D"/>
    <w:rsid w:val="00606B93"/>
    <w:rsid w:val="00606E6E"/>
    <w:rsid w:val="00606E85"/>
    <w:rsid w:val="00606EBB"/>
    <w:rsid w:val="006105F5"/>
    <w:rsid w:val="006108F3"/>
    <w:rsid w:val="00611210"/>
    <w:rsid w:val="00611E0D"/>
    <w:rsid w:val="00611FC3"/>
    <w:rsid w:val="006120B0"/>
    <w:rsid w:val="00612599"/>
    <w:rsid w:val="00612F67"/>
    <w:rsid w:val="00613363"/>
    <w:rsid w:val="00613411"/>
    <w:rsid w:val="00613557"/>
    <w:rsid w:val="006135C7"/>
    <w:rsid w:val="00613A1E"/>
    <w:rsid w:val="00613B4F"/>
    <w:rsid w:val="00613C46"/>
    <w:rsid w:val="00613F83"/>
    <w:rsid w:val="0061412A"/>
    <w:rsid w:val="006144F3"/>
    <w:rsid w:val="00615854"/>
    <w:rsid w:val="00615C9C"/>
    <w:rsid w:val="006162D2"/>
    <w:rsid w:val="006165ED"/>
    <w:rsid w:val="006169DD"/>
    <w:rsid w:val="00616B53"/>
    <w:rsid w:val="00616CAE"/>
    <w:rsid w:val="00617575"/>
    <w:rsid w:val="006176E1"/>
    <w:rsid w:val="006176FE"/>
    <w:rsid w:val="00620017"/>
    <w:rsid w:val="006202D4"/>
    <w:rsid w:val="006205D6"/>
    <w:rsid w:val="00620E8E"/>
    <w:rsid w:val="006212D2"/>
    <w:rsid w:val="006214BF"/>
    <w:rsid w:val="00621C67"/>
    <w:rsid w:val="0062221E"/>
    <w:rsid w:val="00622478"/>
    <w:rsid w:val="0062262C"/>
    <w:rsid w:val="00622ADD"/>
    <w:rsid w:val="00623087"/>
    <w:rsid w:val="00623140"/>
    <w:rsid w:val="00623C0A"/>
    <w:rsid w:val="00623C27"/>
    <w:rsid w:val="00623ECC"/>
    <w:rsid w:val="0062491D"/>
    <w:rsid w:val="00624B2D"/>
    <w:rsid w:val="00624F55"/>
    <w:rsid w:val="006251FA"/>
    <w:rsid w:val="00625620"/>
    <w:rsid w:val="00625CB3"/>
    <w:rsid w:val="0062639F"/>
    <w:rsid w:val="006263B4"/>
    <w:rsid w:val="006264F9"/>
    <w:rsid w:val="00626C27"/>
    <w:rsid w:val="0062702C"/>
    <w:rsid w:val="00627069"/>
    <w:rsid w:val="0062737A"/>
    <w:rsid w:val="00630602"/>
    <w:rsid w:val="006307A2"/>
    <w:rsid w:val="00631D2D"/>
    <w:rsid w:val="00631E6A"/>
    <w:rsid w:val="00632323"/>
    <w:rsid w:val="00632486"/>
    <w:rsid w:val="0063253C"/>
    <w:rsid w:val="0063272F"/>
    <w:rsid w:val="00632914"/>
    <w:rsid w:val="00632E56"/>
    <w:rsid w:val="0063302F"/>
    <w:rsid w:val="006332AA"/>
    <w:rsid w:val="006340CB"/>
    <w:rsid w:val="00634E0D"/>
    <w:rsid w:val="00635B99"/>
    <w:rsid w:val="00635E72"/>
    <w:rsid w:val="00636008"/>
    <w:rsid w:val="006363C5"/>
    <w:rsid w:val="006366DF"/>
    <w:rsid w:val="00636957"/>
    <w:rsid w:val="00636BDE"/>
    <w:rsid w:val="006374DB"/>
    <w:rsid w:val="00637534"/>
    <w:rsid w:val="00637BB2"/>
    <w:rsid w:val="006407F7"/>
    <w:rsid w:val="006417DC"/>
    <w:rsid w:val="00641C5D"/>
    <w:rsid w:val="00641F8B"/>
    <w:rsid w:val="00642279"/>
    <w:rsid w:val="00642693"/>
    <w:rsid w:val="00642C00"/>
    <w:rsid w:val="00642E2A"/>
    <w:rsid w:val="00643095"/>
    <w:rsid w:val="0064498D"/>
    <w:rsid w:val="00644D6F"/>
    <w:rsid w:val="006454E6"/>
    <w:rsid w:val="0064556F"/>
    <w:rsid w:val="00645A4E"/>
    <w:rsid w:val="00645AA1"/>
    <w:rsid w:val="006460EF"/>
    <w:rsid w:val="00646162"/>
    <w:rsid w:val="00646604"/>
    <w:rsid w:val="00646BA8"/>
    <w:rsid w:val="00646E79"/>
    <w:rsid w:val="006470F1"/>
    <w:rsid w:val="00647314"/>
    <w:rsid w:val="00647465"/>
    <w:rsid w:val="006475AB"/>
    <w:rsid w:val="00647611"/>
    <w:rsid w:val="00647C08"/>
    <w:rsid w:val="00647D4A"/>
    <w:rsid w:val="00650005"/>
    <w:rsid w:val="00650184"/>
    <w:rsid w:val="006501D3"/>
    <w:rsid w:val="0065047A"/>
    <w:rsid w:val="006505DB"/>
    <w:rsid w:val="0065071D"/>
    <w:rsid w:val="00650825"/>
    <w:rsid w:val="006509BD"/>
    <w:rsid w:val="00651700"/>
    <w:rsid w:val="00651B28"/>
    <w:rsid w:val="00651B7A"/>
    <w:rsid w:val="006521DB"/>
    <w:rsid w:val="0065266A"/>
    <w:rsid w:val="00652911"/>
    <w:rsid w:val="00652958"/>
    <w:rsid w:val="00652B8F"/>
    <w:rsid w:val="00652F03"/>
    <w:rsid w:val="0065304A"/>
    <w:rsid w:val="00653C2D"/>
    <w:rsid w:val="006543B8"/>
    <w:rsid w:val="00654715"/>
    <w:rsid w:val="00654D24"/>
    <w:rsid w:val="00654ED4"/>
    <w:rsid w:val="0065522A"/>
    <w:rsid w:val="00655E18"/>
    <w:rsid w:val="00656288"/>
    <w:rsid w:val="00656CC4"/>
    <w:rsid w:val="00656F9D"/>
    <w:rsid w:val="00657051"/>
    <w:rsid w:val="006570B1"/>
    <w:rsid w:val="00657651"/>
    <w:rsid w:val="00660179"/>
    <w:rsid w:val="00660182"/>
    <w:rsid w:val="00660424"/>
    <w:rsid w:val="00660496"/>
    <w:rsid w:val="0066104C"/>
    <w:rsid w:val="00662292"/>
    <w:rsid w:val="006623F1"/>
    <w:rsid w:val="006624CE"/>
    <w:rsid w:val="0066265B"/>
    <w:rsid w:val="00662A9A"/>
    <w:rsid w:val="0066364E"/>
    <w:rsid w:val="00663835"/>
    <w:rsid w:val="00664CC8"/>
    <w:rsid w:val="00664E20"/>
    <w:rsid w:val="00665175"/>
    <w:rsid w:val="006652B0"/>
    <w:rsid w:val="00665352"/>
    <w:rsid w:val="00665622"/>
    <w:rsid w:val="006656F6"/>
    <w:rsid w:val="00665760"/>
    <w:rsid w:val="00665C4D"/>
    <w:rsid w:val="00665F8B"/>
    <w:rsid w:val="006661D3"/>
    <w:rsid w:val="006673E0"/>
    <w:rsid w:val="006678FB"/>
    <w:rsid w:val="00667EEF"/>
    <w:rsid w:val="006702A4"/>
    <w:rsid w:val="00670D84"/>
    <w:rsid w:val="00670DB7"/>
    <w:rsid w:val="006715F8"/>
    <w:rsid w:val="00672091"/>
    <w:rsid w:val="006720DF"/>
    <w:rsid w:val="006726B9"/>
    <w:rsid w:val="006736C7"/>
    <w:rsid w:val="00674185"/>
    <w:rsid w:val="006742C5"/>
    <w:rsid w:val="006745E6"/>
    <w:rsid w:val="0067463A"/>
    <w:rsid w:val="00675113"/>
    <w:rsid w:val="006751A3"/>
    <w:rsid w:val="00675436"/>
    <w:rsid w:val="006754BB"/>
    <w:rsid w:val="00675554"/>
    <w:rsid w:val="00675A49"/>
    <w:rsid w:val="00675B08"/>
    <w:rsid w:val="00675EA2"/>
    <w:rsid w:val="00676052"/>
    <w:rsid w:val="006763B3"/>
    <w:rsid w:val="00676CC1"/>
    <w:rsid w:val="006774FE"/>
    <w:rsid w:val="00677C75"/>
    <w:rsid w:val="00680F09"/>
    <w:rsid w:val="00681BA4"/>
    <w:rsid w:val="00681C55"/>
    <w:rsid w:val="00681D8A"/>
    <w:rsid w:val="00681EF8"/>
    <w:rsid w:val="00681F43"/>
    <w:rsid w:val="00681F68"/>
    <w:rsid w:val="00682553"/>
    <w:rsid w:val="00682A12"/>
    <w:rsid w:val="00682E8C"/>
    <w:rsid w:val="00684470"/>
    <w:rsid w:val="0068561A"/>
    <w:rsid w:val="00685746"/>
    <w:rsid w:val="00685992"/>
    <w:rsid w:val="00685B98"/>
    <w:rsid w:val="0068623B"/>
    <w:rsid w:val="00686934"/>
    <w:rsid w:val="00686BEF"/>
    <w:rsid w:val="0068726E"/>
    <w:rsid w:val="006872B9"/>
    <w:rsid w:val="00687F49"/>
    <w:rsid w:val="0069066E"/>
    <w:rsid w:val="006906E6"/>
    <w:rsid w:val="00691050"/>
    <w:rsid w:val="00691064"/>
    <w:rsid w:val="006917D2"/>
    <w:rsid w:val="00691E7B"/>
    <w:rsid w:val="00691F20"/>
    <w:rsid w:val="006920CE"/>
    <w:rsid w:val="00692544"/>
    <w:rsid w:val="0069254F"/>
    <w:rsid w:val="006925D9"/>
    <w:rsid w:val="006926ED"/>
    <w:rsid w:val="0069285D"/>
    <w:rsid w:val="00692864"/>
    <w:rsid w:val="006928B1"/>
    <w:rsid w:val="00693428"/>
    <w:rsid w:val="00693666"/>
    <w:rsid w:val="00693ACD"/>
    <w:rsid w:val="00693C56"/>
    <w:rsid w:val="006951EB"/>
    <w:rsid w:val="00696335"/>
    <w:rsid w:val="006963A2"/>
    <w:rsid w:val="006963B0"/>
    <w:rsid w:val="006967AA"/>
    <w:rsid w:val="006967C4"/>
    <w:rsid w:val="00696AE9"/>
    <w:rsid w:val="00696E38"/>
    <w:rsid w:val="006972BA"/>
    <w:rsid w:val="006A089D"/>
    <w:rsid w:val="006A0962"/>
    <w:rsid w:val="006A0B97"/>
    <w:rsid w:val="006A1763"/>
    <w:rsid w:val="006A17EE"/>
    <w:rsid w:val="006A1EBD"/>
    <w:rsid w:val="006A22E1"/>
    <w:rsid w:val="006A2D1D"/>
    <w:rsid w:val="006A30B6"/>
    <w:rsid w:val="006A38E1"/>
    <w:rsid w:val="006A3A6E"/>
    <w:rsid w:val="006A4260"/>
    <w:rsid w:val="006A4342"/>
    <w:rsid w:val="006A48A6"/>
    <w:rsid w:val="006A4CDB"/>
    <w:rsid w:val="006A4D6D"/>
    <w:rsid w:val="006A4EE7"/>
    <w:rsid w:val="006A528D"/>
    <w:rsid w:val="006A52F2"/>
    <w:rsid w:val="006A57B1"/>
    <w:rsid w:val="006A59B7"/>
    <w:rsid w:val="006A5A56"/>
    <w:rsid w:val="006A5CEC"/>
    <w:rsid w:val="006A60B6"/>
    <w:rsid w:val="006A61F1"/>
    <w:rsid w:val="006A6C76"/>
    <w:rsid w:val="006A716B"/>
    <w:rsid w:val="006A7182"/>
    <w:rsid w:val="006A7C42"/>
    <w:rsid w:val="006B045B"/>
    <w:rsid w:val="006B062F"/>
    <w:rsid w:val="006B0E08"/>
    <w:rsid w:val="006B10CC"/>
    <w:rsid w:val="006B1804"/>
    <w:rsid w:val="006B185C"/>
    <w:rsid w:val="006B1C03"/>
    <w:rsid w:val="006B22EA"/>
    <w:rsid w:val="006B2D7E"/>
    <w:rsid w:val="006B335C"/>
    <w:rsid w:val="006B37B3"/>
    <w:rsid w:val="006B3850"/>
    <w:rsid w:val="006B3AF4"/>
    <w:rsid w:val="006B4102"/>
    <w:rsid w:val="006B45A5"/>
    <w:rsid w:val="006B46D2"/>
    <w:rsid w:val="006B4F09"/>
    <w:rsid w:val="006B508D"/>
    <w:rsid w:val="006B5818"/>
    <w:rsid w:val="006B6C3E"/>
    <w:rsid w:val="006B6E71"/>
    <w:rsid w:val="006B7737"/>
    <w:rsid w:val="006B7DD1"/>
    <w:rsid w:val="006B7F2D"/>
    <w:rsid w:val="006C0074"/>
    <w:rsid w:val="006C0190"/>
    <w:rsid w:val="006C117E"/>
    <w:rsid w:val="006C1298"/>
    <w:rsid w:val="006C20B1"/>
    <w:rsid w:val="006C2182"/>
    <w:rsid w:val="006C25EA"/>
    <w:rsid w:val="006C3230"/>
    <w:rsid w:val="006C36D1"/>
    <w:rsid w:val="006C39E4"/>
    <w:rsid w:val="006C3E52"/>
    <w:rsid w:val="006C3FEA"/>
    <w:rsid w:val="006C4082"/>
    <w:rsid w:val="006C45D3"/>
    <w:rsid w:val="006C6056"/>
    <w:rsid w:val="006C6666"/>
    <w:rsid w:val="006C6A8C"/>
    <w:rsid w:val="006C6AE2"/>
    <w:rsid w:val="006C7038"/>
    <w:rsid w:val="006C7702"/>
    <w:rsid w:val="006D019B"/>
    <w:rsid w:val="006D01D2"/>
    <w:rsid w:val="006D068D"/>
    <w:rsid w:val="006D0838"/>
    <w:rsid w:val="006D10B8"/>
    <w:rsid w:val="006D1665"/>
    <w:rsid w:val="006D1801"/>
    <w:rsid w:val="006D2038"/>
    <w:rsid w:val="006D20FE"/>
    <w:rsid w:val="006D246C"/>
    <w:rsid w:val="006D2B82"/>
    <w:rsid w:val="006D301D"/>
    <w:rsid w:val="006D3E1F"/>
    <w:rsid w:val="006D4139"/>
    <w:rsid w:val="006D41EA"/>
    <w:rsid w:val="006D4F39"/>
    <w:rsid w:val="006D5528"/>
    <w:rsid w:val="006D5EA2"/>
    <w:rsid w:val="006D6024"/>
    <w:rsid w:val="006D6511"/>
    <w:rsid w:val="006D664A"/>
    <w:rsid w:val="006D6BC5"/>
    <w:rsid w:val="006D7646"/>
    <w:rsid w:val="006D785A"/>
    <w:rsid w:val="006D7A19"/>
    <w:rsid w:val="006D7A5D"/>
    <w:rsid w:val="006D7F53"/>
    <w:rsid w:val="006E0326"/>
    <w:rsid w:val="006E074F"/>
    <w:rsid w:val="006E0C41"/>
    <w:rsid w:val="006E0FBD"/>
    <w:rsid w:val="006E1631"/>
    <w:rsid w:val="006E1973"/>
    <w:rsid w:val="006E24C9"/>
    <w:rsid w:val="006E2C31"/>
    <w:rsid w:val="006E31A9"/>
    <w:rsid w:val="006E3745"/>
    <w:rsid w:val="006E410B"/>
    <w:rsid w:val="006E46DC"/>
    <w:rsid w:val="006E5397"/>
    <w:rsid w:val="006E59A1"/>
    <w:rsid w:val="006E5C40"/>
    <w:rsid w:val="006E647C"/>
    <w:rsid w:val="006E6645"/>
    <w:rsid w:val="006E6886"/>
    <w:rsid w:val="006E6A5C"/>
    <w:rsid w:val="006E74FD"/>
    <w:rsid w:val="006E75CD"/>
    <w:rsid w:val="006E77B0"/>
    <w:rsid w:val="006E7A5F"/>
    <w:rsid w:val="006E7B2D"/>
    <w:rsid w:val="006E7D9B"/>
    <w:rsid w:val="006E7E57"/>
    <w:rsid w:val="006E7F92"/>
    <w:rsid w:val="006F001B"/>
    <w:rsid w:val="006F0697"/>
    <w:rsid w:val="006F0F75"/>
    <w:rsid w:val="006F15EA"/>
    <w:rsid w:val="006F1BCE"/>
    <w:rsid w:val="006F2161"/>
    <w:rsid w:val="006F2288"/>
    <w:rsid w:val="006F2D54"/>
    <w:rsid w:val="006F3078"/>
    <w:rsid w:val="006F34F2"/>
    <w:rsid w:val="006F3B87"/>
    <w:rsid w:val="006F4128"/>
    <w:rsid w:val="006F4282"/>
    <w:rsid w:val="006F56DA"/>
    <w:rsid w:val="006F618C"/>
    <w:rsid w:val="006F62ED"/>
    <w:rsid w:val="006F6455"/>
    <w:rsid w:val="006F64AC"/>
    <w:rsid w:val="006F7A2C"/>
    <w:rsid w:val="006F7B9B"/>
    <w:rsid w:val="00700522"/>
    <w:rsid w:val="00700E42"/>
    <w:rsid w:val="00700EEC"/>
    <w:rsid w:val="0070122D"/>
    <w:rsid w:val="007019F3"/>
    <w:rsid w:val="0070226A"/>
    <w:rsid w:val="00702428"/>
    <w:rsid w:val="007024EC"/>
    <w:rsid w:val="007024F2"/>
    <w:rsid w:val="00702D6F"/>
    <w:rsid w:val="00703586"/>
    <w:rsid w:val="00703E91"/>
    <w:rsid w:val="007042DB"/>
    <w:rsid w:val="00704706"/>
    <w:rsid w:val="0070474B"/>
    <w:rsid w:val="007047B7"/>
    <w:rsid w:val="00704C74"/>
    <w:rsid w:val="00704CFF"/>
    <w:rsid w:val="00704FA6"/>
    <w:rsid w:val="0070519E"/>
    <w:rsid w:val="0070589C"/>
    <w:rsid w:val="00706661"/>
    <w:rsid w:val="007077C4"/>
    <w:rsid w:val="00707810"/>
    <w:rsid w:val="00707BED"/>
    <w:rsid w:val="00707D16"/>
    <w:rsid w:val="00707FB4"/>
    <w:rsid w:val="00710D85"/>
    <w:rsid w:val="00710F00"/>
    <w:rsid w:val="0071124F"/>
    <w:rsid w:val="00711260"/>
    <w:rsid w:val="007121FF"/>
    <w:rsid w:val="0071254D"/>
    <w:rsid w:val="00712F99"/>
    <w:rsid w:val="0071464C"/>
    <w:rsid w:val="0071517E"/>
    <w:rsid w:val="00715AF7"/>
    <w:rsid w:val="00715B17"/>
    <w:rsid w:val="0071618A"/>
    <w:rsid w:val="00716402"/>
    <w:rsid w:val="007167F9"/>
    <w:rsid w:val="007169C0"/>
    <w:rsid w:val="00716A91"/>
    <w:rsid w:val="00716E26"/>
    <w:rsid w:val="00716EFB"/>
    <w:rsid w:val="00716F8B"/>
    <w:rsid w:val="007174EB"/>
    <w:rsid w:val="007176B8"/>
    <w:rsid w:val="00717766"/>
    <w:rsid w:val="0071779B"/>
    <w:rsid w:val="00717F41"/>
    <w:rsid w:val="00720465"/>
    <w:rsid w:val="00720A56"/>
    <w:rsid w:val="00721808"/>
    <w:rsid w:val="007218ED"/>
    <w:rsid w:val="00721924"/>
    <w:rsid w:val="007221C9"/>
    <w:rsid w:val="00722530"/>
    <w:rsid w:val="007227C5"/>
    <w:rsid w:val="00722E7C"/>
    <w:rsid w:val="00723499"/>
    <w:rsid w:val="00723E14"/>
    <w:rsid w:val="007240A2"/>
    <w:rsid w:val="0072449E"/>
    <w:rsid w:val="007250BF"/>
    <w:rsid w:val="00725175"/>
    <w:rsid w:val="007251CB"/>
    <w:rsid w:val="00725420"/>
    <w:rsid w:val="00725497"/>
    <w:rsid w:val="00726242"/>
    <w:rsid w:val="00726741"/>
    <w:rsid w:val="00726B5E"/>
    <w:rsid w:val="00726BD6"/>
    <w:rsid w:val="00726D4E"/>
    <w:rsid w:val="007277C2"/>
    <w:rsid w:val="00727B21"/>
    <w:rsid w:val="00727E83"/>
    <w:rsid w:val="00730F6E"/>
    <w:rsid w:val="00731C2F"/>
    <w:rsid w:val="00731FF8"/>
    <w:rsid w:val="007322C9"/>
    <w:rsid w:val="0073251E"/>
    <w:rsid w:val="00732E09"/>
    <w:rsid w:val="00733690"/>
    <w:rsid w:val="007337B6"/>
    <w:rsid w:val="00733A8B"/>
    <w:rsid w:val="007342BB"/>
    <w:rsid w:val="007344E0"/>
    <w:rsid w:val="00734772"/>
    <w:rsid w:val="007349E1"/>
    <w:rsid w:val="00734A8A"/>
    <w:rsid w:val="00734C35"/>
    <w:rsid w:val="00734E38"/>
    <w:rsid w:val="00735241"/>
    <w:rsid w:val="0073535A"/>
    <w:rsid w:val="0073549A"/>
    <w:rsid w:val="00736053"/>
    <w:rsid w:val="00736240"/>
    <w:rsid w:val="007364C8"/>
    <w:rsid w:val="007368B0"/>
    <w:rsid w:val="00736B1D"/>
    <w:rsid w:val="00736F1D"/>
    <w:rsid w:val="00737035"/>
    <w:rsid w:val="007379A7"/>
    <w:rsid w:val="007404B5"/>
    <w:rsid w:val="007404E7"/>
    <w:rsid w:val="00740624"/>
    <w:rsid w:val="007408D4"/>
    <w:rsid w:val="00740E67"/>
    <w:rsid w:val="00740FA5"/>
    <w:rsid w:val="00742132"/>
    <w:rsid w:val="007423FD"/>
    <w:rsid w:val="00742ABB"/>
    <w:rsid w:val="00742B30"/>
    <w:rsid w:val="00742C5C"/>
    <w:rsid w:val="00742C88"/>
    <w:rsid w:val="00742CB0"/>
    <w:rsid w:val="00742F0C"/>
    <w:rsid w:val="00743321"/>
    <w:rsid w:val="0074337E"/>
    <w:rsid w:val="00743DA3"/>
    <w:rsid w:val="0074428C"/>
    <w:rsid w:val="007446C1"/>
    <w:rsid w:val="00744ABD"/>
    <w:rsid w:val="00744CF2"/>
    <w:rsid w:val="00744F5E"/>
    <w:rsid w:val="00745C42"/>
    <w:rsid w:val="00746910"/>
    <w:rsid w:val="00747153"/>
    <w:rsid w:val="007477CD"/>
    <w:rsid w:val="00747855"/>
    <w:rsid w:val="00747B39"/>
    <w:rsid w:val="0075030F"/>
    <w:rsid w:val="007509D4"/>
    <w:rsid w:val="00750BEF"/>
    <w:rsid w:val="007511FD"/>
    <w:rsid w:val="0075124B"/>
    <w:rsid w:val="0075170E"/>
    <w:rsid w:val="00751C87"/>
    <w:rsid w:val="00752494"/>
    <w:rsid w:val="00752676"/>
    <w:rsid w:val="00752788"/>
    <w:rsid w:val="00752882"/>
    <w:rsid w:val="00752A0F"/>
    <w:rsid w:val="007531EC"/>
    <w:rsid w:val="0075365F"/>
    <w:rsid w:val="0075382A"/>
    <w:rsid w:val="00753919"/>
    <w:rsid w:val="00753C63"/>
    <w:rsid w:val="00754031"/>
    <w:rsid w:val="0075507D"/>
    <w:rsid w:val="00755160"/>
    <w:rsid w:val="007554A6"/>
    <w:rsid w:val="00755ABB"/>
    <w:rsid w:val="00756496"/>
    <w:rsid w:val="00756540"/>
    <w:rsid w:val="00756607"/>
    <w:rsid w:val="00756A09"/>
    <w:rsid w:val="00756AD5"/>
    <w:rsid w:val="0075787A"/>
    <w:rsid w:val="00757CF8"/>
    <w:rsid w:val="00757E87"/>
    <w:rsid w:val="0076043B"/>
    <w:rsid w:val="00762005"/>
    <w:rsid w:val="00762332"/>
    <w:rsid w:val="007633F9"/>
    <w:rsid w:val="00763ADF"/>
    <w:rsid w:val="00764BC2"/>
    <w:rsid w:val="00764D62"/>
    <w:rsid w:val="00765361"/>
    <w:rsid w:val="007655C5"/>
    <w:rsid w:val="007659FE"/>
    <w:rsid w:val="00765AED"/>
    <w:rsid w:val="00765EF3"/>
    <w:rsid w:val="00765F3A"/>
    <w:rsid w:val="00766571"/>
    <w:rsid w:val="00766B62"/>
    <w:rsid w:val="00767629"/>
    <w:rsid w:val="00770298"/>
    <w:rsid w:val="00770675"/>
    <w:rsid w:val="007706F6"/>
    <w:rsid w:val="00770A34"/>
    <w:rsid w:val="007711C9"/>
    <w:rsid w:val="007711FB"/>
    <w:rsid w:val="00771350"/>
    <w:rsid w:val="00771E83"/>
    <w:rsid w:val="007729D4"/>
    <w:rsid w:val="00772B46"/>
    <w:rsid w:val="00772BF7"/>
    <w:rsid w:val="00773A44"/>
    <w:rsid w:val="00773BB4"/>
    <w:rsid w:val="00773E72"/>
    <w:rsid w:val="00774239"/>
    <w:rsid w:val="007744B1"/>
    <w:rsid w:val="007751E0"/>
    <w:rsid w:val="0077529E"/>
    <w:rsid w:val="00775357"/>
    <w:rsid w:val="007755BE"/>
    <w:rsid w:val="00775643"/>
    <w:rsid w:val="00775B11"/>
    <w:rsid w:val="0077601C"/>
    <w:rsid w:val="0077623F"/>
    <w:rsid w:val="00776637"/>
    <w:rsid w:val="0077668D"/>
    <w:rsid w:val="00776805"/>
    <w:rsid w:val="00776A54"/>
    <w:rsid w:val="00776C57"/>
    <w:rsid w:val="0077751B"/>
    <w:rsid w:val="007778CF"/>
    <w:rsid w:val="00777C28"/>
    <w:rsid w:val="00777EE3"/>
    <w:rsid w:val="00780420"/>
    <w:rsid w:val="0078046D"/>
    <w:rsid w:val="00780D04"/>
    <w:rsid w:val="00780DED"/>
    <w:rsid w:val="0078119D"/>
    <w:rsid w:val="00782270"/>
    <w:rsid w:val="007826B5"/>
    <w:rsid w:val="007827F6"/>
    <w:rsid w:val="00782A16"/>
    <w:rsid w:val="00782B44"/>
    <w:rsid w:val="00782B96"/>
    <w:rsid w:val="00783BA2"/>
    <w:rsid w:val="0078423B"/>
    <w:rsid w:val="00784284"/>
    <w:rsid w:val="0078463F"/>
    <w:rsid w:val="007852B8"/>
    <w:rsid w:val="00785C42"/>
    <w:rsid w:val="00785F85"/>
    <w:rsid w:val="0078632E"/>
    <w:rsid w:val="007865B0"/>
    <w:rsid w:val="00786C30"/>
    <w:rsid w:val="00786E6B"/>
    <w:rsid w:val="00787413"/>
    <w:rsid w:val="007878CF"/>
    <w:rsid w:val="00787A7E"/>
    <w:rsid w:val="00787C95"/>
    <w:rsid w:val="007903D5"/>
    <w:rsid w:val="00790737"/>
    <w:rsid w:val="00790E7C"/>
    <w:rsid w:val="007910D7"/>
    <w:rsid w:val="0079111E"/>
    <w:rsid w:val="007914FA"/>
    <w:rsid w:val="00791A3D"/>
    <w:rsid w:val="00792C98"/>
    <w:rsid w:val="007930A8"/>
    <w:rsid w:val="0079332D"/>
    <w:rsid w:val="00793761"/>
    <w:rsid w:val="00793B1B"/>
    <w:rsid w:val="00793D81"/>
    <w:rsid w:val="00793F5D"/>
    <w:rsid w:val="007943E5"/>
    <w:rsid w:val="00794AEE"/>
    <w:rsid w:val="00794C10"/>
    <w:rsid w:val="00794CD2"/>
    <w:rsid w:val="00794F2D"/>
    <w:rsid w:val="0079555B"/>
    <w:rsid w:val="007956B6"/>
    <w:rsid w:val="00795A40"/>
    <w:rsid w:val="00795DB8"/>
    <w:rsid w:val="00796853"/>
    <w:rsid w:val="00797E3C"/>
    <w:rsid w:val="007A02DE"/>
    <w:rsid w:val="007A0370"/>
    <w:rsid w:val="007A0BF0"/>
    <w:rsid w:val="007A0D1E"/>
    <w:rsid w:val="007A0D55"/>
    <w:rsid w:val="007A1320"/>
    <w:rsid w:val="007A135E"/>
    <w:rsid w:val="007A13C2"/>
    <w:rsid w:val="007A14DF"/>
    <w:rsid w:val="007A1E06"/>
    <w:rsid w:val="007A1FC7"/>
    <w:rsid w:val="007A1FD1"/>
    <w:rsid w:val="007A2167"/>
    <w:rsid w:val="007A2216"/>
    <w:rsid w:val="007A2874"/>
    <w:rsid w:val="007A2E0A"/>
    <w:rsid w:val="007A34D8"/>
    <w:rsid w:val="007A401D"/>
    <w:rsid w:val="007A4099"/>
    <w:rsid w:val="007A4BBF"/>
    <w:rsid w:val="007A537F"/>
    <w:rsid w:val="007A5460"/>
    <w:rsid w:val="007A55AD"/>
    <w:rsid w:val="007A5CA5"/>
    <w:rsid w:val="007A627F"/>
    <w:rsid w:val="007A6473"/>
    <w:rsid w:val="007A6B4A"/>
    <w:rsid w:val="007A75EB"/>
    <w:rsid w:val="007A7921"/>
    <w:rsid w:val="007B03E9"/>
    <w:rsid w:val="007B05B6"/>
    <w:rsid w:val="007B0EF7"/>
    <w:rsid w:val="007B11AC"/>
    <w:rsid w:val="007B16C4"/>
    <w:rsid w:val="007B1986"/>
    <w:rsid w:val="007B1B6A"/>
    <w:rsid w:val="007B1F83"/>
    <w:rsid w:val="007B1F8B"/>
    <w:rsid w:val="007B2DC7"/>
    <w:rsid w:val="007B2E02"/>
    <w:rsid w:val="007B3B79"/>
    <w:rsid w:val="007B3EA1"/>
    <w:rsid w:val="007B4888"/>
    <w:rsid w:val="007B4CBA"/>
    <w:rsid w:val="007B50D4"/>
    <w:rsid w:val="007B5704"/>
    <w:rsid w:val="007B5978"/>
    <w:rsid w:val="007B6039"/>
    <w:rsid w:val="007B66A4"/>
    <w:rsid w:val="007B72FD"/>
    <w:rsid w:val="007B7743"/>
    <w:rsid w:val="007B7857"/>
    <w:rsid w:val="007B7B24"/>
    <w:rsid w:val="007C0236"/>
    <w:rsid w:val="007C0628"/>
    <w:rsid w:val="007C0736"/>
    <w:rsid w:val="007C0DE9"/>
    <w:rsid w:val="007C143C"/>
    <w:rsid w:val="007C1A29"/>
    <w:rsid w:val="007C1D97"/>
    <w:rsid w:val="007C238D"/>
    <w:rsid w:val="007C25A1"/>
    <w:rsid w:val="007C2CB6"/>
    <w:rsid w:val="007C3AAA"/>
    <w:rsid w:val="007C3F11"/>
    <w:rsid w:val="007C46E1"/>
    <w:rsid w:val="007C4B35"/>
    <w:rsid w:val="007C5021"/>
    <w:rsid w:val="007C5B39"/>
    <w:rsid w:val="007C5D57"/>
    <w:rsid w:val="007C60BC"/>
    <w:rsid w:val="007C70EF"/>
    <w:rsid w:val="007C71CB"/>
    <w:rsid w:val="007C72F8"/>
    <w:rsid w:val="007C7BA0"/>
    <w:rsid w:val="007D04A0"/>
    <w:rsid w:val="007D05A4"/>
    <w:rsid w:val="007D0ECA"/>
    <w:rsid w:val="007D0F1D"/>
    <w:rsid w:val="007D1172"/>
    <w:rsid w:val="007D196F"/>
    <w:rsid w:val="007D223D"/>
    <w:rsid w:val="007D2B14"/>
    <w:rsid w:val="007D378C"/>
    <w:rsid w:val="007D3D21"/>
    <w:rsid w:val="007D5887"/>
    <w:rsid w:val="007D5ED7"/>
    <w:rsid w:val="007D6DF6"/>
    <w:rsid w:val="007D7C9E"/>
    <w:rsid w:val="007D7DBD"/>
    <w:rsid w:val="007D7F06"/>
    <w:rsid w:val="007E0137"/>
    <w:rsid w:val="007E022D"/>
    <w:rsid w:val="007E0A60"/>
    <w:rsid w:val="007E0F79"/>
    <w:rsid w:val="007E183F"/>
    <w:rsid w:val="007E2CBE"/>
    <w:rsid w:val="007E2F4F"/>
    <w:rsid w:val="007E30AD"/>
    <w:rsid w:val="007E310D"/>
    <w:rsid w:val="007E34CA"/>
    <w:rsid w:val="007E3D66"/>
    <w:rsid w:val="007E495B"/>
    <w:rsid w:val="007E51B8"/>
    <w:rsid w:val="007E5490"/>
    <w:rsid w:val="007E5910"/>
    <w:rsid w:val="007E5C5D"/>
    <w:rsid w:val="007E6188"/>
    <w:rsid w:val="007E6627"/>
    <w:rsid w:val="007E6907"/>
    <w:rsid w:val="007E6AE6"/>
    <w:rsid w:val="007E6F80"/>
    <w:rsid w:val="007E7491"/>
    <w:rsid w:val="007E76B7"/>
    <w:rsid w:val="007E775F"/>
    <w:rsid w:val="007E77BF"/>
    <w:rsid w:val="007E789F"/>
    <w:rsid w:val="007E7B74"/>
    <w:rsid w:val="007E7C04"/>
    <w:rsid w:val="007F01A5"/>
    <w:rsid w:val="007F09A3"/>
    <w:rsid w:val="007F0CFC"/>
    <w:rsid w:val="007F0D4D"/>
    <w:rsid w:val="007F1674"/>
    <w:rsid w:val="007F1948"/>
    <w:rsid w:val="007F1BA5"/>
    <w:rsid w:val="007F1BB8"/>
    <w:rsid w:val="007F2134"/>
    <w:rsid w:val="007F2313"/>
    <w:rsid w:val="007F2471"/>
    <w:rsid w:val="007F2477"/>
    <w:rsid w:val="007F2538"/>
    <w:rsid w:val="007F3023"/>
    <w:rsid w:val="007F31C7"/>
    <w:rsid w:val="007F3763"/>
    <w:rsid w:val="007F3904"/>
    <w:rsid w:val="007F3ACF"/>
    <w:rsid w:val="007F3D8A"/>
    <w:rsid w:val="007F3F33"/>
    <w:rsid w:val="007F3F6A"/>
    <w:rsid w:val="007F4313"/>
    <w:rsid w:val="007F4393"/>
    <w:rsid w:val="007F4656"/>
    <w:rsid w:val="007F482C"/>
    <w:rsid w:val="007F4AA0"/>
    <w:rsid w:val="007F519A"/>
    <w:rsid w:val="007F5816"/>
    <w:rsid w:val="007F5887"/>
    <w:rsid w:val="007F5E02"/>
    <w:rsid w:val="007F5EAF"/>
    <w:rsid w:val="007F5F0A"/>
    <w:rsid w:val="007F715A"/>
    <w:rsid w:val="007F7E94"/>
    <w:rsid w:val="007F7F61"/>
    <w:rsid w:val="008000E4"/>
    <w:rsid w:val="008003C2"/>
    <w:rsid w:val="00800449"/>
    <w:rsid w:val="008004F7"/>
    <w:rsid w:val="008004FE"/>
    <w:rsid w:val="00800A9C"/>
    <w:rsid w:val="00800AF1"/>
    <w:rsid w:val="00800B7F"/>
    <w:rsid w:val="00800DB2"/>
    <w:rsid w:val="00801249"/>
    <w:rsid w:val="00801872"/>
    <w:rsid w:val="00801D42"/>
    <w:rsid w:val="00802D74"/>
    <w:rsid w:val="0080362A"/>
    <w:rsid w:val="0080438D"/>
    <w:rsid w:val="008046A0"/>
    <w:rsid w:val="00804A95"/>
    <w:rsid w:val="00804EFC"/>
    <w:rsid w:val="00804F0C"/>
    <w:rsid w:val="008056C4"/>
    <w:rsid w:val="008056CA"/>
    <w:rsid w:val="008056E5"/>
    <w:rsid w:val="0080584A"/>
    <w:rsid w:val="008059C5"/>
    <w:rsid w:val="00805BA3"/>
    <w:rsid w:val="008067B3"/>
    <w:rsid w:val="00806B41"/>
    <w:rsid w:val="00806C99"/>
    <w:rsid w:val="00806E75"/>
    <w:rsid w:val="00806FB7"/>
    <w:rsid w:val="00807391"/>
    <w:rsid w:val="00807884"/>
    <w:rsid w:val="00807DC7"/>
    <w:rsid w:val="0081028C"/>
    <w:rsid w:val="00810536"/>
    <w:rsid w:val="00810BB8"/>
    <w:rsid w:val="008110CC"/>
    <w:rsid w:val="00811726"/>
    <w:rsid w:val="008118AB"/>
    <w:rsid w:val="00811C9A"/>
    <w:rsid w:val="0081210D"/>
    <w:rsid w:val="008123C7"/>
    <w:rsid w:val="0081252D"/>
    <w:rsid w:val="008128F7"/>
    <w:rsid w:val="00813A0D"/>
    <w:rsid w:val="00814222"/>
    <w:rsid w:val="008143D6"/>
    <w:rsid w:val="008145C5"/>
    <w:rsid w:val="0081468C"/>
    <w:rsid w:val="008156D9"/>
    <w:rsid w:val="00815A27"/>
    <w:rsid w:val="00815CA6"/>
    <w:rsid w:val="00815F1A"/>
    <w:rsid w:val="00816477"/>
    <w:rsid w:val="008165AD"/>
    <w:rsid w:val="00816AAC"/>
    <w:rsid w:val="00816B2C"/>
    <w:rsid w:val="00817993"/>
    <w:rsid w:val="00817B4D"/>
    <w:rsid w:val="00817D28"/>
    <w:rsid w:val="00817EDF"/>
    <w:rsid w:val="008205ED"/>
    <w:rsid w:val="00820A7F"/>
    <w:rsid w:val="0082161C"/>
    <w:rsid w:val="00821657"/>
    <w:rsid w:val="008216B4"/>
    <w:rsid w:val="008218E3"/>
    <w:rsid w:val="008223EB"/>
    <w:rsid w:val="00822445"/>
    <w:rsid w:val="00822B4A"/>
    <w:rsid w:val="00822F83"/>
    <w:rsid w:val="008239C5"/>
    <w:rsid w:val="00823D2B"/>
    <w:rsid w:val="00823DA1"/>
    <w:rsid w:val="008242C1"/>
    <w:rsid w:val="00824A14"/>
    <w:rsid w:val="008250BA"/>
    <w:rsid w:val="008250BF"/>
    <w:rsid w:val="008269DD"/>
    <w:rsid w:val="00827A1F"/>
    <w:rsid w:val="00827A83"/>
    <w:rsid w:val="00830456"/>
    <w:rsid w:val="00830845"/>
    <w:rsid w:val="0083090D"/>
    <w:rsid w:val="00830F7A"/>
    <w:rsid w:val="008312B7"/>
    <w:rsid w:val="00831F66"/>
    <w:rsid w:val="008322D8"/>
    <w:rsid w:val="00832858"/>
    <w:rsid w:val="00832A84"/>
    <w:rsid w:val="00833250"/>
    <w:rsid w:val="00833495"/>
    <w:rsid w:val="00833C58"/>
    <w:rsid w:val="0083406D"/>
    <w:rsid w:val="008357E2"/>
    <w:rsid w:val="008358DE"/>
    <w:rsid w:val="0083645C"/>
    <w:rsid w:val="008367DD"/>
    <w:rsid w:val="0083704E"/>
    <w:rsid w:val="008376AC"/>
    <w:rsid w:val="008378A1"/>
    <w:rsid w:val="00840200"/>
    <w:rsid w:val="00840338"/>
    <w:rsid w:val="0084059A"/>
    <w:rsid w:val="00840E1B"/>
    <w:rsid w:val="00840E26"/>
    <w:rsid w:val="00841362"/>
    <w:rsid w:val="008418CE"/>
    <w:rsid w:val="00842439"/>
    <w:rsid w:val="00842541"/>
    <w:rsid w:val="008425D9"/>
    <w:rsid w:val="00842920"/>
    <w:rsid w:val="00843012"/>
    <w:rsid w:val="0084311C"/>
    <w:rsid w:val="0084312B"/>
    <w:rsid w:val="008435B3"/>
    <w:rsid w:val="00844AB2"/>
    <w:rsid w:val="00844ED6"/>
    <w:rsid w:val="00845029"/>
    <w:rsid w:val="00845294"/>
    <w:rsid w:val="00845B17"/>
    <w:rsid w:val="00845B62"/>
    <w:rsid w:val="0084602D"/>
    <w:rsid w:val="00846193"/>
    <w:rsid w:val="008462B8"/>
    <w:rsid w:val="0084631E"/>
    <w:rsid w:val="00847890"/>
    <w:rsid w:val="008478A7"/>
    <w:rsid w:val="0084793F"/>
    <w:rsid w:val="008479B6"/>
    <w:rsid w:val="00847C62"/>
    <w:rsid w:val="00847DBD"/>
    <w:rsid w:val="00850155"/>
    <w:rsid w:val="00850931"/>
    <w:rsid w:val="00850C78"/>
    <w:rsid w:val="0085117B"/>
    <w:rsid w:val="008511E4"/>
    <w:rsid w:val="00851266"/>
    <w:rsid w:val="00851315"/>
    <w:rsid w:val="008519DE"/>
    <w:rsid w:val="00851E2E"/>
    <w:rsid w:val="00852038"/>
    <w:rsid w:val="0085264A"/>
    <w:rsid w:val="00852DE8"/>
    <w:rsid w:val="00853569"/>
    <w:rsid w:val="00853790"/>
    <w:rsid w:val="008537CA"/>
    <w:rsid w:val="00853B7E"/>
    <w:rsid w:val="00854249"/>
    <w:rsid w:val="008544E8"/>
    <w:rsid w:val="00854D3E"/>
    <w:rsid w:val="0085575A"/>
    <w:rsid w:val="00855881"/>
    <w:rsid w:val="00855AC3"/>
    <w:rsid w:val="00856158"/>
    <w:rsid w:val="008561BD"/>
    <w:rsid w:val="0085628B"/>
    <w:rsid w:val="008566A5"/>
    <w:rsid w:val="008569E0"/>
    <w:rsid w:val="00856C58"/>
    <w:rsid w:val="008611C1"/>
    <w:rsid w:val="00861CDF"/>
    <w:rsid w:val="0086201B"/>
    <w:rsid w:val="00862257"/>
    <w:rsid w:val="008622E5"/>
    <w:rsid w:val="0086274F"/>
    <w:rsid w:val="00862883"/>
    <w:rsid w:val="00862D29"/>
    <w:rsid w:val="00863626"/>
    <w:rsid w:val="00863980"/>
    <w:rsid w:val="00864102"/>
    <w:rsid w:val="00864463"/>
    <w:rsid w:val="008648F2"/>
    <w:rsid w:val="008649C1"/>
    <w:rsid w:val="00864CF4"/>
    <w:rsid w:val="00865760"/>
    <w:rsid w:val="0086591E"/>
    <w:rsid w:val="00865975"/>
    <w:rsid w:val="00865AA0"/>
    <w:rsid w:val="00865B2E"/>
    <w:rsid w:val="00866765"/>
    <w:rsid w:val="00866DAB"/>
    <w:rsid w:val="00866E18"/>
    <w:rsid w:val="0086788C"/>
    <w:rsid w:val="008678A1"/>
    <w:rsid w:val="0087018E"/>
    <w:rsid w:val="00870457"/>
    <w:rsid w:val="008704AE"/>
    <w:rsid w:val="0087190C"/>
    <w:rsid w:val="00872207"/>
    <w:rsid w:val="00872848"/>
    <w:rsid w:val="00872AB8"/>
    <w:rsid w:val="0087336B"/>
    <w:rsid w:val="00873E71"/>
    <w:rsid w:val="00873EE0"/>
    <w:rsid w:val="00874213"/>
    <w:rsid w:val="008742FA"/>
    <w:rsid w:val="008744AB"/>
    <w:rsid w:val="008749C2"/>
    <w:rsid w:val="00874C6D"/>
    <w:rsid w:val="008757BE"/>
    <w:rsid w:val="00875AB0"/>
    <w:rsid w:val="00875F3A"/>
    <w:rsid w:val="00875FDD"/>
    <w:rsid w:val="00876EDE"/>
    <w:rsid w:val="00877496"/>
    <w:rsid w:val="008774AB"/>
    <w:rsid w:val="008777BC"/>
    <w:rsid w:val="00877993"/>
    <w:rsid w:val="00880105"/>
    <w:rsid w:val="00880F78"/>
    <w:rsid w:val="00880F8F"/>
    <w:rsid w:val="008815BE"/>
    <w:rsid w:val="00881678"/>
    <w:rsid w:val="00881990"/>
    <w:rsid w:val="008819FE"/>
    <w:rsid w:val="008820C3"/>
    <w:rsid w:val="0088240D"/>
    <w:rsid w:val="00882791"/>
    <w:rsid w:val="008827ED"/>
    <w:rsid w:val="00882C1A"/>
    <w:rsid w:val="0088378B"/>
    <w:rsid w:val="00883AD7"/>
    <w:rsid w:val="00883CF3"/>
    <w:rsid w:val="00884515"/>
    <w:rsid w:val="00884C8F"/>
    <w:rsid w:val="00885591"/>
    <w:rsid w:val="00885790"/>
    <w:rsid w:val="00885BBA"/>
    <w:rsid w:val="00885D82"/>
    <w:rsid w:val="00886DA2"/>
    <w:rsid w:val="00886E92"/>
    <w:rsid w:val="00887429"/>
    <w:rsid w:val="00887E6E"/>
    <w:rsid w:val="008904D7"/>
    <w:rsid w:val="008908A7"/>
    <w:rsid w:val="00890953"/>
    <w:rsid w:val="00890C19"/>
    <w:rsid w:val="00890D19"/>
    <w:rsid w:val="00890F44"/>
    <w:rsid w:val="008910F6"/>
    <w:rsid w:val="008914B2"/>
    <w:rsid w:val="008916A5"/>
    <w:rsid w:val="008918BC"/>
    <w:rsid w:val="008921F7"/>
    <w:rsid w:val="008929CF"/>
    <w:rsid w:val="00892D17"/>
    <w:rsid w:val="00892F2B"/>
    <w:rsid w:val="00893707"/>
    <w:rsid w:val="00893BA5"/>
    <w:rsid w:val="00894A06"/>
    <w:rsid w:val="00894BD6"/>
    <w:rsid w:val="0089590A"/>
    <w:rsid w:val="00896177"/>
    <w:rsid w:val="008977DD"/>
    <w:rsid w:val="00897B2D"/>
    <w:rsid w:val="00897BF3"/>
    <w:rsid w:val="008A0281"/>
    <w:rsid w:val="008A05A4"/>
    <w:rsid w:val="008A09E9"/>
    <w:rsid w:val="008A0AFC"/>
    <w:rsid w:val="008A0EF2"/>
    <w:rsid w:val="008A10CE"/>
    <w:rsid w:val="008A1402"/>
    <w:rsid w:val="008A1701"/>
    <w:rsid w:val="008A1C2D"/>
    <w:rsid w:val="008A1CC1"/>
    <w:rsid w:val="008A1DA7"/>
    <w:rsid w:val="008A26DC"/>
    <w:rsid w:val="008A2C2F"/>
    <w:rsid w:val="008A2DA7"/>
    <w:rsid w:val="008A3037"/>
    <w:rsid w:val="008A341F"/>
    <w:rsid w:val="008A34D1"/>
    <w:rsid w:val="008A38FC"/>
    <w:rsid w:val="008A3916"/>
    <w:rsid w:val="008A3F92"/>
    <w:rsid w:val="008A4170"/>
    <w:rsid w:val="008A41AE"/>
    <w:rsid w:val="008A51EC"/>
    <w:rsid w:val="008A54AE"/>
    <w:rsid w:val="008A558F"/>
    <w:rsid w:val="008A576E"/>
    <w:rsid w:val="008A5AAB"/>
    <w:rsid w:val="008A5CA0"/>
    <w:rsid w:val="008A5D5B"/>
    <w:rsid w:val="008A6126"/>
    <w:rsid w:val="008A67A0"/>
    <w:rsid w:val="008A6A25"/>
    <w:rsid w:val="008A7A24"/>
    <w:rsid w:val="008A7F52"/>
    <w:rsid w:val="008B0966"/>
    <w:rsid w:val="008B0B8D"/>
    <w:rsid w:val="008B0BD0"/>
    <w:rsid w:val="008B0EC9"/>
    <w:rsid w:val="008B1A66"/>
    <w:rsid w:val="008B1D10"/>
    <w:rsid w:val="008B34A0"/>
    <w:rsid w:val="008B3556"/>
    <w:rsid w:val="008B36CA"/>
    <w:rsid w:val="008B3783"/>
    <w:rsid w:val="008B4052"/>
    <w:rsid w:val="008B409E"/>
    <w:rsid w:val="008B4272"/>
    <w:rsid w:val="008B4555"/>
    <w:rsid w:val="008B4837"/>
    <w:rsid w:val="008B4CAF"/>
    <w:rsid w:val="008B50D4"/>
    <w:rsid w:val="008B5400"/>
    <w:rsid w:val="008B5727"/>
    <w:rsid w:val="008B5AE7"/>
    <w:rsid w:val="008B5B5E"/>
    <w:rsid w:val="008B6061"/>
    <w:rsid w:val="008B61FA"/>
    <w:rsid w:val="008B6D3A"/>
    <w:rsid w:val="008C04FF"/>
    <w:rsid w:val="008C068A"/>
    <w:rsid w:val="008C0798"/>
    <w:rsid w:val="008C07D7"/>
    <w:rsid w:val="008C0DB1"/>
    <w:rsid w:val="008C0EBA"/>
    <w:rsid w:val="008C0FF9"/>
    <w:rsid w:val="008C10E4"/>
    <w:rsid w:val="008C1328"/>
    <w:rsid w:val="008C17B1"/>
    <w:rsid w:val="008C1B80"/>
    <w:rsid w:val="008C2056"/>
    <w:rsid w:val="008C2459"/>
    <w:rsid w:val="008C25FC"/>
    <w:rsid w:val="008C262F"/>
    <w:rsid w:val="008C2D8B"/>
    <w:rsid w:val="008C3150"/>
    <w:rsid w:val="008C3767"/>
    <w:rsid w:val="008C38AB"/>
    <w:rsid w:val="008C3A6D"/>
    <w:rsid w:val="008C489F"/>
    <w:rsid w:val="008C48F7"/>
    <w:rsid w:val="008C5008"/>
    <w:rsid w:val="008C5517"/>
    <w:rsid w:val="008C567F"/>
    <w:rsid w:val="008C585E"/>
    <w:rsid w:val="008C674F"/>
    <w:rsid w:val="008D05D3"/>
    <w:rsid w:val="008D12DF"/>
    <w:rsid w:val="008D23C6"/>
    <w:rsid w:val="008D242D"/>
    <w:rsid w:val="008D261B"/>
    <w:rsid w:val="008D2A8F"/>
    <w:rsid w:val="008D2C0C"/>
    <w:rsid w:val="008D2F04"/>
    <w:rsid w:val="008D330B"/>
    <w:rsid w:val="008D3310"/>
    <w:rsid w:val="008D3774"/>
    <w:rsid w:val="008D5211"/>
    <w:rsid w:val="008D5890"/>
    <w:rsid w:val="008D5A9E"/>
    <w:rsid w:val="008D5ECE"/>
    <w:rsid w:val="008D6042"/>
    <w:rsid w:val="008D62E1"/>
    <w:rsid w:val="008D62F4"/>
    <w:rsid w:val="008D64C7"/>
    <w:rsid w:val="008D6A20"/>
    <w:rsid w:val="008D732B"/>
    <w:rsid w:val="008D73F5"/>
    <w:rsid w:val="008E038D"/>
    <w:rsid w:val="008E07A3"/>
    <w:rsid w:val="008E0AEA"/>
    <w:rsid w:val="008E104F"/>
    <w:rsid w:val="008E16EE"/>
    <w:rsid w:val="008E1ACB"/>
    <w:rsid w:val="008E1C1A"/>
    <w:rsid w:val="008E1CAD"/>
    <w:rsid w:val="008E2528"/>
    <w:rsid w:val="008E2FCD"/>
    <w:rsid w:val="008E382C"/>
    <w:rsid w:val="008E4437"/>
    <w:rsid w:val="008E493E"/>
    <w:rsid w:val="008E4A65"/>
    <w:rsid w:val="008E4C06"/>
    <w:rsid w:val="008E4C8B"/>
    <w:rsid w:val="008E56C6"/>
    <w:rsid w:val="008E67F2"/>
    <w:rsid w:val="008E6A99"/>
    <w:rsid w:val="008E6D33"/>
    <w:rsid w:val="008E70F4"/>
    <w:rsid w:val="008F01D7"/>
    <w:rsid w:val="008F0628"/>
    <w:rsid w:val="008F0D5E"/>
    <w:rsid w:val="008F165A"/>
    <w:rsid w:val="008F1FB0"/>
    <w:rsid w:val="008F242D"/>
    <w:rsid w:val="008F2A11"/>
    <w:rsid w:val="008F34D5"/>
    <w:rsid w:val="008F3589"/>
    <w:rsid w:val="008F37CD"/>
    <w:rsid w:val="008F3CBD"/>
    <w:rsid w:val="008F4341"/>
    <w:rsid w:val="008F43E7"/>
    <w:rsid w:val="008F4B8D"/>
    <w:rsid w:val="008F51F7"/>
    <w:rsid w:val="008F59F7"/>
    <w:rsid w:val="008F6A01"/>
    <w:rsid w:val="008F6B51"/>
    <w:rsid w:val="008F6D26"/>
    <w:rsid w:val="008F7229"/>
    <w:rsid w:val="008F73E6"/>
    <w:rsid w:val="008F77DC"/>
    <w:rsid w:val="008F7EA1"/>
    <w:rsid w:val="008F7F75"/>
    <w:rsid w:val="009004B8"/>
    <w:rsid w:val="009009BE"/>
    <w:rsid w:val="00900FB1"/>
    <w:rsid w:val="0090150A"/>
    <w:rsid w:val="00901D72"/>
    <w:rsid w:val="0090290F"/>
    <w:rsid w:val="00902D1A"/>
    <w:rsid w:val="00902E66"/>
    <w:rsid w:val="00902F73"/>
    <w:rsid w:val="00903463"/>
    <w:rsid w:val="00903E0F"/>
    <w:rsid w:val="00903FED"/>
    <w:rsid w:val="009051D5"/>
    <w:rsid w:val="009051FC"/>
    <w:rsid w:val="00905784"/>
    <w:rsid w:val="009058BA"/>
    <w:rsid w:val="00905E31"/>
    <w:rsid w:val="009067A0"/>
    <w:rsid w:val="00906C1A"/>
    <w:rsid w:val="00906F61"/>
    <w:rsid w:val="00907061"/>
    <w:rsid w:val="009073DE"/>
    <w:rsid w:val="00907A30"/>
    <w:rsid w:val="00907CD3"/>
    <w:rsid w:val="0091062F"/>
    <w:rsid w:val="0091093F"/>
    <w:rsid w:val="00911511"/>
    <w:rsid w:val="00911768"/>
    <w:rsid w:val="00911781"/>
    <w:rsid w:val="00911A75"/>
    <w:rsid w:val="00912F69"/>
    <w:rsid w:val="00913685"/>
    <w:rsid w:val="009139A4"/>
    <w:rsid w:val="00913F64"/>
    <w:rsid w:val="00914018"/>
    <w:rsid w:val="00914CCE"/>
    <w:rsid w:val="00915643"/>
    <w:rsid w:val="009166C3"/>
    <w:rsid w:val="009166CF"/>
    <w:rsid w:val="009166E7"/>
    <w:rsid w:val="00916BC0"/>
    <w:rsid w:val="00916C5B"/>
    <w:rsid w:val="00916D4D"/>
    <w:rsid w:val="00917303"/>
    <w:rsid w:val="00917426"/>
    <w:rsid w:val="00920073"/>
    <w:rsid w:val="009200E2"/>
    <w:rsid w:val="00920185"/>
    <w:rsid w:val="009205DE"/>
    <w:rsid w:val="009209F7"/>
    <w:rsid w:val="00920A66"/>
    <w:rsid w:val="00920B0C"/>
    <w:rsid w:val="00921EA3"/>
    <w:rsid w:val="00921F57"/>
    <w:rsid w:val="00922171"/>
    <w:rsid w:val="00922C69"/>
    <w:rsid w:val="009231BE"/>
    <w:rsid w:val="00923F9B"/>
    <w:rsid w:val="009243AB"/>
    <w:rsid w:val="00924994"/>
    <w:rsid w:val="00925646"/>
    <w:rsid w:val="00925B60"/>
    <w:rsid w:val="00925B79"/>
    <w:rsid w:val="00925DDD"/>
    <w:rsid w:val="00926147"/>
    <w:rsid w:val="00926166"/>
    <w:rsid w:val="009261CD"/>
    <w:rsid w:val="009261E7"/>
    <w:rsid w:val="00926769"/>
    <w:rsid w:val="009268CB"/>
    <w:rsid w:val="009271BA"/>
    <w:rsid w:val="00927670"/>
    <w:rsid w:val="009277C9"/>
    <w:rsid w:val="009277FA"/>
    <w:rsid w:val="00927842"/>
    <w:rsid w:val="009278F7"/>
    <w:rsid w:val="00927CAD"/>
    <w:rsid w:val="00930A28"/>
    <w:rsid w:val="00930D26"/>
    <w:rsid w:val="00931576"/>
    <w:rsid w:val="009315E8"/>
    <w:rsid w:val="00931B09"/>
    <w:rsid w:val="00931E98"/>
    <w:rsid w:val="009321D2"/>
    <w:rsid w:val="0093229E"/>
    <w:rsid w:val="00932342"/>
    <w:rsid w:val="00932A31"/>
    <w:rsid w:val="00932BDB"/>
    <w:rsid w:val="0093322C"/>
    <w:rsid w:val="0093358C"/>
    <w:rsid w:val="009337D4"/>
    <w:rsid w:val="00933963"/>
    <w:rsid w:val="00933A06"/>
    <w:rsid w:val="00933AD1"/>
    <w:rsid w:val="00933BB5"/>
    <w:rsid w:val="00933D0A"/>
    <w:rsid w:val="00934B3E"/>
    <w:rsid w:val="009359A0"/>
    <w:rsid w:val="00935F37"/>
    <w:rsid w:val="00936707"/>
    <w:rsid w:val="0093672D"/>
    <w:rsid w:val="00936A0C"/>
    <w:rsid w:val="00936E6B"/>
    <w:rsid w:val="00937840"/>
    <w:rsid w:val="00937C39"/>
    <w:rsid w:val="00937E84"/>
    <w:rsid w:val="00940929"/>
    <w:rsid w:val="00940C27"/>
    <w:rsid w:val="00940EB5"/>
    <w:rsid w:val="00941068"/>
    <w:rsid w:val="00941328"/>
    <w:rsid w:val="00941993"/>
    <w:rsid w:val="00941AB9"/>
    <w:rsid w:val="00942124"/>
    <w:rsid w:val="00943176"/>
    <w:rsid w:val="0094323B"/>
    <w:rsid w:val="009433D8"/>
    <w:rsid w:val="00943531"/>
    <w:rsid w:val="009436B0"/>
    <w:rsid w:val="009436CB"/>
    <w:rsid w:val="009437B0"/>
    <w:rsid w:val="00943B2F"/>
    <w:rsid w:val="00943C21"/>
    <w:rsid w:val="009446D8"/>
    <w:rsid w:val="00944B81"/>
    <w:rsid w:val="00944D59"/>
    <w:rsid w:val="0094540D"/>
    <w:rsid w:val="00945995"/>
    <w:rsid w:val="00946086"/>
    <w:rsid w:val="00946286"/>
    <w:rsid w:val="009465A3"/>
    <w:rsid w:val="00946AD9"/>
    <w:rsid w:val="00946E94"/>
    <w:rsid w:val="009478FC"/>
    <w:rsid w:val="00950247"/>
    <w:rsid w:val="009503AF"/>
    <w:rsid w:val="009505A9"/>
    <w:rsid w:val="00950E29"/>
    <w:rsid w:val="00950FC0"/>
    <w:rsid w:val="00951285"/>
    <w:rsid w:val="00951678"/>
    <w:rsid w:val="00952223"/>
    <w:rsid w:val="00952364"/>
    <w:rsid w:val="00953974"/>
    <w:rsid w:val="00953B39"/>
    <w:rsid w:val="00954285"/>
    <w:rsid w:val="009544B6"/>
    <w:rsid w:val="00954573"/>
    <w:rsid w:val="00954B02"/>
    <w:rsid w:val="00955448"/>
    <w:rsid w:val="009557A0"/>
    <w:rsid w:val="00955EC3"/>
    <w:rsid w:val="00955F35"/>
    <w:rsid w:val="00956653"/>
    <w:rsid w:val="0095679B"/>
    <w:rsid w:val="00956F70"/>
    <w:rsid w:val="0095781A"/>
    <w:rsid w:val="00957C7E"/>
    <w:rsid w:val="00957FBA"/>
    <w:rsid w:val="00960000"/>
    <w:rsid w:val="00960A8A"/>
    <w:rsid w:val="00960D14"/>
    <w:rsid w:val="009612F3"/>
    <w:rsid w:val="00961DC9"/>
    <w:rsid w:val="00962232"/>
    <w:rsid w:val="00962C3B"/>
    <w:rsid w:val="009630CD"/>
    <w:rsid w:val="009631C3"/>
    <w:rsid w:val="009638A8"/>
    <w:rsid w:val="00963F17"/>
    <w:rsid w:val="00964799"/>
    <w:rsid w:val="00964D8A"/>
    <w:rsid w:val="00964E61"/>
    <w:rsid w:val="00965109"/>
    <w:rsid w:val="009658C1"/>
    <w:rsid w:val="00965C52"/>
    <w:rsid w:val="00965DCE"/>
    <w:rsid w:val="00966130"/>
    <w:rsid w:val="00966673"/>
    <w:rsid w:val="00966D59"/>
    <w:rsid w:val="00967091"/>
    <w:rsid w:val="009670C9"/>
    <w:rsid w:val="009700D7"/>
    <w:rsid w:val="0097179F"/>
    <w:rsid w:val="0097189F"/>
    <w:rsid w:val="00971ECA"/>
    <w:rsid w:val="0097299E"/>
    <w:rsid w:val="00972BA2"/>
    <w:rsid w:val="00972CFB"/>
    <w:rsid w:val="00972D80"/>
    <w:rsid w:val="00973106"/>
    <w:rsid w:val="009734FA"/>
    <w:rsid w:val="0097357A"/>
    <w:rsid w:val="0097358E"/>
    <w:rsid w:val="00973C78"/>
    <w:rsid w:val="00973E91"/>
    <w:rsid w:val="00975488"/>
    <w:rsid w:val="00975563"/>
    <w:rsid w:val="00975741"/>
    <w:rsid w:val="009757C9"/>
    <w:rsid w:val="009758F8"/>
    <w:rsid w:val="00975901"/>
    <w:rsid w:val="009764B7"/>
    <w:rsid w:val="00977200"/>
    <w:rsid w:val="00977DE7"/>
    <w:rsid w:val="00977DEF"/>
    <w:rsid w:val="00977F29"/>
    <w:rsid w:val="00977FFC"/>
    <w:rsid w:val="00980583"/>
    <w:rsid w:val="009805C4"/>
    <w:rsid w:val="009809E4"/>
    <w:rsid w:val="00980B4C"/>
    <w:rsid w:val="00980B74"/>
    <w:rsid w:val="00980C60"/>
    <w:rsid w:val="00980F2D"/>
    <w:rsid w:val="00981561"/>
    <w:rsid w:val="0098239A"/>
    <w:rsid w:val="00982403"/>
    <w:rsid w:val="00982C97"/>
    <w:rsid w:val="00982E52"/>
    <w:rsid w:val="00983F43"/>
    <w:rsid w:val="00984825"/>
    <w:rsid w:val="00984EE5"/>
    <w:rsid w:val="00985058"/>
    <w:rsid w:val="00985491"/>
    <w:rsid w:val="00985633"/>
    <w:rsid w:val="00985BBE"/>
    <w:rsid w:val="00985FFA"/>
    <w:rsid w:val="0098643E"/>
    <w:rsid w:val="00986553"/>
    <w:rsid w:val="009865DB"/>
    <w:rsid w:val="00986A39"/>
    <w:rsid w:val="00986B90"/>
    <w:rsid w:val="0098719D"/>
    <w:rsid w:val="00987FA3"/>
    <w:rsid w:val="0099036E"/>
    <w:rsid w:val="009905D3"/>
    <w:rsid w:val="00990AC0"/>
    <w:rsid w:val="00990BA4"/>
    <w:rsid w:val="00990D92"/>
    <w:rsid w:val="00991496"/>
    <w:rsid w:val="00991B13"/>
    <w:rsid w:val="00991E10"/>
    <w:rsid w:val="00992095"/>
    <w:rsid w:val="009923D8"/>
    <w:rsid w:val="00992A50"/>
    <w:rsid w:val="00993202"/>
    <w:rsid w:val="009935AA"/>
    <w:rsid w:val="00993CB5"/>
    <w:rsid w:val="00993F53"/>
    <w:rsid w:val="009943A4"/>
    <w:rsid w:val="00994675"/>
    <w:rsid w:val="009948EF"/>
    <w:rsid w:val="00994E5D"/>
    <w:rsid w:val="009952E6"/>
    <w:rsid w:val="00995507"/>
    <w:rsid w:val="00995763"/>
    <w:rsid w:val="00995BE9"/>
    <w:rsid w:val="00996B5C"/>
    <w:rsid w:val="00996DA7"/>
    <w:rsid w:val="009974B8"/>
    <w:rsid w:val="009976C9"/>
    <w:rsid w:val="009A0424"/>
    <w:rsid w:val="009A049D"/>
    <w:rsid w:val="009A091A"/>
    <w:rsid w:val="009A0BA6"/>
    <w:rsid w:val="009A0CEA"/>
    <w:rsid w:val="009A0D63"/>
    <w:rsid w:val="009A1121"/>
    <w:rsid w:val="009A143B"/>
    <w:rsid w:val="009A17BE"/>
    <w:rsid w:val="009A18CB"/>
    <w:rsid w:val="009A1D59"/>
    <w:rsid w:val="009A20F9"/>
    <w:rsid w:val="009A230A"/>
    <w:rsid w:val="009A2FB0"/>
    <w:rsid w:val="009A3677"/>
    <w:rsid w:val="009A3744"/>
    <w:rsid w:val="009A3DF9"/>
    <w:rsid w:val="009A4905"/>
    <w:rsid w:val="009A49EE"/>
    <w:rsid w:val="009A4D84"/>
    <w:rsid w:val="009A5928"/>
    <w:rsid w:val="009A5CB7"/>
    <w:rsid w:val="009A5E24"/>
    <w:rsid w:val="009A643A"/>
    <w:rsid w:val="009A66E5"/>
    <w:rsid w:val="009A7464"/>
    <w:rsid w:val="009A74CD"/>
    <w:rsid w:val="009A7AD7"/>
    <w:rsid w:val="009B13A7"/>
    <w:rsid w:val="009B1551"/>
    <w:rsid w:val="009B17EB"/>
    <w:rsid w:val="009B1C80"/>
    <w:rsid w:val="009B2577"/>
    <w:rsid w:val="009B2C4E"/>
    <w:rsid w:val="009B2C79"/>
    <w:rsid w:val="009B300F"/>
    <w:rsid w:val="009B327F"/>
    <w:rsid w:val="009B32CB"/>
    <w:rsid w:val="009B3890"/>
    <w:rsid w:val="009B3F01"/>
    <w:rsid w:val="009B40CA"/>
    <w:rsid w:val="009B41F4"/>
    <w:rsid w:val="009B42B0"/>
    <w:rsid w:val="009B468B"/>
    <w:rsid w:val="009B4D54"/>
    <w:rsid w:val="009B4F11"/>
    <w:rsid w:val="009B5586"/>
    <w:rsid w:val="009B5A27"/>
    <w:rsid w:val="009B666D"/>
    <w:rsid w:val="009B6CE1"/>
    <w:rsid w:val="009B77D8"/>
    <w:rsid w:val="009B79D2"/>
    <w:rsid w:val="009B7F7E"/>
    <w:rsid w:val="009C066F"/>
    <w:rsid w:val="009C067A"/>
    <w:rsid w:val="009C0715"/>
    <w:rsid w:val="009C0833"/>
    <w:rsid w:val="009C0A6D"/>
    <w:rsid w:val="009C0FDE"/>
    <w:rsid w:val="009C10E3"/>
    <w:rsid w:val="009C1EDC"/>
    <w:rsid w:val="009C24D0"/>
    <w:rsid w:val="009C2578"/>
    <w:rsid w:val="009C29E2"/>
    <w:rsid w:val="009C3163"/>
    <w:rsid w:val="009C3FBF"/>
    <w:rsid w:val="009C4844"/>
    <w:rsid w:val="009C4B85"/>
    <w:rsid w:val="009C5ABB"/>
    <w:rsid w:val="009C5BF3"/>
    <w:rsid w:val="009C5D1D"/>
    <w:rsid w:val="009C61DD"/>
    <w:rsid w:val="009C75BB"/>
    <w:rsid w:val="009D00BA"/>
    <w:rsid w:val="009D050A"/>
    <w:rsid w:val="009D0558"/>
    <w:rsid w:val="009D0748"/>
    <w:rsid w:val="009D0CF1"/>
    <w:rsid w:val="009D0D9D"/>
    <w:rsid w:val="009D13E3"/>
    <w:rsid w:val="009D17F2"/>
    <w:rsid w:val="009D1B8A"/>
    <w:rsid w:val="009D1C3A"/>
    <w:rsid w:val="009D1D41"/>
    <w:rsid w:val="009D1EAE"/>
    <w:rsid w:val="009D2B32"/>
    <w:rsid w:val="009D302A"/>
    <w:rsid w:val="009D33AD"/>
    <w:rsid w:val="009D350D"/>
    <w:rsid w:val="009D3DBB"/>
    <w:rsid w:val="009D3E82"/>
    <w:rsid w:val="009D4274"/>
    <w:rsid w:val="009D441E"/>
    <w:rsid w:val="009D4ABC"/>
    <w:rsid w:val="009D4B45"/>
    <w:rsid w:val="009D52D6"/>
    <w:rsid w:val="009D555E"/>
    <w:rsid w:val="009D570A"/>
    <w:rsid w:val="009D5827"/>
    <w:rsid w:val="009D5914"/>
    <w:rsid w:val="009D59FB"/>
    <w:rsid w:val="009D5A65"/>
    <w:rsid w:val="009D5D5F"/>
    <w:rsid w:val="009D604B"/>
    <w:rsid w:val="009D6368"/>
    <w:rsid w:val="009D6A28"/>
    <w:rsid w:val="009D7643"/>
    <w:rsid w:val="009D77C1"/>
    <w:rsid w:val="009D78E6"/>
    <w:rsid w:val="009D7DE3"/>
    <w:rsid w:val="009E001C"/>
    <w:rsid w:val="009E0A4B"/>
    <w:rsid w:val="009E0FF9"/>
    <w:rsid w:val="009E2070"/>
    <w:rsid w:val="009E2174"/>
    <w:rsid w:val="009E296D"/>
    <w:rsid w:val="009E331A"/>
    <w:rsid w:val="009E4B71"/>
    <w:rsid w:val="009E5580"/>
    <w:rsid w:val="009E5696"/>
    <w:rsid w:val="009E60A1"/>
    <w:rsid w:val="009E655B"/>
    <w:rsid w:val="009E6ACD"/>
    <w:rsid w:val="009E6BE2"/>
    <w:rsid w:val="009E6D2F"/>
    <w:rsid w:val="009E6EDC"/>
    <w:rsid w:val="009E71A8"/>
    <w:rsid w:val="009E7760"/>
    <w:rsid w:val="009E7DC5"/>
    <w:rsid w:val="009E7E31"/>
    <w:rsid w:val="009F046B"/>
    <w:rsid w:val="009F052B"/>
    <w:rsid w:val="009F07F7"/>
    <w:rsid w:val="009F17C0"/>
    <w:rsid w:val="009F1D84"/>
    <w:rsid w:val="009F24CB"/>
    <w:rsid w:val="009F24F7"/>
    <w:rsid w:val="009F26D5"/>
    <w:rsid w:val="009F29C4"/>
    <w:rsid w:val="009F2CB1"/>
    <w:rsid w:val="009F2FC6"/>
    <w:rsid w:val="009F31F1"/>
    <w:rsid w:val="009F3241"/>
    <w:rsid w:val="009F3639"/>
    <w:rsid w:val="009F3B18"/>
    <w:rsid w:val="009F3DA7"/>
    <w:rsid w:val="009F4100"/>
    <w:rsid w:val="009F4809"/>
    <w:rsid w:val="009F5A9B"/>
    <w:rsid w:val="009F5A9E"/>
    <w:rsid w:val="009F5BFF"/>
    <w:rsid w:val="009F6C9D"/>
    <w:rsid w:val="009F6EAE"/>
    <w:rsid w:val="009F77EA"/>
    <w:rsid w:val="009F7802"/>
    <w:rsid w:val="009F7955"/>
    <w:rsid w:val="00A0098A"/>
    <w:rsid w:val="00A01007"/>
    <w:rsid w:val="00A01579"/>
    <w:rsid w:val="00A01BEC"/>
    <w:rsid w:val="00A01F6B"/>
    <w:rsid w:val="00A02C1C"/>
    <w:rsid w:val="00A03E8C"/>
    <w:rsid w:val="00A0442B"/>
    <w:rsid w:val="00A0447E"/>
    <w:rsid w:val="00A04A00"/>
    <w:rsid w:val="00A04C39"/>
    <w:rsid w:val="00A04CB4"/>
    <w:rsid w:val="00A056D3"/>
    <w:rsid w:val="00A05926"/>
    <w:rsid w:val="00A05B1B"/>
    <w:rsid w:val="00A05B4E"/>
    <w:rsid w:val="00A0640B"/>
    <w:rsid w:val="00A070A8"/>
    <w:rsid w:val="00A10D21"/>
    <w:rsid w:val="00A10DDF"/>
    <w:rsid w:val="00A116C5"/>
    <w:rsid w:val="00A1171C"/>
    <w:rsid w:val="00A11A63"/>
    <w:rsid w:val="00A12A26"/>
    <w:rsid w:val="00A12BEB"/>
    <w:rsid w:val="00A13578"/>
    <w:rsid w:val="00A13727"/>
    <w:rsid w:val="00A1387B"/>
    <w:rsid w:val="00A13BD9"/>
    <w:rsid w:val="00A13F63"/>
    <w:rsid w:val="00A1428E"/>
    <w:rsid w:val="00A14454"/>
    <w:rsid w:val="00A14530"/>
    <w:rsid w:val="00A146DE"/>
    <w:rsid w:val="00A1472B"/>
    <w:rsid w:val="00A1473A"/>
    <w:rsid w:val="00A14EC7"/>
    <w:rsid w:val="00A15571"/>
    <w:rsid w:val="00A1560A"/>
    <w:rsid w:val="00A1764A"/>
    <w:rsid w:val="00A17BDE"/>
    <w:rsid w:val="00A17DF0"/>
    <w:rsid w:val="00A2008F"/>
    <w:rsid w:val="00A20254"/>
    <w:rsid w:val="00A2037C"/>
    <w:rsid w:val="00A20ADF"/>
    <w:rsid w:val="00A20D39"/>
    <w:rsid w:val="00A20F4D"/>
    <w:rsid w:val="00A212A9"/>
    <w:rsid w:val="00A2137A"/>
    <w:rsid w:val="00A2187E"/>
    <w:rsid w:val="00A21C02"/>
    <w:rsid w:val="00A21CBC"/>
    <w:rsid w:val="00A234A5"/>
    <w:rsid w:val="00A23713"/>
    <w:rsid w:val="00A23FB1"/>
    <w:rsid w:val="00A24A8D"/>
    <w:rsid w:val="00A251FB"/>
    <w:rsid w:val="00A25683"/>
    <w:rsid w:val="00A2608B"/>
    <w:rsid w:val="00A26107"/>
    <w:rsid w:val="00A267BB"/>
    <w:rsid w:val="00A26C44"/>
    <w:rsid w:val="00A26DA0"/>
    <w:rsid w:val="00A27469"/>
    <w:rsid w:val="00A27E3A"/>
    <w:rsid w:val="00A27F8E"/>
    <w:rsid w:val="00A3037F"/>
    <w:rsid w:val="00A307C9"/>
    <w:rsid w:val="00A30CCB"/>
    <w:rsid w:val="00A31073"/>
    <w:rsid w:val="00A310E9"/>
    <w:rsid w:val="00A31ACB"/>
    <w:rsid w:val="00A33147"/>
    <w:rsid w:val="00A332CF"/>
    <w:rsid w:val="00A33478"/>
    <w:rsid w:val="00A3380D"/>
    <w:rsid w:val="00A34C4E"/>
    <w:rsid w:val="00A34D56"/>
    <w:rsid w:val="00A34DFF"/>
    <w:rsid w:val="00A34F64"/>
    <w:rsid w:val="00A3584F"/>
    <w:rsid w:val="00A3657B"/>
    <w:rsid w:val="00A37C57"/>
    <w:rsid w:val="00A37FC0"/>
    <w:rsid w:val="00A40141"/>
    <w:rsid w:val="00A401F2"/>
    <w:rsid w:val="00A40420"/>
    <w:rsid w:val="00A404D3"/>
    <w:rsid w:val="00A40AA6"/>
    <w:rsid w:val="00A40BDE"/>
    <w:rsid w:val="00A410FB"/>
    <w:rsid w:val="00A4143D"/>
    <w:rsid w:val="00A41A89"/>
    <w:rsid w:val="00A41C73"/>
    <w:rsid w:val="00A4217C"/>
    <w:rsid w:val="00A42EE1"/>
    <w:rsid w:val="00A43137"/>
    <w:rsid w:val="00A43138"/>
    <w:rsid w:val="00A438CE"/>
    <w:rsid w:val="00A43C0E"/>
    <w:rsid w:val="00A453D3"/>
    <w:rsid w:val="00A45787"/>
    <w:rsid w:val="00A45D52"/>
    <w:rsid w:val="00A46980"/>
    <w:rsid w:val="00A46B52"/>
    <w:rsid w:val="00A47EE0"/>
    <w:rsid w:val="00A50682"/>
    <w:rsid w:val="00A50828"/>
    <w:rsid w:val="00A50C81"/>
    <w:rsid w:val="00A50D49"/>
    <w:rsid w:val="00A5160F"/>
    <w:rsid w:val="00A51770"/>
    <w:rsid w:val="00A51A0D"/>
    <w:rsid w:val="00A5223A"/>
    <w:rsid w:val="00A5229D"/>
    <w:rsid w:val="00A52C9A"/>
    <w:rsid w:val="00A52F90"/>
    <w:rsid w:val="00A5345B"/>
    <w:rsid w:val="00A536BC"/>
    <w:rsid w:val="00A53BCD"/>
    <w:rsid w:val="00A53CAF"/>
    <w:rsid w:val="00A53DC5"/>
    <w:rsid w:val="00A578E1"/>
    <w:rsid w:val="00A6000A"/>
    <w:rsid w:val="00A60B4C"/>
    <w:rsid w:val="00A6190C"/>
    <w:rsid w:val="00A61A2E"/>
    <w:rsid w:val="00A62249"/>
    <w:rsid w:val="00A62560"/>
    <w:rsid w:val="00A62DD9"/>
    <w:rsid w:val="00A633D1"/>
    <w:rsid w:val="00A64CF3"/>
    <w:rsid w:val="00A65161"/>
    <w:rsid w:val="00A65B3A"/>
    <w:rsid w:val="00A6630D"/>
    <w:rsid w:val="00A663DE"/>
    <w:rsid w:val="00A66580"/>
    <w:rsid w:val="00A668FE"/>
    <w:rsid w:val="00A66D1C"/>
    <w:rsid w:val="00A673F4"/>
    <w:rsid w:val="00A6752F"/>
    <w:rsid w:val="00A676DD"/>
    <w:rsid w:val="00A677B1"/>
    <w:rsid w:val="00A67F1C"/>
    <w:rsid w:val="00A702F9"/>
    <w:rsid w:val="00A7054C"/>
    <w:rsid w:val="00A70556"/>
    <w:rsid w:val="00A705CA"/>
    <w:rsid w:val="00A70607"/>
    <w:rsid w:val="00A71576"/>
    <w:rsid w:val="00A7170E"/>
    <w:rsid w:val="00A717C3"/>
    <w:rsid w:val="00A71D14"/>
    <w:rsid w:val="00A72361"/>
    <w:rsid w:val="00A723B8"/>
    <w:rsid w:val="00A72698"/>
    <w:rsid w:val="00A72C47"/>
    <w:rsid w:val="00A72D1E"/>
    <w:rsid w:val="00A7311D"/>
    <w:rsid w:val="00A731D7"/>
    <w:rsid w:val="00A7320F"/>
    <w:rsid w:val="00A734DA"/>
    <w:rsid w:val="00A73511"/>
    <w:rsid w:val="00A74146"/>
    <w:rsid w:val="00A74DDC"/>
    <w:rsid w:val="00A74F85"/>
    <w:rsid w:val="00A750D2"/>
    <w:rsid w:val="00A75B43"/>
    <w:rsid w:val="00A75E28"/>
    <w:rsid w:val="00A75EC0"/>
    <w:rsid w:val="00A760AA"/>
    <w:rsid w:val="00A76752"/>
    <w:rsid w:val="00A773DF"/>
    <w:rsid w:val="00A77A4D"/>
    <w:rsid w:val="00A77AE8"/>
    <w:rsid w:val="00A77E68"/>
    <w:rsid w:val="00A81442"/>
    <w:rsid w:val="00A81B09"/>
    <w:rsid w:val="00A81E1A"/>
    <w:rsid w:val="00A81F37"/>
    <w:rsid w:val="00A81F5A"/>
    <w:rsid w:val="00A82622"/>
    <w:rsid w:val="00A8267E"/>
    <w:rsid w:val="00A83133"/>
    <w:rsid w:val="00A833DF"/>
    <w:rsid w:val="00A83678"/>
    <w:rsid w:val="00A83D1D"/>
    <w:rsid w:val="00A84AD5"/>
    <w:rsid w:val="00A84CF2"/>
    <w:rsid w:val="00A84FC8"/>
    <w:rsid w:val="00A85716"/>
    <w:rsid w:val="00A85755"/>
    <w:rsid w:val="00A861E0"/>
    <w:rsid w:val="00A86769"/>
    <w:rsid w:val="00A8721D"/>
    <w:rsid w:val="00A87B6B"/>
    <w:rsid w:val="00A9007D"/>
    <w:rsid w:val="00A901F8"/>
    <w:rsid w:val="00A904AB"/>
    <w:rsid w:val="00A90CD7"/>
    <w:rsid w:val="00A90D31"/>
    <w:rsid w:val="00A915CD"/>
    <w:rsid w:val="00A92C82"/>
    <w:rsid w:val="00A92EEF"/>
    <w:rsid w:val="00A93566"/>
    <w:rsid w:val="00A93D9E"/>
    <w:rsid w:val="00A94273"/>
    <w:rsid w:val="00A942C1"/>
    <w:rsid w:val="00A9473C"/>
    <w:rsid w:val="00A949BE"/>
    <w:rsid w:val="00A95267"/>
    <w:rsid w:val="00A952EF"/>
    <w:rsid w:val="00A95A93"/>
    <w:rsid w:val="00A960C6"/>
    <w:rsid w:val="00A963FE"/>
    <w:rsid w:val="00A969B6"/>
    <w:rsid w:val="00A96CAF"/>
    <w:rsid w:val="00A9718E"/>
    <w:rsid w:val="00A975B7"/>
    <w:rsid w:val="00A9762B"/>
    <w:rsid w:val="00A977AC"/>
    <w:rsid w:val="00A97982"/>
    <w:rsid w:val="00A97C99"/>
    <w:rsid w:val="00AA034D"/>
    <w:rsid w:val="00AA04AC"/>
    <w:rsid w:val="00AA150B"/>
    <w:rsid w:val="00AA154A"/>
    <w:rsid w:val="00AA1755"/>
    <w:rsid w:val="00AA17DF"/>
    <w:rsid w:val="00AA1EED"/>
    <w:rsid w:val="00AA2365"/>
    <w:rsid w:val="00AA271A"/>
    <w:rsid w:val="00AA38BF"/>
    <w:rsid w:val="00AA3B2C"/>
    <w:rsid w:val="00AA3DD6"/>
    <w:rsid w:val="00AA46FD"/>
    <w:rsid w:val="00AA47DE"/>
    <w:rsid w:val="00AA48E3"/>
    <w:rsid w:val="00AA4A17"/>
    <w:rsid w:val="00AA4E8E"/>
    <w:rsid w:val="00AA5F3C"/>
    <w:rsid w:val="00AA72B1"/>
    <w:rsid w:val="00AA78F7"/>
    <w:rsid w:val="00AA7ADB"/>
    <w:rsid w:val="00AA7C0E"/>
    <w:rsid w:val="00AB0D83"/>
    <w:rsid w:val="00AB1602"/>
    <w:rsid w:val="00AB175A"/>
    <w:rsid w:val="00AB2103"/>
    <w:rsid w:val="00AB2A7B"/>
    <w:rsid w:val="00AB2AD4"/>
    <w:rsid w:val="00AB3415"/>
    <w:rsid w:val="00AB344B"/>
    <w:rsid w:val="00AB34F8"/>
    <w:rsid w:val="00AB3512"/>
    <w:rsid w:val="00AB38D0"/>
    <w:rsid w:val="00AB3EA4"/>
    <w:rsid w:val="00AB3F2D"/>
    <w:rsid w:val="00AB4672"/>
    <w:rsid w:val="00AB4861"/>
    <w:rsid w:val="00AB5590"/>
    <w:rsid w:val="00AB5744"/>
    <w:rsid w:val="00AB57B4"/>
    <w:rsid w:val="00AB6332"/>
    <w:rsid w:val="00AB6D18"/>
    <w:rsid w:val="00AB7C06"/>
    <w:rsid w:val="00AB7C85"/>
    <w:rsid w:val="00AB7EB4"/>
    <w:rsid w:val="00AC00B6"/>
    <w:rsid w:val="00AC031C"/>
    <w:rsid w:val="00AC0671"/>
    <w:rsid w:val="00AC10A2"/>
    <w:rsid w:val="00AC1142"/>
    <w:rsid w:val="00AC1847"/>
    <w:rsid w:val="00AC24F6"/>
    <w:rsid w:val="00AC3BA8"/>
    <w:rsid w:val="00AC3EF1"/>
    <w:rsid w:val="00AC4535"/>
    <w:rsid w:val="00AC4799"/>
    <w:rsid w:val="00AC4D85"/>
    <w:rsid w:val="00AC56F6"/>
    <w:rsid w:val="00AC574C"/>
    <w:rsid w:val="00AC59D6"/>
    <w:rsid w:val="00AC5B1A"/>
    <w:rsid w:val="00AC615E"/>
    <w:rsid w:val="00AC662F"/>
    <w:rsid w:val="00AC6735"/>
    <w:rsid w:val="00AC6902"/>
    <w:rsid w:val="00AC7503"/>
    <w:rsid w:val="00AD0A39"/>
    <w:rsid w:val="00AD1B00"/>
    <w:rsid w:val="00AD2508"/>
    <w:rsid w:val="00AD2A95"/>
    <w:rsid w:val="00AD2F1B"/>
    <w:rsid w:val="00AD2FF3"/>
    <w:rsid w:val="00AD311F"/>
    <w:rsid w:val="00AD31FE"/>
    <w:rsid w:val="00AD3550"/>
    <w:rsid w:val="00AD3EB4"/>
    <w:rsid w:val="00AD4002"/>
    <w:rsid w:val="00AD4356"/>
    <w:rsid w:val="00AD4F52"/>
    <w:rsid w:val="00AD4F6B"/>
    <w:rsid w:val="00AD53F7"/>
    <w:rsid w:val="00AD54D2"/>
    <w:rsid w:val="00AD632D"/>
    <w:rsid w:val="00AD6413"/>
    <w:rsid w:val="00AD6683"/>
    <w:rsid w:val="00AD684B"/>
    <w:rsid w:val="00AD6B40"/>
    <w:rsid w:val="00AD6D4B"/>
    <w:rsid w:val="00AD6EC8"/>
    <w:rsid w:val="00AD6F01"/>
    <w:rsid w:val="00AD7A46"/>
    <w:rsid w:val="00AE06B3"/>
    <w:rsid w:val="00AE091C"/>
    <w:rsid w:val="00AE15B0"/>
    <w:rsid w:val="00AE2399"/>
    <w:rsid w:val="00AE2458"/>
    <w:rsid w:val="00AE25BF"/>
    <w:rsid w:val="00AE289D"/>
    <w:rsid w:val="00AE2B78"/>
    <w:rsid w:val="00AE37C4"/>
    <w:rsid w:val="00AE3C46"/>
    <w:rsid w:val="00AE3EE3"/>
    <w:rsid w:val="00AE41A4"/>
    <w:rsid w:val="00AE47A8"/>
    <w:rsid w:val="00AE4936"/>
    <w:rsid w:val="00AE4938"/>
    <w:rsid w:val="00AE512A"/>
    <w:rsid w:val="00AE51A3"/>
    <w:rsid w:val="00AE5293"/>
    <w:rsid w:val="00AE54CA"/>
    <w:rsid w:val="00AE61BF"/>
    <w:rsid w:val="00AE63D8"/>
    <w:rsid w:val="00AE677B"/>
    <w:rsid w:val="00AE67E6"/>
    <w:rsid w:val="00AE6DF9"/>
    <w:rsid w:val="00AE6E8B"/>
    <w:rsid w:val="00AE6EDB"/>
    <w:rsid w:val="00AE6EEA"/>
    <w:rsid w:val="00AE7A2A"/>
    <w:rsid w:val="00AE7A8B"/>
    <w:rsid w:val="00AE7D6E"/>
    <w:rsid w:val="00AF006D"/>
    <w:rsid w:val="00AF1347"/>
    <w:rsid w:val="00AF145E"/>
    <w:rsid w:val="00AF1D55"/>
    <w:rsid w:val="00AF22EF"/>
    <w:rsid w:val="00AF25A0"/>
    <w:rsid w:val="00AF2E31"/>
    <w:rsid w:val="00AF2E34"/>
    <w:rsid w:val="00AF30B1"/>
    <w:rsid w:val="00AF33A7"/>
    <w:rsid w:val="00AF3D03"/>
    <w:rsid w:val="00AF4443"/>
    <w:rsid w:val="00AF4E96"/>
    <w:rsid w:val="00AF57D3"/>
    <w:rsid w:val="00AF5D92"/>
    <w:rsid w:val="00AF667C"/>
    <w:rsid w:val="00AF67E2"/>
    <w:rsid w:val="00AF6AC2"/>
    <w:rsid w:val="00AF70A4"/>
    <w:rsid w:val="00AF7409"/>
    <w:rsid w:val="00AF798A"/>
    <w:rsid w:val="00B000E9"/>
    <w:rsid w:val="00B00144"/>
    <w:rsid w:val="00B0032B"/>
    <w:rsid w:val="00B004F5"/>
    <w:rsid w:val="00B00CB6"/>
    <w:rsid w:val="00B00D8D"/>
    <w:rsid w:val="00B0138C"/>
    <w:rsid w:val="00B01471"/>
    <w:rsid w:val="00B02885"/>
    <w:rsid w:val="00B04B60"/>
    <w:rsid w:val="00B04F22"/>
    <w:rsid w:val="00B04F43"/>
    <w:rsid w:val="00B04F8F"/>
    <w:rsid w:val="00B05583"/>
    <w:rsid w:val="00B05C04"/>
    <w:rsid w:val="00B05DE6"/>
    <w:rsid w:val="00B06152"/>
    <w:rsid w:val="00B065B8"/>
    <w:rsid w:val="00B06AA0"/>
    <w:rsid w:val="00B06DB8"/>
    <w:rsid w:val="00B07091"/>
    <w:rsid w:val="00B071B1"/>
    <w:rsid w:val="00B07984"/>
    <w:rsid w:val="00B07AFE"/>
    <w:rsid w:val="00B1006A"/>
    <w:rsid w:val="00B106F8"/>
    <w:rsid w:val="00B10B45"/>
    <w:rsid w:val="00B11317"/>
    <w:rsid w:val="00B1183B"/>
    <w:rsid w:val="00B11FD6"/>
    <w:rsid w:val="00B121AE"/>
    <w:rsid w:val="00B1254B"/>
    <w:rsid w:val="00B12600"/>
    <w:rsid w:val="00B12797"/>
    <w:rsid w:val="00B1431D"/>
    <w:rsid w:val="00B1435A"/>
    <w:rsid w:val="00B151A1"/>
    <w:rsid w:val="00B153D1"/>
    <w:rsid w:val="00B15947"/>
    <w:rsid w:val="00B167F7"/>
    <w:rsid w:val="00B16C41"/>
    <w:rsid w:val="00B16C77"/>
    <w:rsid w:val="00B17135"/>
    <w:rsid w:val="00B1737D"/>
    <w:rsid w:val="00B17429"/>
    <w:rsid w:val="00B17685"/>
    <w:rsid w:val="00B17F73"/>
    <w:rsid w:val="00B20148"/>
    <w:rsid w:val="00B20703"/>
    <w:rsid w:val="00B20A81"/>
    <w:rsid w:val="00B20B66"/>
    <w:rsid w:val="00B21402"/>
    <w:rsid w:val="00B215B5"/>
    <w:rsid w:val="00B2257A"/>
    <w:rsid w:val="00B22E0D"/>
    <w:rsid w:val="00B230BA"/>
    <w:rsid w:val="00B23597"/>
    <w:rsid w:val="00B24016"/>
    <w:rsid w:val="00B2480A"/>
    <w:rsid w:val="00B2483F"/>
    <w:rsid w:val="00B24AFC"/>
    <w:rsid w:val="00B24D53"/>
    <w:rsid w:val="00B24F0F"/>
    <w:rsid w:val="00B24FDD"/>
    <w:rsid w:val="00B25BBF"/>
    <w:rsid w:val="00B2634A"/>
    <w:rsid w:val="00B265BB"/>
    <w:rsid w:val="00B2669F"/>
    <w:rsid w:val="00B26C79"/>
    <w:rsid w:val="00B26E4E"/>
    <w:rsid w:val="00B26F72"/>
    <w:rsid w:val="00B272D2"/>
    <w:rsid w:val="00B27802"/>
    <w:rsid w:val="00B27B19"/>
    <w:rsid w:val="00B301E9"/>
    <w:rsid w:val="00B302FD"/>
    <w:rsid w:val="00B30854"/>
    <w:rsid w:val="00B31037"/>
    <w:rsid w:val="00B3194A"/>
    <w:rsid w:val="00B31DB7"/>
    <w:rsid w:val="00B31E90"/>
    <w:rsid w:val="00B31F00"/>
    <w:rsid w:val="00B31F0A"/>
    <w:rsid w:val="00B31F3E"/>
    <w:rsid w:val="00B3258C"/>
    <w:rsid w:val="00B330E7"/>
    <w:rsid w:val="00B33AC7"/>
    <w:rsid w:val="00B33DC7"/>
    <w:rsid w:val="00B347C3"/>
    <w:rsid w:val="00B35027"/>
    <w:rsid w:val="00B3507E"/>
    <w:rsid w:val="00B35C9F"/>
    <w:rsid w:val="00B37095"/>
    <w:rsid w:val="00B376F0"/>
    <w:rsid w:val="00B3785A"/>
    <w:rsid w:val="00B379F5"/>
    <w:rsid w:val="00B37A02"/>
    <w:rsid w:val="00B37C74"/>
    <w:rsid w:val="00B40280"/>
    <w:rsid w:val="00B402FF"/>
    <w:rsid w:val="00B4066F"/>
    <w:rsid w:val="00B40B6C"/>
    <w:rsid w:val="00B411C9"/>
    <w:rsid w:val="00B416D9"/>
    <w:rsid w:val="00B41A45"/>
    <w:rsid w:val="00B41CD9"/>
    <w:rsid w:val="00B42F9E"/>
    <w:rsid w:val="00B43AB5"/>
    <w:rsid w:val="00B4438D"/>
    <w:rsid w:val="00B44901"/>
    <w:rsid w:val="00B44A15"/>
    <w:rsid w:val="00B44AA4"/>
    <w:rsid w:val="00B4570E"/>
    <w:rsid w:val="00B45864"/>
    <w:rsid w:val="00B459C2"/>
    <w:rsid w:val="00B459C4"/>
    <w:rsid w:val="00B466E4"/>
    <w:rsid w:val="00B466EB"/>
    <w:rsid w:val="00B47102"/>
    <w:rsid w:val="00B4718C"/>
    <w:rsid w:val="00B473CA"/>
    <w:rsid w:val="00B50DBB"/>
    <w:rsid w:val="00B51BD2"/>
    <w:rsid w:val="00B51F36"/>
    <w:rsid w:val="00B52BB3"/>
    <w:rsid w:val="00B52DEE"/>
    <w:rsid w:val="00B53900"/>
    <w:rsid w:val="00B5474D"/>
    <w:rsid w:val="00B54BB4"/>
    <w:rsid w:val="00B553DA"/>
    <w:rsid w:val="00B55823"/>
    <w:rsid w:val="00B559FA"/>
    <w:rsid w:val="00B56253"/>
    <w:rsid w:val="00B56293"/>
    <w:rsid w:val="00B567A8"/>
    <w:rsid w:val="00B567F1"/>
    <w:rsid w:val="00B569ED"/>
    <w:rsid w:val="00B56C90"/>
    <w:rsid w:val="00B56EF8"/>
    <w:rsid w:val="00B5744B"/>
    <w:rsid w:val="00B57481"/>
    <w:rsid w:val="00B60171"/>
    <w:rsid w:val="00B6056A"/>
    <w:rsid w:val="00B61507"/>
    <w:rsid w:val="00B61631"/>
    <w:rsid w:val="00B62A4C"/>
    <w:rsid w:val="00B635ED"/>
    <w:rsid w:val="00B6366C"/>
    <w:rsid w:val="00B639DA"/>
    <w:rsid w:val="00B6442D"/>
    <w:rsid w:val="00B64599"/>
    <w:rsid w:val="00B6468E"/>
    <w:rsid w:val="00B64C77"/>
    <w:rsid w:val="00B64E1C"/>
    <w:rsid w:val="00B650E9"/>
    <w:rsid w:val="00B65982"/>
    <w:rsid w:val="00B65AF9"/>
    <w:rsid w:val="00B65D4F"/>
    <w:rsid w:val="00B666C2"/>
    <w:rsid w:val="00B66B8D"/>
    <w:rsid w:val="00B66D7F"/>
    <w:rsid w:val="00B66DB4"/>
    <w:rsid w:val="00B67711"/>
    <w:rsid w:val="00B679BD"/>
    <w:rsid w:val="00B67A12"/>
    <w:rsid w:val="00B7015F"/>
    <w:rsid w:val="00B70699"/>
    <w:rsid w:val="00B710D2"/>
    <w:rsid w:val="00B7158F"/>
    <w:rsid w:val="00B72332"/>
    <w:rsid w:val="00B72441"/>
    <w:rsid w:val="00B72CC1"/>
    <w:rsid w:val="00B72E9B"/>
    <w:rsid w:val="00B730E0"/>
    <w:rsid w:val="00B734D6"/>
    <w:rsid w:val="00B7363F"/>
    <w:rsid w:val="00B738F7"/>
    <w:rsid w:val="00B73EC7"/>
    <w:rsid w:val="00B740D7"/>
    <w:rsid w:val="00B744D1"/>
    <w:rsid w:val="00B74D2B"/>
    <w:rsid w:val="00B75372"/>
    <w:rsid w:val="00B75454"/>
    <w:rsid w:val="00B75E4F"/>
    <w:rsid w:val="00B76321"/>
    <w:rsid w:val="00B76737"/>
    <w:rsid w:val="00B770AA"/>
    <w:rsid w:val="00B77E50"/>
    <w:rsid w:val="00B77FDB"/>
    <w:rsid w:val="00B80340"/>
    <w:rsid w:val="00B80D52"/>
    <w:rsid w:val="00B81686"/>
    <w:rsid w:val="00B817D1"/>
    <w:rsid w:val="00B817EB"/>
    <w:rsid w:val="00B818F5"/>
    <w:rsid w:val="00B81AE4"/>
    <w:rsid w:val="00B81CAF"/>
    <w:rsid w:val="00B81D00"/>
    <w:rsid w:val="00B82374"/>
    <w:rsid w:val="00B8252C"/>
    <w:rsid w:val="00B8258A"/>
    <w:rsid w:val="00B82AFF"/>
    <w:rsid w:val="00B82BE0"/>
    <w:rsid w:val="00B839A1"/>
    <w:rsid w:val="00B83B9E"/>
    <w:rsid w:val="00B83C79"/>
    <w:rsid w:val="00B84028"/>
    <w:rsid w:val="00B840AA"/>
    <w:rsid w:val="00B841D6"/>
    <w:rsid w:val="00B84223"/>
    <w:rsid w:val="00B8454F"/>
    <w:rsid w:val="00B8485C"/>
    <w:rsid w:val="00B850EF"/>
    <w:rsid w:val="00B85244"/>
    <w:rsid w:val="00B857C3"/>
    <w:rsid w:val="00B857FD"/>
    <w:rsid w:val="00B868AB"/>
    <w:rsid w:val="00B87025"/>
    <w:rsid w:val="00B87393"/>
    <w:rsid w:val="00B87643"/>
    <w:rsid w:val="00B87681"/>
    <w:rsid w:val="00B87817"/>
    <w:rsid w:val="00B87846"/>
    <w:rsid w:val="00B90383"/>
    <w:rsid w:val="00B90E9D"/>
    <w:rsid w:val="00B917E7"/>
    <w:rsid w:val="00B91E21"/>
    <w:rsid w:val="00B91E7F"/>
    <w:rsid w:val="00B925DA"/>
    <w:rsid w:val="00B9295D"/>
    <w:rsid w:val="00B93A30"/>
    <w:rsid w:val="00B93F89"/>
    <w:rsid w:val="00B94207"/>
    <w:rsid w:val="00B94219"/>
    <w:rsid w:val="00B94A86"/>
    <w:rsid w:val="00B94C19"/>
    <w:rsid w:val="00B94C6B"/>
    <w:rsid w:val="00B94CBE"/>
    <w:rsid w:val="00B956FA"/>
    <w:rsid w:val="00B95A2D"/>
    <w:rsid w:val="00B95D22"/>
    <w:rsid w:val="00B96883"/>
    <w:rsid w:val="00B9736B"/>
    <w:rsid w:val="00B97764"/>
    <w:rsid w:val="00B97E0E"/>
    <w:rsid w:val="00B97E57"/>
    <w:rsid w:val="00BA03AB"/>
    <w:rsid w:val="00BA0F96"/>
    <w:rsid w:val="00BA1071"/>
    <w:rsid w:val="00BA1303"/>
    <w:rsid w:val="00BA193D"/>
    <w:rsid w:val="00BA1C4B"/>
    <w:rsid w:val="00BA1D3A"/>
    <w:rsid w:val="00BA2116"/>
    <w:rsid w:val="00BA22EE"/>
    <w:rsid w:val="00BA24CD"/>
    <w:rsid w:val="00BA2613"/>
    <w:rsid w:val="00BA297F"/>
    <w:rsid w:val="00BA29B7"/>
    <w:rsid w:val="00BA2E25"/>
    <w:rsid w:val="00BA30A0"/>
    <w:rsid w:val="00BA30BB"/>
    <w:rsid w:val="00BA347C"/>
    <w:rsid w:val="00BA3BD9"/>
    <w:rsid w:val="00BA3D62"/>
    <w:rsid w:val="00BA46BA"/>
    <w:rsid w:val="00BA4730"/>
    <w:rsid w:val="00BA4D38"/>
    <w:rsid w:val="00BA52FA"/>
    <w:rsid w:val="00BA5420"/>
    <w:rsid w:val="00BA55B0"/>
    <w:rsid w:val="00BA56F1"/>
    <w:rsid w:val="00BA5883"/>
    <w:rsid w:val="00BA5BC4"/>
    <w:rsid w:val="00BA5FC3"/>
    <w:rsid w:val="00BA60CC"/>
    <w:rsid w:val="00BA60CD"/>
    <w:rsid w:val="00BA6440"/>
    <w:rsid w:val="00BA66D2"/>
    <w:rsid w:val="00BA6A3A"/>
    <w:rsid w:val="00BA726A"/>
    <w:rsid w:val="00BA7639"/>
    <w:rsid w:val="00BA7823"/>
    <w:rsid w:val="00BA783D"/>
    <w:rsid w:val="00BA7B94"/>
    <w:rsid w:val="00BB0117"/>
    <w:rsid w:val="00BB030B"/>
    <w:rsid w:val="00BB0A7D"/>
    <w:rsid w:val="00BB0F20"/>
    <w:rsid w:val="00BB1109"/>
    <w:rsid w:val="00BB1350"/>
    <w:rsid w:val="00BB1C43"/>
    <w:rsid w:val="00BB2A07"/>
    <w:rsid w:val="00BB2D55"/>
    <w:rsid w:val="00BB2E53"/>
    <w:rsid w:val="00BB3253"/>
    <w:rsid w:val="00BB3399"/>
    <w:rsid w:val="00BB38EB"/>
    <w:rsid w:val="00BB3934"/>
    <w:rsid w:val="00BB3977"/>
    <w:rsid w:val="00BB39EA"/>
    <w:rsid w:val="00BB3E42"/>
    <w:rsid w:val="00BB3FBC"/>
    <w:rsid w:val="00BB4505"/>
    <w:rsid w:val="00BB501E"/>
    <w:rsid w:val="00BB52BA"/>
    <w:rsid w:val="00BB567E"/>
    <w:rsid w:val="00BB574C"/>
    <w:rsid w:val="00BB5E2C"/>
    <w:rsid w:val="00BB6A15"/>
    <w:rsid w:val="00BB7189"/>
    <w:rsid w:val="00BB7661"/>
    <w:rsid w:val="00BB772A"/>
    <w:rsid w:val="00BB792E"/>
    <w:rsid w:val="00BB7E8E"/>
    <w:rsid w:val="00BB7EE7"/>
    <w:rsid w:val="00BC022E"/>
    <w:rsid w:val="00BC0A56"/>
    <w:rsid w:val="00BC1068"/>
    <w:rsid w:val="00BC12D2"/>
    <w:rsid w:val="00BC149D"/>
    <w:rsid w:val="00BC15A2"/>
    <w:rsid w:val="00BC1D76"/>
    <w:rsid w:val="00BC2050"/>
    <w:rsid w:val="00BC2828"/>
    <w:rsid w:val="00BC2B08"/>
    <w:rsid w:val="00BC3268"/>
    <w:rsid w:val="00BC39F2"/>
    <w:rsid w:val="00BC3B8D"/>
    <w:rsid w:val="00BC3BC5"/>
    <w:rsid w:val="00BC4022"/>
    <w:rsid w:val="00BC43DA"/>
    <w:rsid w:val="00BC4B77"/>
    <w:rsid w:val="00BC4D22"/>
    <w:rsid w:val="00BC5730"/>
    <w:rsid w:val="00BC5BEA"/>
    <w:rsid w:val="00BC63E6"/>
    <w:rsid w:val="00BC64ED"/>
    <w:rsid w:val="00BC651C"/>
    <w:rsid w:val="00BC68AF"/>
    <w:rsid w:val="00BC6EA4"/>
    <w:rsid w:val="00BC70F4"/>
    <w:rsid w:val="00BC7568"/>
    <w:rsid w:val="00BC78F3"/>
    <w:rsid w:val="00BC7FDC"/>
    <w:rsid w:val="00BD073C"/>
    <w:rsid w:val="00BD0BC8"/>
    <w:rsid w:val="00BD0CA4"/>
    <w:rsid w:val="00BD1728"/>
    <w:rsid w:val="00BD216A"/>
    <w:rsid w:val="00BD3023"/>
    <w:rsid w:val="00BD317F"/>
    <w:rsid w:val="00BD3197"/>
    <w:rsid w:val="00BD37F9"/>
    <w:rsid w:val="00BD3910"/>
    <w:rsid w:val="00BD3F21"/>
    <w:rsid w:val="00BD43DC"/>
    <w:rsid w:val="00BD516D"/>
    <w:rsid w:val="00BD53C9"/>
    <w:rsid w:val="00BD5491"/>
    <w:rsid w:val="00BD5959"/>
    <w:rsid w:val="00BD61E0"/>
    <w:rsid w:val="00BD65DA"/>
    <w:rsid w:val="00BD6CCC"/>
    <w:rsid w:val="00BD7061"/>
    <w:rsid w:val="00BD7271"/>
    <w:rsid w:val="00BD7A64"/>
    <w:rsid w:val="00BE02EB"/>
    <w:rsid w:val="00BE09DB"/>
    <w:rsid w:val="00BE0B07"/>
    <w:rsid w:val="00BE0B9C"/>
    <w:rsid w:val="00BE1011"/>
    <w:rsid w:val="00BE13F7"/>
    <w:rsid w:val="00BE16B5"/>
    <w:rsid w:val="00BE18D0"/>
    <w:rsid w:val="00BE232D"/>
    <w:rsid w:val="00BE249B"/>
    <w:rsid w:val="00BE25FD"/>
    <w:rsid w:val="00BE2D1F"/>
    <w:rsid w:val="00BE2D90"/>
    <w:rsid w:val="00BE323B"/>
    <w:rsid w:val="00BE346F"/>
    <w:rsid w:val="00BE380A"/>
    <w:rsid w:val="00BE3A0D"/>
    <w:rsid w:val="00BE418F"/>
    <w:rsid w:val="00BE423D"/>
    <w:rsid w:val="00BE4D54"/>
    <w:rsid w:val="00BE4E2A"/>
    <w:rsid w:val="00BE4F8C"/>
    <w:rsid w:val="00BE514C"/>
    <w:rsid w:val="00BE51FB"/>
    <w:rsid w:val="00BE57A8"/>
    <w:rsid w:val="00BE5A7B"/>
    <w:rsid w:val="00BE6B9D"/>
    <w:rsid w:val="00BE6E9D"/>
    <w:rsid w:val="00BE6F85"/>
    <w:rsid w:val="00BE70A8"/>
    <w:rsid w:val="00BE7128"/>
    <w:rsid w:val="00BE71F1"/>
    <w:rsid w:val="00BE72F8"/>
    <w:rsid w:val="00BE7867"/>
    <w:rsid w:val="00BE791E"/>
    <w:rsid w:val="00BE7953"/>
    <w:rsid w:val="00BE7F1E"/>
    <w:rsid w:val="00BE7F49"/>
    <w:rsid w:val="00BF021E"/>
    <w:rsid w:val="00BF0233"/>
    <w:rsid w:val="00BF0258"/>
    <w:rsid w:val="00BF0415"/>
    <w:rsid w:val="00BF088C"/>
    <w:rsid w:val="00BF0947"/>
    <w:rsid w:val="00BF0E1D"/>
    <w:rsid w:val="00BF0E49"/>
    <w:rsid w:val="00BF1974"/>
    <w:rsid w:val="00BF1EC6"/>
    <w:rsid w:val="00BF1FC8"/>
    <w:rsid w:val="00BF248D"/>
    <w:rsid w:val="00BF2724"/>
    <w:rsid w:val="00BF31C9"/>
    <w:rsid w:val="00BF36A1"/>
    <w:rsid w:val="00BF398C"/>
    <w:rsid w:val="00BF3F3D"/>
    <w:rsid w:val="00BF4452"/>
    <w:rsid w:val="00BF50EE"/>
    <w:rsid w:val="00BF5839"/>
    <w:rsid w:val="00BF5918"/>
    <w:rsid w:val="00BF5CDA"/>
    <w:rsid w:val="00BF6060"/>
    <w:rsid w:val="00BF6573"/>
    <w:rsid w:val="00BF6DB7"/>
    <w:rsid w:val="00BF6E8F"/>
    <w:rsid w:val="00BF7BBF"/>
    <w:rsid w:val="00C0020F"/>
    <w:rsid w:val="00C00AB8"/>
    <w:rsid w:val="00C00C91"/>
    <w:rsid w:val="00C00F50"/>
    <w:rsid w:val="00C011F0"/>
    <w:rsid w:val="00C012A5"/>
    <w:rsid w:val="00C01513"/>
    <w:rsid w:val="00C01BC6"/>
    <w:rsid w:val="00C01D14"/>
    <w:rsid w:val="00C02667"/>
    <w:rsid w:val="00C02A84"/>
    <w:rsid w:val="00C03A54"/>
    <w:rsid w:val="00C04063"/>
    <w:rsid w:val="00C0406F"/>
    <w:rsid w:val="00C040E1"/>
    <w:rsid w:val="00C0414E"/>
    <w:rsid w:val="00C053DA"/>
    <w:rsid w:val="00C058E4"/>
    <w:rsid w:val="00C05B6C"/>
    <w:rsid w:val="00C05DD9"/>
    <w:rsid w:val="00C06E17"/>
    <w:rsid w:val="00C0717D"/>
    <w:rsid w:val="00C0755F"/>
    <w:rsid w:val="00C07566"/>
    <w:rsid w:val="00C07A37"/>
    <w:rsid w:val="00C07B05"/>
    <w:rsid w:val="00C10010"/>
    <w:rsid w:val="00C1024F"/>
    <w:rsid w:val="00C104AC"/>
    <w:rsid w:val="00C11287"/>
    <w:rsid w:val="00C11976"/>
    <w:rsid w:val="00C11C0A"/>
    <w:rsid w:val="00C11C3D"/>
    <w:rsid w:val="00C1236A"/>
    <w:rsid w:val="00C125D4"/>
    <w:rsid w:val="00C1286A"/>
    <w:rsid w:val="00C12A29"/>
    <w:rsid w:val="00C12B12"/>
    <w:rsid w:val="00C12BA4"/>
    <w:rsid w:val="00C14017"/>
    <w:rsid w:val="00C1523D"/>
    <w:rsid w:val="00C16369"/>
    <w:rsid w:val="00C1636F"/>
    <w:rsid w:val="00C165FD"/>
    <w:rsid w:val="00C17C53"/>
    <w:rsid w:val="00C17C6A"/>
    <w:rsid w:val="00C20B6D"/>
    <w:rsid w:val="00C217CF"/>
    <w:rsid w:val="00C218FC"/>
    <w:rsid w:val="00C219F7"/>
    <w:rsid w:val="00C21B37"/>
    <w:rsid w:val="00C22303"/>
    <w:rsid w:val="00C22722"/>
    <w:rsid w:val="00C22870"/>
    <w:rsid w:val="00C22E38"/>
    <w:rsid w:val="00C22E8E"/>
    <w:rsid w:val="00C22F8F"/>
    <w:rsid w:val="00C230C4"/>
    <w:rsid w:val="00C2329C"/>
    <w:rsid w:val="00C235E1"/>
    <w:rsid w:val="00C2379C"/>
    <w:rsid w:val="00C23AC2"/>
    <w:rsid w:val="00C23F99"/>
    <w:rsid w:val="00C2413E"/>
    <w:rsid w:val="00C241EA"/>
    <w:rsid w:val="00C243F9"/>
    <w:rsid w:val="00C2451A"/>
    <w:rsid w:val="00C2485B"/>
    <w:rsid w:val="00C24AEA"/>
    <w:rsid w:val="00C24E73"/>
    <w:rsid w:val="00C25131"/>
    <w:rsid w:val="00C25AF1"/>
    <w:rsid w:val="00C26574"/>
    <w:rsid w:val="00C269E6"/>
    <w:rsid w:val="00C2700F"/>
    <w:rsid w:val="00C27112"/>
    <w:rsid w:val="00C279CC"/>
    <w:rsid w:val="00C27B4B"/>
    <w:rsid w:val="00C30B8D"/>
    <w:rsid w:val="00C30E1D"/>
    <w:rsid w:val="00C3199C"/>
    <w:rsid w:val="00C31CFF"/>
    <w:rsid w:val="00C32018"/>
    <w:rsid w:val="00C32756"/>
    <w:rsid w:val="00C3278F"/>
    <w:rsid w:val="00C337DD"/>
    <w:rsid w:val="00C339D2"/>
    <w:rsid w:val="00C33B8B"/>
    <w:rsid w:val="00C34108"/>
    <w:rsid w:val="00C342F9"/>
    <w:rsid w:val="00C349EF"/>
    <w:rsid w:val="00C3508F"/>
    <w:rsid w:val="00C3525A"/>
    <w:rsid w:val="00C35B0A"/>
    <w:rsid w:val="00C363FA"/>
    <w:rsid w:val="00C3660B"/>
    <w:rsid w:val="00C375BE"/>
    <w:rsid w:val="00C376E7"/>
    <w:rsid w:val="00C37C9E"/>
    <w:rsid w:val="00C40FDE"/>
    <w:rsid w:val="00C41047"/>
    <w:rsid w:val="00C411CB"/>
    <w:rsid w:val="00C41671"/>
    <w:rsid w:val="00C41B30"/>
    <w:rsid w:val="00C41C8A"/>
    <w:rsid w:val="00C41FB0"/>
    <w:rsid w:val="00C42A32"/>
    <w:rsid w:val="00C42E33"/>
    <w:rsid w:val="00C43014"/>
    <w:rsid w:val="00C43387"/>
    <w:rsid w:val="00C44773"/>
    <w:rsid w:val="00C449E5"/>
    <w:rsid w:val="00C44F82"/>
    <w:rsid w:val="00C452CB"/>
    <w:rsid w:val="00C45660"/>
    <w:rsid w:val="00C45E18"/>
    <w:rsid w:val="00C461B3"/>
    <w:rsid w:val="00C468FD"/>
    <w:rsid w:val="00C46BF4"/>
    <w:rsid w:val="00C47141"/>
    <w:rsid w:val="00C471DA"/>
    <w:rsid w:val="00C47458"/>
    <w:rsid w:val="00C478CC"/>
    <w:rsid w:val="00C50120"/>
    <w:rsid w:val="00C506F1"/>
    <w:rsid w:val="00C50756"/>
    <w:rsid w:val="00C513D2"/>
    <w:rsid w:val="00C51B2F"/>
    <w:rsid w:val="00C52106"/>
    <w:rsid w:val="00C5218B"/>
    <w:rsid w:val="00C521DD"/>
    <w:rsid w:val="00C522D2"/>
    <w:rsid w:val="00C522F9"/>
    <w:rsid w:val="00C524D9"/>
    <w:rsid w:val="00C52E32"/>
    <w:rsid w:val="00C52EFA"/>
    <w:rsid w:val="00C53447"/>
    <w:rsid w:val="00C534F6"/>
    <w:rsid w:val="00C535A5"/>
    <w:rsid w:val="00C53C2C"/>
    <w:rsid w:val="00C53F05"/>
    <w:rsid w:val="00C54D3B"/>
    <w:rsid w:val="00C54DAD"/>
    <w:rsid w:val="00C554FF"/>
    <w:rsid w:val="00C55679"/>
    <w:rsid w:val="00C566D9"/>
    <w:rsid w:val="00C56F02"/>
    <w:rsid w:val="00C5781B"/>
    <w:rsid w:val="00C60118"/>
    <w:rsid w:val="00C601D4"/>
    <w:rsid w:val="00C60A5D"/>
    <w:rsid w:val="00C60CE5"/>
    <w:rsid w:val="00C6111E"/>
    <w:rsid w:val="00C612AE"/>
    <w:rsid w:val="00C61354"/>
    <w:rsid w:val="00C61C29"/>
    <w:rsid w:val="00C62066"/>
    <w:rsid w:val="00C6245D"/>
    <w:rsid w:val="00C62840"/>
    <w:rsid w:val="00C6314E"/>
    <w:rsid w:val="00C63745"/>
    <w:rsid w:val="00C63BD1"/>
    <w:rsid w:val="00C63DC7"/>
    <w:rsid w:val="00C64249"/>
    <w:rsid w:val="00C646B8"/>
    <w:rsid w:val="00C64865"/>
    <w:rsid w:val="00C64898"/>
    <w:rsid w:val="00C64AD9"/>
    <w:rsid w:val="00C64B1B"/>
    <w:rsid w:val="00C64FA3"/>
    <w:rsid w:val="00C656E6"/>
    <w:rsid w:val="00C66630"/>
    <w:rsid w:val="00C66C20"/>
    <w:rsid w:val="00C670DE"/>
    <w:rsid w:val="00C6721D"/>
    <w:rsid w:val="00C67557"/>
    <w:rsid w:val="00C701E6"/>
    <w:rsid w:val="00C7067A"/>
    <w:rsid w:val="00C70D0B"/>
    <w:rsid w:val="00C70F88"/>
    <w:rsid w:val="00C70F92"/>
    <w:rsid w:val="00C71445"/>
    <w:rsid w:val="00C7146E"/>
    <w:rsid w:val="00C71BED"/>
    <w:rsid w:val="00C71D0E"/>
    <w:rsid w:val="00C72573"/>
    <w:rsid w:val="00C728B3"/>
    <w:rsid w:val="00C73277"/>
    <w:rsid w:val="00C7351D"/>
    <w:rsid w:val="00C73594"/>
    <w:rsid w:val="00C73B24"/>
    <w:rsid w:val="00C74063"/>
    <w:rsid w:val="00C7490C"/>
    <w:rsid w:val="00C7496A"/>
    <w:rsid w:val="00C74CAE"/>
    <w:rsid w:val="00C74D1E"/>
    <w:rsid w:val="00C757DF"/>
    <w:rsid w:val="00C76916"/>
    <w:rsid w:val="00C76F53"/>
    <w:rsid w:val="00C776C6"/>
    <w:rsid w:val="00C77CD8"/>
    <w:rsid w:val="00C77E72"/>
    <w:rsid w:val="00C800C6"/>
    <w:rsid w:val="00C8022C"/>
    <w:rsid w:val="00C80671"/>
    <w:rsid w:val="00C80B36"/>
    <w:rsid w:val="00C8137E"/>
    <w:rsid w:val="00C81621"/>
    <w:rsid w:val="00C816B3"/>
    <w:rsid w:val="00C8191C"/>
    <w:rsid w:val="00C819B6"/>
    <w:rsid w:val="00C823FC"/>
    <w:rsid w:val="00C826DD"/>
    <w:rsid w:val="00C8291D"/>
    <w:rsid w:val="00C83612"/>
    <w:rsid w:val="00C83A00"/>
    <w:rsid w:val="00C83D99"/>
    <w:rsid w:val="00C84705"/>
    <w:rsid w:val="00C85048"/>
    <w:rsid w:val="00C85603"/>
    <w:rsid w:val="00C85966"/>
    <w:rsid w:val="00C85B34"/>
    <w:rsid w:val="00C85C5F"/>
    <w:rsid w:val="00C85DFE"/>
    <w:rsid w:val="00C85E49"/>
    <w:rsid w:val="00C86170"/>
    <w:rsid w:val="00C86891"/>
    <w:rsid w:val="00C86AE1"/>
    <w:rsid w:val="00C87009"/>
    <w:rsid w:val="00C877DE"/>
    <w:rsid w:val="00C87A6D"/>
    <w:rsid w:val="00C87B6F"/>
    <w:rsid w:val="00C87F60"/>
    <w:rsid w:val="00C90162"/>
    <w:rsid w:val="00C90B95"/>
    <w:rsid w:val="00C9171D"/>
    <w:rsid w:val="00C91781"/>
    <w:rsid w:val="00C923F4"/>
    <w:rsid w:val="00C928C1"/>
    <w:rsid w:val="00C92DAD"/>
    <w:rsid w:val="00C9311C"/>
    <w:rsid w:val="00C931E9"/>
    <w:rsid w:val="00C93207"/>
    <w:rsid w:val="00C934FF"/>
    <w:rsid w:val="00C93665"/>
    <w:rsid w:val="00C93673"/>
    <w:rsid w:val="00C93800"/>
    <w:rsid w:val="00C940E0"/>
    <w:rsid w:val="00C943BC"/>
    <w:rsid w:val="00C947F9"/>
    <w:rsid w:val="00C94916"/>
    <w:rsid w:val="00C94C70"/>
    <w:rsid w:val="00C9500D"/>
    <w:rsid w:val="00C95D14"/>
    <w:rsid w:val="00C95FC4"/>
    <w:rsid w:val="00C9603C"/>
    <w:rsid w:val="00C96432"/>
    <w:rsid w:val="00C96A75"/>
    <w:rsid w:val="00C97270"/>
    <w:rsid w:val="00C9765A"/>
    <w:rsid w:val="00C9783F"/>
    <w:rsid w:val="00C979E4"/>
    <w:rsid w:val="00C97BE3"/>
    <w:rsid w:val="00C97FA0"/>
    <w:rsid w:val="00CA0618"/>
    <w:rsid w:val="00CA0C37"/>
    <w:rsid w:val="00CA0D52"/>
    <w:rsid w:val="00CA1000"/>
    <w:rsid w:val="00CA1A26"/>
    <w:rsid w:val="00CA1EBA"/>
    <w:rsid w:val="00CA20BF"/>
    <w:rsid w:val="00CA2649"/>
    <w:rsid w:val="00CA27B9"/>
    <w:rsid w:val="00CA2C01"/>
    <w:rsid w:val="00CA3408"/>
    <w:rsid w:val="00CA37E8"/>
    <w:rsid w:val="00CA3A1B"/>
    <w:rsid w:val="00CA3B8B"/>
    <w:rsid w:val="00CA3C9A"/>
    <w:rsid w:val="00CA43CB"/>
    <w:rsid w:val="00CA47B6"/>
    <w:rsid w:val="00CA52AB"/>
    <w:rsid w:val="00CA530B"/>
    <w:rsid w:val="00CA5AD2"/>
    <w:rsid w:val="00CA5BAE"/>
    <w:rsid w:val="00CA60A5"/>
    <w:rsid w:val="00CA6480"/>
    <w:rsid w:val="00CA6A25"/>
    <w:rsid w:val="00CA6F1C"/>
    <w:rsid w:val="00CA7B93"/>
    <w:rsid w:val="00CB040E"/>
    <w:rsid w:val="00CB071B"/>
    <w:rsid w:val="00CB08DF"/>
    <w:rsid w:val="00CB13BA"/>
    <w:rsid w:val="00CB1C16"/>
    <w:rsid w:val="00CB226B"/>
    <w:rsid w:val="00CB2A43"/>
    <w:rsid w:val="00CB2F6A"/>
    <w:rsid w:val="00CB3377"/>
    <w:rsid w:val="00CB3992"/>
    <w:rsid w:val="00CB4000"/>
    <w:rsid w:val="00CB4192"/>
    <w:rsid w:val="00CB471B"/>
    <w:rsid w:val="00CB4DFD"/>
    <w:rsid w:val="00CB4F27"/>
    <w:rsid w:val="00CB51ED"/>
    <w:rsid w:val="00CB53C4"/>
    <w:rsid w:val="00CB5BF1"/>
    <w:rsid w:val="00CB5C0D"/>
    <w:rsid w:val="00CB5D26"/>
    <w:rsid w:val="00CB6EEC"/>
    <w:rsid w:val="00CB734F"/>
    <w:rsid w:val="00CB7DBF"/>
    <w:rsid w:val="00CC0388"/>
    <w:rsid w:val="00CC07A1"/>
    <w:rsid w:val="00CC11AF"/>
    <w:rsid w:val="00CC150D"/>
    <w:rsid w:val="00CC1821"/>
    <w:rsid w:val="00CC190A"/>
    <w:rsid w:val="00CC1E76"/>
    <w:rsid w:val="00CC1EB8"/>
    <w:rsid w:val="00CC1EE1"/>
    <w:rsid w:val="00CC1F84"/>
    <w:rsid w:val="00CC21AD"/>
    <w:rsid w:val="00CC2339"/>
    <w:rsid w:val="00CC2D6B"/>
    <w:rsid w:val="00CC2E67"/>
    <w:rsid w:val="00CC36C0"/>
    <w:rsid w:val="00CC38D3"/>
    <w:rsid w:val="00CC39AE"/>
    <w:rsid w:val="00CC3C51"/>
    <w:rsid w:val="00CC3D84"/>
    <w:rsid w:val="00CC404B"/>
    <w:rsid w:val="00CC4AB2"/>
    <w:rsid w:val="00CC4C56"/>
    <w:rsid w:val="00CC4E12"/>
    <w:rsid w:val="00CC4E30"/>
    <w:rsid w:val="00CC56BA"/>
    <w:rsid w:val="00CC59D6"/>
    <w:rsid w:val="00CC609F"/>
    <w:rsid w:val="00CC6188"/>
    <w:rsid w:val="00CC61C5"/>
    <w:rsid w:val="00CC6314"/>
    <w:rsid w:val="00CC69D8"/>
    <w:rsid w:val="00CC6A56"/>
    <w:rsid w:val="00CC6B3C"/>
    <w:rsid w:val="00CC6BA0"/>
    <w:rsid w:val="00CC6C10"/>
    <w:rsid w:val="00CC70D6"/>
    <w:rsid w:val="00CC7C06"/>
    <w:rsid w:val="00CD04A1"/>
    <w:rsid w:val="00CD0776"/>
    <w:rsid w:val="00CD0916"/>
    <w:rsid w:val="00CD0C4E"/>
    <w:rsid w:val="00CD0DB7"/>
    <w:rsid w:val="00CD14F7"/>
    <w:rsid w:val="00CD168E"/>
    <w:rsid w:val="00CD17CC"/>
    <w:rsid w:val="00CD1E61"/>
    <w:rsid w:val="00CD21BA"/>
    <w:rsid w:val="00CD24C4"/>
    <w:rsid w:val="00CD2548"/>
    <w:rsid w:val="00CD2A20"/>
    <w:rsid w:val="00CD2CE6"/>
    <w:rsid w:val="00CD3DBD"/>
    <w:rsid w:val="00CD3EED"/>
    <w:rsid w:val="00CD4A3C"/>
    <w:rsid w:val="00CD4ACA"/>
    <w:rsid w:val="00CD5902"/>
    <w:rsid w:val="00CD5A8A"/>
    <w:rsid w:val="00CD5D84"/>
    <w:rsid w:val="00CD67B9"/>
    <w:rsid w:val="00CD6844"/>
    <w:rsid w:val="00CD7094"/>
    <w:rsid w:val="00CD7287"/>
    <w:rsid w:val="00CD74F4"/>
    <w:rsid w:val="00CD7C48"/>
    <w:rsid w:val="00CD7D25"/>
    <w:rsid w:val="00CD7FAC"/>
    <w:rsid w:val="00CE1276"/>
    <w:rsid w:val="00CE1FF3"/>
    <w:rsid w:val="00CE22C7"/>
    <w:rsid w:val="00CE28AC"/>
    <w:rsid w:val="00CE3020"/>
    <w:rsid w:val="00CE384B"/>
    <w:rsid w:val="00CE429C"/>
    <w:rsid w:val="00CE5F77"/>
    <w:rsid w:val="00CE6271"/>
    <w:rsid w:val="00CE636D"/>
    <w:rsid w:val="00CE64A2"/>
    <w:rsid w:val="00CE6AC8"/>
    <w:rsid w:val="00CE6B36"/>
    <w:rsid w:val="00CE6B62"/>
    <w:rsid w:val="00CE6D02"/>
    <w:rsid w:val="00CE6FC5"/>
    <w:rsid w:val="00CE7569"/>
    <w:rsid w:val="00CE79D2"/>
    <w:rsid w:val="00CE7BCE"/>
    <w:rsid w:val="00CF044A"/>
    <w:rsid w:val="00CF08FB"/>
    <w:rsid w:val="00CF0C3D"/>
    <w:rsid w:val="00CF1036"/>
    <w:rsid w:val="00CF108D"/>
    <w:rsid w:val="00CF112E"/>
    <w:rsid w:val="00CF2370"/>
    <w:rsid w:val="00CF2634"/>
    <w:rsid w:val="00CF2B8C"/>
    <w:rsid w:val="00CF2F01"/>
    <w:rsid w:val="00CF33E5"/>
    <w:rsid w:val="00CF348E"/>
    <w:rsid w:val="00CF3A14"/>
    <w:rsid w:val="00CF3B1A"/>
    <w:rsid w:val="00CF3E8C"/>
    <w:rsid w:val="00CF3F09"/>
    <w:rsid w:val="00CF4B28"/>
    <w:rsid w:val="00CF4B4B"/>
    <w:rsid w:val="00CF4B6E"/>
    <w:rsid w:val="00CF5107"/>
    <w:rsid w:val="00CF561F"/>
    <w:rsid w:val="00CF66BC"/>
    <w:rsid w:val="00CF6D5F"/>
    <w:rsid w:val="00CF6EC4"/>
    <w:rsid w:val="00CF71F6"/>
    <w:rsid w:val="00CF7798"/>
    <w:rsid w:val="00CF7F01"/>
    <w:rsid w:val="00CF7FC3"/>
    <w:rsid w:val="00CF7FD3"/>
    <w:rsid w:val="00D00764"/>
    <w:rsid w:val="00D00B11"/>
    <w:rsid w:val="00D00DD1"/>
    <w:rsid w:val="00D0107C"/>
    <w:rsid w:val="00D023BE"/>
    <w:rsid w:val="00D02661"/>
    <w:rsid w:val="00D02B00"/>
    <w:rsid w:val="00D03074"/>
    <w:rsid w:val="00D03414"/>
    <w:rsid w:val="00D036B7"/>
    <w:rsid w:val="00D03B33"/>
    <w:rsid w:val="00D0438A"/>
    <w:rsid w:val="00D0470A"/>
    <w:rsid w:val="00D055F7"/>
    <w:rsid w:val="00D05983"/>
    <w:rsid w:val="00D05B4D"/>
    <w:rsid w:val="00D05FBA"/>
    <w:rsid w:val="00D0636F"/>
    <w:rsid w:val="00D06683"/>
    <w:rsid w:val="00D06EB4"/>
    <w:rsid w:val="00D06EC1"/>
    <w:rsid w:val="00D07413"/>
    <w:rsid w:val="00D078C2"/>
    <w:rsid w:val="00D079AB"/>
    <w:rsid w:val="00D10466"/>
    <w:rsid w:val="00D1057C"/>
    <w:rsid w:val="00D10604"/>
    <w:rsid w:val="00D10772"/>
    <w:rsid w:val="00D10CAE"/>
    <w:rsid w:val="00D11136"/>
    <w:rsid w:val="00D1125B"/>
    <w:rsid w:val="00D11D3F"/>
    <w:rsid w:val="00D11D7B"/>
    <w:rsid w:val="00D120E5"/>
    <w:rsid w:val="00D126B4"/>
    <w:rsid w:val="00D1270A"/>
    <w:rsid w:val="00D127A4"/>
    <w:rsid w:val="00D12A70"/>
    <w:rsid w:val="00D13517"/>
    <w:rsid w:val="00D1373F"/>
    <w:rsid w:val="00D13F90"/>
    <w:rsid w:val="00D14634"/>
    <w:rsid w:val="00D1497C"/>
    <w:rsid w:val="00D14AFF"/>
    <w:rsid w:val="00D14CB9"/>
    <w:rsid w:val="00D1569E"/>
    <w:rsid w:val="00D16C9E"/>
    <w:rsid w:val="00D16F6E"/>
    <w:rsid w:val="00D1755F"/>
    <w:rsid w:val="00D17932"/>
    <w:rsid w:val="00D17AD3"/>
    <w:rsid w:val="00D17E34"/>
    <w:rsid w:val="00D203AD"/>
    <w:rsid w:val="00D205FE"/>
    <w:rsid w:val="00D208C6"/>
    <w:rsid w:val="00D20AAC"/>
    <w:rsid w:val="00D20E72"/>
    <w:rsid w:val="00D2179B"/>
    <w:rsid w:val="00D21B3E"/>
    <w:rsid w:val="00D21D18"/>
    <w:rsid w:val="00D21D7D"/>
    <w:rsid w:val="00D220ED"/>
    <w:rsid w:val="00D22268"/>
    <w:rsid w:val="00D22484"/>
    <w:rsid w:val="00D2256F"/>
    <w:rsid w:val="00D22A55"/>
    <w:rsid w:val="00D23A66"/>
    <w:rsid w:val="00D23C22"/>
    <w:rsid w:val="00D23D33"/>
    <w:rsid w:val="00D23F57"/>
    <w:rsid w:val="00D25175"/>
    <w:rsid w:val="00D25790"/>
    <w:rsid w:val="00D25B76"/>
    <w:rsid w:val="00D2604B"/>
    <w:rsid w:val="00D26BA3"/>
    <w:rsid w:val="00D26BE3"/>
    <w:rsid w:val="00D270CA"/>
    <w:rsid w:val="00D27E7B"/>
    <w:rsid w:val="00D30047"/>
    <w:rsid w:val="00D3048E"/>
    <w:rsid w:val="00D3082E"/>
    <w:rsid w:val="00D3102F"/>
    <w:rsid w:val="00D3113A"/>
    <w:rsid w:val="00D317BF"/>
    <w:rsid w:val="00D32F8C"/>
    <w:rsid w:val="00D33399"/>
    <w:rsid w:val="00D33693"/>
    <w:rsid w:val="00D3396F"/>
    <w:rsid w:val="00D33AAA"/>
    <w:rsid w:val="00D342EC"/>
    <w:rsid w:val="00D3446D"/>
    <w:rsid w:val="00D34529"/>
    <w:rsid w:val="00D3467B"/>
    <w:rsid w:val="00D34948"/>
    <w:rsid w:val="00D34A5A"/>
    <w:rsid w:val="00D34B07"/>
    <w:rsid w:val="00D350E5"/>
    <w:rsid w:val="00D35551"/>
    <w:rsid w:val="00D35FCA"/>
    <w:rsid w:val="00D362CB"/>
    <w:rsid w:val="00D37085"/>
    <w:rsid w:val="00D370E0"/>
    <w:rsid w:val="00D37125"/>
    <w:rsid w:val="00D37634"/>
    <w:rsid w:val="00D37DAB"/>
    <w:rsid w:val="00D41416"/>
    <w:rsid w:val="00D41419"/>
    <w:rsid w:val="00D42AA7"/>
    <w:rsid w:val="00D42C70"/>
    <w:rsid w:val="00D435A4"/>
    <w:rsid w:val="00D43E2F"/>
    <w:rsid w:val="00D443E1"/>
    <w:rsid w:val="00D44624"/>
    <w:rsid w:val="00D446E3"/>
    <w:rsid w:val="00D447F5"/>
    <w:rsid w:val="00D449F0"/>
    <w:rsid w:val="00D44C69"/>
    <w:rsid w:val="00D456A2"/>
    <w:rsid w:val="00D457E5"/>
    <w:rsid w:val="00D461D8"/>
    <w:rsid w:val="00D474FB"/>
    <w:rsid w:val="00D4767A"/>
    <w:rsid w:val="00D47A04"/>
    <w:rsid w:val="00D47EBF"/>
    <w:rsid w:val="00D508D9"/>
    <w:rsid w:val="00D510C1"/>
    <w:rsid w:val="00D51511"/>
    <w:rsid w:val="00D5171F"/>
    <w:rsid w:val="00D517E1"/>
    <w:rsid w:val="00D51805"/>
    <w:rsid w:val="00D518EB"/>
    <w:rsid w:val="00D519E6"/>
    <w:rsid w:val="00D52215"/>
    <w:rsid w:val="00D52758"/>
    <w:rsid w:val="00D52971"/>
    <w:rsid w:val="00D52E44"/>
    <w:rsid w:val="00D531F4"/>
    <w:rsid w:val="00D534CB"/>
    <w:rsid w:val="00D53DED"/>
    <w:rsid w:val="00D5447A"/>
    <w:rsid w:val="00D54A97"/>
    <w:rsid w:val="00D54DB3"/>
    <w:rsid w:val="00D54DE9"/>
    <w:rsid w:val="00D54E79"/>
    <w:rsid w:val="00D553E4"/>
    <w:rsid w:val="00D55596"/>
    <w:rsid w:val="00D55AE5"/>
    <w:rsid w:val="00D56382"/>
    <w:rsid w:val="00D569D6"/>
    <w:rsid w:val="00D56F1E"/>
    <w:rsid w:val="00D572D8"/>
    <w:rsid w:val="00D573C7"/>
    <w:rsid w:val="00D60465"/>
    <w:rsid w:val="00D605CC"/>
    <w:rsid w:val="00D60702"/>
    <w:rsid w:val="00D6083B"/>
    <w:rsid w:val="00D60B26"/>
    <w:rsid w:val="00D60B92"/>
    <w:rsid w:val="00D60D6D"/>
    <w:rsid w:val="00D6122F"/>
    <w:rsid w:val="00D6171C"/>
    <w:rsid w:val="00D61B19"/>
    <w:rsid w:val="00D61D0F"/>
    <w:rsid w:val="00D61D42"/>
    <w:rsid w:val="00D622EB"/>
    <w:rsid w:val="00D627B1"/>
    <w:rsid w:val="00D6371F"/>
    <w:rsid w:val="00D637FD"/>
    <w:rsid w:val="00D63E13"/>
    <w:rsid w:val="00D648E6"/>
    <w:rsid w:val="00D64D24"/>
    <w:rsid w:val="00D65333"/>
    <w:rsid w:val="00D667EA"/>
    <w:rsid w:val="00D66A6B"/>
    <w:rsid w:val="00D66E4A"/>
    <w:rsid w:val="00D676E0"/>
    <w:rsid w:val="00D67CC4"/>
    <w:rsid w:val="00D70284"/>
    <w:rsid w:val="00D704F7"/>
    <w:rsid w:val="00D70625"/>
    <w:rsid w:val="00D707C2"/>
    <w:rsid w:val="00D70958"/>
    <w:rsid w:val="00D70967"/>
    <w:rsid w:val="00D70AAE"/>
    <w:rsid w:val="00D710A3"/>
    <w:rsid w:val="00D715CC"/>
    <w:rsid w:val="00D7164C"/>
    <w:rsid w:val="00D718CE"/>
    <w:rsid w:val="00D71A35"/>
    <w:rsid w:val="00D71E6B"/>
    <w:rsid w:val="00D7202C"/>
    <w:rsid w:val="00D72118"/>
    <w:rsid w:val="00D7270A"/>
    <w:rsid w:val="00D7327B"/>
    <w:rsid w:val="00D73459"/>
    <w:rsid w:val="00D735D4"/>
    <w:rsid w:val="00D73852"/>
    <w:rsid w:val="00D7430C"/>
    <w:rsid w:val="00D744D4"/>
    <w:rsid w:val="00D7452A"/>
    <w:rsid w:val="00D749D1"/>
    <w:rsid w:val="00D74C25"/>
    <w:rsid w:val="00D74C65"/>
    <w:rsid w:val="00D74E2A"/>
    <w:rsid w:val="00D75423"/>
    <w:rsid w:val="00D75B72"/>
    <w:rsid w:val="00D75F96"/>
    <w:rsid w:val="00D76419"/>
    <w:rsid w:val="00D7718E"/>
    <w:rsid w:val="00D801B8"/>
    <w:rsid w:val="00D8049A"/>
    <w:rsid w:val="00D81296"/>
    <w:rsid w:val="00D817D9"/>
    <w:rsid w:val="00D81EFB"/>
    <w:rsid w:val="00D81F3F"/>
    <w:rsid w:val="00D8205C"/>
    <w:rsid w:val="00D82312"/>
    <w:rsid w:val="00D829B5"/>
    <w:rsid w:val="00D8313F"/>
    <w:rsid w:val="00D83282"/>
    <w:rsid w:val="00D83AA1"/>
    <w:rsid w:val="00D83FA5"/>
    <w:rsid w:val="00D8408E"/>
    <w:rsid w:val="00D841BA"/>
    <w:rsid w:val="00D8488E"/>
    <w:rsid w:val="00D8491B"/>
    <w:rsid w:val="00D84EC9"/>
    <w:rsid w:val="00D8518F"/>
    <w:rsid w:val="00D85206"/>
    <w:rsid w:val="00D85B67"/>
    <w:rsid w:val="00D85D1E"/>
    <w:rsid w:val="00D85D28"/>
    <w:rsid w:val="00D86214"/>
    <w:rsid w:val="00D86404"/>
    <w:rsid w:val="00D86582"/>
    <w:rsid w:val="00D86617"/>
    <w:rsid w:val="00D86C17"/>
    <w:rsid w:val="00D86CA4"/>
    <w:rsid w:val="00D86CEC"/>
    <w:rsid w:val="00D86EA0"/>
    <w:rsid w:val="00D8730D"/>
    <w:rsid w:val="00D873FF"/>
    <w:rsid w:val="00D900FC"/>
    <w:rsid w:val="00D90207"/>
    <w:rsid w:val="00D9021D"/>
    <w:rsid w:val="00D90C2F"/>
    <w:rsid w:val="00D90D0C"/>
    <w:rsid w:val="00D90FC3"/>
    <w:rsid w:val="00D9110C"/>
    <w:rsid w:val="00D913A6"/>
    <w:rsid w:val="00D915AB"/>
    <w:rsid w:val="00D92B52"/>
    <w:rsid w:val="00D92DA4"/>
    <w:rsid w:val="00D92DFA"/>
    <w:rsid w:val="00D9362A"/>
    <w:rsid w:val="00D93D69"/>
    <w:rsid w:val="00D94294"/>
    <w:rsid w:val="00D94B31"/>
    <w:rsid w:val="00D94B54"/>
    <w:rsid w:val="00D94E0F"/>
    <w:rsid w:val="00D95054"/>
    <w:rsid w:val="00D9576F"/>
    <w:rsid w:val="00D957DF"/>
    <w:rsid w:val="00D95F68"/>
    <w:rsid w:val="00D964A0"/>
    <w:rsid w:val="00D96B13"/>
    <w:rsid w:val="00D96C24"/>
    <w:rsid w:val="00D972AD"/>
    <w:rsid w:val="00D975D7"/>
    <w:rsid w:val="00D97C23"/>
    <w:rsid w:val="00D97E4E"/>
    <w:rsid w:val="00D97F3C"/>
    <w:rsid w:val="00DA0254"/>
    <w:rsid w:val="00DA02DE"/>
    <w:rsid w:val="00DA0548"/>
    <w:rsid w:val="00DA08CB"/>
    <w:rsid w:val="00DA1AEE"/>
    <w:rsid w:val="00DA1D8B"/>
    <w:rsid w:val="00DA24D5"/>
    <w:rsid w:val="00DA2843"/>
    <w:rsid w:val="00DA28BD"/>
    <w:rsid w:val="00DA2FA7"/>
    <w:rsid w:val="00DA315D"/>
    <w:rsid w:val="00DA3495"/>
    <w:rsid w:val="00DA34C9"/>
    <w:rsid w:val="00DA3587"/>
    <w:rsid w:val="00DA440B"/>
    <w:rsid w:val="00DA48FE"/>
    <w:rsid w:val="00DA4B4E"/>
    <w:rsid w:val="00DA4E08"/>
    <w:rsid w:val="00DA4F69"/>
    <w:rsid w:val="00DA53FE"/>
    <w:rsid w:val="00DA5DCB"/>
    <w:rsid w:val="00DA5F6E"/>
    <w:rsid w:val="00DA628B"/>
    <w:rsid w:val="00DA62DB"/>
    <w:rsid w:val="00DA697D"/>
    <w:rsid w:val="00DA6E65"/>
    <w:rsid w:val="00DA7164"/>
    <w:rsid w:val="00DA757A"/>
    <w:rsid w:val="00DA77C8"/>
    <w:rsid w:val="00DB0436"/>
    <w:rsid w:val="00DB0B86"/>
    <w:rsid w:val="00DB0D52"/>
    <w:rsid w:val="00DB18A8"/>
    <w:rsid w:val="00DB1BF1"/>
    <w:rsid w:val="00DB25BF"/>
    <w:rsid w:val="00DB2A2C"/>
    <w:rsid w:val="00DB2E80"/>
    <w:rsid w:val="00DB35B1"/>
    <w:rsid w:val="00DB3E5C"/>
    <w:rsid w:val="00DB44A3"/>
    <w:rsid w:val="00DB54DE"/>
    <w:rsid w:val="00DB60D8"/>
    <w:rsid w:val="00DB68BB"/>
    <w:rsid w:val="00DB6EC1"/>
    <w:rsid w:val="00DB7261"/>
    <w:rsid w:val="00DB7805"/>
    <w:rsid w:val="00DB7DDC"/>
    <w:rsid w:val="00DC00D7"/>
    <w:rsid w:val="00DC0ABD"/>
    <w:rsid w:val="00DC0C5A"/>
    <w:rsid w:val="00DC1150"/>
    <w:rsid w:val="00DC1718"/>
    <w:rsid w:val="00DC19CF"/>
    <w:rsid w:val="00DC1C94"/>
    <w:rsid w:val="00DC1DAE"/>
    <w:rsid w:val="00DC1F28"/>
    <w:rsid w:val="00DC23D6"/>
    <w:rsid w:val="00DC250E"/>
    <w:rsid w:val="00DC2722"/>
    <w:rsid w:val="00DC2FA3"/>
    <w:rsid w:val="00DC3333"/>
    <w:rsid w:val="00DC3558"/>
    <w:rsid w:val="00DC3628"/>
    <w:rsid w:val="00DC3E99"/>
    <w:rsid w:val="00DC4005"/>
    <w:rsid w:val="00DC4705"/>
    <w:rsid w:val="00DC4881"/>
    <w:rsid w:val="00DC4D6E"/>
    <w:rsid w:val="00DC4DFB"/>
    <w:rsid w:val="00DC5091"/>
    <w:rsid w:val="00DC522D"/>
    <w:rsid w:val="00DC5864"/>
    <w:rsid w:val="00DC5BB6"/>
    <w:rsid w:val="00DC5C63"/>
    <w:rsid w:val="00DC62C6"/>
    <w:rsid w:val="00DC63F6"/>
    <w:rsid w:val="00DC6833"/>
    <w:rsid w:val="00DC6D5C"/>
    <w:rsid w:val="00DC70A6"/>
    <w:rsid w:val="00DC7AA7"/>
    <w:rsid w:val="00DC7C0A"/>
    <w:rsid w:val="00DC7D1D"/>
    <w:rsid w:val="00DC7DF3"/>
    <w:rsid w:val="00DD0057"/>
    <w:rsid w:val="00DD0198"/>
    <w:rsid w:val="00DD0347"/>
    <w:rsid w:val="00DD043A"/>
    <w:rsid w:val="00DD051B"/>
    <w:rsid w:val="00DD05B7"/>
    <w:rsid w:val="00DD07B4"/>
    <w:rsid w:val="00DD07D6"/>
    <w:rsid w:val="00DD1B98"/>
    <w:rsid w:val="00DD1CBA"/>
    <w:rsid w:val="00DD1E75"/>
    <w:rsid w:val="00DD2576"/>
    <w:rsid w:val="00DD260E"/>
    <w:rsid w:val="00DD2825"/>
    <w:rsid w:val="00DD34D2"/>
    <w:rsid w:val="00DD4106"/>
    <w:rsid w:val="00DD4658"/>
    <w:rsid w:val="00DD4878"/>
    <w:rsid w:val="00DD4988"/>
    <w:rsid w:val="00DD4B08"/>
    <w:rsid w:val="00DD4DF5"/>
    <w:rsid w:val="00DD568F"/>
    <w:rsid w:val="00DD607F"/>
    <w:rsid w:val="00DD617E"/>
    <w:rsid w:val="00DD62AC"/>
    <w:rsid w:val="00DD6A88"/>
    <w:rsid w:val="00DD7479"/>
    <w:rsid w:val="00DD7D3E"/>
    <w:rsid w:val="00DD7DAA"/>
    <w:rsid w:val="00DD7F34"/>
    <w:rsid w:val="00DE0A2F"/>
    <w:rsid w:val="00DE0F45"/>
    <w:rsid w:val="00DE0F5B"/>
    <w:rsid w:val="00DE10F9"/>
    <w:rsid w:val="00DE1526"/>
    <w:rsid w:val="00DE1963"/>
    <w:rsid w:val="00DE1A79"/>
    <w:rsid w:val="00DE1FD3"/>
    <w:rsid w:val="00DE23A3"/>
    <w:rsid w:val="00DE249C"/>
    <w:rsid w:val="00DE290D"/>
    <w:rsid w:val="00DE30B1"/>
    <w:rsid w:val="00DE3B51"/>
    <w:rsid w:val="00DE3B63"/>
    <w:rsid w:val="00DE3B73"/>
    <w:rsid w:val="00DE3B8B"/>
    <w:rsid w:val="00DE3BF7"/>
    <w:rsid w:val="00DE475B"/>
    <w:rsid w:val="00DE4927"/>
    <w:rsid w:val="00DE52B4"/>
    <w:rsid w:val="00DE5687"/>
    <w:rsid w:val="00DE5B38"/>
    <w:rsid w:val="00DE5DC7"/>
    <w:rsid w:val="00DE662C"/>
    <w:rsid w:val="00DE6681"/>
    <w:rsid w:val="00DE6BA8"/>
    <w:rsid w:val="00DE6D46"/>
    <w:rsid w:val="00DE71BF"/>
    <w:rsid w:val="00DE7461"/>
    <w:rsid w:val="00DE7592"/>
    <w:rsid w:val="00DE7E15"/>
    <w:rsid w:val="00DF05B0"/>
    <w:rsid w:val="00DF0ADF"/>
    <w:rsid w:val="00DF0B5E"/>
    <w:rsid w:val="00DF111D"/>
    <w:rsid w:val="00DF13FE"/>
    <w:rsid w:val="00DF16C5"/>
    <w:rsid w:val="00DF1945"/>
    <w:rsid w:val="00DF19D9"/>
    <w:rsid w:val="00DF1C2B"/>
    <w:rsid w:val="00DF21BD"/>
    <w:rsid w:val="00DF2895"/>
    <w:rsid w:val="00DF3217"/>
    <w:rsid w:val="00DF38EC"/>
    <w:rsid w:val="00DF47BE"/>
    <w:rsid w:val="00DF47E2"/>
    <w:rsid w:val="00DF51CD"/>
    <w:rsid w:val="00DF5A62"/>
    <w:rsid w:val="00DF620A"/>
    <w:rsid w:val="00DF6502"/>
    <w:rsid w:val="00DF675E"/>
    <w:rsid w:val="00DF6FF1"/>
    <w:rsid w:val="00DF72F1"/>
    <w:rsid w:val="00DF7656"/>
    <w:rsid w:val="00DF7855"/>
    <w:rsid w:val="00DF78DA"/>
    <w:rsid w:val="00DF7A27"/>
    <w:rsid w:val="00E00E96"/>
    <w:rsid w:val="00E025F4"/>
    <w:rsid w:val="00E026A9"/>
    <w:rsid w:val="00E02965"/>
    <w:rsid w:val="00E02F35"/>
    <w:rsid w:val="00E041A4"/>
    <w:rsid w:val="00E0456C"/>
    <w:rsid w:val="00E04F7A"/>
    <w:rsid w:val="00E055D1"/>
    <w:rsid w:val="00E05EAD"/>
    <w:rsid w:val="00E06353"/>
    <w:rsid w:val="00E06984"/>
    <w:rsid w:val="00E06E4F"/>
    <w:rsid w:val="00E0702E"/>
    <w:rsid w:val="00E07A34"/>
    <w:rsid w:val="00E103B7"/>
    <w:rsid w:val="00E10829"/>
    <w:rsid w:val="00E11027"/>
    <w:rsid w:val="00E11393"/>
    <w:rsid w:val="00E1162D"/>
    <w:rsid w:val="00E11AA3"/>
    <w:rsid w:val="00E12413"/>
    <w:rsid w:val="00E12700"/>
    <w:rsid w:val="00E12DE8"/>
    <w:rsid w:val="00E13493"/>
    <w:rsid w:val="00E13880"/>
    <w:rsid w:val="00E13D08"/>
    <w:rsid w:val="00E13DD7"/>
    <w:rsid w:val="00E14659"/>
    <w:rsid w:val="00E14963"/>
    <w:rsid w:val="00E14B49"/>
    <w:rsid w:val="00E14F8E"/>
    <w:rsid w:val="00E1599D"/>
    <w:rsid w:val="00E16020"/>
    <w:rsid w:val="00E16902"/>
    <w:rsid w:val="00E16B1B"/>
    <w:rsid w:val="00E17211"/>
    <w:rsid w:val="00E173F4"/>
    <w:rsid w:val="00E1745A"/>
    <w:rsid w:val="00E17D8B"/>
    <w:rsid w:val="00E20731"/>
    <w:rsid w:val="00E2099C"/>
    <w:rsid w:val="00E212A8"/>
    <w:rsid w:val="00E215F6"/>
    <w:rsid w:val="00E2181E"/>
    <w:rsid w:val="00E21C1C"/>
    <w:rsid w:val="00E21D61"/>
    <w:rsid w:val="00E227DD"/>
    <w:rsid w:val="00E228BF"/>
    <w:rsid w:val="00E23135"/>
    <w:rsid w:val="00E233B8"/>
    <w:rsid w:val="00E23482"/>
    <w:rsid w:val="00E236D2"/>
    <w:rsid w:val="00E24B11"/>
    <w:rsid w:val="00E24D01"/>
    <w:rsid w:val="00E256DD"/>
    <w:rsid w:val="00E25846"/>
    <w:rsid w:val="00E25947"/>
    <w:rsid w:val="00E26615"/>
    <w:rsid w:val="00E26738"/>
    <w:rsid w:val="00E26998"/>
    <w:rsid w:val="00E26DF9"/>
    <w:rsid w:val="00E26FA8"/>
    <w:rsid w:val="00E27019"/>
    <w:rsid w:val="00E27C12"/>
    <w:rsid w:val="00E27F80"/>
    <w:rsid w:val="00E303DE"/>
    <w:rsid w:val="00E3041D"/>
    <w:rsid w:val="00E30638"/>
    <w:rsid w:val="00E30A32"/>
    <w:rsid w:val="00E30C0A"/>
    <w:rsid w:val="00E30C0E"/>
    <w:rsid w:val="00E30E3C"/>
    <w:rsid w:val="00E30FAF"/>
    <w:rsid w:val="00E30FCC"/>
    <w:rsid w:val="00E312D2"/>
    <w:rsid w:val="00E3185B"/>
    <w:rsid w:val="00E318EA"/>
    <w:rsid w:val="00E31B66"/>
    <w:rsid w:val="00E31E77"/>
    <w:rsid w:val="00E31EB6"/>
    <w:rsid w:val="00E32A5F"/>
    <w:rsid w:val="00E3346E"/>
    <w:rsid w:val="00E33DB7"/>
    <w:rsid w:val="00E3408F"/>
    <w:rsid w:val="00E341EF"/>
    <w:rsid w:val="00E34462"/>
    <w:rsid w:val="00E347F0"/>
    <w:rsid w:val="00E34B42"/>
    <w:rsid w:val="00E34D90"/>
    <w:rsid w:val="00E34E66"/>
    <w:rsid w:val="00E35470"/>
    <w:rsid w:val="00E35473"/>
    <w:rsid w:val="00E35717"/>
    <w:rsid w:val="00E35E37"/>
    <w:rsid w:val="00E36385"/>
    <w:rsid w:val="00E3647E"/>
    <w:rsid w:val="00E37708"/>
    <w:rsid w:val="00E37BDA"/>
    <w:rsid w:val="00E401A1"/>
    <w:rsid w:val="00E404F8"/>
    <w:rsid w:val="00E406AD"/>
    <w:rsid w:val="00E40850"/>
    <w:rsid w:val="00E40CDB"/>
    <w:rsid w:val="00E40D32"/>
    <w:rsid w:val="00E412C4"/>
    <w:rsid w:val="00E4136A"/>
    <w:rsid w:val="00E4191C"/>
    <w:rsid w:val="00E41C29"/>
    <w:rsid w:val="00E41FA8"/>
    <w:rsid w:val="00E4225F"/>
    <w:rsid w:val="00E42EC5"/>
    <w:rsid w:val="00E42F39"/>
    <w:rsid w:val="00E43FB7"/>
    <w:rsid w:val="00E44C10"/>
    <w:rsid w:val="00E452E6"/>
    <w:rsid w:val="00E4585B"/>
    <w:rsid w:val="00E45CA4"/>
    <w:rsid w:val="00E461C2"/>
    <w:rsid w:val="00E46A9F"/>
    <w:rsid w:val="00E475E9"/>
    <w:rsid w:val="00E505D9"/>
    <w:rsid w:val="00E514C5"/>
    <w:rsid w:val="00E52A71"/>
    <w:rsid w:val="00E52B85"/>
    <w:rsid w:val="00E5311C"/>
    <w:rsid w:val="00E5337F"/>
    <w:rsid w:val="00E53467"/>
    <w:rsid w:val="00E53B89"/>
    <w:rsid w:val="00E53E5A"/>
    <w:rsid w:val="00E53F01"/>
    <w:rsid w:val="00E5459C"/>
    <w:rsid w:val="00E54614"/>
    <w:rsid w:val="00E54811"/>
    <w:rsid w:val="00E54897"/>
    <w:rsid w:val="00E54F8F"/>
    <w:rsid w:val="00E553E6"/>
    <w:rsid w:val="00E55725"/>
    <w:rsid w:val="00E55BFC"/>
    <w:rsid w:val="00E56465"/>
    <w:rsid w:val="00E5650C"/>
    <w:rsid w:val="00E56513"/>
    <w:rsid w:val="00E56C6E"/>
    <w:rsid w:val="00E57268"/>
    <w:rsid w:val="00E57690"/>
    <w:rsid w:val="00E577B9"/>
    <w:rsid w:val="00E60721"/>
    <w:rsid w:val="00E60850"/>
    <w:rsid w:val="00E60965"/>
    <w:rsid w:val="00E60EF8"/>
    <w:rsid w:val="00E60F92"/>
    <w:rsid w:val="00E61242"/>
    <w:rsid w:val="00E61329"/>
    <w:rsid w:val="00E61461"/>
    <w:rsid w:val="00E61CB1"/>
    <w:rsid w:val="00E62364"/>
    <w:rsid w:val="00E62785"/>
    <w:rsid w:val="00E62AD5"/>
    <w:rsid w:val="00E630D8"/>
    <w:rsid w:val="00E630DA"/>
    <w:rsid w:val="00E638F3"/>
    <w:rsid w:val="00E6575F"/>
    <w:rsid w:val="00E658C9"/>
    <w:rsid w:val="00E66288"/>
    <w:rsid w:val="00E66F7E"/>
    <w:rsid w:val="00E671AE"/>
    <w:rsid w:val="00E6763C"/>
    <w:rsid w:val="00E67790"/>
    <w:rsid w:val="00E677F7"/>
    <w:rsid w:val="00E67B54"/>
    <w:rsid w:val="00E67FE2"/>
    <w:rsid w:val="00E70D61"/>
    <w:rsid w:val="00E714BA"/>
    <w:rsid w:val="00E71D5C"/>
    <w:rsid w:val="00E71D60"/>
    <w:rsid w:val="00E71EBB"/>
    <w:rsid w:val="00E71F56"/>
    <w:rsid w:val="00E72A3E"/>
    <w:rsid w:val="00E72CD9"/>
    <w:rsid w:val="00E73657"/>
    <w:rsid w:val="00E73B43"/>
    <w:rsid w:val="00E74805"/>
    <w:rsid w:val="00E74BAD"/>
    <w:rsid w:val="00E74D35"/>
    <w:rsid w:val="00E753F4"/>
    <w:rsid w:val="00E758A2"/>
    <w:rsid w:val="00E7624B"/>
    <w:rsid w:val="00E76401"/>
    <w:rsid w:val="00E76671"/>
    <w:rsid w:val="00E774CB"/>
    <w:rsid w:val="00E77575"/>
    <w:rsid w:val="00E77992"/>
    <w:rsid w:val="00E77C31"/>
    <w:rsid w:val="00E803D5"/>
    <w:rsid w:val="00E80B76"/>
    <w:rsid w:val="00E80EAD"/>
    <w:rsid w:val="00E8119C"/>
    <w:rsid w:val="00E81890"/>
    <w:rsid w:val="00E82125"/>
    <w:rsid w:val="00E828E1"/>
    <w:rsid w:val="00E82DF1"/>
    <w:rsid w:val="00E83120"/>
    <w:rsid w:val="00E83380"/>
    <w:rsid w:val="00E83596"/>
    <w:rsid w:val="00E835D8"/>
    <w:rsid w:val="00E835F8"/>
    <w:rsid w:val="00E842AD"/>
    <w:rsid w:val="00E8438B"/>
    <w:rsid w:val="00E8468D"/>
    <w:rsid w:val="00E847F7"/>
    <w:rsid w:val="00E84917"/>
    <w:rsid w:val="00E849E5"/>
    <w:rsid w:val="00E84E2D"/>
    <w:rsid w:val="00E84E2F"/>
    <w:rsid w:val="00E84E35"/>
    <w:rsid w:val="00E8508C"/>
    <w:rsid w:val="00E85497"/>
    <w:rsid w:val="00E8570E"/>
    <w:rsid w:val="00E85B93"/>
    <w:rsid w:val="00E8629F"/>
    <w:rsid w:val="00E86912"/>
    <w:rsid w:val="00E86A19"/>
    <w:rsid w:val="00E86B50"/>
    <w:rsid w:val="00E86B7E"/>
    <w:rsid w:val="00E8722D"/>
    <w:rsid w:val="00E877B4"/>
    <w:rsid w:val="00E877BC"/>
    <w:rsid w:val="00E87ADF"/>
    <w:rsid w:val="00E90677"/>
    <w:rsid w:val="00E90F75"/>
    <w:rsid w:val="00E917F4"/>
    <w:rsid w:val="00E91A4B"/>
    <w:rsid w:val="00E91BD2"/>
    <w:rsid w:val="00E91E43"/>
    <w:rsid w:val="00E92195"/>
    <w:rsid w:val="00E92D11"/>
    <w:rsid w:val="00E92E46"/>
    <w:rsid w:val="00E930B0"/>
    <w:rsid w:val="00E93EBE"/>
    <w:rsid w:val="00E9488A"/>
    <w:rsid w:val="00E956BB"/>
    <w:rsid w:val="00E95869"/>
    <w:rsid w:val="00E95A9A"/>
    <w:rsid w:val="00E96723"/>
    <w:rsid w:val="00E96DC4"/>
    <w:rsid w:val="00E979FC"/>
    <w:rsid w:val="00E97AEA"/>
    <w:rsid w:val="00EA0DEF"/>
    <w:rsid w:val="00EA0E4D"/>
    <w:rsid w:val="00EA1B80"/>
    <w:rsid w:val="00EA213E"/>
    <w:rsid w:val="00EA21C7"/>
    <w:rsid w:val="00EA24B6"/>
    <w:rsid w:val="00EA30D9"/>
    <w:rsid w:val="00EA38BE"/>
    <w:rsid w:val="00EA3D40"/>
    <w:rsid w:val="00EA3E09"/>
    <w:rsid w:val="00EA3F6E"/>
    <w:rsid w:val="00EA4BF0"/>
    <w:rsid w:val="00EA4D6F"/>
    <w:rsid w:val="00EA4FE9"/>
    <w:rsid w:val="00EA55C8"/>
    <w:rsid w:val="00EA5AC5"/>
    <w:rsid w:val="00EA5BAA"/>
    <w:rsid w:val="00EA5FDD"/>
    <w:rsid w:val="00EA6051"/>
    <w:rsid w:val="00EA6CF5"/>
    <w:rsid w:val="00EA729C"/>
    <w:rsid w:val="00EA76E8"/>
    <w:rsid w:val="00EA7C0B"/>
    <w:rsid w:val="00EB00C6"/>
    <w:rsid w:val="00EB04AC"/>
    <w:rsid w:val="00EB0927"/>
    <w:rsid w:val="00EB106F"/>
    <w:rsid w:val="00EB11AF"/>
    <w:rsid w:val="00EB1235"/>
    <w:rsid w:val="00EB172D"/>
    <w:rsid w:val="00EB239D"/>
    <w:rsid w:val="00EB2703"/>
    <w:rsid w:val="00EB29FC"/>
    <w:rsid w:val="00EB2E87"/>
    <w:rsid w:val="00EB2E8E"/>
    <w:rsid w:val="00EB30CD"/>
    <w:rsid w:val="00EB3865"/>
    <w:rsid w:val="00EB3B81"/>
    <w:rsid w:val="00EB3FF9"/>
    <w:rsid w:val="00EB424C"/>
    <w:rsid w:val="00EB4326"/>
    <w:rsid w:val="00EB48A6"/>
    <w:rsid w:val="00EB4EEE"/>
    <w:rsid w:val="00EB5213"/>
    <w:rsid w:val="00EB55CF"/>
    <w:rsid w:val="00EB5B73"/>
    <w:rsid w:val="00EB62B4"/>
    <w:rsid w:val="00EB6A1E"/>
    <w:rsid w:val="00EB6D8E"/>
    <w:rsid w:val="00EC049B"/>
    <w:rsid w:val="00EC05C4"/>
    <w:rsid w:val="00EC0F52"/>
    <w:rsid w:val="00EC14EE"/>
    <w:rsid w:val="00EC1534"/>
    <w:rsid w:val="00EC270A"/>
    <w:rsid w:val="00EC2957"/>
    <w:rsid w:val="00EC2B86"/>
    <w:rsid w:val="00EC3609"/>
    <w:rsid w:val="00EC3B08"/>
    <w:rsid w:val="00EC42C9"/>
    <w:rsid w:val="00EC470D"/>
    <w:rsid w:val="00EC4728"/>
    <w:rsid w:val="00EC503D"/>
    <w:rsid w:val="00EC5051"/>
    <w:rsid w:val="00EC5B53"/>
    <w:rsid w:val="00EC6130"/>
    <w:rsid w:val="00EC6648"/>
    <w:rsid w:val="00EC69FD"/>
    <w:rsid w:val="00EC79FA"/>
    <w:rsid w:val="00ED03B5"/>
    <w:rsid w:val="00ED094E"/>
    <w:rsid w:val="00ED0CC8"/>
    <w:rsid w:val="00ED0D71"/>
    <w:rsid w:val="00ED0E27"/>
    <w:rsid w:val="00ED0FEC"/>
    <w:rsid w:val="00ED1188"/>
    <w:rsid w:val="00ED13C4"/>
    <w:rsid w:val="00ED14D0"/>
    <w:rsid w:val="00ED18F4"/>
    <w:rsid w:val="00ED1B25"/>
    <w:rsid w:val="00ED257E"/>
    <w:rsid w:val="00ED2DAE"/>
    <w:rsid w:val="00ED3057"/>
    <w:rsid w:val="00ED31F4"/>
    <w:rsid w:val="00ED3414"/>
    <w:rsid w:val="00ED3A8E"/>
    <w:rsid w:val="00ED4195"/>
    <w:rsid w:val="00ED440E"/>
    <w:rsid w:val="00ED444F"/>
    <w:rsid w:val="00ED44B2"/>
    <w:rsid w:val="00ED51E2"/>
    <w:rsid w:val="00ED57A8"/>
    <w:rsid w:val="00ED5BCE"/>
    <w:rsid w:val="00ED5EDC"/>
    <w:rsid w:val="00ED6354"/>
    <w:rsid w:val="00ED69F0"/>
    <w:rsid w:val="00ED6BBC"/>
    <w:rsid w:val="00ED6FEF"/>
    <w:rsid w:val="00ED7085"/>
    <w:rsid w:val="00ED708D"/>
    <w:rsid w:val="00ED70C5"/>
    <w:rsid w:val="00ED71B1"/>
    <w:rsid w:val="00ED7747"/>
    <w:rsid w:val="00ED7A4C"/>
    <w:rsid w:val="00ED7CFD"/>
    <w:rsid w:val="00EE05B4"/>
    <w:rsid w:val="00EE156F"/>
    <w:rsid w:val="00EE1813"/>
    <w:rsid w:val="00EE1A65"/>
    <w:rsid w:val="00EE1B0C"/>
    <w:rsid w:val="00EE232C"/>
    <w:rsid w:val="00EE247B"/>
    <w:rsid w:val="00EE2919"/>
    <w:rsid w:val="00EE2D63"/>
    <w:rsid w:val="00EE3340"/>
    <w:rsid w:val="00EE426B"/>
    <w:rsid w:val="00EE436E"/>
    <w:rsid w:val="00EE43D1"/>
    <w:rsid w:val="00EE4D90"/>
    <w:rsid w:val="00EE5091"/>
    <w:rsid w:val="00EE5824"/>
    <w:rsid w:val="00EE5AA5"/>
    <w:rsid w:val="00EE5E54"/>
    <w:rsid w:val="00EE5F5D"/>
    <w:rsid w:val="00EE6C5F"/>
    <w:rsid w:val="00EE747E"/>
    <w:rsid w:val="00EE7AEA"/>
    <w:rsid w:val="00EE7E69"/>
    <w:rsid w:val="00EF025D"/>
    <w:rsid w:val="00EF08F9"/>
    <w:rsid w:val="00EF0998"/>
    <w:rsid w:val="00EF122E"/>
    <w:rsid w:val="00EF198D"/>
    <w:rsid w:val="00EF1A7E"/>
    <w:rsid w:val="00EF2202"/>
    <w:rsid w:val="00EF2325"/>
    <w:rsid w:val="00EF285D"/>
    <w:rsid w:val="00EF2E35"/>
    <w:rsid w:val="00EF2F8A"/>
    <w:rsid w:val="00EF3293"/>
    <w:rsid w:val="00EF381A"/>
    <w:rsid w:val="00EF3B7E"/>
    <w:rsid w:val="00EF41A7"/>
    <w:rsid w:val="00EF4DE6"/>
    <w:rsid w:val="00EF5122"/>
    <w:rsid w:val="00EF543D"/>
    <w:rsid w:val="00EF54B1"/>
    <w:rsid w:val="00EF59AC"/>
    <w:rsid w:val="00EF6411"/>
    <w:rsid w:val="00EF641A"/>
    <w:rsid w:val="00EF6E21"/>
    <w:rsid w:val="00EF7262"/>
    <w:rsid w:val="00EF762E"/>
    <w:rsid w:val="00EF7E4F"/>
    <w:rsid w:val="00F0021D"/>
    <w:rsid w:val="00F009DF"/>
    <w:rsid w:val="00F00A32"/>
    <w:rsid w:val="00F00DAD"/>
    <w:rsid w:val="00F01069"/>
    <w:rsid w:val="00F013A2"/>
    <w:rsid w:val="00F0196A"/>
    <w:rsid w:val="00F02212"/>
    <w:rsid w:val="00F0258B"/>
    <w:rsid w:val="00F02CF0"/>
    <w:rsid w:val="00F030AC"/>
    <w:rsid w:val="00F0367F"/>
    <w:rsid w:val="00F036ED"/>
    <w:rsid w:val="00F0429B"/>
    <w:rsid w:val="00F04A5B"/>
    <w:rsid w:val="00F05439"/>
    <w:rsid w:val="00F058DA"/>
    <w:rsid w:val="00F05EB9"/>
    <w:rsid w:val="00F065F1"/>
    <w:rsid w:val="00F0660C"/>
    <w:rsid w:val="00F07071"/>
    <w:rsid w:val="00F076C0"/>
    <w:rsid w:val="00F07708"/>
    <w:rsid w:val="00F07865"/>
    <w:rsid w:val="00F079FE"/>
    <w:rsid w:val="00F07CC4"/>
    <w:rsid w:val="00F07EC0"/>
    <w:rsid w:val="00F104C5"/>
    <w:rsid w:val="00F1099B"/>
    <w:rsid w:val="00F109BA"/>
    <w:rsid w:val="00F1146B"/>
    <w:rsid w:val="00F11763"/>
    <w:rsid w:val="00F118A3"/>
    <w:rsid w:val="00F11AA1"/>
    <w:rsid w:val="00F12197"/>
    <w:rsid w:val="00F12A59"/>
    <w:rsid w:val="00F12B67"/>
    <w:rsid w:val="00F12E0B"/>
    <w:rsid w:val="00F1341E"/>
    <w:rsid w:val="00F13A92"/>
    <w:rsid w:val="00F13B9D"/>
    <w:rsid w:val="00F13CA5"/>
    <w:rsid w:val="00F145B7"/>
    <w:rsid w:val="00F1483E"/>
    <w:rsid w:val="00F14D6D"/>
    <w:rsid w:val="00F154A0"/>
    <w:rsid w:val="00F15D0C"/>
    <w:rsid w:val="00F15DFB"/>
    <w:rsid w:val="00F162F9"/>
    <w:rsid w:val="00F16326"/>
    <w:rsid w:val="00F1693A"/>
    <w:rsid w:val="00F16976"/>
    <w:rsid w:val="00F170A4"/>
    <w:rsid w:val="00F17B46"/>
    <w:rsid w:val="00F20426"/>
    <w:rsid w:val="00F20812"/>
    <w:rsid w:val="00F210D9"/>
    <w:rsid w:val="00F21474"/>
    <w:rsid w:val="00F216CF"/>
    <w:rsid w:val="00F22136"/>
    <w:rsid w:val="00F22B7D"/>
    <w:rsid w:val="00F23929"/>
    <w:rsid w:val="00F23B16"/>
    <w:rsid w:val="00F24028"/>
    <w:rsid w:val="00F24472"/>
    <w:rsid w:val="00F246F7"/>
    <w:rsid w:val="00F2481C"/>
    <w:rsid w:val="00F24BC1"/>
    <w:rsid w:val="00F24E25"/>
    <w:rsid w:val="00F25416"/>
    <w:rsid w:val="00F2542E"/>
    <w:rsid w:val="00F255CC"/>
    <w:rsid w:val="00F2577F"/>
    <w:rsid w:val="00F2580D"/>
    <w:rsid w:val="00F2600E"/>
    <w:rsid w:val="00F2677F"/>
    <w:rsid w:val="00F26B36"/>
    <w:rsid w:val="00F26CAD"/>
    <w:rsid w:val="00F27490"/>
    <w:rsid w:val="00F27504"/>
    <w:rsid w:val="00F30008"/>
    <w:rsid w:val="00F30120"/>
    <w:rsid w:val="00F30434"/>
    <w:rsid w:val="00F3090A"/>
    <w:rsid w:val="00F327B0"/>
    <w:rsid w:val="00F327F5"/>
    <w:rsid w:val="00F32A63"/>
    <w:rsid w:val="00F32E6B"/>
    <w:rsid w:val="00F32F1E"/>
    <w:rsid w:val="00F332D9"/>
    <w:rsid w:val="00F33B2A"/>
    <w:rsid w:val="00F34174"/>
    <w:rsid w:val="00F3430A"/>
    <w:rsid w:val="00F344A2"/>
    <w:rsid w:val="00F344A8"/>
    <w:rsid w:val="00F34684"/>
    <w:rsid w:val="00F349E9"/>
    <w:rsid w:val="00F35C76"/>
    <w:rsid w:val="00F35EBF"/>
    <w:rsid w:val="00F366F7"/>
    <w:rsid w:val="00F36896"/>
    <w:rsid w:val="00F36C73"/>
    <w:rsid w:val="00F37871"/>
    <w:rsid w:val="00F400B6"/>
    <w:rsid w:val="00F401E8"/>
    <w:rsid w:val="00F40229"/>
    <w:rsid w:val="00F403A8"/>
    <w:rsid w:val="00F4057E"/>
    <w:rsid w:val="00F4106F"/>
    <w:rsid w:val="00F41394"/>
    <w:rsid w:val="00F41AB5"/>
    <w:rsid w:val="00F41D4A"/>
    <w:rsid w:val="00F432BA"/>
    <w:rsid w:val="00F43301"/>
    <w:rsid w:val="00F4364C"/>
    <w:rsid w:val="00F436F1"/>
    <w:rsid w:val="00F44349"/>
    <w:rsid w:val="00F44550"/>
    <w:rsid w:val="00F445F0"/>
    <w:rsid w:val="00F44744"/>
    <w:rsid w:val="00F44834"/>
    <w:rsid w:val="00F44991"/>
    <w:rsid w:val="00F44C0E"/>
    <w:rsid w:val="00F45D2E"/>
    <w:rsid w:val="00F4658B"/>
    <w:rsid w:val="00F4695F"/>
    <w:rsid w:val="00F46CA5"/>
    <w:rsid w:val="00F4789B"/>
    <w:rsid w:val="00F47A18"/>
    <w:rsid w:val="00F47D17"/>
    <w:rsid w:val="00F50A6C"/>
    <w:rsid w:val="00F50B03"/>
    <w:rsid w:val="00F50D18"/>
    <w:rsid w:val="00F51134"/>
    <w:rsid w:val="00F511D3"/>
    <w:rsid w:val="00F51D89"/>
    <w:rsid w:val="00F5206B"/>
    <w:rsid w:val="00F5208F"/>
    <w:rsid w:val="00F52CAF"/>
    <w:rsid w:val="00F534AC"/>
    <w:rsid w:val="00F53768"/>
    <w:rsid w:val="00F53A9F"/>
    <w:rsid w:val="00F53E40"/>
    <w:rsid w:val="00F53E5F"/>
    <w:rsid w:val="00F54449"/>
    <w:rsid w:val="00F5495B"/>
    <w:rsid w:val="00F55070"/>
    <w:rsid w:val="00F55096"/>
    <w:rsid w:val="00F55A9C"/>
    <w:rsid w:val="00F55C0B"/>
    <w:rsid w:val="00F565EB"/>
    <w:rsid w:val="00F5681C"/>
    <w:rsid w:val="00F60C52"/>
    <w:rsid w:val="00F6132B"/>
    <w:rsid w:val="00F6177C"/>
    <w:rsid w:val="00F6272E"/>
    <w:rsid w:val="00F648E7"/>
    <w:rsid w:val="00F64C69"/>
    <w:rsid w:val="00F66564"/>
    <w:rsid w:val="00F66762"/>
    <w:rsid w:val="00F66A04"/>
    <w:rsid w:val="00F66A99"/>
    <w:rsid w:val="00F66DDE"/>
    <w:rsid w:val="00F672C8"/>
    <w:rsid w:val="00F67B2E"/>
    <w:rsid w:val="00F67C1D"/>
    <w:rsid w:val="00F67CAF"/>
    <w:rsid w:val="00F7088E"/>
    <w:rsid w:val="00F70A2B"/>
    <w:rsid w:val="00F70CDE"/>
    <w:rsid w:val="00F70E3A"/>
    <w:rsid w:val="00F70ED0"/>
    <w:rsid w:val="00F712CD"/>
    <w:rsid w:val="00F712DE"/>
    <w:rsid w:val="00F72209"/>
    <w:rsid w:val="00F72A7B"/>
    <w:rsid w:val="00F72AF6"/>
    <w:rsid w:val="00F7341D"/>
    <w:rsid w:val="00F740BB"/>
    <w:rsid w:val="00F740DD"/>
    <w:rsid w:val="00F74BE1"/>
    <w:rsid w:val="00F752D4"/>
    <w:rsid w:val="00F75387"/>
    <w:rsid w:val="00F75459"/>
    <w:rsid w:val="00F762D3"/>
    <w:rsid w:val="00F76A50"/>
    <w:rsid w:val="00F777B9"/>
    <w:rsid w:val="00F80927"/>
    <w:rsid w:val="00F80942"/>
    <w:rsid w:val="00F80A29"/>
    <w:rsid w:val="00F813AE"/>
    <w:rsid w:val="00F814CA"/>
    <w:rsid w:val="00F8175E"/>
    <w:rsid w:val="00F81852"/>
    <w:rsid w:val="00F81BF6"/>
    <w:rsid w:val="00F82857"/>
    <w:rsid w:val="00F82C14"/>
    <w:rsid w:val="00F82F5C"/>
    <w:rsid w:val="00F8400F"/>
    <w:rsid w:val="00F841A8"/>
    <w:rsid w:val="00F847DA"/>
    <w:rsid w:val="00F84886"/>
    <w:rsid w:val="00F84A6B"/>
    <w:rsid w:val="00F84ACA"/>
    <w:rsid w:val="00F850D8"/>
    <w:rsid w:val="00F851F5"/>
    <w:rsid w:val="00F85215"/>
    <w:rsid w:val="00F855B6"/>
    <w:rsid w:val="00F85797"/>
    <w:rsid w:val="00F85CFB"/>
    <w:rsid w:val="00F8620A"/>
    <w:rsid w:val="00F866D6"/>
    <w:rsid w:val="00F86733"/>
    <w:rsid w:val="00F86E97"/>
    <w:rsid w:val="00F870E8"/>
    <w:rsid w:val="00F8713B"/>
    <w:rsid w:val="00F8752B"/>
    <w:rsid w:val="00F87868"/>
    <w:rsid w:val="00F90293"/>
    <w:rsid w:val="00F9037D"/>
    <w:rsid w:val="00F903B3"/>
    <w:rsid w:val="00F9046F"/>
    <w:rsid w:val="00F90AB4"/>
    <w:rsid w:val="00F91632"/>
    <w:rsid w:val="00F9173B"/>
    <w:rsid w:val="00F91A0E"/>
    <w:rsid w:val="00F91E64"/>
    <w:rsid w:val="00F91E71"/>
    <w:rsid w:val="00F923F8"/>
    <w:rsid w:val="00F93538"/>
    <w:rsid w:val="00F94DCE"/>
    <w:rsid w:val="00F94FA8"/>
    <w:rsid w:val="00F95628"/>
    <w:rsid w:val="00F9683C"/>
    <w:rsid w:val="00F96A8A"/>
    <w:rsid w:val="00F96C38"/>
    <w:rsid w:val="00F9715D"/>
    <w:rsid w:val="00F9718B"/>
    <w:rsid w:val="00F9782F"/>
    <w:rsid w:val="00F979A7"/>
    <w:rsid w:val="00F97A75"/>
    <w:rsid w:val="00FA014D"/>
    <w:rsid w:val="00FA026C"/>
    <w:rsid w:val="00FA06EF"/>
    <w:rsid w:val="00FA114A"/>
    <w:rsid w:val="00FA1707"/>
    <w:rsid w:val="00FA1A6B"/>
    <w:rsid w:val="00FA1B02"/>
    <w:rsid w:val="00FA1D03"/>
    <w:rsid w:val="00FA2350"/>
    <w:rsid w:val="00FA35FD"/>
    <w:rsid w:val="00FA4065"/>
    <w:rsid w:val="00FA449A"/>
    <w:rsid w:val="00FA4554"/>
    <w:rsid w:val="00FA4A83"/>
    <w:rsid w:val="00FA4E5B"/>
    <w:rsid w:val="00FA4EC5"/>
    <w:rsid w:val="00FA5523"/>
    <w:rsid w:val="00FA5761"/>
    <w:rsid w:val="00FA593A"/>
    <w:rsid w:val="00FA5DD7"/>
    <w:rsid w:val="00FA6273"/>
    <w:rsid w:val="00FA64AF"/>
    <w:rsid w:val="00FA650D"/>
    <w:rsid w:val="00FA65A1"/>
    <w:rsid w:val="00FA65BD"/>
    <w:rsid w:val="00FA6F63"/>
    <w:rsid w:val="00FA7292"/>
    <w:rsid w:val="00FA7986"/>
    <w:rsid w:val="00FA7A33"/>
    <w:rsid w:val="00FA7D9F"/>
    <w:rsid w:val="00FB01C7"/>
    <w:rsid w:val="00FB03BC"/>
    <w:rsid w:val="00FB0877"/>
    <w:rsid w:val="00FB08F5"/>
    <w:rsid w:val="00FB0D4B"/>
    <w:rsid w:val="00FB0F8B"/>
    <w:rsid w:val="00FB1010"/>
    <w:rsid w:val="00FB150D"/>
    <w:rsid w:val="00FB23ED"/>
    <w:rsid w:val="00FB2747"/>
    <w:rsid w:val="00FB2B0C"/>
    <w:rsid w:val="00FB2DF6"/>
    <w:rsid w:val="00FB37F0"/>
    <w:rsid w:val="00FB4252"/>
    <w:rsid w:val="00FB42FD"/>
    <w:rsid w:val="00FB4672"/>
    <w:rsid w:val="00FB481C"/>
    <w:rsid w:val="00FB4A6C"/>
    <w:rsid w:val="00FB4C18"/>
    <w:rsid w:val="00FB4E2C"/>
    <w:rsid w:val="00FB4E50"/>
    <w:rsid w:val="00FB5016"/>
    <w:rsid w:val="00FB5338"/>
    <w:rsid w:val="00FB5774"/>
    <w:rsid w:val="00FB688D"/>
    <w:rsid w:val="00FB6B59"/>
    <w:rsid w:val="00FB6E18"/>
    <w:rsid w:val="00FB7185"/>
    <w:rsid w:val="00FB7633"/>
    <w:rsid w:val="00FB77E2"/>
    <w:rsid w:val="00FB7B0A"/>
    <w:rsid w:val="00FB7CAC"/>
    <w:rsid w:val="00FC0311"/>
    <w:rsid w:val="00FC0C23"/>
    <w:rsid w:val="00FC0D76"/>
    <w:rsid w:val="00FC1921"/>
    <w:rsid w:val="00FC1FC1"/>
    <w:rsid w:val="00FC2940"/>
    <w:rsid w:val="00FC2A20"/>
    <w:rsid w:val="00FC304B"/>
    <w:rsid w:val="00FC3186"/>
    <w:rsid w:val="00FC3210"/>
    <w:rsid w:val="00FC38D6"/>
    <w:rsid w:val="00FC3D27"/>
    <w:rsid w:val="00FC451B"/>
    <w:rsid w:val="00FC45E5"/>
    <w:rsid w:val="00FC4869"/>
    <w:rsid w:val="00FC4A12"/>
    <w:rsid w:val="00FC4D05"/>
    <w:rsid w:val="00FC56FD"/>
    <w:rsid w:val="00FC5C7D"/>
    <w:rsid w:val="00FC5FD5"/>
    <w:rsid w:val="00FC7C80"/>
    <w:rsid w:val="00FC7C93"/>
    <w:rsid w:val="00FD07D6"/>
    <w:rsid w:val="00FD11F4"/>
    <w:rsid w:val="00FD1814"/>
    <w:rsid w:val="00FD1CEC"/>
    <w:rsid w:val="00FD26F0"/>
    <w:rsid w:val="00FD2816"/>
    <w:rsid w:val="00FD2933"/>
    <w:rsid w:val="00FD2E04"/>
    <w:rsid w:val="00FD2F7D"/>
    <w:rsid w:val="00FD3498"/>
    <w:rsid w:val="00FD39E6"/>
    <w:rsid w:val="00FD3BB5"/>
    <w:rsid w:val="00FD3F46"/>
    <w:rsid w:val="00FD4696"/>
    <w:rsid w:val="00FD60AB"/>
    <w:rsid w:val="00FD65BF"/>
    <w:rsid w:val="00FD6692"/>
    <w:rsid w:val="00FD7446"/>
    <w:rsid w:val="00FD7A3D"/>
    <w:rsid w:val="00FD7A51"/>
    <w:rsid w:val="00FD7ED6"/>
    <w:rsid w:val="00FD7FE8"/>
    <w:rsid w:val="00FE02E9"/>
    <w:rsid w:val="00FE07C0"/>
    <w:rsid w:val="00FE07E9"/>
    <w:rsid w:val="00FE0D87"/>
    <w:rsid w:val="00FE1415"/>
    <w:rsid w:val="00FE1796"/>
    <w:rsid w:val="00FE1B8C"/>
    <w:rsid w:val="00FE1D0F"/>
    <w:rsid w:val="00FE1F2F"/>
    <w:rsid w:val="00FE1F9C"/>
    <w:rsid w:val="00FE2ED3"/>
    <w:rsid w:val="00FE3606"/>
    <w:rsid w:val="00FE3A92"/>
    <w:rsid w:val="00FE4650"/>
    <w:rsid w:val="00FE4CC3"/>
    <w:rsid w:val="00FE52DE"/>
    <w:rsid w:val="00FE5445"/>
    <w:rsid w:val="00FE5568"/>
    <w:rsid w:val="00FE58A4"/>
    <w:rsid w:val="00FE687D"/>
    <w:rsid w:val="00FE68A6"/>
    <w:rsid w:val="00FE6955"/>
    <w:rsid w:val="00FE6AF1"/>
    <w:rsid w:val="00FE6C19"/>
    <w:rsid w:val="00FE7AEF"/>
    <w:rsid w:val="00FF0025"/>
    <w:rsid w:val="00FF007C"/>
    <w:rsid w:val="00FF01BE"/>
    <w:rsid w:val="00FF01F6"/>
    <w:rsid w:val="00FF05E6"/>
    <w:rsid w:val="00FF0A53"/>
    <w:rsid w:val="00FF0A8D"/>
    <w:rsid w:val="00FF0E22"/>
    <w:rsid w:val="00FF153F"/>
    <w:rsid w:val="00FF2981"/>
    <w:rsid w:val="00FF2A17"/>
    <w:rsid w:val="00FF3F78"/>
    <w:rsid w:val="00FF4435"/>
    <w:rsid w:val="00FF44FF"/>
    <w:rsid w:val="00FF4B82"/>
    <w:rsid w:val="00FF4B9A"/>
    <w:rsid w:val="00FF4CEA"/>
    <w:rsid w:val="00FF4D23"/>
    <w:rsid w:val="00FF4DF6"/>
    <w:rsid w:val="00FF500C"/>
    <w:rsid w:val="00FF5512"/>
    <w:rsid w:val="00FF642B"/>
    <w:rsid w:val="00FF6AFC"/>
    <w:rsid w:val="00FF71D5"/>
    <w:rsid w:val="00FF7857"/>
    <w:rsid w:val="00FF7BEA"/>
    <w:rsid w:val="00FF7D1E"/>
    <w:rsid w:val="00FF7F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213"/>
    <w:rPr>
      <w:sz w:val="24"/>
      <w:szCs w:val="24"/>
    </w:rPr>
  </w:style>
  <w:style w:type="paragraph" w:styleId="Heading1">
    <w:name w:val="heading 1"/>
    <w:basedOn w:val="Normal"/>
    <w:link w:val="Heading1Char"/>
    <w:uiPriority w:val="9"/>
    <w:qFormat/>
    <w:rsid w:val="0005395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CA100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74213"/>
    <w:rPr>
      <w:sz w:val="20"/>
      <w:szCs w:val="20"/>
    </w:rPr>
  </w:style>
  <w:style w:type="character" w:styleId="FootnoteReference">
    <w:name w:val="footnote reference"/>
    <w:basedOn w:val="DefaultParagraphFont"/>
    <w:uiPriority w:val="99"/>
    <w:rsid w:val="00874213"/>
    <w:rPr>
      <w:vertAlign w:val="superscript"/>
    </w:rPr>
  </w:style>
  <w:style w:type="character" w:styleId="Strong">
    <w:name w:val="Strong"/>
    <w:basedOn w:val="DefaultParagraphFont"/>
    <w:uiPriority w:val="22"/>
    <w:qFormat/>
    <w:rsid w:val="00874213"/>
    <w:rPr>
      <w:b/>
      <w:bCs/>
    </w:rPr>
  </w:style>
  <w:style w:type="character" w:customStyle="1" w:styleId="FootnoteTextChar">
    <w:name w:val="Footnote Text Char"/>
    <w:basedOn w:val="DefaultParagraphFont"/>
    <w:link w:val="FootnoteText"/>
    <w:uiPriority w:val="99"/>
    <w:locked/>
    <w:rsid w:val="00874213"/>
    <w:rPr>
      <w:lang w:val="en-GB" w:eastAsia="en-GB" w:bidi="ar-SA"/>
    </w:rPr>
  </w:style>
  <w:style w:type="paragraph" w:styleId="NormalWeb">
    <w:name w:val="Normal (Web)"/>
    <w:basedOn w:val="Normal"/>
    <w:uiPriority w:val="99"/>
    <w:rsid w:val="00704706"/>
    <w:pPr>
      <w:spacing w:before="100" w:beforeAutospacing="1" w:after="100" w:afterAutospacing="1"/>
    </w:pPr>
    <w:rPr>
      <w:rFonts w:eastAsia="Calibri"/>
    </w:rPr>
  </w:style>
  <w:style w:type="character" w:customStyle="1" w:styleId="CharChar2">
    <w:name w:val="Char Char2"/>
    <w:basedOn w:val="DefaultParagraphFont"/>
    <w:semiHidden/>
    <w:locked/>
    <w:rsid w:val="003674A9"/>
    <w:rPr>
      <w:lang w:val="en-GB" w:eastAsia="en-GB" w:bidi="ar-SA"/>
    </w:rPr>
  </w:style>
  <w:style w:type="character" w:styleId="Hyperlink">
    <w:name w:val="Hyperlink"/>
    <w:basedOn w:val="DefaultParagraphFont"/>
    <w:rsid w:val="00D1755F"/>
    <w:rPr>
      <w:color w:val="0000FF"/>
      <w:u w:val="single"/>
    </w:rPr>
  </w:style>
  <w:style w:type="paragraph" w:styleId="Header">
    <w:name w:val="header"/>
    <w:basedOn w:val="Normal"/>
    <w:link w:val="HeaderChar"/>
    <w:rsid w:val="0077623F"/>
    <w:pPr>
      <w:tabs>
        <w:tab w:val="center" w:pos="4513"/>
        <w:tab w:val="right" w:pos="9026"/>
      </w:tabs>
    </w:pPr>
  </w:style>
  <w:style w:type="character" w:customStyle="1" w:styleId="HeaderChar">
    <w:name w:val="Header Char"/>
    <w:basedOn w:val="DefaultParagraphFont"/>
    <w:link w:val="Header"/>
    <w:rsid w:val="0077623F"/>
    <w:rPr>
      <w:sz w:val="24"/>
      <w:szCs w:val="24"/>
    </w:rPr>
  </w:style>
  <w:style w:type="paragraph" w:styleId="Footer">
    <w:name w:val="footer"/>
    <w:basedOn w:val="Normal"/>
    <w:link w:val="FooterChar"/>
    <w:uiPriority w:val="99"/>
    <w:rsid w:val="0077623F"/>
    <w:pPr>
      <w:tabs>
        <w:tab w:val="center" w:pos="4513"/>
        <w:tab w:val="right" w:pos="9026"/>
      </w:tabs>
    </w:pPr>
  </w:style>
  <w:style w:type="character" w:customStyle="1" w:styleId="FooterChar">
    <w:name w:val="Footer Char"/>
    <w:basedOn w:val="DefaultParagraphFont"/>
    <w:link w:val="Footer"/>
    <w:uiPriority w:val="99"/>
    <w:rsid w:val="0077623F"/>
    <w:rPr>
      <w:sz w:val="24"/>
      <w:szCs w:val="24"/>
    </w:rPr>
  </w:style>
  <w:style w:type="character" w:customStyle="1" w:styleId="srchlink">
    <w:name w:val="srch_link"/>
    <w:basedOn w:val="DefaultParagraphFont"/>
    <w:rsid w:val="00817D28"/>
  </w:style>
  <w:style w:type="character" w:customStyle="1" w:styleId="Heading1Char">
    <w:name w:val="Heading 1 Char"/>
    <w:basedOn w:val="DefaultParagraphFont"/>
    <w:link w:val="Heading1"/>
    <w:uiPriority w:val="9"/>
    <w:rsid w:val="0005395F"/>
    <w:rPr>
      <w:b/>
      <w:bCs/>
      <w:kern w:val="36"/>
      <w:sz w:val="48"/>
      <w:szCs w:val="48"/>
    </w:rPr>
  </w:style>
  <w:style w:type="character" w:customStyle="1" w:styleId="plainlinks">
    <w:name w:val="plainlinks"/>
    <w:basedOn w:val="DefaultParagraphFont"/>
    <w:rsid w:val="00BF3F3D"/>
  </w:style>
  <w:style w:type="character" w:customStyle="1" w:styleId="breadcrumb-text3">
    <w:name w:val="breadcrumb-text3"/>
    <w:basedOn w:val="DefaultParagraphFont"/>
    <w:rsid w:val="00980B4C"/>
  </w:style>
  <w:style w:type="character" w:customStyle="1" w:styleId="lucenesearchresulturlb">
    <w:name w:val="lucene_search_result_url_b"/>
    <w:basedOn w:val="DefaultParagraphFont"/>
    <w:rsid w:val="00F246F7"/>
  </w:style>
  <w:style w:type="character" w:styleId="FollowedHyperlink">
    <w:name w:val="FollowedHyperlink"/>
    <w:basedOn w:val="DefaultParagraphFont"/>
    <w:rsid w:val="00E87ADF"/>
    <w:rPr>
      <w:color w:val="800080"/>
      <w:u w:val="single"/>
    </w:rPr>
  </w:style>
  <w:style w:type="character" w:customStyle="1" w:styleId="Heading2Char">
    <w:name w:val="Heading 2 Char"/>
    <w:basedOn w:val="DefaultParagraphFont"/>
    <w:link w:val="Heading2"/>
    <w:semiHidden/>
    <w:rsid w:val="00CA1000"/>
    <w:rPr>
      <w:rFonts w:ascii="Cambria" w:eastAsia="Times New Roman" w:hAnsi="Cambria" w:cs="Times New Roman"/>
      <w:b/>
      <w:bCs/>
      <w:i/>
      <w:iCs/>
      <w:sz w:val="28"/>
      <w:szCs w:val="28"/>
    </w:rPr>
  </w:style>
  <w:style w:type="character" w:styleId="Emphasis">
    <w:name w:val="Emphasis"/>
    <w:basedOn w:val="DefaultParagraphFont"/>
    <w:uiPriority w:val="20"/>
    <w:qFormat/>
    <w:rsid w:val="00E82DF1"/>
    <w:rPr>
      <w:i/>
      <w:iCs/>
    </w:rPr>
  </w:style>
  <w:style w:type="character" w:customStyle="1" w:styleId="fn">
    <w:name w:val="fn"/>
    <w:basedOn w:val="DefaultParagraphFont"/>
    <w:rsid w:val="0036034C"/>
  </w:style>
  <w:style w:type="character" w:customStyle="1" w:styleId="date1">
    <w:name w:val="date1"/>
    <w:basedOn w:val="DefaultParagraphFont"/>
    <w:rsid w:val="007F3ACF"/>
    <w:rPr>
      <w:rFonts w:ascii="Verdana" w:hAnsi="Verdana" w:hint="default"/>
      <w:color w:val="000000"/>
      <w:sz w:val="14"/>
      <w:szCs w:val="14"/>
    </w:rPr>
  </w:style>
  <w:style w:type="paragraph" w:styleId="BlockText">
    <w:name w:val="Block Text"/>
    <w:basedOn w:val="Normal"/>
    <w:uiPriority w:val="99"/>
    <w:rsid w:val="004D56E8"/>
    <w:pPr>
      <w:ind w:left="624" w:right="624"/>
      <w:jc w:val="both"/>
    </w:pPr>
    <w:rPr>
      <w:rFonts w:ascii="Bookman Old Style" w:hAnsi="Bookman Old Style"/>
      <w:sz w:val="20"/>
      <w:szCs w:val="20"/>
    </w:rPr>
  </w:style>
  <w:style w:type="paragraph" w:styleId="BodyText">
    <w:name w:val="Body Text"/>
    <w:basedOn w:val="Normal"/>
    <w:link w:val="BodyTextChar"/>
    <w:rsid w:val="005E265E"/>
    <w:pPr>
      <w:overflowPunct w:val="0"/>
      <w:autoSpaceDE w:val="0"/>
      <w:autoSpaceDN w:val="0"/>
      <w:adjustRightInd w:val="0"/>
      <w:spacing w:line="260" w:lineRule="exact"/>
      <w:ind w:firstLine="360"/>
      <w:jc w:val="both"/>
      <w:textAlignment w:val="baseline"/>
    </w:pPr>
    <w:rPr>
      <w:rFonts w:ascii="Times" w:hAnsi="Times"/>
      <w:kern w:val="16"/>
      <w:sz w:val="22"/>
      <w:szCs w:val="20"/>
      <w:lang w:val="en-US" w:eastAsia="en-US"/>
    </w:rPr>
  </w:style>
  <w:style w:type="character" w:customStyle="1" w:styleId="BodyTextChar">
    <w:name w:val="Body Text Char"/>
    <w:basedOn w:val="DefaultParagraphFont"/>
    <w:link w:val="BodyText"/>
    <w:rsid w:val="005E265E"/>
    <w:rPr>
      <w:rFonts w:ascii="Times" w:hAnsi="Times"/>
      <w:kern w:val="16"/>
      <w:sz w:val="22"/>
      <w:lang w:val="en-US" w:eastAsia="en-US"/>
    </w:rPr>
  </w:style>
  <w:style w:type="character" w:customStyle="1" w:styleId="byline">
    <w:name w:val="byline"/>
    <w:basedOn w:val="DefaultParagraphFont"/>
    <w:rsid w:val="00E3647E"/>
  </w:style>
  <w:style w:type="character" w:customStyle="1" w:styleId="slug-vol">
    <w:name w:val="slug-vol"/>
    <w:basedOn w:val="DefaultParagraphFont"/>
    <w:rsid w:val="005E1212"/>
  </w:style>
  <w:style w:type="character" w:customStyle="1" w:styleId="slug-issue">
    <w:name w:val="slug-issue"/>
    <w:basedOn w:val="DefaultParagraphFont"/>
    <w:rsid w:val="005E1212"/>
  </w:style>
  <w:style w:type="paragraph" w:customStyle="1" w:styleId="Default">
    <w:name w:val="Default"/>
    <w:rsid w:val="004B1382"/>
    <w:pPr>
      <w:autoSpaceDE w:val="0"/>
      <w:autoSpaceDN w:val="0"/>
      <w:adjustRightInd w:val="0"/>
    </w:pPr>
    <w:rPr>
      <w:rFonts w:ascii="Calligraph421 BT" w:eastAsia="Calibri" w:hAnsi="Calligraph421 BT" w:cs="Calligraph421 BT"/>
      <w:color w:val="000000"/>
      <w:sz w:val="24"/>
      <w:szCs w:val="24"/>
      <w:lang w:eastAsia="en-US"/>
    </w:rPr>
  </w:style>
  <w:style w:type="character" w:customStyle="1" w:styleId="authname">
    <w:name w:val="authname"/>
    <w:basedOn w:val="DefaultParagraphFont"/>
    <w:rsid w:val="00BA60CC"/>
  </w:style>
  <w:style w:type="paragraph" w:styleId="PlainText">
    <w:name w:val="Plain Text"/>
    <w:basedOn w:val="Normal"/>
    <w:link w:val="PlainTextChar"/>
    <w:rsid w:val="00642E2A"/>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642E2A"/>
    <w:rPr>
      <w:rFonts w:ascii="Courier New" w:hAnsi="Courier New" w:cs="Courier New"/>
      <w:lang w:val="en-US" w:eastAsia="en-US"/>
    </w:rPr>
  </w:style>
  <w:style w:type="paragraph" w:customStyle="1" w:styleId="body-text">
    <w:name w:val="body-text"/>
    <w:basedOn w:val="Normal"/>
    <w:rsid w:val="00A43C0E"/>
    <w:pPr>
      <w:spacing w:before="100" w:beforeAutospacing="1" w:after="100" w:afterAutospacing="1"/>
    </w:pPr>
  </w:style>
  <w:style w:type="character" w:customStyle="1" w:styleId="title11">
    <w:name w:val="title_11"/>
    <w:basedOn w:val="DefaultParagraphFont"/>
    <w:rsid w:val="00A43C0E"/>
    <w:rPr>
      <w:b/>
      <w:bCs/>
      <w:i w:val="0"/>
      <w:iCs w:val="0"/>
      <w:color w:val="660000"/>
      <w:sz w:val="14"/>
      <w:szCs w:val="14"/>
      <w:bdr w:val="none" w:sz="0" w:space="0" w:color="auto" w:frame="1"/>
    </w:rPr>
  </w:style>
  <w:style w:type="paragraph" w:customStyle="1" w:styleId="bodytext0">
    <w:name w:val="bodytext"/>
    <w:basedOn w:val="Normal"/>
    <w:rsid w:val="00A43C0E"/>
    <w:pPr>
      <w:spacing w:before="100" w:beforeAutospacing="1" w:after="100" w:afterAutospacing="1"/>
    </w:pPr>
  </w:style>
  <w:style w:type="character" w:customStyle="1" w:styleId="articletitle1">
    <w:name w:val="article_title1"/>
    <w:basedOn w:val="DefaultParagraphFont"/>
    <w:rsid w:val="00FF7FC2"/>
    <w:rPr>
      <w:rFonts w:ascii="Courier New Bold" w:hAnsi="Courier New Bold" w:hint="default"/>
      <w:b/>
      <w:bCs/>
      <w:sz w:val="15"/>
      <w:szCs w:val="15"/>
    </w:rPr>
  </w:style>
  <w:style w:type="character" w:styleId="CommentReference">
    <w:name w:val="annotation reference"/>
    <w:basedOn w:val="DefaultParagraphFont"/>
    <w:rsid w:val="001D7BAF"/>
    <w:rPr>
      <w:sz w:val="16"/>
      <w:szCs w:val="16"/>
    </w:rPr>
  </w:style>
  <w:style w:type="paragraph" w:styleId="CommentText">
    <w:name w:val="annotation text"/>
    <w:basedOn w:val="Normal"/>
    <w:link w:val="CommentTextChar"/>
    <w:rsid w:val="001D7BAF"/>
    <w:rPr>
      <w:sz w:val="20"/>
      <w:szCs w:val="20"/>
    </w:rPr>
  </w:style>
  <w:style w:type="character" w:customStyle="1" w:styleId="CommentTextChar">
    <w:name w:val="Comment Text Char"/>
    <w:basedOn w:val="DefaultParagraphFont"/>
    <w:link w:val="CommentText"/>
    <w:rsid w:val="001D7BAF"/>
  </w:style>
  <w:style w:type="paragraph" w:styleId="CommentSubject">
    <w:name w:val="annotation subject"/>
    <w:basedOn w:val="CommentText"/>
    <w:next w:val="CommentText"/>
    <w:link w:val="CommentSubjectChar"/>
    <w:rsid w:val="001D7BAF"/>
    <w:rPr>
      <w:b/>
      <w:bCs/>
    </w:rPr>
  </w:style>
  <w:style w:type="character" w:customStyle="1" w:styleId="CommentSubjectChar">
    <w:name w:val="Comment Subject Char"/>
    <w:basedOn w:val="CommentTextChar"/>
    <w:link w:val="CommentSubject"/>
    <w:rsid w:val="001D7BAF"/>
    <w:rPr>
      <w:b/>
      <w:bCs/>
    </w:rPr>
  </w:style>
  <w:style w:type="paragraph" w:styleId="BalloonText">
    <w:name w:val="Balloon Text"/>
    <w:basedOn w:val="Normal"/>
    <w:link w:val="BalloonTextChar"/>
    <w:rsid w:val="001D7BAF"/>
    <w:rPr>
      <w:rFonts w:ascii="Tahoma" w:hAnsi="Tahoma" w:cs="Tahoma"/>
      <w:sz w:val="16"/>
      <w:szCs w:val="16"/>
    </w:rPr>
  </w:style>
  <w:style w:type="character" w:customStyle="1" w:styleId="BalloonTextChar">
    <w:name w:val="Balloon Text Char"/>
    <w:basedOn w:val="DefaultParagraphFont"/>
    <w:link w:val="BalloonText"/>
    <w:rsid w:val="001D7BAF"/>
    <w:rPr>
      <w:rFonts w:ascii="Tahoma" w:hAnsi="Tahoma" w:cs="Tahoma"/>
      <w:sz w:val="16"/>
      <w:szCs w:val="16"/>
    </w:rPr>
  </w:style>
  <w:style w:type="paragraph" w:styleId="ListParagraph">
    <w:name w:val="List Paragraph"/>
    <w:basedOn w:val="Normal"/>
    <w:uiPriority w:val="34"/>
    <w:qFormat/>
    <w:rsid w:val="000C350E"/>
    <w:pPr>
      <w:ind w:left="720"/>
      <w:contextualSpacing/>
    </w:pPr>
  </w:style>
</w:styles>
</file>

<file path=word/webSettings.xml><?xml version="1.0" encoding="utf-8"?>
<w:webSettings xmlns:r="http://schemas.openxmlformats.org/officeDocument/2006/relationships" xmlns:w="http://schemas.openxmlformats.org/wordprocessingml/2006/main">
  <w:divs>
    <w:div w:id="461920399">
      <w:bodyDiv w:val="1"/>
      <w:marLeft w:val="0"/>
      <w:marRight w:val="0"/>
      <w:marTop w:val="0"/>
      <w:marBottom w:val="0"/>
      <w:divBdr>
        <w:top w:val="none" w:sz="0" w:space="0" w:color="auto"/>
        <w:left w:val="none" w:sz="0" w:space="0" w:color="auto"/>
        <w:bottom w:val="none" w:sz="0" w:space="0" w:color="auto"/>
        <w:right w:val="none" w:sz="0" w:space="0" w:color="auto"/>
      </w:divBdr>
      <w:divsChild>
        <w:div w:id="1559197031">
          <w:marLeft w:val="0"/>
          <w:marRight w:val="0"/>
          <w:marTop w:val="0"/>
          <w:marBottom w:val="0"/>
          <w:divBdr>
            <w:top w:val="none" w:sz="0" w:space="0" w:color="auto"/>
            <w:left w:val="none" w:sz="0" w:space="0" w:color="auto"/>
            <w:bottom w:val="none" w:sz="0" w:space="0" w:color="auto"/>
            <w:right w:val="none" w:sz="0" w:space="0" w:color="auto"/>
          </w:divBdr>
          <w:divsChild>
            <w:div w:id="1044719708">
              <w:marLeft w:val="0"/>
              <w:marRight w:val="0"/>
              <w:marTop w:val="0"/>
              <w:marBottom w:val="0"/>
              <w:divBdr>
                <w:top w:val="none" w:sz="0" w:space="0" w:color="auto"/>
                <w:left w:val="none" w:sz="0" w:space="0" w:color="auto"/>
                <w:bottom w:val="none" w:sz="0" w:space="0" w:color="auto"/>
                <w:right w:val="none" w:sz="0" w:space="0" w:color="auto"/>
              </w:divBdr>
              <w:divsChild>
                <w:div w:id="2065134648">
                  <w:marLeft w:val="0"/>
                  <w:marRight w:val="0"/>
                  <w:marTop w:val="0"/>
                  <w:marBottom w:val="0"/>
                  <w:divBdr>
                    <w:top w:val="none" w:sz="0" w:space="0" w:color="auto"/>
                    <w:left w:val="none" w:sz="0" w:space="0" w:color="auto"/>
                    <w:bottom w:val="none" w:sz="0" w:space="0" w:color="auto"/>
                    <w:right w:val="none" w:sz="0" w:space="0" w:color="auto"/>
                  </w:divBdr>
                  <w:divsChild>
                    <w:div w:id="347411654">
                      <w:marLeft w:val="0"/>
                      <w:marRight w:val="0"/>
                      <w:marTop w:val="0"/>
                      <w:marBottom w:val="0"/>
                      <w:divBdr>
                        <w:top w:val="none" w:sz="0" w:space="0" w:color="auto"/>
                        <w:left w:val="none" w:sz="0" w:space="0" w:color="auto"/>
                        <w:bottom w:val="none" w:sz="0" w:space="0" w:color="auto"/>
                        <w:right w:val="none" w:sz="0" w:space="0" w:color="auto"/>
                      </w:divBdr>
                      <w:divsChild>
                        <w:div w:id="1162963562">
                          <w:marLeft w:val="0"/>
                          <w:marRight w:val="0"/>
                          <w:marTop w:val="0"/>
                          <w:marBottom w:val="0"/>
                          <w:divBdr>
                            <w:top w:val="none" w:sz="0" w:space="0" w:color="auto"/>
                            <w:left w:val="none" w:sz="0" w:space="0" w:color="auto"/>
                            <w:bottom w:val="none" w:sz="0" w:space="0" w:color="auto"/>
                            <w:right w:val="none" w:sz="0" w:space="0" w:color="auto"/>
                          </w:divBdr>
                          <w:divsChild>
                            <w:div w:id="228005061">
                              <w:marLeft w:val="0"/>
                              <w:marRight w:val="0"/>
                              <w:marTop w:val="0"/>
                              <w:marBottom w:val="0"/>
                              <w:divBdr>
                                <w:top w:val="none" w:sz="0" w:space="0" w:color="auto"/>
                                <w:left w:val="none" w:sz="0" w:space="0" w:color="auto"/>
                                <w:bottom w:val="none" w:sz="0" w:space="0" w:color="auto"/>
                                <w:right w:val="none" w:sz="0" w:space="0" w:color="auto"/>
                              </w:divBdr>
                              <w:divsChild>
                                <w:div w:id="185872361">
                                  <w:marLeft w:val="0"/>
                                  <w:marRight w:val="0"/>
                                  <w:marTop w:val="0"/>
                                  <w:marBottom w:val="0"/>
                                  <w:divBdr>
                                    <w:top w:val="none" w:sz="0" w:space="0" w:color="auto"/>
                                    <w:left w:val="none" w:sz="0" w:space="0" w:color="auto"/>
                                    <w:bottom w:val="none" w:sz="0" w:space="0" w:color="auto"/>
                                    <w:right w:val="none" w:sz="0" w:space="0" w:color="auto"/>
                                  </w:divBdr>
                                  <w:divsChild>
                                    <w:div w:id="1008948902">
                                      <w:marLeft w:val="0"/>
                                      <w:marRight w:val="0"/>
                                      <w:marTop w:val="0"/>
                                      <w:marBottom w:val="0"/>
                                      <w:divBdr>
                                        <w:top w:val="none" w:sz="0" w:space="0" w:color="auto"/>
                                        <w:left w:val="none" w:sz="0" w:space="0" w:color="auto"/>
                                        <w:bottom w:val="none" w:sz="0" w:space="0" w:color="auto"/>
                                        <w:right w:val="none" w:sz="0" w:space="0" w:color="auto"/>
                                      </w:divBdr>
                                    </w:div>
                                    <w:div w:id="12076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163678">
      <w:bodyDiv w:val="1"/>
      <w:marLeft w:val="0"/>
      <w:marRight w:val="0"/>
      <w:marTop w:val="0"/>
      <w:marBottom w:val="0"/>
      <w:divBdr>
        <w:top w:val="none" w:sz="0" w:space="0" w:color="auto"/>
        <w:left w:val="none" w:sz="0" w:space="0" w:color="auto"/>
        <w:bottom w:val="none" w:sz="0" w:space="0" w:color="auto"/>
        <w:right w:val="none" w:sz="0" w:space="0" w:color="auto"/>
      </w:divBdr>
      <w:divsChild>
        <w:div w:id="2006858121">
          <w:marLeft w:val="0"/>
          <w:marRight w:val="0"/>
          <w:marTop w:val="0"/>
          <w:marBottom w:val="0"/>
          <w:divBdr>
            <w:top w:val="single" w:sz="4" w:space="0" w:color="081683"/>
            <w:left w:val="single" w:sz="4" w:space="0" w:color="081683"/>
            <w:bottom w:val="single" w:sz="4" w:space="0" w:color="081683"/>
            <w:right w:val="single" w:sz="4" w:space="0" w:color="081683"/>
          </w:divBdr>
          <w:divsChild>
            <w:div w:id="871382470">
              <w:marLeft w:val="0"/>
              <w:marRight w:val="0"/>
              <w:marTop w:val="0"/>
              <w:marBottom w:val="0"/>
              <w:divBdr>
                <w:top w:val="none" w:sz="0" w:space="0" w:color="auto"/>
                <w:left w:val="none" w:sz="0" w:space="0" w:color="auto"/>
                <w:bottom w:val="none" w:sz="0" w:space="0" w:color="auto"/>
                <w:right w:val="none" w:sz="0" w:space="0" w:color="auto"/>
              </w:divBdr>
              <w:divsChild>
                <w:div w:id="6566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8144">
      <w:bodyDiv w:val="1"/>
      <w:marLeft w:val="0"/>
      <w:marRight w:val="0"/>
      <w:marTop w:val="0"/>
      <w:marBottom w:val="0"/>
      <w:divBdr>
        <w:top w:val="none" w:sz="0" w:space="0" w:color="auto"/>
        <w:left w:val="none" w:sz="0" w:space="0" w:color="auto"/>
        <w:bottom w:val="none" w:sz="0" w:space="0" w:color="auto"/>
        <w:right w:val="none" w:sz="0" w:space="0" w:color="auto"/>
      </w:divBdr>
      <w:divsChild>
        <w:div w:id="1755475461">
          <w:marLeft w:val="0"/>
          <w:marRight w:val="0"/>
          <w:marTop w:val="0"/>
          <w:marBottom w:val="0"/>
          <w:divBdr>
            <w:top w:val="none" w:sz="0" w:space="0" w:color="auto"/>
            <w:left w:val="none" w:sz="0" w:space="0" w:color="auto"/>
            <w:bottom w:val="none" w:sz="0" w:space="0" w:color="auto"/>
            <w:right w:val="none" w:sz="0" w:space="0" w:color="auto"/>
          </w:divBdr>
          <w:divsChild>
            <w:div w:id="1150752769">
              <w:marLeft w:val="0"/>
              <w:marRight w:val="0"/>
              <w:marTop w:val="0"/>
              <w:marBottom w:val="0"/>
              <w:divBdr>
                <w:top w:val="none" w:sz="0" w:space="0" w:color="auto"/>
                <w:left w:val="none" w:sz="0" w:space="0" w:color="auto"/>
                <w:bottom w:val="none" w:sz="0" w:space="0" w:color="auto"/>
                <w:right w:val="none" w:sz="0" w:space="0" w:color="auto"/>
              </w:divBdr>
              <w:divsChild>
                <w:div w:id="1378579142">
                  <w:marLeft w:val="0"/>
                  <w:marRight w:val="0"/>
                  <w:marTop w:val="0"/>
                  <w:marBottom w:val="0"/>
                  <w:divBdr>
                    <w:top w:val="none" w:sz="0" w:space="0" w:color="auto"/>
                    <w:left w:val="none" w:sz="0" w:space="0" w:color="auto"/>
                    <w:bottom w:val="none" w:sz="0" w:space="0" w:color="auto"/>
                    <w:right w:val="none" w:sz="0" w:space="0" w:color="auto"/>
                  </w:divBdr>
                  <w:divsChild>
                    <w:div w:id="19057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7872">
      <w:bodyDiv w:val="1"/>
      <w:marLeft w:val="0"/>
      <w:marRight w:val="0"/>
      <w:marTop w:val="0"/>
      <w:marBottom w:val="0"/>
      <w:divBdr>
        <w:top w:val="none" w:sz="0" w:space="0" w:color="auto"/>
        <w:left w:val="none" w:sz="0" w:space="0" w:color="auto"/>
        <w:bottom w:val="none" w:sz="0" w:space="0" w:color="auto"/>
        <w:right w:val="none" w:sz="0" w:space="0" w:color="auto"/>
      </w:divBdr>
      <w:divsChild>
        <w:div w:id="218830756">
          <w:marLeft w:val="0"/>
          <w:marRight w:val="0"/>
          <w:marTop w:val="0"/>
          <w:marBottom w:val="0"/>
          <w:divBdr>
            <w:top w:val="single" w:sz="4" w:space="0" w:color="081683"/>
            <w:left w:val="single" w:sz="4" w:space="0" w:color="081683"/>
            <w:bottom w:val="single" w:sz="4" w:space="0" w:color="081683"/>
            <w:right w:val="single" w:sz="4" w:space="0" w:color="081683"/>
          </w:divBdr>
          <w:divsChild>
            <w:div w:id="1111438677">
              <w:marLeft w:val="0"/>
              <w:marRight w:val="0"/>
              <w:marTop w:val="0"/>
              <w:marBottom w:val="0"/>
              <w:divBdr>
                <w:top w:val="none" w:sz="0" w:space="0" w:color="auto"/>
                <w:left w:val="none" w:sz="0" w:space="0" w:color="auto"/>
                <w:bottom w:val="none" w:sz="0" w:space="0" w:color="auto"/>
                <w:right w:val="none" w:sz="0" w:space="0" w:color="auto"/>
              </w:divBdr>
              <w:divsChild>
                <w:div w:id="19176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53C7-AD1D-4AA2-B181-30026782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11596</Words>
  <Characters>66099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The so-called ‘persistent objector rule’ is core aspect of mainstream international law theory, which ostensibly holds that if a state persistently objects to a newly emerging norm of customary international law during the formation of that norm, then it</vt:lpstr>
    </vt:vector>
  </TitlesOfParts>
  <Company>University of Reading</Company>
  <LinksUpToDate>false</LinksUpToDate>
  <CharactersWithSpaces>77540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so-called ‘persistent objector rule’ is core aspect of mainstream international law theory, which ostensibly holds that if a state persistently objects to a newly emerging norm of customary international law during the formation of that norm, then it</dc:title>
  <dc:creator>James Green</dc:creator>
  <cp:lastModifiedBy>James Andrew Green</cp:lastModifiedBy>
  <cp:revision>2</cp:revision>
  <cp:lastPrinted>2011-08-01T10:24:00Z</cp:lastPrinted>
  <dcterms:created xsi:type="dcterms:W3CDTF">2011-08-02T09:56:00Z</dcterms:created>
  <dcterms:modified xsi:type="dcterms:W3CDTF">2011-08-02T09:56:00Z</dcterms:modified>
</cp:coreProperties>
</file>