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410" w:rsidRPr="00E01363" w:rsidRDefault="00E01363" w:rsidP="00AC292D">
      <w:pPr>
        <w:rPr>
          <w:b/>
          <w:sz w:val="52"/>
          <w:szCs w:val="52"/>
        </w:rPr>
      </w:pPr>
      <w:r w:rsidRPr="00E01363">
        <w:rPr>
          <w:smallCaps/>
          <w:sz w:val="52"/>
          <w:szCs w:val="52"/>
        </w:rPr>
        <w:t xml:space="preserve">India’s Status </w:t>
      </w:r>
      <w:bookmarkStart w:id="0" w:name="_GoBack"/>
      <w:bookmarkEnd w:id="0"/>
      <w:r w:rsidRPr="00E01363">
        <w:rPr>
          <w:smallCaps/>
          <w:sz w:val="52"/>
          <w:szCs w:val="52"/>
        </w:rPr>
        <w:t>as a Nuclear Weapons Power</w:t>
      </w:r>
      <w:r w:rsidR="006F5183">
        <w:rPr>
          <w:smallCaps/>
          <w:sz w:val="52"/>
          <w:szCs w:val="52"/>
        </w:rPr>
        <w:t xml:space="preserve"> under </w:t>
      </w:r>
      <w:r w:rsidR="006F5183" w:rsidRPr="00E01363">
        <w:rPr>
          <w:smallCaps/>
          <w:sz w:val="52"/>
          <w:szCs w:val="52"/>
        </w:rPr>
        <w:t>Customary International Law</w:t>
      </w:r>
    </w:p>
    <w:p w:rsidR="00C7144B" w:rsidRPr="00600758" w:rsidRDefault="00C7144B" w:rsidP="00400D09">
      <w:pPr>
        <w:jc w:val="center"/>
      </w:pPr>
    </w:p>
    <w:p w:rsidR="0090215F" w:rsidRPr="00600758" w:rsidRDefault="00E01363" w:rsidP="00E01363">
      <w:pPr>
        <w:outlineLvl w:val="0"/>
        <w:rPr>
          <w:smallCaps/>
        </w:rPr>
      </w:pPr>
      <w:r w:rsidRPr="00E01363">
        <w:rPr>
          <w:b/>
          <w:i/>
        </w:rPr>
        <w:t>James</w:t>
      </w:r>
      <w:r w:rsidR="0090215F" w:rsidRPr="00E01363">
        <w:rPr>
          <w:b/>
          <w:i/>
        </w:rPr>
        <w:t xml:space="preserve"> A. Green</w:t>
      </w:r>
      <w:r w:rsidR="0090215F" w:rsidRPr="00600758">
        <w:rPr>
          <w:rStyle w:val="FootnoteReference"/>
          <w:smallCaps/>
        </w:rPr>
        <w:footnoteReference w:customMarkFollows="1" w:id="1"/>
        <w:sym w:font="Symbol" w:char="F02A"/>
      </w:r>
    </w:p>
    <w:p w:rsidR="004C46C4" w:rsidRDefault="004C46C4" w:rsidP="00400D09">
      <w:pPr>
        <w:jc w:val="both"/>
      </w:pPr>
    </w:p>
    <w:p w:rsidR="00E01363" w:rsidRDefault="00E01363" w:rsidP="00400D09">
      <w:pPr>
        <w:pBdr>
          <w:bottom w:val="single" w:sz="6" w:space="1" w:color="auto"/>
        </w:pBdr>
        <w:jc w:val="both"/>
      </w:pPr>
    </w:p>
    <w:p w:rsidR="00E01363" w:rsidRDefault="00E01363" w:rsidP="00400D09">
      <w:pPr>
        <w:pBdr>
          <w:bottom w:val="single" w:sz="6" w:space="1" w:color="auto"/>
        </w:pBdr>
        <w:jc w:val="both"/>
      </w:pPr>
    </w:p>
    <w:p w:rsidR="00E01363" w:rsidRDefault="00E01363" w:rsidP="00400D09">
      <w:pPr>
        <w:jc w:val="both"/>
      </w:pPr>
    </w:p>
    <w:p w:rsidR="00C7144B" w:rsidRPr="004C46C4" w:rsidRDefault="004C46C4" w:rsidP="00E01363">
      <w:pPr>
        <w:tabs>
          <w:tab w:val="left" w:pos="6521"/>
        </w:tabs>
        <w:ind w:right="-46"/>
        <w:jc w:val="both"/>
        <w:rPr>
          <w:i/>
          <w:sz w:val="20"/>
          <w:szCs w:val="20"/>
        </w:rPr>
      </w:pPr>
      <w:r w:rsidRPr="004C46C4">
        <w:rPr>
          <w:i/>
          <w:sz w:val="20"/>
          <w:szCs w:val="20"/>
        </w:rPr>
        <w:t>Were India to be a party to the Treaty on the Non-Proliferation of Nuclear Weapons (NPT), it would be required to disarm its nuclear weapons under Article II of that treaty.  As a non-signatory to the NPT, however, India has never been under a conventional international law obligation to refrain from acquiring, or to give up its possession of, nuclear arms.    Yet an increasing number of scholars have argued that certain provisions of the treaty, including the obligation set out in Article II, have become additionally binding in customary international law.  If this is the case, India could find itself legally required to disarm its nuclear weapons, irrespective of the fact that it is not bound by the NPT directly.  This article examines whether the prohibition on the possession o</w:t>
      </w:r>
      <w:r w:rsidR="00555AEF">
        <w:rPr>
          <w:i/>
          <w:sz w:val="20"/>
          <w:szCs w:val="20"/>
        </w:rPr>
        <w:t>f nuclear arms for all but the officially sanctioned</w:t>
      </w:r>
      <w:r w:rsidRPr="004C46C4">
        <w:rPr>
          <w:i/>
          <w:sz w:val="20"/>
          <w:szCs w:val="20"/>
        </w:rPr>
        <w:t xml:space="preserve"> NPT nuclear powers has indeed taken on a customary international law status.  It is argued that this is probably not the case, though it is true </w:t>
      </w:r>
      <w:r w:rsidR="00555AEF">
        <w:rPr>
          <w:i/>
          <w:sz w:val="20"/>
          <w:szCs w:val="20"/>
        </w:rPr>
        <w:t xml:space="preserve">that </w:t>
      </w:r>
      <w:r w:rsidRPr="004C46C4">
        <w:rPr>
          <w:i/>
          <w:sz w:val="20"/>
          <w:szCs w:val="20"/>
        </w:rPr>
        <w:t>a credible argument can be made in support of the existence of such a customary norm.  It is therefore contended that even if Article II NPT does have additional binding force in custom, India has acquired the status of a ‘persistent objector’ state and therefore nonetheless retains its legal right to possess nuclear weapons.</w:t>
      </w:r>
    </w:p>
    <w:p w:rsidR="00E01363" w:rsidRDefault="00E01363" w:rsidP="00E01363">
      <w:pPr>
        <w:pBdr>
          <w:bottom w:val="single" w:sz="6" w:space="1" w:color="auto"/>
        </w:pBdr>
        <w:jc w:val="both"/>
      </w:pPr>
    </w:p>
    <w:p w:rsidR="004C46C4" w:rsidRDefault="004C46C4" w:rsidP="00400D09">
      <w:pPr>
        <w:jc w:val="center"/>
        <w:rPr>
          <w:b/>
        </w:rPr>
      </w:pPr>
    </w:p>
    <w:p w:rsidR="004C46C4" w:rsidRPr="002D2BE6" w:rsidRDefault="004C46C4" w:rsidP="00400D09">
      <w:pPr>
        <w:jc w:val="center"/>
        <w:rPr>
          <w:b/>
        </w:rPr>
      </w:pPr>
    </w:p>
    <w:p w:rsidR="007A5410" w:rsidRPr="002D2BE6" w:rsidRDefault="00E01363" w:rsidP="00E01363">
      <w:pPr>
        <w:outlineLvl w:val="0"/>
        <w:rPr>
          <w:b/>
          <w:i/>
          <w:sz w:val="28"/>
          <w:szCs w:val="28"/>
        </w:rPr>
      </w:pPr>
      <w:r w:rsidRPr="002D2BE6">
        <w:rPr>
          <w:b/>
          <w:i/>
          <w:sz w:val="28"/>
          <w:szCs w:val="28"/>
        </w:rPr>
        <w:t>I</w:t>
      </w:r>
      <w:r w:rsidRPr="002D2BE6">
        <w:rPr>
          <w:b/>
          <w:i/>
          <w:sz w:val="28"/>
          <w:szCs w:val="28"/>
        </w:rPr>
        <w:tab/>
        <w:t>Introduction</w:t>
      </w:r>
    </w:p>
    <w:p w:rsidR="003A75BF" w:rsidRPr="00600758" w:rsidRDefault="003A75BF" w:rsidP="00400D09">
      <w:pPr>
        <w:jc w:val="both"/>
      </w:pPr>
    </w:p>
    <w:p w:rsidR="00DE7D37" w:rsidRPr="00600758" w:rsidRDefault="007A5410" w:rsidP="003703FD">
      <w:pPr>
        <w:ind w:firstLine="426"/>
        <w:jc w:val="both"/>
      </w:pPr>
      <w:r w:rsidRPr="00600758">
        <w:t>India has always been and remains a non-signatory to the Treaty on the Non-Proliferation of Nuclear Weapons (NPT).</w:t>
      </w:r>
      <w:r w:rsidRPr="00600758">
        <w:rPr>
          <w:rStyle w:val="FootnoteReference"/>
        </w:rPr>
        <w:footnoteReference w:id="2"/>
      </w:r>
      <w:r w:rsidRPr="00600758">
        <w:t xml:space="preserve">   </w:t>
      </w:r>
      <w:r w:rsidR="00586BE0">
        <w:t>T</w:t>
      </w:r>
      <w:r w:rsidRPr="00600758">
        <w:t>herefore</w:t>
      </w:r>
      <w:r w:rsidR="00586BE0">
        <w:t>, India</w:t>
      </w:r>
      <w:r w:rsidRPr="00600758">
        <w:t xml:space="preserve"> is not, and has never been, bound by that treaty.</w:t>
      </w:r>
      <w:r w:rsidR="00861493">
        <w:rPr>
          <w:rStyle w:val="FootnoteReference"/>
        </w:rPr>
        <w:footnoteReference w:id="3"/>
      </w:r>
      <w:r w:rsidRPr="00600758">
        <w:t xml:space="preserve">  </w:t>
      </w:r>
      <w:r w:rsidR="00C7144B" w:rsidRPr="00600758">
        <w:t>The NPT is often said to represent the ‘cornerstone’ of international law’s system of non-proliferation,</w:t>
      </w:r>
      <w:r w:rsidR="00C7144B" w:rsidRPr="00600758">
        <w:rPr>
          <w:rStyle w:val="FootnoteReference"/>
        </w:rPr>
        <w:footnoteReference w:id="4"/>
      </w:r>
      <w:r w:rsidR="00C7144B" w:rsidRPr="00600758">
        <w:t xml:space="preserve"> but it is the cornerstone of a building that India has never </w:t>
      </w:r>
      <w:r w:rsidR="00C7144B" w:rsidRPr="00600758">
        <w:lastRenderedPageBreak/>
        <w:t>entered.</w:t>
      </w:r>
      <w:r w:rsidR="00DE7D37" w:rsidRPr="00600758">
        <w:t xml:space="preserve">  </w:t>
      </w:r>
      <w:r w:rsidR="00B16091">
        <w:t>T</w:t>
      </w:r>
      <w:r w:rsidR="00DE7D37" w:rsidRPr="00600758">
        <w:t xml:space="preserve">he recent </w:t>
      </w:r>
      <w:r w:rsidR="00DE7D37" w:rsidRPr="00600758">
        <w:rPr>
          <w:lang w:eastAsia="en-US"/>
        </w:rPr>
        <w:t xml:space="preserve">Agreement for Cooperation Between the Government of the United States of America and the Government of India Concerning Peaceful Uses of Nuclear </w:t>
      </w:r>
      <w:proofErr w:type="gramStart"/>
      <w:r w:rsidR="00DE7D37" w:rsidRPr="00600758">
        <w:rPr>
          <w:lang w:eastAsia="en-US"/>
        </w:rPr>
        <w:t>Energy</w:t>
      </w:r>
      <w:proofErr w:type="gramEnd"/>
      <w:r w:rsidR="00DE7D37" w:rsidRPr="00600758">
        <w:rPr>
          <w:rStyle w:val="FootnoteReference"/>
        </w:rPr>
        <w:t xml:space="preserve"> </w:t>
      </w:r>
      <w:r w:rsidR="00DE7D37" w:rsidRPr="00600758">
        <w:t>(‘123 Agreement’)</w:t>
      </w:r>
      <w:r w:rsidR="00DE7D37" w:rsidRPr="00600758">
        <w:rPr>
          <w:rStyle w:val="FootnoteReference"/>
        </w:rPr>
        <w:footnoteReference w:id="5"/>
      </w:r>
      <w:r w:rsidR="00DE7D37" w:rsidRPr="00600758">
        <w:t xml:space="preserve">  does to an extent </w:t>
      </w:r>
      <w:r w:rsidR="008A0B46" w:rsidRPr="00600758">
        <w:t>bring</w:t>
      </w:r>
      <w:r w:rsidR="00DE7D37" w:rsidRPr="00600758">
        <w:t xml:space="preserve"> India in from the nuclear wilderness,</w:t>
      </w:r>
      <w:r w:rsidR="00DE7D37" w:rsidRPr="00600758">
        <w:rPr>
          <w:rStyle w:val="FootnoteReference"/>
        </w:rPr>
        <w:footnoteReference w:id="6"/>
      </w:r>
      <w:r w:rsidR="00DE7D37" w:rsidRPr="00600758">
        <w:t xml:space="preserve"> </w:t>
      </w:r>
      <w:r w:rsidR="00B16091">
        <w:t xml:space="preserve">thus setting it somewhat apart from the three other ‘outsider’ nuclear weapons states: Israel, Pakistan and the </w:t>
      </w:r>
      <w:r w:rsidR="00B16091" w:rsidRPr="00600758">
        <w:rPr>
          <w:bCs/>
        </w:rPr>
        <w:t>Democratic People’s Republic of Korea</w:t>
      </w:r>
      <w:r w:rsidR="00B16091" w:rsidRPr="00600758">
        <w:t xml:space="preserve"> (</w:t>
      </w:r>
      <w:proofErr w:type="spellStart"/>
      <w:r w:rsidR="00B16091" w:rsidRPr="00600758">
        <w:rPr>
          <w:bCs/>
        </w:rPr>
        <w:t>DPRK</w:t>
      </w:r>
      <w:proofErr w:type="spellEnd"/>
      <w:r w:rsidR="00B16091" w:rsidRPr="00600758">
        <w:rPr>
          <w:bCs/>
        </w:rPr>
        <w:t>)</w:t>
      </w:r>
      <w:r w:rsidR="00B16091">
        <w:t xml:space="preserve">.  Nonetheless, </w:t>
      </w:r>
      <w:r w:rsidR="00DE7D37" w:rsidRPr="00600758">
        <w:t xml:space="preserve">it is clear that </w:t>
      </w:r>
      <w:r w:rsidR="00093E2C">
        <w:t>the Indo-US deal</w:t>
      </w:r>
      <w:r w:rsidR="00DE7D37" w:rsidRPr="00600758">
        <w:t xml:space="preserve"> does not impose </w:t>
      </w:r>
      <w:r w:rsidR="00B148A4" w:rsidRPr="00600758">
        <w:t xml:space="preserve">NPT </w:t>
      </w:r>
      <w:r w:rsidR="00DE7D37" w:rsidRPr="00600758">
        <w:t>obligations on India even indirectly</w:t>
      </w:r>
      <w:r w:rsidR="00B16091">
        <w:t xml:space="preserve">. </w:t>
      </w:r>
      <w:r w:rsidR="00DE7D37" w:rsidRPr="00600758">
        <w:t xml:space="preserve"> India continues to operate outside of the NPT regime.</w:t>
      </w:r>
      <w:r w:rsidR="00911A2A" w:rsidRPr="00600758">
        <w:rPr>
          <w:rStyle w:val="FootnoteReference"/>
        </w:rPr>
        <w:footnoteReference w:id="7"/>
      </w:r>
      <w:r w:rsidR="00DE7D37" w:rsidRPr="00600758">
        <w:t xml:space="preserve"> </w:t>
      </w:r>
    </w:p>
    <w:p w:rsidR="00C7144B" w:rsidRPr="00600758" w:rsidRDefault="00C7144B" w:rsidP="00400D09">
      <w:pPr>
        <w:jc w:val="both"/>
      </w:pPr>
    </w:p>
    <w:p w:rsidR="007A5410" w:rsidRPr="00600758" w:rsidRDefault="00B16091" w:rsidP="003703FD">
      <w:pPr>
        <w:ind w:firstLine="426"/>
        <w:jc w:val="both"/>
      </w:pPr>
      <w:r>
        <w:t>I</w:t>
      </w:r>
      <w:r w:rsidR="007A5410" w:rsidRPr="00600758">
        <w:t xml:space="preserve">t is </w:t>
      </w:r>
      <w:r w:rsidR="00093E2C">
        <w:t xml:space="preserve">increasingly being </w:t>
      </w:r>
      <w:r w:rsidR="007A5410" w:rsidRPr="00600758">
        <w:t>argued by some scholars</w:t>
      </w:r>
      <w:r>
        <w:t>, however,</w:t>
      </w:r>
      <w:r w:rsidR="007A5410" w:rsidRPr="00600758">
        <w:t xml:space="preserve"> that certain provisions of the NPT have acquired binding force through their subsequent adoption into </w:t>
      </w:r>
      <w:r w:rsidR="007A5410" w:rsidRPr="00093E2C">
        <w:rPr>
          <w:i/>
        </w:rPr>
        <w:t>customary international law</w:t>
      </w:r>
      <w:r w:rsidR="007A5410" w:rsidRPr="00600758">
        <w:t>.</w:t>
      </w:r>
      <w:r w:rsidR="00911A2A" w:rsidRPr="00600758">
        <w:rPr>
          <w:rStyle w:val="FootnoteReference"/>
        </w:rPr>
        <w:footnoteReference w:id="8"/>
      </w:r>
      <w:r w:rsidR="007A5410" w:rsidRPr="00600758">
        <w:t xml:space="preserve">  Rules of custom</w:t>
      </w:r>
      <w:r>
        <w:t xml:space="preserve"> </w:t>
      </w:r>
      <w:r w:rsidR="007A5410" w:rsidRPr="00600758">
        <w:t xml:space="preserve">bind all states </w:t>
      </w:r>
      <w:r w:rsidR="007A5410" w:rsidRPr="00600758">
        <w:rPr>
          <w:i/>
        </w:rPr>
        <w:t>prima facie</w:t>
      </w:r>
      <w:r w:rsidR="007A5410" w:rsidRPr="00600758">
        <w:t>.</w:t>
      </w:r>
      <w:r w:rsidR="007A5410" w:rsidRPr="00600758">
        <w:rPr>
          <w:rStyle w:val="FootnoteReference"/>
        </w:rPr>
        <w:footnoteReference w:id="9"/>
      </w:r>
      <w:r w:rsidR="007A5410" w:rsidRPr="00600758">
        <w:t xml:space="preserve">  </w:t>
      </w:r>
      <w:r w:rsidR="00C7144B" w:rsidRPr="00600758">
        <w:t>One implication of a finding that key provisions of the NPT are also binding in custom, then, would be that India is</w:t>
      </w:r>
      <w:r w:rsidR="00B148A4" w:rsidRPr="00600758">
        <w:t xml:space="preserve"> </w:t>
      </w:r>
      <w:r w:rsidR="00B148A4" w:rsidRPr="00600758">
        <w:rPr>
          <w:i/>
        </w:rPr>
        <w:t>prima facie</w:t>
      </w:r>
      <w:r w:rsidR="00B148A4" w:rsidRPr="00600758">
        <w:t xml:space="preserve"> </w:t>
      </w:r>
      <w:r w:rsidR="00C7144B" w:rsidRPr="00600758">
        <w:t>in breach of international law simply</w:t>
      </w:r>
      <w:r w:rsidR="00B148A4" w:rsidRPr="00600758">
        <w:t xml:space="preserve"> by</w:t>
      </w:r>
      <w:r w:rsidR="00C7144B" w:rsidRPr="00600758">
        <w:t xml:space="preserve"> possessing nuclear weapons, as this is something prohibited for all but the five ‘</w:t>
      </w:r>
      <w:r w:rsidR="00B148A4" w:rsidRPr="00600758">
        <w:t>official</w:t>
      </w:r>
      <w:r w:rsidR="00C7144B" w:rsidRPr="00600758">
        <w:t>’ nuclear weapon</w:t>
      </w:r>
      <w:r w:rsidR="00FA029C">
        <w:t>s</w:t>
      </w:r>
      <w:r w:rsidR="00C7144B" w:rsidRPr="00600758">
        <w:t xml:space="preserve"> states under Article II of the NPT.  In other words, </w:t>
      </w:r>
      <w:r w:rsidR="007A5410" w:rsidRPr="00600758">
        <w:t>India would have the status of a non-signatory state – technically a ‘non-nuclear weapons state’ under the NPT framework – that is nonetheless bound</w:t>
      </w:r>
      <w:r w:rsidR="00B148A4" w:rsidRPr="00600758">
        <w:t xml:space="preserve"> to disarm its nuclear arsenal and </w:t>
      </w:r>
      <w:r w:rsidR="006D16B3">
        <w:t xml:space="preserve">then </w:t>
      </w:r>
      <w:r w:rsidR="00B148A4" w:rsidRPr="00600758">
        <w:t xml:space="preserve">refrain from </w:t>
      </w:r>
      <w:r w:rsidR="006D16B3">
        <w:t>(re)</w:t>
      </w:r>
      <w:r w:rsidR="00B148A4" w:rsidRPr="00600758">
        <w:t>obtaining any nuclear arms in the future</w:t>
      </w:r>
      <w:r w:rsidR="007A5410" w:rsidRPr="00600758">
        <w:t xml:space="preserve">, albeit not directly by </w:t>
      </w:r>
      <w:r w:rsidR="00B148A4" w:rsidRPr="00600758">
        <w:t xml:space="preserve">way of </w:t>
      </w:r>
      <w:r w:rsidR="007A5410" w:rsidRPr="00600758">
        <w:t>the NPT itself.</w:t>
      </w:r>
    </w:p>
    <w:p w:rsidR="007A5410" w:rsidRPr="00600758" w:rsidRDefault="007A5410" w:rsidP="00400D09">
      <w:pPr>
        <w:jc w:val="both"/>
      </w:pPr>
    </w:p>
    <w:p w:rsidR="007A5410" w:rsidRPr="00600758" w:rsidRDefault="00093E2C" w:rsidP="003703FD">
      <w:pPr>
        <w:ind w:firstLine="426"/>
        <w:jc w:val="both"/>
      </w:pPr>
      <w:r>
        <w:t>Having said this, there is a</w:t>
      </w:r>
      <w:r w:rsidR="007A5410" w:rsidRPr="00600758">
        <w:t xml:space="preserve"> possible exception to customary international law’s universal</w:t>
      </w:r>
      <w:r w:rsidR="00586BE0">
        <w:t>ly</w:t>
      </w:r>
      <w:r w:rsidR="007A5410" w:rsidRPr="00600758">
        <w:t xml:space="preserve"> binding force</w:t>
      </w:r>
      <w:r>
        <w:t xml:space="preserve">: </w:t>
      </w:r>
      <w:r w:rsidR="007A5410" w:rsidRPr="00600758">
        <w:t>the so-called ‘persistent objector rule’.  This rule provides that ‘a State which persistently objects to a rule of customary international law during the formative stages of that rule will not be bound by it when it comes into existence.’</w:t>
      </w:r>
      <w:r w:rsidR="007A5410" w:rsidRPr="00600758">
        <w:rPr>
          <w:rStyle w:val="FootnoteReference"/>
        </w:rPr>
        <w:footnoteReference w:id="10"/>
      </w:r>
      <w:r w:rsidR="007A5410" w:rsidRPr="00600758">
        <w:t xml:space="preserve">  States are thus – at least in theory – not bound by new customary rules to which they have persistently objected.  The continued practice of post-nuclear India in rejecting specific aspects (and indeed the very nature) of the legal nuclear non-proliferation regime would certainly fit the model of a ‘persistent objector’ state.  It can therefore be argued that India should be viewed not merely as a non-signatory to the NPT, but also as a persistent objector to any customary </w:t>
      </w:r>
      <w:r w:rsidR="00B148A4" w:rsidRPr="00600758">
        <w:t xml:space="preserve">international law </w:t>
      </w:r>
      <w:r w:rsidR="00C7144B" w:rsidRPr="00600758">
        <w:t xml:space="preserve">norms that </w:t>
      </w:r>
      <w:r>
        <w:t xml:space="preserve">may ‘mirror’ </w:t>
      </w:r>
      <w:r w:rsidR="006D16B3">
        <w:t xml:space="preserve">the </w:t>
      </w:r>
      <w:r w:rsidR="00B148A4" w:rsidRPr="00600758">
        <w:t>provisions of th</w:t>
      </w:r>
      <w:r>
        <w:t>at</w:t>
      </w:r>
      <w:r w:rsidR="00B148A4" w:rsidRPr="00600758">
        <w:t xml:space="preserve"> treaty</w:t>
      </w:r>
      <w:r w:rsidR="007A5410" w:rsidRPr="00600758">
        <w:t>.</w:t>
      </w:r>
    </w:p>
    <w:p w:rsidR="007A5410" w:rsidRPr="00600758" w:rsidRDefault="007A5410" w:rsidP="00400D09">
      <w:pPr>
        <w:jc w:val="both"/>
      </w:pPr>
    </w:p>
    <w:p w:rsidR="007A5410" w:rsidRPr="00600758" w:rsidRDefault="00C7144B" w:rsidP="003703FD">
      <w:pPr>
        <w:ind w:firstLine="426"/>
        <w:jc w:val="both"/>
      </w:pPr>
      <w:r w:rsidRPr="00600758">
        <w:t xml:space="preserve">This article considers, </w:t>
      </w:r>
      <w:r w:rsidR="00D97F76" w:rsidRPr="00600758">
        <w:t>first</w:t>
      </w:r>
      <w:r w:rsidRPr="00600758">
        <w:t>, whether Article II of the NPT may have acquired additional binding force under customary international law</w:t>
      </w:r>
      <w:r w:rsidR="0090215F" w:rsidRPr="00600758">
        <w:t>, as some scholars have argued</w:t>
      </w:r>
      <w:r w:rsidRPr="00600758">
        <w:t>.  Such a claim is highly debatable</w:t>
      </w:r>
      <w:r w:rsidR="0090215F" w:rsidRPr="00600758">
        <w:t xml:space="preserve">, but can be credibly </w:t>
      </w:r>
      <w:r w:rsidR="00D97F76" w:rsidRPr="00600758">
        <w:t>made</w:t>
      </w:r>
      <w:r w:rsidRPr="00600758">
        <w:t xml:space="preserve">.  Secondly, </w:t>
      </w:r>
      <w:r w:rsidR="00D97F76" w:rsidRPr="00600758">
        <w:t xml:space="preserve">there follows an examination of </w:t>
      </w:r>
      <w:r w:rsidRPr="00600758">
        <w:t xml:space="preserve">India’s possible </w:t>
      </w:r>
      <w:r w:rsidR="00D97F76" w:rsidRPr="00600758">
        <w:t xml:space="preserve">persistent objector </w:t>
      </w:r>
      <w:r w:rsidRPr="00600758">
        <w:t xml:space="preserve">status to any such customary </w:t>
      </w:r>
      <w:r w:rsidR="00D97F76" w:rsidRPr="00600758">
        <w:t>prohibition on the acquisition or possession of nuclear weapons (for all but the ‘official’ NPT nuclear weapon</w:t>
      </w:r>
      <w:r w:rsidR="00FA029C">
        <w:t>s</w:t>
      </w:r>
      <w:r w:rsidR="00D97F76" w:rsidRPr="00600758">
        <w:t xml:space="preserve"> states), assuming </w:t>
      </w:r>
      <w:r w:rsidR="006D16B3">
        <w:t xml:space="preserve">that </w:t>
      </w:r>
      <w:r w:rsidRPr="00600758">
        <w:t>one accepts that this customary obligation exists at all.</w:t>
      </w:r>
      <w:r w:rsidR="00093E2C">
        <w:t xml:space="preserve">  As a non-signatory to the NPT, </w:t>
      </w:r>
      <w:r w:rsidR="006D16B3">
        <w:t>it is undisputable that India has every right</w:t>
      </w:r>
      <w:r w:rsidR="00093E2C">
        <w:t xml:space="preserve">, under conventional international law, to possess nuclear weapons.  The aim of this article is to </w:t>
      </w:r>
      <w:r w:rsidR="006D16B3">
        <w:t>clarify</w:t>
      </w:r>
      <w:r w:rsidR="00093E2C">
        <w:t xml:space="preserve"> India’s nuclear </w:t>
      </w:r>
      <w:r w:rsidR="006D16B3">
        <w:t xml:space="preserve">weapons </w:t>
      </w:r>
      <w:r w:rsidR="00093E2C">
        <w:t xml:space="preserve">power status </w:t>
      </w:r>
      <w:r w:rsidR="006D16B3">
        <w:t>under</w:t>
      </w:r>
      <w:r w:rsidR="00093E2C">
        <w:t xml:space="preserve"> customary international law.</w:t>
      </w:r>
    </w:p>
    <w:p w:rsidR="00884A98" w:rsidRPr="00600758" w:rsidRDefault="00884A98" w:rsidP="00400D09"/>
    <w:p w:rsidR="00191CEB" w:rsidRPr="002D2BE6" w:rsidRDefault="002D2BE6" w:rsidP="002D2BE6">
      <w:pPr>
        <w:outlineLvl w:val="0"/>
        <w:rPr>
          <w:b/>
          <w:i/>
          <w:sz w:val="28"/>
          <w:szCs w:val="28"/>
        </w:rPr>
      </w:pPr>
      <w:r w:rsidRPr="002D2BE6">
        <w:rPr>
          <w:b/>
          <w:i/>
          <w:sz w:val="28"/>
          <w:szCs w:val="28"/>
        </w:rPr>
        <w:t>II</w:t>
      </w:r>
      <w:r w:rsidRPr="002D2BE6">
        <w:rPr>
          <w:b/>
          <w:i/>
          <w:sz w:val="28"/>
          <w:szCs w:val="28"/>
        </w:rPr>
        <w:tab/>
      </w:r>
      <w:proofErr w:type="gramStart"/>
      <w:r w:rsidR="00191CEB" w:rsidRPr="002D2BE6">
        <w:rPr>
          <w:b/>
          <w:i/>
          <w:sz w:val="28"/>
          <w:szCs w:val="28"/>
        </w:rPr>
        <w:t>T</w:t>
      </w:r>
      <w:r w:rsidRPr="002D2BE6">
        <w:rPr>
          <w:b/>
          <w:i/>
          <w:sz w:val="28"/>
          <w:szCs w:val="28"/>
        </w:rPr>
        <w:t>he</w:t>
      </w:r>
      <w:proofErr w:type="gramEnd"/>
      <w:r w:rsidRPr="002D2BE6">
        <w:rPr>
          <w:b/>
          <w:i/>
          <w:sz w:val="28"/>
          <w:szCs w:val="28"/>
        </w:rPr>
        <w:t xml:space="preserve"> Customary Status of Article II of the NPT</w:t>
      </w:r>
    </w:p>
    <w:p w:rsidR="00884A98" w:rsidRPr="00600758" w:rsidRDefault="00884A98" w:rsidP="00400D09"/>
    <w:p w:rsidR="00884A98" w:rsidRPr="002D2BE6" w:rsidRDefault="002D2BE6" w:rsidP="00ED6253">
      <w:pPr>
        <w:jc w:val="both"/>
        <w:outlineLvl w:val="0"/>
        <w:rPr>
          <w:b/>
          <w:i/>
        </w:rPr>
      </w:pPr>
      <w:r>
        <w:rPr>
          <w:b/>
          <w:i/>
        </w:rPr>
        <w:t>A</w:t>
      </w:r>
      <w:r w:rsidR="00D555B7">
        <w:rPr>
          <w:b/>
          <w:i/>
        </w:rPr>
        <w:t xml:space="preserve">    </w:t>
      </w:r>
      <w:r w:rsidR="00C7144B" w:rsidRPr="002D2BE6">
        <w:rPr>
          <w:b/>
          <w:i/>
        </w:rPr>
        <w:t xml:space="preserve">Background to the </w:t>
      </w:r>
      <w:r w:rsidR="00C7144B" w:rsidRPr="003703FD">
        <w:rPr>
          <w:b/>
          <w:i/>
        </w:rPr>
        <w:t>NPT Regime</w:t>
      </w:r>
      <w:r w:rsidR="00191CEB" w:rsidRPr="002D2BE6">
        <w:rPr>
          <w:b/>
          <w:i/>
        </w:rPr>
        <w:t xml:space="preserve"> and the Substance of Article II</w:t>
      </w:r>
    </w:p>
    <w:p w:rsidR="00884A98" w:rsidRPr="00600758" w:rsidRDefault="00884A98" w:rsidP="00400D09">
      <w:pPr>
        <w:jc w:val="both"/>
      </w:pPr>
    </w:p>
    <w:p w:rsidR="00884A98" w:rsidRPr="00600758" w:rsidRDefault="00884A98" w:rsidP="003703FD">
      <w:pPr>
        <w:ind w:firstLine="426"/>
        <w:jc w:val="both"/>
      </w:pPr>
      <w:r w:rsidRPr="00600758">
        <w:t>This article is not the place to examine the nuclear non-proliferation regime under international law in any detail,</w:t>
      </w:r>
      <w:r w:rsidRPr="00600758">
        <w:rPr>
          <w:rStyle w:val="FootnoteReference"/>
        </w:rPr>
        <w:footnoteReference w:id="11"/>
      </w:r>
      <w:r w:rsidRPr="00600758">
        <w:t xml:space="preserve"> but a very bri</w:t>
      </w:r>
      <w:r w:rsidR="00C7144B" w:rsidRPr="00600758">
        <w:t>ef summary is here necessary.  I</w:t>
      </w:r>
      <w:r w:rsidRPr="00600758">
        <w:t>t is often stated</w:t>
      </w:r>
      <w:r w:rsidR="00C7144B" w:rsidRPr="00600758">
        <w:t>, as noted above,</w:t>
      </w:r>
      <w:r w:rsidRPr="00600758">
        <w:t xml:space="preserve"> that the NPT represents the ‘cornerstone’ of international law’s system of non-proliferation.</w:t>
      </w:r>
      <w:r w:rsidRPr="00600758">
        <w:rPr>
          <w:rStyle w:val="FootnoteReference"/>
        </w:rPr>
        <w:footnoteReference w:id="12"/>
      </w:r>
      <w:r w:rsidRPr="00600758">
        <w:t xml:space="preserve">  As is well known, the treaty provides the underpinning legal framework in this area by setting out a system of differentiated obligations between two groups of states: nuclear weapon</w:t>
      </w:r>
      <w:r w:rsidR="00FA029C">
        <w:t>s</w:t>
      </w:r>
      <w:r w:rsidRPr="00600758">
        <w:t xml:space="preserve"> states (NWS)</w:t>
      </w:r>
      <w:r w:rsidRPr="00600758">
        <w:rPr>
          <w:rStyle w:val="FootnoteReference"/>
        </w:rPr>
        <w:footnoteReference w:id="13"/>
      </w:r>
      <w:r w:rsidRPr="00600758">
        <w:t xml:space="preserve"> and non-nuclear weapon</w:t>
      </w:r>
      <w:r w:rsidR="00FA029C">
        <w:t>s</w:t>
      </w:r>
      <w:r w:rsidRPr="00600758">
        <w:t xml:space="preserve"> states (NNWS).</w:t>
      </w:r>
      <w:r w:rsidRPr="00600758">
        <w:rPr>
          <w:rStyle w:val="FootnoteReference"/>
        </w:rPr>
        <w:footnoteReference w:id="14"/>
      </w:r>
      <w:r w:rsidRPr="00600758">
        <w:t xml:space="preserve">  The NPT embodies and formalises a ‘grand bargain’ between these two groups.</w:t>
      </w:r>
      <w:r w:rsidRPr="00600758">
        <w:rPr>
          <w:rStyle w:val="FootnoteReference"/>
        </w:rPr>
        <w:footnoteReference w:id="15"/>
      </w:r>
      <w:r w:rsidRPr="00600758">
        <w:t xml:space="preserve">  By entering into the legal framework of the NPT, the NNWS undertook not to seek to acquire, by any means, nuclear weapons.</w:t>
      </w:r>
      <w:r w:rsidRPr="00600758">
        <w:rPr>
          <w:rStyle w:val="FootnoteReference"/>
        </w:rPr>
        <w:footnoteReference w:id="16"/>
      </w:r>
      <w:r w:rsidRPr="00600758">
        <w:t xml:space="preserve">  These states also accepted an obligation to conclude safeguard agreements with the International Atomic Energy Agency (IAEA) to monitor their peaceful uses of nuclear energy and to be restricted by such agreements in the context of the transfer of nuclear materials or technology for peaceful purposes.</w:t>
      </w:r>
      <w:r w:rsidRPr="00600758">
        <w:rPr>
          <w:rStyle w:val="FootnoteReference"/>
        </w:rPr>
        <w:footnoteReference w:id="17"/>
      </w:r>
      <w:r w:rsidRPr="00600758">
        <w:t xml:space="preserve"> </w:t>
      </w:r>
    </w:p>
    <w:p w:rsidR="00884A98" w:rsidRPr="00600758" w:rsidRDefault="00884A98" w:rsidP="00400D09">
      <w:pPr>
        <w:jc w:val="both"/>
      </w:pPr>
    </w:p>
    <w:p w:rsidR="00884A98" w:rsidRPr="00600758" w:rsidRDefault="00884A98" w:rsidP="003703FD">
      <w:pPr>
        <w:ind w:firstLine="426"/>
        <w:jc w:val="both"/>
      </w:pPr>
      <w:r w:rsidRPr="00600758">
        <w:t>In return for this promise on the part of the NNWS to curtail the glo</w:t>
      </w:r>
      <w:r w:rsidR="00D97F76" w:rsidRPr="00600758">
        <w:t>bal spread of nuclear armaments –</w:t>
      </w:r>
      <w:r w:rsidRPr="00600758">
        <w:t xml:space="preserve"> and </w:t>
      </w:r>
      <w:r w:rsidR="00D97F76" w:rsidRPr="00600758">
        <w:t xml:space="preserve">to </w:t>
      </w:r>
      <w:r w:rsidRPr="00600758">
        <w:t>concede their pre-</w:t>
      </w:r>
      <w:r w:rsidR="00D97F76" w:rsidRPr="00600758">
        <w:t xml:space="preserve">existing right to acquire them – </w:t>
      </w:r>
      <w:r w:rsidRPr="00600758">
        <w:t>the NPT reaffirmed the ‘inherent right’ of all states to pursue peaceful uses of nuclear energy.</w:t>
      </w:r>
      <w:r w:rsidRPr="00600758">
        <w:rPr>
          <w:rStyle w:val="FootnoteReference"/>
        </w:rPr>
        <w:footnoteReference w:id="18"/>
      </w:r>
      <w:r w:rsidRPr="00600758">
        <w:t xml:space="preserve">  Furthermore, the NWS undertook to refrain from the proliferation of nuclear weapons (or technologies that could lead to their development),</w:t>
      </w:r>
      <w:r w:rsidRPr="00600758">
        <w:rPr>
          <w:rStyle w:val="FootnoteReference"/>
        </w:rPr>
        <w:footnoteReference w:id="19"/>
      </w:r>
      <w:r w:rsidRPr="00600758">
        <w:t xml:space="preserve"> gave a commitment to facilitate the </w:t>
      </w:r>
      <w:r w:rsidR="006D16B3">
        <w:t>advancement</w:t>
      </w:r>
      <w:r w:rsidRPr="00600758">
        <w:t xml:space="preserve"> of peaceful uses of nuclear energy in other states,</w:t>
      </w:r>
      <w:r w:rsidRPr="00600758">
        <w:rPr>
          <w:rStyle w:val="FootnoteReference"/>
        </w:rPr>
        <w:footnoteReference w:id="20"/>
      </w:r>
      <w:r w:rsidRPr="00600758">
        <w:t xml:space="preserve"> and, finally, agreed to move towards complete nuclear disarmament themselves.</w:t>
      </w:r>
      <w:r w:rsidRPr="00600758">
        <w:rPr>
          <w:rStyle w:val="FootnoteReference"/>
        </w:rPr>
        <w:footnoteReference w:id="21"/>
      </w:r>
      <w:r w:rsidRPr="00600758">
        <w:t xml:space="preserve">  The law regarding non-proliferation, then, is essentially premised on the bargain at the heart of the NPT between the nuclear ‘haves’ and ‘have-nots’.</w:t>
      </w:r>
      <w:r w:rsidR="00523DB3" w:rsidRPr="00600758">
        <w:rPr>
          <w:rStyle w:val="FootnoteReference"/>
        </w:rPr>
        <w:footnoteReference w:id="22"/>
      </w:r>
    </w:p>
    <w:p w:rsidR="00884A98" w:rsidRDefault="00884A98" w:rsidP="00400D09">
      <w:pPr>
        <w:jc w:val="both"/>
      </w:pPr>
    </w:p>
    <w:p w:rsidR="00884A98" w:rsidRPr="00600758" w:rsidRDefault="008C3043" w:rsidP="003703FD">
      <w:pPr>
        <w:ind w:firstLine="426"/>
        <w:jc w:val="both"/>
      </w:pPr>
      <w:r>
        <w:t xml:space="preserve">Under the NPT framework, India </w:t>
      </w:r>
      <w:r w:rsidR="00F170CF">
        <w:t>(</w:t>
      </w:r>
      <w:r>
        <w:t>along with a small handful of other states</w:t>
      </w:r>
      <w:r w:rsidR="00F170CF">
        <w:t>)</w:t>
      </w:r>
      <w:r>
        <w:t xml:space="preserve"> is in the anomalous position of being a </w:t>
      </w:r>
      <w:r w:rsidRPr="008C3043">
        <w:rPr>
          <w:i/>
        </w:rPr>
        <w:t>de facto</w:t>
      </w:r>
      <w:r>
        <w:t xml:space="preserve"> nuclear ‘have’, while at the same time being classed as a </w:t>
      </w:r>
      <w:r w:rsidRPr="008C3043">
        <w:rPr>
          <w:i/>
        </w:rPr>
        <w:t>de jure</w:t>
      </w:r>
      <w:r>
        <w:t xml:space="preserve"> nuclear ‘have-not’.  </w:t>
      </w:r>
      <w:r w:rsidR="00884A98" w:rsidRPr="00600758">
        <w:t>India</w:t>
      </w:r>
      <w:r w:rsidR="00273D15">
        <w:t xml:space="preserve"> clearly</w:t>
      </w:r>
      <w:r w:rsidR="00884A98" w:rsidRPr="00600758">
        <w:t xml:space="preserve"> does not meet the </w:t>
      </w:r>
      <w:proofErr w:type="spellStart"/>
      <w:r w:rsidR="00884A98" w:rsidRPr="00600758">
        <w:t>NPT’s</w:t>
      </w:r>
      <w:proofErr w:type="spellEnd"/>
      <w:r w:rsidR="00884A98" w:rsidRPr="00600758">
        <w:t xml:space="preserve"> definition for a NWS, in that it had not ‘manufactured and exploded a nuclear weapon’ prior to 1 January 1967.</w:t>
      </w:r>
      <w:r w:rsidR="00884A98" w:rsidRPr="00600758">
        <w:rPr>
          <w:rStyle w:val="FootnoteReference"/>
        </w:rPr>
        <w:footnoteReference w:id="23"/>
      </w:r>
      <w:r w:rsidR="00884A98" w:rsidRPr="00600758">
        <w:t xml:space="preserve">  Under the NPT, then, India is viewed as a NNWS.  </w:t>
      </w:r>
      <w:r w:rsidR="00F170CF">
        <w:t xml:space="preserve">Yet </w:t>
      </w:r>
      <w:r w:rsidR="00884A98" w:rsidRPr="00600758">
        <w:t xml:space="preserve">India has </w:t>
      </w:r>
      <w:r w:rsidR="00F170CF">
        <w:t xml:space="preserve">in effect </w:t>
      </w:r>
      <w:r w:rsidR="00884A98" w:rsidRPr="00600758">
        <w:t xml:space="preserve">been part of the ‘nuclear powers club’ since the </w:t>
      </w:r>
      <w:proofErr w:type="spellStart"/>
      <w:r w:rsidR="00884A98" w:rsidRPr="00600758">
        <w:rPr>
          <w:rStyle w:val="Emphasis"/>
          <w:i w:val="0"/>
          <w:color w:val="000000"/>
        </w:rPr>
        <w:t>Pokhran</w:t>
      </w:r>
      <w:proofErr w:type="spellEnd"/>
      <w:r w:rsidR="00884A98" w:rsidRPr="00600758">
        <w:rPr>
          <w:rStyle w:val="Emphasis"/>
          <w:i w:val="0"/>
          <w:color w:val="000000"/>
        </w:rPr>
        <w:t>-I</w:t>
      </w:r>
      <w:r w:rsidR="00884A98" w:rsidRPr="00600758">
        <w:t xml:space="preserve"> tests of 1974 and </w:t>
      </w:r>
      <w:r w:rsidR="00D97F76" w:rsidRPr="00600758">
        <w:t>the detonations of what India termed ‘peaceful nuclear explosions’ (</w:t>
      </w:r>
      <w:proofErr w:type="spellStart"/>
      <w:r w:rsidR="00D97F76" w:rsidRPr="00600758">
        <w:t>PNEs</w:t>
      </w:r>
      <w:proofErr w:type="spellEnd"/>
      <w:r w:rsidR="00D97F76" w:rsidRPr="00600758">
        <w:t>)</w:t>
      </w:r>
      <w:r w:rsidR="00884A98" w:rsidRPr="00600758">
        <w:t>.</w:t>
      </w:r>
      <w:r w:rsidR="00884A98" w:rsidRPr="00600758">
        <w:rPr>
          <w:rStyle w:val="FootnoteReference"/>
        </w:rPr>
        <w:footnoteReference w:id="24"/>
      </w:r>
      <w:r w:rsidR="00884A98" w:rsidRPr="00600758">
        <w:t xml:space="preserve">  This </w:t>
      </w:r>
      <w:r w:rsidR="00884A98" w:rsidRPr="00600758">
        <w:rPr>
          <w:i/>
        </w:rPr>
        <w:t>de facto</w:t>
      </w:r>
      <w:r w:rsidR="00884A98" w:rsidRPr="00600758">
        <w:t xml:space="preserve"> status </w:t>
      </w:r>
      <w:r w:rsidR="00F170CF">
        <w:t xml:space="preserve">as a nuclear weapons state </w:t>
      </w:r>
      <w:r w:rsidR="00884A98" w:rsidRPr="00600758">
        <w:t xml:space="preserve">was obviously </w:t>
      </w:r>
      <w:r w:rsidR="00D97F76" w:rsidRPr="00600758">
        <w:t xml:space="preserve">firmly </w:t>
      </w:r>
      <w:r w:rsidR="00884A98" w:rsidRPr="00600758">
        <w:t xml:space="preserve">underlined by the 1998 </w:t>
      </w:r>
      <w:proofErr w:type="spellStart"/>
      <w:r w:rsidR="00884A98" w:rsidRPr="00600758">
        <w:rPr>
          <w:rStyle w:val="Emphasis"/>
          <w:i w:val="0"/>
          <w:color w:val="000000"/>
        </w:rPr>
        <w:t>Pokhran</w:t>
      </w:r>
      <w:proofErr w:type="spellEnd"/>
      <w:r w:rsidR="00884A98" w:rsidRPr="00600758">
        <w:rPr>
          <w:rStyle w:val="Emphasis"/>
          <w:i w:val="0"/>
          <w:color w:val="000000"/>
        </w:rPr>
        <w:t>-II</w:t>
      </w:r>
      <w:r w:rsidR="00884A98" w:rsidRPr="00600758">
        <w:t xml:space="preserve"> tests and India’s explicit self-declaration of nuclear </w:t>
      </w:r>
      <w:proofErr w:type="spellStart"/>
      <w:r w:rsidR="00884A98" w:rsidRPr="00600758">
        <w:t>weaponisation</w:t>
      </w:r>
      <w:proofErr w:type="spellEnd"/>
      <w:r w:rsidR="00884A98" w:rsidRPr="00600758">
        <w:t>.</w:t>
      </w:r>
      <w:r w:rsidR="00884A98" w:rsidRPr="00600758">
        <w:rPr>
          <w:rStyle w:val="FootnoteReference"/>
        </w:rPr>
        <w:footnoteReference w:id="25"/>
      </w:r>
      <w:r w:rsidR="00884A98" w:rsidRPr="00600758">
        <w:t xml:space="preserve">  Nonetheless, at least as the regime of the NPT </w:t>
      </w:r>
      <w:r w:rsidR="002F7431" w:rsidRPr="00600758">
        <w:t xml:space="preserve">currently functions, India is officially a </w:t>
      </w:r>
      <w:r w:rsidR="00884A98" w:rsidRPr="00600758">
        <w:t>NNWS.</w:t>
      </w:r>
      <w:r w:rsidR="00191CEB" w:rsidRPr="00600758">
        <w:rPr>
          <w:rStyle w:val="FootnoteReference"/>
        </w:rPr>
        <w:footnoteReference w:id="26"/>
      </w:r>
      <w:r w:rsidR="00884A98" w:rsidRPr="00600758">
        <w:t xml:space="preserve">  </w:t>
      </w:r>
    </w:p>
    <w:p w:rsidR="00884A98" w:rsidRPr="00600758" w:rsidRDefault="00884A98" w:rsidP="00400D09">
      <w:pPr>
        <w:jc w:val="both"/>
      </w:pPr>
    </w:p>
    <w:p w:rsidR="008C3043" w:rsidRPr="00600758" w:rsidRDefault="008C3043" w:rsidP="003703FD">
      <w:pPr>
        <w:ind w:firstLine="426"/>
        <w:jc w:val="both"/>
      </w:pPr>
      <w:r w:rsidRPr="00600758">
        <w:t xml:space="preserve">The key provision of the NPT </w:t>
      </w:r>
      <w:r>
        <w:t xml:space="preserve">in relation to India’s nuclear weapons power </w:t>
      </w:r>
      <w:r w:rsidR="00FA029C">
        <w:t xml:space="preserve">status </w:t>
      </w:r>
      <w:r w:rsidRPr="00600758">
        <w:t>is Article II, which provides:</w:t>
      </w:r>
    </w:p>
    <w:p w:rsidR="008C3043" w:rsidRPr="00600758" w:rsidRDefault="008C3043" w:rsidP="00400D09">
      <w:pPr>
        <w:jc w:val="both"/>
      </w:pPr>
    </w:p>
    <w:p w:rsidR="008C3043" w:rsidRPr="00600758" w:rsidRDefault="008C3043" w:rsidP="00400D09">
      <w:pPr>
        <w:ind w:left="709" w:right="651"/>
        <w:jc w:val="both"/>
      </w:pPr>
      <w:r w:rsidRPr="00600758">
        <w:t>Each non-nuclear-weapon State Party to the Treaty undertakes not to receive the transfer from any transferor whatsoever of nuclear weapons or other nuclear explosive devices or of control over such weapons or explosive devices directly, or indirectly; not to manufacture or otherwise acquire nuclear weapons or other nuclear explosive devices; and not to seek or receive any assistance in the manufacture of nuclear weapons or other nuclear explosive devices.</w:t>
      </w:r>
      <w:r w:rsidRPr="00600758">
        <w:rPr>
          <w:rStyle w:val="FootnoteReference"/>
        </w:rPr>
        <w:footnoteReference w:id="27"/>
      </w:r>
    </w:p>
    <w:p w:rsidR="008C3043" w:rsidRDefault="008C3043" w:rsidP="00400D09">
      <w:pPr>
        <w:jc w:val="both"/>
      </w:pPr>
    </w:p>
    <w:p w:rsidR="00884A98" w:rsidRPr="00600758" w:rsidRDefault="00884A98" w:rsidP="00400D09">
      <w:pPr>
        <w:jc w:val="both"/>
      </w:pPr>
      <w:r w:rsidRPr="00600758">
        <w:t xml:space="preserve">Thus </w:t>
      </w:r>
      <w:r w:rsidR="00191CEB" w:rsidRPr="00600758">
        <w:t xml:space="preserve">if India were to become </w:t>
      </w:r>
      <w:r w:rsidR="002F7431" w:rsidRPr="00600758">
        <w:t xml:space="preserve">an NPT party – </w:t>
      </w:r>
      <w:r w:rsidR="00191CEB" w:rsidRPr="00600758">
        <w:t xml:space="preserve">something which will simply not happen under the current </w:t>
      </w:r>
      <w:r w:rsidR="002F7431" w:rsidRPr="00600758">
        <w:t>NPT framework</w:t>
      </w:r>
      <w:r w:rsidR="00191CEB" w:rsidRPr="00600758">
        <w:t>, but let u</w:t>
      </w:r>
      <w:r w:rsidR="002F7431" w:rsidRPr="00600758">
        <w:t xml:space="preserve">s suspend </w:t>
      </w:r>
      <w:r w:rsidR="008C3043">
        <w:t xml:space="preserve">our </w:t>
      </w:r>
      <w:r w:rsidR="002F7431" w:rsidRPr="00600758">
        <w:t xml:space="preserve">disbelief momentarily – </w:t>
      </w:r>
      <w:r w:rsidR="003703FD">
        <w:t>given that it is</w:t>
      </w:r>
      <w:r w:rsidR="00891811" w:rsidRPr="00600758">
        <w:t xml:space="preserve"> technically</w:t>
      </w:r>
      <w:r w:rsidRPr="00600758">
        <w:t xml:space="preserve"> a NNWS in possession of nuclear weapons, it would be bound under Article II to </w:t>
      </w:r>
      <w:r w:rsidRPr="00600758">
        <w:lastRenderedPageBreak/>
        <w:t xml:space="preserve">disarm all existing nuclear arms and to desist from producing or acquiring any more.  Of course, India will never join the NPT as a NNWS, but if the obligation contained within Article II can also be considered as binding under </w:t>
      </w:r>
      <w:r w:rsidRPr="00600758">
        <w:rPr>
          <w:i/>
        </w:rPr>
        <w:t>customary international law</w:t>
      </w:r>
      <w:r w:rsidRPr="00600758">
        <w:t>, then India would similarly be obliged to give up its nuclear arsenal, irrespective of the fact that it is not bound to do so directly under the NPT.</w:t>
      </w:r>
    </w:p>
    <w:p w:rsidR="00884A98" w:rsidRPr="00600758" w:rsidRDefault="00884A98" w:rsidP="00400D09">
      <w:pPr>
        <w:jc w:val="both"/>
      </w:pPr>
    </w:p>
    <w:p w:rsidR="00191CEB" w:rsidRPr="003703FD" w:rsidRDefault="003703FD" w:rsidP="00ED6253">
      <w:pPr>
        <w:jc w:val="both"/>
        <w:outlineLvl w:val="0"/>
        <w:rPr>
          <w:b/>
          <w:i/>
        </w:rPr>
      </w:pPr>
      <w:r w:rsidRPr="003703FD">
        <w:rPr>
          <w:b/>
          <w:i/>
        </w:rPr>
        <w:t xml:space="preserve">B    </w:t>
      </w:r>
      <w:r>
        <w:rPr>
          <w:b/>
          <w:i/>
        </w:rPr>
        <w:t>Is Article II of the NPT also B</w:t>
      </w:r>
      <w:r w:rsidR="00191CEB" w:rsidRPr="003703FD">
        <w:rPr>
          <w:b/>
          <w:i/>
        </w:rPr>
        <w:t>inding in Customary International Law?</w:t>
      </w:r>
    </w:p>
    <w:p w:rsidR="00191CEB" w:rsidRPr="00600758" w:rsidRDefault="00191CEB" w:rsidP="00400D09">
      <w:pPr>
        <w:jc w:val="both"/>
      </w:pPr>
    </w:p>
    <w:p w:rsidR="00511936" w:rsidRDefault="00884A98" w:rsidP="003703FD">
      <w:pPr>
        <w:ind w:firstLine="426"/>
        <w:jc w:val="both"/>
      </w:pPr>
      <w:r w:rsidRPr="00600758">
        <w:t>The key question, then, is whether Article II NPT also has binding status unde</w:t>
      </w:r>
      <w:r w:rsidR="00191CEB" w:rsidRPr="00600758">
        <w:t>r customary international law</w:t>
      </w:r>
      <w:r w:rsidR="00273D15">
        <w:t xml:space="preserve"> (or, perhaps more accurately, whether the </w:t>
      </w:r>
      <w:r w:rsidR="00273D15" w:rsidRPr="00273D15">
        <w:rPr>
          <w:i/>
        </w:rPr>
        <w:t>obligation</w:t>
      </w:r>
      <w:r w:rsidR="00273D15">
        <w:t xml:space="preserve"> contained in Article II NPT is additionally a rule of custom)</w:t>
      </w:r>
      <w:r w:rsidR="00191CEB" w:rsidRPr="00600758">
        <w:t xml:space="preserve">.  It is certainly possible for customary legal rules to stem initially from </w:t>
      </w:r>
      <w:r w:rsidR="00273D15">
        <w:t>provisions</w:t>
      </w:r>
      <w:r w:rsidR="00191CEB" w:rsidRPr="00600758">
        <w:t xml:space="preserve"> in multilateral treaties and become binding on non-parties.</w:t>
      </w:r>
      <w:r w:rsidR="00191CEB" w:rsidRPr="00600758">
        <w:rPr>
          <w:rStyle w:val="FootnoteReference"/>
        </w:rPr>
        <w:footnoteReference w:id="28"/>
      </w:r>
      <w:r w:rsidR="00511936">
        <w:t xml:space="preserve">  As D’Amato has phrased this:</w:t>
      </w:r>
    </w:p>
    <w:p w:rsidR="00511936" w:rsidRDefault="00511936" w:rsidP="00400D09">
      <w:pPr>
        <w:jc w:val="both"/>
      </w:pPr>
    </w:p>
    <w:p w:rsidR="00511936" w:rsidRPr="00620D60" w:rsidRDefault="00511936" w:rsidP="00400D09">
      <w:pPr>
        <w:autoSpaceDE w:val="0"/>
        <w:autoSpaceDN w:val="0"/>
        <w:adjustRightInd w:val="0"/>
        <w:ind w:left="709" w:right="1229"/>
        <w:jc w:val="both"/>
      </w:pPr>
      <w:r w:rsidRPr="00620D60">
        <w:t>A treaty is obviously not equivalent to custom; it binds only the parties, and binds them only according to the enforcement provisions contained in the treaty itself.</w:t>
      </w:r>
      <w:r>
        <w:t xml:space="preserve"> </w:t>
      </w:r>
      <w:r w:rsidRPr="00620D60">
        <w:t xml:space="preserve"> However, rules in treaties reach beyond the parties because a treaty itself constitutes state practice.</w:t>
      </w:r>
      <w:r>
        <w:rPr>
          <w:rStyle w:val="FootnoteReference"/>
        </w:rPr>
        <w:footnoteReference w:id="29"/>
      </w:r>
    </w:p>
    <w:p w:rsidR="00511936" w:rsidRDefault="00191CEB" w:rsidP="00400D09">
      <w:pPr>
        <w:jc w:val="both"/>
      </w:pPr>
      <w:r w:rsidRPr="00600758">
        <w:t xml:space="preserve">  </w:t>
      </w:r>
    </w:p>
    <w:p w:rsidR="00884A98" w:rsidRPr="00600758" w:rsidRDefault="00191CEB" w:rsidP="003703FD">
      <w:pPr>
        <w:ind w:firstLine="426"/>
        <w:jc w:val="both"/>
      </w:pPr>
      <w:r w:rsidRPr="00600758">
        <w:t xml:space="preserve">Yet, as with customary international law more generally, the customary status of any given treaty rule </w:t>
      </w:r>
      <w:r w:rsidR="00891811" w:rsidRPr="00600758">
        <w:t xml:space="preserve">ultimately turns on whether said rule has been sufficiently practiced, and whether states have accepted the rule as being customary international law (the </w:t>
      </w:r>
      <w:proofErr w:type="spellStart"/>
      <w:r w:rsidR="00891811" w:rsidRPr="00600758">
        <w:rPr>
          <w:i/>
        </w:rPr>
        <w:t>opinio</w:t>
      </w:r>
      <w:proofErr w:type="spellEnd"/>
      <w:r w:rsidR="00891811" w:rsidRPr="00600758">
        <w:rPr>
          <w:i/>
        </w:rPr>
        <w:t xml:space="preserve"> </w:t>
      </w:r>
      <w:proofErr w:type="spellStart"/>
      <w:r w:rsidR="00891811" w:rsidRPr="00600758">
        <w:rPr>
          <w:i/>
        </w:rPr>
        <w:t>juris</w:t>
      </w:r>
      <w:proofErr w:type="spellEnd"/>
      <w:r w:rsidR="00891811" w:rsidRPr="00600758">
        <w:t xml:space="preserve"> element).</w:t>
      </w:r>
      <w:r w:rsidR="00891811" w:rsidRPr="00600758">
        <w:rPr>
          <w:rStyle w:val="FootnoteReference"/>
        </w:rPr>
        <w:footnoteReference w:id="30"/>
      </w:r>
      <w:r w:rsidR="00891811" w:rsidRPr="00600758">
        <w:t xml:space="preserve">  </w:t>
      </w:r>
      <w:r w:rsidR="00884A98" w:rsidRPr="00600758">
        <w:t xml:space="preserve">A number of writers have taken the view that </w:t>
      </w:r>
      <w:r w:rsidR="00F170CF">
        <w:t>some</w:t>
      </w:r>
      <w:r w:rsidR="00884A98" w:rsidRPr="00600758">
        <w:t xml:space="preserve"> of the treaty-based nuclear non-proliferation norms contained in the NPT have become part of customary international law.</w:t>
      </w:r>
      <w:r w:rsidR="00884A98" w:rsidRPr="00600758">
        <w:rPr>
          <w:rStyle w:val="FootnoteReference"/>
        </w:rPr>
        <w:footnoteReference w:id="31"/>
      </w:r>
      <w:r w:rsidR="00884A98" w:rsidRPr="00600758">
        <w:t xml:space="preserve">  However, Article II NPT can only be viewed as being customary law if sufficient state practice and </w:t>
      </w:r>
      <w:proofErr w:type="spellStart"/>
      <w:r w:rsidR="00884A98" w:rsidRPr="00600758">
        <w:rPr>
          <w:i/>
        </w:rPr>
        <w:t>opinio</w:t>
      </w:r>
      <w:proofErr w:type="spellEnd"/>
      <w:r w:rsidR="00884A98" w:rsidRPr="00600758">
        <w:rPr>
          <w:i/>
        </w:rPr>
        <w:t xml:space="preserve"> </w:t>
      </w:r>
      <w:proofErr w:type="spellStart"/>
      <w:r w:rsidR="00884A98" w:rsidRPr="00600758">
        <w:rPr>
          <w:i/>
        </w:rPr>
        <w:t>juris</w:t>
      </w:r>
      <w:proofErr w:type="spellEnd"/>
      <w:r w:rsidR="00884A98" w:rsidRPr="00600758">
        <w:t xml:space="preserve"> are present.  </w:t>
      </w:r>
    </w:p>
    <w:p w:rsidR="00884A98" w:rsidRPr="00600758" w:rsidRDefault="00884A98" w:rsidP="00400D09">
      <w:pPr>
        <w:jc w:val="both"/>
      </w:pPr>
    </w:p>
    <w:p w:rsidR="00884A98" w:rsidRPr="00600758" w:rsidRDefault="00884A98" w:rsidP="003703FD">
      <w:pPr>
        <w:ind w:firstLine="426"/>
        <w:jc w:val="both"/>
      </w:pPr>
      <w:r w:rsidRPr="00600758">
        <w:t xml:space="preserve">With regard to </w:t>
      </w:r>
      <w:r w:rsidR="00191CEB" w:rsidRPr="00600758">
        <w:t xml:space="preserve">the </w:t>
      </w:r>
      <w:r w:rsidRPr="00600758">
        <w:t>state practice</w:t>
      </w:r>
      <w:r w:rsidR="00191CEB" w:rsidRPr="00600758">
        <w:t xml:space="preserve"> element</w:t>
      </w:r>
      <w:r w:rsidRPr="00600758">
        <w:t>, those writers that claim the customary status of certain NPT provisions point to the fact that the NPT enjoys near-universal membership and adherence.</w:t>
      </w:r>
      <w:r w:rsidRPr="00600758">
        <w:rPr>
          <w:rStyle w:val="FootnoteReference"/>
        </w:rPr>
        <w:footnoteReference w:id="32"/>
      </w:r>
      <w:r w:rsidRPr="00600758">
        <w:t xml:space="preserve">  As of Ma</w:t>
      </w:r>
      <w:r w:rsidR="00634926">
        <w:t>y</w:t>
      </w:r>
      <w:r w:rsidRPr="00600758">
        <w:t xml:space="preserve"> 2011, the NPT has 189 states parties.</w:t>
      </w:r>
      <w:r w:rsidRPr="00600758">
        <w:rPr>
          <w:rStyle w:val="FootnoteReference"/>
        </w:rPr>
        <w:footnoteReference w:id="33"/>
      </w:r>
      <w:r w:rsidRPr="00600758">
        <w:t xml:space="preserve">  In 1996, when the treaty had </w:t>
      </w:r>
      <w:r w:rsidRPr="00600758">
        <w:lastRenderedPageBreak/>
        <w:t>182 states parties, the I</w:t>
      </w:r>
      <w:r w:rsidR="00B148A4" w:rsidRPr="00600758">
        <w:t>nternational Court of Justice (I</w:t>
      </w:r>
      <w:r w:rsidRPr="00600758">
        <w:t>CJ</w:t>
      </w:r>
      <w:r w:rsidR="00B148A4" w:rsidRPr="00600758">
        <w:t>)</w:t>
      </w:r>
      <w:r w:rsidRPr="00600758">
        <w:t xml:space="preserve"> referred to this group of states – which has since grown – as ‘the vast majority of the international community.’</w:t>
      </w:r>
      <w:r w:rsidRPr="00600758">
        <w:rPr>
          <w:rStyle w:val="FootnoteReference"/>
        </w:rPr>
        <w:footnoteReference w:id="34"/>
      </w:r>
      <w:r w:rsidRPr="00600758">
        <w:t xml:space="preserve">  Moreover, the NNWS that are party to the NPT have for the most part adhered to the obligations of the regime.  As </w:t>
      </w:r>
      <w:proofErr w:type="spellStart"/>
      <w:r w:rsidRPr="00600758">
        <w:t>Kittrie</w:t>
      </w:r>
      <w:proofErr w:type="spellEnd"/>
      <w:r w:rsidRPr="00600758">
        <w:t xml:space="preserve"> notes, ‘State practice in the early 1990s, and indeed still today, manifests more compliance than with many of the most widely recognised customary international law norms.’</w:t>
      </w:r>
      <w:r w:rsidRPr="00600758">
        <w:rPr>
          <w:rStyle w:val="FootnoteReference"/>
        </w:rPr>
        <w:footnoteReference w:id="35"/>
      </w:r>
      <w:r w:rsidRPr="00600758">
        <w:t xml:space="preserve">  </w:t>
      </w:r>
    </w:p>
    <w:p w:rsidR="00884A98" w:rsidRPr="00600758" w:rsidRDefault="00884A98" w:rsidP="00400D09">
      <w:pPr>
        <w:jc w:val="both"/>
      </w:pPr>
    </w:p>
    <w:p w:rsidR="00F170CF" w:rsidRDefault="00884A98" w:rsidP="003703FD">
      <w:pPr>
        <w:ind w:firstLine="426"/>
        <w:jc w:val="both"/>
      </w:pPr>
      <w:r w:rsidRPr="00600758">
        <w:t xml:space="preserve">Admittedly, certain NNWS have been accused of ‘displaying schizophrenic tendencies’ in the context of campaigning for NWS nuclear disarmament under </w:t>
      </w:r>
      <w:r w:rsidR="00891811" w:rsidRPr="00600758">
        <w:t xml:space="preserve">NPT </w:t>
      </w:r>
      <w:r w:rsidRPr="00600758">
        <w:t>Article VI.</w:t>
      </w:r>
      <w:r w:rsidRPr="00600758">
        <w:rPr>
          <w:rStyle w:val="FootnoteReference"/>
        </w:rPr>
        <w:footnoteReference w:id="36"/>
      </w:r>
      <w:r w:rsidRPr="00600758">
        <w:t xml:space="preserve">  Moreover, in the context of Article VI, it is clear that NWS have consistently flouted their obligation to move in good faith towards nuclear disarmament.</w:t>
      </w:r>
      <w:r w:rsidRPr="00600758">
        <w:rPr>
          <w:rStyle w:val="FootnoteReference"/>
        </w:rPr>
        <w:footnoteReference w:id="37"/>
      </w:r>
      <w:r w:rsidRPr="00600758">
        <w:t xml:space="preserve">  This ongoing neglect of Article VI was noted </w:t>
      </w:r>
      <w:r w:rsidRPr="00600758">
        <w:rPr>
          <w:i/>
        </w:rPr>
        <w:t>obiter dicta</w:t>
      </w:r>
      <w:r w:rsidRPr="00600758">
        <w:t xml:space="preserve"> by the ICJ in its advisory opinion on the </w:t>
      </w:r>
      <w:r w:rsidRPr="00600758">
        <w:rPr>
          <w:i/>
        </w:rPr>
        <w:t>Legality of the Threat or Use of Nuclear Weapons</w:t>
      </w:r>
      <w:r w:rsidRPr="00600758">
        <w:t>.</w:t>
      </w:r>
      <w:r w:rsidRPr="00600758">
        <w:rPr>
          <w:rStyle w:val="FootnoteReference"/>
        </w:rPr>
        <w:footnoteReference w:id="38"/>
      </w:r>
      <w:r w:rsidRPr="00600758">
        <w:t xml:space="preserve">  Indeed, the Court pointed that Article VI constituted an ‘obligation to achieve a precise result – nuclear disarmament in all its aspects.’</w:t>
      </w:r>
      <w:r w:rsidRPr="00600758">
        <w:rPr>
          <w:rStyle w:val="FootnoteReference"/>
        </w:rPr>
        <w:footnoteReference w:id="39"/>
      </w:r>
      <w:r w:rsidR="00891811" w:rsidRPr="00600758">
        <w:t xml:space="preserve">  </w:t>
      </w:r>
      <w:r w:rsidR="00F170CF">
        <w:t xml:space="preserve">It is therefore impossible to view </w:t>
      </w:r>
      <w:r w:rsidRPr="00600758">
        <w:t>Article VI as being additionally binding in customary international law.</w:t>
      </w:r>
      <w:r w:rsidRPr="00600758">
        <w:rPr>
          <w:rStyle w:val="FootnoteReference"/>
        </w:rPr>
        <w:footnoteReference w:id="40"/>
      </w:r>
      <w:r w:rsidRPr="00600758">
        <w:t xml:space="preserve">  However, this is not particularly relevant in the context of the current analysis, as Article VI relates to the possession of nuclear weapons by NWS.  </w:t>
      </w:r>
      <w:r w:rsidR="00F170CF">
        <w:t>The obligation contained in Article VI would be inapplicable to India even if it was additionally binding under customary international law: India does not qualify as a NWS.</w:t>
      </w:r>
    </w:p>
    <w:p w:rsidR="00F170CF" w:rsidRDefault="00F170CF" w:rsidP="00400D09">
      <w:pPr>
        <w:jc w:val="both"/>
      </w:pPr>
    </w:p>
    <w:p w:rsidR="00884A98" w:rsidRPr="00600758" w:rsidRDefault="00934BC5" w:rsidP="003703FD">
      <w:pPr>
        <w:ind w:firstLine="426"/>
        <w:jc w:val="both"/>
      </w:pPr>
      <w:r>
        <w:t>The</w:t>
      </w:r>
      <w:r w:rsidR="00F170CF">
        <w:t>refore, in the context of this paper, the</w:t>
      </w:r>
      <w:r>
        <w:t xml:space="preserve"> finding that the obligation contained in Article VI is not customary simply underlines the fact one cannot view the NPT as having been </w:t>
      </w:r>
      <w:r w:rsidR="00F170CF">
        <w:t>adopted into custom wholesale.  I</w:t>
      </w:r>
      <w:r>
        <w:t>t does not mean that other provisions of the treaty are incapable of tak</w:t>
      </w:r>
      <w:r w:rsidR="00F170CF">
        <w:t>ing</w:t>
      </w:r>
      <w:r>
        <w:t xml:space="preserve"> on a binding character in custom.  </w:t>
      </w:r>
      <w:r w:rsidR="00884A98" w:rsidRPr="00600758">
        <w:t>I</w:t>
      </w:r>
      <w:r w:rsidR="00F170CF">
        <w:t>n contrast to</w:t>
      </w:r>
      <w:r w:rsidR="00FA029C">
        <w:t xml:space="preserve"> Article VI, it is notable that a survey of the </w:t>
      </w:r>
      <w:r w:rsidR="00884A98" w:rsidRPr="00600758">
        <w:t>state practice relating to Article II</w:t>
      </w:r>
      <w:r w:rsidR="00F170CF">
        <w:t xml:space="preserve"> (an obligation that </w:t>
      </w:r>
      <w:r w:rsidR="00F170CF" w:rsidRPr="00F170CF">
        <w:rPr>
          <w:i/>
        </w:rPr>
        <w:t>c</w:t>
      </w:r>
      <w:r w:rsidR="00884A98" w:rsidRPr="00F170CF">
        <w:rPr>
          <w:i/>
        </w:rPr>
        <w:t>ould</w:t>
      </w:r>
      <w:r w:rsidR="00884A98" w:rsidRPr="00600758">
        <w:t xml:space="preserve"> be applicable to India un</w:t>
      </w:r>
      <w:r w:rsidR="00F170CF">
        <w:t>der customary international law, given that</w:t>
      </w:r>
      <w:r w:rsidR="00884A98" w:rsidRPr="00600758">
        <w:t xml:space="preserve"> </w:t>
      </w:r>
      <w:r w:rsidR="00F170CF">
        <w:t>it is</w:t>
      </w:r>
      <w:r w:rsidR="00FA7051">
        <w:t xml:space="preserve"> technically a </w:t>
      </w:r>
      <w:r w:rsidR="00884A98" w:rsidRPr="00600758">
        <w:t>NNWS state</w:t>
      </w:r>
      <w:r w:rsidR="00FA029C">
        <w:t>)</w:t>
      </w:r>
      <w:r w:rsidR="00F170CF">
        <w:t xml:space="preserve"> indicates that </w:t>
      </w:r>
      <w:r w:rsidR="00884A98" w:rsidRPr="00600758">
        <w:t>adherence is widespread.</w:t>
      </w:r>
      <w:r w:rsidR="00884A98" w:rsidRPr="00600758">
        <w:rPr>
          <w:rStyle w:val="FootnoteReference"/>
        </w:rPr>
        <w:footnoteReference w:id="41"/>
      </w:r>
    </w:p>
    <w:p w:rsidR="00884A98" w:rsidRPr="00600758" w:rsidRDefault="00884A98" w:rsidP="00400D09">
      <w:pPr>
        <w:jc w:val="both"/>
      </w:pPr>
    </w:p>
    <w:p w:rsidR="00884A98" w:rsidRPr="00600758" w:rsidRDefault="00884A98" w:rsidP="003703FD">
      <w:pPr>
        <w:ind w:firstLine="426"/>
        <w:jc w:val="both"/>
        <w:rPr>
          <w:highlight w:val="yellow"/>
        </w:rPr>
      </w:pPr>
      <w:r w:rsidRPr="00600758">
        <w:t xml:space="preserve">Of course, such adherence is not universal: there are obviously notable absentees from the NPT.  India aside, Israel, Pakistan and </w:t>
      </w:r>
      <w:r w:rsidR="00725559" w:rsidRPr="00600758">
        <w:t xml:space="preserve">the </w:t>
      </w:r>
      <w:proofErr w:type="spellStart"/>
      <w:r w:rsidR="00B16091">
        <w:t>DPRK</w:t>
      </w:r>
      <w:proofErr w:type="spellEnd"/>
      <w:r w:rsidR="00B16091">
        <w:t xml:space="preserve"> </w:t>
      </w:r>
      <w:r w:rsidRPr="00600758">
        <w:t xml:space="preserve">also all possess nuclear weapons </w:t>
      </w:r>
      <w:r w:rsidRPr="00600758">
        <w:rPr>
          <w:i/>
        </w:rPr>
        <w:t>de facto</w:t>
      </w:r>
      <w:r w:rsidRPr="00600758">
        <w:t xml:space="preserve"> – despite </w:t>
      </w:r>
      <w:r w:rsidR="00891811" w:rsidRPr="00600758">
        <w:t>‘official’</w:t>
      </w:r>
      <w:r w:rsidRPr="00600758">
        <w:t xml:space="preserve"> NNWS status under the NPT – </w:t>
      </w:r>
      <w:r w:rsidR="00891811" w:rsidRPr="00600758">
        <w:t>and</w:t>
      </w:r>
      <w:r w:rsidRPr="00600758">
        <w:t xml:space="preserve"> are non-parties to the treaty.</w:t>
      </w:r>
      <w:r w:rsidRPr="00600758">
        <w:rPr>
          <w:rStyle w:val="FootnoteReference"/>
        </w:rPr>
        <w:footnoteReference w:id="42"/>
      </w:r>
      <w:r w:rsidRPr="00600758">
        <w:t xml:space="preserve">  Yet th</w:t>
      </w:r>
      <w:r w:rsidR="00934BC5">
        <w:t>e</w:t>
      </w:r>
      <w:r w:rsidRPr="00600758">
        <w:t xml:space="preserve"> handful of technical NNWS states operating outside the regime does not necessarily debar the customary status of some of the NPT NNWS rules, including Article II.  Universal </w:t>
      </w:r>
      <w:r w:rsidRPr="00600758">
        <w:lastRenderedPageBreak/>
        <w:t>practice is certainly not required for customary international law formation</w:t>
      </w:r>
      <w:r w:rsidRPr="00600758">
        <w:rPr>
          <w:rStyle w:val="FootnoteReference"/>
        </w:rPr>
        <w:footnoteReference w:id="43"/>
      </w:r>
      <w:r w:rsidRPr="00600758">
        <w:t xml:space="preserve"> and, </w:t>
      </w:r>
      <w:r w:rsidR="00891811" w:rsidRPr="00600758">
        <w:t>as will be discussed in the next section</w:t>
      </w:r>
      <w:r w:rsidRPr="00600758">
        <w:t>, these states could be viewed as persistent objectors anyway.</w:t>
      </w:r>
    </w:p>
    <w:p w:rsidR="00884A98" w:rsidRPr="00600758" w:rsidRDefault="00884A98" w:rsidP="00400D09">
      <w:pPr>
        <w:jc w:val="both"/>
      </w:pPr>
    </w:p>
    <w:p w:rsidR="00884A98" w:rsidRPr="00600758" w:rsidRDefault="00934BC5" w:rsidP="003703FD">
      <w:pPr>
        <w:ind w:firstLine="426"/>
        <w:jc w:val="both"/>
      </w:pPr>
      <w:r>
        <w:t>It is notable that w</w:t>
      </w:r>
      <w:r w:rsidR="00884A98" w:rsidRPr="00600758">
        <w:t xml:space="preserve">ith regard to </w:t>
      </w:r>
      <w:r w:rsidR="00725559" w:rsidRPr="00600758">
        <w:t xml:space="preserve">the </w:t>
      </w:r>
      <w:proofErr w:type="spellStart"/>
      <w:r w:rsidR="00725559" w:rsidRPr="00600758">
        <w:t>DPRK</w:t>
      </w:r>
      <w:r w:rsidR="00884A98" w:rsidRPr="00600758">
        <w:t>’s</w:t>
      </w:r>
      <w:proofErr w:type="spellEnd"/>
      <w:r w:rsidR="00884A98" w:rsidRPr="00600758">
        <w:t xml:space="preserve"> nuclear weapons policy, particularly since 2003, the </w:t>
      </w:r>
      <w:r w:rsidR="006B28BA">
        <w:t xml:space="preserve">United Nations (UN) </w:t>
      </w:r>
      <w:r w:rsidR="00884A98" w:rsidRPr="00600758">
        <w:t xml:space="preserve">Security Council has held that </w:t>
      </w:r>
      <w:r w:rsidR="00725559" w:rsidRPr="00600758">
        <w:t>the DPRK</w:t>
      </w:r>
      <w:r w:rsidR="00884A98" w:rsidRPr="00600758">
        <w:t xml:space="preserve"> remains bound by provisions of the NPT relating to NNWS, in spite of it having withdrawn from the treaty.</w:t>
      </w:r>
      <w:r w:rsidR="00884A98" w:rsidRPr="00600758">
        <w:rPr>
          <w:rStyle w:val="FootnoteReference"/>
        </w:rPr>
        <w:footnoteReference w:id="44"/>
      </w:r>
      <w:r w:rsidR="00884A98" w:rsidRPr="00600758">
        <w:t xml:space="preserve">  This would suggest implicit acceptance of the customary status of the key provisions applicable to NNWS</w:t>
      </w:r>
      <w:r w:rsidR="00891811" w:rsidRPr="00600758">
        <w:t xml:space="preserve"> by the Security Council</w:t>
      </w:r>
      <w:r w:rsidR="00884A98" w:rsidRPr="00600758">
        <w:t xml:space="preserve">, </w:t>
      </w:r>
      <w:r w:rsidR="00891811" w:rsidRPr="00600758">
        <w:t>in that</w:t>
      </w:r>
      <w:r w:rsidR="00884A98" w:rsidRPr="00600758">
        <w:t xml:space="preserve"> this </w:t>
      </w:r>
      <w:r w:rsidR="00891811" w:rsidRPr="00600758">
        <w:t xml:space="preserve">is the most logical explanation of why the Council saw </w:t>
      </w:r>
      <w:r w:rsidR="00725559" w:rsidRPr="00600758">
        <w:t>the DPRK</w:t>
      </w:r>
      <w:r w:rsidR="00891811" w:rsidRPr="00600758">
        <w:t xml:space="preserve"> </w:t>
      </w:r>
      <w:r w:rsidR="00884A98" w:rsidRPr="00600758">
        <w:t>as still be</w:t>
      </w:r>
      <w:r w:rsidR="00891811" w:rsidRPr="00600758">
        <w:t>ing</w:t>
      </w:r>
      <w:r w:rsidR="00884A98" w:rsidRPr="00600758">
        <w:t xml:space="preserve"> bound by these NPT obligations.</w:t>
      </w:r>
      <w:r w:rsidR="00884A98" w:rsidRPr="00600758">
        <w:rPr>
          <w:rStyle w:val="FootnoteReference"/>
        </w:rPr>
        <w:footnoteReference w:id="45"/>
      </w:r>
    </w:p>
    <w:p w:rsidR="00884A98" w:rsidRPr="00600758" w:rsidRDefault="00884A98" w:rsidP="00400D09">
      <w:pPr>
        <w:jc w:val="both"/>
      </w:pPr>
    </w:p>
    <w:p w:rsidR="00884A98" w:rsidRDefault="00C56C89" w:rsidP="003703FD">
      <w:pPr>
        <w:ind w:firstLine="426"/>
        <w:jc w:val="both"/>
      </w:pPr>
      <w:r>
        <w:t>A</w:t>
      </w:r>
      <w:r w:rsidR="00884A98" w:rsidRPr="00600758">
        <w:t xml:space="preserve"> </w:t>
      </w:r>
      <w:r w:rsidR="00DE7D37" w:rsidRPr="00600758">
        <w:t>credible</w:t>
      </w:r>
      <w:r w:rsidR="00884A98" w:rsidRPr="00600758">
        <w:t xml:space="preserve"> case can be made that there exists sufficient state practice with regard to Article II NPT.  However, the extent of supporting </w:t>
      </w:r>
      <w:proofErr w:type="spellStart"/>
      <w:r w:rsidR="00884A98" w:rsidRPr="00600758">
        <w:rPr>
          <w:i/>
        </w:rPr>
        <w:t>opinio</w:t>
      </w:r>
      <w:proofErr w:type="spellEnd"/>
      <w:r w:rsidR="00884A98" w:rsidRPr="00600758">
        <w:rPr>
          <w:i/>
        </w:rPr>
        <w:t xml:space="preserve"> </w:t>
      </w:r>
      <w:proofErr w:type="spellStart"/>
      <w:r w:rsidR="00884A98" w:rsidRPr="00600758">
        <w:rPr>
          <w:i/>
        </w:rPr>
        <w:t>juris</w:t>
      </w:r>
      <w:proofErr w:type="spellEnd"/>
      <w:r w:rsidR="00884A98" w:rsidRPr="00600758">
        <w:t xml:space="preserve"> for the prohibition on the possession of nuclear weapons is somewhat less evident.  It is rather rare for states to explicitly endorse the customary nature of NPT rules.  </w:t>
      </w:r>
      <w:r w:rsidR="00934BC5">
        <w:t>T</w:t>
      </w:r>
      <w:r w:rsidR="00884A98" w:rsidRPr="00600758">
        <w:t xml:space="preserve">his is not to say that no such examples exist.  States have on occasion explicitly argued that NPT rules are binding in </w:t>
      </w:r>
      <w:r w:rsidR="00891811" w:rsidRPr="00600758">
        <w:t>customary international law</w:t>
      </w:r>
      <w:r w:rsidR="00884A98" w:rsidRPr="00600758">
        <w:t>: take, for example, Venezuela’s repeated affirmation of this view during the Conference on Disarmament.</w:t>
      </w:r>
      <w:r w:rsidR="00884A98" w:rsidRPr="00600758">
        <w:rPr>
          <w:rStyle w:val="FootnoteReference"/>
        </w:rPr>
        <w:footnoteReference w:id="46"/>
      </w:r>
      <w:r w:rsidR="00B548B7">
        <w:t xml:space="preserve">  Such evidence of explicit </w:t>
      </w:r>
      <w:proofErr w:type="spellStart"/>
      <w:r w:rsidR="00B548B7" w:rsidRPr="00B548B7">
        <w:rPr>
          <w:i/>
        </w:rPr>
        <w:t>opinio</w:t>
      </w:r>
      <w:proofErr w:type="spellEnd"/>
      <w:r w:rsidR="00B548B7" w:rsidRPr="00B548B7">
        <w:rPr>
          <w:i/>
        </w:rPr>
        <w:t xml:space="preserve"> </w:t>
      </w:r>
      <w:proofErr w:type="spellStart"/>
      <w:r w:rsidR="00B548B7" w:rsidRPr="00B548B7">
        <w:rPr>
          <w:i/>
        </w:rPr>
        <w:t>juris</w:t>
      </w:r>
      <w:proofErr w:type="spellEnd"/>
      <w:r w:rsidR="00B548B7">
        <w:t xml:space="preserve"> to this effect, though, is notable because of its scarcity.</w:t>
      </w:r>
    </w:p>
    <w:p w:rsidR="00C56C89" w:rsidRDefault="00C56C89" w:rsidP="00400D09">
      <w:pPr>
        <w:jc w:val="both"/>
      </w:pPr>
    </w:p>
    <w:p w:rsidR="00C56C89" w:rsidRPr="00600758" w:rsidRDefault="00C56C89" w:rsidP="003703FD">
      <w:pPr>
        <w:ind w:firstLine="426"/>
        <w:jc w:val="both"/>
      </w:pPr>
      <w:r w:rsidRPr="00600758">
        <w:t>The inexact process by which customary international law comes into being means that there is a good deal of latitude to co</w:t>
      </w:r>
      <w:r w:rsidR="0035333D">
        <w:t>nstruct a claim that any given norm has or has not taken on customary status</w:t>
      </w:r>
      <w:r w:rsidRPr="00600758">
        <w:t>.</w:t>
      </w:r>
      <w:r w:rsidRPr="00600758">
        <w:rPr>
          <w:rStyle w:val="FootnoteReference"/>
        </w:rPr>
        <w:footnoteReference w:id="47"/>
      </w:r>
      <w:r w:rsidRPr="00600758">
        <w:t xml:space="preserve">  One must be very careful in unilaterally asserting that a rule – an</w:t>
      </w:r>
      <w:r>
        <w:t xml:space="preserve">y rule – is binding in custom.  </w:t>
      </w:r>
      <w:r w:rsidRPr="00600758">
        <w:t>This is partic</w:t>
      </w:r>
      <w:r>
        <w:t>ularly pronounced when the rule</w:t>
      </w:r>
      <w:r w:rsidRPr="00600758">
        <w:t xml:space="preserve"> in question ha</w:t>
      </w:r>
      <w:r>
        <w:t>s</w:t>
      </w:r>
      <w:r w:rsidRPr="00600758">
        <w:t xml:space="preserve"> </w:t>
      </w:r>
      <w:r>
        <w:t>its</w:t>
      </w:r>
      <w:r w:rsidRPr="00600758">
        <w:t xml:space="preserve"> roots in a treaty.</w:t>
      </w:r>
      <w:r w:rsidRPr="00600758">
        <w:rPr>
          <w:rStyle w:val="FootnoteReference"/>
        </w:rPr>
        <w:footnoteReference w:id="48"/>
      </w:r>
      <w:r w:rsidRPr="00600758">
        <w:t xml:space="preserve">  State adherence to obligations contained in a treaty may simply be because the treaty-based obligations are already binding on states parties, something that is especially relevant when the treaty is one with as substantial a membership as the NPT.</w:t>
      </w:r>
      <w:r w:rsidRPr="00600758">
        <w:rPr>
          <w:rStyle w:val="FootnoteReference"/>
        </w:rPr>
        <w:footnoteReference w:id="49"/>
      </w:r>
      <w:r>
        <w:t xml:space="preserve">  </w:t>
      </w:r>
      <w:r w:rsidR="00B50260">
        <w:t>As such, t</w:t>
      </w:r>
      <w:r w:rsidRPr="00600758">
        <w:t xml:space="preserve">he </w:t>
      </w:r>
      <w:r w:rsidRPr="00600758">
        <w:lastRenderedPageBreak/>
        <w:t xml:space="preserve">paucity of examples of explicit </w:t>
      </w:r>
      <w:proofErr w:type="spellStart"/>
      <w:r w:rsidRPr="00C56C89">
        <w:rPr>
          <w:i/>
        </w:rPr>
        <w:t>opinio</w:t>
      </w:r>
      <w:proofErr w:type="spellEnd"/>
      <w:r w:rsidRPr="00C56C89">
        <w:rPr>
          <w:i/>
        </w:rPr>
        <w:t xml:space="preserve"> </w:t>
      </w:r>
      <w:proofErr w:type="spellStart"/>
      <w:r w:rsidRPr="00C56C89">
        <w:rPr>
          <w:i/>
        </w:rPr>
        <w:t>juris</w:t>
      </w:r>
      <w:proofErr w:type="spellEnd"/>
      <w:r>
        <w:t xml:space="preserve"> affirming the </w:t>
      </w:r>
      <w:r w:rsidRPr="00600758">
        <w:t xml:space="preserve">customary international law </w:t>
      </w:r>
      <w:r>
        <w:t>status of the obligation found in Article II can</w:t>
      </w:r>
      <w:r w:rsidRPr="00600758">
        <w:t xml:space="preserve"> </w:t>
      </w:r>
      <w:r>
        <w:t>perhaps</w:t>
      </w:r>
      <w:r w:rsidRPr="00600758">
        <w:t xml:space="preserve"> be explained by the fact that most states would view such an </w:t>
      </w:r>
      <w:r>
        <w:t xml:space="preserve">overt </w:t>
      </w:r>
      <w:r w:rsidRPr="00600758">
        <w:t xml:space="preserve">expression of </w:t>
      </w:r>
      <w:proofErr w:type="spellStart"/>
      <w:r w:rsidRPr="00600758">
        <w:rPr>
          <w:i/>
        </w:rPr>
        <w:t>opinio</w:t>
      </w:r>
      <w:proofErr w:type="spellEnd"/>
      <w:r w:rsidRPr="00600758">
        <w:rPr>
          <w:i/>
        </w:rPr>
        <w:t xml:space="preserve"> </w:t>
      </w:r>
      <w:proofErr w:type="spellStart"/>
      <w:r w:rsidRPr="00600758">
        <w:rPr>
          <w:i/>
        </w:rPr>
        <w:t>juris</w:t>
      </w:r>
      <w:proofErr w:type="spellEnd"/>
      <w:r w:rsidRPr="00600758">
        <w:t xml:space="preserve"> as </w:t>
      </w:r>
      <w:r>
        <w:t xml:space="preserve">being </w:t>
      </w:r>
      <w:r w:rsidRPr="00600758">
        <w:t>unnecessary, given that</w:t>
      </w:r>
      <w:r>
        <w:t xml:space="preserve"> they are already NPT members.  The vast majority of NNWS s</w:t>
      </w:r>
      <w:r w:rsidRPr="00600758">
        <w:t xml:space="preserve">tates </w:t>
      </w:r>
      <w:r>
        <w:t>understandably</w:t>
      </w:r>
      <w:r w:rsidRPr="00600758">
        <w:t xml:space="preserve"> </w:t>
      </w:r>
      <w:r>
        <w:t>will see</w:t>
      </w:r>
      <w:r w:rsidRPr="00600758">
        <w:t xml:space="preserve"> the prohibition on the acquisition and possession of nuclear weapons by NNWS as self-evident</w:t>
      </w:r>
      <w:r>
        <w:t xml:space="preserve">ly applicable to them, given that they are </w:t>
      </w:r>
      <w:r w:rsidR="00B50260">
        <w:t xml:space="preserve">conventionally </w:t>
      </w:r>
      <w:r>
        <w:t xml:space="preserve">bound by it already.  This significantly clouds the issue of whether </w:t>
      </w:r>
      <w:r w:rsidRPr="00600758">
        <w:t xml:space="preserve">sufficient </w:t>
      </w:r>
      <w:proofErr w:type="spellStart"/>
      <w:r w:rsidRPr="00600758">
        <w:rPr>
          <w:i/>
        </w:rPr>
        <w:t>opinio</w:t>
      </w:r>
      <w:proofErr w:type="spellEnd"/>
      <w:r w:rsidRPr="00600758">
        <w:rPr>
          <w:i/>
        </w:rPr>
        <w:t xml:space="preserve"> </w:t>
      </w:r>
      <w:proofErr w:type="spellStart"/>
      <w:r w:rsidRPr="00600758">
        <w:rPr>
          <w:i/>
        </w:rPr>
        <w:t>juris</w:t>
      </w:r>
      <w:proofErr w:type="spellEnd"/>
      <w:r w:rsidRPr="00600758">
        <w:t xml:space="preserve"> exists to support the widespread state practice in affirming the customary st</w:t>
      </w:r>
      <w:r>
        <w:t>atus of Article II of the NPT.</w:t>
      </w:r>
    </w:p>
    <w:p w:rsidR="00884A98" w:rsidRPr="00600758" w:rsidRDefault="00884A98" w:rsidP="00400D09">
      <w:pPr>
        <w:jc w:val="both"/>
      </w:pPr>
    </w:p>
    <w:p w:rsidR="00884A98" w:rsidRPr="00600758" w:rsidRDefault="00C56C89" w:rsidP="003703FD">
      <w:pPr>
        <w:ind w:firstLine="426"/>
        <w:jc w:val="both"/>
      </w:pPr>
      <w:r>
        <w:t xml:space="preserve">In addition to an apparent lack of supporting </w:t>
      </w:r>
      <w:proofErr w:type="spellStart"/>
      <w:r w:rsidRPr="00C56C89">
        <w:rPr>
          <w:i/>
        </w:rPr>
        <w:t>opinio</w:t>
      </w:r>
      <w:proofErr w:type="spellEnd"/>
      <w:r w:rsidRPr="00C56C89">
        <w:rPr>
          <w:i/>
        </w:rPr>
        <w:t xml:space="preserve"> </w:t>
      </w:r>
      <w:proofErr w:type="spellStart"/>
      <w:r w:rsidRPr="00C56C89">
        <w:rPr>
          <w:i/>
        </w:rPr>
        <w:t>juris</w:t>
      </w:r>
      <w:proofErr w:type="spellEnd"/>
      <w:r>
        <w:t>, there is a</w:t>
      </w:r>
      <w:r w:rsidR="00884A98" w:rsidRPr="00600758">
        <w:t xml:space="preserve"> conceptual argument against the customary international law status of provisions</w:t>
      </w:r>
      <w:r>
        <w:t xml:space="preserve"> of the NPT</w:t>
      </w:r>
      <w:r w:rsidR="00884A98" w:rsidRPr="00600758">
        <w:t xml:space="preserve">.  This view is primarily based on the unusual status of the NPT as a large multilateral ‘contract treaty’; in other words, a treaty with a </w:t>
      </w:r>
      <w:r w:rsidR="00884A98" w:rsidRPr="00600758">
        <w:rPr>
          <w:i/>
        </w:rPr>
        <w:t>quid pro quo</w:t>
      </w:r>
      <w:r w:rsidR="00884A98" w:rsidRPr="00600758">
        <w:t xml:space="preserve"> arrangement at its core, </w:t>
      </w:r>
      <w:r w:rsidR="00482C6F" w:rsidRPr="00600758">
        <w:t>as contrasted with</w:t>
      </w:r>
      <w:r w:rsidR="00884A98" w:rsidRPr="00600758">
        <w:t xml:space="preserve"> a pure ‘law-making treaty’ creating common standards of legal obligation </w:t>
      </w:r>
      <w:r w:rsidR="00B004FC">
        <w:t>for</w:t>
      </w:r>
      <w:r w:rsidR="00884A98" w:rsidRPr="00600758">
        <w:t xml:space="preserve"> all parties.</w:t>
      </w:r>
      <w:r w:rsidR="00884A98" w:rsidRPr="00600758">
        <w:rPr>
          <w:rStyle w:val="FootnoteReference"/>
        </w:rPr>
        <w:footnoteReference w:id="50"/>
      </w:r>
      <w:r w:rsidR="00884A98" w:rsidRPr="00600758">
        <w:t xml:space="preserve">  Joyner, for example, argues that the fact that no universal set of obligations exist under the NPT means that these rules cannot take on the character of customary international law obligations.</w:t>
      </w:r>
      <w:r w:rsidR="00884A98" w:rsidRPr="00600758">
        <w:rPr>
          <w:rStyle w:val="FootnoteReference"/>
        </w:rPr>
        <w:footnoteReference w:id="51"/>
      </w:r>
      <w:r w:rsidR="00884A98" w:rsidRPr="00600758">
        <w:t xml:space="preserve">  Another way of phrasing this same argument is to say that, because of the differentiated ‘two-tier’ obligations at the heart of the nuclear non-proliferation regime, the provisions of the NPT are not such that they ‘could be regarded as forming the basis of a general rule of law’ (this requirement being one of the criteria set out by the ICJ in the </w:t>
      </w:r>
      <w:r w:rsidR="00884A98" w:rsidRPr="00600758">
        <w:rPr>
          <w:i/>
        </w:rPr>
        <w:t>North Sea Continental Shelf</w:t>
      </w:r>
      <w:r w:rsidR="00884A98" w:rsidRPr="00600758">
        <w:t xml:space="preserve"> cases for determining whether treaty-based rules could also be considered as being binding in custom).</w:t>
      </w:r>
      <w:r w:rsidR="00884A98" w:rsidRPr="00600758">
        <w:rPr>
          <w:rStyle w:val="FootnoteReference"/>
        </w:rPr>
        <w:footnoteReference w:id="52"/>
      </w:r>
    </w:p>
    <w:p w:rsidR="00884A98" w:rsidRPr="00600758" w:rsidRDefault="00884A98" w:rsidP="00400D09">
      <w:pPr>
        <w:jc w:val="both"/>
      </w:pPr>
    </w:p>
    <w:p w:rsidR="00884A98" w:rsidRPr="00600758" w:rsidRDefault="00884A98" w:rsidP="003703FD">
      <w:pPr>
        <w:ind w:firstLine="426"/>
        <w:jc w:val="both"/>
      </w:pPr>
      <w:r w:rsidRPr="00600758">
        <w:t>Yet it is not entirely clear that the NPT is in fact a ‘contract treaty’: the line between ‘law-making treaties’ and ‘contract treaties’ is not well defined,</w:t>
      </w:r>
      <w:r w:rsidRPr="00600758">
        <w:rPr>
          <w:rStyle w:val="FootnoteReference"/>
        </w:rPr>
        <w:footnoteReference w:id="53"/>
      </w:r>
      <w:r w:rsidRPr="00600758">
        <w:t xml:space="preserve"> and the multilateral nature of the NPT does not </w:t>
      </w:r>
      <w:r w:rsidR="00C56C89">
        <w:t xml:space="preserve">actually </w:t>
      </w:r>
      <w:r w:rsidRPr="00600758">
        <w:t xml:space="preserve">resemble the common bilateral </w:t>
      </w:r>
      <w:r w:rsidR="00C56C89">
        <w:t>‘</w:t>
      </w:r>
      <w:r w:rsidRPr="00600758">
        <w:t>contract treaty</w:t>
      </w:r>
      <w:r w:rsidR="00C56C89">
        <w:t>’</w:t>
      </w:r>
      <w:r w:rsidRPr="00600758">
        <w:t xml:space="preserve"> model.  More importantly, the present writer takes the view that, while establishing customary rules based on differentiated treaty obligations is certainly not straightforward, the </w:t>
      </w:r>
      <w:r w:rsidRPr="00600758">
        <w:rPr>
          <w:i/>
        </w:rPr>
        <w:t>quid pro quo</w:t>
      </w:r>
      <w:r w:rsidRPr="00600758">
        <w:t xml:space="preserve"> nature of the NPT is not necessarily a bar to these norms being adopted into custom.  It is clear that a ‘general rule of law’ in custom can form in a manner that produces differentiated obligations on states.  The obvious example of this is ‘regional’ customary international law (or what is also sometimes called ‘special’ or ‘local’ customary international law), which binds some states but not all.</w:t>
      </w:r>
      <w:r w:rsidRPr="00600758">
        <w:rPr>
          <w:rStyle w:val="FootnoteReference"/>
        </w:rPr>
        <w:footnoteReference w:id="54"/>
      </w:r>
      <w:r w:rsidRPr="00600758">
        <w:t xml:space="preserve">  As a ma</w:t>
      </w:r>
      <w:r w:rsidR="00C702C0">
        <w:t>tt</w:t>
      </w:r>
      <w:r w:rsidRPr="00600758">
        <w:t>er of legal principle, then, there is no reason why the obligations of a customary non-proliferation regime could not collectively form along similar lines</w:t>
      </w:r>
      <w:r w:rsidR="00267B86" w:rsidRPr="00600758">
        <w:t>.  T</w:t>
      </w:r>
      <w:r w:rsidRPr="00600758">
        <w:t xml:space="preserve">he obligation under NPT Article II </w:t>
      </w:r>
      <w:r w:rsidR="00267B86" w:rsidRPr="00600758">
        <w:t xml:space="preserve">could develop in custom so as to only apply to </w:t>
      </w:r>
      <w:r w:rsidRPr="00600758">
        <w:t xml:space="preserve">states that met the test for </w:t>
      </w:r>
      <w:r w:rsidR="00267B86" w:rsidRPr="00600758">
        <w:t>those entities to which the A</w:t>
      </w:r>
      <w:r w:rsidRPr="00600758">
        <w:t xml:space="preserve">rticle was designed to apply: NNWS.  In other words, it is </w:t>
      </w:r>
      <w:r w:rsidR="00267B86" w:rsidRPr="00600758">
        <w:t xml:space="preserve">conceptually </w:t>
      </w:r>
      <w:r w:rsidRPr="00600758">
        <w:t xml:space="preserve">quite possible that customary obligations have formed that are ‘general’ in </w:t>
      </w:r>
      <w:r w:rsidRPr="00600758">
        <w:lastRenderedPageBreak/>
        <w:t>the sense of applying to all NNWS, even if they are not ‘universal’ in the sense of applying to all states.</w:t>
      </w:r>
    </w:p>
    <w:p w:rsidR="00C56C89" w:rsidRDefault="00C56C89" w:rsidP="00400D09">
      <w:pPr>
        <w:jc w:val="both"/>
      </w:pPr>
    </w:p>
    <w:p w:rsidR="00B004FC" w:rsidRDefault="00884A98" w:rsidP="003703FD">
      <w:pPr>
        <w:ind w:firstLine="426"/>
        <w:jc w:val="both"/>
      </w:pPr>
      <w:r w:rsidRPr="00BE2CBB">
        <w:t xml:space="preserve">Overall, </w:t>
      </w:r>
      <w:r w:rsidR="00BE2CBB" w:rsidRPr="00BE2CBB">
        <w:t>it is</w:t>
      </w:r>
      <w:r w:rsidR="00BE2CBB">
        <w:t xml:space="preserve"> clear that there is no </w:t>
      </w:r>
      <w:r w:rsidR="00BE2CBB" w:rsidRPr="00BE2CBB">
        <w:rPr>
          <w:i/>
        </w:rPr>
        <w:t>comprehensive</w:t>
      </w:r>
      <w:r w:rsidR="00BE2CBB">
        <w:t xml:space="preserve"> customary requirement to disarm nuclear weapons, because this would require that the obligations contained in both NPT Article II and Article VI were together adopted into customary international law.  Only then would any customary disarmament obligation apply to NWS and NNWS alike.  Article VI has not taken </w:t>
      </w:r>
      <w:r w:rsidR="00BE2CBB" w:rsidRPr="00D224B7">
        <w:t xml:space="preserve">on customary status: there is simply no state practice to support such a finding.  </w:t>
      </w:r>
    </w:p>
    <w:p w:rsidR="00B004FC" w:rsidRDefault="00B004FC" w:rsidP="00400D09">
      <w:pPr>
        <w:jc w:val="both"/>
      </w:pPr>
    </w:p>
    <w:p w:rsidR="00884A98" w:rsidRDefault="00BE2CBB" w:rsidP="003703FD">
      <w:pPr>
        <w:ind w:firstLine="426"/>
        <w:jc w:val="both"/>
      </w:pPr>
      <w:r w:rsidRPr="00D224B7">
        <w:t>The situation is less clear cut in relation to Article II of the NPT (which would be applicable to India if India were an NPT party).  It is very difficult to determine whether Article II of the NPT is also binding in customary international law.  There is some evidence to suggest that such crystallisation may have taken place but, equally, significant doubt</w:t>
      </w:r>
      <w:r w:rsidR="00B004FC">
        <w:t>s</w:t>
      </w:r>
      <w:r w:rsidRPr="00D224B7">
        <w:t xml:space="preserve"> remain.  In the</w:t>
      </w:r>
      <w:r>
        <w:t xml:space="preserve"> view of the present author, it is probably </w:t>
      </w:r>
      <w:r w:rsidRPr="00B50260">
        <w:rPr>
          <w:i/>
        </w:rPr>
        <w:t>not</w:t>
      </w:r>
      <w:r>
        <w:t xml:space="preserve"> the case that the rule contained within Article II has taken on the additional status of a customary norm.  This writer feels that the preponderance of evidence</w:t>
      </w:r>
      <w:r w:rsidR="00B50260">
        <w:t xml:space="preserve">, particularly the relative lack of supporting </w:t>
      </w:r>
      <w:proofErr w:type="spellStart"/>
      <w:r w:rsidR="00B50260" w:rsidRPr="00B50260">
        <w:rPr>
          <w:i/>
        </w:rPr>
        <w:t>opinio</w:t>
      </w:r>
      <w:proofErr w:type="spellEnd"/>
      <w:r w:rsidR="00B50260" w:rsidRPr="00B50260">
        <w:rPr>
          <w:i/>
        </w:rPr>
        <w:t xml:space="preserve"> </w:t>
      </w:r>
      <w:proofErr w:type="spellStart"/>
      <w:r w:rsidR="00B50260" w:rsidRPr="00B50260">
        <w:rPr>
          <w:i/>
        </w:rPr>
        <w:t>juris</w:t>
      </w:r>
      <w:proofErr w:type="spellEnd"/>
      <w:r w:rsidR="00B50260">
        <w:t xml:space="preserve">, </w:t>
      </w:r>
      <w:r>
        <w:t xml:space="preserve">indicates that </w:t>
      </w:r>
      <w:r w:rsidRPr="00600758">
        <w:t>a prohibition on the acquisition and possession of nuclear weapons (for any states other than ‘official’ NWS)</w:t>
      </w:r>
      <w:r>
        <w:t xml:space="preserve"> has not yet crystallised.</w:t>
      </w:r>
      <w:r w:rsidR="00B50260">
        <w:t xml:space="preserve">  If this is correct</w:t>
      </w:r>
      <w:r>
        <w:t xml:space="preserve"> </w:t>
      </w:r>
      <w:r w:rsidR="00B50260">
        <w:t xml:space="preserve">this means that – just like under conventional international law – </w:t>
      </w:r>
      <w:r>
        <w:t xml:space="preserve">India is </w:t>
      </w:r>
      <w:r w:rsidR="00B004FC">
        <w:t xml:space="preserve">not </w:t>
      </w:r>
      <w:r>
        <w:t>bound by any obligation to disarm its nuclear weapons under customary international law</w:t>
      </w:r>
      <w:r w:rsidR="00D224B7">
        <w:t>.</w:t>
      </w:r>
    </w:p>
    <w:p w:rsidR="00BE2CBB" w:rsidRPr="00600758" w:rsidRDefault="00BE2CBB" w:rsidP="00400D09">
      <w:pPr>
        <w:jc w:val="both"/>
      </w:pPr>
    </w:p>
    <w:p w:rsidR="0090215F" w:rsidRPr="003703FD" w:rsidRDefault="003703FD" w:rsidP="003703FD">
      <w:pPr>
        <w:outlineLvl w:val="0"/>
        <w:rPr>
          <w:b/>
          <w:i/>
          <w:sz w:val="28"/>
          <w:szCs w:val="28"/>
        </w:rPr>
      </w:pPr>
      <w:r w:rsidRPr="003703FD">
        <w:rPr>
          <w:b/>
          <w:i/>
          <w:sz w:val="28"/>
          <w:szCs w:val="28"/>
        </w:rPr>
        <w:t>III</w:t>
      </w:r>
      <w:r w:rsidRPr="003703FD">
        <w:rPr>
          <w:b/>
          <w:i/>
          <w:sz w:val="28"/>
          <w:szCs w:val="28"/>
        </w:rPr>
        <w:tab/>
      </w:r>
      <w:r w:rsidR="0090215F" w:rsidRPr="003703FD">
        <w:rPr>
          <w:b/>
          <w:i/>
          <w:sz w:val="28"/>
          <w:szCs w:val="28"/>
        </w:rPr>
        <w:t>IS INDIA A PERSISTENT OBJECTOR</w:t>
      </w:r>
      <w:r w:rsidR="00267B86" w:rsidRPr="003703FD">
        <w:rPr>
          <w:b/>
          <w:i/>
          <w:sz w:val="28"/>
          <w:szCs w:val="28"/>
        </w:rPr>
        <w:t xml:space="preserve"> TO ANY CUSTOMARY PROHIBITION ON THE ACQUISITION AND POSSESSION OF NUCLEAR WEAPONS</w:t>
      </w:r>
      <w:r w:rsidR="0090215F" w:rsidRPr="003703FD">
        <w:rPr>
          <w:b/>
          <w:i/>
          <w:sz w:val="28"/>
          <w:szCs w:val="28"/>
        </w:rPr>
        <w:t>?</w:t>
      </w:r>
    </w:p>
    <w:p w:rsidR="0090215F" w:rsidRPr="00600758" w:rsidRDefault="0090215F" w:rsidP="00400D09">
      <w:pPr>
        <w:jc w:val="both"/>
      </w:pPr>
    </w:p>
    <w:p w:rsidR="00D224B7" w:rsidRDefault="00D224B7" w:rsidP="003703FD">
      <w:pPr>
        <w:ind w:firstLine="426"/>
        <w:jc w:val="both"/>
      </w:pPr>
      <w:r>
        <w:t xml:space="preserve">It was tentatively concluded in the previous section that no customary international law requirement of nuclear disarmament has emerged for states that had not exploded a nuclear device </w:t>
      </w:r>
      <w:r w:rsidRPr="00600758">
        <w:t>prior to 1 January 1967</w:t>
      </w:r>
      <w:r>
        <w:t xml:space="preserve">.  Nonetheless, it must be noted that such a claim </w:t>
      </w:r>
      <w:r w:rsidR="00AE44B8">
        <w:t xml:space="preserve">does </w:t>
      </w:r>
      <w:r>
        <w:t>ha</w:t>
      </w:r>
      <w:r w:rsidR="00AE44B8">
        <w:t>ve</w:t>
      </w:r>
      <w:r>
        <w:t xml:space="preserve"> a credible basis, </w:t>
      </w:r>
      <w:r w:rsidR="00AE44B8">
        <w:t xml:space="preserve">is supported by a number of scholars </w:t>
      </w:r>
      <w:r>
        <w:t>and</w:t>
      </w:r>
      <w:r w:rsidR="00AE44B8">
        <w:t>, thus,</w:t>
      </w:r>
      <w:r>
        <w:t xml:space="preserve"> should not be dismissed out of hand.  This section therefore proceeds </w:t>
      </w:r>
      <w:r w:rsidR="00AE44B8">
        <w:t>from</w:t>
      </w:r>
      <w:r>
        <w:t xml:space="preserve"> the </w:t>
      </w:r>
      <w:r w:rsidR="00AE44B8">
        <w:t>starting point</w:t>
      </w:r>
      <w:r>
        <w:t xml:space="preserve"> that a customary counterpart to Article II NPT </w:t>
      </w:r>
      <w:r w:rsidRPr="00AE44B8">
        <w:rPr>
          <w:i/>
        </w:rPr>
        <w:t>has</w:t>
      </w:r>
      <w:r>
        <w:t xml:space="preserve"> crystallised, despite the fact that this view is not ultimately </w:t>
      </w:r>
      <w:r w:rsidR="00C702C0">
        <w:t>subscribed to</w:t>
      </w:r>
      <w:r>
        <w:t xml:space="preserve"> by the current author.</w:t>
      </w:r>
    </w:p>
    <w:p w:rsidR="00AE44B8" w:rsidRDefault="00AE44B8" w:rsidP="00400D09">
      <w:pPr>
        <w:jc w:val="both"/>
      </w:pPr>
    </w:p>
    <w:p w:rsidR="0090215F" w:rsidRPr="00600758" w:rsidRDefault="00D224B7" w:rsidP="003703FD">
      <w:pPr>
        <w:ind w:firstLine="426"/>
        <w:jc w:val="both"/>
      </w:pPr>
      <w:r>
        <w:t xml:space="preserve">If one takes the </w:t>
      </w:r>
      <w:r w:rsidR="005827FF">
        <w:t>position</w:t>
      </w:r>
      <w:r>
        <w:t xml:space="preserve"> that a customary requirement to disarm is applicable to India </w:t>
      </w:r>
      <w:r w:rsidRPr="00D224B7">
        <w:rPr>
          <w:i/>
        </w:rPr>
        <w:t>prima facie</w:t>
      </w:r>
      <w:r>
        <w:t>, it m</w:t>
      </w:r>
      <w:r w:rsidR="00AE44B8">
        <w:t>ust</w:t>
      </w:r>
      <w:r>
        <w:t xml:space="preserve"> </w:t>
      </w:r>
      <w:r w:rsidR="00AE44B8">
        <w:t xml:space="preserve">then </w:t>
      </w:r>
      <w:r>
        <w:t>be asked</w:t>
      </w:r>
      <w:r w:rsidR="0090215F" w:rsidRPr="00600758">
        <w:t xml:space="preserve"> whether India – as a long standing ‘outsider’ to the international nuclear legal order – can be considered a ‘persistent objector’ state with regard to this norm.  </w:t>
      </w:r>
      <w:r w:rsidR="00AE44B8">
        <w:t>Were India to have acquired persistent objector status, it</w:t>
      </w:r>
      <w:r w:rsidR="0090215F" w:rsidRPr="00600758">
        <w:t xml:space="preserve"> would </w:t>
      </w:r>
      <w:r w:rsidR="00AE44B8">
        <w:t>remain un</w:t>
      </w:r>
      <w:r w:rsidR="0090215F" w:rsidRPr="00600758">
        <w:t>bound by any obligation to disarm</w:t>
      </w:r>
      <w:r w:rsidR="00AE44B8">
        <w:t xml:space="preserve">, irrespective of whether that norm is generally binding under </w:t>
      </w:r>
      <w:r w:rsidR="00267B86" w:rsidRPr="00600758">
        <w:t>customary international law</w:t>
      </w:r>
      <w:r w:rsidR="00AE44B8">
        <w:t xml:space="preserve"> or not</w:t>
      </w:r>
      <w:r w:rsidR="0090215F" w:rsidRPr="00600758">
        <w:t>.</w:t>
      </w:r>
    </w:p>
    <w:p w:rsidR="0090215F" w:rsidRPr="00600758" w:rsidRDefault="0090215F" w:rsidP="00400D09">
      <w:pPr>
        <w:jc w:val="both"/>
      </w:pPr>
    </w:p>
    <w:p w:rsidR="00A13A0B" w:rsidRPr="003703FD" w:rsidRDefault="003703FD" w:rsidP="00ED6253">
      <w:pPr>
        <w:jc w:val="both"/>
        <w:outlineLvl w:val="0"/>
        <w:rPr>
          <w:b/>
          <w:i/>
        </w:rPr>
      </w:pPr>
      <w:r w:rsidRPr="003703FD">
        <w:rPr>
          <w:b/>
          <w:i/>
        </w:rPr>
        <w:t xml:space="preserve">A    </w:t>
      </w:r>
      <w:r w:rsidR="00A13A0B" w:rsidRPr="003703FD">
        <w:rPr>
          <w:b/>
          <w:i/>
        </w:rPr>
        <w:t>Common Understandings of the Persistent Objector Rule</w:t>
      </w:r>
    </w:p>
    <w:p w:rsidR="00A13A0B" w:rsidRPr="00600758" w:rsidRDefault="00A13A0B" w:rsidP="00400D09">
      <w:pPr>
        <w:jc w:val="both"/>
      </w:pPr>
    </w:p>
    <w:p w:rsidR="00A13A0B" w:rsidRPr="00600758" w:rsidRDefault="00A13A0B" w:rsidP="003703FD">
      <w:pPr>
        <w:ind w:firstLine="426"/>
        <w:jc w:val="both"/>
      </w:pPr>
      <w:r w:rsidRPr="00600758">
        <w:t>It is first necessary to briefly set out the nature of the persistent objector rule.  Throughout the UN era there has been widespread scholarly</w:t>
      </w:r>
      <w:r w:rsidRPr="00600758">
        <w:rPr>
          <w:rStyle w:val="FootnoteReference"/>
        </w:rPr>
        <w:footnoteReference w:id="55"/>
      </w:r>
      <w:r w:rsidRPr="00600758">
        <w:t xml:space="preserve"> and </w:t>
      </w:r>
      <w:r w:rsidR="00922359">
        <w:t xml:space="preserve">some </w:t>
      </w:r>
      <w:r w:rsidRPr="00600758">
        <w:t>judicial</w:t>
      </w:r>
      <w:r w:rsidRPr="00600758">
        <w:rPr>
          <w:rStyle w:val="FootnoteReference"/>
        </w:rPr>
        <w:footnoteReference w:id="56"/>
      </w:r>
      <w:r w:rsidRPr="00600758">
        <w:t xml:space="preserve"> acceptance </w:t>
      </w:r>
      <w:r w:rsidRPr="00600758">
        <w:lastRenderedPageBreak/>
        <w:t>of the rule as an aspect of customary international law formation.  As has already been noted, the persistent objector rule says that if a state persistently objects to a newly emerging norm of customary international law during the formation of that norm, then it is exempt from it once the custom has crystallised.</w:t>
      </w:r>
      <w:r w:rsidRPr="00600758">
        <w:rPr>
          <w:rStyle w:val="FootnoteReference"/>
        </w:rPr>
        <w:footnoteReference w:id="57"/>
      </w:r>
      <w:r w:rsidRPr="00600758">
        <w:t xml:space="preserve">  The rule is</w:t>
      </w:r>
      <w:r w:rsidR="00A06D01">
        <w:t xml:space="preserve">, therefore, </w:t>
      </w:r>
      <w:r w:rsidRPr="00600758">
        <w:t>usually viewed as having two elements, which need to be satisfied for it to operate:</w:t>
      </w:r>
      <w:r w:rsidRPr="00600758">
        <w:rPr>
          <w:rStyle w:val="FootnoteReference"/>
        </w:rPr>
        <w:footnoteReference w:id="58"/>
      </w:r>
    </w:p>
    <w:p w:rsidR="00A13A0B" w:rsidRPr="00600758" w:rsidRDefault="00A13A0B" w:rsidP="00400D09">
      <w:pPr>
        <w:ind w:left="851" w:right="651"/>
        <w:jc w:val="both"/>
      </w:pPr>
    </w:p>
    <w:p w:rsidR="00A13A0B" w:rsidRPr="00600758" w:rsidRDefault="00A13A0B" w:rsidP="00400D09">
      <w:pPr>
        <w:numPr>
          <w:ilvl w:val="0"/>
          <w:numId w:val="1"/>
        </w:numPr>
        <w:ind w:right="651"/>
        <w:jc w:val="both"/>
      </w:pPr>
      <w:r w:rsidRPr="00600758">
        <w:t xml:space="preserve">Somewhat obviously, given the rule’s name, the state in question must object </w:t>
      </w:r>
      <w:r w:rsidRPr="00600758">
        <w:rPr>
          <w:i/>
        </w:rPr>
        <w:t>persistently</w:t>
      </w:r>
      <w:r w:rsidRPr="00600758">
        <w:t>.  It is not seen as sufficient for a state to object to a newly emerging law only once: put simply, ‘sporadic or isolated objections will not do.’</w:t>
      </w:r>
      <w:r w:rsidRPr="00600758">
        <w:rPr>
          <w:rStyle w:val="FootnoteReference"/>
        </w:rPr>
        <w:footnoteReference w:id="59"/>
      </w:r>
    </w:p>
    <w:p w:rsidR="00A13A0B" w:rsidRPr="00600758" w:rsidRDefault="00A13A0B" w:rsidP="00400D09">
      <w:pPr>
        <w:ind w:left="567" w:right="651"/>
        <w:jc w:val="both"/>
      </w:pPr>
    </w:p>
    <w:p w:rsidR="00A13A0B" w:rsidRPr="00600758" w:rsidRDefault="00A13A0B" w:rsidP="00400D09">
      <w:pPr>
        <w:numPr>
          <w:ilvl w:val="0"/>
          <w:numId w:val="1"/>
        </w:numPr>
        <w:ind w:right="651"/>
        <w:jc w:val="both"/>
      </w:pPr>
      <w:r w:rsidRPr="00600758">
        <w:t xml:space="preserve">The persistent objection must occur </w:t>
      </w:r>
      <w:r w:rsidRPr="00600758">
        <w:rPr>
          <w:i/>
        </w:rPr>
        <w:t>during the formation</w:t>
      </w:r>
      <w:r w:rsidRPr="00600758">
        <w:t xml:space="preserve"> of the norm.  Objection once the new law has become binding is insufficient; in other words, states that are ‘subsequent objectors’ will nonetheless be bound.</w:t>
      </w:r>
      <w:r w:rsidR="000F0BFC" w:rsidRPr="00600758">
        <w:rPr>
          <w:rStyle w:val="FootnoteReference"/>
        </w:rPr>
        <w:footnoteReference w:id="60"/>
      </w:r>
    </w:p>
    <w:p w:rsidR="00A13A0B" w:rsidRPr="00600758" w:rsidRDefault="00A13A0B" w:rsidP="00400D09">
      <w:pPr>
        <w:jc w:val="both"/>
      </w:pPr>
    </w:p>
    <w:p w:rsidR="00A13A0B" w:rsidRPr="00600758" w:rsidRDefault="00A13A0B" w:rsidP="003703FD">
      <w:pPr>
        <w:ind w:firstLine="426"/>
        <w:jc w:val="both"/>
      </w:pPr>
      <w:r w:rsidRPr="00600758">
        <w:t xml:space="preserve">In predominant positivist understandings of the ‘horizontal’ international legal system, </w:t>
      </w:r>
      <w:r w:rsidR="00B223B2" w:rsidRPr="00710D85">
        <w:t xml:space="preserve">states are not bound by law </w:t>
      </w:r>
      <w:r w:rsidR="00B223B2">
        <w:t>to which</w:t>
      </w:r>
      <w:r w:rsidR="00B223B2" w:rsidRPr="00710D85">
        <w:t xml:space="preserve"> they h</w:t>
      </w:r>
      <w:r w:rsidR="00B223B2">
        <w:t>ave not consented to be bound</w:t>
      </w:r>
      <w:r w:rsidRPr="00600758">
        <w:t>.</w:t>
      </w:r>
      <w:r w:rsidRPr="00600758">
        <w:rPr>
          <w:rStyle w:val="FootnoteReference"/>
        </w:rPr>
        <w:footnoteReference w:id="61"/>
      </w:r>
      <w:r w:rsidRPr="00600758">
        <w:t xml:space="preserve">  The identification of consent with regard to treaties is obviously relatively straightforward</w:t>
      </w:r>
      <w:r w:rsidR="00A06D01">
        <w:t xml:space="preserve"> (based on the process of signature and ratification)</w:t>
      </w:r>
      <w:r w:rsidRPr="00600758">
        <w:t>, but consent is more difficult to establish for customary international law.</w:t>
      </w:r>
      <w:r w:rsidRPr="00600758">
        <w:rPr>
          <w:rStyle w:val="FootnoteReference"/>
        </w:rPr>
        <w:footnoteReference w:id="62"/>
      </w:r>
      <w:r w:rsidRPr="00600758">
        <w:t xml:space="preserve">  Consent in the context of the formation of custom is necessarily premised on silence as constituting tacit consent: this is largely for practical reasons, as customary international law would stagnate if explicit consent on the part of all states was required.</w:t>
      </w:r>
      <w:r w:rsidRPr="00600758">
        <w:rPr>
          <w:rStyle w:val="FootnoteReference"/>
        </w:rPr>
        <w:footnoteReference w:id="63"/>
      </w:r>
      <w:r w:rsidRPr="00600758">
        <w:t xml:space="preserve">  It is here where the persistent objector rule is commonly seen as fulfilling a crucial role.  At least theoretically, the rule preserves state autonomy – not to mention the positivist conception of a consent-based </w:t>
      </w:r>
      <w:r w:rsidR="00922359">
        <w:t xml:space="preserve">legal </w:t>
      </w:r>
      <w:r w:rsidRPr="00600758">
        <w:t xml:space="preserve">system – by providing states with a means to </w:t>
      </w:r>
      <w:r w:rsidRPr="00600758">
        <w:rPr>
          <w:i/>
        </w:rPr>
        <w:t>withdraw</w:t>
      </w:r>
      <w:r w:rsidRPr="00600758">
        <w:t xml:space="preserve"> consent.</w:t>
      </w:r>
      <w:r w:rsidRPr="00600758">
        <w:rPr>
          <w:rStyle w:val="FootnoteReference"/>
        </w:rPr>
        <w:footnoteReference w:id="64"/>
      </w:r>
    </w:p>
    <w:p w:rsidR="00A13A0B" w:rsidRPr="00600758" w:rsidRDefault="00A13A0B" w:rsidP="00400D09">
      <w:pPr>
        <w:jc w:val="both"/>
      </w:pPr>
    </w:p>
    <w:p w:rsidR="00A13A0B" w:rsidRPr="00600758" w:rsidRDefault="00A13A0B" w:rsidP="003703FD">
      <w:pPr>
        <w:autoSpaceDE w:val="0"/>
        <w:autoSpaceDN w:val="0"/>
        <w:adjustRightInd w:val="0"/>
        <w:ind w:firstLine="426"/>
        <w:jc w:val="both"/>
      </w:pPr>
      <w:r w:rsidRPr="00600758">
        <w:t>There are numerous issues concerning the persistent objector rule that a</w:t>
      </w:r>
      <w:r w:rsidR="00B223B2">
        <w:t>re worthy of further discussion</w:t>
      </w:r>
      <w:r w:rsidRPr="00600758">
        <w:t xml:space="preserve"> but which go beyond the scope of this paper.</w:t>
      </w:r>
      <w:r w:rsidRPr="00600758">
        <w:rPr>
          <w:rStyle w:val="FootnoteReference"/>
        </w:rPr>
        <w:footnoteReference w:id="65"/>
      </w:r>
      <w:r w:rsidRPr="00600758">
        <w:t xml:space="preserve">  Yet two further points need to be made about the rule for </w:t>
      </w:r>
      <w:r w:rsidR="000E741E" w:rsidRPr="00600758">
        <w:t>the</w:t>
      </w:r>
      <w:r w:rsidRPr="00600758">
        <w:t xml:space="preserve"> purposes</w:t>
      </w:r>
      <w:r w:rsidR="000E741E" w:rsidRPr="00600758">
        <w:t xml:space="preserve"> of this section</w:t>
      </w:r>
      <w:r w:rsidRPr="00600758">
        <w:t>.  First, it is important to note</w:t>
      </w:r>
      <w:r w:rsidR="00B223B2">
        <w:t>,</w:t>
      </w:r>
      <w:r w:rsidRPr="00600758">
        <w:t xml:space="preserve"> given the focus of this article on the </w:t>
      </w:r>
      <w:r w:rsidR="000E741E" w:rsidRPr="00600758">
        <w:t>NP</w:t>
      </w:r>
      <w:r w:rsidRPr="00600758">
        <w:t>T</w:t>
      </w:r>
      <w:r w:rsidR="00B223B2">
        <w:t>,</w:t>
      </w:r>
      <w:r w:rsidRPr="00600758">
        <w:t xml:space="preserve"> that non-parties to a treaty can similarly achieve exemption through the usual operation of the persistent objector rule from any customary </w:t>
      </w:r>
      <w:r w:rsidRPr="00600758">
        <w:lastRenderedPageBreak/>
        <w:t>counterpart norms that emerge: ‘[</w:t>
      </w:r>
      <w:proofErr w:type="spellStart"/>
      <w:r w:rsidRPr="00600758">
        <w:t>i</w:t>
      </w:r>
      <w:proofErr w:type="spellEnd"/>
      <w:r w:rsidRPr="00600758">
        <w:t>]f they persist with their objection to the provisions of the treaty, they could become persistent objectors on the international plane.’</w:t>
      </w:r>
      <w:r w:rsidRPr="00600758">
        <w:rPr>
          <w:rStyle w:val="FootnoteReference"/>
        </w:rPr>
        <w:footnoteReference w:id="66"/>
      </w:r>
      <w:r w:rsidRPr="00600758">
        <w:t xml:space="preserve">  Secondly, it is necessary to consider whether </w:t>
      </w:r>
      <w:r w:rsidRPr="00600758">
        <w:rPr>
          <w:i/>
        </w:rPr>
        <w:t>acts</w:t>
      </w:r>
      <w:r w:rsidRPr="00600758">
        <w:t xml:space="preserve"> are enough to constitute ‘objections’ for the purposes of the persistent objector rule, or whether explicit statements of objection are required.</w:t>
      </w:r>
      <w:r w:rsidRPr="00600758">
        <w:rPr>
          <w:rStyle w:val="FootnoteReference"/>
        </w:rPr>
        <w:footnoteReference w:id="67"/>
      </w:r>
      <w:r w:rsidRPr="00600758">
        <w:t xml:space="preserve">  Preponderant academic opinion seems to support the view that ‘acts’ of objection will suffice.</w:t>
      </w:r>
      <w:r w:rsidRPr="00600758">
        <w:rPr>
          <w:rStyle w:val="FootnoteReference"/>
        </w:rPr>
        <w:footnoteReference w:id="68"/>
      </w:r>
    </w:p>
    <w:p w:rsidR="0090215F" w:rsidRPr="00600758" w:rsidRDefault="0090215F" w:rsidP="00400D09">
      <w:pPr>
        <w:jc w:val="both"/>
      </w:pPr>
    </w:p>
    <w:p w:rsidR="0090215F" w:rsidRPr="003703FD" w:rsidRDefault="003703FD" w:rsidP="00ED6253">
      <w:pPr>
        <w:outlineLvl w:val="0"/>
        <w:rPr>
          <w:b/>
        </w:rPr>
      </w:pPr>
      <w:r w:rsidRPr="003703FD">
        <w:rPr>
          <w:b/>
          <w:i/>
        </w:rPr>
        <w:t xml:space="preserve">B    </w:t>
      </w:r>
      <w:r w:rsidR="00DE7D37" w:rsidRPr="003703FD">
        <w:rPr>
          <w:b/>
          <w:i/>
        </w:rPr>
        <w:t xml:space="preserve">Is </w:t>
      </w:r>
      <w:r w:rsidR="0090215F" w:rsidRPr="003703FD">
        <w:rPr>
          <w:b/>
          <w:i/>
        </w:rPr>
        <w:t xml:space="preserve">India a Persistent Objector to </w:t>
      </w:r>
      <w:r w:rsidR="005827FF" w:rsidRPr="003703FD">
        <w:rPr>
          <w:b/>
          <w:i/>
        </w:rPr>
        <w:t>a</w:t>
      </w:r>
      <w:r w:rsidR="00DE7D37" w:rsidRPr="003703FD">
        <w:rPr>
          <w:b/>
          <w:i/>
        </w:rPr>
        <w:t>ny</w:t>
      </w:r>
      <w:r w:rsidR="0090215F" w:rsidRPr="003703FD">
        <w:rPr>
          <w:b/>
          <w:i/>
        </w:rPr>
        <w:t xml:space="preserve"> Customary Requirement to Disarm</w:t>
      </w:r>
      <w:r w:rsidR="00DE7D37" w:rsidRPr="003703FD">
        <w:rPr>
          <w:b/>
          <w:i/>
        </w:rPr>
        <w:t>?</w:t>
      </w:r>
    </w:p>
    <w:p w:rsidR="0090215F" w:rsidRPr="00600758" w:rsidRDefault="0090215F" w:rsidP="00400D09"/>
    <w:p w:rsidR="00DE7D37" w:rsidRPr="00600758" w:rsidRDefault="00DE7D37" w:rsidP="003703FD">
      <w:pPr>
        <w:ind w:firstLine="426"/>
        <w:jc w:val="both"/>
      </w:pPr>
      <w:r w:rsidRPr="00600758">
        <w:t xml:space="preserve">Perhaps the clearest indications of India’s persistent objector status, then, are its </w:t>
      </w:r>
      <w:r w:rsidRPr="00600758">
        <w:rPr>
          <w:i/>
        </w:rPr>
        <w:t>actions</w:t>
      </w:r>
      <w:r w:rsidRPr="00600758">
        <w:t xml:space="preserve">.  India’s </w:t>
      </w:r>
      <w:proofErr w:type="spellStart"/>
      <w:r w:rsidRPr="00600758">
        <w:rPr>
          <w:rStyle w:val="Emphasis"/>
          <w:i w:val="0"/>
          <w:color w:val="000000"/>
        </w:rPr>
        <w:t>Pokhran</w:t>
      </w:r>
      <w:proofErr w:type="spellEnd"/>
      <w:r w:rsidRPr="00600758">
        <w:rPr>
          <w:rStyle w:val="Emphasis"/>
          <w:i w:val="0"/>
          <w:color w:val="000000"/>
        </w:rPr>
        <w:t>-I</w:t>
      </w:r>
      <w:r w:rsidRPr="00600758">
        <w:t xml:space="preserve"> nuclear tests of 1974,</w:t>
      </w:r>
      <w:r w:rsidR="000E741E" w:rsidRPr="00600758">
        <w:rPr>
          <w:rStyle w:val="FootnoteReference"/>
        </w:rPr>
        <w:footnoteReference w:id="69"/>
      </w:r>
      <w:r w:rsidRPr="00600758">
        <w:t xml:space="preserve"> and more notably the 1998 </w:t>
      </w:r>
      <w:proofErr w:type="spellStart"/>
      <w:r w:rsidRPr="00600758">
        <w:rPr>
          <w:rStyle w:val="Emphasis"/>
          <w:i w:val="0"/>
          <w:color w:val="000000"/>
        </w:rPr>
        <w:t>Pokhran</w:t>
      </w:r>
      <w:proofErr w:type="spellEnd"/>
      <w:r w:rsidRPr="00600758">
        <w:rPr>
          <w:rStyle w:val="Emphasis"/>
          <w:i w:val="0"/>
          <w:color w:val="000000"/>
        </w:rPr>
        <w:t>-II</w:t>
      </w:r>
      <w:r w:rsidRPr="00600758">
        <w:t xml:space="preserve"> tests </w:t>
      </w:r>
      <w:r w:rsidR="000E741E" w:rsidRPr="00600758">
        <w:t>(coupled with</w:t>
      </w:r>
      <w:r w:rsidRPr="00600758">
        <w:t xml:space="preserve"> India’s explicit self-proclamation of nuclear </w:t>
      </w:r>
      <w:proofErr w:type="spellStart"/>
      <w:r w:rsidR="000E741E" w:rsidRPr="00600758">
        <w:t>weaponisation</w:t>
      </w:r>
      <w:proofErr w:type="spellEnd"/>
      <w:r w:rsidR="000E741E" w:rsidRPr="00600758">
        <w:t>)</w:t>
      </w:r>
      <w:r w:rsidRPr="00600758">
        <w:t>,</w:t>
      </w:r>
      <w:r w:rsidR="000E741E" w:rsidRPr="00600758">
        <w:rPr>
          <w:rStyle w:val="FootnoteReference"/>
        </w:rPr>
        <w:footnoteReference w:id="70"/>
      </w:r>
      <w:r w:rsidRPr="00600758">
        <w:t xml:space="preserve"> are acts that clearly demonstrate a rejection of the NPT system.  India’s </w:t>
      </w:r>
      <w:r w:rsidR="000E741E" w:rsidRPr="00600758">
        <w:rPr>
          <w:i/>
        </w:rPr>
        <w:t>de facto</w:t>
      </w:r>
      <w:r w:rsidR="000E741E" w:rsidRPr="00600758">
        <w:t xml:space="preserve"> </w:t>
      </w:r>
      <w:r w:rsidRPr="00600758">
        <w:t xml:space="preserve">attainment of nuclear </w:t>
      </w:r>
      <w:r w:rsidR="000E741E" w:rsidRPr="00600758">
        <w:t>weapons</w:t>
      </w:r>
      <w:r w:rsidRPr="00600758">
        <w:t xml:space="preserve"> in 1974 amounts to ‘objection by deed’ to any possible customary norm </w:t>
      </w:r>
      <w:r w:rsidR="000E741E" w:rsidRPr="00600758">
        <w:t>restricting its</w:t>
      </w:r>
      <w:r w:rsidRPr="00600758">
        <w:t xml:space="preserve"> possession of </w:t>
      </w:r>
      <w:r w:rsidR="0035333D">
        <w:t>such</w:t>
      </w:r>
      <w:r w:rsidRPr="00600758">
        <w:t xml:space="preserve"> weapons, as does its </w:t>
      </w:r>
      <w:r w:rsidR="000E741E" w:rsidRPr="00600758">
        <w:t xml:space="preserve">1998 tests and its </w:t>
      </w:r>
      <w:r w:rsidRPr="00600758">
        <w:t xml:space="preserve">overt </w:t>
      </w:r>
      <w:r w:rsidR="000E741E" w:rsidRPr="00600758">
        <w:t xml:space="preserve">declaration of nuclear </w:t>
      </w:r>
      <w:r w:rsidR="0035333D">
        <w:t xml:space="preserve">weapons </w:t>
      </w:r>
      <w:r w:rsidR="000E741E" w:rsidRPr="00600758">
        <w:t xml:space="preserve">power status </w:t>
      </w:r>
      <w:r w:rsidR="0035333D">
        <w:t>following</w:t>
      </w:r>
      <w:r w:rsidR="000E741E" w:rsidRPr="00600758">
        <w:t xml:space="preserve"> those tests</w:t>
      </w:r>
      <w:r w:rsidRPr="00600758">
        <w:t xml:space="preserve">.  </w:t>
      </w:r>
    </w:p>
    <w:p w:rsidR="00DE7D37" w:rsidRPr="00600758" w:rsidRDefault="00DE7D37" w:rsidP="00400D09">
      <w:pPr>
        <w:jc w:val="both"/>
      </w:pPr>
    </w:p>
    <w:p w:rsidR="00DE7D37" w:rsidRPr="00600758" w:rsidRDefault="00C752DD" w:rsidP="003703FD">
      <w:pPr>
        <w:ind w:firstLine="426"/>
        <w:jc w:val="both"/>
      </w:pPr>
      <w:r w:rsidRPr="00600758">
        <w:t>Of course, t</w:t>
      </w:r>
      <w:r w:rsidR="00DE7D37" w:rsidRPr="00600758">
        <w:t>he very fact that India is not a signatory to the NPT similarly demonstrates</w:t>
      </w:r>
      <w:r w:rsidR="005827FF">
        <w:t xml:space="preserve"> </w:t>
      </w:r>
      <w:r w:rsidR="00DE7D37" w:rsidRPr="00600758">
        <w:t xml:space="preserve">a stance of objection towards any parallel customary regime.  More explicitly, in </w:t>
      </w:r>
      <w:r w:rsidR="00A63ACD" w:rsidRPr="00710D85">
        <w:t>spite of a longstanding commitment to non-proliferation</w:t>
      </w:r>
      <w:r w:rsidR="00A63ACD">
        <w:t xml:space="preserve"> and an excellent record in this regard</w:t>
      </w:r>
      <w:r w:rsidR="00A63ACD" w:rsidRPr="00710D85">
        <w:t>,</w:t>
      </w:r>
      <w:r w:rsidR="00A63ACD">
        <w:rPr>
          <w:rStyle w:val="FootnoteReference"/>
        </w:rPr>
        <w:footnoteReference w:id="71"/>
      </w:r>
      <w:r w:rsidR="00DE7D37" w:rsidRPr="00600758">
        <w:t xml:space="preserve"> India has repeatedly rejected the obligations of the legal nuclear non-proliferation regime (and its </w:t>
      </w:r>
      <w:r w:rsidR="00AE44B8">
        <w:t xml:space="preserve">entire </w:t>
      </w:r>
      <w:r w:rsidR="00DE7D37" w:rsidRPr="00600758">
        <w:t xml:space="preserve">differentiated framework) outright.  As Frey notes, India’s discourse on nuclear weapons has always ‘vehemently dismissed’ the legal </w:t>
      </w:r>
      <w:r w:rsidR="00DE7D37" w:rsidRPr="00600758">
        <w:rPr>
          <w:i/>
        </w:rPr>
        <w:t>status quo</w:t>
      </w:r>
      <w:r w:rsidR="00DE7D37" w:rsidRPr="00600758">
        <w:t xml:space="preserve"> as ‘discriminatory and imperialist.’</w:t>
      </w:r>
      <w:r w:rsidR="00DE7D37" w:rsidRPr="00600758">
        <w:rPr>
          <w:rStyle w:val="FootnoteReference"/>
        </w:rPr>
        <w:footnoteReference w:id="72"/>
      </w:r>
      <w:r w:rsidR="00DE7D37" w:rsidRPr="00600758">
        <w:t xml:space="preserve">  Indeed, India has famously promulgated the term ‘nuclear apartheid’ to describe international law’s approach to nuclear non-proliferation.</w:t>
      </w:r>
      <w:r w:rsidR="00DE7D37" w:rsidRPr="00600758">
        <w:rPr>
          <w:rStyle w:val="FootnoteReference"/>
        </w:rPr>
        <w:footnoteReference w:id="73"/>
      </w:r>
      <w:r w:rsidR="00DE7D37" w:rsidRPr="00600758">
        <w:t xml:space="preserve">  </w:t>
      </w:r>
    </w:p>
    <w:p w:rsidR="00DE7D37" w:rsidRPr="00600758" w:rsidRDefault="00DE7D37" w:rsidP="00400D09">
      <w:pPr>
        <w:jc w:val="both"/>
      </w:pPr>
    </w:p>
    <w:p w:rsidR="00DE7D37" w:rsidRPr="00600758" w:rsidRDefault="00DE7D37" w:rsidP="003703FD">
      <w:pPr>
        <w:ind w:firstLine="426"/>
        <w:jc w:val="both"/>
      </w:pPr>
      <w:r w:rsidRPr="00600758">
        <w:t xml:space="preserve">India’s consistent and absolute rejection of the NPT and international law’s wider nuclear regime – from inception – can be seen in numerous official statements.  One classic example amongst many is a speech made by </w:t>
      </w:r>
      <w:proofErr w:type="spellStart"/>
      <w:r w:rsidRPr="00600758">
        <w:t>Indira</w:t>
      </w:r>
      <w:proofErr w:type="spellEnd"/>
      <w:r w:rsidRPr="00600758">
        <w:t xml:space="preserve"> Gandhi to the Indian Parliament in 1968, where the Indian Prime Minister was explicit in rej</w:t>
      </w:r>
      <w:r w:rsidR="00AE7D3D">
        <w:t>ecting the entire NPT framework</w:t>
      </w:r>
      <w:r w:rsidRPr="00600758">
        <w:t xml:space="preserve"> based on </w:t>
      </w:r>
      <w:r w:rsidRPr="00600758">
        <w:lastRenderedPageBreak/>
        <w:t>a policy of ‘enlightened self-interest and the considerations of national security.’</w:t>
      </w:r>
      <w:r w:rsidRPr="00600758">
        <w:rPr>
          <w:rStyle w:val="FootnoteReference"/>
        </w:rPr>
        <w:footnoteReference w:id="74"/>
      </w:r>
      <w:r w:rsidR="00911A2A" w:rsidRPr="00600758">
        <w:t xml:space="preserve">  </w:t>
      </w:r>
      <w:r w:rsidRPr="00600758">
        <w:t>Much more recently, India has reaffirmed its objection to th</w:t>
      </w:r>
      <w:r w:rsidR="00AE44B8">
        <w:t>e NPT and its associated regime</w:t>
      </w:r>
      <w:r w:rsidRPr="00600758">
        <w:t xml:space="preserve"> in the context of the </w:t>
      </w:r>
      <w:r w:rsidR="00911A2A" w:rsidRPr="00600758">
        <w:t xml:space="preserve">2008 </w:t>
      </w:r>
      <w:r w:rsidR="005827FF">
        <w:t xml:space="preserve">Indo-US </w:t>
      </w:r>
      <w:r w:rsidRPr="00600758">
        <w:t>123</w:t>
      </w:r>
      <w:r w:rsidR="00911A2A" w:rsidRPr="00600758">
        <w:t xml:space="preserve"> Agreement.</w:t>
      </w:r>
      <w:r w:rsidR="00911A2A" w:rsidRPr="00600758">
        <w:rPr>
          <w:rStyle w:val="FootnoteReference"/>
        </w:rPr>
        <w:footnoteReference w:id="75"/>
      </w:r>
      <w:r w:rsidR="00911A2A" w:rsidRPr="00600758">
        <w:t xml:space="preserve">  </w:t>
      </w:r>
      <w:r w:rsidRPr="00600758">
        <w:rPr>
          <w:color w:val="000000"/>
        </w:rPr>
        <w:t xml:space="preserve">For example, </w:t>
      </w:r>
      <w:proofErr w:type="spellStart"/>
      <w:r w:rsidRPr="00600758">
        <w:rPr>
          <w:color w:val="000000"/>
        </w:rPr>
        <w:t>Hardeep</w:t>
      </w:r>
      <w:proofErr w:type="spellEnd"/>
      <w:r w:rsidRPr="00600758">
        <w:rPr>
          <w:color w:val="000000"/>
        </w:rPr>
        <w:t xml:space="preserve"> </w:t>
      </w:r>
      <w:proofErr w:type="spellStart"/>
      <w:r w:rsidRPr="00600758">
        <w:rPr>
          <w:color w:val="000000"/>
        </w:rPr>
        <w:t>Puri</w:t>
      </w:r>
      <w:proofErr w:type="spellEnd"/>
      <w:r w:rsidRPr="00600758">
        <w:rPr>
          <w:color w:val="000000"/>
        </w:rPr>
        <w:t xml:space="preserve">, </w:t>
      </w:r>
      <w:r w:rsidRPr="00600758">
        <w:t xml:space="preserve">the Indian </w:t>
      </w:r>
      <w:r w:rsidRPr="00600758">
        <w:rPr>
          <w:color w:val="000000"/>
        </w:rPr>
        <w:t>Permanent Representative to the UN</w:t>
      </w:r>
      <w:r w:rsidR="00C752DD" w:rsidRPr="00600758">
        <w:rPr>
          <w:color w:val="000000"/>
        </w:rPr>
        <w:t>,</w:t>
      </w:r>
      <w:r w:rsidRPr="00600758">
        <w:rPr>
          <w:color w:val="000000"/>
        </w:rPr>
        <w:t xml:space="preserve"> wrote to United States UN Ambassador in September 2009 that: ‘India cannot accept calls for </w:t>
      </w:r>
      <w:proofErr w:type="spellStart"/>
      <w:r w:rsidRPr="00600758">
        <w:rPr>
          <w:color w:val="000000"/>
        </w:rPr>
        <w:t>universalisation</w:t>
      </w:r>
      <w:proofErr w:type="spellEnd"/>
      <w:r w:rsidRPr="00600758">
        <w:rPr>
          <w:color w:val="000000"/>
        </w:rPr>
        <w:t xml:space="preserve"> of the </w:t>
      </w:r>
      <w:proofErr w:type="spellStart"/>
      <w:r w:rsidRPr="00600758">
        <w:rPr>
          <w:color w:val="000000"/>
        </w:rPr>
        <w:t>NPT</w:t>
      </w:r>
      <w:proofErr w:type="spellEnd"/>
      <w:r w:rsidRPr="00600758">
        <w:rPr>
          <w:color w:val="000000"/>
        </w:rPr>
        <w:t>...there is no question of India joining the NPT as a non-nuclear weapon</w:t>
      </w:r>
      <w:r w:rsidR="00FA029C">
        <w:rPr>
          <w:color w:val="000000"/>
        </w:rPr>
        <w:t>s</w:t>
      </w:r>
      <w:r w:rsidRPr="00600758">
        <w:rPr>
          <w:color w:val="000000"/>
        </w:rPr>
        <w:t xml:space="preserve"> state.’</w:t>
      </w:r>
      <w:r w:rsidRPr="00600758">
        <w:rPr>
          <w:rStyle w:val="FootnoteReference"/>
          <w:color w:val="000000"/>
        </w:rPr>
        <w:footnoteReference w:id="76"/>
      </w:r>
      <w:r w:rsidRPr="00600758">
        <w:rPr>
          <w:color w:val="000000"/>
        </w:rPr>
        <w:t xml:space="preserve">  Further, </w:t>
      </w:r>
      <w:proofErr w:type="spellStart"/>
      <w:r w:rsidRPr="00600758">
        <w:rPr>
          <w:color w:val="000000"/>
        </w:rPr>
        <w:t>Puri</w:t>
      </w:r>
      <w:proofErr w:type="spellEnd"/>
      <w:r w:rsidRPr="00600758">
        <w:rPr>
          <w:color w:val="000000"/>
        </w:rPr>
        <w:t xml:space="preserve"> seemingly went on to affirm India’s stance as a persistent objector to any possible equivalent nuclear non-proliferation customary obligations – albeit that he did not refer directly to the persistent objector concept – by explicitly stating with regard to nuclear non-proliferation that India did not ‘accept any obligations arising from treaties that [it] has not signed or ratified.’</w:t>
      </w:r>
      <w:r w:rsidRPr="00600758">
        <w:rPr>
          <w:rStyle w:val="FootnoteReference"/>
          <w:color w:val="000000"/>
        </w:rPr>
        <w:footnoteReference w:id="77"/>
      </w:r>
    </w:p>
    <w:p w:rsidR="00DE7D37" w:rsidRPr="00600758" w:rsidRDefault="00DE7D37" w:rsidP="00400D09">
      <w:pPr>
        <w:jc w:val="both"/>
      </w:pPr>
    </w:p>
    <w:p w:rsidR="00DE7D37" w:rsidRPr="00600758" w:rsidRDefault="00DE7D37" w:rsidP="00CC6D17">
      <w:pPr>
        <w:ind w:firstLine="426"/>
        <w:jc w:val="both"/>
        <w:rPr>
          <w:rStyle w:val="byline"/>
        </w:rPr>
      </w:pPr>
      <w:r w:rsidRPr="00600758">
        <w:t xml:space="preserve">In addition to such official statements, </w:t>
      </w:r>
      <w:r w:rsidRPr="00600758">
        <w:rPr>
          <w:rStyle w:val="byline"/>
        </w:rPr>
        <w:t>India’s voting policy in international organs can also be seen as a manifestation of persistent objection.  For example, in 1997, India voted against General Assembly Resolution 52/38-K, operative paragraph 1,</w:t>
      </w:r>
      <w:r w:rsidRPr="00600758">
        <w:rPr>
          <w:rStyle w:val="FootnoteReference"/>
        </w:rPr>
        <w:footnoteReference w:id="78"/>
      </w:r>
      <w:r w:rsidRPr="00600758">
        <w:rPr>
          <w:rStyle w:val="byline"/>
        </w:rPr>
        <w:t xml:space="preserve"> which urged non-NPT parties to join the treaty.</w:t>
      </w:r>
      <w:r w:rsidRPr="00600758">
        <w:rPr>
          <w:rStyle w:val="FootnoteReference"/>
        </w:rPr>
        <w:footnoteReference w:id="79"/>
      </w:r>
      <w:r w:rsidRPr="00600758">
        <w:rPr>
          <w:rStyle w:val="byline"/>
        </w:rPr>
        <w:t xml:space="preserve">  India was one of only three states to cast a dissenting vote (the others being, unsurprisingly, Israel and Pakistan), while 162 states voted in favour of the resolution.</w:t>
      </w:r>
      <w:r w:rsidRPr="00600758">
        <w:rPr>
          <w:rStyle w:val="FootnoteReference"/>
        </w:rPr>
        <w:footnoteReference w:id="80"/>
      </w:r>
      <w:r w:rsidRPr="00600758">
        <w:rPr>
          <w:rStyle w:val="byline"/>
        </w:rPr>
        <w:t xml:space="preserve">  As </w:t>
      </w:r>
      <w:proofErr w:type="spellStart"/>
      <w:r w:rsidRPr="00600758">
        <w:t>Rai</w:t>
      </w:r>
      <w:proofErr w:type="spellEnd"/>
      <w:r w:rsidRPr="00600758">
        <w:t xml:space="preserve"> summari</w:t>
      </w:r>
      <w:r w:rsidR="00FA7051">
        <w:t>s</w:t>
      </w:r>
      <w:r w:rsidRPr="00600758">
        <w:t xml:space="preserve">es, India has </w:t>
      </w:r>
      <w:r w:rsidR="00C752DD" w:rsidRPr="00600758">
        <w:t xml:space="preserve">always </w:t>
      </w:r>
      <w:r w:rsidRPr="00600758">
        <w:t>consistently been ‘against [the international legal regime relating to nuclear weapons] and its philosophy because of its discriminatory character.’</w:t>
      </w:r>
      <w:r w:rsidRPr="00600758">
        <w:rPr>
          <w:rStyle w:val="FootnoteReference"/>
        </w:rPr>
        <w:footnoteReference w:id="81"/>
      </w:r>
    </w:p>
    <w:p w:rsidR="00DE7D37" w:rsidRPr="00600758" w:rsidRDefault="00DE7D37" w:rsidP="00400D09">
      <w:pPr>
        <w:jc w:val="both"/>
      </w:pPr>
    </w:p>
    <w:p w:rsidR="00DE7D37" w:rsidRPr="00600758" w:rsidRDefault="00DE7D37" w:rsidP="00CC6D17">
      <w:pPr>
        <w:ind w:firstLine="426"/>
        <w:jc w:val="both"/>
      </w:pPr>
      <w:r w:rsidRPr="00600758">
        <w:t xml:space="preserve">It will be recalled from the previous subsection that persistent objection must occur during the formation of the customary </w:t>
      </w:r>
      <w:r w:rsidR="00B223B2">
        <w:t>rule</w:t>
      </w:r>
      <w:r w:rsidR="00B223B2" w:rsidRPr="00710D85">
        <w:t xml:space="preserve"> and not after </w:t>
      </w:r>
      <w:r w:rsidR="00B223B2">
        <w:t xml:space="preserve">its </w:t>
      </w:r>
      <w:r w:rsidR="00B223B2" w:rsidRPr="00710D85">
        <w:t>crystallisation</w:t>
      </w:r>
      <w:r w:rsidR="00B223B2">
        <w:t xml:space="preserve"> alone</w:t>
      </w:r>
      <w:r w:rsidRPr="00600758">
        <w:t>.</w:t>
      </w:r>
      <w:r w:rsidRPr="00600758">
        <w:rPr>
          <w:rStyle w:val="FootnoteReference"/>
        </w:rPr>
        <w:footnoteReference w:id="82"/>
      </w:r>
      <w:r w:rsidRPr="00600758">
        <w:t xml:space="preserve">  As such, it is worth noting that even if one subscribes to the customary nature of the obligation within Article II NPT, such adoption into customary international law can only have been based on </w:t>
      </w:r>
      <w:r w:rsidR="00AE7D3D">
        <w:t xml:space="preserve">the </w:t>
      </w:r>
      <w:r w:rsidRPr="00600758">
        <w:t>decades of state practice</w:t>
      </w:r>
      <w:r w:rsidR="00AE7D3D">
        <w:t xml:space="preserve"> since the inception of the NPT</w:t>
      </w:r>
      <w:r w:rsidRPr="00600758">
        <w:t>.  During the 1960s twenty-three states either were in possession of nuclear weapons, were involved in nuclear weapons-related research, or were openly seeking the acquisition of such weapons.</w:t>
      </w:r>
      <w:r w:rsidRPr="00600758">
        <w:rPr>
          <w:rStyle w:val="FootnoteReference"/>
        </w:rPr>
        <w:footnoteReference w:id="83"/>
      </w:r>
      <w:r w:rsidRPr="00600758">
        <w:t xml:space="preserve">   This figure has now dropped to nine states, five of which are the NPT NWS.  It is a feature of more recent – post-Cold War – practice that has led, for example, to Ukraine and South Africa having relinquished nuclear weapons, and Brazil and Libya having ended their nuclear weapons programmes.</w:t>
      </w:r>
      <w:r w:rsidRPr="00600758">
        <w:rPr>
          <w:rStyle w:val="FootnoteReference"/>
        </w:rPr>
        <w:footnoteReference w:id="84"/>
      </w:r>
      <w:r w:rsidRPr="00600758">
        <w:t xml:space="preserve">  On this basis it has been suggested by one writer that</w:t>
      </w:r>
      <w:r w:rsidR="00AE7D3D">
        <w:t xml:space="preserve"> the</w:t>
      </w:r>
      <w:r w:rsidRPr="00600758">
        <w:t xml:space="preserve"> ‘crystallisation’ of </w:t>
      </w:r>
      <w:r w:rsidR="00AE7D3D">
        <w:t xml:space="preserve">certain </w:t>
      </w:r>
      <w:r w:rsidRPr="00600758">
        <w:t>NPT rules into custom occurred in the mid-1990s.</w:t>
      </w:r>
      <w:r w:rsidRPr="00600758">
        <w:rPr>
          <w:rStyle w:val="FootnoteReference"/>
        </w:rPr>
        <w:footnoteReference w:id="85"/>
      </w:r>
      <w:r w:rsidRPr="00600758">
        <w:t xml:space="preserve">  Clearly, then, India’s persistent </w:t>
      </w:r>
      <w:r w:rsidRPr="00600758">
        <w:lastRenderedPageBreak/>
        <w:t>objections pre-date the norm crystallising in custom (if, of course, one accepts that such crystallisation has take</w:t>
      </w:r>
      <w:r w:rsidR="00DD680D">
        <w:t>n place at all)</w:t>
      </w:r>
      <w:r w:rsidRPr="00600758">
        <w:t xml:space="preserve"> and can</w:t>
      </w:r>
      <w:r w:rsidR="00DD680D">
        <w:t>,</w:t>
      </w:r>
      <w:r w:rsidRPr="00600758">
        <w:t xml:space="preserve"> therefore</w:t>
      </w:r>
      <w:r w:rsidR="00DD680D">
        <w:t>,</w:t>
      </w:r>
      <w:r w:rsidRPr="00600758">
        <w:t xml:space="preserve"> reasonably be viewed as having occurred during the formation of the customary international law rule in question.</w:t>
      </w:r>
    </w:p>
    <w:p w:rsidR="00DE7D37" w:rsidRPr="00600758" w:rsidRDefault="00DE7D37" w:rsidP="00400D09">
      <w:pPr>
        <w:jc w:val="both"/>
      </w:pPr>
    </w:p>
    <w:p w:rsidR="00DE7D37" w:rsidRPr="00600758" w:rsidRDefault="00DE7D37" w:rsidP="00CC6D17">
      <w:pPr>
        <w:ind w:firstLine="426"/>
        <w:jc w:val="both"/>
      </w:pPr>
      <w:r w:rsidRPr="00600758">
        <w:t xml:space="preserve">India’s various dissents, by way of both deed and explicit statement, have all the hallmarks of classic persistent objection in a technical sense with regard to any customary requirement to disarm or prohibition on the possession of nuclear weapons outside of the sacred circle of </w:t>
      </w:r>
      <w:r w:rsidR="00C752DD" w:rsidRPr="00600758">
        <w:t xml:space="preserve">the </w:t>
      </w:r>
      <w:r w:rsidRPr="00600758">
        <w:t xml:space="preserve">NPT NWS.  India’s </w:t>
      </w:r>
      <w:r w:rsidR="004166C9" w:rsidRPr="00600758">
        <w:t>‘persistent resistance’</w:t>
      </w:r>
      <w:r w:rsidR="004166C9" w:rsidRPr="00600758">
        <w:rPr>
          <w:rStyle w:val="FootnoteReference"/>
        </w:rPr>
        <w:footnoteReference w:id="86"/>
      </w:r>
      <w:r w:rsidR="004166C9" w:rsidRPr="00600758">
        <w:t xml:space="preserve"> has</w:t>
      </w:r>
      <w:r w:rsidRPr="00600758">
        <w:t xml:space="preserve"> been both sustained and prior to crystallisation.  As such, to the extent that a customary international law rule reflecting Article II NPT exists at all, India is a persistent objector</w:t>
      </w:r>
      <w:r w:rsidR="00F95FCC" w:rsidRPr="00600758">
        <w:t xml:space="preserve"> to it</w:t>
      </w:r>
      <w:r w:rsidRPr="00600758">
        <w:t>.</w:t>
      </w:r>
      <w:r w:rsidR="00F95FCC" w:rsidRPr="00600758">
        <w:rPr>
          <w:rStyle w:val="FootnoteReference"/>
        </w:rPr>
        <w:footnoteReference w:id="87"/>
      </w:r>
      <w:r w:rsidRPr="00600758">
        <w:t xml:space="preserve">  As </w:t>
      </w:r>
      <w:proofErr w:type="spellStart"/>
      <w:r w:rsidRPr="00600758">
        <w:t>Keeley</w:t>
      </w:r>
      <w:proofErr w:type="spellEnd"/>
      <w:r w:rsidRPr="00600758">
        <w:t xml:space="preserve"> has stated, if the NPT rules applicable to NNWS have entered into customary international law, ‘the fact that India objected to the distinction even as it was being negotiated, refused to sign the NPT on this basis, and has been consistent in its protest since, would seem to qualify it for the “persistent objector” exception</w:t>
      </w:r>
      <w:r w:rsidR="005827FF">
        <w:t>.</w:t>
      </w:r>
      <w:r w:rsidRPr="00600758">
        <w:t>’</w:t>
      </w:r>
      <w:r w:rsidRPr="00600758">
        <w:rPr>
          <w:rStyle w:val="FootnoteReference"/>
        </w:rPr>
        <w:footnoteReference w:id="88"/>
      </w:r>
    </w:p>
    <w:p w:rsidR="00DE7D37" w:rsidRPr="00600758" w:rsidRDefault="00DE7D37" w:rsidP="00400D09">
      <w:pPr>
        <w:jc w:val="both"/>
      </w:pPr>
    </w:p>
    <w:p w:rsidR="00DE7D37" w:rsidRPr="00CC6D17" w:rsidRDefault="00CC6D17" w:rsidP="00CC6D17">
      <w:pPr>
        <w:outlineLvl w:val="0"/>
        <w:rPr>
          <w:b/>
          <w:i/>
          <w:sz w:val="28"/>
          <w:szCs w:val="28"/>
        </w:rPr>
      </w:pPr>
      <w:r>
        <w:rPr>
          <w:b/>
          <w:i/>
          <w:sz w:val="28"/>
          <w:szCs w:val="28"/>
        </w:rPr>
        <w:t>IV</w:t>
      </w:r>
      <w:r>
        <w:rPr>
          <w:b/>
          <w:i/>
          <w:sz w:val="28"/>
          <w:szCs w:val="28"/>
        </w:rPr>
        <w:tab/>
      </w:r>
      <w:r w:rsidR="00DE7D37" w:rsidRPr="00CC6D17">
        <w:rPr>
          <w:b/>
          <w:i/>
          <w:sz w:val="28"/>
          <w:szCs w:val="28"/>
        </w:rPr>
        <w:t>CONCLUSION</w:t>
      </w:r>
    </w:p>
    <w:p w:rsidR="00DE7D37" w:rsidRPr="00600758" w:rsidRDefault="00DE7D37" w:rsidP="00400D09"/>
    <w:p w:rsidR="004859E4" w:rsidRPr="00600758" w:rsidRDefault="004859E4" w:rsidP="00CC6D17">
      <w:pPr>
        <w:ind w:firstLine="426"/>
        <w:jc w:val="both"/>
      </w:pPr>
      <w:r w:rsidRPr="00600758">
        <w:t xml:space="preserve">Ultimately, it is arguable </w:t>
      </w:r>
      <w:r w:rsidR="00C752DD" w:rsidRPr="00600758">
        <w:t>whether</w:t>
      </w:r>
      <w:r w:rsidRPr="00600758">
        <w:t xml:space="preserve"> the obligation contained in Article II NPT has additionally been adopted into customary international law</w:t>
      </w:r>
      <w:r w:rsidR="007219FF" w:rsidRPr="00600758">
        <w:t>.  This is supported in particular by the near-universal ratification of the NPT, and the material fact that almost all NNWS (as determined by the NPT) abide by the requirements of Article II.  Having said this, t</w:t>
      </w:r>
      <w:r w:rsidRPr="00600758">
        <w:t xml:space="preserve">he evidence in support of such a customary prohibition on the possession and acquisition of nuclear weapons is far from entirely </w:t>
      </w:r>
      <w:r w:rsidR="007219FF" w:rsidRPr="00600758">
        <w:t xml:space="preserve">conclusive: it is not clear whether sufficient </w:t>
      </w:r>
      <w:proofErr w:type="spellStart"/>
      <w:r w:rsidR="007219FF" w:rsidRPr="00600758">
        <w:rPr>
          <w:i/>
        </w:rPr>
        <w:t>opinio</w:t>
      </w:r>
      <w:proofErr w:type="spellEnd"/>
      <w:r w:rsidR="007219FF" w:rsidRPr="00600758">
        <w:rPr>
          <w:i/>
        </w:rPr>
        <w:t xml:space="preserve"> </w:t>
      </w:r>
      <w:proofErr w:type="spellStart"/>
      <w:r w:rsidR="007219FF" w:rsidRPr="00600758">
        <w:rPr>
          <w:i/>
        </w:rPr>
        <w:t>juris</w:t>
      </w:r>
      <w:proofErr w:type="spellEnd"/>
      <w:r w:rsidR="007219FF" w:rsidRPr="00600758">
        <w:t xml:space="preserve"> exists, and there are also conceptual difficulties which may arise from the fact that the NPT is a treaty with differentiated obligations.  </w:t>
      </w:r>
      <w:r w:rsidR="005827FF">
        <w:t xml:space="preserve">This author is ultimately of the view that no customary international law norm </w:t>
      </w:r>
      <w:r w:rsidR="00AE44B8">
        <w:t xml:space="preserve">prohibiting the possession of nuclear weapons by NNWS </w:t>
      </w:r>
      <w:r w:rsidR="005827FF">
        <w:t xml:space="preserve">has (as yet) emerged.  </w:t>
      </w:r>
      <w:r w:rsidR="007219FF" w:rsidRPr="00600758">
        <w:t xml:space="preserve">Nonetheless, it is certainly </w:t>
      </w:r>
      <w:r w:rsidR="007219FF" w:rsidRPr="005827FF">
        <w:rPr>
          <w:i/>
        </w:rPr>
        <w:t>possible</w:t>
      </w:r>
      <w:r w:rsidR="007219FF" w:rsidRPr="00600758">
        <w:t xml:space="preserve"> to conclude that Article II NPT has additional binding force in custom.</w:t>
      </w:r>
    </w:p>
    <w:p w:rsidR="004859E4" w:rsidRPr="00600758" w:rsidRDefault="004859E4" w:rsidP="00400D09">
      <w:pPr>
        <w:jc w:val="both"/>
      </w:pPr>
    </w:p>
    <w:p w:rsidR="007219FF" w:rsidRPr="00600758" w:rsidRDefault="007219FF" w:rsidP="00CC6D17">
      <w:pPr>
        <w:ind w:firstLine="426"/>
        <w:jc w:val="both"/>
      </w:pPr>
      <w:r w:rsidRPr="00600758">
        <w:t xml:space="preserve">If </w:t>
      </w:r>
      <w:r w:rsidR="00AE44B8">
        <w:t>one subscribes to the existence of this customary prohibition,</w:t>
      </w:r>
      <w:r w:rsidRPr="00600758">
        <w:t xml:space="preserve"> then </w:t>
      </w:r>
      <w:r w:rsidR="00AE44B8">
        <w:t>it</w:t>
      </w:r>
      <w:r w:rsidRPr="00600758">
        <w:t xml:space="preserve"> </w:t>
      </w:r>
      <w:r w:rsidR="004859E4" w:rsidRPr="00600758">
        <w:t xml:space="preserve">would </w:t>
      </w:r>
      <w:r w:rsidR="004859E4" w:rsidRPr="00600758">
        <w:rPr>
          <w:i/>
        </w:rPr>
        <w:t>prima facie</w:t>
      </w:r>
      <w:r w:rsidR="004859E4" w:rsidRPr="00600758">
        <w:t xml:space="preserve"> bind India</w:t>
      </w:r>
      <w:r w:rsidRPr="00600758">
        <w:t xml:space="preserve">, even though India is a non-signatory to the NPT.  Under the NPT </w:t>
      </w:r>
      <w:r w:rsidR="00C752DD" w:rsidRPr="00600758">
        <w:t>framework</w:t>
      </w:r>
      <w:r w:rsidRPr="00600758">
        <w:t xml:space="preserve">, India is technically a NNWS, and therefore would be </w:t>
      </w:r>
      <w:r w:rsidR="00C752DD" w:rsidRPr="00600758">
        <w:t>legally required</w:t>
      </w:r>
      <w:r w:rsidRPr="00600758">
        <w:t xml:space="preserve"> to disarm all its nuclear weapons and to refrain from the development or acquisition of any more.</w:t>
      </w:r>
      <w:r w:rsidR="00C752DD" w:rsidRPr="00600758">
        <w:t xml:space="preserve">  </w:t>
      </w:r>
      <w:r w:rsidRPr="00600758">
        <w:t>However,</w:t>
      </w:r>
      <w:r w:rsidR="004859E4" w:rsidRPr="00600758">
        <w:t xml:space="preserve"> India has clearly persistently objected </w:t>
      </w:r>
      <w:r w:rsidR="00C752DD" w:rsidRPr="00600758">
        <w:t xml:space="preserve">to </w:t>
      </w:r>
      <w:r w:rsidRPr="00600758">
        <w:t xml:space="preserve">the NPT, </w:t>
      </w:r>
      <w:r w:rsidR="00C752DD" w:rsidRPr="00600758">
        <w:t xml:space="preserve">to </w:t>
      </w:r>
      <w:r w:rsidRPr="00600758">
        <w:t>international law’s wider non-proliferation regime</w:t>
      </w:r>
      <w:r w:rsidR="00C752DD" w:rsidRPr="00600758">
        <w:t>,</w:t>
      </w:r>
      <w:r w:rsidRPr="00600758">
        <w:t xml:space="preserve"> and to</w:t>
      </w:r>
      <w:r w:rsidR="005827FF">
        <w:t xml:space="preserve"> any related customary norms.  Persistent objectors</w:t>
      </w:r>
      <w:r w:rsidRPr="00600758">
        <w:t xml:space="preserve"> are exempt from the bind</w:t>
      </w:r>
      <w:r w:rsidR="00AE44B8">
        <w:t>ing</w:t>
      </w:r>
      <w:r w:rsidRPr="00600758">
        <w:t xml:space="preserve"> force of rules</w:t>
      </w:r>
      <w:r w:rsidR="00C752DD" w:rsidRPr="00600758">
        <w:t xml:space="preserve"> of customary international law</w:t>
      </w:r>
      <w:r w:rsidRPr="00600758">
        <w:t xml:space="preserve">, so long as they object consistently and </w:t>
      </w:r>
      <w:r w:rsidR="00C752DD" w:rsidRPr="00600758">
        <w:t>throughout</w:t>
      </w:r>
      <w:r w:rsidRPr="00600758">
        <w:t xml:space="preserve"> the </w:t>
      </w:r>
      <w:r w:rsidR="00C752DD" w:rsidRPr="00600758">
        <w:t>development</w:t>
      </w:r>
      <w:r w:rsidRPr="00600758">
        <w:t xml:space="preserve"> of the rule.  Through sustained action of deed and statement prior to and during the formation of any arguable customary international law requirement to disarm, India has thus </w:t>
      </w:r>
      <w:r w:rsidR="00C752DD" w:rsidRPr="00600758">
        <w:t xml:space="preserve">dissented and </w:t>
      </w:r>
      <w:r w:rsidR="005A0DAD">
        <w:t xml:space="preserve">so </w:t>
      </w:r>
      <w:r w:rsidR="00C752DD" w:rsidRPr="00600758">
        <w:t>is not bound</w:t>
      </w:r>
      <w:r w:rsidRPr="00600758">
        <w:t>.</w:t>
      </w:r>
    </w:p>
    <w:p w:rsidR="00EA51F5" w:rsidRPr="00600758" w:rsidRDefault="00EA51F5" w:rsidP="00400D09">
      <w:pPr>
        <w:rPr>
          <w:rStyle w:val="byline"/>
        </w:rPr>
      </w:pPr>
    </w:p>
    <w:p w:rsidR="005A0DAD" w:rsidRDefault="00F95FCC" w:rsidP="00CC6D17">
      <w:pPr>
        <w:ind w:firstLine="426"/>
        <w:jc w:val="both"/>
      </w:pPr>
      <w:r w:rsidRPr="00600758">
        <w:t xml:space="preserve">Following the </w:t>
      </w:r>
      <w:proofErr w:type="spellStart"/>
      <w:r w:rsidRPr="00600758">
        <w:rPr>
          <w:rStyle w:val="Emphasis"/>
          <w:i w:val="0"/>
          <w:color w:val="000000"/>
        </w:rPr>
        <w:t>Pokhran</w:t>
      </w:r>
      <w:proofErr w:type="spellEnd"/>
      <w:r w:rsidRPr="00600758">
        <w:t xml:space="preserve">-II nuclear tests, the focus of nuclear policy in many states with regard to India quickly moved away from the NPT regime </w:t>
      </w:r>
      <w:r w:rsidRPr="00600758">
        <w:rPr>
          <w:i/>
        </w:rPr>
        <w:t>per se</w:t>
      </w:r>
      <w:r w:rsidRPr="00600758">
        <w:t>.  Instead of pursuing the now patent fantasy of In</w:t>
      </w:r>
      <w:r w:rsidR="00586BE0">
        <w:t>dia joining the NPT as a NNWS, W</w:t>
      </w:r>
      <w:r w:rsidRPr="00600758">
        <w:t>estern policy towards the ‘Indian nuclear weapons question’ has been based on a</w:t>
      </w:r>
      <w:r w:rsidR="00586BE0">
        <w:t>n arguably</w:t>
      </w:r>
      <w:r w:rsidRPr="00600758">
        <w:t xml:space="preserve"> more realistic goal: persuading </w:t>
      </w:r>
      <w:r w:rsidRPr="00600758">
        <w:lastRenderedPageBreak/>
        <w:t>India to sign the 1996 Comprehensive Nuclear-Test-Ban Treaty.</w:t>
      </w:r>
      <w:r w:rsidRPr="00600758">
        <w:rPr>
          <w:rStyle w:val="FootnoteReference"/>
        </w:rPr>
        <w:footnoteReference w:id="89"/>
      </w:r>
      <w:r w:rsidRPr="00600758">
        <w:t xml:space="preserve">  It is notable that since the international condemnation of the 1998 </w:t>
      </w:r>
      <w:proofErr w:type="spellStart"/>
      <w:r w:rsidRPr="00600758">
        <w:t>Pokhran</w:t>
      </w:r>
      <w:proofErr w:type="spellEnd"/>
      <w:r w:rsidRPr="00600758">
        <w:t>-II tests, no major power (other than the European Union) has attempted to urge India to join the NPT, as either a NWS or a NNWS.</w:t>
      </w:r>
      <w:r w:rsidRPr="00600758">
        <w:rPr>
          <w:rStyle w:val="FootnoteReference"/>
        </w:rPr>
        <w:footnoteReference w:id="90"/>
      </w:r>
      <w:r w:rsidRPr="00600758">
        <w:t xml:space="preserve">  </w:t>
      </w:r>
    </w:p>
    <w:p w:rsidR="005A0DAD" w:rsidRDefault="005A0DAD" w:rsidP="00400D09">
      <w:pPr>
        <w:jc w:val="both"/>
      </w:pPr>
    </w:p>
    <w:p w:rsidR="00F95FCC" w:rsidRPr="00600758" w:rsidRDefault="00F95FCC" w:rsidP="00CC6D17">
      <w:pPr>
        <w:ind w:firstLine="426"/>
        <w:jc w:val="both"/>
      </w:pPr>
      <w:r w:rsidRPr="00600758">
        <w:t xml:space="preserve">Indeed, soon after the dust had (literally) settled following the 1998 tests, India’s status as a nuclear weapons power was largely accepted by other states (at least </w:t>
      </w:r>
      <w:r w:rsidRPr="00600758">
        <w:rPr>
          <w:i/>
        </w:rPr>
        <w:t>de facto</w:t>
      </w:r>
      <w:r w:rsidRPr="00600758">
        <w:t>): India’s persistent objector stance was ‘accepted, not only within India but also by the majority of the states of the world.’</w:t>
      </w:r>
      <w:r w:rsidRPr="00600758">
        <w:rPr>
          <w:rStyle w:val="FootnoteReference"/>
        </w:rPr>
        <w:footnoteReference w:id="91"/>
      </w:r>
      <w:r w:rsidRPr="00600758">
        <w:t xml:space="preserve">  Pragmatically, the international community took the view post-1998 that the Indian nuclear genie would not go back in the lead-lined bottle, just as it long ago accepted the same situation at the inception of the NPT in relation to the ‘official’ NWS.  This more realistic approach in international relations towards India’s possession of nuclear weapons is also reflected in the 2008 Indo-US 123 Agreement for civil nuclear cooperation,</w:t>
      </w:r>
      <w:r w:rsidRPr="00600758">
        <w:rPr>
          <w:rStyle w:val="FootnoteReference"/>
        </w:rPr>
        <w:footnoteReference w:id="92"/>
      </w:r>
      <w:r w:rsidRPr="00600758">
        <w:t xml:space="preserve"> and the Nuclear Suppliers Group (NSG) waiver (which allowed the 123 Agreement to be ‘</w:t>
      </w:r>
      <w:proofErr w:type="spellStart"/>
      <w:r w:rsidRPr="00600758">
        <w:t>operationalised</w:t>
      </w:r>
      <w:proofErr w:type="spellEnd"/>
      <w:r w:rsidRPr="00600758">
        <w:t xml:space="preserve">’ outside of the usual nuclear </w:t>
      </w:r>
      <w:r w:rsidR="00AE44B8">
        <w:t xml:space="preserve">control </w:t>
      </w:r>
      <w:r w:rsidRPr="00600758">
        <w:t>regime).</w:t>
      </w:r>
      <w:r w:rsidRPr="00600758">
        <w:rPr>
          <w:rStyle w:val="FootnoteReference"/>
        </w:rPr>
        <w:footnoteReference w:id="93"/>
      </w:r>
    </w:p>
    <w:p w:rsidR="00F95FCC" w:rsidRPr="00600758" w:rsidRDefault="00F95FCC" w:rsidP="00400D09">
      <w:pPr>
        <w:jc w:val="both"/>
      </w:pPr>
    </w:p>
    <w:p w:rsidR="004D1C6F" w:rsidRDefault="00F95FCC" w:rsidP="00CC6D17">
      <w:pPr>
        <w:ind w:firstLine="426"/>
        <w:jc w:val="both"/>
      </w:pPr>
      <w:r w:rsidRPr="00600758">
        <w:t xml:space="preserve">In the final analysis, what matters most is the hard fact that India is in possession of nuclear weapons, and is understandably determined to keep hold of them: this is surely the most potent indication of India’s continued persistent objection, both </w:t>
      </w:r>
      <w:r w:rsidRPr="00600758">
        <w:rPr>
          <w:i/>
        </w:rPr>
        <w:t xml:space="preserve">de jure </w:t>
      </w:r>
      <w:r w:rsidRPr="00600758">
        <w:t>and</w:t>
      </w:r>
      <w:r w:rsidRPr="00600758">
        <w:rPr>
          <w:i/>
        </w:rPr>
        <w:t xml:space="preserve"> de facto</w:t>
      </w:r>
      <w:r w:rsidRPr="00600758">
        <w:t xml:space="preserve">.  As </w:t>
      </w:r>
      <w:proofErr w:type="spellStart"/>
      <w:r w:rsidRPr="00600758">
        <w:t>Steinfeld</w:t>
      </w:r>
      <w:proofErr w:type="spellEnd"/>
      <w:r w:rsidRPr="00600758">
        <w:t xml:space="preserve"> points out, the ‘nuclear objector’ is extremely unlikely to buckle under pressure from the wider international community, as can be seen from the failure of the NWS to meet their disarmament obligations</w:t>
      </w:r>
      <w:r w:rsidR="00AE7D3D">
        <w:t xml:space="preserve"> under NPT Article VI</w:t>
      </w:r>
      <w:r w:rsidRPr="00600758">
        <w:t>.</w:t>
      </w:r>
      <w:r w:rsidRPr="00600758">
        <w:rPr>
          <w:rStyle w:val="FootnoteReference"/>
        </w:rPr>
        <w:footnoteReference w:id="94"/>
      </w:r>
      <w:r w:rsidRPr="00600758">
        <w:t xml:space="preserve">  Given the </w:t>
      </w:r>
      <w:r w:rsidR="00287E91">
        <w:t>perception</w:t>
      </w:r>
      <w:r w:rsidRPr="00600758">
        <w:t xml:space="preserve"> of nuclear weapons as an effective security deterrent, so intrinsically tied up with notions of self-determination, power and defence, even if international law was to consider persistent objection in relation to the possession of nuclear weapons to be unacceptable, such a position would be naive to the point of irrelevancy.  </w:t>
      </w:r>
    </w:p>
    <w:p w:rsidR="004D1C6F" w:rsidRDefault="004D1C6F" w:rsidP="00400D09">
      <w:pPr>
        <w:jc w:val="both"/>
      </w:pPr>
    </w:p>
    <w:p w:rsidR="00F132D4" w:rsidRPr="00600758" w:rsidRDefault="004D1C6F" w:rsidP="00CC6D17">
      <w:pPr>
        <w:ind w:firstLine="426"/>
        <w:jc w:val="both"/>
      </w:pPr>
      <w:r>
        <w:t>This is particularly apparent in the case of India: any attempts to pressure India into signing the NPT as a NNWS, or to otherwise accept a legal requirement for it to disarm without the same requirement being effectively applied to all other states, have ‘aroused intense nuclear nationalism...This form of nationalism is much stronger in India than any other nuclear countries and is very much tied to India’s notion of national independence and their particular colonial history.’</w:t>
      </w:r>
      <w:r>
        <w:rPr>
          <w:rStyle w:val="FootnoteReference"/>
        </w:rPr>
        <w:footnoteReference w:id="95"/>
      </w:r>
      <w:r>
        <w:t xml:space="preserve">  </w:t>
      </w:r>
      <w:r w:rsidR="00F95FCC" w:rsidRPr="00600758">
        <w:t>Put simply: India would not (and will not) relinquish the bomb,</w:t>
      </w:r>
      <w:r w:rsidR="00F95FCC" w:rsidRPr="00600758">
        <w:rPr>
          <w:rStyle w:val="FootnoteReference"/>
        </w:rPr>
        <w:footnoteReference w:id="96"/>
      </w:r>
      <w:r w:rsidR="00F95FCC" w:rsidRPr="00600758">
        <w:t xml:space="preserve"> and nor does international law require it to.</w:t>
      </w:r>
    </w:p>
    <w:sectPr w:rsidR="00F132D4" w:rsidRPr="00600758" w:rsidSect="00E01363">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6BC" w:rsidRDefault="002716BC" w:rsidP="009108DB">
      <w:r>
        <w:separator/>
      </w:r>
    </w:p>
  </w:endnote>
  <w:endnote w:type="continuationSeparator" w:id="0">
    <w:p w:rsidR="002716BC" w:rsidRDefault="002716BC" w:rsidP="009108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ligraph421 BT">
    <w:altName w:val="Calligraph421 B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43563"/>
      <w:docPartObj>
        <w:docPartGallery w:val="Page Numbers (Bottom of Page)"/>
        <w:docPartUnique/>
      </w:docPartObj>
    </w:sdtPr>
    <w:sdtContent>
      <w:p w:rsidR="00D555B7" w:rsidRDefault="007A2014">
        <w:pPr>
          <w:pStyle w:val="Footer"/>
          <w:jc w:val="center"/>
        </w:pPr>
        <w:r>
          <w:fldChar w:fldCharType="begin"/>
        </w:r>
        <w:r w:rsidR="00D555B7">
          <w:instrText xml:space="preserve"> PAGE   \* MERGEFORMAT </w:instrText>
        </w:r>
        <w:r>
          <w:fldChar w:fldCharType="separate"/>
        </w:r>
        <w:r w:rsidR="00B16091">
          <w:rPr>
            <w:noProof/>
          </w:rPr>
          <w:t>2</w:t>
        </w:r>
        <w:r>
          <w:rPr>
            <w:noProof/>
          </w:rPr>
          <w:fldChar w:fldCharType="end"/>
        </w:r>
      </w:p>
    </w:sdtContent>
  </w:sdt>
  <w:p w:rsidR="00D555B7" w:rsidRDefault="00D555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6BC" w:rsidRDefault="002716BC" w:rsidP="009108DB">
      <w:r>
        <w:separator/>
      </w:r>
    </w:p>
  </w:footnote>
  <w:footnote w:type="continuationSeparator" w:id="0">
    <w:p w:rsidR="002716BC" w:rsidRDefault="002716BC" w:rsidP="009108DB">
      <w:r>
        <w:continuationSeparator/>
      </w:r>
    </w:p>
  </w:footnote>
  <w:footnote w:id="1">
    <w:p w:rsidR="00D555B7" w:rsidRPr="006E2F65" w:rsidRDefault="00D555B7" w:rsidP="00697444">
      <w:pPr>
        <w:pStyle w:val="FootnoteText"/>
        <w:jc w:val="both"/>
      </w:pPr>
      <w:r w:rsidRPr="006E2F65">
        <w:rPr>
          <w:rStyle w:val="FootnoteReference"/>
        </w:rPr>
        <w:sym w:font="Symbol" w:char="F02A"/>
      </w:r>
      <w:r w:rsidRPr="006E2F65">
        <w:t xml:space="preserve"> </w:t>
      </w:r>
      <w:proofErr w:type="gramStart"/>
      <w:r w:rsidRPr="006E2F65">
        <w:t>Reader in Public International Law, University of Reading, UK.</w:t>
      </w:r>
      <w:proofErr w:type="gramEnd"/>
      <w:r w:rsidRPr="006E2F65">
        <w:t xml:space="preserve">  PhD, </w:t>
      </w:r>
      <w:proofErr w:type="spellStart"/>
      <w:r w:rsidRPr="006E2F65">
        <w:t>LLM</w:t>
      </w:r>
      <w:proofErr w:type="spellEnd"/>
      <w:r w:rsidRPr="006E2F65">
        <w:t xml:space="preserve"> by thesis, </w:t>
      </w:r>
      <w:proofErr w:type="spellStart"/>
      <w:r w:rsidRPr="006E2F65">
        <w:t>LLB</w:t>
      </w:r>
      <w:proofErr w:type="spellEnd"/>
      <w:r w:rsidRPr="006E2F65">
        <w:t xml:space="preserve"> </w:t>
      </w:r>
      <w:proofErr w:type="spellStart"/>
      <w:r w:rsidRPr="006E2F65">
        <w:t>hons</w:t>
      </w:r>
      <w:proofErr w:type="spellEnd"/>
      <w:r w:rsidRPr="006E2F65">
        <w:t xml:space="preserve">.  This article forms part of the British Academy funded ‘123 Agreement Project’ run by members of the School of Law, University of Reading, UK and colleagues at Post Graduate Departments of Law, The Tamil Nadu Dr. </w:t>
      </w:r>
      <w:proofErr w:type="spellStart"/>
      <w:r w:rsidRPr="006E2F65">
        <w:t>Ambedkar</w:t>
      </w:r>
      <w:proofErr w:type="spellEnd"/>
      <w:r w:rsidRPr="006E2F65">
        <w:t xml:space="preserve"> Law University in Chennai, India, of which the author is a project member and co-investigator.  See </w:t>
      </w:r>
      <w:r>
        <w:t>&lt;</w:t>
      </w:r>
      <w:r w:rsidRPr="006E2F65">
        <w:t>http://www.reading.ac.uk/123agreement</w:t>
      </w:r>
      <w:r>
        <w:t>&gt;</w:t>
      </w:r>
      <w:r w:rsidRPr="006E2F65">
        <w:t>.</w:t>
      </w:r>
      <w:r w:rsidR="00ED1C87">
        <w:t xml:space="preserve">  The author would like to express his thanks to Thomas Koller for his </w:t>
      </w:r>
      <w:r w:rsidR="00720A72">
        <w:t>help in preparing this article</w:t>
      </w:r>
      <w:r w:rsidR="00ED1C87">
        <w:t>.</w:t>
      </w:r>
    </w:p>
  </w:footnote>
  <w:footnote w:id="2">
    <w:p w:rsidR="00D555B7" w:rsidRPr="006E2F65" w:rsidRDefault="00D555B7" w:rsidP="00697444">
      <w:pPr>
        <w:pStyle w:val="FootnoteText"/>
        <w:jc w:val="both"/>
      </w:pPr>
      <w:r w:rsidRPr="006E2F65">
        <w:rPr>
          <w:rStyle w:val="FootnoteReference"/>
        </w:rPr>
        <w:footnoteRef/>
      </w:r>
      <w:r w:rsidRPr="006E2F65">
        <w:t xml:space="preserve"> </w:t>
      </w:r>
      <w:proofErr w:type="gramStart"/>
      <w:r w:rsidRPr="006E2F65">
        <w:t xml:space="preserve">Treaty on the Non-Proliferation of Nuclear Weapons </w:t>
      </w:r>
      <w:r>
        <w:t>(</w:t>
      </w:r>
      <w:r w:rsidRPr="006E2F65">
        <w:t>1968</w:t>
      </w:r>
      <w:r>
        <w:t>, entered into force 1970)</w:t>
      </w:r>
      <w:r w:rsidRPr="006E2F65">
        <w:t xml:space="preserve"> </w:t>
      </w:r>
      <w:r>
        <w:t xml:space="preserve">729 </w:t>
      </w:r>
      <w:r w:rsidRPr="00831DF3">
        <w:t>United Nations Treaty Series</w:t>
      </w:r>
      <w:r>
        <w:t xml:space="preserve"> 161 [NPT].</w:t>
      </w:r>
      <w:proofErr w:type="gramEnd"/>
    </w:p>
  </w:footnote>
  <w:footnote w:id="3">
    <w:p w:rsidR="00D555B7" w:rsidRPr="006E2F65" w:rsidRDefault="00D555B7" w:rsidP="00697444">
      <w:pPr>
        <w:pStyle w:val="PlainText"/>
        <w:jc w:val="both"/>
        <w:rPr>
          <w:rFonts w:ascii="Times New Roman" w:hAnsi="Times New Roman" w:cs="Times New Roman"/>
        </w:rPr>
      </w:pPr>
      <w:r w:rsidRPr="006E2F65">
        <w:rPr>
          <w:rStyle w:val="FootnoteReference"/>
          <w:rFonts w:ascii="Times New Roman" w:hAnsi="Times New Roman" w:cs="Times New Roman"/>
        </w:rPr>
        <w:footnoteRef/>
      </w:r>
      <w:r w:rsidRPr="006E2F65">
        <w:rPr>
          <w:rFonts w:ascii="Times New Roman" w:hAnsi="Times New Roman" w:cs="Times New Roman"/>
        </w:rPr>
        <w:t xml:space="preserve"> </w:t>
      </w:r>
      <w:proofErr w:type="gramStart"/>
      <w:r w:rsidRPr="006E2F65">
        <w:rPr>
          <w:rFonts w:ascii="Times New Roman" w:hAnsi="Times New Roman" w:cs="Times New Roman"/>
        </w:rPr>
        <w:t>On the basis of the rule that treaties do not directly bind non-parties.</w:t>
      </w:r>
      <w:proofErr w:type="gramEnd"/>
      <w:r w:rsidRPr="006E2F65">
        <w:rPr>
          <w:rFonts w:ascii="Times New Roman" w:hAnsi="Times New Roman" w:cs="Times New Roman"/>
        </w:rPr>
        <w:t xml:space="preserve">  See Vienna Convention on the Law of Treaties </w:t>
      </w:r>
      <w:r>
        <w:rPr>
          <w:rFonts w:ascii="Times New Roman" w:hAnsi="Times New Roman" w:cs="Times New Roman"/>
        </w:rPr>
        <w:t>(</w:t>
      </w:r>
      <w:r w:rsidRPr="006E2F65">
        <w:rPr>
          <w:rFonts w:ascii="Times New Roman" w:hAnsi="Times New Roman" w:cs="Times New Roman"/>
        </w:rPr>
        <w:t>1969</w:t>
      </w:r>
      <w:r>
        <w:rPr>
          <w:rFonts w:ascii="Times New Roman" w:hAnsi="Times New Roman" w:cs="Times New Roman"/>
        </w:rPr>
        <w:t>) 1155</w:t>
      </w:r>
      <w:r w:rsidRPr="00831DF3">
        <w:rPr>
          <w:rFonts w:ascii="Times New Roman" w:hAnsi="Times New Roman" w:cs="Times New Roman"/>
        </w:rPr>
        <w:t xml:space="preserve"> United Nations Treaty Series</w:t>
      </w:r>
      <w:r>
        <w:rPr>
          <w:rFonts w:ascii="Times New Roman" w:hAnsi="Times New Roman" w:cs="Times New Roman"/>
        </w:rPr>
        <w:t xml:space="preserve"> </w:t>
      </w:r>
      <w:r w:rsidRPr="006E2F65">
        <w:rPr>
          <w:rFonts w:ascii="Times New Roman" w:hAnsi="Times New Roman" w:cs="Times New Roman"/>
        </w:rPr>
        <w:t>331, Article 34 of which provides that ‘[a] treaty does not create either obligations or rights for a third State without its consent.’</w:t>
      </w:r>
    </w:p>
  </w:footnote>
  <w:footnote w:id="4">
    <w:p w:rsidR="00D555B7" w:rsidRPr="00E45B0E" w:rsidRDefault="00D555B7" w:rsidP="00E45B0E">
      <w:pPr>
        <w:shd w:val="clear" w:color="auto" w:fill="FFFFFF"/>
        <w:jc w:val="both"/>
        <w:rPr>
          <w:color w:val="000000"/>
          <w:sz w:val="20"/>
          <w:szCs w:val="20"/>
        </w:rPr>
      </w:pPr>
      <w:r w:rsidRPr="006E2F65">
        <w:rPr>
          <w:rStyle w:val="FootnoteReference"/>
          <w:sz w:val="20"/>
          <w:szCs w:val="20"/>
        </w:rPr>
        <w:footnoteRef/>
      </w:r>
      <w:r w:rsidRPr="006E2F65">
        <w:rPr>
          <w:sz w:val="20"/>
          <w:szCs w:val="20"/>
        </w:rPr>
        <w:t xml:space="preserve"> See, for example, D</w:t>
      </w:r>
      <w:r>
        <w:rPr>
          <w:sz w:val="20"/>
          <w:szCs w:val="20"/>
        </w:rPr>
        <w:t xml:space="preserve">aniel </w:t>
      </w:r>
      <w:r w:rsidRPr="006E2F65">
        <w:rPr>
          <w:sz w:val="20"/>
          <w:szCs w:val="20"/>
        </w:rPr>
        <w:t xml:space="preserve">Joyner </w:t>
      </w:r>
      <w:r w:rsidRPr="006E2F65">
        <w:rPr>
          <w:bCs/>
          <w:i/>
          <w:sz w:val="20"/>
          <w:szCs w:val="20"/>
        </w:rPr>
        <w:t>International Law and the Proliferation of Weapons of Mass Destruction</w:t>
      </w:r>
      <w:r w:rsidRPr="006E2F65">
        <w:rPr>
          <w:bCs/>
          <w:sz w:val="20"/>
          <w:szCs w:val="20"/>
        </w:rPr>
        <w:t xml:space="preserve"> </w:t>
      </w:r>
      <w:r w:rsidRPr="006E2F65">
        <w:rPr>
          <w:bCs/>
          <w:sz w:val="20"/>
          <w:szCs w:val="20"/>
          <w:lang w:val="en-US"/>
        </w:rPr>
        <w:t>(Oxford University Press USA, New York, 2009)</w:t>
      </w:r>
      <w:r>
        <w:rPr>
          <w:sz w:val="20"/>
          <w:szCs w:val="20"/>
        </w:rPr>
        <w:t xml:space="preserve"> </w:t>
      </w:r>
      <w:r w:rsidRPr="006E2F65">
        <w:rPr>
          <w:sz w:val="20"/>
          <w:szCs w:val="20"/>
        </w:rPr>
        <w:t>8; J</w:t>
      </w:r>
      <w:r>
        <w:rPr>
          <w:sz w:val="20"/>
          <w:szCs w:val="20"/>
        </w:rPr>
        <w:t>ohn</w:t>
      </w:r>
      <w:r w:rsidRPr="006E2F65">
        <w:rPr>
          <w:sz w:val="20"/>
          <w:szCs w:val="20"/>
        </w:rPr>
        <w:t xml:space="preserve"> Simpson “The Future of the NPT” in N</w:t>
      </w:r>
      <w:r>
        <w:rPr>
          <w:sz w:val="20"/>
          <w:szCs w:val="20"/>
        </w:rPr>
        <w:t xml:space="preserve">athan </w:t>
      </w:r>
      <w:r w:rsidRPr="006E2F65">
        <w:rPr>
          <w:sz w:val="20"/>
          <w:szCs w:val="20"/>
        </w:rPr>
        <w:t>Busch and D</w:t>
      </w:r>
      <w:r>
        <w:rPr>
          <w:sz w:val="20"/>
          <w:szCs w:val="20"/>
        </w:rPr>
        <w:t xml:space="preserve">aniel </w:t>
      </w:r>
      <w:r w:rsidRPr="006E2F65">
        <w:rPr>
          <w:sz w:val="20"/>
          <w:szCs w:val="20"/>
        </w:rPr>
        <w:t>Joyner (</w:t>
      </w:r>
      <w:proofErr w:type="spellStart"/>
      <w:r w:rsidRPr="006E2F65">
        <w:rPr>
          <w:sz w:val="20"/>
          <w:szCs w:val="20"/>
        </w:rPr>
        <w:t>eds</w:t>
      </w:r>
      <w:proofErr w:type="spellEnd"/>
      <w:r w:rsidRPr="006E2F65">
        <w:rPr>
          <w:sz w:val="20"/>
          <w:szCs w:val="20"/>
        </w:rPr>
        <w:t xml:space="preserve">) </w:t>
      </w:r>
      <w:r w:rsidRPr="006E2F65">
        <w:rPr>
          <w:i/>
          <w:sz w:val="20"/>
          <w:szCs w:val="20"/>
        </w:rPr>
        <w:t xml:space="preserve">Combating Weapons of Mass Destruction: The Future of International </w:t>
      </w:r>
      <w:proofErr w:type="spellStart"/>
      <w:r w:rsidRPr="006E2F65">
        <w:rPr>
          <w:i/>
          <w:sz w:val="20"/>
          <w:szCs w:val="20"/>
        </w:rPr>
        <w:t>Nonproliferation</w:t>
      </w:r>
      <w:proofErr w:type="spellEnd"/>
      <w:r w:rsidRPr="006E2F65">
        <w:rPr>
          <w:i/>
          <w:sz w:val="20"/>
          <w:szCs w:val="20"/>
        </w:rPr>
        <w:t xml:space="preserve"> Policy</w:t>
      </w:r>
      <w:r w:rsidRPr="006E2F65">
        <w:rPr>
          <w:sz w:val="20"/>
          <w:szCs w:val="20"/>
        </w:rPr>
        <w:t xml:space="preserve"> (University of Georgia Press, Athens, 2009)</w:t>
      </w:r>
      <w:r>
        <w:rPr>
          <w:sz w:val="20"/>
          <w:szCs w:val="20"/>
        </w:rPr>
        <w:t xml:space="preserve"> </w:t>
      </w:r>
      <w:r w:rsidRPr="006E2F65">
        <w:rPr>
          <w:sz w:val="20"/>
          <w:szCs w:val="20"/>
        </w:rPr>
        <w:t xml:space="preserve">45-73 at 46; </w:t>
      </w:r>
      <w:r w:rsidR="00E45B0E" w:rsidRPr="006860EA">
        <w:rPr>
          <w:color w:val="000000"/>
          <w:sz w:val="20"/>
          <w:szCs w:val="20"/>
        </w:rPr>
        <w:t>Masahiko Asada “The Treaty on the Non-Proliferation of Nuclear Weapons and the </w:t>
      </w:r>
      <w:proofErr w:type="spellStart"/>
      <w:r w:rsidR="00E45B0E" w:rsidRPr="006860EA">
        <w:rPr>
          <w:color w:val="000000"/>
          <w:sz w:val="20"/>
          <w:szCs w:val="20"/>
        </w:rPr>
        <w:t>Universalisation</w:t>
      </w:r>
      <w:proofErr w:type="spellEnd"/>
      <w:r w:rsidR="00E45B0E" w:rsidRPr="006860EA">
        <w:rPr>
          <w:color w:val="000000"/>
          <w:sz w:val="20"/>
          <w:szCs w:val="20"/>
        </w:rPr>
        <w:t xml:space="preserve"> of the Additional Protocol” (2011) 16 </w:t>
      </w:r>
      <w:r w:rsidR="00E45B0E" w:rsidRPr="006860EA">
        <w:rPr>
          <w:sz w:val="20"/>
          <w:szCs w:val="20"/>
        </w:rPr>
        <w:t>Journal of Conflict and Security Law</w:t>
      </w:r>
      <w:r w:rsidR="00E45B0E" w:rsidRPr="006860EA">
        <w:rPr>
          <w:color w:val="000000"/>
          <w:sz w:val="20"/>
          <w:szCs w:val="20"/>
        </w:rPr>
        <w:t xml:space="preserve"> </w:t>
      </w:r>
      <w:r w:rsidR="006455E9">
        <w:rPr>
          <w:color w:val="000000"/>
          <w:sz w:val="20"/>
          <w:szCs w:val="20"/>
        </w:rPr>
        <w:t>3-34</w:t>
      </w:r>
      <w:r w:rsidR="00E45B0E">
        <w:rPr>
          <w:color w:val="000000"/>
          <w:sz w:val="20"/>
          <w:szCs w:val="20"/>
        </w:rPr>
        <w:t xml:space="preserve"> at 3; </w:t>
      </w:r>
      <w:r w:rsidRPr="006E2F65">
        <w:rPr>
          <w:sz w:val="20"/>
          <w:szCs w:val="20"/>
        </w:rPr>
        <w:t>W</w:t>
      </w:r>
      <w:r>
        <w:rPr>
          <w:sz w:val="20"/>
          <w:szCs w:val="20"/>
        </w:rPr>
        <w:t xml:space="preserve">inston </w:t>
      </w:r>
      <w:proofErr w:type="spellStart"/>
      <w:r w:rsidRPr="006E2F65">
        <w:rPr>
          <w:sz w:val="20"/>
          <w:szCs w:val="20"/>
        </w:rPr>
        <w:t>Nagan</w:t>
      </w:r>
      <w:proofErr w:type="spellEnd"/>
      <w:r w:rsidRPr="006E2F65">
        <w:rPr>
          <w:sz w:val="20"/>
          <w:szCs w:val="20"/>
        </w:rPr>
        <w:t xml:space="preserve"> and E</w:t>
      </w:r>
      <w:r>
        <w:rPr>
          <w:sz w:val="20"/>
          <w:szCs w:val="20"/>
        </w:rPr>
        <w:t>rin</w:t>
      </w:r>
      <w:r w:rsidRPr="006E2F65">
        <w:rPr>
          <w:sz w:val="20"/>
          <w:szCs w:val="20"/>
        </w:rPr>
        <w:t xml:space="preserve"> </w:t>
      </w:r>
      <w:proofErr w:type="spellStart"/>
      <w:r w:rsidRPr="006E2F65">
        <w:rPr>
          <w:sz w:val="20"/>
          <w:szCs w:val="20"/>
        </w:rPr>
        <w:t>Slemmens</w:t>
      </w:r>
      <w:proofErr w:type="spellEnd"/>
      <w:r w:rsidRPr="006E2F65">
        <w:rPr>
          <w:sz w:val="20"/>
          <w:szCs w:val="20"/>
        </w:rPr>
        <w:t xml:space="preserve"> “National Security Policy and Ratification of the Comprehensive Test Ban Treaty”</w:t>
      </w:r>
      <w:r>
        <w:rPr>
          <w:sz w:val="20"/>
          <w:szCs w:val="20"/>
        </w:rPr>
        <w:t xml:space="preserve"> (2009-2010)</w:t>
      </w:r>
      <w:r w:rsidRPr="006E2F65">
        <w:rPr>
          <w:sz w:val="20"/>
          <w:szCs w:val="20"/>
        </w:rPr>
        <w:t xml:space="preserve"> </w:t>
      </w:r>
      <w:r>
        <w:rPr>
          <w:sz w:val="20"/>
          <w:szCs w:val="20"/>
        </w:rPr>
        <w:t xml:space="preserve">32 </w:t>
      </w:r>
      <w:r w:rsidRPr="004133F7">
        <w:rPr>
          <w:sz w:val="20"/>
          <w:szCs w:val="20"/>
        </w:rPr>
        <w:t>Houston Journal of International Law</w:t>
      </w:r>
      <w:r>
        <w:rPr>
          <w:sz w:val="20"/>
          <w:szCs w:val="20"/>
        </w:rPr>
        <w:t xml:space="preserve"> </w:t>
      </w:r>
      <w:r w:rsidRPr="006E2F65">
        <w:rPr>
          <w:sz w:val="20"/>
          <w:szCs w:val="20"/>
        </w:rPr>
        <w:t xml:space="preserve">1-96 at 40; and “Fact Sheet: Nuclear Non-Proliferation Treaty” </w:t>
      </w:r>
      <w:r>
        <w:rPr>
          <w:sz w:val="20"/>
          <w:szCs w:val="20"/>
        </w:rPr>
        <w:t xml:space="preserve">(1991) 2 </w:t>
      </w:r>
      <w:r w:rsidRPr="00D519CE">
        <w:rPr>
          <w:sz w:val="20"/>
          <w:szCs w:val="20"/>
        </w:rPr>
        <w:t>United States Department of State Dispatch</w:t>
      </w:r>
      <w:r>
        <w:rPr>
          <w:sz w:val="20"/>
          <w:szCs w:val="20"/>
        </w:rPr>
        <w:t xml:space="preserve"> </w:t>
      </w:r>
      <w:r w:rsidRPr="006E2F65">
        <w:rPr>
          <w:sz w:val="20"/>
          <w:szCs w:val="20"/>
        </w:rPr>
        <w:t>12.</w:t>
      </w:r>
    </w:p>
  </w:footnote>
  <w:footnote w:id="5">
    <w:p w:rsidR="00D555B7" w:rsidRPr="006E2F65" w:rsidRDefault="00D555B7" w:rsidP="00697444">
      <w:pPr>
        <w:jc w:val="both"/>
        <w:rPr>
          <w:sz w:val="20"/>
          <w:szCs w:val="20"/>
          <w:lang w:val="en-US" w:eastAsia="en-US"/>
        </w:rPr>
      </w:pPr>
      <w:r w:rsidRPr="006E2F65">
        <w:rPr>
          <w:rStyle w:val="FootnoteReference"/>
          <w:sz w:val="20"/>
          <w:szCs w:val="20"/>
        </w:rPr>
        <w:footnoteRef/>
      </w:r>
      <w:r w:rsidRPr="006E2F65">
        <w:rPr>
          <w:sz w:val="20"/>
          <w:szCs w:val="20"/>
        </w:rPr>
        <w:t xml:space="preserve"> </w:t>
      </w:r>
      <w:r w:rsidRPr="00831DF3">
        <w:rPr>
          <w:sz w:val="20"/>
          <w:szCs w:val="20"/>
          <w:lang w:val="en-US" w:eastAsia="en-US"/>
        </w:rPr>
        <w:t>Agreement for Cooperation Between the Government of the United States of America and the Government of India Concerning Peaceful Uses of Nuclear Energy</w:t>
      </w:r>
      <w:r w:rsidRPr="006E2F65">
        <w:rPr>
          <w:sz w:val="20"/>
          <w:szCs w:val="20"/>
          <w:lang w:val="en-US" w:eastAsia="en-US"/>
        </w:rPr>
        <w:t xml:space="preserve"> </w:t>
      </w:r>
      <w:r>
        <w:rPr>
          <w:sz w:val="20"/>
          <w:szCs w:val="20"/>
          <w:lang w:val="en-US" w:eastAsia="en-US"/>
        </w:rPr>
        <w:t>(10 October 2008)</w:t>
      </w:r>
      <w:r w:rsidRPr="006E2F65">
        <w:rPr>
          <w:sz w:val="20"/>
          <w:szCs w:val="20"/>
          <w:lang w:val="en-US" w:eastAsia="en-US"/>
        </w:rPr>
        <w:t xml:space="preserve"> </w:t>
      </w:r>
    </w:p>
    <w:p w:rsidR="00D555B7" w:rsidRPr="006E2F65" w:rsidRDefault="00D555B7" w:rsidP="00697444">
      <w:pPr>
        <w:jc w:val="both"/>
        <w:rPr>
          <w:sz w:val="20"/>
          <w:szCs w:val="20"/>
        </w:rPr>
      </w:pPr>
      <w:r>
        <w:rPr>
          <w:sz w:val="20"/>
          <w:szCs w:val="20"/>
          <w:lang w:val="en-US" w:eastAsia="en-US"/>
        </w:rPr>
        <w:t>&lt;</w:t>
      </w:r>
      <w:r w:rsidRPr="006E2F65">
        <w:rPr>
          <w:sz w:val="20"/>
          <w:szCs w:val="20"/>
          <w:lang w:val="en-US" w:eastAsia="en-US"/>
        </w:rPr>
        <w:t>http://responsiblenucleartrade.com/keydocuments/india_123_agreement_text.pdf</w:t>
      </w:r>
      <w:r>
        <w:rPr>
          <w:sz w:val="20"/>
          <w:szCs w:val="20"/>
          <w:lang w:val="en-US" w:eastAsia="en-US"/>
        </w:rPr>
        <w:t>&gt;</w:t>
      </w:r>
      <w:r w:rsidRPr="006E2F65">
        <w:rPr>
          <w:sz w:val="20"/>
          <w:szCs w:val="20"/>
          <w:lang w:val="en-US" w:eastAsia="en-US"/>
        </w:rPr>
        <w:t xml:space="preserve">.  </w:t>
      </w:r>
      <w:r w:rsidRPr="006E2F65">
        <w:rPr>
          <w:sz w:val="20"/>
          <w:szCs w:val="20"/>
        </w:rPr>
        <w:t>The 123 Agreement is a bilateral treaty between India and the United States, which aims to ‘to enable full civil nuclear energy cooperation’ between the parties (see Article 2).  The deal is termed a ‘123 Agreement’ after Section 123 of the United States A</w:t>
      </w:r>
      <w:r>
        <w:rPr>
          <w:sz w:val="20"/>
          <w:szCs w:val="20"/>
        </w:rPr>
        <w:t>tomic Energy Act (AEA) (1954) 83-703</w:t>
      </w:r>
      <w:r w:rsidRPr="006E2F65">
        <w:rPr>
          <w:sz w:val="20"/>
          <w:szCs w:val="20"/>
        </w:rPr>
        <w:t xml:space="preserve"> </w:t>
      </w:r>
      <w:r w:rsidRPr="00831DF3">
        <w:rPr>
          <w:sz w:val="20"/>
          <w:szCs w:val="20"/>
        </w:rPr>
        <w:t>Public Law</w:t>
      </w:r>
      <w:r w:rsidRPr="006E2F65">
        <w:rPr>
          <w:sz w:val="20"/>
          <w:szCs w:val="20"/>
        </w:rPr>
        <w:t xml:space="preserve"> </w:t>
      </w:r>
      <w:r w:rsidRPr="006E2F65">
        <w:rPr>
          <w:bCs/>
          <w:sz w:val="20"/>
          <w:szCs w:val="20"/>
        </w:rPr>
        <w:t xml:space="preserve">68 Statute 919, </w:t>
      </w:r>
      <w:r w:rsidRPr="006E2F65">
        <w:rPr>
          <w:sz w:val="20"/>
          <w:szCs w:val="20"/>
        </w:rPr>
        <w:t xml:space="preserve">which provides, </w:t>
      </w:r>
      <w:r w:rsidRPr="006E2F65">
        <w:rPr>
          <w:i/>
          <w:sz w:val="20"/>
          <w:szCs w:val="20"/>
        </w:rPr>
        <w:t>inter alia</w:t>
      </w:r>
      <w:r w:rsidRPr="006E2F65">
        <w:rPr>
          <w:sz w:val="20"/>
          <w:szCs w:val="20"/>
        </w:rPr>
        <w:t xml:space="preserve">, that before the United States can cooperate over nuclear materials with any other state, an agreement must be signed setting out the ‘terms, conditions, duration, nature and scope of the cooperation’.  The United States has made over twenty such bilateral ‘123’ agreements, most recently with the United Arab </w:t>
      </w:r>
      <w:r w:rsidRPr="006E2F65">
        <w:rPr>
          <w:bCs/>
          <w:sz w:val="20"/>
          <w:szCs w:val="20"/>
        </w:rPr>
        <w:t xml:space="preserve">Emirates in December 2009 (US-UAE </w:t>
      </w:r>
      <w:r w:rsidRPr="006E2F65">
        <w:rPr>
          <w:sz w:val="20"/>
          <w:szCs w:val="20"/>
        </w:rPr>
        <w:t xml:space="preserve">‘Agreement for Peaceful Civilian Nuclear Energy Cooperation’ </w:t>
      </w:r>
      <w:r>
        <w:rPr>
          <w:sz w:val="20"/>
          <w:szCs w:val="20"/>
        </w:rPr>
        <w:t>(</w:t>
      </w:r>
      <w:r w:rsidRPr="006E2F65">
        <w:rPr>
          <w:sz w:val="20"/>
          <w:szCs w:val="20"/>
        </w:rPr>
        <w:t>2009</w:t>
      </w:r>
      <w:r>
        <w:rPr>
          <w:sz w:val="20"/>
          <w:szCs w:val="20"/>
        </w:rPr>
        <w:t>)</w:t>
      </w:r>
      <w:r w:rsidRPr="006E2F65">
        <w:rPr>
          <w:sz w:val="20"/>
          <w:szCs w:val="20"/>
        </w:rPr>
        <w:t xml:space="preserve">, see </w:t>
      </w:r>
      <w:r>
        <w:rPr>
          <w:sz w:val="20"/>
          <w:szCs w:val="20"/>
        </w:rPr>
        <w:t>&lt;</w:t>
      </w:r>
      <w:r w:rsidRPr="006E2F65">
        <w:rPr>
          <w:sz w:val="20"/>
          <w:szCs w:val="20"/>
        </w:rPr>
        <w:t>http://www.uae-embassy.org/media/press-releases/17-Dec-2009</w:t>
      </w:r>
      <w:r>
        <w:rPr>
          <w:sz w:val="20"/>
          <w:szCs w:val="20"/>
        </w:rPr>
        <w:t>&gt;</w:t>
      </w:r>
      <w:r w:rsidRPr="006E2F65">
        <w:rPr>
          <w:sz w:val="20"/>
          <w:szCs w:val="20"/>
        </w:rPr>
        <w:t>).</w:t>
      </w:r>
    </w:p>
  </w:footnote>
  <w:footnote w:id="6">
    <w:p w:rsidR="00D555B7" w:rsidRPr="006E2F65" w:rsidRDefault="00D555B7" w:rsidP="00697444">
      <w:pPr>
        <w:pStyle w:val="FootnoteText"/>
        <w:jc w:val="both"/>
      </w:pPr>
      <w:r w:rsidRPr="006E2F65">
        <w:rPr>
          <w:rStyle w:val="FootnoteReference"/>
        </w:rPr>
        <w:footnoteRef/>
      </w:r>
      <w:r w:rsidRPr="006E2F65">
        <w:t xml:space="preserve"> See for example M</w:t>
      </w:r>
      <w:r>
        <w:t xml:space="preserve">ario </w:t>
      </w:r>
      <w:r w:rsidRPr="006E2F65">
        <w:t xml:space="preserve">Carranza </w:t>
      </w:r>
      <w:r w:rsidRPr="006E2F65">
        <w:rPr>
          <w:i/>
        </w:rPr>
        <w:t>South Asian Security and International Nuclear Order: Creating a Robust Indo-Pakistani Nuclear Arms Control Regime</w:t>
      </w:r>
      <w:r w:rsidRPr="006E2F65">
        <w:t xml:space="preserve"> (</w:t>
      </w:r>
      <w:proofErr w:type="spellStart"/>
      <w:r w:rsidRPr="006E2F65">
        <w:t>Ashgate</w:t>
      </w:r>
      <w:proofErr w:type="spellEnd"/>
      <w:r w:rsidRPr="006E2F65">
        <w:t>, Farnham, 2009)</w:t>
      </w:r>
      <w:r>
        <w:t xml:space="preserve"> </w:t>
      </w:r>
      <w:r w:rsidRPr="006E2F65">
        <w:t xml:space="preserve">2 and 44 (viewing the 123 Agreement as India’s ‘admission to the nuclear club.’); and </w:t>
      </w:r>
      <w:proofErr w:type="spellStart"/>
      <w:r w:rsidRPr="006E2F65">
        <w:t>K</w:t>
      </w:r>
      <w:r>
        <w:t>esav</w:t>
      </w:r>
      <w:proofErr w:type="spellEnd"/>
      <w:r>
        <w:t xml:space="preserve"> </w:t>
      </w:r>
      <w:proofErr w:type="spellStart"/>
      <w:r w:rsidRPr="006E2F65">
        <w:t>Wable</w:t>
      </w:r>
      <w:proofErr w:type="spellEnd"/>
      <w:r w:rsidRPr="006E2F65">
        <w:t xml:space="preserve"> “The US-India Strategic Nuclear Partnership: A Debilitating Blow to the Non-Proliferation Regime” (2007-2008)</w:t>
      </w:r>
      <w:r>
        <w:t xml:space="preserve"> 33</w:t>
      </w:r>
      <w:r w:rsidRPr="002453BC">
        <w:t xml:space="preserve"> Brooklyn Journal of International Law</w:t>
      </w:r>
      <w:r>
        <w:t xml:space="preserve"> </w:t>
      </w:r>
      <w:r w:rsidRPr="006E2F65">
        <w:t>719-759 at 720-721.</w:t>
      </w:r>
    </w:p>
  </w:footnote>
  <w:footnote w:id="7">
    <w:p w:rsidR="00D555B7" w:rsidRPr="006E2F65" w:rsidRDefault="00D555B7" w:rsidP="00697444">
      <w:pPr>
        <w:pStyle w:val="FootnoteText"/>
        <w:jc w:val="both"/>
      </w:pPr>
      <w:r w:rsidRPr="006E2F65">
        <w:rPr>
          <w:rStyle w:val="FootnoteReference"/>
        </w:rPr>
        <w:footnoteRef/>
      </w:r>
      <w:r w:rsidRPr="006E2F65">
        <w:t xml:space="preserve"> </w:t>
      </w:r>
      <w:proofErr w:type="spellStart"/>
      <w:r w:rsidRPr="006E2F65">
        <w:t>Wable</w:t>
      </w:r>
      <w:proofErr w:type="spellEnd"/>
      <w:r w:rsidRPr="006E2F65">
        <w:t xml:space="preserve"> </w:t>
      </w:r>
      <w:r w:rsidRPr="006E2F65">
        <w:rPr>
          <w:i/>
        </w:rPr>
        <w:t>ibid</w:t>
      </w:r>
      <w:r>
        <w:t xml:space="preserve"> 729-730; </w:t>
      </w:r>
      <w:proofErr w:type="spellStart"/>
      <w:r>
        <w:t>Jörn</w:t>
      </w:r>
      <w:proofErr w:type="spellEnd"/>
      <w:r w:rsidRPr="006E2F65">
        <w:t xml:space="preserve"> Müller “The Signing of the US-India Agreement Concerning Peaceful Uses of Nuclear Energy”</w:t>
      </w:r>
      <w:r>
        <w:t xml:space="preserve"> (2009)</w:t>
      </w:r>
      <w:r w:rsidRPr="006E2F65">
        <w:t xml:space="preserve"> </w:t>
      </w:r>
      <w:r>
        <w:t xml:space="preserve">1 </w:t>
      </w:r>
      <w:proofErr w:type="spellStart"/>
      <w:r w:rsidRPr="00DB4B9B">
        <w:rPr>
          <w:iCs/>
        </w:rPr>
        <w:t>Göttingen</w:t>
      </w:r>
      <w:proofErr w:type="spellEnd"/>
      <w:r w:rsidRPr="00DB4B9B">
        <w:rPr>
          <w:iCs/>
        </w:rPr>
        <w:t xml:space="preserve"> Journal of International Law</w:t>
      </w:r>
      <w:r>
        <w:rPr>
          <w:iCs/>
        </w:rPr>
        <w:t xml:space="preserve"> </w:t>
      </w:r>
      <w:r w:rsidRPr="006E2F65">
        <w:t xml:space="preserve">179-198; and P.R. Chari “Introduction” in </w:t>
      </w:r>
      <w:r w:rsidRPr="00D519CE">
        <w:t>P. R. Chari</w:t>
      </w:r>
      <w:r w:rsidRPr="006E2F65">
        <w:t xml:space="preserve"> (</w:t>
      </w:r>
      <w:proofErr w:type="spellStart"/>
      <w:r w:rsidRPr="006E2F65">
        <w:t>ed</w:t>
      </w:r>
      <w:proofErr w:type="spellEnd"/>
      <w:r w:rsidRPr="006E2F65">
        <w:t xml:space="preserve">) </w:t>
      </w:r>
      <w:r w:rsidRPr="006E2F65">
        <w:rPr>
          <w:i/>
        </w:rPr>
        <w:t>Indo-US Nuclear Deal: Seeking Synergy in Bilateralism</w:t>
      </w:r>
      <w:r w:rsidRPr="006E2F65">
        <w:t xml:space="preserve"> (</w:t>
      </w:r>
      <w:proofErr w:type="spellStart"/>
      <w:r w:rsidRPr="006E2F65">
        <w:t>Routledge</w:t>
      </w:r>
      <w:proofErr w:type="spellEnd"/>
      <w:r w:rsidRPr="006E2F65">
        <w:t>, London, 2009)</w:t>
      </w:r>
      <w:r>
        <w:t xml:space="preserve"> </w:t>
      </w:r>
      <w:r w:rsidRPr="006E2F65">
        <w:t>1-17 at 9.</w:t>
      </w:r>
    </w:p>
  </w:footnote>
  <w:footnote w:id="8">
    <w:p w:rsidR="00D555B7" w:rsidRPr="00644C47" w:rsidRDefault="00D555B7" w:rsidP="00697444">
      <w:pPr>
        <w:jc w:val="both"/>
        <w:rPr>
          <w:sz w:val="20"/>
          <w:szCs w:val="20"/>
        </w:rPr>
      </w:pPr>
      <w:r w:rsidRPr="006E2F65">
        <w:rPr>
          <w:rStyle w:val="FootnoteReference"/>
          <w:sz w:val="20"/>
          <w:szCs w:val="20"/>
        </w:rPr>
        <w:footnoteRef/>
      </w:r>
      <w:r w:rsidRPr="006E2F65">
        <w:rPr>
          <w:sz w:val="20"/>
          <w:szCs w:val="20"/>
        </w:rPr>
        <w:t xml:space="preserve"> See for example </w:t>
      </w:r>
      <w:proofErr w:type="spellStart"/>
      <w:r w:rsidRPr="006E2F65">
        <w:rPr>
          <w:sz w:val="20"/>
          <w:szCs w:val="20"/>
        </w:rPr>
        <w:t>Wable</w:t>
      </w:r>
      <w:proofErr w:type="spellEnd"/>
      <w:r w:rsidRPr="006E2F65">
        <w:rPr>
          <w:sz w:val="20"/>
          <w:szCs w:val="20"/>
        </w:rPr>
        <w:t xml:space="preserve"> </w:t>
      </w:r>
      <w:r w:rsidRPr="006E2F65">
        <w:rPr>
          <w:i/>
          <w:sz w:val="20"/>
          <w:szCs w:val="20"/>
        </w:rPr>
        <w:t>ibid</w:t>
      </w:r>
      <w:r>
        <w:rPr>
          <w:i/>
          <w:sz w:val="20"/>
          <w:szCs w:val="20"/>
        </w:rPr>
        <w:t xml:space="preserve"> </w:t>
      </w:r>
      <w:r w:rsidRPr="006E2F65">
        <w:rPr>
          <w:sz w:val="20"/>
          <w:szCs w:val="20"/>
        </w:rPr>
        <w:t>738; D</w:t>
      </w:r>
      <w:r>
        <w:rPr>
          <w:sz w:val="20"/>
          <w:szCs w:val="20"/>
        </w:rPr>
        <w:t xml:space="preserve">avid </w:t>
      </w:r>
      <w:proofErr w:type="spellStart"/>
      <w:r w:rsidRPr="006E2F65">
        <w:rPr>
          <w:sz w:val="20"/>
          <w:szCs w:val="20"/>
        </w:rPr>
        <w:t>Koplow</w:t>
      </w:r>
      <w:proofErr w:type="spellEnd"/>
      <w:r w:rsidRPr="006E2F65">
        <w:rPr>
          <w:sz w:val="20"/>
          <w:szCs w:val="20"/>
        </w:rPr>
        <w:t xml:space="preserve"> “Parsing Good Faith: Has the United States Violated Article VI of the Nuclear Non-Proliferation Treaty?”</w:t>
      </w:r>
      <w:r>
        <w:rPr>
          <w:sz w:val="20"/>
          <w:szCs w:val="20"/>
        </w:rPr>
        <w:t xml:space="preserve"> (1993) 93</w:t>
      </w:r>
      <w:r w:rsidRPr="006E2F65">
        <w:rPr>
          <w:sz w:val="20"/>
          <w:szCs w:val="20"/>
        </w:rPr>
        <w:t xml:space="preserve"> </w:t>
      </w:r>
      <w:r w:rsidRPr="00DB4B9B">
        <w:rPr>
          <w:sz w:val="20"/>
          <w:szCs w:val="20"/>
        </w:rPr>
        <w:t>Wisconsin Law Review</w:t>
      </w:r>
      <w:r>
        <w:rPr>
          <w:sz w:val="20"/>
          <w:szCs w:val="20"/>
        </w:rPr>
        <w:t xml:space="preserve"> </w:t>
      </w:r>
      <w:r w:rsidRPr="006E2F65">
        <w:rPr>
          <w:sz w:val="20"/>
          <w:szCs w:val="20"/>
        </w:rPr>
        <w:t>301-394 at 390; Carranza,</w:t>
      </w:r>
      <w:r>
        <w:rPr>
          <w:sz w:val="20"/>
          <w:szCs w:val="20"/>
        </w:rPr>
        <w:t xml:space="preserve"> above</w:t>
      </w:r>
      <w:r w:rsidRPr="006E2F65">
        <w:rPr>
          <w:sz w:val="20"/>
          <w:szCs w:val="20"/>
        </w:rPr>
        <w:t xml:space="preserve"> n</w:t>
      </w:r>
      <w:r w:rsidR="00697444">
        <w:rPr>
          <w:sz w:val="20"/>
          <w:szCs w:val="20"/>
        </w:rPr>
        <w:t xml:space="preserve"> </w:t>
      </w:r>
      <w:r>
        <w:rPr>
          <w:sz w:val="20"/>
          <w:szCs w:val="20"/>
        </w:rPr>
        <w:t xml:space="preserve">5 at </w:t>
      </w:r>
      <w:r w:rsidRPr="006E2F65">
        <w:rPr>
          <w:sz w:val="20"/>
          <w:szCs w:val="20"/>
        </w:rPr>
        <w:t>42; T</w:t>
      </w:r>
      <w:r>
        <w:rPr>
          <w:sz w:val="20"/>
          <w:szCs w:val="20"/>
        </w:rPr>
        <w:t>homas</w:t>
      </w:r>
      <w:r w:rsidRPr="006E2F65">
        <w:rPr>
          <w:sz w:val="20"/>
          <w:szCs w:val="20"/>
        </w:rPr>
        <w:t xml:space="preserve"> Graham “South Asia and the Future of Nuclear </w:t>
      </w:r>
      <w:proofErr w:type="spellStart"/>
      <w:r w:rsidRPr="006E2F65">
        <w:rPr>
          <w:sz w:val="20"/>
          <w:szCs w:val="20"/>
        </w:rPr>
        <w:t>Nonproliferation</w:t>
      </w:r>
      <w:proofErr w:type="spellEnd"/>
      <w:r w:rsidRPr="006E2F65">
        <w:rPr>
          <w:sz w:val="20"/>
          <w:szCs w:val="20"/>
        </w:rPr>
        <w:t>”</w:t>
      </w:r>
      <w:r>
        <w:rPr>
          <w:sz w:val="20"/>
          <w:szCs w:val="20"/>
        </w:rPr>
        <w:t xml:space="preserve"> (1998)</w:t>
      </w:r>
      <w:r w:rsidRPr="006E2F65">
        <w:rPr>
          <w:sz w:val="20"/>
          <w:szCs w:val="20"/>
        </w:rPr>
        <w:t xml:space="preserve"> </w:t>
      </w:r>
      <w:r w:rsidRPr="00DB4B9B">
        <w:rPr>
          <w:noProof/>
          <w:sz w:val="20"/>
          <w:szCs w:val="20"/>
        </w:rPr>
        <w:t>Arms Control Today</w:t>
      </w:r>
      <w:r w:rsidRPr="006E2F65">
        <w:rPr>
          <w:noProof/>
          <w:sz w:val="20"/>
          <w:szCs w:val="20"/>
        </w:rPr>
        <w:t xml:space="preserve"> </w:t>
      </w:r>
      <w:r>
        <w:rPr>
          <w:noProof/>
          <w:sz w:val="20"/>
          <w:szCs w:val="20"/>
        </w:rPr>
        <w:t>&lt;</w:t>
      </w:r>
      <w:r w:rsidRPr="006E2F65">
        <w:rPr>
          <w:sz w:val="20"/>
          <w:szCs w:val="20"/>
        </w:rPr>
        <w:t>http://www.armscontrol.org/act/1998_05/grmy98</w:t>
      </w:r>
      <w:r>
        <w:rPr>
          <w:sz w:val="20"/>
          <w:szCs w:val="20"/>
        </w:rPr>
        <w:t>&gt;</w:t>
      </w:r>
      <w:r w:rsidRPr="006E2F65">
        <w:rPr>
          <w:sz w:val="20"/>
          <w:szCs w:val="20"/>
        </w:rPr>
        <w:t xml:space="preserve"> (arguing that, by 1998 and independent of the NPT, ‘an international norm of behaviour [had] developed establishing that the number of nuclear-weapon states...would remain at five.’); S</w:t>
      </w:r>
      <w:r>
        <w:rPr>
          <w:sz w:val="20"/>
          <w:szCs w:val="20"/>
        </w:rPr>
        <w:t>usan</w:t>
      </w:r>
      <w:r w:rsidRPr="006E2F65">
        <w:rPr>
          <w:sz w:val="20"/>
          <w:szCs w:val="20"/>
        </w:rPr>
        <w:t xml:space="preserve"> </w:t>
      </w:r>
      <w:proofErr w:type="spellStart"/>
      <w:r w:rsidRPr="006E2F65">
        <w:rPr>
          <w:sz w:val="20"/>
          <w:szCs w:val="20"/>
        </w:rPr>
        <w:t>Carmody</w:t>
      </w:r>
      <w:proofErr w:type="spellEnd"/>
      <w:r w:rsidRPr="006E2F65">
        <w:rPr>
          <w:sz w:val="20"/>
          <w:szCs w:val="20"/>
        </w:rPr>
        <w:t xml:space="preserve"> “Balancing Collective Security and National Sovereignty: Does the United Nations Have the Right to Inspect North Korea’s Nuclear Facilities”</w:t>
      </w:r>
      <w:r>
        <w:rPr>
          <w:sz w:val="20"/>
          <w:szCs w:val="20"/>
        </w:rPr>
        <w:t xml:space="preserve"> </w:t>
      </w:r>
      <w:r w:rsidRPr="006E2F65">
        <w:rPr>
          <w:sz w:val="20"/>
          <w:szCs w:val="20"/>
        </w:rPr>
        <w:t>(1994-1995</w:t>
      </w:r>
      <w:r>
        <w:rPr>
          <w:sz w:val="20"/>
          <w:szCs w:val="20"/>
        </w:rPr>
        <w:t>) 18</w:t>
      </w:r>
      <w:r w:rsidRPr="00DB4B9B">
        <w:rPr>
          <w:sz w:val="20"/>
          <w:szCs w:val="20"/>
        </w:rPr>
        <w:t xml:space="preserve"> Fordham International Law Journal</w:t>
      </w:r>
      <w:r>
        <w:rPr>
          <w:sz w:val="20"/>
          <w:szCs w:val="20"/>
        </w:rPr>
        <w:t xml:space="preserve"> </w:t>
      </w:r>
      <w:r w:rsidRPr="006E2F65">
        <w:rPr>
          <w:sz w:val="20"/>
          <w:szCs w:val="20"/>
        </w:rPr>
        <w:t xml:space="preserve">229-284 at 273; </w:t>
      </w:r>
      <w:proofErr w:type="spellStart"/>
      <w:r w:rsidRPr="006E2F65">
        <w:rPr>
          <w:sz w:val="20"/>
          <w:szCs w:val="20"/>
        </w:rPr>
        <w:t>O</w:t>
      </w:r>
      <w:r>
        <w:rPr>
          <w:sz w:val="20"/>
          <w:szCs w:val="20"/>
        </w:rPr>
        <w:t>rde</w:t>
      </w:r>
      <w:proofErr w:type="spellEnd"/>
      <w:r>
        <w:rPr>
          <w:sz w:val="20"/>
          <w:szCs w:val="20"/>
        </w:rPr>
        <w:t xml:space="preserve"> </w:t>
      </w:r>
      <w:proofErr w:type="spellStart"/>
      <w:r w:rsidRPr="006E2F65">
        <w:rPr>
          <w:sz w:val="20"/>
          <w:szCs w:val="20"/>
        </w:rPr>
        <w:t>Kittrie</w:t>
      </w:r>
      <w:proofErr w:type="spellEnd"/>
      <w:r w:rsidRPr="006E2F65">
        <w:rPr>
          <w:sz w:val="20"/>
          <w:szCs w:val="20"/>
        </w:rPr>
        <w:t xml:space="preserve"> “Averting Catastrophe: Why the Nuclear </w:t>
      </w:r>
      <w:proofErr w:type="spellStart"/>
      <w:r w:rsidRPr="006E2F65">
        <w:rPr>
          <w:sz w:val="20"/>
          <w:szCs w:val="20"/>
        </w:rPr>
        <w:t>Nonproliferation</w:t>
      </w:r>
      <w:proofErr w:type="spellEnd"/>
      <w:r w:rsidRPr="006E2F65">
        <w:rPr>
          <w:sz w:val="20"/>
          <w:szCs w:val="20"/>
        </w:rPr>
        <w:t xml:space="preserve"> Treaty Is Losing Its Deterrence Capacity and How to Restore It”</w:t>
      </w:r>
      <w:r>
        <w:rPr>
          <w:sz w:val="20"/>
          <w:szCs w:val="20"/>
        </w:rPr>
        <w:t xml:space="preserve"> (2006-2007)</w:t>
      </w:r>
      <w:r w:rsidRPr="006E2F65">
        <w:rPr>
          <w:sz w:val="20"/>
          <w:szCs w:val="20"/>
        </w:rPr>
        <w:t xml:space="preserve"> </w:t>
      </w:r>
      <w:r w:rsidRPr="00644C47">
        <w:rPr>
          <w:sz w:val="20"/>
          <w:szCs w:val="20"/>
        </w:rPr>
        <w:t xml:space="preserve">Michigan Journal of International Law </w:t>
      </w:r>
      <w:r w:rsidRPr="006E2F65">
        <w:rPr>
          <w:sz w:val="20"/>
          <w:szCs w:val="20"/>
        </w:rPr>
        <w:t>337-430 at</w:t>
      </w:r>
      <w:r>
        <w:rPr>
          <w:sz w:val="20"/>
          <w:szCs w:val="20"/>
        </w:rPr>
        <w:t xml:space="preserve"> </w:t>
      </w:r>
      <w:r w:rsidRPr="006E2F65">
        <w:rPr>
          <w:sz w:val="20"/>
          <w:szCs w:val="20"/>
        </w:rPr>
        <w:t>340-341 and 348-350 (indicating that the non-proliferation regime may be customary in nature, but ultimately not concluding decisively on the question); G</w:t>
      </w:r>
      <w:r>
        <w:rPr>
          <w:sz w:val="20"/>
          <w:szCs w:val="20"/>
        </w:rPr>
        <w:t xml:space="preserve">eoffrey </w:t>
      </w:r>
      <w:r w:rsidRPr="006E2F65">
        <w:rPr>
          <w:sz w:val="20"/>
          <w:szCs w:val="20"/>
        </w:rPr>
        <w:t>Carlson “An Offer They Can’t Refuse – The Security Council Tells North Korea to Re-Sign the Nuclear Non-Proliferation Treaty”</w:t>
      </w:r>
      <w:r>
        <w:rPr>
          <w:sz w:val="20"/>
          <w:szCs w:val="20"/>
        </w:rPr>
        <w:t xml:space="preserve"> (2007-2008) 46</w:t>
      </w:r>
      <w:r w:rsidRPr="006E2F65">
        <w:rPr>
          <w:sz w:val="20"/>
          <w:szCs w:val="20"/>
        </w:rPr>
        <w:t xml:space="preserve"> </w:t>
      </w:r>
      <w:r w:rsidRPr="00644C47">
        <w:rPr>
          <w:sz w:val="20"/>
          <w:szCs w:val="20"/>
        </w:rPr>
        <w:t>Columbia Journal of Transnational Law</w:t>
      </w:r>
      <w:r>
        <w:rPr>
          <w:i/>
          <w:sz w:val="20"/>
          <w:szCs w:val="20"/>
        </w:rPr>
        <w:t xml:space="preserve"> </w:t>
      </w:r>
      <w:r w:rsidRPr="006E2F65">
        <w:rPr>
          <w:sz w:val="20"/>
          <w:szCs w:val="20"/>
        </w:rPr>
        <w:t xml:space="preserve">420-467 at 429-431 (though the customary status of aspects of the regime is only implicit in Carlson’s analysis); and </w:t>
      </w:r>
      <w:r w:rsidRPr="006E2F65">
        <w:rPr>
          <w:rStyle w:val="fn"/>
          <w:sz w:val="20"/>
          <w:szCs w:val="20"/>
        </w:rPr>
        <w:t>A</w:t>
      </w:r>
      <w:r>
        <w:rPr>
          <w:rStyle w:val="fn"/>
          <w:sz w:val="20"/>
          <w:szCs w:val="20"/>
        </w:rPr>
        <w:t>ndreas</w:t>
      </w:r>
      <w:r w:rsidRPr="006E2F65">
        <w:rPr>
          <w:rStyle w:val="fn"/>
          <w:sz w:val="20"/>
          <w:szCs w:val="20"/>
        </w:rPr>
        <w:t xml:space="preserve"> </w:t>
      </w:r>
      <w:proofErr w:type="spellStart"/>
      <w:r w:rsidRPr="006E2F65">
        <w:rPr>
          <w:rStyle w:val="fn"/>
          <w:sz w:val="20"/>
          <w:szCs w:val="20"/>
        </w:rPr>
        <w:t>Persbo</w:t>
      </w:r>
      <w:proofErr w:type="spellEnd"/>
      <w:r w:rsidRPr="006E2F65">
        <w:rPr>
          <w:rStyle w:val="fn"/>
          <w:sz w:val="20"/>
          <w:szCs w:val="20"/>
        </w:rPr>
        <w:t xml:space="preserve"> “</w:t>
      </w:r>
      <w:r w:rsidRPr="006E2F65">
        <w:rPr>
          <w:sz w:val="20"/>
          <w:szCs w:val="20"/>
        </w:rPr>
        <w:t>Is the Partial Test Ban Treaty Custom</w:t>
      </w:r>
      <w:r>
        <w:rPr>
          <w:sz w:val="20"/>
          <w:szCs w:val="20"/>
        </w:rPr>
        <w:t xml:space="preserve">ary Law?” </w:t>
      </w:r>
      <w:proofErr w:type="gramStart"/>
      <w:r>
        <w:rPr>
          <w:sz w:val="20"/>
          <w:szCs w:val="20"/>
        </w:rPr>
        <w:t>(2006)</w:t>
      </w:r>
      <w:r w:rsidRPr="006E2F65">
        <w:rPr>
          <w:sz w:val="20"/>
          <w:szCs w:val="20"/>
        </w:rPr>
        <w:t xml:space="preserve"> </w:t>
      </w:r>
      <w:r>
        <w:rPr>
          <w:sz w:val="20"/>
          <w:szCs w:val="20"/>
        </w:rPr>
        <w:t>&lt;</w:t>
      </w:r>
      <w:r w:rsidRPr="006E2F65">
        <w:rPr>
          <w:sz w:val="20"/>
          <w:szCs w:val="20"/>
        </w:rPr>
        <w:t>http://www.armscontrolverification.org/2006/10/is-partial</w:t>
      </w:r>
      <w:r>
        <w:rPr>
          <w:sz w:val="20"/>
          <w:szCs w:val="20"/>
        </w:rPr>
        <w:t>-test-ban-treaty-customary.html</w:t>
      </w:r>
      <w:r w:rsidRPr="00644C47">
        <w:rPr>
          <w:sz w:val="20"/>
          <w:szCs w:val="20"/>
        </w:rPr>
        <w:t xml:space="preserve">&gt; (though again, this conclusion is only implicit in </w:t>
      </w:r>
      <w:proofErr w:type="spellStart"/>
      <w:r w:rsidRPr="00644C47">
        <w:rPr>
          <w:rStyle w:val="fn"/>
          <w:sz w:val="20"/>
          <w:szCs w:val="20"/>
        </w:rPr>
        <w:t>Persbo’s</w:t>
      </w:r>
      <w:proofErr w:type="spellEnd"/>
      <w:r w:rsidRPr="00644C47">
        <w:rPr>
          <w:rStyle w:val="fn"/>
          <w:sz w:val="20"/>
          <w:szCs w:val="20"/>
        </w:rPr>
        <w:t xml:space="preserve"> analysis</w:t>
      </w:r>
      <w:r w:rsidRPr="00644C47">
        <w:rPr>
          <w:sz w:val="20"/>
          <w:szCs w:val="20"/>
        </w:rPr>
        <w:t>).</w:t>
      </w:r>
      <w:proofErr w:type="gramEnd"/>
    </w:p>
  </w:footnote>
  <w:footnote w:id="9">
    <w:p w:rsidR="00D555B7" w:rsidRPr="006E2F65" w:rsidRDefault="00D555B7" w:rsidP="00697444">
      <w:pPr>
        <w:pStyle w:val="FootnoteText"/>
        <w:jc w:val="both"/>
      </w:pPr>
      <w:r w:rsidRPr="006E2F65">
        <w:rPr>
          <w:rStyle w:val="FootnoteReference"/>
        </w:rPr>
        <w:footnoteRef/>
      </w:r>
      <w:r w:rsidRPr="006E2F65">
        <w:t xml:space="preserve"> See, for example, </w:t>
      </w:r>
      <w:r w:rsidRPr="00D519CE">
        <w:t>James Kelly</w:t>
      </w:r>
      <w:r w:rsidRPr="006E2F65">
        <w:t xml:space="preserve"> “The Twilight of Customary International Law”</w:t>
      </w:r>
      <w:r>
        <w:t xml:space="preserve"> (1999-2000) </w:t>
      </w:r>
      <w:r w:rsidRPr="00644C47">
        <w:t xml:space="preserve">40 Virginia Journal of International Law </w:t>
      </w:r>
      <w:r w:rsidRPr="006E2F65">
        <w:t>449-543 at 451.</w:t>
      </w:r>
    </w:p>
  </w:footnote>
  <w:footnote w:id="10">
    <w:p w:rsidR="00D555B7" w:rsidRPr="006E2F65" w:rsidRDefault="00D555B7" w:rsidP="00697444">
      <w:pPr>
        <w:pStyle w:val="FootnoteText"/>
        <w:jc w:val="both"/>
      </w:pPr>
      <w:r w:rsidRPr="006E2F65">
        <w:rPr>
          <w:rStyle w:val="FootnoteReference"/>
        </w:rPr>
        <w:footnoteRef/>
      </w:r>
      <w:r w:rsidRPr="006E2F65">
        <w:t xml:space="preserve"> </w:t>
      </w:r>
      <w:proofErr w:type="spellStart"/>
      <w:proofErr w:type="gramStart"/>
      <w:r w:rsidRPr="006E2F65">
        <w:t>O</w:t>
      </w:r>
      <w:r>
        <w:t>lufemi</w:t>
      </w:r>
      <w:proofErr w:type="spellEnd"/>
      <w:r w:rsidRPr="006E2F65">
        <w:t xml:space="preserve"> Elias “Persistent Objector” </w:t>
      </w:r>
      <w:r w:rsidRPr="006E2F65">
        <w:rPr>
          <w:i/>
        </w:rPr>
        <w:t>Max Planck Encyclopaedia of Public International Law</w:t>
      </w:r>
      <w:r>
        <w:t xml:space="preserve"> </w:t>
      </w:r>
      <w:r w:rsidRPr="006E2F65">
        <w:t>(2009</w:t>
      </w:r>
      <w:r>
        <w:t>)</w:t>
      </w:r>
      <w:r w:rsidRPr="006E2F65">
        <w:t xml:space="preserve"> </w:t>
      </w:r>
      <w:r>
        <w:t>Online version, available at</w:t>
      </w:r>
      <w:r w:rsidRPr="006E2F65">
        <w:t xml:space="preserve"> </w:t>
      </w:r>
      <w:r>
        <w:t>&lt;</w:t>
      </w:r>
      <w:r w:rsidRPr="006E2F65">
        <w:t>www.mpepil.com</w:t>
      </w:r>
      <w:r>
        <w:t>&gt;, [</w:t>
      </w:r>
      <w:r w:rsidRPr="006E2F65">
        <w:t>1</w:t>
      </w:r>
      <w:r>
        <w:t>]</w:t>
      </w:r>
      <w:r w:rsidRPr="006E2F65">
        <w:t>.</w:t>
      </w:r>
      <w:proofErr w:type="gramEnd"/>
      <w:r w:rsidRPr="006E2F65">
        <w:t xml:space="preserve">  This is a good expression of the common definition of the rule. </w:t>
      </w:r>
    </w:p>
  </w:footnote>
  <w:footnote w:id="11">
    <w:p w:rsidR="00D555B7" w:rsidRPr="006E2F65" w:rsidRDefault="00D555B7" w:rsidP="00697444">
      <w:pPr>
        <w:jc w:val="both"/>
        <w:rPr>
          <w:sz w:val="20"/>
          <w:szCs w:val="20"/>
        </w:rPr>
      </w:pPr>
      <w:r w:rsidRPr="006E2F65">
        <w:rPr>
          <w:rStyle w:val="FootnoteReference"/>
          <w:sz w:val="20"/>
          <w:szCs w:val="20"/>
        </w:rPr>
        <w:footnoteRef/>
      </w:r>
      <w:r w:rsidRPr="006E2F65">
        <w:rPr>
          <w:sz w:val="20"/>
          <w:szCs w:val="20"/>
        </w:rPr>
        <w:t xml:space="preserve"> An excellent summary of the nuclear non-proliferation regime under international law is provided by Joyner, </w:t>
      </w:r>
      <w:r>
        <w:rPr>
          <w:sz w:val="20"/>
          <w:szCs w:val="20"/>
        </w:rPr>
        <w:t xml:space="preserve">above n 3 at </w:t>
      </w:r>
      <w:r w:rsidRPr="006E2F65">
        <w:rPr>
          <w:bCs/>
          <w:sz w:val="20"/>
          <w:szCs w:val="20"/>
          <w:lang w:val="en-US"/>
        </w:rPr>
        <w:t>3-76.</w:t>
      </w:r>
    </w:p>
  </w:footnote>
  <w:footnote w:id="12">
    <w:p w:rsidR="00D555B7" w:rsidRPr="006E2F65" w:rsidRDefault="00D555B7" w:rsidP="00697444">
      <w:pPr>
        <w:jc w:val="both"/>
        <w:rPr>
          <w:sz w:val="20"/>
          <w:szCs w:val="20"/>
        </w:rPr>
      </w:pPr>
      <w:r w:rsidRPr="006E2F65">
        <w:rPr>
          <w:rStyle w:val="FootnoteReference"/>
          <w:sz w:val="20"/>
          <w:szCs w:val="20"/>
        </w:rPr>
        <w:footnoteRef/>
      </w:r>
      <w:r w:rsidRPr="006E2F65">
        <w:rPr>
          <w:sz w:val="20"/>
          <w:szCs w:val="20"/>
        </w:rPr>
        <w:t xml:space="preserve"> See </w:t>
      </w:r>
      <w:r>
        <w:rPr>
          <w:sz w:val="20"/>
          <w:szCs w:val="20"/>
        </w:rPr>
        <w:t>above n</w:t>
      </w:r>
      <w:r w:rsidR="00361968">
        <w:rPr>
          <w:sz w:val="20"/>
          <w:szCs w:val="20"/>
        </w:rPr>
        <w:t xml:space="preserve"> </w:t>
      </w:r>
      <w:r>
        <w:rPr>
          <w:sz w:val="20"/>
          <w:szCs w:val="20"/>
        </w:rPr>
        <w:t>3 and accompanying text.</w:t>
      </w:r>
    </w:p>
  </w:footnote>
  <w:footnote w:id="13">
    <w:p w:rsidR="00D555B7" w:rsidRPr="006E2F65" w:rsidRDefault="00D555B7" w:rsidP="00697444">
      <w:pPr>
        <w:pStyle w:val="FootnoteText"/>
        <w:jc w:val="both"/>
      </w:pPr>
      <w:r w:rsidRPr="006E2F65">
        <w:rPr>
          <w:rStyle w:val="FootnoteReference"/>
        </w:rPr>
        <w:footnoteRef/>
      </w:r>
      <w:r w:rsidRPr="006E2F65">
        <w:t xml:space="preserve"> For the purposes of the NPT, a NWS ‘is one which has manufactured and exploded a nuclear weapon or other nuclear explosive device prior to 1 January 1967.’  </w:t>
      </w:r>
      <w:proofErr w:type="gramStart"/>
      <w:r w:rsidRPr="006E2F65">
        <w:t xml:space="preserve">NPT, </w:t>
      </w:r>
      <w:r>
        <w:t>above n 1,</w:t>
      </w:r>
      <w:r w:rsidRPr="006E2F65">
        <w:t xml:space="preserve"> Article IX (3).</w:t>
      </w:r>
      <w:proofErr w:type="gramEnd"/>
      <w:r w:rsidRPr="006E2F65">
        <w:t xml:space="preserve">  This group is comprised of the permanent members of the United Nations Security Council: the United States, the United Kingdom, Russia (formerly the Soviet Union), France and China.</w:t>
      </w:r>
    </w:p>
  </w:footnote>
  <w:footnote w:id="14">
    <w:p w:rsidR="00D555B7" w:rsidRPr="006E2F65" w:rsidRDefault="00D555B7" w:rsidP="00697444">
      <w:pPr>
        <w:pStyle w:val="FootnoteText"/>
        <w:jc w:val="both"/>
      </w:pPr>
      <w:r w:rsidRPr="006E2F65">
        <w:rPr>
          <w:rStyle w:val="FootnoteReference"/>
        </w:rPr>
        <w:footnoteRef/>
      </w:r>
      <w:r w:rsidRPr="006E2F65">
        <w:t xml:space="preserve"> </w:t>
      </w:r>
      <w:proofErr w:type="gramStart"/>
      <w:r w:rsidRPr="006E2F65">
        <w:t xml:space="preserve">Being those states that do not meet the test for NWS set out in Article IX (3), </w:t>
      </w:r>
      <w:r w:rsidRPr="006E2F65">
        <w:rPr>
          <w:i/>
        </w:rPr>
        <w:t>ibid</w:t>
      </w:r>
      <w:r w:rsidRPr="006E2F65">
        <w:t>.</w:t>
      </w:r>
      <w:proofErr w:type="gramEnd"/>
    </w:p>
  </w:footnote>
  <w:footnote w:id="15">
    <w:p w:rsidR="00D555B7" w:rsidRPr="006E2F65" w:rsidRDefault="00D555B7" w:rsidP="00697444">
      <w:pPr>
        <w:pStyle w:val="FootnoteText"/>
        <w:jc w:val="both"/>
      </w:pPr>
      <w:r w:rsidRPr="006E2F65">
        <w:rPr>
          <w:rStyle w:val="FootnoteReference"/>
        </w:rPr>
        <w:footnoteRef/>
      </w:r>
      <w:r>
        <w:t xml:space="preserve"> See</w:t>
      </w:r>
      <w:r w:rsidRPr="006E2F65">
        <w:t xml:space="preserve"> for example Joyner</w:t>
      </w:r>
      <w:r>
        <w:t>, above n 3</w:t>
      </w:r>
      <w:r w:rsidRPr="006E2F65">
        <w:t xml:space="preserve"> at 9.</w:t>
      </w:r>
    </w:p>
  </w:footnote>
  <w:footnote w:id="16">
    <w:p w:rsidR="00D555B7" w:rsidRPr="006E2F65" w:rsidRDefault="00D555B7" w:rsidP="00697444">
      <w:pPr>
        <w:pStyle w:val="FootnoteText"/>
        <w:jc w:val="both"/>
      </w:pPr>
      <w:r w:rsidRPr="006E2F65">
        <w:rPr>
          <w:rStyle w:val="FootnoteReference"/>
        </w:rPr>
        <w:footnoteRef/>
      </w:r>
      <w:r w:rsidRPr="006E2F65">
        <w:t xml:space="preserve"> See NPT, </w:t>
      </w:r>
      <w:r>
        <w:t>above n 1</w:t>
      </w:r>
      <w:r w:rsidRPr="006E2F65">
        <w:t xml:space="preserve"> Article II.</w:t>
      </w:r>
    </w:p>
  </w:footnote>
  <w:footnote w:id="17">
    <w:p w:rsidR="00D555B7" w:rsidRPr="006E2F65" w:rsidRDefault="00D555B7" w:rsidP="00697444">
      <w:pPr>
        <w:pStyle w:val="FootnoteText"/>
        <w:jc w:val="both"/>
      </w:pPr>
      <w:r w:rsidRPr="006E2F65">
        <w:rPr>
          <w:rStyle w:val="FootnoteReference"/>
        </w:rPr>
        <w:footnoteRef/>
      </w:r>
      <w:r w:rsidRPr="006E2F65">
        <w:t xml:space="preserve"> </w:t>
      </w:r>
      <w:proofErr w:type="gramStart"/>
      <w:r w:rsidRPr="006E2F65">
        <w:rPr>
          <w:i/>
        </w:rPr>
        <w:t>Ibid</w:t>
      </w:r>
      <w:r w:rsidRPr="006E2F65">
        <w:t>.,</w:t>
      </w:r>
      <w:proofErr w:type="gramEnd"/>
      <w:r w:rsidRPr="006E2F65">
        <w:t xml:space="preserve"> Article III.</w:t>
      </w:r>
    </w:p>
  </w:footnote>
  <w:footnote w:id="18">
    <w:p w:rsidR="00D555B7" w:rsidRPr="006E2F65" w:rsidRDefault="00D555B7" w:rsidP="00697444">
      <w:pPr>
        <w:pStyle w:val="FootnoteText"/>
        <w:jc w:val="both"/>
      </w:pPr>
      <w:r w:rsidRPr="006E2F65">
        <w:rPr>
          <w:rStyle w:val="FootnoteReference"/>
        </w:rPr>
        <w:footnoteRef/>
      </w:r>
      <w:r w:rsidRPr="006E2F65">
        <w:t xml:space="preserve"> </w:t>
      </w:r>
      <w:proofErr w:type="gramStart"/>
      <w:r w:rsidRPr="006E2F65">
        <w:rPr>
          <w:i/>
        </w:rPr>
        <w:t>Ibid</w:t>
      </w:r>
      <w:r w:rsidRPr="006E2F65">
        <w:t>.,</w:t>
      </w:r>
      <w:proofErr w:type="gramEnd"/>
      <w:r w:rsidRPr="006E2F65">
        <w:t xml:space="preserve"> Article IV.</w:t>
      </w:r>
    </w:p>
  </w:footnote>
  <w:footnote w:id="19">
    <w:p w:rsidR="00D555B7" w:rsidRPr="006E2F65" w:rsidRDefault="00D555B7" w:rsidP="00697444">
      <w:pPr>
        <w:pStyle w:val="FootnoteText"/>
        <w:jc w:val="both"/>
      </w:pPr>
      <w:r w:rsidRPr="006E2F65">
        <w:rPr>
          <w:rStyle w:val="FootnoteReference"/>
        </w:rPr>
        <w:footnoteRef/>
      </w:r>
      <w:r w:rsidRPr="006E2F65">
        <w:t xml:space="preserve"> </w:t>
      </w:r>
      <w:proofErr w:type="gramStart"/>
      <w:r w:rsidRPr="006E2F65">
        <w:rPr>
          <w:i/>
        </w:rPr>
        <w:t>Ibid</w:t>
      </w:r>
      <w:r w:rsidRPr="006E2F65">
        <w:t>.,</w:t>
      </w:r>
      <w:proofErr w:type="gramEnd"/>
      <w:r w:rsidRPr="006E2F65">
        <w:t xml:space="preserve"> Article I.</w:t>
      </w:r>
    </w:p>
  </w:footnote>
  <w:footnote w:id="20">
    <w:p w:rsidR="00D555B7" w:rsidRPr="006E2F65" w:rsidRDefault="00D555B7" w:rsidP="00697444">
      <w:pPr>
        <w:pStyle w:val="FootnoteText"/>
        <w:jc w:val="both"/>
      </w:pPr>
      <w:r w:rsidRPr="006E2F65">
        <w:rPr>
          <w:rStyle w:val="FootnoteReference"/>
        </w:rPr>
        <w:footnoteRef/>
      </w:r>
      <w:r w:rsidRPr="006E2F65">
        <w:t xml:space="preserve"> </w:t>
      </w:r>
      <w:proofErr w:type="gramStart"/>
      <w:r w:rsidRPr="006E2F65">
        <w:rPr>
          <w:i/>
        </w:rPr>
        <w:t>Ibid</w:t>
      </w:r>
      <w:r w:rsidRPr="006E2F65">
        <w:t>.,</w:t>
      </w:r>
      <w:proofErr w:type="gramEnd"/>
      <w:r w:rsidRPr="006E2F65">
        <w:t xml:space="preserve"> Article V.</w:t>
      </w:r>
    </w:p>
  </w:footnote>
  <w:footnote w:id="21">
    <w:p w:rsidR="00D555B7" w:rsidRPr="006E2F65" w:rsidRDefault="00D555B7" w:rsidP="00697444">
      <w:pPr>
        <w:pStyle w:val="FootnoteText"/>
        <w:jc w:val="both"/>
      </w:pPr>
      <w:r w:rsidRPr="006E2F65">
        <w:rPr>
          <w:rStyle w:val="FootnoteReference"/>
        </w:rPr>
        <w:footnoteRef/>
      </w:r>
      <w:r w:rsidRPr="006E2F65">
        <w:t xml:space="preserve"> </w:t>
      </w:r>
      <w:proofErr w:type="gramStart"/>
      <w:r w:rsidRPr="006E2F65">
        <w:rPr>
          <w:i/>
        </w:rPr>
        <w:t>Ibid</w:t>
      </w:r>
      <w:r w:rsidRPr="006E2F65">
        <w:t>.,</w:t>
      </w:r>
      <w:proofErr w:type="gramEnd"/>
      <w:r w:rsidRPr="006E2F65">
        <w:t xml:space="preserve"> Article VI.</w:t>
      </w:r>
    </w:p>
  </w:footnote>
  <w:footnote w:id="22">
    <w:p w:rsidR="00D555B7" w:rsidRPr="006E2F65" w:rsidRDefault="00D555B7" w:rsidP="00697444">
      <w:pPr>
        <w:pStyle w:val="FootnoteText"/>
        <w:jc w:val="both"/>
      </w:pPr>
      <w:r w:rsidRPr="006E2F65">
        <w:rPr>
          <w:rStyle w:val="FootnoteReference"/>
        </w:rPr>
        <w:footnoteRef/>
      </w:r>
      <w:r>
        <w:t xml:space="preserve"> </w:t>
      </w:r>
      <w:r w:rsidRPr="00D519CE">
        <w:t xml:space="preserve">Andreas </w:t>
      </w:r>
      <w:proofErr w:type="spellStart"/>
      <w:r w:rsidRPr="00D519CE">
        <w:t>Paulus</w:t>
      </w:r>
      <w:proofErr w:type="spellEnd"/>
      <w:r>
        <w:t xml:space="preserve"> and </w:t>
      </w:r>
      <w:proofErr w:type="spellStart"/>
      <w:r>
        <w:t>Jörn</w:t>
      </w:r>
      <w:proofErr w:type="spellEnd"/>
      <w:r>
        <w:t xml:space="preserve"> </w:t>
      </w:r>
      <w:proofErr w:type="spellStart"/>
      <w:r>
        <w:t>Müller</w:t>
      </w:r>
      <w:proofErr w:type="spellEnd"/>
      <w:r w:rsidRPr="006E2F65">
        <w:t xml:space="preserve"> “Survival </w:t>
      </w:r>
      <w:proofErr w:type="gramStart"/>
      <w:r w:rsidRPr="006E2F65">
        <w:t>Through</w:t>
      </w:r>
      <w:proofErr w:type="gramEnd"/>
      <w:r w:rsidRPr="006E2F65">
        <w:t xml:space="preserve"> Law: Is There a Law</w:t>
      </w:r>
      <w:r>
        <w:t xml:space="preserve"> Against Nuclear Proliferation” (2007) </w:t>
      </w:r>
      <w:r w:rsidRPr="000112E4">
        <w:t>18 Finnish Yearbook of International Law</w:t>
      </w:r>
      <w:r>
        <w:t xml:space="preserve"> </w:t>
      </w:r>
      <w:r w:rsidRPr="006E2F65">
        <w:t>83-135</w:t>
      </w:r>
      <w:r>
        <w:t xml:space="preserve"> at </w:t>
      </w:r>
      <w:r w:rsidRPr="006E2F65">
        <w:t>133.</w:t>
      </w:r>
    </w:p>
  </w:footnote>
  <w:footnote w:id="23">
    <w:p w:rsidR="00D555B7" w:rsidRPr="006E2F65" w:rsidRDefault="00D555B7" w:rsidP="00697444">
      <w:pPr>
        <w:pStyle w:val="FootnoteText"/>
        <w:jc w:val="both"/>
      </w:pPr>
      <w:r w:rsidRPr="006E2F65">
        <w:rPr>
          <w:rStyle w:val="FootnoteReference"/>
        </w:rPr>
        <w:footnoteRef/>
      </w:r>
      <w:r w:rsidRPr="006E2F65">
        <w:t xml:space="preserve"> </w:t>
      </w:r>
      <w:proofErr w:type="gramStart"/>
      <w:r w:rsidRPr="006E2F65">
        <w:t xml:space="preserve">NPT, </w:t>
      </w:r>
      <w:r>
        <w:t>above n 1</w:t>
      </w:r>
      <w:r w:rsidRPr="006E2F65">
        <w:t>, Article IX (3).</w:t>
      </w:r>
      <w:proofErr w:type="gramEnd"/>
      <w:r w:rsidRPr="006E2F65">
        <w:t xml:space="preserve">  See </w:t>
      </w:r>
      <w:r>
        <w:t>above n 12</w:t>
      </w:r>
      <w:r w:rsidRPr="006E2F65">
        <w:t xml:space="preserve"> and </w:t>
      </w:r>
      <w:r>
        <w:t>n 13</w:t>
      </w:r>
      <w:r w:rsidRPr="006E2F65">
        <w:t xml:space="preserve"> and accom</w:t>
      </w:r>
      <w:r>
        <w:t>panying text.</w:t>
      </w:r>
    </w:p>
  </w:footnote>
  <w:footnote w:id="24">
    <w:p w:rsidR="00D555B7" w:rsidRPr="006E2F65" w:rsidRDefault="00D555B7" w:rsidP="00697444">
      <w:pPr>
        <w:jc w:val="both"/>
        <w:rPr>
          <w:sz w:val="20"/>
          <w:szCs w:val="20"/>
        </w:rPr>
      </w:pPr>
      <w:r w:rsidRPr="006E2F65">
        <w:rPr>
          <w:rStyle w:val="FootnoteReference"/>
          <w:sz w:val="20"/>
          <w:szCs w:val="20"/>
        </w:rPr>
        <w:footnoteRef/>
      </w:r>
      <w:r w:rsidRPr="006E2F65">
        <w:rPr>
          <w:sz w:val="20"/>
          <w:szCs w:val="20"/>
        </w:rPr>
        <w:t xml:space="preserve"> </w:t>
      </w:r>
      <w:r w:rsidRPr="00D519CE">
        <w:rPr>
          <w:bCs/>
          <w:sz w:val="20"/>
          <w:szCs w:val="20"/>
        </w:rPr>
        <w:t>P. R. Chari</w:t>
      </w:r>
      <w:r w:rsidRPr="006E2F65">
        <w:rPr>
          <w:bCs/>
          <w:sz w:val="20"/>
          <w:szCs w:val="20"/>
        </w:rPr>
        <w:t xml:space="preserve"> “</w:t>
      </w:r>
      <w:proofErr w:type="spellStart"/>
      <w:r w:rsidRPr="006E2F65">
        <w:rPr>
          <w:bCs/>
          <w:sz w:val="20"/>
          <w:szCs w:val="20"/>
        </w:rPr>
        <w:t>Pokharan</w:t>
      </w:r>
      <w:proofErr w:type="spellEnd"/>
      <w:r w:rsidRPr="006E2F65">
        <w:rPr>
          <w:bCs/>
          <w:sz w:val="20"/>
          <w:szCs w:val="20"/>
        </w:rPr>
        <w:t>-I: Personal Reflections”</w:t>
      </w:r>
      <w:r>
        <w:rPr>
          <w:bCs/>
          <w:sz w:val="20"/>
          <w:szCs w:val="20"/>
        </w:rPr>
        <w:t xml:space="preserve"> (1999) 80</w:t>
      </w:r>
      <w:r w:rsidRPr="006E2F65">
        <w:rPr>
          <w:bCs/>
          <w:sz w:val="20"/>
          <w:szCs w:val="20"/>
        </w:rPr>
        <w:t xml:space="preserve"> </w:t>
      </w:r>
      <w:r w:rsidRPr="000112E4">
        <w:rPr>
          <w:bCs/>
          <w:sz w:val="20"/>
          <w:szCs w:val="20"/>
        </w:rPr>
        <w:t>Institute of Peace and Conflict Studies</w:t>
      </w:r>
      <w:r>
        <w:rPr>
          <w:bCs/>
          <w:sz w:val="20"/>
          <w:szCs w:val="20"/>
        </w:rPr>
        <w:t>, Special Report</w:t>
      </w:r>
      <w:r w:rsidRPr="006E2F65">
        <w:rPr>
          <w:bCs/>
          <w:sz w:val="20"/>
          <w:szCs w:val="20"/>
        </w:rPr>
        <w:t xml:space="preserve"> </w:t>
      </w:r>
      <w:r>
        <w:rPr>
          <w:bCs/>
          <w:sz w:val="20"/>
          <w:szCs w:val="20"/>
        </w:rPr>
        <w:t>&lt;</w:t>
      </w:r>
      <w:r w:rsidRPr="006E2F65">
        <w:rPr>
          <w:sz w:val="20"/>
          <w:szCs w:val="20"/>
        </w:rPr>
        <w:t>http://www.ipcs.org/pdf_file/issue/SR80-Chari-Final.pdf</w:t>
      </w:r>
      <w:r>
        <w:rPr>
          <w:sz w:val="20"/>
          <w:szCs w:val="20"/>
        </w:rPr>
        <w:t>&gt;</w:t>
      </w:r>
      <w:r w:rsidRPr="006E2F65">
        <w:rPr>
          <w:sz w:val="20"/>
          <w:szCs w:val="20"/>
        </w:rPr>
        <w:t xml:space="preserve">.  The 1974 </w:t>
      </w:r>
      <w:proofErr w:type="spellStart"/>
      <w:r w:rsidRPr="006E2F65">
        <w:rPr>
          <w:sz w:val="20"/>
          <w:szCs w:val="20"/>
        </w:rPr>
        <w:t>Pokhran</w:t>
      </w:r>
      <w:proofErr w:type="spellEnd"/>
      <w:r w:rsidRPr="006E2F65">
        <w:rPr>
          <w:sz w:val="20"/>
          <w:szCs w:val="20"/>
        </w:rPr>
        <w:t xml:space="preserve">-I </w:t>
      </w:r>
      <w:proofErr w:type="spellStart"/>
      <w:r w:rsidRPr="006E2F65">
        <w:rPr>
          <w:sz w:val="20"/>
          <w:szCs w:val="20"/>
        </w:rPr>
        <w:t>PNEs</w:t>
      </w:r>
      <w:proofErr w:type="spellEnd"/>
      <w:r w:rsidRPr="006E2F65">
        <w:rPr>
          <w:sz w:val="20"/>
          <w:szCs w:val="20"/>
        </w:rPr>
        <w:t xml:space="preserve"> were in reality largely indistinguishable from the explosion of a nuclear weapon, see Carranza,</w:t>
      </w:r>
      <w:r>
        <w:rPr>
          <w:sz w:val="20"/>
          <w:szCs w:val="20"/>
        </w:rPr>
        <w:t xml:space="preserve"> above</w:t>
      </w:r>
      <w:r w:rsidRPr="006E2F65">
        <w:rPr>
          <w:sz w:val="20"/>
          <w:szCs w:val="20"/>
        </w:rPr>
        <w:t xml:space="preserve"> n</w:t>
      </w:r>
      <w:r>
        <w:rPr>
          <w:sz w:val="20"/>
          <w:szCs w:val="20"/>
        </w:rPr>
        <w:t xml:space="preserve"> 5 at </w:t>
      </w:r>
      <w:r w:rsidRPr="006E2F65">
        <w:rPr>
          <w:sz w:val="20"/>
          <w:szCs w:val="20"/>
        </w:rPr>
        <w:t xml:space="preserve">44.  On this basis </w:t>
      </w:r>
      <w:proofErr w:type="spellStart"/>
      <w:r w:rsidRPr="006E2F65">
        <w:rPr>
          <w:bCs/>
          <w:sz w:val="20"/>
          <w:szCs w:val="20"/>
        </w:rPr>
        <w:t>Ahlström</w:t>
      </w:r>
      <w:proofErr w:type="spellEnd"/>
      <w:r w:rsidRPr="006E2F65">
        <w:rPr>
          <w:sz w:val="20"/>
          <w:szCs w:val="20"/>
        </w:rPr>
        <w:t xml:space="preserve"> tellingly referred to the tests as being ‘allegedly peaceful’, </w:t>
      </w:r>
      <w:proofErr w:type="spellStart"/>
      <w:r w:rsidRPr="006E2F65">
        <w:rPr>
          <w:sz w:val="20"/>
          <w:szCs w:val="20"/>
        </w:rPr>
        <w:t>C</w:t>
      </w:r>
      <w:r>
        <w:rPr>
          <w:sz w:val="20"/>
          <w:szCs w:val="20"/>
        </w:rPr>
        <w:t>hrister</w:t>
      </w:r>
      <w:proofErr w:type="spellEnd"/>
      <w:r w:rsidRPr="006E2F65">
        <w:rPr>
          <w:sz w:val="20"/>
          <w:szCs w:val="20"/>
        </w:rPr>
        <w:t xml:space="preserve"> </w:t>
      </w:r>
      <w:proofErr w:type="spellStart"/>
      <w:r w:rsidRPr="006E2F65">
        <w:rPr>
          <w:bCs/>
          <w:sz w:val="20"/>
          <w:szCs w:val="20"/>
        </w:rPr>
        <w:t>Ahlström</w:t>
      </w:r>
      <w:proofErr w:type="spellEnd"/>
      <w:r w:rsidRPr="006E2F65">
        <w:rPr>
          <w:sz w:val="20"/>
          <w:szCs w:val="20"/>
        </w:rPr>
        <w:t xml:space="preserve"> “Arrows for India? – Technology Transfers of Ballistic Missile Defence and the Missile Technology Control Regime”</w:t>
      </w:r>
      <w:r>
        <w:rPr>
          <w:sz w:val="20"/>
          <w:szCs w:val="20"/>
        </w:rPr>
        <w:t xml:space="preserve"> (2004) 9</w:t>
      </w:r>
      <w:r w:rsidRPr="00AE0825">
        <w:rPr>
          <w:sz w:val="20"/>
          <w:szCs w:val="20"/>
        </w:rPr>
        <w:t xml:space="preserve"> Journal of Conflict and Security Law</w:t>
      </w:r>
      <w:r>
        <w:rPr>
          <w:sz w:val="20"/>
          <w:szCs w:val="20"/>
        </w:rPr>
        <w:t xml:space="preserve"> </w:t>
      </w:r>
      <w:r w:rsidRPr="006E2F65">
        <w:rPr>
          <w:sz w:val="20"/>
          <w:szCs w:val="20"/>
        </w:rPr>
        <w:t>103-125</w:t>
      </w:r>
      <w:r>
        <w:rPr>
          <w:sz w:val="20"/>
          <w:szCs w:val="20"/>
        </w:rPr>
        <w:t xml:space="preserve"> </w:t>
      </w:r>
      <w:r w:rsidRPr="006E2F65">
        <w:rPr>
          <w:sz w:val="20"/>
          <w:szCs w:val="20"/>
        </w:rPr>
        <w:t>at 119.</w:t>
      </w:r>
    </w:p>
  </w:footnote>
  <w:footnote w:id="25">
    <w:p w:rsidR="00D555B7" w:rsidRPr="006E2F65" w:rsidRDefault="00D555B7" w:rsidP="00697444">
      <w:pPr>
        <w:jc w:val="both"/>
        <w:rPr>
          <w:rStyle w:val="date1"/>
          <w:rFonts w:ascii="Times New Roman" w:hAnsi="Times New Roman"/>
          <w:color w:val="auto"/>
          <w:sz w:val="20"/>
          <w:szCs w:val="20"/>
        </w:rPr>
      </w:pPr>
      <w:r w:rsidRPr="006E2F65">
        <w:rPr>
          <w:rStyle w:val="FootnoteReference"/>
          <w:sz w:val="20"/>
          <w:szCs w:val="20"/>
        </w:rPr>
        <w:footnoteRef/>
      </w:r>
      <w:r w:rsidRPr="006E2F65">
        <w:rPr>
          <w:sz w:val="20"/>
          <w:szCs w:val="20"/>
        </w:rPr>
        <w:t xml:space="preserve"> </w:t>
      </w:r>
      <w:r w:rsidRPr="006E2F65">
        <w:rPr>
          <w:bCs/>
          <w:sz w:val="20"/>
          <w:szCs w:val="20"/>
        </w:rPr>
        <w:t>See “Statements from India and Pakistan”</w:t>
      </w:r>
      <w:r w:rsidRPr="006E2F65">
        <w:rPr>
          <w:rStyle w:val="date1"/>
          <w:rFonts w:ascii="Times New Roman" w:hAnsi="Times New Roman"/>
          <w:color w:val="auto"/>
          <w:sz w:val="20"/>
          <w:szCs w:val="20"/>
        </w:rPr>
        <w:t xml:space="preserve"> </w:t>
      </w:r>
      <w:r w:rsidRPr="00ED6253">
        <w:rPr>
          <w:rStyle w:val="date1"/>
          <w:rFonts w:ascii="Times New Roman" w:hAnsi="Times New Roman"/>
          <w:color w:val="auto"/>
          <w:sz w:val="20"/>
          <w:szCs w:val="20"/>
        </w:rPr>
        <w:t>BBC News</w:t>
      </w:r>
      <w:r>
        <w:rPr>
          <w:rStyle w:val="date1"/>
          <w:rFonts w:ascii="Times New Roman" w:hAnsi="Times New Roman"/>
          <w:color w:val="auto"/>
          <w:sz w:val="20"/>
          <w:szCs w:val="20"/>
        </w:rPr>
        <w:t xml:space="preserve"> (1998)</w:t>
      </w:r>
      <w:r w:rsidRPr="006E2F65">
        <w:rPr>
          <w:rStyle w:val="date1"/>
          <w:rFonts w:ascii="Times New Roman" w:hAnsi="Times New Roman"/>
          <w:color w:val="auto"/>
          <w:sz w:val="20"/>
          <w:szCs w:val="20"/>
        </w:rPr>
        <w:t xml:space="preserve"> </w:t>
      </w:r>
    </w:p>
    <w:p w:rsidR="00D555B7" w:rsidRPr="006E2F65" w:rsidRDefault="00D555B7" w:rsidP="00697444">
      <w:pPr>
        <w:jc w:val="both"/>
        <w:rPr>
          <w:sz w:val="20"/>
          <w:szCs w:val="20"/>
        </w:rPr>
      </w:pPr>
      <w:r>
        <w:rPr>
          <w:sz w:val="20"/>
          <w:szCs w:val="20"/>
        </w:rPr>
        <w:t>&lt;</w:t>
      </w:r>
      <w:r w:rsidRPr="006E2F65">
        <w:rPr>
          <w:sz w:val="20"/>
          <w:szCs w:val="20"/>
        </w:rPr>
        <w:t>http://news.bbc.co.uk/1/hi/events/asia_nuclear_crisis/world_media/114139.stm</w:t>
      </w:r>
      <w:r>
        <w:rPr>
          <w:sz w:val="20"/>
          <w:szCs w:val="20"/>
        </w:rPr>
        <w:t>&gt;</w:t>
      </w:r>
      <w:r w:rsidRPr="006E2F65">
        <w:rPr>
          <w:sz w:val="20"/>
          <w:szCs w:val="20"/>
        </w:rPr>
        <w:t>.</w:t>
      </w:r>
    </w:p>
  </w:footnote>
  <w:footnote w:id="26">
    <w:p w:rsidR="00D555B7" w:rsidRPr="006E2F65" w:rsidRDefault="00D555B7" w:rsidP="00697444">
      <w:pPr>
        <w:pStyle w:val="FootnoteText"/>
        <w:jc w:val="both"/>
      </w:pPr>
      <w:r w:rsidRPr="006E2F65">
        <w:rPr>
          <w:rStyle w:val="FootnoteReference"/>
        </w:rPr>
        <w:footnoteRef/>
      </w:r>
      <w:r w:rsidRPr="006E2F65">
        <w:t xml:space="preserve"> </w:t>
      </w:r>
      <w:proofErr w:type="spellStart"/>
      <w:proofErr w:type="gramStart"/>
      <w:r w:rsidRPr="006E2F65">
        <w:t>Wable</w:t>
      </w:r>
      <w:proofErr w:type="spellEnd"/>
      <w:r w:rsidRPr="006E2F65">
        <w:t xml:space="preserve">, </w:t>
      </w:r>
      <w:r>
        <w:t xml:space="preserve">above n 5 at </w:t>
      </w:r>
      <w:r w:rsidRPr="006E2F65">
        <w:t>730.</w:t>
      </w:r>
      <w:proofErr w:type="gramEnd"/>
    </w:p>
  </w:footnote>
  <w:footnote w:id="27">
    <w:p w:rsidR="00D555B7" w:rsidRPr="006E2F65" w:rsidRDefault="00D555B7" w:rsidP="00697444">
      <w:pPr>
        <w:pStyle w:val="FootnoteText"/>
        <w:jc w:val="both"/>
      </w:pPr>
      <w:r w:rsidRPr="006E2F65">
        <w:rPr>
          <w:rStyle w:val="FootnoteReference"/>
        </w:rPr>
        <w:footnoteRef/>
      </w:r>
      <w:r w:rsidRPr="006E2F65">
        <w:t xml:space="preserve"> </w:t>
      </w:r>
      <w:proofErr w:type="gramStart"/>
      <w:r w:rsidRPr="006E2F65">
        <w:t xml:space="preserve">NPT, </w:t>
      </w:r>
      <w:r>
        <w:t xml:space="preserve">above </w:t>
      </w:r>
      <w:r w:rsidRPr="006E2F65">
        <w:t>n</w:t>
      </w:r>
      <w:r>
        <w:t xml:space="preserve"> 1</w:t>
      </w:r>
      <w:r w:rsidRPr="006E2F65">
        <w:t xml:space="preserve"> Article II.</w:t>
      </w:r>
      <w:proofErr w:type="gramEnd"/>
    </w:p>
  </w:footnote>
  <w:footnote w:id="28">
    <w:p w:rsidR="00D555B7" w:rsidRPr="006E2F65" w:rsidRDefault="00D555B7" w:rsidP="00697444">
      <w:pPr>
        <w:jc w:val="both"/>
        <w:rPr>
          <w:sz w:val="20"/>
          <w:szCs w:val="20"/>
        </w:rPr>
      </w:pPr>
      <w:r w:rsidRPr="006E2F65">
        <w:rPr>
          <w:rStyle w:val="FootnoteReference"/>
          <w:sz w:val="20"/>
          <w:szCs w:val="20"/>
        </w:rPr>
        <w:footnoteRef/>
      </w:r>
      <w:r w:rsidRPr="006E2F65">
        <w:rPr>
          <w:sz w:val="20"/>
          <w:szCs w:val="20"/>
        </w:rPr>
        <w:t xml:space="preserve">  For example, the Vienna Convention o</w:t>
      </w:r>
      <w:r>
        <w:rPr>
          <w:sz w:val="20"/>
          <w:szCs w:val="20"/>
        </w:rPr>
        <w:t>n the Law of Treaties 1969, above n</w:t>
      </w:r>
      <w:r w:rsidRPr="006E2F65">
        <w:rPr>
          <w:sz w:val="20"/>
          <w:szCs w:val="20"/>
        </w:rPr>
        <w:t xml:space="preserve"> </w:t>
      </w:r>
      <w:r>
        <w:rPr>
          <w:sz w:val="20"/>
          <w:szCs w:val="20"/>
        </w:rPr>
        <w:t>2</w:t>
      </w:r>
      <w:r w:rsidRPr="006E2F65">
        <w:rPr>
          <w:sz w:val="20"/>
          <w:szCs w:val="20"/>
        </w:rPr>
        <w:t xml:space="preserve">, Article 38 holds that a treaty can become ‘binding upon a third State as a customary rule of international law, recognized as such’.  This position has also been adopted more than once by the International Court of Justice (ICJ), most notably in the </w:t>
      </w:r>
      <w:r w:rsidRPr="006E2F65">
        <w:rPr>
          <w:i/>
          <w:sz w:val="20"/>
          <w:szCs w:val="20"/>
        </w:rPr>
        <w:t xml:space="preserve">North Sea Continental Shelf </w:t>
      </w:r>
      <w:r w:rsidR="00A45A40">
        <w:rPr>
          <w:i/>
          <w:sz w:val="20"/>
          <w:szCs w:val="20"/>
        </w:rPr>
        <w:t>c</w:t>
      </w:r>
      <w:r w:rsidRPr="004B512E">
        <w:rPr>
          <w:i/>
          <w:sz w:val="20"/>
          <w:szCs w:val="20"/>
        </w:rPr>
        <w:t>ases</w:t>
      </w:r>
      <w:r>
        <w:rPr>
          <w:sz w:val="20"/>
          <w:szCs w:val="20"/>
        </w:rPr>
        <w:t xml:space="preserve"> (</w:t>
      </w:r>
      <w:r w:rsidRPr="006B28BA">
        <w:rPr>
          <w:i/>
          <w:sz w:val="20"/>
          <w:szCs w:val="20"/>
        </w:rPr>
        <w:t>Federal Republic of Germany v Denmark</w:t>
      </w:r>
      <w:r w:rsidRPr="006B28BA">
        <w:rPr>
          <w:sz w:val="20"/>
          <w:szCs w:val="20"/>
        </w:rPr>
        <w:t>,</w:t>
      </w:r>
      <w:r w:rsidRPr="006B28BA">
        <w:rPr>
          <w:i/>
          <w:sz w:val="20"/>
          <w:szCs w:val="20"/>
        </w:rPr>
        <w:t xml:space="preserve"> Federal Republic of Germany v Netherlands</w:t>
      </w:r>
      <w:r>
        <w:rPr>
          <w:sz w:val="20"/>
          <w:szCs w:val="20"/>
        </w:rPr>
        <w:t>)</w:t>
      </w:r>
      <w:r w:rsidRPr="006E2F65">
        <w:rPr>
          <w:sz w:val="20"/>
          <w:szCs w:val="20"/>
        </w:rPr>
        <w:t xml:space="preserve"> </w:t>
      </w:r>
      <w:r>
        <w:rPr>
          <w:rFonts w:eastAsia="Calibri"/>
          <w:bCs/>
          <w:sz w:val="20"/>
          <w:szCs w:val="20"/>
          <w:lang w:val="en-US"/>
        </w:rPr>
        <w:t>merits</w:t>
      </w:r>
      <w:r w:rsidRPr="006E2F65">
        <w:rPr>
          <w:rFonts w:eastAsia="Calibri"/>
          <w:bCs/>
          <w:sz w:val="20"/>
          <w:szCs w:val="20"/>
          <w:lang w:val="en-US"/>
        </w:rPr>
        <w:t xml:space="preserve"> </w:t>
      </w:r>
      <w:r>
        <w:rPr>
          <w:rFonts w:eastAsia="Calibri"/>
          <w:bCs/>
          <w:sz w:val="20"/>
          <w:szCs w:val="20"/>
          <w:lang w:val="en-US"/>
        </w:rPr>
        <w:t>[</w:t>
      </w:r>
      <w:r w:rsidRPr="006E2F65">
        <w:rPr>
          <w:rFonts w:eastAsia="Calibri"/>
          <w:bCs/>
          <w:sz w:val="20"/>
          <w:szCs w:val="20"/>
          <w:lang w:val="en-US"/>
        </w:rPr>
        <w:t>1969</w:t>
      </w:r>
      <w:r>
        <w:rPr>
          <w:rFonts w:eastAsia="Calibri"/>
          <w:bCs/>
          <w:sz w:val="20"/>
          <w:szCs w:val="20"/>
          <w:lang w:val="en-US"/>
        </w:rPr>
        <w:t>]</w:t>
      </w:r>
      <w:r w:rsidRPr="004B512E">
        <w:rPr>
          <w:rFonts w:eastAsia="Calibri"/>
          <w:bCs/>
          <w:sz w:val="20"/>
          <w:szCs w:val="20"/>
          <w:lang w:val="en-US"/>
        </w:rPr>
        <w:t xml:space="preserve"> ICJ Reports </w:t>
      </w:r>
      <w:r w:rsidRPr="004B512E">
        <w:rPr>
          <w:sz w:val="20"/>
          <w:szCs w:val="20"/>
        </w:rPr>
        <w:t>4</w:t>
      </w:r>
      <w:r>
        <w:rPr>
          <w:sz w:val="20"/>
          <w:szCs w:val="20"/>
        </w:rPr>
        <w:t xml:space="preserve"> particularly at [</w:t>
      </w:r>
      <w:r w:rsidRPr="006E2F65">
        <w:rPr>
          <w:sz w:val="20"/>
          <w:szCs w:val="20"/>
        </w:rPr>
        <w:t>60</w:t>
      </w:r>
      <w:r>
        <w:rPr>
          <w:sz w:val="20"/>
          <w:szCs w:val="20"/>
        </w:rPr>
        <w:t>]</w:t>
      </w:r>
      <w:r w:rsidRPr="006E2F65">
        <w:rPr>
          <w:sz w:val="20"/>
          <w:szCs w:val="20"/>
        </w:rPr>
        <w:t>-</w:t>
      </w:r>
      <w:r>
        <w:rPr>
          <w:sz w:val="20"/>
          <w:szCs w:val="20"/>
        </w:rPr>
        <w:t>[</w:t>
      </w:r>
      <w:r w:rsidRPr="006E2F65">
        <w:rPr>
          <w:sz w:val="20"/>
          <w:szCs w:val="20"/>
        </w:rPr>
        <w:t>81</w:t>
      </w:r>
      <w:r>
        <w:rPr>
          <w:sz w:val="20"/>
          <w:szCs w:val="20"/>
        </w:rPr>
        <w:t>]</w:t>
      </w:r>
      <w:r w:rsidRPr="006E2F65">
        <w:rPr>
          <w:sz w:val="20"/>
          <w:szCs w:val="20"/>
        </w:rPr>
        <w:t xml:space="preserve">.  See also </w:t>
      </w:r>
      <w:r w:rsidRPr="006E2F65">
        <w:rPr>
          <w:rFonts w:eastAsia="Calibri"/>
          <w:bCs/>
          <w:sz w:val="20"/>
          <w:szCs w:val="20"/>
          <w:lang w:val="en-US"/>
        </w:rPr>
        <w:t>R</w:t>
      </w:r>
      <w:r>
        <w:rPr>
          <w:rFonts w:eastAsia="Calibri"/>
          <w:bCs/>
          <w:sz w:val="20"/>
          <w:szCs w:val="20"/>
          <w:lang w:val="en-US"/>
        </w:rPr>
        <w:t xml:space="preserve">oger </w:t>
      </w:r>
      <w:r w:rsidRPr="006E2F65">
        <w:rPr>
          <w:rFonts w:eastAsia="Calibri"/>
          <w:bCs/>
          <w:sz w:val="20"/>
          <w:szCs w:val="20"/>
          <w:lang w:val="en-US"/>
        </w:rPr>
        <w:t xml:space="preserve">Clark “Treaty and Custom” in </w:t>
      </w:r>
      <w:r w:rsidRPr="006E2F65">
        <w:rPr>
          <w:bCs/>
          <w:sz w:val="20"/>
          <w:szCs w:val="20"/>
          <w:lang w:val="en-US"/>
        </w:rPr>
        <w:t>L</w:t>
      </w:r>
      <w:r>
        <w:rPr>
          <w:bCs/>
          <w:sz w:val="20"/>
          <w:szCs w:val="20"/>
          <w:lang w:val="en-US"/>
        </w:rPr>
        <w:t>aurence</w:t>
      </w:r>
      <w:r w:rsidRPr="006E2F65">
        <w:rPr>
          <w:bCs/>
          <w:sz w:val="20"/>
          <w:szCs w:val="20"/>
          <w:lang w:val="en-US"/>
        </w:rPr>
        <w:t xml:space="preserve"> </w:t>
      </w:r>
      <w:proofErr w:type="spellStart"/>
      <w:r w:rsidRPr="006E2F65">
        <w:rPr>
          <w:bCs/>
          <w:sz w:val="20"/>
          <w:szCs w:val="20"/>
          <w:lang w:val="en-US"/>
        </w:rPr>
        <w:t>Boisson</w:t>
      </w:r>
      <w:proofErr w:type="spellEnd"/>
      <w:r w:rsidRPr="006E2F65">
        <w:rPr>
          <w:bCs/>
          <w:sz w:val="20"/>
          <w:szCs w:val="20"/>
          <w:lang w:val="en-US"/>
        </w:rPr>
        <w:t xml:space="preserve"> de </w:t>
      </w:r>
      <w:proofErr w:type="spellStart"/>
      <w:r w:rsidRPr="006E2F65">
        <w:rPr>
          <w:bCs/>
          <w:sz w:val="20"/>
          <w:szCs w:val="20"/>
          <w:lang w:val="en-US"/>
        </w:rPr>
        <w:t>Chazournes</w:t>
      </w:r>
      <w:proofErr w:type="spellEnd"/>
      <w:r w:rsidRPr="006E2F65">
        <w:rPr>
          <w:bCs/>
          <w:sz w:val="20"/>
          <w:szCs w:val="20"/>
          <w:lang w:val="en-US"/>
        </w:rPr>
        <w:t xml:space="preserve"> and P</w:t>
      </w:r>
      <w:r>
        <w:rPr>
          <w:bCs/>
          <w:sz w:val="20"/>
          <w:szCs w:val="20"/>
          <w:lang w:val="en-US"/>
        </w:rPr>
        <w:t>hilippe</w:t>
      </w:r>
      <w:r w:rsidRPr="006E2F65">
        <w:rPr>
          <w:bCs/>
          <w:sz w:val="20"/>
          <w:szCs w:val="20"/>
          <w:lang w:val="en-US"/>
        </w:rPr>
        <w:t xml:space="preserve"> Sands (</w:t>
      </w:r>
      <w:proofErr w:type="spellStart"/>
      <w:r w:rsidRPr="006E2F65">
        <w:rPr>
          <w:bCs/>
          <w:sz w:val="20"/>
          <w:szCs w:val="20"/>
          <w:lang w:val="en-US"/>
        </w:rPr>
        <w:t>eds</w:t>
      </w:r>
      <w:proofErr w:type="spellEnd"/>
      <w:r w:rsidRPr="006E2F65">
        <w:rPr>
          <w:bCs/>
          <w:sz w:val="20"/>
          <w:szCs w:val="20"/>
          <w:lang w:val="en-US"/>
        </w:rPr>
        <w:t>)</w:t>
      </w:r>
      <w:r w:rsidRPr="006E2F65">
        <w:rPr>
          <w:rFonts w:eastAsia="Calibri"/>
          <w:bCs/>
          <w:sz w:val="20"/>
          <w:szCs w:val="20"/>
          <w:lang w:val="en-US"/>
        </w:rPr>
        <w:t xml:space="preserve"> </w:t>
      </w:r>
      <w:r w:rsidRPr="006E2F65">
        <w:rPr>
          <w:rFonts w:eastAsia="Calibri"/>
          <w:bCs/>
          <w:i/>
          <w:sz w:val="20"/>
          <w:szCs w:val="20"/>
          <w:lang w:val="en-US"/>
        </w:rPr>
        <w:t>International Law, the International Court of Justice and Nuclear Weapons</w:t>
      </w:r>
      <w:r w:rsidRPr="006E2F65">
        <w:rPr>
          <w:rFonts w:eastAsia="Calibri"/>
          <w:bCs/>
          <w:sz w:val="20"/>
          <w:szCs w:val="20"/>
          <w:lang w:val="en-US"/>
        </w:rPr>
        <w:t xml:space="preserve"> (Cambridge University Press, Cambridge, 1999)</w:t>
      </w:r>
      <w:r>
        <w:rPr>
          <w:rFonts w:eastAsia="Calibri"/>
          <w:bCs/>
          <w:sz w:val="20"/>
          <w:szCs w:val="20"/>
          <w:lang w:val="en-US"/>
        </w:rPr>
        <w:t xml:space="preserve"> 171-180</w:t>
      </w:r>
      <w:r w:rsidRPr="006E2F65">
        <w:rPr>
          <w:rFonts w:eastAsia="Calibri"/>
          <w:bCs/>
          <w:sz w:val="20"/>
          <w:szCs w:val="20"/>
          <w:lang w:val="en-US"/>
        </w:rPr>
        <w:t xml:space="preserve"> at 172-176</w:t>
      </w:r>
      <w:r w:rsidRPr="006E2F65">
        <w:rPr>
          <w:sz w:val="20"/>
          <w:szCs w:val="20"/>
        </w:rPr>
        <w:t xml:space="preserve">.  On the parallel nature of obligations which are binding in both conventional and customary international law, see </w:t>
      </w:r>
      <w:r w:rsidRPr="006E2F65">
        <w:rPr>
          <w:i/>
          <w:sz w:val="20"/>
          <w:szCs w:val="20"/>
        </w:rPr>
        <w:t xml:space="preserve">Military and Paramilitary Activities in and Against Nicaragua </w:t>
      </w:r>
      <w:r w:rsidRPr="006E2F65">
        <w:rPr>
          <w:sz w:val="20"/>
          <w:szCs w:val="20"/>
        </w:rPr>
        <w:t>(</w:t>
      </w:r>
      <w:r w:rsidRPr="006E2F65">
        <w:rPr>
          <w:i/>
          <w:sz w:val="20"/>
          <w:szCs w:val="20"/>
        </w:rPr>
        <w:t>Nicaragua</w:t>
      </w:r>
      <w:r w:rsidRPr="006E2F65">
        <w:rPr>
          <w:sz w:val="20"/>
          <w:szCs w:val="20"/>
        </w:rPr>
        <w:t xml:space="preserve"> </w:t>
      </w:r>
      <w:r w:rsidRPr="006E2F65">
        <w:rPr>
          <w:i/>
          <w:sz w:val="20"/>
          <w:szCs w:val="20"/>
        </w:rPr>
        <w:t>v</w:t>
      </w:r>
      <w:r w:rsidRPr="006E2F65">
        <w:rPr>
          <w:sz w:val="20"/>
          <w:szCs w:val="20"/>
        </w:rPr>
        <w:t xml:space="preserve"> </w:t>
      </w:r>
      <w:r w:rsidRPr="006E2F65">
        <w:rPr>
          <w:i/>
          <w:sz w:val="20"/>
          <w:szCs w:val="20"/>
        </w:rPr>
        <w:t>United States of America</w:t>
      </w:r>
      <w:r w:rsidRPr="006E2F65">
        <w:rPr>
          <w:sz w:val="20"/>
          <w:szCs w:val="20"/>
        </w:rPr>
        <w:t>), jurisdiction of the court and a</w:t>
      </w:r>
      <w:r>
        <w:rPr>
          <w:sz w:val="20"/>
          <w:szCs w:val="20"/>
        </w:rPr>
        <w:t>dmissibility of the application</w:t>
      </w:r>
      <w:r w:rsidRPr="006E2F65">
        <w:rPr>
          <w:sz w:val="20"/>
          <w:szCs w:val="20"/>
        </w:rPr>
        <w:t xml:space="preserve"> </w:t>
      </w:r>
      <w:r>
        <w:rPr>
          <w:sz w:val="20"/>
          <w:szCs w:val="20"/>
        </w:rPr>
        <w:t>[</w:t>
      </w:r>
      <w:r w:rsidRPr="006E2F65">
        <w:rPr>
          <w:sz w:val="20"/>
          <w:szCs w:val="20"/>
        </w:rPr>
        <w:t>1984</w:t>
      </w:r>
      <w:r>
        <w:rPr>
          <w:sz w:val="20"/>
          <w:szCs w:val="20"/>
        </w:rPr>
        <w:t>]</w:t>
      </w:r>
      <w:r w:rsidRPr="006E2F65">
        <w:rPr>
          <w:sz w:val="20"/>
          <w:szCs w:val="20"/>
        </w:rPr>
        <w:t xml:space="preserve"> </w:t>
      </w:r>
      <w:r w:rsidRPr="004B512E">
        <w:rPr>
          <w:rFonts w:eastAsia="Calibri"/>
          <w:bCs/>
          <w:sz w:val="20"/>
          <w:szCs w:val="20"/>
          <w:lang w:val="en-US"/>
        </w:rPr>
        <w:t>ICJ Reports</w:t>
      </w:r>
      <w:r w:rsidRPr="004B512E">
        <w:rPr>
          <w:sz w:val="20"/>
          <w:szCs w:val="20"/>
        </w:rPr>
        <w:t xml:space="preserve"> </w:t>
      </w:r>
      <w:r>
        <w:rPr>
          <w:sz w:val="20"/>
          <w:szCs w:val="20"/>
        </w:rPr>
        <w:t>392 at [</w:t>
      </w:r>
      <w:r w:rsidRPr="006E2F65">
        <w:rPr>
          <w:sz w:val="20"/>
          <w:szCs w:val="20"/>
        </w:rPr>
        <w:t>73</w:t>
      </w:r>
      <w:r>
        <w:rPr>
          <w:sz w:val="20"/>
          <w:szCs w:val="20"/>
        </w:rPr>
        <w:t>]</w:t>
      </w:r>
      <w:r w:rsidRPr="006E2F65">
        <w:rPr>
          <w:sz w:val="20"/>
          <w:szCs w:val="20"/>
        </w:rPr>
        <w:t>.</w:t>
      </w:r>
    </w:p>
  </w:footnote>
  <w:footnote w:id="29">
    <w:p w:rsidR="00D555B7" w:rsidRPr="006E2F65" w:rsidRDefault="00D555B7" w:rsidP="00697444">
      <w:pPr>
        <w:jc w:val="both"/>
        <w:rPr>
          <w:sz w:val="20"/>
          <w:szCs w:val="20"/>
        </w:rPr>
      </w:pPr>
      <w:r w:rsidRPr="006E2F65">
        <w:rPr>
          <w:rStyle w:val="FootnoteReference"/>
          <w:sz w:val="20"/>
          <w:szCs w:val="20"/>
        </w:rPr>
        <w:footnoteRef/>
      </w:r>
      <w:r w:rsidRPr="006E2F65">
        <w:rPr>
          <w:sz w:val="20"/>
          <w:szCs w:val="20"/>
        </w:rPr>
        <w:t xml:space="preserve"> </w:t>
      </w:r>
      <w:proofErr w:type="gramStart"/>
      <w:r w:rsidRPr="006E2F65">
        <w:rPr>
          <w:sz w:val="20"/>
          <w:szCs w:val="20"/>
        </w:rPr>
        <w:t>A</w:t>
      </w:r>
      <w:r>
        <w:rPr>
          <w:sz w:val="20"/>
          <w:szCs w:val="20"/>
        </w:rPr>
        <w:t xml:space="preserve">nthony </w:t>
      </w:r>
      <w:r w:rsidRPr="006E2F65">
        <w:rPr>
          <w:sz w:val="20"/>
          <w:szCs w:val="20"/>
        </w:rPr>
        <w:t>D’Amato “Trashing Customary International Law”</w:t>
      </w:r>
      <w:r>
        <w:rPr>
          <w:sz w:val="20"/>
          <w:szCs w:val="20"/>
        </w:rPr>
        <w:t xml:space="preserve"> (1987) 81</w:t>
      </w:r>
      <w:r w:rsidRPr="006E2F65">
        <w:rPr>
          <w:sz w:val="20"/>
          <w:szCs w:val="20"/>
        </w:rPr>
        <w:t xml:space="preserve"> </w:t>
      </w:r>
      <w:r w:rsidRPr="004E7550">
        <w:rPr>
          <w:sz w:val="20"/>
          <w:szCs w:val="20"/>
        </w:rPr>
        <w:t xml:space="preserve">American Journal of International Law </w:t>
      </w:r>
      <w:r w:rsidRPr="006E2F65">
        <w:rPr>
          <w:sz w:val="20"/>
          <w:szCs w:val="20"/>
        </w:rPr>
        <w:t>101-105 at 103.</w:t>
      </w:r>
      <w:proofErr w:type="gramEnd"/>
    </w:p>
  </w:footnote>
  <w:footnote w:id="30">
    <w:p w:rsidR="00D555B7" w:rsidRPr="006E2F65" w:rsidRDefault="00D555B7" w:rsidP="00697444">
      <w:pPr>
        <w:pStyle w:val="FootnoteText"/>
        <w:jc w:val="both"/>
      </w:pPr>
      <w:r w:rsidRPr="006E2F65">
        <w:rPr>
          <w:rStyle w:val="FootnoteReference"/>
        </w:rPr>
        <w:footnoteRef/>
      </w:r>
      <w:r w:rsidRPr="006E2F65">
        <w:t xml:space="preserve"> See R</w:t>
      </w:r>
      <w:r>
        <w:t>obert</w:t>
      </w:r>
      <w:r w:rsidRPr="006E2F65">
        <w:t xml:space="preserve"> Cryer “Of Custom, Treaties, Scholars and the Gavel: The Influence of the International Criminal Tribunals on the ICRC Customary Law Study”</w:t>
      </w:r>
      <w:r>
        <w:t xml:space="preserve"> (2006) 11</w:t>
      </w:r>
      <w:r w:rsidRPr="006E2F65">
        <w:t xml:space="preserve"> </w:t>
      </w:r>
      <w:r w:rsidRPr="004E7550">
        <w:t>Journal of Conflict and Security Law</w:t>
      </w:r>
      <w:r>
        <w:t xml:space="preserve"> </w:t>
      </w:r>
      <w:r w:rsidRPr="006E2F65">
        <w:t xml:space="preserve">239-263 at 244.  These two elements – state practice and </w:t>
      </w:r>
      <w:proofErr w:type="spellStart"/>
      <w:r w:rsidRPr="006E2F65">
        <w:rPr>
          <w:i/>
        </w:rPr>
        <w:t>opinio</w:t>
      </w:r>
      <w:proofErr w:type="spellEnd"/>
      <w:r w:rsidRPr="006E2F65">
        <w:rPr>
          <w:i/>
        </w:rPr>
        <w:t xml:space="preserve"> </w:t>
      </w:r>
      <w:proofErr w:type="spellStart"/>
      <w:r w:rsidRPr="006E2F65">
        <w:rPr>
          <w:i/>
        </w:rPr>
        <w:t>juris</w:t>
      </w:r>
      <w:proofErr w:type="spellEnd"/>
      <w:r w:rsidRPr="006E2F65">
        <w:t xml:space="preserve"> – form the basis of all customary international law formation.  For a detailed examination, see M</w:t>
      </w:r>
      <w:r>
        <w:t>ichael</w:t>
      </w:r>
      <w:r w:rsidRPr="006E2F65">
        <w:t xml:space="preserve"> </w:t>
      </w:r>
      <w:proofErr w:type="spellStart"/>
      <w:r w:rsidRPr="006E2F65">
        <w:t>Akehurst</w:t>
      </w:r>
      <w:proofErr w:type="spellEnd"/>
      <w:r w:rsidRPr="006E2F65">
        <w:t xml:space="preserve"> “Custom as a Source of International Law”</w:t>
      </w:r>
      <w:r>
        <w:t xml:space="preserve"> (1974-1975) 47</w:t>
      </w:r>
      <w:r w:rsidRPr="004E7550">
        <w:t xml:space="preserve"> British Yearbook of International Law</w:t>
      </w:r>
      <w:r>
        <w:t xml:space="preserve"> </w:t>
      </w:r>
      <w:r w:rsidRPr="006E2F65">
        <w:t>1-53.</w:t>
      </w:r>
    </w:p>
  </w:footnote>
  <w:footnote w:id="31">
    <w:p w:rsidR="00D555B7" w:rsidRPr="006E2F65" w:rsidRDefault="00D555B7" w:rsidP="00697444">
      <w:pPr>
        <w:jc w:val="both"/>
        <w:rPr>
          <w:sz w:val="20"/>
          <w:szCs w:val="20"/>
        </w:rPr>
      </w:pPr>
      <w:r w:rsidRPr="006E2F65">
        <w:rPr>
          <w:rStyle w:val="FootnoteReference"/>
          <w:sz w:val="20"/>
          <w:szCs w:val="20"/>
        </w:rPr>
        <w:footnoteRef/>
      </w:r>
      <w:r w:rsidRPr="006E2F65">
        <w:rPr>
          <w:sz w:val="20"/>
          <w:szCs w:val="20"/>
        </w:rPr>
        <w:t xml:space="preserve"> See writers referred to</w:t>
      </w:r>
      <w:r>
        <w:rPr>
          <w:sz w:val="20"/>
          <w:szCs w:val="20"/>
        </w:rPr>
        <w:t xml:space="preserve"> above</w:t>
      </w:r>
      <w:r w:rsidRPr="006E2F65">
        <w:rPr>
          <w:sz w:val="20"/>
          <w:szCs w:val="20"/>
        </w:rPr>
        <w:t xml:space="preserve"> n</w:t>
      </w:r>
      <w:r>
        <w:rPr>
          <w:sz w:val="20"/>
          <w:szCs w:val="20"/>
        </w:rPr>
        <w:t xml:space="preserve"> 7.</w:t>
      </w:r>
    </w:p>
  </w:footnote>
  <w:footnote w:id="32">
    <w:p w:rsidR="00D555B7" w:rsidRPr="006E2F65" w:rsidRDefault="00D555B7" w:rsidP="00697444">
      <w:pPr>
        <w:pStyle w:val="FootnoteText"/>
        <w:jc w:val="both"/>
      </w:pPr>
      <w:r w:rsidRPr="006E2F65">
        <w:rPr>
          <w:rStyle w:val="FootnoteReference"/>
        </w:rPr>
        <w:footnoteRef/>
      </w:r>
      <w:r w:rsidRPr="006E2F65">
        <w:t xml:space="preserve"> </w:t>
      </w:r>
      <w:r w:rsidRPr="006E2F65">
        <w:rPr>
          <w:rStyle w:val="fn"/>
        </w:rPr>
        <w:t xml:space="preserve">For example, </w:t>
      </w:r>
      <w:proofErr w:type="spellStart"/>
      <w:r w:rsidRPr="006E2F65">
        <w:rPr>
          <w:rStyle w:val="fn"/>
        </w:rPr>
        <w:t>Persbo</w:t>
      </w:r>
      <w:proofErr w:type="spellEnd"/>
      <w:r w:rsidRPr="006E2F65">
        <w:rPr>
          <w:rStyle w:val="fn"/>
        </w:rPr>
        <w:t xml:space="preserve"> indicates that near universal membership of the NPT is indicative of the customary international law status of NPT Article II obligations, although this is only implicit in his </w:t>
      </w:r>
      <w:proofErr w:type="gramStart"/>
      <w:r w:rsidRPr="006E2F65">
        <w:rPr>
          <w:rStyle w:val="fn"/>
        </w:rPr>
        <w:t>analysis,</w:t>
      </w:r>
      <w:proofErr w:type="gramEnd"/>
      <w:r w:rsidRPr="006E2F65">
        <w:rPr>
          <w:rStyle w:val="fn"/>
        </w:rPr>
        <w:t xml:space="preserve"> see </w:t>
      </w:r>
      <w:proofErr w:type="spellStart"/>
      <w:r w:rsidRPr="006E2F65">
        <w:rPr>
          <w:rStyle w:val="fn"/>
        </w:rPr>
        <w:t>Persbo</w:t>
      </w:r>
      <w:proofErr w:type="spellEnd"/>
      <w:r w:rsidRPr="006E2F65">
        <w:rPr>
          <w:rStyle w:val="fn"/>
        </w:rPr>
        <w:t xml:space="preserve">, </w:t>
      </w:r>
      <w:r>
        <w:rPr>
          <w:rStyle w:val="fn"/>
        </w:rPr>
        <w:t xml:space="preserve">above </w:t>
      </w:r>
      <w:r w:rsidRPr="006E2F65">
        <w:rPr>
          <w:rStyle w:val="fn"/>
        </w:rPr>
        <w:t>n</w:t>
      </w:r>
      <w:r>
        <w:rPr>
          <w:rStyle w:val="fn"/>
        </w:rPr>
        <w:t xml:space="preserve"> 7</w:t>
      </w:r>
      <w:r w:rsidRPr="006E2F65">
        <w:rPr>
          <w:rStyle w:val="fn"/>
        </w:rPr>
        <w:t>.</w:t>
      </w:r>
    </w:p>
  </w:footnote>
  <w:footnote w:id="33">
    <w:p w:rsidR="00FA029C" w:rsidRDefault="00D555B7" w:rsidP="00697444">
      <w:pPr>
        <w:pStyle w:val="FootnoteText"/>
        <w:jc w:val="both"/>
      </w:pPr>
      <w:r w:rsidRPr="006E2F65">
        <w:rPr>
          <w:rStyle w:val="FootnoteReference"/>
        </w:rPr>
        <w:footnoteRef/>
      </w:r>
      <w:r w:rsidRPr="006E2F65">
        <w:t xml:space="preserve"> The current st</w:t>
      </w:r>
      <w:r>
        <w:t>atus of the NPT is available at</w:t>
      </w:r>
      <w:r w:rsidRPr="006E2F65">
        <w:t xml:space="preserve"> </w:t>
      </w:r>
    </w:p>
    <w:p w:rsidR="00D555B7" w:rsidRPr="006E2F65" w:rsidRDefault="00D555B7" w:rsidP="00697444">
      <w:pPr>
        <w:pStyle w:val="FootnoteText"/>
        <w:jc w:val="both"/>
      </w:pPr>
      <w:r>
        <w:t>&lt;</w:t>
      </w:r>
      <w:r w:rsidRPr="006E2F65">
        <w:t>http://treaties.un.org/pages/showDetails.aspx?objid=08000002801d56c5</w:t>
      </w:r>
      <w:r>
        <w:t>&gt;</w:t>
      </w:r>
      <w:r w:rsidRPr="006E2F65">
        <w:t>.  The figure of 189 does not include Taiwan, which subscribes to and adheres to the obligations within the NPT but is obviously an entity with debatable statehood.</w:t>
      </w:r>
    </w:p>
  </w:footnote>
  <w:footnote w:id="34">
    <w:p w:rsidR="00D555B7" w:rsidRPr="006E2F65" w:rsidRDefault="00D555B7" w:rsidP="00697444">
      <w:pPr>
        <w:pStyle w:val="FootnoteText"/>
        <w:jc w:val="both"/>
      </w:pPr>
      <w:r w:rsidRPr="006E2F65">
        <w:rPr>
          <w:rStyle w:val="FootnoteReference"/>
        </w:rPr>
        <w:footnoteRef/>
      </w:r>
      <w:r w:rsidRPr="006E2F65">
        <w:t xml:space="preserve"> </w:t>
      </w:r>
      <w:proofErr w:type="gramStart"/>
      <w:r w:rsidRPr="006E2F65">
        <w:rPr>
          <w:i/>
        </w:rPr>
        <w:t>Legality of the Threat or Use of Nuclear Weapons</w:t>
      </w:r>
      <w:r>
        <w:t xml:space="preserve"> advisory opinion</w:t>
      </w:r>
      <w:r w:rsidRPr="006E2F65">
        <w:t xml:space="preserve"> </w:t>
      </w:r>
      <w:r>
        <w:t>[</w:t>
      </w:r>
      <w:r w:rsidRPr="006E2F65">
        <w:t>1996</w:t>
      </w:r>
      <w:r>
        <w:t>]</w:t>
      </w:r>
      <w:r w:rsidRPr="006E2F65">
        <w:t xml:space="preserve"> </w:t>
      </w:r>
      <w:r w:rsidRPr="004B512E">
        <w:rPr>
          <w:rFonts w:eastAsia="Calibri"/>
          <w:bCs/>
          <w:lang w:val="en-US"/>
        </w:rPr>
        <w:t>ICJ Reports</w:t>
      </w:r>
      <w:r>
        <w:t xml:space="preserve"> 226 at [</w:t>
      </w:r>
      <w:r w:rsidRPr="006E2F65">
        <w:t>100</w:t>
      </w:r>
      <w:r>
        <w:t>]</w:t>
      </w:r>
      <w:r w:rsidRPr="006E2F65">
        <w:t>.</w:t>
      </w:r>
      <w:proofErr w:type="gramEnd"/>
    </w:p>
  </w:footnote>
  <w:footnote w:id="35">
    <w:p w:rsidR="00D555B7" w:rsidRPr="006E2F65" w:rsidRDefault="00D555B7" w:rsidP="00697444">
      <w:pPr>
        <w:pStyle w:val="FootnoteText"/>
        <w:jc w:val="both"/>
      </w:pPr>
      <w:r w:rsidRPr="006E2F65">
        <w:rPr>
          <w:rStyle w:val="FootnoteReference"/>
        </w:rPr>
        <w:footnoteRef/>
      </w:r>
      <w:r>
        <w:t xml:space="preserve"> </w:t>
      </w:r>
      <w:proofErr w:type="spellStart"/>
      <w:proofErr w:type="gramStart"/>
      <w:r>
        <w:t>Kittrie</w:t>
      </w:r>
      <w:proofErr w:type="spellEnd"/>
      <w:r>
        <w:t>, above n</w:t>
      </w:r>
      <w:r w:rsidRPr="006E2F65">
        <w:t xml:space="preserve"> </w:t>
      </w:r>
      <w:r>
        <w:t>7</w:t>
      </w:r>
      <w:r w:rsidRPr="006E2F65">
        <w:t xml:space="preserve"> </w:t>
      </w:r>
      <w:r>
        <w:t xml:space="preserve">at </w:t>
      </w:r>
      <w:r w:rsidRPr="006E2F65">
        <w:t>349.</w:t>
      </w:r>
      <w:proofErr w:type="gramEnd"/>
    </w:p>
  </w:footnote>
  <w:footnote w:id="36">
    <w:p w:rsidR="00D555B7" w:rsidRPr="006E2F65" w:rsidRDefault="00D555B7" w:rsidP="00697444">
      <w:pPr>
        <w:jc w:val="both"/>
        <w:rPr>
          <w:sz w:val="20"/>
          <w:szCs w:val="20"/>
        </w:rPr>
      </w:pPr>
      <w:r w:rsidRPr="006E2F65">
        <w:rPr>
          <w:rStyle w:val="FootnoteReference"/>
          <w:sz w:val="20"/>
          <w:szCs w:val="20"/>
        </w:rPr>
        <w:footnoteRef/>
      </w:r>
      <w:r w:rsidRPr="006E2F65">
        <w:rPr>
          <w:sz w:val="20"/>
          <w:szCs w:val="20"/>
        </w:rPr>
        <w:t xml:space="preserve"> M</w:t>
      </w:r>
      <w:r>
        <w:rPr>
          <w:sz w:val="20"/>
          <w:szCs w:val="20"/>
        </w:rPr>
        <w:t>iguel B</w:t>
      </w:r>
      <w:r w:rsidRPr="006E2F65">
        <w:rPr>
          <w:sz w:val="20"/>
          <w:szCs w:val="20"/>
        </w:rPr>
        <w:t xml:space="preserve">osch “The Non-Proliferation Treaty and its Future” in </w:t>
      </w:r>
      <w:r>
        <w:rPr>
          <w:sz w:val="20"/>
          <w:szCs w:val="20"/>
        </w:rPr>
        <w:t xml:space="preserve">Laurence </w:t>
      </w:r>
      <w:proofErr w:type="spellStart"/>
      <w:r w:rsidRPr="006E2F65">
        <w:rPr>
          <w:bCs/>
          <w:sz w:val="20"/>
          <w:szCs w:val="20"/>
          <w:lang w:val="en-US"/>
        </w:rPr>
        <w:t>Boisson</w:t>
      </w:r>
      <w:proofErr w:type="spellEnd"/>
      <w:r w:rsidRPr="006E2F65">
        <w:rPr>
          <w:bCs/>
          <w:sz w:val="20"/>
          <w:szCs w:val="20"/>
          <w:lang w:val="en-US"/>
        </w:rPr>
        <w:t xml:space="preserve"> de </w:t>
      </w:r>
      <w:proofErr w:type="spellStart"/>
      <w:r w:rsidRPr="006E2F65">
        <w:rPr>
          <w:bCs/>
          <w:sz w:val="20"/>
          <w:szCs w:val="20"/>
          <w:lang w:val="en-US"/>
        </w:rPr>
        <w:t>Chazournes</w:t>
      </w:r>
      <w:proofErr w:type="spellEnd"/>
      <w:r w:rsidRPr="006E2F65">
        <w:rPr>
          <w:bCs/>
          <w:sz w:val="20"/>
          <w:szCs w:val="20"/>
          <w:lang w:val="en-US"/>
        </w:rPr>
        <w:t xml:space="preserve"> and </w:t>
      </w:r>
      <w:r>
        <w:rPr>
          <w:bCs/>
          <w:sz w:val="20"/>
          <w:szCs w:val="20"/>
          <w:lang w:val="en-US"/>
        </w:rPr>
        <w:t xml:space="preserve">Philippe </w:t>
      </w:r>
      <w:r w:rsidRPr="006E2F65">
        <w:rPr>
          <w:bCs/>
          <w:sz w:val="20"/>
          <w:szCs w:val="20"/>
          <w:lang w:val="en-US"/>
        </w:rPr>
        <w:t>Sands (</w:t>
      </w:r>
      <w:proofErr w:type="spellStart"/>
      <w:proofErr w:type="gramStart"/>
      <w:r w:rsidRPr="006E2F65">
        <w:rPr>
          <w:bCs/>
          <w:sz w:val="20"/>
          <w:szCs w:val="20"/>
          <w:lang w:val="en-US"/>
        </w:rPr>
        <w:t>eds</w:t>
      </w:r>
      <w:proofErr w:type="spellEnd"/>
      <w:proofErr w:type="gramEnd"/>
      <w:r w:rsidRPr="006E2F65">
        <w:rPr>
          <w:bCs/>
          <w:sz w:val="20"/>
          <w:szCs w:val="20"/>
          <w:lang w:val="en-US"/>
        </w:rPr>
        <w:t>)</w:t>
      </w:r>
      <w:r>
        <w:rPr>
          <w:bCs/>
          <w:sz w:val="20"/>
          <w:szCs w:val="20"/>
          <w:lang w:val="en-US"/>
        </w:rPr>
        <w:t xml:space="preserve"> above</w:t>
      </w:r>
      <w:r w:rsidRPr="006E2F65">
        <w:rPr>
          <w:bCs/>
          <w:sz w:val="20"/>
          <w:szCs w:val="20"/>
          <w:lang w:val="en-US"/>
        </w:rPr>
        <w:t xml:space="preserve"> n</w:t>
      </w:r>
      <w:r>
        <w:rPr>
          <w:bCs/>
          <w:sz w:val="20"/>
          <w:szCs w:val="20"/>
          <w:lang w:val="en-US"/>
        </w:rPr>
        <w:t xml:space="preserve"> 27</w:t>
      </w:r>
      <w:r w:rsidRPr="006E2F65">
        <w:rPr>
          <w:bCs/>
          <w:sz w:val="20"/>
          <w:szCs w:val="20"/>
          <w:lang w:val="en-US"/>
        </w:rPr>
        <w:t xml:space="preserve">, </w:t>
      </w:r>
      <w:r>
        <w:rPr>
          <w:sz w:val="20"/>
          <w:szCs w:val="20"/>
        </w:rPr>
        <w:t xml:space="preserve">375-38 at </w:t>
      </w:r>
      <w:r w:rsidRPr="006E2F65">
        <w:rPr>
          <w:sz w:val="20"/>
          <w:szCs w:val="20"/>
        </w:rPr>
        <w:t>381.</w:t>
      </w:r>
    </w:p>
  </w:footnote>
  <w:footnote w:id="37">
    <w:p w:rsidR="00D555B7" w:rsidRPr="006E2F65" w:rsidRDefault="00D555B7" w:rsidP="00697444">
      <w:pPr>
        <w:pStyle w:val="FootnoteText"/>
        <w:jc w:val="both"/>
      </w:pPr>
      <w:r w:rsidRPr="006E2F65">
        <w:rPr>
          <w:rStyle w:val="FootnoteReference"/>
        </w:rPr>
        <w:footnoteRef/>
      </w:r>
      <w:r w:rsidRPr="006E2F65">
        <w:t xml:space="preserve"> See for example </w:t>
      </w:r>
      <w:r w:rsidRPr="006E2F65">
        <w:rPr>
          <w:lang w:val="en-US"/>
        </w:rPr>
        <w:t>A</w:t>
      </w:r>
      <w:r>
        <w:rPr>
          <w:lang w:val="en-US"/>
        </w:rPr>
        <w:t>dam</w:t>
      </w:r>
      <w:r w:rsidRPr="006E2F65">
        <w:rPr>
          <w:lang w:val="en-US"/>
        </w:rPr>
        <w:t xml:space="preserve"> </w:t>
      </w:r>
      <w:proofErr w:type="spellStart"/>
      <w:r w:rsidRPr="006E2F65">
        <w:rPr>
          <w:lang w:val="en-US"/>
        </w:rPr>
        <w:t>Steinfeld</w:t>
      </w:r>
      <w:proofErr w:type="spellEnd"/>
      <w:r w:rsidRPr="006E2F65">
        <w:rPr>
          <w:lang w:val="en-US"/>
        </w:rPr>
        <w:t xml:space="preserve"> “Nuclear Objections: The Persistent Objector and the Legality of the Use of Nuclear Weapons”</w:t>
      </w:r>
      <w:r>
        <w:rPr>
          <w:lang w:val="en-US"/>
        </w:rPr>
        <w:t xml:space="preserve"> (1996) </w:t>
      </w:r>
      <w:r w:rsidRPr="00EC1985">
        <w:rPr>
          <w:lang w:val="en-US"/>
        </w:rPr>
        <w:t>62 Brooklyn Law Review</w:t>
      </w:r>
      <w:r>
        <w:rPr>
          <w:lang w:val="en-US"/>
        </w:rPr>
        <w:t xml:space="preserve"> 1</w:t>
      </w:r>
      <w:r w:rsidRPr="006E2F65">
        <w:rPr>
          <w:lang w:val="en-US"/>
        </w:rPr>
        <w:t>635-1686 at 1670.</w:t>
      </w:r>
    </w:p>
  </w:footnote>
  <w:footnote w:id="38">
    <w:p w:rsidR="00D555B7" w:rsidRPr="006E2F65" w:rsidRDefault="00D555B7" w:rsidP="00697444">
      <w:pPr>
        <w:pStyle w:val="FootnoteText"/>
        <w:jc w:val="both"/>
      </w:pPr>
      <w:r w:rsidRPr="006E2F65">
        <w:rPr>
          <w:rStyle w:val="FootnoteReference"/>
        </w:rPr>
        <w:footnoteRef/>
      </w:r>
      <w:r w:rsidRPr="006E2F65">
        <w:t xml:space="preserve"> </w:t>
      </w:r>
      <w:proofErr w:type="gramStart"/>
      <w:r w:rsidRPr="006E2F65">
        <w:rPr>
          <w:i/>
        </w:rPr>
        <w:t>Legality of the Threat or Use of Nuclear Weapons</w:t>
      </w:r>
      <w:r w:rsidRPr="006E2F65">
        <w:t xml:space="preserve"> advisory opinion, </w:t>
      </w:r>
      <w:r>
        <w:t>above n 33 at [</w:t>
      </w:r>
      <w:r w:rsidRPr="006E2F65">
        <w:t>98</w:t>
      </w:r>
      <w:r>
        <w:t>]</w:t>
      </w:r>
      <w:r w:rsidRPr="006E2F65">
        <w:t>-</w:t>
      </w:r>
      <w:r>
        <w:t>[</w:t>
      </w:r>
      <w:r w:rsidRPr="006E2F65">
        <w:t>100</w:t>
      </w:r>
      <w:r>
        <w:t>]</w:t>
      </w:r>
      <w:r w:rsidRPr="006E2F65">
        <w:t>.</w:t>
      </w:r>
      <w:proofErr w:type="gramEnd"/>
    </w:p>
  </w:footnote>
  <w:footnote w:id="39">
    <w:p w:rsidR="00D555B7" w:rsidRPr="006E2F65" w:rsidRDefault="00D555B7" w:rsidP="00697444">
      <w:pPr>
        <w:pStyle w:val="FootnoteText"/>
        <w:jc w:val="both"/>
      </w:pPr>
      <w:r w:rsidRPr="006E2F65">
        <w:rPr>
          <w:rStyle w:val="FootnoteReference"/>
        </w:rPr>
        <w:footnoteRef/>
      </w:r>
      <w:r w:rsidRPr="006E2F65">
        <w:t xml:space="preserve"> </w:t>
      </w:r>
      <w:proofErr w:type="gramStart"/>
      <w:r w:rsidRPr="006E2F65">
        <w:rPr>
          <w:i/>
        </w:rPr>
        <w:t>Ibid.</w:t>
      </w:r>
      <w:r>
        <w:t>,</w:t>
      </w:r>
      <w:proofErr w:type="gramEnd"/>
      <w:r>
        <w:t xml:space="preserve"> at [</w:t>
      </w:r>
      <w:r w:rsidRPr="006E2F65">
        <w:t>99</w:t>
      </w:r>
      <w:r>
        <w:t>]</w:t>
      </w:r>
      <w:r w:rsidRPr="006E2F65">
        <w:t>.</w:t>
      </w:r>
    </w:p>
  </w:footnote>
  <w:footnote w:id="40">
    <w:p w:rsidR="00D555B7" w:rsidRPr="006E2F65" w:rsidRDefault="00D555B7" w:rsidP="00697444">
      <w:pPr>
        <w:pStyle w:val="FootnoteText"/>
        <w:jc w:val="both"/>
      </w:pPr>
      <w:r w:rsidRPr="006E2F65">
        <w:rPr>
          <w:rStyle w:val="FootnoteReference"/>
        </w:rPr>
        <w:footnoteRef/>
      </w:r>
      <w:r w:rsidRPr="006E2F65">
        <w:t xml:space="preserve"> </w:t>
      </w:r>
      <w:proofErr w:type="gramStart"/>
      <w:r w:rsidRPr="006E2F65">
        <w:t xml:space="preserve">Joyner, </w:t>
      </w:r>
      <w:r>
        <w:t xml:space="preserve">above </w:t>
      </w:r>
      <w:r w:rsidRPr="006E2F65">
        <w:t>n</w:t>
      </w:r>
      <w:r>
        <w:t xml:space="preserve"> 3</w:t>
      </w:r>
      <w:r w:rsidRPr="006E2F65">
        <w:t xml:space="preserve"> at </w:t>
      </w:r>
      <w:r w:rsidRPr="00555AEF">
        <w:t>69 (note 170).</w:t>
      </w:r>
      <w:proofErr w:type="gramEnd"/>
    </w:p>
  </w:footnote>
  <w:footnote w:id="41">
    <w:p w:rsidR="00D555B7" w:rsidRPr="006E2F65" w:rsidRDefault="00D555B7" w:rsidP="00697444">
      <w:pPr>
        <w:pStyle w:val="FootnoteText"/>
        <w:jc w:val="both"/>
      </w:pPr>
      <w:r w:rsidRPr="006E2F65">
        <w:rPr>
          <w:rStyle w:val="FootnoteReference"/>
        </w:rPr>
        <w:footnoteRef/>
      </w:r>
      <w:r w:rsidRPr="006E2F65">
        <w:t xml:space="preserve"> </w:t>
      </w:r>
      <w:proofErr w:type="gramStart"/>
      <w:r w:rsidRPr="006E2F65">
        <w:t xml:space="preserve">As Bosch has stated: ‘[A]t each of the </w:t>
      </w:r>
      <w:proofErr w:type="spellStart"/>
      <w:r w:rsidRPr="006E2F65">
        <w:t>NPT’s</w:t>
      </w:r>
      <w:proofErr w:type="spellEnd"/>
      <w:r w:rsidRPr="006E2F65">
        <w:t xml:space="preserve"> five review conferences, two fundamental questions have been raised.</w:t>
      </w:r>
      <w:proofErr w:type="gramEnd"/>
      <w:r w:rsidRPr="006E2F65">
        <w:t xml:space="preserve">  First, have the NNWS lived up to their part of the bargain</w:t>
      </w:r>
      <w:proofErr w:type="gramStart"/>
      <w:r w:rsidRPr="006E2F65">
        <w:t>…[</w:t>
      </w:r>
      <w:proofErr w:type="gramEnd"/>
      <w:r w:rsidRPr="006E2F65">
        <w:t>a]</w:t>
      </w:r>
      <w:proofErr w:type="spellStart"/>
      <w:r w:rsidRPr="006E2F65">
        <w:t>nd</w:t>
      </w:r>
      <w:proofErr w:type="spellEnd"/>
      <w:r w:rsidRPr="006E2F65">
        <w:t xml:space="preserve"> second, have the NWS fulfilled their nuclear disarmament obligations?  Invariably, the answer to the first question has been in the affirmative while the second has been in the negative.’  </w:t>
      </w:r>
      <w:proofErr w:type="gramStart"/>
      <w:r w:rsidRPr="006E2F65">
        <w:t>Bosch,</w:t>
      </w:r>
      <w:r>
        <w:t xml:space="preserve"> above</w:t>
      </w:r>
      <w:r w:rsidRPr="006E2F65">
        <w:t xml:space="preserve"> n </w:t>
      </w:r>
      <w:r>
        <w:t>35</w:t>
      </w:r>
      <w:r w:rsidRPr="006E2F65">
        <w:t xml:space="preserve"> at 388.</w:t>
      </w:r>
      <w:proofErr w:type="gramEnd"/>
    </w:p>
  </w:footnote>
  <w:footnote w:id="42">
    <w:p w:rsidR="00D555B7" w:rsidRPr="006E2F65" w:rsidRDefault="00D555B7" w:rsidP="00697444">
      <w:pPr>
        <w:jc w:val="both"/>
        <w:rPr>
          <w:sz w:val="20"/>
          <w:szCs w:val="20"/>
        </w:rPr>
      </w:pPr>
      <w:r w:rsidRPr="006E2F65">
        <w:rPr>
          <w:rStyle w:val="FootnoteReference"/>
          <w:sz w:val="20"/>
          <w:szCs w:val="20"/>
        </w:rPr>
        <w:footnoteRef/>
      </w:r>
      <w:r w:rsidRPr="006E2F65">
        <w:rPr>
          <w:sz w:val="20"/>
          <w:szCs w:val="20"/>
        </w:rPr>
        <w:t xml:space="preserve"> India, Pakistan and Israel have never been party to the NPT, whereas the DPRK withdrew from the treaty, under Article X, in a cloud of controversy in 2003, see </w:t>
      </w:r>
      <w:r w:rsidRPr="006E2F65">
        <w:rPr>
          <w:rStyle w:val="date1"/>
          <w:rFonts w:ascii="Times New Roman" w:hAnsi="Times New Roman"/>
          <w:color w:val="auto"/>
          <w:sz w:val="20"/>
          <w:szCs w:val="20"/>
        </w:rPr>
        <w:t>“North</w:t>
      </w:r>
      <w:r w:rsidRPr="006E2F65">
        <w:rPr>
          <w:bCs/>
          <w:sz w:val="20"/>
          <w:szCs w:val="20"/>
        </w:rPr>
        <w:t xml:space="preserve"> Kor</w:t>
      </w:r>
      <w:r>
        <w:rPr>
          <w:bCs/>
          <w:sz w:val="20"/>
          <w:szCs w:val="20"/>
        </w:rPr>
        <w:t>ea withdraws from Nuclear Pact”</w:t>
      </w:r>
      <w:r w:rsidRPr="006E2F65">
        <w:rPr>
          <w:bCs/>
          <w:sz w:val="20"/>
          <w:szCs w:val="20"/>
        </w:rPr>
        <w:t xml:space="preserve"> </w:t>
      </w:r>
      <w:r w:rsidRPr="00ED6253">
        <w:rPr>
          <w:bCs/>
          <w:sz w:val="20"/>
          <w:szCs w:val="20"/>
        </w:rPr>
        <w:t>BBC News</w:t>
      </w:r>
      <w:r>
        <w:rPr>
          <w:bCs/>
          <w:sz w:val="20"/>
          <w:szCs w:val="20"/>
        </w:rPr>
        <w:t xml:space="preserve"> (2003)</w:t>
      </w:r>
      <w:r w:rsidRPr="006E2F65">
        <w:rPr>
          <w:bCs/>
          <w:sz w:val="20"/>
          <w:szCs w:val="20"/>
        </w:rPr>
        <w:t xml:space="preserve"> </w:t>
      </w:r>
      <w:r w:rsidRPr="006E2F65">
        <w:rPr>
          <w:rStyle w:val="date1"/>
          <w:rFonts w:ascii="Times New Roman" w:hAnsi="Times New Roman"/>
          <w:color w:val="auto"/>
          <w:sz w:val="20"/>
          <w:szCs w:val="20"/>
        </w:rPr>
        <w:t xml:space="preserve"> </w:t>
      </w:r>
      <w:r>
        <w:rPr>
          <w:rStyle w:val="date1"/>
          <w:rFonts w:ascii="Times New Roman" w:hAnsi="Times New Roman"/>
          <w:color w:val="auto"/>
          <w:sz w:val="20"/>
          <w:szCs w:val="20"/>
        </w:rPr>
        <w:t>&lt;</w:t>
      </w:r>
      <w:r w:rsidRPr="006E2F65">
        <w:rPr>
          <w:rStyle w:val="date1"/>
          <w:rFonts w:ascii="Times New Roman" w:hAnsi="Times New Roman"/>
          <w:color w:val="auto"/>
          <w:sz w:val="20"/>
          <w:szCs w:val="20"/>
        </w:rPr>
        <w:t>http://news.bbc.co.uk/1/hi/2644593.stm</w:t>
      </w:r>
      <w:r>
        <w:rPr>
          <w:rStyle w:val="date1"/>
          <w:rFonts w:ascii="Times New Roman" w:hAnsi="Times New Roman"/>
          <w:color w:val="auto"/>
          <w:sz w:val="20"/>
          <w:szCs w:val="20"/>
        </w:rPr>
        <w:t>&gt;</w:t>
      </w:r>
      <w:r w:rsidR="00FA029C">
        <w:rPr>
          <w:sz w:val="20"/>
          <w:szCs w:val="20"/>
        </w:rPr>
        <w:t>;</w:t>
      </w:r>
      <w:r w:rsidRPr="006E2F65">
        <w:rPr>
          <w:sz w:val="20"/>
          <w:szCs w:val="20"/>
        </w:rPr>
        <w:t xml:space="preserve"> and </w:t>
      </w:r>
      <w:r>
        <w:rPr>
          <w:sz w:val="20"/>
          <w:szCs w:val="20"/>
        </w:rPr>
        <w:t>below n</w:t>
      </w:r>
      <w:r w:rsidRPr="006E2F65">
        <w:rPr>
          <w:sz w:val="20"/>
          <w:szCs w:val="20"/>
        </w:rPr>
        <w:t xml:space="preserve"> </w:t>
      </w:r>
      <w:r>
        <w:rPr>
          <w:sz w:val="20"/>
          <w:szCs w:val="20"/>
        </w:rPr>
        <w:t>44.</w:t>
      </w:r>
    </w:p>
  </w:footnote>
  <w:footnote w:id="43">
    <w:p w:rsidR="00D555B7" w:rsidRPr="006E2F65" w:rsidRDefault="00D555B7" w:rsidP="00697444">
      <w:pPr>
        <w:pStyle w:val="BlockText"/>
        <w:ind w:left="0" w:right="0"/>
        <w:rPr>
          <w:rFonts w:ascii="Times New Roman" w:hAnsi="Times New Roman"/>
        </w:rPr>
      </w:pPr>
      <w:r w:rsidRPr="006E2F65">
        <w:rPr>
          <w:rStyle w:val="FootnoteReference"/>
          <w:rFonts w:ascii="Times New Roman" w:hAnsi="Times New Roman"/>
        </w:rPr>
        <w:footnoteRef/>
      </w:r>
      <w:r w:rsidRPr="006E2F65">
        <w:rPr>
          <w:rFonts w:ascii="Times New Roman" w:hAnsi="Times New Roman"/>
        </w:rPr>
        <w:t xml:space="preserve"> As the ICJ noted in 1986: ‘It is not to be expected that in the practice of States the application of rules in question should be perfect...The Court does not consider that, for the rule to be established, the corresponding practice must be in absolute rigorous conformity with the rule.’  </w:t>
      </w:r>
      <w:proofErr w:type="gramStart"/>
      <w:r w:rsidRPr="006E2F65">
        <w:rPr>
          <w:rFonts w:ascii="Times New Roman" w:hAnsi="Times New Roman"/>
          <w:i/>
        </w:rPr>
        <w:t xml:space="preserve">Military and Paramilitary Activities in and Against Nicaragua </w:t>
      </w:r>
      <w:r w:rsidRPr="006E2F65">
        <w:rPr>
          <w:rFonts w:ascii="Times New Roman" w:hAnsi="Times New Roman"/>
        </w:rPr>
        <w:t>(</w:t>
      </w:r>
      <w:r w:rsidRPr="006E2F65">
        <w:rPr>
          <w:rFonts w:ascii="Times New Roman" w:hAnsi="Times New Roman"/>
          <w:i/>
        </w:rPr>
        <w:t>Nicaragua</w:t>
      </w:r>
      <w:r w:rsidRPr="006E2F65">
        <w:rPr>
          <w:rFonts w:ascii="Times New Roman" w:hAnsi="Times New Roman"/>
        </w:rPr>
        <w:t xml:space="preserve"> </w:t>
      </w:r>
      <w:r w:rsidRPr="006E2F65">
        <w:rPr>
          <w:rFonts w:ascii="Times New Roman" w:hAnsi="Times New Roman"/>
          <w:i/>
        </w:rPr>
        <w:t>v</w:t>
      </w:r>
      <w:r w:rsidRPr="006E2F65">
        <w:rPr>
          <w:rFonts w:ascii="Times New Roman" w:hAnsi="Times New Roman"/>
        </w:rPr>
        <w:t xml:space="preserve"> </w:t>
      </w:r>
      <w:r w:rsidRPr="006E2F65">
        <w:rPr>
          <w:rFonts w:ascii="Times New Roman" w:hAnsi="Times New Roman"/>
          <w:i/>
        </w:rPr>
        <w:t>United States of America</w:t>
      </w:r>
      <w:r>
        <w:rPr>
          <w:rFonts w:ascii="Times New Roman" w:hAnsi="Times New Roman"/>
        </w:rPr>
        <w:t>) merits</w:t>
      </w:r>
      <w:r w:rsidRPr="006E2F65">
        <w:rPr>
          <w:rFonts w:ascii="Times New Roman" w:hAnsi="Times New Roman"/>
        </w:rPr>
        <w:t xml:space="preserve"> </w:t>
      </w:r>
      <w:r>
        <w:rPr>
          <w:rFonts w:ascii="Times New Roman" w:hAnsi="Times New Roman"/>
        </w:rPr>
        <w:t>[</w:t>
      </w:r>
      <w:r w:rsidRPr="006E2F65">
        <w:rPr>
          <w:rFonts w:ascii="Times New Roman" w:hAnsi="Times New Roman"/>
        </w:rPr>
        <w:t>1986</w:t>
      </w:r>
      <w:r>
        <w:rPr>
          <w:rFonts w:ascii="Times New Roman" w:hAnsi="Times New Roman"/>
        </w:rPr>
        <w:t>]</w:t>
      </w:r>
      <w:r w:rsidRPr="006E2F65">
        <w:rPr>
          <w:rFonts w:ascii="Times New Roman" w:hAnsi="Times New Roman"/>
        </w:rPr>
        <w:t xml:space="preserve"> </w:t>
      </w:r>
      <w:r w:rsidRPr="004B512E">
        <w:rPr>
          <w:rFonts w:ascii="Times New Roman" w:eastAsia="Calibri" w:hAnsi="Times New Roman"/>
          <w:bCs/>
          <w:lang w:val="en-US"/>
        </w:rPr>
        <w:t>ICJ Reports</w:t>
      </w:r>
      <w:r>
        <w:rPr>
          <w:rFonts w:ascii="Times New Roman" w:hAnsi="Times New Roman"/>
        </w:rPr>
        <w:t xml:space="preserve"> 14 at [</w:t>
      </w:r>
      <w:r w:rsidRPr="006E2F65">
        <w:rPr>
          <w:rFonts w:ascii="Times New Roman" w:hAnsi="Times New Roman"/>
        </w:rPr>
        <w:t>185</w:t>
      </w:r>
      <w:r>
        <w:rPr>
          <w:rFonts w:ascii="Times New Roman" w:hAnsi="Times New Roman"/>
        </w:rPr>
        <w:t>]</w:t>
      </w:r>
      <w:r w:rsidRPr="006E2F65">
        <w:rPr>
          <w:rFonts w:ascii="Times New Roman" w:hAnsi="Times New Roman"/>
        </w:rPr>
        <w:t xml:space="preserve"> [</w:t>
      </w:r>
      <w:r w:rsidRPr="006E2F65">
        <w:rPr>
          <w:rFonts w:ascii="Times New Roman" w:hAnsi="Times New Roman"/>
          <w:i/>
        </w:rPr>
        <w:t>Nicaragua</w:t>
      </w:r>
      <w:r w:rsidRPr="006E2F65">
        <w:rPr>
          <w:rFonts w:ascii="Times New Roman" w:hAnsi="Times New Roman"/>
        </w:rPr>
        <w:t>].</w:t>
      </w:r>
      <w:proofErr w:type="gramEnd"/>
    </w:p>
  </w:footnote>
  <w:footnote w:id="44">
    <w:p w:rsidR="00D555B7" w:rsidRPr="006E2F65" w:rsidRDefault="00D555B7" w:rsidP="00697444">
      <w:pPr>
        <w:autoSpaceDE w:val="0"/>
        <w:autoSpaceDN w:val="0"/>
        <w:adjustRightInd w:val="0"/>
        <w:jc w:val="both"/>
        <w:rPr>
          <w:sz w:val="20"/>
          <w:szCs w:val="20"/>
        </w:rPr>
      </w:pPr>
      <w:r w:rsidRPr="006E2F65">
        <w:rPr>
          <w:rStyle w:val="FootnoteReference"/>
          <w:sz w:val="20"/>
          <w:szCs w:val="20"/>
        </w:rPr>
        <w:footnoteRef/>
      </w:r>
      <w:r w:rsidRPr="006E2F65">
        <w:rPr>
          <w:sz w:val="20"/>
          <w:szCs w:val="20"/>
        </w:rPr>
        <w:t xml:space="preserve"> See </w:t>
      </w:r>
      <w:r w:rsidRPr="00401FE4">
        <w:rPr>
          <w:i/>
          <w:sz w:val="20"/>
          <w:szCs w:val="20"/>
        </w:rPr>
        <w:t>Security Council Resolution 1695</w:t>
      </w:r>
      <w:r>
        <w:rPr>
          <w:sz w:val="20"/>
          <w:szCs w:val="20"/>
        </w:rPr>
        <w:t xml:space="preserve"> </w:t>
      </w:r>
      <w:r w:rsidRPr="006E2F65">
        <w:rPr>
          <w:iCs/>
          <w:sz w:val="20"/>
          <w:szCs w:val="20"/>
        </w:rPr>
        <w:t>(</w:t>
      </w:r>
      <w:proofErr w:type="gramStart"/>
      <w:r w:rsidRPr="006E2F65">
        <w:rPr>
          <w:iCs/>
          <w:sz w:val="20"/>
          <w:szCs w:val="20"/>
        </w:rPr>
        <w:t>‘</w:t>
      </w:r>
      <w:r w:rsidRPr="006E2F65">
        <w:rPr>
          <w:i/>
          <w:iCs/>
          <w:sz w:val="20"/>
          <w:szCs w:val="20"/>
        </w:rPr>
        <w:t>Deploring</w:t>
      </w:r>
      <w:proofErr w:type="gramEnd"/>
      <w:r w:rsidRPr="006E2F65">
        <w:rPr>
          <w:i/>
          <w:iCs/>
          <w:sz w:val="20"/>
          <w:szCs w:val="20"/>
        </w:rPr>
        <w:t xml:space="preserve"> </w:t>
      </w:r>
      <w:r w:rsidRPr="006E2F65">
        <w:rPr>
          <w:sz w:val="20"/>
          <w:szCs w:val="20"/>
        </w:rPr>
        <w:t xml:space="preserve">the </w:t>
      </w:r>
      <w:proofErr w:type="spellStart"/>
      <w:r w:rsidRPr="006E2F65">
        <w:rPr>
          <w:sz w:val="20"/>
          <w:szCs w:val="20"/>
        </w:rPr>
        <w:t>DPRK’s</w:t>
      </w:r>
      <w:proofErr w:type="spellEnd"/>
      <w:r w:rsidRPr="006E2F65">
        <w:rPr>
          <w:sz w:val="20"/>
          <w:szCs w:val="20"/>
        </w:rPr>
        <w:t xml:space="preserve"> ...stated pursuit of nuclear weapons in spite of its Treaty on Non-Proliferation of </w:t>
      </w:r>
      <w:r>
        <w:rPr>
          <w:sz w:val="20"/>
          <w:szCs w:val="20"/>
        </w:rPr>
        <w:t>Nuclear Weapons...obligations’)</w:t>
      </w:r>
      <w:r w:rsidRPr="00401FE4">
        <w:rPr>
          <w:sz w:val="20"/>
          <w:szCs w:val="20"/>
        </w:rPr>
        <w:t xml:space="preserve"> </w:t>
      </w:r>
      <w:r w:rsidRPr="006E2F65">
        <w:rPr>
          <w:sz w:val="20"/>
          <w:szCs w:val="20"/>
        </w:rPr>
        <w:t>UN Doc. S/RES/1695</w:t>
      </w:r>
      <w:r>
        <w:rPr>
          <w:sz w:val="20"/>
          <w:szCs w:val="20"/>
        </w:rPr>
        <w:t xml:space="preserve"> (2006).</w:t>
      </w:r>
    </w:p>
  </w:footnote>
  <w:footnote w:id="45">
    <w:p w:rsidR="00D555B7" w:rsidRPr="006E2F65" w:rsidRDefault="00D555B7" w:rsidP="00697444">
      <w:pPr>
        <w:shd w:val="clear" w:color="auto" w:fill="FFFFFF"/>
        <w:jc w:val="both"/>
        <w:outlineLvl w:val="1"/>
        <w:rPr>
          <w:bCs/>
          <w:kern w:val="36"/>
          <w:sz w:val="20"/>
          <w:szCs w:val="20"/>
        </w:rPr>
      </w:pPr>
      <w:r w:rsidRPr="006E2F65">
        <w:rPr>
          <w:rStyle w:val="FootnoteReference"/>
          <w:sz w:val="20"/>
          <w:szCs w:val="20"/>
        </w:rPr>
        <w:footnoteRef/>
      </w:r>
      <w:r w:rsidRPr="006E2F65">
        <w:rPr>
          <w:sz w:val="20"/>
          <w:szCs w:val="20"/>
        </w:rPr>
        <w:t xml:space="preserve"> However, this is not the </w:t>
      </w:r>
      <w:r w:rsidRPr="006E2F65">
        <w:rPr>
          <w:i/>
          <w:sz w:val="20"/>
          <w:szCs w:val="20"/>
        </w:rPr>
        <w:t>only</w:t>
      </w:r>
      <w:r w:rsidRPr="006E2F65">
        <w:rPr>
          <w:sz w:val="20"/>
          <w:szCs w:val="20"/>
        </w:rPr>
        <w:t xml:space="preserve"> interpretation of this finding by the Security Council.  It is possible that the DPRK remains bound by the NPT on the basis that – as some states have argued – its withdrawal under Article X was invalid.  On the complicated legal issue of the </w:t>
      </w:r>
      <w:proofErr w:type="spellStart"/>
      <w:r w:rsidRPr="006E2F65">
        <w:rPr>
          <w:sz w:val="20"/>
          <w:szCs w:val="20"/>
        </w:rPr>
        <w:t>DPRK’s</w:t>
      </w:r>
      <w:proofErr w:type="spellEnd"/>
      <w:r w:rsidRPr="006E2F65">
        <w:rPr>
          <w:sz w:val="20"/>
          <w:szCs w:val="20"/>
        </w:rPr>
        <w:t xml:space="preserve"> withdrawal from the NPT, which goes beyond the scope of this paper, </w:t>
      </w:r>
      <w:r w:rsidRPr="0013357C">
        <w:rPr>
          <w:sz w:val="20"/>
          <w:szCs w:val="20"/>
        </w:rPr>
        <w:t>see Masahiko</w:t>
      </w:r>
      <w:r w:rsidRPr="006E2F65">
        <w:rPr>
          <w:bCs/>
          <w:kern w:val="36"/>
          <w:sz w:val="20"/>
          <w:szCs w:val="20"/>
        </w:rPr>
        <w:t xml:space="preserve"> Asada “Arms Control Law in Crisis? A Study of the North Korean Nuclear Issue”</w:t>
      </w:r>
      <w:r>
        <w:rPr>
          <w:bCs/>
          <w:kern w:val="36"/>
          <w:sz w:val="20"/>
          <w:szCs w:val="20"/>
        </w:rPr>
        <w:t xml:space="preserve"> (2004) 9</w:t>
      </w:r>
      <w:r w:rsidRPr="006E2F65">
        <w:rPr>
          <w:bCs/>
          <w:kern w:val="36"/>
          <w:sz w:val="20"/>
          <w:szCs w:val="20"/>
        </w:rPr>
        <w:t xml:space="preserve"> </w:t>
      </w:r>
      <w:r w:rsidRPr="00EC1985">
        <w:rPr>
          <w:sz w:val="20"/>
          <w:szCs w:val="20"/>
        </w:rPr>
        <w:t>Journal of Conflict and Security Law</w:t>
      </w:r>
      <w:r>
        <w:rPr>
          <w:i/>
          <w:sz w:val="20"/>
          <w:szCs w:val="20"/>
        </w:rPr>
        <w:t xml:space="preserve"> </w:t>
      </w:r>
      <w:r w:rsidRPr="006E2F65">
        <w:rPr>
          <w:sz w:val="20"/>
          <w:szCs w:val="20"/>
        </w:rPr>
        <w:t>331-355.</w:t>
      </w:r>
    </w:p>
  </w:footnote>
  <w:footnote w:id="46">
    <w:p w:rsidR="00D555B7" w:rsidRPr="006E2F65" w:rsidRDefault="00D555B7" w:rsidP="00697444">
      <w:pPr>
        <w:jc w:val="both"/>
        <w:rPr>
          <w:sz w:val="20"/>
          <w:szCs w:val="20"/>
        </w:rPr>
      </w:pPr>
      <w:r w:rsidRPr="006E2F65">
        <w:rPr>
          <w:rStyle w:val="FootnoteReference"/>
          <w:sz w:val="20"/>
          <w:szCs w:val="20"/>
        </w:rPr>
        <w:footnoteRef/>
      </w:r>
      <w:r w:rsidRPr="006E2F65">
        <w:rPr>
          <w:sz w:val="20"/>
          <w:szCs w:val="20"/>
        </w:rPr>
        <w:t xml:space="preserve"> </w:t>
      </w:r>
      <w:r w:rsidRPr="006E2F65">
        <w:rPr>
          <w:rStyle w:val="date1"/>
          <w:rFonts w:ascii="Times New Roman" w:hAnsi="Times New Roman"/>
          <w:color w:val="auto"/>
          <w:sz w:val="20"/>
          <w:szCs w:val="20"/>
        </w:rPr>
        <w:t xml:space="preserve">In 1998 Venezuela made the explicit claim that the NNWS rules of the non-proliferation regime had become customary international law on more than one occasion during </w:t>
      </w:r>
      <w:r w:rsidRPr="006E2F65">
        <w:rPr>
          <w:sz w:val="20"/>
          <w:szCs w:val="20"/>
        </w:rPr>
        <w:t xml:space="preserve">the Conference on Disarmament.  See </w:t>
      </w:r>
      <w:r w:rsidRPr="001C6DBB">
        <w:rPr>
          <w:i/>
          <w:sz w:val="20"/>
          <w:szCs w:val="20"/>
        </w:rPr>
        <w:t>Final Record of the 792</w:t>
      </w:r>
      <w:r w:rsidRPr="001C6DBB">
        <w:rPr>
          <w:i/>
          <w:sz w:val="20"/>
          <w:szCs w:val="20"/>
          <w:vertAlign w:val="superscript"/>
        </w:rPr>
        <w:t>nd</w:t>
      </w:r>
      <w:r w:rsidRPr="001C6DBB">
        <w:rPr>
          <w:i/>
          <w:sz w:val="20"/>
          <w:szCs w:val="20"/>
        </w:rPr>
        <w:t xml:space="preserve"> Plenary Meeting</w:t>
      </w:r>
      <w:r>
        <w:rPr>
          <w:sz w:val="20"/>
          <w:szCs w:val="20"/>
        </w:rPr>
        <w:t xml:space="preserve"> </w:t>
      </w:r>
      <w:r w:rsidRPr="006E2F65">
        <w:rPr>
          <w:sz w:val="20"/>
          <w:szCs w:val="20"/>
        </w:rPr>
        <w:t>UN Doc. CD/PV.792</w:t>
      </w:r>
      <w:r>
        <w:rPr>
          <w:sz w:val="20"/>
          <w:szCs w:val="20"/>
        </w:rPr>
        <w:t xml:space="preserve"> (1998)</w:t>
      </w:r>
      <w:r w:rsidRPr="006E2F65">
        <w:rPr>
          <w:sz w:val="20"/>
          <w:szCs w:val="20"/>
        </w:rPr>
        <w:t xml:space="preserve"> at</w:t>
      </w:r>
      <w:r>
        <w:rPr>
          <w:rStyle w:val="date1"/>
          <w:rFonts w:ascii="Times New Roman" w:hAnsi="Times New Roman"/>
          <w:color w:val="auto"/>
          <w:sz w:val="20"/>
          <w:szCs w:val="20"/>
        </w:rPr>
        <w:t xml:space="preserve"> </w:t>
      </w:r>
      <w:r w:rsidRPr="006E2F65">
        <w:rPr>
          <w:rStyle w:val="date1"/>
          <w:rFonts w:ascii="Times New Roman" w:hAnsi="Times New Roman"/>
          <w:color w:val="auto"/>
          <w:sz w:val="20"/>
          <w:szCs w:val="20"/>
        </w:rPr>
        <w:t xml:space="preserve">32; and </w:t>
      </w:r>
      <w:r w:rsidRPr="001C6DBB">
        <w:rPr>
          <w:i/>
          <w:sz w:val="20"/>
          <w:szCs w:val="20"/>
        </w:rPr>
        <w:t>Final Record of the 795</w:t>
      </w:r>
      <w:r w:rsidRPr="001C6DBB">
        <w:rPr>
          <w:i/>
          <w:sz w:val="20"/>
          <w:szCs w:val="20"/>
          <w:vertAlign w:val="superscript"/>
        </w:rPr>
        <w:t>th</w:t>
      </w:r>
      <w:r w:rsidRPr="001C6DBB">
        <w:rPr>
          <w:i/>
          <w:sz w:val="20"/>
          <w:szCs w:val="20"/>
        </w:rPr>
        <w:t xml:space="preserve"> Plenary Meeting</w:t>
      </w:r>
      <w:r w:rsidRPr="006E2F65">
        <w:rPr>
          <w:sz w:val="20"/>
          <w:szCs w:val="20"/>
        </w:rPr>
        <w:t xml:space="preserve"> UN Doc. CD/PV.795</w:t>
      </w:r>
      <w:r>
        <w:rPr>
          <w:sz w:val="20"/>
          <w:szCs w:val="20"/>
        </w:rPr>
        <w:t xml:space="preserve"> (1998)</w:t>
      </w:r>
      <w:r w:rsidRPr="006E2F65">
        <w:rPr>
          <w:sz w:val="20"/>
          <w:szCs w:val="20"/>
        </w:rPr>
        <w:t xml:space="preserve"> at</w:t>
      </w:r>
      <w:r>
        <w:rPr>
          <w:rStyle w:val="date1"/>
          <w:rFonts w:ascii="Times New Roman" w:hAnsi="Times New Roman"/>
          <w:color w:val="auto"/>
          <w:sz w:val="20"/>
          <w:szCs w:val="20"/>
        </w:rPr>
        <w:t xml:space="preserve"> </w:t>
      </w:r>
      <w:r w:rsidRPr="006E2F65">
        <w:rPr>
          <w:rStyle w:val="date1"/>
          <w:rFonts w:ascii="Times New Roman" w:hAnsi="Times New Roman"/>
          <w:color w:val="auto"/>
          <w:sz w:val="20"/>
          <w:szCs w:val="20"/>
        </w:rPr>
        <w:t>47</w:t>
      </w:r>
      <w:r w:rsidRPr="006E2F65">
        <w:rPr>
          <w:sz w:val="20"/>
          <w:szCs w:val="20"/>
        </w:rPr>
        <w:t>.</w:t>
      </w:r>
    </w:p>
  </w:footnote>
  <w:footnote w:id="47">
    <w:p w:rsidR="00D555B7" w:rsidRPr="006E2F65" w:rsidRDefault="00D555B7" w:rsidP="00697444">
      <w:pPr>
        <w:pStyle w:val="FootnoteText"/>
        <w:jc w:val="both"/>
      </w:pPr>
      <w:r w:rsidRPr="006E2F65">
        <w:rPr>
          <w:rStyle w:val="FootnoteReference"/>
        </w:rPr>
        <w:footnoteRef/>
      </w:r>
      <w:r w:rsidRPr="006E2F65">
        <w:t xml:space="preserve"> See M</w:t>
      </w:r>
      <w:r>
        <w:t>ichael</w:t>
      </w:r>
      <w:r w:rsidRPr="006E2F65">
        <w:t xml:space="preserve"> Byers </w:t>
      </w:r>
      <w:r w:rsidRPr="006E2F65">
        <w:rPr>
          <w:i/>
        </w:rPr>
        <w:t>Custom, Power and the Power of Rules</w:t>
      </w:r>
      <w:r w:rsidRPr="006E2F65">
        <w:t xml:space="preserve"> </w:t>
      </w:r>
      <w:r w:rsidRPr="006E2F65">
        <w:rPr>
          <w:rFonts w:eastAsia="Calibri"/>
          <w:bCs/>
          <w:lang w:val="en-US"/>
        </w:rPr>
        <w:t>(Cambridge University Press, Cambridge, 1999)</w:t>
      </w:r>
      <w:r>
        <w:rPr>
          <w:rFonts w:eastAsia="Calibri"/>
          <w:bCs/>
          <w:lang w:val="en-US"/>
        </w:rPr>
        <w:t xml:space="preserve"> </w:t>
      </w:r>
      <w:r w:rsidRPr="006E2F65">
        <w:t>129-165.</w:t>
      </w:r>
    </w:p>
  </w:footnote>
  <w:footnote w:id="48">
    <w:p w:rsidR="00D555B7" w:rsidRPr="006E2F65" w:rsidRDefault="00D555B7" w:rsidP="00697444">
      <w:pPr>
        <w:pStyle w:val="FootnoteText"/>
        <w:jc w:val="both"/>
      </w:pPr>
      <w:r w:rsidRPr="006E2F65">
        <w:rPr>
          <w:rStyle w:val="FootnoteReference"/>
        </w:rPr>
        <w:footnoteRef/>
      </w:r>
      <w:r w:rsidRPr="006E2F65">
        <w:t xml:space="preserve"> As the ICJ has stated, ‘this result [a finding that customary international law obligations have derived from treaty-based obligations] is not lightly to be regarded as having been attained.’  </w:t>
      </w:r>
      <w:r w:rsidRPr="006E2F65">
        <w:rPr>
          <w:i/>
        </w:rPr>
        <w:t xml:space="preserve">North Sea Continental Shelf </w:t>
      </w:r>
      <w:r w:rsidR="00A45A40">
        <w:rPr>
          <w:i/>
        </w:rPr>
        <w:t>c</w:t>
      </w:r>
      <w:r w:rsidRPr="001C6DBB">
        <w:rPr>
          <w:i/>
        </w:rPr>
        <w:t>ases</w:t>
      </w:r>
      <w:r w:rsidRPr="006E2F65">
        <w:t xml:space="preserve"> </w:t>
      </w:r>
      <w:r w:rsidRPr="006E2F65">
        <w:rPr>
          <w:lang w:val="en-US"/>
        </w:rPr>
        <w:t xml:space="preserve">merits, </w:t>
      </w:r>
      <w:r>
        <w:rPr>
          <w:lang w:val="en-US"/>
        </w:rPr>
        <w:t>above n 27 at [</w:t>
      </w:r>
      <w:r w:rsidRPr="006E2F65">
        <w:rPr>
          <w:lang w:val="en-US"/>
        </w:rPr>
        <w:t>71</w:t>
      </w:r>
      <w:r>
        <w:rPr>
          <w:lang w:val="en-US"/>
        </w:rPr>
        <w:t>]</w:t>
      </w:r>
      <w:r w:rsidRPr="006E2F65">
        <w:rPr>
          <w:lang w:val="en-US"/>
        </w:rPr>
        <w:t>.</w:t>
      </w:r>
      <w:r w:rsidRPr="006E2F65">
        <w:t xml:space="preserve"> </w:t>
      </w:r>
    </w:p>
  </w:footnote>
  <w:footnote w:id="49">
    <w:p w:rsidR="00D555B7" w:rsidRPr="006E2F65" w:rsidRDefault="00D555B7" w:rsidP="00697444">
      <w:pPr>
        <w:autoSpaceDE w:val="0"/>
        <w:autoSpaceDN w:val="0"/>
        <w:adjustRightInd w:val="0"/>
        <w:jc w:val="both"/>
        <w:rPr>
          <w:sz w:val="20"/>
          <w:szCs w:val="20"/>
        </w:rPr>
      </w:pPr>
      <w:r w:rsidRPr="006E2F65">
        <w:rPr>
          <w:rStyle w:val="FootnoteReference"/>
          <w:sz w:val="20"/>
          <w:szCs w:val="20"/>
        </w:rPr>
        <w:footnoteRef/>
      </w:r>
      <w:r w:rsidRPr="006E2F65">
        <w:rPr>
          <w:sz w:val="20"/>
          <w:szCs w:val="20"/>
        </w:rPr>
        <w:t xml:space="preserve"> Compare the NPT with the argument raised by Judge Sir Robert Jennings in his dissenting opinion attached to the </w:t>
      </w:r>
      <w:r w:rsidRPr="006E2F65">
        <w:rPr>
          <w:i/>
          <w:sz w:val="20"/>
          <w:szCs w:val="20"/>
        </w:rPr>
        <w:t>Nicaragua</w:t>
      </w:r>
      <w:r w:rsidRPr="006E2F65">
        <w:rPr>
          <w:sz w:val="20"/>
          <w:szCs w:val="20"/>
        </w:rPr>
        <w:t xml:space="preserve"> case, as to the customary status of the prohibition of the use of force deriving from Article 2(4) of the Charter of the United Nations </w:t>
      </w:r>
      <w:r>
        <w:rPr>
          <w:sz w:val="20"/>
          <w:szCs w:val="20"/>
        </w:rPr>
        <w:t>(</w:t>
      </w:r>
      <w:r w:rsidRPr="006E2F65">
        <w:rPr>
          <w:sz w:val="20"/>
          <w:szCs w:val="20"/>
        </w:rPr>
        <w:t>1945</w:t>
      </w:r>
      <w:r>
        <w:rPr>
          <w:sz w:val="20"/>
          <w:szCs w:val="20"/>
        </w:rPr>
        <w:t>)</w:t>
      </w:r>
      <w:r w:rsidRPr="007941AD">
        <w:rPr>
          <w:sz w:val="20"/>
          <w:szCs w:val="20"/>
        </w:rPr>
        <w:t xml:space="preserve"> </w:t>
      </w:r>
      <w:r>
        <w:rPr>
          <w:sz w:val="20"/>
          <w:szCs w:val="20"/>
        </w:rPr>
        <w:t xml:space="preserve">1 </w:t>
      </w:r>
      <w:r w:rsidRPr="007941AD">
        <w:rPr>
          <w:sz w:val="20"/>
          <w:szCs w:val="20"/>
        </w:rPr>
        <w:t>United Nations Treaty Series</w:t>
      </w:r>
      <w:r>
        <w:rPr>
          <w:sz w:val="20"/>
          <w:szCs w:val="20"/>
        </w:rPr>
        <w:t xml:space="preserve"> </w:t>
      </w:r>
      <w:r w:rsidRPr="006E2F65">
        <w:rPr>
          <w:sz w:val="20"/>
          <w:szCs w:val="20"/>
        </w:rPr>
        <w:t xml:space="preserve">16: ‘there are obvious difficulties about extracting even a scintilla of relevant “practice”...from the behaviour of those few States which are not parties to the Charter; and the behaviour of al1 the rest, and the </w:t>
      </w:r>
      <w:proofErr w:type="spellStart"/>
      <w:r w:rsidRPr="006E2F65">
        <w:rPr>
          <w:bCs/>
          <w:i/>
          <w:iCs/>
          <w:sz w:val="20"/>
          <w:szCs w:val="20"/>
        </w:rPr>
        <w:t>opinio</w:t>
      </w:r>
      <w:proofErr w:type="spellEnd"/>
      <w:r w:rsidRPr="006E2F65">
        <w:rPr>
          <w:bCs/>
          <w:i/>
          <w:iCs/>
          <w:sz w:val="20"/>
          <w:szCs w:val="20"/>
        </w:rPr>
        <w:t xml:space="preserve"> </w:t>
      </w:r>
      <w:proofErr w:type="spellStart"/>
      <w:r w:rsidRPr="006E2F65">
        <w:rPr>
          <w:bCs/>
          <w:i/>
          <w:iCs/>
          <w:sz w:val="20"/>
          <w:szCs w:val="20"/>
        </w:rPr>
        <w:t>juris</w:t>
      </w:r>
      <w:proofErr w:type="spellEnd"/>
      <w:r w:rsidRPr="006E2F65">
        <w:rPr>
          <w:b/>
          <w:bCs/>
          <w:i/>
          <w:iCs/>
          <w:sz w:val="20"/>
          <w:szCs w:val="20"/>
        </w:rPr>
        <w:t xml:space="preserve"> </w:t>
      </w:r>
      <w:r w:rsidRPr="006E2F65">
        <w:rPr>
          <w:sz w:val="20"/>
          <w:szCs w:val="20"/>
        </w:rPr>
        <w:t xml:space="preserve">which it might otherwise evidence, is surely explained by their being bound by the Charter itself.’  </w:t>
      </w:r>
      <w:r w:rsidRPr="006E2F65">
        <w:rPr>
          <w:i/>
          <w:sz w:val="20"/>
          <w:szCs w:val="20"/>
        </w:rPr>
        <w:t>Nicaragua</w:t>
      </w:r>
      <w:r w:rsidRPr="006E2F65">
        <w:rPr>
          <w:sz w:val="20"/>
          <w:szCs w:val="20"/>
        </w:rPr>
        <w:t xml:space="preserve"> merits, </w:t>
      </w:r>
      <w:r>
        <w:rPr>
          <w:sz w:val="20"/>
          <w:szCs w:val="20"/>
        </w:rPr>
        <w:t>above n 42</w:t>
      </w:r>
      <w:r w:rsidRPr="006E2F65">
        <w:rPr>
          <w:sz w:val="20"/>
          <w:szCs w:val="20"/>
        </w:rPr>
        <w:t>, dissen</w:t>
      </w:r>
      <w:r>
        <w:rPr>
          <w:sz w:val="20"/>
          <w:szCs w:val="20"/>
        </w:rPr>
        <w:t xml:space="preserve">ting opinion of Judge Jennings </w:t>
      </w:r>
      <w:r w:rsidRPr="006E2F65">
        <w:rPr>
          <w:sz w:val="20"/>
          <w:szCs w:val="20"/>
        </w:rPr>
        <w:t xml:space="preserve">at 531.  See also Byers, </w:t>
      </w:r>
      <w:r>
        <w:rPr>
          <w:sz w:val="20"/>
          <w:szCs w:val="20"/>
        </w:rPr>
        <w:t>above n 46 at</w:t>
      </w:r>
      <w:r w:rsidRPr="006E2F65">
        <w:rPr>
          <w:sz w:val="20"/>
          <w:szCs w:val="20"/>
        </w:rPr>
        <w:t xml:space="preserve"> 170-172; Cryer, </w:t>
      </w:r>
      <w:r>
        <w:rPr>
          <w:sz w:val="20"/>
          <w:szCs w:val="20"/>
        </w:rPr>
        <w:t xml:space="preserve">above </w:t>
      </w:r>
      <w:r w:rsidRPr="006E2F65">
        <w:rPr>
          <w:sz w:val="20"/>
          <w:szCs w:val="20"/>
        </w:rPr>
        <w:t>n</w:t>
      </w:r>
      <w:r>
        <w:rPr>
          <w:sz w:val="20"/>
          <w:szCs w:val="20"/>
        </w:rPr>
        <w:t xml:space="preserve"> 29 at </w:t>
      </w:r>
      <w:r w:rsidRPr="006E2F65">
        <w:rPr>
          <w:sz w:val="20"/>
          <w:szCs w:val="20"/>
        </w:rPr>
        <w:t xml:space="preserve">244; and D’Amato, </w:t>
      </w:r>
      <w:r>
        <w:rPr>
          <w:sz w:val="20"/>
          <w:szCs w:val="20"/>
        </w:rPr>
        <w:t xml:space="preserve">above </w:t>
      </w:r>
      <w:r w:rsidRPr="006E2F65">
        <w:rPr>
          <w:sz w:val="20"/>
          <w:szCs w:val="20"/>
        </w:rPr>
        <w:t>n</w:t>
      </w:r>
      <w:r>
        <w:rPr>
          <w:sz w:val="20"/>
          <w:szCs w:val="20"/>
        </w:rPr>
        <w:t xml:space="preserve"> 28.</w:t>
      </w:r>
    </w:p>
  </w:footnote>
  <w:footnote w:id="50">
    <w:p w:rsidR="00D555B7" w:rsidRPr="006E2F65" w:rsidRDefault="00D555B7" w:rsidP="00697444">
      <w:pPr>
        <w:jc w:val="both"/>
        <w:rPr>
          <w:sz w:val="20"/>
          <w:szCs w:val="20"/>
        </w:rPr>
      </w:pPr>
      <w:r w:rsidRPr="006E2F65">
        <w:rPr>
          <w:rStyle w:val="FootnoteReference"/>
          <w:sz w:val="20"/>
          <w:szCs w:val="20"/>
        </w:rPr>
        <w:footnoteRef/>
      </w:r>
      <w:r w:rsidRPr="006E2F65">
        <w:rPr>
          <w:sz w:val="20"/>
          <w:szCs w:val="20"/>
        </w:rPr>
        <w:t xml:space="preserve"> On the distinction between ‘law-making treaties’ and ‘contract treaties’ see P</w:t>
      </w:r>
      <w:r>
        <w:rPr>
          <w:sz w:val="20"/>
          <w:szCs w:val="20"/>
        </w:rPr>
        <w:t>eter</w:t>
      </w:r>
      <w:r w:rsidRPr="006E2F65">
        <w:rPr>
          <w:sz w:val="20"/>
          <w:szCs w:val="20"/>
        </w:rPr>
        <w:t xml:space="preserve"> </w:t>
      </w:r>
      <w:proofErr w:type="spellStart"/>
      <w:r w:rsidRPr="006E2F65">
        <w:rPr>
          <w:sz w:val="20"/>
          <w:szCs w:val="20"/>
        </w:rPr>
        <w:t>Malanczuk</w:t>
      </w:r>
      <w:proofErr w:type="spellEnd"/>
      <w:r w:rsidRPr="006E2F65">
        <w:rPr>
          <w:sz w:val="20"/>
          <w:szCs w:val="20"/>
        </w:rPr>
        <w:t xml:space="preserve"> </w:t>
      </w:r>
      <w:proofErr w:type="spellStart"/>
      <w:r w:rsidRPr="006E2F65">
        <w:rPr>
          <w:i/>
          <w:sz w:val="20"/>
          <w:szCs w:val="20"/>
        </w:rPr>
        <w:t>Akehurst’s</w:t>
      </w:r>
      <w:proofErr w:type="spellEnd"/>
      <w:r w:rsidRPr="006E2F65">
        <w:rPr>
          <w:i/>
          <w:sz w:val="20"/>
          <w:szCs w:val="20"/>
        </w:rPr>
        <w:t xml:space="preserve"> Modern Introduction to International Law</w:t>
      </w:r>
      <w:r w:rsidRPr="006E2F65">
        <w:rPr>
          <w:sz w:val="20"/>
          <w:szCs w:val="20"/>
        </w:rPr>
        <w:t xml:space="preserve"> 7th Edition (</w:t>
      </w:r>
      <w:proofErr w:type="spellStart"/>
      <w:r w:rsidRPr="006E2F65">
        <w:rPr>
          <w:sz w:val="20"/>
          <w:szCs w:val="20"/>
        </w:rPr>
        <w:t>Routledge</w:t>
      </w:r>
      <w:proofErr w:type="spellEnd"/>
      <w:r w:rsidRPr="006E2F65">
        <w:rPr>
          <w:sz w:val="20"/>
          <w:szCs w:val="20"/>
        </w:rPr>
        <w:t>, New York, 1997)</w:t>
      </w:r>
      <w:r>
        <w:rPr>
          <w:sz w:val="20"/>
          <w:szCs w:val="20"/>
        </w:rPr>
        <w:t xml:space="preserve"> </w:t>
      </w:r>
      <w:r w:rsidRPr="006E2F65">
        <w:rPr>
          <w:sz w:val="20"/>
          <w:szCs w:val="20"/>
        </w:rPr>
        <w:t>37-38; and M</w:t>
      </w:r>
      <w:r>
        <w:rPr>
          <w:sz w:val="20"/>
          <w:szCs w:val="20"/>
        </w:rPr>
        <w:t>alcolm</w:t>
      </w:r>
      <w:r w:rsidRPr="006E2F65">
        <w:rPr>
          <w:sz w:val="20"/>
          <w:szCs w:val="20"/>
        </w:rPr>
        <w:t xml:space="preserve"> Shaw </w:t>
      </w:r>
      <w:r w:rsidRPr="006E2F65">
        <w:rPr>
          <w:i/>
          <w:sz w:val="20"/>
          <w:szCs w:val="20"/>
        </w:rPr>
        <w:t>International Law</w:t>
      </w:r>
      <w:r w:rsidRPr="006E2F65">
        <w:rPr>
          <w:sz w:val="20"/>
          <w:szCs w:val="20"/>
        </w:rPr>
        <w:t xml:space="preserve"> 6th Edition (Cambridge University Press, Cambridge, 2008)</w:t>
      </w:r>
      <w:r>
        <w:rPr>
          <w:sz w:val="20"/>
          <w:szCs w:val="20"/>
        </w:rPr>
        <w:t xml:space="preserve"> </w:t>
      </w:r>
      <w:r w:rsidRPr="006E2F65">
        <w:rPr>
          <w:sz w:val="20"/>
          <w:szCs w:val="20"/>
        </w:rPr>
        <w:t>94.</w:t>
      </w:r>
    </w:p>
  </w:footnote>
  <w:footnote w:id="51">
    <w:p w:rsidR="00D555B7" w:rsidRPr="006E2F65" w:rsidRDefault="00D555B7" w:rsidP="00697444">
      <w:pPr>
        <w:jc w:val="both"/>
        <w:rPr>
          <w:sz w:val="20"/>
          <w:szCs w:val="20"/>
        </w:rPr>
      </w:pPr>
      <w:r w:rsidRPr="006E2F65">
        <w:rPr>
          <w:rStyle w:val="FootnoteReference"/>
          <w:sz w:val="20"/>
          <w:szCs w:val="20"/>
        </w:rPr>
        <w:footnoteRef/>
      </w:r>
      <w:r>
        <w:rPr>
          <w:sz w:val="20"/>
          <w:szCs w:val="20"/>
        </w:rPr>
        <w:t xml:space="preserve"> Joyner, above n</w:t>
      </w:r>
      <w:r w:rsidRPr="006E2F65">
        <w:rPr>
          <w:sz w:val="20"/>
          <w:szCs w:val="20"/>
        </w:rPr>
        <w:t xml:space="preserve"> </w:t>
      </w:r>
      <w:r>
        <w:rPr>
          <w:sz w:val="20"/>
          <w:szCs w:val="20"/>
        </w:rPr>
        <w:t>3</w:t>
      </w:r>
      <w:r w:rsidRPr="006E2F65">
        <w:rPr>
          <w:sz w:val="20"/>
          <w:szCs w:val="20"/>
        </w:rPr>
        <w:t xml:space="preserve"> at 68-69.  See also D</w:t>
      </w:r>
      <w:r>
        <w:rPr>
          <w:sz w:val="20"/>
          <w:szCs w:val="20"/>
        </w:rPr>
        <w:t xml:space="preserve">aniel </w:t>
      </w:r>
      <w:r w:rsidRPr="006E2F65">
        <w:rPr>
          <w:sz w:val="20"/>
          <w:szCs w:val="20"/>
        </w:rPr>
        <w:t>Joyner “North Korean Links to Building a Nuclear Reactor in Syria: Implications for International Law”</w:t>
      </w:r>
      <w:r>
        <w:rPr>
          <w:sz w:val="20"/>
          <w:szCs w:val="20"/>
        </w:rPr>
        <w:t xml:space="preserve"> (2008) </w:t>
      </w:r>
      <w:r w:rsidRPr="00FE41DE">
        <w:rPr>
          <w:sz w:val="20"/>
          <w:szCs w:val="20"/>
        </w:rPr>
        <w:t>12 American Society of International Law: ASIL Insights</w:t>
      </w:r>
      <w:r w:rsidRPr="006E2F65">
        <w:rPr>
          <w:sz w:val="20"/>
          <w:szCs w:val="20"/>
        </w:rPr>
        <w:t xml:space="preserve"> </w:t>
      </w:r>
      <w:r>
        <w:rPr>
          <w:sz w:val="20"/>
          <w:szCs w:val="20"/>
        </w:rPr>
        <w:t>&lt;</w:t>
      </w:r>
      <w:r w:rsidRPr="006E2F65">
        <w:rPr>
          <w:sz w:val="20"/>
          <w:szCs w:val="20"/>
        </w:rPr>
        <w:t>http://www.asil.org/insights080428.cfm#_edn1</w:t>
      </w:r>
      <w:r>
        <w:rPr>
          <w:sz w:val="20"/>
          <w:szCs w:val="20"/>
        </w:rPr>
        <w:t>&gt;</w:t>
      </w:r>
      <w:r w:rsidRPr="006E2F65">
        <w:rPr>
          <w:sz w:val="20"/>
          <w:szCs w:val="20"/>
        </w:rPr>
        <w:t>.</w:t>
      </w:r>
    </w:p>
  </w:footnote>
  <w:footnote w:id="52">
    <w:p w:rsidR="00D555B7" w:rsidRPr="006E2F65" w:rsidRDefault="00D555B7" w:rsidP="00697444">
      <w:pPr>
        <w:pStyle w:val="FootnoteText"/>
        <w:jc w:val="both"/>
      </w:pPr>
      <w:r w:rsidRPr="006E2F65">
        <w:rPr>
          <w:rStyle w:val="FootnoteReference"/>
        </w:rPr>
        <w:footnoteRef/>
      </w:r>
      <w:r w:rsidRPr="006E2F65">
        <w:t xml:space="preserve"> </w:t>
      </w:r>
      <w:r w:rsidRPr="006E2F65">
        <w:rPr>
          <w:i/>
        </w:rPr>
        <w:t xml:space="preserve">North Sea Continental Shelf </w:t>
      </w:r>
      <w:r w:rsidR="00A45A40">
        <w:rPr>
          <w:i/>
        </w:rPr>
        <w:t>c</w:t>
      </w:r>
      <w:r w:rsidRPr="004B512E">
        <w:rPr>
          <w:i/>
        </w:rPr>
        <w:t>ases</w:t>
      </w:r>
      <w:r w:rsidRPr="006E2F65">
        <w:t xml:space="preserve"> </w:t>
      </w:r>
      <w:r>
        <w:rPr>
          <w:lang w:val="en-US"/>
        </w:rPr>
        <w:t>merits, above n 27 at [</w:t>
      </w:r>
      <w:r w:rsidRPr="006E2F65">
        <w:t>72</w:t>
      </w:r>
      <w:r>
        <w:t>]</w:t>
      </w:r>
      <w:r w:rsidRPr="006E2F65">
        <w:t>.</w:t>
      </w:r>
    </w:p>
  </w:footnote>
  <w:footnote w:id="53">
    <w:p w:rsidR="00D555B7" w:rsidRPr="006E2F65" w:rsidRDefault="00D555B7" w:rsidP="00697444">
      <w:pPr>
        <w:jc w:val="both"/>
        <w:rPr>
          <w:sz w:val="20"/>
          <w:szCs w:val="20"/>
        </w:rPr>
      </w:pPr>
      <w:r w:rsidRPr="006E2F65">
        <w:rPr>
          <w:rStyle w:val="FootnoteReference"/>
          <w:sz w:val="20"/>
          <w:szCs w:val="20"/>
        </w:rPr>
        <w:footnoteRef/>
      </w:r>
      <w:r w:rsidRPr="006E2F65">
        <w:rPr>
          <w:sz w:val="20"/>
          <w:szCs w:val="20"/>
        </w:rPr>
        <w:t xml:space="preserve"> </w:t>
      </w:r>
      <w:proofErr w:type="spellStart"/>
      <w:proofErr w:type="gramStart"/>
      <w:r w:rsidRPr="006E2F65">
        <w:rPr>
          <w:sz w:val="20"/>
          <w:szCs w:val="20"/>
        </w:rPr>
        <w:t>Malanczuk</w:t>
      </w:r>
      <w:proofErr w:type="spellEnd"/>
      <w:r w:rsidRPr="006E2F65">
        <w:rPr>
          <w:sz w:val="20"/>
          <w:szCs w:val="20"/>
        </w:rPr>
        <w:t xml:space="preserve">, </w:t>
      </w:r>
      <w:r>
        <w:rPr>
          <w:sz w:val="20"/>
          <w:szCs w:val="20"/>
        </w:rPr>
        <w:t xml:space="preserve">above </w:t>
      </w:r>
      <w:r w:rsidRPr="006E2F65">
        <w:rPr>
          <w:sz w:val="20"/>
          <w:szCs w:val="20"/>
        </w:rPr>
        <w:t>n</w:t>
      </w:r>
      <w:r>
        <w:rPr>
          <w:sz w:val="20"/>
          <w:szCs w:val="20"/>
        </w:rPr>
        <w:t xml:space="preserve"> 49</w:t>
      </w:r>
      <w:r w:rsidRPr="006E2F65">
        <w:rPr>
          <w:sz w:val="20"/>
          <w:szCs w:val="20"/>
        </w:rPr>
        <w:t xml:space="preserve"> </w:t>
      </w:r>
      <w:r>
        <w:rPr>
          <w:sz w:val="20"/>
          <w:szCs w:val="20"/>
        </w:rPr>
        <w:t xml:space="preserve">at </w:t>
      </w:r>
      <w:r w:rsidRPr="006E2F65">
        <w:rPr>
          <w:sz w:val="20"/>
          <w:szCs w:val="20"/>
        </w:rPr>
        <w:t>38.</w:t>
      </w:r>
      <w:proofErr w:type="gramEnd"/>
    </w:p>
  </w:footnote>
  <w:footnote w:id="54">
    <w:p w:rsidR="00D555B7" w:rsidRPr="006E2F65" w:rsidRDefault="00D555B7" w:rsidP="00697444">
      <w:pPr>
        <w:autoSpaceDE w:val="0"/>
        <w:autoSpaceDN w:val="0"/>
        <w:adjustRightInd w:val="0"/>
        <w:jc w:val="both"/>
        <w:rPr>
          <w:bCs/>
          <w:sz w:val="20"/>
          <w:szCs w:val="20"/>
        </w:rPr>
      </w:pPr>
      <w:r w:rsidRPr="006E2F65">
        <w:rPr>
          <w:rStyle w:val="FootnoteReference"/>
          <w:sz w:val="20"/>
          <w:szCs w:val="20"/>
        </w:rPr>
        <w:footnoteRef/>
      </w:r>
      <w:r w:rsidRPr="006E2F65">
        <w:rPr>
          <w:sz w:val="20"/>
          <w:szCs w:val="20"/>
        </w:rPr>
        <w:t xml:space="preserve"> On regional (or ‘special’ or ‘local’) customary international law, see H</w:t>
      </w:r>
      <w:r>
        <w:rPr>
          <w:sz w:val="20"/>
          <w:szCs w:val="20"/>
        </w:rPr>
        <w:t>ugh</w:t>
      </w:r>
      <w:r w:rsidRPr="006E2F65">
        <w:rPr>
          <w:sz w:val="20"/>
          <w:szCs w:val="20"/>
        </w:rPr>
        <w:t xml:space="preserve"> </w:t>
      </w:r>
      <w:proofErr w:type="spellStart"/>
      <w:r w:rsidRPr="006E2F65">
        <w:rPr>
          <w:sz w:val="20"/>
          <w:szCs w:val="20"/>
        </w:rPr>
        <w:t>Thirlway</w:t>
      </w:r>
      <w:proofErr w:type="spellEnd"/>
      <w:r w:rsidRPr="006E2F65">
        <w:rPr>
          <w:sz w:val="20"/>
          <w:szCs w:val="20"/>
        </w:rPr>
        <w:t xml:space="preserve"> “The Sources of International Law” in  M</w:t>
      </w:r>
      <w:r>
        <w:rPr>
          <w:sz w:val="20"/>
          <w:szCs w:val="20"/>
        </w:rPr>
        <w:t xml:space="preserve">alcolm </w:t>
      </w:r>
      <w:r w:rsidRPr="006E2F65">
        <w:rPr>
          <w:sz w:val="20"/>
          <w:szCs w:val="20"/>
        </w:rPr>
        <w:t>Evans</w:t>
      </w:r>
      <w:r>
        <w:rPr>
          <w:sz w:val="20"/>
          <w:szCs w:val="20"/>
        </w:rPr>
        <w:t xml:space="preserve"> (</w:t>
      </w:r>
      <w:proofErr w:type="spellStart"/>
      <w:r>
        <w:rPr>
          <w:sz w:val="20"/>
          <w:szCs w:val="20"/>
        </w:rPr>
        <w:t>ed</w:t>
      </w:r>
      <w:proofErr w:type="spellEnd"/>
      <w:r>
        <w:rPr>
          <w:sz w:val="20"/>
          <w:szCs w:val="20"/>
        </w:rPr>
        <w:t>)</w:t>
      </w:r>
      <w:r w:rsidRPr="006E2F65">
        <w:rPr>
          <w:sz w:val="20"/>
          <w:szCs w:val="20"/>
        </w:rPr>
        <w:t xml:space="preserve"> </w:t>
      </w:r>
      <w:r w:rsidRPr="006E2F65">
        <w:rPr>
          <w:i/>
          <w:sz w:val="20"/>
          <w:szCs w:val="20"/>
        </w:rPr>
        <w:t>International Law</w:t>
      </w:r>
      <w:r w:rsidRPr="006E2F65">
        <w:rPr>
          <w:sz w:val="20"/>
          <w:szCs w:val="20"/>
        </w:rPr>
        <w:t xml:space="preserve"> 3rd Edition (Oxford University Press, Oxford, 2010)</w:t>
      </w:r>
      <w:r>
        <w:rPr>
          <w:sz w:val="20"/>
          <w:szCs w:val="20"/>
        </w:rPr>
        <w:t xml:space="preserve"> </w:t>
      </w:r>
      <w:r w:rsidRPr="006E2F65">
        <w:rPr>
          <w:sz w:val="20"/>
          <w:szCs w:val="20"/>
        </w:rPr>
        <w:t>96-121 at 106-107; A</w:t>
      </w:r>
      <w:r>
        <w:rPr>
          <w:sz w:val="20"/>
          <w:szCs w:val="20"/>
        </w:rPr>
        <w:t xml:space="preserve">nthony </w:t>
      </w:r>
      <w:r w:rsidRPr="006E2F65">
        <w:rPr>
          <w:sz w:val="20"/>
          <w:szCs w:val="20"/>
        </w:rPr>
        <w:t>D’Amato “The Concept of Special Custom in International Law”</w:t>
      </w:r>
      <w:r>
        <w:rPr>
          <w:sz w:val="20"/>
          <w:szCs w:val="20"/>
        </w:rPr>
        <w:t xml:space="preserve"> (1969) </w:t>
      </w:r>
      <w:r w:rsidRPr="00FE41DE">
        <w:rPr>
          <w:sz w:val="20"/>
          <w:szCs w:val="20"/>
        </w:rPr>
        <w:t>63 American Journal of International Law</w:t>
      </w:r>
      <w:r>
        <w:rPr>
          <w:sz w:val="20"/>
          <w:szCs w:val="20"/>
        </w:rPr>
        <w:t xml:space="preserve">, </w:t>
      </w:r>
      <w:r w:rsidRPr="006E2F65">
        <w:rPr>
          <w:sz w:val="20"/>
          <w:szCs w:val="20"/>
        </w:rPr>
        <w:t xml:space="preserve">211-223; </w:t>
      </w:r>
      <w:proofErr w:type="spellStart"/>
      <w:r w:rsidRPr="006E2F65">
        <w:rPr>
          <w:sz w:val="20"/>
          <w:szCs w:val="20"/>
        </w:rPr>
        <w:t>Akehurst</w:t>
      </w:r>
      <w:proofErr w:type="spellEnd"/>
      <w:r w:rsidRPr="006E2F65">
        <w:rPr>
          <w:sz w:val="20"/>
          <w:szCs w:val="20"/>
        </w:rPr>
        <w:t xml:space="preserve">, </w:t>
      </w:r>
      <w:r>
        <w:rPr>
          <w:sz w:val="20"/>
          <w:szCs w:val="20"/>
        </w:rPr>
        <w:t>above n</w:t>
      </w:r>
      <w:r w:rsidRPr="006E2F65">
        <w:rPr>
          <w:sz w:val="20"/>
          <w:szCs w:val="20"/>
        </w:rPr>
        <w:t xml:space="preserve"> </w:t>
      </w:r>
      <w:r>
        <w:rPr>
          <w:sz w:val="20"/>
          <w:szCs w:val="20"/>
        </w:rPr>
        <w:t xml:space="preserve">29 at </w:t>
      </w:r>
      <w:r w:rsidRPr="006E2F65">
        <w:rPr>
          <w:sz w:val="20"/>
          <w:szCs w:val="20"/>
        </w:rPr>
        <w:t xml:space="preserve">28-31; and </w:t>
      </w:r>
      <w:r w:rsidRPr="006E2F65">
        <w:rPr>
          <w:bCs/>
          <w:i/>
          <w:sz w:val="20"/>
          <w:szCs w:val="20"/>
        </w:rPr>
        <w:t>Right of Passage over Indian Territory</w:t>
      </w:r>
      <w:r w:rsidRPr="006E2F65">
        <w:rPr>
          <w:bCs/>
          <w:sz w:val="20"/>
          <w:szCs w:val="20"/>
        </w:rPr>
        <w:t xml:space="preserve"> (</w:t>
      </w:r>
      <w:r w:rsidRPr="006E2F65">
        <w:rPr>
          <w:bCs/>
          <w:i/>
          <w:sz w:val="20"/>
          <w:szCs w:val="20"/>
        </w:rPr>
        <w:t xml:space="preserve">Portugal </w:t>
      </w:r>
      <w:r w:rsidRPr="006E2F65">
        <w:rPr>
          <w:bCs/>
          <w:i/>
          <w:iCs/>
          <w:sz w:val="20"/>
          <w:szCs w:val="20"/>
        </w:rPr>
        <w:t>v</w:t>
      </w:r>
      <w:r w:rsidRPr="006E2F65">
        <w:rPr>
          <w:bCs/>
          <w:i/>
          <w:sz w:val="20"/>
          <w:szCs w:val="20"/>
        </w:rPr>
        <w:t xml:space="preserve"> India</w:t>
      </w:r>
      <w:r>
        <w:rPr>
          <w:bCs/>
          <w:sz w:val="20"/>
          <w:szCs w:val="20"/>
        </w:rPr>
        <w:t>) merits</w:t>
      </w:r>
      <w:r w:rsidRPr="006E2F65">
        <w:rPr>
          <w:bCs/>
          <w:sz w:val="20"/>
          <w:szCs w:val="20"/>
        </w:rPr>
        <w:t xml:space="preserve"> </w:t>
      </w:r>
      <w:r>
        <w:rPr>
          <w:bCs/>
          <w:sz w:val="20"/>
          <w:szCs w:val="20"/>
        </w:rPr>
        <w:t>[</w:t>
      </w:r>
      <w:r w:rsidRPr="006E2F65">
        <w:rPr>
          <w:bCs/>
          <w:sz w:val="20"/>
          <w:szCs w:val="20"/>
        </w:rPr>
        <w:t>1960</w:t>
      </w:r>
      <w:r>
        <w:rPr>
          <w:bCs/>
          <w:sz w:val="20"/>
          <w:szCs w:val="20"/>
        </w:rPr>
        <w:t>]</w:t>
      </w:r>
      <w:r w:rsidRPr="006E2F65">
        <w:rPr>
          <w:bCs/>
          <w:sz w:val="20"/>
          <w:szCs w:val="20"/>
        </w:rPr>
        <w:t xml:space="preserve"> </w:t>
      </w:r>
      <w:r w:rsidRPr="007941AD">
        <w:rPr>
          <w:rFonts w:eastAsia="Calibri"/>
          <w:bCs/>
          <w:sz w:val="20"/>
          <w:szCs w:val="20"/>
          <w:lang w:val="en-US"/>
        </w:rPr>
        <w:t>ICJ Reports</w:t>
      </w:r>
      <w:r>
        <w:rPr>
          <w:sz w:val="20"/>
          <w:szCs w:val="20"/>
        </w:rPr>
        <w:t xml:space="preserve"> 4 particularly at [</w:t>
      </w:r>
      <w:r w:rsidRPr="006E2F65">
        <w:rPr>
          <w:bCs/>
          <w:sz w:val="20"/>
          <w:szCs w:val="20"/>
        </w:rPr>
        <w:t>39</w:t>
      </w:r>
      <w:r>
        <w:rPr>
          <w:bCs/>
          <w:sz w:val="20"/>
          <w:szCs w:val="20"/>
        </w:rPr>
        <w:t>]</w:t>
      </w:r>
      <w:r w:rsidRPr="006E2F65">
        <w:rPr>
          <w:sz w:val="20"/>
          <w:szCs w:val="20"/>
        </w:rPr>
        <w:t>.</w:t>
      </w:r>
    </w:p>
  </w:footnote>
  <w:footnote w:id="55">
    <w:p w:rsidR="00D555B7" w:rsidRPr="006E2F65" w:rsidRDefault="00D555B7" w:rsidP="00697444">
      <w:pPr>
        <w:jc w:val="both"/>
        <w:rPr>
          <w:bCs/>
          <w:sz w:val="20"/>
          <w:szCs w:val="20"/>
        </w:rPr>
      </w:pPr>
      <w:r w:rsidRPr="006E2F65">
        <w:rPr>
          <w:rStyle w:val="FootnoteReference"/>
          <w:sz w:val="20"/>
          <w:szCs w:val="20"/>
        </w:rPr>
        <w:footnoteRef/>
      </w:r>
      <w:r w:rsidRPr="006E2F65">
        <w:rPr>
          <w:sz w:val="20"/>
          <w:szCs w:val="20"/>
        </w:rPr>
        <w:t xml:space="preserve"> A few examples of key textbooks referencing the rule include Shaw, </w:t>
      </w:r>
      <w:r>
        <w:rPr>
          <w:sz w:val="20"/>
          <w:szCs w:val="20"/>
        </w:rPr>
        <w:t>above n 49</w:t>
      </w:r>
      <w:r w:rsidRPr="006E2F65">
        <w:rPr>
          <w:sz w:val="20"/>
          <w:szCs w:val="20"/>
        </w:rPr>
        <w:t xml:space="preserve"> </w:t>
      </w:r>
      <w:r>
        <w:rPr>
          <w:sz w:val="20"/>
          <w:szCs w:val="20"/>
        </w:rPr>
        <w:t xml:space="preserve">at </w:t>
      </w:r>
      <w:r w:rsidRPr="006E2F65">
        <w:rPr>
          <w:sz w:val="20"/>
          <w:szCs w:val="20"/>
        </w:rPr>
        <w:t xml:space="preserve">89-91; </w:t>
      </w:r>
      <w:proofErr w:type="spellStart"/>
      <w:r w:rsidRPr="006E2F65">
        <w:rPr>
          <w:sz w:val="20"/>
          <w:szCs w:val="20"/>
        </w:rPr>
        <w:t>Malanczuk</w:t>
      </w:r>
      <w:proofErr w:type="spellEnd"/>
      <w:r w:rsidRPr="006E2F65">
        <w:rPr>
          <w:sz w:val="20"/>
          <w:szCs w:val="20"/>
        </w:rPr>
        <w:t xml:space="preserve">, </w:t>
      </w:r>
      <w:r>
        <w:rPr>
          <w:sz w:val="20"/>
          <w:szCs w:val="20"/>
        </w:rPr>
        <w:t xml:space="preserve">above </w:t>
      </w:r>
      <w:r w:rsidRPr="006E2F65">
        <w:rPr>
          <w:sz w:val="20"/>
          <w:szCs w:val="20"/>
        </w:rPr>
        <w:t>n</w:t>
      </w:r>
      <w:r>
        <w:rPr>
          <w:sz w:val="20"/>
          <w:szCs w:val="20"/>
        </w:rPr>
        <w:t xml:space="preserve"> 49</w:t>
      </w:r>
      <w:r w:rsidRPr="006E2F65">
        <w:rPr>
          <w:sz w:val="20"/>
          <w:szCs w:val="20"/>
        </w:rPr>
        <w:t xml:space="preserve"> </w:t>
      </w:r>
      <w:r>
        <w:rPr>
          <w:sz w:val="20"/>
          <w:szCs w:val="20"/>
        </w:rPr>
        <w:t xml:space="preserve">at </w:t>
      </w:r>
      <w:r w:rsidRPr="006E2F65">
        <w:rPr>
          <w:sz w:val="20"/>
          <w:szCs w:val="20"/>
        </w:rPr>
        <w:t>47-48;</w:t>
      </w:r>
      <w:r w:rsidRPr="006E2F65">
        <w:rPr>
          <w:b/>
          <w:sz w:val="20"/>
          <w:szCs w:val="20"/>
        </w:rPr>
        <w:t xml:space="preserve"> </w:t>
      </w:r>
      <w:r w:rsidRPr="006E2F65">
        <w:rPr>
          <w:sz w:val="20"/>
          <w:szCs w:val="20"/>
        </w:rPr>
        <w:t>M</w:t>
      </w:r>
      <w:r>
        <w:rPr>
          <w:sz w:val="20"/>
          <w:szCs w:val="20"/>
        </w:rPr>
        <w:t>artin</w:t>
      </w:r>
      <w:r w:rsidRPr="006E2F65">
        <w:rPr>
          <w:sz w:val="20"/>
          <w:szCs w:val="20"/>
        </w:rPr>
        <w:t xml:space="preserve"> Dixon </w:t>
      </w:r>
      <w:r w:rsidRPr="006E2F65">
        <w:rPr>
          <w:i/>
          <w:sz w:val="20"/>
          <w:szCs w:val="20"/>
        </w:rPr>
        <w:t>Textbook on International Law</w:t>
      </w:r>
      <w:r w:rsidRPr="006E2F65">
        <w:rPr>
          <w:sz w:val="20"/>
          <w:szCs w:val="20"/>
        </w:rPr>
        <w:t xml:space="preserve"> 6th</w:t>
      </w:r>
      <w:r w:rsidRPr="006E2F65">
        <w:rPr>
          <w:sz w:val="20"/>
          <w:szCs w:val="20"/>
          <w:vertAlign w:val="superscript"/>
        </w:rPr>
        <w:t xml:space="preserve"> </w:t>
      </w:r>
      <w:r w:rsidRPr="006E2F65">
        <w:rPr>
          <w:sz w:val="20"/>
          <w:szCs w:val="20"/>
        </w:rPr>
        <w:t>Edition (Oxford University Pres</w:t>
      </w:r>
      <w:r>
        <w:rPr>
          <w:sz w:val="20"/>
          <w:szCs w:val="20"/>
        </w:rPr>
        <w:t xml:space="preserve">s, Oxford, 2007) </w:t>
      </w:r>
      <w:r w:rsidRPr="006E2F65">
        <w:rPr>
          <w:sz w:val="20"/>
          <w:szCs w:val="20"/>
        </w:rPr>
        <w:t>32-33; and I</w:t>
      </w:r>
      <w:r>
        <w:rPr>
          <w:sz w:val="20"/>
          <w:szCs w:val="20"/>
        </w:rPr>
        <w:t>an</w:t>
      </w:r>
      <w:r w:rsidRPr="006E2F65">
        <w:rPr>
          <w:sz w:val="20"/>
          <w:szCs w:val="20"/>
        </w:rPr>
        <w:t xml:space="preserve"> </w:t>
      </w:r>
      <w:proofErr w:type="spellStart"/>
      <w:r w:rsidRPr="006E2F65">
        <w:rPr>
          <w:sz w:val="20"/>
          <w:szCs w:val="20"/>
        </w:rPr>
        <w:t>Brownlie</w:t>
      </w:r>
      <w:proofErr w:type="spellEnd"/>
      <w:r w:rsidRPr="006E2F65">
        <w:rPr>
          <w:sz w:val="20"/>
          <w:szCs w:val="20"/>
        </w:rPr>
        <w:t xml:space="preserve"> </w:t>
      </w:r>
      <w:r w:rsidRPr="006E2F65">
        <w:rPr>
          <w:i/>
          <w:sz w:val="20"/>
          <w:szCs w:val="20"/>
        </w:rPr>
        <w:t>Principles of Public International Law</w:t>
      </w:r>
      <w:r w:rsidRPr="006E2F65">
        <w:rPr>
          <w:sz w:val="20"/>
          <w:szCs w:val="20"/>
        </w:rPr>
        <w:t xml:space="preserve"> 7th Edition (Oxford University Press, Oxford, 2008)</w:t>
      </w:r>
      <w:r>
        <w:rPr>
          <w:sz w:val="20"/>
          <w:szCs w:val="20"/>
        </w:rPr>
        <w:t xml:space="preserve"> </w:t>
      </w:r>
      <w:r w:rsidRPr="006E2F65">
        <w:rPr>
          <w:sz w:val="20"/>
          <w:szCs w:val="20"/>
        </w:rPr>
        <w:t>11.</w:t>
      </w:r>
    </w:p>
  </w:footnote>
  <w:footnote w:id="56">
    <w:p w:rsidR="00D555B7" w:rsidRPr="006E2F65" w:rsidRDefault="00D555B7" w:rsidP="00697444">
      <w:pPr>
        <w:pStyle w:val="FootnoteText"/>
        <w:jc w:val="both"/>
      </w:pPr>
      <w:r w:rsidRPr="006E2F65">
        <w:rPr>
          <w:rStyle w:val="FootnoteReference"/>
        </w:rPr>
        <w:footnoteRef/>
      </w:r>
      <w:r w:rsidRPr="006E2F65">
        <w:t xml:space="preserve"> </w:t>
      </w:r>
      <w:r w:rsidRPr="006E2F65">
        <w:rPr>
          <w:rFonts w:eastAsia="Calibri"/>
          <w:bCs/>
          <w:lang w:val="en-US"/>
        </w:rPr>
        <w:t xml:space="preserve">See </w:t>
      </w:r>
      <w:r w:rsidRPr="006E2F65">
        <w:rPr>
          <w:rFonts w:eastAsia="Calibri"/>
          <w:bCs/>
          <w:i/>
          <w:lang w:val="en-US"/>
        </w:rPr>
        <w:t>Asylum Case</w:t>
      </w:r>
      <w:r w:rsidRPr="006E2F65">
        <w:rPr>
          <w:rFonts w:eastAsia="Calibri"/>
          <w:bCs/>
          <w:lang w:val="en-US"/>
        </w:rPr>
        <w:t xml:space="preserve"> (</w:t>
      </w:r>
      <w:r w:rsidRPr="006E2F65">
        <w:rPr>
          <w:rFonts w:eastAsia="Calibri"/>
          <w:bCs/>
          <w:i/>
          <w:lang w:val="en-US"/>
        </w:rPr>
        <w:t>Columbia</w:t>
      </w:r>
      <w:r w:rsidR="006B28BA">
        <w:rPr>
          <w:rFonts w:eastAsia="Calibri"/>
          <w:bCs/>
          <w:lang w:val="en-US"/>
        </w:rPr>
        <w:t xml:space="preserve"> </w:t>
      </w:r>
      <w:r w:rsidR="006B28BA" w:rsidRPr="006B28BA">
        <w:rPr>
          <w:rFonts w:eastAsia="Calibri"/>
          <w:bCs/>
          <w:i/>
          <w:lang w:val="en-US"/>
        </w:rPr>
        <w:t>v</w:t>
      </w:r>
      <w:r w:rsidRPr="006E2F65">
        <w:rPr>
          <w:rFonts w:eastAsia="Calibri"/>
          <w:bCs/>
          <w:lang w:val="en-US"/>
        </w:rPr>
        <w:t xml:space="preserve"> </w:t>
      </w:r>
      <w:r w:rsidRPr="006E2F65">
        <w:rPr>
          <w:rFonts w:eastAsia="Calibri"/>
          <w:bCs/>
          <w:i/>
          <w:lang w:val="en-US"/>
        </w:rPr>
        <w:t>Peru</w:t>
      </w:r>
      <w:r>
        <w:rPr>
          <w:rFonts w:eastAsia="Calibri"/>
          <w:bCs/>
          <w:lang w:val="en-US"/>
        </w:rPr>
        <w:t>) merits [</w:t>
      </w:r>
      <w:r w:rsidRPr="006E2F65">
        <w:rPr>
          <w:rFonts w:eastAsia="Calibri"/>
          <w:bCs/>
          <w:lang w:val="en-US"/>
        </w:rPr>
        <w:t>1950</w:t>
      </w:r>
      <w:r>
        <w:rPr>
          <w:rFonts w:eastAsia="Calibri"/>
          <w:bCs/>
          <w:lang w:val="en-US"/>
        </w:rPr>
        <w:t>]</w:t>
      </w:r>
      <w:r w:rsidRPr="006E2F65">
        <w:rPr>
          <w:rFonts w:eastAsia="Calibri"/>
          <w:bCs/>
          <w:lang w:val="en-US"/>
        </w:rPr>
        <w:t xml:space="preserve"> </w:t>
      </w:r>
      <w:r w:rsidRPr="006B3580">
        <w:rPr>
          <w:rFonts w:eastAsia="Calibri"/>
          <w:bCs/>
          <w:lang w:val="en-US"/>
        </w:rPr>
        <w:t>ICJ Reports</w:t>
      </w:r>
      <w:r>
        <w:rPr>
          <w:rFonts w:eastAsia="Calibri"/>
          <w:bCs/>
          <w:lang w:val="en-US"/>
        </w:rPr>
        <w:t xml:space="preserve"> 266 at [</w:t>
      </w:r>
      <w:r w:rsidRPr="006E2F65">
        <w:rPr>
          <w:rFonts w:eastAsia="Calibri"/>
          <w:bCs/>
          <w:lang w:val="en-US"/>
        </w:rPr>
        <w:t>277</w:t>
      </w:r>
      <w:r>
        <w:rPr>
          <w:rFonts w:eastAsia="Calibri"/>
          <w:bCs/>
          <w:lang w:val="en-US"/>
        </w:rPr>
        <w:t>]</w:t>
      </w:r>
      <w:r w:rsidRPr="006E2F65">
        <w:rPr>
          <w:rFonts w:eastAsia="Calibri"/>
          <w:bCs/>
          <w:lang w:val="en-US"/>
        </w:rPr>
        <w:t>-</w:t>
      </w:r>
      <w:r>
        <w:rPr>
          <w:rFonts w:eastAsia="Calibri"/>
          <w:bCs/>
          <w:lang w:val="en-US"/>
        </w:rPr>
        <w:t>[</w:t>
      </w:r>
      <w:r w:rsidRPr="006E2F65">
        <w:rPr>
          <w:rFonts w:eastAsia="Calibri"/>
          <w:bCs/>
          <w:lang w:val="en-US"/>
        </w:rPr>
        <w:t>278</w:t>
      </w:r>
      <w:r>
        <w:rPr>
          <w:rFonts w:eastAsia="Calibri"/>
          <w:bCs/>
          <w:lang w:val="en-US"/>
        </w:rPr>
        <w:t>]</w:t>
      </w:r>
      <w:r w:rsidRPr="006E2F65">
        <w:rPr>
          <w:rFonts w:eastAsia="Calibri"/>
          <w:bCs/>
          <w:lang w:val="en-US"/>
        </w:rPr>
        <w:t xml:space="preserve">; and </w:t>
      </w:r>
      <w:r w:rsidRPr="006E2F65">
        <w:rPr>
          <w:rFonts w:eastAsia="Calibri"/>
          <w:bCs/>
          <w:i/>
          <w:lang w:val="en-US"/>
        </w:rPr>
        <w:t>Fisheries Case</w:t>
      </w:r>
      <w:r w:rsidRPr="006E2F65">
        <w:rPr>
          <w:rFonts w:eastAsia="Calibri"/>
          <w:bCs/>
          <w:lang w:val="en-US"/>
        </w:rPr>
        <w:t xml:space="preserve"> (</w:t>
      </w:r>
      <w:r w:rsidRPr="006E2F65">
        <w:rPr>
          <w:rFonts w:eastAsia="Calibri"/>
          <w:bCs/>
          <w:i/>
          <w:lang w:val="en-US"/>
        </w:rPr>
        <w:t>United Kingdom</w:t>
      </w:r>
      <w:r w:rsidR="006B28BA" w:rsidRPr="006B28BA">
        <w:rPr>
          <w:rFonts w:eastAsia="Calibri"/>
          <w:bCs/>
          <w:i/>
          <w:lang w:val="en-US"/>
        </w:rPr>
        <w:t xml:space="preserve"> v</w:t>
      </w:r>
      <w:r w:rsidRPr="006E2F65">
        <w:rPr>
          <w:rFonts w:eastAsia="Calibri"/>
          <w:bCs/>
          <w:lang w:val="en-US"/>
        </w:rPr>
        <w:t xml:space="preserve"> </w:t>
      </w:r>
      <w:r w:rsidRPr="006E2F65">
        <w:rPr>
          <w:rFonts w:eastAsia="Calibri"/>
          <w:bCs/>
          <w:i/>
          <w:lang w:val="en-US"/>
        </w:rPr>
        <w:t>Norway</w:t>
      </w:r>
      <w:r>
        <w:rPr>
          <w:rFonts w:eastAsia="Calibri"/>
          <w:bCs/>
          <w:lang w:val="en-US"/>
        </w:rPr>
        <w:t>) merits</w:t>
      </w:r>
      <w:r w:rsidRPr="006E2F65">
        <w:rPr>
          <w:rFonts w:eastAsia="Calibri"/>
          <w:bCs/>
          <w:lang w:val="en-US"/>
        </w:rPr>
        <w:t xml:space="preserve"> </w:t>
      </w:r>
      <w:r>
        <w:rPr>
          <w:rFonts w:eastAsia="Calibri"/>
          <w:bCs/>
          <w:lang w:val="en-US"/>
        </w:rPr>
        <w:t>[</w:t>
      </w:r>
      <w:r w:rsidRPr="006E2F65">
        <w:rPr>
          <w:rFonts w:eastAsia="Calibri"/>
          <w:bCs/>
          <w:lang w:val="en-US"/>
        </w:rPr>
        <w:t>1951</w:t>
      </w:r>
      <w:r>
        <w:rPr>
          <w:rFonts w:eastAsia="Calibri"/>
          <w:bCs/>
          <w:lang w:val="en-US"/>
        </w:rPr>
        <w:t>]</w:t>
      </w:r>
      <w:r w:rsidRPr="006E2F65">
        <w:rPr>
          <w:rFonts w:eastAsia="Calibri"/>
          <w:bCs/>
          <w:lang w:val="en-US"/>
        </w:rPr>
        <w:t xml:space="preserve"> </w:t>
      </w:r>
      <w:r w:rsidRPr="006B3580">
        <w:rPr>
          <w:rFonts w:eastAsia="Calibri"/>
          <w:bCs/>
          <w:lang w:val="en-US"/>
        </w:rPr>
        <w:t>ICJ Reports</w:t>
      </w:r>
      <w:r>
        <w:rPr>
          <w:rFonts w:eastAsia="Calibri"/>
          <w:bCs/>
          <w:lang w:val="en-US"/>
        </w:rPr>
        <w:t xml:space="preserve"> 116 at [</w:t>
      </w:r>
      <w:r w:rsidRPr="006E2F65">
        <w:rPr>
          <w:rFonts w:eastAsia="Calibri"/>
          <w:bCs/>
          <w:lang w:val="en-US"/>
        </w:rPr>
        <w:t>131</w:t>
      </w:r>
      <w:r>
        <w:rPr>
          <w:rFonts w:eastAsia="Calibri"/>
          <w:bCs/>
          <w:lang w:val="en-US"/>
        </w:rPr>
        <w:t>]</w:t>
      </w:r>
      <w:r w:rsidRPr="006E2F65">
        <w:rPr>
          <w:rFonts w:eastAsia="Calibri"/>
          <w:bCs/>
          <w:lang w:val="en-US"/>
        </w:rPr>
        <w:t>.</w:t>
      </w:r>
    </w:p>
  </w:footnote>
  <w:footnote w:id="57">
    <w:p w:rsidR="00D555B7" w:rsidRPr="006E2F65" w:rsidRDefault="00D555B7" w:rsidP="00697444">
      <w:pPr>
        <w:pStyle w:val="FootnoteText"/>
        <w:jc w:val="both"/>
      </w:pPr>
      <w:r w:rsidRPr="006E2F65">
        <w:rPr>
          <w:rStyle w:val="FootnoteReference"/>
        </w:rPr>
        <w:footnoteRef/>
      </w:r>
      <w:r w:rsidRPr="006E2F65">
        <w:t xml:space="preserve"> See </w:t>
      </w:r>
      <w:r>
        <w:t xml:space="preserve">above </w:t>
      </w:r>
      <w:r w:rsidRPr="006E2F65">
        <w:t>n</w:t>
      </w:r>
      <w:r>
        <w:t xml:space="preserve"> 9 and accompanying text.</w:t>
      </w:r>
    </w:p>
  </w:footnote>
  <w:footnote w:id="58">
    <w:p w:rsidR="00D555B7" w:rsidRPr="006E2F65" w:rsidRDefault="00D555B7" w:rsidP="00697444">
      <w:pPr>
        <w:pStyle w:val="FootnoteText"/>
        <w:jc w:val="both"/>
      </w:pPr>
      <w:r w:rsidRPr="006E2F65">
        <w:rPr>
          <w:rStyle w:val="FootnoteReference"/>
        </w:rPr>
        <w:footnoteRef/>
      </w:r>
      <w:r w:rsidRPr="006E2F65">
        <w:t xml:space="preserve"> These criteria are apparent throughout the literature on the persistent objector rule, but are set out in a similar manner to that used here by </w:t>
      </w:r>
      <w:r w:rsidRPr="00D519CE">
        <w:t xml:space="preserve">J. Brock </w:t>
      </w:r>
      <w:proofErr w:type="spellStart"/>
      <w:r w:rsidRPr="00D519CE">
        <w:t>McClane</w:t>
      </w:r>
      <w:proofErr w:type="spellEnd"/>
      <w:r w:rsidRPr="006E2F65">
        <w:t xml:space="preserve"> “How Late in the Emergence of a Norm of Customary International Law May a Persistent Objector Object?”</w:t>
      </w:r>
      <w:r>
        <w:t xml:space="preserve"> </w:t>
      </w:r>
      <w:proofErr w:type="gramStart"/>
      <w:r>
        <w:t>(1989) 13</w:t>
      </w:r>
      <w:r w:rsidRPr="006E2F65">
        <w:t xml:space="preserve"> </w:t>
      </w:r>
      <w:r w:rsidRPr="0056468F">
        <w:t>International Law Students Association Journal of International Law</w:t>
      </w:r>
      <w:r>
        <w:t xml:space="preserve"> </w:t>
      </w:r>
      <w:r w:rsidRPr="006E2F65">
        <w:t>1-26 at 20.</w:t>
      </w:r>
      <w:proofErr w:type="gramEnd"/>
    </w:p>
  </w:footnote>
  <w:footnote w:id="59">
    <w:p w:rsidR="00D555B7" w:rsidRPr="006E2F65" w:rsidRDefault="00D555B7" w:rsidP="00697444">
      <w:pPr>
        <w:jc w:val="both"/>
        <w:rPr>
          <w:sz w:val="20"/>
          <w:szCs w:val="20"/>
        </w:rPr>
      </w:pPr>
      <w:r w:rsidRPr="006E2F65">
        <w:rPr>
          <w:rStyle w:val="FootnoteReference"/>
          <w:sz w:val="20"/>
          <w:szCs w:val="20"/>
        </w:rPr>
        <w:footnoteRef/>
      </w:r>
      <w:r w:rsidRPr="006E2F65">
        <w:rPr>
          <w:sz w:val="20"/>
          <w:szCs w:val="20"/>
        </w:rPr>
        <w:t xml:space="preserve"> </w:t>
      </w:r>
      <w:proofErr w:type="gramStart"/>
      <w:r w:rsidRPr="006E2F65">
        <w:rPr>
          <w:sz w:val="20"/>
          <w:szCs w:val="20"/>
        </w:rPr>
        <w:t>D</w:t>
      </w:r>
      <w:r>
        <w:rPr>
          <w:sz w:val="20"/>
          <w:szCs w:val="20"/>
        </w:rPr>
        <w:t>ino</w:t>
      </w:r>
      <w:r w:rsidRPr="006E2F65">
        <w:rPr>
          <w:sz w:val="20"/>
          <w:szCs w:val="20"/>
        </w:rPr>
        <w:t xml:space="preserve"> Kritsiotis “On the Possibilities of and for Persistent Objection”</w:t>
      </w:r>
      <w:r>
        <w:rPr>
          <w:sz w:val="20"/>
          <w:szCs w:val="20"/>
        </w:rPr>
        <w:t xml:space="preserve"> (2010) </w:t>
      </w:r>
      <w:r w:rsidRPr="00315DDE">
        <w:rPr>
          <w:sz w:val="20"/>
          <w:szCs w:val="20"/>
        </w:rPr>
        <w:t>21 Duke Journal of Comparative and International Law</w:t>
      </w:r>
      <w:r>
        <w:rPr>
          <w:sz w:val="20"/>
          <w:szCs w:val="20"/>
        </w:rPr>
        <w:t xml:space="preserve"> 121-141</w:t>
      </w:r>
      <w:r w:rsidRPr="006E2F65">
        <w:rPr>
          <w:sz w:val="20"/>
          <w:szCs w:val="20"/>
        </w:rPr>
        <w:t xml:space="preserve"> </w:t>
      </w:r>
      <w:r>
        <w:rPr>
          <w:sz w:val="20"/>
          <w:szCs w:val="20"/>
        </w:rPr>
        <w:t xml:space="preserve">at </w:t>
      </w:r>
      <w:r w:rsidRPr="006E2F65">
        <w:rPr>
          <w:sz w:val="20"/>
          <w:szCs w:val="20"/>
        </w:rPr>
        <w:t>130.</w:t>
      </w:r>
      <w:proofErr w:type="gramEnd"/>
    </w:p>
  </w:footnote>
  <w:footnote w:id="60">
    <w:p w:rsidR="00D555B7" w:rsidRPr="006E2F65" w:rsidRDefault="00D555B7" w:rsidP="00697444">
      <w:pPr>
        <w:pStyle w:val="FootnoteText"/>
        <w:jc w:val="both"/>
      </w:pPr>
      <w:r w:rsidRPr="006E2F65">
        <w:rPr>
          <w:rStyle w:val="FootnoteReference"/>
        </w:rPr>
        <w:footnoteRef/>
      </w:r>
      <w:r w:rsidRPr="006E2F65">
        <w:t xml:space="preserve"> </w:t>
      </w:r>
      <w:proofErr w:type="spellStart"/>
      <w:r w:rsidRPr="006E2F65">
        <w:t>O</w:t>
      </w:r>
      <w:r>
        <w:t>lufemi</w:t>
      </w:r>
      <w:proofErr w:type="spellEnd"/>
      <w:r w:rsidRPr="006E2F65">
        <w:t xml:space="preserve"> Elias “Some Remarks on the Persistent Objector Rule in Customary International Law”</w:t>
      </w:r>
      <w:r>
        <w:t xml:space="preserve"> (1991) 6</w:t>
      </w:r>
      <w:r w:rsidRPr="006E2F65">
        <w:t xml:space="preserve"> </w:t>
      </w:r>
      <w:r w:rsidRPr="00315DDE">
        <w:t>Denning Law Journal</w:t>
      </w:r>
      <w:r>
        <w:t xml:space="preserve"> 37-51</w:t>
      </w:r>
      <w:r w:rsidRPr="006E2F65">
        <w:t xml:space="preserve"> at 38.</w:t>
      </w:r>
    </w:p>
  </w:footnote>
  <w:footnote w:id="61">
    <w:p w:rsidR="00D555B7" w:rsidRPr="006E2F65" w:rsidRDefault="00D555B7" w:rsidP="00697444">
      <w:pPr>
        <w:pStyle w:val="FootnoteText"/>
        <w:jc w:val="both"/>
      </w:pPr>
      <w:r w:rsidRPr="006E2F65">
        <w:rPr>
          <w:rStyle w:val="FootnoteReference"/>
        </w:rPr>
        <w:footnoteRef/>
      </w:r>
      <w:r w:rsidRPr="006E2F65">
        <w:t xml:space="preserve"> See </w:t>
      </w:r>
      <w:r w:rsidR="00AE7D3D">
        <w:t xml:space="preserve">for example </w:t>
      </w:r>
      <w:r w:rsidRPr="006E2F65">
        <w:t>A</w:t>
      </w:r>
      <w:r>
        <w:t>ntonio</w:t>
      </w:r>
      <w:r w:rsidRPr="006E2F65">
        <w:t xml:space="preserve"> Cassese </w:t>
      </w:r>
      <w:r w:rsidRPr="006E2F65">
        <w:rPr>
          <w:i/>
        </w:rPr>
        <w:t>International Law in a Divided World</w:t>
      </w:r>
      <w:r w:rsidRPr="006E2F65">
        <w:t xml:space="preserve"> (Clarendon Press, Oxford, 1986)</w:t>
      </w:r>
      <w:r>
        <w:t xml:space="preserve"> </w:t>
      </w:r>
      <w:r w:rsidRPr="006E2F65">
        <w:t>169.</w:t>
      </w:r>
    </w:p>
  </w:footnote>
  <w:footnote w:id="62">
    <w:p w:rsidR="00D555B7" w:rsidRPr="006E2F65" w:rsidRDefault="00D555B7" w:rsidP="00697444">
      <w:pPr>
        <w:pStyle w:val="FootnoteText"/>
        <w:jc w:val="both"/>
      </w:pPr>
      <w:r w:rsidRPr="006E2F65">
        <w:rPr>
          <w:rStyle w:val="FootnoteReference"/>
        </w:rPr>
        <w:footnoteRef/>
      </w:r>
      <w:r w:rsidRPr="006E2F65">
        <w:t xml:space="preserve"> See H</w:t>
      </w:r>
      <w:r>
        <w:t>ilary</w:t>
      </w:r>
      <w:r w:rsidRPr="006E2F65">
        <w:t xml:space="preserve"> </w:t>
      </w:r>
      <w:proofErr w:type="spellStart"/>
      <w:r w:rsidRPr="006E2F65">
        <w:t>Charlesworth</w:t>
      </w:r>
      <w:proofErr w:type="spellEnd"/>
      <w:r w:rsidRPr="006E2F65">
        <w:t xml:space="preserve"> “Customary International Law and the </w:t>
      </w:r>
      <w:r w:rsidRPr="006E2F65">
        <w:rPr>
          <w:i/>
        </w:rPr>
        <w:t>Nicaragua</w:t>
      </w:r>
      <w:r w:rsidRPr="006E2F65">
        <w:t xml:space="preserve"> Case”</w:t>
      </w:r>
      <w:r>
        <w:t xml:space="preserve"> (1984-1985) 11</w:t>
      </w:r>
      <w:r w:rsidRPr="006E2F65">
        <w:t xml:space="preserve"> </w:t>
      </w:r>
      <w:r w:rsidRPr="00315DDE">
        <w:t>Australian Yearbook of International Law</w:t>
      </w:r>
      <w:r>
        <w:t xml:space="preserve"> </w:t>
      </w:r>
      <w:r w:rsidRPr="006E2F65">
        <w:t>1-31 at 3 (comparing the ease of identifying state consent in treaty law with the problems inherent in so doing for custom).</w:t>
      </w:r>
    </w:p>
  </w:footnote>
  <w:footnote w:id="63">
    <w:p w:rsidR="00D555B7" w:rsidRPr="006E2F65" w:rsidRDefault="00D555B7" w:rsidP="00697444">
      <w:pPr>
        <w:pStyle w:val="FootnoteText"/>
        <w:jc w:val="both"/>
      </w:pPr>
      <w:r w:rsidRPr="006E2F65">
        <w:rPr>
          <w:rStyle w:val="FootnoteReference"/>
        </w:rPr>
        <w:footnoteRef/>
      </w:r>
      <w:r w:rsidRPr="006E2F65">
        <w:t xml:space="preserve"> </w:t>
      </w:r>
      <w:proofErr w:type="gramStart"/>
      <w:r w:rsidRPr="006E2F65">
        <w:t xml:space="preserve">Elias, </w:t>
      </w:r>
      <w:r>
        <w:t xml:space="preserve">above </w:t>
      </w:r>
      <w:r w:rsidRPr="006E2F65">
        <w:t>n</w:t>
      </w:r>
      <w:r>
        <w:t xml:space="preserve"> 9 [</w:t>
      </w:r>
      <w:r w:rsidRPr="006E2F65">
        <w:t>3</w:t>
      </w:r>
      <w:r>
        <w:t>].</w:t>
      </w:r>
      <w:proofErr w:type="gramEnd"/>
    </w:p>
  </w:footnote>
  <w:footnote w:id="64">
    <w:p w:rsidR="00D555B7" w:rsidRPr="006E2F65" w:rsidRDefault="00D555B7" w:rsidP="00697444">
      <w:pPr>
        <w:jc w:val="both"/>
        <w:rPr>
          <w:sz w:val="20"/>
          <w:szCs w:val="20"/>
          <w:lang w:val="en-US"/>
        </w:rPr>
      </w:pPr>
      <w:r w:rsidRPr="006E2F65">
        <w:rPr>
          <w:rStyle w:val="FootnoteReference"/>
          <w:sz w:val="20"/>
          <w:szCs w:val="20"/>
        </w:rPr>
        <w:footnoteRef/>
      </w:r>
      <w:r w:rsidRPr="006E2F65">
        <w:rPr>
          <w:sz w:val="20"/>
          <w:szCs w:val="20"/>
        </w:rPr>
        <w:t xml:space="preserve"> </w:t>
      </w:r>
      <w:r w:rsidRPr="006E2F65">
        <w:rPr>
          <w:sz w:val="20"/>
          <w:szCs w:val="20"/>
          <w:lang w:val="en-US"/>
        </w:rPr>
        <w:t xml:space="preserve">See </w:t>
      </w:r>
      <w:proofErr w:type="spellStart"/>
      <w:r w:rsidRPr="006E2F65">
        <w:rPr>
          <w:sz w:val="20"/>
          <w:szCs w:val="20"/>
          <w:lang w:val="en-US"/>
        </w:rPr>
        <w:t>Steinfeld</w:t>
      </w:r>
      <w:proofErr w:type="spellEnd"/>
      <w:r w:rsidRPr="006E2F65">
        <w:rPr>
          <w:sz w:val="20"/>
          <w:szCs w:val="20"/>
          <w:lang w:val="en-US"/>
        </w:rPr>
        <w:t xml:space="preserve">, </w:t>
      </w:r>
      <w:r>
        <w:rPr>
          <w:sz w:val="20"/>
          <w:szCs w:val="20"/>
          <w:lang w:val="en-US"/>
        </w:rPr>
        <w:t xml:space="preserve">above </w:t>
      </w:r>
      <w:r w:rsidRPr="006E2F65">
        <w:rPr>
          <w:sz w:val="20"/>
          <w:szCs w:val="20"/>
          <w:lang w:val="en-US"/>
        </w:rPr>
        <w:t>n</w:t>
      </w:r>
      <w:r>
        <w:rPr>
          <w:sz w:val="20"/>
          <w:szCs w:val="20"/>
          <w:lang w:val="en-US"/>
        </w:rPr>
        <w:t xml:space="preserve"> 36</w:t>
      </w:r>
      <w:r w:rsidRPr="006E2F65">
        <w:rPr>
          <w:sz w:val="20"/>
          <w:szCs w:val="20"/>
          <w:lang w:val="en-US"/>
        </w:rPr>
        <w:t xml:space="preserve"> at 1655 (‘The Persistent Objector Rule is a logical product of the consent theory’).</w:t>
      </w:r>
    </w:p>
  </w:footnote>
  <w:footnote w:id="65">
    <w:p w:rsidR="00D555B7" w:rsidRPr="006E2F65" w:rsidRDefault="00D555B7" w:rsidP="00697444">
      <w:pPr>
        <w:jc w:val="both"/>
        <w:rPr>
          <w:sz w:val="20"/>
          <w:szCs w:val="20"/>
        </w:rPr>
      </w:pPr>
      <w:r w:rsidRPr="006E2F65">
        <w:rPr>
          <w:rStyle w:val="FootnoteReference"/>
          <w:sz w:val="20"/>
          <w:szCs w:val="20"/>
        </w:rPr>
        <w:footnoteRef/>
      </w:r>
      <w:r w:rsidRPr="006E2F65">
        <w:rPr>
          <w:sz w:val="20"/>
          <w:szCs w:val="20"/>
        </w:rPr>
        <w:t xml:space="preserve"> For example, some writers have questioned how many times a state must object for this to qualify as ‘persistent’ objection.  It is commonly agreed that a single objection will not suffice, but it is far from clear exactly how persistent ‘persistent’ objection need be. See D</w:t>
      </w:r>
      <w:r>
        <w:rPr>
          <w:sz w:val="20"/>
          <w:szCs w:val="20"/>
        </w:rPr>
        <w:t xml:space="preserve">avid </w:t>
      </w:r>
      <w:r w:rsidRPr="006E2F65">
        <w:rPr>
          <w:sz w:val="20"/>
          <w:szCs w:val="20"/>
        </w:rPr>
        <w:t>Colson “How Persistent Must the Persistent Objector Be?”</w:t>
      </w:r>
      <w:r>
        <w:rPr>
          <w:sz w:val="20"/>
          <w:szCs w:val="20"/>
        </w:rPr>
        <w:t xml:space="preserve"> </w:t>
      </w:r>
      <w:proofErr w:type="gramStart"/>
      <w:r>
        <w:rPr>
          <w:sz w:val="20"/>
          <w:szCs w:val="20"/>
        </w:rPr>
        <w:t>(1986) 61</w:t>
      </w:r>
      <w:r w:rsidRPr="006E2F65">
        <w:rPr>
          <w:sz w:val="20"/>
          <w:szCs w:val="20"/>
        </w:rPr>
        <w:t xml:space="preserve"> </w:t>
      </w:r>
      <w:r w:rsidRPr="00315DDE">
        <w:rPr>
          <w:sz w:val="20"/>
          <w:szCs w:val="20"/>
        </w:rPr>
        <w:t>Washington Law Review</w:t>
      </w:r>
      <w:r>
        <w:rPr>
          <w:sz w:val="20"/>
          <w:szCs w:val="20"/>
        </w:rPr>
        <w:t xml:space="preserve"> </w:t>
      </w:r>
      <w:r w:rsidRPr="006E2F65">
        <w:rPr>
          <w:sz w:val="20"/>
          <w:szCs w:val="20"/>
        </w:rPr>
        <w:t>957-970 in general but particularly at 965-970.</w:t>
      </w:r>
      <w:proofErr w:type="gramEnd"/>
      <w:r w:rsidRPr="006E2F65">
        <w:rPr>
          <w:sz w:val="20"/>
          <w:szCs w:val="20"/>
        </w:rPr>
        <w:t xml:space="preserve">  Academics have similarly struggled with the issue of how late in the formation of a new customary international law a state </w:t>
      </w:r>
      <w:r w:rsidR="00AE7D3D">
        <w:rPr>
          <w:sz w:val="20"/>
          <w:szCs w:val="20"/>
        </w:rPr>
        <w:t xml:space="preserve">can </w:t>
      </w:r>
      <w:r w:rsidRPr="006E2F65">
        <w:rPr>
          <w:sz w:val="20"/>
          <w:szCs w:val="20"/>
        </w:rPr>
        <w:t xml:space="preserve">object and still become exempt from the rule.  See </w:t>
      </w:r>
      <w:proofErr w:type="spellStart"/>
      <w:r w:rsidRPr="006E2F65">
        <w:rPr>
          <w:sz w:val="20"/>
          <w:szCs w:val="20"/>
        </w:rPr>
        <w:t>McClane</w:t>
      </w:r>
      <w:proofErr w:type="spellEnd"/>
      <w:r w:rsidRPr="006E2F65">
        <w:rPr>
          <w:sz w:val="20"/>
          <w:szCs w:val="20"/>
        </w:rPr>
        <w:t xml:space="preserve">, </w:t>
      </w:r>
      <w:r>
        <w:rPr>
          <w:sz w:val="20"/>
          <w:szCs w:val="20"/>
        </w:rPr>
        <w:t xml:space="preserve">above </w:t>
      </w:r>
      <w:r w:rsidRPr="006E2F65">
        <w:rPr>
          <w:sz w:val="20"/>
          <w:szCs w:val="20"/>
        </w:rPr>
        <w:t>n</w:t>
      </w:r>
      <w:r>
        <w:rPr>
          <w:sz w:val="20"/>
          <w:szCs w:val="20"/>
        </w:rPr>
        <w:t xml:space="preserve"> 57</w:t>
      </w:r>
      <w:r w:rsidRPr="006E2F65">
        <w:rPr>
          <w:sz w:val="20"/>
          <w:szCs w:val="20"/>
        </w:rPr>
        <w:t>.</w:t>
      </w:r>
    </w:p>
  </w:footnote>
  <w:footnote w:id="66">
    <w:p w:rsidR="00D555B7" w:rsidRPr="006E2F65" w:rsidRDefault="00D555B7" w:rsidP="00697444">
      <w:pPr>
        <w:jc w:val="both"/>
        <w:rPr>
          <w:sz w:val="20"/>
          <w:szCs w:val="20"/>
        </w:rPr>
      </w:pPr>
      <w:r w:rsidRPr="006E2F65">
        <w:rPr>
          <w:rStyle w:val="FootnoteReference"/>
          <w:sz w:val="20"/>
          <w:szCs w:val="20"/>
        </w:rPr>
        <w:footnoteRef/>
      </w:r>
      <w:r w:rsidRPr="006E2F65">
        <w:rPr>
          <w:sz w:val="20"/>
          <w:szCs w:val="20"/>
        </w:rPr>
        <w:t xml:space="preserve"> </w:t>
      </w:r>
      <w:proofErr w:type="gramStart"/>
      <w:r w:rsidRPr="006E2F65">
        <w:rPr>
          <w:sz w:val="20"/>
          <w:szCs w:val="20"/>
        </w:rPr>
        <w:t>B</w:t>
      </w:r>
      <w:r>
        <w:rPr>
          <w:sz w:val="20"/>
          <w:szCs w:val="20"/>
        </w:rPr>
        <w:t xml:space="preserve">ing </w:t>
      </w:r>
      <w:proofErr w:type="spellStart"/>
      <w:r>
        <w:rPr>
          <w:sz w:val="20"/>
          <w:szCs w:val="20"/>
        </w:rPr>
        <w:t>Bing</w:t>
      </w:r>
      <w:proofErr w:type="spellEnd"/>
      <w:r w:rsidRPr="006E2F65">
        <w:rPr>
          <w:sz w:val="20"/>
          <w:szCs w:val="20"/>
        </w:rPr>
        <w:t xml:space="preserve"> </w:t>
      </w:r>
      <w:proofErr w:type="spellStart"/>
      <w:r w:rsidRPr="006E2F65">
        <w:rPr>
          <w:sz w:val="20"/>
          <w:szCs w:val="20"/>
        </w:rPr>
        <w:t>Jia</w:t>
      </w:r>
      <w:proofErr w:type="spellEnd"/>
      <w:r w:rsidRPr="006E2F65">
        <w:rPr>
          <w:sz w:val="20"/>
          <w:szCs w:val="20"/>
        </w:rPr>
        <w:t xml:space="preserve"> “The Relations between Treaties and Custom”</w:t>
      </w:r>
      <w:r>
        <w:rPr>
          <w:sz w:val="20"/>
          <w:szCs w:val="20"/>
        </w:rPr>
        <w:t xml:space="preserve"> (2010) 9</w:t>
      </w:r>
      <w:r w:rsidRPr="006E2F65">
        <w:rPr>
          <w:sz w:val="20"/>
          <w:szCs w:val="20"/>
        </w:rPr>
        <w:t xml:space="preserve"> </w:t>
      </w:r>
      <w:r w:rsidRPr="00315DDE">
        <w:rPr>
          <w:sz w:val="20"/>
          <w:szCs w:val="20"/>
        </w:rPr>
        <w:t>Chinese Journal of International Law</w:t>
      </w:r>
      <w:r>
        <w:rPr>
          <w:sz w:val="20"/>
          <w:szCs w:val="20"/>
        </w:rPr>
        <w:t xml:space="preserve"> 81-109 at </w:t>
      </w:r>
      <w:r w:rsidRPr="006E2F65">
        <w:rPr>
          <w:sz w:val="20"/>
          <w:szCs w:val="20"/>
        </w:rPr>
        <w:t>83.</w:t>
      </w:r>
      <w:proofErr w:type="gramEnd"/>
    </w:p>
  </w:footnote>
  <w:footnote w:id="67">
    <w:p w:rsidR="00D555B7" w:rsidRPr="006E2F65" w:rsidRDefault="00D555B7" w:rsidP="00697444">
      <w:pPr>
        <w:jc w:val="both"/>
        <w:rPr>
          <w:sz w:val="20"/>
          <w:szCs w:val="20"/>
          <w:lang w:val="en-US"/>
        </w:rPr>
      </w:pPr>
      <w:r w:rsidRPr="006E2F65">
        <w:rPr>
          <w:rStyle w:val="FootnoteReference"/>
          <w:sz w:val="20"/>
          <w:szCs w:val="20"/>
        </w:rPr>
        <w:footnoteRef/>
      </w:r>
      <w:r>
        <w:rPr>
          <w:sz w:val="20"/>
          <w:szCs w:val="20"/>
        </w:rPr>
        <w:t xml:space="preserve"> On this debate see Colson, above n</w:t>
      </w:r>
      <w:r w:rsidRPr="006E2F65">
        <w:rPr>
          <w:sz w:val="20"/>
          <w:szCs w:val="20"/>
        </w:rPr>
        <w:t xml:space="preserve"> </w:t>
      </w:r>
      <w:r>
        <w:rPr>
          <w:sz w:val="20"/>
          <w:szCs w:val="20"/>
        </w:rPr>
        <w:t>64</w:t>
      </w:r>
      <w:r w:rsidRPr="006E2F65">
        <w:rPr>
          <w:sz w:val="20"/>
          <w:szCs w:val="20"/>
        </w:rPr>
        <w:t xml:space="preserve"> at 961-965; and </w:t>
      </w:r>
      <w:r w:rsidRPr="006E2F65">
        <w:rPr>
          <w:sz w:val="20"/>
          <w:szCs w:val="20"/>
          <w:lang w:val="en-US"/>
        </w:rPr>
        <w:t>T</w:t>
      </w:r>
      <w:r>
        <w:rPr>
          <w:sz w:val="20"/>
          <w:szCs w:val="20"/>
          <w:lang w:val="en-US"/>
        </w:rPr>
        <w:t xml:space="preserve">ed </w:t>
      </w:r>
      <w:r w:rsidRPr="006E2F65">
        <w:rPr>
          <w:sz w:val="20"/>
          <w:szCs w:val="20"/>
        </w:rPr>
        <w:t>Stein “The Approach of the Different Drummer: The Principle of the Persistent Objector in International Law”</w:t>
      </w:r>
      <w:r>
        <w:rPr>
          <w:sz w:val="20"/>
          <w:szCs w:val="20"/>
        </w:rPr>
        <w:t xml:space="preserve"> (1985) 26</w:t>
      </w:r>
      <w:r w:rsidRPr="006E2F65">
        <w:rPr>
          <w:sz w:val="20"/>
          <w:szCs w:val="20"/>
        </w:rPr>
        <w:t xml:space="preserve"> </w:t>
      </w:r>
      <w:r w:rsidRPr="006E2F65">
        <w:rPr>
          <w:i/>
          <w:sz w:val="20"/>
          <w:szCs w:val="20"/>
        </w:rPr>
        <w:t>Harvard International Law Journal</w:t>
      </w:r>
      <w:r>
        <w:rPr>
          <w:sz w:val="20"/>
          <w:szCs w:val="20"/>
        </w:rPr>
        <w:t xml:space="preserve"> </w:t>
      </w:r>
      <w:r w:rsidRPr="006E2F65">
        <w:rPr>
          <w:sz w:val="20"/>
          <w:szCs w:val="20"/>
        </w:rPr>
        <w:t>457-482 at 478-479.</w:t>
      </w:r>
    </w:p>
  </w:footnote>
  <w:footnote w:id="68">
    <w:p w:rsidR="00D555B7" w:rsidRPr="006E2F65" w:rsidRDefault="00D555B7" w:rsidP="00697444">
      <w:pPr>
        <w:pStyle w:val="FootnoteText"/>
        <w:jc w:val="both"/>
      </w:pPr>
      <w:r w:rsidRPr="006E2F65">
        <w:rPr>
          <w:rStyle w:val="FootnoteReference"/>
        </w:rPr>
        <w:footnoteRef/>
      </w:r>
      <w:r w:rsidRPr="006E2F65">
        <w:t xml:space="preserve"> For example </w:t>
      </w:r>
      <w:proofErr w:type="spellStart"/>
      <w:r w:rsidRPr="006E2F65">
        <w:rPr>
          <w:lang w:val="en-US"/>
        </w:rPr>
        <w:t>Steinfeld</w:t>
      </w:r>
      <w:proofErr w:type="spellEnd"/>
      <w:r w:rsidRPr="006E2F65">
        <w:rPr>
          <w:lang w:val="en-US"/>
        </w:rPr>
        <w:t>,</w:t>
      </w:r>
      <w:r>
        <w:rPr>
          <w:lang w:val="en-US"/>
        </w:rPr>
        <w:t xml:space="preserve"> above</w:t>
      </w:r>
      <w:r w:rsidRPr="006E2F65">
        <w:rPr>
          <w:lang w:val="en-US"/>
        </w:rPr>
        <w:t xml:space="preserve"> n</w:t>
      </w:r>
      <w:r>
        <w:rPr>
          <w:lang w:val="en-US"/>
        </w:rPr>
        <w:t xml:space="preserve"> 36 at 1</w:t>
      </w:r>
      <w:r w:rsidRPr="006E2F65">
        <w:rPr>
          <w:lang w:val="en-US"/>
        </w:rPr>
        <w:t>673, states that ‘an objection to a customary rule may take a variety of forms, from actual exercise of a legal right, to statements expressing a desire to preserve that right.’ (</w:t>
      </w:r>
      <w:proofErr w:type="gramStart"/>
      <w:r w:rsidRPr="006E2F65">
        <w:rPr>
          <w:lang w:val="en-US"/>
        </w:rPr>
        <w:t>emphasis</w:t>
      </w:r>
      <w:proofErr w:type="gramEnd"/>
      <w:r w:rsidRPr="006E2F65">
        <w:rPr>
          <w:lang w:val="en-US"/>
        </w:rPr>
        <w:t xml:space="preserve"> removed from original).  See also </w:t>
      </w:r>
      <w:r w:rsidRPr="006E2F65">
        <w:t xml:space="preserve">Colson </w:t>
      </w:r>
      <w:r w:rsidRPr="006E2F65">
        <w:rPr>
          <w:i/>
        </w:rPr>
        <w:t>ibid</w:t>
      </w:r>
      <w:r w:rsidRPr="006E2F65">
        <w:t xml:space="preserve"> </w:t>
      </w:r>
      <w:r>
        <w:t xml:space="preserve">at </w:t>
      </w:r>
      <w:r w:rsidRPr="006E2F65">
        <w:t>958.  However, for a contrary view, see C</w:t>
      </w:r>
      <w:r>
        <w:t xml:space="preserve">urtis </w:t>
      </w:r>
      <w:r w:rsidRPr="006E2F65">
        <w:t xml:space="preserve">Bradley and </w:t>
      </w:r>
      <w:proofErr w:type="spellStart"/>
      <w:r w:rsidRPr="006E2F65">
        <w:t>M</w:t>
      </w:r>
      <w:r>
        <w:t>itu</w:t>
      </w:r>
      <w:proofErr w:type="spellEnd"/>
      <w:r w:rsidRPr="006E2F65">
        <w:t xml:space="preserve"> </w:t>
      </w:r>
      <w:proofErr w:type="spellStart"/>
      <w:r w:rsidRPr="006E2F65">
        <w:t>Gulati</w:t>
      </w:r>
      <w:proofErr w:type="spellEnd"/>
      <w:r w:rsidRPr="006E2F65">
        <w:t xml:space="preserve"> “Withdrawing from International Custom”</w:t>
      </w:r>
      <w:r>
        <w:t xml:space="preserve"> (2010) </w:t>
      </w:r>
      <w:r w:rsidRPr="00127ABF">
        <w:t>120 Yale Law Journal</w:t>
      </w:r>
      <w:r>
        <w:t xml:space="preserve"> </w:t>
      </w:r>
      <w:r w:rsidRPr="006E2F65">
        <w:t>202-275 at 211.</w:t>
      </w:r>
    </w:p>
  </w:footnote>
  <w:footnote w:id="69">
    <w:p w:rsidR="00D555B7" w:rsidRPr="006E2F65" w:rsidRDefault="00D555B7" w:rsidP="00697444">
      <w:pPr>
        <w:pStyle w:val="FootnoteText"/>
        <w:jc w:val="both"/>
        <w:rPr>
          <w:highlight w:val="yellow"/>
        </w:rPr>
      </w:pPr>
      <w:r w:rsidRPr="006E2F65">
        <w:rPr>
          <w:rStyle w:val="FootnoteReference"/>
        </w:rPr>
        <w:footnoteRef/>
      </w:r>
      <w:r w:rsidRPr="006E2F65">
        <w:t xml:space="preserve"> See </w:t>
      </w:r>
      <w:r>
        <w:t xml:space="preserve">above </w:t>
      </w:r>
      <w:r w:rsidRPr="006E2F65">
        <w:t>n</w:t>
      </w:r>
      <w:r>
        <w:t xml:space="preserve"> 23 and accompanying text.</w:t>
      </w:r>
    </w:p>
  </w:footnote>
  <w:footnote w:id="70">
    <w:p w:rsidR="00D555B7" w:rsidRPr="006E2F65" w:rsidRDefault="00D555B7" w:rsidP="00697444">
      <w:pPr>
        <w:pStyle w:val="FootnoteText"/>
        <w:jc w:val="both"/>
      </w:pPr>
      <w:r w:rsidRPr="006E2F65">
        <w:rPr>
          <w:rStyle w:val="FootnoteReference"/>
        </w:rPr>
        <w:footnoteRef/>
      </w:r>
      <w:r w:rsidRPr="006E2F65">
        <w:t xml:space="preserve"> See </w:t>
      </w:r>
      <w:r>
        <w:t>above n 24</w:t>
      </w:r>
      <w:r w:rsidRPr="006E2F65">
        <w:t xml:space="preserve"> </w:t>
      </w:r>
      <w:r>
        <w:t>and accompanying text.</w:t>
      </w:r>
    </w:p>
  </w:footnote>
  <w:footnote w:id="71">
    <w:p w:rsidR="00D555B7" w:rsidRPr="006E2F65" w:rsidRDefault="00D555B7" w:rsidP="00697444">
      <w:pPr>
        <w:pStyle w:val="FootnoteText"/>
        <w:jc w:val="both"/>
      </w:pPr>
      <w:r w:rsidRPr="006E2F65">
        <w:rPr>
          <w:rStyle w:val="FootnoteReference"/>
        </w:rPr>
        <w:footnoteRef/>
      </w:r>
      <w:r w:rsidRPr="006E2F65">
        <w:t xml:space="preserve"> See </w:t>
      </w:r>
      <w:proofErr w:type="spellStart"/>
      <w:r w:rsidRPr="006E2F65">
        <w:rPr>
          <w:bCs/>
        </w:rPr>
        <w:t>U</w:t>
      </w:r>
      <w:r>
        <w:rPr>
          <w:bCs/>
        </w:rPr>
        <w:t>pendra</w:t>
      </w:r>
      <w:proofErr w:type="spellEnd"/>
      <w:r w:rsidRPr="006E2F65">
        <w:rPr>
          <w:bCs/>
        </w:rPr>
        <w:t xml:space="preserve"> </w:t>
      </w:r>
      <w:proofErr w:type="spellStart"/>
      <w:r w:rsidRPr="006E2F65">
        <w:t>Choudhury</w:t>
      </w:r>
      <w:proofErr w:type="spellEnd"/>
      <w:r w:rsidRPr="006E2F65">
        <w:rPr>
          <w:bCs/>
        </w:rPr>
        <w:t xml:space="preserve"> “The Indo-USA Nuclear Deal and its Impact on India’s Ballistic Missile Programme”</w:t>
      </w:r>
      <w:r>
        <w:rPr>
          <w:bCs/>
        </w:rPr>
        <w:t xml:space="preserve"> (2008)</w:t>
      </w:r>
      <w:r w:rsidRPr="006E2F65">
        <w:rPr>
          <w:bCs/>
        </w:rPr>
        <w:t xml:space="preserve"> </w:t>
      </w:r>
      <w:r w:rsidRPr="00127ABF">
        <w:t>South Asian Strategic Stability Institute</w:t>
      </w:r>
      <w:r w:rsidRPr="006E2F65">
        <w:t xml:space="preserve"> 10.  Indeed, India is the only state in possession of nuclear weapons that has not helped another state to also acquire such weapons, see </w:t>
      </w:r>
      <w:r>
        <w:t>Chamundeeswari</w:t>
      </w:r>
      <w:r w:rsidRPr="006E2F65">
        <w:t xml:space="preserve"> Kuppuswamy “Is the Nuclear Non-Proliferation Treaty Shaking at its Foundations? </w:t>
      </w:r>
      <w:proofErr w:type="gramStart"/>
      <w:r w:rsidRPr="006E2F65">
        <w:t>Stock Taking after the 2005 NPT Review Conference”</w:t>
      </w:r>
      <w:r>
        <w:t xml:space="preserve"> (2006) 11</w:t>
      </w:r>
      <w:r w:rsidRPr="006E2F65">
        <w:t xml:space="preserve"> </w:t>
      </w:r>
      <w:r w:rsidRPr="00127ABF">
        <w:rPr>
          <w:iCs/>
        </w:rPr>
        <w:t>Journal of Conflict and Security Law</w:t>
      </w:r>
      <w:r w:rsidRPr="006E2F65">
        <w:rPr>
          <w:iCs/>
        </w:rPr>
        <w:t xml:space="preserve"> 141-155</w:t>
      </w:r>
      <w:r w:rsidRPr="006E2F65">
        <w:t xml:space="preserve"> at 145.</w:t>
      </w:r>
      <w:proofErr w:type="gramEnd"/>
    </w:p>
  </w:footnote>
  <w:footnote w:id="72">
    <w:p w:rsidR="00D555B7" w:rsidRPr="006E2F65" w:rsidRDefault="00D555B7" w:rsidP="00697444">
      <w:pPr>
        <w:pStyle w:val="FootnoteText"/>
        <w:jc w:val="both"/>
      </w:pPr>
      <w:r w:rsidRPr="006E2F65">
        <w:rPr>
          <w:rStyle w:val="FootnoteReference"/>
        </w:rPr>
        <w:footnoteRef/>
      </w:r>
      <w:r w:rsidRPr="006E2F65">
        <w:t xml:space="preserve"> </w:t>
      </w:r>
      <w:proofErr w:type="spellStart"/>
      <w:proofErr w:type="gramStart"/>
      <w:r w:rsidRPr="006E2F65">
        <w:t>K</w:t>
      </w:r>
      <w:r>
        <w:t>arsten</w:t>
      </w:r>
      <w:proofErr w:type="spellEnd"/>
      <w:r w:rsidRPr="006E2F65">
        <w:t xml:space="preserve"> Frey </w:t>
      </w:r>
      <w:r w:rsidRPr="006E2F65">
        <w:rPr>
          <w:i/>
        </w:rPr>
        <w:t>India’s Nuclear Bomb and National Security</w:t>
      </w:r>
      <w:r w:rsidRPr="006E2F65">
        <w:t xml:space="preserve"> (</w:t>
      </w:r>
      <w:proofErr w:type="spellStart"/>
      <w:r w:rsidRPr="006E2F65">
        <w:t>Routledge</w:t>
      </w:r>
      <w:proofErr w:type="spellEnd"/>
      <w:r w:rsidRPr="006E2F65">
        <w:t>, New York, 2006)</w:t>
      </w:r>
      <w:r>
        <w:t xml:space="preserve"> </w:t>
      </w:r>
      <w:r w:rsidRPr="006E2F65">
        <w:t>19.</w:t>
      </w:r>
      <w:proofErr w:type="gramEnd"/>
    </w:p>
  </w:footnote>
  <w:footnote w:id="73">
    <w:p w:rsidR="00D555B7" w:rsidRPr="006E2F65" w:rsidRDefault="00D555B7" w:rsidP="00697444">
      <w:pPr>
        <w:jc w:val="both"/>
        <w:textAlignment w:val="top"/>
        <w:rPr>
          <w:sz w:val="20"/>
          <w:szCs w:val="20"/>
        </w:rPr>
      </w:pPr>
      <w:r w:rsidRPr="006E2F65">
        <w:rPr>
          <w:rStyle w:val="FootnoteReference"/>
          <w:sz w:val="20"/>
          <w:szCs w:val="20"/>
        </w:rPr>
        <w:footnoteRef/>
      </w:r>
      <w:r w:rsidRPr="006E2F65">
        <w:rPr>
          <w:sz w:val="20"/>
          <w:szCs w:val="20"/>
        </w:rPr>
        <w:t xml:space="preserve"> See W</w:t>
      </w:r>
      <w:r>
        <w:rPr>
          <w:sz w:val="20"/>
          <w:szCs w:val="20"/>
        </w:rPr>
        <w:t>illiam</w:t>
      </w:r>
      <w:r w:rsidRPr="006E2F65">
        <w:rPr>
          <w:sz w:val="20"/>
          <w:szCs w:val="20"/>
        </w:rPr>
        <w:t xml:space="preserve"> Walker “International Nuclear Relations after the Indian and Pakistani Test Explosions”</w:t>
      </w:r>
      <w:r>
        <w:rPr>
          <w:sz w:val="20"/>
          <w:szCs w:val="20"/>
        </w:rPr>
        <w:t xml:space="preserve"> (1998) 74</w:t>
      </w:r>
      <w:r w:rsidRPr="006E2F65">
        <w:rPr>
          <w:sz w:val="20"/>
          <w:szCs w:val="20"/>
        </w:rPr>
        <w:t xml:space="preserve"> </w:t>
      </w:r>
      <w:r w:rsidRPr="00127ABF">
        <w:rPr>
          <w:sz w:val="20"/>
          <w:szCs w:val="20"/>
        </w:rPr>
        <w:t>International Affairs</w:t>
      </w:r>
      <w:r>
        <w:rPr>
          <w:sz w:val="20"/>
          <w:szCs w:val="20"/>
        </w:rPr>
        <w:t xml:space="preserve"> </w:t>
      </w:r>
      <w:r w:rsidRPr="006E2F65">
        <w:rPr>
          <w:sz w:val="20"/>
          <w:szCs w:val="20"/>
        </w:rPr>
        <w:t xml:space="preserve">505-528 at 511; </w:t>
      </w:r>
      <w:proofErr w:type="spellStart"/>
      <w:r w:rsidRPr="006E2F65">
        <w:rPr>
          <w:sz w:val="20"/>
          <w:szCs w:val="20"/>
        </w:rPr>
        <w:t>J</w:t>
      </w:r>
      <w:r>
        <w:rPr>
          <w:sz w:val="20"/>
          <w:szCs w:val="20"/>
        </w:rPr>
        <w:t>aswant</w:t>
      </w:r>
      <w:proofErr w:type="spellEnd"/>
      <w:r w:rsidRPr="006E2F65">
        <w:rPr>
          <w:sz w:val="20"/>
          <w:szCs w:val="20"/>
        </w:rPr>
        <w:t xml:space="preserve"> Singh “Against Nuclear Apartheid”</w:t>
      </w:r>
      <w:r>
        <w:rPr>
          <w:sz w:val="20"/>
          <w:szCs w:val="20"/>
        </w:rPr>
        <w:t xml:space="preserve"> (1998) 77</w:t>
      </w:r>
      <w:r w:rsidRPr="006E2F65">
        <w:rPr>
          <w:sz w:val="20"/>
          <w:szCs w:val="20"/>
        </w:rPr>
        <w:t xml:space="preserve"> </w:t>
      </w:r>
      <w:r w:rsidRPr="00127ABF">
        <w:rPr>
          <w:sz w:val="20"/>
          <w:szCs w:val="20"/>
        </w:rPr>
        <w:t>Foreign Affairs</w:t>
      </w:r>
      <w:r>
        <w:rPr>
          <w:sz w:val="20"/>
          <w:szCs w:val="20"/>
        </w:rPr>
        <w:t xml:space="preserve"> </w:t>
      </w:r>
      <w:r w:rsidRPr="006E2F65">
        <w:rPr>
          <w:sz w:val="20"/>
          <w:szCs w:val="20"/>
        </w:rPr>
        <w:t xml:space="preserve">41-52; </w:t>
      </w:r>
      <w:proofErr w:type="spellStart"/>
      <w:r w:rsidRPr="006E2F65">
        <w:rPr>
          <w:sz w:val="20"/>
          <w:szCs w:val="20"/>
        </w:rPr>
        <w:t>F</w:t>
      </w:r>
      <w:r>
        <w:rPr>
          <w:sz w:val="20"/>
          <w:szCs w:val="20"/>
        </w:rPr>
        <w:t>austin</w:t>
      </w:r>
      <w:proofErr w:type="spellEnd"/>
      <w:r>
        <w:rPr>
          <w:sz w:val="20"/>
          <w:szCs w:val="20"/>
        </w:rPr>
        <w:t xml:space="preserve"> </w:t>
      </w:r>
      <w:proofErr w:type="spellStart"/>
      <w:r w:rsidRPr="006E2F65">
        <w:rPr>
          <w:sz w:val="20"/>
          <w:szCs w:val="20"/>
        </w:rPr>
        <w:t>Ntoubandi</w:t>
      </w:r>
      <w:proofErr w:type="spellEnd"/>
      <w:r w:rsidRPr="006E2F65">
        <w:rPr>
          <w:sz w:val="20"/>
          <w:szCs w:val="20"/>
        </w:rPr>
        <w:t xml:space="preserve"> “Reflections on the USA-India Atomic Energy Cooperation”</w:t>
      </w:r>
      <w:r>
        <w:rPr>
          <w:sz w:val="20"/>
          <w:szCs w:val="20"/>
        </w:rPr>
        <w:t xml:space="preserve"> (2008) 13</w:t>
      </w:r>
      <w:r w:rsidRPr="006E2F65">
        <w:rPr>
          <w:sz w:val="20"/>
          <w:szCs w:val="20"/>
        </w:rPr>
        <w:t xml:space="preserve"> </w:t>
      </w:r>
      <w:r w:rsidRPr="00127ABF">
        <w:rPr>
          <w:iCs/>
          <w:sz w:val="20"/>
          <w:szCs w:val="20"/>
        </w:rPr>
        <w:t>Journal of Conflict and Security Law</w:t>
      </w:r>
      <w:r>
        <w:rPr>
          <w:iCs/>
          <w:sz w:val="20"/>
          <w:szCs w:val="20"/>
        </w:rPr>
        <w:t xml:space="preserve"> </w:t>
      </w:r>
      <w:r>
        <w:rPr>
          <w:sz w:val="20"/>
          <w:szCs w:val="20"/>
        </w:rPr>
        <w:t xml:space="preserve">273- 287 at </w:t>
      </w:r>
      <w:r w:rsidRPr="006E2F65">
        <w:rPr>
          <w:sz w:val="20"/>
          <w:szCs w:val="20"/>
        </w:rPr>
        <w:t xml:space="preserve">287; and Carranza, </w:t>
      </w:r>
      <w:r>
        <w:rPr>
          <w:sz w:val="20"/>
          <w:szCs w:val="20"/>
        </w:rPr>
        <w:t xml:space="preserve">above </w:t>
      </w:r>
      <w:r w:rsidRPr="006E2F65">
        <w:rPr>
          <w:sz w:val="20"/>
          <w:szCs w:val="20"/>
        </w:rPr>
        <w:t>n</w:t>
      </w:r>
      <w:r>
        <w:rPr>
          <w:sz w:val="20"/>
          <w:szCs w:val="20"/>
        </w:rPr>
        <w:t xml:space="preserve"> 5</w:t>
      </w:r>
      <w:r w:rsidRPr="006E2F65">
        <w:rPr>
          <w:sz w:val="20"/>
          <w:szCs w:val="20"/>
        </w:rPr>
        <w:t xml:space="preserve"> at 1.</w:t>
      </w:r>
    </w:p>
  </w:footnote>
  <w:footnote w:id="74">
    <w:p w:rsidR="00D555B7" w:rsidRPr="006E2F65" w:rsidRDefault="00D555B7" w:rsidP="00697444">
      <w:pPr>
        <w:jc w:val="both"/>
        <w:rPr>
          <w:sz w:val="20"/>
          <w:szCs w:val="20"/>
        </w:rPr>
      </w:pPr>
      <w:r w:rsidRPr="006E2F65">
        <w:rPr>
          <w:rStyle w:val="FootnoteReference"/>
          <w:sz w:val="20"/>
          <w:szCs w:val="20"/>
        </w:rPr>
        <w:footnoteRef/>
      </w:r>
      <w:r w:rsidRPr="006E2F65">
        <w:rPr>
          <w:sz w:val="20"/>
          <w:szCs w:val="20"/>
        </w:rPr>
        <w:t xml:space="preserve"> Debate on Foreign Affairs with </w:t>
      </w:r>
      <w:proofErr w:type="spellStart"/>
      <w:r w:rsidRPr="006E2F65">
        <w:rPr>
          <w:sz w:val="20"/>
          <w:szCs w:val="20"/>
        </w:rPr>
        <w:t>Indira</w:t>
      </w:r>
      <w:proofErr w:type="spellEnd"/>
      <w:r w:rsidRPr="006E2F65">
        <w:rPr>
          <w:sz w:val="20"/>
          <w:szCs w:val="20"/>
        </w:rPr>
        <w:t xml:space="preserve"> Gandhi, </w:t>
      </w:r>
      <w:proofErr w:type="spellStart"/>
      <w:r w:rsidRPr="006E2F65">
        <w:rPr>
          <w:sz w:val="20"/>
          <w:szCs w:val="20"/>
        </w:rPr>
        <w:t>Lok</w:t>
      </w:r>
      <w:proofErr w:type="spellEnd"/>
      <w:r w:rsidRPr="006E2F65">
        <w:rPr>
          <w:sz w:val="20"/>
          <w:szCs w:val="20"/>
        </w:rPr>
        <w:t xml:space="preserve"> </w:t>
      </w:r>
      <w:proofErr w:type="spellStart"/>
      <w:r w:rsidRPr="006E2F65">
        <w:rPr>
          <w:sz w:val="20"/>
          <w:szCs w:val="20"/>
        </w:rPr>
        <w:t>Sabha</w:t>
      </w:r>
      <w:proofErr w:type="spellEnd"/>
      <w:r w:rsidRPr="006E2F65">
        <w:rPr>
          <w:sz w:val="20"/>
          <w:szCs w:val="20"/>
        </w:rPr>
        <w:t xml:space="preserve">, New Delhi, 5 April 1968, quoted in </w:t>
      </w:r>
      <w:proofErr w:type="spellStart"/>
      <w:r w:rsidRPr="006E2F65">
        <w:rPr>
          <w:bCs/>
          <w:sz w:val="20"/>
          <w:szCs w:val="20"/>
        </w:rPr>
        <w:t>A</w:t>
      </w:r>
      <w:r>
        <w:rPr>
          <w:bCs/>
          <w:sz w:val="20"/>
          <w:szCs w:val="20"/>
        </w:rPr>
        <w:t>rundhati</w:t>
      </w:r>
      <w:proofErr w:type="spellEnd"/>
      <w:r w:rsidRPr="006E2F65">
        <w:rPr>
          <w:bCs/>
          <w:sz w:val="20"/>
          <w:szCs w:val="20"/>
        </w:rPr>
        <w:t xml:space="preserve"> </w:t>
      </w:r>
      <w:proofErr w:type="spellStart"/>
      <w:r w:rsidRPr="006E2F65">
        <w:rPr>
          <w:bCs/>
          <w:sz w:val="20"/>
          <w:szCs w:val="20"/>
        </w:rPr>
        <w:t>Ghose</w:t>
      </w:r>
      <w:proofErr w:type="spellEnd"/>
      <w:r w:rsidRPr="006E2F65">
        <w:rPr>
          <w:bCs/>
          <w:sz w:val="20"/>
          <w:szCs w:val="20"/>
        </w:rPr>
        <w:t xml:space="preserve"> “Negotiating the CTBT: India’s Security Concerns and Nuclear Disarmament”</w:t>
      </w:r>
      <w:r>
        <w:rPr>
          <w:bCs/>
          <w:sz w:val="20"/>
          <w:szCs w:val="20"/>
        </w:rPr>
        <w:t xml:space="preserve"> (1997) 51</w:t>
      </w:r>
      <w:r w:rsidRPr="006E2F65">
        <w:rPr>
          <w:bCs/>
          <w:sz w:val="20"/>
          <w:szCs w:val="20"/>
        </w:rPr>
        <w:t xml:space="preserve"> </w:t>
      </w:r>
      <w:r w:rsidRPr="00B4249E">
        <w:rPr>
          <w:iCs/>
          <w:sz w:val="20"/>
          <w:szCs w:val="20"/>
        </w:rPr>
        <w:t>Journal of International Affairs</w:t>
      </w:r>
      <w:r>
        <w:rPr>
          <w:iCs/>
          <w:sz w:val="20"/>
          <w:szCs w:val="20"/>
        </w:rPr>
        <w:t xml:space="preserve"> </w:t>
      </w:r>
      <w:r w:rsidRPr="006E2F65">
        <w:rPr>
          <w:sz w:val="20"/>
          <w:szCs w:val="20"/>
        </w:rPr>
        <w:t>239-261 at 242.</w:t>
      </w:r>
    </w:p>
  </w:footnote>
  <w:footnote w:id="75">
    <w:p w:rsidR="00D555B7" w:rsidRPr="006E2F65" w:rsidRDefault="00D555B7" w:rsidP="00697444">
      <w:pPr>
        <w:pStyle w:val="FootnoteText"/>
        <w:jc w:val="both"/>
      </w:pPr>
      <w:r w:rsidRPr="006E2F65">
        <w:rPr>
          <w:rStyle w:val="FootnoteReference"/>
        </w:rPr>
        <w:footnoteRef/>
      </w:r>
      <w:r w:rsidRPr="006E2F65">
        <w:t xml:space="preserve"> L</w:t>
      </w:r>
      <w:r>
        <w:t>isa</w:t>
      </w:r>
      <w:r w:rsidRPr="006E2F65">
        <w:t xml:space="preserve"> </w:t>
      </w:r>
      <w:proofErr w:type="spellStart"/>
      <w:r w:rsidRPr="006E2F65">
        <w:t>Tabassi</w:t>
      </w:r>
      <w:proofErr w:type="spellEnd"/>
      <w:r w:rsidRPr="006E2F65">
        <w:t xml:space="preserve"> “The Nuclear Test Ban: </w:t>
      </w:r>
      <w:proofErr w:type="spellStart"/>
      <w:r w:rsidRPr="006E2F65">
        <w:rPr>
          <w:i/>
        </w:rPr>
        <w:t>Lex</w:t>
      </w:r>
      <w:proofErr w:type="spellEnd"/>
      <w:r w:rsidRPr="006E2F65">
        <w:rPr>
          <w:i/>
        </w:rPr>
        <w:t xml:space="preserve"> </w:t>
      </w:r>
      <w:proofErr w:type="spellStart"/>
      <w:r w:rsidRPr="006E2F65">
        <w:rPr>
          <w:i/>
        </w:rPr>
        <w:t>Lata</w:t>
      </w:r>
      <w:proofErr w:type="spellEnd"/>
      <w:r w:rsidRPr="006E2F65">
        <w:t xml:space="preserve"> or </w:t>
      </w:r>
      <w:r w:rsidRPr="006E2F65">
        <w:rPr>
          <w:i/>
        </w:rPr>
        <w:t xml:space="preserve">de </w:t>
      </w:r>
      <w:proofErr w:type="spellStart"/>
      <w:r w:rsidRPr="006E2F65">
        <w:rPr>
          <w:i/>
        </w:rPr>
        <w:t>Lege</w:t>
      </w:r>
      <w:proofErr w:type="spellEnd"/>
      <w:r w:rsidRPr="006E2F65">
        <w:rPr>
          <w:i/>
        </w:rPr>
        <w:t xml:space="preserve"> </w:t>
      </w:r>
      <w:proofErr w:type="spellStart"/>
      <w:r w:rsidRPr="006E2F65">
        <w:rPr>
          <w:i/>
        </w:rPr>
        <w:t>Ferenda</w:t>
      </w:r>
      <w:proofErr w:type="spellEnd"/>
      <w:r w:rsidRPr="006E2F65">
        <w:t>?”</w:t>
      </w:r>
      <w:r>
        <w:t xml:space="preserve"> </w:t>
      </w:r>
      <w:proofErr w:type="gramStart"/>
      <w:r>
        <w:t>(2009) 14</w:t>
      </w:r>
      <w:r w:rsidRPr="006E2F65">
        <w:t xml:space="preserve"> </w:t>
      </w:r>
      <w:r w:rsidRPr="00C91F07">
        <w:t>Journal of Conflict and Security Law</w:t>
      </w:r>
      <w:r>
        <w:t xml:space="preserve"> </w:t>
      </w:r>
      <w:r w:rsidRPr="006E2F65">
        <w:t>309-352</w:t>
      </w:r>
      <w:r>
        <w:t xml:space="preserve"> at</w:t>
      </w:r>
      <w:r w:rsidRPr="006E2F65">
        <w:t xml:space="preserve"> 348.</w:t>
      </w:r>
      <w:proofErr w:type="gramEnd"/>
      <w:r w:rsidRPr="006E2F65">
        <w:t xml:space="preserve">  On the 123 Agreement, see </w:t>
      </w:r>
      <w:r>
        <w:t xml:space="preserve">above </w:t>
      </w:r>
      <w:r w:rsidRPr="006E2F65">
        <w:t>n</w:t>
      </w:r>
      <w:r>
        <w:t xml:space="preserve"> 4.</w:t>
      </w:r>
    </w:p>
  </w:footnote>
  <w:footnote w:id="76">
    <w:p w:rsidR="00D555B7" w:rsidRPr="006E2F65" w:rsidRDefault="00D555B7" w:rsidP="00697444">
      <w:pPr>
        <w:jc w:val="both"/>
        <w:rPr>
          <w:sz w:val="20"/>
          <w:szCs w:val="20"/>
        </w:rPr>
      </w:pPr>
      <w:r w:rsidRPr="006E2F65">
        <w:rPr>
          <w:rStyle w:val="FootnoteReference"/>
          <w:sz w:val="20"/>
          <w:szCs w:val="20"/>
        </w:rPr>
        <w:footnoteRef/>
      </w:r>
      <w:r w:rsidRPr="006E2F65">
        <w:rPr>
          <w:sz w:val="20"/>
          <w:szCs w:val="20"/>
        </w:rPr>
        <w:t xml:space="preserve"> Letter dated 23 September 2009 from India’s Permanent Representative to the United Nations to the United States Permanent Representative to the United Nations, quoted in “India says no to NPT as Non-Nuclear Weapon State”, </w:t>
      </w:r>
      <w:proofErr w:type="spellStart"/>
      <w:r w:rsidRPr="00ED6253">
        <w:rPr>
          <w:sz w:val="20"/>
          <w:szCs w:val="20"/>
        </w:rPr>
        <w:t>iGovernment</w:t>
      </w:r>
      <w:proofErr w:type="spellEnd"/>
      <w:r>
        <w:rPr>
          <w:sz w:val="20"/>
          <w:szCs w:val="20"/>
        </w:rPr>
        <w:t xml:space="preserve"> (2009)</w:t>
      </w:r>
    </w:p>
    <w:p w:rsidR="00D555B7" w:rsidRPr="006E2F65" w:rsidRDefault="00D555B7" w:rsidP="00697444">
      <w:pPr>
        <w:jc w:val="both"/>
        <w:rPr>
          <w:sz w:val="20"/>
          <w:szCs w:val="20"/>
        </w:rPr>
      </w:pPr>
      <w:r>
        <w:rPr>
          <w:sz w:val="20"/>
          <w:szCs w:val="20"/>
        </w:rPr>
        <w:t>&lt;</w:t>
      </w:r>
      <w:r w:rsidRPr="006E2F65">
        <w:rPr>
          <w:sz w:val="20"/>
          <w:szCs w:val="20"/>
        </w:rPr>
        <w:t>http://igovernment.in/site/India-says-no-to-NPT-as-non-nuclear-weapon-state</w:t>
      </w:r>
      <w:r>
        <w:rPr>
          <w:sz w:val="20"/>
          <w:szCs w:val="20"/>
        </w:rPr>
        <w:t>&gt;</w:t>
      </w:r>
      <w:r w:rsidRPr="006E2F65">
        <w:rPr>
          <w:sz w:val="20"/>
          <w:szCs w:val="20"/>
        </w:rPr>
        <w:t>.</w:t>
      </w:r>
    </w:p>
  </w:footnote>
  <w:footnote w:id="77">
    <w:p w:rsidR="00D555B7" w:rsidRPr="006E2F65" w:rsidRDefault="00D555B7" w:rsidP="00697444">
      <w:pPr>
        <w:pStyle w:val="FootnoteText"/>
        <w:jc w:val="both"/>
      </w:pPr>
      <w:r w:rsidRPr="006E2F65">
        <w:rPr>
          <w:rStyle w:val="FootnoteReference"/>
        </w:rPr>
        <w:footnoteRef/>
      </w:r>
      <w:r w:rsidRPr="006E2F65">
        <w:t xml:space="preserve"> </w:t>
      </w:r>
      <w:r w:rsidRPr="006E2F65">
        <w:rPr>
          <w:i/>
        </w:rPr>
        <w:t>Ibid</w:t>
      </w:r>
      <w:r w:rsidRPr="006E2F65">
        <w:t>.</w:t>
      </w:r>
    </w:p>
  </w:footnote>
  <w:footnote w:id="78">
    <w:p w:rsidR="00D555B7" w:rsidRPr="00EE512E" w:rsidRDefault="00D555B7" w:rsidP="00697444">
      <w:pPr>
        <w:pStyle w:val="FootnoteText"/>
        <w:jc w:val="both"/>
      </w:pPr>
      <w:r w:rsidRPr="006E2F65">
        <w:rPr>
          <w:rStyle w:val="FootnoteReference"/>
        </w:rPr>
        <w:footnoteRef/>
      </w:r>
      <w:r w:rsidRPr="006E2F65">
        <w:t xml:space="preserve"> </w:t>
      </w:r>
      <w:proofErr w:type="gramStart"/>
      <w:r w:rsidRPr="00EE512E">
        <w:t>GA Res 52/40 at 15 UN Doc.</w:t>
      </w:r>
      <w:proofErr w:type="gramEnd"/>
      <w:r w:rsidRPr="00EE512E">
        <w:t xml:space="preserve"> A/52/PV.67 (1997).</w:t>
      </w:r>
    </w:p>
  </w:footnote>
  <w:footnote w:id="79">
    <w:p w:rsidR="00D555B7" w:rsidRPr="00EE512E" w:rsidRDefault="00D555B7" w:rsidP="00697444">
      <w:pPr>
        <w:pStyle w:val="FootnoteText"/>
        <w:jc w:val="both"/>
      </w:pPr>
      <w:r w:rsidRPr="00EE512E">
        <w:rPr>
          <w:rStyle w:val="FootnoteReference"/>
        </w:rPr>
        <w:footnoteRef/>
      </w:r>
      <w:r w:rsidRPr="00EE512E">
        <w:t xml:space="preserve"> </w:t>
      </w:r>
      <w:proofErr w:type="gramStart"/>
      <w:r w:rsidRPr="00EE512E">
        <w:rPr>
          <w:rStyle w:val="Strong"/>
          <w:b w:val="0"/>
        </w:rPr>
        <w:t>GA</w:t>
      </w:r>
      <w:r>
        <w:rPr>
          <w:rStyle w:val="Strong"/>
          <w:b w:val="0"/>
        </w:rPr>
        <w:t xml:space="preserve"> Res 52/38-K [</w:t>
      </w:r>
      <w:r w:rsidRPr="00EE512E">
        <w:rPr>
          <w:rStyle w:val="Strong"/>
          <w:b w:val="0"/>
        </w:rPr>
        <w:t>1</w:t>
      </w:r>
      <w:r>
        <w:rPr>
          <w:rStyle w:val="Strong"/>
          <w:b w:val="0"/>
        </w:rPr>
        <w:t>]</w:t>
      </w:r>
      <w:r w:rsidRPr="00EE512E">
        <w:rPr>
          <w:rStyle w:val="Strong"/>
          <w:b w:val="0"/>
        </w:rPr>
        <w:t>, UN Doc.</w:t>
      </w:r>
      <w:proofErr w:type="gramEnd"/>
      <w:r w:rsidRPr="00EE512E">
        <w:rPr>
          <w:rStyle w:val="Strong"/>
          <w:b w:val="0"/>
        </w:rPr>
        <w:t xml:space="preserve"> </w:t>
      </w:r>
      <w:proofErr w:type="gramStart"/>
      <w:r w:rsidRPr="00EE512E">
        <w:rPr>
          <w:rStyle w:val="Strong"/>
          <w:b w:val="0"/>
        </w:rPr>
        <w:t>A/RES/52/38 (1998).</w:t>
      </w:r>
      <w:proofErr w:type="gramEnd"/>
    </w:p>
  </w:footnote>
  <w:footnote w:id="80">
    <w:p w:rsidR="00D555B7" w:rsidRPr="006E2F65" w:rsidRDefault="00D555B7" w:rsidP="00697444">
      <w:pPr>
        <w:pStyle w:val="FootnoteText"/>
        <w:jc w:val="both"/>
      </w:pPr>
      <w:r w:rsidRPr="00EE512E">
        <w:rPr>
          <w:rStyle w:val="FootnoteReference"/>
        </w:rPr>
        <w:footnoteRef/>
      </w:r>
      <w:r w:rsidRPr="00EE512E">
        <w:t xml:space="preserve"> </w:t>
      </w:r>
      <w:proofErr w:type="gramStart"/>
      <w:r w:rsidRPr="00EE512E">
        <w:t>GA Res 52/40 at 15 UN Doc.</w:t>
      </w:r>
      <w:proofErr w:type="gramEnd"/>
      <w:r w:rsidRPr="00EE512E">
        <w:t xml:space="preserve"> A/52/PV.67 (1997).</w:t>
      </w:r>
    </w:p>
  </w:footnote>
  <w:footnote w:id="81">
    <w:p w:rsidR="00D555B7" w:rsidRPr="006E2F65" w:rsidRDefault="00D555B7" w:rsidP="00697444">
      <w:pPr>
        <w:jc w:val="both"/>
        <w:rPr>
          <w:sz w:val="20"/>
          <w:szCs w:val="20"/>
        </w:rPr>
      </w:pPr>
      <w:r w:rsidRPr="006E2F65">
        <w:rPr>
          <w:rStyle w:val="FootnoteReference"/>
          <w:sz w:val="20"/>
          <w:szCs w:val="20"/>
        </w:rPr>
        <w:footnoteRef/>
      </w:r>
      <w:r w:rsidRPr="006E2F65">
        <w:rPr>
          <w:sz w:val="20"/>
          <w:szCs w:val="20"/>
        </w:rPr>
        <w:t xml:space="preserve"> </w:t>
      </w:r>
      <w:proofErr w:type="spellStart"/>
      <w:proofErr w:type="gramStart"/>
      <w:r w:rsidRPr="006E2F65">
        <w:rPr>
          <w:sz w:val="20"/>
          <w:szCs w:val="20"/>
        </w:rPr>
        <w:t>A</w:t>
      </w:r>
      <w:r>
        <w:rPr>
          <w:sz w:val="20"/>
          <w:szCs w:val="20"/>
        </w:rPr>
        <w:t>jai</w:t>
      </w:r>
      <w:proofErr w:type="spellEnd"/>
      <w:r>
        <w:rPr>
          <w:sz w:val="20"/>
          <w:szCs w:val="20"/>
        </w:rPr>
        <w:t xml:space="preserve"> </w:t>
      </w:r>
      <w:r w:rsidRPr="006E2F65">
        <w:rPr>
          <w:sz w:val="20"/>
          <w:szCs w:val="20"/>
        </w:rPr>
        <w:t xml:space="preserve">K. </w:t>
      </w:r>
      <w:proofErr w:type="spellStart"/>
      <w:r w:rsidRPr="006E2F65">
        <w:rPr>
          <w:sz w:val="20"/>
          <w:szCs w:val="20"/>
        </w:rPr>
        <w:t>Rai</w:t>
      </w:r>
      <w:proofErr w:type="spellEnd"/>
      <w:r w:rsidRPr="006E2F65">
        <w:rPr>
          <w:sz w:val="20"/>
          <w:szCs w:val="20"/>
        </w:rPr>
        <w:t xml:space="preserve"> </w:t>
      </w:r>
      <w:r w:rsidRPr="006E2F65">
        <w:rPr>
          <w:i/>
          <w:sz w:val="20"/>
          <w:szCs w:val="20"/>
        </w:rPr>
        <w:t xml:space="preserve">India’s Nuclear Policy after </w:t>
      </w:r>
      <w:proofErr w:type="spellStart"/>
      <w:r w:rsidRPr="006E2F65">
        <w:rPr>
          <w:i/>
          <w:sz w:val="20"/>
          <w:szCs w:val="20"/>
        </w:rPr>
        <w:t>Pokhran</w:t>
      </w:r>
      <w:proofErr w:type="spellEnd"/>
      <w:r w:rsidRPr="006E2F65">
        <w:rPr>
          <w:i/>
          <w:sz w:val="20"/>
          <w:szCs w:val="20"/>
        </w:rPr>
        <w:t xml:space="preserve"> II</w:t>
      </w:r>
      <w:r w:rsidRPr="006E2F65">
        <w:rPr>
          <w:sz w:val="20"/>
          <w:szCs w:val="20"/>
        </w:rPr>
        <w:t xml:space="preserve"> (Dorlin</w:t>
      </w:r>
      <w:r>
        <w:rPr>
          <w:sz w:val="20"/>
          <w:szCs w:val="20"/>
        </w:rPr>
        <w:t>g Kindersley, New Delhi, 2009) 208.</w:t>
      </w:r>
      <w:proofErr w:type="gramEnd"/>
      <w:r>
        <w:rPr>
          <w:sz w:val="20"/>
          <w:szCs w:val="20"/>
        </w:rPr>
        <w:t xml:space="preserve">  See also, </w:t>
      </w:r>
      <w:proofErr w:type="spellStart"/>
      <w:r>
        <w:rPr>
          <w:sz w:val="20"/>
          <w:szCs w:val="20"/>
        </w:rPr>
        <w:t>Wable</w:t>
      </w:r>
      <w:proofErr w:type="spellEnd"/>
      <w:r>
        <w:rPr>
          <w:sz w:val="20"/>
          <w:szCs w:val="20"/>
        </w:rPr>
        <w:t>, above n 5</w:t>
      </w:r>
      <w:r w:rsidRPr="006E2F65">
        <w:rPr>
          <w:sz w:val="20"/>
          <w:szCs w:val="20"/>
        </w:rPr>
        <w:t xml:space="preserve"> </w:t>
      </w:r>
      <w:r>
        <w:rPr>
          <w:sz w:val="20"/>
          <w:szCs w:val="20"/>
        </w:rPr>
        <w:t xml:space="preserve">at </w:t>
      </w:r>
      <w:r w:rsidRPr="006E2F65">
        <w:rPr>
          <w:sz w:val="20"/>
          <w:szCs w:val="20"/>
        </w:rPr>
        <w:t>722.</w:t>
      </w:r>
    </w:p>
  </w:footnote>
  <w:footnote w:id="82">
    <w:p w:rsidR="00D555B7" w:rsidRPr="006E2F65" w:rsidRDefault="00D555B7" w:rsidP="00697444">
      <w:pPr>
        <w:pStyle w:val="FootnoteText"/>
        <w:jc w:val="both"/>
      </w:pPr>
      <w:r w:rsidRPr="006E2F65">
        <w:rPr>
          <w:rStyle w:val="FootnoteReference"/>
        </w:rPr>
        <w:footnoteRef/>
      </w:r>
      <w:r w:rsidRPr="006E2F65">
        <w:t xml:space="preserve"> See </w:t>
      </w:r>
      <w:r>
        <w:t>above n 59</w:t>
      </w:r>
      <w:r w:rsidRPr="006E2F65">
        <w:t xml:space="preserve"> and accompanying text</w:t>
      </w:r>
      <w:r>
        <w:t>.</w:t>
      </w:r>
    </w:p>
  </w:footnote>
  <w:footnote w:id="83">
    <w:p w:rsidR="00D555B7" w:rsidRPr="006E2F65" w:rsidRDefault="00D555B7" w:rsidP="00697444">
      <w:pPr>
        <w:pStyle w:val="FootnoteText"/>
        <w:jc w:val="both"/>
      </w:pPr>
      <w:r w:rsidRPr="006E2F65">
        <w:rPr>
          <w:rStyle w:val="FootnoteReference"/>
        </w:rPr>
        <w:footnoteRef/>
      </w:r>
      <w:r w:rsidRPr="006E2F65">
        <w:t xml:space="preserve"> </w:t>
      </w:r>
      <w:proofErr w:type="gramStart"/>
      <w:r w:rsidRPr="006E2F65">
        <w:t>T</w:t>
      </w:r>
      <w:r>
        <w:t>om</w:t>
      </w:r>
      <w:r w:rsidRPr="006E2F65">
        <w:t xml:space="preserve"> Ruys </w:t>
      </w:r>
      <w:r w:rsidRPr="006E2F65">
        <w:rPr>
          <w:i/>
        </w:rPr>
        <w:t>‘Armed Attack’ and Article 51 of the UN Charter: Evolutions in Customary Law and Practice</w:t>
      </w:r>
      <w:r w:rsidRPr="006E2F65">
        <w:t xml:space="preserve"> (Cambridge University Press, Cambridge, 2010)</w:t>
      </w:r>
      <w:r>
        <w:t xml:space="preserve"> </w:t>
      </w:r>
      <w:r w:rsidRPr="006E2F65">
        <w:t>365.</w:t>
      </w:r>
      <w:proofErr w:type="gramEnd"/>
    </w:p>
  </w:footnote>
  <w:footnote w:id="84">
    <w:p w:rsidR="00D555B7" w:rsidRPr="006E2F65" w:rsidRDefault="00D555B7" w:rsidP="00697444">
      <w:pPr>
        <w:pStyle w:val="FootnoteText"/>
        <w:jc w:val="both"/>
      </w:pPr>
      <w:r w:rsidRPr="006E2F65">
        <w:rPr>
          <w:rStyle w:val="FootnoteReference"/>
        </w:rPr>
        <w:footnoteRef/>
      </w:r>
      <w:r w:rsidRPr="006E2F65">
        <w:t xml:space="preserve"> </w:t>
      </w:r>
      <w:r w:rsidRPr="006E2F65">
        <w:rPr>
          <w:i/>
        </w:rPr>
        <w:t>Ibid.</w:t>
      </w:r>
    </w:p>
  </w:footnote>
  <w:footnote w:id="85">
    <w:p w:rsidR="00D555B7" w:rsidRPr="006E2F65" w:rsidRDefault="00D555B7" w:rsidP="00697444">
      <w:pPr>
        <w:jc w:val="both"/>
        <w:rPr>
          <w:sz w:val="20"/>
          <w:szCs w:val="20"/>
        </w:rPr>
      </w:pPr>
      <w:r w:rsidRPr="006E2F65">
        <w:rPr>
          <w:rStyle w:val="FootnoteReference"/>
          <w:sz w:val="20"/>
          <w:szCs w:val="20"/>
        </w:rPr>
        <w:footnoteRef/>
      </w:r>
      <w:r w:rsidRPr="006E2F65">
        <w:rPr>
          <w:sz w:val="20"/>
          <w:szCs w:val="20"/>
        </w:rPr>
        <w:t xml:space="preserve"> See </w:t>
      </w:r>
      <w:proofErr w:type="spellStart"/>
      <w:r w:rsidRPr="006E2F65">
        <w:rPr>
          <w:sz w:val="20"/>
          <w:szCs w:val="20"/>
        </w:rPr>
        <w:t>Kittrie</w:t>
      </w:r>
      <w:proofErr w:type="spellEnd"/>
      <w:r w:rsidRPr="006E2F65">
        <w:rPr>
          <w:sz w:val="20"/>
          <w:szCs w:val="20"/>
        </w:rPr>
        <w:t xml:space="preserve">, </w:t>
      </w:r>
      <w:r>
        <w:rPr>
          <w:sz w:val="20"/>
          <w:szCs w:val="20"/>
        </w:rPr>
        <w:t xml:space="preserve">above </w:t>
      </w:r>
      <w:r w:rsidRPr="006E2F65">
        <w:rPr>
          <w:sz w:val="20"/>
          <w:szCs w:val="20"/>
        </w:rPr>
        <w:t>n</w:t>
      </w:r>
      <w:r>
        <w:rPr>
          <w:sz w:val="20"/>
          <w:szCs w:val="20"/>
        </w:rPr>
        <w:t xml:space="preserve"> 7</w:t>
      </w:r>
      <w:r w:rsidRPr="006E2F65">
        <w:rPr>
          <w:sz w:val="20"/>
          <w:szCs w:val="20"/>
        </w:rPr>
        <w:t xml:space="preserve"> at 340-341.</w:t>
      </w:r>
    </w:p>
  </w:footnote>
  <w:footnote w:id="86">
    <w:p w:rsidR="00D555B7" w:rsidRPr="006E2F65" w:rsidRDefault="00D555B7" w:rsidP="00697444">
      <w:pPr>
        <w:pStyle w:val="FootnoteText"/>
        <w:jc w:val="both"/>
      </w:pPr>
      <w:r w:rsidRPr="006E2F65">
        <w:rPr>
          <w:rStyle w:val="FootnoteReference"/>
        </w:rPr>
        <w:footnoteRef/>
      </w:r>
      <w:r w:rsidRPr="006E2F65">
        <w:t xml:space="preserve"> </w:t>
      </w:r>
      <w:proofErr w:type="spellStart"/>
      <w:proofErr w:type="gramStart"/>
      <w:r w:rsidRPr="006E2F65">
        <w:t>Paulus</w:t>
      </w:r>
      <w:proofErr w:type="spellEnd"/>
      <w:r w:rsidRPr="006E2F65">
        <w:t xml:space="preserve"> and </w:t>
      </w:r>
      <w:proofErr w:type="spellStart"/>
      <w:r w:rsidRPr="006E2F65">
        <w:t>Müller</w:t>
      </w:r>
      <w:proofErr w:type="spellEnd"/>
      <w:r w:rsidRPr="006E2F65">
        <w:t xml:space="preserve">, </w:t>
      </w:r>
      <w:r>
        <w:t xml:space="preserve">above </w:t>
      </w:r>
      <w:r w:rsidRPr="006E2F65">
        <w:t>n</w:t>
      </w:r>
      <w:r>
        <w:t xml:space="preserve"> 21</w:t>
      </w:r>
      <w:r w:rsidRPr="006E2F65">
        <w:t xml:space="preserve"> </w:t>
      </w:r>
      <w:r>
        <w:t xml:space="preserve">at </w:t>
      </w:r>
      <w:r w:rsidRPr="006E2F65">
        <w:t>118.</w:t>
      </w:r>
      <w:proofErr w:type="gramEnd"/>
    </w:p>
  </w:footnote>
  <w:footnote w:id="87">
    <w:p w:rsidR="00D555B7" w:rsidRPr="006E2F65" w:rsidRDefault="00D555B7" w:rsidP="00697444">
      <w:pPr>
        <w:pStyle w:val="FootnoteText"/>
        <w:jc w:val="both"/>
      </w:pPr>
      <w:r w:rsidRPr="006E2F65">
        <w:rPr>
          <w:rStyle w:val="FootnoteReference"/>
        </w:rPr>
        <w:footnoteRef/>
      </w:r>
      <w:r w:rsidRPr="006E2F65">
        <w:t xml:space="preserve"> </w:t>
      </w:r>
      <w:r w:rsidRPr="00D519CE">
        <w:t>V. S. Mani</w:t>
      </w:r>
      <w:r w:rsidRPr="006E2F65">
        <w:t xml:space="preserve"> “India’s Tests: The Legal Issues” </w:t>
      </w:r>
      <w:r w:rsidRPr="006E2F65">
        <w:rPr>
          <w:i/>
        </w:rPr>
        <w:t>The Hindu</w:t>
      </w:r>
      <w:r w:rsidRPr="006E2F65">
        <w:t xml:space="preserve"> (1998) 5</w:t>
      </w:r>
      <w:r w:rsidRPr="006E2F65">
        <w:rPr>
          <w:vertAlign w:val="superscript"/>
        </w:rPr>
        <w:t>th</w:t>
      </w:r>
      <w:r w:rsidRPr="006E2F65">
        <w:t xml:space="preserve"> June.</w:t>
      </w:r>
    </w:p>
  </w:footnote>
  <w:footnote w:id="88">
    <w:p w:rsidR="00D555B7" w:rsidRPr="006E2F65" w:rsidRDefault="00D555B7" w:rsidP="00697444">
      <w:pPr>
        <w:autoSpaceDE w:val="0"/>
        <w:autoSpaceDN w:val="0"/>
        <w:adjustRightInd w:val="0"/>
        <w:jc w:val="both"/>
        <w:rPr>
          <w:sz w:val="20"/>
          <w:szCs w:val="20"/>
        </w:rPr>
      </w:pPr>
      <w:r w:rsidRPr="006E2F65">
        <w:rPr>
          <w:rStyle w:val="FootnoteReference"/>
          <w:sz w:val="20"/>
          <w:szCs w:val="20"/>
        </w:rPr>
        <w:footnoteRef/>
      </w:r>
      <w:r w:rsidRPr="006E2F65">
        <w:rPr>
          <w:sz w:val="20"/>
          <w:szCs w:val="20"/>
        </w:rPr>
        <w:t xml:space="preserve"> J</w:t>
      </w:r>
      <w:r>
        <w:rPr>
          <w:sz w:val="20"/>
          <w:szCs w:val="20"/>
        </w:rPr>
        <w:t xml:space="preserve">im </w:t>
      </w:r>
      <w:proofErr w:type="spellStart"/>
      <w:r w:rsidRPr="006E2F65">
        <w:rPr>
          <w:sz w:val="20"/>
          <w:szCs w:val="20"/>
        </w:rPr>
        <w:t>Keeley</w:t>
      </w:r>
      <w:proofErr w:type="spellEnd"/>
      <w:r w:rsidRPr="006E2F65">
        <w:rPr>
          <w:sz w:val="20"/>
          <w:szCs w:val="20"/>
        </w:rPr>
        <w:t xml:space="preserve"> “</w:t>
      </w:r>
      <w:r w:rsidRPr="006E2F65">
        <w:rPr>
          <w:bCs/>
          <w:sz w:val="20"/>
          <w:szCs w:val="20"/>
        </w:rPr>
        <w:t xml:space="preserve">Big Empty Spot: ‘Recognition’ and India’s Nuclear Weapon Status” in </w:t>
      </w:r>
      <w:proofErr w:type="spellStart"/>
      <w:r w:rsidRPr="006E2F65">
        <w:rPr>
          <w:sz w:val="20"/>
          <w:szCs w:val="20"/>
        </w:rPr>
        <w:t>K</w:t>
      </w:r>
      <w:r>
        <w:rPr>
          <w:sz w:val="20"/>
          <w:szCs w:val="20"/>
        </w:rPr>
        <w:t>arthika</w:t>
      </w:r>
      <w:proofErr w:type="spellEnd"/>
      <w:r w:rsidRPr="006E2F65">
        <w:rPr>
          <w:sz w:val="20"/>
          <w:szCs w:val="20"/>
        </w:rPr>
        <w:t xml:space="preserve"> </w:t>
      </w:r>
      <w:proofErr w:type="spellStart"/>
      <w:r w:rsidRPr="006E2F65">
        <w:rPr>
          <w:sz w:val="20"/>
          <w:szCs w:val="20"/>
        </w:rPr>
        <w:t>Sasikumar</w:t>
      </w:r>
      <w:proofErr w:type="spellEnd"/>
      <w:r w:rsidRPr="006E2F65">
        <w:rPr>
          <w:sz w:val="20"/>
          <w:szCs w:val="20"/>
        </w:rPr>
        <w:t xml:space="preserve"> and W</w:t>
      </w:r>
      <w:r>
        <w:rPr>
          <w:sz w:val="20"/>
          <w:szCs w:val="20"/>
        </w:rPr>
        <w:t xml:space="preserve">ade </w:t>
      </w:r>
      <w:r w:rsidRPr="006E2F65">
        <w:rPr>
          <w:sz w:val="20"/>
          <w:szCs w:val="20"/>
        </w:rPr>
        <w:t>Huntley (</w:t>
      </w:r>
      <w:proofErr w:type="spellStart"/>
      <w:proofErr w:type="gramStart"/>
      <w:r w:rsidRPr="006E2F65">
        <w:rPr>
          <w:sz w:val="20"/>
          <w:szCs w:val="20"/>
        </w:rPr>
        <w:t>eds</w:t>
      </w:r>
      <w:proofErr w:type="spellEnd"/>
      <w:proofErr w:type="gramEnd"/>
      <w:r w:rsidRPr="006E2F65">
        <w:rPr>
          <w:sz w:val="20"/>
          <w:szCs w:val="20"/>
        </w:rPr>
        <w:t xml:space="preserve">) </w:t>
      </w:r>
      <w:r w:rsidRPr="006E2F65">
        <w:rPr>
          <w:bCs/>
          <w:i/>
          <w:sz w:val="20"/>
          <w:szCs w:val="20"/>
        </w:rPr>
        <w:t xml:space="preserve">Canadian Policy on Nuclear Co-Operation with India: Confronting New Dilemmas </w:t>
      </w:r>
      <w:r w:rsidRPr="006E2F65">
        <w:rPr>
          <w:sz w:val="20"/>
          <w:szCs w:val="20"/>
        </w:rPr>
        <w:t>(Simons Centre for Disarmament and Non-Proliferat</w:t>
      </w:r>
      <w:r>
        <w:rPr>
          <w:sz w:val="20"/>
          <w:szCs w:val="20"/>
        </w:rPr>
        <w:t xml:space="preserve">ion Research, Vancouver, 2007)71-85 at </w:t>
      </w:r>
      <w:r w:rsidRPr="006E2F65">
        <w:rPr>
          <w:sz w:val="20"/>
          <w:szCs w:val="20"/>
        </w:rPr>
        <w:t>78.</w:t>
      </w:r>
    </w:p>
  </w:footnote>
  <w:footnote w:id="89">
    <w:p w:rsidR="00D555B7" w:rsidRPr="006E2F65" w:rsidRDefault="00D555B7" w:rsidP="00697444">
      <w:pPr>
        <w:pStyle w:val="FootnoteText"/>
        <w:jc w:val="both"/>
      </w:pPr>
      <w:r w:rsidRPr="006E2F65">
        <w:rPr>
          <w:rStyle w:val="FootnoteReference"/>
        </w:rPr>
        <w:footnoteRef/>
      </w:r>
      <w:r w:rsidRPr="006E2F65">
        <w:t xml:space="preserve"> </w:t>
      </w:r>
      <w:proofErr w:type="gramStart"/>
      <w:r w:rsidRPr="006E2F65">
        <w:t>Comprehensive Nuclear-Test-Ban Treaty 1996, UN Doc.</w:t>
      </w:r>
      <w:proofErr w:type="gramEnd"/>
      <w:r w:rsidRPr="006E2F65">
        <w:t xml:space="preserve"> </w:t>
      </w:r>
      <w:proofErr w:type="gramStart"/>
      <w:r w:rsidRPr="006E2F65">
        <w:t>A/50/1027.</w:t>
      </w:r>
      <w:proofErr w:type="gramEnd"/>
      <w:r w:rsidRPr="006E2F65">
        <w:t xml:space="preserve">  India is a non-signatory to this treaty, which is not yet in force.  On this trend in international relations with regard to India, see </w:t>
      </w:r>
      <w:proofErr w:type="spellStart"/>
      <w:r w:rsidRPr="006E2F65">
        <w:t>S</w:t>
      </w:r>
      <w:r>
        <w:t>eema</w:t>
      </w:r>
      <w:proofErr w:type="spellEnd"/>
      <w:r w:rsidRPr="006E2F65">
        <w:t xml:space="preserve"> </w:t>
      </w:r>
      <w:proofErr w:type="spellStart"/>
      <w:r w:rsidRPr="006E2F65">
        <w:t>Gahlaut</w:t>
      </w:r>
      <w:proofErr w:type="spellEnd"/>
      <w:r w:rsidRPr="006E2F65">
        <w:t xml:space="preserve"> “South Asia and the </w:t>
      </w:r>
      <w:proofErr w:type="spellStart"/>
      <w:r w:rsidRPr="006E2F65">
        <w:t>Nonproliferation</w:t>
      </w:r>
      <w:proofErr w:type="spellEnd"/>
      <w:r w:rsidRPr="006E2F65">
        <w:t xml:space="preserve"> Regime” in Busch and Joyner (</w:t>
      </w:r>
      <w:proofErr w:type="spellStart"/>
      <w:r w:rsidRPr="006E2F65">
        <w:t>eds</w:t>
      </w:r>
      <w:proofErr w:type="spellEnd"/>
      <w:r w:rsidRPr="006E2F65">
        <w:t xml:space="preserve">), </w:t>
      </w:r>
      <w:r>
        <w:t xml:space="preserve">above </w:t>
      </w:r>
      <w:r w:rsidRPr="006E2F65">
        <w:t xml:space="preserve">n </w:t>
      </w:r>
      <w:r>
        <w:t>3</w:t>
      </w:r>
      <w:r w:rsidRPr="006E2F65">
        <w:t xml:space="preserve">, 222-244 at 234; and Frey, </w:t>
      </w:r>
      <w:r>
        <w:t xml:space="preserve">above </w:t>
      </w:r>
      <w:r w:rsidRPr="006E2F65">
        <w:t xml:space="preserve">n </w:t>
      </w:r>
      <w:r>
        <w:t>71</w:t>
      </w:r>
      <w:r w:rsidRPr="006E2F65">
        <w:t xml:space="preserve"> at 153.</w:t>
      </w:r>
    </w:p>
  </w:footnote>
  <w:footnote w:id="90">
    <w:p w:rsidR="00D555B7" w:rsidRPr="006E2F65" w:rsidRDefault="00D555B7" w:rsidP="00697444">
      <w:pPr>
        <w:pStyle w:val="FootnoteText"/>
        <w:jc w:val="both"/>
      </w:pPr>
      <w:r w:rsidRPr="006E2F65">
        <w:rPr>
          <w:rStyle w:val="FootnoteReference"/>
        </w:rPr>
        <w:footnoteRef/>
      </w:r>
      <w:r>
        <w:t xml:space="preserve"> See </w:t>
      </w:r>
      <w:proofErr w:type="spellStart"/>
      <w:r>
        <w:t>Rai</w:t>
      </w:r>
      <w:proofErr w:type="spellEnd"/>
      <w:r>
        <w:t>, above n</w:t>
      </w:r>
      <w:r w:rsidRPr="006E2F65">
        <w:t xml:space="preserve"> </w:t>
      </w:r>
      <w:r>
        <w:t>80 at</w:t>
      </w:r>
      <w:r w:rsidRPr="006E2F65">
        <w:t xml:space="preserve"> 221.</w:t>
      </w:r>
    </w:p>
  </w:footnote>
  <w:footnote w:id="91">
    <w:p w:rsidR="00D555B7" w:rsidRPr="006E2F65" w:rsidRDefault="00D555B7" w:rsidP="00697444">
      <w:pPr>
        <w:pStyle w:val="FootnoteText"/>
        <w:jc w:val="both"/>
      </w:pPr>
      <w:r w:rsidRPr="006E2F65">
        <w:rPr>
          <w:rStyle w:val="FootnoteReference"/>
        </w:rPr>
        <w:footnoteRef/>
      </w:r>
      <w:r w:rsidRPr="006E2F65">
        <w:t xml:space="preserve"> </w:t>
      </w:r>
      <w:proofErr w:type="gramStart"/>
      <w:r w:rsidRPr="006E2F65">
        <w:rPr>
          <w:i/>
        </w:rPr>
        <w:t>Ibid</w:t>
      </w:r>
      <w:r w:rsidRPr="006E2F65">
        <w:t xml:space="preserve"> at 208.</w:t>
      </w:r>
      <w:proofErr w:type="gramEnd"/>
    </w:p>
  </w:footnote>
  <w:footnote w:id="92">
    <w:p w:rsidR="00D555B7" w:rsidRPr="006E2F65" w:rsidRDefault="00D555B7" w:rsidP="00697444">
      <w:pPr>
        <w:pStyle w:val="FootnoteText"/>
        <w:jc w:val="both"/>
      </w:pPr>
      <w:r w:rsidRPr="006E2F65">
        <w:rPr>
          <w:rStyle w:val="FootnoteReference"/>
        </w:rPr>
        <w:footnoteRef/>
      </w:r>
      <w:r>
        <w:t xml:space="preserve"> 123 </w:t>
      </w:r>
      <w:proofErr w:type="gramStart"/>
      <w:r>
        <w:t>Agreement</w:t>
      </w:r>
      <w:proofErr w:type="gramEnd"/>
      <w:r>
        <w:t>, above n</w:t>
      </w:r>
      <w:r w:rsidRPr="006E2F65">
        <w:t xml:space="preserve"> </w:t>
      </w:r>
      <w:r>
        <w:t>4</w:t>
      </w:r>
      <w:r w:rsidRPr="006E2F65">
        <w:t>.</w:t>
      </w:r>
    </w:p>
  </w:footnote>
  <w:footnote w:id="93">
    <w:p w:rsidR="00D555B7" w:rsidRPr="006E2F65" w:rsidRDefault="00D555B7" w:rsidP="00697444">
      <w:pPr>
        <w:pStyle w:val="FootnoteText"/>
        <w:jc w:val="both"/>
      </w:pPr>
      <w:r w:rsidRPr="006E2F65">
        <w:rPr>
          <w:rStyle w:val="FootnoteReference"/>
        </w:rPr>
        <w:footnoteRef/>
      </w:r>
      <w:r w:rsidRPr="006E2F65">
        <w:t xml:space="preserve"> Nuclear Suppliers Group ‘Statement on Civil Nuclear</w:t>
      </w:r>
      <w:r>
        <w:t xml:space="preserve"> Cooperation with India’ (2008)</w:t>
      </w:r>
      <w:r w:rsidRPr="006E2F65">
        <w:t xml:space="preserve"> </w:t>
      </w:r>
    </w:p>
    <w:p w:rsidR="00D555B7" w:rsidRPr="006E2F65" w:rsidRDefault="00D555B7" w:rsidP="00697444">
      <w:pPr>
        <w:pStyle w:val="FootnoteText"/>
        <w:jc w:val="both"/>
      </w:pPr>
      <w:r>
        <w:t>&lt;</w:t>
      </w:r>
      <w:r w:rsidRPr="006E2F65">
        <w:t>http://www.armscontrol.org/system/files/20080906_Final_NSG_Statement.pdf</w:t>
      </w:r>
      <w:r>
        <w:t>&gt;</w:t>
      </w:r>
      <w:r w:rsidRPr="006E2F65">
        <w:t>.</w:t>
      </w:r>
    </w:p>
  </w:footnote>
  <w:footnote w:id="94">
    <w:p w:rsidR="00D555B7" w:rsidRPr="006E2F65" w:rsidRDefault="00D555B7" w:rsidP="00697444">
      <w:pPr>
        <w:pStyle w:val="FootnoteText"/>
        <w:jc w:val="both"/>
      </w:pPr>
      <w:r w:rsidRPr="006E2F65">
        <w:rPr>
          <w:rStyle w:val="FootnoteReference"/>
        </w:rPr>
        <w:footnoteRef/>
      </w:r>
      <w:r w:rsidRPr="006E2F65">
        <w:t xml:space="preserve"> </w:t>
      </w:r>
      <w:proofErr w:type="spellStart"/>
      <w:proofErr w:type="gramStart"/>
      <w:r w:rsidRPr="006E2F65">
        <w:rPr>
          <w:lang w:val="en-US"/>
        </w:rPr>
        <w:t>Steinfeld</w:t>
      </w:r>
      <w:proofErr w:type="spellEnd"/>
      <w:r w:rsidRPr="006E2F65">
        <w:rPr>
          <w:lang w:val="en-US"/>
        </w:rPr>
        <w:t xml:space="preserve">, </w:t>
      </w:r>
      <w:r>
        <w:rPr>
          <w:lang w:val="en-US"/>
        </w:rPr>
        <w:t xml:space="preserve">above </w:t>
      </w:r>
      <w:r w:rsidRPr="006E2F65">
        <w:rPr>
          <w:lang w:val="en-US"/>
        </w:rPr>
        <w:t xml:space="preserve">n </w:t>
      </w:r>
      <w:r>
        <w:rPr>
          <w:lang w:val="en-US"/>
        </w:rPr>
        <w:t>36</w:t>
      </w:r>
      <w:r w:rsidRPr="006E2F65">
        <w:rPr>
          <w:lang w:val="en-US"/>
        </w:rPr>
        <w:t xml:space="preserve"> at 1676, 1680 and 1685.</w:t>
      </w:r>
      <w:proofErr w:type="gramEnd"/>
    </w:p>
  </w:footnote>
  <w:footnote w:id="95">
    <w:p w:rsidR="00D555B7" w:rsidRPr="006E2F65" w:rsidRDefault="00D555B7" w:rsidP="00697444">
      <w:pPr>
        <w:jc w:val="both"/>
        <w:rPr>
          <w:sz w:val="20"/>
          <w:szCs w:val="20"/>
        </w:rPr>
      </w:pPr>
      <w:r w:rsidRPr="006E2F65">
        <w:rPr>
          <w:rStyle w:val="FootnoteReference"/>
          <w:sz w:val="20"/>
          <w:szCs w:val="20"/>
        </w:rPr>
        <w:footnoteRef/>
      </w:r>
      <w:r>
        <w:rPr>
          <w:sz w:val="20"/>
          <w:szCs w:val="20"/>
        </w:rPr>
        <w:t xml:space="preserve"> </w:t>
      </w:r>
      <w:proofErr w:type="spellStart"/>
      <w:proofErr w:type="gramStart"/>
      <w:r>
        <w:rPr>
          <w:sz w:val="20"/>
          <w:szCs w:val="20"/>
        </w:rPr>
        <w:t>Choudhury</w:t>
      </w:r>
      <w:proofErr w:type="spellEnd"/>
      <w:r>
        <w:rPr>
          <w:sz w:val="20"/>
          <w:szCs w:val="20"/>
        </w:rPr>
        <w:t>, above n 70</w:t>
      </w:r>
      <w:r w:rsidRPr="006E2F65">
        <w:rPr>
          <w:sz w:val="20"/>
          <w:szCs w:val="20"/>
        </w:rPr>
        <w:t xml:space="preserve"> </w:t>
      </w:r>
      <w:r>
        <w:rPr>
          <w:sz w:val="20"/>
          <w:szCs w:val="20"/>
        </w:rPr>
        <w:t xml:space="preserve">at </w:t>
      </w:r>
      <w:r w:rsidRPr="006E2F65">
        <w:rPr>
          <w:sz w:val="20"/>
          <w:szCs w:val="20"/>
        </w:rPr>
        <w:t>10.</w:t>
      </w:r>
      <w:proofErr w:type="gramEnd"/>
    </w:p>
  </w:footnote>
  <w:footnote w:id="96">
    <w:p w:rsidR="00D555B7" w:rsidRPr="006E2F65" w:rsidRDefault="00D555B7" w:rsidP="00697444">
      <w:pPr>
        <w:pStyle w:val="FootnoteText"/>
        <w:jc w:val="both"/>
      </w:pPr>
      <w:r w:rsidRPr="006E2F65">
        <w:rPr>
          <w:rStyle w:val="FootnoteReference"/>
        </w:rPr>
        <w:footnoteRef/>
      </w:r>
      <w:r w:rsidRPr="006E2F65">
        <w:t xml:space="preserve"> </w:t>
      </w:r>
      <w:proofErr w:type="gramStart"/>
      <w:r w:rsidRPr="006E2F65">
        <w:t xml:space="preserve">Frey, </w:t>
      </w:r>
      <w:r>
        <w:t xml:space="preserve">above </w:t>
      </w:r>
      <w:r w:rsidRPr="006E2F65">
        <w:t xml:space="preserve">n </w:t>
      </w:r>
      <w:r>
        <w:t>71</w:t>
      </w:r>
      <w:r w:rsidRPr="006E2F65">
        <w:t xml:space="preserve"> particularly at 18-21.</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13E12"/>
    <w:multiLevelType w:val="hybridMultilevel"/>
    <w:tmpl w:val="ED9C101A"/>
    <w:lvl w:ilvl="0" w:tplc="08090011">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108DB"/>
    <w:rsid w:val="000013CA"/>
    <w:rsid w:val="000112E4"/>
    <w:rsid w:val="00025B94"/>
    <w:rsid w:val="000929F2"/>
    <w:rsid w:val="00093E2C"/>
    <w:rsid w:val="000C7EFD"/>
    <w:rsid w:val="000D371B"/>
    <w:rsid w:val="000E741E"/>
    <w:rsid w:val="000F0BFC"/>
    <w:rsid w:val="000F63E6"/>
    <w:rsid w:val="00103450"/>
    <w:rsid w:val="00105171"/>
    <w:rsid w:val="001263F2"/>
    <w:rsid w:val="00127ABF"/>
    <w:rsid w:val="0013357C"/>
    <w:rsid w:val="001479D2"/>
    <w:rsid w:val="00174BBF"/>
    <w:rsid w:val="0018412B"/>
    <w:rsid w:val="001858F5"/>
    <w:rsid w:val="0018716E"/>
    <w:rsid w:val="00191CEB"/>
    <w:rsid w:val="001A1C33"/>
    <w:rsid w:val="001B4914"/>
    <w:rsid w:val="001B50C4"/>
    <w:rsid w:val="001C6DBB"/>
    <w:rsid w:val="002203CB"/>
    <w:rsid w:val="00230312"/>
    <w:rsid w:val="002453BC"/>
    <w:rsid w:val="00266DD7"/>
    <w:rsid w:val="00267B86"/>
    <w:rsid w:val="002716BC"/>
    <w:rsid w:val="00273D15"/>
    <w:rsid w:val="00287E91"/>
    <w:rsid w:val="00297DBC"/>
    <w:rsid w:val="002A12F4"/>
    <w:rsid w:val="002A49DF"/>
    <w:rsid w:val="002B5E0A"/>
    <w:rsid w:val="002C5AE6"/>
    <w:rsid w:val="002D2BE6"/>
    <w:rsid w:val="002E3C40"/>
    <w:rsid w:val="002E76B3"/>
    <w:rsid w:val="002F6186"/>
    <w:rsid w:val="002F7431"/>
    <w:rsid w:val="00315DDE"/>
    <w:rsid w:val="0035333D"/>
    <w:rsid w:val="003614E3"/>
    <w:rsid w:val="00361968"/>
    <w:rsid w:val="003703FD"/>
    <w:rsid w:val="003A75BF"/>
    <w:rsid w:val="003B2DA0"/>
    <w:rsid w:val="003D748D"/>
    <w:rsid w:val="003E316C"/>
    <w:rsid w:val="00400D09"/>
    <w:rsid w:val="00401FE4"/>
    <w:rsid w:val="004133F7"/>
    <w:rsid w:val="004166C9"/>
    <w:rsid w:val="00482C6F"/>
    <w:rsid w:val="00483B5D"/>
    <w:rsid w:val="004859E4"/>
    <w:rsid w:val="00494C1B"/>
    <w:rsid w:val="004A2B2E"/>
    <w:rsid w:val="004A4AA7"/>
    <w:rsid w:val="004B00D2"/>
    <w:rsid w:val="004B512E"/>
    <w:rsid w:val="004C43BB"/>
    <w:rsid w:val="004C46C4"/>
    <w:rsid w:val="004D1C6F"/>
    <w:rsid w:val="004D3A5A"/>
    <w:rsid w:val="004E7550"/>
    <w:rsid w:val="00505E5F"/>
    <w:rsid w:val="00511936"/>
    <w:rsid w:val="00514B8A"/>
    <w:rsid w:val="00517242"/>
    <w:rsid w:val="00523DB3"/>
    <w:rsid w:val="005303BA"/>
    <w:rsid w:val="00555AEF"/>
    <w:rsid w:val="00562F3C"/>
    <w:rsid w:val="0056468F"/>
    <w:rsid w:val="005646AB"/>
    <w:rsid w:val="005654BC"/>
    <w:rsid w:val="005827FF"/>
    <w:rsid w:val="00586BE0"/>
    <w:rsid w:val="005A0DAD"/>
    <w:rsid w:val="005C2CB2"/>
    <w:rsid w:val="005D5A18"/>
    <w:rsid w:val="005E0F33"/>
    <w:rsid w:val="005E2BD3"/>
    <w:rsid w:val="005E384A"/>
    <w:rsid w:val="00600758"/>
    <w:rsid w:val="00602DB4"/>
    <w:rsid w:val="0061134B"/>
    <w:rsid w:val="0062278D"/>
    <w:rsid w:val="00634926"/>
    <w:rsid w:val="0063615C"/>
    <w:rsid w:val="00644C47"/>
    <w:rsid w:val="006455E9"/>
    <w:rsid w:val="0064703E"/>
    <w:rsid w:val="006676CE"/>
    <w:rsid w:val="00686EDD"/>
    <w:rsid w:val="006934CA"/>
    <w:rsid w:val="00697444"/>
    <w:rsid w:val="006A058D"/>
    <w:rsid w:val="006A411B"/>
    <w:rsid w:val="006B28BA"/>
    <w:rsid w:val="006B3580"/>
    <w:rsid w:val="006C308F"/>
    <w:rsid w:val="006D16B3"/>
    <w:rsid w:val="006E2F65"/>
    <w:rsid w:val="006E5F9B"/>
    <w:rsid w:val="006F5183"/>
    <w:rsid w:val="00720A72"/>
    <w:rsid w:val="007219FF"/>
    <w:rsid w:val="00725559"/>
    <w:rsid w:val="00742853"/>
    <w:rsid w:val="0076625D"/>
    <w:rsid w:val="007941AD"/>
    <w:rsid w:val="007A2014"/>
    <w:rsid w:val="007A5410"/>
    <w:rsid w:val="007C1C1E"/>
    <w:rsid w:val="007F0089"/>
    <w:rsid w:val="00831DF3"/>
    <w:rsid w:val="00835BD8"/>
    <w:rsid w:val="00840122"/>
    <w:rsid w:val="00841043"/>
    <w:rsid w:val="00861493"/>
    <w:rsid w:val="00884A98"/>
    <w:rsid w:val="00891811"/>
    <w:rsid w:val="00895A52"/>
    <w:rsid w:val="008A0B46"/>
    <w:rsid w:val="008B060A"/>
    <w:rsid w:val="008C3043"/>
    <w:rsid w:val="008D1463"/>
    <w:rsid w:val="008D1F5B"/>
    <w:rsid w:val="008F5AF0"/>
    <w:rsid w:val="0090215F"/>
    <w:rsid w:val="009108DB"/>
    <w:rsid w:val="00911A2A"/>
    <w:rsid w:val="009129BB"/>
    <w:rsid w:val="00913139"/>
    <w:rsid w:val="00921790"/>
    <w:rsid w:val="00922359"/>
    <w:rsid w:val="00930C64"/>
    <w:rsid w:val="00934BC5"/>
    <w:rsid w:val="009408CB"/>
    <w:rsid w:val="00941B8B"/>
    <w:rsid w:val="00943BB5"/>
    <w:rsid w:val="009775BE"/>
    <w:rsid w:val="00987CBF"/>
    <w:rsid w:val="009C5F95"/>
    <w:rsid w:val="009F2162"/>
    <w:rsid w:val="00A06D01"/>
    <w:rsid w:val="00A1006C"/>
    <w:rsid w:val="00A12BF3"/>
    <w:rsid w:val="00A13A0B"/>
    <w:rsid w:val="00A21D86"/>
    <w:rsid w:val="00A45A40"/>
    <w:rsid w:val="00A46CCD"/>
    <w:rsid w:val="00A56377"/>
    <w:rsid w:val="00A63ACD"/>
    <w:rsid w:val="00A72DCC"/>
    <w:rsid w:val="00A75C70"/>
    <w:rsid w:val="00A82EF0"/>
    <w:rsid w:val="00A96641"/>
    <w:rsid w:val="00AB319C"/>
    <w:rsid w:val="00AC292D"/>
    <w:rsid w:val="00AC7B06"/>
    <w:rsid w:val="00AE0825"/>
    <w:rsid w:val="00AE08F3"/>
    <w:rsid w:val="00AE39D3"/>
    <w:rsid w:val="00AE44B8"/>
    <w:rsid w:val="00AE60D2"/>
    <w:rsid w:val="00AE7D3D"/>
    <w:rsid w:val="00AF64C2"/>
    <w:rsid w:val="00B004FC"/>
    <w:rsid w:val="00B148A4"/>
    <w:rsid w:val="00B16091"/>
    <w:rsid w:val="00B21827"/>
    <w:rsid w:val="00B223B2"/>
    <w:rsid w:val="00B4249E"/>
    <w:rsid w:val="00B50260"/>
    <w:rsid w:val="00B548B7"/>
    <w:rsid w:val="00B56FF0"/>
    <w:rsid w:val="00B65DB4"/>
    <w:rsid w:val="00B67745"/>
    <w:rsid w:val="00BA39C0"/>
    <w:rsid w:val="00BB1F97"/>
    <w:rsid w:val="00BE2CBB"/>
    <w:rsid w:val="00BE5F52"/>
    <w:rsid w:val="00C122BB"/>
    <w:rsid w:val="00C1568C"/>
    <w:rsid w:val="00C45C15"/>
    <w:rsid w:val="00C56C89"/>
    <w:rsid w:val="00C702C0"/>
    <w:rsid w:val="00C704DF"/>
    <w:rsid w:val="00C7144B"/>
    <w:rsid w:val="00C71CB6"/>
    <w:rsid w:val="00C752DD"/>
    <w:rsid w:val="00C91F07"/>
    <w:rsid w:val="00C9381E"/>
    <w:rsid w:val="00CC6D17"/>
    <w:rsid w:val="00D224B7"/>
    <w:rsid w:val="00D366A4"/>
    <w:rsid w:val="00D43437"/>
    <w:rsid w:val="00D519CE"/>
    <w:rsid w:val="00D555B7"/>
    <w:rsid w:val="00D97F76"/>
    <w:rsid w:val="00DA2C6F"/>
    <w:rsid w:val="00DB4B9B"/>
    <w:rsid w:val="00DD5AA2"/>
    <w:rsid w:val="00DD680D"/>
    <w:rsid w:val="00DE7D37"/>
    <w:rsid w:val="00E01363"/>
    <w:rsid w:val="00E164DF"/>
    <w:rsid w:val="00E4006F"/>
    <w:rsid w:val="00E45B0E"/>
    <w:rsid w:val="00E50A62"/>
    <w:rsid w:val="00E72345"/>
    <w:rsid w:val="00E87305"/>
    <w:rsid w:val="00E874BF"/>
    <w:rsid w:val="00E946AC"/>
    <w:rsid w:val="00EA51F5"/>
    <w:rsid w:val="00EB0B99"/>
    <w:rsid w:val="00EC1985"/>
    <w:rsid w:val="00EC4EC2"/>
    <w:rsid w:val="00ED1C87"/>
    <w:rsid w:val="00ED6253"/>
    <w:rsid w:val="00EE512E"/>
    <w:rsid w:val="00F11007"/>
    <w:rsid w:val="00F1292C"/>
    <w:rsid w:val="00F132D4"/>
    <w:rsid w:val="00F170CF"/>
    <w:rsid w:val="00F17B3F"/>
    <w:rsid w:val="00F27532"/>
    <w:rsid w:val="00F345B0"/>
    <w:rsid w:val="00F81B91"/>
    <w:rsid w:val="00F95FCC"/>
    <w:rsid w:val="00FA029C"/>
    <w:rsid w:val="00FA7051"/>
    <w:rsid w:val="00FB468C"/>
    <w:rsid w:val="00FC34B9"/>
    <w:rsid w:val="00FC38DF"/>
    <w:rsid w:val="00FE085B"/>
    <w:rsid w:val="00FE41D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8DB"/>
    <w:rPr>
      <w:rFonts w:eastAsia="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9108DB"/>
    <w:rPr>
      <w:sz w:val="20"/>
      <w:szCs w:val="20"/>
    </w:rPr>
  </w:style>
  <w:style w:type="character" w:customStyle="1" w:styleId="FootnoteTextChar">
    <w:name w:val="Footnote Text Char"/>
    <w:basedOn w:val="DefaultParagraphFont"/>
    <w:link w:val="FootnoteText"/>
    <w:rsid w:val="009108DB"/>
    <w:rPr>
      <w:rFonts w:eastAsia="Times New Roman" w:cs="Times New Roman"/>
      <w:sz w:val="20"/>
      <w:szCs w:val="20"/>
      <w:lang w:eastAsia="en-GB"/>
    </w:rPr>
  </w:style>
  <w:style w:type="character" w:styleId="FootnoteReference">
    <w:name w:val="footnote reference"/>
    <w:basedOn w:val="DefaultParagraphFont"/>
    <w:uiPriority w:val="99"/>
    <w:rsid w:val="009108DB"/>
    <w:rPr>
      <w:vertAlign w:val="superscript"/>
    </w:rPr>
  </w:style>
  <w:style w:type="character" w:customStyle="1" w:styleId="fn">
    <w:name w:val="fn"/>
    <w:basedOn w:val="DefaultParagraphFont"/>
    <w:rsid w:val="009108DB"/>
  </w:style>
  <w:style w:type="character" w:styleId="Strong">
    <w:name w:val="Strong"/>
    <w:basedOn w:val="DefaultParagraphFont"/>
    <w:uiPriority w:val="22"/>
    <w:qFormat/>
    <w:rsid w:val="00884A98"/>
    <w:rPr>
      <w:b/>
      <w:bCs/>
    </w:rPr>
  </w:style>
  <w:style w:type="character" w:styleId="Emphasis">
    <w:name w:val="Emphasis"/>
    <w:basedOn w:val="DefaultParagraphFont"/>
    <w:uiPriority w:val="20"/>
    <w:qFormat/>
    <w:rsid w:val="00884A98"/>
    <w:rPr>
      <w:i/>
      <w:iCs/>
    </w:rPr>
  </w:style>
  <w:style w:type="character" w:customStyle="1" w:styleId="date1">
    <w:name w:val="date1"/>
    <w:basedOn w:val="DefaultParagraphFont"/>
    <w:rsid w:val="00884A98"/>
    <w:rPr>
      <w:rFonts w:ascii="Verdana" w:hAnsi="Verdana" w:hint="default"/>
      <w:color w:val="000000"/>
      <w:sz w:val="14"/>
      <w:szCs w:val="14"/>
    </w:rPr>
  </w:style>
  <w:style w:type="paragraph" w:styleId="BlockText">
    <w:name w:val="Block Text"/>
    <w:basedOn w:val="Normal"/>
    <w:uiPriority w:val="99"/>
    <w:rsid w:val="00884A98"/>
    <w:pPr>
      <w:ind w:left="624" w:right="624"/>
      <w:jc w:val="both"/>
    </w:pPr>
    <w:rPr>
      <w:rFonts w:ascii="Bookman Old Style" w:hAnsi="Bookman Old Style"/>
      <w:sz w:val="20"/>
      <w:szCs w:val="20"/>
    </w:rPr>
  </w:style>
  <w:style w:type="character" w:customStyle="1" w:styleId="slug-vol">
    <w:name w:val="slug-vol"/>
    <w:basedOn w:val="DefaultParagraphFont"/>
    <w:rsid w:val="00884A98"/>
  </w:style>
  <w:style w:type="character" w:customStyle="1" w:styleId="byline">
    <w:name w:val="byline"/>
    <w:basedOn w:val="DefaultParagraphFont"/>
    <w:rsid w:val="00AB319C"/>
  </w:style>
  <w:style w:type="character" w:customStyle="1" w:styleId="slug-issue">
    <w:name w:val="slug-issue"/>
    <w:basedOn w:val="DefaultParagraphFont"/>
    <w:rsid w:val="0090215F"/>
  </w:style>
  <w:style w:type="paragraph" w:customStyle="1" w:styleId="Default">
    <w:name w:val="Default"/>
    <w:rsid w:val="00DE7D37"/>
    <w:pPr>
      <w:autoSpaceDE w:val="0"/>
      <w:autoSpaceDN w:val="0"/>
      <w:adjustRightInd w:val="0"/>
    </w:pPr>
    <w:rPr>
      <w:rFonts w:ascii="Calligraph421 BT" w:eastAsia="Calibri" w:hAnsi="Calligraph421 BT" w:cs="Calligraph421 BT"/>
      <w:color w:val="000000"/>
      <w:szCs w:val="24"/>
    </w:rPr>
  </w:style>
  <w:style w:type="paragraph" w:styleId="Header">
    <w:name w:val="header"/>
    <w:basedOn w:val="Normal"/>
    <w:link w:val="HeaderChar"/>
    <w:uiPriority w:val="99"/>
    <w:semiHidden/>
    <w:unhideWhenUsed/>
    <w:rsid w:val="007F0089"/>
    <w:pPr>
      <w:tabs>
        <w:tab w:val="center" w:pos="4513"/>
        <w:tab w:val="right" w:pos="9026"/>
      </w:tabs>
    </w:pPr>
  </w:style>
  <w:style w:type="character" w:customStyle="1" w:styleId="HeaderChar">
    <w:name w:val="Header Char"/>
    <w:basedOn w:val="DefaultParagraphFont"/>
    <w:link w:val="Header"/>
    <w:uiPriority w:val="99"/>
    <w:semiHidden/>
    <w:rsid w:val="007F0089"/>
    <w:rPr>
      <w:rFonts w:eastAsia="Times New Roman" w:cs="Times New Roman"/>
      <w:szCs w:val="24"/>
      <w:lang w:eastAsia="en-GB"/>
    </w:rPr>
  </w:style>
  <w:style w:type="paragraph" w:styleId="Footer">
    <w:name w:val="footer"/>
    <w:basedOn w:val="Normal"/>
    <w:link w:val="FooterChar"/>
    <w:uiPriority w:val="99"/>
    <w:unhideWhenUsed/>
    <w:rsid w:val="007F0089"/>
    <w:pPr>
      <w:tabs>
        <w:tab w:val="center" w:pos="4513"/>
        <w:tab w:val="right" w:pos="9026"/>
      </w:tabs>
    </w:pPr>
  </w:style>
  <w:style w:type="character" w:customStyle="1" w:styleId="FooterChar">
    <w:name w:val="Footer Char"/>
    <w:basedOn w:val="DefaultParagraphFont"/>
    <w:link w:val="Footer"/>
    <w:uiPriority w:val="99"/>
    <w:rsid w:val="007F0089"/>
    <w:rPr>
      <w:rFonts w:eastAsia="Times New Roman" w:cs="Times New Roman"/>
      <w:szCs w:val="24"/>
      <w:lang w:eastAsia="en-GB"/>
    </w:rPr>
  </w:style>
  <w:style w:type="paragraph" w:styleId="BalloonText">
    <w:name w:val="Balloon Text"/>
    <w:basedOn w:val="Normal"/>
    <w:link w:val="BalloonTextChar"/>
    <w:uiPriority w:val="99"/>
    <w:semiHidden/>
    <w:unhideWhenUsed/>
    <w:rsid w:val="000929F2"/>
    <w:rPr>
      <w:rFonts w:ascii="Tahoma" w:hAnsi="Tahoma" w:cs="Tahoma"/>
      <w:sz w:val="16"/>
      <w:szCs w:val="16"/>
    </w:rPr>
  </w:style>
  <w:style w:type="character" w:customStyle="1" w:styleId="BalloonTextChar">
    <w:name w:val="Balloon Text Char"/>
    <w:basedOn w:val="DefaultParagraphFont"/>
    <w:link w:val="BalloonText"/>
    <w:uiPriority w:val="99"/>
    <w:semiHidden/>
    <w:rsid w:val="000929F2"/>
    <w:rPr>
      <w:rFonts w:ascii="Tahoma" w:eastAsia="Times New Roman" w:hAnsi="Tahoma" w:cs="Tahoma"/>
      <w:sz w:val="16"/>
      <w:szCs w:val="16"/>
      <w:lang w:eastAsia="en-GB"/>
    </w:rPr>
  </w:style>
  <w:style w:type="paragraph" w:styleId="PlainText">
    <w:name w:val="Plain Text"/>
    <w:basedOn w:val="Normal"/>
    <w:link w:val="PlainTextChar"/>
    <w:rsid w:val="00861493"/>
    <w:rPr>
      <w:rFonts w:ascii="Courier New" w:hAnsi="Courier New" w:cs="Courier New"/>
      <w:sz w:val="20"/>
      <w:szCs w:val="20"/>
      <w:lang w:val="en-US" w:eastAsia="en-US"/>
    </w:rPr>
  </w:style>
  <w:style w:type="character" w:customStyle="1" w:styleId="PlainTextChar">
    <w:name w:val="Plain Text Char"/>
    <w:basedOn w:val="DefaultParagraphFont"/>
    <w:link w:val="PlainText"/>
    <w:rsid w:val="00861493"/>
    <w:rPr>
      <w:rFonts w:ascii="Courier New" w:eastAsia="Times New Roman" w:hAnsi="Courier New" w:cs="Courier New"/>
      <w:sz w:val="20"/>
      <w:szCs w:val="20"/>
      <w:lang w:val="en-US"/>
    </w:rPr>
  </w:style>
  <w:style w:type="character" w:styleId="CommentReference">
    <w:name w:val="annotation reference"/>
    <w:basedOn w:val="DefaultParagraphFont"/>
    <w:uiPriority w:val="99"/>
    <w:semiHidden/>
    <w:unhideWhenUsed/>
    <w:rsid w:val="001479D2"/>
    <w:rPr>
      <w:sz w:val="18"/>
      <w:szCs w:val="18"/>
    </w:rPr>
  </w:style>
  <w:style w:type="paragraph" w:styleId="CommentText">
    <w:name w:val="annotation text"/>
    <w:basedOn w:val="Normal"/>
    <w:link w:val="CommentTextChar"/>
    <w:uiPriority w:val="99"/>
    <w:semiHidden/>
    <w:unhideWhenUsed/>
    <w:rsid w:val="001479D2"/>
  </w:style>
  <w:style w:type="character" w:customStyle="1" w:styleId="CommentTextChar">
    <w:name w:val="Comment Text Char"/>
    <w:basedOn w:val="DefaultParagraphFont"/>
    <w:link w:val="CommentText"/>
    <w:uiPriority w:val="99"/>
    <w:semiHidden/>
    <w:rsid w:val="001479D2"/>
    <w:rPr>
      <w:rFonts w:eastAsia="Times New Roman" w:cs="Times New Roman"/>
      <w:szCs w:val="24"/>
      <w:lang w:eastAsia="en-GB"/>
    </w:rPr>
  </w:style>
  <w:style w:type="paragraph" w:styleId="CommentSubject">
    <w:name w:val="annotation subject"/>
    <w:basedOn w:val="CommentText"/>
    <w:next w:val="CommentText"/>
    <w:link w:val="CommentSubjectChar"/>
    <w:uiPriority w:val="99"/>
    <w:semiHidden/>
    <w:unhideWhenUsed/>
    <w:rsid w:val="001479D2"/>
    <w:rPr>
      <w:b/>
      <w:bCs/>
      <w:sz w:val="20"/>
      <w:szCs w:val="20"/>
    </w:rPr>
  </w:style>
  <w:style w:type="character" w:customStyle="1" w:styleId="CommentSubjectChar">
    <w:name w:val="Comment Subject Char"/>
    <w:basedOn w:val="CommentTextChar"/>
    <w:link w:val="CommentSubject"/>
    <w:uiPriority w:val="99"/>
    <w:semiHidden/>
    <w:rsid w:val="001479D2"/>
    <w:rPr>
      <w:rFonts w:eastAsia="Times New Roman" w:cs="Times New Roman"/>
      <w:b/>
      <w:bCs/>
      <w:sz w:val="20"/>
      <w:szCs w:val="20"/>
      <w:lang w:eastAsia="en-GB"/>
    </w:rPr>
  </w:style>
  <w:style w:type="character" w:styleId="Hyperlink">
    <w:name w:val="Hyperlink"/>
    <w:basedOn w:val="DefaultParagraphFont"/>
    <w:uiPriority w:val="99"/>
    <w:unhideWhenUsed/>
    <w:rsid w:val="00644C4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8DB"/>
    <w:rPr>
      <w:rFonts w:eastAsia="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9108DB"/>
    <w:rPr>
      <w:sz w:val="20"/>
      <w:szCs w:val="20"/>
    </w:rPr>
  </w:style>
  <w:style w:type="character" w:customStyle="1" w:styleId="FootnoteTextChar">
    <w:name w:val="Footnote Text Char"/>
    <w:basedOn w:val="DefaultParagraphFont"/>
    <w:link w:val="FootnoteText"/>
    <w:rsid w:val="009108DB"/>
    <w:rPr>
      <w:rFonts w:eastAsia="Times New Roman" w:cs="Times New Roman"/>
      <w:sz w:val="20"/>
      <w:szCs w:val="20"/>
      <w:lang w:eastAsia="en-GB"/>
    </w:rPr>
  </w:style>
  <w:style w:type="character" w:styleId="FootnoteReference">
    <w:name w:val="footnote reference"/>
    <w:basedOn w:val="DefaultParagraphFont"/>
    <w:uiPriority w:val="99"/>
    <w:rsid w:val="009108DB"/>
    <w:rPr>
      <w:vertAlign w:val="superscript"/>
    </w:rPr>
  </w:style>
  <w:style w:type="character" w:customStyle="1" w:styleId="fn">
    <w:name w:val="fn"/>
    <w:basedOn w:val="DefaultParagraphFont"/>
    <w:rsid w:val="009108DB"/>
  </w:style>
  <w:style w:type="character" w:styleId="Strong">
    <w:name w:val="Strong"/>
    <w:basedOn w:val="DefaultParagraphFont"/>
    <w:uiPriority w:val="22"/>
    <w:qFormat/>
    <w:rsid w:val="00884A98"/>
    <w:rPr>
      <w:b/>
      <w:bCs/>
    </w:rPr>
  </w:style>
  <w:style w:type="character" w:styleId="Emphasis">
    <w:name w:val="Emphasis"/>
    <w:basedOn w:val="DefaultParagraphFont"/>
    <w:uiPriority w:val="20"/>
    <w:qFormat/>
    <w:rsid w:val="00884A98"/>
    <w:rPr>
      <w:i/>
      <w:iCs/>
    </w:rPr>
  </w:style>
  <w:style w:type="character" w:customStyle="1" w:styleId="date1">
    <w:name w:val="date1"/>
    <w:basedOn w:val="DefaultParagraphFont"/>
    <w:rsid w:val="00884A98"/>
    <w:rPr>
      <w:rFonts w:ascii="Verdana" w:hAnsi="Verdana" w:hint="default"/>
      <w:color w:val="000000"/>
      <w:sz w:val="14"/>
      <w:szCs w:val="14"/>
    </w:rPr>
  </w:style>
  <w:style w:type="paragraph" w:styleId="BlockText">
    <w:name w:val="Block Text"/>
    <w:basedOn w:val="Normal"/>
    <w:uiPriority w:val="99"/>
    <w:rsid w:val="00884A98"/>
    <w:pPr>
      <w:ind w:left="624" w:right="624"/>
      <w:jc w:val="both"/>
    </w:pPr>
    <w:rPr>
      <w:rFonts w:ascii="Bookman Old Style" w:hAnsi="Bookman Old Style"/>
      <w:sz w:val="20"/>
      <w:szCs w:val="20"/>
    </w:rPr>
  </w:style>
  <w:style w:type="character" w:customStyle="1" w:styleId="slug-vol">
    <w:name w:val="slug-vol"/>
    <w:basedOn w:val="DefaultParagraphFont"/>
    <w:rsid w:val="00884A98"/>
  </w:style>
  <w:style w:type="character" w:customStyle="1" w:styleId="byline">
    <w:name w:val="byline"/>
    <w:basedOn w:val="DefaultParagraphFont"/>
    <w:rsid w:val="00AB319C"/>
  </w:style>
  <w:style w:type="character" w:customStyle="1" w:styleId="slug-issue">
    <w:name w:val="slug-issue"/>
    <w:basedOn w:val="DefaultParagraphFont"/>
    <w:rsid w:val="0090215F"/>
  </w:style>
  <w:style w:type="paragraph" w:customStyle="1" w:styleId="Default">
    <w:name w:val="Default"/>
    <w:rsid w:val="00DE7D37"/>
    <w:pPr>
      <w:autoSpaceDE w:val="0"/>
      <w:autoSpaceDN w:val="0"/>
      <w:adjustRightInd w:val="0"/>
    </w:pPr>
    <w:rPr>
      <w:rFonts w:ascii="Calligraph421 BT" w:eastAsia="Calibri" w:hAnsi="Calligraph421 BT" w:cs="Calligraph421 BT"/>
      <w:color w:val="000000"/>
      <w:szCs w:val="24"/>
    </w:rPr>
  </w:style>
  <w:style w:type="paragraph" w:styleId="Header">
    <w:name w:val="header"/>
    <w:basedOn w:val="Normal"/>
    <w:link w:val="HeaderChar"/>
    <w:uiPriority w:val="99"/>
    <w:semiHidden/>
    <w:unhideWhenUsed/>
    <w:rsid w:val="007F0089"/>
    <w:pPr>
      <w:tabs>
        <w:tab w:val="center" w:pos="4513"/>
        <w:tab w:val="right" w:pos="9026"/>
      </w:tabs>
    </w:pPr>
  </w:style>
  <w:style w:type="character" w:customStyle="1" w:styleId="HeaderChar">
    <w:name w:val="Header Char"/>
    <w:basedOn w:val="DefaultParagraphFont"/>
    <w:link w:val="Header"/>
    <w:uiPriority w:val="99"/>
    <w:semiHidden/>
    <w:rsid w:val="007F0089"/>
    <w:rPr>
      <w:rFonts w:eastAsia="Times New Roman" w:cs="Times New Roman"/>
      <w:szCs w:val="24"/>
      <w:lang w:eastAsia="en-GB"/>
    </w:rPr>
  </w:style>
  <w:style w:type="paragraph" w:styleId="Footer">
    <w:name w:val="footer"/>
    <w:basedOn w:val="Normal"/>
    <w:link w:val="FooterChar"/>
    <w:uiPriority w:val="99"/>
    <w:unhideWhenUsed/>
    <w:rsid w:val="007F0089"/>
    <w:pPr>
      <w:tabs>
        <w:tab w:val="center" w:pos="4513"/>
        <w:tab w:val="right" w:pos="9026"/>
      </w:tabs>
    </w:pPr>
  </w:style>
  <w:style w:type="character" w:customStyle="1" w:styleId="FooterChar">
    <w:name w:val="Footer Char"/>
    <w:basedOn w:val="DefaultParagraphFont"/>
    <w:link w:val="Footer"/>
    <w:uiPriority w:val="99"/>
    <w:rsid w:val="007F0089"/>
    <w:rPr>
      <w:rFonts w:eastAsia="Times New Roman" w:cs="Times New Roman"/>
      <w:szCs w:val="24"/>
      <w:lang w:eastAsia="en-GB"/>
    </w:rPr>
  </w:style>
  <w:style w:type="paragraph" w:styleId="BalloonText">
    <w:name w:val="Balloon Text"/>
    <w:basedOn w:val="Normal"/>
    <w:link w:val="BalloonTextChar"/>
    <w:uiPriority w:val="99"/>
    <w:semiHidden/>
    <w:unhideWhenUsed/>
    <w:rsid w:val="000929F2"/>
    <w:rPr>
      <w:rFonts w:ascii="Tahoma" w:hAnsi="Tahoma" w:cs="Tahoma"/>
      <w:sz w:val="16"/>
      <w:szCs w:val="16"/>
    </w:rPr>
  </w:style>
  <w:style w:type="character" w:customStyle="1" w:styleId="BalloonTextChar">
    <w:name w:val="Balloon Text Char"/>
    <w:basedOn w:val="DefaultParagraphFont"/>
    <w:link w:val="BalloonText"/>
    <w:uiPriority w:val="99"/>
    <w:semiHidden/>
    <w:rsid w:val="000929F2"/>
    <w:rPr>
      <w:rFonts w:ascii="Tahoma" w:eastAsia="Times New Roman" w:hAnsi="Tahoma" w:cs="Tahoma"/>
      <w:sz w:val="16"/>
      <w:szCs w:val="16"/>
      <w:lang w:eastAsia="en-GB"/>
    </w:rPr>
  </w:style>
  <w:style w:type="paragraph" w:styleId="PlainText">
    <w:name w:val="Plain Text"/>
    <w:basedOn w:val="Normal"/>
    <w:link w:val="PlainTextChar"/>
    <w:rsid w:val="00861493"/>
    <w:rPr>
      <w:rFonts w:ascii="Courier New" w:hAnsi="Courier New" w:cs="Courier New"/>
      <w:sz w:val="20"/>
      <w:szCs w:val="20"/>
      <w:lang w:val="en-US" w:eastAsia="en-US"/>
    </w:rPr>
  </w:style>
  <w:style w:type="character" w:customStyle="1" w:styleId="PlainTextChar">
    <w:name w:val="Plain Text Char"/>
    <w:basedOn w:val="DefaultParagraphFont"/>
    <w:link w:val="PlainText"/>
    <w:rsid w:val="00861493"/>
    <w:rPr>
      <w:rFonts w:ascii="Courier New" w:eastAsia="Times New Roman" w:hAnsi="Courier New" w:cs="Courier New"/>
      <w:sz w:val="20"/>
      <w:szCs w:val="20"/>
      <w:lang w:val="en-US"/>
    </w:rPr>
  </w:style>
  <w:style w:type="character" w:styleId="CommentReference">
    <w:name w:val="annotation reference"/>
    <w:basedOn w:val="DefaultParagraphFont"/>
    <w:uiPriority w:val="99"/>
    <w:semiHidden/>
    <w:unhideWhenUsed/>
    <w:rsid w:val="001479D2"/>
    <w:rPr>
      <w:sz w:val="18"/>
      <w:szCs w:val="18"/>
    </w:rPr>
  </w:style>
  <w:style w:type="paragraph" w:styleId="CommentText">
    <w:name w:val="annotation text"/>
    <w:basedOn w:val="Normal"/>
    <w:link w:val="CommentTextChar"/>
    <w:uiPriority w:val="99"/>
    <w:semiHidden/>
    <w:unhideWhenUsed/>
    <w:rsid w:val="001479D2"/>
  </w:style>
  <w:style w:type="character" w:customStyle="1" w:styleId="CommentTextChar">
    <w:name w:val="Comment Text Char"/>
    <w:basedOn w:val="DefaultParagraphFont"/>
    <w:link w:val="CommentText"/>
    <w:uiPriority w:val="99"/>
    <w:semiHidden/>
    <w:rsid w:val="001479D2"/>
    <w:rPr>
      <w:rFonts w:eastAsia="Times New Roman" w:cs="Times New Roman"/>
      <w:szCs w:val="24"/>
      <w:lang w:eastAsia="en-GB"/>
    </w:rPr>
  </w:style>
  <w:style w:type="paragraph" w:styleId="CommentSubject">
    <w:name w:val="annotation subject"/>
    <w:basedOn w:val="CommentText"/>
    <w:next w:val="CommentText"/>
    <w:link w:val="CommentSubjectChar"/>
    <w:uiPriority w:val="99"/>
    <w:semiHidden/>
    <w:unhideWhenUsed/>
    <w:rsid w:val="001479D2"/>
    <w:rPr>
      <w:b/>
      <w:bCs/>
      <w:sz w:val="20"/>
      <w:szCs w:val="20"/>
    </w:rPr>
  </w:style>
  <w:style w:type="character" w:customStyle="1" w:styleId="CommentSubjectChar">
    <w:name w:val="Comment Subject Char"/>
    <w:basedOn w:val="CommentTextChar"/>
    <w:link w:val="CommentSubject"/>
    <w:uiPriority w:val="99"/>
    <w:semiHidden/>
    <w:rsid w:val="001479D2"/>
    <w:rPr>
      <w:rFonts w:eastAsia="Times New Roman" w:cs="Times New Roman"/>
      <w:b/>
      <w:bCs/>
      <w:sz w:val="20"/>
      <w:szCs w:val="20"/>
      <w:lang w:eastAsia="en-GB"/>
    </w:rPr>
  </w:style>
  <w:style w:type="character" w:styleId="Hyperlink">
    <w:name w:val="Hyperlink"/>
    <w:basedOn w:val="DefaultParagraphFont"/>
    <w:uiPriority w:val="99"/>
    <w:unhideWhenUsed/>
    <w:rsid w:val="00644C4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51860-DC9C-432D-8149-D7FEC3C7C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5134</Words>
  <Characters>29264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Andrew Green</dc:creator>
  <cp:lastModifiedBy>James Andrew Green</cp:lastModifiedBy>
  <cp:revision>2</cp:revision>
  <cp:lastPrinted>2011-05-31T09:11:00Z</cp:lastPrinted>
  <dcterms:created xsi:type="dcterms:W3CDTF">2011-07-20T22:39:00Z</dcterms:created>
  <dcterms:modified xsi:type="dcterms:W3CDTF">2011-07-20T22:39:00Z</dcterms:modified>
</cp:coreProperties>
</file>