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A3" w:rsidRPr="008A2ED2" w:rsidRDefault="00DB66A3" w:rsidP="00E74F4A">
      <w:pPr>
        <w:spacing w:line="360" w:lineRule="auto"/>
        <w:ind w:left="720"/>
        <w:rPr>
          <w:bCs/>
          <w:shd w:val="clear" w:color="auto" w:fill="FFFFFF"/>
        </w:rPr>
      </w:pPr>
      <w:r w:rsidRPr="008A2ED2">
        <w:rPr>
          <w:smallCaps/>
        </w:rPr>
        <w:t xml:space="preserve">K. </w:t>
      </w:r>
      <w:proofErr w:type="spellStart"/>
      <w:r w:rsidRPr="008A2ED2">
        <w:rPr>
          <w:smallCaps/>
        </w:rPr>
        <w:t>Tibori</w:t>
      </w:r>
      <w:proofErr w:type="spellEnd"/>
      <w:r w:rsidRPr="008A2ED2">
        <w:rPr>
          <w:smallCaps/>
        </w:rPr>
        <w:t xml:space="preserve"> </w:t>
      </w:r>
      <w:proofErr w:type="spellStart"/>
      <w:r w:rsidRPr="008A2ED2">
        <w:rPr>
          <w:smallCaps/>
        </w:rPr>
        <w:t>Szab</w:t>
      </w:r>
      <w:r w:rsidRPr="008A2ED2">
        <w:rPr>
          <w:bCs/>
          <w:smallCaps/>
          <w:shd w:val="clear" w:color="auto" w:fill="FFFFFF"/>
        </w:rPr>
        <w:t>ó</w:t>
      </w:r>
      <w:proofErr w:type="spellEnd"/>
      <w:r w:rsidRPr="008A2ED2">
        <w:rPr>
          <w:bCs/>
          <w:shd w:val="clear" w:color="auto" w:fill="FFFFFF"/>
        </w:rPr>
        <w:t xml:space="preserve">, </w:t>
      </w:r>
      <w:r w:rsidRPr="008A2ED2">
        <w:rPr>
          <w:bCs/>
          <w:i/>
          <w:shd w:val="clear" w:color="auto" w:fill="FFFFFF"/>
        </w:rPr>
        <w:t>Anticipatory Action in Self-Defence: Essence and Limits under International Law</w:t>
      </w:r>
      <w:r w:rsidRPr="008A2ED2">
        <w:rPr>
          <w:bCs/>
          <w:shd w:val="clear" w:color="auto" w:fill="FFFFFF"/>
        </w:rPr>
        <w:t xml:space="preserve">, T.M.C Asser Press (Springer), The Hague 2011, xvi +348 pp. ISBN 978-90-6704-795-1. </w:t>
      </w:r>
    </w:p>
    <w:p w:rsidR="00DB66A3" w:rsidRPr="008A2ED2" w:rsidRDefault="00DB66A3" w:rsidP="00E74F4A">
      <w:pPr>
        <w:spacing w:line="360" w:lineRule="auto"/>
        <w:ind w:left="720"/>
        <w:rPr>
          <w:bCs/>
          <w:shd w:val="clear" w:color="auto" w:fill="FFFFFF"/>
        </w:rPr>
      </w:pPr>
      <w:proofErr w:type="spellStart"/>
      <w:proofErr w:type="gramStart"/>
      <w:r w:rsidRPr="008A2ED2">
        <w:rPr>
          <w:bCs/>
          <w:shd w:val="clear" w:color="auto" w:fill="FFFFFF"/>
        </w:rPr>
        <w:t>doi</w:t>
      </w:r>
      <w:proofErr w:type="spellEnd"/>
      <w:proofErr w:type="gramEnd"/>
      <w:r w:rsidRPr="008A2ED2">
        <w:rPr>
          <w:bCs/>
          <w:shd w:val="clear" w:color="auto" w:fill="FFFFFF"/>
        </w:rPr>
        <w:t>: 10.1007/978-90-6704-796-8</w:t>
      </w:r>
    </w:p>
    <w:p w:rsidR="00DB66A3" w:rsidRDefault="00DB66A3" w:rsidP="00E74F4A">
      <w:pPr>
        <w:spacing w:line="360" w:lineRule="auto"/>
        <w:rPr>
          <w:bCs/>
          <w:shd w:val="clear" w:color="auto" w:fill="FFFFFF"/>
        </w:rPr>
      </w:pPr>
    </w:p>
    <w:p w:rsidR="00E74F4A" w:rsidRDefault="00E74F4A" w:rsidP="00E74F4A">
      <w:pPr>
        <w:spacing w:line="360" w:lineRule="auto"/>
        <w:jc w:val="both"/>
        <w:sectPr w:rsidR="00E74F4A">
          <w:footerReference w:type="default" r:id="rId9"/>
          <w:pgSz w:w="11906" w:h="16838"/>
          <w:pgMar w:top="1440" w:right="1440" w:bottom="1440" w:left="1440" w:header="708" w:footer="708" w:gutter="0"/>
          <w:cols w:space="708"/>
          <w:docGrid w:linePitch="360"/>
        </w:sectPr>
      </w:pPr>
    </w:p>
    <w:p w:rsidR="00E74F4A" w:rsidRDefault="0022113C" w:rsidP="00E74F4A">
      <w:pPr>
        <w:spacing w:line="360" w:lineRule="auto"/>
        <w:jc w:val="both"/>
        <w:rPr>
          <w:bCs/>
          <w:shd w:val="clear" w:color="auto" w:fill="FFFFFF"/>
        </w:rPr>
      </w:pPr>
      <w:r w:rsidRPr="00272353">
        <w:lastRenderedPageBreak/>
        <w:t xml:space="preserve">The issue </w:t>
      </w:r>
      <w:r>
        <w:t xml:space="preserve">of whether, in the UN era, the right of self-defence can be exercised not only against an armed attack that has </w:t>
      </w:r>
      <w:r w:rsidR="00982DA4">
        <w:t xml:space="preserve">in fact </w:t>
      </w:r>
      <w:r>
        <w:t xml:space="preserve">occurred but also against the </w:t>
      </w:r>
      <w:r w:rsidRPr="00C42D3F">
        <w:rPr>
          <w:i/>
        </w:rPr>
        <w:t>threat</w:t>
      </w:r>
      <w:r>
        <w:t xml:space="preserve"> of such an attack </w:t>
      </w:r>
      <w:r w:rsidRPr="00272353">
        <w:t>has long</w:t>
      </w:r>
      <w:r>
        <w:t xml:space="preserve"> been a</w:t>
      </w:r>
      <w:r w:rsidR="008973F7">
        <w:t xml:space="preserve"> notable point of</w:t>
      </w:r>
      <w:r>
        <w:t xml:space="preserve"> </w:t>
      </w:r>
      <w:r w:rsidR="008973F7">
        <w:t>disagreement amongst both scholars and states</w:t>
      </w:r>
      <w:r>
        <w:t xml:space="preserve">.  Deep divisions </w:t>
      </w:r>
      <w:r w:rsidR="00982DA4">
        <w:t xml:space="preserve">in the literature concerning </w:t>
      </w:r>
      <w:r>
        <w:t>the possible lawfulness of any form of ‘anticipatory’</w:t>
      </w:r>
      <w:r w:rsidR="00E74F4A">
        <w:rPr>
          <w:rStyle w:val="EndnoteReference"/>
        </w:rPr>
        <w:endnoteReference w:id="1"/>
      </w:r>
      <w:r w:rsidR="00E74F4A">
        <w:t xml:space="preserve"> defensive force emerged almost immediately following inception of the UN system,</w:t>
      </w:r>
      <w:r w:rsidR="00E74F4A">
        <w:rPr>
          <w:rStyle w:val="EndnoteReference"/>
        </w:rPr>
        <w:endnoteReference w:id="2"/>
      </w:r>
      <w:r w:rsidR="00E74F4A">
        <w:t xml:space="preserve"> and – as </w:t>
      </w:r>
      <w:proofErr w:type="spellStart"/>
      <w:r w:rsidR="00E74F4A">
        <w:t>Kinga</w:t>
      </w:r>
      <w:proofErr w:type="spellEnd"/>
      <w:r w:rsidR="00E74F4A">
        <w:t xml:space="preserve"> </w:t>
      </w:r>
      <w:proofErr w:type="spellStart"/>
      <w:r w:rsidR="00E74F4A" w:rsidRPr="00831837">
        <w:t>Tibori</w:t>
      </w:r>
      <w:proofErr w:type="spellEnd"/>
      <w:r w:rsidR="00E74F4A" w:rsidRPr="00831837">
        <w:t xml:space="preserve"> </w:t>
      </w:r>
      <w:proofErr w:type="spellStart"/>
      <w:r w:rsidR="00E74F4A" w:rsidRPr="00831837">
        <w:t>Szab</w:t>
      </w:r>
      <w:r w:rsidR="00E74F4A" w:rsidRPr="00831837">
        <w:rPr>
          <w:bCs/>
          <w:shd w:val="clear" w:color="auto" w:fill="FFFFFF"/>
        </w:rPr>
        <w:t>ó</w:t>
      </w:r>
      <w:proofErr w:type="spellEnd"/>
      <w:r w:rsidR="00E74F4A">
        <w:rPr>
          <w:bCs/>
          <w:shd w:val="clear" w:color="auto" w:fill="FFFFFF"/>
        </w:rPr>
        <w:t xml:space="preserve"> rightly states in the introduction to her excellent book on the subject – the lawfulness of anticipatory action remains ‘one of the most controversial questions in contemporary international law’ (p. 2).</w:t>
      </w:r>
    </w:p>
    <w:p w:rsidR="00E74F4A" w:rsidRDefault="00E74F4A" w:rsidP="00E74F4A">
      <w:pPr>
        <w:spacing w:line="360" w:lineRule="auto"/>
        <w:ind w:firstLine="720"/>
        <w:jc w:val="both"/>
      </w:pPr>
      <w:r>
        <w:t xml:space="preserve">There are two related research questions at the heart of </w:t>
      </w:r>
      <w:r w:rsidRPr="002B073F">
        <w:rPr>
          <w:i/>
        </w:rPr>
        <w:t>Anticipatory Action in Self-Defence</w:t>
      </w:r>
      <w:r>
        <w:t xml:space="preserve">, which the author clearly identifies from the outset (p. 9).  The first </w:t>
      </w:r>
      <w:r w:rsidR="0000437F">
        <w:t>of these</w:t>
      </w:r>
      <w:r>
        <w:t xml:space="preserve"> essentially asks whether anticipatory action in self-defence is lawful today.  The second question is conditional upon an affirmative answer to the first: what are the legal limits of pre-emptive defensive uses of force?  At the risk of significantly downplaying the quality and depth of this book, it is possible to boil its answers to these questions down to a relatively simple form.  First, </w:t>
      </w:r>
      <w:proofErr w:type="spellStart"/>
      <w:r w:rsidRPr="00831837">
        <w:t>Tibori</w:t>
      </w:r>
      <w:proofErr w:type="spellEnd"/>
      <w:r w:rsidRPr="00831837">
        <w:t xml:space="preserve"> </w:t>
      </w:r>
      <w:proofErr w:type="spellStart"/>
      <w:r w:rsidRPr="00831837">
        <w:t>Szab</w:t>
      </w:r>
      <w:r w:rsidRPr="00831837">
        <w:rPr>
          <w:bCs/>
          <w:shd w:val="clear" w:color="auto" w:fill="FFFFFF"/>
        </w:rPr>
        <w:t>ó</w:t>
      </w:r>
      <w:proofErr w:type="spellEnd"/>
      <w:r>
        <w:rPr>
          <w:bCs/>
          <w:shd w:val="clear" w:color="auto" w:fill="FFFFFF"/>
        </w:rPr>
        <w:t xml:space="preserve"> argues that anticipatory action in self-defence is – or, rather, </w:t>
      </w:r>
      <w:r w:rsidRPr="0024118E">
        <w:rPr>
          <w:bCs/>
          <w:i/>
          <w:shd w:val="clear" w:color="auto" w:fill="FFFFFF"/>
        </w:rPr>
        <w:t>can be</w:t>
      </w:r>
      <w:r>
        <w:rPr>
          <w:bCs/>
          <w:shd w:val="clear" w:color="auto" w:fill="FFFFFF"/>
        </w:rPr>
        <w:t xml:space="preserve"> – lawful.  However, she </w:t>
      </w:r>
      <w:r w:rsidR="0000437F">
        <w:rPr>
          <w:bCs/>
          <w:shd w:val="clear" w:color="auto" w:fill="FFFFFF"/>
        </w:rPr>
        <w:t xml:space="preserve">then </w:t>
      </w:r>
      <w:r>
        <w:rPr>
          <w:bCs/>
          <w:shd w:val="clear" w:color="auto" w:fill="FFFFFF"/>
        </w:rPr>
        <w:t xml:space="preserve">concludes that pre-emptive self-defence </w:t>
      </w:r>
      <w:r w:rsidR="0000437F">
        <w:rPr>
          <w:bCs/>
          <w:shd w:val="clear" w:color="auto" w:fill="FFFFFF"/>
        </w:rPr>
        <w:t>is</w:t>
      </w:r>
      <w:r>
        <w:rPr>
          <w:bCs/>
          <w:shd w:val="clear" w:color="auto" w:fill="FFFFFF"/>
        </w:rPr>
        <w:t xml:space="preserve"> </w:t>
      </w:r>
      <w:r w:rsidRPr="00E37A76">
        <w:rPr>
          <w:bCs/>
          <w:i/>
          <w:shd w:val="clear" w:color="auto" w:fill="FFFFFF"/>
        </w:rPr>
        <w:t>only</w:t>
      </w:r>
      <w:r>
        <w:rPr>
          <w:bCs/>
          <w:shd w:val="clear" w:color="auto" w:fill="FFFFFF"/>
        </w:rPr>
        <w:t xml:space="preserve"> lawful if </w:t>
      </w:r>
      <w:r w:rsidR="0000437F">
        <w:rPr>
          <w:bCs/>
          <w:shd w:val="clear" w:color="auto" w:fill="FFFFFF"/>
        </w:rPr>
        <w:t>it complies</w:t>
      </w:r>
      <w:r>
        <w:rPr>
          <w:bCs/>
          <w:shd w:val="clear" w:color="auto" w:fill="FFFFFF"/>
        </w:rPr>
        <w:t xml:space="preserve"> with the well-established customary criteria of necessity (meaning, in this context, that any response is conditional on the imminent occurrence of an ‘armed attack’) and proportionality (meaning, here, that only what the author calls ‘moderate’ force is used to stop that attack from taking place).</w:t>
      </w:r>
    </w:p>
    <w:p w:rsidR="00E74F4A" w:rsidRDefault="00E74F4A" w:rsidP="00E74F4A">
      <w:pPr>
        <w:spacing w:line="360" w:lineRule="auto"/>
        <w:ind w:firstLine="720"/>
        <w:jc w:val="both"/>
      </w:pPr>
      <w:r>
        <w:t>It must be said that</w:t>
      </w:r>
      <w:r w:rsidR="00306E3D">
        <w:t>,</w:t>
      </w:r>
      <w:r>
        <w:t xml:space="preserve"> in themselves, neither of these </w:t>
      </w:r>
      <w:r w:rsidR="0000437F">
        <w:t>principal</w:t>
      </w:r>
      <w:r w:rsidR="00306E3D">
        <w:t xml:space="preserve"> questions</w:t>
      </w:r>
      <w:r>
        <w:t xml:space="preserve"> nor the</w:t>
      </w:r>
      <w:r w:rsidR="00306E3D">
        <w:t xml:space="preserve"> ultimate answers given to them</w:t>
      </w:r>
      <w:r>
        <w:t xml:space="preserve"> appear especially novel.  While any </w:t>
      </w:r>
      <w:r w:rsidR="00306E3D">
        <w:t xml:space="preserve">measure in </w:t>
      </w:r>
      <w:r>
        <w:t xml:space="preserve">self-defence taken against a threat of force remains controversial, it is evident that an increasing number of writers now accept that anticipatory self-defence can be lawful, with its lawfulness usually being seen as dependent on the action meeting restrictive customary </w:t>
      </w:r>
      <w:r w:rsidR="0000437F">
        <w:t>requirements</w:t>
      </w:r>
      <w:r>
        <w:t>: particularly a crucial</w:t>
      </w:r>
      <w:r w:rsidRPr="00272353">
        <w:t xml:space="preserve"> criterion of </w:t>
      </w:r>
      <w:r w:rsidRPr="00272353">
        <w:rPr>
          <w:i/>
        </w:rPr>
        <w:t>imminence</w:t>
      </w:r>
      <w:r>
        <w:t>.</w:t>
      </w:r>
      <w:r w:rsidRPr="00323BB1">
        <w:rPr>
          <w:rStyle w:val="EndnoteReference"/>
        </w:rPr>
        <w:endnoteReference w:id="3"/>
      </w:r>
      <w:r>
        <w:t xml:space="preserve">  </w:t>
      </w:r>
      <w:r w:rsidR="00306E3D">
        <w:t>T</w:t>
      </w:r>
      <w:r>
        <w:t xml:space="preserve">here are plenty of </w:t>
      </w:r>
      <w:r w:rsidR="0000437F">
        <w:t>scholars</w:t>
      </w:r>
      <w:r>
        <w:t xml:space="preserve"> who have already made the same core claim as that advanced in </w:t>
      </w:r>
      <w:r w:rsidRPr="002B073F">
        <w:rPr>
          <w:i/>
        </w:rPr>
        <w:t>Anticipatory Action in Self-Defence</w:t>
      </w:r>
      <w:r>
        <w:t xml:space="preserve">.  At first glance, then, one might reasonably question what new contribution </w:t>
      </w:r>
      <w:r w:rsidRPr="00323BB1">
        <w:t xml:space="preserve">this book </w:t>
      </w:r>
      <w:r w:rsidRPr="00A27D56">
        <w:t xml:space="preserve">makes to the </w:t>
      </w:r>
      <w:r>
        <w:t xml:space="preserve">existing </w:t>
      </w:r>
      <w:r w:rsidRPr="00A27D56">
        <w:t>scholarship.</w:t>
      </w:r>
    </w:p>
    <w:p w:rsidR="00E74F4A" w:rsidRDefault="00E74F4A" w:rsidP="00E74F4A">
      <w:pPr>
        <w:spacing w:line="360" w:lineRule="auto"/>
        <w:ind w:firstLine="720"/>
        <w:jc w:val="both"/>
      </w:pPr>
      <w:r w:rsidRPr="008543E9">
        <w:lastRenderedPageBreak/>
        <w:t xml:space="preserve">In fact, there are many reasons why </w:t>
      </w:r>
      <w:proofErr w:type="spellStart"/>
      <w:r w:rsidRPr="008543E9">
        <w:t>Tibori</w:t>
      </w:r>
      <w:proofErr w:type="spellEnd"/>
      <w:r w:rsidRPr="00831837">
        <w:t xml:space="preserve"> </w:t>
      </w:r>
      <w:proofErr w:type="spellStart"/>
      <w:r w:rsidRPr="00831837">
        <w:t>Szab</w:t>
      </w:r>
      <w:r w:rsidRPr="00831837">
        <w:rPr>
          <w:bCs/>
          <w:shd w:val="clear" w:color="auto" w:fill="FFFFFF"/>
        </w:rPr>
        <w:t>ó</w:t>
      </w:r>
      <w:r>
        <w:rPr>
          <w:bCs/>
          <w:shd w:val="clear" w:color="auto" w:fill="FFFFFF"/>
        </w:rPr>
        <w:t>’s</w:t>
      </w:r>
      <w:proofErr w:type="spellEnd"/>
      <w:r>
        <w:rPr>
          <w:bCs/>
          <w:shd w:val="clear" w:color="auto" w:fill="FFFFFF"/>
        </w:rPr>
        <w:t xml:space="preserve"> work represents an extremely valuable addition to the debate.  The first of these is simply the scope of the book under review.  While many writers have engaged with the issue of anticipatory action in self-defence in an article format,</w:t>
      </w:r>
      <w:r>
        <w:rPr>
          <w:rStyle w:val="EndnoteReference"/>
          <w:bCs/>
          <w:shd w:val="clear" w:color="auto" w:fill="FFFFFF"/>
        </w:rPr>
        <w:endnoteReference w:id="4"/>
      </w:r>
      <w:r>
        <w:rPr>
          <w:bCs/>
          <w:shd w:val="clear" w:color="auto" w:fill="FFFFFF"/>
        </w:rPr>
        <w:t xml:space="preserve"> or as one aspect of a wider monograph,</w:t>
      </w:r>
      <w:r>
        <w:rPr>
          <w:rStyle w:val="EndnoteReference"/>
          <w:bCs/>
          <w:shd w:val="clear" w:color="auto" w:fill="FFFFFF"/>
        </w:rPr>
        <w:endnoteReference w:id="5"/>
      </w:r>
      <w:r>
        <w:rPr>
          <w:bCs/>
          <w:shd w:val="clear" w:color="auto" w:fill="FFFFFF"/>
        </w:rPr>
        <w:t xml:space="preserve"> few have tackled the issue on this kind of scale.  In particular, the quality and sheer </w:t>
      </w:r>
      <w:r w:rsidRPr="00E441F6">
        <w:rPr>
          <w:bCs/>
          <w:i/>
          <w:shd w:val="clear" w:color="auto" w:fill="FFFFFF"/>
        </w:rPr>
        <w:t>depth</w:t>
      </w:r>
      <w:r>
        <w:rPr>
          <w:bCs/>
          <w:shd w:val="clear" w:color="auto" w:fill="FFFFFF"/>
        </w:rPr>
        <w:t xml:space="preserve"> of the research throughout is a key strength here.  The author’s analysis is continually strong, but it is the foundational research underpinning it that is perhaps more notable.</w:t>
      </w:r>
    </w:p>
    <w:p w:rsidR="00E74F4A" w:rsidRDefault="00E74F4A" w:rsidP="00E74F4A">
      <w:pPr>
        <w:spacing w:line="360" w:lineRule="auto"/>
        <w:ind w:firstLine="720"/>
        <w:jc w:val="both"/>
      </w:pPr>
      <w:r>
        <w:rPr>
          <w:bCs/>
          <w:shd w:val="clear" w:color="auto" w:fill="FFFFFF"/>
        </w:rPr>
        <w:t xml:space="preserve">One result of this sort of larger, monograph-length assessment of the issues related to anticipatory action in self-defence is that the author is able to interrogate her subject-matter from a number of perspectives.  For example, the first part of the book takes its time in providing a legal-historical analysis of the temporal dimension of self-defence, with the author exploring pre-Charter theory and practice in some depth to identify the roots of the right (pp. 29-124).  Most treatments of pre-emptive self-defence simply do not have the space for such </w:t>
      </w:r>
      <w:r w:rsidR="00F37AB9">
        <w:rPr>
          <w:bCs/>
          <w:shd w:val="clear" w:color="auto" w:fill="FFFFFF"/>
        </w:rPr>
        <w:t xml:space="preserve">meticulous </w:t>
      </w:r>
      <w:r>
        <w:rPr>
          <w:bCs/>
          <w:shd w:val="clear" w:color="auto" w:fill="FFFFFF"/>
        </w:rPr>
        <w:t xml:space="preserve">historical contextualisation.  This opening section of the book admittedly covers some well-trodden ground, such as an analysis of the implications of the 1837 </w:t>
      </w:r>
      <w:r w:rsidRPr="005B100A">
        <w:rPr>
          <w:bCs/>
          <w:i/>
          <w:shd w:val="clear" w:color="auto" w:fill="FFFFFF"/>
        </w:rPr>
        <w:t>Caroline</w:t>
      </w:r>
      <w:r>
        <w:rPr>
          <w:bCs/>
          <w:shd w:val="clear" w:color="auto" w:fill="FFFFFF"/>
        </w:rPr>
        <w:t xml:space="preserve"> incident (although it should be noted that </w:t>
      </w:r>
      <w:proofErr w:type="spellStart"/>
      <w:r w:rsidRPr="008543E9">
        <w:t>Tibori</w:t>
      </w:r>
      <w:proofErr w:type="spellEnd"/>
      <w:r w:rsidRPr="00831837">
        <w:t xml:space="preserve"> </w:t>
      </w:r>
      <w:proofErr w:type="spellStart"/>
      <w:r w:rsidRPr="00831837">
        <w:t>Szab</w:t>
      </w:r>
      <w:r w:rsidRPr="00831837">
        <w:rPr>
          <w:bCs/>
          <w:shd w:val="clear" w:color="auto" w:fill="FFFFFF"/>
        </w:rPr>
        <w:t>ó</w:t>
      </w:r>
      <w:proofErr w:type="spellEnd"/>
      <w:r>
        <w:rPr>
          <w:bCs/>
          <w:shd w:val="clear" w:color="auto" w:fill="FFFFFF"/>
        </w:rPr>
        <w:t xml:space="preserve"> dissects this incident rather better than most, at pp. 72-75).  However, it also engages with state practice and other historical material that is commonly overlooked in the context of the right of self-defence, such as the </w:t>
      </w:r>
      <w:r w:rsidRPr="003F590B">
        <w:rPr>
          <w:bCs/>
          <w:shd w:val="clear" w:color="auto" w:fill="FFFFFF"/>
        </w:rPr>
        <w:t xml:space="preserve">implications of </w:t>
      </w:r>
      <w:r w:rsidRPr="003F590B">
        <w:rPr>
          <w:bCs/>
          <w:i/>
          <w:shd w:val="clear" w:color="auto" w:fill="FFFFFF"/>
        </w:rPr>
        <w:t>Operation Catapult</w:t>
      </w:r>
      <w:r w:rsidRPr="003F590B">
        <w:rPr>
          <w:bCs/>
          <w:shd w:val="clear" w:color="auto" w:fill="FFFFFF"/>
        </w:rPr>
        <w:t xml:space="preserve"> in 1940 (pp. 96-98) – especially regarding the </w:t>
      </w:r>
      <w:r w:rsidR="003F590B" w:rsidRPr="003F590B">
        <w:rPr>
          <w:bCs/>
          <w:shd w:val="clear" w:color="auto" w:fill="FFFFFF"/>
        </w:rPr>
        <w:t>necessity</w:t>
      </w:r>
      <w:r w:rsidRPr="003F590B">
        <w:rPr>
          <w:bCs/>
          <w:shd w:val="clear" w:color="auto" w:fill="FFFFFF"/>
        </w:rPr>
        <w:t xml:space="preserve"> criterion – or the</w:t>
      </w:r>
      <w:r>
        <w:rPr>
          <w:bCs/>
          <w:shd w:val="clear" w:color="auto" w:fill="FFFFFF"/>
        </w:rPr>
        <w:t xml:space="preserve"> imp</w:t>
      </w:r>
      <w:bookmarkStart w:id="0" w:name="_GoBack"/>
      <w:bookmarkEnd w:id="0"/>
      <w:r>
        <w:rPr>
          <w:bCs/>
          <w:shd w:val="clear" w:color="auto" w:fill="FFFFFF"/>
        </w:rPr>
        <w:t>ortant eighteenth century distinction between ‘perfect’ and ‘imperfect’ wars in academic theory (pp. 59-68).  Overall, this legal-historical aspect of the book significantly enriches the subsequent analysis.</w:t>
      </w:r>
    </w:p>
    <w:p w:rsidR="00E74F4A" w:rsidRDefault="000E4F13" w:rsidP="00E74F4A">
      <w:pPr>
        <w:spacing w:line="360" w:lineRule="auto"/>
        <w:ind w:firstLine="720"/>
        <w:jc w:val="both"/>
      </w:pPr>
      <w:r>
        <w:rPr>
          <w:bCs/>
          <w:shd w:val="clear" w:color="auto" w:fill="FFFFFF"/>
        </w:rPr>
        <w:t>I</w:t>
      </w:r>
      <w:r w:rsidR="00E74F4A" w:rsidRPr="0024118E">
        <w:rPr>
          <w:bCs/>
          <w:shd w:val="clear" w:color="auto" w:fill="FFFFFF"/>
        </w:rPr>
        <w:t xml:space="preserve">nterpretative </w:t>
      </w:r>
      <w:r>
        <w:rPr>
          <w:bCs/>
          <w:shd w:val="clear" w:color="auto" w:fill="FFFFFF"/>
        </w:rPr>
        <w:t>scrutiny</w:t>
      </w:r>
      <w:r w:rsidR="00E74F4A">
        <w:rPr>
          <w:bCs/>
          <w:shd w:val="clear" w:color="auto" w:fill="FFFFFF"/>
        </w:rPr>
        <w:t xml:space="preserve"> of Article 51</w:t>
      </w:r>
      <w:r w:rsidR="00306E3D">
        <w:rPr>
          <w:bCs/>
          <w:shd w:val="clear" w:color="auto" w:fill="FFFFFF"/>
        </w:rPr>
        <w:t xml:space="preserve">, and </w:t>
      </w:r>
      <w:r>
        <w:rPr>
          <w:bCs/>
          <w:shd w:val="clear" w:color="auto" w:fill="FFFFFF"/>
        </w:rPr>
        <w:t xml:space="preserve">particularly </w:t>
      </w:r>
      <w:r w:rsidR="00306E3D">
        <w:rPr>
          <w:bCs/>
          <w:shd w:val="clear" w:color="auto" w:fill="FFFFFF"/>
        </w:rPr>
        <w:t>the exact meaning of the phrase ‘if an armed attack occurs’,</w:t>
      </w:r>
      <w:r w:rsidR="00E74F4A">
        <w:rPr>
          <w:bCs/>
          <w:shd w:val="clear" w:color="auto" w:fill="FFFFFF"/>
        </w:rPr>
        <w:t xml:space="preserve"> </w:t>
      </w:r>
      <w:r>
        <w:rPr>
          <w:bCs/>
          <w:shd w:val="clear" w:color="auto" w:fill="FFFFFF"/>
        </w:rPr>
        <w:t>forms</w:t>
      </w:r>
      <w:r w:rsidR="00E74F4A">
        <w:rPr>
          <w:bCs/>
          <w:shd w:val="clear" w:color="auto" w:fill="FFFFFF"/>
        </w:rPr>
        <w:t xml:space="preserve"> a key part of the longstanding anticipatory self-defence debate.</w:t>
      </w:r>
      <w:r w:rsidR="00E74F4A">
        <w:rPr>
          <w:rStyle w:val="EndnoteReference"/>
          <w:bCs/>
          <w:shd w:val="clear" w:color="auto" w:fill="FFFFFF"/>
        </w:rPr>
        <w:endnoteReference w:id="6"/>
      </w:r>
      <w:r w:rsidR="00E74F4A">
        <w:rPr>
          <w:bCs/>
          <w:shd w:val="clear" w:color="auto" w:fill="FFFFFF"/>
        </w:rPr>
        <w:t xml:space="preserve">  </w:t>
      </w:r>
      <w:proofErr w:type="spellStart"/>
      <w:r w:rsidRPr="008543E9">
        <w:t>Tibori</w:t>
      </w:r>
      <w:proofErr w:type="spellEnd"/>
      <w:r w:rsidRPr="00831837">
        <w:t xml:space="preserve"> </w:t>
      </w:r>
      <w:proofErr w:type="spellStart"/>
      <w:r w:rsidRPr="00831837">
        <w:t>Szab</w:t>
      </w:r>
      <w:r w:rsidRPr="00831837">
        <w:rPr>
          <w:bCs/>
          <w:shd w:val="clear" w:color="auto" w:fill="FFFFFF"/>
        </w:rPr>
        <w:t>ó</w:t>
      </w:r>
      <w:proofErr w:type="spellEnd"/>
      <w:r>
        <w:rPr>
          <w:bCs/>
          <w:shd w:val="clear" w:color="auto" w:fill="FFFFFF"/>
        </w:rPr>
        <w:t xml:space="preserve"> takes</w:t>
      </w:r>
      <w:r w:rsidR="00E74F4A" w:rsidRPr="0024118E">
        <w:rPr>
          <w:bCs/>
          <w:shd w:val="clear" w:color="auto" w:fill="FFFFFF"/>
        </w:rPr>
        <w:t xml:space="preserve"> a purposive approach </w:t>
      </w:r>
      <w:r>
        <w:rPr>
          <w:bCs/>
          <w:shd w:val="clear" w:color="auto" w:fill="FFFFFF"/>
        </w:rPr>
        <w:t>to interpreting Article 51, and her analysis of the provision</w:t>
      </w:r>
      <w:r w:rsidR="00E74F4A" w:rsidRPr="0024118E">
        <w:rPr>
          <w:bCs/>
          <w:shd w:val="clear" w:color="auto" w:fill="FFFFFF"/>
        </w:rPr>
        <w:t xml:space="preserve"> provides a </w:t>
      </w:r>
      <w:r w:rsidR="00706F9A">
        <w:rPr>
          <w:bCs/>
          <w:shd w:val="clear" w:color="auto" w:fill="FFFFFF"/>
        </w:rPr>
        <w:t>solid</w:t>
      </w:r>
      <w:r w:rsidR="00E74F4A" w:rsidRPr="0024118E">
        <w:rPr>
          <w:bCs/>
          <w:shd w:val="clear" w:color="auto" w:fill="FFFFFF"/>
        </w:rPr>
        <w:t xml:space="preserve"> basis for the claim that </w:t>
      </w:r>
      <w:r>
        <w:rPr>
          <w:bCs/>
          <w:shd w:val="clear" w:color="auto" w:fill="FFFFFF"/>
        </w:rPr>
        <w:t>it</w:t>
      </w:r>
      <w:r w:rsidR="00E74F4A" w:rsidRPr="0024118E">
        <w:rPr>
          <w:bCs/>
          <w:shd w:val="clear" w:color="auto" w:fill="FFFFFF"/>
        </w:rPr>
        <w:t xml:space="preserve"> does not preclude anticipatory action per se.  </w:t>
      </w:r>
      <w:r w:rsidR="00E74F4A">
        <w:rPr>
          <w:bCs/>
          <w:shd w:val="clear" w:color="auto" w:fill="FFFFFF"/>
        </w:rPr>
        <w:t>This is a</w:t>
      </w:r>
      <w:r w:rsidR="00706F9A">
        <w:rPr>
          <w:bCs/>
          <w:shd w:val="clear" w:color="auto" w:fill="FFFFFF"/>
        </w:rPr>
        <w:t xml:space="preserve"> view to which</w:t>
      </w:r>
      <w:r w:rsidR="00E74F4A">
        <w:rPr>
          <w:bCs/>
          <w:shd w:val="clear" w:color="auto" w:fill="FFFFFF"/>
        </w:rPr>
        <w:t xml:space="preserve"> this reviewer does not necessarily </w:t>
      </w:r>
      <w:r w:rsidR="00706F9A">
        <w:rPr>
          <w:bCs/>
          <w:shd w:val="clear" w:color="auto" w:fill="FFFFFF"/>
        </w:rPr>
        <w:t>subscribe,</w:t>
      </w:r>
      <w:r w:rsidR="00E74F4A">
        <w:rPr>
          <w:bCs/>
          <w:shd w:val="clear" w:color="auto" w:fill="FFFFFF"/>
        </w:rPr>
        <w:t xml:space="preserve"> but it is </w:t>
      </w:r>
      <w:r w:rsidR="00306E3D">
        <w:rPr>
          <w:bCs/>
          <w:shd w:val="clear" w:color="auto" w:fill="FFFFFF"/>
        </w:rPr>
        <w:t xml:space="preserve">regardless </w:t>
      </w:r>
      <w:r w:rsidR="00E74F4A">
        <w:rPr>
          <w:bCs/>
          <w:shd w:val="clear" w:color="auto" w:fill="FFFFFF"/>
        </w:rPr>
        <w:t xml:space="preserve">very credibly </w:t>
      </w:r>
      <w:r w:rsidR="00306E3D">
        <w:rPr>
          <w:bCs/>
          <w:shd w:val="clear" w:color="auto" w:fill="FFFFFF"/>
        </w:rPr>
        <w:t>argued</w:t>
      </w:r>
      <w:r w:rsidR="00E74F4A">
        <w:rPr>
          <w:bCs/>
          <w:shd w:val="clear" w:color="auto" w:fill="FFFFFF"/>
        </w:rPr>
        <w:t>.  T</w:t>
      </w:r>
      <w:r w:rsidR="00E74F4A" w:rsidRPr="0024118E">
        <w:rPr>
          <w:bCs/>
          <w:shd w:val="clear" w:color="auto" w:fill="FFFFFF"/>
        </w:rPr>
        <w:t xml:space="preserve">here </w:t>
      </w:r>
      <w:r w:rsidR="00E74F4A">
        <w:rPr>
          <w:bCs/>
          <w:shd w:val="clear" w:color="auto" w:fill="FFFFFF"/>
        </w:rPr>
        <w:t>i</w:t>
      </w:r>
      <w:r w:rsidR="00E74F4A" w:rsidRPr="0024118E">
        <w:rPr>
          <w:bCs/>
          <w:shd w:val="clear" w:color="auto" w:fill="FFFFFF"/>
        </w:rPr>
        <w:t>s</w:t>
      </w:r>
      <w:r w:rsidR="00706F9A">
        <w:rPr>
          <w:bCs/>
          <w:shd w:val="clear" w:color="auto" w:fill="FFFFFF"/>
        </w:rPr>
        <w:t>, admittedly,</w:t>
      </w:r>
      <w:r w:rsidR="00E74F4A" w:rsidRPr="0024118E">
        <w:rPr>
          <w:bCs/>
          <w:shd w:val="clear" w:color="auto" w:fill="FFFFFF"/>
        </w:rPr>
        <w:t xml:space="preserve"> a logical flaw in the author’s </w:t>
      </w:r>
      <w:r w:rsidR="00E74F4A">
        <w:rPr>
          <w:bCs/>
          <w:shd w:val="clear" w:color="auto" w:fill="FFFFFF"/>
        </w:rPr>
        <w:t xml:space="preserve">specific </w:t>
      </w:r>
      <w:r w:rsidR="00E74F4A" w:rsidRPr="0024118E">
        <w:rPr>
          <w:bCs/>
          <w:shd w:val="clear" w:color="auto" w:fill="FFFFFF"/>
        </w:rPr>
        <w:t xml:space="preserve">reasoning concerning Judge </w:t>
      </w:r>
      <w:proofErr w:type="spellStart"/>
      <w:r w:rsidR="00E74F4A" w:rsidRPr="0024118E">
        <w:t>Schwebel</w:t>
      </w:r>
      <w:r w:rsidR="00E74F4A" w:rsidRPr="0024118E">
        <w:rPr>
          <w:bCs/>
          <w:shd w:val="clear" w:color="auto" w:fill="FFFFFF"/>
        </w:rPr>
        <w:t>’s</w:t>
      </w:r>
      <w:proofErr w:type="spellEnd"/>
      <w:r w:rsidR="00E74F4A" w:rsidRPr="0024118E">
        <w:rPr>
          <w:bCs/>
          <w:shd w:val="clear" w:color="auto" w:fill="FFFFFF"/>
        </w:rPr>
        <w:t xml:space="preserve"> famous claim in the </w:t>
      </w:r>
      <w:r w:rsidR="00E74F4A" w:rsidRPr="0024118E">
        <w:rPr>
          <w:bCs/>
          <w:i/>
          <w:shd w:val="clear" w:color="auto" w:fill="FFFFFF"/>
        </w:rPr>
        <w:t>Nicaragua</w:t>
      </w:r>
      <w:r w:rsidR="00E74F4A" w:rsidRPr="0024118E">
        <w:rPr>
          <w:bCs/>
          <w:shd w:val="clear" w:color="auto" w:fill="FFFFFF"/>
        </w:rPr>
        <w:t xml:space="preserve"> case</w:t>
      </w:r>
      <w:r w:rsidR="00E74F4A" w:rsidRPr="0024118E">
        <w:rPr>
          <w:rStyle w:val="EndnoteReference"/>
          <w:bCs/>
          <w:shd w:val="clear" w:color="auto" w:fill="FFFFFF"/>
        </w:rPr>
        <w:endnoteReference w:id="7"/>
      </w:r>
      <w:r w:rsidR="00E74F4A" w:rsidRPr="0024118E">
        <w:rPr>
          <w:bCs/>
          <w:shd w:val="clear" w:color="auto" w:fill="FFFFFF"/>
        </w:rPr>
        <w:t xml:space="preserve"> that the term ‘if an armed attack occurs’ is not the same as saying ‘if, and only if, an armed attack occurs’ (p. </w:t>
      </w:r>
      <w:r w:rsidR="00E74F4A">
        <w:rPr>
          <w:bCs/>
          <w:shd w:val="clear" w:color="auto" w:fill="FFFFFF"/>
        </w:rPr>
        <w:t>109</w:t>
      </w:r>
      <w:r w:rsidR="00E74F4A" w:rsidRPr="0024118E">
        <w:rPr>
          <w:bCs/>
          <w:shd w:val="clear" w:color="auto" w:fill="FFFFFF"/>
        </w:rPr>
        <w:t>, at footnote</w:t>
      </w:r>
      <w:r w:rsidR="00E74F4A">
        <w:rPr>
          <w:bCs/>
          <w:shd w:val="clear" w:color="auto" w:fill="FFFFFF"/>
        </w:rPr>
        <w:t xml:space="preserve"> 35</w:t>
      </w:r>
      <w:r w:rsidR="00E74F4A" w:rsidRPr="0024118E">
        <w:rPr>
          <w:bCs/>
          <w:shd w:val="clear" w:color="auto" w:fill="FFFFFF"/>
        </w:rPr>
        <w:t xml:space="preserve">).  However, in general the </w:t>
      </w:r>
      <w:r>
        <w:rPr>
          <w:bCs/>
          <w:shd w:val="clear" w:color="auto" w:fill="FFFFFF"/>
        </w:rPr>
        <w:t>assessment</w:t>
      </w:r>
      <w:r w:rsidR="00306E3D">
        <w:rPr>
          <w:bCs/>
          <w:shd w:val="clear" w:color="auto" w:fill="FFFFFF"/>
        </w:rPr>
        <w:t xml:space="preserve"> of Article 51 </w:t>
      </w:r>
      <w:r>
        <w:rPr>
          <w:bCs/>
          <w:shd w:val="clear" w:color="auto" w:fill="FFFFFF"/>
        </w:rPr>
        <w:t xml:space="preserve">– </w:t>
      </w:r>
      <w:r w:rsidR="00E74F4A" w:rsidRPr="0024118E">
        <w:rPr>
          <w:bCs/>
          <w:shd w:val="clear" w:color="auto" w:fill="FFFFFF"/>
        </w:rPr>
        <w:t xml:space="preserve">based on the object and purpose of the UN Charter as a whole and its </w:t>
      </w:r>
      <w:proofErr w:type="spellStart"/>
      <w:r w:rsidR="00E74F4A" w:rsidRPr="00111F3C">
        <w:rPr>
          <w:bCs/>
          <w:i/>
          <w:color w:val="000000"/>
          <w:shd w:val="clear" w:color="auto" w:fill="FFFFFF"/>
        </w:rPr>
        <w:t>travaux</w:t>
      </w:r>
      <w:proofErr w:type="spellEnd"/>
      <w:r w:rsidR="00E74F4A" w:rsidRPr="00111F3C">
        <w:rPr>
          <w:bCs/>
          <w:i/>
          <w:color w:val="000000"/>
          <w:shd w:val="clear" w:color="auto" w:fill="FFFFFF"/>
        </w:rPr>
        <w:t xml:space="preserve"> </w:t>
      </w:r>
      <w:proofErr w:type="spellStart"/>
      <w:r w:rsidR="00E74F4A" w:rsidRPr="00111F3C">
        <w:rPr>
          <w:bCs/>
          <w:i/>
          <w:color w:val="000000"/>
          <w:shd w:val="clear" w:color="auto" w:fill="FFFFFF"/>
        </w:rPr>
        <w:t>préparatoires</w:t>
      </w:r>
      <w:proofErr w:type="spellEnd"/>
      <w:r>
        <w:rPr>
          <w:bCs/>
          <w:shd w:val="clear" w:color="auto" w:fill="FFFFFF"/>
        </w:rPr>
        <w:t xml:space="preserve"> –</w:t>
      </w:r>
      <w:r w:rsidR="00E74F4A" w:rsidRPr="0024118E">
        <w:rPr>
          <w:bCs/>
          <w:shd w:val="clear" w:color="auto" w:fill="FFFFFF"/>
        </w:rPr>
        <w:t xml:space="preserve"> </w:t>
      </w:r>
      <w:r>
        <w:rPr>
          <w:bCs/>
          <w:shd w:val="clear" w:color="auto" w:fill="FFFFFF"/>
        </w:rPr>
        <w:t>i</w:t>
      </w:r>
      <w:r w:rsidR="00E74F4A" w:rsidRPr="0024118E">
        <w:rPr>
          <w:bCs/>
          <w:shd w:val="clear" w:color="auto" w:fill="FFFFFF"/>
        </w:rPr>
        <w:t>s excellent</w:t>
      </w:r>
      <w:r w:rsidR="00E74F4A">
        <w:rPr>
          <w:bCs/>
          <w:shd w:val="clear" w:color="auto" w:fill="FFFFFF"/>
        </w:rPr>
        <w:t xml:space="preserve"> (pp.109-114).</w:t>
      </w:r>
    </w:p>
    <w:p w:rsidR="00E74F4A" w:rsidRDefault="000E4F13" w:rsidP="00E74F4A">
      <w:pPr>
        <w:spacing w:line="360" w:lineRule="auto"/>
        <w:ind w:firstLine="720"/>
        <w:jc w:val="both"/>
      </w:pPr>
      <w:r>
        <w:rPr>
          <w:bCs/>
          <w:shd w:val="clear" w:color="auto" w:fill="FFFFFF"/>
        </w:rPr>
        <w:lastRenderedPageBreak/>
        <w:t>Beyond the minutiae of treaty analysis, a</w:t>
      </w:r>
      <w:r w:rsidR="00306E3D">
        <w:rPr>
          <w:bCs/>
          <w:shd w:val="clear" w:color="auto" w:fill="FFFFFF"/>
        </w:rPr>
        <w:t xml:space="preserve"> more prevalent feature</w:t>
      </w:r>
      <w:r w:rsidR="00E74F4A">
        <w:rPr>
          <w:bCs/>
          <w:shd w:val="clear" w:color="auto" w:fill="FFFFFF"/>
        </w:rPr>
        <w:t xml:space="preserve"> of </w:t>
      </w:r>
      <w:r w:rsidR="00E74F4A" w:rsidRPr="002B073F">
        <w:rPr>
          <w:i/>
        </w:rPr>
        <w:t>Anticipatory Action in Self-Defence</w:t>
      </w:r>
      <w:r w:rsidR="00306E3D">
        <w:rPr>
          <w:bCs/>
          <w:shd w:val="clear" w:color="auto" w:fill="FFFFFF"/>
        </w:rPr>
        <w:t xml:space="preserve"> </w:t>
      </w:r>
      <w:r w:rsidR="00706F9A">
        <w:rPr>
          <w:bCs/>
          <w:shd w:val="clear" w:color="auto" w:fill="FFFFFF"/>
        </w:rPr>
        <w:t xml:space="preserve">is </w:t>
      </w:r>
      <w:r>
        <w:rPr>
          <w:bCs/>
          <w:shd w:val="clear" w:color="auto" w:fill="FFFFFF"/>
        </w:rPr>
        <w:t xml:space="preserve">its </w:t>
      </w:r>
      <w:r w:rsidR="00E74F4A">
        <w:rPr>
          <w:bCs/>
          <w:shd w:val="clear" w:color="auto" w:fill="FFFFFF"/>
        </w:rPr>
        <w:t>reference to customary international law</w:t>
      </w:r>
      <w:r>
        <w:rPr>
          <w:bCs/>
          <w:shd w:val="clear" w:color="auto" w:fill="FFFFFF"/>
        </w:rPr>
        <w:t xml:space="preserve">.  </w:t>
      </w:r>
      <w:proofErr w:type="spellStart"/>
      <w:r w:rsidRPr="008543E9">
        <w:t>Tibori</w:t>
      </w:r>
      <w:proofErr w:type="spellEnd"/>
      <w:r w:rsidRPr="00831837">
        <w:t xml:space="preserve"> </w:t>
      </w:r>
      <w:proofErr w:type="spellStart"/>
      <w:r w:rsidRPr="00831837">
        <w:t>Szab</w:t>
      </w:r>
      <w:r w:rsidRPr="00831837">
        <w:rPr>
          <w:bCs/>
          <w:shd w:val="clear" w:color="auto" w:fill="FFFFFF"/>
        </w:rPr>
        <w:t>ó</w:t>
      </w:r>
      <w:r>
        <w:rPr>
          <w:bCs/>
          <w:shd w:val="clear" w:color="auto" w:fill="FFFFFF"/>
        </w:rPr>
        <w:t>’s</w:t>
      </w:r>
      <w:proofErr w:type="spellEnd"/>
      <w:r w:rsidR="00306E3D">
        <w:rPr>
          <w:bCs/>
          <w:shd w:val="clear" w:color="auto" w:fill="FFFFFF"/>
        </w:rPr>
        <w:t xml:space="preserve"> use of state practice as a means of examining the content of international law – both pre- and post-Charter </w:t>
      </w:r>
      <w:r>
        <w:rPr>
          <w:bCs/>
          <w:shd w:val="clear" w:color="auto" w:fill="FFFFFF"/>
        </w:rPr>
        <w:t xml:space="preserve">– is a key strength throughout.  </w:t>
      </w:r>
      <w:r w:rsidR="00E74F4A">
        <w:rPr>
          <w:bCs/>
          <w:shd w:val="clear" w:color="auto" w:fill="FFFFFF"/>
        </w:rPr>
        <w:t>This is particularly evident in three chapters that appear in the middle of the book: Chapter 7 focuses on instances of ‘traditional’ state-on-state uses of force, Chapter 8 on self-defence in relation to WMDs, and Chapter 9 on self-defence against non-state actors.  These three chapters engage in detail with the UN era state practice relating to anticipatory action in self-defence, and collectively constitute the ‘spine’ of the work.  Together they provide the basis for the crucial claims reached in Part II, regarding the modern status of pre-emptive self-defence and its limits.  The instances of practice covered in these chapters are generally considered in a nuanced and critical manner, and with the depth of research already noted as being a predominant feature of this book.  Take, for example, the convincing assessment of the legal claims made in the context of the much discussed 6 Day War (pp. 144-149), or the important focus on the temporal dimension of the Turkish interv</w:t>
      </w:r>
      <w:r w:rsidR="00706F9A">
        <w:rPr>
          <w:bCs/>
          <w:shd w:val="clear" w:color="auto" w:fill="FFFFFF"/>
        </w:rPr>
        <w:t>ention in Northern Iraq in 2008</w:t>
      </w:r>
      <w:r w:rsidR="00E74F4A">
        <w:rPr>
          <w:bCs/>
          <w:shd w:val="clear" w:color="auto" w:fill="FFFFFF"/>
        </w:rPr>
        <w:t xml:space="preserve"> in response to PKK attacks (pp. 237-239).  </w:t>
      </w:r>
    </w:p>
    <w:p w:rsidR="00E74F4A" w:rsidRDefault="00E74F4A" w:rsidP="00E74F4A">
      <w:pPr>
        <w:spacing w:line="360" w:lineRule="auto"/>
        <w:ind w:firstLine="720"/>
        <w:jc w:val="both"/>
      </w:pPr>
      <w:r>
        <w:rPr>
          <w:bCs/>
          <w:shd w:val="clear" w:color="auto" w:fill="FFFFFF"/>
        </w:rPr>
        <w:t>For all of the quality and depth of</w:t>
      </w:r>
      <w:r w:rsidR="000E4F13">
        <w:rPr>
          <w:bCs/>
          <w:shd w:val="clear" w:color="auto" w:fill="FFFFFF"/>
        </w:rPr>
        <w:t xml:space="preserve"> the</w:t>
      </w:r>
      <w:r>
        <w:rPr>
          <w:bCs/>
          <w:shd w:val="clear" w:color="auto" w:fill="FFFFFF"/>
        </w:rPr>
        <w:t xml:space="preserve"> incident-based research on show, however, perhaps the most significant contribution of this book is </w:t>
      </w:r>
      <w:r w:rsidR="00706F9A">
        <w:rPr>
          <w:bCs/>
          <w:shd w:val="clear" w:color="auto" w:fill="FFFFFF"/>
        </w:rPr>
        <w:t xml:space="preserve">of </w:t>
      </w:r>
      <w:r>
        <w:rPr>
          <w:bCs/>
          <w:shd w:val="clear" w:color="auto" w:fill="FFFFFF"/>
        </w:rPr>
        <w:t xml:space="preserve">a rather more conceptual </w:t>
      </w:r>
      <w:r w:rsidR="00706F9A">
        <w:rPr>
          <w:bCs/>
          <w:shd w:val="clear" w:color="auto" w:fill="FFFFFF"/>
        </w:rPr>
        <w:t>sort</w:t>
      </w:r>
      <w:r>
        <w:rPr>
          <w:bCs/>
          <w:shd w:val="clear" w:color="auto" w:fill="FFFFFF"/>
        </w:rPr>
        <w:t xml:space="preserve">.  This is </w:t>
      </w:r>
      <w:proofErr w:type="spellStart"/>
      <w:r w:rsidRPr="008543E9">
        <w:t>Tibori</w:t>
      </w:r>
      <w:proofErr w:type="spellEnd"/>
      <w:r w:rsidRPr="00831837">
        <w:t xml:space="preserve"> </w:t>
      </w:r>
      <w:proofErr w:type="spellStart"/>
      <w:r w:rsidRPr="00831837">
        <w:t>Szab</w:t>
      </w:r>
      <w:r w:rsidRPr="00831837">
        <w:rPr>
          <w:bCs/>
          <w:shd w:val="clear" w:color="auto" w:fill="FFFFFF"/>
        </w:rPr>
        <w:t>ó</w:t>
      </w:r>
      <w:r>
        <w:rPr>
          <w:bCs/>
          <w:shd w:val="clear" w:color="auto" w:fill="FFFFFF"/>
        </w:rPr>
        <w:t>’s</w:t>
      </w:r>
      <w:proofErr w:type="spellEnd"/>
      <w:r>
        <w:rPr>
          <w:bCs/>
          <w:shd w:val="clear" w:color="auto" w:fill="FFFFFF"/>
        </w:rPr>
        <w:t xml:space="preserve"> representation of self-defence as occurring on a temporal </w:t>
      </w:r>
      <w:r w:rsidRPr="00A27D56">
        <w:rPr>
          <w:bCs/>
          <w:i/>
          <w:shd w:val="clear" w:color="auto" w:fill="FFFFFF"/>
        </w:rPr>
        <w:t>spectrum</w:t>
      </w:r>
      <w:r>
        <w:rPr>
          <w:bCs/>
          <w:shd w:val="clear" w:color="auto" w:fill="FFFFFF"/>
        </w:rPr>
        <w:t xml:space="preserve">, which holistically covers the various stages of possible defensive action (the time prior to the attack being responded to, during it, and after it).  </w:t>
      </w:r>
      <w:r>
        <w:t>The author</w:t>
      </w:r>
      <w:r>
        <w:rPr>
          <w:bCs/>
          <w:shd w:val="clear" w:color="auto" w:fill="FFFFFF"/>
        </w:rPr>
        <w:t xml:space="preserve"> argues that self-defence has always had an intrinsic anticipatory element and that this remains true today.  On this basis, she distinguishes the anticipatory </w:t>
      </w:r>
      <w:r w:rsidRPr="001E5F5B">
        <w:rPr>
          <w:bCs/>
          <w:i/>
          <w:shd w:val="clear" w:color="auto" w:fill="FFFFFF"/>
        </w:rPr>
        <w:t>dimension</w:t>
      </w:r>
      <w:r>
        <w:rPr>
          <w:bCs/>
          <w:shd w:val="clear" w:color="auto" w:fill="FFFFFF"/>
        </w:rPr>
        <w:t xml:space="preserve"> to self-defence (something which is extremely common, with entirely uncontroversial ‘traditional’ self-defence actions frequently having at least an element of pre-empting future attacks about them) from full-blown anticipatory </w:t>
      </w:r>
      <w:r w:rsidRPr="001E5F5B">
        <w:rPr>
          <w:bCs/>
          <w:i/>
          <w:shd w:val="clear" w:color="auto" w:fill="FFFFFF"/>
        </w:rPr>
        <w:t>action</w:t>
      </w:r>
      <w:r>
        <w:rPr>
          <w:bCs/>
          <w:shd w:val="clear" w:color="auto" w:fill="FFFFFF"/>
        </w:rPr>
        <w:t xml:space="preserve"> in self-defence (pp. 275-277).  This perspective shifts us away from the division usually drawn between regular self-defence (what </w:t>
      </w:r>
      <w:proofErr w:type="spellStart"/>
      <w:r w:rsidRPr="008543E9">
        <w:t>Tibori</w:t>
      </w:r>
      <w:proofErr w:type="spellEnd"/>
      <w:r w:rsidRPr="00831837">
        <w:t xml:space="preserve"> </w:t>
      </w:r>
      <w:proofErr w:type="spellStart"/>
      <w:r w:rsidRPr="00831837">
        <w:t>Szab</w:t>
      </w:r>
      <w:r w:rsidRPr="00831837">
        <w:rPr>
          <w:bCs/>
          <w:shd w:val="clear" w:color="auto" w:fill="FFFFFF"/>
        </w:rPr>
        <w:t>ó</w:t>
      </w:r>
      <w:proofErr w:type="spellEnd"/>
      <w:r>
        <w:rPr>
          <w:bCs/>
          <w:shd w:val="clear" w:color="auto" w:fill="FFFFFF"/>
        </w:rPr>
        <w:t xml:space="preserve"> calls ‘remedial’ action) and a separate anticipatory version.</w:t>
      </w:r>
      <w:r>
        <w:rPr>
          <w:rStyle w:val="EndnoteReference"/>
          <w:bCs/>
          <w:shd w:val="clear" w:color="auto" w:fill="FFFFFF"/>
        </w:rPr>
        <w:endnoteReference w:id="8"/>
      </w:r>
      <w:r>
        <w:rPr>
          <w:bCs/>
          <w:shd w:val="clear" w:color="auto" w:fill="FFFFFF"/>
        </w:rPr>
        <w:t xml:space="preserve">  She argues that, in many cases, se</w:t>
      </w:r>
      <w:r w:rsidR="000E4F13">
        <w:rPr>
          <w:bCs/>
          <w:shd w:val="clear" w:color="auto" w:fill="FFFFFF"/>
        </w:rPr>
        <w:t xml:space="preserve">lf-defence actions will involve </w:t>
      </w:r>
      <w:r>
        <w:rPr>
          <w:bCs/>
          <w:shd w:val="clear" w:color="auto" w:fill="FFFFFF"/>
        </w:rPr>
        <w:t xml:space="preserve">both anticipatory and remedial elements.  There is thus a single right of self-defence, which is </w:t>
      </w:r>
      <w:r w:rsidR="00706F9A">
        <w:rPr>
          <w:bCs/>
          <w:shd w:val="clear" w:color="auto" w:fill="FFFFFF"/>
        </w:rPr>
        <w:t xml:space="preserve">commonly </w:t>
      </w:r>
      <w:r>
        <w:rPr>
          <w:bCs/>
          <w:shd w:val="clear" w:color="auto" w:fill="FFFFFF"/>
        </w:rPr>
        <w:t xml:space="preserve">possessed of an anticipatory aspect; wherever a response occurs along the temporal spectrum, though, this must be strictly regulated by necessity and proportionality.  Indeed, it is for this reason that the author ultimately prefers the terminology of ‘anticipatory </w:t>
      </w:r>
      <w:r w:rsidRPr="004E525B">
        <w:rPr>
          <w:bCs/>
          <w:i/>
          <w:shd w:val="clear" w:color="auto" w:fill="FFFFFF"/>
        </w:rPr>
        <w:t>action</w:t>
      </w:r>
      <w:r>
        <w:rPr>
          <w:bCs/>
          <w:shd w:val="clear" w:color="auto" w:fill="FFFFFF"/>
        </w:rPr>
        <w:t xml:space="preserve"> in self-defence’ rather than the more usual ‘anticipatory self-defence’: the latter suggests a separate concept, whereas the former indicates </w:t>
      </w:r>
      <w:r w:rsidR="00706F9A">
        <w:rPr>
          <w:bCs/>
          <w:shd w:val="clear" w:color="auto" w:fill="FFFFFF"/>
        </w:rPr>
        <w:t>a</w:t>
      </w:r>
      <w:r>
        <w:rPr>
          <w:bCs/>
          <w:shd w:val="clear" w:color="auto" w:fill="FFFFFF"/>
        </w:rPr>
        <w:t xml:space="preserve"> temporal dimension of a single concept (p. 283).</w:t>
      </w:r>
    </w:p>
    <w:p w:rsidR="00E74F4A" w:rsidRDefault="00E74F4A" w:rsidP="00E74F4A">
      <w:pPr>
        <w:spacing w:line="360" w:lineRule="auto"/>
        <w:ind w:firstLine="720"/>
        <w:jc w:val="both"/>
      </w:pPr>
      <w:r>
        <w:lastRenderedPageBreak/>
        <w:t>This argument regarding the intrinsic anticipatory nature of the right of self-defence is perhaps best illustrated in relation to t</w:t>
      </w:r>
      <w:r w:rsidRPr="00272353">
        <w:t xml:space="preserve">he notion that a defensive response can no longer be either necessary or proportional once the armed attack being responded to </w:t>
      </w:r>
      <w:proofErr w:type="gramStart"/>
      <w:r w:rsidRPr="00272353">
        <w:t>has</w:t>
      </w:r>
      <w:proofErr w:type="gramEnd"/>
      <w:r w:rsidRPr="00272353">
        <w:t xml:space="preserve"> ended</w:t>
      </w:r>
      <w:r>
        <w:t>.  This</w:t>
      </w:r>
      <w:r w:rsidRPr="00272353">
        <w:t xml:space="preserve"> is a relatively common feature of state practice/</w:t>
      </w:r>
      <w:proofErr w:type="spellStart"/>
      <w:r w:rsidRPr="00272353">
        <w:rPr>
          <w:i/>
        </w:rPr>
        <w:t>opinio</w:t>
      </w:r>
      <w:proofErr w:type="spellEnd"/>
      <w:r w:rsidRPr="00272353">
        <w:rPr>
          <w:i/>
        </w:rPr>
        <w:t xml:space="preserve"> </w:t>
      </w:r>
      <w:proofErr w:type="spellStart"/>
      <w:r w:rsidRPr="00272353">
        <w:rPr>
          <w:i/>
        </w:rPr>
        <w:t>juris</w:t>
      </w:r>
      <w:proofErr w:type="spellEnd"/>
      <w:r w:rsidRPr="00272353">
        <w:t>,</w:t>
      </w:r>
      <w:r w:rsidRPr="00272353">
        <w:rPr>
          <w:rStyle w:val="EndnoteReference"/>
        </w:rPr>
        <w:endnoteReference w:id="9"/>
      </w:r>
      <w:r w:rsidRPr="00272353">
        <w:t xml:space="preserve"> and has also been implicitly </w:t>
      </w:r>
      <w:r>
        <w:t>endorsed</w:t>
      </w:r>
      <w:r w:rsidRPr="00272353">
        <w:t xml:space="preserve"> by the I</w:t>
      </w:r>
      <w:r>
        <w:t xml:space="preserve">nternational </w:t>
      </w:r>
      <w:r w:rsidRPr="00272353">
        <w:t>C</w:t>
      </w:r>
      <w:r>
        <w:t>ourt of Justice</w:t>
      </w:r>
      <w:r w:rsidRPr="00272353">
        <w:t>.</w:t>
      </w:r>
      <w:r w:rsidRPr="00272353">
        <w:rPr>
          <w:rStyle w:val="EndnoteReference"/>
        </w:rPr>
        <w:endnoteReference w:id="10"/>
      </w:r>
      <w:r w:rsidRPr="00272353">
        <w:t xml:space="preserve">  However, </w:t>
      </w:r>
      <w:r w:rsidRPr="002B073F">
        <w:rPr>
          <w:i/>
        </w:rPr>
        <w:t>Anticipatory Action in Self-Defence</w:t>
      </w:r>
      <w:r w:rsidRPr="00272353">
        <w:t xml:space="preserve"> </w:t>
      </w:r>
      <w:r w:rsidR="000E4F13">
        <w:t>well demonstrates</w:t>
      </w:r>
      <w:r>
        <w:t xml:space="preserve"> that this notion</w:t>
      </w:r>
      <w:r w:rsidRPr="00272353">
        <w:t xml:space="preserve"> </w:t>
      </w:r>
      <w:r w:rsidR="001E63C1">
        <w:t>seems at odds with</w:t>
      </w:r>
      <w:r w:rsidRPr="00272353">
        <w:t xml:space="preserve"> self-defence claims </w:t>
      </w:r>
      <w:r w:rsidR="001E63C1">
        <w:t xml:space="preserve">that </w:t>
      </w:r>
      <w:r w:rsidRPr="00272353">
        <w:t xml:space="preserve">are put forward by states as a mixture of </w:t>
      </w:r>
      <w:r>
        <w:t>remedial and anticipatory action</w:t>
      </w:r>
      <w:r w:rsidRPr="00272353">
        <w:t xml:space="preserve">. </w:t>
      </w:r>
      <w:r>
        <w:t xml:space="preserve"> </w:t>
      </w:r>
      <w:r w:rsidRPr="00272353">
        <w:t>In other words, state</w:t>
      </w:r>
      <w:r>
        <w:t>s</w:t>
      </w:r>
      <w:r w:rsidRPr="00272353">
        <w:t xml:space="preserve"> </w:t>
      </w:r>
      <w:r>
        <w:t xml:space="preserve">commonly </w:t>
      </w:r>
      <w:r w:rsidRPr="00272353">
        <w:t>claim to be responding to an armed attack th</w:t>
      </w:r>
      <w:r>
        <w:t>at has occurred but is now over,</w:t>
      </w:r>
      <w:r w:rsidRPr="00272353">
        <w:t xml:space="preserve"> </w:t>
      </w:r>
      <w:r w:rsidRPr="00272353">
        <w:rPr>
          <w:i/>
        </w:rPr>
        <w:t>in</w:t>
      </w:r>
      <w:r w:rsidRPr="00272353">
        <w:t xml:space="preserve"> </w:t>
      </w:r>
      <w:r w:rsidRPr="00272353">
        <w:rPr>
          <w:i/>
        </w:rPr>
        <w:t>combination</w:t>
      </w:r>
      <w:r w:rsidRPr="00272353">
        <w:t xml:space="preserve"> with the threat of re</w:t>
      </w:r>
      <w:r>
        <w:t xml:space="preserve">lated subsequent attack.  </w:t>
      </w:r>
      <w:r w:rsidRPr="00272353">
        <w:t xml:space="preserve">The most high profile example of this </w:t>
      </w:r>
      <w:r>
        <w:t xml:space="preserve">sort of mixed claim is, of course, </w:t>
      </w:r>
      <w:r w:rsidRPr="00272353">
        <w:t>the United States led inte</w:t>
      </w:r>
      <w:r>
        <w:t>rvention in Afghanistan in 2001,</w:t>
      </w:r>
      <w:r w:rsidRPr="00272353">
        <w:rPr>
          <w:rStyle w:val="EndnoteReference"/>
        </w:rPr>
        <w:endnoteReference w:id="11"/>
      </w:r>
      <w:r>
        <w:t xml:space="preserve"> but </w:t>
      </w:r>
      <w:proofErr w:type="spellStart"/>
      <w:r w:rsidRPr="008543E9">
        <w:t>Tibori</w:t>
      </w:r>
      <w:proofErr w:type="spellEnd"/>
      <w:r w:rsidRPr="00831837">
        <w:t xml:space="preserve"> </w:t>
      </w:r>
      <w:proofErr w:type="spellStart"/>
      <w:r w:rsidRPr="00831837">
        <w:t>Szab</w:t>
      </w:r>
      <w:r w:rsidRPr="00831837">
        <w:rPr>
          <w:bCs/>
          <w:shd w:val="clear" w:color="auto" w:fill="FFFFFF"/>
        </w:rPr>
        <w:t>ó</w:t>
      </w:r>
      <w:proofErr w:type="spellEnd"/>
      <w:r>
        <w:t xml:space="preserve"> also engages with a number of others (especially in Chapter 8).  These examples highlight the intrinsic </w:t>
      </w:r>
      <w:r w:rsidR="00706F9A">
        <w:t>element of pre-emption</w:t>
      </w:r>
      <w:r>
        <w:t xml:space="preserve"> even in instances where a clear and agreed armed attack has occurred, because without at least some degree of acceptability for an anticipatory dimension to the right, these examples would fall foul of the requirement that an attack that is over cannot be responded to.</w:t>
      </w:r>
    </w:p>
    <w:p w:rsidR="00E74F4A" w:rsidRDefault="00E74F4A" w:rsidP="00E74F4A">
      <w:pPr>
        <w:spacing w:line="360" w:lineRule="auto"/>
        <w:ind w:firstLine="720"/>
        <w:jc w:val="both"/>
      </w:pPr>
      <w:r>
        <w:t xml:space="preserve">There are of course elements of </w:t>
      </w:r>
      <w:r w:rsidRPr="002B073F">
        <w:rPr>
          <w:i/>
        </w:rPr>
        <w:t>Anticipatory Action in Self-Defence</w:t>
      </w:r>
      <w:r w:rsidRPr="00272353">
        <w:t xml:space="preserve"> </w:t>
      </w:r>
      <w:r>
        <w:t xml:space="preserve">that this reviewer found problematic: no book is perfect.  One notable point of concern was the fact that </w:t>
      </w:r>
      <w:proofErr w:type="spellStart"/>
      <w:r w:rsidRPr="008543E9">
        <w:t>Tibori</w:t>
      </w:r>
      <w:proofErr w:type="spellEnd"/>
      <w:r w:rsidRPr="00831837">
        <w:t xml:space="preserve"> </w:t>
      </w:r>
      <w:proofErr w:type="spellStart"/>
      <w:r w:rsidRPr="00831837">
        <w:t>Szab</w:t>
      </w:r>
      <w:r w:rsidRPr="00831837">
        <w:rPr>
          <w:bCs/>
          <w:shd w:val="clear" w:color="auto" w:fill="FFFFFF"/>
        </w:rPr>
        <w:t>ó</w:t>
      </w:r>
      <w:proofErr w:type="spellEnd"/>
      <w:r>
        <w:rPr>
          <w:bCs/>
          <w:shd w:val="clear" w:color="auto" w:fill="FFFFFF"/>
        </w:rPr>
        <w:t xml:space="preserve"> repeatedly </w:t>
      </w:r>
      <w:r>
        <w:t xml:space="preserve">conflates the ‘armed attack’ criterion (which is to be found in Article 51 of the Charter) and the ‘necessity’ criterion in customary international law (see, e.g., p. 121-122).  In her view, </w:t>
      </w:r>
      <w:r w:rsidR="00706F9A">
        <w:t>the former is simply the treaty-</w:t>
      </w:r>
      <w:r>
        <w:t xml:space="preserve">based expression of the latter, and thus the criterion of necessity </w:t>
      </w:r>
      <w:r w:rsidRPr="003C1C21">
        <w:rPr>
          <w:i/>
        </w:rPr>
        <w:t>includes</w:t>
      </w:r>
      <w:r>
        <w:t xml:space="preserve"> what she refers to ‘the conditionality of an armed attack’.  The idea here is that the necessity criterion requires that an armed attack – a grave use of force – has or will imminently occur.  This reviewer entirely disagrees with this conclusion.  As he has examined at length elsewhere, the criteria of ‘necessity’ and ‘armed attack’ are two separate – albeit often overlapping – requirements for lawful self-defence.</w:t>
      </w:r>
      <w:r>
        <w:rPr>
          <w:rStyle w:val="EndnoteReference"/>
        </w:rPr>
        <w:endnoteReference w:id="12"/>
      </w:r>
    </w:p>
    <w:p w:rsidR="00E74F4A" w:rsidRDefault="00E74F4A" w:rsidP="00E74F4A">
      <w:pPr>
        <w:spacing w:line="360" w:lineRule="auto"/>
        <w:ind w:firstLine="720"/>
        <w:jc w:val="both"/>
      </w:pPr>
      <w:r>
        <w:t xml:space="preserve">Another critique that could be made </w:t>
      </w:r>
      <w:r w:rsidR="00706F9A">
        <w:t xml:space="preserve">of this book </w:t>
      </w:r>
      <w:r>
        <w:t xml:space="preserve">is a rather more stylistic matter.  It </w:t>
      </w:r>
      <w:r w:rsidR="001E63C1">
        <w:t xml:space="preserve">is </w:t>
      </w:r>
      <w:r>
        <w:t xml:space="preserve">very evident </w:t>
      </w:r>
      <w:r w:rsidR="001E63C1">
        <w:t>when reading</w:t>
      </w:r>
      <w:r>
        <w:t xml:space="preserve"> </w:t>
      </w:r>
      <w:r w:rsidR="00706F9A" w:rsidRPr="002B073F">
        <w:rPr>
          <w:i/>
        </w:rPr>
        <w:t>Anticipatory Action in Self-Defence</w:t>
      </w:r>
      <w:r w:rsidR="001E63C1">
        <w:t xml:space="preserve"> that it was adapted from a PhD thesis: later investigation confirmed that it</w:t>
      </w:r>
      <w:r>
        <w:t xml:space="preserve"> </w:t>
      </w:r>
      <w:r w:rsidR="001E63C1">
        <w:t xml:space="preserve">was </w:t>
      </w:r>
      <w:r>
        <w:t>originally submitted a</w:t>
      </w:r>
      <w:r w:rsidR="00706F9A">
        <w:t>s a</w:t>
      </w:r>
      <w:r>
        <w:t xml:space="preserve"> doctoral thesis at the University of Amsterdam.  T</w:t>
      </w:r>
      <w:r w:rsidR="001E63C1">
        <w:t xml:space="preserve">o be clear, </w:t>
      </w:r>
      <w:r w:rsidR="00706F9A">
        <w:t xml:space="preserve">this fact does not </w:t>
      </w:r>
      <w:r>
        <w:t xml:space="preserve">in any way diminish the </w:t>
      </w:r>
      <w:r w:rsidRPr="003C1C21">
        <w:rPr>
          <w:i/>
        </w:rPr>
        <w:t>substance</w:t>
      </w:r>
      <w:r>
        <w:t xml:space="preserve"> of the book.  Presuming that broadly similar research and analysis formed the basis of the version of this work submitted for the doctorate, it must have been an exceptional PhD thesis.  However, it is something of a shame that, given the extremely high quality of the substance here, the book was not stylistically adapted to ‘feel’ rather less like a doctoral thesis and rather more like a monograph.  This is particularly evident in Part III, which is </w:t>
      </w:r>
      <w:r>
        <w:lastRenderedPageBreak/>
        <w:t>essentially an overlong conclusion, meticulously reiterating all of the previous arguments: a section that would be fully at home in a doctoral thesis, but feels rather bloated and inappropriate here.  There are other points throughout this book where one gets the distinct sense that the editorial voice is directed at ‘examiners’ rather than ‘readers’.  As stated, this is a minor criticism, given that it does not affect the ultimate quality of the work, or its substantive value.  Nonetheless, it can become rather distracting on occasion.</w:t>
      </w:r>
    </w:p>
    <w:p w:rsidR="0020692E" w:rsidRPr="00272353" w:rsidRDefault="00706F9A" w:rsidP="00E74F4A">
      <w:pPr>
        <w:spacing w:line="360" w:lineRule="auto"/>
        <w:ind w:firstLine="720"/>
        <w:jc w:val="both"/>
      </w:pPr>
      <w:r>
        <w:t>T</w:t>
      </w:r>
      <w:r w:rsidR="00E74F4A">
        <w:t xml:space="preserve">he present reviewer is not entirely convinced by the final conclusions reached in </w:t>
      </w:r>
      <w:r w:rsidR="00E74F4A" w:rsidRPr="002B073F">
        <w:rPr>
          <w:i/>
        </w:rPr>
        <w:t>Anticipatory Action in Self-Defence</w:t>
      </w:r>
      <w:r w:rsidR="00E74F4A">
        <w:t xml:space="preserve">, at least not in the absolute form in which they are expressed.  Anticipatory self-defence </w:t>
      </w:r>
      <w:r w:rsidR="00E74F4A" w:rsidRPr="00272353">
        <w:t>against an imminent, discrete an</w:t>
      </w:r>
      <w:r w:rsidR="00E74F4A">
        <w:t xml:space="preserve">d objectively verifiable threat may well be lawful; </w:t>
      </w:r>
      <w:r w:rsidR="00E74F4A" w:rsidRPr="00272353">
        <w:t xml:space="preserve">there is </w:t>
      </w:r>
      <w:r w:rsidR="00E74F4A">
        <w:t xml:space="preserve">certainly </w:t>
      </w:r>
      <w:r w:rsidR="00E74F4A" w:rsidRPr="00272353">
        <w:t xml:space="preserve">a degree of state practice that can be </w:t>
      </w:r>
      <w:r w:rsidR="00E74F4A">
        <w:t>seen as supporting</w:t>
      </w:r>
      <w:r w:rsidR="00E74F4A" w:rsidRPr="00272353">
        <w:t xml:space="preserve"> the </w:t>
      </w:r>
      <w:r w:rsidR="00E74F4A">
        <w:t>acceptability of such action in custom, as this book ably demonstrates.</w:t>
      </w:r>
      <w:r w:rsidR="00E74F4A" w:rsidRPr="00272353">
        <w:t xml:space="preserve"> </w:t>
      </w:r>
      <w:r w:rsidR="00E74F4A">
        <w:t xml:space="preserve">  However</w:t>
      </w:r>
      <w:r w:rsidR="00E74F4A" w:rsidRPr="00272353">
        <w:t xml:space="preserve">, some </w:t>
      </w:r>
      <w:r w:rsidR="00E74F4A">
        <w:t xml:space="preserve">scholars (and – crucially – states) </w:t>
      </w:r>
      <w:r w:rsidR="00E74F4A" w:rsidRPr="00272353">
        <w:t xml:space="preserve">remain opposed to all forms of </w:t>
      </w:r>
      <w:r w:rsidR="00E74F4A">
        <w:t>anticipatory action, imminent or otherwise.  Such</w:t>
      </w:r>
      <w:r w:rsidR="00E74F4A" w:rsidRPr="00272353">
        <w:t xml:space="preserve"> action </w:t>
      </w:r>
      <w:r w:rsidR="00E74F4A">
        <w:t xml:space="preserve">therefore </w:t>
      </w:r>
      <w:r>
        <w:t xml:space="preserve">remains highly controversial </w:t>
      </w:r>
      <w:r w:rsidR="00E74F4A">
        <w:t xml:space="preserve">as a matter of hard law, something that is of course acknowledged by </w:t>
      </w:r>
      <w:proofErr w:type="spellStart"/>
      <w:r w:rsidR="00E74F4A" w:rsidRPr="008543E9">
        <w:t>Tibori</w:t>
      </w:r>
      <w:proofErr w:type="spellEnd"/>
      <w:r w:rsidR="00E74F4A" w:rsidRPr="00831837">
        <w:t xml:space="preserve"> </w:t>
      </w:r>
      <w:proofErr w:type="spellStart"/>
      <w:r w:rsidR="00E74F4A" w:rsidRPr="00831837">
        <w:t>Szab</w:t>
      </w:r>
      <w:r w:rsidR="00E74F4A" w:rsidRPr="00831837">
        <w:rPr>
          <w:bCs/>
          <w:shd w:val="clear" w:color="auto" w:fill="FFFFFF"/>
        </w:rPr>
        <w:t>ó</w:t>
      </w:r>
      <w:proofErr w:type="spellEnd"/>
      <w:r w:rsidR="00E74F4A">
        <w:rPr>
          <w:bCs/>
          <w:shd w:val="clear" w:color="auto" w:fill="FFFFFF"/>
        </w:rPr>
        <w:t xml:space="preserve"> (both at </w:t>
      </w:r>
      <w:r w:rsidR="00E74F4A" w:rsidRPr="00893F51">
        <w:rPr>
          <w:bCs/>
          <w:shd w:val="clear" w:color="auto" w:fill="FFFFFF"/>
        </w:rPr>
        <w:t>p. 2 and</w:t>
      </w:r>
      <w:r w:rsidR="00E74F4A">
        <w:rPr>
          <w:bCs/>
          <w:shd w:val="clear" w:color="auto" w:fill="FFFFFF"/>
        </w:rPr>
        <w:t xml:space="preserve"> p. 276).</w:t>
      </w:r>
      <w:r w:rsidR="00E74F4A">
        <w:t xml:space="preserve">  In the view of the present reviewer, </w:t>
      </w:r>
      <w:r w:rsidR="00E74F4A" w:rsidRPr="00272353">
        <w:t xml:space="preserve">neither a reading of Article 51 </w:t>
      </w:r>
      <w:r w:rsidR="00E74F4A">
        <w:t xml:space="preserve">(including taking it in its wider context, as is done here), </w:t>
      </w:r>
      <w:r w:rsidR="00E74F4A" w:rsidRPr="00272353">
        <w:t xml:space="preserve">nor a detailed analysis of the state practice can provide a </w:t>
      </w:r>
      <w:r w:rsidR="00E74F4A" w:rsidRPr="0044295F">
        <w:rPr>
          <w:i/>
        </w:rPr>
        <w:t>conclusive</w:t>
      </w:r>
      <w:r w:rsidR="00E74F4A" w:rsidRPr="00272353">
        <w:t xml:space="preserve"> case for the lawfulness of </w:t>
      </w:r>
      <w:r w:rsidR="001E63C1">
        <w:t>pre-emption</w:t>
      </w:r>
      <w:r w:rsidR="00E74F4A" w:rsidRPr="00272353">
        <w:t>.</w:t>
      </w:r>
      <w:r w:rsidR="00E74F4A">
        <w:t xml:space="preserve">  On the question of anticipatory action in self-defence, then, he finds himself</w:t>
      </w:r>
      <w:r w:rsidR="00E74F4A" w:rsidRPr="00272353">
        <w:t xml:space="preserve"> sharing a seat atop the fence with the judges of the world court.</w:t>
      </w:r>
      <w:r w:rsidR="00E74F4A">
        <w:rPr>
          <w:rStyle w:val="EndnoteReference"/>
        </w:rPr>
        <w:endnoteReference w:id="13"/>
      </w:r>
      <w:r w:rsidR="00E74F4A">
        <w:t xml:space="preserve"> </w:t>
      </w:r>
      <w:r w:rsidR="0020692E">
        <w:t xml:space="preserve"> </w:t>
      </w:r>
      <w:r w:rsidR="0044295F">
        <w:t xml:space="preserve">Yet despite the fact that this reviewer does not </w:t>
      </w:r>
      <w:r>
        <w:t xml:space="preserve">ultimately </w:t>
      </w:r>
      <w:r w:rsidR="0044295F">
        <w:t xml:space="preserve">find himself </w:t>
      </w:r>
      <w:r>
        <w:t>fully swayed</w:t>
      </w:r>
      <w:r w:rsidR="0044295F">
        <w:t xml:space="preserve">, </w:t>
      </w:r>
      <w:r w:rsidR="0020692E" w:rsidRPr="002B073F">
        <w:rPr>
          <w:i/>
        </w:rPr>
        <w:t>Anticipatory Action</w:t>
      </w:r>
      <w:r w:rsidR="0020692E" w:rsidRPr="0020692E">
        <w:t xml:space="preserve"> </w:t>
      </w:r>
      <w:r w:rsidR="0020692E" w:rsidRPr="0020692E">
        <w:rPr>
          <w:i/>
        </w:rPr>
        <w:t>in Self-Defence</w:t>
      </w:r>
      <w:r w:rsidR="0020692E" w:rsidRPr="0020692E">
        <w:t xml:space="preserve"> </w:t>
      </w:r>
      <w:r w:rsidR="0044295F">
        <w:t>undoubtedly presents an exceptional case</w:t>
      </w:r>
      <w:r w:rsidR="0020692E" w:rsidRPr="0020692E">
        <w:t xml:space="preserve"> for </w:t>
      </w:r>
      <w:r w:rsidR="0020692E">
        <w:t xml:space="preserve">the lawfulness of </w:t>
      </w:r>
      <w:r w:rsidR="0020692E" w:rsidRPr="0020692E">
        <w:t>anticipatory action</w:t>
      </w:r>
      <w:r w:rsidR="0020692E">
        <w:t>.</w:t>
      </w:r>
      <w:r w:rsidR="0044295F">
        <w:t xml:space="preserve">  The</w:t>
      </w:r>
      <w:r w:rsidR="0020692E">
        <w:rPr>
          <w:bCs/>
          <w:shd w:val="clear" w:color="auto" w:fill="FFFFFF"/>
        </w:rPr>
        <w:t xml:space="preserve"> depth, commendable focus on state practice and the impressive quality of the research underpinning </w:t>
      </w:r>
      <w:r w:rsidR="0044295F">
        <w:rPr>
          <w:bCs/>
          <w:shd w:val="clear" w:color="auto" w:fill="FFFFFF"/>
        </w:rPr>
        <w:t>this book</w:t>
      </w:r>
      <w:r w:rsidR="0020692E">
        <w:rPr>
          <w:bCs/>
          <w:shd w:val="clear" w:color="auto" w:fill="FFFFFF"/>
        </w:rPr>
        <w:t xml:space="preserve">, all mean that </w:t>
      </w:r>
      <w:r w:rsidR="0044295F">
        <w:rPr>
          <w:bCs/>
          <w:shd w:val="clear" w:color="auto" w:fill="FFFFFF"/>
        </w:rPr>
        <w:t>it</w:t>
      </w:r>
      <w:r w:rsidR="0020692E">
        <w:rPr>
          <w:bCs/>
          <w:shd w:val="clear" w:color="auto" w:fill="FFFFFF"/>
        </w:rPr>
        <w:t xml:space="preserve"> is an excellent addition to th</w:t>
      </w:r>
      <w:r>
        <w:rPr>
          <w:bCs/>
          <w:shd w:val="clear" w:color="auto" w:fill="FFFFFF"/>
        </w:rPr>
        <w:t>e</w:t>
      </w:r>
      <w:r w:rsidR="0020692E">
        <w:rPr>
          <w:bCs/>
          <w:shd w:val="clear" w:color="auto" w:fill="FFFFFF"/>
        </w:rPr>
        <w:t xml:space="preserve"> literature.  It is of no surprise at all that </w:t>
      </w:r>
      <w:r w:rsidR="0044295F">
        <w:rPr>
          <w:bCs/>
          <w:shd w:val="clear" w:color="auto" w:fill="FFFFFF"/>
        </w:rPr>
        <w:t>it</w:t>
      </w:r>
      <w:r w:rsidR="0020692E">
        <w:rPr>
          <w:bCs/>
          <w:shd w:val="clear" w:color="auto" w:fill="FFFFFF"/>
        </w:rPr>
        <w:t xml:space="preserve"> won the 2012 </w:t>
      </w:r>
      <w:r w:rsidR="0020692E">
        <w:t xml:space="preserve">Francis </w:t>
      </w:r>
      <w:proofErr w:type="spellStart"/>
      <w:r w:rsidR="0020692E">
        <w:t>Lieber</w:t>
      </w:r>
      <w:proofErr w:type="spellEnd"/>
      <w:r w:rsidR="0020692E">
        <w:t xml:space="preserve"> Prize from the ASIL </w:t>
      </w:r>
      <w:proofErr w:type="spellStart"/>
      <w:r w:rsidR="0020692E">
        <w:t>Lieber</w:t>
      </w:r>
      <w:proofErr w:type="spellEnd"/>
      <w:r w:rsidR="0020692E">
        <w:t xml:space="preserve"> Society on the Law of Armed Conflict.</w:t>
      </w:r>
    </w:p>
    <w:p w:rsidR="00E74F4A" w:rsidRDefault="00E74F4A" w:rsidP="00E74F4A">
      <w:pPr>
        <w:autoSpaceDE w:val="0"/>
        <w:autoSpaceDN w:val="0"/>
        <w:adjustRightInd w:val="0"/>
        <w:spacing w:line="360" w:lineRule="auto"/>
        <w:jc w:val="both"/>
        <w:rPr>
          <w:b/>
        </w:rPr>
        <w:sectPr w:rsidR="00E74F4A" w:rsidSect="00E74F4A">
          <w:endnotePr>
            <w:numFmt w:val="decimal"/>
          </w:endnotePr>
          <w:type w:val="continuous"/>
          <w:pgSz w:w="11906" w:h="16838"/>
          <w:pgMar w:top="1440" w:right="1440" w:bottom="1440" w:left="1440" w:header="708" w:footer="708" w:gutter="0"/>
          <w:cols w:space="708"/>
          <w:docGrid w:linePitch="360"/>
        </w:sectPr>
      </w:pPr>
    </w:p>
    <w:p w:rsidR="00DB66A3" w:rsidRPr="008A2ED2" w:rsidRDefault="00DB66A3" w:rsidP="00E74F4A">
      <w:pPr>
        <w:spacing w:line="360" w:lineRule="auto"/>
        <w:rPr>
          <w:bCs/>
          <w:shd w:val="clear" w:color="auto" w:fill="FFFFFF"/>
        </w:rPr>
      </w:pPr>
    </w:p>
    <w:p w:rsidR="00FE01C5" w:rsidRPr="008A2ED2" w:rsidRDefault="00FE01C5" w:rsidP="00E74F4A">
      <w:pPr>
        <w:spacing w:line="360" w:lineRule="auto"/>
        <w:jc w:val="right"/>
        <w:rPr>
          <w:rFonts w:eastAsiaTheme="minorEastAsia"/>
          <w:i/>
          <w:noProof/>
          <w:color w:val="000000"/>
          <w:lang w:eastAsia="en-GB"/>
        </w:rPr>
      </w:pPr>
      <w:r w:rsidRPr="008A2ED2">
        <w:rPr>
          <w:rFonts w:eastAsiaTheme="minorEastAsia"/>
          <w:i/>
          <w:noProof/>
          <w:color w:val="000000"/>
          <w:lang w:eastAsia="en-GB"/>
        </w:rPr>
        <w:t>James A. Green</w:t>
      </w:r>
    </w:p>
    <w:p w:rsidR="00FE01C5" w:rsidRPr="008A2ED2" w:rsidRDefault="00FE01C5" w:rsidP="00E74F4A">
      <w:pPr>
        <w:spacing w:line="360" w:lineRule="auto"/>
        <w:jc w:val="right"/>
        <w:rPr>
          <w:rFonts w:eastAsiaTheme="minorEastAsia"/>
          <w:noProof/>
          <w:lang w:eastAsia="en-GB"/>
        </w:rPr>
      </w:pPr>
      <w:r w:rsidRPr="008A2ED2">
        <w:rPr>
          <w:rFonts w:eastAsiaTheme="minorEastAsia"/>
          <w:noProof/>
          <w:color w:val="000000"/>
          <w:lang w:eastAsia="en-GB"/>
        </w:rPr>
        <w:t>Associate Professor in Public International Law</w:t>
      </w:r>
    </w:p>
    <w:p w:rsidR="00DB66A3" w:rsidRDefault="00FE01C5" w:rsidP="00E74F4A">
      <w:pPr>
        <w:spacing w:line="360" w:lineRule="auto"/>
        <w:jc w:val="right"/>
      </w:pPr>
      <w:r w:rsidRPr="008A2ED2">
        <w:t>University of Reading</w:t>
      </w:r>
    </w:p>
    <w:p w:rsidR="00E74F4A" w:rsidRDefault="00E74F4A" w:rsidP="00E74F4A">
      <w:pPr>
        <w:spacing w:line="360" w:lineRule="auto"/>
        <w:jc w:val="right"/>
      </w:pPr>
    </w:p>
    <w:p w:rsidR="00E74F4A" w:rsidRPr="008A2ED2" w:rsidRDefault="00E74F4A" w:rsidP="00E74F4A">
      <w:pPr>
        <w:spacing w:line="360" w:lineRule="auto"/>
        <w:jc w:val="right"/>
      </w:pPr>
    </w:p>
    <w:sectPr w:rsidR="00E74F4A" w:rsidRPr="008A2ED2" w:rsidSect="00E74F4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A76" w:rsidRDefault="00E37A76" w:rsidP="0022113C">
      <w:r>
        <w:separator/>
      </w:r>
    </w:p>
  </w:endnote>
  <w:endnote w:type="continuationSeparator" w:id="0">
    <w:p w:rsidR="00E37A76" w:rsidRDefault="00E37A76" w:rsidP="0022113C">
      <w:r>
        <w:continuationSeparator/>
      </w:r>
    </w:p>
  </w:endnote>
  <w:endnote w:id="1">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It is worth noting that the terminology with regard to self-defence </w:t>
      </w:r>
      <w:r w:rsidR="007801EC">
        <w:rPr>
          <w:sz w:val="20"/>
          <w:szCs w:val="20"/>
        </w:rPr>
        <w:t xml:space="preserve">taken </w:t>
      </w:r>
      <w:r w:rsidRPr="00E74F4A">
        <w:rPr>
          <w:sz w:val="20"/>
          <w:szCs w:val="20"/>
        </w:rPr>
        <w:t xml:space="preserve">against the threat of force is not uniform in the literature.  Various terms are used inconsistently by different scholars to mean different things in this context, which can lead to confusion (as has been pointed out by C. </w:t>
      </w:r>
      <w:proofErr w:type="spellStart"/>
      <w:r w:rsidRPr="00E74F4A">
        <w:rPr>
          <w:sz w:val="20"/>
          <w:szCs w:val="20"/>
        </w:rPr>
        <w:t>Gray</w:t>
      </w:r>
      <w:proofErr w:type="spellEnd"/>
      <w:r w:rsidRPr="00E74F4A">
        <w:rPr>
          <w:sz w:val="20"/>
          <w:szCs w:val="20"/>
        </w:rPr>
        <w:t xml:space="preserve">, </w:t>
      </w:r>
      <w:r w:rsidRPr="00E74F4A">
        <w:rPr>
          <w:i/>
          <w:sz w:val="20"/>
          <w:szCs w:val="20"/>
        </w:rPr>
        <w:t>International Law and the Use of Force</w:t>
      </w:r>
      <w:r w:rsidRPr="00E74F4A">
        <w:rPr>
          <w:sz w:val="20"/>
          <w:szCs w:val="20"/>
        </w:rPr>
        <w:t xml:space="preserve"> (Oxford, Oxford University Press 3rd </w:t>
      </w:r>
      <w:proofErr w:type="spellStart"/>
      <w:r w:rsidRPr="00E74F4A">
        <w:rPr>
          <w:sz w:val="20"/>
          <w:szCs w:val="20"/>
        </w:rPr>
        <w:t>edn</w:t>
      </w:r>
      <w:proofErr w:type="spellEnd"/>
      <w:r w:rsidRPr="00E74F4A">
        <w:rPr>
          <w:sz w:val="20"/>
          <w:szCs w:val="20"/>
        </w:rPr>
        <w:t xml:space="preserve">. 2008), pp. 211-212).   </w:t>
      </w:r>
      <w:r w:rsidR="007801EC">
        <w:rPr>
          <w:sz w:val="20"/>
          <w:szCs w:val="20"/>
        </w:rPr>
        <w:t>T</w:t>
      </w:r>
      <w:r w:rsidRPr="00E74F4A">
        <w:rPr>
          <w:sz w:val="20"/>
          <w:szCs w:val="20"/>
        </w:rPr>
        <w:t xml:space="preserve">he same terminology </w:t>
      </w:r>
      <w:r w:rsidR="007801EC">
        <w:rPr>
          <w:sz w:val="20"/>
          <w:szCs w:val="20"/>
        </w:rPr>
        <w:t xml:space="preserve">will be employed here </w:t>
      </w:r>
      <w:r w:rsidRPr="00E74F4A">
        <w:rPr>
          <w:sz w:val="20"/>
          <w:szCs w:val="20"/>
        </w:rPr>
        <w:t xml:space="preserve">as that used in the book under review: ‘anticipatory self-defence’ (or ‘anticipatory </w:t>
      </w:r>
      <w:r w:rsidRPr="00E74F4A">
        <w:rPr>
          <w:i/>
          <w:sz w:val="20"/>
          <w:szCs w:val="20"/>
        </w:rPr>
        <w:t>action</w:t>
      </w:r>
      <w:r w:rsidRPr="00E74F4A">
        <w:rPr>
          <w:sz w:val="20"/>
          <w:szCs w:val="20"/>
        </w:rPr>
        <w:t xml:space="preserve"> in self-defence’) </w:t>
      </w:r>
      <w:r w:rsidRPr="00E74F4A">
        <w:rPr>
          <w:i/>
          <w:sz w:val="20"/>
          <w:szCs w:val="20"/>
        </w:rPr>
        <w:t>and</w:t>
      </w:r>
      <w:r w:rsidRPr="00E74F4A">
        <w:rPr>
          <w:sz w:val="20"/>
          <w:szCs w:val="20"/>
        </w:rPr>
        <w:t xml:space="preserve"> ‘pre-emptive self-defence’ are employed interchangeably to refer to action taken in response to an </w:t>
      </w:r>
      <w:r w:rsidRPr="00E74F4A">
        <w:rPr>
          <w:i/>
          <w:sz w:val="20"/>
          <w:szCs w:val="20"/>
        </w:rPr>
        <w:t>imminent</w:t>
      </w:r>
      <w:r w:rsidRPr="00E74F4A">
        <w:rPr>
          <w:sz w:val="20"/>
          <w:szCs w:val="20"/>
        </w:rPr>
        <w:t xml:space="preserve"> </w:t>
      </w:r>
      <w:r w:rsidR="007801EC">
        <w:rPr>
          <w:sz w:val="20"/>
          <w:szCs w:val="20"/>
        </w:rPr>
        <w:t>attack</w:t>
      </w:r>
      <w:r w:rsidRPr="00E74F4A">
        <w:rPr>
          <w:sz w:val="20"/>
          <w:szCs w:val="20"/>
        </w:rPr>
        <w:t>, while ‘preventative self-defence’ is used to refer to action taken in response to a perceived threat th</w:t>
      </w:r>
      <w:r w:rsidR="00556F03">
        <w:rPr>
          <w:sz w:val="20"/>
          <w:szCs w:val="20"/>
        </w:rPr>
        <w:t>at is more temporally remote.  However, it is worth noting that t</w:t>
      </w:r>
      <w:r w:rsidRPr="00E74F4A">
        <w:rPr>
          <w:sz w:val="20"/>
          <w:szCs w:val="20"/>
        </w:rPr>
        <w:t xml:space="preserve">his reviewer has commonly used </w:t>
      </w:r>
      <w:r w:rsidR="00556F03">
        <w:rPr>
          <w:sz w:val="20"/>
          <w:szCs w:val="20"/>
        </w:rPr>
        <w:t>different terminology elsewhere</w:t>
      </w:r>
      <w:r w:rsidRPr="00E74F4A">
        <w:rPr>
          <w:sz w:val="20"/>
          <w:szCs w:val="20"/>
        </w:rPr>
        <w:t xml:space="preserve">: see, for example J.A. Green, ‘Docking the </w:t>
      </w:r>
      <w:r w:rsidRPr="00E74F4A">
        <w:rPr>
          <w:i/>
          <w:sz w:val="20"/>
          <w:szCs w:val="20"/>
        </w:rPr>
        <w:t>Caroline</w:t>
      </w:r>
      <w:r w:rsidRPr="00E74F4A">
        <w:rPr>
          <w:sz w:val="20"/>
          <w:szCs w:val="20"/>
        </w:rPr>
        <w:t xml:space="preserve">: Understanding the Relevance of the Formula in Contemporary Customary International Law Concerning Self-Defence’, 14 </w:t>
      </w:r>
      <w:r w:rsidRPr="00E74F4A">
        <w:rPr>
          <w:i/>
          <w:sz w:val="20"/>
          <w:szCs w:val="20"/>
        </w:rPr>
        <w:t xml:space="preserve">Cardozo Journal of International and Comparative Law </w:t>
      </w:r>
      <w:r w:rsidRPr="00E74F4A">
        <w:rPr>
          <w:sz w:val="20"/>
          <w:szCs w:val="20"/>
        </w:rPr>
        <w:t>(2006) p.  429, at p. 465 footnote 151.</w:t>
      </w:r>
    </w:p>
  </w:endnote>
  <w:endnote w:id="2">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See, for example, the famous debate between </w:t>
      </w:r>
      <w:proofErr w:type="spellStart"/>
      <w:r w:rsidRPr="00E74F4A">
        <w:rPr>
          <w:sz w:val="20"/>
          <w:szCs w:val="20"/>
        </w:rPr>
        <w:t>Bowett</w:t>
      </w:r>
      <w:proofErr w:type="spellEnd"/>
      <w:r w:rsidRPr="00E74F4A">
        <w:rPr>
          <w:sz w:val="20"/>
          <w:szCs w:val="20"/>
        </w:rPr>
        <w:t xml:space="preserve"> and </w:t>
      </w:r>
      <w:proofErr w:type="spellStart"/>
      <w:r w:rsidRPr="00E74F4A">
        <w:rPr>
          <w:sz w:val="20"/>
          <w:szCs w:val="20"/>
        </w:rPr>
        <w:t>Brownlie</w:t>
      </w:r>
      <w:proofErr w:type="spellEnd"/>
      <w:r w:rsidRPr="00E74F4A">
        <w:rPr>
          <w:sz w:val="20"/>
          <w:szCs w:val="20"/>
        </w:rPr>
        <w:t xml:space="preserve">: D.W. </w:t>
      </w:r>
      <w:proofErr w:type="spellStart"/>
      <w:r w:rsidRPr="00E74F4A">
        <w:rPr>
          <w:sz w:val="20"/>
          <w:szCs w:val="20"/>
        </w:rPr>
        <w:t>Bowett</w:t>
      </w:r>
      <w:proofErr w:type="spellEnd"/>
      <w:r w:rsidRPr="00E74F4A">
        <w:rPr>
          <w:sz w:val="20"/>
          <w:szCs w:val="20"/>
        </w:rPr>
        <w:t xml:space="preserve">, </w:t>
      </w:r>
      <w:r w:rsidRPr="00E74F4A">
        <w:rPr>
          <w:i/>
          <w:sz w:val="20"/>
          <w:szCs w:val="20"/>
        </w:rPr>
        <w:t>Self-Defence in International Law</w:t>
      </w:r>
      <w:r w:rsidRPr="00E74F4A">
        <w:rPr>
          <w:sz w:val="20"/>
          <w:szCs w:val="20"/>
        </w:rPr>
        <w:t xml:space="preserve"> (Manchester, Manchester University Press 1958), particularly at pp. 188-192; and I. </w:t>
      </w:r>
      <w:proofErr w:type="spellStart"/>
      <w:r w:rsidRPr="00E74F4A">
        <w:rPr>
          <w:sz w:val="20"/>
          <w:szCs w:val="20"/>
        </w:rPr>
        <w:t>Brownlie</w:t>
      </w:r>
      <w:proofErr w:type="spellEnd"/>
      <w:r w:rsidRPr="00E74F4A">
        <w:rPr>
          <w:sz w:val="20"/>
          <w:szCs w:val="20"/>
        </w:rPr>
        <w:t xml:space="preserve">, </w:t>
      </w:r>
      <w:r w:rsidRPr="00E74F4A">
        <w:rPr>
          <w:i/>
          <w:sz w:val="20"/>
          <w:szCs w:val="20"/>
        </w:rPr>
        <w:t>International Law and the Use of Force by States</w:t>
      </w:r>
      <w:r w:rsidRPr="00E74F4A">
        <w:rPr>
          <w:smallCaps/>
          <w:sz w:val="20"/>
          <w:szCs w:val="20"/>
        </w:rPr>
        <w:t xml:space="preserve"> </w:t>
      </w:r>
      <w:r w:rsidRPr="00E74F4A">
        <w:rPr>
          <w:sz w:val="20"/>
          <w:szCs w:val="20"/>
        </w:rPr>
        <w:t xml:space="preserve">(Oxford, Oxford University Press 1963), </w:t>
      </w:r>
      <w:r w:rsidRPr="00880290">
        <w:rPr>
          <w:sz w:val="20"/>
          <w:szCs w:val="20"/>
        </w:rPr>
        <w:t xml:space="preserve">particularly at pp. </w:t>
      </w:r>
      <w:r w:rsidR="00880290" w:rsidRPr="00880290">
        <w:rPr>
          <w:sz w:val="20"/>
          <w:szCs w:val="20"/>
        </w:rPr>
        <w:t>257-261</w:t>
      </w:r>
      <w:r w:rsidRPr="00880290">
        <w:rPr>
          <w:sz w:val="20"/>
          <w:szCs w:val="20"/>
        </w:rPr>
        <w:t>.</w:t>
      </w:r>
    </w:p>
  </w:endnote>
  <w:endnote w:id="3">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See, for recent examples of scholars who have taken this view: C. Henderson, </w:t>
      </w:r>
      <w:r w:rsidRPr="00E74F4A">
        <w:rPr>
          <w:i/>
          <w:sz w:val="20"/>
          <w:szCs w:val="20"/>
        </w:rPr>
        <w:t xml:space="preserve">The Persistent Advocate and the Use of Force: The Impact of the United States upon the Jus ad Bellum in the Post-Cold War Era </w:t>
      </w:r>
      <w:r w:rsidRPr="00E74F4A">
        <w:rPr>
          <w:sz w:val="20"/>
          <w:szCs w:val="20"/>
        </w:rPr>
        <w:t xml:space="preserve">(Farnham,  </w:t>
      </w:r>
      <w:proofErr w:type="spellStart"/>
      <w:r w:rsidRPr="00E74F4A">
        <w:rPr>
          <w:sz w:val="20"/>
          <w:szCs w:val="20"/>
        </w:rPr>
        <w:t>Ashgate</w:t>
      </w:r>
      <w:proofErr w:type="spellEnd"/>
      <w:r w:rsidRPr="00E74F4A">
        <w:rPr>
          <w:sz w:val="20"/>
          <w:szCs w:val="20"/>
        </w:rPr>
        <w:t xml:space="preserve"> 2010), pp. 171-193; N. </w:t>
      </w:r>
      <w:proofErr w:type="spellStart"/>
      <w:r w:rsidRPr="00E74F4A">
        <w:rPr>
          <w:sz w:val="20"/>
          <w:szCs w:val="20"/>
        </w:rPr>
        <w:t>Lubell</w:t>
      </w:r>
      <w:proofErr w:type="spellEnd"/>
      <w:r w:rsidRPr="00E74F4A">
        <w:rPr>
          <w:sz w:val="20"/>
          <w:szCs w:val="20"/>
        </w:rPr>
        <w:t xml:space="preserve">, </w:t>
      </w:r>
      <w:r w:rsidRPr="00E74F4A">
        <w:rPr>
          <w:i/>
          <w:sz w:val="20"/>
          <w:szCs w:val="20"/>
        </w:rPr>
        <w:t>Extraterritorial Use of Force Against Non-State Actors</w:t>
      </w:r>
      <w:r w:rsidRPr="00E74F4A">
        <w:rPr>
          <w:sz w:val="20"/>
          <w:szCs w:val="20"/>
        </w:rPr>
        <w:t xml:space="preserve"> (Oxford, Oxford University Press 2010), pp. 55-63; and G.A. Raymond and C.W. </w:t>
      </w:r>
      <w:proofErr w:type="spellStart"/>
      <w:r w:rsidRPr="00E74F4A">
        <w:rPr>
          <w:sz w:val="20"/>
          <w:szCs w:val="20"/>
        </w:rPr>
        <w:t>Kegley</w:t>
      </w:r>
      <w:proofErr w:type="spellEnd"/>
      <w:r w:rsidRPr="00E74F4A">
        <w:rPr>
          <w:sz w:val="20"/>
          <w:szCs w:val="20"/>
        </w:rPr>
        <w:t>, Jr., ‘</w:t>
      </w:r>
      <w:proofErr w:type="spellStart"/>
      <w:r w:rsidRPr="00E74F4A">
        <w:rPr>
          <w:sz w:val="20"/>
          <w:szCs w:val="20"/>
        </w:rPr>
        <w:t>Preemption</w:t>
      </w:r>
      <w:proofErr w:type="spellEnd"/>
      <w:r w:rsidRPr="00E74F4A">
        <w:rPr>
          <w:sz w:val="20"/>
          <w:szCs w:val="20"/>
        </w:rPr>
        <w:t xml:space="preserve"> and Preventative War’, in H.M. </w:t>
      </w:r>
      <w:proofErr w:type="spellStart"/>
      <w:r w:rsidRPr="00E74F4A">
        <w:rPr>
          <w:sz w:val="20"/>
          <w:szCs w:val="20"/>
        </w:rPr>
        <w:t>Hensel</w:t>
      </w:r>
      <w:proofErr w:type="spellEnd"/>
      <w:r w:rsidRPr="00E74F4A">
        <w:rPr>
          <w:sz w:val="20"/>
          <w:szCs w:val="20"/>
        </w:rPr>
        <w:t xml:space="preserve"> (ed.), </w:t>
      </w:r>
      <w:r w:rsidRPr="00E74F4A">
        <w:rPr>
          <w:i/>
          <w:sz w:val="20"/>
          <w:szCs w:val="20"/>
        </w:rPr>
        <w:t>The Legitimate Use of Force: The Just War Tradition and the Customary Law of Armed Conflict</w:t>
      </w:r>
      <w:r w:rsidRPr="00E74F4A">
        <w:rPr>
          <w:sz w:val="20"/>
          <w:szCs w:val="20"/>
        </w:rPr>
        <w:t xml:space="preserve"> (Farnham, </w:t>
      </w:r>
      <w:proofErr w:type="spellStart"/>
      <w:r w:rsidRPr="00E74F4A">
        <w:rPr>
          <w:sz w:val="20"/>
          <w:szCs w:val="20"/>
        </w:rPr>
        <w:t>Ashgate</w:t>
      </w:r>
      <w:proofErr w:type="spellEnd"/>
      <w:r w:rsidRPr="00E74F4A">
        <w:rPr>
          <w:sz w:val="20"/>
          <w:szCs w:val="20"/>
        </w:rPr>
        <w:t xml:space="preserve"> 2008), p. 99, particularly at pp. 101-109.</w:t>
      </w:r>
    </w:p>
  </w:endnote>
  <w:endnote w:id="4">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See, for example, A. Garwood-</w:t>
      </w:r>
      <w:proofErr w:type="spellStart"/>
      <w:r w:rsidRPr="00E74F4A">
        <w:rPr>
          <w:sz w:val="20"/>
          <w:szCs w:val="20"/>
        </w:rPr>
        <w:t>Gowers</w:t>
      </w:r>
      <w:proofErr w:type="spellEnd"/>
      <w:r w:rsidRPr="00E74F4A">
        <w:rPr>
          <w:sz w:val="20"/>
          <w:szCs w:val="20"/>
        </w:rPr>
        <w:t>, ‘Israel’s airstrike on Syria’s Al-</w:t>
      </w:r>
      <w:proofErr w:type="spellStart"/>
      <w:r w:rsidRPr="00E74F4A">
        <w:rPr>
          <w:sz w:val="20"/>
          <w:szCs w:val="20"/>
        </w:rPr>
        <w:t>Kibar</w:t>
      </w:r>
      <w:proofErr w:type="spellEnd"/>
      <w:r w:rsidRPr="00E74F4A">
        <w:rPr>
          <w:sz w:val="20"/>
          <w:szCs w:val="20"/>
        </w:rPr>
        <w:t xml:space="preserve"> Facility: A Test Case for the Doctrine of </w:t>
      </w:r>
      <w:proofErr w:type="spellStart"/>
      <w:r w:rsidRPr="00E74F4A">
        <w:rPr>
          <w:sz w:val="20"/>
          <w:szCs w:val="20"/>
        </w:rPr>
        <w:t>Preemptive</w:t>
      </w:r>
      <w:proofErr w:type="spellEnd"/>
      <w:r w:rsidRPr="00E74F4A">
        <w:rPr>
          <w:sz w:val="20"/>
          <w:szCs w:val="20"/>
        </w:rPr>
        <w:t xml:space="preserve"> Self-Defence?’, 16 </w:t>
      </w:r>
      <w:r w:rsidRPr="00E74F4A">
        <w:rPr>
          <w:i/>
          <w:sz w:val="20"/>
          <w:szCs w:val="20"/>
        </w:rPr>
        <w:t>Journal of Conflict and Security Law</w:t>
      </w:r>
      <w:r w:rsidRPr="00E74F4A">
        <w:rPr>
          <w:sz w:val="20"/>
          <w:szCs w:val="20"/>
        </w:rPr>
        <w:t xml:space="preserve"> (2011) p. 263; C. Greenwood, ‘International Law and the Pre-Emptive Use of Force: Afghanistan, Al-Qaida, and Iraq’, 4 </w:t>
      </w:r>
      <w:r w:rsidRPr="00E74F4A">
        <w:rPr>
          <w:i/>
          <w:sz w:val="20"/>
          <w:szCs w:val="20"/>
        </w:rPr>
        <w:t>San Diego International Law Journal</w:t>
      </w:r>
      <w:r w:rsidRPr="00E74F4A">
        <w:rPr>
          <w:sz w:val="20"/>
          <w:szCs w:val="20"/>
        </w:rPr>
        <w:t xml:space="preserve"> (2003) p. 7; M. </w:t>
      </w:r>
      <w:proofErr w:type="spellStart"/>
      <w:r w:rsidRPr="00E74F4A">
        <w:rPr>
          <w:sz w:val="20"/>
          <w:szCs w:val="20"/>
        </w:rPr>
        <w:t>Sapiro</w:t>
      </w:r>
      <w:proofErr w:type="spellEnd"/>
      <w:r w:rsidRPr="00E74F4A">
        <w:rPr>
          <w:sz w:val="20"/>
          <w:szCs w:val="20"/>
        </w:rPr>
        <w:t>, ‘Iraq: The Shifting Sands of Pre-Emptive Self-</w:t>
      </w:r>
      <w:proofErr w:type="spellStart"/>
      <w:r w:rsidRPr="00E74F4A">
        <w:rPr>
          <w:sz w:val="20"/>
          <w:szCs w:val="20"/>
        </w:rPr>
        <w:t>Defense</w:t>
      </w:r>
      <w:proofErr w:type="spellEnd"/>
      <w:r w:rsidRPr="00E74F4A">
        <w:rPr>
          <w:sz w:val="20"/>
          <w:szCs w:val="20"/>
        </w:rPr>
        <w:t xml:space="preserve">’, 97 </w:t>
      </w:r>
      <w:r w:rsidRPr="00E74F4A">
        <w:rPr>
          <w:i/>
          <w:sz w:val="20"/>
          <w:szCs w:val="20"/>
        </w:rPr>
        <w:t>American Journal of International Law</w:t>
      </w:r>
      <w:r w:rsidRPr="00E74F4A">
        <w:rPr>
          <w:sz w:val="20"/>
          <w:szCs w:val="20"/>
        </w:rPr>
        <w:t xml:space="preserve"> (2003) p. 599; N. Shah, ‘Self-Defence, Anticipatory Self-Defence and Pre-Emption: International Law’s Response to Terrorism’, 12 </w:t>
      </w:r>
      <w:r w:rsidRPr="00E74F4A">
        <w:rPr>
          <w:i/>
          <w:sz w:val="20"/>
          <w:szCs w:val="20"/>
        </w:rPr>
        <w:t>Journal of Conflict and Security Law</w:t>
      </w:r>
      <w:r w:rsidRPr="00E74F4A">
        <w:rPr>
          <w:sz w:val="20"/>
          <w:szCs w:val="20"/>
        </w:rPr>
        <w:t xml:space="preserve"> (2007) p. 95; and A.D. </w:t>
      </w:r>
      <w:proofErr w:type="spellStart"/>
      <w:r w:rsidRPr="00E74F4A">
        <w:rPr>
          <w:sz w:val="20"/>
          <w:szCs w:val="20"/>
        </w:rPr>
        <w:t>Sofaer</w:t>
      </w:r>
      <w:proofErr w:type="spellEnd"/>
      <w:r w:rsidRPr="00E74F4A">
        <w:rPr>
          <w:sz w:val="20"/>
          <w:szCs w:val="20"/>
        </w:rPr>
        <w:t xml:space="preserve">, ‘On the Necessity of Pre-Emption’, 14 </w:t>
      </w:r>
      <w:r w:rsidRPr="00E74F4A">
        <w:rPr>
          <w:i/>
          <w:sz w:val="20"/>
          <w:szCs w:val="20"/>
        </w:rPr>
        <w:t xml:space="preserve">European Journal of International Law </w:t>
      </w:r>
      <w:r w:rsidRPr="00E74F4A">
        <w:rPr>
          <w:sz w:val="20"/>
          <w:szCs w:val="20"/>
        </w:rPr>
        <w:t>(2003) p. 209.</w:t>
      </w:r>
    </w:p>
  </w:endnote>
  <w:endnote w:id="5">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See, for example, Y. </w:t>
      </w:r>
      <w:proofErr w:type="spellStart"/>
      <w:r w:rsidRPr="00E74F4A">
        <w:rPr>
          <w:sz w:val="20"/>
          <w:szCs w:val="20"/>
        </w:rPr>
        <w:t>Dinstein</w:t>
      </w:r>
      <w:proofErr w:type="spellEnd"/>
      <w:r w:rsidRPr="00E74F4A">
        <w:rPr>
          <w:sz w:val="20"/>
          <w:szCs w:val="20"/>
        </w:rPr>
        <w:t xml:space="preserve">, </w:t>
      </w:r>
      <w:r w:rsidRPr="00E74F4A">
        <w:rPr>
          <w:i/>
          <w:sz w:val="20"/>
          <w:szCs w:val="20"/>
        </w:rPr>
        <w:t>War, Aggression and Self-Defence</w:t>
      </w:r>
      <w:r w:rsidRPr="00E74F4A">
        <w:rPr>
          <w:sz w:val="20"/>
          <w:szCs w:val="20"/>
        </w:rPr>
        <w:t xml:space="preserve"> (Cambridge, Cambridge University Press 5</w:t>
      </w:r>
      <w:r w:rsidRPr="00E74F4A">
        <w:rPr>
          <w:sz w:val="20"/>
          <w:szCs w:val="20"/>
          <w:vertAlign w:val="superscript"/>
        </w:rPr>
        <w:t>th</w:t>
      </w:r>
      <w:r w:rsidRPr="00E74F4A">
        <w:rPr>
          <w:sz w:val="20"/>
          <w:szCs w:val="20"/>
        </w:rPr>
        <w:t xml:space="preserve"> </w:t>
      </w:r>
      <w:proofErr w:type="spellStart"/>
      <w:r w:rsidRPr="00E74F4A">
        <w:rPr>
          <w:sz w:val="20"/>
          <w:szCs w:val="20"/>
        </w:rPr>
        <w:t>edn</w:t>
      </w:r>
      <w:proofErr w:type="spellEnd"/>
      <w:r w:rsidRPr="00E74F4A">
        <w:rPr>
          <w:sz w:val="20"/>
          <w:szCs w:val="20"/>
        </w:rPr>
        <w:t xml:space="preserve">. 2011) pp. 194-210; </w:t>
      </w:r>
      <w:proofErr w:type="spellStart"/>
      <w:r w:rsidRPr="00E74F4A">
        <w:rPr>
          <w:sz w:val="20"/>
          <w:szCs w:val="20"/>
        </w:rPr>
        <w:t>Gray</w:t>
      </w:r>
      <w:proofErr w:type="spellEnd"/>
      <w:r w:rsidRPr="00E74F4A">
        <w:rPr>
          <w:sz w:val="20"/>
          <w:szCs w:val="20"/>
        </w:rPr>
        <w:t xml:space="preserve"> (</w:t>
      </w:r>
      <w:r w:rsidRPr="00E74F4A">
        <w:rPr>
          <w:i/>
          <w:sz w:val="20"/>
          <w:szCs w:val="20"/>
        </w:rPr>
        <w:t>supra</w:t>
      </w:r>
      <w:r w:rsidRPr="00E74F4A">
        <w:rPr>
          <w:sz w:val="20"/>
          <w:szCs w:val="20"/>
        </w:rPr>
        <w:t xml:space="preserve"> n. </w:t>
      </w:r>
      <w:r w:rsidR="00556F03">
        <w:rPr>
          <w:sz w:val="20"/>
          <w:szCs w:val="20"/>
        </w:rPr>
        <w:t>1</w:t>
      </w:r>
      <w:r w:rsidRPr="00E74F4A">
        <w:rPr>
          <w:sz w:val="20"/>
          <w:szCs w:val="20"/>
        </w:rPr>
        <w:t xml:space="preserve">) at pp. 160-165 and pp. 208-227; J.N. </w:t>
      </w:r>
      <w:proofErr w:type="spellStart"/>
      <w:r w:rsidRPr="00E74F4A">
        <w:rPr>
          <w:sz w:val="20"/>
          <w:szCs w:val="20"/>
        </w:rPr>
        <w:t>Maogoto</w:t>
      </w:r>
      <w:proofErr w:type="spellEnd"/>
      <w:r w:rsidRPr="00E74F4A">
        <w:rPr>
          <w:sz w:val="20"/>
          <w:szCs w:val="20"/>
        </w:rPr>
        <w:t xml:space="preserve">, </w:t>
      </w:r>
      <w:r w:rsidRPr="00E74F4A">
        <w:rPr>
          <w:i/>
          <w:sz w:val="20"/>
          <w:szCs w:val="20"/>
        </w:rPr>
        <w:t>Battling Terrorism: Legal Perspectives on the Use of Force and the War on Terror</w:t>
      </w:r>
      <w:r w:rsidRPr="00E74F4A">
        <w:rPr>
          <w:sz w:val="20"/>
          <w:szCs w:val="20"/>
        </w:rPr>
        <w:t xml:space="preserve"> (Aldershot, </w:t>
      </w:r>
      <w:proofErr w:type="spellStart"/>
      <w:r w:rsidRPr="00E74F4A">
        <w:rPr>
          <w:sz w:val="20"/>
          <w:szCs w:val="20"/>
        </w:rPr>
        <w:t>Ashgate</w:t>
      </w:r>
      <w:proofErr w:type="spellEnd"/>
      <w:r w:rsidRPr="00E74F4A">
        <w:rPr>
          <w:sz w:val="20"/>
          <w:szCs w:val="20"/>
        </w:rPr>
        <w:t xml:space="preserve"> 2005), pp. 11-149; and T. Ruys,</w:t>
      </w:r>
      <w:r w:rsidRPr="00E74F4A">
        <w:rPr>
          <w:i/>
          <w:sz w:val="20"/>
          <w:szCs w:val="20"/>
        </w:rPr>
        <w:t xml:space="preserve"> ‘Armed Attack’ and Article 51 of the UN Charter</w:t>
      </w:r>
      <w:r w:rsidRPr="00E74F4A">
        <w:rPr>
          <w:sz w:val="20"/>
          <w:szCs w:val="20"/>
        </w:rPr>
        <w:t xml:space="preserve"> (Cambridge, Cambridge University Press 2010) pp. 250-367.</w:t>
      </w:r>
    </w:p>
  </w:endnote>
  <w:endnote w:id="6">
    <w:p w:rsidR="00E74F4A" w:rsidRPr="00E74F4A" w:rsidRDefault="00E74F4A" w:rsidP="00E74F4A">
      <w:pPr>
        <w:pStyle w:val="EndnoteText"/>
        <w:spacing w:line="360" w:lineRule="auto"/>
        <w:jc w:val="both"/>
      </w:pPr>
      <w:r w:rsidRPr="00E74F4A">
        <w:rPr>
          <w:rStyle w:val="EndnoteReference"/>
        </w:rPr>
        <w:endnoteRef/>
      </w:r>
      <w:r w:rsidR="00556F03">
        <w:t xml:space="preserve"> F</w:t>
      </w:r>
      <w:r w:rsidRPr="00E74F4A">
        <w:t xml:space="preserve">or a detailed appraisal of this aspect of the debate, </w:t>
      </w:r>
      <w:r w:rsidR="00556F03">
        <w:t xml:space="preserve">see </w:t>
      </w:r>
      <w:r w:rsidRPr="00E74F4A">
        <w:t xml:space="preserve">O. </w:t>
      </w:r>
      <w:proofErr w:type="spellStart"/>
      <w:r w:rsidRPr="00E74F4A">
        <w:t>Corten</w:t>
      </w:r>
      <w:proofErr w:type="spellEnd"/>
      <w:r w:rsidRPr="00E74F4A">
        <w:t xml:space="preserve">, </w:t>
      </w:r>
      <w:r w:rsidRPr="00E74F4A">
        <w:rPr>
          <w:i/>
        </w:rPr>
        <w:t>The Law Against War: The Prohibition on the Use of Force in Contemporary International Law</w:t>
      </w:r>
      <w:r w:rsidRPr="00E74F4A">
        <w:t xml:space="preserve"> (Oxford, Hart Publishing 2010) pp. 407-416.</w:t>
      </w:r>
    </w:p>
  </w:endnote>
  <w:endnote w:id="7">
    <w:p w:rsidR="00E74F4A" w:rsidRPr="00E74F4A" w:rsidRDefault="00E74F4A" w:rsidP="00E74F4A">
      <w:pPr>
        <w:pStyle w:val="EndnoteText"/>
        <w:spacing w:line="360" w:lineRule="auto"/>
        <w:jc w:val="both"/>
      </w:pPr>
      <w:r w:rsidRPr="00E74F4A">
        <w:rPr>
          <w:rStyle w:val="EndnoteReference"/>
        </w:rPr>
        <w:endnoteRef/>
      </w:r>
      <w:r w:rsidRPr="00E74F4A">
        <w:t xml:space="preserve"> </w:t>
      </w:r>
      <w:r w:rsidRPr="00E74F4A">
        <w:rPr>
          <w:i/>
        </w:rPr>
        <w:t xml:space="preserve">Military and Paramilitary Activities in and Against Nicaragua </w:t>
      </w:r>
      <w:r w:rsidRPr="00E74F4A">
        <w:t>(</w:t>
      </w:r>
      <w:r w:rsidRPr="00E74F4A">
        <w:rPr>
          <w:i/>
        </w:rPr>
        <w:t>Nicaragua</w:t>
      </w:r>
      <w:r w:rsidRPr="00E74F4A">
        <w:t xml:space="preserve"> v. </w:t>
      </w:r>
      <w:r w:rsidRPr="00E74F4A">
        <w:rPr>
          <w:i/>
        </w:rPr>
        <w:t>United States of America</w:t>
      </w:r>
      <w:r w:rsidRPr="00E74F4A">
        <w:t>) merits (1986) ICJ Rep. p. 14, dissen</w:t>
      </w:r>
      <w:r w:rsidR="00556F03">
        <w:t xml:space="preserve">ting opinion of Judge </w:t>
      </w:r>
      <w:proofErr w:type="spellStart"/>
      <w:r w:rsidR="00556F03">
        <w:t>Schwebel</w:t>
      </w:r>
      <w:proofErr w:type="spellEnd"/>
      <w:r w:rsidR="00556F03">
        <w:t xml:space="preserve"> </w:t>
      </w:r>
      <w:r w:rsidRPr="00E74F4A">
        <w:t>at para. 173.</w:t>
      </w:r>
    </w:p>
  </w:endnote>
  <w:endnote w:id="8">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For example, in his assessment of pre-emptive action in relation to Operation Iraqi Freedom, Pierson continually refers to the ‘the right of anticipatory self-defence’, indicating its distinct conception: C. Pierson, ‘</w:t>
      </w:r>
      <w:proofErr w:type="spellStart"/>
      <w:r w:rsidRPr="00E74F4A">
        <w:rPr>
          <w:sz w:val="20"/>
          <w:szCs w:val="20"/>
        </w:rPr>
        <w:t>Preemptive</w:t>
      </w:r>
      <w:proofErr w:type="spellEnd"/>
      <w:r w:rsidRPr="00E74F4A">
        <w:rPr>
          <w:sz w:val="20"/>
          <w:szCs w:val="20"/>
        </w:rPr>
        <w:t xml:space="preserve"> Self-</w:t>
      </w:r>
      <w:proofErr w:type="spellStart"/>
      <w:r w:rsidRPr="00E74F4A">
        <w:rPr>
          <w:sz w:val="20"/>
          <w:szCs w:val="20"/>
        </w:rPr>
        <w:t>Defense</w:t>
      </w:r>
      <w:proofErr w:type="spellEnd"/>
      <w:r w:rsidRPr="00E74F4A">
        <w:rPr>
          <w:sz w:val="20"/>
          <w:szCs w:val="20"/>
        </w:rPr>
        <w:t xml:space="preserve"> in an Age of Weapons of Mass Destruction: Operation Iraqi Freedom’, 33 </w:t>
      </w:r>
      <w:r w:rsidRPr="00E74F4A">
        <w:rPr>
          <w:i/>
          <w:sz w:val="20"/>
          <w:szCs w:val="20"/>
        </w:rPr>
        <w:t xml:space="preserve">Denver Journal of International Law and Policy </w:t>
      </w:r>
      <w:r w:rsidR="00556F03">
        <w:rPr>
          <w:sz w:val="20"/>
          <w:szCs w:val="20"/>
        </w:rPr>
        <w:t xml:space="preserve">(2004-2005) </w:t>
      </w:r>
      <w:r w:rsidRPr="00E74F4A">
        <w:rPr>
          <w:sz w:val="20"/>
          <w:szCs w:val="20"/>
        </w:rPr>
        <w:t>p. 150.</w:t>
      </w:r>
    </w:p>
  </w:endnote>
  <w:endnote w:id="9">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See, for example, the positions taken by states with regard to the </w:t>
      </w:r>
      <w:r w:rsidRPr="00E74F4A">
        <w:rPr>
          <w:i/>
          <w:sz w:val="20"/>
          <w:szCs w:val="20"/>
        </w:rPr>
        <w:t>Mayaguez</w:t>
      </w:r>
      <w:r w:rsidRPr="00E74F4A">
        <w:rPr>
          <w:sz w:val="20"/>
          <w:szCs w:val="20"/>
        </w:rPr>
        <w:t xml:space="preserve"> incident in 1975 (</w:t>
      </w:r>
      <w:r w:rsidRPr="00E74F4A">
        <w:rPr>
          <w:i/>
          <w:sz w:val="20"/>
          <w:szCs w:val="20"/>
        </w:rPr>
        <w:t>New York Times</w:t>
      </w:r>
      <w:r w:rsidRPr="00E74F4A">
        <w:rPr>
          <w:sz w:val="20"/>
          <w:szCs w:val="20"/>
        </w:rPr>
        <w:t>, 16 May 1975, p. 15); the reaction of the United States to Israel’s extraction of its nationals from Entebbe airport in 1976 (UN Doc. S/PV.1941, 8); the criticism by Zimbabwe of the United States invasion of Grenada in 1983 (UN Doc. S/PV.2491, p. 5); and the steps taken by South Korea following its naval clash with the North in 2002 (‘The Naval Clash on the Yellow Sea on 29 June between South and North Korea: The Situation and ROK’s Position’ 1 July 2002, press release of the Ministry of National Defence of the Republic of Korea, available at http://www.globalsecurity.org/wmd/library/news/rok/2002/0020704-naval.htm).</w:t>
      </w:r>
    </w:p>
  </w:endnote>
  <w:endnote w:id="10">
    <w:p w:rsidR="00E74F4A" w:rsidRPr="00E74F4A" w:rsidRDefault="00E74F4A" w:rsidP="00E74F4A">
      <w:pPr>
        <w:pStyle w:val="EndnoteText"/>
        <w:spacing w:line="360" w:lineRule="auto"/>
        <w:jc w:val="both"/>
      </w:pPr>
      <w:r w:rsidRPr="00E74F4A">
        <w:rPr>
          <w:rStyle w:val="EndnoteReference"/>
        </w:rPr>
        <w:endnoteRef/>
      </w:r>
      <w:r w:rsidRPr="00E74F4A">
        <w:rPr>
          <w:lang w:val="it-IT"/>
        </w:rPr>
        <w:t xml:space="preserve"> </w:t>
      </w:r>
      <w:r w:rsidRPr="00E74F4A">
        <w:rPr>
          <w:i/>
        </w:rPr>
        <w:t>Nicaragua</w:t>
      </w:r>
      <w:r w:rsidRPr="00E74F4A">
        <w:t>, merits (</w:t>
      </w:r>
      <w:r w:rsidRPr="00E74F4A">
        <w:rPr>
          <w:i/>
        </w:rPr>
        <w:t>supra</w:t>
      </w:r>
      <w:r w:rsidRPr="00E74F4A">
        <w:t xml:space="preserve"> n. </w:t>
      </w:r>
      <w:r w:rsidR="00556F03">
        <w:t>7</w:t>
      </w:r>
      <w:r w:rsidRPr="00E74F4A">
        <w:t xml:space="preserve">) at </w:t>
      </w:r>
      <w:r w:rsidRPr="00E74F4A">
        <w:rPr>
          <w:lang w:val="it-IT"/>
        </w:rPr>
        <w:t xml:space="preserve">para. </w:t>
      </w:r>
      <w:r w:rsidRPr="00E74F4A">
        <w:t>237.</w:t>
      </w:r>
    </w:p>
  </w:endnote>
  <w:endnote w:id="11">
    <w:p w:rsidR="00E74F4A" w:rsidRPr="00E74F4A" w:rsidRDefault="00E74F4A" w:rsidP="00E74F4A">
      <w:pPr>
        <w:spacing w:line="360" w:lineRule="auto"/>
        <w:jc w:val="both"/>
        <w:rPr>
          <w:sz w:val="20"/>
          <w:szCs w:val="20"/>
        </w:rPr>
      </w:pPr>
      <w:r w:rsidRPr="00E74F4A">
        <w:rPr>
          <w:rStyle w:val="EndnoteReference"/>
          <w:sz w:val="20"/>
          <w:szCs w:val="20"/>
        </w:rPr>
        <w:endnoteRef/>
      </w:r>
      <w:r w:rsidRPr="00E74F4A">
        <w:rPr>
          <w:sz w:val="20"/>
          <w:szCs w:val="20"/>
        </w:rPr>
        <w:t xml:space="preserve"> Where the United States put forward the dual claim that action was taken ‘[i]n response to these attacks [of 11 September 2001]’ and also was ‘designed to prevent and deter further attacks on the United States.’  See UN Doc. S/2001/946.</w:t>
      </w:r>
    </w:p>
  </w:endnote>
  <w:endnote w:id="12">
    <w:p w:rsidR="00E74F4A" w:rsidRPr="00E74F4A" w:rsidRDefault="00E74F4A" w:rsidP="00E74F4A">
      <w:pPr>
        <w:pStyle w:val="EndnoteText"/>
        <w:spacing w:line="360" w:lineRule="auto"/>
        <w:jc w:val="both"/>
      </w:pPr>
      <w:r w:rsidRPr="00E74F4A">
        <w:rPr>
          <w:rStyle w:val="EndnoteReference"/>
        </w:rPr>
        <w:endnoteRef/>
      </w:r>
      <w:r w:rsidRPr="00E74F4A">
        <w:t xml:space="preserve"> </w:t>
      </w:r>
      <w:proofErr w:type="gramStart"/>
      <w:r w:rsidRPr="00E74F4A">
        <w:t xml:space="preserve">J.A. Green, </w:t>
      </w:r>
      <w:r w:rsidRPr="00E74F4A">
        <w:rPr>
          <w:i/>
        </w:rPr>
        <w:t>The International Court of Justice and Self-Defence in International Law</w:t>
      </w:r>
      <w:r w:rsidRPr="00E74F4A">
        <w:t xml:space="preserve"> (Oxford, Hart Publishing 2009) pp. 129-146.</w:t>
      </w:r>
      <w:proofErr w:type="gramEnd"/>
    </w:p>
  </w:endnote>
  <w:endnote w:id="13">
    <w:p w:rsidR="00E74F4A" w:rsidRPr="00B92C5E" w:rsidRDefault="00E74F4A" w:rsidP="00E74F4A">
      <w:pPr>
        <w:pStyle w:val="EndnoteText"/>
        <w:spacing w:line="360" w:lineRule="auto"/>
        <w:jc w:val="both"/>
      </w:pPr>
      <w:r w:rsidRPr="00E74F4A">
        <w:rPr>
          <w:rStyle w:val="EndnoteReference"/>
        </w:rPr>
        <w:endnoteRef/>
      </w:r>
      <w:r w:rsidRPr="00E74F4A">
        <w:t xml:space="preserve"> The I</w:t>
      </w:r>
      <w:r w:rsidR="00556F03">
        <w:t>nternational Court of Justice</w:t>
      </w:r>
      <w:r w:rsidRPr="00E74F4A">
        <w:t xml:space="preserve"> has explicitly refused to pronounce on the question on the basis that it has not been at issue before it, see </w:t>
      </w:r>
      <w:r w:rsidRPr="00E74F4A">
        <w:rPr>
          <w:i/>
        </w:rPr>
        <w:t>Nicaragua</w:t>
      </w:r>
      <w:r w:rsidRPr="00E74F4A">
        <w:t>, merits (</w:t>
      </w:r>
      <w:r w:rsidRPr="00E74F4A">
        <w:rPr>
          <w:i/>
        </w:rPr>
        <w:t>supra</w:t>
      </w:r>
      <w:r w:rsidRPr="00E74F4A">
        <w:t xml:space="preserve"> n. </w:t>
      </w:r>
      <w:r w:rsidR="00556F03">
        <w:t>7</w:t>
      </w:r>
      <w:r w:rsidRPr="00E74F4A">
        <w:t xml:space="preserve">) at paras. 35 and 194; and </w:t>
      </w:r>
      <w:r w:rsidRPr="00E74F4A">
        <w:rPr>
          <w:i/>
        </w:rPr>
        <w:t>Armed Activities on the Territory of the Congo</w:t>
      </w:r>
      <w:r w:rsidRPr="00E74F4A">
        <w:t xml:space="preserve"> (</w:t>
      </w:r>
      <w:r w:rsidRPr="00E74F4A">
        <w:rPr>
          <w:i/>
        </w:rPr>
        <w:t>Democratic Republic of the Congo</w:t>
      </w:r>
      <w:r w:rsidRPr="00E74F4A">
        <w:t xml:space="preserve"> v. </w:t>
      </w:r>
      <w:r w:rsidRPr="00E74F4A">
        <w:rPr>
          <w:i/>
        </w:rPr>
        <w:t>Uganda</w:t>
      </w:r>
      <w:r w:rsidR="00556F03">
        <w:t xml:space="preserve">) </w:t>
      </w:r>
      <w:proofErr w:type="gramStart"/>
      <w:r w:rsidR="00556F03">
        <w:t>merits</w:t>
      </w:r>
      <w:proofErr w:type="gramEnd"/>
      <w:r w:rsidR="00556F03">
        <w:t xml:space="preserve"> (2005) ICJ Rep. p. 168</w:t>
      </w:r>
      <w:r w:rsidRPr="00E74F4A">
        <w:t xml:space="preserve"> at para. 143.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387259"/>
      <w:docPartObj>
        <w:docPartGallery w:val="Page Numbers (Bottom of Page)"/>
        <w:docPartUnique/>
      </w:docPartObj>
    </w:sdtPr>
    <w:sdtEndPr>
      <w:rPr>
        <w:noProof/>
      </w:rPr>
    </w:sdtEndPr>
    <w:sdtContent>
      <w:p w:rsidR="00880290" w:rsidRDefault="00880290">
        <w:pPr>
          <w:pStyle w:val="Footer"/>
          <w:jc w:val="center"/>
        </w:pPr>
        <w:r>
          <w:fldChar w:fldCharType="begin"/>
        </w:r>
        <w:r>
          <w:instrText xml:space="preserve"> PAGE   \* MERGEFORMAT </w:instrText>
        </w:r>
        <w:r>
          <w:fldChar w:fldCharType="separate"/>
        </w:r>
        <w:r w:rsidR="003F590B">
          <w:rPr>
            <w:noProof/>
          </w:rPr>
          <w:t>1</w:t>
        </w:r>
        <w:r>
          <w:rPr>
            <w:noProof/>
          </w:rPr>
          <w:fldChar w:fldCharType="end"/>
        </w:r>
      </w:p>
    </w:sdtContent>
  </w:sdt>
  <w:p w:rsidR="00880290" w:rsidRDefault="0088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A76" w:rsidRDefault="00E37A76" w:rsidP="0022113C">
      <w:r>
        <w:separator/>
      </w:r>
    </w:p>
  </w:footnote>
  <w:footnote w:type="continuationSeparator" w:id="0">
    <w:p w:rsidR="00E37A76" w:rsidRDefault="00E37A76" w:rsidP="00221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3BE"/>
    <w:multiLevelType w:val="hybridMultilevel"/>
    <w:tmpl w:val="C868BF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D6DA5"/>
    <w:multiLevelType w:val="hybridMultilevel"/>
    <w:tmpl w:val="3492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8C5729"/>
    <w:multiLevelType w:val="hybridMultilevel"/>
    <w:tmpl w:val="0708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F66748"/>
    <w:multiLevelType w:val="hybridMultilevel"/>
    <w:tmpl w:val="05061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A3"/>
    <w:rsid w:val="00000690"/>
    <w:rsid w:val="000012AE"/>
    <w:rsid w:val="000020F9"/>
    <w:rsid w:val="00002A40"/>
    <w:rsid w:val="00003BD3"/>
    <w:rsid w:val="0000437F"/>
    <w:rsid w:val="0000458D"/>
    <w:rsid w:val="00005717"/>
    <w:rsid w:val="000063FD"/>
    <w:rsid w:val="00006AD5"/>
    <w:rsid w:val="00010713"/>
    <w:rsid w:val="000119F6"/>
    <w:rsid w:val="00011D62"/>
    <w:rsid w:val="000122CE"/>
    <w:rsid w:val="0001335A"/>
    <w:rsid w:val="00014E7E"/>
    <w:rsid w:val="00015161"/>
    <w:rsid w:val="000157D7"/>
    <w:rsid w:val="00015956"/>
    <w:rsid w:val="00015F3C"/>
    <w:rsid w:val="00015F72"/>
    <w:rsid w:val="00016888"/>
    <w:rsid w:val="000202B8"/>
    <w:rsid w:val="00020760"/>
    <w:rsid w:val="0002233A"/>
    <w:rsid w:val="00022BF9"/>
    <w:rsid w:val="000232DB"/>
    <w:rsid w:val="0002369E"/>
    <w:rsid w:val="0002395F"/>
    <w:rsid w:val="00025054"/>
    <w:rsid w:val="00025407"/>
    <w:rsid w:val="00026291"/>
    <w:rsid w:val="00026FC8"/>
    <w:rsid w:val="00027091"/>
    <w:rsid w:val="000274AD"/>
    <w:rsid w:val="00027BCD"/>
    <w:rsid w:val="00030878"/>
    <w:rsid w:val="00030ECC"/>
    <w:rsid w:val="000326AB"/>
    <w:rsid w:val="00032C90"/>
    <w:rsid w:val="00033841"/>
    <w:rsid w:val="0003479E"/>
    <w:rsid w:val="00035064"/>
    <w:rsid w:val="0003592E"/>
    <w:rsid w:val="00035984"/>
    <w:rsid w:val="00037A4C"/>
    <w:rsid w:val="000401FE"/>
    <w:rsid w:val="000405FE"/>
    <w:rsid w:val="0004192D"/>
    <w:rsid w:val="00041C11"/>
    <w:rsid w:val="00042110"/>
    <w:rsid w:val="0004296D"/>
    <w:rsid w:val="0004384F"/>
    <w:rsid w:val="00043A01"/>
    <w:rsid w:val="00043A97"/>
    <w:rsid w:val="00043E01"/>
    <w:rsid w:val="00044182"/>
    <w:rsid w:val="00044840"/>
    <w:rsid w:val="00044EF5"/>
    <w:rsid w:val="000454A2"/>
    <w:rsid w:val="000461F3"/>
    <w:rsid w:val="000466C1"/>
    <w:rsid w:val="00050753"/>
    <w:rsid w:val="00051021"/>
    <w:rsid w:val="000516E4"/>
    <w:rsid w:val="00051B72"/>
    <w:rsid w:val="000524A7"/>
    <w:rsid w:val="00053156"/>
    <w:rsid w:val="0005343F"/>
    <w:rsid w:val="000536E0"/>
    <w:rsid w:val="00053D6F"/>
    <w:rsid w:val="00054ED7"/>
    <w:rsid w:val="000561A2"/>
    <w:rsid w:val="00057667"/>
    <w:rsid w:val="000578C2"/>
    <w:rsid w:val="00060C09"/>
    <w:rsid w:val="00060D39"/>
    <w:rsid w:val="00061BF4"/>
    <w:rsid w:val="0006200F"/>
    <w:rsid w:val="000623CD"/>
    <w:rsid w:val="0006292D"/>
    <w:rsid w:val="00064B1C"/>
    <w:rsid w:val="00064D16"/>
    <w:rsid w:val="000651C3"/>
    <w:rsid w:val="000658E3"/>
    <w:rsid w:val="000659C2"/>
    <w:rsid w:val="00066EEC"/>
    <w:rsid w:val="00070989"/>
    <w:rsid w:val="00072911"/>
    <w:rsid w:val="0007472A"/>
    <w:rsid w:val="00074B5D"/>
    <w:rsid w:val="00074ECA"/>
    <w:rsid w:val="00075BAB"/>
    <w:rsid w:val="00075E9C"/>
    <w:rsid w:val="00076E83"/>
    <w:rsid w:val="00077032"/>
    <w:rsid w:val="00077465"/>
    <w:rsid w:val="000779BE"/>
    <w:rsid w:val="000779DB"/>
    <w:rsid w:val="00077B73"/>
    <w:rsid w:val="00077D7C"/>
    <w:rsid w:val="0008054B"/>
    <w:rsid w:val="00080C41"/>
    <w:rsid w:val="00081085"/>
    <w:rsid w:val="00081262"/>
    <w:rsid w:val="0008174E"/>
    <w:rsid w:val="00081A61"/>
    <w:rsid w:val="00082975"/>
    <w:rsid w:val="0008302D"/>
    <w:rsid w:val="00083680"/>
    <w:rsid w:val="0008535F"/>
    <w:rsid w:val="00085876"/>
    <w:rsid w:val="00085DAB"/>
    <w:rsid w:val="00086943"/>
    <w:rsid w:val="0008735B"/>
    <w:rsid w:val="0008736C"/>
    <w:rsid w:val="00087456"/>
    <w:rsid w:val="0009015E"/>
    <w:rsid w:val="000913D8"/>
    <w:rsid w:val="0009288F"/>
    <w:rsid w:val="00095C1C"/>
    <w:rsid w:val="000962C6"/>
    <w:rsid w:val="0009690A"/>
    <w:rsid w:val="000974D4"/>
    <w:rsid w:val="00097F5B"/>
    <w:rsid w:val="000A01EB"/>
    <w:rsid w:val="000A0D7D"/>
    <w:rsid w:val="000A2350"/>
    <w:rsid w:val="000A324F"/>
    <w:rsid w:val="000A3A75"/>
    <w:rsid w:val="000A62D5"/>
    <w:rsid w:val="000A701F"/>
    <w:rsid w:val="000B02DD"/>
    <w:rsid w:val="000B040A"/>
    <w:rsid w:val="000B07EA"/>
    <w:rsid w:val="000B0F0C"/>
    <w:rsid w:val="000B1283"/>
    <w:rsid w:val="000B18E0"/>
    <w:rsid w:val="000B2878"/>
    <w:rsid w:val="000B3497"/>
    <w:rsid w:val="000B3DF4"/>
    <w:rsid w:val="000B4661"/>
    <w:rsid w:val="000B64F5"/>
    <w:rsid w:val="000B73AF"/>
    <w:rsid w:val="000B7A5F"/>
    <w:rsid w:val="000B7D76"/>
    <w:rsid w:val="000C0571"/>
    <w:rsid w:val="000C07DA"/>
    <w:rsid w:val="000C0B25"/>
    <w:rsid w:val="000C0B30"/>
    <w:rsid w:val="000C1241"/>
    <w:rsid w:val="000C2040"/>
    <w:rsid w:val="000C38C7"/>
    <w:rsid w:val="000C4728"/>
    <w:rsid w:val="000C6112"/>
    <w:rsid w:val="000C620A"/>
    <w:rsid w:val="000C682F"/>
    <w:rsid w:val="000C6C9F"/>
    <w:rsid w:val="000C7529"/>
    <w:rsid w:val="000D001F"/>
    <w:rsid w:val="000D06C0"/>
    <w:rsid w:val="000D1CFA"/>
    <w:rsid w:val="000D3C96"/>
    <w:rsid w:val="000D3CCC"/>
    <w:rsid w:val="000D3F6B"/>
    <w:rsid w:val="000D4A67"/>
    <w:rsid w:val="000D4C7F"/>
    <w:rsid w:val="000D4E19"/>
    <w:rsid w:val="000D5499"/>
    <w:rsid w:val="000D54C8"/>
    <w:rsid w:val="000D5D89"/>
    <w:rsid w:val="000D75BF"/>
    <w:rsid w:val="000E163D"/>
    <w:rsid w:val="000E1A38"/>
    <w:rsid w:val="000E2ADF"/>
    <w:rsid w:val="000E304E"/>
    <w:rsid w:val="000E3DE2"/>
    <w:rsid w:val="000E4B29"/>
    <w:rsid w:val="000E4F13"/>
    <w:rsid w:val="000E5750"/>
    <w:rsid w:val="000E6B8A"/>
    <w:rsid w:val="000E753E"/>
    <w:rsid w:val="000F0810"/>
    <w:rsid w:val="000F15CC"/>
    <w:rsid w:val="000F2AB6"/>
    <w:rsid w:val="000F3A14"/>
    <w:rsid w:val="000F57FC"/>
    <w:rsid w:val="000F6630"/>
    <w:rsid w:val="00100B1E"/>
    <w:rsid w:val="00101898"/>
    <w:rsid w:val="00103E5E"/>
    <w:rsid w:val="001045B2"/>
    <w:rsid w:val="0010460B"/>
    <w:rsid w:val="00104AEF"/>
    <w:rsid w:val="00105FAB"/>
    <w:rsid w:val="00106282"/>
    <w:rsid w:val="001063AF"/>
    <w:rsid w:val="001067CE"/>
    <w:rsid w:val="0010724F"/>
    <w:rsid w:val="00107F36"/>
    <w:rsid w:val="00110E36"/>
    <w:rsid w:val="001120BD"/>
    <w:rsid w:val="001122B0"/>
    <w:rsid w:val="00112CE0"/>
    <w:rsid w:val="001130D2"/>
    <w:rsid w:val="001130FA"/>
    <w:rsid w:val="00113426"/>
    <w:rsid w:val="00114F9B"/>
    <w:rsid w:val="00116F72"/>
    <w:rsid w:val="00116F9D"/>
    <w:rsid w:val="00117073"/>
    <w:rsid w:val="0012390D"/>
    <w:rsid w:val="00124EC6"/>
    <w:rsid w:val="0012543E"/>
    <w:rsid w:val="00125819"/>
    <w:rsid w:val="00127574"/>
    <w:rsid w:val="001276A6"/>
    <w:rsid w:val="0012774E"/>
    <w:rsid w:val="00130F15"/>
    <w:rsid w:val="001318C7"/>
    <w:rsid w:val="00132810"/>
    <w:rsid w:val="00133861"/>
    <w:rsid w:val="00133BE6"/>
    <w:rsid w:val="0013498A"/>
    <w:rsid w:val="00135883"/>
    <w:rsid w:val="00135D3A"/>
    <w:rsid w:val="00136667"/>
    <w:rsid w:val="001366F1"/>
    <w:rsid w:val="00137425"/>
    <w:rsid w:val="0014108D"/>
    <w:rsid w:val="00142016"/>
    <w:rsid w:val="001429ED"/>
    <w:rsid w:val="00142F66"/>
    <w:rsid w:val="00143D27"/>
    <w:rsid w:val="00145677"/>
    <w:rsid w:val="00145678"/>
    <w:rsid w:val="00146014"/>
    <w:rsid w:val="00147094"/>
    <w:rsid w:val="0014751C"/>
    <w:rsid w:val="0014791F"/>
    <w:rsid w:val="00150007"/>
    <w:rsid w:val="001501A4"/>
    <w:rsid w:val="001506E9"/>
    <w:rsid w:val="001510F8"/>
    <w:rsid w:val="00151107"/>
    <w:rsid w:val="00153634"/>
    <w:rsid w:val="00153B2E"/>
    <w:rsid w:val="00154560"/>
    <w:rsid w:val="00154EDA"/>
    <w:rsid w:val="0015673C"/>
    <w:rsid w:val="001568EC"/>
    <w:rsid w:val="00156DDD"/>
    <w:rsid w:val="00157160"/>
    <w:rsid w:val="00160A60"/>
    <w:rsid w:val="0016152C"/>
    <w:rsid w:val="00162859"/>
    <w:rsid w:val="00163364"/>
    <w:rsid w:val="00163BBC"/>
    <w:rsid w:val="00163D22"/>
    <w:rsid w:val="00165234"/>
    <w:rsid w:val="001658F3"/>
    <w:rsid w:val="00166562"/>
    <w:rsid w:val="00167201"/>
    <w:rsid w:val="00167972"/>
    <w:rsid w:val="00167EDC"/>
    <w:rsid w:val="00170AEC"/>
    <w:rsid w:val="00171975"/>
    <w:rsid w:val="00171AB6"/>
    <w:rsid w:val="00172096"/>
    <w:rsid w:val="0017281B"/>
    <w:rsid w:val="00172C6B"/>
    <w:rsid w:val="00173C2C"/>
    <w:rsid w:val="00173FA6"/>
    <w:rsid w:val="00175CA2"/>
    <w:rsid w:val="00175E7B"/>
    <w:rsid w:val="00175EA6"/>
    <w:rsid w:val="00181BE3"/>
    <w:rsid w:val="00181FC4"/>
    <w:rsid w:val="00182786"/>
    <w:rsid w:val="00183308"/>
    <w:rsid w:val="00184CA0"/>
    <w:rsid w:val="00184FE7"/>
    <w:rsid w:val="00185669"/>
    <w:rsid w:val="0018634C"/>
    <w:rsid w:val="00186F5E"/>
    <w:rsid w:val="001878D9"/>
    <w:rsid w:val="00187FE0"/>
    <w:rsid w:val="001913AF"/>
    <w:rsid w:val="00191CBD"/>
    <w:rsid w:val="001920AF"/>
    <w:rsid w:val="00192386"/>
    <w:rsid w:val="00192B1F"/>
    <w:rsid w:val="00192CC1"/>
    <w:rsid w:val="00192F43"/>
    <w:rsid w:val="001933BD"/>
    <w:rsid w:val="001936A6"/>
    <w:rsid w:val="00194355"/>
    <w:rsid w:val="001956CE"/>
    <w:rsid w:val="001956DC"/>
    <w:rsid w:val="00195931"/>
    <w:rsid w:val="00195BC2"/>
    <w:rsid w:val="00196208"/>
    <w:rsid w:val="00196228"/>
    <w:rsid w:val="001967BE"/>
    <w:rsid w:val="00196922"/>
    <w:rsid w:val="001978D8"/>
    <w:rsid w:val="001A06CF"/>
    <w:rsid w:val="001A1B90"/>
    <w:rsid w:val="001A300F"/>
    <w:rsid w:val="001A37D8"/>
    <w:rsid w:val="001A592A"/>
    <w:rsid w:val="001A593F"/>
    <w:rsid w:val="001A61D6"/>
    <w:rsid w:val="001A6396"/>
    <w:rsid w:val="001A68B0"/>
    <w:rsid w:val="001A70F2"/>
    <w:rsid w:val="001A74AD"/>
    <w:rsid w:val="001B0361"/>
    <w:rsid w:val="001B0CCC"/>
    <w:rsid w:val="001B0EF8"/>
    <w:rsid w:val="001B10E2"/>
    <w:rsid w:val="001B1E95"/>
    <w:rsid w:val="001B25C6"/>
    <w:rsid w:val="001B25D2"/>
    <w:rsid w:val="001B3718"/>
    <w:rsid w:val="001B4204"/>
    <w:rsid w:val="001B4961"/>
    <w:rsid w:val="001B502A"/>
    <w:rsid w:val="001B5133"/>
    <w:rsid w:val="001B5985"/>
    <w:rsid w:val="001B5C51"/>
    <w:rsid w:val="001C0683"/>
    <w:rsid w:val="001C0DD4"/>
    <w:rsid w:val="001C1187"/>
    <w:rsid w:val="001C11AF"/>
    <w:rsid w:val="001C27BF"/>
    <w:rsid w:val="001C33CF"/>
    <w:rsid w:val="001C51B4"/>
    <w:rsid w:val="001C52BF"/>
    <w:rsid w:val="001C5C68"/>
    <w:rsid w:val="001C6053"/>
    <w:rsid w:val="001C6395"/>
    <w:rsid w:val="001C750D"/>
    <w:rsid w:val="001C782A"/>
    <w:rsid w:val="001D0633"/>
    <w:rsid w:val="001D064D"/>
    <w:rsid w:val="001D32B3"/>
    <w:rsid w:val="001D36D3"/>
    <w:rsid w:val="001D3AAD"/>
    <w:rsid w:val="001D4661"/>
    <w:rsid w:val="001D4D99"/>
    <w:rsid w:val="001D56B9"/>
    <w:rsid w:val="001D7037"/>
    <w:rsid w:val="001D789B"/>
    <w:rsid w:val="001E00F3"/>
    <w:rsid w:val="001E059E"/>
    <w:rsid w:val="001E0D35"/>
    <w:rsid w:val="001E0E3F"/>
    <w:rsid w:val="001E175C"/>
    <w:rsid w:val="001E1BB8"/>
    <w:rsid w:val="001E3903"/>
    <w:rsid w:val="001E4A8F"/>
    <w:rsid w:val="001E4CAE"/>
    <w:rsid w:val="001E50D5"/>
    <w:rsid w:val="001E574F"/>
    <w:rsid w:val="001E5C35"/>
    <w:rsid w:val="001E5F5B"/>
    <w:rsid w:val="001E63C1"/>
    <w:rsid w:val="001E697D"/>
    <w:rsid w:val="001E6C53"/>
    <w:rsid w:val="001F0F49"/>
    <w:rsid w:val="001F11F5"/>
    <w:rsid w:val="001F1565"/>
    <w:rsid w:val="001F2805"/>
    <w:rsid w:val="001F5835"/>
    <w:rsid w:val="001F65EF"/>
    <w:rsid w:val="001F6CD3"/>
    <w:rsid w:val="001F7022"/>
    <w:rsid w:val="001F71E8"/>
    <w:rsid w:val="001F725C"/>
    <w:rsid w:val="001F774E"/>
    <w:rsid w:val="0020015A"/>
    <w:rsid w:val="0020039E"/>
    <w:rsid w:val="00200492"/>
    <w:rsid w:val="00201848"/>
    <w:rsid w:val="00201B78"/>
    <w:rsid w:val="00201E3D"/>
    <w:rsid w:val="002022E2"/>
    <w:rsid w:val="00202BA8"/>
    <w:rsid w:val="00203CAD"/>
    <w:rsid w:val="0020479E"/>
    <w:rsid w:val="00205F7E"/>
    <w:rsid w:val="0020624F"/>
    <w:rsid w:val="002064CC"/>
    <w:rsid w:val="0020692E"/>
    <w:rsid w:val="00206B74"/>
    <w:rsid w:val="00207EED"/>
    <w:rsid w:val="00212BBF"/>
    <w:rsid w:val="00212DB9"/>
    <w:rsid w:val="00212F87"/>
    <w:rsid w:val="00213E8E"/>
    <w:rsid w:val="00214C5D"/>
    <w:rsid w:val="002150DA"/>
    <w:rsid w:val="00216DEB"/>
    <w:rsid w:val="002205AB"/>
    <w:rsid w:val="0022087A"/>
    <w:rsid w:val="00220B97"/>
    <w:rsid w:val="0022113C"/>
    <w:rsid w:val="002218D0"/>
    <w:rsid w:val="00222F32"/>
    <w:rsid w:val="0022427E"/>
    <w:rsid w:val="0022475E"/>
    <w:rsid w:val="002268AC"/>
    <w:rsid w:val="002268CC"/>
    <w:rsid w:val="00227673"/>
    <w:rsid w:val="002277CB"/>
    <w:rsid w:val="00227E85"/>
    <w:rsid w:val="0023006C"/>
    <w:rsid w:val="002302BF"/>
    <w:rsid w:val="002316CE"/>
    <w:rsid w:val="00231938"/>
    <w:rsid w:val="00232C8F"/>
    <w:rsid w:val="002332B0"/>
    <w:rsid w:val="002337AC"/>
    <w:rsid w:val="00233D46"/>
    <w:rsid w:val="0023494E"/>
    <w:rsid w:val="00235B6D"/>
    <w:rsid w:val="00235CE9"/>
    <w:rsid w:val="0023639B"/>
    <w:rsid w:val="002403DF"/>
    <w:rsid w:val="00240573"/>
    <w:rsid w:val="0024082E"/>
    <w:rsid w:val="00240D08"/>
    <w:rsid w:val="0024110C"/>
    <w:rsid w:val="0024118E"/>
    <w:rsid w:val="002413CA"/>
    <w:rsid w:val="0024140F"/>
    <w:rsid w:val="00241F27"/>
    <w:rsid w:val="00242FFF"/>
    <w:rsid w:val="00243754"/>
    <w:rsid w:val="00243A71"/>
    <w:rsid w:val="0024432A"/>
    <w:rsid w:val="00244A33"/>
    <w:rsid w:val="00244FB9"/>
    <w:rsid w:val="00245E34"/>
    <w:rsid w:val="0025042F"/>
    <w:rsid w:val="00250FFC"/>
    <w:rsid w:val="00251D55"/>
    <w:rsid w:val="00252E32"/>
    <w:rsid w:val="00254055"/>
    <w:rsid w:val="00254BBA"/>
    <w:rsid w:val="00255000"/>
    <w:rsid w:val="00255E21"/>
    <w:rsid w:val="002563E6"/>
    <w:rsid w:val="00260109"/>
    <w:rsid w:val="00261023"/>
    <w:rsid w:val="00261D43"/>
    <w:rsid w:val="002629D5"/>
    <w:rsid w:val="00262A04"/>
    <w:rsid w:val="0026521B"/>
    <w:rsid w:val="0026564A"/>
    <w:rsid w:val="00266647"/>
    <w:rsid w:val="0026696A"/>
    <w:rsid w:val="00266CBC"/>
    <w:rsid w:val="00267625"/>
    <w:rsid w:val="0026768C"/>
    <w:rsid w:val="00270D17"/>
    <w:rsid w:val="00271472"/>
    <w:rsid w:val="00272CDD"/>
    <w:rsid w:val="00274263"/>
    <w:rsid w:val="0027735A"/>
    <w:rsid w:val="00277FF8"/>
    <w:rsid w:val="002808F0"/>
    <w:rsid w:val="002814DF"/>
    <w:rsid w:val="00282B5A"/>
    <w:rsid w:val="0028373B"/>
    <w:rsid w:val="00284FB9"/>
    <w:rsid w:val="002856AD"/>
    <w:rsid w:val="00285B1C"/>
    <w:rsid w:val="00285C0A"/>
    <w:rsid w:val="00285E0D"/>
    <w:rsid w:val="00287538"/>
    <w:rsid w:val="0028785F"/>
    <w:rsid w:val="00290173"/>
    <w:rsid w:val="00292D2A"/>
    <w:rsid w:val="0029385F"/>
    <w:rsid w:val="0029406A"/>
    <w:rsid w:val="00294574"/>
    <w:rsid w:val="002954DD"/>
    <w:rsid w:val="00295C32"/>
    <w:rsid w:val="00295CE0"/>
    <w:rsid w:val="00297994"/>
    <w:rsid w:val="002A1290"/>
    <w:rsid w:val="002A1E64"/>
    <w:rsid w:val="002A1E95"/>
    <w:rsid w:val="002A25B5"/>
    <w:rsid w:val="002A3A15"/>
    <w:rsid w:val="002A3EF8"/>
    <w:rsid w:val="002A42C6"/>
    <w:rsid w:val="002A4343"/>
    <w:rsid w:val="002A454F"/>
    <w:rsid w:val="002A520C"/>
    <w:rsid w:val="002A5910"/>
    <w:rsid w:val="002A6416"/>
    <w:rsid w:val="002A72F5"/>
    <w:rsid w:val="002A7378"/>
    <w:rsid w:val="002A73F1"/>
    <w:rsid w:val="002B0962"/>
    <w:rsid w:val="002B2B46"/>
    <w:rsid w:val="002B3F72"/>
    <w:rsid w:val="002B64D1"/>
    <w:rsid w:val="002B7111"/>
    <w:rsid w:val="002B7278"/>
    <w:rsid w:val="002B7EEB"/>
    <w:rsid w:val="002C0747"/>
    <w:rsid w:val="002C0CF1"/>
    <w:rsid w:val="002C1959"/>
    <w:rsid w:val="002C2CC2"/>
    <w:rsid w:val="002C321E"/>
    <w:rsid w:val="002C4AFA"/>
    <w:rsid w:val="002C50C0"/>
    <w:rsid w:val="002C510A"/>
    <w:rsid w:val="002D0222"/>
    <w:rsid w:val="002D08D8"/>
    <w:rsid w:val="002D192C"/>
    <w:rsid w:val="002D21DD"/>
    <w:rsid w:val="002D3835"/>
    <w:rsid w:val="002D49F8"/>
    <w:rsid w:val="002D511E"/>
    <w:rsid w:val="002D5517"/>
    <w:rsid w:val="002D65E6"/>
    <w:rsid w:val="002D6BC2"/>
    <w:rsid w:val="002D727F"/>
    <w:rsid w:val="002D75E7"/>
    <w:rsid w:val="002E02E9"/>
    <w:rsid w:val="002E17EC"/>
    <w:rsid w:val="002E1B52"/>
    <w:rsid w:val="002E2126"/>
    <w:rsid w:val="002E38AA"/>
    <w:rsid w:val="002E522C"/>
    <w:rsid w:val="002E5862"/>
    <w:rsid w:val="002E5A8F"/>
    <w:rsid w:val="002E6DBB"/>
    <w:rsid w:val="002E71A6"/>
    <w:rsid w:val="002E7AF2"/>
    <w:rsid w:val="002E7FD3"/>
    <w:rsid w:val="002F00FA"/>
    <w:rsid w:val="002F0CF3"/>
    <w:rsid w:val="002F1873"/>
    <w:rsid w:val="002F2561"/>
    <w:rsid w:val="002F345C"/>
    <w:rsid w:val="002F3863"/>
    <w:rsid w:val="002F38D6"/>
    <w:rsid w:val="002F5006"/>
    <w:rsid w:val="002F5E62"/>
    <w:rsid w:val="002F6481"/>
    <w:rsid w:val="002F6977"/>
    <w:rsid w:val="002F6F40"/>
    <w:rsid w:val="002F7EF4"/>
    <w:rsid w:val="003001F7"/>
    <w:rsid w:val="00300462"/>
    <w:rsid w:val="00301624"/>
    <w:rsid w:val="00302424"/>
    <w:rsid w:val="00302E3C"/>
    <w:rsid w:val="00303016"/>
    <w:rsid w:val="003046F5"/>
    <w:rsid w:val="00304B88"/>
    <w:rsid w:val="00305AB4"/>
    <w:rsid w:val="003061F9"/>
    <w:rsid w:val="00306C0E"/>
    <w:rsid w:val="00306E3D"/>
    <w:rsid w:val="003073C7"/>
    <w:rsid w:val="00307A88"/>
    <w:rsid w:val="00307B6B"/>
    <w:rsid w:val="00307BEF"/>
    <w:rsid w:val="00307C0C"/>
    <w:rsid w:val="00307CE5"/>
    <w:rsid w:val="003103D2"/>
    <w:rsid w:val="00311864"/>
    <w:rsid w:val="00312A82"/>
    <w:rsid w:val="00315862"/>
    <w:rsid w:val="00316154"/>
    <w:rsid w:val="00316809"/>
    <w:rsid w:val="00320521"/>
    <w:rsid w:val="003208C6"/>
    <w:rsid w:val="00320905"/>
    <w:rsid w:val="00320C00"/>
    <w:rsid w:val="0032236B"/>
    <w:rsid w:val="00322ABD"/>
    <w:rsid w:val="00322D8E"/>
    <w:rsid w:val="00323056"/>
    <w:rsid w:val="003237FE"/>
    <w:rsid w:val="00323BB1"/>
    <w:rsid w:val="00323FD3"/>
    <w:rsid w:val="003240E7"/>
    <w:rsid w:val="00324450"/>
    <w:rsid w:val="00324851"/>
    <w:rsid w:val="00330035"/>
    <w:rsid w:val="00330495"/>
    <w:rsid w:val="00330895"/>
    <w:rsid w:val="003312E6"/>
    <w:rsid w:val="0033299E"/>
    <w:rsid w:val="00332EB3"/>
    <w:rsid w:val="00333024"/>
    <w:rsid w:val="00333B20"/>
    <w:rsid w:val="00333B55"/>
    <w:rsid w:val="00335898"/>
    <w:rsid w:val="00335C90"/>
    <w:rsid w:val="003365A1"/>
    <w:rsid w:val="00337CFC"/>
    <w:rsid w:val="003409C0"/>
    <w:rsid w:val="00340A44"/>
    <w:rsid w:val="003422BC"/>
    <w:rsid w:val="00343EFD"/>
    <w:rsid w:val="00344804"/>
    <w:rsid w:val="003448E0"/>
    <w:rsid w:val="00344F8D"/>
    <w:rsid w:val="003456CE"/>
    <w:rsid w:val="003461A5"/>
    <w:rsid w:val="0034791F"/>
    <w:rsid w:val="00347E55"/>
    <w:rsid w:val="00350093"/>
    <w:rsid w:val="0035188E"/>
    <w:rsid w:val="00351B56"/>
    <w:rsid w:val="003532C8"/>
    <w:rsid w:val="0035459F"/>
    <w:rsid w:val="00355D13"/>
    <w:rsid w:val="0035641C"/>
    <w:rsid w:val="003575C0"/>
    <w:rsid w:val="00360064"/>
    <w:rsid w:val="003601D6"/>
    <w:rsid w:val="0036066D"/>
    <w:rsid w:val="003606DE"/>
    <w:rsid w:val="00360D6D"/>
    <w:rsid w:val="003614AC"/>
    <w:rsid w:val="00361BE7"/>
    <w:rsid w:val="00362064"/>
    <w:rsid w:val="00362428"/>
    <w:rsid w:val="00362AE2"/>
    <w:rsid w:val="00362FC5"/>
    <w:rsid w:val="00363067"/>
    <w:rsid w:val="003630ED"/>
    <w:rsid w:val="003635D0"/>
    <w:rsid w:val="00365131"/>
    <w:rsid w:val="00366650"/>
    <w:rsid w:val="00370D19"/>
    <w:rsid w:val="003719BC"/>
    <w:rsid w:val="00372B7A"/>
    <w:rsid w:val="00372B7F"/>
    <w:rsid w:val="003738C8"/>
    <w:rsid w:val="003757C6"/>
    <w:rsid w:val="003772AB"/>
    <w:rsid w:val="00377D3D"/>
    <w:rsid w:val="0038012E"/>
    <w:rsid w:val="003811E9"/>
    <w:rsid w:val="00381637"/>
    <w:rsid w:val="003824F7"/>
    <w:rsid w:val="00382F0B"/>
    <w:rsid w:val="00383A40"/>
    <w:rsid w:val="00383E93"/>
    <w:rsid w:val="00385736"/>
    <w:rsid w:val="0038578D"/>
    <w:rsid w:val="00385E6E"/>
    <w:rsid w:val="003864CE"/>
    <w:rsid w:val="00386EF0"/>
    <w:rsid w:val="003906F1"/>
    <w:rsid w:val="00391CF4"/>
    <w:rsid w:val="00392C8E"/>
    <w:rsid w:val="0039336D"/>
    <w:rsid w:val="003946AC"/>
    <w:rsid w:val="00394F17"/>
    <w:rsid w:val="003950AF"/>
    <w:rsid w:val="00395B35"/>
    <w:rsid w:val="00397339"/>
    <w:rsid w:val="003A00EF"/>
    <w:rsid w:val="003A2F64"/>
    <w:rsid w:val="003A3AD4"/>
    <w:rsid w:val="003A3C78"/>
    <w:rsid w:val="003A4972"/>
    <w:rsid w:val="003A4B04"/>
    <w:rsid w:val="003A5362"/>
    <w:rsid w:val="003A5847"/>
    <w:rsid w:val="003A5977"/>
    <w:rsid w:val="003A5A83"/>
    <w:rsid w:val="003A5D5C"/>
    <w:rsid w:val="003A656A"/>
    <w:rsid w:val="003A66D5"/>
    <w:rsid w:val="003A6AFC"/>
    <w:rsid w:val="003A6BE7"/>
    <w:rsid w:val="003B19BD"/>
    <w:rsid w:val="003B1F02"/>
    <w:rsid w:val="003B22DE"/>
    <w:rsid w:val="003B23A4"/>
    <w:rsid w:val="003B280A"/>
    <w:rsid w:val="003B28C8"/>
    <w:rsid w:val="003B3079"/>
    <w:rsid w:val="003B3D37"/>
    <w:rsid w:val="003B409C"/>
    <w:rsid w:val="003B5521"/>
    <w:rsid w:val="003B5769"/>
    <w:rsid w:val="003B634D"/>
    <w:rsid w:val="003B77E5"/>
    <w:rsid w:val="003B7C35"/>
    <w:rsid w:val="003B7ECC"/>
    <w:rsid w:val="003C0218"/>
    <w:rsid w:val="003C0AF7"/>
    <w:rsid w:val="003C12BE"/>
    <w:rsid w:val="003C143A"/>
    <w:rsid w:val="003C1C21"/>
    <w:rsid w:val="003C260A"/>
    <w:rsid w:val="003C2E3B"/>
    <w:rsid w:val="003C30FF"/>
    <w:rsid w:val="003C390C"/>
    <w:rsid w:val="003C4F49"/>
    <w:rsid w:val="003C54E1"/>
    <w:rsid w:val="003C557F"/>
    <w:rsid w:val="003C6922"/>
    <w:rsid w:val="003C6C61"/>
    <w:rsid w:val="003C6E69"/>
    <w:rsid w:val="003C749B"/>
    <w:rsid w:val="003C7D98"/>
    <w:rsid w:val="003D0F62"/>
    <w:rsid w:val="003D14CB"/>
    <w:rsid w:val="003D15BC"/>
    <w:rsid w:val="003D1858"/>
    <w:rsid w:val="003D1A74"/>
    <w:rsid w:val="003D1DA7"/>
    <w:rsid w:val="003D1F40"/>
    <w:rsid w:val="003D1F62"/>
    <w:rsid w:val="003D2546"/>
    <w:rsid w:val="003D266F"/>
    <w:rsid w:val="003D2A1A"/>
    <w:rsid w:val="003D2D07"/>
    <w:rsid w:val="003D4962"/>
    <w:rsid w:val="003D4B32"/>
    <w:rsid w:val="003D69F5"/>
    <w:rsid w:val="003D6E90"/>
    <w:rsid w:val="003D7191"/>
    <w:rsid w:val="003D7F72"/>
    <w:rsid w:val="003E0E54"/>
    <w:rsid w:val="003E120F"/>
    <w:rsid w:val="003E145F"/>
    <w:rsid w:val="003E1F05"/>
    <w:rsid w:val="003E2756"/>
    <w:rsid w:val="003E27D3"/>
    <w:rsid w:val="003E2A43"/>
    <w:rsid w:val="003E401E"/>
    <w:rsid w:val="003E5DAA"/>
    <w:rsid w:val="003F0DF7"/>
    <w:rsid w:val="003F140B"/>
    <w:rsid w:val="003F1E0F"/>
    <w:rsid w:val="003F1E6B"/>
    <w:rsid w:val="003F3214"/>
    <w:rsid w:val="003F44F3"/>
    <w:rsid w:val="003F4B2E"/>
    <w:rsid w:val="003F5148"/>
    <w:rsid w:val="003F590B"/>
    <w:rsid w:val="003F5B94"/>
    <w:rsid w:val="003F7A72"/>
    <w:rsid w:val="003F7D76"/>
    <w:rsid w:val="00400571"/>
    <w:rsid w:val="004007D7"/>
    <w:rsid w:val="00400C38"/>
    <w:rsid w:val="0040147F"/>
    <w:rsid w:val="00403C51"/>
    <w:rsid w:val="00404B9A"/>
    <w:rsid w:val="004052E4"/>
    <w:rsid w:val="00405DE5"/>
    <w:rsid w:val="00405F2C"/>
    <w:rsid w:val="00406901"/>
    <w:rsid w:val="00411FF3"/>
    <w:rsid w:val="00412336"/>
    <w:rsid w:val="00412B5E"/>
    <w:rsid w:val="004134BA"/>
    <w:rsid w:val="004135F5"/>
    <w:rsid w:val="00413D36"/>
    <w:rsid w:val="00414533"/>
    <w:rsid w:val="00414B88"/>
    <w:rsid w:val="004157A2"/>
    <w:rsid w:val="00416AFF"/>
    <w:rsid w:val="00416FE2"/>
    <w:rsid w:val="004170C8"/>
    <w:rsid w:val="0041734D"/>
    <w:rsid w:val="0041741F"/>
    <w:rsid w:val="00417A8D"/>
    <w:rsid w:val="00417C69"/>
    <w:rsid w:val="0042135B"/>
    <w:rsid w:val="0042280B"/>
    <w:rsid w:val="004228D7"/>
    <w:rsid w:val="0042294C"/>
    <w:rsid w:val="00423994"/>
    <w:rsid w:val="00423F67"/>
    <w:rsid w:val="004251D0"/>
    <w:rsid w:val="00425A18"/>
    <w:rsid w:val="00425D47"/>
    <w:rsid w:val="004262C1"/>
    <w:rsid w:val="004273BA"/>
    <w:rsid w:val="00427C2F"/>
    <w:rsid w:val="00427D4C"/>
    <w:rsid w:val="00430CA2"/>
    <w:rsid w:val="00432753"/>
    <w:rsid w:val="004339DB"/>
    <w:rsid w:val="00433C15"/>
    <w:rsid w:val="00435A46"/>
    <w:rsid w:val="00436393"/>
    <w:rsid w:val="0043684F"/>
    <w:rsid w:val="00436B3A"/>
    <w:rsid w:val="004370A8"/>
    <w:rsid w:val="00437381"/>
    <w:rsid w:val="00437699"/>
    <w:rsid w:val="00437D0D"/>
    <w:rsid w:val="0044038C"/>
    <w:rsid w:val="00440EF0"/>
    <w:rsid w:val="00441467"/>
    <w:rsid w:val="00441E0B"/>
    <w:rsid w:val="0044295F"/>
    <w:rsid w:val="0044319F"/>
    <w:rsid w:val="00443497"/>
    <w:rsid w:val="0044373D"/>
    <w:rsid w:val="0044483C"/>
    <w:rsid w:val="00445BC8"/>
    <w:rsid w:val="004474BB"/>
    <w:rsid w:val="00451252"/>
    <w:rsid w:val="00451776"/>
    <w:rsid w:val="004525A2"/>
    <w:rsid w:val="00452AC3"/>
    <w:rsid w:val="00453003"/>
    <w:rsid w:val="0045442F"/>
    <w:rsid w:val="00454738"/>
    <w:rsid w:val="00454EC0"/>
    <w:rsid w:val="00455977"/>
    <w:rsid w:val="004563EB"/>
    <w:rsid w:val="00456592"/>
    <w:rsid w:val="0045773C"/>
    <w:rsid w:val="0046000D"/>
    <w:rsid w:val="00461280"/>
    <w:rsid w:val="00461E29"/>
    <w:rsid w:val="00462013"/>
    <w:rsid w:val="00462518"/>
    <w:rsid w:val="004632F2"/>
    <w:rsid w:val="00463B29"/>
    <w:rsid w:val="00464BE7"/>
    <w:rsid w:val="00465002"/>
    <w:rsid w:val="0046633F"/>
    <w:rsid w:val="0046663D"/>
    <w:rsid w:val="004672AD"/>
    <w:rsid w:val="0046769C"/>
    <w:rsid w:val="00467AE4"/>
    <w:rsid w:val="00471F72"/>
    <w:rsid w:val="00472CB0"/>
    <w:rsid w:val="00473040"/>
    <w:rsid w:val="0047377D"/>
    <w:rsid w:val="004738EF"/>
    <w:rsid w:val="00474BF5"/>
    <w:rsid w:val="00476325"/>
    <w:rsid w:val="004773F1"/>
    <w:rsid w:val="004775E9"/>
    <w:rsid w:val="0048126F"/>
    <w:rsid w:val="00482A8E"/>
    <w:rsid w:val="00482D5F"/>
    <w:rsid w:val="00483150"/>
    <w:rsid w:val="00484005"/>
    <w:rsid w:val="0048407B"/>
    <w:rsid w:val="004843C2"/>
    <w:rsid w:val="00484DDB"/>
    <w:rsid w:val="004853B6"/>
    <w:rsid w:val="0048579F"/>
    <w:rsid w:val="00485E9B"/>
    <w:rsid w:val="00485EAF"/>
    <w:rsid w:val="004863DD"/>
    <w:rsid w:val="0048649F"/>
    <w:rsid w:val="00486D08"/>
    <w:rsid w:val="00486F14"/>
    <w:rsid w:val="0048778E"/>
    <w:rsid w:val="00490B90"/>
    <w:rsid w:val="00492565"/>
    <w:rsid w:val="00493EB2"/>
    <w:rsid w:val="0049496C"/>
    <w:rsid w:val="00494B56"/>
    <w:rsid w:val="004950C3"/>
    <w:rsid w:val="0049535E"/>
    <w:rsid w:val="00495A8A"/>
    <w:rsid w:val="0049636A"/>
    <w:rsid w:val="00496BCC"/>
    <w:rsid w:val="0049715A"/>
    <w:rsid w:val="00497A6C"/>
    <w:rsid w:val="00497AA2"/>
    <w:rsid w:val="004A0CE3"/>
    <w:rsid w:val="004A0D52"/>
    <w:rsid w:val="004A2C8B"/>
    <w:rsid w:val="004A3570"/>
    <w:rsid w:val="004A3890"/>
    <w:rsid w:val="004A401A"/>
    <w:rsid w:val="004A4892"/>
    <w:rsid w:val="004A5072"/>
    <w:rsid w:val="004A54A1"/>
    <w:rsid w:val="004A59ED"/>
    <w:rsid w:val="004A61AA"/>
    <w:rsid w:val="004A69E1"/>
    <w:rsid w:val="004A6BBD"/>
    <w:rsid w:val="004A7124"/>
    <w:rsid w:val="004A7B2C"/>
    <w:rsid w:val="004B1C51"/>
    <w:rsid w:val="004B1C62"/>
    <w:rsid w:val="004B1DE8"/>
    <w:rsid w:val="004B2BEC"/>
    <w:rsid w:val="004B39A0"/>
    <w:rsid w:val="004B5AC6"/>
    <w:rsid w:val="004B636F"/>
    <w:rsid w:val="004B7EBB"/>
    <w:rsid w:val="004C03CD"/>
    <w:rsid w:val="004C0A03"/>
    <w:rsid w:val="004C1E44"/>
    <w:rsid w:val="004C2EC2"/>
    <w:rsid w:val="004C3146"/>
    <w:rsid w:val="004C4212"/>
    <w:rsid w:val="004C44AC"/>
    <w:rsid w:val="004C4CA2"/>
    <w:rsid w:val="004C5604"/>
    <w:rsid w:val="004C6145"/>
    <w:rsid w:val="004C6B13"/>
    <w:rsid w:val="004C6C81"/>
    <w:rsid w:val="004C7106"/>
    <w:rsid w:val="004C78CB"/>
    <w:rsid w:val="004D0A6C"/>
    <w:rsid w:val="004D1DD2"/>
    <w:rsid w:val="004D1FF2"/>
    <w:rsid w:val="004D3423"/>
    <w:rsid w:val="004D3713"/>
    <w:rsid w:val="004D3D4E"/>
    <w:rsid w:val="004D40AF"/>
    <w:rsid w:val="004D4EB2"/>
    <w:rsid w:val="004D5440"/>
    <w:rsid w:val="004D6A38"/>
    <w:rsid w:val="004D6B22"/>
    <w:rsid w:val="004D7A78"/>
    <w:rsid w:val="004E1270"/>
    <w:rsid w:val="004E1CE1"/>
    <w:rsid w:val="004E27D2"/>
    <w:rsid w:val="004E38DA"/>
    <w:rsid w:val="004E3A71"/>
    <w:rsid w:val="004E3BC7"/>
    <w:rsid w:val="004E3D45"/>
    <w:rsid w:val="004E43D9"/>
    <w:rsid w:val="004E4864"/>
    <w:rsid w:val="004E525B"/>
    <w:rsid w:val="004E5340"/>
    <w:rsid w:val="004E5F8F"/>
    <w:rsid w:val="004E77AF"/>
    <w:rsid w:val="004E7C26"/>
    <w:rsid w:val="004F0467"/>
    <w:rsid w:val="004F08A0"/>
    <w:rsid w:val="004F1E5B"/>
    <w:rsid w:val="004F3461"/>
    <w:rsid w:val="004F3509"/>
    <w:rsid w:val="004F485B"/>
    <w:rsid w:val="004F4C7C"/>
    <w:rsid w:val="004F5F3D"/>
    <w:rsid w:val="004F689A"/>
    <w:rsid w:val="004F7C1C"/>
    <w:rsid w:val="005019C2"/>
    <w:rsid w:val="0050242F"/>
    <w:rsid w:val="005030CC"/>
    <w:rsid w:val="005033C4"/>
    <w:rsid w:val="00504371"/>
    <w:rsid w:val="0050471A"/>
    <w:rsid w:val="00504F53"/>
    <w:rsid w:val="00505109"/>
    <w:rsid w:val="0051066B"/>
    <w:rsid w:val="00511A40"/>
    <w:rsid w:val="00512056"/>
    <w:rsid w:val="00512637"/>
    <w:rsid w:val="005136C8"/>
    <w:rsid w:val="00514121"/>
    <w:rsid w:val="00516DBC"/>
    <w:rsid w:val="00517B22"/>
    <w:rsid w:val="00520F89"/>
    <w:rsid w:val="00521325"/>
    <w:rsid w:val="00521520"/>
    <w:rsid w:val="00521768"/>
    <w:rsid w:val="00521B09"/>
    <w:rsid w:val="00522765"/>
    <w:rsid w:val="005227AB"/>
    <w:rsid w:val="005234B3"/>
    <w:rsid w:val="00523A61"/>
    <w:rsid w:val="005254BC"/>
    <w:rsid w:val="005255B2"/>
    <w:rsid w:val="00525A4A"/>
    <w:rsid w:val="005276ED"/>
    <w:rsid w:val="00530439"/>
    <w:rsid w:val="005313B8"/>
    <w:rsid w:val="00532D60"/>
    <w:rsid w:val="005335FD"/>
    <w:rsid w:val="005336A7"/>
    <w:rsid w:val="00535172"/>
    <w:rsid w:val="00535F22"/>
    <w:rsid w:val="00537979"/>
    <w:rsid w:val="00540A59"/>
    <w:rsid w:val="00542121"/>
    <w:rsid w:val="00543095"/>
    <w:rsid w:val="0054353C"/>
    <w:rsid w:val="0054658A"/>
    <w:rsid w:val="00546B42"/>
    <w:rsid w:val="00546CEF"/>
    <w:rsid w:val="00546D0B"/>
    <w:rsid w:val="005506AF"/>
    <w:rsid w:val="0055333B"/>
    <w:rsid w:val="00554856"/>
    <w:rsid w:val="00554EC5"/>
    <w:rsid w:val="0055508D"/>
    <w:rsid w:val="00555D04"/>
    <w:rsid w:val="00555EF1"/>
    <w:rsid w:val="005564CE"/>
    <w:rsid w:val="00556F03"/>
    <w:rsid w:val="00561149"/>
    <w:rsid w:val="00562E94"/>
    <w:rsid w:val="005640CD"/>
    <w:rsid w:val="00564BAE"/>
    <w:rsid w:val="005663BC"/>
    <w:rsid w:val="00566571"/>
    <w:rsid w:val="00567E77"/>
    <w:rsid w:val="00572676"/>
    <w:rsid w:val="005726DF"/>
    <w:rsid w:val="00574B07"/>
    <w:rsid w:val="005767D2"/>
    <w:rsid w:val="00576E60"/>
    <w:rsid w:val="005778DB"/>
    <w:rsid w:val="00577DDB"/>
    <w:rsid w:val="005804EA"/>
    <w:rsid w:val="00581290"/>
    <w:rsid w:val="005814BC"/>
    <w:rsid w:val="00581B3D"/>
    <w:rsid w:val="00581CCE"/>
    <w:rsid w:val="00582002"/>
    <w:rsid w:val="00582231"/>
    <w:rsid w:val="005825D8"/>
    <w:rsid w:val="00583435"/>
    <w:rsid w:val="00583EB1"/>
    <w:rsid w:val="0058453D"/>
    <w:rsid w:val="00585A7B"/>
    <w:rsid w:val="00586626"/>
    <w:rsid w:val="005875D1"/>
    <w:rsid w:val="005907EC"/>
    <w:rsid w:val="00591B7F"/>
    <w:rsid w:val="00593720"/>
    <w:rsid w:val="00594922"/>
    <w:rsid w:val="00594B18"/>
    <w:rsid w:val="00594B84"/>
    <w:rsid w:val="00594BCE"/>
    <w:rsid w:val="00595152"/>
    <w:rsid w:val="005953AB"/>
    <w:rsid w:val="00595639"/>
    <w:rsid w:val="00596BA4"/>
    <w:rsid w:val="005A124A"/>
    <w:rsid w:val="005A1A9C"/>
    <w:rsid w:val="005A1DBF"/>
    <w:rsid w:val="005A2F9E"/>
    <w:rsid w:val="005A372A"/>
    <w:rsid w:val="005A3A14"/>
    <w:rsid w:val="005A3C06"/>
    <w:rsid w:val="005A4C01"/>
    <w:rsid w:val="005A5DB8"/>
    <w:rsid w:val="005A6432"/>
    <w:rsid w:val="005A66CB"/>
    <w:rsid w:val="005A7A59"/>
    <w:rsid w:val="005B100A"/>
    <w:rsid w:val="005B2CDA"/>
    <w:rsid w:val="005B381D"/>
    <w:rsid w:val="005B4351"/>
    <w:rsid w:val="005B4976"/>
    <w:rsid w:val="005B5054"/>
    <w:rsid w:val="005B5F3D"/>
    <w:rsid w:val="005B644A"/>
    <w:rsid w:val="005B6A80"/>
    <w:rsid w:val="005B6D0E"/>
    <w:rsid w:val="005B7795"/>
    <w:rsid w:val="005C0CF6"/>
    <w:rsid w:val="005C2A6E"/>
    <w:rsid w:val="005C3B33"/>
    <w:rsid w:val="005C3D3E"/>
    <w:rsid w:val="005C4145"/>
    <w:rsid w:val="005C4F15"/>
    <w:rsid w:val="005C552A"/>
    <w:rsid w:val="005C6492"/>
    <w:rsid w:val="005C6BDE"/>
    <w:rsid w:val="005C7732"/>
    <w:rsid w:val="005D03BE"/>
    <w:rsid w:val="005D0859"/>
    <w:rsid w:val="005D0AF2"/>
    <w:rsid w:val="005D2441"/>
    <w:rsid w:val="005D27A6"/>
    <w:rsid w:val="005D3237"/>
    <w:rsid w:val="005D45F4"/>
    <w:rsid w:val="005D5646"/>
    <w:rsid w:val="005D575E"/>
    <w:rsid w:val="005D5F50"/>
    <w:rsid w:val="005D61C9"/>
    <w:rsid w:val="005D6A6F"/>
    <w:rsid w:val="005E1DA1"/>
    <w:rsid w:val="005E25B1"/>
    <w:rsid w:val="005E25F7"/>
    <w:rsid w:val="005E2C78"/>
    <w:rsid w:val="005E4FD0"/>
    <w:rsid w:val="005E5C50"/>
    <w:rsid w:val="005E6167"/>
    <w:rsid w:val="005E642C"/>
    <w:rsid w:val="005E64C7"/>
    <w:rsid w:val="005E68D6"/>
    <w:rsid w:val="005E6A26"/>
    <w:rsid w:val="005E6A66"/>
    <w:rsid w:val="005E7F31"/>
    <w:rsid w:val="005F08CB"/>
    <w:rsid w:val="005F0F84"/>
    <w:rsid w:val="005F15E6"/>
    <w:rsid w:val="005F3245"/>
    <w:rsid w:val="005F3346"/>
    <w:rsid w:val="005F3682"/>
    <w:rsid w:val="005F41C5"/>
    <w:rsid w:val="005F4DDA"/>
    <w:rsid w:val="005F5ECC"/>
    <w:rsid w:val="005F623C"/>
    <w:rsid w:val="005F6389"/>
    <w:rsid w:val="005F7C6E"/>
    <w:rsid w:val="00600EAF"/>
    <w:rsid w:val="00601617"/>
    <w:rsid w:val="006016AC"/>
    <w:rsid w:val="00601D04"/>
    <w:rsid w:val="006030F6"/>
    <w:rsid w:val="006033A4"/>
    <w:rsid w:val="006039F3"/>
    <w:rsid w:val="0060463A"/>
    <w:rsid w:val="00604D19"/>
    <w:rsid w:val="00605B25"/>
    <w:rsid w:val="006068DA"/>
    <w:rsid w:val="00607376"/>
    <w:rsid w:val="00607384"/>
    <w:rsid w:val="00613A8A"/>
    <w:rsid w:val="00614645"/>
    <w:rsid w:val="00614A89"/>
    <w:rsid w:val="006150CE"/>
    <w:rsid w:val="00616139"/>
    <w:rsid w:val="00616995"/>
    <w:rsid w:val="006169E0"/>
    <w:rsid w:val="00616E39"/>
    <w:rsid w:val="00617A14"/>
    <w:rsid w:val="00617ECD"/>
    <w:rsid w:val="00617FE0"/>
    <w:rsid w:val="006206F2"/>
    <w:rsid w:val="0062077E"/>
    <w:rsid w:val="00620F57"/>
    <w:rsid w:val="006210C0"/>
    <w:rsid w:val="00622B60"/>
    <w:rsid w:val="006231DC"/>
    <w:rsid w:val="0062374C"/>
    <w:rsid w:val="00623BD0"/>
    <w:rsid w:val="00623FA4"/>
    <w:rsid w:val="0062433F"/>
    <w:rsid w:val="00624EB0"/>
    <w:rsid w:val="006261D5"/>
    <w:rsid w:val="006269FD"/>
    <w:rsid w:val="0063028D"/>
    <w:rsid w:val="006302D2"/>
    <w:rsid w:val="00632632"/>
    <w:rsid w:val="00632B55"/>
    <w:rsid w:val="006338FD"/>
    <w:rsid w:val="00633BB4"/>
    <w:rsid w:val="00633DEA"/>
    <w:rsid w:val="006340C9"/>
    <w:rsid w:val="00634A9E"/>
    <w:rsid w:val="00634D03"/>
    <w:rsid w:val="00635083"/>
    <w:rsid w:val="00635188"/>
    <w:rsid w:val="0063726C"/>
    <w:rsid w:val="00637EB4"/>
    <w:rsid w:val="006400F5"/>
    <w:rsid w:val="00640496"/>
    <w:rsid w:val="006409D5"/>
    <w:rsid w:val="00642A11"/>
    <w:rsid w:val="00642CA1"/>
    <w:rsid w:val="00643364"/>
    <w:rsid w:val="0064364A"/>
    <w:rsid w:val="0064440F"/>
    <w:rsid w:val="00644E00"/>
    <w:rsid w:val="00645BC6"/>
    <w:rsid w:val="006464C6"/>
    <w:rsid w:val="006475BB"/>
    <w:rsid w:val="00650CB0"/>
    <w:rsid w:val="006522E8"/>
    <w:rsid w:val="006526A9"/>
    <w:rsid w:val="00652CFF"/>
    <w:rsid w:val="0065338A"/>
    <w:rsid w:val="00653888"/>
    <w:rsid w:val="006550A8"/>
    <w:rsid w:val="00656661"/>
    <w:rsid w:val="00656715"/>
    <w:rsid w:val="00656CB1"/>
    <w:rsid w:val="00657818"/>
    <w:rsid w:val="00657B71"/>
    <w:rsid w:val="00661A71"/>
    <w:rsid w:val="0066273E"/>
    <w:rsid w:val="00663CC2"/>
    <w:rsid w:val="00663FC3"/>
    <w:rsid w:val="00664649"/>
    <w:rsid w:val="006647E2"/>
    <w:rsid w:val="00664F88"/>
    <w:rsid w:val="006654EA"/>
    <w:rsid w:val="00665B91"/>
    <w:rsid w:val="00666A60"/>
    <w:rsid w:val="00670019"/>
    <w:rsid w:val="00670577"/>
    <w:rsid w:val="006707EB"/>
    <w:rsid w:val="00673AD8"/>
    <w:rsid w:val="0067428B"/>
    <w:rsid w:val="006751C8"/>
    <w:rsid w:val="0067652F"/>
    <w:rsid w:val="00677ED7"/>
    <w:rsid w:val="00680190"/>
    <w:rsid w:val="006805F0"/>
    <w:rsid w:val="00680601"/>
    <w:rsid w:val="00681229"/>
    <w:rsid w:val="00681E1F"/>
    <w:rsid w:val="006820E6"/>
    <w:rsid w:val="006826BA"/>
    <w:rsid w:val="00684363"/>
    <w:rsid w:val="006849C5"/>
    <w:rsid w:val="00684DE9"/>
    <w:rsid w:val="00684F45"/>
    <w:rsid w:val="00686922"/>
    <w:rsid w:val="0069049E"/>
    <w:rsid w:val="00690714"/>
    <w:rsid w:val="0069087B"/>
    <w:rsid w:val="006909E7"/>
    <w:rsid w:val="00690F15"/>
    <w:rsid w:val="0069346B"/>
    <w:rsid w:val="00694473"/>
    <w:rsid w:val="00694CF3"/>
    <w:rsid w:val="00694D6C"/>
    <w:rsid w:val="00695C3F"/>
    <w:rsid w:val="00696598"/>
    <w:rsid w:val="006A14FA"/>
    <w:rsid w:val="006A3BDE"/>
    <w:rsid w:val="006A497A"/>
    <w:rsid w:val="006A4D22"/>
    <w:rsid w:val="006A50D1"/>
    <w:rsid w:val="006A5877"/>
    <w:rsid w:val="006A5CE9"/>
    <w:rsid w:val="006A621A"/>
    <w:rsid w:val="006A6C12"/>
    <w:rsid w:val="006A726B"/>
    <w:rsid w:val="006B0687"/>
    <w:rsid w:val="006B0D9C"/>
    <w:rsid w:val="006B156F"/>
    <w:rsid w:val="006B21DE"/>
    <w:rsid w:val="006B295B"/>
    <w:rsid w:val="006B5913"/>
    <w:rsid w:val="006B652F"/>
    <w:rsid w:val="006C0CEC"/>
    <w:rsid w:val="006C1147"/>
    <w:rsid w:val="006C1FD9"/>
    <w:rsid w:val="006C2019"/>
    <w:rsid w:val="006C2220"/>
    <w:rsid w:val="006C3405"/>
    <w:rsid w:val="006C4753"/>
    <w:rsid w:val="006C4BDD"/>
    <w:rsid w:val="006C4D9A"/>
    <w:rsid w:val="006C5680"/>
    <w:rsid w:val="006C6469"/>
    <w:rsid w:val="006C65DC"/>
    <w:rsid w:val="006C6A33"/>
    <w:rsid w:val="006C7B34"/>
    <w:rsid w:val="006D061D"/>
    <w:rsid w:val="006D081C"/>
    <w:rsid w:val="006D0F87"/>
    <w:rsid w:val="006D17AF"/>
    <w:rsid w:val="006D2D60"/>
    <w:rsid w:val="006D4428"/>
    <w:rsid w:val="006D4503"/>
    <w:rsid w:val="006D4BC9"/>
    <w:rsid w:val="006D5066"/>
    <w:rsid w:val="006D51BE"/>
    <w:rsid w:val="006D5C33"/>
    <w:rsid w:val="006D5E11"/>
    <w:rsid w:val="006D6586"/>
    <w:rsid w:val="006D6710"/>
    <w:rsid w:val="006D6EC7"/>
    <w:rsid w:val="006E0176"/>
    <w:rsid w:val="006E0220"/>
    <w:rsid w:val="006E0A61"/>
    <w:rsid w:val="006E166E"/>
    <w:rsid w:val="006E1C3A"/>
    <w:rsid w:val="006E2293"/>
    <w:rsid w:val="006E3246"/>
    <w:rsid w:val="006E38AF"/>
    <w:rsid w:val="006E3EDD"/>
    <w:rsid w:val="006E5E5C"/>
    <w:rsid w:val="006E60D8"/>
    <w:rsid w:val="006E7DD9"/>
    <w:rsid w:val="006F0F1D"/>
    <w:rsid w:val="006F2092"/>
    <w:rsid w:val="006F2214"/>
    <w:rsid w:val="006F2D4C"/>
    <w:rsid w:val="006F3990"/>
    <w:rsid w:val="006F3FDE"/>
    <w:rsid w:val="006F5613"/>
    <w:rsid w:val="006F5652"/>
    <w:rsid w:val="006F62FD"/>
    <w:rsid w:val="006F671D"/>
    <w:rsid w:val="006F746C"/>
    <w:rsid w:val="006F75A6"/>
    <w:rsid w:val="00700FB1"/>
    <w:rsid w:val="00701408"/>
    <w:rsid w:val="007015CD"/>
    <w:rsid w:val="00701980"/>
    <w:rsid w:val="00701B05"/>
    <w:rsid w:val="00703674"/>
    <w:rsid w:val="00703B71"/>
    <w:rsid w:val="007049A4"/>
    <w:rsid w:val="00705651"/>
    <w:rsid w:val="00706F9A"/>
    <w:rsid w:val="00707604"/>
    <w:rsid w:val="00707A90"/>
    <w:rsid w:val="00710731"/>
    <w:rsid w:val="00710D76"/>
    <w:rsid w:val="00711792"/>
    <w:rsid w:val="00714BEA"/>
    <w:rsid w:val="007153A4"/>
    <w:rsid w:val="00716CFE"/>
    <w:rsid w:val="00717370"/>
    <w:rsid w:val="00717401"/>
    <w:rsid w:val="00717713"/>
    <w:rsid w:val="0072044B"/>
    <w:rsid w:val="00721004"/>
    <w:rsid w:val="007211C1"/>
    <w:rsid w:val="00721513"/>
    <w:rsid w:val="00721654"/>
    <w:rsid w:val="0072233C"/>
    <w:rsid w:val="00722772"/>
    <w:rsid w:val="00722A16"/>
    <w:rsid w:val="00723FC8"/>
    <w:rsid w:val="00724656"/>
    <w:rsid w:val="00724ED3"/>
    <w:rsid w:val="00726BB5"/>
    <w:rsid w:val="00727D1B"/>
    <w:rsid w:val="00727D81"/>
    <w:rsid w:val="00727E44"/>
    <w:rsid w:val="00730079"/>
    <w:rsid w:val="00730297"/>
    <w:rsid w:val="00730945"/>
    <w:rsid w:val="00731404"/>
    <w:rsid w:val="00731D85"/>
    <w:rsid w:val="007321C5"/>
    <w:rsid w:val="0073325E"/>
    <w:rsid w:val="007334D5"/>
    <w:rsid w:val="00733D82"/>
    <w:rsid w:val="007340AE"/>
    <w:rsid w:val="00734271"/>
    <w:rsid w:val="007343D2"/>
    <w:rsid w:val="00734C98"/>
    <w:rsid w:val="007350E3"/>
    <w:rsid w:val="007351CD"/>
    <w:rsid w:val="00736024"/>
    <w:rsid w:val="007366DE"/>
    <w:rsid w:val="00736E41"/>
    <w:rsid w:val="0074059D"/>
    <w:rsid w:val="007405A7"/>
    <w:rsid w:val="007416F4"/>
    <w:rsid w:val="00741924"/>
    <w:rsid w:val="0074285B"/>
    <w:rsid w:val="007428F4"/>
    <w:rsid w:val="00745479"/>
    <w:rsid w:val="0074659E"/>
    <w:rsid w:val="007475CC"/>
    <w:rsid w:val="00747E8A"/>
    <w:rsid w:val="0075029E"/>
    <w:rsid w:val="00750361"/>
    <w:rsid w:val="007515C5"/>
    <w:rsid w:val="007516EF"/>
    <w:rsid w:val="00752128"/>
    <w:rsid w:val="007539E1"/>
    <w:rsid w:val="00755C6B"/>
    <w:rsid w:val="0075628B"/>
    <w:rsid w:val="00756CD3"/>
    <w:rsid w:val="00762060"/>
    <w:rsid w:val="007632E9"/>
    <w:rsid w:val="00763EB0"/>
    <w:rsid w:val="00765B68"/>
    <w:rsid w:val="00765CA4"/>
    <w:rsid w:val="00765F12"/>
    <w:rsid w:val="0076756C"/>
    <w:rsid w:val="00767661"/>
    <w:rsid w:val="0077175C"/>
    <w:rsid w:val="00771AC4"/>
    <w:rsid w:val="00771F5E"/>
    <w:rsid w:val="00772D52"/>
    <w:rsid w:val="00773CCF"/>
    <w:rsid w:val="00773F23"/>
    <w:rsid w:val="00774712"/>
    <w:rsid w:val="00774B5E"/>
    <w:rsid w:val="00775047"/>
    <w:rsid w:val="00775F74"/>
    <w:rsid w:val="00776532"/>
    <w:rsid w:val="00776665"/>
    <w:rsid w:val="00776EA8"/>
    <w:rsid w:val="00780138"/>
    <w:rsid w:val="007801EC"/>
    <w:rsid w:val="007811CA"/>
    <w:rsid w:val="00781280"/>
    <w:rsid w:val="00781338"/>
    <w:rsid w:val="00781C84"/>
    <w:rsid w:val="00782FDA"/>
    <w:rsid w:val="00783E7A"/>
    <w:rsid w:val="007850A7"/>
    <w:rsid w:val="0078576A"/>
    <w:rsid w:val="00785954"/>
    <w:rsid w:val="0078634C"/>
    <w:rsid w:val="00787018"/>
    <w:rsid w:val="007875FE"/>
    <w:rsid w:val="007906C2"/>
    <w:rsid w:val="00793495"/>
    <w:rsid w:val="0079636B"/>
    <w:rsid w:val="007965AB"/>
    <w:rsid w:val="007967DF"/>
    <w:rsid w:val="00797F7B"/>
    <w:rsid w:val="007A0087"/>
    <w:rsid w:val="007A01B8"/>
    <w:rsid w:val="007A18AF"/>
    <w:rsid w:val="007A1CB7"/>
    <w:rsid w:val="007A2132"/>
    <w:rsid w:val="007A2ED8"/>
    <w:rsid w:val="007A345E"/>
    <w:rsid w:val="007A4406"/>
    <w:rsid w:val="007A47E3"/>
    <w:rsid w:val="007A4B00"/>
    <w:rsid w:val="007A6EA4"/>
    <w:rsid w:val="007A7823"/>
    <w:rsid w:val="007A7C07"/>
    <w:rsid w:val="007B13A0"/>
    <w:rsid w:val="007B259C"/>
    <w:rsid w:val="007B5E03"/>
    <w:rsid w:val="007B6CEC"/>
    <w:rsid w:val="007B6DDA"/>
    <w:rsid w:val="007B6F19"/>
    <w:rsid w:val="007B71D1"/>
    <w:rsid w:val="007B7A70"/>
    <w:rsid w:val="007B7F68"/>
    <w:rsid w:val="007C018C"/>
    <w:rsid w:val="007C08F8"/>
    <w:rsid w:val="007C0D97"/>
    <w:rsid w:val="007C144B"/>
    <w:rsid w:val="007C2C86"/>
    <w:rsid w:val="007C2CD8"/>
    <w:rsid w:val="007C2EDE"/>
    <w:rsid w:val="007C3406"/>
    <w:rsid w:val="007C3ADC"/>
    <w:rsid w:val="007C4B86"/>
    <w:rsid w:val="007C7487"/>
    <w:rsid w:val="007D0439"/>
    <w:rsid w:val="007D0C4B"/>
    <w:rsid w:val="007D17A5"/>
    <w:rsid w:val="007D31F0"/>
    <w:rsid w:val="007D3668"/>
    <w:rsid w:val="007D456F"/>
    <w:rsid w:val="007D465F"/>
    <w:rsid w:val="007D6045"/>
    <w:rsid w:val="007D6A8A"/>
    <w:rsid w:val="007D7043"/>
    <w:rsid w:val="007E1D99"/>
    <w:rsid w:val="007E2313"/>
    <w:rsid w:val="007E2A92"/>
    <w:rsid w:val="007E307F"/>
    <w:rsid w:val="007E390C"/>
    <w:rsid w:val="007E46AF"/>
    <w:rsid w:val="007E5344"/>
    <w:rsid w:val="007E7C21"/>
    <w:rsid w:val="007F0506"/>
    <w:rsid w:val="007F1FE0"/>
    <w:rsid w:val="007F29D2"/>
    <w:rsid w:val="007F46B7"/>
    <w:rsid w:val="007F63E2"/>
    <w:rsid w:val="007F65FA"/>
    <w:rsid w:val="007F69EC"/>
    <w:rsid w:val="007F6CFB"/>
    <w:rsid w:val="00800B25"/>
    <w:rsid w:val="00800F53"/>
    <w:rsid w:val="00801B95"/>
    <w:rsid w:val="00802413"/>
    <w:rsid w:val="00802C6B"/>
    <w:rsid w:val="00803482"/>
    <w:rsid w:val="0080415E"/>
    <w:rsid w:val="00804E7C"/>
    <w:rsid w:val="00805D97"/>
    <w:rsid w:val="00805E9E"/>
    <w:rsid w:val="00810175"/>
    <w:rsid w:val="008110D8"/>
    <w:rsid w:val="008123B9"/>
    <w:rsid w:val="00812E89"/>
    <w:rsid w:val="00813589"/>
    <w:rsid w:val="008136F7"/>
    <w:rsid w:val="0081447C"/>
    <w:rsid w:val="008155BD"/>
    <w:rsid w:val="0081666D"/>
    <w:rsid w:val="008171E4"/>
    <w:rsid w:val="00817C25"/>
    <w:rsid w:val="00817DBF"/>
    <w:rsid w:val="008219C6"/>
    <w:rsid w:val="00821E2E"/>
    <w:rsid w:val="00822FF8"/>
    <w:rsid w:val="0082353A"/>
    <w:rsid w:val="008237C6"/>
    <w:rsid w:val="00824819"/>
    <w:rsid w:val="0082654B"/>
    <w:rsid w:val="00827A20"/>
    <w:rsid w:val="00827BC6"/>
    <w:rsid w:val="0083020C"/>
    <w:rsid w:val="0083077E"/>
    <w:rsid w:val="00830F72"/>
    <w:rsid w:val="008318A9"/>
    <w:rsid w:val="00833365"/>
    <w:rsid w:val="008335B1"/>
    <w:rsid w:val="00834029"/>
    <w:rsid w:val="008350B7"/>
    <w:rsid w:val="00836599"/>
    <w:rsid w:val="008366AB"/>
    <w:rsid w:val="008406AE"/>
    <w:rsid w:val="00840752"/>
    <w:rsid w:val="00841059"/>
    <w:rsid w:val="00841E48"/>
    <w:rsid w:val="00842402"/>
    <w:rsid w:val="00842F37"/>
    <w:rsid w:val="00845A8D"/>
    <w:rsid w:val="00845B4A"/>
    <w:rsid w:val="00846D07"/>
    <w:rsid w:val="00846E9E"/>
    <w:rsid w:val="00847158"/>
    <w:rsid w:val="008475FF"/>
    <w:rsid w:val="00850362"/>
    <w:rsid w:val="00850412"/>
    <w:rsid w:val="00850464"/>
    <w:rsid w:val="00851488"/>
    <w:rsid w:val="0085162E"/>
    <w:rsid w:val="0085246C"/>
    <w:rsid w:val="00852AFF"/>
    <w:rsid w:val="00852CF2"/>
    <w:rsid w:val="00853B66"/>
    <w:rsid w:val="008543E9"/>
    <w:rsid w:val="008544E6"/>
    <w:rsid w:val="00856122"/>
    <w:rsid w:val="008566CB"/>
    <w:rsid w:val="00856B2C"/>
    <w:rsid w:val="00856CFC"/>
    <w:rsid w:val="00857452"/>
    <w:rsid w:val="0085752A"/>
    <w:rsid w:val="0085774C"/>
    <w:rsid w:val="00857C50"/>
    <w:rsid w:val="00857E9A"/>
    <w:rsid w:val="00860FAB"/>
    <w:rsid w:val="00861375"/>
    <w:rsid w:val="00863F29"/>
    <w:rsid w:val="0086462D"/>
    <w:rsid w:val="00864DE8"/>
    <w:rsid w:val="00865442"/>
    <w:rsid w:val="008654C0"/>
    <w:rsid w:val="008654E4"/>
    <w:rsid w:val="00865F4E"/>
    <w:rsid w:val="00866E4D"/>
    <w:rsid w:val="00866FCA"/>
    <w:rsid w:val="00867380"/>
    <w:rsid w:val="008709C2"/>
    <w:rsid w:val="00870F7B"/>
    <w:rsid w:val="008711D3"/>
    <w:rsid w:val="008714D5"/>
    <w:rsid w:val="00871DB7"/>
    <w:rsid w:val="00871EDA"/>
    <w:rsid w:val="00872407"/>
    <w:rsid w:val="0087260F"/>
    <w:rsid w:val="0087307B"/>
    <w:rsid w:val="00873F4F"/>
    <w:rsid w:val="008746BD"/>
    <w:rsid w:val="008746F2"/>
    <w:rsid w:val="00874CFE"/>
    <w:rsid w:val="00875461"/>
    <w:rsid w:val="008773B8"/>
    <w:rsid w:val="008773FA"/>
    <w:rsid w:val="00877712"/>
    <w:rsid w:val="00877CF4"/>
    <w:rsid w:val="00880290"/>
    <w:rsid w:val="00880D49"/>
    <w:rsid w:val="008815A0"/>
    <w:rsid w:val="0088220A"/>
    <w:rsid w:val="0088288F"/>
    <w:rsid w:val="00882B95"/>
    <w:rsid w:val="00883678"/>
    <w:rsid w:val="00883B70"/>
    <w:rsid w:val="00884196"/>
    <w:rsid w:val="008858B6"/>
    <w:rsid w:val="00885E4E"/>
    <w:rsid w:val="008866EE"/>
    <w:rsid w:val="00887491"/>
    <w:rsid w:val="00887673"/>
    <w:rsid w:val="00887B0D"/>
    <w:rsid w:val="00890BFD"/>
    <w:rsid w:val="008922CE"/>
    <w:rsid w:val="00892800"/>
    <w:rsid w:val="008932EA"/>
    <w:rsid w:val="00893899"/>
    <w:rsid w:val="00893F51"/>
    <w:rsid w:val="00894612"/>
    <w:rsid w:val="00894E02"/>
    <w:rsid w:val="008961A0"/>
    <w:rsid w:val="008973F7"/>
    <w:rsid w:val="008975C8"/>
    <w:rsid w:val="008978B8"/>
    <w:rsid w:val="008A0570"/>
    <w:rsid w:val="008A0A39"/>
    <w:rsid w:val="008A1DEC"/>
    <w:rsid w:val="008A2B66"/>
    <w:rsid w:val="008A2ED2"/>
    <w:rsid w:val="008A34ED"/>
    <w:rsid w:val="008A3F7C"/>
    <w:rsid w:val="008A7A22"/>
    <w:rsid w:val="008B00D0"/>
    <w:rsid w:val="008B0902"/>
    <w:rsid w:val="008B264F"/>
    <w:rsid w:val="008B51EC"/>
    <w:rsid w:val="008B5223"/>
    <w:rsid w:val="008B5B11"/>
    <w:rsid w:val="008B6016"/>
    <w:rsid w:val="008B60B4"/>
    <w:rsid w:val="008B68FB"/>
    <w:rsid w:val="008B7119"/>
    <w:rsid w:val="008B720A"/>
    <w:rsid w:val="008B7459"/>
    <w:rsid w:val="008B7C19"/>
    <w:rsid w:val="008C022E"/>
    <w:rsid w:val="008C047D"/>
    <w:rsid w:val="008C1FE4"/>
    <w:rsid w:val="008C31EB"/>
    <w:rsid w:val="008C3F71"/>
    <w:rsid w:val="008C4046"/>
    <w:rsid w:val="008C471E"/>
    <w:rsid w:val="008C682B"/>
    <w:rsid w:val="008D18F6"/>
    <w:rsid w:val="008D1C79"/>
    <w:rsid w:val="008D2686"/>
    <w:rsid w:val="008D2F3F"/>
    <w:rsid w:val="008D47AA"/>
    <w:rsid w:val="008D4881"/>
    <w:rsid w:val="008D4F20"/>
    <w:rsid w:val="008D4FA7"/>
    <w:rsid w:val="008D568C"/>
    <w:rsid w:val="008E0093"/>
    <w:rsid w:val="008E082B"/>
    <w:rsid w:val="008E0ABA"/>
    <w:rsid w:val="008E106B"/>
    <w:rsid w:val="008E181D"/>
    <w:rsid w:val="008E27A6"/>
    <w:rsid w:val="008E2EFC"/>
    <w:rsid w:val="008E551B"/>
    <w:rsid w:val="008E5FAA"/>
    <w:rsid w:val="008E6FCD"/>
    <w:rsid w:val="008E741C"/>
    <w:rsid w:val="008E7F92"/>
    <w:rsid w:val="008F070F"/>
    <w:rsid w:val="008F1814"/>
    <w:rsid w:val="008F3D41"/>
    <w:rsid w:val="008F424E"/>
    <w:rsid w:val="008F4606"/>
    <w:rsid w:val="008F4661"/>
    <w:rsid w:val="008F4E93"/>
    <w:rsid w:val="008F52D4"/>
    <w:rsid w:val="008F5AFD"/>
    <w:rsid w:val="008F5D73"/>
    <w:rsid w:val="008F6314"/>
    <w:rsid w:val="008F63F8"/>
    <w:rsid w:val="008F640C"/>
    <w:rsid w:val="008F7338"/>
    <w:rsid w:val="008F74A6"/>
    <w:rsid w:val="008F7D2B"/>
    <w:rsid w:val="009006A3"/>
    <w:rsid w:val="00900804"/>
    <w:rsid w:val="00901006"/>
    <w:rsid w:val="00902AE4"/>
    <w:rsid w:val="00903E9C"/>
    <w:rsid w:val="00903FDF"/>
    <w:rsid w:val="00904C47"/>
    <w:rsid w:val="009052D9"/>
    <w:rsid w:val="00905507"/>
    <w:rsid w:val="009056EF"/>
    <w:rsid w:val="00906A6A"/>
    <w:rsid w:val="00907108"/>
    <w:rsid w:val="009077FE"/>
    <w:rsid w:val="00907856"/>
    <w:rsid w:val="00911620"/>
    <w:rsid w:val="00911CBB"/>
    <w:rsid w:val="00911D87"/>
    <w:rsid w:val="009122E6"/>
    <w:rsid w:val="00913086"/>
    <w:rsid w:val="00913126"/>
    <w:rsid w:val="00913649"/>
    <w:rsid w:val="00913684"/>
    <w:rsid w:val="009140F1"/>
    <w:rsid w:val="00914132"/>
    <w:rsid w:val="009153A1"/>
    <w:rsid w:val="009153FF"/>
    <w:rsid w:val="0091568E"/>
    <w:rsid w:val="0092042F"/>
    <w:rsid w:val="00920AB3"/>
    <w:rsid w:val="00921C48"/>
    <w:rsid w:val="009227CD"/>
    <w:rsid w:val="009227D0"/>
    <w:rsid w:val="009233E5"/>
    <w:rsid w:val="00924075"/>
    <w:rsid w:val="00924747"/>
    <w:rsid w:val="009247FC"/>
    <w:rsid w:val="00926B7F"/>
    <w:rsid w:val="00926BB5"/>
    <w:rsid w:val="00926E49"/>
    <w:rsid w:val="00930599"/>
    <w:rsid w:val="00930F96"/>
    <w:rsid w:val="00931374"/>
    <w:rsid w:val="00932296"/>
    <w:rsid w:val="00933BD2"/>
    <w:rsid w:val="009342BF"/>
    <w:rsid w:val="009364FC"/>
    <w:rsid w:val="00936A11"/>
    <w:rsid w:val="00936A5E"/>
    <w:rsid w:val="00936B8C"/>
    <w:rsid w:val="00936DAB"/>
    <w:rsid w:val="009408CC"/>
    <w:rsid w:val="00941531"/>
    <w:rsid w:val="0094156E"/>
    <w:rsid w:val="0094245A"/>
    <w:rsid w:val="0094266B"/>
    <w:rsid w:val="00942E36"/>
    <w:rsid w:val="00943705"/>
    <w:rsid w:val="00944A1D"/>
    <w:rsid w:val="00944A89"/>
    <w:rsid w:val="00944AD9"/>
    <w:rsid w:val="00944EB6"/>
    <w:rsid w:val="009450C8"/>
    <w:rsid w:val="00946A0A"/>
    <w:rsid w:val="00947330"/>
    <w:rsid w:val="009500FD"/>
    <w:rsid w:val="00950F40"/>
    <w:rsid w:val="009518D0"/>
    <w:rsid w:val="00952192"/>
    <w:rsid w:val="009528A4"/>
    <w:rsid w:val="00955A0B"/>
    <w:rsid w:val="00957C8A"/>
    <w:rsid w:val="009605B6"/>
    <w:rsid w:val="00960D5F"/>
    <w:rsid w:val="00960E74"/>
    <w:rsid w:val="00961C75"/>
    <w:rsid w:val="00962F2E"/>
    <w:rsid w:val="00963226"/>
    <w:rsid w:val="009632DF"/>
    <w:rsid w:val="00963D10"/>
    <w:rsid w:val="0096424B"/>
    <w:rsid w:val="00964AF1"/>
    <w:rsid w:val="0096575E"/>
    <w:rsid w:val="00965F06"/>
    <w:rsid w:val="00966124"/>
    <w:rsid w:val="00967A3C"/>
    <w:rsid w:val="00967A82"/>
    <w:rsid w:val="00970293"/>
    <w:rsid w:val="00972D97"/>
    <w:rsid w:val="0097582D"/>
    <w:rsid w:val="00975D07"/>
    <w:rsid w:val="00975DB6"/>
    <w:rsid w:val="00976324"/>
    <w:rsid w:val="00976EA7"/>
    <w:rsid w:val="00976EFD"/>
    <w:rsid w:val="0097791C"/>
    <w:rsid w:val="0097794E"/>
    <w:rsid w:val="00980D82"/>
    <w:rsid w:val="00981133"/>
    <w:rsid w:val="00981736"/>
    <w:rsid w:val="00981A26"/>
    <w:rsid w:val="00982DA4"/>
    <w:rsid w:val="009835A7"/>
    <w:rsid w:val="009849B3"/>
    <w:rsid w:val="0098576A"/>
    <w:rsid w:val="00985F27"/>
    <w:rsid w:val="00987434"/>
    <w:rsid w:val="009877E2"/>
    <w:rsid w:val="00987B46"/>
    <w:rsid w:val="00990DB2"/>
    <w:rsid w:val="00991574"/>
    <w:rsid w:val="009918FA"/>
    <w:rsid w:val="00992A70"/>
    <w:rsid w:val="00993349"/>
    <w:rsid w:val="0099396E"/>
    <w:rsid w:val="00994007"/>
    <w:rsid w:val="00994C38"/>
    <w:rsid w:val="00994ED0"/>
    <w:rsid w:val="00995359"/>
    <w:rsid w:val="00995B2E"/>
    <w:rsid w:val="00995CCD"/>
    <w:rsid w:val="009963A5"/>
    <w:rsid w:val="00996783"/>
    <w:rsid w:val="00996954"/>
    <w:rsid w:val="009A0A24"/>
    <w:rsid w:val="009A195A"/>
    <w:rsid w:val="009A1E9C"/>
    <w:rsid w:val="009A2E48"/>
    <w:rsid w:val="009A31FF"/>
    <w:rsid w:val="009A3CE5"/>
    <w:rsid w:val="009A5D57"/>
    <w:rsid w:val="009A6F47"/>
    <w:rsid w:val="009B06F2"/>
    <w:rsid w:val="009B0B99"/>
    <w:rsid w:val="009B0E17"/>
    <w:rsid w:val="009B120F"/>
    <w:rsid w:val="009B2E0E"/>
    <w:rsid w:val="009B328E"/>
    <w:rsid w:val="009B3DA9"/>
    <w:rsid w:val="009B42E1"/>
    <w:rsid w:val="009B45F5"/>
    <w:rsid w:val="009B47F0"/>
    <w:rsid w:val="009B5917"/>
    <w:rsid w:val="009B67AC"/>
    <w:rsid w:val="009C0085"/>
    <w:rsid w:val="009C0996"/>
    <w:rsid w:val="009C0C89"/>
    <w:rsid w:val="009C2B2A"/>
    <w:rsid w:val="009C2BBA"/>
    <w:rsid w:val="009C4227"/>
    <w:rsid w:val="009C4BDA"/>
    <w:rsid w:val="009C5730"/>
    <w:rsid w:val="009D1A7A"/>
    <w:rsid w:val="009D1E6D"/>
    <w:rsid w:val="009D2094"/>
    <w:rsid w:val="009D327C"/>
    <w:rsid w:val="009D3603"/>
    <w:rsid w:val="009D3EF6"/>
    <w:rsid w:val="009D4E8C"/>
    <w:rsid w:val="009D5AB7"/>
    <w:rsid w:val="009D5B39"/>
    <w:rsid w:val="009D5F02"/>
    <w:rsid w:val="009D6A33"/>
    <w:rsid w:val="009D7AE5"/>
    <w:rsid w:val="009D7DC1"/>
    <w:rsid w:val="009E0E48"/>
    <w:rsid w:val="009E0E58"/>
    <w:rsid w:val="009E1CB7"/>
    <w:rsid w:val="009E247C"/>
    <w:rsid w:val="009E402B"/>
    <w:rsid w:val="009E56FE"/>
    <w:rsid w:val="009E6ECD"/>
    <w:rsid w:val="009E75D1"/>
    <w:rsid w:val="009F0BD0"/>
    <w:rsid w:val="009F1087"/>
    <w:rsid w:val="009F118E"/>
    <w:rsid w:val="009F175A"/>
    <w:rsid w:val="009F233C"/>
    <w:rsid w:val="009F2A15"/>
    <w:rsid w:val="009F2B2E"/>
    <w:rsid w:val="009F2C53"/>
    <w:rsid w:val="009F379D"/>
    <w:rsid w:val="009F37EE"/>
    <w:rsid w:val="009F60DD"/>
    <w:rsid w:val="009F676B"/>
    <w:rsid w:val="009F7524"/>
    <w:rsid w:val="00A004E5"/>
    <w:rsid w:val="00A01E93"/>
    <w:rsid w:val="00A02002"/>
    <w:rsid w:val="00A02213"/>
    <w:rsid w:val="00A02FC5"/>
    <w:rsid w:val="00A033D6"/>
    <w:rsid w:val="00A03940"/>
    <w:rsid w:val="00A05758"/>
    <w:rsid w:val="00A067BE"/>
    <w:rsid w:val="00A06BD8"/>
    <w:rsid w:val="00A07015"/>
    <w:rsid w:val="00A07122"/>
    <w:rsid w:val="00A0739A"/>
    <w:rsid w:val="00A07D2C"/>
    <w:rsid w:val="00A10720"/>
    <w:rsid w:val="00A123BB"/>
    <w:rsid w:val="00A128BF"/>
    <w:rsid w:val="00A12FA9"/>
    <w:rsid w:val="00A14108"/>
    <w:rsid w:val="00A1433D"/>
    <w:rsid w:val="00A151E1"/>
    <w:rsid w:val="00A16853"/>
    <w:rsid w:val="00A16B03"/>
    <w:rsid w:val="00A176F4"/>
    <w:rsid w:val="00A17DEC"/>
    <w:rsid w:val="00A20E2F"/>
    <w:rsid w:val="00A21466"/>
    <w:rsid w:val="00A218F3"/>
    <w:rsid w:val="00A21A45"/>
    <w:rsid w:val="00A2457E"/>
    <w:rsid w:val="00A24E7C"/>
    <w:rsid w:val="00A26834"/>
    <w:rsid w:val="00A26B20"/>
    <w:rsid w:val="00A27556"/>
    <w:rsid w:val="00A2768A"/>
    <w:rsid w:val="00A27ADC"/>
    <w:rsid w:val="00A27CB1"/>
    <w:rsid w:val="00A27D56"/>
    <w:rsid w:val="00A30B88"/>
    <w:rsid w:val="00A32182"/>
    <w:rsid w:val="00A333F8"/>
    <w:rsid w:val="00A33D65"/>
    <w:rsid w:val="00A35CC9"/>
    <w:rsid w:val="00A36109"/>
    <w:rsid w:val="00A3626E"/>
    <w:rsid w:val="00A36786"/>
    <w:rsid w:val="00A37F7D"/>
    <w:rsid w:val="00A40E1D"/>
    <w:rsid w:val="00A419D2"/>
    <w:rsid w:val="00A44FF1"/>
    <w:rsid w:val="00A45AEE"/>
    <w:rsid w:val="00A514D9"/>
    <w:rsid w:val="00A51AB0"/>
    <w:rsid w:val="00A51DA8"/>
    <w:rsid w:val="00A52679"/>
    <w:rsid w:val="00A53485"/>
    <w:rsid w:val="00A5503C"/>
    <w:rsid w:val="00A55C77"/>
    <w:rsid w:val="00A55F37"/>
    <w:rsid w:val="00A56148"/>
    <w:rsid w:val="00A563A7"/>
    <w:rsid w:val="00A610A6"/>
    <w:rsid w:val="00A622C7"/>
    <w:rsid w:val="00A63796"/>
    <w:rsid w:val="00A640FD"/>
    <w:rsid w:val="00A64C41"/>
    <w:rsid w:val="00A65E4D"/>
    <w:rsid w:val="00A66BC3"/>
    <w:rsid w:val="00A67E03"/>
    <w:rsid w:val="00A70B91"/>
    <w:rsid w:val="00A71DBD"/>
    <w:rsid w:val="00A72B7F"/>
    <w:rsid w:val="00A7363C"/>
    <w:rsid w:val="00A73819"/>
    <w:rsid w:val="00A73ED8"/>
    <w:rsid w:val="00A741E5"/>
    <w:rsid w:val="00A7457A"/>
    <w:rsid w:val="00A75428"/>
    <w:rsid w:val="00A75797"/>
    <w:rsid w:val="00A75A58"/>
    <w:rsid w:val="00A76278"/>
    <w:rsid w:val="00A7662A"/>
    <w:rsid w:val="00A770F6"/>
    <w:rsid w:val="00A770F7"/>
    <w:rsid w:val="00A7791D"/>
    <w:rsid w:val="00A77978"/>
    <w:rsid w:val="00A8097D"/>
    <w:rsid w:val="00A809A2"/>
    <w:rsid w:val="00A81B48"/>
    <w:rsid w:val="00A821A3"/>
    <w:rsid w:val="00A829E8"/>
    <w:rsid w:val="00A8394D"/>
    <w:rsid w:val="00A841E8"/>
    <w:rsid w:val="00A84E24"/>
    <w:rsid w:val="00A853C4"/>
    <w:rsid w:val="00A85E23"/>
    <w:rsid w:val="00A86598"/>
    <w:rsid w:val="00A868D2"/>
    <w:rsid w:val="00A86AB6"/>
    <w:rsid w:val="00A87DF0"/>
    <w:rsid w:val="00A87E93"/>
    <w:rsid w:val="00A87F5A"/>
    <w:rsid w:val="00A901D9"/>
    <w:rsid w:val="00A91497"/>
    <w:rsid w:val="00A921F8"/>
    <w:rsid w:val="00A93FB8"/>
    <w:rsid w:val="00A94978"/>
    <w:rsid w:val="00A9531F"/>
    <w:rsid w:val="00A95793"/>
    <w:rsid w:val="00A96B56"/>
    <w:rsid w:val="00AA0591"/>
    <w:rsid w:val="00AA0710"/>
    <w:rsid w:val="00AA0DE4"/>
    <w:rsid w:val="00AA2430"/>
    <w:rsid w:val="00AA27EF"/>
    <w:rsid w:val="00AA2A2B"/>
    <w:rsid w:val="00AA2A5B"/>
    <w:rsid w:val="00AA304C"/>
    <w:rsid w:val="00AA3D7D"/>
    <w:rsid w:val="00AA3E2C"/>
    <w:rsid w:val="00AA4C87"/>
    <w:rsid w:val="00AA56E6"/>
    <w:rsid w:val="00AA6139"/>
    <w:rsid w:val="00AA708B"/>
    <w:rsid w:val="00AB0405"/>
    <w:rsid w:val="00AB04E6"/>
    <w:rsid w:val="00AB055C"/>
    <w:rsid w:val="00AB2382"/>
    <w:rsid w:val="00AB243F"/>
    <w:rsid w:val="00AB36C9"/>
    <w:rsid w:val="00AB3CA5"/>
    <w:rsid w:val="00AB5061"/>
    <w:rsid w:val="00AB58BB"/>
    <w:rsid w:val="00AB5C50"/>
    <w:rsid w:val="00AB6199"/>
    <w:rsid w:val="00AB7E23"/>
    <w:rsid w:val="00AC0B3B"/>
    <w:rsid w:val="00AC1938"/>
    <w:rsid w:val="00AC3270"/>
    <w:rsid w:val="00AC3335"/>
    <w:rsid w:val="00AC33B0"/>
    <w:rsid w:val="00AC393C"/>
    <w:rsid w:val="00AC4708"/>
    <w:rsid w:val="00AC4D71"/>
    <w:rsid w:val="00AC5596"/>
    <w:rsid w:val="00AC5D04"/>
    <w:rsid w:val="00AC5DA9"/>
    <w:rsid w:val="00AC5F65"/>
    <w:rsid w:val="00AC6487"/>
    <w:rsid w:val="00AC6A79"/>
    <w:rsid w:val="00AD0965"/>
    <w:rsid w:val="00AD09AC"/>
    <w:rsid w:val="00AD0BCB"/>
    <w:rsid w:val="00AD13FE"/>
    <w:rsid w:val="00AD148D"/>
    <w:rsid w:val="00AD1B6C"/>
    <w:rsid w:val="00AD1C1C"/>
    <w:rsid w:val="00AD1D7E"/>
    <w:rsid w:val="00AD30BD"/>
    <w:rsid w:val="00AD3C25"/>
    <w:rsid w:val="00AD43D7"/>
    <w:rsid w:val="00AD4633"/>
    <w:rsid w:val="00AD5468"/>
    <w:rsid w:val="00AD57A8"/>
    <w:rsid w:val="00AD57D9"/>
    <w:rsid w:val="00AD5B5A"/>
    <w:rsid w:val="00AD7A48"/>
    <w:rsid w:val="00AD7AE1"/>
    <w:rsid w:val="00AD7EDB"/>
    <w:rsid w:val="00AE015B"/>
    <w:rsid w:val="00AE0595"/>
    <w:rsid w:val="00AE08B9"/>
    <w:rsid w:val="00AE1333"/>
    <w:rsid w:val="00AE163A"/>
    <w:rsid w:val="00AE2432"/>
    <w:rsid w:val="00AE2D18"/>
    <w:rsid w:val="00AE39E3"/>
    <w:rsid w:val="00AE3D2E"/>
    <w:rsid w:val="00AE4217"/>
    <w:rsid w:val="00AE533A"/>
    <w:rsid w:val="00AE5588"/>
    <w:rsid w:val="00AE6F27"/>
    <w:rsid w:val="00AE71E4"/>
    <w:rsid w:val="00AF037F"/>
    <w:rsid w:val="00AF03D3"/>
    <w:rsid w:val="00AF049D"/>
    <w:rsid w:val="00AF1AD2"/>
    <w:rsid w:val="00AF2074"/>
    <w:rsid w:val="00AF2166"/>
    <w:rsid w:val="00AF22F8"/>
    <w:rsid w:val="00AF2811"/>
    <w:rsid w:val="00AF2D9A"/>
    <w:rsid w:val="00AF2F2E"/>
    <w:rsid w:val="00AF4A67"/>
    <w:rsid w:val="00AF4E8B"/>
    <w:rsid w:val="00AF7BD0"/>
    <w:rsid w:val="00B006C0"/>
    <w:rsid w:val="00B0203D"/>
    <w:rsid w:val="00B030C4"/>
    <w:rsid w:val="00B03681"/>
    <w:rsid w:val="00B03A6F"/>
    <w:rsid w:val="00B03C2A"/>
    <w:rsid w:val="00B04949"/>
    <w:rsid w:val="00B04A87"/>
    <w:rsid w:val="00B05F6B"/>
    <w:rsid w:val="00B061F4"/>
    <w:rsid w:val="00B06D20"/>
    <w:rsid w:val="00B06E6F"/>
    <w:rsid w:val="00B07898"/>
    <w:rsid w:val="00B07EA8"/>
    <w:rsid w:val="00B10403"/>
    <w:rsid w:val="00B108C6"/>
    <w:rsid w:val="00B10CFB"/>
    <w:rsid w:val="00B11851"/>
    <w:rsid w:val="00B13D9C"/>
    <w:rsid w:val="00B13E76"/>
    <w:rsid w:val="00B14954"/>
    <w:rsid w:val="00B14EC9"/>
    <w:rsid w:val="00B152EC"/>
    <w:rsid w:val="00B166B8"/>
    <w:rsid w:val="00B17F21"/>
    <w:rsid w:val="00B20107"/>
    <w:rsid w:val="00B21090"/>
    <w:rsid w:val="00B21DBD"/>
    <w:rsid w:val="00B21FDA"/>
    <w:rsid w:val="00B23482"/>
    <w:rsid w:val="00B24D49"/>
    <w:rsid w:val="00B326F3"/>
    <w:rsid w:val="00B32DE7"/>
    <w:rsid w:val="00B33270"/>
    <w:rsid w:val="00B3492F"/>
    <w:rsid w:val="00B34EF5"/>
    <w:rsid w:val="00B350C2"/>
    <w:rsid w:val="00B35387"/>
    <w:rsid w:val="00B35B9B"/>
    <w:rsid w:val="00B35E36"/>
    <w:rsid w:val="00B40D37"/>
    <w:rsid w:val="00B41291"/>
    <w:rsid w:val="00B4389F"/>
    <w:rsid w:val="00B444ED"/>
    <w:rsid w:val="00B454C4"/>
    <w:rsid w:val="00B460AB"/>
    <w:rsid w:val="00B46AEB"/>
    <w:rsid w:val="00B472B5"/>
    <w:rsid w:val="00B47F75"/>
    <w:rsid w:val="00B5081D"/>
    <w:rsid w:val="00B51552"/>
    <w:rsid w:val="00B525DB"/>
    <w:rsid w:val="00B52751"/>
    <w:rsid w:val="00B52F2A"/>
    <w:rsid w:val="00B53053"/>
    <w:rsid w:val="00B53218"/>
    <w:rsid w:val="00B539B1"/>
    <w:rsid w:val="00B547FE"/>
    <w:rsid w:val="00B54AC4"/>
    <w:rsid w:val="00B550CD"/>
    <w:rsid w:val="00B55933"/>
    <w:rsid w:val="00B5789A"/>
    <w:rsid w:val="00B6020C"/>
    <w:rsid w:val="00B61026"/>
    <w:rsid w:val="00B61409"/>
    <w:rsid w:val="00B614A2"/>
    <w:rsid w:val="00B614C1"/>
    <w:rsid w:val="00B618C8"/>
    <w:rsid w:val="00B620BD"/>
    <w:rsid w:val="00B621F9"/>
    <w:rsid w:val="00B645C4"/>
    <w:rsid w:val="00B64DE3"/>
    <w:rsid w:val="00B65515"/>
    <w:rsid w:val="00B659A8"/>
    <w:rsid w:val="00B66967"/>
    <w:rsid w:val="00B71EE3"/>
    <w:rsid w:val="00B71FBB"/>
    <w:rsid w:val="00B721F5"/>
    <w:rsid w:val="00B74B52"/>
    <w:rsid w:val="00B76DAF"/>
    <w:rsid w:val="00B77729"/>
    <w:rsid w:val="00B77D82"/>
    <w:rsid w:val="00B80937"/>
    <w:rsid w:val="00B81957"/>
    <w:rsid w:val="00B81C10"/>
    <w:rsid w:val="00B8440B"/>
    <w:rsid w:val="00B847CA"/>
    <w:rsid w:val="00B84A5E"/>
    <w:rsid w:val="00B86836"/>
    <w:rsid w:val="00B8713C"/>
    <w:rsid w:val="00B913AD"/>
    <w:rsid w:val="00B91864"/>
    <w:rsid w:val="00B921B9"/>
    <w:rsid w:val="00B92753"/>
    <w:rsid w:val="00B92C5E"/>
    <w:rsid w:val="00B92D07"/>
    <w:rsid w:val="00B93110"/>
    <w:rsid w:val="00B9388A"/>
    <w:rsid w:val="00B93AE9"/>
    <w:rsid w:val="00B9419F"/>
    <w:rsid w:val="00B943E5"/>
    <w:rsid w:val="00B94FDA"/>
    <w:rsid w:val="00B9706D"/>
    <w:rsid w:val="00B97E7D"/>
    <w:rsid w:val="00B97F39"/>
    <w:rsid w:val="00BA0FE4"/>
    <w:rsid w:val="00BA397B"/>
    <w:rsid w:val="00BA3FAE"/>
    <w:rsid w:val="00BA42AC"/>
    <w:rsid w:val="00BA489F"/>
    <w:rsid w:val="00BA4EF3"/>
    <w:rsid w:val="00BA573C"/>
    <w:rsid w:val="00BA6E7F"/>
    <w:rsid w:val="00BA7547"/>
    <w:rsid w:val="00BA7BCA"/>
    <w:rsid w:val="00BB0650"/>
    <w:rsid w:val="00BB0BD8"/>
    <w:rsid w:val="00BB167B"/>
    <w:rsid w:val="00BB185C"/>
    <w:rsid w:val="00BB252F"/>
    <w:rsid w:val="00BB3BEB"/>
    <w:rsid w:val="00BB3F97"/>
    <w:rsid w:val="00BB52DC"/>
    <w:rsid w:val="00BB6030"/>
    <w:rsid w:val="00BB6651"/>
    <w:rsid w:val="00BB6A4C"/>
    <w:rsid w:val="00BB6E83"/>
    <w:rsid w:val="00BB72E3"/>
    <w:rsid w:val="00BC115A"/>
    <w:rsid w:val="00BC1A16"/>
    <w:rsid w:val="00BC1A9B"/>
    <w:rsid w:val="00BC23F5"/>
    <w:rsid w:val="00BC2758"/>
    <w:rsid w:val="00BC2D41"/>
    <w:rsid w:val="00BC3778"/>
    <w:rsid w:val="00BC3A55"/>
    <w:rsid w:val="00BC57F6"/>
    <w:rsid w:val="00BC759B"/>
    <w:rsid w:val="00BC7CAD"/>
    <w:rsid w:val="00BD35C6"/>
    <w:rsid w:val="00BD3C97"/>
    <w:rsid w:val="00BD4CA3"/>
    <w:rsid w:val="00BD52DE"/>
    <w:rsid w:val="00BD5EF9"/>
    <w:rsid w:val="00BD7444"/>
    <w:rsid w:val="00BD79A1"/>
    <w:rsid w:val="00BD7E41"/>
    <w:rsid w:val="00BE0097"/>
    <w:rsid w:val="00BE1134"/>
    <w:rsid w:val="00BE15AF"/>
    <w:rsid w:val="00BE1806"/>
    <w:rsid w:val="00BE1907"/>
    <w:rsid w:val="00BE2F08"/>
    <w:rsid w:val="00BE4B21"/>
    <w:rsid w:val="00BE505F"/>
    <w:rsid w:val="00BE5195"/>
    <w:rsid w:val="00BE5745"/>
    <w:rsid w:val="00BE5F76"/>
    <w:rsid w:val="00BE6038"/>
    <w:rsid w:val="00BE6640"/>
    <w:rsid w:val="00BF1B4B"/>
    <w:rsid w:val="00BF2E7B"/>
    <w:rsid w:val="00BF30B8"/>
    <w:rsid w:val="00BF3289"/>
    <w:rsid w:val="00BF3DD4"/>
    <w:rsid w:val="00BF5268"/>
    <w:rsid w:val="00BF599C"/>
    <w:rsid w:val="00BF6D14"/>
    <w:rsid w:val="00C017E0"/>
    <w:rsid w:val="00C02305"/>
    <w:rsid w:val="00C02779"/>
    <w:rsid w:val="00C02D49"/>
    <w:rsid w:val="00C02D82"/>
    <w:rsid w:val="00C03874"/>
    <w:rsid w:val="00C0396F"/>
    <w:rsid w:val="00C03B37"/>
    <w:rsid w:val="00C03BED"/>
    <w:rsid w:val="00C03F1B"/>
    <w:rsid w:val="00C048D3"/>
    <w:rsid w:val="00C04CEC"/>
    <w:rsid w:val="00C06109"/>
    <w:rsid w:val="00C066F8"/>
    <w:rsid w:val="00C07129"/>
    <w:rsid w:val="00C07530"/>
    <w:rsid w:val="00C10178"/>
    <w:rsid w:val="00C103CE"/>
    <w:rsid w:val="00C113FE"/>
    <w:rsid w:val="00C1175C"/>
    <w:rsid w:val="00C12582"/>
    <w:rsid w:val="00C12B27"/>
    <w:rsid w:val="00C12DDE"/>
    <w:rsid w:val="00C13FC1"/>
    <w:rsid w:val="00C15AEC"/>
    <w:rsid w:val="00C16EE2"/>
    <w:rsid w:val="00C20A45"/>
    <w:rsid w:val="00C228E4"/>
    <w:rsid w:val="00C22AA7"/>
    <w:rsid w:val="00C23538"/>
    <w:rsid w:val="00C24C5E"/>
    <w:rsid w:val="00C255E4"/>
    <w:rsid w:val="00C256E4"/>
    <w:rsid w:val="00C2733B"/>
    <w:rsid w:val="00C30606"/>
    <w:rsid w:val="00C306FB"/>
    <w:rsid w:val="00C30755"/>
    <w:rsid w:val="00C3269C"/>
    <w:rsid w:val="00C32F5B"/>
    <w:rsid w:val="00C339B2"/>
    <w:rsid w:val="00C340A1"/>
    <w:rsid w:val="00C34C09"/>
    <w:rsid w:val="00C35A83"/>
    <w:rsid w:val="00C35CB5"/>
    <w:rsid w:val="00C35FFC"/>
    <w:rsid w:val="00C4069F"/>
    <w:rsid w:val="00C40BEC"/>
    <w:rsid w:val="00C41FD0"/>
    <w:rsid w:val="00C4312C"/>
    <w:rsid w:val="00C43755"/>
    <w:rsid w:val="00C4401C"/>
    <w:rsid w:val="00C4570D"/>
    <w:rsid w:val="00C45C9B"/>
    <w:rsid w:val="00C469EF"/>
    <w:rsid w:val="00C471CB"/>
    <w:rsid w:val="00C47301"/>
    <w:rsid w:val="00C50BDE"/>
    <w:rsid w:val="00C510FD"/>
    <w:rsid w:val="00C516B6"/>
    <w:rsid w:val="00C51F2E"/>
    <w:rsid w:val="00C52006"/>
    <w:rsid w:val="00C52D3F"/>
    <w:rsid w:val="00C53845"/>
    <w:rsid w:val="00C53930"/>
    <w:rsid w:val="00C53A49"/>
    <w:rsid w:val="00C556FB"/>
    <w:rsid w:val="00C56B62"/>
    <w:rsid w:val="00C56F24"/>
    <w:rsid w:val="00C577E2"/>
    <w:rsid w:val="00C61292"/>
    <w:rsid w:val="00C61661"/>
    <w:rsid w:val="00C61AB2"/>
    <w:rsid w:val="00C6220B"/>
    <w:rsid w:val="00C628A8"/>
    <w:rsid w:val="00C659C7"/>
    <w:rsid w:val="00C65DF0"/>
    <w:rsid w:val="00C65F5A"/>
    <w:rsid w:val="00C65F78"/>
    <w:rsid w:val="00C66DA7"/>
    <w:rsid w:val="00C67469"/>
    <w:rsid w:val="00C67D8B"/>
    <w:rsid w:val="00C67F51"/>
    <w:rsid w:val="00C70830"/>
    <w:rsid w:val="00C7194F"/>
    <w:rsid w:val="00C71A7A"/>
    <w:rsid w:val="00C72C29"/>
    <w:rsid w:val="00C72EC4"/>
    <w:rsid w:val="00C732C1"/>
    <w:rsid w:val="00C73360"/>
    <w:rsid w:val="00C7406C"/>
    <w:rsid w:val="00C74D32"/>
    <w:rsid w:val="00C754BD"/>
    <w:rsid w:val="00C75E1E"/>
    <w:rsid w:val="00C77F71"/>
    <w:rsid w:val="00C815D5"/>
    <w:rsid w:val="00C81AB9"/>
    <w:rsid w:val="00C83D45"/>
    <w:rsid w:val="00C84935"/>
    <w:rsid w:val="00C84E90"/>
    <w:rsid w:val="00C85450"/>
    <w:rsid w:val="00C868B0"/>
    <w:rsid w:val="00C87147"/>
    <w:rsid w:val="00C9005A"/>
    <w:rsid w:val="00C90990"/>
    <w:rsid w:val="00C90AB6"/>
    <w:rsid w:val="00C92DCF"/>
    <w:rsid w:val="00C94591"/>
    <w:rsid w:val="00C97FD2"/>
    <w:rsid w:val="00CA1E47"/>
    <w:rsid w:val="00CA3B69"/>
    <w:rsid w:val="00CA42A7"/>
    <w:rsid w:val="00CA4B68"/>
    <w:rsid w:val="00CA4EE3"/>
    <w:rsid w:val="00CA53D5"/>
    <w:rsid w:val="00CA58B0"/>
    <w:rsid w:val="00CA58DC"/>
    <w:rsid w:val="00CA5BBB"/>
    <w:rsid w:val="00CA7253"/>
    <w:rsid w:val="00CB0007"/>
    <w:rsid w:val="00CB0073"/>
    <w:rsid w:val="00CB17A4"/>
    <w:rsid w:val="00CB1F89"/>
    <w:rsid w:val="00CB32F5"/>
    <w:rsid w:val="00CB39D7"/>
    <w:rsid w:val="00CB42AB"/>
    <w:rsid w:val="00CB4B75"/>
    <w:rsid w:val="00CB57A1"/>
    <w:rsid w:val="00CB677D"/>
    <w:rsid w:val="00CB6F31"/>
    <w:rsid w:val="00CB7BEB"/>
    <w:rsid w:val="00CC0642"/>
    <w:rsid w:val="00CC0BBA"/>
    <w:rsid w:val="00CC2742"/>
    <w:rsid w:val="00CC2F9C"/>
    <w:rsid w:val="00CC3905"/>
    <w:rsid w:val="00CC3C29"/>
    <w:rsid w:val="00CC512E"/>
    <w:rsid w:val="00CC520D"/>
    <w:rsid w:val="00CC67DF"/>
    <w:rsid w:val="00CC7146"/>
    <w:rsid w:val="00CC7291"/>
    <w:rsid w:val="00CC7A90"/>
    <w:rsid w:val="00CC7C7D"/>
    <w:rsid w:val="00CD0543"/>
    <w:rsid w:val="00CD082C"/>
    <w:rsid w:val="00CD0E79"/>
    <w:rsid w:val="00CD2752"/>
    <w:rsid w:val="00CD3210"/>
    <w:rsid w:val="00CD444B"/>
    <w:rsid w:val="00CD495A"/>
    <w:rsid w:val="00CD4D22"/>
    <w:rsid w:val="00CD5699"/>
    <w:rsid w:val="00CD76F4"/>
    <w:rsid w:val="00CD7A31"/>
    <w:rsid w:val="00CE02EE"/>
    <w:rsid w:val="00CE0770"/>
    <w:rsid w:val="00CE0F1C"/>
    <w:rsid w:val="00CE2578"/>
    <w:rsid w:val="00CE2971"/>
    <w:rsid w:val="00CE2DFC"/>
    <w:rsid w:val="00CE56FC"/>
    <w:rsid w:val="00CE5725"/>
    <w:rsid w:val="00CE695F"/>
    <w:rsid w:val="00CE7E8E"/>
    <w:rsid w:val="00CE7F53"/>
    <w:rsid w:val="00CF03E8"/>
    <w:rsid w:val="00CF103F"/>
    <w:rsid w:val="00CF1932"/>
    <w:rsid w:val="00CF1BA3"/>
    <w:rsid w:val="00CF25B5"/>
    <w:rsid w:val="00CF56AE"/>
    <w:rsid w:val="00CF628D"/>
    <w:rsid w:val="00CF655F"/>
    <w:rsid w:val="00CF6801"/>
    <w:rsid w:val="00CF6B47"/>
    <w:rsid w:val="00CF6CA0"/>
    <w:rsid w:val="00CF6CA8"/>
    <w:rsid w:val="00CF6D93"/>
    <w:rsid w:val="00D0012C"/>
    <w:rsid w:val="00D0060D"/>
    <w:rsid w:val="00D0129F"/>
    <w:rsid w:val="00D01737"/>
    <w:rsid w:val="00D01C45"/>
    <w:rsid w:val="00D03CAF"/>
    <w:rsid w:val="00D040FE"/>
    <w:rsid w:val="00D041B0"/>
    <w:rsid w:val="00D04368"/>
    <w:rsid w:val="00D062F9"/>
    <w:rsid w:val="00D0794F"/>
    <w:rsid w:val="00D07BC8"/>
    <w:rsid w:val="00D1208C"/>
    <w:rsid w:val="00D1233F"/>
    <w:rsid w:val="00D1250D"/>
    <w:rsid w:val="00D129F3"/>
    <w:rsid w:val="00D12C86"/>
    <w:rsid w:val="00D12D49"/>
    <w:rsid w:val="00D12ED7"/>
    <w:rsid w:val="00D135E8"/>
    <w:rsid w:val="00D13700"/>
    <w:rsid w:val="00D13CA9"/>
    <w:rsid w:val="00D14920"/>
    <w:rsid w:val="00D14A17"/>
    <w:rsid w:val="00D14DCD"/>
    <w:rsid w:val="00D15080"/>
    <w:rsid w:val="00D15464"/>
    <w:rsid w:val="00D154D9"/>
    <w:rsid w:val="00D15FA8"/>
    <w:rsid w:val="00D16E9E"/>
    <w:rsid w:val="00D179C1"/>
    <w:rsid w:val="00D2076F"/>
    <w:rsid w:val="00D20F05"/>
    <w:rsid w:val="00D211C6"/>
    <w:rsid w:val="00D2397D"/>
    <w:rsid w:val="00D2498C"/>
    <w:rsid w:val="00D25C10"/>
    <w:rsid w:val="00D27B26"/>
    <w:rsid w:val="00D30144"/>
    <w:rsid w:val="00D31CC0"/>
    <w:rsid w:val="00D32633"/>
    <w:rsid w:val="00D3334D"/>
    <w:rsid w:val="00D360F5"/>
    <w:rsid w:val="00D36BB7"/>
    <w:rsid w:val="00D37D92"/>
    <w:rsid w:val="00D409C0"/>
    <w:rsid w:val="00D41661"/>
    <w:rsid w:val="00D4209F"/>
    <w:rsid w:val="00D42370"/>
    <w:rsid w:val="00D423B5"/>
    <w:rsid w:val="00D43E4F"/>
    <w:rsid w:val="00D448F8"/>
    <w:rsid w:val="00D460DC"/>
    <w:rsid w:val="00D46EA6"/>
    <w:rsid w:val="00D47393"/>
    <w:rsid w:val="00D50E75"/>
    <w:rsid w:val="00D51892"/>
    <w:rsid w:val="00D521DB"/>
    <w:rsid w:val="00D529E0"/>
    <w:rsid w:val="00D52DA3"/>
    <w:rsid w:val="00D535DE"/>
    <w:rsid w:val="00D54A5F"/>
    <w:rsid w:val="00D54FB3"/>
    <w:rsid w:val="00D55019"/>
    <w:rsid w:val="00D556B1"/>
    <w:rsid w:val="00D55A2E"/>
    <w:rsid w:val="00D55AB2"/>
    <w:rsid w:val="00D561F1"/>
    <w:rsid w:val="00D5626F"/>
    <w:rsid w:val="00D566DC"/>
    <w:rsid w:val="00D57616"/>
    <w:rsid w:val="00D60114"/>
    <w:rsid w:val="00D60731"/>
    <w:rsid w:val="00D61FB3"/>
    <w:rsid w:val="00D6294B"/>
    <w:rsid w:val="00D62BA4"/>
    <w:rsid w:val="00D62D70"/>
    <w:rsid w:val="00D63B81"/>
    <w:rsid w:val="00D63E2C"/>
    <w:rsid w:val="00D64C16"/>
    <w:rsid w:val="00D66559"/>
    <w:rsid w:val="00D6716C"/>
    <w:rsid w:val="00D712B8"/>
    <w:rsid w:val="00D73B55"/>
    <w:rsid w:val="00D7464F"/>
    <w:rsid w:val="00D74D71"/>
    <w:rsid w:val="00D80506"/>
    <w:rsid w:val="00D810AE"/>
    <w:rsid w:val="00D81897"/>
    <w:rsid w:val="00D818DE"/>
    <w:rsid w:val="00D81C38"/>
    <w:rsid w:val="00D81FA1"/>
    <w:rsid w:val="00D81FE7"/>
    <w:rsid w:val="00D823C6"/>
    <w:rsid w:val="00D82D92"/>
    <w:rsid w:val="00D845EB"/>
    <w:rsid w:val="00D84B36"/>
    <w:rsid w:val="00D85A3C"/>
    <w:rsid w:val="00D8756B"/>
    <w:rsid w:val="00D90386"/>
    <w:rsid w:val="00D903A0"/>
    <w:rsid w:val="00D91AAD"/>
    <w:rsid w:val="00D9427B"/>
    <w:rsid w:val="00D94534"/>
    <w:rsid w:val="00D95035"/>
    <w:rsid w:val="00D9577A"/>
    <w:rsid w:val="00D960FF"/>
    <w:rsid w:val="00D97324"/>
    <w:rsid w:val="00D9745F"/>
    <w:rsid w:val="00DA0B53"/>
    <w:rsid w:val="00DA13FB"/>
    <w:rsid w:val="00DA22EB"/>
    <w:rsid w:val="00DA25AC"/>
    <w:rsid w:val="00DA29D9"/>
    <w:rsid w:val="00DA339F"/>
    <w:rsid w:val="00DA3E4D"/>
    <w:rsid w:val="00DA43C5"/>
    <w:rsid w:val="00DA49CC"/>
    <w:rsid w:val="00DA5361"/>
    <w:rsid w:val="00DA5B41"/>
    <w:rsid w:val="00DA6104"/>
    <w:rsid w:val="00DA625C"/>
    <w:rsid w:val="00DA63E6"/>
    <w:rsid w:val="00DA6AFE"/>
    <w:rsid w:val="00DA78B9"/>
    <w:rsid w:val="00DB0364"/>
    <w:rsid w:val="00DB33B7"/>
    <w:rsid w:val="00DB341C"/>
    <w:rsid w:val="00DB4DAF"/>
    <w:rsid w:val="00DB5DEF"/>
    <w:rsid w:val="00DB66A3"/>
    <w:rsid w:val="00DB6775"/>
    <w:rsid w:val="00DC0358"/>
    <w:rsid w:val="00DC12AB"/>
    <w:rsid w:val="00DC1D91"/>
    <w:rsid w:val="00DC2C39"/>
    <w:rsid w:val="00DC3C1C"/>
    <w:rsid w:val="00DC3D74"/>
    <w:rsid w:val="00DC4030"/>
    <w:rsid w:val="00DC5519"/>
    <w:rsid w:val="00DC5678"/>
    <w:rsid w:val="00DC58BC"/>
    <w:rsid w:val="00DC5E31"/>
    <w:rsid w:val="00DC68A5"/>
    <w:rsid w:val="00DD0242"/>
    <w:rsid w:val="00DD0854"/>
    <w:rsid w:val="00DD0DD8"/>
    <w:rsid w:val="00DD0EB0"/>
    <w:rsid w:val="00DD12E4"/>
    <w:rsid w:val="00DD34D6"/>
    <w:rsid w:val="00DD3CEA"/>
    <w:rsid w:val="00DD590C"/>
    <w:rsid w:val="00DD6A28"/>
    <w:rsid w:val="00DD7430"/>
    <w:rsid w:val="00DE0FE0"/>
    <w:rsid w:val="00DE12BE"/>
    <w:rsid w:val="00DE1548"/>
    <w:rsid w:val="00DE1B9F"/>
    <w:rsid w:val="00DE1C98"/>
    <w:rsid w:val="00DE1E4C"/>
    <w:rsid w:val="00DE2E90"/>
    <w:rsid w:val="00DE3EBC"/>
    <w:rsid w:val="00DE4331"/>
    <w:rsid w:val="00DE5453"/>
    <w:rsid w:val="00DE6338"/>
    <w:rsid w:val="00DE6A1B"/>
    <w:rsid w:val="00DE6B77"/>
    <w:rsid w:val="00DF00FA"/>
    <w:rsid w:val="00DF042D"/>
    <w:rsid w:val="00DF08E1"/>
    <w:rsid w:val="00DF122F"/>
    <w:rsid w:val="00DF156E"/>
    <w:rsid w:val="00DF1687"/>
    <w:rsid w:val="00DF20B1"/>
    <w:rsid w:val="00DF271C"/>
    <w:rsid w:val="00DF3472"/>
    <w:rsid w:val="00DF3805"/>
    <w:rsid w:val="00DF459A"/>
    <w:rsid w:val="00DF4997"/>
    <w:rsid w:val="00DF540D"/>
    <w:rsid w:val="00DF55C0"/>
    <w:rsid w:val="00DF6B4A"/>
    <w:rsid w:val="00DF74E9"/>
    <w:rsid w:val="00E002D3"/>
    <w:rsid w:val="00E00B71"/>
    <w:rsid w:val="00E0152F"/>
    <w:rsid w:val="00E02172"/>
    <w:rsid w:val="00E02373"/>
    <w:rsid w:val="00E02667"/>
    <w:rsid w:val="00E02AD0"/>
    <w:rsid w:val="00E031A6"/>
    <w:rsid w:val="00E033EF"/>
    <w:rsid w:val="00E035B4"/>
    <w:rsid w:val="00E05EEF"/>
    <w:rsid w:val="00E102FA"/>
    <w:rsid w:val="00E1037C"/>
    <w:rsid w:val="00E10A49"/>
    <w:rsid w:val="00E11108"/>
    <w:rsid w:val="00E12D1B"/>
    <w:rsid w:val="00E12DC6"/>
    <w:rsid w:val="00E13752"/>
    <w:rsid w:val="00E14CA1"/>
    <w:rsid w:val="00E15051"/>
    <w:rsid w:val="00E15115"/>
    <w:rsid w:val="00E172A0"/>
    <w:rsid w:val="00E17D52"/>
    <w:rsid w:val="00E21AA1"/>
    <w:rsid w:val="00E21FA8"/>
    <w:rsid w:val="00E2216F"/>
    <w:rsid w:val="00E2313F"/>
    <w:rsid w:val="00E23D10"/>
    <w:rsid w:val="00E23D9F"/>
    <w:rsid w:val="00E24191"/>
    <w:rsid w:val="00E26C69"/>
    <w:rsid w:val="00E26EBE"/>
    <w:rsid w:val="00E26FAA"/>
    <w:rsid w:val="00E27505"/>
    <w:rsid w:val="00E27BC6"/>
    <w:rsid w:val="00E30A54"/>
    <w:rsid w:val="00E3102F"/>
    <w:rsid w:val="00E311E0"/>
    <w:rsid w:val="00E31369"/>
    <w:rsid w:val="00E31B2B"/>
    <w:rsid w:val="00E31EB0"/>
    <w:rsid w:val="00E321B4"/>
    <w:rsid w:val="00E339AF"/>
    <w:rsid w:val="00E33B61"/>
    <w:rsid w:val="00E34A4B"/>
    <w:rsid w:val="00E3529C"/>
    <w:rsid w:val="00E3545E"/>
    <w:rsid w:val="00E35DBD"/>
    <w:rsid w:val="00E36441"/>
    <w:rsid w:val="00E36ECD"/>
    <w:rsid w:val="00E3719A"/>
    <w:rsid w:val="00E37A76"/>
    <w:rsid w:val="00E4011F"/>
    <w:rsid w:val="00E40815"/>
    <w:rsid w:val="00E41A6A"/>
    <w:rsid w:val="00E41F5E"/>
    <w:rsid w:val="00E426A8"/>
    <w:rsid w:val="00E4312F"/>
    <w:rsid w:val="00E43F7B"/>
    <w:rsid w:val="00E441F6"/>
    <w:rsid w:val="00E448AA"/>
    <w:rsid w:val="00E4556F"/>
    <w:rsid w:val="00E4736A"/>
    <w:rsid w:val="00E47A65"/>
    <w:rsid w:val="00E47D32"/>
    <w:rsid w:val="00E50ED1"/>
    <w:rsid w:val="00E51723"/>
    <w:rsid w:val="00E51D9D"/>
    <w:rsid w:val="00E52ABF"/>
    <w:rsid w:val="00E5525C"/>
    <w:rsid w:val="00E56E40"/>
    <w:rsid w:val="00E607DB"/>
    <w:rsid w:val="00E61723"/>
    <w:rsid w:val="00E61BDB"/>
    <w:rsid w:val="00E61D4C"/>
    <w:rsid w:val="00E63359"/>
    <w:rsid w:val="00E63896"/>
    <w:rsid w:val="00E63B37"/>
    <w:rsid w:val="00E63F04"/>
    <w:rsid w:val="00E64A92"/>
    <w:rsid w:val="00E65DED"/>
    <w:rsid w:val="00E660E5"/>
    <w:rsid w:val="00E66424"/>
    <w:rsid w:val="00E665C4"/>
    <w:rsid w:val="00E71A6F"/>
    <w:rsid w:val="00E71E14"/>
    <w:rsid w:val="00E723CD"/>
    <w:rsid w:val="00E72BB9"/>
    <w:rsid w:val="00E739EE"/>
    <w:rsid w:val="00E73AA6"/>
    <w:rsid w:val="00E73E0D"/>
    <w:rsid w:val="00E7428A"/>
    <w:rsid w:val="00E7439E"/>
    <w:rsid w:val="00E74F4A"/>
    <w:rsid w:val="00E76CC8"/>
    <w:rsid w:val="00E815C5"/>
    <w:rsid w:val="00E819F7"/>
    <w:rsid w:val="00E8482F"/>
    <w:rsid w:val="00E84CE9"/>
    <w:rsid w:val="00E84E73"/>
    <w:rsid w:val="00E86337"/>
    <w:rsid w:val="00E87763"/>
    <w:rsid w:val="00E87C32"/>
    <w:rsid w:val="00E90009"/>
    <w:rsid w:val="00E9074D"/>
    <w:rsid w:val="00E91090"/>
    <w:rsid w:val="00E9128D"/>
    <w:rsid w:val="00E93563"/>
    <w:rsid w:val="00E940C7"/>
    <w:rsid w:val="00E94A7F"/>
    <w:rsid w:val="00E96076"/>
    <w:rsid w:val="00E96305"/>
    <w:rsid w:val="00E96525"/>
    <w:rsid w:val="00E96A79"/>
    <w:rsid w:val="00E96BEB"/>
    <w:rsid w:val="00E97280"/>
    <w:rsid w:val="00EA034F"/>
    <w:rsid w:val="00EA1EF4"/>
    <w:rsid w:val="00EA54D6"/>
    <w:rsid w:val="00EA610C"/>
    <w:rsid w:val="00EA7D82"/>
    <w:rsid w:val="00EA7DD5"/>
    <w:rsid w:val="00EB0F1C"/>
    <w:rsid w:val="00EB10EC"/>
    <w:rsid w:val="00EB1A10"/>
    <w:rsid w:val="00EB29F6"/>
    <w:rsid w:val="00EB39D1"/>
    <w:rsid w:val="00EB3C64"/>
    <w:rsid w:val="00EB61E7"/>
    <w:rsid w:val="00EB6440"/>
    <w:rsid w:val="00EB6744"/>
    <w:rsid w:val="00EB6982"/>
    <w:rsid w:val="00EB7867"/>
    <w:rsid w:val="00EC0291"/>
    <w:rsid w:val="00EC0E22"/>
    <w:rsid w:val="00EC143E"/>
    <w:rsid w:val="00EC21C4"/>
    <w:rsid w:val="00EC2C15"/>
    <w:rsid w:val="00EC2DB1"/>
    <w:rsid w:val="00EC3293"/>
    <w:rsid w:val="00EC3607"/>
    <w:rsid w:val="00EC452F"/>
    <w:rsid w:val="00EC4DEC"/>
    <w:rsid w:val="00EC6DCB"/>
    <w:rsid w:val="00EC75C3"/>
    <w:rsid w:val="00ED0C8D"/>
    <w:rsid w:val="00ED1764"/>
    <w:rsid w:val="00ED1B4B"/>
    <w:rsid w:val="00ED1EB3"/>
    <w:rsid w:val="00ED2136"/>
    <w:rsid w:val="00ED2460"/>
    <w:rsid w:val="00ED2991"/>
    <w:rsid w:val="00ED2D0C"/>
    <w:rsid w:val="00ED3A4A"/>
    <w:rsid w:val="00ED3ACB"/>
    <w:rsid w:val="00ED5247"/>
    <w:rsid w:val="00ED5CE5"/>
    <w:rsid w:val="00ED6605"/>
    <w:rsid w:val="00ED71E1"/>
    <w:rsid w:val="00EE00CF"/>
    <w:rsid w:val="00EE0CE4"/>
    <w:rsid w:val="00EE0DDE"/>
    <w:rsid w:val="00EE1CFC"/>
    <w:rsid w:val="00EE2029"/>
    <w:rsid w:val="00EE20EE"/>
    <w:rsid w:val="00EE2F97"/>
    <w:rsid w:val="00EE34E6"/>
    <w:rsid w:val="00EE3F50"/>
    <w:rsid w:val="00EE477C"/>
    <w:rsid w:val="00EE4F32"/>
    <w:rsid w:val="00EE580F"/>
    <w:rsid w:val="00EE6CBE"/>
    <w:rsid w:val="00EF0D7B"/>
    <w:rsid w:val="00EF0FD0"/>
    <w:rsid w:val="00EF1160"/>
    <w:rsid w:val="00EF1B77"/>
    <w:rsid w:val="00EF20F2"/>
    <w:rsid w:val="00EF2C8F"/>
    <w:rsid w:val="00EF3166"/>
    <w:rsid w:val="00EF439A"/>
    <w:rsid w:val="00EF6171"/>
    <w:rsid w:val="00EF6808"/>
    <w:rsid w:val="00EF6C4D"/>
    <w:rsid w:val="00EF77C2"/>
    <w:rsid w:val="00EF793B"/>
    <w:rsid w:val="00F00B22"/>
    <w:rsid w:val="00F00E16"/>
    <w:rsid w:val="00F028DD"/>
    <w:rsid w:val="00F033FE"/>
    <w:rsid w:val="00F038A3"/>
    <w:rsid w:val="00F03966"/>
    <w:rsid w:val="00F03BEA"/>
    <w:rsid w:val="00F05816"/>
    <w:rsid w:val="00F059E8"/>
    <w:rsid w:val="00F05FC7"/>
    <w:rsid w:val="00F069F8"/>
    <w:rsid w:val="00F103D8"/>
    <w:rsid w:val="00F1047C"/>
    <w:rsid w:val="00F113E2"/>
    <w:rsid w:val="00F11435"/>
    <w:rsid w:val="00F11555"/>
    <w:rsid w:val="00F11587"/>
    <w:rsid w:val="00F12115"/>
    <w:rsid w:val="00F123E8"/>
    <w:rsid w:val="00F12A73"/>
    <w:rsid w:val="00F142AB"/>
    <w:rsid w:val="00F14B33"/>
    <w:rsid w:val="00F1563B"/>
    <w:rsid w:val="00F171C2"/>
    <w:rsid w:val="00F17D97"/>
    <w:rsid w:val="00F2027E"/>
    <w:rsid w:val="00F2093E"/>
    <w:rsid w:val="00F20DA6"/>
    <w:rsid w:val="00F2120E"/>
    <w:rsid w:val="00F21BFD"/>
    <w:rsid w:val="00F21F4A"/>
    <w:rsid w:val="00F230CB"/>
    <w:rsid w:val="00F23384"/>
    <w:rsid w:val="00F23F91"/>
    <w:rsid w:val="00F2429A"/>
    <w:rsid w:val="00F24945"/>
    <w:rsid w:val="00F24B52"/>
    <w:rsid w:val="00F25775"/>
    <w:rsid w:val="00F27044"/>
    <w:rsid w:val="00F31683"/>
    <w:rsid w:val="00F31788"/>
    <w:rsid w:val="00F324D1"/>
    <w:rsid w:val="00F32DFA"/>
    <w:rsid w:val="00F32EC9"/>
    <w:rsid w:val="00F33957"/>
    <w:rsid w:val="00F33ABD"/>
    <w:rsid w:val="00F34AB5"/>
    <w:rsid w:val="00F34B15"/>
    <w:rsid w:val="00F35591"/>
    <w:rsid w:val="00F374BE"/>
    <w:rsid w:val="00F37A31"/>
    <w:rsid w:val="00F37AB9"/>
    <w:rsid w:val="00F37DFB"/>
    <w:rsid w:val="00F41DEE"/>
    <w:rsid w:val="00F41E74"/>
    <w:rsid w:val="00F42369"/>
    <w:rsid w:val="00F425BB"/>
    <w:rsid w:val="00F42A83"/>
    <w:rsid w:val="00F42EBA"/>
    <w:rsid w:val="00F433D6"/>
    <w:rsid w:val="00F442FC"/>
    <w:rsid w:val="00F444E0"/>
    <w:rsid w:val="00F445A4"/>
    <w:rsid w:val="00F4662C"/>
    <w:rsid w:val="00F476A4"/>
    <w:rsid w:val="00F50762"/>
    <w:rsid w:val="00F515A1"/>
    <w:rsid w:val="00F519A9"/>
    <w:rsid w:val="00F527C8"/>
    <w:rsid w:val="00F528D4"/>
    <w:rsid w:val="00F530F8"/>
    <w:rsid w:val="00F542AD"/>
    <w:rsid w:val="00F54372"/>
    <w:rsid w:val="00F5451B"/>
    <w:rsid w:val="00F5529B"/>
    <w:rsid w:val="00F5578C"/>
    <w:rsid w:val="00F5750C"/>
    <w:rsid w:val="00F5781E"/>
    <w:rsid w:val="00F57BC6"/>
    <w:rsid w:val="00F57EC1"/>
    <w:rsid w:val="00F614BB"/>
    <w:rsid w:val="00F61E8A"/>
    <w:rsid w:val="00F6293F"/>
    <w:rsid w:val="00F62AE8"/>
    <w:rsid w:val="00F63069"/>
    <w:rsid w:val="00F63D78"/>
    <w:rsid w:val="00F64881"/>
    <w:rsid w:val="00F658C1"/>
    <w:rsid w:val="00F67880"/>
    <w:rsid w:val="00F67C56"/>
    <w:rsid w:val="00F70F2C"/>
    <w:rsid w:val="00F71CBB"/>
    <w:rsid w:val="00F73B5D"/>
    <w:rsid w:val="00F73D54"/>
    <w:rsid w:val="00F74F35"/>
    <w:rsid w:val="00F74F67"/>
    <w:rsid w:val="00F752B8"/>
    <w:rsid w:val="00F800FB"/>
    <w:rsid w:val="00F80267"/>
    <w:rsid w:val="00F819F4"/>
    <w:rsid w:val="00F81C2B"/>
    <w:rsid w:val="00F824F8"/>
    <w:rsid w:val="00F82A35"/>
    <w:rsid w:val="00F846B6"/>
    <w:rsid w:val="00F852AC"/>
    <w:rsid w:val="00F86899"/>
    <w:rsid w:val="00F90569"/>
    <w:rsid w:val="00F906B4"/>
    <w:rsid w:val="00F90714"/>
    <w:rsid w:val="00F9072F"/>
    <w:rsid w:val="00F91A7A"/>
    <w:rsid w:val="00F92DC3"/>
    <w:rsid w:val="00F92E82"/>
    <w:rsid w:val="00F94421"/>
    <w:rsid w:val="00F94922"/>
    <w:rsid w:val="00F94CF7"/>
    <w:rsid w:val="00F95B9F"/>
    <w:rsid w:val="00F95D43"/>
    <w:rsid w:val="00F9680B"/>
    <w:rsid w:val="00F97D4E"/>
    <w:rsid w:val="00F97E95"/>
    <w:rsid w:val="00F97F46"/>
    <w:rsid w:val="00FA028B"/>
    <w:rsid w:val="00FA02FC"/>
    <w:rsid w:val="00FA0B34"/>
    <w:rsid w:val="00FA0BD3"/>
    <w:rsid w:val="00FA12F5"/>
    <w:rsid w:val="00FA1324"/>
    <w:rsid w:val="00FA1D60"/>
    <w:rsid w:val="00FA2084"/>
    <w:rsid w:val="00FA2D70"/>
    <w:rsid w:val="00FA459A"/>
    <w:rsid w:val="00FA55D3"/>
    <w:rsid w:val="00FA59F2"/>
    <w:rsid w:val="00FA634E"/>
    <w:rsid w:val="00FA6516"/>
    <w:rsid w:val="00FA65EE"/>
    <w:rsid w:val="00FA76C5"/>
    <w:rsid w:val="00FB0A45"/>
    <w:rsid w:val="00FB0DA3"/>
    <w:rsid w:val="00FB0EDD"/>
    <w:rsid w:val="00FB1666"/>
    <w:rsid w:val="00FB337A"/>
    <w:rsid w:val="00FB3972"/>
    <w:rsid w:val="00FB3AA1"/>
    <w:rsid w:val="00FB49C9"/>
    <w:rsid w:val="00FB52B1"/>
    <w:rsid w:val="00FB52EF"/>
    <w:rsid w:val="00FB665F"/>
    <w:rsid w:val="00FB729A"/>
    <w:rsid w:val="00FB732B"/>
    <w:rsid w:val="00FC15E8"/>
    <w:rsid w:val="00FC33B9"/>
    <w:rsid w:val="00FC4300"/>
    <w:rsid w:val="00FC4619"/>
    <w:rsid w:val="00FC4AFE"/>
    <w:rsid w:val="00FC500B"/>
    <w:rsid w:val="00FC5407"/>
    <w:rsid w:val="00FC63DA"/>
    <w:rsid w:val="00FC7E9F"/>
    <w:rsid w:val="00FD0296"/>
    <w:rsid w:val="00FD06D0"/>
    <w:rsid w:val="00FD0D5A"/>
    <w:rsid w:val="00FD1998"/>
    <w:rsid w:val="00FD1AB6"/>
    <w:rsid w:val="00FD4CBA"/>
    <w:rsid w:val="00FD502E"/>
    <w:rsid w:val="00FD51F4"/>
    <w:rsid w:val="00FD5ED9"/>
    <w:rsid w:val="00FD7B23"/>
    <w:rsid w:val="00FD7D39"/>
    <w:rsid w:val="00FE01C5"/>
    <w:rsid w:val="00FE0792"/>
    <w:rsid w:val="00FE164A"/>
    <w:rsid w:val="00FE4BA3"/>
    <w:rsid w:val="00FE6621"/>
    <w:rsid w:val="00FE797E"/>
    <w:rsid w:val="00FF10D1"/>
    <w:rsid w:val="00FF186D"/>
    <w:rsid w:val="00FF2573"/>
    <w:rsid w:val="00FF2F64"/>
    <w:rsid w:val="00FF45B7"/>
    <w:rsid w:val="00FF537E"/>
    <w:rsid w:val="00FF57B2"/>
    <w:rsid w:val="00FF699E"/>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66A3"/>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66A3"/>
    <w:rPr>
      <w:rFonts w:eastAsia="Times New Roman"/>
      <w:b/>
      <w:bCs/>
      <w:sz w:val="27"/>
      <w:szCs w:val="27"/>
      <w:lang w:eastAsia="en-GB"/>
    </w:rPr>
  </w:style>
  <w:style w:type="character" w:customStyle="1" w:styleId="lrg">
    <w:name w:val="lrg"/>
    <w:basedOn w:val="DefaultParagraphFont"/>
    <w:rsid w:val="00DB66A3"/>
  </w:style>
  <w:style w:type="paragraph" w:styleId="ListParagraph">
    <w:name w:val="List Paragraph"/>
    <w:basedOn w:val="Normal"/>
    <w:uiPriority w:val="34"/>
    <w:qFormat/>
    <w:rsid w:val="00FE01C5"/>
    <w:pPr>
      <w:ind w:left="720"/>
      <w:contextualSpacing/>
    </w:pPr>
  </w:style>
  <w:style w:type="character" w:styleId="Hyperlink">
    <w:name w:val="Hyperlink"/>
    <w:basedOn w:val="DefaultParagraphFont"/>
    <w:uiPriority w:val="99"/>
    <w:unhideWhenUsed/>
    <w:rsid w:val="006F2092"/>
    <w:rPr>
      <w:color w:val="0000FF" w:themeColor="hyperlink"/>
      <w:u w:val="single"/>
    </w:rPr>
  </w:style>
  <w:style w:type="paragraph" w:styleId="NormalWeb">
    <w:name w:val="Normal (Web)"/>
    <w:basedOn w:val="Normal"/>
    <w:uiPriority w:val="99"/>
    <w:semiHidden/>
    <w:unhideWhenUsed/>
    <w:rsid w:val="008A2ED2"/>
    <w:rPr>
      <w:lang w:eastAsia="en-GB"/>
    </w:rPr>
  </w:style>
  <w:style w:type="paragraph" w:styleId="FootnoteText">
    <w:name w:val="footnote text"/>
    <w:basedOn w:val="Normal"/>
    <w:link w:val="FootnoteTextChar"/>
    <w:semiHidden/>
    <w:rsid w:val="0022113C"/>
    <w:rPr>
      <w:rFonts w:eastAsia="Times New Roman"/>
      <w:sz w:val="20"/>
      <w:szCs w:val="20"/>
      <w:lang w:eastAsia="en-GB"/>
    </w:rPr>
  </w:style>
  <w:style w:type="character" w:customStyle="1" w:styleId="FootnoteTextChar">
    <w:name w:val="Footnote Text Char"/>
    <w:basedOn w:val="DefaultParagraphFont"/>
    <w:link w:val="FootnoteText"/>
    <w:semiHidden/>
    <w:rsid w:val="0022113C"/>
    <w:rPr>
      <w:rFonts w:eastAsia="Times New Roman"/>
      <w:sz w:val="20"/>
      <w:szCs w:val="20"/>
      <w:lang w:eastAsia="en-GB"/>
    </w:rPr>
  </w:style>
  <w:style w:type="character" w:styleId="FootnoteReference">
    <w:name w:val="footnote reference"/>
    <w:basedOn w:val="DefaultParagraphFont"/>
    <w:semiHidden/>
    <w:rsid w:val="0022113C"/>
    <w:rPr>
      <w:vertAlign w:val="superscript"/>
    </w:rPr>
  </w:style>
  <w:style w:type="character" w:customStyle="1" w:styleId="textonoticias2">
    <w:name w:val="texto_noticias2"/>
    <w:basedOn w:val="DefaultParagraphFont"/>
    <w:rsid w:val="0022113C"/>
    <w:rPr>
      <w:rFonts w:ascii="Verdana" w:hAnsi="Verdana" w:hint="default"/>
      <w:b/>
      <w:bCs/>
      <w:color w:val="000000"/>
      <w:sz w:val="18"/>
      <w:szCs w:val="18"/>
    </w:rPr>
  </w:style>
  <w:style w:type="character" w:customStyle="1" w:styleId="textonoticias11">
    <w:name w:val="texto_noticias11"/>
    <w:basedOn w:val="DefaultParagraphFont"/>
    <w:rsid w:val="0022113C"/>
    <w:rPr>
      <w:rFonts w:ascii="Verdana" w:hAnsi="Verdana" w:hint="default"/>
      <w:b w:val="0"/>
      <w:bCs w:val="0"/>
      <w:color w:val="000000"/>
      <w:sz w:val="16"/>
      <w:szCs w:val="16"/>
    </w:rPr>
  </w:style>
  <w:style w:type="character" w:customStyle="1" w:styleId="st1">
    <w:name w:val="st1"/>
    <w:basedOn w:val="DefaultParagraphFont"/>
    <w:rsid w:val="0022113C"/>
  </w:style>
  <w:style w:type="character" w:styleId="FollowedHyperlink">
    <w:name w:val="FollowedHyperlink"/>
    <w:basedOn w:val="DefaultParagraphFont"/>
    <w:uiPriority w:val="99"/>
    <w:semiHidden/>
    <w:unhideWhenUsed/>
    <w:rsid w:val="001E5F5B"/>
    <w:rPr>
      <w:color w:val="800080" w:themeColor="followedHyperlink"/>
      <w:u w:val="single"/>
    </w:rPr>
  </w:style>
  <w:style w:type="paragraph" w:styleId="EndnoteText">
    <w:name w:val="endnote text"/>
    <w:basedOn w:val="Normal"/>
    <w:link w:val="EndnoteTextChar"/>
    <w:uiPriority w:val="99"/>
    <w:semiHidden/>
    <w:unhideWhenUsed/>
    <w:rsid w:val="00E74F4A"/>
    <w:rPr>
      <w:sz w:val="20"/>
      <w:szCs w:val="20"/>
    </w:rPr>
  </w:style>
  <w:style w:type="character" w:customStyle="1" w:styleId="EndnoteTextChar">
    <w:name w:val="Endnote Text Char"/>
    <w:basedOn w:val="DefaultParagraphFont"/>
    <w:link w:val="EndnoteText"/>
    <w:uiPriority w:val="99"/>
    <w:semiHidden/>
    <w:rsid w:val="00E74F4A"/>
    <w:rPr>
      <w:sz w:val="20"/>
      <w:szCs w:val="20"/>
    </w:rPr>
  </w:style>
  <w:style w:type="character" w:styleId="EndnoteReference">
    <w:name w:val="endnote reference"/>
    <w:basedOn w:val="DefaultParagraphFont"/>
    <w:uiPriority w:val="99"/>
    <w:semiHidden/>
    <w:unhideWhenUsed/>
    <w:rsid w:val="00E74F4A"/>
    <w:rPr>
      <w:vertAlign w:val="superscript"/>
    </w:rPr>
  </w:style>
  <w:style w:type="paragraph" w:styleId="Header">
    <w:name w:val="header"/>
    <w:basedOn w:val="Normal"/>
    <w:link w:val="HeaderChar"/>
    <w:uiPriority w:val="99"/>
    <w:unhideWhenUsed/>
    <w:rsid w:val="00880290"/>
    <w:pPr>
      <w:tabs>
        <w:tab w:val="center" w:pos="4513"/>
        <w:tab w:val="right" w:pos="9026"/>
      </w:tabs>
    </w:pPr>
  </w:style>
  <w:style w:type="character" w:customStyle="1" w:styleId="HeaderChar">
    <w:name w:val="Header Char"/>
    <w:basedOn w:val="DefaultParagraphFont"/>
    <w:link w:val="Header"/>
    <w:uiPriority w:val="99"/>
    <w:rsid w:val="00880290"/>
  </w:style>
  <w:style w:type="paragraph" w:styleId="Footer">
    <w:name w:val="footer"/>
    <w:basedOn w:val="Normal"/>
    <w:link w:val="FooterChar"/>
    <w:uiPriority w:val="99"/>
    <w:unhideWhenUsed/>
    <w:rsid w:val="00880290"/>
    <w:pPr>
      <w:tabs>
        <w:tab w:val="center" w:pos="4513"/>
        <w:tab w:val="right" w:pos="9026"/>
      </w:tabs>
    </w:pPr>
  </w:style>
  <w:style w:type="character" w:customStyle="1" w:styleId="FooterChar">
    <w:name w:val="Footer Char"/>
    <w:basedOn w:val="DefaultParagraphFont"/>
    <w:link w:val="Footer"/>
    <w:uiPriority w:val="99"/>
    <w:rsid w:val="00880290"/>
  </w:style>
  <w:style w:type="paragraph" w:styleId="BalloonText">
    <w:name w:val="Balloon Text"/>
    <w:basedOn w:val="Normal"/>
    <w:link w:val="BalloonTextChar"/>
    <w:uiPriority w:val="99"/>
    <w:semiHidden/>
    <w:unhideWhenUsed/>
    <w:rsid w:val="00880290"/>
    <w:rPr>
      <w:rFonts w:ascii="Tahoma" w:hAnsi="Tahoma" w:cs="Tahoma"/>
      <w:sz w:val="16"/>
      <w:szCs w:val="16"/>
    </w:rPr>
  </w:style>
  <w:style w:type="character" w:customStyle="1" w:styleId="BalloonTextChar">
    <w:name w:val="Balloon Text Char"/>
    <w:basedOn w:val="DefaultParagraphFont"/>
    <w:link w:val="BalloonText"/>
    <w:uiPriority w:val="99"/>
    <w:semiHidden/>
    <w:rsid w:val="00880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B66A3"/>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B66A3"/>
    <w:rPr>
      <w:rFonts w:eastAsia="Times New Roman"/>
      <w:b/>
      <w:bCs/>
      <w:sz w:val="27"/>
      <w:szCs w:val="27"/>
      <w:lang w:eastAsia="en-GB"/>
    </w:rPr>
  </w:style>
  <w:style w:type="character" w:customStyle="1" w:styleId="lrg">
    <w:name w:val="lrg"/>
    <w:basedOn w:val="DefaultParagraphFont"/>
    <w:rsid w:val="00DB66A3"/>
  </w:style>
  <w:style w:type="paragraph" w:styleId="ListParagraph">
    <w:name w:val="List Paragraph"/>
    <w:basedOn w:val="Normal"/>
    <w:uiPriority w:val="34"/>
    <w:qFormat/>
    <w:rsid w:val="00FE01C5"/>
    <w:pPr>
      <w:ind w:left="720"/>
      <w:contextualSpacing/>
    </w:pPr>
  </w:style>
  <w:style w:type="character" w:styleId="Hyperlink">
    <w:name w:val="Hyperlink"/>
    <w:basedOn w:val="DefaultParagraphFont"/>
    <w:uiPriority w:val="99"/>
    <w:unhideWhenUsed/>
    <w:rsid w:val="006F2092"/>
    <w:rPr>
      <w:color w:val="0000FF" w:themeColor="hyperlink"/>
      <w:u w:val="single"/>
    </w:rPr>
  </w:style>
  <w:style w:type="paragraph" w:styleId="NormalWeb">
    <w:name w:val="Normal (Web)"/>
    <w:basedOn w:val="Normal"/>
    <w:uiPriority w:val="99"/>
    <w:semiHidden/>
    <w:unhideWhenUsed/>
    <w:rsid w:val="008A2ED2"/>
    <w:rPr>
      <w:lang w:eastAsia="en-GB"/>
    </w:rPr>
  </w:style>
  <w:style w:type="paragraph" w:styleId="FootnoteText">
    <w:name w:val="footnote text"/>
    <w:basedOn w:val="Normal"/>
    <w:link w:val="FootnoteTextChar"/>
    <w:semiHidden/>
    <w:rsid w:val="0022113C"/>
    <w:rPr>
      <w:rFonts w:eastAsia="Times New Roman"/>
      <w:sz w:val="20"/>
      <w:szCs w:val="20"/>
      <w:lang w:eastAsia="en-GB"/>
    </w:rPr>
  </w:style>
  <w:style w:type="character" w:customStyle="1" w:styleId="FootnoteTextChar">
    <w:name w:val="Footnote Text Char"/>
    <w:basedOn w:val="DefaultParagraphFont"/>
    <w:link w:val="FootnoteText"/>
    <w:semiHidden/>
    <w:rsid w:val="0022113C"/>
    <w:rPr>
      <w:rFonts w:eastAsia="Times New Roman"/>
      <w:sz w:val="20"/>
      <w:szCs w:val="20"/>
      <w:lang w:eastAsia="en-GB"/>
    </w:rPr>
  </w:style>
  <w:style w:type="character" w:styleId="FootnoteReference">
    <w:name w:val="footnote reference"/>
    <w:basedOn w:val="DefaultParagraphFont"/>
    <w:semiHidden/>
    <w:rsid w:val="0022113C"/>
    <w:rPr>
      <w:vertAlign w:val="superscript"/>
    </w:rPr>
  </w:style>
  <w:style w:type="character" w:customStyle="1" w:styleId="textonoticias2">
    <w:name w:val="texto_noticias2"/>
    <w:basedOn w:val="DefaultParagraphFont"/>
    <w:rsid w:val="0022113C"/>
    <w:rPr>
      <w:rFonts w:ascii="Verdana" w:hAnsi="Verdana" w:hint="default"/>
      <w:b/>
      <w:bCs/>
      <w:color w:val="000000"/>
      <w:sz w:val="18"/>
      <w:szCs w:val="18"/>
    </w:rPr>
  </w:style>
  <w:style w:type="character" w:customStyle="1" w:styleId="textonoticias11">
    <w:name w:val="texto_noticias11"/>
    <w:basedOn w:val="DefaultParagraphFont"/>
    <w:rsid w:val="0022113C"/>
    <w:rPr>
      <w:rFonts w:ascii="Verdana" w:hAnsi="Verdana" w:hint="default"/>
      <w:b w:val="0"/>
      <w:bCs w:val="0"/>
      <w:color w:val="000000"/>
      <w:sz w:val="16"/>
      <w:szCs w:val="16"/>
    </w:rPr>
  </w:style>
  <w:style w:type="character" w:customStyle="1" w:styleId="st1">
    <w:name w:val="st1"/>
    <w:basedOn w:val="DefaultParagraphFont"/>
    <w:rsid w:val="0022113C"/>
  </w:style>
  <w:style w:type="character" w:styleId="FollowedHyperlink">
    <w:name w:val="FollowedHyperlink"/>
    <w:basedOn w:val="DefaultParagraphFont"/>
    <w:uiPriority w:val="99"/>
    <w:semiHidden/>
    <w:unhideWhenUsed/>
    <w:rsid w:val="001E5F5B"/>
    <w:rPr>
      <w:color w:val="800080" w:themeColor="followedHyperlink"/>
      <w:u w:val="single"/>
    </w:rPr>
  </w:style>
  <w:style w:type="paragraph" w:styleId="EndnoteText">
    <w:name w:val="endnote text"/>
    <w:basedOn w:val="Normal"/>
    <w:link w:val="EndnoteTextChar"/>
    <w:uiPriority w:val="99"/>
    <w:semiHidden/>
    <w:unhideWhenUsed/>
    <w:rsid w:val="00E74F4A"/>
    <w:rPr>
      <w:sz w:val="20"/>
      <w:szCs w:val="20"/>
    </w:rPr>
  </w:style>
  <w:style w:type="character" w:customStyle="1" w:styleId="EndnoteTextChar">
    <w:name w:val="Endnote Text Char"/>
    <w:basedOn w:val="DefaultParagraphFont"/>
    <w:link w:val="EndnoteText"/>
    <w:uiPriority w:val="99"/>
    <w:semiHidden/>
    <w:rsid w:val="00E74F4A"/>
    <w:rPr>
      <w:sz w:val="20"/>
      <w:szCs w:val="20"/>
    </w:rPr>
  </w:style>
  <w:style w:type="character" w:styleId="EndnoteReference">
    <w:name w:val="endnote reference"/>
    <w:basedOn w:val="DefaultParagraphFont"/>
    <w:uiPriority w:val="99"/>
    <w:semiHidden/>
    <w:unhideWhenUsed/>
    <w:rsid w:val="00E74F4A"/>
    <w:rPr>
      <w:vertAlign w:val="superscript"/>
    </w:rPr>
  </w:style>
  <w:style w:type="paragraph" w:styleId="Header">
    <w:name w:val="header"/>
    <w:basedOn w:val="Normal"/>
    <w:link w:val="HeaderChar"/>
    <w:uiPriority w:val="99"/>
    <w:unhideWhenUsed/>
    <w:rsid w:val="00880290"/>
    <w:pPr>
      <w:tabs>
        <w:tab w:val="center" w:pos="4513"/>
        <w:tab w:val="right" w:pos="9026"/>
      </w:tabs>
    </w:pPr>
  </w:style>
  <w:style w:type="character" w:customStyle="1" w:styleId="HeaderChar">
    <w:name w:val="Header Char"/>
    <w:basedOn w:val="DefaultParagraphFont"/>
    <w:link w:val="Header"/>
    <w:uiPriority w:val="99"/>
    <w:rsid w:val="00880290"/>
  </w:style>
  <w:style w:type="paragraph" w:styleId="Footer">
    <w:name w:val="footer"/>
    <w:basedOn w:val="Normal"/>
    <w:link w:val="FooterChar"/>
    <w:uiPriority w:val="99"/>
    <w:unhideWhenUsed/>
    <w:rsid w:val="00880290"/>
    <w:pPr>
      <w:tabs>
        <w:tab w:val="center" w:pos="4513"/>
        <w:tab w:val="right" w:pos="9026"/>
      </w:tabs>
    </w:pPr>
  </w:style>
  <w:style w:type="character" w:customStyle="1" w:styleId="FooterChar">
    <w:name w:val="Footer Char"/>
    <w:basedOn w:val="DefaultParagraphFont"/>
    <w:link w:val="Footer"/>
    <w:uiPriority w:val="99"/>
    <w:rsid w:val="00880290"/>
  </w:style>
  <w:style w:type="paragraph" w:styleId="BalloonText">
    <w:name w:val="Balloon Text"/>
    <w:basedOn w:val="Normal"/>
    <w:link w:val="BalloonTextChar"/>
    <w:uiPriority w:val="99"/>
    <w:semiHidden/>
    <w:unhideWhenUsed/>
    <w:rsid w:val="00880290"/>
    <w:rPr>
      <w:rFonts w:ascii="Tahoma" w:hAnsi="Tahoma" w:cs="Tahoma"/>
      <w:sz w:val="16"/>
      <w:szCs w:val="16"/>
    </w:rPr>
  </w:style>
  <w:style w:type="character" w:customStyle="1" w:styleId="BalloonTextChar">
    <w:name w:val="Balloon Text Char"/>
    <w:basedOn w:val="DefaultParagraphFont"/>
    <w:link w:val="BalloonText"/>
    <w:uiPriority w:val="99"/>
    <w:semiHidden/>
    <w:rsid w:val="00880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84557">
      <w:bodyDiv w:val="1"/>
      <w:marLeft w:val="0"/>
      <w:marRight w:val="0"/>
      <w:marTop w:val="0"/>
      <w:marBottom w:val="0"/>
      <w:divBdr>
        <w:top w:val="none" w:sz="0" w:space="0" w:color="auto"/>
        <w:left w:val="none" w:sz="0" w:space="0" w:color="auto"/>
        <w:bottom w:val="none" w:sz="0" w:space="0" w:color="auto"/>
        <w:right w:val="none" w:sz="0" w:space="0" w:color="auto"/>
      </w:divBdr>
    </w:div>
    <w:div w:id="1189375482">
      <w:bodyDiv w:val="1"/>
      <w:marLeft w:val="0"/>
      <w:marRight w:val="0"/>
      <w:marTop w:val="0"/>
      <w:marBottom w:val="0"/>
      <w:divBdr>
        <w:top w:val="none" w:sz="0" w:space="0" w:color="auto"/>
        <w:left w:val="none" w:sz="0" w:space="0" w:color="auto"/>
        <w:bottom w:val="none" w:sz="0" w:space="0" w:color="auto"/>
        <w:right w:val="none" w:sz="0" w:space="0" w:color="auto"/>
      </w:divBdr>
    </w:div>
    <w:div w:id="1541628647">
      <w:bodyDiv w:val="1"/>
      <w:marLeft w:val="0"/>
      <w:marRight w:val="0"/>
      <w:marTop w:val="0"/>
      <w:marBottom w:val="0"/>
      <w:divBdr>
        <w:top w:val="none" w:sz="0" w:space="0" w:color="auto"/>
        <w:left w:val="none" w:sz="0" w:space="0" w:color="auto"/>
        <w:bottom w:val="none" w:sz="0" w:space="0" w:color="auto"/>
        <w:right w:val="none" w:sz="0" w:space="0" w:color="auto"/>
      </w:divBdr>
    </w:div>
    <w:div w:id="17820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94B62-F454-4257-89CA-B4CC51D9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James Green</cp:lastModifiedBy>
  <cp:revision>2</cp:revision>
  <cp:lastPrinted>2014-01-24T09:38:00Z</cp:lastPrinted>
  <dcterms:created xsi:type="dcterms:W3CDTF">2014-01-25T15:59:00Z</dcterms:created>
  <dcterms:modified xsi:type="dcterms:W3CDTF">2014-01-25T15:59:00Z</dcterms:modified>
</cp:coreProperties>
</file>