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AAA22" w14:textId="77777777" w:rsidR="005559B6" w:rsidRPr="0017445E" w:rsidRDefault="007A65DE" w:rsidP="0017445E">
      <w:pPr>
        <w:spacing w:line="480" w:lineRule="auto"/>
        <w:rPr>
          <w:rFonts w:cs="Times New Roman"/>
          <w:b/>
          <w:sz w:val="32"/>
          <w:szCs w:val="32"/>
        </w:rPr>
      </w:pPr>
      <w:r w:rsidRPr="0017445E">
        <w:rPr>
          <w:rFonts w:cs="Times New Roman"/>
          <w:b/>
          <w:sz w:val="32"/>
          <w:szCs w:val="32"/>
        </w:rPr>
        <w:t>Disasters Caused in</w:t>
      </w:r>
      <w:r w:rsidR="008C0C37" w:rsidRPr="0017445E">
        <w:rPr>
          <w:rFonts w:cs="Times New Roman"/>
          <w:b/>
          <w:sz w:val="32"/>
          <w:szCs w:val="32"/>
        </w:rPr>
        <w:t xml:space="preserve"> Cyber</w:t>
      </w:r>
      <w:r w:rsidRPr="0017445E">
        <w:rPr>
          <w:rFonts w:cs="Times New Roman"/>
          <w:b/>
          <w:sz w:val="32"/>
          <w:szCs w:val="32"/>
        </w:rPr>
        <w:t>space</w:t>
      </w:r>
    </w:p>
    <w:p w14:paraId="57CDAC79" w14:textId="77777777" w:rsidR="005559B6" w:rsidRDefault="0017445E" w:rsidP="0017445E">
      <w:pPr>
        <w:spacing w:line="480" w:lineRule="auto"/>
        <w:rPr>
          <w:rFonts w:cs="Times New Roman"/>
          <w:i/>
          <w:sz w:val="28"/>
          <w:szCs w:val="28"/>
        </w:rPr>
      </w:pPr>
      <w:r w:rsidRPr="0017445E">
        <w:rPr>
          <w:rFonts w:cs="Times New Roman"/>
          <w:i/>
          <w:sz w:val="28"/>
          <w:szCs w:val="28"/>
        </w:rPr>
        <w:t>James A</w:t>
      </w:r>
      <w:r w:rsidR="005559B6" w:rsidRPr="0017445E">
        <w:rPr>
          <w:rFonts w:cs="Times New Roman"/>
          <w:i/>
          <w:sz w:val="28"/>
          <w:szCs w:val="28"/>
        </w:rPr>
        <w:t xml:space="preserve"> Green</w:t>
      </w:r>
    </w:p>
    <w:p w14:paraId="735BD044" w14:textId="77777777" w:rsidR="005D721C" w:rsidRPr="0017445E" w:rsidRDefault="005D721C" w:rsidP="0017445E">
      <w:pPr>
        <w:spacing w:line="480" w:lineRule="auto"/>
        <w:rPr>
          <w:rFonts w:cs="Times New Roman"/>
          <w:sz w:val="28"/>
          <w:szCs w:val="28"/>
        </w:rPr>
      </w:pPr>
    </w:p>
    <w:p w14:paraId="085E7ACC" w14:textId="77777777" w:rsidR="00D91FD6" w:rsidRPr="0017445E" w:rsidRDefault="0017445E" w:rsidP="00D75363">
      <w:pPr>
        <w:spacing w:line="480" w:lineRule="auto"/>
        <w:jc w:val="both"/>
        <w:rPr>
          <w:rFonts w:cs="Times New Roman"/>
          <w:b/>
          <w:sz w:val="28"/>
          <w:szCs w:val="28"/>
        </w:rPr>
      </w:pPr>
      <w:r>
        <w:rPr>
          <w:rFonts w:cs="Times New Roman"/>
          <w:b/>
          <w:sz w:val="28"/>
          <w:szCs w:val="28"/>
        </w:rPr>
        <w:t>1</w:t>
      </w:r>
      <w:r w:rsidR="007241E0" w:rsidRPr="0017445E">
        <w:rPr>
          <w:rFonts w:cs="Times New Roman"/>
          <w:b/>
          <w:sz w:val="28"/>
          <w:szCs w:val="28"/>
        </w:rPr>
        <w:t xml:space="preserve">. </w:t>
      </w:r>
      <w:r w:rsidR="00D91FD6" w:rsidRPr="0017445E">
        <w:rPr>
          <w:rFonts w:cs="Times New Roman"/>
          <w:b/>
          <w:sz w:val="28"/>
          <w:szCs w:val="28"/>
        </w:rPr>
        <w:t>Introduction</w:t>
      </w:r>
    </w:p>
    <w:p w14:paraId="2B99999C" w14:textId="5F9C3FC9" w:rsidR="00E25D30" w:rsidRPr="009B7225" w:rsidRDefault="006F6629" w:rsidP="0017445E">
      <w:pPr>
        <w:spacing w:line="480" w:lineRule="auto"/>
        <w:ind w:firstLine="720"/>
        <w:jc w:val="both"/>
        <w:rPr>
          <w:rFonts w:cs="Times New Roman"/>
          <w:szCs w:val="24"/>
        </w:rPr>
      </w:pPr>
      <w:r w:rsidRPr="009B7225">
        <w:rPr>
          <w:rFonts w:cs="Times New Roman"/>
          <w:szCs w:val="24"/>
        </w:rPr>
        <w:t>The advent of cyberspace</w:t>
      </w:r>
      <w:r w:rsidR="000D3240" w:rsidRPr="009B7225">
        <w:rPr>
          <w:rStyle w:val="FootnoteReference"/>
          <w:rFonts w:cs="Times New Roman"/>
          <w:szCs w:val="24"/>
        </w:rPr>
        <w:footnoteReference w:id="1"/>
      </w:r>
      <w:r w:rsidRPr="009B7225">
        <w:rPr>
          <w:rFonts w:cs="Times New Roman"/>
          <w:szCs w:val="24"/>
        </w:rPr>
        <w:t xml:space="preserve"> can be seen as something of a double-edged sword when</w:t>
      </w:r>
      <w:r w:rsidR="007C34E1">
        <w:rPr>
          <w:rFonts w:cs="Times New Roman"/>
          <w:szCs w:val="24"/>
        </w:rPr>
        <w:t xml:space="preserve"> it comes to global disasters. </w:t>
      </w:r>
      <w:r w:rsidRPr="009B7225">
        <w:rPr>
          <w:rFonts w:cs="Times New Roman"/>
          <w:szCs w:val="24"/>
        </w:rPr>
        <w:t xml:space="preserve">It is clear that disaster response and post-disaster rebuilding can be, and </w:t>
      </w:r>
      <w:r w:rsidR="00E25D30" w:rsidRPr="009B7225">
        <w:rPr>
          <w:rFonts w:cs="Times New Roman"/>
          <w:szCs w:val="24"/>
        </w:rPr>
        <w:t xml:space="preserve">in many instances </w:t>
      </w:r>
      <w:r w:rsidRPr="009B7225">
        <w:rPr>
          <w:rFonts w:cs="Times New Roman"/>
          <w:szCs w:val="24"/>
        </w:rPr>
        <w:t>has been, significantly improved by the use of cyberspace. The Internet, of course, facilitates the fast and widespread dissemination of information, which can help to more effectively unite victims of disasters, galvanise and coordinate efforts to respond (including internationally) and provide valuable support to those in areas effected by disasters.</w:t>
      </w:r>
      <w:r w:rsidRPr="009B7225">
        <w:rPr>
          <w:rStyle w:val="FootnoteReference"/>
          <w:rFonts w:cs="Times New Roman"/>
          <w:szCs w:val="24"/>
        </w:rPr>
        <w:footnoteReference w:id="2"/>
      </w:r>
      <w:r w:rsidRPr="009B7225">
        <w:rPr>
          <w:rFonts w:cs="Times New Roman"/>
          <w:szCs w:val="24"/>
        </w:rPr>
        <w:t xml:space="preserve">  </w:t>
      </w:r>
    </w:p>
    <w:p w14:paraId="3EA6C3AC" w14:textId="32C5E6EF" w:rsidR="006F198F" w:rsidRPr="00605704" w:rsidRDefault="006F6629" w:rsidP="0017445E">
      <w:pPr>
        <w:spacing w:line="480" w:lineRule="auto"/>
        <w:ind w:firstLine="720"/>
        <w:jc w:val="both"/>
        <w:rPr>
          <w:rFonts w:cs="Times New Roman"/>
          <w:szCs w:val="24"/>
        </w:rPr>
      </w:pPr>
      <w:r w:rsidRPr="009B7225">
        <w:rPr>
          <w:rFonts w:cs="Times New Roman"/>
          <w:szCs w:val="24"/>
        </w:rPr>
        <w:t xml:space="preserve">At the same time, </w:t>
      </w:r>
      <w:r w:rsidR="000D3240" w:rsidRPr="009B7225">
        <w:rPr>
          <w:rFonts w:cs="Times New Roman"/>
          <w:szCs w:val="24"/>
        </w:rPr>
        <w:t>‘</w:t>
      </w:r>
      <w:r w:rsidRPr="009B7225">
        <w:rPr>
          <w:rFonts w:cs="Times New Roman"/>
          <w:szCs w:val="24"/>
        </w:rPr>
        <w:t xml:space="preserve">cyberspace </w:t>
      </w:r>
      <w:r w:rsidR="000D3240" w:rsidRPr="009B7225">
        <w:rPr>
          <w:rFonts w:cs="Times New Roman"/>
          <w:szCs w:val="24"/>
        </w:rPr>
        <w:t>has also become a repository for various threats, vulnerabilities and insecurities</w:t>
      </w:r>
      <w:r w:rsidR="00930C00" w:rsidRPr="009B7225">
        <w:rPr>
          <w:rFonts w:cs="Times New Roman"/>
          <w:szCs w:val="24"/>
        </w:rPr>
        <w:t>.</w:t>
      </w:r>
      <w:r w:rsidR="000D3240" w:rsidRPr="009B7225">
        <w:rPr>
          <w:rFonts w:cs="Times New Roman"/>
          <w:szCs w:val="24"/>
        </w:rPr>
        <w:t>’</w:t>
      </w:r>
      <w:r w:rsidR="000D3240" w:rsidRPr="009B7225">
        <w:rPr>
          <w:rStyle w:val="FootnoteReference"/>
          <w:rFonts w:cs="Times New Roman"/>
          <w:szCs w:val="24"/>
        </w:rPr>
        <w:footnoteReference w:id="3"/>
      </w:r>
      <w:r w:rsidR="00E25D30" w:rsidRPr="009B7225">
        <w:rPr>
          <w:rFonts w:cs="Times New Roman"/>
          <w:szCs w:val="24"/>
        </w:rPr>
        <w:t xml:space="preserve"> </w:t>
      </w:r>
      <w:r w:rsidR="006F198F">
        <w:rPr>
          <w:rFonts w:cs="Times New Roman"/>
          <w:szCs w:val="24"/>
        </w:rPr>
        <w:t xml:space="preserve">The threat of significant </w:t>
      </w:r>
      <w:r w:rsidR="001F5100">
        <w:rPr>
          <w:rFonts w:cs="Times New Roman"/>
          <w:szCs w:val="24"/>
        </w:rPr>
        <w:t>global harm being inflicted through</w:t>
      </w:r>
      <w:r w:rsidR="006F198F">
        <w:rPr>
          <w:rFonts w:cs="Times New Roman"/>
          <w:szCs w:val="24"/>
        </w:rPr>
        <w:t xml:space="preserve"> cyberspace </w:t>
      </w:r>
      <w:r w:rsidR="001F5100">
        <w:rPr>
          <w:rFonts w:cs="Times New Roman"/>
          <w:szCs w:val="24"/>
        </w:rPr>
        <w:t xml:space="preserve">is now a primary concern in </w:t>
      </w:r>
      <w:r w:rsidR="006F198F">
        <w:rPr>
          <w:rFonts w:cs="Times New Roman"/>
          <w:szCs w:val="24"/>
        </w:rPr>
        <w:t xml:space="preserve">international relations, </w:t>
      </w:r>
      <w:r w:rsidR="006F198F" w:rsidRPr="00605704">
        <w:rPr>
          <w:rFonts w:cs="Times New Roman"/>
          <w:szCs w:val="24"/>
        </w:rPr>
        <w:t xml:space="preserve">and has become deeply rooted in the psyche of governments. </w:t>
      </w:r>
      <w:r w:rsidR="00605704">
        <w:rPr>
          <w:rFonts w:cs="Times New Roman"/>
          <w:szCs w:val="24"/>
        </w:rPr>
        <w:t>To give just one</w:t>
      </w:r>
      <w:r w:rsidR="006F198F" w:rsidRPr="00605704">
        <w:rPr>
          <w:rFonts w:cs="Times New Roman"/>
          <w:szCs w:val="24"/>
        </w:rPr>
        <w:t xml:space="preserve"> example, at the time of writing</w:t>
      </w:r>
      <w:r w:rsidR="00605704">
        <w:rPr>
          <w:rFonts w:cs="Times New Roman"/>
          <w:szCs w:val="24"/>
        </w:rPr>
        <w:t xml:space="preserve"> </w:t>
      </w:r>
      <w:r w:rsidR="006F198F" w:rsidRPr="00605704">
        <w:rPr>
          <w:rFonts w:cs="Times New Roman"/>
          <w:szCs w:val="24"/>
        </w:rPr>
        <w:t>Chancellor George Osborne has announced</w:t>
      </w:r>
      <w:r w:rsidR="00605704">
        <w:rPr>
          <w:rFonts w:cs="Times New Roman"/>
          <w:szCs w:val="24"/>
        </w:rPr>
        <w:t xml:space="preserve"> –</w:t>
      </w:r>
      <w:r w:rsidR="00605704" w:rsidRPr="00605704">
        <w:rPr>
          <w:rFonts w:cs="Times New Roman"/>
          <w:szCs w:val="24"/>
        </w:rPr>
        <w:t xml:space="preserve"> </w:t>
      </w:r>
      <w:r w:rsidR="00605704">
        <w:rPr>
          <w:rFonts w:cs="Times New Roman"/>
          <w:szCs w:val="24"/>
        </w:rPr>
        <w:t>i</w:t>
      </w:r>
      <w:r w:rsidR="00605704" w:rsidRPr="00605704">
        <w:rPr>
          <w:rFonts w:cs="Times New Roman"/>
          <w:szCs w:val="24"/>
        </w:rPr>
        <w:t>n a speech made at GCHQ on 17 November 2015</w:t>
      </w:r>
      <w:r w:rsidR="001F5100">
        <w:rPr>
          <w:rFonts w:cs="Times New Roman"/>
          <w:szCs w:val="24"/>
        </w:rPr>
        <w:t>,</w:t>
      </w:r>
      <w:r w:rsidR="006F198F" w:rsidRPr="00605704">
        <w:rPr>
          <w:rFonts w:cs="Times New Roman"/>
          <w:szCs w:val="24"/>
        </w:rPr>
        <w:t xml:space="preserve"> in the wake of the horrific terrorist attacks that took place in Paris</w:t>
      </w:r>
      <w:r w:rsidR="00605704">
        <w:rPr>
          <w:rFonts w:cs="Times New Roman"/>
          <w:szCs w:val="24"/>
        </w:rPr>
        <w:t xml:space="preserve"> four days earlier</w:t>
      </w:r>
      <w:r w:rsidR="006F198F" w:rsidRPr="00605704">
        <w:rPr>
          <w:rFonts w:cs="Times New Roman"/>
          <w:szCs w:val="24"/>
        </w:rPr>
        <w:t xml:space="preserve"> – that </w:t>
      </w:r>
      <w:r w:rsidR="006F198F" w:rsidRPr="00605704">
        <w:rPr>
          <w:rFonts w:cs="Times New Roman"/>
          <w:bCs/>
          <w:shd w:val="clear" w:color="auto" w:fill="FFFFFF"/>
        </w:rPr>
        <w:t xml:space="preserve">agents of the so-called ‘Islamic State’ are </w:t>
      </w:r>
      <w:r w:rsidR="00605704">
        <w:rPr>
          <w:rFonts w:cs="Times New Roman"/>
          <w:bCs/>
          <w:shd w:val="clear" w:color="auto" w:fill="FFFFFF"/>
        </w:rPr>
        <w:t>attempting</w:t>
      </w:r>
      <w:r w:rsidR="006F198F" w:rsidRPr="00605704">
        <w:rPr>
          <w:rFonts w:cs="Times New Roman"/>
          <w:bCs/>
          <w:shd w:val="clear" w:color="auto" w:fill="FFFFFF"/>
        </w:rPr>
        <w:t xml:space="preserve"> to develop the ability to launch deadly cyber-</w:t>
      </w:r>
      <w:r w:rsidR="006F198F" w:rsidRPr="00605704">
        <w:rPr>
          <w:rFonts w:cs="Times New Roman"/>
          <w:bCs/>
          <w:shd w:val="clear" w:color="auto" w:fill="FFFFFF"/>
        </w:rPr>
        <w:lastRenderedPageBreak/>
        <w:t xml:space="preserve">attacks on targets in the </w:t>
      </w:r>
      <w:r w:rsidR="001F5100">
        <w:rPr>
          <w:rFonts w:cs="Times New Roman"/>
          <w:bCs/>
          <w:shd w:val="clear" w:color="auto" w:fill="FFFFFF"/>
        </w:rPr>
        <w:t>United Kingdom</w:t>
      </w:r>
      <w:r w:rsidR="007C34E1">
        <w:rPr>
          <w:rFonts w:cs="Times New Roman"/>
          <w:bCs/>
          <w:shd w:val="clear" w:color="auto" w:fill="FFFFFF"/>
        </w:rPr>
        <w:t xml:space="preserve"> (UK)</w:t>
      </w:r>
      <w:r w:rsidR="006F198F" w:rsidRPr="00605704">
        <w:rPr>
          <w:rFonts w:cs="Times New Roman"/>
          <w:bCs/>
          <w:shd w:val="clear" w:color="auto" w:fill="FFFFFF"/>
        </w:rPr>
        <w:t xml:space="preserve">, and that the UK is to </w:t>
      </w:r>
      <w:r w:rsidR="00605704">
        <w:rPr>
          <w:rFonts w:cs="Times New Roman"/>
          <w:bCs/>
          <w:shd w:val="clear" w:color="auto" w:fill="FFFFFF"/>
        </w:rPr>
        <w:t xml:space="preserve">roughly </w:t>
      </w:r>
      <w:r w:rsidR="006F198F" w:rsidRPr="00605704">
        <w:rPr>
          <w:rFonts w:cs="Times New Roman"/>
          <w:bCs/>
          <w:shd w:val="clear" w:color="auto" w:fill="FFFFFF"/>
        </w:rPr>
        <w:t>double its cyber</w:t>
      </w:r>
      <w:r w:rsidR="00605704">
        <w:rPr>
          <w:rFonts w:cs="Times New Roman"/>
          <w:bCs/>
          <w:shd w:val="clear" w:color="auto" w:fill="FFFFFF"/>
        </w:rPr>
        <w:t xml:space="preserve"> security </w:t>
      </w:r>
      <w:r w:rsidR="006F198F" w:rsidRPr="00605704">
        <w:rPr>
          <w:rFonts w:cs="Times New Roman"/>
          <w:bCs/>
          <w:shd w:val="clear" w:color="auto" w:fill="FFFFFF"/>
        </w:rPr>
        <w:t>budget to guard against this and other such cyber threats.</w:t>
      </w:r>
      <w:r w:rsidR="00605704" w:rsidRPr="00605704">
        <w:rPr>
          <w:rStyle w:val="FootnoteReference"/>
          <w:rFonts w:cs="Times New Roman"/>
          <w:bCs/>
          <w:shd w:val="clear" w:color="auto" w:fill="FFFFFF"/>
        </w:rPr>
        <w:footnoteReference w:id="4"/>
      </w:r>
    </w:p>
    <w:p w14:paraId="1EAD7AB3" w14:textId="5D94D922" w:rsidR="009C5D2A" w:rsidRPr="009B7225" w:rsidRDefault="006F6629" w:rsidP="0017445E">
      <w:pPr>
        <w:spacing w:line="480" w:lineRule="auto"/>
        <w:ind w:firstLine="720"/>
        <w:jc w:val="both"/>
        <w:rPr>
          <w:rFonts w:cs="Times New Roman"/>
          <w:szCs w:val="24"/>
        </w:rPr>
      </w:pPr>
      <w:r w:rsidRPr="00605704">
        <w:rPr>
          <w:rFonts w:cs="Times New Roman"/>
          <w:szCs w:val="24"/>
        </w:rPr>
        <w:t xml:space="preserve">This chapter examines </w:t>
      </w:r>
      <w:r w:rsidR="0091768C" w:rsidRPr="00605704">
        <w:rPr>
          <w:rFonts w:cs="Times New Roman"/>
          <w:szCs w:val="24"/>
        </w:rPr>
        <w:t xml:space="preserve">international law in relation to </w:t>
      </w:r>
      <w:r w:rsidRPr="00605704">
        <w:rPr>
          <w:rFonts w:cs="Times New Roman"/>
          <w:szCs w:val="24"/>
        </w:rPr>
        <w:t>‘</w:t>
      </w:r>
      <w:r w:rsidRPr="009B7225">
        <w:rPr>
          <w:rFonts w:cs="Times New Roman"/>
          <w:szCs w:val="24"/>
        </w:rPr>
        <w:t>cyber disasters’. That is, it considers disasters</w:t>
      </w:r>
      <w:r w:rsidR="004B5FDC">
        <w:rPr>
          <w:rFonts w:cs="Times New Roman"/>
          <w:szCs w:val="24"/>
        </w:rPr>
        <w:t xml:space="preserve"> </w:t>
      </w:r>
      <w:r w:rsidRPr="009B7225">
        <w:rPr>
          <w:rFonts w:cs="Times New Roman"/>
          <w:szCs w:val="24"/>
        </w:rPr>
        <w:t xml:space="preserve">– broadly defined as </w:t>
      </w:r>
      <w:r w:rsidR="00117791" w:rsidRPr="009B7225">
        <w:rPr>
          <w:rFonts w:cs="Times New Roman"/>
          <w:szCs w:val="24"/>
        </w:rPr>
        <w:t>‘</w:t>
      </w:r>
      <w:r w:rsidRPr="009B7225">
        <w:rPr>
          <w:rFonts w:cs="Times New Roman"/>
          <w:szCs w:val="24"/>
        </w:rPr>
        <w:t>calamitous events</w:t>
      </w:r>
      <w:r w:rsidR="00117791" w:rsidRPr="009B7225">
        <w:rPr>
          <w:rFonts w:cs="Times New Roman"/>
          <w:szCs w:val="24"/>
        </w:rPr>
        <w:t>’</w:t>
      </w:r>
      <w:r w:rsidRPr="009B7225">
        <w:rPr>
          <w:rStyle w:val="FootnoteReference"/>
          <w:rFonts w:cs="Times New Roman"/>
          <w:szCs w:val="24"/>
        </w:rPr>
        <w:footnoteReference w:id="5"/>
      </w:r>
      <w:r w:rsidRPr="009B7225">
        <w:rPr>
          <w:rFonts w:cs="Times New Roman"/>
          <w:szCs w:val="24"/>
        </w:rPr>
        <w:t xml:space="preserve"> – that are caused by, or through, cyberspace. </w:t>
      </w:r>
      <w:r w:rsidR="0091304C" w:rsidRPr="009B7225">
        <w:rPr>
          <w:rFonts w:cs="Times New Roman"/>
          <w:szCs w:val="24"/>
        </w:rPr>
        <w:t>Admittedly, the</w:t>
      </w:r>
      <w:r w:rsidR="00053111" w:rsidRPr="009B7225">
        <w:rPr>
          <w:rFonts w:cs="Times New Roman"/>
          <w:szCs w:val="24"/>
        </w:rPr>
        <w:t xml:space="preserve"> notion of </w:t>
      </w:r>
      <w:r w:rsidR="0091304C" w:rsidRPr="009B7225">
        <w:rPr>
          <w:rFonts w:cs="Times New Roman"/>
          <w:szCs w:val="24"/>
        </w:rPr>
        <w:t>a cyber disaster</w:t>
      </w:r>
      <w:r w:rsidR="00053111" w:rsidRPr="009B7225">
        <w:rPr>
          <w:rFonts w:cs="Times New Roman"/>
          <w:szCs w:val="24"/>
        </w:rPr>
        <w:t xml:space="preserve"> remains, at least to an extent, potential.  </w:t>
      </w:r>
      <w:r w:rsidR="0091304C" w:rsidRPr="009B7225">
        <w:rPr>
          <w:rFonts w:cs="Times New Roman"/>
          <w:szCs w:val="24"/>
        </w:rPr>
        <w:t xml:space="preserve">It </w:t>
      </w:r>
      <w:r w:rsidR="002F1BE0" w:rsidRPr="009B7225">
        <w:rPr>
          <w:rFonts w:cs="Times New Roman"/>
          <w:szCs w:val="24"/>
        </w:rPr>
        <w:t xml:space="preserve">would be </w:t>
      </w:r>
      <w:r w:rsidR="00C661B2">
        <w:rPr>
          <w:rFonts w:cs="Times New Roman"/>
          <w:szCs w:val="24"/>
        </w:rPr>
        <w:t xml:space="preserve">something of </w:t>
      </w:r>
      <w:r w:rsidR="002F1BE0" w:rsidRPr="009B7225">
        <w:rPr>
          <w:rFonts w:cs="Times New Roman"/>
          <w:szCs w:val="24"/>
        </w:rPr>
        <w:t>a stretch to conclude</w:t>
      </w:r>
      <w:r w:rsidR="0091304C" w:rsidRPr="009B7225">
        <w:rPr>
          <w:rFonts w:cs="Times New Roman"/>
          <w:szCs w:val="24"/>
        </w:rPr>
        <w:t xml:space="preserve"> that cyber activity has, as yet, resulted in harm or damage rising to the level of</w:t>
      </w:r>
      <w:r w:rsidR="002F1BE0" w:rsidRPr="009B7225">
        <w:rPr>
          <w:rFonts w:cs="Times New Roman"/>
          <w:szCs w:val="24"/>
        </w:rPr>
        <w:t xml:space="preserve"> what might</w:t>
      </w:r>
      <w:r w:rsidR="00C661B2">
        <w:rPr>
          <w:rFonts w:cs="Times New Roman"/>
          <w:szCs w:val="24"/>
        </w:rPr>
        <w:t xml:space="preserve"> </w:t>
      </w:r>
      <w:r w:rsidR="002F1BE0" w:rsidRPr="009B7225">
        <w:rPr>
          <w:rFonts w:cs="Times New Roman"/>
          <w:szCs w:val="24"/>
        </w:rPr>
        <w:t>be considered</w:t>
      </w:r>
      <w:r w:rsidR="0091304C" w:rsidRPr="009B7225">
        <w:rPr>
          <w:rFonts w:cs="Times New Roman"/>
          <w:szCs w:val="24"/>
        </w:rPr>
        <w:t xml:space="preserve"> ‘a disaster’. Indeed, some commentators have played down the likelihood of cyber disasters occurring</w:t>
      </w:r>
      <w:r w:rsidR="00E25D30" w:rsidRPr="009B7225">
        <w:rPr>
          <w:rFonts w:cs="Times New Roman"/>
          <w:szCs w:val="24"/>
        </w:rPr>
        <w:t xml:space="preserve"> in the future</w:t>
      </w:r>
      <w:r w:rsidR="0091304C" w:rsidRPr="009B7225">
        <w:rPr>
          <w:rFonts w:cs="Times New Roman"/>
          <w:szCs w:val="24"/>
        </w:rPr>
        <w:t xml:space="preserve">, viewing </w:t>
      </w:r>
      <w:r w:rsidR="00E25D30" w:rsidRPr="009B7225">
        <w:rPr>
          <w:rFonts w:cs="Times New Roman"/>
          <w:szCs w:val="24"/>
        </w:rPr>
        <w:t>as hyperbolic the commonly repeated claim</w:t>
      </w:r>
      <w:r w:rsidR="002F1BE0" w:rsidRPr="009B7225">
        <w:rPr>
          <w:rFonts w:cs="Times New Roman"/>
          <w:szCs w:val="24"/>
        </w:rPr>
        <w:t xml:space="preserve"> that actions in cyberspace are likely to cause large-scale harm</w:t>
      </w:r>
      <w:r w:rsidR="0091304C" w:rsidRPr="009B7225">
        <w:rPr>
          <w:rFonts w:cs="Times New Roman"/>
          <w:szCs w:val="24"/>
        </w:rPr>
        <w:t>.</w:t>
      </w:r>
      <w:r w:rsidR="002F2831" w:rsidRPr="009B7225">
        <w:rPr>
          <w:rStyle w:val="FootnoteReference"/>
          <w:rFonts w:cs="Times New Roman"/>
          <w:szCs w:val="24"/>
        </w:rPr>
        <w:footnoteReference w:id="6"/>
      </w:r>
      <w:r w:rsidR="0091304C" w:rsidRPr="009B7225">
        <w:rPr>
          <w:rFonts w:cs="Times New Roman"/>
          <w:szCs w:val="24"/>
        </w:rPr>
        <w:t xml:space="preserve">  </w:t>
      </w:r>
    </w:p>
    <w:p w14:paraId="0048D702" w14:textId="29F45B16" w:rsidR="00053111" w:rsidRPr="009B7225" w:rsidRDefault="009C5D2A" w:rsidP="0017445E">
      <w:pPr>
        <w:spacing w:line="480" w:lineRule="auto"/>
        <w:ind w:firstLine="720"/>
        <w:jc w:val="both"/>
        <w:rPr>
          <w:rFonts w:cs="Times New Roman"/>
          <w:szCs w:val="24"/>
        </w:rPr>
      </w:pPr>
      <w:r w:rsidRPr="009B7225">
        <w:rPr>
          <w:rFonts w:cs="Times New Roman"/>
          <w:szCs w:val="24"/>
        </w:rPr>
        <w:t>It is true that there are</w:t>
      </w:r>
      <w:r w:rsidR="00D345B9" w:rsidRPr="009B7225">
        <w:rPr>
          <w:rFonts w:cs="Times New Roman"/>
          <w:szCs w:val="24"/>
        </w:rPr>
        <w:t xml:space="preserve"> ‘very few single cyber-events with the cap</w:t>
      </w:r>
      <w:r w:rsidR="00E25D30" w:rsidRPr="009B7225">
        <w:rPr>
          <w:rFonts w:cs="Times New Roman"/>
          <w:szCs w:val="24"/>
        </w:rPr>
        <w:t>acity to provoke a global shock</w:t>
      </w:r>
      <w:r w:rsidR="00D345B9" w:rsidRPr="009B7225">
        <w:rPr>
          <w:rFonts w:cs="Times New Roman"/>
          <w:szCs w:val="24"/>
        </w:rPr>
        <w:t>’</w:t>
      </w:r>
      <w:r w:rsidR="00E25D30" w:rsidRPr="009B7225">
        <w:rPr>
          <w:rFonts w:cs="Times New Roman"/>
          <w:szCs w:val="24"/>
        </w:rPr>
        <w:t>,</w:t>
      </w:r>
      <w:r w:rsidR="002B4DE1" w:rsidRPr="009B7225">
        <w:rPr>
          <w:rStyle w:val="FootnoteReference"/>
          <w:rFonts w:cs="Times New Roman"/>
          <w:szCs w:val="24"/>
        </w:rPr>
        <w:footnoteReference w:id="7"/>
      </w:r>
      <w:r w:rsidR="00E25D30" w:rsidRPr="009B7225">
        <w:rPr>
          <w:rFonts w:cs="Times New Roman"/>
          <w:szCs w:val="24"/>
        </w:rPr>
        <w:t xml:space="preserve"> in the true sense of a </w:t>
      </w:r>
      <w:r w:rsidR="00E25D30" w:rsidRPr="009B7225">
        <w:rPr>
          <w:rFonts w:cs="Times New Roman"/>
          <w:i/>
          <w:szCs w:val="24"/>
        </w:rPr>
        <w:t>disaster</w:t>
      </w:r>
      <w:r w:rsidR="00E25D30" w:rsidRPr="009B7225">
        <w:rPr>
          <w:rFonts w:cs="Times New Roman"/>
          <w:szCs w:val="24"/>
        </w:rPr>
        <w:t>.</w:t>
      </w:r>
      <w:r w:rsidR="00D345B9" w:rsidRPr="009B7225">
        <w:rPr>
          <w:rFonts w:cs="Times New Roman"/>
          <w:szCs w:val="24"/>
        </w:rPr>
        <w:t xml:space="preserve"> One must be careful not to overestimate the </w:t>
      </w:r>
      <w:r w:rsidR="009358A7">
        <w:rPr>
          <w:rFonts w:cs="Times New Roman"/>
          <w:szCs w:val="24"/>
        </w:rPr>
        <w:t>likelihood</w:t>
      </w:r>
      <w:r w:rsidR="00D345B9" w:rsidRPr="009B7225">
        <w:rPr>
          <w:rFonts w:cs="Times New Roman"/>
          <w:szCs w:val="24"/>
        </w:rPr>
        <w:t xml:space="preserve"> </w:t>
      </w:r>
      <w:r w:rsidR="00345CA2">
        <w:rPr>
          <w:rFonts w:cs="Times New Roman"/>
          <w:szCs w:val="24"/>
        </w:rPr>
        <w:t>of</w:t>
      </w:r>
      <w:r w:rsidR="00345CA2" w:rsidRPr="009B7225">
        <w:rPr>
          <w:rFonts w:cs="Times New Roman"/>
          <w:szCs w:val="24"/>
        </w:rPr>
        <w:t xml:space="preserve"> </w:t>
      </w:r>
      <w:r w:rsidR="00D345B9" w:rsidRPr="009B7225">
        <w:rPr>
          <w:rFonts w:cs="Times New Roman"/>
          <w:szCs w:val="24"/>
        </w:rPr>
        <w:t>cyber disasters occur</w:t>
      </w:r>
      <w:r w:rsidR="009358A7">
        <w:rPr>
          <w:rFonts w:cs="Times New Roman"/>
          <w:szCs w:val="24"/>
        </w:rPr>
        <w:t>ring</w:t>
      </w:r>
      <w:r w:rsidR="00D345B9" w:rsidRPr="009B7225">
        <w:rPr>
          <w:rFonts w:cs="Times New Roman"/>
          <w:szCs w:val="24"/>
        </w:rPr>
        <w:t xml:space="preserve">. </w:t>
      </w:r>
      <w:r w:rsidR="007C34E1">
        <w:rPr>
          <w:rFonts w:cs="Times New Roman"/>
          <w:szCs w:val="24"/>
        </w:rPr>
        <w:t>On the other hand</w:t>
      </w:r>
      <w:r w:rsidR="00D345B9" w:rsidRPr="009B7225">
        <w:rPr>
          <w:rFonts w:cs="Times New Roman"/>
          <w:szCs w:val="24"/>
        </w:rPr>
        <w:t>, t</w:t>
      </w:r>
      <w:r w:rsidR="0091304C" w:rsidRPr="009B7225">
        <w:rPr>
          <w:rFonts w:cs="Times New Roman"/>
          <w:szCs w:val="24"/>
        </w:rPr>
        <w:t xml:space="preserve">here is little question that in the modern, cyber-reliant and interconnected world, the potential for disasters to be caused in cyberspace is now </w:t>
      </w:r>
      <w:r w:rsidR="00D345B9" w:rsidRPr="009B7225">
        <w:rPr>
          <w:rFonts w:cs="Times New Roman"/>
          <w:szCs w:val="24"/>
        </w:rPr>
        <w:t>very real</w:t>
      </w:r>
      <w:r w:rsidR="0091304C" w:rsidRPr="009B7225">
        <w:rPr>
          <w:rFonts w:cs="Times New Roman"/>
          <w:szCs w:val="24"/>
        </w:rPr>
        <w:t>.</w:t>
      </w:r>
      <w:r w:rsidR="00D345B9" w:rsidRPr="009B7225">
        <w:rPr>
          <w:rStyle w:val="FootnoteReference"/>
          <w:rFonts w:cs="Times New Roman"/>
          <w:szCs w:val="24"/>
        </w:rPr>
        <w:footnoteReference w:id="8"/>
      </w:r>
      <w:r w:rsidR="0091304C" w:rsidRPr="009B7225">
        <w:rPr>
          <w:rFonts w:cs="Times New Roman"/>
          <w:szCs w:val="24"/>
        </w:rPr>
        <w:t xml:space="preserve"> </w:t>
      </w:r>
      <w:r w:rsidR="00930C00" w:rsidRPr="009B7225">
        <w:rPr>
          <w:rFonts w:cs="Times New Roman"/>
          <w:szCs w:val="24"/>
        </w:rPr>
        <w:t>V</w:t>
      </w:r>
      <w:r w:rsidR="00053111" w:rsidRPr="009B7225">
        <w:rPr>
          <w:rFonts w:cs="Times New Roman"/>
          <w:szCs w:val="24"/>
        </w:rPr>
        <w:t xml:space="preserve">arious ‘cyber doomsday scenarios’ have been envisaged in the literature with </w:t>
      </w:r>
      <w:r w:rsidR="00C661B2">
        <w:rPr>
          <w:rFonts w:cs="Times New Roman"/>
          <w:szCs w:val="24"/>
        </w:rPr>
        <w:t>increasing regularity. F</w:t>
      </w:r>
      <w:r w:rsidR="00921A4C" w:rsidRPr="009B7225">
        <w:rPr>
          <w:rFonts w:cs="Times New Roman"/>
          <w:szCs w:val="24"/>
        </w:rPr>
        <w:t>or example, scholars have noted the possibility of the</w:t>
      </w:r>
      <w:r w:rsidR="00053111" w:rsidRPr="009B7225">
        <w:rPr>
          <w:rFonts w:cs="Times New Roman"/>
          <w:szCs w:val="24"/>
        </w:rPr>
        <w:t xml:space="preserve"> use of computers to melt down a nuclear power plant, turn a state’s unmanned military drones </w:t>
      </w:r>
      <w:r w:rsidR="00053111" w:rsidRPr="009B7225">
        <w:rPr>
          <w:rFonts w:cs="Times New Roman"/>
          <w:szCs w:val="24"/>
        </w:rPr>
        <w:lastRenderedPageBreak/>
        <w:t xml:space="preserve">against it, </w:t>
      </w:r>
      <w:r w:rsidR="007C34E1">
        <w:rPr>
          <w:rFonts w:cs="Times New Roman"/>
          <w:szCs w:val="24"/>
        </w:rPr>
        <w:t xml:space="preserve">and </w:t>
      </w:r>
      <w:r w:rsidR="00053111" w:rsidRPr="009B7225">
        <w:rPr>
          <w:rFonts w:cs="Times New Roman"/>
          <w:szCs w:val="24"/>
        </w:rPr>
        <w:t>drop its planes f</w:t>
      </w:r>
      <w:r w:rsidR="00E25D30" w:rsidRPr="009B7225">
        <w:rPr>
          <w:rFonts w:cs="Times New Roman"/>
          <w:szCs w:val="24"/>
        </w:rPr>
        <w:t>ro</w:t>
      </w:r>
      <w:r w:rsidR="00053111" w:rsidRPr="009B7225">
        <w:rPr>
          <w:rFonts w:cs="Times New Roman"/>
          <w:szCs w:val="24"/>
        </w:rPr>
        <w:t>m the sky</w:t>
      </w:r>
      <w:r w:rsidR="009358A7">
        <w:rPr>
          <w:rFonts w:cs="Times New Roman"/>
          <w:szCs w:val="24"/>
        </w:rPr>
        <w:t xml:space="preserve"> (</w:t>
      </w:r>
      <w:r w:rsidR="00C661B2">
        <w:rPr>
          <w:rFonts w:cs="Times New Roman"/>
          <w:szCs w:val="24"/>
        </w:rPr>
        <w:t>to name just a few of</w:t>
      </w:r>
      <w:r w:rsidR="00921A4C" w:rsidRPr="009B7225">
        <w:rPr>
          <w:rFonts w:cs="Times New Roman"/>
          <w:szCs w:val="24"/>
        </w:rPr>
        <w:t xml:space="preserve"> </w:t>
      </w:r>
      <w:r w:rsidR="00C661B2">
        <w:rPr>
          <w:rFonts w:cs="Times New Roman"/>
          <w:szCs w:val="24"/>
        </w:rPr>
        <w:t>the plethora of contemplated</w:t>
      </w:r>
      <w:r w:rsidR="00921A4C" w:rsidRPr="009B7225">
        <w:rPr>
          <w:rFonts w:cs="Times New Roman"/>
          <w:szCs w:val="24"/>
        </w:rPr>
        <w:t xml:space="preserve"> cyber-caused catastrophes</w:t>
      </w:r>
      <w:r w:rsidR="009358A7">
        <w:rPr>
          <w:rFonts w:cs="Times New Roman"/>
          <w:szCs w:val="24"/>
        </w:rPr>
        <w:t>)</w:t>
      </w:r>
      <w:r w:rsidR="00053111" w:rsidRPr="009B7225">
        <w:rPr>
          <w:rFonts w:cs="Times New Roman"/>
          <w:szCs w:val="24"/>
        </w:rPr>
        <w:t>.</w:t>
      </w:r>
      <w:r w:rsidR="00053111" w:rsidRPr="009B7225">
        <w:rPr>
          <w:rStyle w:val="FootnoteReference"/>
          <w:rFonts w:cs="Times New Roman"/>
          <w:szCs w:val="24"/>
        </w:rPr>
        <w:footnoteReference w:id="9"/>
      </w:r>
      <w:r w:rsidR="00053111" w:rsidRPr="009B7225">
        <w:rPr>
          <w:rFonts w:cs="Times New Roman"/>
          <w:szCs w:val="24"/>
        </w:rPr>
        <w:t xml:space="preserve"> </w:t>
      </w:r>
    </w:p>
    <w:p w14:paraId="056D2120" w14:textId="5A20C91E" w:rsidR="0080302A" w:rsidRPr="009B7225" w:rsidRDefault="0091304C" w:rsidP="0017445E">
      <w:pPr>
        <w:spacing w:line="480" w:lineRule="auto"/>
        <w:ind w:firstLine="720"/>
        <w:jc w:val="both"/>
        <w:rPr>
          <w:rFonts w:cs="Times New Roman"/>
          <w:szCs w:val="24"/>
        </w:rPr>
      </w:pPr>
      <w:r w:rsidRPr="009B7225">
        <w:rPr>
          <w:rFonts w:cs="Times New Roman"/>
          <w:szCs w:val="24"/>
        </w:rPr>
        <w:t>The scale and likely transboundary nature of cyber disasters mean that the threat that they pose is inherently ‘international’ in nature, and thus requires an international legal response.</w:t>
      </w:r>
      <w:r w:rsidRPr="009B7225">
        <w:rPr>
          <w:rStyle w:val="FootnoteReference"/>
          <w:rFonts w:cs="Times New Roman"/>
          <w:szCs w:val="24"/>
        </w:rPr>
        <w:footnoteReference w:id="10"/>
      </w:r>
      <w:r w:rsidRPr="009B7225">
        <w:rPr>
          <w:rFonts w:cs="Times New Roman"/>
          <w:szCs w:val="24"/>
        </w:rPr>
        <w:t xml:space="preserve"> </w:t>
      </w:r>
      <w:r w:rsidR="00930C00" w:rsidRPr="009B7225">
        <w:rPr>
          <w:rFonts w:cs="Times New Roman"/>
          <w:szCs w:val="24"/>
        </w:rPr>
        <w:t>In</w:t>
      </w:r>
      <w:r w:rsidRPr="009B7225">
        <w:rPr>
          <w:rFonts w:cs="Times New Roman"/>
          <w:szCs w:val="24"/>
        </w:rPr>
        <w:t xml:space="preserve"> the late 2000s, the need for international law to engage with the issue</w:t>
      </w:r>
      <w:r w:rsidR="00E25D30" w:rsidRPr="009B7225">
        <w:rPr>
          <w:rFonts w:cs="Times New Roman"/>
          <w:szCs w:val="24"/>
        </w:rPr>
        <w:t xml:space="preserve"> of large-scale cyber threats</w:t>
      </w:r>
      <w:r w:rsidRPr="009B7225">
        <w:rPr>
          <w:rFonts w:cs="Times New Roman"/>
          <w:szCs w:val="24"/>
        </w:rPr>
        <w:t xml:space="preserve"> </w:t>
      </w:r>
      <w:r w:rsidR="00285786" w:rsidRPr="009B7225">
        <w:rPr>
          <w:rFonts w:cs="Times New Roman"/>
          <w:szCs w:val="24"/>
        </w:rPr>
        <w:t xml:space="preserve">was brought </w:t>
      </w:r>
      <w:r w:rsidR="00930C00" w:rsidRPr="009B7225">
        <w:rPr>
          <w:rFonts w:cs="Times New Roman"/>
          <w:szCs w:val="24"/>
        </w:rPr>
        <w:t xml:space="preserve">sharply </w:t>
      </w:r>
      <w:r w:rsidR="00285786" w:rsidRPr="009B7225">
        <w:rPr>
          <w:rFonts w:cs="Times New Roman"/>
          <w:szCs w:val="24"/>
        </w:rPr>
        <w:t>into focus</w:t>
      </w:r>
      <w:r w:rsidR="0080302A" w:rsidRPr="009B7225">
        <w:rPr>
          <w:rFonts w:cs="Times New Roman"/>
          <w:szCs w:val="24"/>
        </w:rPr>
        <w:t xml:space="preserve">, </w:t>
      </w:r>
      <w:r w:rsidRPr="009B7225">
        <w:rPr>
          <w:rFonts w:cs="Times New Roman"/>
          <w:szCs w:val="24"/>
        </w:rPr>
        <w:t xml:space="preserve">following the various Distributed Denial of Service (DDoS) attacks directed </w:t>
      </w:r>
      <w:r w:rsidR="00930C00" w:rsidRPr="009B7225">
        <w:rPr>
          <w:rFonts w:cs="Times New Roman"/>
          <w:szCs w:val="24"/>
        </w:rPr>
        <w:t>against</w:t>
      </w:r>
      <w:r w:rsidRPr="009B7225">
        <w:rPr>
          <w:rFonts w:cs="Times New Roman"/>
          <w:szCs w:val="24"/>
        </w:rPr>
        <w:t xml:space="preserve"> Estonia in 2007. </w:t>
      </w:r>
      <w:r w:rsidR="00550900" w:rsidRPr="009B7225">
        <w:rPr>
          <w:rFonts w:cs="Times New Roman"/>
          <w:szCs w:val="24"/>
        </w:rPr>
        <w:t>Th</w:t>
      </w:r>
      <w:r w:rsidR="00550900">
        <w:rPr>
          <w:rFonts w:cs="Times New Roman"/>
          <w:szCs w:val="24"/>
        </w:rPr>
        <w:t>ose</w:t>
      </w:r>
      <w:r w:rsidR="00550900" w:rsidRPr="009B7225">
        <w:rPr>
          <w:rFonts w:cs="Times New Roman"/>
          <w:szCs w:val="24"/>
        </w:rPr>
        <w:t xml:space="preserve"> </w:t>
      </w:r>
      <w:r w:rsidR="00E25D30" w:rsidRPr="009B7225">
        <w:rPr>
          <w:rFonts w:cs="Times New Roman"/>
          <w:szCs w:val="24"/>
        </w:rPr>
        <w:t>attack</w:t>
      </w:r>
      <w:r w:rsidR="00550900">
        <w:rPr>
          <w:rFonts w:cs="Times New Roman"/>
          <w:szCs w:val="24"/>
        </w:rPr>
        <w:t>s</w:t>
      </w:r>
      <w:r w:rsidR="00E25D30" w:rsidRPr="009B7225">
        <w:rPr>
          <w:rFonts w:cs="Times New Roman"/>
          <w:szCs w:val="24"/>
        </w:rPr>
        <w:t xml:space="preserve"> – which caused widespread disruption to</w:t>
      </w:r>
      <w:r w:rsidR="004E6A9B" w:rsidRPr="009B7225">
        <w:rPr>
          <w:rFonts w:cs="Times New Roman"/>
          <w:szCs w:val="24"/>
        </w:rPr>
        <w:t xml:space="preserve"> Estonia’s banking, telecom and government infrastructure –</w:t>
      </w:r>
      <w:r w:rsidR="00E25D30" w:rsidRPr="009B7225">
        <w:rPr>
          <w:rFonts w:cs="Times New Roman"/>
          <w:szCs w:val="24"/>
        </w:rPr>
        <w:t xml:space="preserve"> w</w:t>
      </w:r>
      <w:r w:rsidR="00550900">
        <w:rPr>
          <w:rFonts w:cs="Times New Roman"/>
          <w:szCs w:val="24"/>
        </w:rPr>
        <w:t>ere</w:t>
      </w:r>
      <w:r w:rsidR="00E25D30" w:rsidRPr="009B7225">
        <w:rPr>
          <w:rFonts w:cs="Times New Roman"/>
          <w:szCs w:val="24"/>
        </w:rPr>
        <w:t xml:space="preserve"> of a notably </w:t>
      </w:r>
      <w:r w:rsidR="00921A4C" w:rsidRPr="009B7225">
        <w:rPr>
          <w:rFonts w:cs="Times New Roman"/>
          <w:szCs w:val="24"/>
        </w:rPr>
        <w:t>greater</w:t>
      </w:r>
      <w:r w:rsidR="00E25D30" w:rsidRPr="009B7225">
        <w:rPr>
          <w:rFonts w:cs="Times New Roman"/>
          <w:szCs w:val="24"/>
        </w:rPr>
        <w:t xml:space="preserve"> scale </w:t>
      </w:r>
      <w:r w:rsidR="0080302A" w:rsidRPr="009B7225">
        <w:rPr>
          <w:rFonts w:cs="Times New Roman"/>
          <w:szCs w:val="24"/>
        </w:rPr>
        <w:t>tha</w:t>
      </w:r>
      <w:r w:rsidR="009358A7">
        <w:rPr>
          <w:rFonts w:cs="Times New Roman"/>
          <w:szCs w:val="24"/>
        </w:rPr>
        <w:t xml:space="preserve">n the cyber-attacks that </w:t>
      </w:r>
      <w:r w:rsidR="00A100C7" w:rsidRPr="009B7225">
        <w:rPr>
          <w:rFonts w:cs="Times New Roman"/>
          <w:szCs w:val="24"/>
        </w:rPr>
        <w:t xml:space="preserve">had </w:t>
      </w:r>
      <w:r w:rsidR="009358A7">
        <w:rPr>
          <w:rFonts w:cs="Times New Roman"/>
          <w:szCs w:val="24"/>
        </w:rPr>
        <w:t>occurred</w:t>
      </w:r>
      <w:r w:rsidR="00A100C7" w:rsidRPr="009B7225">
        <w:rPr>
          <w:rFonts w:cs="Times New Roman"/>
          <w:szCs w:val="24"/>
        </w:rPr>
        <w:t xml:space="preserve"> previously</w:t>
      </w:r>
      <w:r w:rsidR="007317D9">
        <w:rPr>
          <w:rFonts w:cs="Times New Roman"/>
          <w:szCs w:val="24"/>
        </w:rPr>
        <w:t xml:space="preserve">.  They </w:t>
      </w:r>
      <w:r w:rsidR="0080302A" w:rsidRPr="009B7225">
        <w:rPr>
          <w:rFonts w:cs="Times New Roman"/>
          <w:szCs w:val="24"/>
        </w:rPr>
        <w:t>w</w:t>
      </w:r>
      <w:r w:rsidR="00550900">
        <w:rPr>
          <w:rFonts w:cs="Times New Roman"/>
          <w:szCs w:val="24"/>
        </w:rPr>
        <w:t>er</w:t>
      </w:r>
      <w:r w:rsidR="006667FE">
        <w:rPr>
          <w:rFonts w:cs="Times New Roman"/>
          <w:szCs w:val="24"/>
        </w:rPr>
        <w:t>e</w:t>
      </w:r>
      <w:r w:rsidR="0080302A" w:rsidRPr="009B7225">
        <w:rPr>
          <w:rFonts w:cs="Times New Roman"/>
          <w:szCs w:val="24"/>
        </w:rPr>
        <w:t xml:space="preserve"> </w:t>
      </w:r>
      <w:r w:rsidR="00E25D30" w:rsidRPr="009B7225">
        <w:rPr>
          <w:rFonts w:cs="Times New Roman"/>
          <w:szCs w:val="24"/>
        </w:rPr>
        <w:t>also  allegedly</w:t>
      </w:r>
      <w:r w:rsidR="0080302A" w:rsidRPr="009B7225">
        <w:rPr>
          <w:rFonts w:cs="Times New Roman"/>
          <w:szCs w:val="24"/>
        </w:rPr>
        <w:t xml:space="preserve"> </w:t>
      </w:r>
      <w:r w:rsidR="00E25D30" w:rsidRPr="009B7225">
        <w:rPr>
          <w:rFonts w:cs="Times New Roman"/>
          <w:szCs w:val="24"/>
        </w:rPr>
        <w:t xml:space="preserve">the first </w:t>
      </w:r>
      <w:r w:rsidR="00921A4C" w:rsidRPr="009B7225">
        <w:rPr>
          <w:rFonts w:cs="Times New Roman"/>
          <w:szCs w:val="24"/>
        </w:rPr>
        <w:t>major</w:t>
      </w:r>
      <w:r w:rsidR="00A100C7" w:rsidRPr="009B7225">
        <w:rPr>
          <w:rFonts w:cs="Times New Roman"/>
          <w:szCs w:val="24"/>
        </w:rPr>
        <w:t xml:space="preserve"> </w:t>
      </w:r>
      <w:r w:rsidR="009358A7">
        <w:rPr>
          <w:rFonts w:cs="Times New Roman"/>
          <w:szCs w:val="24"/>
        </w:rPr>
        <w:t>act</w:t>
      </w:r>
      <w:r w:rsidR="00550900">
        <w:rPr>
          <w:rFonts w:cs="Times New Roman"/>
          <w:szCs w:val="24"/>
        </w:rPr>
        <w:t>s</w:t>
      </w:r>
      <w:r w:rsidR="009358A7">
        <w:rPr>
          <w:rFonts w:cs="Times New Roman"/>
          <w:szCs w:val="24"/>
        </w:rPr>
        <w:t xml:space="preserve"> of cyber aggression</w:t>
      </w:r>
      <w:r w:rsidR="00E25D30" w:rsidRPr="009B7225">
        <w:rPr>
          <w:rFonts w:cs="Times New Roman"/>
          <w:szCs w:val="24"/>
        </w:rPr>
        <w:t xml:space="preserve"> to be perpetrated by a state</w:t>
      </w:r>
      <w:r w:rsidR="007317D9">
        <w:rPr>
          <w:rFonts w:cs="Times New Roman"/>
          <w:szCs w:val="24"/>
        </w:rPr>
        <w:t xml:space="preserve">, </w:t>
      </w:r>
      <w:r w:rsidR="00345CA2">
        <w:rPr>
          <w:rFonts w:cs="Times New Roman"/>
          <w:szCs w:val="24"/>
        </w:rPr>
        <w:t>albeit that state responsibility was never conclusively established</w:t>
      </w:r>
      <w:r w:rsidR="007317D9">
        <w:rPr>
          <w:rFonts w:cs="Times New Roman"/>
          <w:szCs w:val="24"/>
        </w:rPr>
        <w:t xml:space="preserve"> for the cyber-attacks against Estonia</w:t>
      </w:r>
      <w:r w:rsidR="00345CA2">
        <w:rPr>
          <w:rFonts w:cs="Times New Roman"/>
          <w:szCs w:val="24"/>
        </w:rPr>
        <w:t>, either factually or legall</w:t>
      </w:r>
      <w:r w:rsidR="007317D9">
        <w:rPr>
          <w:rFonts w:cs="Times New Roman"/>
          <w:szCs w:val="24"/>
        </w:rPr>
        <w:t>y</w:t>
      </w:r>
      <w:r w:rsidR="00E25D30" w:rsidRPr="009B7225">
        <w:rPr>
          <w:rFonts w:cs="Times New Roman"/>
          <w:szCs w:val="24"/>
        </w:rPr>
        <w:t>.</w:t>
      </w:r>
      <w:r w:rsidR="004E6A9B" w:rsidRPr="009B7225">
        <w:rPr>
          <w:rStyle w:val="FootnoteReference"/>
          <w:rFonts w:cs="Times New Roman"/>
          <w:szCs w:val="24"/>
        </w:rPr>
        <w:footnoteReference w:id="11"/>
      </w:r>
      <w:r w:rsidR="00E25D30" w:rsidRPr="009B7225">
        <w:rPr>
          <w:rFonts w:cs="Times New Roman"/>
          <w:szCs w:val="24"/>
        </w:rPr>
        <w:t xml:space="preserve"> </w:t>
      </w:r>
      <w:r w:rsidR="00182592">
        <w:rPr>
          <w:rFonts w:cs="Times New Roman"/>
          <w:szCs w:val="24"/>
        </w:rPr>
        <w:t xml:space="preserve">In 2010, </w:t>
      </w:r>
      <w:r w:rsidR="00E25D30" w:rsidRPr="009B7225">
        <w:rPr>
          <w:rFonts w:cs="Times New Roman"/>
          <w:szCs w:val="24"/>
        </w:rPr>
        <w:t xml:space="preserve">the infamous </w:t>
      </w:r>
      <w:r w:rsidR="004A4768" w:rsidRPr="009B7225">
        <w:rPr>
          <w:rFonts w:cs="Times New Roman"/>
          <w:szCs w:val="24"/>
        </w:rPr>
        <w:t>Stuxnet</w:t>
      </w:r>
      <w:r w:rsidR="00182592">
        <w:rPr>
          <w:rFonts w:cs="Times New Roman"/>
          <w:szCs w:val="24"/>
        </w:rPr>
        <w:t xml:space="preserve"> virus attack on Iran </w:t>
      </w:r>
      <w:r w:rsidR="00A4172B">
        <w:rPr>
          <w:rFonts w:cs="Times New Roman"/>
          <w:szCs w:val="24"/>
        </w:rPr>
        <w:t>represented a</w:t>
      </w:r>
      <w:r w:rsidR="00912A71">
        <w:rPr>
          <w:rFonts w:cs="Times New Roman"/>
          <w:szCs w:val="24"/>
        </w:rPr>
        <w:t xml:space="preserve"> further</w:t>
      </w:r>
      <w:r w:rsidR="00A4172B">
        <w:rPr>
          <w:rFonts w:cs="Times New Roman"/>
          <w:szCs w:val="24"/>
        </w:rPr>
        <w:t xml:space="preserve"> escalation</w:t>
      </w:r>
      <w:r w:rsidR="00912A71">
        <w:rPr>
          <w:rFonts w:cs="Times New Roman"/>
          <w:szCs w:val="24"/>
        </w:rPr>
        <w:t xml:space="preserve">, in that it </w:t>
      </w:r>
      <w:r w:rsidR="00E01F09" w:rsidRPr="009B7225">
        <w:rPr>
          <w:rFonts w:cs="Times New Roman"/>
          <w:szCs w:val="24"/>
        </w:rPr>
        <w:t>was</w:t>
      </w:r>
      <w:r w:rsidR="00E25D30" w:rsidRPr="009B7225">
        <w:rPr>
          <w:rFonts w:cs="Times New Roman"/>
          <w:szCs w:val="24"/>
        </w:rPr>
        <w:t xml:space="preserve"> the first </w:t>
      </w:r>
      <w:r w:rsidR="00A100C7" w:rsidRPr="009B7225">
        <w:rPr>
          <w:rFonts w:cs="Times New Roman"/>
          <w:szCs w:val="24"/>
        </w:rPr>
        <w:t xml:space="preserve">cyber-attack </w:t>
      </w:r>
      <w:r w:rsidR="00E25D30" w:rsidRPr="009B7225">
        <w:rPr>
          <w:rFonts w:cs="Times New Roman"/>
          <w:szCs w:val="24"/>
        </w:rPr>
        <w:t xml:space="preserve">to </w:t>
      </w:r>
      <w:r w:rsidR="00E01F09" w:rsidRPr="009B7225">
        <w:rPr>
          <w:rFonts w:cs="Times New Roman"/>
          <w:szCs w:val="24"/>
        </w:rPr>
        <w:t xml:space="preserve">directly cause </w:t>
      </w:r>
      <w:r w:rsidR="00912A71">
        <w:rPr>
          <w:rFonts w:cs="Times New Roman"/>
          <w:szCs w:val="24"/>
        </w:rPr>
        <w:t>significant</w:t>
      </w:r>
      <w:r w:rsidR="00E01F09" w:rsidRPr="009B7225">
        <w:rPr>
          <w:rFonts w:cs="Times New Roman"/>
          <w:szCs w:val="24"/>
        </w:rPr>
        <w:t xml:space="preserve"> physical </w:t>
      </w:r>
      <w:r w:rsidR="004E6A9B" w:rsidRPr="009B7225">
        <w:rPr>
          <w:rFonts w:cs="Times New Roman"/>
          <w:szCs w:val="24"/>
        </w:rPr>
        <w:t>harm</w:t>
      </w:r>
      <w:r w:rsidR="00912A71">
        <w:rPr>
          <w:rFonts w:cs="Times New Roman"/>
          <w:szCs w:val="24"/>
        </w:rPr>
        <w:t>. T</w:t>
      </w:r>
      <w:r w:rsidR="00E01F09" w:rsidRPr="009B7225">
        <w:rPr>
          <w:rFonts w:cs="Times New Roman"/>
          <w:szCs w:val="24"/>
        </w:rPr>
        <w:t xml:space="preserve">he virus </w:t>
      </w:r>
      <w:r w:rsidR="00912A71">
        <w:rPr>
          <w:rFonts w:cs="Times New Roman"/>
          <w:szCs w:val="24"/>
        </w:rPr>
        <w:t>affected</w:t>
      </w:r>
      <w:r w:rsidR="00E01F09" w:rsidRPr="009B7225">
        <w:rPr>
          <w:rFonts w:cs="Times New Roman"/>
          <w:szCs w:val="24"/>
        </w:rPr>
        <w:t xml:space="preserve"> the centrifuges at Iran’s Nata</w:t>
      </w:r>
      <w:r w:rsidR="006667FE">
        <w:rPr>
          <w:rFonts w:cs="Times New Roman"/>
          <w:szCs w:val="24"/>
        </w:rPr>
        <w:t>n</w:t>
      </w:r>
      <w:r w:rsidR="00E01F09" w:rsidRPr="009B7225">
        <w:rPr>
          <w:rFonts w:cs="Times New Roman"/>
          <w:szCs w:val="24"/>
        </w:rPr>
        <w:t>z nuclear power plant</w:t>
      </w:r>
      <w:r w:rsidR="00912A71">
        <w:rPr>
          <w:rFonts w:cs="Times New Roman"/>
          <w:szCs w:val="24"/>
        </w:rPr>
        <w:t xml:space="preserve">, causing </w:t>
      </w:r>
      <w:r w:rsidR="00A4172B">
        <w:rPr>
          <w:rFonts w:cs="Times New Roman"/>
          <w:szCs w:val="24"/>
        </w:rPr>
        <w:t>notable ‘real world’ damage</w:t>
      </w:r>
      <w:r w:rsidR="00E25D30" w:rsidRPr="009B7225">
        <w:rPr>
          <w:rFonts w:cs="Times New Roman"/>
          <w:szCs w:val="24"/>
        </w:rPr>
        <w:t>.</w:t>
      </w:r>
      <w:r w:rsidR="004E6A9B" w:rsidRPr="009B7225">
        <w:rPr>
          <w:rStyle w:val="FootnoteReference"/>
          <w:rFonts w:cs="Times New Roman"/>
          <w:szCs w:val="24"/>
        </w:rPr>
        <w:footnoteReference w:id="12"/>
      </w:r>
      <w:r w:rsidR="00E01F09" w:rsidRPr="009B7225">
        <w:rPr>
          <w:rFonts w:cs="Times New Roman"/>
          <w:szCs w:val="24"/>
        </w:rPr>
        <w:t xml:space="preserve"> At </w:t>
      </w:r>
      <w:r w:rsidR="004E6A9B" w:rsidRPr="009B7225">
        <w:rPr>
          <w:rFonts w:cs="Times New Roman"/>
          <w:szCs w:val="24"/>
        </w:rPr>
        <w:t>the time of writing</w:t>
      </w:r>
      <w:r w:rsidR="00E01F09" w:rsidRPr="009B7225">
        <w:rPr>
          <w:rFonts w:cs="Times New Roman"/>
          <w:szCs w:val="24"/>
        </w:rPr>
        <w:t xml:space="preserve">, </w:t>
      </w:r>
      <w:r w:rsidR="004A4768" w:rsidRPr="009B7225">
        <w:rPr>
          <w:rFonts w:cs="Times New Roman"/>
          <w:szCs w:val="24"/>
        </w:rPr>
        <w:t xml:space="preserve">Stuxnet </w:t>
      </w:r>
      <w:r w:rsidR="00E01F09" w:rsidRPr="009B7225">
        <w:rPr>
          <w:rFonts w:cs="Times New Roman"/>
          <w:szCs w:val="24"/>
        </w:rPr>
        <w:t>represents the ‘</w:t>
      </w:r>
      <w:r w:rsidR="00666FAF" w:rsidRPr="009B7225">
        <w:rPr>
          <w:rFonts w:cs="Times New Roman"/>
          <w:szCs w:val="24"/>
        </w:rPr>
        <w:t>high-</w:t>
      </w:r>
      <w:r w:rsidR="00E01F09" w:rsidRPr="009B7225">
        <w:rPr>
          <w:rFonts w:cs="Times New Roman"/>
          <w:szCs w:val="24"/>
        </w:rPr>
        <w:t xml:space="preserve">water mark’ for </w:t>
      </w:r>
      <w:r w:rsidR="00A4172B">
        <w:rPr>
          <w:rFonts w:cs="Times New Roman"/>
          <w:szCs w:val="24"/>
        </w:rPr>
        <w:t>harm</w:t>
      </w:r>
      <w:r w:rsidR="00E01F09" w:rsidRPr="009B7225">
        <w:rPr>
          <w:rFonts w:cs="Times New Roman"/>
          <w:szCs w:val="24"/>
        </w:rPr>
        <w:t xml:space="preserve"> </w:t>
      </w:r>
      <w:r w:rsidR="004E6A9B" w:rsidRPr="009B7225">
        <w:rPr>
          <w:rFonts w:cs="Times New Roman"/>
          <w:szCs w:val="24"/>
        </w:rPr>
        <w:t xml:space="preserve">caused </w:t>
      </w:r>
      <w:r w:rsidR="00666FAF" w:rsidRPr="009B7225">
        <w:rPr>
          <w:rFonts w:cs="Times New Roman"/>
          <w:szCs w:val="24"/>
        </w:rPr>
        <w:t xml:space="preserve">by </w:t>
      </w:r>
      <w:r w:rsidR="00E01F09" w:rsidRPr="009B7225">
        <w:rPr>
          <w:rFonts w:cs="Times New Roman"/>
          <w:szCs w:val="24"/>
        </w:rPr>
        <w:t>a cyber-attack,</w:t>
      </w:r>
      <w:r w:rsidR="004E6A9B" w:rsidRPr="009B7225">
        <w:rPr>
          <w:rStyle w:val="FootnoteReference"/>
          <w:rFonts w:cs="Times New Roman"/>
          <w:szCs w:val="24"/>
        </w:rPr>
        <w:footnoteReference w:id="13"/>
      </w:r>
      <w:r w:rsidR="00E01F09" w:rsidRPr="009B7225">
        <w:rPr>
          <w:rFonts w:cs="Times New Roman"/>
          <w:szCs w:val="24"/>
        </w:rPr>
        <w:t xml:space="preserve"> but </w:t>
      </w:r>
      <w:r w:rsidR="00666FAF" w:rsidRPr="009B7225">
        <w:rPr>
          <w:rFonts w:cs="Times New Roman"/>
          <w:szCs w:val="24"/>
        </w:rPr>
        <w:t>the very fact of its</w:t>
      </w:r>
      <w:r w:rsidR="00E01F09" w:rsidRPr="009B7225">
        <w:rPr>
          <w:rFonts w:cs="Times New Roman"/>
          <w:szCs w:val="24"/>
        </w:rPr>
        <w:t xml:space="preserve"> occurrence suggests that the water will continue to rise.</w:t>
      </w:r>
    </w:p>
    <w:p w14:paraId="469C8159" w14:textId="75D21EB9" w:rsidR="009D2E04" w:rsidRPr="009B7225" w:rsidRDefault="0080302A" w:rsidP="0017445E">
      <w:pPr>
        <w:spacing w:line="480" w:lineRule="auto"/>
        <w:ind w:firstLine="720"/>
        <w:jc w:val="both"/>
        <w:rPr>
          <w:rFonts w:cs="Times New Roman"/>
          <w:szCs w:val="24"/>
        </w:rPr>
      </w:pPr>
      <w:r w:rsidRPr="009B7225">
        <w:rPr>
          <w:rFonts w:cs="Times New Roman"/>
          <w:szCs w:val="24"/>
        </w:rPr>
        <w:t xml:space="preserve">Despite </w:t>
      </w:r>
      <w:r w:rsidR="00666FAF" w:rsidRPr="009B7225">
        <w:rPr>
          <w:rFonts w:cs="Times New Roman"/>
          <w:szCs w:val="24"/>
        </w:rPr>
        <w:t>the</w:t>
      </w:r>
      <w:r w:rsidR="00DE7263" w:rsidRPr="009B7225">
        <w:rPr>
          <w:rFonts w:cs="Times New Roman"/>
          <w:szCs w:val="24"/>
        </w:rPr>
        <w:t xml:space="preserve"> </w:t>
      </w:r>
      <w:r w:rsidR="00A100C7" w:rsidRPr="009B7225">
        <w:rPr>
          <w:rFonts w:cs="Times New Roman"/>
          <w:szCs w:val="24"/>
        </w:rPr>
        <w:t>escalation</w:t>
      </w:r>
      <w:r w:rsidR="00666FAF" w:rsidRPr="009B7225">
        <w:rPr>
          <w:rFonts w:cs="Times New Roman"/>
          <w:szCs w:val="24"/>
        </w:rPr>
        <w:t xml:space="preserve"> of harmful cyber activity</w:t>
      </w:r>
      <w:r w:rsidR="00DE7263" w:rsidRPr="009B7225">
        <w:rPr>
          <w:rFonts w:cs="Times New Roman"/>
          <w:szCs w:val="24"/>
        </w:rPr>
        <w:t>,</w:t>
      </w:r>
      <w:r w:rsidR="006D143B" w:rsidRPr="009B7225">
        <w:rPr>
          <w:rFonts w:cs="Times New Roman"/>
          <w:szCs w:val="24"/>
        </w:rPr>
        <w:t xml:space="preserve"> </w:t>
      </w:r>
      <w:r w:rsidR="0091304C" w:rsidRPr="009B7225">
        <w:rPr>
          <w:rFonts w:cs="Times New Roman"/>
          <w:szCs w:val="24"/>
        </w:rPr>
        <w:t xml:space="preserve">international law has </w:t>
      </w:r>
      <w:r w:rsidRPr="009B7225">
        <w:rPr>
          <w:rFonts w:cs="Times New Roman"/>
          <w:szCs w:val="24"/>
        </w:rPr>
        <w:t xml:space="preserve">still </w:t>
      </w:r>
      <w:r w:rsidR="0091304C" w:rsidRPr="009B7225">
        <w:rPr>
          <w:rFonts w:cs="Times New Roman"/>
          <w:szCs w:val="24"/>
        </w:rPr>
        <w:t>not caught up with th</w:t>
      </w:r>
      <w:r w:rsidR="006D143B" w:rsidRPr="009B7225">
        <w:rPr>
          <w:rFonts w:cs="Times New Roman"/>
          <w:szCs w:val="24"/>
        </w:rPr>
        <w:t>e</w:t>
      </w:r>
      <w:r w:rsidR="0091304C" w:rsidRPr="009B7225">
        <w:rPr>
          <w:rFonts w:cs="Times New Roman"/>
          <w:szCs w:val="24"/>
        </w:rPr>
        <w:t xml:space="preserve"> threat</w:t>
      </w:r>
      <w:r w:rsidR="006D143B" w:rsidRPr="009B7225">
        <w:rPr>
          <w:rFonts w:cs="Times New Roman"/>
          <w:szCs w:val="24"/>
        </w:rPr>
        <w:t xml:space="preserve"> that cyberspac</w:t>
      </w:r>
      <w:r w:rsidR="00A4172B">
        <w:rPr>
          <w:rFonts w:cs="Times New Roman"/>
          <w:szCs w:val="24"/>
        </w:rPr>
        <w:t>e poses. At present</w:t>
      </w:r>
      <w:r w:rsidR="006D143B" w:rsidRPr="009B7225">
        <w:rPr>
          <w:rFonts w:cs="Times New Roman"/>
          <w:szCs w:val="24"/>
        </w:rPr>
        <w:t xml:space="preserve"> there are </w:t>
      </w:r>
      <w:r w:rsidR="00921A4C" w:rsidRPr="009B7225">
        <w:rPr>
          <w:rFonts w:cs="Times New Roman"/>
          <w:szCs w:val="24"/>
        </w:rPr>
        <w:t>extremely</w:t>
      </w:r>
      <w:r w:rsidR="006D143B" w:rsidRPr="009B7225">
        <w:rPr>
          <w:rFonts w:cs="Times New Roman"/>
          <w:szCs w:val="24"/>
        </w:rPr>
        <w:t xml:space="preserve"> few specific rules of international law that govern the sorts of activities that would likely lead to cyber disasters </w:t>
      </w:r>
      <w:r w:rsidR="006D143B" w:rsidRPr="009B7225">
        <w:rPr>
          <w:rFonts w:cs="Times New Roman"/>
          <w:szCs w:val="24"/>
        </w:rPr>
        <w:lastRenderedPageBreak/>
        <w:t>(such as inter-state cyber-attacks, large-scale cyber-attacks by non-stat</w:t>
      </w:r>
      <w:r w:rsidR="00DE7263" w:rsidRPr="009B7225">
        <w:rPr>
          <w:rFonts w:cs="Times New Roman"/>
          <w:szCs w:val="24"/>
        </w:rPr>
        <w:t xml:space="preserve">e actors or </w:t>
      </w:r>
      <w:r w:rsidR="006A313D">
        <w:rPr>
          <w:rFonts w:cs="Times New Roman"/>
          <w:szCs w:val="24"/>
        </w:rPr>
        <w:t>regulation of action</w:t>
      </w:r>
      <w:r w:rsidR="00DE7263" w:rsidRPr="009B7225">
        <w:rPr>
          <w:rFonts w:cs="Times New Roman"/>
          <w:szCs w:val="24"/>
        </w:rPr>
        <w:t xml:space="preserve"> that could le</w:t>
      </w:r>
      <w:r w:rsidR="006A313D">
        <w:rPr>
          <w:rFonts w:cs="Times New Roman"/>
          <w:szCs w:val="24"/>
        </w:rPr>
        <w:t>a</w:t>
      </w:r>
      <w:r w:rsidR="00DE7263" w:rsidRPr="009B7225">
        <w:rPr>
          <w:rFonts w:cs="Times New Roman"/>
          <w:szCs w:val="24"/>
        </w:rPr>
        <w:t>d to unintentional</w:t>
      </w:r>
      <w:r w:rsidR="006D143B" w:rsidRPr="009B7225">
        <w:rPr>
          <w:rFonts w:cs="Times New Roman"/>
          <w:szCs w:val="24"/>
        </w:rPr>
        <w:t xml:space="preserve"> cyber </w:t>
      </w:r>
      <w:r w:rsidR="006A313D">
        <w:rPr>
          <w:rFonts w:cs="Times New Roman"/>
          <w:szCs w:val="24"/>
        </w:rPr>
        <w:t>catastrophe</w:t>
      </w:r>
      <w:r w:rsidR="006D143B" w:rsidRPr="009B7225">
        <w:rPr>
          <w:rFonts w:cs="Times New Roman"/>
          <w:szCs w:val="24"/>
        </w:rPr>
        <w:t xml:space="preserve">). Indeed, the only </w:t>
      </w:r>
      <w:r w:rsidR="00747C30" w:rsidRPr="009B7225">
        <w:rPr>
          <w:rFonts w:cs="Times New Roman"/>
          <w:szCs w:val="24"/>
        </w:rPr>
        <w:t xml:space="preserve">international </w:t>
      </w:r>
      <w:r w:rsidR="006D143B" w:rsidRPr="009B7225">
        <w:rPr>
          <w:rFonts w:cs="Times New Roman"/>
          <w:szCs w:val="24"/>
        </w:rPr>
        <w:t xml:space="preserve">treaty regulating cyberspace </w:t>
      </w:r>
      <w:r w:rsidR="006D143B" w:rsidRPr="009B7225">
        <w:rPr>
          <w:rFonts w:cs="Times New Roman"/>
          <w:i/>
          <w:szCs w:val="24"/>
        </w:rPr>
        <w:t>per se</w:t>
      </w:r>
      <w:r w:rsidR="006D143B" w:rsidRPr="009B7225">
        <w:rPr>
          <w:rFonts w:cs="Times New Roman"/>
          <w:szCs w:val="24"/>
        </w:rPr>
        <w:t xml:space="preserve"> remains the 2001 </w:t>
      </w:r>
      <w:r w:rsidR="006D143B" w:rsidRPr="009B7225">
        <w:rPr>
          <w:rStyle w:val="Emphasis"/>
          <w:rFonts w:cs="Times New Roman"/>
          <w:bCs/>
          <w:i w:val="0"/>
          <w:iCs w:val="0"/>
          <w:szCs w:val="24"/>
          <w:shd w:val="clear" w:color="auto" w:fill="FFFFFF"/>
        </w:rPr>
        <w:t>Budapest</w:t>
      </w:r>
      <w:r w:rsidR="006D143B" w:rsidRPr="009B7225">
        <w:rPr>
          <w:rFonts w:cs="Times New Roman"/>
          <w:szCs w:val="24"/>
        </w:rPr>
        <w:t xml:space="preserve"> Convention on Cybercrime</w:t>
      </w:r>
      <w:r w:rsidR="00DE7263" w:rsidRPr="009B7225">
        <w:rPr>
          <w:rFonts w:cs="Times New Roman"/>
          <w:szCs w:val="24"/>
        </w:rPr>
        <w:t>,</w:t>
      </w:r>
      <w:r w:rsidR="006D143B" w:rsidRPr="009B7225">
        <w:rPr>
          <w:rStyle w:val="FootnoteReference"/>
          <w:rFonts w:cs="Times New Roman"/>
          <w:szCs w:val="24"/>
        </w:rPr>
        <w:footnoteReference w:id="14"/>
      </w:r>
      <w:r w:rsidR="00DE7263" w:rsidRPr="009B7225">
        <w:rPr>
          <w:rFonts w:cs="Times New Roman"/>
          <w:szCs w:val="24"/>
        </w:rPr>
        <w:t xml:space="preserve"> which, by its nature, </w:t>
      </w:r>
      <w:r w:rsidR="00666FAF" w:rsidRPr="009B7225">
        <w:rPr>
          <w:rFonts w:cs="Times New Roman"/>
          <w:szCs w:val="24"/>
        </w:rPr>
        <w:t>largely</w:t>
      </w:r>
      <w:r w:rsidR="00DE7263" w:rsidRPr="009B7225">
        <w:rPr>
          <w:rFonts w:cs="Times New Roman"/>
          <w:szCs w:val="24"/>
        </w:rPr>
        <w:t xml:space="preserve"> does not </w:t>
      </w:r>
      <w:r w:rsidR="00921A4C" w:rsidRPr="009B7225">
        <w:rPr>
          <w:rFonts w:cs="Times New Roman"/>
          <w:szCs w:val="24"/>
        </w:rPr>
        <w:t>relate to</w:t>
      </w:r>
      <w:r w:rsidR="00DE7263" w:rsidRPr="009B7225">
        <w:rPr>
          <w:rFonts w:cs="Times New Roman"/>
          <w:szCs w:val="24"/>
        </w:rPr>
        <w:t xml:space="preserve"> the sorts of threats considered in this chapter.</w:t>
      </w:r>
    </w:p>
    <w:p w14:paraId="7D1B086F" w14:textId="1219E508" w:rsidR="00865A98" w:rsidRDefault="002352F3" w:rsidP="0017445E">
      <w:pPr>
        <w:spacing w:line="480" w:lineRule="auto"/>
        <w:ind w:firstLine="720"/>
        <w:jc w:val="both"/>
        <w:rPr>
          <w:rFonts w:cs="Times New Roman"/>
          <w:szCs w:val="24"/>
        </w:rPr>
      </w:pPr>
      <w:r w:rsidRPr="009B7225">
        <w:rPr>
          <w:rFonts w:cs="Times New Roman"/>
          <w:szCs w:val="24"/>
        </w:rPr>
        <w:t>Against this backdrop, this</w:t>
      </w:r>
      <w:r w:rsidR="00DB3374" w:rsidRPr="009B7225">
        <w:rPr>
          <w:rFonts w:cs="Times New Roman"/>
          <w:szCs w:val="24"/>
        </w:rPr>
        <w:t xml:space="preserve"> chapter </w:t>
      </w:r>
      <w:r w:rsidRPr="009B7225">
        <w:rPr>
          <w:rFonts w:cs="Times New Roman"/>
          <w:szCs w:val="24"/>
        </w:rPr>
        <w:t>assesses the extent to which inte</w:t>
      </w:r>
      <w:r w:rsidR="008E4E50">
        <w:rPr>
          <w:rFonts w:cs="Times New Roman"/>
          <w:szCs w:val="24"/>
        </w:rPr>
        <w:t>rnational law is (or may be)</w:t>
      </w:r>
      <w:r w:rsidRPr="009B7225">
        <w:rPr>
          <w:rFonts w:cs="Times New Roman"/>
          <w:szCs w:val="24"/>
        </w:rPr>
        <w:t xml:space="preserve"> able to </w:t>
      </w:r>
      <w:r w:rsidR="006A313D">
        <w:rPr>
          <w:rFonts w:cs="Times New Roman"/>
          <w:szCs w:val="24"/>
        </w:rPr>
        <w:t>reduce</w:t>
      </w:r>
      <w:r w:rsidR="008E4E50">
        <w:rPr>
          <w:rFonts w:cs="Times New Roman"/>
          <w:szCs w:val="24"/>
        </w:rPr>
        <w:t xml:space="preserve"> the likelihood of</w:t>
      </w:r>
      <w:r w:rsidRPr="009B7225">
        <w:rPr>
          <w:rFonts w:cs="Times New Roman"/>
          <w:szCs w:val="24"/>
        </w:rPr>
        <w:t xml:space="preserve"> cyber disaster</w:t>
      </w:r>
      <w:r w:rsidR="008E4E50">
        <w:rPr>
          <w:rFonts w:cs="Times New Roman"/>
          <w:szCs w:val="24"/>
        </w:rPr>
        <w:t>s occurring</w:t>
      </w:r>
      <w:r w:rsidRPr="009B7225">
        <w:rPr>
          <w:rFonts w:cs="Times New Roman"/>
          <w:szCs w:val="24"/>
        </w:rPr>
        <w:t xml:space="preserve">. </w:t>
      </w:r>
      <w:r w:rsidR="005A37EF">
        <w:rPr>
          <w:rFonts w:cs="Times New Roman"/>
          <w:szCs w:val="24"/>
        </w:rPr>
        <w:t xml:space="preserve">It briefly considers the possibility of </w:t>
      </w:r>
      <w:r w:rsidR="009D2E04" w:rsidRPr="009B7225">
        <w:rPr>
          <w:rFonts w:cs="Times New Roman"/>
          <w:szCs w:val="24"/>
        </w:rPr>
        <w:t xml:space="preserve">new bespoke international law provisions </w:t>
      </w:r>
      <w:r w:rsidR="00DB3374" w:rsidRPr="009B7225">
        <w:rPr>
          <w:rFonts w:cs="Times New Roman"/>
          <w:szCs w:val="24"/>
        </w:rPr>
        <w:t>being created</w:t>
      </w:r>
      <w:r w:rsidR="008E4E50">
        <w:rPr>
          <w:rFonts w:cs="Times New Roman"/>
          <w:szCs w:val="24"/>
        </w:rPr>
        <w:t xml:space="preserve"> to govern cyberspace, </w:t>
      </w:r>
      <w:r w:rsidR="005A37EF">
        <w:rPr>
          <w:rFonts w:cs="Times New Roman"/>
          <w:szCs w:val="24"/>
        </w:rPr>
        <w:t>before turning to the</w:t>
      </w:r>
      <w:r w:rsidR="009D2E04" w:rsidRPr="009B7225">
        <w:rPr>
          <w:rFonts w:cs="Times New Roman"/>
          <w:szCs w:val="24"/>
        </w:rPr>
        <w:t xml:space="preserve"> most common approach taken in the</w:t>
      </w:r>
      <w:r w:rsidR="00284D70" w:rsidRPr="009B7225">
        <w:rPr>
          <w:rFonts w:cs="Times New Roman"/>
          <w:szCs w:val="24"/>
        </w:rPr>
        <w:t xml:space="preserve"> literature </w:t>
      </w:r>
      <w:r w:rsidR="00223DFD" w:rsidRPr="009B7225">
        <w:rPr>
          <w:rFonts w:cs="Times New Roman"/>
          <w:szCs w:val="24"/>
        </w:rPr>
        <w:t>with regard to large-scale cyber threats: the</w:t>
      </w:r>
      <w:r w:rsidR="00372248">
        <w:rPr>
          <w:rFonts w:cs="Times New Roman"/>
          <w:szCs w:val="24"/>
        </w:rPr>
        <w:t xml:space="preserve"> application of the</w:t>
      </w:r>
      <w:r w:rsidR="00223DFD" w:rsidRPr="009B7225">
        <w:rPr>
          <w:rFonts w:cs="Times New Roman"/>
          <w:szCs w:val="24"/>
        </w:rPr>
        <w:t xml:space="preserve"> </w:t>
      </w:r>
      <w:r w:rsidR="00372248" w:rsidRPr="00372248">
        <w:rPr>
          <w:rFonts w:cs="Times New Roman"/>
          <w:i/>
          <w:szCs w:val="24"/>
        </w:rPr>
        <w:t>jus ad bellum</w:t>
      </w:r>
      <w:r w:rsidR="006A313D">
        <w:rPr>
          <w:rFonts w:cs="Times New Roman"/>
          <w:szCs w:val="24"/>
        </w:rPr>
        <w:t xml:space="preserve"> and, particularly, the prohibition of the use of force.</w:t>
      </w:r>
      <w:r w:rsidR="00223DFD" w:rsidRPr="009B7225">
        <w:rPr>
          <w:rFonts w:cs="Times New Roman"/>
          <w:szCs w:val="24"/>
        </w:rPr>
        <w:t xml:space="preserve"> It </w:t>
      </w:r>
      <w:r w:rsidR="00666FAF" w:rsidRPr="009B7225">
        <w:rPr>
          <w:rFonts w:cs="Times New Roman"/>
          <w:szCs w:val="24"/>
        </w:rPr>
        <w:t xml:space="preserve">is argued </w:t>
      </w:r>
      <w:r w:rsidR="006A313D">
        <w:rPr>
          <w:rFonts w:cs="Times New Roman"/>
          <w:szCs w:val="24"/>
        </w:rPr>
        <w:t xml:space="preserve">herein </w:t>
      </w:r>
      <w:r w:rsidR="00223DFD" w:rsidRPr="009B7225">
        <w:rPr>
          <w:rFonts w:cs="Times New Roman"/>
          <w:szCs w:val="24"/>
        </w:rPr>
        <w:t>that this</w:t>
      </w:r>
      <w:r w:rsidR="006A313D">
        <w:rPr>
          <w:rFonts w:cs="Times New Roman"/>
          <w:szCs w:val="24"/>
        </w:rPr>
        <w:t xml:space="preserve"> </w:t>
      </w:r>
      <w:r w:rsidR="00223DFD" w:rsidRPr="009B7225">
        <w:rPr>
          <w:rFonts w:cs="Times New Roman"/>
          <w:szCs w:val="24"/>
        </w:rPr>
        <w:t xml:space="preserve">approach has </w:t>
      </w:r>
      <w:r w:rsidR="005A37EF">
        <w:rPr>
          <w:rFonts w:cs="Times New Roman"/>
          <w:szCs w:val="24"/>
        </w:rPr>
        <w:t>a number of major</w:t>
      </w:r>
      <w:r w:rsidR="00223DFD" w:rsidRPr="009B7225">
        <w:rPr>
          <w:rFonts w:cs="Times New Roman"/>
          <w:szCs w:val="24"/>
        </w:rPr>
        <w:t xml:space="preserve"> </w:t>
      </w:r>
      <w:r w:rsidR="006A313D">
        <w:rPr>
          <w:rFonts w:cs="Times New Roman"/>
          <w:szCs w:val="24"/>
        </w:rPr>
        <w:t>flaws. Instead, f</w:t>
      </w:r>
      <w:r w:rsidR="00223DFD" w:rsidRPr="009B7225">
        <w:rPr>
          <w:rFonts w:cs="Times New Roman"/>
          <w:szCs w:val="24"/>
        </w:rPr>
        <w:t xml:space="preserve">ocusing on </w:t>
      </w:r>
      <w:r w:rsidR="006A313D">
        <w:rPr>
          <w:rFonts w:cs="Times New Roman"/>
          <w:szCs w:val="24"/>
        </w:rPr>
        <w:t xml:space="preserve">a different existing rule of international law that has been </w:t>
      </w:r>
      <w:r w:rsidR="00182592">
        <w:rPr>
          <w:rFonts w:cs="Times New Roman"/>
          <w:szCs w:val="24"/>
        </w:rPr>
        <w:t xml:space="preserve">largely-overlooked </w:t>
      </w:r>
      <w:r w:rsidR="006A313D">
        <w:rPr>
          <w:rFonts w:cs="Times New Roman"/>
          <w:szCs w:val="24"/>
        </w:rPr>
        <w:t xml:space="preserve">in the cyber context – the </w:t>
      </w:r>
      <w:r w:rsidR="006A313D" w:rsidRPr="009B7225">
        <w:rPr>
          <w:rFonts w:cs="Times New Roman"/>
          <w:szCs w:val="24"/>
        </w:rPr>
        <w:t>duty of due diligence</w:t>
      </w:r>
      <w:r w:rsidR="006A313D">
        <w:rPr>
          <w:rFonts w:cs="Times New Roman"/>
          <w:szCs w:val="24"/>
        </w:rPr>
        <w:t xml:space="preserve"> – i</w:t>
      </w:r>
      <w:r w:rsidR="005A37EF">
        <w:rPr>
          <w:rFonts w:cs="Times New Roman"/>
          <w:szCs w:val="24"/>
        </w:rPr>
        <w:t>s significantly preferable</w:t>
      </w:r>
      <w:r w:rsidR="006A313D">
        <w:rPr>
          <w:rFonts w:cs="Times New Roman"/>
          <w:szCs w:val="24"/>
        </w:rPr>
        <w:t xml:space="preserve"> as a means of trying to prevent cyber disaster</w:t>
      </w:r>
      <w:r w:rsidR="005A37EF">
        <w:rPr>
          <w:rFonts w:cs="Times New Roman"/>
          <w:szCs w:val="24"/>
        </w:rPr>
        <w:t>.</w:t>
      </w:r>
    </w:p>
    <w:p w14:paraId="120F6329" w14:textId="77777777" w:rsidR="005D721C" w:rsidRPr="0017445E" w:rsidRDefault="005D721C" w:rsidP="0017445E">
      <w:pPr>
        <w:spacing w:line="480" w:lineRule="auto"/>
        <w:ind w:firstLine="720"/>
        <w:jc w:val="both"/>
        <w:rPr>
          <w:rFonts w:cs="Times New Roman"/>
          <w:szCs w:val="24"/>
        </w:rPr>
      </w:pPr>
    </w:p>
    <w:p w14:paraId="111F80DD" w14:textId="05CF6B7D" w:rsidR="00AB0D34" w:rsidRPr="0017445E" w:rsidRDefault="0017445E" w:rsidP="0017445E">
      <w:pPr>
        <w:spacing w:line="480" w:lineRule="auto"/>
        <w:jc w:val="both"/>
        <w:rPr>
          <w:rFonts w:cs="Times New Roman"/>
          <w:b/>
          <w:sz w:val="28"/>
          <w:szCs w:val="28"/>
        </w:rPr>
      </w:pPr>
      <w:r w:rsidRPr="0017445E">
        <w:rPr>
          <w:rFonts w:cs="Times New Roman"/>
          <w:b/>
          <w:sz w:val="28"/>
          <w:szCs w:val="28"/>
        </w:rPr>
        <w:t>2</w:t>
      </w:r>
      <w:r w:rsidR="00A973CF" w:rsidRPr="0017445E">
        <w:rPr>
          <w:rFonts w:cs="Times New Roman"/>
          <w:b/>
          <w:sz w:val="28"/>
          <w:szCs w:val="28"/>
        </w:rPr>
        <w:t xml:space="preserve">. </w:t>
      </w:r>
      <w:r w:rsidR="000C79AA" w:rsidRPr="0017445E">
        <w:rPr>
          <w:rFonts w:cs="Times New Roman"/>
          <w:b/>
          <w:sz w:val="28"/>
          <w:szCs w:val="28"/>
        </w:rPr>
        <w:t>The</w:t>
      </w:r>
      <w:r w:rsidR="005D721C">
        <w:rPr>
          <w:rFonts w:cs="Times New Roman"/>
          <w:b/>
          <w:sz w:val="28"/>
          <w:szCs w:val="28"/>
        </w:rPr>
        <w:t xml:space="preserve"> c</w:t>
      </w:r>
      <w:r w:rsidR="00AB0D34" w:rsidRPr="0017445E">
        <w:rPr>
          <w:rFonts w:cs="Times New Roman"/>
          <w:b/>
          <w:sz w:val="28"/>
          <w:szCs w:val="28"/>
        </w:rPr>
        <w:t>reat</w:t>
      </w:r>
      <w:r w:rsidR="000C79AA" w:rsidRPr="0017445E">
        <w:rPr>
          <w:rFonts w:cs="Times New Roman"/>
          <w:b/>
          <w:sz w:val="28"/>
          <w:szCs w:val="28"/>
        </w:rPr>
        <w:t>ion of</w:t>
      </w:r>
      <w:r w:rsidR="00AB0D34" w:rsidRPr="0017445E">
        <w:rPr>
          <w:rFonts w:cs="Times New Roman"/>
          <w:b/>
          <w:sz w:val="28"/>
          <w:szCs w:val="28"/>
        </w:rPr>
        <w:t xml:space="preserve"> </w:t>
      </w:r>
      <w:r w:rsidR="005D721C">
        <w:rPr>
          <w:rFonts w:cs="Times New Roman"/>
          <w:b/>
          <w:sz w:val="28"/>
          <w:szCs w:val="28"/>
        </w:rPr>
        <w:t>n</w:t>
      </w:r>
      <w:r w:rsidR="00AB0D34" w:rsidRPr="0017445E">
        <w:rPr>
          <w:rFonts w:cs="Times New Roman"/>
          <w:b/>
          <w:sz w:val="28"/>
          <w:szCs w:val="28"/>
        </w:rPr>
        <w:t xml:space="preserve">ew </w:t>
      </w:r>
      <w:r w:rsidR="005D721C">
        <w:rPr>
          <w:rFonts w:cs="Times New Roman"/>
          <w:b/>
          <w:sz w:val="28"/>
          <w:szCs w:val="28"/>
        </w:rPr>
        <w:t>i</w:t>
      </w:r>
      <w:r w:rsidR="00AB0D34" w:rsidRPr="0017445E">
        <w:rPr>
          <w:rFonts w:cs="Times New Roman"/>
          <w:b/>
          <w:sz w:val="28"/>
          <w:szCs w:val="28"/>
        </w:rPr>
        <w:t xml:space="preserve">nternational </w:t>
      </w:r>
      <w:r w:rsidR="005D721C">
        <w:rPr>
          <w:rFonts w:cs="Times New Roman"/>
          <w:b/>
          <w:sz w:val="28"/>
          <w:szCs w:val="28"/>
        </w:rPr>
        <w:t>l</w:t>
      </w:r>
      <w:r w:rsidR="00AB0D34" w:rsidRPr="0017445E">
        <w:rPr>
          <w:rFonts w:cs="Times New Roman"/>
          <w:b/>
          <w:sz w:val="28"/>
          <w:szCs w:val="28"/>
        </w:rPr>
        <w:t>aw</w:t>
      </w:r>
      <w:r w:rsidR="000C79AA" w:rsidRPr="0017445E">
        <w:rPr>
          <w:rFonts w:cs="Times New Roman"/>
          <w:b/>
          <w:sz w:val="28"/>
          <w:szCs w:val="28"/>
        </w:rPr>
        <w:t xml:space="preserve"> </w:t>
      </w:r>
      <w:r w:rsidR="005D721C">
        <w:rPr>
          <w:rFonts w:cs="Times New Roman"/>
          <w:b/>
          <w:sz w:val="28"/>
          <w:szCs w:val="28"/>
        </w:rPr>
        <w:t>g</w:t>
      </w:r>
      <w:r w:rsidR="000C79AA" w:rsidRPr="0017445E">
        <w:rPr>
          <w:rFonts w:cs="Times New Roman"/>
          <w:b/>
          <w:sz w:val="28"/>
          <w:szCs w:val="28"/>
        </w:rPr>
        <w:t xml:space="preserve">overning </w:t>
      </w:r>
      <w:r w:rsidR="005D721C">
        <w:rPr>
          <w:rFonts w:cs="Times New Roman"/>
          <w:b/>
          <w:sz w:val="28"/>
          <w:szCs w:val="28"/>
        </w:rPr>
        <w:t>c</w:t>
      </w:r>
      <w:r w:rsidR="000C79AA" w:rsidRPr="0017445E">
        <w:rPr>
          <w:rFonts w:cs="Times New Roman"/>
          <w:b/>
          <w:sz w:val="28"/>
          <w:szCs w:val="28"/>
        </w:rPr>
        <w:t xml:space="preserve">yber </w:t>
      </w:r>
      <w:r w:rsidR="005D721C">
        <w:rPr>
          <w:rFonts w:cs="Times New Roman"/>
          <w:b/>
          <w:sz w:val="28"/>
          <w:szCs w:val="28"/>
        </w:rPr>
        <w:t>s</w:t>
      </w:r>
      <w:r w:rsidR="000C79AA" w:rsidRPr="0017445E">
        <w:rPr>
          <w:rFonts w:cs="Times New Roman"/>
          <w:b/>
          <w:sz w:val="28"/>
          <w:szCs w:val="28"/>
        </w:rPr>
        <w:t>ecurity</w:t>
      </w:r>
      <w:r w:rsidR="005D721C">
        <w:rPr>
          <w:rFonts w:cs="Times New Roman"/>
          <w:b/>
          <w:sz w:val="28"/>
          <w:szCs w:val="28"/>
        </w:rPr>
        <w:t xml:space="preserve"> and the a</w:t>
      </w:r>
      <w:r w:rsidR="009358A7" w:rsidRPr="0017445E">
        <w:rPr>
          <w:rFonts w:cs="Times New Roman"/>
          <w:b/>
          <w:sz w:val="28"/>
          <w:szCs w:val="28"/>
        </w:rPr>
        <w:t>pplicability</w:t>
      </w:r>
      <w:r w:rsidR="005D721C">
        <w:rPr>
          <w:rFonts w:cs="Times New Roman"/>
          <w:b/>
          <w:sz w:val="28"/>
          <w:szCs w:val="28"/>
        </w:rPr>
        <w:t xml:space="preserve"> of existing i</w:t>
      </w:r>
      <w:r w:rsidR="003532AE" w:rsidRPr="0017445E">
        <w:rPr>
          <w:rFonts w:cs="Times New Roman"/>
          <w:b/>
          <w:sz w:val="28"/>
          <w:szCs w:val="28"/>
        </w:rPr>
        <w:t>nternatio</w:t>
      </w:r>
      <w:r w:rsidR="005D721C">
        <w:rPr>
          <w:rFonts w:cs="Times New Roman"/>
          <w:b/>
          <w:sz w:val="28"/>
          <w:szCs w:val="28"/>
        </w:rPr>
        <w:t>nal l</w:t>
      </w:r>
      <w:r w:rsidR="003532AE" w:rsidRPr="0017445E">
        <w:rPr>
          <w:rFonts w:cs="Times New Roman"/>
          <w:b/>
          <w:sz w:val="28"/>
          <w:szCs w:val="28"/>
        </w:rPr>
        <w:t>aw</w:t>
      </w:r>
    </w:p>
    <w:p w14:paraId="009F5F8D" w14:textId="6A5157BA" w:rsidR="00930C00" w:rsidRPr="009B7225" w:rsidRDefault="00AB0D34" w:rsidP="0017445E">
      <w:pPr>
        <w:spacing w:line="480" w:lineRule="auto"/>
        <w:ind w:firstLine="720"/>
        <w:jc w:val="both"/>
        <w:rPr>
          <w:rFonts w:cs="Times New Roman"/>
          <w:szCs w:val="24"/>
        </w:rPr>
      </w:pPr>
      <w:r w:rsidRPr="009B7225">
        <w:rPr>
          <w:rFonts w:cs="Times New Roman"/>
          <w:szCs w:val="24"/>
        </w:rPr>
        <w:t>Given that there is a</w:t>
      </w:r>
      <w:r w:rsidR="00F70895" w:rsidRPr="009B7225">
        <w:rPr>
          <w:rFonts w:cs="Times New Roman"/>
          <w:szCs w:val="24"/>
        </w:rPr>
        <w:t xml:space="preserve"> </w:t>
      </w:r>
      <w:r w:rsidR="00277AEE" w:rsidRPr="009B7225">
        <w:rPr>
          <w:rFonts w:cs="Times New Roman"/>
          <w:szCs w:val="24"/>
        </w:rPr>
        <w:t>seeming</w:t>
      </w:r>
      <w:r w:rsidR="00F70895" w:rsidRPr="009B7225">
        <w:rPr>
          <w:rFonts w:cs="Times New Roman"/>
          <w:szCs w:val="24"/>
        </w:rPr>
        <w:t xml:space="preserve"> </w:t>
      </w:r>
      <w:r w:rsidR="00277AEE" w:rsidRPr="009B7225">
        <w:rPr>
          <w:rFonts w:cs="Times New Roman"/>
          <w:szCs w:val="24"/>
        </w:rPr>
        <w:t>vacuum</w:t>
      </w:r>
      <w:r w:rsidR="00506D52" w:rsidRPr="009B7225">
        <w:rPr>
          <w:rFonts w:cs="Times New Roman"/>
          <w:szCs w:val="24"/>
        </w:rPr>
        <w:t xml:space="preserve"> </w:t>
      </w:r>
      <w:r w:rsidRPr="009B7225">
        <w:rPr>
          <w:rFonts w:cs="Times New Roman"/>
          <w:szCs w:val="24"/>
        </w:rPr>
        <w:t xml:space="preserve">in international law when it comes to large-scale threats </w:t>
      </w:r>
      <w:r w:rsidR="006A313D">
        <w:rPr>
          <w:rFonts w:cs="Times New Roman"/>
          <w:szCs w:val="24"/>
        </w:rPr>
        <w:t>stemming</w:t>
      </w:r>
      <w:r w:rsidRPr="009B7225">
        <w:rPr>
          <w:rFonts w:cs="Times New Roman"/>
          <w:szCs w:val="24"/>
        </w:rPr>
        <w:t xml:space="preserve"> from cyberspace, the most intuitive</w:t>
      </w:r>
      <w:r w:rsidR="007F4777" w:rsidRPr="009B7225">
        <w:rPr>
          <w:rFonts w:cs="Times New Roman"/>
          <w:szCs w:val="24"/>
        </w:rPr>
        <w:t>ly appealing</w:t>
      </w:r>
      <w:r w:rsidRPr="009B7225">
        <w:rPr>
          <w:rFonts w:cs="Times New Roman"/>
          <w:szCs w:val="24"/>
        </w:rPr>
        <w:t xml:space="preserve"> res</w:t>
      </w:r>
      <w:r w:rsidR="00B17723" w:rsidRPr="009B7225">
        <w:rPr>
          <w:rFonts w:cs="Times New Roman"/>
          <w:szCs w:val="24"/>
        </w:rPr>
        <w:t xml:space="preserve">ponse </w:t>
      </w:r>
      <w:r w:rsidR="00DB3374" w:rsidRPr="009B7225">
        <w:rPr>
          <w:rFonts w:cs="Times New Roman"/>
          <w:szCs w:val="24"/>
        </w:rPr>
        <w:t>is simply</w:t>
      </w:r>
      <w:r w:rsidR="00B17723" w:rsidRPr="009B7225">
        <w:rPr>
          <w:rFonts w:cs="Times New Roman"/>
          <w:szCs w:val="24"/>
        </w:rPr>
        <w:t xml:space="preserve"> to create </w:t>
      </w:r>
      <w:r w:rsidR="007F4777" w:rsidRPr="009B7225">
        <w:rPr>
          <w:rFonts w:cs="Times New Roman"/>
          <w:szCs w:val="24"/>
        </w:rPr>
        <w:t>bespoke l</w:t>
      </w:r>
      <w:r w:rsidR="00B17723" w:rsidRPr="009B7225">
        <w:rPr>
          <w:rFonts w:cs="Times New Roman"/>
          <w:szCs w:val="24"/>
        </w:rPr>
        <w:t>aw to</w:t>
      </w:r>
      <w:r w:rsidRPr="009B7225">
        <w:rPr>
          <w:rFonts w:cs="Times New Roman"/>
          <w:szCs w:val="24"/>
        </w:rPr>
        <w:t xml:space="preserve"> </w:t>
      </w:r>
      <w:r w:rsidR="00223DFD" w:rsidRPr="009B7225">
        <w:rPr>
          <w:rFonts w:cs="Times New Roman"/>
          <w:szCs w:val="24"/>
        </w:rPr>
        <w:t>tackle the issue</w:t>
      </w:r>
      <w:r w:rsidR="00DB3374" w:rsidRPr="009B7225">
        <w:rPr>
          <w:rFonts w:cs="Times New Roman"/>
          <w:szCs w:val="24"/>
        </w:rPr>
        <w:t>.</w:t>
      </w:r>
      <w:r w:rsidR="007F4777" w:rsidRPr="009B7225">
        <w:rPr>
          <w:rFonts w:cs="Times New Roman"/>
          <w:szCs w:val="24"/>
        </w:rPr>
        <w:t xml:space="preserve"> On this basis, a </w:t>
      </w:r>
      <w:r w:rsidR="00F70895" w:rsidRPr="009B7225">
        <w:rPr>
          <w:rFonts w:cs="Times New Roman"/>
          <w:szCs w:val="24"/>
        </w:rPr>
        <w:t xml:space="preserve">number of writers </w:t>
      </w:r>
      <w:r w:rsidR="007F4777" w:rsidRPr="009B7225">
        <w:rPr>
          <w:rFonts w:cs="Times New Roman"/>
          <w:szCs w:val="24"/>
        </w:rPr>
        <w:t>have</w:t>
      </w:r>
      <w:r w:rsidR="00F70895" w:rsidRPr="009B7225">
        <w:rPr>
          <w:rFonts w:cs="Times New Roman"/>
          <w:szCs w:val="24"/>
        </w:rPr>
        <w:t xml:space="preserve"> argue</w:t>
      </w:r>
      <w:r w:rsidR="007F4777" w:rsidRPr="009B7225">
        <w:rPr>
          <w:rFonts w:cs="Times New Roman"/>
          <w:szCs w:val="24"/>
        </w:rPr>
        <w:t>d</w:t>
      </w:r>
      <w:r w:rsidR="00F70895" w:rsidRPr="009B7225">
        <w:rPr>
          <w:rFonts w:cs="Times New Roman"/>
          <w:szCs w:val="24"/>
        </w:rPr>
        <w:t xml:space="preserve"> that there is a need for a new cyber </w:t>
      </w:r>
      <w:r w:rsidR="00506D52" w:rsidRPr="009B7225">
        <w:rPr>
          <w:rFonts w:cs="Times New Roman"/>
          <w:szCs w:val="24"/>
        </w:rPr>
        <w:t>security</w:t>
      </w:r>
      <w:r w:rsidR="00F70895" w:rsidRPr="009B7225">
        <w:rPr>
          <w:rFonts w:cs="Times New Roman"/>
          <w:szCs w:val="24"/>
        </w:rPr>
        <w:t xml:space="preserve"> treaty</w:t>
      </w:r>
      <w:r w:rsidR="00506D52" w:rsidRPr="009B7225">
        <w:rPr>
          <w:rFonts w:cs="Times New Roman"/>
          <w:szCs w:val="24"/>
        </w:rPr>
        <w:t>, dealing with the most egregious cyber threat</w:t>
      </w:r>
      <w:r w:rsidR="00223DFD" w:rsidRPr="009B7225">
        <w:rPr>
          <w:rFonts w:cs="Times New Roman"/>
          <w:szCs w:val="24"/>
        </w:rPr>
        <w:t>s</w:t>
      </w:r>
      <w:r w:rsidR="00F70895" w:rsidRPr="009B7225">
        <w:rPr>
          <w:rFonts w:cs="Times New Roman"/>
          <w:szCs w:val="24"/>
        </w:rPr>
        <w:t>.</w:t>
      </w:r>
      <w:r w:rsidR="00E0220E" w:rsidRPr="009B7225">
        <w:rPr>
          <w:rStyle w:val="FootnoteReference"/>
          <w:rFonts w:cs="Times New Roman"/>
          <w:szCs w:val="24"/>
        </w:rPr>
        <w:footnoteReference w:id="15"/>
      </w:r>
      <w:r w:rsidR="00F70895" w:rsidRPr="009B7225">
        <w:rPr>
          <w:rFonts w:cs="Times New Roman"/>
          <w:szCs w:val="24"/>
        </w:rPr>
        <w:t xml:space="preserve"> </w:t>
      </w:r>
      <w:r w:rsidR="007F4777" w:rsidRPr="009B7225">
        <w:rPr>
          <w:rFonts w:cs="Times New Roman"/>
          <w:szCs w:val="24"/>
        </w:rPr>
        <w:t>Perhaps more importantly, some</w:t>
      </w:r>
      <w:r w:rsidR="00F70895" w:rsidRPr="009B7225">
        <w:rPr>
          <w:rFonts w:cs="Times New Roman"/>
          <w:szCs w:val="24"/>
        </w:rPr>
        <w:t xml:space="preserve"> states have also produced </w:t>
      </w:r>
      <w:r w:rsidR="005A37EF">
        <w:rPr>
          <w:rFonts w:cs="Times New Roman"/>
          <w:szCs w:val="24"/>
        </w:rPr>
        <w:t xml:space="preserve">proposals for </w:t>
      </w:r>
      <w:r w:rsidR="00F9102C">
        <w:rPr>
          <w:rFonts w:cs="Times New Roman"/>
          <w:szCs w:val="24"/>
        </w:rPr>
        <w:t>the development of new law</w:t>
      </w:r>
      <w:r w:rsidR="00F70895" w:rsidRPr="009B7225">
        <w:rPr>
          <w:rFonts w:cs="Times New Roman"/>
          <w:szCs w:val="24"/>
        </w:rPr>
        <w:t>.</w:t>
      </w:r>
      <w:r w:rsidR="007F4777" w:rsidRPr="009B7225">
        <w:rPr>
          <w:rStyle w:val="FootnoteReference"/>
          <w:rFonts w:cs="Times New Roman"/>
          <w:szCs w:val="24"/>
        </w:rPr>
        <w:footnoteReference w:id="16"/>
      </w:r>
      <w:r w:rsidR="002352F3" w:rsidRPr="009B7225">
        <w:rPr>
          <w:rFonts w:cs="Times New Roman"/>
          <w:szCs w:val="24"/>
        </w:rPr>
        <w:t xml:space="preserve"> </w:t>
      </w:r>
      <w:r w:rsidR="00F70895" w:rsidRPr="009B7225">
        <w:rPr>
          <w:rFonts w:cs="Times New Roman"/>
          <w:szCs w:val="24"/>
        </w:rPr>
        <w:t>Russia</w:t>
      </w:r>
      <w:r w:rsidR="005A37EF">
        <w:rPr>
          <w:rFonts w:cs="Times New Roman"/>
          <w:szCs w:val="24"/>
        </w:rPr>
        <w:t>, in particular,</w:t>
      </w:r>
      <w:r w:rsidR="00F70895" w:rsidRPr="009B7225">
        <w:rPr>
          <w:rFonts w:cs="Times New Roman"/>
          <w:szCs w:val="24"/>
        </w:rPr>
        <w:t xml:space="preserve"> has been calling for a cyber </w:t>
      </w:r>
      <w:r w:rsidR="00506D52" w:rsidRPr="009B7225">
        <w:rPr>
          <w:rFonts w:cs="Times New Roman"/>
          <w:szCs w:val="24"/>
        </w:rPr>
        <w:t>security</w:t>
      </w:r>
      <w:r w:rsidR="00ED5CFA" w:rsidRPr="009B7225">
        <w:rPr>
          <w:rFonts w:cs="Times New Roman"/>
          <w:szCs w:val="24"/>
        </w:rPr>
        <w:t xml:space="preserve"> treaty since the late 1990s</w:t>
      </w:r>
      <w:r w:rsidR="00223DFD" w:rsidRPr="009B7225">
        <w:rPr>
          <w:rFonts w:cs="Times New Roman"/>
          <w:szCs w:val="24"/>
        </w:rPr>
        <w:t>,</w:t>
      </w:r>
      <w:r w:rsidR="00ED5CFA" w:rsidRPr="009B7225">
        <w:rPr>
          <w:rStyle w:val="FootnoteReference"/>
          <w:rFonts w:cs="Times New Roman"/>
          <w:szCs w:val="24"/>
        </w:rPr>
        <w:footnoteReference w:id="17"/>
      </w:r>
      <w:r w:rsidR="00F70895" w:rsidRPr="009B7225">
        <w:rPr>
          <w:rFonts w:cs="Times New Roman"/>
          <w:szCs w:val="24"/>
        </w:rPr>
        <w:t xml:space="preserve"> </w:t>
      </w:r>
      <w:r w:rsidR="00223DFD" w:rsidRPr="009B7225">
        <w:rPr>
          <w:rFonts w:cs="Times New Roman"/>
          <w:szCs w:val="24"/>
        </w:rPr>
        <w:t>and</w:t>
      </w:r>
      <w:r w:rsidR="00F70895" w:rsidRPr="009B7225">
        <w:rPr>
          <w:rFonts w:cs="Times New Roman"/>
          <w:szCs w:val="24"/>
        </w:rPr>
        <w:t xml:space="preserve">, </w:t>
      </w:r>
      <w:r w:rsidR="00506D52" w:rsidRPr="009B7225">
        <w:rPr>
          <w:rFonts w:cs="Times New Roman"/>
          <w:szCs w:val="24"/>
        </w:rPr>
        <w:t xml:space="preserve">in 2011, </w:t>
      </w:r>
      <w:r w:rsidR="00F70895" w:rsidRPr="009B7225">
        <w:rPr>
          <w:rFonts w:cs="Times New Roman"/>
          <w:szCs w:val="24"/>
        </w:rPr>
        <w:t>dr</w:t>
      </w:r>
      <w:r w:rsidR="00506D52" w:rsidRPr="009B7225">
        <w:rPr>
          <w:rFonts w:cs="Times New Roman"/>
          <w:szCs w:val="24"/>
        </w:rPr>
        <w:t>ew</w:t>
      </w:r>
      <w:r w:rsidR="00F70895" w:rsidRPr="009B7225">
        <w:rPr>
          <w:rFonts w:cs="Times New Roman"/>
          <w:szCs w:val="24"/>
        </w:rPr>
        <w:t xml:space="preserve"> up a fu</w:t>
      </w:r>
      <w:r w:rsidR="00ED5CFA" w:rsidRPr="009B7225">
        <w:rPr>
          <w:rFonts w:cs="Times New Roman"/>
          <w:szCs w:val="24"/>
        </w:rPr>
        <w:t>ll draft treaty on the subject</w:t>
      </w:r>
      <w:r w:rsidR="00F70895" w:rsidRPr="009B7225">
        <w:rPr>
          <w:rFonts w:cs="Times New Roman"/>
          <w:szCs w:val="24"/>
        </w:rPr>
        <w:t>.</w:t>
      </w:r>
      <w:r w:rsidR="00ED5CFA" w:rsidRPr="009B7225">
        <w:rPr>
          <w:rStyle w:val="FootnoteReference"/>
          <w:rFonts w:cs="Times New Roman"/>
          <w:szCs w:val="24"/>
        </w:rPr>
        <w:footnoteReference w:id="18"/>
      </w:r>
    </w:p>
    <w:p w14:paraId="7D215FB6" w14:textId="36D06AED" w:rsidR="00EC5E4C" w:rsidRPr="009B7225" w:rsidRDefault="003F03C4" w:rsidP="0017445E">
      <w:pPr>
        <w:spacing w:line="480" w:lineRule="auto"/>
        <w:ind w:firstLine="720"/>
        <w:jc w:val="both"/>
        <w:rPr>
          <w:rFonts w:cs="Times New Roman"/>
          <w:szCs w:val="24"/>
        </w:rPr>
      </w:pPr>
      <w:r w:rsidRPr="009B7225">
        <w:rPr>
          <w:rFonts w:cs="Times New Roman"/>
          <w:szCs w:val="24"/>
        </w:rPr>
        <w:t>H</w:t>
      </w:r>
      <w:r w:rsidR="00F70895" w:rsidRPr="009B7225">
        <w:rPr>
          <w:rFonts w:cs="Times New Roman"/>
          <w:szCs w:val="24"/>
        </w:rPr>
        <w:t xml:space="preserve">owever, while a cyber </w:t>
      </w:r>
      <w:r w:rsidR="000257D3" w:rsidRPr="009B7225">
        <w:rPr>
          <w:rFonts w:cs="Times New Roman"/>
          <w:szCs w:val="24"/>
        </w:rPr>
        <w:t>security</w:t>
      </w:r>
      <w:r w:rsidR="00F70895" w:rsidRPr="009B7225">
        <w:rPr>
          <w:rFonts w:cs="Times New Roman"/>
          <w:szCs w:val="24"/>
        </w:rPr>
        <w:t xml:space="preserve"> treaty is appealing in theory</w:t>
      </w:r>
      <w:r w:rsidR="007F4777" w:rsidRPr="009B7225">
        <w:rPr>
          <w:rFonts w:cs="Times New Roman"/>
          <w:szCs w:val="24"/>
        </w:rPr>
        <w:t xml:space="preserve"> (because it would</w:t>
      </w:r>
      <w:r w:rsidR="00930C00" w:rsidRPr="009B7225">
        <w:rPr>
          <w:rFonts w:cs="Times New Roman"/>
          <w:szCs w:val="24"/>
        </w:rPr>
        <w:t>, one might hope,</w:t>
      </w:r>
      <w:r w:rsidR="007F4777" w:rsidRPr="009B7225">
        <w:rPr>
          <w:rFonts w:cs="Times New Roman"/>
          <w:szCs w:val="24"/>
        </w:rPr>
        <w:t xml:space="preserve"> provide clear and explicit rules </w:t>
      </w:r>
      <w:r w:rsidR="00930C00" w:rsidRPr="009B7225">
        <w:rPr>
          <w:rFonts w:cs="Times New Roman"/>
          <w:szCs w:val="24"/>
        </w:rPr>
        <w:t>aimed at</w:t>
      </w:r>
      <w:r w:rsidR="007F4777" w:rsidRPr="009B7225">
        <w:rPr>
          <w:rFonts w:cs="Times New Roman"/>
          <w:szCs w:val="24"/>
        </w:rPr>
        <w:t xml:space="preserve"> </w:t>
      </w:r>
      <w:r w:rsidR="00DB3374" w:rsidRPr="009B7225">
        <w:rPr>
          <w:rFonts w:cs="Times New Roman"/>
          <w:szCs w:val="24"/>
        </w:rPr>
        <w:t>lessening the likelihood of</w:t>
      </w:r>
      <w:r w:rsidR="007F4777" w:rsidRPr="009B7225">
        <w:rPr>
          <w:rFonts w:cs="Times New Roman"/>
          <w:szCs w:val="24"/>
        </w:rPr>
        <w:t xml:space="preserve"> large-scale cyber threats materialising)</w:t>
      </w:r>
      <w:r w:rsidR="00F70895" w:rsidRPr="009B7225">
        <w:rPr>
          <w:rFonts w:cs="Times New Roman"/>
          <w:szCs w:val="24"/>
        </w:rPr>
        <w:t xml:space="preserve">, in practice </w:t>
      </w:r>
      <w:r w:rsidR="007F4777" w:rsidRPr="009B7225">
        <w:rPr>
          <w:rFonts w:cs="Times New Roman"/>
          <w:szCs w:val="24"/>
        </w:rPr>
        <w:t>any such treaty</w:t>
      </w:r>
      <w:r w:rsidR="00F70895" w:rsidRPr="009B7225">
        <w:rPr>
          <w:rFonts w:cs="Times New Roman"/>
          <w:szCs w:val="24"/>
        </w:rPr>
        <w:t xml:space="preserve"> is extremely unlikel</w:t>
      </w:r>
      <w:r w:rsidR="00ED5CFA" w:rsidRPr="009B7225">
        <w:rPr>
          <w:rFonts w:cs="Times New Roman"/>
          <w:szCs w:val="24"/>
        </w:rPr>
        <w:t>y to emerge</w:t>
      </w:r>
      <w:r w:rsidR="007F4777" w:rsidRPr="009B7225">
        <w:rPr>
          <w:rFonts w:cs="Times New Roman"/>
          <w:szCs w:val="24"/>
        </w:rPr>
        <w:t>, at least any time soon</w:t>
      </w:r>
      <w:r w:rsidR="00F70895" w:rsidRPr="009B7225">
        <w:rPr>
          <w:rFonts w:cs="Times New Roman"/>
          <w:szCs w:val="24"/>
        </w:rPr>
        <w:t>.</w:t>
      </w:r>
      <w:r w:rsidR="00ED5CFA" w:rsidRPr="009B7225">
        <w:rPr>
          <w:rStyle w:val="FootnoteReference"/>
          <w:rFonts w:cs="Times New Roman"/>
          <w:szCs w:val="24"/>
        </w:rPr>
        <w:footnoteReference w:id="19"/>
      </w:r>
      <w:r w:rsidR="00223DFD" w:rsidRPr="009B7225">
        <w:rPr>
          <w:rFonts w:cs="Times New Roman"/>
          <w:szCs w:val="24"/>
        </w:rPr>
        <w:t xml:space="preserve"> </w:t>
      </w:r>
      <w:r w:rsidR="00F70895" w:rsidRPr="009B7225">
        <w:rPr>
          <w:rFonts w:cs="Times New Roman"/>
          <w:szCs w:val="24"/>
        </w:rPr>
        <w:t xml:space="preserve">There </w:t>
      </w:r>
      <w:r w:rsidR="00223DFD" w:rsidRPr="009B7225">
        <w:rPr>
          <w:rFonts w:cs="Times New Roman"/>
          <w:szCs w:val="24"/>
        </w:rPr>
        <w:t>exist</w:t>
      </w:r>
      <w:r w:rsidR="00F70895" w:rsidRPr="009B7225">
        <w:rPr>
          <w:rFonts w:cs="Times New Roman"/>
          <w:szCs w:val="24"/>
        </w:rPr>
        <w:t xml:space="preserve"> deep rooted differences of opinion </w:t>
      </w:r>
      <w:r w:rsidR="00277AEE" w:rsidRPr="009B7225">
        <w:rPr>
          <w:rFonts w:cs="Times New Roman"/>
          <w:szCs w:val="24"/>
        </w:rPr>
        <w:t xml:space="preserve">among states </w:t>
      </w:r>
      <w:r w:rsidR="00F70895" w:rsidRPr="009B7225">
        <w:rPr>
          <w:rFonts w:cs="Times New Roman"/>
          <w:szCs w:val="24"/>
        </w:rPr>
        <w:t xml:space="preserve">as to </w:t>
      </w:r>
      <w:r w:rsidR="00506D52" w:rsidRPr="009B7225">
        <w:rPr>
          <w:rFonts w:cs="Times New Roman"/>
          <w:szCs w:val="24"/>
        </w:rPr>
        <w:t xml:space="preserve">what form any future treaty </w:t>
      </w:r>
      <w:r w:rsidR="007F4777" w:rsidRPr="009B7225">
        <w:rPr>
          <w:rFonts w:cs="Times New Roman"/>
          <w:szCs w:val="24"/>
        </w:rPr>
        <w:t>sh</w:t>
      </w:r>
      <w:r w:rsidR="00506D52" w:rsidRPr="009B7225">
        <w:rPr>
          <w:rFonts w:cs="Times New Roman"/>
          <w:szCs w:val="24"/>
        </w:rPr>
        <w:t>ould take</w:t>
      </w:r>
      <w:r w:rsidR="0091768C" w:rsidRPr="009B7225">
        <w:rPr>
          <w:rFonts w:cs="Times New Roman"/>
          <w:szCs w:val="24"/>
        </w:rPr>
        <w:t>.</w:t>
      </w:r>
      <w:r w:rsidR="00F70895" w:rsidRPr="009B7225">
        <w:rPr>
          <w:rFonts w:cs="Times New Roman"/>
          <w:szCs w:val="24"/>
        </w:rPr>
        <w:t xml:space="preserve"> </w:t>
      </w:r>
      <w:r w:rsidR="00A37BAF">
        <w:rPr>
          <w:rFonts w:cs="Times New Roman"/>
          <w:szCs w:val="24"/>
        </w:rPr>
        <w:t xml:space="preserve">For example, </w:t>
      </w:r>
      <w:r w:rsidR="00F70895" w:rsidRPr="009B7225">
        <w:rPr>
          <w:rFonts w:cs="Times New Roman"/>
          <w:szCs w:val="24"/>
        </w:rPr>
        <w:t xml:space="preserve">Russia has </w:t>
      </w:r>
      <w:r w:rsidR="007F4777" w:rsidRPr="009B7225">
        <w:rPr>
          <w:rFonts w:cs="Times New Roman"/>
          <w:szCs w:val="24"/>
        </w:rPr>
        <w:t xml:space="preserve">essentially sought a cyber </w:t>
      </w:r>
      <w:r w:rsidR="00F70895" w:rsidRPr="009B7225">
        <w:rPr>
          <w:rFonts w:cs="Times New Roman"/>
          <w:szCs w:val="24"/>
        </w:rPr>
        <w:t>arms control agreement</w:t>
      </w:r>
      <w:r w:rsidR="007F4777" w:rsidRPr="009B7225">
        <w:rPr>
          <w:rFonts w:cs="Times New Roman"/>
          <w:szCs w:val="24"/>
        </w:rPr>
        <w:t xml:space="preserve">, which </w:t>
      </w:r>
      <w:r w:rsidR="00CE45BC" w:rsidRPr="009B7225">
        <w:rPr>
          <w:rFonts w:cs="Times New Roman"/>
          <w:szCs w:val="24"/>
        </w:rPr>
        <w:t>would be</w:t>
      </w:r>
      <w:r w:rsidR="007F4777" w:rsidRPr="009B7225">
        <w:rPr>
          <w:rFonts w:cs="Times New Roman"/>
          <w:szCs w:val="24"/>
        </w:rPr>
        <w:t xml:space="preserve"> </w:t>
      </w:r>
      <w:r w:rsidR="00F9102C">
        <w:rPr>
          <w:rFonts w:cs="Times New Roman"/>
          <w:szCs w:val="24"/>
        </w:rPr>
        <w:t xml:space="preserve">broadly </w:t>
      </w:r>
      <w:r w:rsidR="007F4777" w:rsidRPr="009B7225">
        <w:rPr>
          <w:rFonts w:cs="Times New Roman"/>
          <w:szCs w:val="24"/>
        </w:rPr>
        <w:t>regulatory in nature</w:t>
      </w:r>
      <w:r w:rsidR="00A37BAF">
        <w:rPr>
          <w:rFonts w:cs="Times New Roman"/>
          <w:szCs w:val="24"/>
        </w:rPr>
        <w:t xml:space="preserve">. In contrast, </w:t>
      </w:r>
      <w:r w:rsidR="007A3043" w:rsidRPr="009B7225">
        <w:rPr>
          <w:rFonts w:cs="Times New Roman"/>
          <w:szCs w:val="24"/>
        </w:rPr>
        <w:t>the United St</w:t>
      </w:r>
      <w:r w:rsidR="00A37BAF">
        <w:rPr>
          <w:rFonts w:cs="Times New Roman"/>
          <w:szCs w:val="24"/>
        </w:rPr>
        <w:t xml:space="preserve">ates </w:t>
      </w:r>
      <w:r w:rsidR="00F70895" w:rsidRPr="009B7225">
        <w:rPr>
          <w:rFonts w:cs="Times New Roman"/>
          <w:szCs w:val="24"/>
        </w:rPr>
        <w:t xml:space="preserve">favours a very different approach, </w:t>
      </w:r>
      <w:r w:rsidR="00CE45BC" w:rsidRPr="009B7225">
        <w:rPr>
          <w:rFonts w:cs="Times New Roman"/>
          <w:szCs w:val="24"/>
        </w:rPr>
        <w:t>focussed</w:t>
      </w:r>
      <w:r w:rsidR="007F4777" w:rsidRPr="009B7225">
        <w:rPr>
          <w:rFonts w:cs="Times New Roman"/>
          <w:szCs w:val="24"/>
        </w:rPr>
        <w:t xml:space="preserve"> on </w:t>
      </w:r>
      <w:r w:rsidR="002352F3" w:rsidRPr="009B7225">
        <w:rPr>
          <w:rFonts w:cs="Times New Roman"/>
          <w:szCs w:val="24"/>
        </w:rPr>
        <w:t xml:space="preserve">a law-enforcement paradigm and </w:t>
      </w:r>
      <w:r w:rsidR="007F4777" w:rsidRPr="009B7225">
        <w:rPr>
          <w:rFonts w:cs="Times New Roman"/>
          <w:szCs w:val="24"/>
        </w:rPr>
        <w:t>pr</w:t>
      </w:r>
      <w:r w:rsidR="00CE45BC" w:rsidRPr="009B7225">
        <w:rPr>
          <w:rFonts w:cs="Times New Roman"/>
          <w:szCs w:val="24"/>
        </w:rPr>
        <w:t>ohibition rather than regulation</w:t>
      </w:r>
      <w:r w:rsidR="00F70895" w:rsidRPr="009B7225">
        <w:rPr>
          <w:rFonts w:cs="Times New Roman"/>
          <w:szCs w:val="24"/>
        </w:rPr>
        <w:t>.</w:t>
      </w:r>
      <w:r w:rsidR="00ED5CFA" w:rsidRPr="009B7225">
        <w:rPr>
          <w:rStyle w:val="FootnoteReference"/>
          <w:rFonts w:cs="Times New Roman"/>
          <w:szCs w:val="24"/>
        </w:rPr>
        <w:footnoteReference w:id="20"/>
      </w:r>
      <w:r w:rsidR="00930C00" w:rsidRPr="009B7225">
        <w:rPr>
          <w:rFonts w:cs="Times New Roman"/>
          <w:szCs w:val="24"/>
        </w:rPr>
        <w:t xml:space="preserve"> </w:t>
      </w:r>
      <w:r w:rsidR="0091768C" w:rsidRPr="009B7225">
        <w:rPr>
          <w:rFonts w:cs="Times New Roman"/>
          <w:szCs w:val="24"/>
        </w:rPr>
        <w:t>These fundamental disagreements mean that t</w:t>
      </w:r>
      <w:r w:rsidR="00EC5E4C" w:rsidRPr="009B7225">
        <w:rPr>
          <w:rFonts w:cs="Times New Roman"/>
          <w:szCs w:val="24"/>
        </w:rPr>
        <w:t>h</w:t>
      </w:r>
      <w:r w:rsidR="00F70895" w:rsidRPr="009B7225">
        <w:rPr>
          <w:rFonts w:cs="Times New Roman"/>
          <w:szCs w:val="24"/>
        </w:rPr>
        <w:t xml:space="preserve">e emergence of a treaty </w:t>
      </w:r>
      <w:r w:rsidR="005A37EF">
        <w:rPr>
          <w:rFonts w:cs="Times New Roman"/>
          <w:szCs w:val="24"/>
        </w:rPr>
        <w:t>specifically governing</w:t>
      </w:r>
      <w:r w:rsidR="00F70895" w:rsidRPr="009B7225">
        <w:rPr>
          <w:rFonts w:cs="Times New Roman"/>
          <w:szCs w:val="24"/>
        </w:rPr>
        <w:t xml:space="preserve"> </w:t>
      </w:r>
      <w:r w:rsidR="00506D52" w:rsidRPr="009B7225">
        <w:rPr>
          <w:rFonts w:cs="Times New Roman"/>
          <w:szCs w:val="24"/>
        </w:rPr>
        <w:t xml:space="preserve">large-scale </w:t>
      </w:r>
      <w:r w:rsidR="00F70895" w:rsidRPr="009B7225">
        <w:rPr>
          <w:rFonts w:cs="Times New Roman"/>
          <w:szCs w:val="24"/>
        </w:rPr>
        <w:t xml:space="preserve">cyber </w:t>
      </w:r>
      <w:r w:rsidR="00506D52" w:rsidRPr="009B7225">
        <w:rPr>
          <w:rFonts w:cs="Times New Roman"/>
          <w:szCs w:val="24"/>
        </w:rPr>
        <w:t>threats</w:t>
      </w:r>
      <w:r w:rsidR="00277AEE" w:rsidRPr="009B7225">
        <w:rPr>
          <w:rFonts w:cs="Times New Roman"/>
          <w:szCs w:val="24"/>
        </w:rPr>
        <w:t xml:space="preserve"> </w:t>
      </w:r>
      <w:r w:rsidR="007A3043" w:rsidRPr="009B7225">
        <w:rPr>
          <w:rFonts w:cs="Times New Roman"/>
          <w:szCs w:val="24"/>
        </w:rPr>
        <w:t xml:space="preserve">– or, at least, a treaty of this kind that would have widespread state support, and thus have any realistic chance of being </w:t>
      </w:r>
      <w:r w:rsidR="00A37BAF">
        <w:rPr>
          <w:rFonts w:cs="Times New Roman"/>
          <w:szCs w:val="24"/>
        </w:rPr>
        <w:t xml:space="preserve">at all </w:t>
      </w:r>
      <w:r w:rsidR="007A3043" w:rsidRPr="009B7225">
        <w:rPr>
          <w:rFonts w:cs="Times New Roman"/>
          <w:szCs w:val="24"/>
        </w:rPr>
        <w:t>effective – i</w:t>
      </w:r>
      <w:r w:rsidR="00277AEE" w:rsidRPr="009B7225">
        <w:rPr>
          <w:rFonts w:cs="Times New Roman"/>
          <w:szCs w:val="24"/>
        </w:rPr>
        <w:t>s</w:t>
      </w:r>
      <w:r w:rsidR="00223DFD" w:rsidRPr="009B7225">
        <w:rPr>
          <w:rFonts w:cs="Times New Roman"/>
          <w:szCs w:val="24"/>
        </w:rPr>
        <w:t xml:space="preserve"> quite simply</w:t>
      </w:r>
      <w:r w:rsidR="00F70895" w:rsidRPr="009B7225">
        <w:rPr>
          <w:rFonts w:cs="Times New Roman"/>
          <w:szCs w:val="24"/>
        </w:rPr>
        <w:t xml:space="preserve"> </w:t>
      </w:r>
      <w:r w:rsidR="00277AEE" w:rsidRPr="009B7225">
        <w:rPr>
          <w:rFonts w:cs="Times New Roman"/>
          <w:szCs w:val="24"/>
        </w:rPr>
        <w:t>a political impossibility</w:t>
      </w:r>
      <w:r w:rsidR="005A37EF">
        <w:rPr>
          <w:rFonts w:cs="Times New Roman"/>
          <w:szCs w:val="24"/>
        </w:rPr>
        <w:t xml:space="preserve"> at present</w:t>
      </w:r>
      <w:r w:rsidR="00EC5E4C" w:rsidRPr="009B7225">
        <w:rPr>
          <w:rFonts w:cs="Times New Roman"/>
          <w:szCs w:val="24"/>
        </w:rPr>
        <w:t>.</w:t>
      </w:r>
    </w:p>
    <w:p w14:paraId="0461D1DE" w14:textId="260E7C07" w:rsidR="00D75363" w:rsidRDefault="005A37EF" w:rsidP="0017445E">
      <w:pPr>
        <w:spacing w:line="480" w:lineRule="auto"/>
        <w:ind w:firstLine="720"/>
        <w:jc w:val="both"/>
        <w:rPr>
          <w:rFonts w:cs="Times New Roman"/>
          <w:szCs w:val="24"/>
        </w:rPr>
      </w:pPr>
      <w:r>
        <w:rPr>
          <w:rFonts w:cs="Times New Roman"/>
          <w:szCs w:val="24"/>
        </w:rPr>
        <w:t>T</w:t>
      </w:r>
      <w:r w:rsidR="004D4DD4" w:rsidRPr="009B7225">
        <w:rPr>
          <w:rFonts w:cs="Times New Roman"/>
          <w:szCs w:val="24"/>
        </w:rPr>
        <w:t xml:space="preserve">he lack of existing bespoke international law on cyber security, </w:t>
      </w:r>
      <w:r>
        <w:rPr>
          <w:rFonts w:cs="Times New Roman"/>
          <w:szCs w:val="24"/>
        </w:rPr>
        <w:t>coupled with</w:t>
      </w:r>
      <w:r w:rsidR="004D4DD4" w:rsidRPr="009B7225">
        <w:rPr>
          <w:rFonts w:cs="Times New Roman"/>
          <w:szCs w:val="24"/>
        </w:rPr>
        <w:t xml:space="preserve"> the unlikelihood of any new law on the subject emerging, </w:t>
      </w:r>
      <w:r>
        <w:rPr>
          <w:rFonts w:cs="Times New Roman"/>
          <w:szCs w:val="24"/>
        </w:rPr>
        <w:t xml:space="preserve">has led </w:t>
      </w:r>
      <w:r w:rsidR="004D4DD4" w:rsidRPr="009B7225">
        <w:rPr>
          <w:rFonts w:cs="Times New Roman"/>
          <w:szCs w:val="24"/>
        </w:rPr>
        <w:t xml:space="preserve">some commentators </w:t>
      </w:r>
      <w:r>
        <w:rPr>
          <w:rFonts w:cs="Times New Roman"/>
          <w:szCs w:val="24"/>
        </w:rPr>
        <w:t>to argue</w:t>
      </w:r>
      <w:r w:rsidR="004D4DD4" w:rsidRPr="009B7225">
        <w:rPr>
          <w:rFonts w:cs="Times New Roman"/>
          <w:szCs w:val="24"/>
        </w:rPr>
        <w:t xml:space="preserve"> that threats posed by cyberspace exist ‘in a legal netherworld’.</w:t>
      </w:r>
      <w:r w:rsidR="004D4DD4" w:rsidRPr="009B7225">
        <w:rPr>
          <w:rStyle w:val="FootnoteReference"/>
          <w:rFonts w:cs="Times New Roman"/>
          <w:szCs w:val="24"/>
        </w:rPr>
        <w:footnoteReference w:id="21"/>
      </w:r>
      <w:r w:rsidR="004D4DD4" w:rsidRPr="009B7225">
        <w:rPr>
          <w:rFonts w:cs="Times New Roman"/>
          <w:szCs w:val="24"/>
        </w:rPr>
        <w:t xml:space="preserve"> This is, in fact, incorrect. T</w:t>
      </w:r>
      <w:r w:rsidR="00EC5E4C" w:rsidRPr="009B7225">
        <w:rPr>
          <w:rFonts w:cs="Times New Roman"/>
          <w:szCs w:val="24"/>
        </w:rPr>
        <w:t>he</w:t>
      </w:r>
      <w:r w:rsidR="003F03C4" w:rsidRPr="009B7225">
        <w:rPr>
          <w:rFonts w:cs="Times New Roman"/>
          <w:szCs w:val="24"/>
        </w:rPr>
        <w:t xml:space="preserve"> majority view in the literature is that </w:t>
      </w:r>
      <w:r w:rsidR="004D4DD4" w:rsidRPr="009B7225">
        <w:rPr>
          <w:rFonts w:cs="Times New Roman"/>
          <w:szCs w:val="24"/>
        </w:rPr>
        <w:t xml:space="preserve">the </w:t>
      </w:r>
      <w:r w:rsidR="003F03C4" w:rsidRPr="009B7225">
        <w:rPr>
          <w:rFonts w:cs="Times New Roman"/>
          <w:szCs w:val="24"/>
        </w:rPr>
        <w:t xml:space="preserve">rules of international law </w:t>
      </w:r>
      <w:r w:rsidR="004D4DD4" w:rsidRPr="009B7225">
        <w:rPr>
          <w:rFonts w:cs="Times New Roman"/>
          <w:szCs w:val="24"/>
        </w:rPr>
        <w:t xml:space="preserve">that existed prior to the emergence of cyberspace </w:t>
      </w:r>
      <w:r w:rsidR="003F03C4" w:rsidRPr="009B7225">
        <w:rPr>
          <w:rFonts w:cs="Times New Roman"/>
          <w:szCs w:val="24"/>
        </w:rPr>
        <w:t>are applicable to</w:t>
      </w:r>
      <w:r w:rsidR="00DE7263" w:rsidRPr="009B7225">
        <w:rPr>
          <w:rFonts w:cs="Times New Roman"/>
          <w:szCs w:val="24"/>
        </w:rPr>
        <w:t xml:space="preserve"> </w:t>
      </w:r>
      <w:r w:rsidR="00ED5CFA" w:rsidRPr="009B7225">
        <w:rPr>
          <w:rFonts w:cs="Times New Roman"/>
          <w:szCs w:val="24"/>
        </w:rPr>
        <w:t>large-scale cyber threats</w:t>
      </w:r>
      <w:r w:rsidR="00DE7263" w:rsidRPr="009B7225">
        <w:rPr>
          <w:rFonts w:cs="Times New Roman"/>
          <w:szCs w:val="24"/>
        </w:rPr>
        <w:t xml:space="preserve">, and can act to limit the </w:t>
      </w:r>
      <w:r w:rsidR="004D4DD4" w:rsidRPr="009B7225">
        <w:rPr>
          <w:rFonts w:cs="Times New Roman"/>
          <w:szCs w:val="24"/>
        </w:rPr>
        <w:t>possibilities</w:t>
      </w:r>
      <w:r w:rsidR="00DE7263" w:rsidRPr="009B7225">
        <w:rPr>
          <w:rFonts w:cs="Times New Roman"/>
          <w:szCs w:val="24"/>
        </w:rPr>
        <w:t xml:space="preserve"> of them materialising</w:t>
      </w:r>
      <w:r w:rsidR="003F03C4" w:rsidRPr="009B7225">
        <w:rPr>
          <w:rFonts w:cs="Times New Roman"/>
          <w:szCs w:val="24"/>
        </w:rPr>
        <w:t>.</w:t>
      </w:r>
      <w:r w:rsidR="00ED5CFA" w:rsidRPr="009B7225">
        <w:rPr>
          <w:rStyle w:val="FootnoteReference"/>
          <w:rFonts w:cs="Times New Roman"/>
          <w:szCs w:val="24"/>
        </w:rPr>
        <w:footnoteReference w:id="22"/>
      </w:r>
      <w:r w:rsidR="003F03C4" w:rsidRPr="009B7225">
        <w:rPr>
          <w:rFonts w:cs="Times New Roman"/>
          <w:szCs w:val="24"/>
        </w:rPr>
        <w:t xml:space="preserve"> </w:t>
      </w:r>
      <w:r w:rsidR="004D4DD4" w:rsidRPr="009B7225">
        <w:rPr>
          <w:rFonts w:cs="Times New Roman"/>
          <w:szCs w:val="24"/>
        </w:rPr>
        <w:t>While</w:t>
      </w:r>
      <w:r w:rsidR="00EC5E4C" w:rsidRPr="009B7225">
        <w:rPr>
          <w:rFonts w:cs="Times New Roman"/>
          <w:szCs w:val="24"/>
        </w:rPr>
        <w:t xml:space="preserve"> </w:t>
      </w:r>
      <w:r w:rsidR="003F03C4" w:rsidRPr="009B7225">
        <w:rPr>
          <w:rFonts w:cs="Times New Roman"/>
          <w:szCs w:val="24"/>
        </w:rPr>
        <w:t>t</w:t>
      </w:r>
      <w:r w:rsidR="00EC5E4C" w:rsidRPr="009B7225">
        <w:rPr>
          <w:rFonts w:cs="Times New Roman"/>
          <w:szCs w:val="24"/>
        </w:rPr>
        <w:t>he widespread adoption of this</w:t>
      </w:r>
      <w:r w:rsidR="003F03C4" w:rsidRPr="009B7225">
        <w:rPr>
          <w:rFonts w:cs="Times New Roman"/>
          <w:szCs w:val="24"/>
        </w:rPr>
        <w:t xml:space="preserve"> </w:t>
      </w:r>
      <w:r w:rsidR="004D4DD4" w:rsidRPr="009B7225">
        <w:rPr>
          <w:rFonts w:cs="Times New Roman"/>
          <w:szCs w:val="24"/>
        </w:rPr>
        <w:t>position</w:t>
      </w:r>
      <w:r w:rsidR="003F03C4" w:rsidRPr="009B7225">
        <w:rPr>
          <w:rFonts w:cs="Times New Roman"/>
          <w:szCs w:val="24"/>
        </w:rPr>
        <w:t xml:space="preserve"> </w:t>
      </w:r>
      <w:r w:rsidR="004D4DD4" w:rsidRPr="009B7225">
        <w:rPr>
          <w:rFonts w:cs="Times New Roman"/>
          <w:szCs w:val="24"/>
        </w:rPr>
        <w:t xml:space="preserve">is probably, at least to an extent, </w:t>
      </w:r>
      <w:r w:rsidR="003F03C4" w:rsidRPr="009B7225">
        <w:rPr>
          <w:rFonts w:cs="Times New Roman"/>
          <w:szCs w:val="24"/>
        </w:rPr>
        <w:t xml:space="preserve">a pragmatic </w:t>
      </w:r>
      <w:r w:rsidR="00F9102C">
        <w:rPr>
          <w:rFonts w:cs="Times New Roman"/>
          <w:szCs w:val="24"/>
        </w:rPr>
        <w:t xml:space="preserve">academic </w:t>
      </w:r>
      <w:r w:rsidR="003F03C4" w:rsidRPr="009B7225">
        <w:rPr>
          <w:rFonts w:cs="Times New Roman"/>
          <w:szCs w:val="24"/>
        </w:rPr>
        <w:t xml:space="preserve">response to the fact that a cyber </w:t>
      </w:r>
      <w:r w:rsidR="001057D4" w:rsidRPr="009B7225">
        <w:rPr>
          <w:rFonts w:cs="Times New Roman"/>
          <w:szCs w:val="24"/>
        </w:rPr>
        <w:t xml:space="preserve">security </w:t>
      </w:r>
      <w:r w:rsidR="00F70895" w:rsidRPr="009B7225">
        <w:rPr>
          <w:rFonts w:cs="Times New Roman"/>
          <w:szCs w:val="24"/>
        </w:rPr>
        <w:t>treaty</w:t>
      </w:r>
      <w:r w:rsidR="003F03C4" w:rsidRPr="009B7225">
        <w:rPr>
          <w:rFonts w:cs="Times New Roman"/>
          <w:szCs w:val="24"/>
        </w:rPr>
        <w:t xml:space="preserve"> is</w:t>
      </w:r>
      <w:r w:rsidR="00015BBC">
        <w:rPr>
          <w:rFonts w:cs="Times New Roman"/>
          <w:szCs w:val="24"/>
        </w:rPr>
        <w:t xml:space="preserve"> clearly</w:t>
      </w:r>
      <w:r w:rsidR="003F03C4" w:rsidRPr="009B7225">
        <w:rPr>
          <w:rFonts w:cs="Times New Roman"/>
          <w:szCs w:val="24"/>
        </w:rPr>
        <w:t xml:space="preserve"> on</w:t>
      </w:r>
      <w:r w:rsidR="00EC5E4C" w:rsidRPr="009B7225">
        <w:rPr>
          <w:rFonts w:cs="Times New Roman"/>
          <w:szCs w:val="24"/>
        </w:rPr>
        <w:t xml:space="preserve"> the legal backburner</w:t>
      </w:r>
      <w:r w:rsidR="004D4DD4" w:rsidRPr="009B7225">
        <w:rPr>
          <w:rFonts w:cs="Times New Roman"/>
          <w:szCs w:val="24"/>
        </w:rPr>
        <w:t>, this does not mean that it is inaccurate</w:t>
      </w:r>
      <w:r w:rsidR="00EC5E4C" w:rsidRPr="009B7225">
        <w:rPr>
          <w:rFonts w:cs="Times New Roman"/>
          <w:szCs w:val="24"/>
        </w:rPr>
        <w:t xml:space="preserve">. New security threats have emerged in various guises throughout the </w:t>
      </w:r>
      <w:r w:rsidR="00072326" w:rsidRPr="009B7225">
        <w:rPr>
          <w:rFonts w:cs="Times New Roman"/>
          <w:szCs w:val="24"/>
        </w:rPr>
        <w:t>United Nations (UN)</w:t>
      </w:r>
      <w:r w:rsidR="00EC5E4C" w:rsidRPr="009B7225">
        <w:rPr>
          <w:rFonts w:cs="Times New Roman"/>
          <w:szCs w:val="24"/>
        </w:rPr>
        <w:t xml:space="preserve"> era, and there is nothing so inherently unique about cyberspace that means that existing </w:t>
      </w:r>
      <w:r w:rsidR="005F7031">
        <w:rPr>
          <w:rFonts w:cs="Times New Roman"/>
          <w:szCs w:val="24"/>
        </w:rPr>
        <w:t xml:space="preserve">legal </w:t>
      </w:r>
      <w:r w:rsidR="00EC5E4C" w:rsidRPr="009B7225">
        <w:rPr>
          <w:rFonts w:cs="Times New Roman"/>
          <w:szCs w:val="24"/>
        </w:rPr>
        <w:t>provisions are necessarily inapplicable to it.</w:t>
      </w:r>
      <w:r w:rsidR="004D4DD4" w:rsidRPr="009B7225">
        <w:rPr>
          <w:rStyle w:val="FootnoteReference"/>
          <w:rFonts w:cs="Times New Roman"/>
          <w:szCs w:val="24"/>
        </w:rPr>
        <w:footnoteReference w:id="23"/>
      </w:r>
      <w:r w:rsidR="00EC5E4C" w:rsidRPr="009B7225">
        <w:rPr>
          <w:rFonts w:cs="Times New Roman"/>
          <w:szCs w:val="24"/>
        </w:rPr>
        <w:t xml:space="preserve">  </w:t>
      </w:r>
    </w:p>
    <w:p w14:paraId="37BCDD55" w14:textId="5B972133" w:rsidR="00DE7263" w:rsidRPr="009B7225" w:rsidRDefault="00EC5E4C" w:rsidP="0017445E">
      <w:pPr>
        <w:spacing w:line="480" w:lineRule="auto"/>
        <w:ind w:firstLine="720"/>
        <w:jc w:val="both"/>
        <w:rPr>
          <w:rFonts w:cs="Times New Roman"/>
          <w:szCs w:val="24"/>
        </w:rPr>
      </w:pPr>
      <w:r w:rsidRPr="009B7225">
        <w:rPr>
          <w:rFonts w:cs="Times New Roman"/>
          <w:szCs w:val="24"/>
        </w:rPr>
        <w:t>Equally, t</w:t>
      </w:r>
      <w:r w:rsidR="007A3043" w:rsidRPr="009B7225">
        <w:rPr>
          <w:rFonts w:cs="Times New Roman"/>
          <w:szCs w:val="24"/>
        </w:rPr>
        <w:t xml:space="preserve">he application of </w:t>
      </w:r>
      <w:r w:rsidR="0091768C" w:rsidRPr="009B7225">
        <w:rPr>
          <w:rFonts w:cs="Times New Roman"/>
          <w:szCs w:val="24"/>
        </w:rPr>
        <w:t>rules</w:t>
      </w:r>
      <w:r w:rsidRPr="009B7225">
        <w:rPr>
          <w:rFonts w:cs="Times New Roman"/>
          <w:szCs w:val="24"/>
        </w:rPr>
        <w:t xml:space="preserve"> of</w:t>
      </w:r>
      <w:r w:rsidR="007A3043" w:rsidRPr="009B7225">
        <w:rPr>
          <w:rFonts w:cs="Times New Roman"/>
          <w:szCs w:val="24"/>
        </w:rPr>
        <w:t xml:space="preserve"> international law</w:t>
      </w:r>
      <w:r w:rsidRPr="009B7225">
        <w:rPr>
          <w:rFonts w:cs="Times New Roman"/>
          <w:szCs w:val="24"/>
        </w:rPr>
        <w:t xml:space="preserve"> created prior to the advent of cyberspace to modern cyber threats</w:t>
      </w:r>
      <w:r w:rsidR="007A3043" w:rsidRPr="009B7225">
        <w:rPr>
          <w:rFonts w:cs="Times New Roman"/>
          <w:szCs w:val="24"/>
        </w:rPr>
        <w:t xml:space="preserve"> will obviously be somewhat anachronistic.</w:t>
      </w:r>
      <w:r w:rsidR="007A3043" w:rsidRPr="009B7225">
        <w:rPr>
          <w:rStyle w:val="FootnoteReference"/>
          <w:rFonts w:cs="Times New Roman"/>
          <w:szCs w:val="24"/>
        </w:rPr>
        <w:footnoteReference w:id="24"/>
      </w:r>
      <w:r w:rsidR="007A3043" w:rsidRPr="009B7225">
        <w:rPr>
          <w:rFonts w:cs="Times New Roman"/>
          <w:szCs w:val="24"/>
        </w:rPr>
        <w:t xml:space="preserve"> </w:t>
      </w:r>
      <w:r w:rsidR="005A37EF">
        <w:rPr>
          <w:rFonts w:cs="Times New Roman"/>
          <w:szCs w:val="24"/>
        </w:rPr>
        <w:t>W</w:t>
      </w:r>
      <w:r w:rsidR="007A3043" w:rsidRPr="009B7225">
        <w:rPr>
          <w:rFonts w:cs="Times New Roman"/>
          <w:szCs w:val="24"/>
        </w:rPr>
        <w:t xml:space="preserve">hile it must be correct that </w:t>
      </w:r>
      <w:r w:rsidR="00DE7263" w:rsidRPr="009B7225">
        <w:rPr>
          <w:rFonts w:cs="Times New Roman"/>
          <w:szCs w:val="24"/>
        </w:rPr>
        <w:t>existing</w:t>
      </w:r>
      <w:r w:rsidR="007A3043" w:rsidRPr="009B7225">
        <w:rPr>
          <w:rFonts w:cs="Times New Roman"/>
          <w:szCs w:val="24"/>
        </w:rPr>
        <w:t xml:space="preserve"> </w:t>
      </w:r>
      <w:r w:rsidR="00DE7263" w:rsidRPr="009B7225">
        <w:rPr>
          <w:rFonts w:cs="Times New Roman"/>
          <w:szCs w:val="24"/>
        </w:rPr>
        <w:t xml:space="preserve">international </w:t>
      </w:r>
      <w:r w:rsidR="007A3043" w:rsidRPr="009B7225">
        <w:rPr>
          <w:rFonts w:cs="Times New Roman"/>
          <w:szCs w:val="24"/>
        </w:rPr>
        <w:t xml:space="preserve">law </w:t>
      </w:r>
      <w:r w:rsidR="00DE7263" w:rsidRPr="009B7225">
        <w:rPr>
          <w:rFonts w:cs="Times New Roman"/>
          <w:szCs w:val="24"/>
        </w:rPr>
        <w:t xml:space="preserve">is (or </w:t>
      </w:r>
      <w:r w:rsidR="007A3043" w:rsidRPr="009B7225">
        <w:rPr>
          <w:rFonts w:cs="Times New Roman"/>
          <w:szCs w:val="24"/>
        </w:rPr>
        <w:t>can be</w:t>
      </w:r>
      <w:r w:rsidR="00DE7263" w:rsidRPr="009B7225">
        <w:rPr>
          <w:rFonts w:cs="Times New Roman"/>
          <w:szCs w:val="24"/>
        </w:rPr>
        <w:t>)</w:t>
      </w:r>
      <w:r w:rsidR="007A3043" w:rsidRPr="009B7225">
        <w:rPr>
          <w:rFonts w:cs="Times New Roman"/>
          <w:szCs w:val="24"/>
        </w:rPr>
        <w:t xml:space="preserve"> </w:t>
      </w:r>
      <w:r w:rsidR="007A3043" w:rsidRPr="009B7225">
        <w:rPr>
          <w:rFonts w:cs="Times New Roman"/>
          <w:i/>
          <w:szCs w:val="24"/>
        </w:rPr>
        <w:t>applicable</w:t>
      </w:r>
      <w:r w:rsidRPr="009B7225">
        <w:rPr>
          <w:rFonts w:cs="Times New Roman"/>
          <w:szCs w:val="24"/>
        </w:rPr>
        <w:t xml:space="preserve"> to cyber</w:t>
      </w:r>
      <w:r w:rsidR="00DE7263" w:rsidRPr="009B7225">
        <w:rPr>
          <w:rFonts w:cs="Times New Roman"/>
          <w:szCs w:val="24"/>
        </w:rPr>
        <w:t xml:space="preserve"> threats</w:t>
      </w:r>
      <w:r w:rsidR="007A3043" w:rsidRPr="009B7225">
        <w:rPr>
          <w:rFonts w:cs="Times New Roman"/>
          <w:szCs w:val="24"/>
        </w:rPr>
        <w:t xml:space="preserve">, </w:t>
      </w:r>
      <w:r w:rsidR="00DE7263" w:rsidRPr="009B7225">
        <w:rPr>
          <w:rFonts w:cs="Times New Roman"/>
          <w:szCs w:val="24"/>
        </w:rPr>
        <w:t xml:space="preserve">the actual </w:t>
      </w:r>
      <w:r w:rsidR="00DE7263" w:rsidRPr="009B7225">
        <w:rPr>
          <w:rFonts w:cs="Times New Roman"/>
          <w:i/>
          <w:szCs w:val="24"/>
        </w:rPr>
        <w:t>application</w:t>
      </w:r>
      <w:r w:rsidR="005F66AB">
        <w:rPr>
          <w:rFonts w:cs="Times New Roman"/>
          <w:szCs w:val="24"/>
        </w:rPr>
        <w:t xml:space="preserve"> of ‘old’</w:t>
      </w:r>
      <w:r w:rsidR="00DE7263" w:rsidRPr="009B7225">
        <w:rPr>
          <w:rFonts w:cs="Times New Roman"/>
          <w:szCs w:val="24"/>
        </w:rPr>
        <w:t xml:space="preserve"> law to such threats is neither self-evident nor straightforward.</w:t>
      </w:r>
      <w:r w:rsidR="005A37EF">
        <w:rPr>
          <w:rFonts w:cs="Times New Roman"/>
          <w:szCs w:val="24"/>
        </w:rPr>
        <w:t xml:space="preserve"> This is amplified by the fact that </w:t>
      </w:r>
      <w:r w:rsidR="003532AE">
        <w:rPr>
          <w:rFonts w:cs="Times New Roman"/>
          <w:szCs w:val="24"/>
        </w:rPr>
        <w:t xml:space="preserve">there </w:t>
      </w:r>
      <w:r w:rsidR="00FA1CC6">
        <w:rPr>
          <w:rFonts w:cs="Times New Roman"/>
          <w:szCs w:val="24"/>
        </w:rPr>
        <w:t>remains</w:t>
      </w:r>
      <w:r w:rsidR="003532AE">
        <w:rPr>
          <w:rFonts w:cs="Times New Roman"/>
          <w:szCs w:val="24"/>
        </w:rPr>
        <w:t xml:space="preserve"> relatively little guidance from states as to how </w:t>
      </w:r>
      <w:r w:rsidR="00372248">
        <w:rPr>
          <w:rFonts w:cs="Times New Roman"/>
          <w:szCs w:val="24"/>
        </w:rPr>
        <w:t>the law is</w:t>
      </w:r>
      <w:r w:rsidR="003532AE">
        <w:rPr>
          <w:rFonts w:cs="Times New Roman"/>
          <w:szCs w:val="24"/>
        </w:rPr>
        <w:t xml:space="preserve"> to be </w:t>
      </w:r>
      <w:r w:rsidR="00A37BAF">
        <w:rPr>
          <w:rFonts w:cs="Times New Roman"/>
          <w:szCs w:val="24"/>
        </w:rPr>
        <w:t xml:space="preserve">applied to cyberspace, either in the form of practice or </w:t>
      </w:r>
      <w:r w:rsidR="00A37BAF" w:rsidRPr="00A37BAF">
        <w:rPr>
          <w:rFonts w:cs="Times New Roman"/>
          <w:i/>
          <w:szCs w:val="24"/>
        </w:rPr>
        <w:t>opinio juris</w:t>
      </w:r>
      <w:r w:rsidR="00A37BAF">
        <w:rPr>
          <w:rFonts w:cs="Times New Roman"/>
          <w:szCs w:val="24"/>
        </w:rPr>
        <w:t>: it is worth keeping in mind that m</w:t>
      </w:r>
      <w:r w:rsidR="00372248">
        <w:rPr>
          <w:rFonts w:cs="Times New Roman"/>
          <w:szCs w:val="24"/>
        </w:rPr>
        <w:t xml:space="preserve">uch of the discussion </w:t>
      </w:r>
      <w:r w:rsidR="00A37BAF">
        <w:rPr>
          <w:rFonts w:cs="Times New Roman"/>
          <w:szCs w:val="24"/>
        </w:rPr>
        <w:t xml:space="preserve">over how best to mobilise existing legal provisions to guard against cyber threats has been left to </w:t>
      </w:r>
      <w:r w:rsidR="00372248">
        <w:rPr>
          <w:rFonts w:cs="Times New Roman"/>
          <w:szCs w:val="24"/>
        </w:rPr>
        <w:t>academic</w:t>
      </w:r>
      <w:r w:rsidR="00A37BAF">
        <w:rPr>
          <w:rFonts w:cs="Times New Roman"/>
          <w:szCs w:val="24"/>
        </w:rPr>
        <w:t>s</w:t>
      </w:r>
      <w:r w:rsidR="00372248">
        <w:rPr>
          <w:rFonts w:cs="Times New Roman"/>
          <w:szCs w:val="24"/>
        </w:rPr>
        <w:t>.</w:t>
      </w:r>
      <w:r w:rsidR="00FA1CC6">
        <w:rPr>
          <w:rStyle w:val="FootnoteReference"/>
          <w:rFonts w:cs="Times New Roman"/>
          <w:szCs w:val="24"/>
        </w:rPr>
        <w:footnoteReference w:id="25"/>
      </w:r>
    </w:p>
    <w:p w14:paraId="6383DBBF" w14:textId="4CC32AA1" w:rsidR="00CD3847" w:rsidRDefault="009A7338" w:rsidP="0017445E">
      <w:pPr>
        <w:spacing w:line="480" w:lineRule="auto"/>
        <w:ind w:firstLine="720"/>
        <w:jc w:val="both"/>
        <w:rPr>
          <w:rFonts w:cs="Times New Roman"/>
          <w:szCs w:val="24"/>
        </w:rPr>
      </w:pPr>
      <w:r>
        <w:rPr>
          <w:rFonts w:cs="Times New Roman"/>
          <w:szCs w:val="24"/>
        </w:rPr>
        <w:t>T</w:t>
      </w:r>
      <w:r w:rsidR="00412797">
        <w:rPr>
          <w:rFonts w:cs="Times New Roman"/>
          <w:szCs w:val="24"/>
        </w:rPr>
        <w:t xml:space="preserve">he </w:t>
      </w:r>
      <w:r w:rsidR="00412797" w:rsidRPr="009A7338">
        <w:rPr>
          <w:rFonts w:cs="Times New Roman"/>
          <w:szCs w:val="24"/>
        </w:rPr>
        <w:t>academic</w:t>
      </w:r>
      <w:r w:rsidR="00412797">
        <w:rPr>
          <w:rFonts w:cs="Times New Roman"/>
          <w:szCs w:val="24"/>
        </w:rPr>
        <w:t xml:space="preserve"> focus </w:t>
      </w:r>
      <w:r>
        <w:rPr>
          <w:rFonts w:cs="Times New Roman"/>
          <w:szCs w:val="24"/>
        </w:rPr>
        <w:t xml:space="preserve">in relation to large-scale cyber threats </w:t>
      </w:r>
      <w:r w:rsidR="00412797">
        <w:rPr>
          <w:rFonts w:cs="Times New Roman"/>
          <w:szCs w:val="24"/>
        </w:rPr>
        <w:t xml:space="preserve">has </w:t>
      </w:r>
      <w:r w:rsidR="003532AE">
        <w:rPr>
          <w:rFonts w:cs="Times New Roman"/>
          <w:szCs w:val="24"/>
        </w:rPr>
        <w:t>predominantly</w:t>
      </w:r>
      <w:r w:rsidR="00412797">
        <w:rPr>
          <w:rFonts w:cs="Times New Roman"/>
          <w:szCs w:val="24"/>
        </w:rPr>
        <w:t xml:space="preserve"> been on the </w:t>
      </w:r>
      <w:r w:rsidR="003532AE">
        <w:rPr>
          <w:rFonts w:cs="Times New Roman"/>
          <w:szCs w:val="24"/>
        </w:rPr>
        <w:t xml:space="preserve">existing </w:t>
      </w:r>
      <w:r w:rsidR="00395A4A" w:rsidRPr="009B7225">
        <w:rPr>
          <w:rFonts w:cs="Times New Roman"/>
          <w:szCs w:val="24"/>
        </w:rPr>
        <w:t xml:space="preserve">provisions of </w:t>
      </w:r>
      <w:r w:rsidR="003532AE">
        <w:rPr>
          <w:rFonts w:cs="Times New Roman"/>
          <w:szCs w:val="24"/>
        </w:rPr>
        <w:t xml:space="preserve">international law that govern military action. </w:t>
      </w:r>
      <w:r w:rsidR="00372248">
        <w:rPr>
          <w:rFonts w:cs="Times New Roman"/>
          <w:szCs w:val="24"/>
        </w:rPr>
        <w:t>Particularly</w:t>
      </w:r>
      <w:r w:rsidR="008E4E50">
        <w:rPr>
          <w:rFonts w:cs="Times New Roman"/>
          <w:szCs w:val="24"/>
        </w:rPr>
        <w:t xml:space="preserve">, much ink has been spilt over the </w:t>
      </w:r>
      <w:r w:rsidR="00C9210A">
        <w:rPr>
          <w:rFonts w:cs="Times New Roman"/>
          <w:szCs w:val="24"/>
        </w:rPr>
        <w:t>application to</w:t>
      </w:r>
      <w:r w:rsidR="008E4E50">
        <w:rPr>
          <w:rFonts w:cs="Times New Roman"/>
          <w:szCs w:val="24"/>
        </w:rPr>
        <w:t xml:space="preserve"> cyber threats </w:t>
      </w:r>
      <w:r w:rsidR="00C9210A">
        <w:rPr>
          <w:rFonts w:cs="Times New Roman"/>
          <w:szCs w:val="24"/>
        </w:rPr>
        <w:t>of</w:t>
      </w:r>
      <w:r w:rsidR="008E4E50">
        <w:rPr>
          <w:rFonts w:cs="Times New Roman"/>
          <w:szCs w:val="24"/>
        </w:rPr>
        <w:t xml:space="preserve"> the </w:t>
      </w:r>
      <w:r w:rsidR="00412797">
        <w:rPr>
          <w:rFonts w:cs="Times New Roman"/>
          <w:szCs w:val="24"/>
        </w:rPr>
        <w:t xml:space="preserve">two branches of </w:t>
      </w:r>
      <w:r w:rsidR="008E4E50">
        <w:rPr>
          <w:rFonts w:cs="Times New Roman"/>
          <w:szCs w:val="24"/>
        </w:rPr>
        <w:t>international</w:t>
      </w:r>
      <w:r w:rsidR="00412797">
        <w:rPr>
          <w:rFonts w:cs="Times New Roman"/>
          <w:szCs w:val="24"/>
        </w:rPr>
        <w:t xml:space="preserve"> law that relate to military force and warfare: </w:t>
      </w:r>
      <w:r w:rsidR="00395A4A" w:rsidRPr="009B7225">
        <w:rPr>
          <w:rFonts w:cs="Times New Roman"/>
          <w:szCs w:val="24"/>
        </w:rPr>
        <w:t xml:space="preserve">the </w:t>
      </w:r>
      <w:r w:rsidR="00395A4A" w:rsidRPr="009B7225">
        <w:rPr>
          <w:rFonts w:cs="Times New Roman"/>
          <w:i/>
          <w:szCs w:val="24"/>
        </w:rPr>
        <w:t>jus ad bellum</w:t>
      </w:r>
      <w:r w:rsidR="00395A4A" w:rsidRPr="009B7225">
        <w:rPr>
          <w:rFonts w:cs="Times New Roman"/>
          <w:szCs w:val="24"/>
        </w:rPr>
        <w:t xml:space="preserve"> </w:t>
      </w:r>
      <w:r w:rsidR="00412797">
        <w:rPr>
          <w:rFonts w:cs="Times New Roman"/>
          <w:szCs w:val="24"/>
        </w:rPr>
        <w:t xml:space="preserve">and the </w:t>
      </w:r>
      <w:r w:rsidR="00182592">
        <w:rPr>
          <w:rFonts w:cs="Times New Roman"/>
          <w:i/>
          <w:szCs w:val="24"/>
        </w:rPr>
        <w:t>jus i</w:t>
      </w:r>
      <w:r w:rsidR="00412797" w:rsidRPr="00412797">
        <w:rPr>
          <w:rFonts w:cs="Times New Roman"/>
          <w:i/>
          <w:szCs w:val="24"/>
        </w:rPr>
        <w:t>n bello</w:t>
      </w:r>
      <w:r w:rsidR="00412797">
        <w:rPr>
          <w:rFonts w:cs="Times New Roman"/>
          <w:szCs w:val="24"/>
        </w:rPr>
        <w:t xml:space="preserve">. The former of these </w:t>
      </w:r>
      <w:r>
        <w:rPr>
          <w:rFonts w:cs="Times New Roman"/>
          <w:szCs w:val="24"/>
        </w:rPr>
        <w:t>concerns</w:t>
      </w:r>
      <w:r w:rsidR="00412797">
        <w:rPr>
          <w:rFonts w:cs="Times New Roman"/>
          <w:szCs w:val="24"/>
        </w:rPr>
        <w:t xml:space="preserve"> the general prohibition of </w:t>
      </w:r>
      <w:r w:rsidR="003532AE">
        <w:rPr>
          <w:rFonts w:cs="Times New Roman"/>
          <w:szCs w:val="24"/>
        </w:rPr>
        <w:t xml:space="preserve">military </w:t>
      </w:r>
      <w:r w:rsidR="00412797">
        <w:rPr>
          <w:rFonts w:cs="Times New Roman"/>
          <w:szCs w:val="24"/>
        </w:rPr>
        <w:t>force</w:t>
      </w:r>
      <w:r w:rsidR="003532AE">
        <w:rPr>
          <w:rFonts w:cs="Times New Roman"/>
          <w:szCs w:val="24"/>
        </w:rPr>
        <w:t xml:space="preserve"> and its exceptions</w:t>
      </w:r>
      <w:r w:rsidR="00412797">
        <w:rPr>
          <w:rFonts w:cs="Times New Roman"/>
          <w:szCs w:val="24"/>
        </w:rPr>
        <w:t xml:space="preserve">, and thus </w:t>
      </w:r>
      <w:r w:rsidR="003532AE">
        <w:rPr>
          <w:rFonts w:cs="Times New Roman"/>
          <w:szCs w:val="24"/>
        </w:rPr>
        <w:t xml:space="preserve">relates to </w:t>
      </w:r>
      <w:r w:rsidR="00412797">
        <w:rPr>
          <w:rFonts w:cs="Times New Roman"/>
          <w:szCs w:val="24"/>
        </w:rPr>
        <w:t>deterrence/</w:t>
      </w:r>
      <w:r w:rsidR="008E4E50">
        <w:rPr>
          <w:rFonts w:cs="Times New Roman"/>
          <w:szCs w:val="24"/>
        </w:rPr>
        <w:t>prevention; t</w:t>
      </w:r>
      <w:r w:rsidR="00412797">
        <w:rPr>
          <w:rFonts w:cs="Times New Roman"/>
          <w:szCs w:val="24"/>
        </w:rPr>
        <w:t xml:space="preserve">he latter is a </w:t>
      </w:r>
      <w:r w:rsidR="00412797" w:rsidRPr="005F7031">
        <w:rPr>
          <w:rFonts w:cs="Times New Roman"/>
          <w:szCs w:val="24"/>
        </w:rPr>
        <w:t>regulatory</w:t>
      </w:r>
      <w:r w:rsidR="00412797">
        <w:rPr>
          <w:rFonts w:cs="Times New Roman"/>
          <w:szCs w:val="24"/>
        </w:rPr>
        <w:t xml:space="preserve"> area of international law governing the conduct of hostilities</w:t>
      </w:r>
      <w:r w:rsidR="003532AE">
        <w:rPr>
          <w:rFonts w:cs="Times New Roman"/>
          <w:szCs w:val="24"/>
        </w:rPr>
        <w:t>, which accepts that military action is already underway and looks to minimise its impact</w:t>
      </w:r>
      <w:r w:rsidR="00412797">
        <w:rPr>
          <w:rFonts w:cs="Times New Roman"/>
          <w:szCs w:val="24"/>
        </w:rPr>
        <w:t xml:space="preserve">. As such, </w:t>
      </w:r>
      <w:r w:rsidR="00372248">
        <w:rPr>
          <w:rFonts w:cs="Times New Roman"/>
          <w:szCs w:val="24"/>
        </w:rPr>
        <w:t xml:space="preserve">the application of the </w:t>
      </w:r>
      <w:r w:rsidR="00372248" w:rsidRPr="00372248">
        <w:rPr>
          <w:rFonts w:cs="Times New Roman"/>
          <w:i/>
          <w:szCs w:val="24"/>
        </w:rPr>
        <w:t>jus in bello</w:t>
      </w:r>
      <w:r w:rsidR="00372248">
        <w:rPr>
          <w:rFonts w:cs="Times New Roman"/>
          <w:szCs w:val="24"/>
        </w:rPr>
        <w:t xml:space="preserve"> to</w:t>
      </w:r>
      <w:r w:rsidR="00412797">
        <w:rPr>
          <w:rFonts w:cs="Times New Roman"/>
          <w:szCs w:val="24"/>
        </w:rPr>
        <w:t xml:space="preserve"> cyberspace is b</w:t>
      </w:r>
      <w:r w:rsidR="008E4E50">
        <w:rPr>
          <w:rFonts w:cs="Times New Roman"/>
          <w:szCs w:val="24"/>
        </w:rPr>
        <w:t xml:space="preserve">eyond the scope of this chapter, which </w:t>
      </w:r>
      <w:r w:rsidR="008E4E50" w:rsidRPr="00DF2F31">
        <w:rPr>
          <w:rFonts w:cs="Times New Roman"/>
          <w:szCs w:val="24"/>
        </w:rPr>
        <w:t>focuse</w:t>
      </w:r>
      <w:r w:rsidR="00372248" w:rsidRPr="00BD05A3">
        <w:rPr>
          <w:rFonts w:cs="Times New Roman"/>
          <w:szCs w:val="24"/>
        </w:rPr>
        <w:t>s</w:t>
      </w:r>
      <w:r w:rsidR="008E4E50">
        <w:rPr>
          <w:rFonts w:cs="Times New Roman"/>
          <w:szCs w:val="24"/>
        </w:rPr>
        <w:t xml:space="preserve"> on the law’s potential to </w:t>
      </w:r>
      <w:r w:rsidR="008E4E50" w:rsidRPr="003532AE">
        <w:rPr>
          <w:rFonts w:cs="Times New Roman"/>
          <w:szCs w:val="24"/>
        </w:rPr>
        <w:t>restrict the likelihood of</w:t>
      </w:r>
      <w:r w:rsidR="008E4E50">
        <w:rPr>
          <w:rFonts w:cs="Times New Roman"/>
          <w:szCs w:val="24"/>
        </w:rPr>
        <w:t xml:space="preserve"> cyber </w:t>
      </w:r>
      <w:r w:rsidR="00372248">
        <w:rPr>
          <w:rFonts w:cs="Times New Roman"/>
          <w:szCs w:val="24"/>
        </w:rPr>
        <w:t>disasters occurring</w:t>
      </w:r>
      <w:r w:rsidR="008E4E50">
        <w:rPr>
          <w:rFonts w:cs="Times New Roman"/>
          <w:szCs w:val="24"/>
        </w:rPr>
        <w:t xml:space="preserve"> </w:t>
      </w:r>
      <w:r w:rsidR="008E4E50" w:rsidRPr="003532AE">
        <w:rPr>
          <w:rFonts w:cs="Times New Roman"/>
          <w:i/>
          <w:szCs w:val="24"/>
        </w:rPr>
        <w:t>per se</w:t>
      </w:r>
      <w:r w:rsidR="008E4E50">
        <w:rPr>
          <w:rFonts w:cs="Times New Roman"/>
          <w:szCs w:val="24"/>
        </w:rPr>
        <w:t>.</w:t>
      </w:r>
      <w:r w:rsidR="00CD3847">
        <w:rPr>
          <w:rFonts w:cs="Times New Roman"/>
          <w:szCs w:val="24"/>
        </w:rPr>
        <w:t xml:space="preserve"> Consideration in this chapter of the common academic approach of focusing on the </w:t>
      </w:r>
      <w:r w:rsidR="00CD3847" w:rsidRPr="00CD3847">
        <w:rPr>
          <w:rFonts w:cs="Times New Roman"/>
          <w:i/>
          <w:szCs w:val="24"/>
        </w:rPr>
        <w:t xml:space="preserve">jus ad bellum </w:t>
      </w:r>
      <w:r w:rsidR="00CD3847" w:rsidRPr="00CD3847">
        <w:rPr>
          <w:rFonts w:cs="Times New Roman"/>
          <w:szCs w:val="24"/>
        </w:rPr>
        <w:t>and</w:t>
      </w:r>
      <w:r w:rsidR="00CD3847" w:rsidRPr="00CD3847">
        <w:rPr>
          <w:rFonts w:cs="Times New Roman"/>
          <w:i/>
          <w:szCs w:val="24"/>
        </w:rPr>
        <w:t xml:space="preserve"> jus in bello</w:t>
      </w:r>
      <w:r w:rsidR="00CD3847">
        <w:rPr>
          <w:rFonts w:cs="Times New Roman"/>
          <w:szCs w:val="24"/>
        </w:rPr>
        <w:t xml:space="preserve"> provisions will thus be restricted to the former.</w:t>
      </w:r>
      <w:r w:rsidR="00CD3847" w:rsidRPr="009B7225">
        <w:rPr>
          <w:rStyle w:val="FootnoteReference"/>
          <w:rFonts w:cs="Times New Roman"/>
          <w:szCs w:val="24"/>
        </w:rPr>
        <w:footnoteReference w:id="26"/>
      </w:r>
    </w:p>
    <w:p w14:paraId="54920E5E" w14:textId="49D6120C" w:rsidR="00372248" w:rsidRDefault="00CD3847" w:rsidP="0017445E">
      <w:pPr>
        <w:spacing w:line="480" w:lineRule="auto"/>
        <w:ind w:firstLine="720"/>
        <w:jc w:val="both"/>
        <w:rPr>
          <w:rFonts w:cs="Times New Roman"/>
          <w:szCs w:val="24"/>
        </w:rPr>
      </w:pPr>
      <w:r>
        <w:rPr>
          <w:rFonts w:cs="Times New Roman"/>
          <w:szCs w:val="24"/>
        </w:rPr>
        <w:t>It</w:t>
      </w:r>
      <w:r w:rsidR="00372248">
        <w:rPr>
          <w:rFonts w:cs="Times New Roman"/>
          <w:szCs w:val="24"/>
        </w:rPr>
        <w:t xml:space="preserve"> is argued herein that the </w:t>
      </w:r>
      <w:r w:rsidR="006129F8">
        <w:rPr>
          <w:rFonts w:cs="Times New Roman"/>
          <w:szCs w:val="24"/>
        </w:rPr>
        <w:t>widespread</w:t>
      </w:r>
      <w:r w:rsidR="00372248">
        <w:rPr>
          <w:rFonts w:cs="Times New Roman"/>
          <w:szCs w:val="24"/>
        </w:rPr>
        <w:t xml:space="preserve"> focus on these </w:t>
      </w:r>
      <w:r w:rsidR="00C9210A">
        <w:rPr>
          <w:rFonts w:cs="Times New Roman"/>
          <w:szCs w:val="24"/>
        </w:rPr>
        <w:t xml:space="preserve">two </w:t>
      </w:r>
      <w:r w:rsidR="00372248">
        <w:rPr>
          <w:rFonts w:cs="Times New Roman"/>
          <w:szCs w:val="24"/>
        </w:rPr>
        <w:t xml:space="preserve">branches of international law </w:t>
      </w:r>
      <w:r w:rsidR="00372248" w:rsidRPr="009B7225">
        <w:rPr>
          <w:rFonts w:cs="Times New Roman"/>
          <w:szCs w:val="24"/>
        </w:rPr>
        <w:t xml:space="preserve">has led to a general lack of </w:t>
      </w:r>
      <w:r w:rsidR="00372248">
        <w:rPr>
          <w:rFonts w:cs="Times New Roman"/>
          <w:szCs w:val="24"/>
        </w:rPr>
        <w:t>consideration of the role that the</w:t>
      </w:r>
      <w:r w:rsidR="00372248" w:rsidRPr="009B7225">
        <w:rPr>
          <w:rFonts w:cs="Times New Roman"/>
          <w:szCs w:val="24"/>
        </w:rPr>
        <w:t xml:space="preserve"> law may be able to play in relation to cyber threats that do not emanate from the armed forces of a state</w:t>
      </w:r>
      <w:r w:rsidR="00372248">
        <w:rPr>
          <w:rFonts w:cs="Times New Roman"/>
          <w:szCs w:val="24"/>
        </w:rPr>
        <w:t>,</w:t>
      </w:r>
      <w:r w:rsidR="00372248" w:rsidRPr="009B7225">
        <w:rPr>
          <w:rStyle w:val="FootnoteReference"/>
          <w:rFonts w:cs="Times New Roman"/>
          <w:szCs w:val="24"/>
        </w:rPr>
        <w:footnoteReference w:id="27"/>
      </w:r>
      <w:r w:rsidR="006129F8">
        <w:rPr>
          <w:rFonts w:cs="Times New Roman"/>
          <w:szCs w:val="24"/>
        </w:rPr>
        <w:t xml:space="preserve"> </w:t>
      </w:r>
      <w:r w:rsidR="00C9210A">
        <w:rPr>
          <w:rFonts w:cs="Times New Roman"/>
          <w:szCs w:val="24"/>
        </w:rPr>
        <w:t xml:space="preserve">and – more generally – has </w:t>
      </w:r>
      <w:r w:rsidR="006129F8">
        <w:rPr>
          <w:rFonts w:cs="Times New Roman"/>
          <w:szCs w:val="24"/>
        </w:rPr>
        <w:t>overly ‘militaris</w:t>
      </w:r>
      <w:r w:rsidR="00C9210A">
        <w:rPr>
          <w:rFonts w:cs="Times New Roman"/>
          <w:szCs w:val="24"/>
        </w:rPr>
        <w:t>ed</w:t>
      </w:r>
      <w:r w:rsidR="00372248">
        <w:rPr>
          <w:rFonts w:cs="Times New Roman"/>
          <w:szCs w:val="24"/>
        </w:rPr>
        <w:t>’ the legal approach to cyber security.</w:t>
      </w:r>
      <w:r w:rsidR="00372248" w:rsidRPr="009B7225">
        <w:rPr>
          <w:rStyle w:val="FootnoteReference"/>
          <w:rFonts w:cs="Times New Roman"/>
          <w:szCs w:val="24"/>
        </w:rPr>
        <w:footnoteReference w:id="28"/>
      </w:r>
      <w:r w:rsidR="00372248">
        <w:rPr>
          <w:rFonts w:cs="Times New Roman"/>
          <w:szCs w:val="24"/>
        </w:rPr>
        <w:t xml:space="preserve"> </w:t>
      </w:r>
      <w:r w:rsidR="00C9210A">
        <w:rPr>
          <w:rFonts w:cs="Times New Roman"/>
          <w:szCs w:val="24"/>
        </w:rPr>
        <w:t>Th</w:t>
      </w:r>
      <w:r w:rsidR="005F7031">
        <w:rPr>
          <w:rFonts w:cs="Times New Roman"/>
          <w:szCs w:val="24"/>
        </w:rPr>
        <w:t>e</w:t>
      </w:r>
      <w:r w:rsidR="00C9210A">
        <w:rPr>
          <w:rFonts w:cs="Times New Roman"/>
          <w:szCs w:val="24"/>
        </w:rPr>
        <w:t>s</w:t>
      </w:r>
      <w:r w:rsidR="005F7031">
        <w:rPr>
          <w:rFonts w:cs="Times New Roman"/>
          <w:szCs w:val="24"/>
        </w:rPr>
        <w:t>e</w:t>
      </w:r>
      <w:r w:rsidR="00C9210A">
        <w:rPr>
          <w:rFonts w:cs="Times New Roman"/>
          <w:szCs w:val="24"/>
        </w:rPr>
        <w:t xml:space="preserve"> </w:t>
      </w:r>
      <w:r w:rsidR="005F7031">
        <w:rPr>
          <w:rFonts w:cs="Times New Roman"/>
          <w:szCs w:val="24"/>
        </w:rPr>
        <w:t>are</w:t>
      </w:r>
      <w:r w:rsidR="00C9210A">
        <w:rPr>
          <w:rFonts w:cs="Times New Roman"/>
          <w:szCs w:val="24"/>
        </w:rPr>
        <w:t xml:space="preserve"> concern</w:t>
      </w:r>
      <w:r w:rsidR="005F7031">
        <w:rPr>
          <w:rFonts w:cs="Times New Roman"/>
          <w:szCs w:val="24"/>
        </w:rPr>
        <w:t>s</w:t>
      </w:r>
      <w:r w:rsidR="00372248">
        <w:rPr>
          <w:rFonts w:cs="Times New Roman"/>
          <w:szCs w:val="24"/>
        </w:rPr>
        <w:t xml:space="preserve"> to which we </w:t>
      </w:r>
      <w:r w:rsidR="005F7031">
        <w:rPr>
          <w:rFonts w:cs="Times New Roman"/>
          <w:szCs w:val="24"/>
        </w:rPr>
        <w:t>will</w:t>
      </w:r>
      <w:r w:rsidR="00372248">
        <w:rPr>
          <w:rFonts w:cs="Times New Roman"/>
          <w:szCs w:val="24"/>
        </w:rPr>
        <w:t xml:space="preserve"> return throughout this chapter.  </w:t>
      </w:r>
    </w:p>
    <w:p w14:paraId="764746BD" w14:textId="77777777" w:rsidR="00240765" w:rsidRPr="0017445E" w:rsidRDefault="00240765" w:rsidP="0017445E">
      <w:pPr>
        <w:spacing w:line="480" w:lineRule="auto"/>
        <w:ind w:firstLine="720"/>
        <w:jc w:val="both"/>
        <w:rPr>
          <w:rFonts w:cs="Times New Roman"/>
          <w:szCs w:val="24"/>
        </w:rPr>
      </w:pPr>
    </w:p>
    <w:p w14:paraId="023E2024" w14:textId="0F19548A" w:rsidR="0017445E" w:rsidRDefault="0017445E" w:rsidP="0017445E">
      <w:pPr>
        <w:spacing w:line="480" w:lineRule="auto"/>
        <w:jc w:val="both"/>
        <w:rPr>
          <w:rFonts w:cs="Times New Roman"/>
          <w:b/>
          <w:sz w:val="28"/>
          <w:szCs w:val="28"/>
        </w:rPr>
      </w:pPr>
      <w:r w:rsidRPr="0017445E">
        <w:rPr>
          <w:rFonts w:cs="Times New Roman"/>
          <w:b/>
          <w:sz w:val="28"/>
          <w:szCs w:val="28"/>
        </w:rPr>
        <w:t>3</w:t>
      </w:r>
      <w:r w:rsidR="0043512E" w:rsidRPr="0017445E">
        <w:rPr>
          <w:rFonts w:cs="Times New Roman"/>
          <w:b/>
          <w:sz w:val="28"/>
          <w:szCs w:val="28"/>
        </w:rPr>
        <w:t xml:space="preserve">. The </w:t>
      </w:r>
      <w:r w:rsidR="00240765">
        <w:rPr>
          <w:rFonts w:cs="Times New Roman"/>
          <w:b/>
          <w:sz w:val="28"/>
          <w:szCs w:val="28"/>
        </w:rPr>
        <w:t>p</w:t>
      </w:r>
      <w:r w:rsidR="0043512E" w:rsidRPr="0017445E">
        <w:rPr>
          <w:rFonts w:cs="Times New Roman"/>
          <w:b/>
          <w:sz w:val="28"/>
          <w:szCs w:val="28"/>
        </w:rPr>
        <w:t xml:space="preserve">rohibition of the </w:t>
      </w:r>
      <w:r w:rsidR="00240765">
        <w:rPr>
          <w:rFonts w:cs="Times New Roman"/>
          <w:b/>
          <w:sz w:val="28"/>
          <w:szCs w:val="28"/>
        </w:rPr>
        <w:t>u</w:t>
      </w:r>
      <w:r w:rsidR="0043512E" w:rsidRPr="0017445E">
        <w:rPr>
          <w:rFonts w:cs="Times New Roman"/>
          <w:b/>
          <w:sz w:val="28"/>
          <w:szCs w:val="28"/>
        </w:rPr>
        <w:t xml:space="preserve">se of </w:t>
      </w:r>
      <w:r w:rsidR="00240765">
        <w:rPr>
          <w:rFonts w:cs="Times New Roman"/>
          <w:b/>
          <w:sz w:val="28"/>
          <w:szCs w:val="28"/>
        </w:rPr>
        <w:t>f</w:t>
      </w:r>
      <w:r w:rsidR="0043512E" w:rsidRPr="0017445E">
        <w:rPr>
          <w:rFonts w:cs="Times New Roman"/>
          <w:b/>
          <w:sz w:val="28"/>
          <w:szCs w:val="28"/>
        </w:rPr>
        <w:t xml:space="preserve">orce and </w:t>
      </w:r>
      <w:r w:rsidR="00240765">
        <w:rPr>
          <w:rFonts w:cs="Times New Roman"/>
          <w:b/>
          <w:sz w:val="28"/>
          <w:szCs w:val="28"/>
        </w:rPr>
        <w:t>c</w:t>
      </w:r>
      <w:r w:rsidR="0043512E" w:rsidRPr="0017445E">
        <w:rPr>
          <w:rFonts w:cs="Times New Roman"/>
          <w:b/>
          <w:sz w:val="28"/>
          <w:szCs w:val="28"/>
        </w:rPr>
        <w:t xml:space="preserve">yberspace: Problems of </w:t>
      </w:r>
      <w:r w:rsidR="00240765">
        <w:rPr>
          <w:rFonts w:cs="Times New Roman"/>
          <w:b/>
          <w:sz w:val="28"/>
          <w:szCs w:val="28"/>
        </w:rPr>
        <w:t>a</w:t>
      </w:r>
      <w:r w:rsidR="0043512E" w:rsidRPr="0017445E">
        <w:rPr>
          <w:rFonts w:cs="Times New Roman"/>
          <w:b/>
          <w:sz w:val="28"/>
          <w:szCs w:val="28"/>
        </w:rPr>
        <w:t xml:space="preserve">pplication and </w:t>
      </w:r>
      <w:r w:rsidR="00240765">
        <w:rPr>
          <w:rFonts w:cs="Times New Roman"/>
          <w:b/>
          <w:sz w:val="28"/>
          <w:szCs w:val="28"/>
        </w:rPr>
        <w:t>s</w:t>
      </w:r>
      <w:r w:rsidR="0043512E" w:rsidRPr="0017445E">
        <w:rPr>
          <w:rFonts w:cs="Times New Roman"/>
          <w:b/>
          <w:sz w:val="28"/>
          <w:szCs w:val="28"/>
        </w:rPr>
        <w:t>cope</w:t>
      </w:r>
    </w:p>
    <w:p w14:paraId="59CCEEC0" w14:textId="77777777" w:rsidR="00240765" w:rsidRDefault="00240765" w:rsidP="0017445E">
      <w:pPr>
        <w:spacing w:line="480" w:lineRule="auto"/>
        <w:jc w:val="both"/>
        <w:rPr>
          <w:rFonts w:cs="Times New Roman"/>
          <w:b/>
          <w:sz w:val="28"/>
          <w:szCs w:val="28"/>
        </w:rPr>
      </w:pPr>
    </w:p>
    <w:p w14:paraId="2463BF73" w14:textId="14B8DC0E" w:rsidR="00C17282" w:rsidRPr="0017445E" w:rsidRDefault="0017445E" w:rsidP="0017445E">
      <w:pPr>
        <w:spacing w:line="480" w:lineRule="auto"/>
        <w:jc w:val="both"/>
        <w:rPr>
          <w:rFonts w:cs="Times New Roman"/>
          <w:b/>
          <w:sz w:val="28"/>
          <w:szCs w:val="28"/>
        </w:rPr>
      </w:pPr>
      <w:r w:rsidRPr="0017445E">
        <w:rPr>
          <w:rFonts w:cs="Times New Roman"/>
          <w:b/>
          <w:szCs w:val="24"/>
        </w:rPr>
        <w:t>3.1</w:t>
      </w:r>
      <w:r w:rsidR="00240765">
        <w:rPr>
          <w:rFonts w:cs="Times New Roman"/>
          <w:b/>
          <w:szCs w:val="24"/>
        </w:rPr>
        <w:t>.</w:t>
      </w:r>
      <w:r w:rsidR="0043512E" w:rsidRPr="0017445E">
        <w:rPr>
          <w:rFonts w:cs="Times New Roman"/>
          <w:b/>
          <w:szCs w:val="24"/>
        </w:rPr>
        <w:t xml:space="preserve"> </w:t>
      </w:r>
      <w:r w:rsidR="00240765">
        <w:rPr>
          <w:rFonts w:cs="Times New Roman"/>
          <w:b/>
          <w:szCs w:val="24"/>
        </w:rPr>
        <w:t>The p</w:t>
      </w:r>
      <w:r w:rsidR="00C17282" w:rsidRPr="0017445E">
        <w:rPr>
          <w:rFonts w:cs="Times New Roman"/>
          <w:b/>
          <w:szCs w:val="24"/>
        </w:rPr>
        <w:t xml:space="preserve">rohibition of the </w:t>
      </w:r>
      <w:r w:rsidR="00240765">
        <w:rPr>
          <w:rFonts w:cs="Times New Roman"/>
          <w:b/>
          <w:szCs w:val="24"/>
        </w:rPr>
        <w:t>u</w:t>
      </w:r>
      <w:r w:rsidR="00C17282" w:rsidRPr="0017445E">
        <w:rPr>
          <w:rFonts w:cs="Times New Roman"/>
          <w:b/>
          <w:szCs w:val="24"/>
        </w:rPr>
        <w:t xml:space="preserve">se of </w:t>
      </w:r>
      <w:r w:rsidR="00240765">
        <w:rPr>
          <w:rFonts w:cs="Times New Roman"/>
          <w:b/>
          <w:szCs w:val="24"/>
        </w:rPr>
        <w:t>f</w:t>
      </w:r>
      <w:r w:rsidR="00C17282" w:rsidRPr="0017445E">
        <w:rPr>
          <w:rFonts w:cs="Times New Roman"/>
          <w:b/>
          <w:szCs w:val="24"/>
        </w:rPr>
        <w:t xml:space="preserve">orce under </w:t>
      </w:r>
      <w:r w:rsidR="00976550">
        <w:rPr>
          <w:rFonts w:cs="Times New Roman"/>
          <w:b/>
          <w:szCs w:val="24"/>
        </w:rPr>
        <w:t>a</w:t>
      </w:r>
      <w:r w:rsidR="00976550" w:rsidRPr="0017445E">
        <w:rPr>
          <w:rFonts w:cs="Times New Roman"/>
          <w:b/>
          <w:szCs w:val="24"/>
        </w:rPr>
        <w:t xml:space="preserve">rticle </w:t>
      </w:r>
      <w:r w:rsidR="00C17282" w:rsidRPr="0017445E">
        <w:rPr>
          <w:rFonts w:cs="Times New Roman"/>
          <w:b/>
          <w:szCs w:val="24"/>
        </w:rPr>
        <w:t>2(4) of the UN Charter</w:t>
      </w:r>
    </w:p>
    <w:p w14:paraId="21B4655D" w14:textId="6B7F600A" w:rsidR="00395A4A" w:rsidRDefault="008E4E50" w:rsidP="0017445E">
      <w:pPr>
        <w:spacing w:line="480" w:lineRule="auto"/>
        <w:ind w:firstLine="720"/>
        <w:jc w:val="both"/>
        <w:rPr>
          <w:rFonts w:cs="Times New Roman"/>
          <w:szCs w:val="24"/>
        </w:rPr>
      </w:pPr>
      <w:r>
        <w:rPr>
          <w:rFonts w:cs="Times New Roman"/>
          <w:szCs w:val="24"/>
        </w:rPr>
        <w:t>In</w:t>
      </w:r>
      <w:r w:rsidR="006129F8">
        <w:rPr>
          <w:rFonts w:cs="Times New Roman"/>
          <w:szCs w:val="24"/>
        </w:rPr>
        <w:t xml:space="preserve"> the </w:t>
      </w:r>
      <w:r>
        <w:rPr>
          <w:rFonts w:cs="Times New Roman"/>
          <w:szCs w:val="24"/>
        </w:rPr>
        <w:t>context</w:t>
      </w:r>
      <w:r w:rsidR="006129F8">
        <w:rPr>
          <w:rFonts w:cs="Times New Roman"/>
          <w:szCs w:val="24"/>
        </w:rPr>
        <w:t xml:space="preserve"> of the </w:t>
      </w:r>
      <w:r w:rsidR="006129F8" w:rsidRPr="006129F8">
        <w:rPr>
          <w:rFonts w:cs="Times New Roman"/>
          <w:i/>
          <w:szCs w:val="24"/>
        </w:rPr>
        <w:t>jus ad bellum</w:t>
      </w:r>
      <w:r>
        <w:rPr>
          <w:rFonts w:cs="Times New Roman"/>
          <w:szCs w:val="24"/>
        </w:rPr>
        <w:t>, scholars have commonly focused</w:t>
      </w:r>
      <w:r w:rsidR="00E175C1" w:rsidRPr="009B7225">
        <w:rPr>
          <w:rStyle w:val="FootnoteReference"/>
          <w:rFonts w:cs="Times New Roman"/>
          <w:szCs w:val="24"/>
        </w:rPr>
        <w:footnoteReference w:id="29"/>
      </w:r>
      <w:r w:rsidR="00395A4A" w:rsidRPr="009B7225">
        <w:rPr>
          <w:rFonts w:cs="Times New Roman"/>
          <w:szCs w:val="24"/>
        </w:rPr>
        <w:t xml:space="preserve"> </w:t>
      </w:r>
      <w:r>
        <w:rPr>
          <w:rFonts w:cs="Times New Roman"/>
          <w:szCs w:val="24"/>
        </w:rPr>
        <w:t>on the question of whether</w:t>
      </w:r>
      <w:r w:rsidR="00B52740" w:rsidRPr="009B7225">
        <w:rPr>
          <w:rFonts w:cs="Times New Roman"/>
          <w:szCs w:val="24"/>
        </w:rPr>
        <w:t xml:space="preserve"> </w:t>
      </w:r>
      <w:r w:rsidR="00072326" w:rsidRPr="009B7225">
        <w:rPr>
          <w:rFonts w:cs="Times New Roman"/>
          <w:szCs w:val="24"/>
        </w:rPr>
        <w:t xml:space="preserve">state </w:t>
      </w:r>
      <w:r w:rsidR="00B52740" w:rsidRPr="009B7225">
        <w:rPr>
          <w:rFonts w:cs="Times New Roman"/>
          <w:szCs w:val="24"/>
        </w:rPr>
        <w:t xml:space="preserve">acts of cyber aggression constitute violations of </w:t>
      </w:r>
      <w:r w:rsidR="00395A4A" w:rsidRPr="009B7225">
        <w:rPr>
          <w:rFonts w:cs="Times New Roman"/>
          <w:szCs w:val="24"/>
        </w:rPr>
        <w:t>the prohibition of the use of force</w:t>
      </w:r>
      <w:r w:rsidR="009A7338">
        <w:rPr>
          <w:rFonts w:cs="Times New Roman"/>
          <w:szCs w:val="24"/>
        </w:rPr>
        <w:t>,</w:t>
      </w:r>
      <w:r w:rsidR="00395A4A" w:rsidRPr="009B7225">
        <w:rPr>
          <w:rFonts w:cs="Times New Roman"/>
          <w:szCs w:val="24"/>
        </w:rPr>
        <w:t xml:space="preserve"> under </w:t>
      </w:r>
      <w:r w:rsidR="00DB2102">
        <w:rPr>
          <w:rFonts w:cs="Times New Roman"/>
          <w:szCs w:val="24"/>
        </w:rPr>
        <w:t>a</w:t>
      </w:r>
      <w:r w:rsidR="00395A4A" w:rsidRPr="009B7225">
        <w:rPr>
          <w:rFonts w:cs="Times New Roman"/>
          <w:szCs w:val="24"/>
        </w:rPr>
        <w:t xml:space="preserve">rticle </w:t>
      </w:r>
      <w:r w:rsidR="00072326" w:rsidRPr="009B7225">
        <w:rPr>
          <w:rFonts w:cs="Times New Roman"/>
          <w:szCs w:val="24"/>
        </w:rPr>
        <w:t xml:space="preserve">2(4) of the UN </w:t>
      </w:r>
      <w:r w:rsidR="00395A4A" w:rsidRPr="009B7225">
        <w:rPr>
          <w:rFonts w:cs="Times New Roman"/>
          <w:szCs w:val="24"/>
        </w:rPr>
        <w:t>Charter:</w:t>
      </w:r>
    </w:p>
    <w:p w14:paraId="109458A5" w14:textId="77777777" w:rsidR="00B87449" w:rsidRPr="0017445E" w:rsidRDefault="00B87449" w:rsidP="0017445E">
      <w:pPr>
        <w:spacing w:line="480" w:lineRule="auto"/>
        <w:ind w:firstLine="720"/>
        <w:jc w:val="both"/>
        <w:rPr>
          <w:rFonts w:cs="Times New Roman"/>
          <w:szCs w:val="24"/>
        </w:rPr>
      </w:pPr>
    </w:p>
    <w:p w14:paraId="20A16F50" w14:textId="77777777" w:rsidR="00395A4A" w:rsidRDefault="00395A4A" w:rsidP="0017445E">
      <w:pPr>
        <w:shd w:val="clear" w:color="auto" w:fill="FFFFFF"/>
        <w:spacing w:line="480" w:lineRule="auto"/>
        <w:ind w:left="567" w:right="567"/>
        <w:jc w:val="both"/>
        <w:rPr>
          <w:rFonts w:eastAsia="Times New Roman" w:cs="Times New Roman"/>
          <w:szCs w:val="24"/>
          <w:lang w:eastAsia="en-GB"/>
        </w:rPr>
      </w:pPr>
      <w:r w:rsidRPr="009B7225">
        <w:rPr>
          <w:rFonts w:eastAsia="Times New Roman" w:cs="Times New Roman"/>
          <w:szCs w:val="24"/>
          <w:lang w:eastAsia="en-GB"/>
        </w:rPr>
        <w:t>All Members shall refrain in their international relations from the threat or use of force against the territorial integrity or political independence of any state, or in any other manner inconsistent with the Purposes of the United Nations.</w:t>
      </w:r>
      <w:r w:rsidRPr="009B7225">
        <w:rPr>
          <w:rStyle w:val="FootnoteReference"/>
          <w:rFonts w:eastAsia="Times New Roman" w:cs="Times New Roman"/>
          <w:szCs w:val="24"/>
          <w:lang w:eastAsia="en-GB"/>
        </w:rPr>
        <w:footnoteReference w:id="30"/>
      </w:r>
    </w:p>
    <w:p w14:paraId="261972E8" w14:textId="77777777" w:rsidR="00B87449" w:rsidRPr="0017445E" w:rsidRDefault="00B87449" w:rsidP="0017445E">
      <w:pPr>
        <w:shd w:val="clear" w:color="auto" w:fill="FFFFFF"/>
        <w:spacing w:line="480" w:lineRule="auto"/>
        <w:ind w:left="567" w:right="567"/>
        <w:jc w:val="both"/>
        <w:rPr>
          <w:rFonts w:eastAsia="Times New Roman" w:cs="Times New Roman"/>
          <w:szCs w:val="24"/>
          <w:lang w:eastAsia="en-GB"/>
        </w:rPr>
      </w:pPr>
    </w:p>
    <w:p w14:paraId="6C381153" w14:textId="3959F444" w:rsidR="00C879C5" w:rsidRDefault="00395A4A" w:rsidP="0017445E">
      <w:pPr>
        <w:pStyle w:val="Body"/>
        <w:spacing w:line="480" w:lineRule="auto"/>
        <w:ind w:firstLine="720"/>
        <w:jc w:val="both"/>
        <w:rPr>
          <w:rFonts w:hAnsi="Times New Roman" w:cs="Times New Roman"/>
          <w:lang w:val="en-GB"/>
        </w:rPr>
      </w:pPr>
      <w:r w:rsidRPr="009B7225">
        <w:rPr>
          <w:rFonts w:hAnsi="Times New Roman" w:cs="Times New Roman"/>
          <w:color w:val="auto"/>
          <w:lang w:val="en-GB"/>
        </w:rPr>
        <w:t xml:space="preserve">The prohibition contained in </w:t>
      </w:r>
      <w:r w:rsidR="00DB2102">
        <w:rPr>
          <w:rFonts w:hAnsi="Times New Roman" w:cs="Times New Roman"/>
          <w:color w:val="auto"/>
          <w:lang w:val="en-GB"/>
        </w:rPr>
        <w:t>a</w:t>
      </w:r>
      <w:r w:rsidRPr="009B7225">
        <w:rPr>
          <w:rFonts w:hAnsi="Times New Roman" w:cs="Times New Roman"/>
          <w:color w:val="auto"/>
          <w:lang w:val="en-GB"/>
        </w:rPr>
        <w:t>rticle 2(4) is</w:t>
      </w:r>
      <w:r w:rsidR="006129F8">
        <w:rPr>
          <w:rFonts w:hAnsi="Times New Roman" w:cs="Times New Roman"/>
          <w:color w:val="auto"/>
          <w:lang w:val="en-GB"/>
        </w:rPr>
        <w:t xml:space="preserve"> </w:t>
      </w:r>
      <w:r w:rsidRPr="009B7225">
        <w:rPr>
          <w:rFonts w:hAnsi="Times New Roman" w:cs="Times New Roman"/>
          <w:color w:val="auto"/>
          <w:lang w:val="en-GB"/>
        </w:rPr>
        <w:t xml:space="preserve">one of the most fundamental rules of the UN system and is </w:t>
      </w:r>
      <w:r w:rsidR="008E4E50">
        <w:rPr>
          <w:rFonts w:hAnsi="Times New Roman" w:cs="Times New Roman"/>
          <w:color w:val="auto"/>
          <w:lang w:val="en-GB"/>
        </w:rPr>
        <w:t>often</w:t>
      </w:r>
      <w:r w:rsidRPr="009B7225">
        <w:rPr>
          <w:rFonts w:hAnsi="Times New Roman" w:cs="Times New Roman"/>
          <w:color w:val="auto"/>
          <w:lang w:val="en-GB"/>
        </w:rPr>
        <w:t xml:space="preserve"> referred to as a ‘cornerstone’ provision.</w:t>
      </w:r>
      <w:r w:rsidRPr="009B7225">
        <w:rPr>
          <w:rStyle w:val="FootnoteReference"/>
          <w:rFonts w:hAnsi="Times New Roman" w:cs="Times New Roman"/>
          <w:color w:val="auto"/>
          <w:lang w:val="en-GB"/>
        </w:rPr>
        <w:footnoteReference w:id="31"/>
      </w:r>
      <w:r w:rsidR="009B7225" w:rsidRPr="009B7225">
        <w:rPr>
          <w:rFonts w:hAnsi="Times New Roman" w:cs="Times New Roman"/>
          <w:color w:val="auto"/>
          <w:lang w:val="en-GB"/>
        </w:rPr>
        <w:t xml:space="preserve"> Indeed</w:t>
      </w:r>
      <w:r w:rsidRPr="009B7225">
        <w:rPr>
          <w:rFonts w:hAnsi="Times New Roman" w:cs="Times New Roman"/>
          <w:color w:val="auto"/>
          <w:lang w:val="en-GB"/>
        </w:rPr>
        <w:t xml:space="preserve">, it is generally seen as a non-derogable </w:t>
      </w:r>
      <w:r w:rsidRPr="009B7225">
        <w:rPr>
          <w:rFonts w:hAnsi="Times New Roman" w:cs="Times New Roman"/>
          <w:i/>
          <w:color w:val="auto"/>
          <w:lang w:val="en-GB"/>
        </w:rPr>
        <w:t>jus cogens</w:t>
      </w:r>
      <w:r w:rsidRPr="009B7225">
        <w:rPr>
          <w:rFonts w:hAnsi="Times New Roman" w:cs="Times New Roman"/>
          <w:color w:val="auto"/>
          <w:lang w:val="en-GB"/>
        </w:rPr>
        <w:t xml:space="preserve"> norm.</w:t>
      </w:r>
      <w:r w:rsidRPr="009B7225">
        <w:rPr>
          <w:rStyle w:val="FootnoteReference"/>
          <w:rFonts w:hAnsi="Times New Roman" w:cs="Times New Roman"/>
          <w:color w:val="auto"/>
          <w:lang w:val="en-GB"/>
        </w:rPr>
        <w:footnoteReference w:id="32"/>
      </w:r>
      <w:r w:rsidR="009B7225" w:rsidRPr="009B7225">
        <w:rPr>
          <w:rFonts w:hAnsi="Times New Roman" w:cs="Times New Roman"/>
          <w:color w:val="auto"/>
          <w:lang w:val="en-GB"/>
        </w:rPr>
        <w:t xml:space="preserve"> </w:t>
      </w:r>
      <w:r w:rsidR="00874E76" w:rsidRPr="009B7225">
        <w:rPr>
          <w:rFonts w:hAnsi="Times New Roman" w:cs="Times New Roman"/>
          <w:lang w:val="en-GB"/>
        </w:rPr>
        <w:t xml:space="preserve">The </w:t>
      </w:r>
      <w:r w:rsidR="009B7225">
        <w:rPr>
          <w:rFonts w:hAnsi="Times New Roman" w:cs="Times New Roman"/>
          <w:lang w:val="en-GB"/>
        </w:rPr>
        <w:t>hallowed status</w:t>
      </w:r>
      <w:r w:rsidR="00874E76" w:rsidRPr="009B7225">
        <w:rPr>
          <w:rFonts w:hAnsi="Times New Roman" w:cs="Times New Roman"/>
          <w:lang w:val="en-GB"/>
        </w:rPr>
        <w:t xml:space="preserve"> of the prohibition make</w:t>
      </w:r>
      <w:r w:rsidR="009B7225">
        <w:rPr>
          <w:rFonts w:hAnsi="Times New Roman" w:cs="Times New Roman"/>
          <w:lang w:val="en-GB"/>
        </w:rPr>
        <w:t>s</w:t>
      </w:r>
      <w:r w:rsidR="00874E76" w:rsidRPr="009B7225">
        <w:rPr>
          <w:rFonts w:hAnsi="Times New Roman" w:cs="Times New Roman"/>
          <w:lang w:val="en-GB"/>
        </w:rPr>
        <w:t xml:space="preserve"> it an inherently appealing legal mechanism in relation to cyber threats</w:t>
      </w:r>
      <w:r w:rsidR="006129F8">
        <w:rPr>
          <w:rFonts w:hAnsi="Times New Roman" w:cs="Times New Roman"/>
          <w:lang w:val="en-GB"/>
        </w:rPr>
        <w:t xml:space="preserve">: quite simply, </w:t>
      </w:r>
      <w:r w:rsidR="00874E76" w:rsidRPr="009B7225">
        <w:rPr>
          <w:rFonts w:hAnsi="Times New Roman" w:cs="Times New Roman"/>
          <w:lang w:val="en-GB"/>
        </w:rPr>
        <w:t xml:space="preserve">if applied to </w:t>
      </w:r>
      <w:r w:rsidR="00072326" w:rsidRPr="009B7225">
        <w:rPr>
          <w:rFonts w:hAnsi="Times New Roman" w:cs="Times New Roman"/>
          <w:lang w:val="en-GB"/>
        </w:rPr>
        <w:t>state</w:t>
      </w:r>
      <w:r w:rsidR="006648B4">
        <w:rPr>
          <w:rFonts w:hAnsi="Times New Roman" w:cs="Times New Roman"/>
          <w:lang w:val="en-GB"/>
        </w:rPr>
        <w:t>-authored</w:t>
      </w:r>
      <w:r w:rsidR="00072326" w:rsidRPr="009B7225">
        <w:rPr>
          <w:rFonts w:hAnsi="Times New Roman" w:cs="Times New Roman"/>
          <w:lang w:val="en-GB"/>
        </w:rPr>
        <w:t xml:space="preserve"> </w:t>
      </w:r>
      <w:r w:rsidR="00874E76" w:rsidRPr="009B7225">
        <w:rPr>
          <w:rFonts w:hAnsi="Times New Roman" w:cs="Times New Roman"/>
          <w:lang w:val="en-GB"/>
        </w:rPr>
        <w:t xml:space="preserve">cyber-attacks, </w:t>
      </w:r>
      <w:r w:rsidR="006129F8">
        <w:rPr>
          <w:rFonts w:hAnsi="Times New Roman" w:cs="Times New Roman"/>
          <w:lang w:val="en-GB"/>
        </w:rPr>
        <w:t xml:space="preserve">it </w:t>
      </w:r>
      <w:r w:rsidR="00874E76" w:rsidRPr="009B7225">
        <w:rPr>
          <w:rFonts w:hAnsi="Times New Roman" w:cs="Times New Roman"/>
          <w:lang w:val="en-GB"/>
        </w:rPr>
        <w:t xml:space="preserve">would prohibit them outright (other than if they constitute acts </w:t>
      </w:r>
      <w:r w:rsidR="006648B4">
        <w:rPr>
          <w:rFonts w:hAnsi="Times New Roman" w:cs="Times New Roman"/>
          <w:lang w:val="en-GB"/>
        </w:rPr>
        <w:t xml:space="preserve">of </w:t>
      </w:r>
      <w:r w:rsidR="00874E76" w:rsidRPr="009B7225">
        <w:rPr>
          <w:rFonts w:hAnsi="Times New Roman" w:cs="Times New Roman"/>
          <w:lang w:val="en-GB"/>
        </w:rPr>
        <w:t>self-defence or are authorised by the UN Security</w:t>
      </w:r>
      <w:r w:rsidR="006535CE">
        <w:rPr>
          <w:rFonts w:hAnsi="Times New Roman" w:cs="Times New Roman"/>
          <w:lang w:val="en-GB"/>
        </w:rPr>
        <w:t xml:space="preserve"> Council).</w:t>
      </w:r>
      <w:r w:rsidR="00874E76" w:rsidRPr="009B7225">
        <w:rPr>
          <w:rFonts w:hAnsi="Times New Roman" w:cs="Times New Roman"/>
          <w:lang w:val="en-GB"/>
        </w:rPr>
        <w:t xml:space="preserve"> However, </w:t>
      </w:r>
      <w:r w:rsidR="00072326" w:rsidRPr="009B7225">
        <w:rPr>
          <w:rFonts w:hAnsi="Times New Roman" w:cs="Times New Roman"/>
          <w:lang w:val="en-GB"/>
        </w:rPr>
        <w:t>it is</w:t>
      </w:r>
      <w:r w:rsidR="00E31BC1">
        <w:rPr>
          <w:rFonts w:hAnsi="Times New Roman" w:cs="Times New Roman"/>
          <w:lang w:val="en-GB"/>
        </w:rPr>
        <w:t xml:space="preserve"> </w:t>
      </w:r>
      <w:r w:rsidR="00072326" w:rsidRPr="009B7225">
        <w:rPr>
          <w:rFonts w:hAnsi="Times New Roman" w:cs="Times New Roman"/>
          <w:lang w:val="en-GB"/>
        </w:rPr>
        <w:t xml:space="preserve">far from </w:t>
      </w:r>
      <w:r w:rsidR="00712BE4" w:rsidRPr="009B7225">
        <w:rPr>
          <w:rFonts w:hAnsi="Times New Roman" w:cs="Times New Roman"/>
          <w:lang w:val="en-GB"/>
        </w:rPr>
        <w:t>simple</w:t>
      </w:r>
      <w:r w:rsidR="00072326" w:rsidRPr="009B7225">
        <w:rPr>
          <w:rFonts w:hAnsi="Times New Roman" w:cs="Times New Roman"/>
          <w:lang w:val="en-GB"/>
        </w:rPr>
        <w:t xml:space="preserve"> to apply </w:t>
      </w:r>
      <w:r w:rsidR="00DB2102">
        <w:rPr>
          <w:rFonts w:hAnsi="Times New Roman" w:cs="Times New Roman"/>
          <w:lang w:val="en-GB"/>
        </w:rPr>
        <w:t>a</w:t>
      </w:r>
      <w:r w:rsidR="00072326" w:rsidRPr="009B7225">
        <w:rPr>
          <w:rFonts w:hAnsi="Times New Roman" w:cs="Times New Roman"/>
          <w:lang w:val="en-GB"/>
        </w:rPr>
        <w:t>rticle 2(4) to cyber</w:t>
      </w:r>
      <w:r w:rsidR="0091768C" w:rsidRPr="009B7225">
        <w:rPr>
          <w:rFonts w:hAnsi="Times New Roman" w:cs="Times New Roman"/>
          <w:lang w:val="en-GB"/>
        </w:rPr>
        <w:t>space</w:t>
      </w:r>
      <w:r w:rsidR="006535CE">
        <w:rPr>
          <w:rFonts w:hAnsi="Times New Roman" w:cs="Times New Roman"/>
          <w:lang w:val="en-GB"/>
        </w:rPr>
        <w:t>,</w:t>
      </w:r>
      <w:r w:rsidR="00072326" w:rsidRPr="009B7225">
        <w:rPr>
          <w:rStyle w:val="FootnoteReference"/>
          <w:rFonts w:hAnsi="Times New Roman" w:cs="Times New Roman"/>
          <w:lang w:val="en-GB"/>
        </w:rPr>
        <w:footnoteReference w:id="33"/>
      </w:r>
      <w:r w:rsidR="006535CE">
        <w:rPr>
          <w:rFonts w:hAnsi="Times New Roman" w:cs="Times New Roman"/>
          <w:lang w:val="en-GB"/>
        </w:rPr>
        <w:t xml:space="preserve"> and – as will be explored in this section – its suitability and effectiveness as </w:t>
      </w:r>
      <w:r w:rsidR="006648B4">
        <w:rPr>
          <w:rFonts w:hAnsi="Times New Roman" w:cs="Times New Roman"/>
          <w:lang w:val="en-GB"/>
        </w:rPr>
        <w:t>the primary</w:t>
      </w:r>
      <w:r w:rsidR="006535CE">
        <w:rPr>
          <w:rFonts w:hAnsi="Times New Roman" w:cs="Times New Roman"/>
          <w:lang w:val="en-GB"/>
        </w:rPr>
        <w:t xml:space="preserve"> mechanism for dealing with cyber disasters is ques</w:t>
      </w:r>
      <w:r w:rsidR="006648B4">
        <w:rPr>
          <w:rFonts w:hAnsi="Times New Roman" w:cs="Times New Roman"/>
          <w:lang w:val="en-GB"/>
        </w:rPr>
        <w:t>tionable for a number of reasons.</w:t>
      </w:r>
    </w:p>
    <w:p w14:paraId="4AFCA134" w14:textId="77777777" w:rsidR="00B87449" w:rsidRPr="0017445E" w:rsidRDefault="00B87449" w:rsidP="0017445E">
      <w:pPr>
        <w:pStyle w:val="Body"/>
        <w:spacing w:line="480" w:lineRule="auto"/>
        <w:ind w:firstLine="720"/>
        <w:jc w:val="both"/>
        <w:rPr>
          <w:rFonts w:hAnsi="Times New Roman" w:cs="Times New Roman"/>
          <w:color w:val="auto"/>
          <w:lang w:val="en-GB"/>
        </w:rPr>
      </w:pPr>
    </w:p>
    <w:p w14:paraId="3DFD7F02" w14:textId="12DED1D1" w:rsidR="00C879C5" w:rsidRPr="0017445E" w:rsidRDefault="0017445E" w:rsidP="0017445E">
      <w:pPr>
        <w:spacing w:line="480" w:lineRule="auto"/>
        <w:jc w:val="both"/>
        <w:rPr>
          <w:rFonts w:cs="Times New Roman"/>
          <w:b/>
          <w:szCs w:val="24"/>
        </w:rPr>
      </w:pPr>
      <w:r>
        <w:rPr>
          <w:rFonts w:cs="Times New Roman"/>
          <w:b/>
          <w:szCs w:val="24"/>
        </w:rPr>
        <w:t>3.2</w:t>
      </w:r>
      <w:r w:rsidR="00B87449">
        <w:rPr>
          <w:rFonts w:cs="Times New Roman"/>
          <w:b/>
          <w:szCs w:val="24"/>
        </w:rPr>
        <w:t>.</w:t>
      </w:r>
      <w:r w:rsidR="00691531" w:rsidRPr="0017445E">
        <w:rPr>
          <w:rFonts w:cs="Times New Roman"/>
          <w:b/>
          <w:szCs w:val="24"/>
        </w:rPr>
        <w:t xml:space="preserve"> </w:t>
      </w:r>
      <w:r w:rsidR="006129F8" w:rsidRPr="0017445E">
        <w:rPr>
          <w:rFonts w:cs="Times New Roman"/>
          <w:b/>
          <w:szCs w:val="24"/>
        </w:rPr>
        <w:t>Categori</w:t>
      </w:r>
      <w:r w:rsidR="00DF2F31">
        <w:rPr>
          <w:rFonts w:cs="Times New Roman"/>
          <w:b/>
          <w:szCs w:val="24"/>
        </w:rPr>
        <w:t>z</w:t>
      </w:r>
      <w:r w:rsidR="00B87449">
        <w:rPr>
          <w:rFonts w:cs="Times New Roman"/>
          <w:b/>
          <w:szCs w:val="24"/>
        </w:rPr>
        <w:t>ation p</w:t>
      </w:r>
      <w:r w:rsidR="006129F8" w:rsidRPr="0017445E">
        <w:rPr>
          <w:rFonts w:cs="Times New Roman"/>
          <w:b/>
          <w:szCs w:val="24"/>
        </w:rPr>
        <w:t>roblems: Are</w:t>
      </w:r>
      <w:r w:rsidR="00B87449">
        <w:rPr>
          <w:rFonts w:cs="Times New Roman"/>
          <w:b/>
          <w:szCs w:val="24"/>
        </w:rPr>
        <w:t xml:space="preserve"> c</w:t>
      </w:r>
      <w:r w:rsidR="00C879C5" w:rsidRPr="0017445E">
        <w:rPr>
          <w:rFonts w:cs="Times New Roman"/>
          <w:b/>
          <w:szCs w:val="24"/>
        </w:rPr>
        <w:t>yber-</w:t>
      </w:r>
      <w:r w:rsidR="00B87449">
        <w:rPr>
          <w:rFonts w:cs="Times New Roman"/>
          <w:b/>
          <w:szCs w:val="24"/>
        </w:rPr>
        <w:t>attacks c</w:t>
      </w:r>
      <w:r w:rsidR="00C879C5" w:rsidRPr="0017445E">
        <w:rPr>
          <w:rFonts w:cs="Times New Roman"/>
          <w:b/>
          <w:szCs w:val="24"/>
        </w:rPr>
        <w:t xml:space="preserve">overed by </w:t>
      </w:r>
      <w:r w:rsidR="00250AFD">
        <w:rPr>
          <w:rFonts w:cs="Times New Roman"/>
          <w:b/>
          <w:szCs w:val="24"/>
        </w:rPr>
        <w:t>a</w:t>
      </w:r>
      <w:r w:rsidR="00C879C5" w:rsidRPr="0017445E">
        <w:rPr>
          <w:rFonts w:cs="Times New Roman"/>
          <w:b/>
          <w:szCs w:val="24"/>
        </w:rPr>
        <w:t>rticle 2(4)</w:t>
      </w:r>
      <w:r w:rsidR="006129F8" w:rsidRPr="0017445E">
        <w:rPr>
          <w:rFonts w:cs="Times New Roman"/>
          <w:b/>
          <w:szCs w:val="24"/>
        </w:rPr>
        <w:t>?</w:t>
      </w:r>
    </w:p>
    <w:p w14:paraId="40FE5242" w14:textId="43172B17" w:rsidR="00AD7F61" w:rsidRPr="009B7225" w:rsidRDefault="00395A4A" w:rsidP="0017445E">
      <w:pPr>
        <w:spacing w:line="480" w:lineRule="auto"/>
        <w:ind w:firstLine="720"/>
        <w:jc w:val="both"/>
        <w:rPr>
          <w:rFonts w:cs="Times New Roman"/>
          <w:szCs w:val="24"/>
        </w:rPr>
      </w:pPr>
      <w:r w:rsidRPr="009B7225">
        <w:rPr>
          <w:rFonts w:cs="Times New Roman"/>
          <w:szCs w:val="24"/>
        </w:rPr>
        <w:t>Article 2(4) prohibits</w:t>
      </w:r>
      <w:r w:rsidR="00E56317" w:rsidRPr="009B7225">
        <w:rPr>
          <w:rFonts w:cs="Times New Roman"/>
          <w:szCs w:val="24"/>
        </w:rPr>
        <w:t xml:space="preserve"> the ‘threat or use of force’</w:t>
      </w:r>
      <w:r w:rsidR="00FE4251" w:rsidRPr="009B7225">
        <w:rPr>
          <w:rFonts w:cs="Times New Roman"/>
          <w:szCs w:val="24"/>
        </w:rPr>
        <w:t>.</w:t>
      </w:r>
      <w:r w:rsidR="00E56317" w:rsidRPr="009B7225">
        <w:rPr>
          <w:rFonts w:cs="Times New Roman"/>
          <w:szCs w:val="24"/>
        </w:rPr>
        <w:t xml:space="preserve"> A</w:t>
      </w:r>
      <w:r w:rsidR="00FE4251" w:rsidRPr="009B7225">
        <w:rPr>
          <w:rFonts w:cs="Times New Roman"/>
          <w:szCs w:val="24"/>
        </w:rPr>
        <w:t xml:space="preserve">s such, </w:t>
      </w:r>
      <w:r w:rsidR="006531CA" w:rsidRPr="009B7225">
        <w:rPr>
          <w:rFonts w:cs="Times New Roman"/>
          <w:szCs w:val="24"/>
        </w:rPr>
        <w:t>an initial point of inquiry when it comes to trying to apply the prohibition to cyberspace</w:t>
      </w:r>
      <w:r w:rsidR="00E56317" w:rsidRPr="009B7225">
        <w:rPr>
          <w:rFonts w:cs="Times New Roman"/>
          <w:szCs w:val="24"/>
        </w:rPr>
        <w:t xml:space="preserve"> is </w:t>
      </w:r>
      <w:r w:rsidRPr="009B7225">
        <w:rPr>
          <w:rFonts w:cs="Times New Roman"/>
          <w:szCs w:val="24"/>
        </w:rPr>
        <w:t>whether cyber-attack</w:t>
      </w:r>
      <w:r w:rsidR="00DB400A" w:rsidRPr="009B7225">
        <w:rPr>
          <w:rFonts w:cs="Times New Roman"/>
          <w:szCs w:val="24"/>
        </w:rPr>
        <w:t>s</w:t>
      </w:r>
      <w:r w:rsidRPr="009B7225">
        <w:rPr>
          <w:rFonts w:cs="Times New Roman"/>
          <w:szCs w:val="24"/>
        </w:rPr>
        <w:t xml:space="preserve"> qualif</w:t>
      </w:r>
      <w:r w:rsidR="00DB400A" w:rsidRPr="009B7225">
        <w:rPr>
          <w:rFonts w:cs="Times New Roman"/>
          <w:szCs w:val="24"/>
        </w:rPr>
        <w:t>y</w:t>
      </w:r>
      <w:r w:rsidRPr="009B7225">
        <w:rPr>
          <w:rFonts w:cs="Times New Roman"/>
          <w:szCs w:val="24"/>
        </w:rPr>
        <w:t xml:space="preserve"> as ‘force’ for the purposes of </w:t>
      </w:r>
      <w:r w:rsidR="00250AFD">
        <w:rPr>
          <w:rFonts w:cs="Times New Roman"/>
          <w:szCs w:val="24"/>
        </w:rPr>
        <w:t>a</w:t>
      </w:r>
      <w:r w:rsidRPr="009B7225">
        <w:rPr>
          <w:rFonts w:cs="Times New Roman"/>
          <w:szCs w:val="24"/>
        </w:rPr>
        <w:t xml:space="preserve">rticle 2(4). </w:t>
      </w:r>
      <w:r w:rsidR="00AD7F61" w:rsidRPr="009B7225">
        <w:rPr>
          <w:rFonts w:cs="Times New Roman"/>
          <w:szCs w:val="24"/>
        </w:rPr>
        <w:t xml:space="preserve">This </w:t>
      </w:r>
      <w:r w:rsidR="006531CA" w:rsidRPr="009B7225">
        <w:rPr>
          <w:rFonts w:cs="Times New Roman"/>
          <w:szCs w:val="24"/>
        </w:rPr>
        <w:t xml:space="preserve">question has been </w:t>
      </w:r>
      <w:r w:rsidR="00AD7F61" w:rsidRPr="009B7225">
        <w:rPr>
          <w:rFonts w:cs="Times New Roman"/>
          <w:szCs w:val="24"/>
        </w:rPr>
        <w:t>debate</w:t>
      </w:r>
      <w:r w:rsidR="006531CA" w:rsidRPr="009B7225">
        <w:rPr>
          <w:rFonts w:cs="Times New Roman"/>
          <w:szCs w:val="24"/>
        </w:rPr>
        <w:t>d</w:t>
      </w:r>
      <w:r w:rsidR="00AD7F61" w:rsidRPr="009B7225">
        <w:rPr>
          <w:rFonts w:cs="Times New Roman"/>
          <w:szCs w:val="24"/>
        </w:rPr>
        <w:t xml:space="preserve"> </w:t>
      </w:r>
      <w:r w:rsidR="00072326" w:rsidRPr="009B7225">
        <w:rPr>
          <w:rFonts w:cs="Times New Roman"/>
          <w:szCs w:val="24"/>
        </w:rPr>
        <w:t xml:space="preserve">exhaustively </w:t>
      </w:r>
      <w:r w:rsidR="00962D7E">
        <w:rPr>
          <w:rFonts w:cs="Times New Roman"/>
          <w:szCs w:val="24"/>
        </w:rPr>
        <w:t xml:space="preserve">(and exhaustingly) </w:t>
      </w:r>
      <w:r w:rsidR="00AD7F61" w:rsidRPr="009B7225">
        <w:rPr>
          <w:rFonts w:cs="Times New Roman"/>
          <w:szCs w:val="24"/>
        </w:rPr>
        <w:t xml:space="preserve">in the literature, </w:t>
      </w:r>
      <w:r w:rsidR="009A6DBF" w:rsidRPr="009B7225">
        <w:rPr>
          <w:rFonts w:cs="Times New Roman"/>
          <w:szCs w:val="24"/>
        </w:rPr>
        <w:t>and</w:t>
      </w:r>
      <w:r w:rsidR="00AD7F61" w:rsidRPr="009B7225">
        <w:rPr>
          <w:rFonts w:cs="Times New Roman"/>
          <w:szCs w:val="24"/>
        </w:rPr>
        <w:t xml:space="preserve"> the present author</w:t>
      </w:r>
      <w:r w:rsidR="009A6DBF" w:rsidRPr="009B7225">
        <w:rPr>
          <w:rFonts w:cs="Times New Roman"/>
          <w:szCs w:val="24"/>
        </w:rPr>
        <w:t xml:space="preserve"> has examined </w:t>
      </w:r>
      <w:r w:rsidR="006535CE">
        <w:rPr>
          <w:rFonts w:cs="Times New Roman"/>
          <w:szCs w:val="24"/>
        </w:rPr>
        <w:t>the</w:t>
      </w:r>
      <w:r w:rsidR="009A6DBF" w:rsidRPr="009B7225">
        <w:rPr>
          <w:rFonts w:cs="Times New Roman"/>
          <w:szCs w:val="24"/>
        </w:rPr>
        <w:t xml:space="preserve"> precise contours </w:t>
      </w:r>
      <w:r w:rsidR="006535CE">
        <w:rPr>
          <w:rFonts w:cs="Times New Roman"/>
          <w:szCs w:val="24"/>
        </w:rPr>
        <w:t xml:space="preserve">of that debate </w:t>
      </w:r>
      <w:r w:rsidR="009A6DBF" w:rsidRPr="009B7225">
        <w:rPr>
          <w:rFonts w:cs="Times New Roman"/>
          <w:szCs w:val="24"/>
        </w:rPr>
        <w:t>in depth elsewhere</w:t>
      </w:r>
      <w:r w:rsidR="00AD7F61" w:rsidRPr="009B7225">
        <w:rPr>
          <w:rFonts w:cs="Times New Roman"/>
          <w:szCs w:val="24"/>
        </w:rPr>
        <w:t>.</w:t>
      </w:r>
      <w:r w:rsidR="009A6DBF" w:rsidRPr="009B7225">
        <w:rPr>
          <w:rStyle w:val="FootnoteReference"/>
          <w:rFonts w:cs="Times New Roman"/>
          <w:szCs w:val="24"/>
        </w:rPr>
        <w:footnoteReference w:id="34"/>
      </w:r>
      <w:r w:rsidR="00072326" w:rsidRPr="009B7225">
        <w:rPr>
          <w:rFonts w:cs="Times New Roman"/>
          <w:szCs w:val="24"/>
        </w:rPr>
        <w:t xml:space="preserve"> As such, it </w:t>
      </w:r>
      <w:r w:rsidR="00976550">
        <w:rPr>
          <w:rFonts w:cs="Times New Roman"/>
          <w:szCs w:val="24"/>
        </w:rPr>
        <w:t>is of</w:t>
      </w:r>
      <w:r w:rsidR="00976550" w:rsidRPr="009B7225">
        <w:rPr>
          <w:rFonts w:cs="Times New Roman"/>
          <w:szCs w:val="24"/>
        </w:rPr>
        <w:t xml:space="preserve"> </w:t>
      </w:r>
      <w:r w:rsidR="00072326" w:rsidRPr="009B7225">
        <w:rPr>
          <w:rFonts w:cs="Times New Roman"/>
          <w:szCs w:val="24"/>
        </w:rPr>
        <w:t xml:space="preserve">little value to explore it in </w:t>
      </w:r>
      <w:r w:rsidR="009A6DBF" w:rsidRPr="009B7225">
        <w:rPr>
          <w:rFonts w:cs="Times New Roman"/>
          <w:szCs w:val="24"/>
        </w:rPr>
        <w:t>detail</w:t>
      </w:r>
      <w:r w:rsidR="00072326" w:rsidRPr="009B7225">
        <w:rPr>
          <w:rFonts w:cs="Times New Roman"/>
          <w:szCs w:val="24"/>
        </w:rPr>
        <w:t xml:space="preserve"> again here. Nonetheless it is necessar</w:t>
      </w:r>
      <w:r w:rsidR="006648B4">
        <w:rPr>
          <w:rFonts w:cs="Times New Roman"/>
          <w:szCs w:val="24"/>
        </w:rPr>
        <w:t>y</w:t>
      </w:r>
      <w:r w:rsidR="00072326" w:rsidRPr="009B7225">
        <w:rPr>
          <w:rFonts w:cs="Times New Roman"/>
          <w:szCs w:val="24"/>
        </w:rPr>
        <w:t xml:space="preserve"> to </w:t>
      </w:r>
      <w:r w:rsidR="009A1A2F" w:rsidRPr="009B7225">
        <w:rPr>
          <w:rFonts w:cs="Times New Roman"/>
          <w:szCs w:val="24"/>
        </w:rPr>
        <w:t xml:space="preserve">briefly clarify the </w:t>
      </w:r>
      <w:r w:rsidR="00DB400A" w:rsidRPr="009B7225">
        <w:rPr>
          <w:rFonts w:cs="Times New Roman"/>
          <w:szCs w:val="24"/>
        </w:rPr>
        <w:t>extent to</w:t>
      </w:r>
      <w:r w:rsidR="009A1A2F" w:rsidRPr="009B7225">
        <w:rPr>
          <w:rFonts w:cs="Times New Roman"/>
          <w:szCs w:val="24"/>
        </w:rPr>
        <w:t xml:space="preserve"> which </w:t>
      </w:r>
      <w:r w:rsidR="00DB2102">
        <w:rPr>
          <w:rFonts w:cs="Times New Roman"/>
          <w:szCs w:val="24"/>
        </w:rPr>
        <w:t>a</w:t>
      </w:r>
      <w:r w:rsidR="009A1A2F" w:rsidRPr="009B7225">
        <w:rPr>
          <w:rFonts w:cs="Times New Roman"/>
          <w:szCs w:val="24"/>
        </w:rPr>
        <w:t>rticle 2(4) has been seen as covering cyber</w:t>
      </w:r>
      <w:r w:rsidR="00DB400A" w:rsidRPr="009B7225">
        <w:rPr>
          <w:rFonts w:cs="Times New Roman"/>
          <w:szCs w:val="24"/>
        </w:rPr>
        <w:t>-attacks</w:t>
      </w:r>
      <w:r w:rsidR="00072326" w:rsidRPr="009B7225">
        <w:rPr>
          <w:rFonts w:cs="Times New Roman"/>
          <w:szCs w:val="24"/>
        </w:rPr>
        <w:t>.</w:t>
      </w:r>
    </w:p>
    <w:p w14:paraId="77A68258" w14:textId="5ADF6A35" w:rsidR="00395A4A" w:rsidRPr="009B7225" w:rsidRDefault="00A37111" w:rsidP="0017445E">
      <w:pPr>
        <w:spacing w:line="480" w:lineRule="auto"/>
        <w:ind w:firstLine="720"/>
        <w:jc w:val="both"/>
        <w:rPr>
          <w:rFonts w:cs="Times New Roman"/>
          <w:szCs w:val="24"/>
        </w:rPr>
      </w:pPr>
      <w:r w:rsidRPr="009B7225">
        <w:rPr>
          <w:rFonts w:cs="Times New Roman"/>
          <w:szCs w:val="24"/>
        </w:rPr>
        <w:t xml:space="preserve">Although </w:t>
      </w:r>
      <w:r w:rsidR="00DB2102">
        <w:rPr>
          <w:rFonts w:cs="Times New Roman"/>
          <w:szCs w:val="24"/>
        </w:rPr>
        <w:t>a</w:t>
      </w:r>
      <w:r w:rsidRPr="009B7225">
        <w:rPr>
          <w:rFonts w:cs="Times New Roman"/>
          <w:szCs w:val="24"/>
        </w:rPr>
        <w:t xml:space="preserve">rticle 2(4) itself is silent on the meaning of ‘force’, </w:t>
      </w:r>
      <w:r w:rsidR="00712BE4" w:rsidRPr="009B7225">
        <w:rPr>
          <w:rFonts w:cs="Times New Roman"/>
          <w:szCs w:val="24"/>
        </w:rPr>
        <w:t xml:space="preserve">it became evident </w:t>
      </w:r>
      <w:r w:rsidR="001C5592" w:rsidRPr="009B7225">
        <w:rPr>
          <w:rFonts w:cs="Times New Roman"/>
          <w:szCs w:val="24"/>
        </w:rPr>
        <w:t>soon</w:t>
      </w:r>
      <w:r w:rsidR="00712BE4" w:rsidRPr="009B7225">
        <w:rPr>
          <w:rFonts w:cs="Times New Roman"/>
          <w:szCs w:val="24"/>
        </w:rPr>
        <w:t xml:space="preserve"> after the UN </w:t>
      </w:r>
      <w:r w:rsidR="001C5592" w:rsidRPr="009B7225">
        <w:rPr>
          <w:rFonts w:cs="Times New Roman"/>
          <w:szCs w:val="24"/>
        </w:rPr>
        <w:t>Charter’s</w:t>
      </w:r>
      <w:r w:rsidR="00712BE4" w:rsidRPr="009B7225">
        <w:rPr>
          <w:rFonts w:cs="Times New Roman"/>
          <w:szCs w:val="24"/>
        </w:rPr>
        <w:t xml:space="preserve"> adoption</w:t>
      </w:r>
      <w:r w:rsidR="001C5592" w:rsidRPr="009B7225">
        <w:rPr>
          <w:rFonts w:cs="Times New Roman"/>
          <w:szCs w:val="24"/>
        </w:rPr>
        <w:t xml:space="preserve"> </w:t>
      </w:r>
      <w:r w:rsidR="00712BE4" w:rsidRPr="009B7225">
        <w:rPr>
          <w:rFonts w:cs="Times New Roman"/>
          <w:szCs w:val="24"/>
        </w:rPr>
        <w:t xml:space="preserve">that states </w:t>
      </w:r>
      <w:r w:rsidR="001C5592" w:rsidRPr="009B7225">
        <w:rPr>
          <w:rFonts w:cs="Times New Roman"/>
          <w:szCs w:val="24"/>
        </w:rPr>
        <w:t xml:space="preserve">interpreted ‘force’ as being </w:t>
      </w:r>
      <w:r w:rsidR="009A1A2F" w:rsidRPr="009B7225">
        <w:rPr>
          <w:rFonts w:cs="Times New Roman"/>
          <w:szCs w:val="24"/>
        </w:rPr>
        <w:t>limited</w:t>
      </w:r>
      <w:r w:rsidR="001C5592" w:rsidRPr="009B7225">
        <w:rPr>
          <w:rFonts w:cs="Times New Roman"/>
          <w:szCs w:val="24"/>
        </w:rPr>
        <w:t xml:space="preserve"> to </w:t>
      </w:r>
      <w:r w:rsidR="00962D7E">
        <w:rPr>
          <w:rFonts w:cs="Times New Roman"/>
          <w:szCs w:val="24"/>
        </w:rPr>
        <w:t xml:space="preserve">what might be thought of as </w:t>
      </w:r>
      <w:r w:rsidR="0081423C" w:rsidRPr="009B7225">
        <w:rPr>
          <w:rFonts w:cs="Times New Roman"/>
          <w:szCs w:val="24"/>
        </w:rPr>
        <w:t>‘</w:t>
      </w:r>
      <w:r w:rsidR="00427967" w:rsidRPr="009B7225">
        <w:rPr>
          <w:rFonts w:cs="Times New Roman"/>
          <w:szCs w:val="24"/>
        </w:rPr>
        <w:t>military force</w:t>
      </w:r>
      <w:r w:rsidR="0081423C" w:rsidRPr="009B7225">
        <w:rPr>
          <w:rFonts w:cs="Times New Roman"/>
          <w:szCs w:val="24"/>
        </w:rPr>
        <w:t>’</w:t>
      </w:r>
      <w:r w:rsidR="001C5592" w:rsidRPr="009B7225">
        <w:rPr>
          <w:rFonts w:cs="Times New Roman"/>
          <w:szCs w:val="24"/>
        </w:rPr>
        <w:t xml:space="preserve">, </w:t>
      </w:r>
      <w:r w:rsidR="009A1A2F" w:rsidRPr="009B7225">
        <w:rPr>
          <w:rFonts w:cs="Times New Roman"/>
          <w:szCs w:val="24"/>
        </w:rPr>
        <w:t xml:space="preserve">thus </w:t>
      </w:r>
      <w:r w:rsidR="001C5592" w:rsidRPr="009B7225">
        <w:rPr>
          <w:rFonts w:cs="Times New Roman"/>
          <w:szCs w:val="24"/>
        </w:rPr>
        <w:t xml:space="preserve">excluding from the concept various other activities that could </w:t>
      </w:r>
      <w:r w:rsidR="0081423C" w:rsidRPr="009B7225">
        <w:rPr>
          <w:rFonts w:cs="Times New Roman"/>
          <w:szCs w:val="24"/>
        </w:rPr>
        <w:t xml:space="preserve">also </w:t>
      </w:r>
      <w:r w:rsidR="006129F8">
        <w:rPr>
          <w:rFonts w:cs="Times New Roman"/>
          <w:szCs w:val="24"/>
        </w:rPr>
        <w:t xml:space="preserve">have </w:t>
      </w:r>
      <w:r w:rsidR="00BB6264" w:rsidRPr="009B7225">
        <w:rPr>
          <w:rFonts w:cs="Times New Roman"/>
          <w:szCs w:val="24"/>
        </w:rPr>
        <w:t xml:space="preserve">been </w:t>
      </w:r>
      <w:r w:rsidR="001C5592" w:rsidRPr="009B7225">
        <w:rPr>
          <w:rFonts w:cs="Times New Roman"/>
          <w:szCs w:val="24"/>
        </w:rPr>
        <w:t>viewed as being ‘forcible’, such as economic or political coercion.</w:t>
      </w:r>
      <w:r w:rsidR="00BB6264" w:rsidRPr="009B7225">
        <w:rPr>
          <w:rStyle w:val="FootnoteReference"/>
          <w:rFonts w:cs="Times New Roman"/>
          <w:szCs w:val="24"/>
        </w:rPr>
        <w:footnoteReference w:id="35"/>
      </w:r>
      <w:r w:rsidR="00400CCE">
        <w:rPr>
          <w:rFonts w:cs="Times New Roman"/>
          <w:szCs w:val="24"/>
        </w:rPr>
        <w:t xml:space="preserve"> </w:t>
      </w:r>
      <w:r w:rsidR="00094E34" w:rsidRPr="009B7225">
        <w:rPr>
          <w:rFonts w:cs="Times New Roman"/>
          <w:szCs w:val="24"/>
        </w:rPr>
        <w:t>I</w:t>
      </w:r>
      <w:r w:rsidR="00395A4A" w:rsidRPr="009B7225">
        <w:rPr>
          <w:rFonts w:cs="Times New Roman"/>
          <w:szCs w:val="24"/>
        </w:rPr>
        <w:t xml:space="preserve">n the early </w:t>
      </w:r>
      <w:r w:rsidR="00427967" w:rsidRPr="009B7225">
        <w:rPr>
          <w:rFonts w:cs="Times New Roman"/>
          <w:szCs w:val="24"/>
        </w:rPr>
        <w:t xml:space="preserve">legal </w:t>
      </w:r>
      <w:r w:rsidR="00395A4A" w:rsidRPr="009B7225">
        <w:rPr>
          <w:rFonts w:cs="Times New Roman"/>
          <w:szCs w:val="24"/>
        </w:rPr>
        <w:t xml:space="preserve">literature </w:t>
      </w:r>
      <w:r w:rsidR="00407868" w:rsidRPr="009B7225">
        <w:rPr>
          <w:rFonts w:cs="Times New Roman"/>
          <w:szCs w:val="24"/>
        </w:rPr>
        <w:t>concerning</w:t>
      </w:r>
      <w:r w:rsidR="00395A4A" w:rsidRPr="009B7225">
        <w:rPr>
          <w:rFonts w:cs="Times New Roman"/>
          <w:szCs w:val="24"/>
        </w:rPr>
        <w:t xml:space="preserve"> large-scale cyber threats, </w:t>
      </w:r>
      <w:r w:rsidR="00094E34" w:rsidRPr="009B7225">
        <w:rPr>
          <w:rFonts w:cs="Times New Roman"/>
          <w:szCs w:val="24"/>
        </w:rPr>
        <w:t xml:space="preserve">therefore, </w:t>
      </w:r>
      <w:r w:rsidR="00395A4A" w:rsidRPr="009B7225">
        <w:rPr>
          <w:rFonts w:cs="Times New Roman"/>
          <w:szCs w:val="24"/>
        </w:rPr>
        <w:t xml:space="preserve">writers </w:t>
      </w:r>
      <w:r w:rsidR="006129F8">
        <w:rPr>
          <w:rFonts w:cs="Times New Roman"/>
          <w:szCs w:val="24"/>
        </w:rPr>
        <w:t>debated</w:t>
      </w:r>
      <w:r w:rsidR="00055AE5">
        <w:rPr>
          <w:rFonts w:cs="Times New Roman"/>
          <w:szCs w:val="24"/>
        </w:rPr>
        <w:t xml:space="preserve"> </w:t>
      </w:r>
      <w:r w:rsidR="006535CE">
        <w:rPr>
          <w:rFonts w:cs="Times New Roman"/>
          <w:szCs w:val="24"/>
        </w:rPr>
        <w:t xml:space="preserve">whether </w:t>
      </w:r>
      <w:r w:rsidR="00395A4A" w:rsidRPr="009B7225">
        <w:rPr>
          <w:rFonts w:cs="Times New Roman"/>
          <w:szCs w:val="24"/>
        </w:rPr>
        <w:t xml:space="preserve">cyber </w:t>
      </w:r>
      <w:r w:rsidR="00395A4A" w:rsidRPr="00DB2102">
        <w:rPr>
          <w:rFonts w:cs="Times New Roman"/>
          <w:szCs w:val="24"/>
        </w:rPr>
        <w:t>aggression</w:t>
      </w:r>
      <w:r w:rsidR="00395A4A" w:rsidRPr="009B7225">
        <w:rPr>
          <w:rFonts w:cs="Times New Roman"/>
          <w:szCs w:val="24"/>
        </w:rPr>
        <w:t xml:space="preserve"> should be analogised to</w:t>
      </w:r>
      <w:r w:rsidR="006535CE">
        <w:rPr>
          <w:rFonts w:cs="Times New Roman"/>
          <w:szCs w:val="24"/>
        </w:rPr>
        <w:t xml:space="preserve"> economic or political coercion</w:t>
      </w:r>
      <w:r w:rsidR="00400CCE">
        <w:rPr>
          <w:rFonts w:cs="Times New Roman"/>
          <w:szCs w:val="24"/>
        </w:rPr>
        <w:t xml:space="preserve"> </w:t>
      </w:r>
      <w:r w:rsidR="006129F8">
        <w:rPr>
          <w:rFonts w:cs="Times New Roman"/>
          <w:szCs w:val="24"/>
        </w:rPr>
        <w:t>(</w:t>
      </w:r>
      <w:r w:rsidR="00400CCE">
        <w:rPr>
          <w:rFonts w:cs="Times New Roman"/>
          <w:szCs w:val="24"/>
        </w:rPr>
        <w:t xml:space="preserve">and </w:t>
      </w:r>
      <w:r w:rsidR="006129F8">
        <w:rPr>
          <w:rFonts w:cs="Times New Roman"/>
          <w:szCs w:val="24"/>
        </w:rPr>
        <w:t xml:space="preserve">thus be </w:t>
      </w:r>
      <w:r w:rsidR="00400CCE">
        <w:rPr>
          <w:rFonts w:cs="Times New Roman"/>
          <w:szCs w:val="24"/>
        </w:rPr>
        <w:t>excluded from the scope of the prohibition</w:t>
      </w:r>
      <w:r w:rsidR="006129F8">
        <w:rPr>
          <w:rFonts w:cs="Times New Roman"/>
          <w:szCs w:val="24"/>
        </w:rPr>
        <w:t>)</w:t>
      </w:r>
      <w:r w:rsidR="00400CCE">
        <w:rPr>
          <w:rFonts w:cs="Times New Roman"/>
          <w:szCs w:val="24"/>
        </w:rPr>
        <w:t>,</w:t>
      </w:r>
      <w:r w:rsidR="006535CE">
        <w:rPr>
          <w:rFonts w:cs="Times New Roman"/>
          <w:szCs w:val="24"/>
        </w:rPr>
        <w:t xml:space="preserve"> on the basis that the</w:t>
      </w:r>
      <w:r w:rsidR="006535CE" w:rsidRPr="009B7225">
        <w:rPr>
          <w:rFonts w:cs="Times New Roman"/>
          <w:szCs w:val="24"/>
        </w:rPr>
        <w:t xml:space="preserve"> transfer of data in cyberspace </w:t>
      </w:r>
      <w:r w:rsidR="006535CE">
        <w:rPr>
          <w:rFonts w:cs="Times New Roman"/>
          <w:szCs w:val="24"/>
        </w:rPr>
        <w:t xml:space="preserve">was </w:t>
      </w:r>
      <w:r w:rsidR="00400CCE">
        <w:rPr>
          <w:rFonts w:cs="Times New Roman"/>
          <w:szCs w:val="24"/>
        </w:rPr>
        <w:t xml:space="preserve">also </w:t>
      </w:r>
      <w:r w:rsidR="006535CE" w:rsidRPr="009B7225">
        <w:rPr>
          <w:rFonts w:cs="Times New Roman"/>
          <w:szCs w:val="24"/>
        </w:rPr>
        <w:t>an inherently ‘non-physical’ act</w:t>
      </w:r>
      <w:r w:rsidR="006535CE">
        <w:rPr>
          <w:rFonts w:cs="Times New Roman"/>
          <w:szCs w:val="24"/>
        </w:rPr>
        <w:t>,</w:t>
      </w:r>
      <w:r w:rsidR="00400CCE" w:rsidRPr="009B7225">
        <w:rPr>
          <w:rStyle w:val="FootnoteReference"/>
          <w:rFonts w:cs="Times New Roman"/>
          <w:szCs w:val="24"/>
        </w:rPr>
        <w:footnoteReference w:id="36"/>
      </w:r>
      <w:r w:rsidR="006535CE">
        <w:rPr>
          <w:rFonts w:cs="Times New Roman"/>
          <w:szCs w:val="24"/>
        </w:rPr>
        <w:t xml:space="preserve"> or whether the potential military applications a</w:t>
      </w:r>
      <w:r w:rsidR="00400CCE">
        <w:rPr>
          <w:rFonts w:cs="Times New Roman"/>
          <w:szCs w:val="24"/>
        </w:rPr>
        <w:t>nd</w:t>
      </w:r>
      <w:r w:rsidR="006535CE">
        <w:rPr>
          <w:rFonts w:cs="Times New Roman"/>
          <w:szCs w:val="24"/>
        </w:rPr>
        <w:t xml:space="preserve"> destructive possibilities of cyber aggression meant that it should be </w:t>
      </w:r>
      <w:r w:rsidR="006535CE" w:rsidRPr="009B7225">
        <w:rPr>
          <w:rFonts w:cs="Times New Roman"/>
          <w:szCs w:val="24"/>
        </w:rPr>
        <w:t>analogised to conve</w:t>
      </w:r>
      <w:r w:rsidR="006129F8">
        <w:rPr>
          <w:rFonts w:cs="Times New Roman"/>
          <w:szCs w:val="24"/>
        </w:rPr>
        <w:t>ntional uses of military force (</w:t>
      </w:r>
      <w:r w:rsidR="006535CE" w:rsidRPr="009B7225">
        <w:rPr>
          <w:rFonts w:cs="Times New Roman"/>
          <w:szCs w:val="24"/>
        </w:rPr>
        <w:t xml:space="preserve">and thus </w:t>
      </w:r>
      <w:r w:rsidR="006129F8">
        <w:rPr>
          <w:rFonts w:cs="Times New Roman"/>
          <w:szCs w:val="24"/>
        </w:rPr>
        <w:t xml:space="preserve">covered by </w:t>
      </w:r>
      <w:r w:rsidR="00DB2102">
        <w:rPr>
          <w:rFonts w:cs="Times New Roman"/>
          <w:szCs w:val="24"/>
        </w:rPr>
        <w:t>a</w:t>
      </w:r>
      <w:r w:rsidR="006129F8">
        <w:rPr>
          <w:rFonts w:cs="Times New Roman"/>
          <w:szCs w:val="24"/>
        </w:rPr>
        <w:t>rticle 2(4))</w:t>
      </w:r>
      <w:r w:rsidR="006535CE" w:rsidRPr="009B7225">
        <w:rPr>
          <w:rFonts w:cs="Times New Roman"/>
          <w:szCs w:val="24"/>
        </w:rPr>
        <w:t>.</w:t>
      </w:r>
      <w:r w:rsidR="00395A4A" w:rsidRPr="009B7225">
        <w:rPr>
          <w:rStyle w:val="FootnoteReference"/>
          <w:rFonts w:cs="Times New Roman"/>
          <w:szCs w:val="24"/>
        </w:rPr>
        <w:footnoteReference w:id="37"/>
      </w:r>
      <w:r w:rsidR="00395A4A" w:rsidRPr="009B7225">
        <w:rPr>
          <w:rFonts w:cs="Times New Roman"/>
          <w:szCs w:val="24"/>
        </w:rPr>
        <w:t xml:space="preserve">  </w:t>
      </w:r>
    </w:p>
    <w:p w14:paraId="49E3580A" w14:textId="6ADCEABE" w:rsidR="003F6BEC" w:rsidRPr="009B7225" w:rsidRDefault="00055AE5" w:rsidP="0017445E">
      <w:pPr>
        <w:spacing w:line="480" w:lineRule="auto"/>
        <w:ind w:firstLine="720"/>
        <w:jc w:val="both"/>
        <w:rPr>
          <w:rFonts w:cs="Times New Roman"/>
          <w:szCs w:val="24"/>
        </w:rPr>
      </w:pPr>
      <w:r>
        <w:rPr>
          <w:rFonts w:cs="Times New Roman"/>
          <w:szCs w:val="24"/>
        </w:rPr>
        <w:t xml:space="preserve">This debate was largely resolved by moving away from a binary approach to </w:t>
      </w:r>
      <w:r w:rsidR="006129F8">
        <w:rPr>
          <w:rFonts w:cs="Times New Roman"/>
          <w:szCs w:val="24"/>
        </w:rPr>
        <w:t>determining</w:t>
      </w:r>
      <w:r>
        <w:rPr>
          <w:rFonts w:cs="Times New Roman"/>
          <w:szCs w:val="24"/>
        </w:rPr>
        <w:t xml:space="preserve"> whether cyber-attacks constituted acts of ‘force’, to one that focussed on the </w:t>
      </w:r>
      <w:r w:rsidRPr="000E6C2D">
        <w:rPr>
          <w:rFonts w:cs="Times New Roman"/>
          <w:i/>
          <w:szCs w:val="24"/>
        </w:rPr>
        <w:t>effects</w:t>
      </w:r>
      <w:r>
        <w:rPr>
          <w:rFonts w:cs="Times New Roman"/>
          <w:szCs w:val="24"/>
        </w:rPr>
        <w:t xml:space="preserve"> of any given cyber-attack.</w:t>
      </w:r>
      <w:r w:rsidR="004C0C7B">
        <w:rPr>
          <w:rStyle w:val="FootnoteReference"/>
          <w:rFonts w:cs="Times New Roman"/>
          <w:szCs w:val="24"/>
        </w:rPr>
        <w:footnoteReference w:id="38"/>
      </w:r>
      <w:r>
        <w:rPr>
          <w:rFonts w:cs="Times New Roman"/>
          <w:szCs w:val="24"/>
        </w:rPr>
        <w:t xml:space="preserve"> S</w:t>
      </w:r>
      <w:r w:rsidRPr="009B7225">
        <w:rPr>
          <w:rFonts w:cs="Times New Roman"/>
          <w:szCs w:val="24"/>
        </w:rPr>
        <w:t xml:space="preserve">tates </w:t>
      </w:r>
      <w:r>
        <w:rPr>
          <w:rFonts w:cs="Times New Roman"/>
          <w:szCs w:val="24"/>
        </w:rPr>
        <w:t xml:space="preserve">have long accepted </w:t>
      </w:r>
      <w:r w:rsidRPr="009B7225">
        <w:rPr>
          <w:rFonts w:cs="Times New Roman"/>
          <w:szCs w:val="24"/>
        </w:rPr>
        <w:t xml:space="preserve">that the use of certain weapons – such as chemical or biological weapons – are acts of ‘force’ prohibited by </w:t>
      </w:r>
      <w:r w:rsidR="00DB2102">
        <w:rPr>
          <w:rFonts w:cs="Times New Roman"/>
          <w:szCs w:val="24"/>
        </w:rPr>
        <w:t>a</w:t>
      </w:r>
      <w:r w:rsidRPr="009B7225">
        <w:rPr>
          <w:rFonts w:cs="Times New Roman"/>
          <w:szCs w:val="24"/>
        </w:rPr>
        <w:t xml:space="preserve">rticle 2(4) </w:t>
      </w:r>
      <w:r w:rsidR="000E6C2D">
        <w:rPr>
          <w:rFonts w:cs="Times New Roman"/>
          <w:szCs w:val="24"/>
        </w:rPr>
        <w:t>because</w:t>
      </w:r>
      <w:r w:rsidRPr="009B7225">
        <w:rPr>
          <w:rFonts w:cs="Times New Roman"/>
          <w:szCs w:val="24"/>
        </w:rPr>
        <w:t xml:space="preserve"> they </w:t>
      </w:r>
      <w:r w:rsidR="000E6C2D">
        <w:rPr>
          <w:rFonts w:cs="Times New Roman"/>
          <w:szCs w:val="24"/>
        </w:rPr>
        <w:t>can cause</w:t>
      </w:r>
      <w:r w:rsidRPr="009B7225">
        <w:rPr>
          <w:rFonts w:cs="Times New Roman"/>
          <w:szCs w:val="24"/>
        </w:rPr>
        <w:t xml:space="preserve"> devastating </w:t>
      </w:r>
      <w:r w:rsidRPr="000E6C2D">
        <w:rPr>
          <w:rFonts w:cs="Times New Roman"/>
          <w:szCs w:val="24"/>
        </w:rPr>
        <w:t>physical effects</w:t>
      </w:r>
      <w:r w:rsidR="000E6C2D">
        <w:rPr>
          <w:rFonts w:cs="Times New Roman"/>
          <w:szCs w:val="24"/>
        </w:rPr>
        <w:t>, irrespective of the fact that they do not necessarily constitute</w:t>
      </w:r>
      <w:r w:rsidRPr="009B7225">
        <w:rPr>
          <w:rFonts w:cs="Times New Roman"/>
          <w:szCs w:val="24"/>
        </w:rPr>
        <w:t xml:space="preserve"> ‘kinetic actions’ in themselves.</w:t>
      </w:r>
      <w:r w:rsidRPr="009B7225">
        <w:rPr>
          <w:rStyle w:val="FootnoteReference"/>
          <w:rFonts w:cs="Times New Roman"/>
          <w:szCs w:val="24"/>
        </w:rPr>
        <w:footnoteReference w:id="39"/>
      </w:r>
      <w:r w:rsidR="000E6C2D">
        <w:rPr>
          <w:rFonts w:cs="Times New Roman"/>
          <w:szCs w:val="24"/>
        </w:rPr>
        <w:t xml:space="preserve"> An </w:t>
      </w:r>
      <w:r w:rsidRPr="009B7225">
        <w:rPr>
          <w:rFonts w:cs="Times New Roman"/>
          <w:szCs w:val="24"/>
        </w:rPr>
        <w:t xml:space="preserve">‘effects-based’ approach to the meaning of ‘force’ in </w:t>
      </w:r>
      <w:r w:rsidR="003166A8">
        <w:rPr>
          <w:rFonts w:cs="Times New Roman"/>
          <w:szCs w:val="24"/>
        </w:rPr>
        <w:t>a</w:t>
      </w:r>
      <w:r w:rsidRPr="009B7225">
        <w:rPr>
          <w:rFonts w:cs="Times New Roman"/>
          <w:szCs w:val="24"/>
        </w:rPr>
        <w:t>rticle 2(4)</w:t>
      </w:r>
      <w:r w:rsidR="000E6C2D">
        <w:rPr>
          <w:rFonts w:cs="Times New Roman"/>
          <w:szCs w:val="24"/>
        </w:rPr>
        <w:t xml:space="preserve"> has now similarly been widely adopted by scholars in the cyber context</w:t>
      </w:r>
      <w:r w:rsidRPr="009B7225">
        <w:rPr>
          <w:rFonts w:cs="Times New Roman"/>
          <w:szCs w:val="24"/>
        </w:rPr>
        <w:t>.</w:t>
      </w:r>
      <w:r w:rsidRPr="009B7225">
        <w:rPr>
          <w:rStyle w:val="FootnoteReference"/>
          <w:rFonts w:cs="Times New Roman"/>
          <w:szCs w:val="24"/>
        </w:rPr>
        <w:footnoteReference w:id="40"/>
      </w:r>
      <w:r w:rsidR="000E6C2D">
        <w:rPr>
          <w:rFonts w:cs="Times New Roman"/>
          <w:szCs w:val="24"/>
        </w:rPr>
        <w:t xml:space="preserve"> </w:t>
      </w:r>
      <w:r w:rsidR="00B70F4A" w:rsidRPr="009B7225">
        <w:rPr>
          <w:rFonts w:cs="Times New Roman"/>
          <w:szCs w:val="24"/>
        </w:rPr>
        <w:t>Under this</w:t>
      </w:r>
      <w:r w:rsidR="000E6C2D">
        <w:rPr>
          <w:rFonts w:cs="Times New Roman"/>
          <w:szCs w:val="24"/>
        </w:rPr>
        <w:t xml:space="preserve"> more nuanced</w:t>
      </w:r>
      <w:r w:rsidR="00B70F4A" w:rsidRPr="009B7225">
        <w:rPr>
          <w:rFonts w:cs="Times New Roman"/>
          <w:szCs w:val="24"/>
        </w:rPr>
        <w:t xml:space="preserve"> approach</w:t>
      </w:r>
      <w:r w:rsidR="00DB400A" w:rsidRPr="009B7225">
        <w:rPr>
          <w:rFonts w:cs="Times New Roman"/>
          <w:szCs w:val="24"/>
        </w:rPr>
        <w:t>,</w:t>
      </w:r>
      <w:r w:rsidR="00B70F4A" w:rsidRPr="009B7225">
        <w:rPr>
          <w:rFonts w:cs="Times New Roman"/>
          <w:szCs w:val="24"/>
        </w:rPr>
        <w:t xml:space="preserve"> some </w:t>
      </w:r>
      <w:r w:rsidR="00395A4A" w:rsidRPr="009B7225">
        <w:rPr>
          <w:rFonts w:cs="Times New Roman"/>
          <w:szCs w:val="24"/>
        </w:rPr>
        <w:t xml:space="preserve">cyber-attacks </w:t>
      </w:r>
      <w:r w:rsidR="00B70F4A" w:rsidRPr="009B7225">
        <w:rPr>
          <w:rFonts w:cs="Times New Roman"/>
          <w:szCs w:val="24"/>
        </w:rPr>
        <w:t xml:space="preserve">would </w:t>
      </w:r>
      <w:r w:rsidR="001332B0" w:rsidRPr="009B7225">
        <w:rPr>
          <w:rFonts w:cs="Times New Roman"/>
          <w:szCs w:val="24"/>
        </w:rPr>
        <w:t>constitute</w:t>
      </w:r>
      <w:r w:rsidR="00B70F4A" w:rsidRPr="009B7225">
        <w:rPr>
          <w:rFonts w:cs="Times New Roman"/>
          <w:szCs w:val="24"/>
        </w:rPr>
        <w:t xml:space="preserve"> uses of force, while others would not. Cyber-attack</w:t>
      </w:r>
      <w:r w:rsidR="001332B0" w:rsidRPr="009B7225">
        <w:rPr>
          <w:rFonts w:cs="Times New Roman"/>
          <w:szCs w:val="24"/>
        </w:rPr>
        <w:t>s</w:t>
      </w:r>
      <w:r w:rsidR="00B70F4A" w:rsidRPr="009B7225">
        <w:rPr>
          <w:rFonts w:cs="Times New Roman"/>
          <w:szCs w:val="24"/>
        </w:rPr>
        <w:t xml:space="preserve"> </w:t>
      </w:r>
      <w:r w:rsidR="00395A4A" w:rsidRPr="009B7225">
        <w:rPr>
          <w:rFonts w:cs="Times New Roman"/>
          <w:szCs w:val="24"/>
        </w:rPr>
        <w:t xml:space="preserve">that have notably injurious consequences </w:t>
      </w:r>
      <w:r w:rsidR="001332B0" w:rsidRPr="009B7225">
        <w:rPr>
          <w:rFonts w:cs="Times New Roman"/>
          <w:szCs w:val="24"/>
        </w:rPr>
        <w:t>– comparable to the effects of traditional methods of conducting warfare – are now generally seen as</w:t>
      </w:r>
      <w:r w:rsidR="00395A4A" w:rsidRPr="009B7225">
        <w:rPr>
          <w:rFonts w:cs="Times New Roman"/>
          <w:szCs w:val="24"/>
        </w:rPr>
        <w:t xml:space="preserve"> constitut</w:t>
      </w:r>
      <w:r w:rsidR="001332B0" w:rsidRPr="009B7225">
        <w:rPr>
          <w:rFonts w:cs="Times New Roman"/>
          <w:szCs w:val="24"/>
        </w:rPr>
        <w:t xml:space="preserve">ing </w:t>
      </w:r>
      <w:r w:rsidR="00395A4A" w:rsidRPr="009B7225">
        <w:rPr>
          <w:rFonts w:cs="Times New Roman"/>
          <w:szCs w:val="24"/>
        </w:rPr>
        <w:t xml:space="preserve">a breach of </w:t>
      </w:r>
      <w:r w:rsidR="00DB2102">
        <w:rPr>
          <w:rFonts w:cs="Times New Roman"/>
          <w:szCs w:val="24"/>
        </w:rPr>
        <w:t>a</w:t>
      </w:r>
      <w:r w:rsidR="00395A4A" w:rsidRPr="009B7225">
        <w:rPr>
          <w:rFonts w:cs="Times New Roman"/>
          <w:szCs w:val="24"/>
        </w:rPr>
        <w:t>rticle 2(4); inter-state cyber aggression resulting in less severe damage</w:t>
      </w:r>
      <w:r w:rsidR="001332B0" w:rsidRPr="009B7225">
        <w:rPr>
          <w:rFonts w:cs="Times New Roman"/>
          <w:szCs w:val="24"/>
        </w:rPr>
        <w:t xml:space="preserve"> – more comparable to economic loss, for example –</w:t>
      </w:r>
      <w:r w:rsidR="00395A4A" w:rsidRPr="009B7225">
        <w:rPr>
          <w:rFonts w:cs="Times New Roman"/>
          <w:szCs w:val="24"/>
        </w:rPr>
        <w:t xml:space="preserve"> </w:t>
      </w:r>
      <w:r w:rsidR="001332B0" w:rsidRPr="009B7225">
        <w:rPr>
          <w:rFonts w:cs="Times New Roman"/>
          <w:szCs w:val="24"/>
        </w:rPr>
        <w:t>is</w:t>
      </w:r>
      <w:r w:rsidR="00395A4A" w:rsidRPr="009B7225">
        <w:rPr>
          <w:rFonts w:cs="Times New Roman"/>
          <w:szCs w:val="24"/>
        </w:rPr>
        <w:t xml:space="preserve"> not.</w:t>
      </w:r>
    </w:p>
    <w:p w14:paraId="31B54B07" w14:textId="53F8B0FC" w:rsidR="00395A4A" w:rsidRPr="009B7225" w:rsidRDefault="005C4A0E" w:rsidP="0017445E">
      <w:pPr>
        <w:spacing w:line="480" w:lineRule="auto"/>
        <w:ind w:firstLine="720"/>
        <w:jc w:val="both"/>
        <w:rPr>
          <w:rFonts w:cs="Times New Roman"/>
          <w:szCs w:val="24"/>
        </w:rPr>
      </w:pPr>
      <w:r>
        <w:rPr>
          <w:rFonts w:cs="Times New Roman"/>
          <w:szCs w:val="24"/>
        </w:rPr>
        <w:t>However</w:t>
      </w:r>
      <w:r w:rsidR="002B47F1" w:rsidRPr="009B7225">
        <w:rPr>
          <w:rFonts w:cs="Times New Roman"/>
          <w:szCs w:val="24"/>
        </w:rPr>
        <w:t xml:space="preserve">, there remains controversy as to whether </w:t>
      </w:r>
      <w:r w:rsidR="002B47F1" w:rsidRPr="009B7225">
        <w:rPr>
          <w:rFonts w:cs="Times New Roman"/>
          <w:i/>
          <w:szCs w:val="24"/>
        </w:rPr>
        <w:t>severe but non-physical effects</w:t>
      </w:r>
      <w:r w:rsidR="002B47F1" w:rsidRPr="009B7225">
        <w:rPr>
          <w:rFonts w:cs="Times New Roman"/>
          <w:szCs w:val="24"/>
        </w:rPr>
        <w:t xml:space="preserve"> are to be considered force, or whether it is only cyber-attacks that ultimately result in grave physical damage that qualify. </w:t>
      </w:r>
      <w:r w:rsidR="009B7225" w:rsidRPr="009B7225">
        <w:rPr>
          <w:rFonts w:cs="Times New Roman"/>
          <w:szCs w:val="24"/>
        </w:rPr>
        <w:t>For example,</w:t>
      </w:r>
      <w:r w:rsidR="00395A4A" w:rsidRPr="009B7225">
        <w:rPr>
          <w:rFonts w:cs="Times New Roman"/>
          <w:szCs w:val="24"/>
        </w:rPr>
        <w:t xml:space="preserve"> Dinstein </w:t>
      </w:r>
      <w:r w:rsidR="009B7225" w:rsidRPr="009B7225">
        <w:rPr>
          <w:rFonts w:cs="Times New Roman"/>
          <w:szCs w:val="24"/>
        </w:rPr>
        <w:t xml:space="preserve">has </w:t>
      </w:r>
      <w:r w:rsidR="00395A4A" w:rsidRPr="009B7225">
        <w:rPr>
          <w:rFonts w:cs="Times New Roman"/>
          <w:szCs w:val="24"/>
        </w:rPr>
        <w:t xml:space="preserve">argued that ‘the term “force” in Article 2(4) </w:t>
      </w:r>
      <w:r w:rsidR="00395A4A" w:rsidRPr="009B7225">
        <w:rPr>
          <w:rFonts w:cs="Times New Roman"/>
          <w:i/>
          <w:szCs w:val="24"/>
        </w:rPr>
        <w:t>must denote violence</w:t>
      </w:r>
      <w:r w:rsidR="00395A4A" w:rsidRPr="009B7225">
        <w:rPr>
          <w:rFonts w:cs="Times New Roman"/>
          <w:szCs w:val="24"/>
        </w:rPr>
        <w:t xml:space="preserve">. It does not matter what specific means – kinetic or electronic – are used to bring it about, but the end result must be that </w:t>
      </w:r>
      <w:r w:rsidR="00395A4A" w:rsidRPr="009B7225">
        <w:rPr>
          <w:rFonts w:cs="Times New Roman"/>
          <w:i/>
          <w:szCs w:val="24"/>
        </w:rPr>
        <w:t>violence occurs</w:t>
      </w:r>
      <w:r w:rsidR="00395A4A" w:rsidRPr="009B7225">
        <w:rPr>
          <w:rFonts w:cs="Times New Roman"/>
          <w:szCs w:val="24"/>
        </w:rPr>
        <w:t>’.</w:t>
      </w:r>
      <w:r w:rsidR="00395A4A" w:rsidRPr="009B7225">
        <w:rPr>
          <w:rStyle w:val="FootnoteReference"/>
          <w:rFonts w:cs="Times New Roman"/>
          <w:szCs w:val="24"/>
        </w:rPr>
        <w:footnoteReference w:id="41"/>
      </w:r>
      <w:r w:rsidR="008F4D7A">
        <w:rPr>
          <w:rFonts w:cs="Times New Roman"/>
          <w:szCs w:val="24"/>
        </w:rPr>
        <w:t xml:space="preserve"> </w:t>
      </w:r>
      <w:r w:rsidR="00395A4A" w:rsidRPr="009B7225">
        <w:rPr>
          <w:rFonts w:cs="Times New Roman"/>
          <w:szCs w:val="24"/>
        </w:rPr>
        <w:t xml:space="preserve">Under </w:t>
      </w:r>
      <w:r w:rsidR="002B47F1" w:rsidRPr="009B7225">
        <w:rPr>
          <w:rFonts w:cs="Times New Roman"/>
          <w:szCs w:val="24"/>
        </w:rPr>
        <w:t>this</w:t>
      </w:r>
      <w:r w:rsidR="00395A4A" w:rsidRPr="009B7225">
        <w:rPr>
          <w:rFonts w:cs="Times New Roman"/>
          <w:szCs w:val="24"/>
        </w:rPr>
        <w:t xml:space="preserve"> understanding, a cyber-attack that results in </w:t>
      </w:r>
      <w:r w:rsidR="002B47F1" w:rsidRPr="009B7225">
        <w:rPr>
          <w:rFonts w:cs="Times New Roman"/>
          <w:szCs w:val="24"/>
        </w:rPr>
        <w:t xml:space="preserve">large-scale </w:t>
      </w:r>
      <w:r w:rsidR="00395A4A" w:rsidRPr="009B7225">
        <w:rPr>
          <w:rFonts w:cs="Times New Roman"/>
          <w:szCs w:val="24"/>
        </w:rPr>
        <w:t xml:space="preserve">physical damage or violence qualifies, </w:t>
      </w:r>
      <w:r w:rsidR="002B47F1" w:rsidRPr="009B7225">
        <w:rPr>
          <w:rFonts w:cs="Times New Roman"/>
          <w:szCs w:val="24"/>
        </w:rPr>
        <w:t>while</w:t>
      </w:r>
      <w:r w:rsidR="00395A4A" w:rsidRPr="009B7225">
        <w:rPr>
          <w:rFonts w:cs="Times New Roman"/>
          <w:szCs w:val="24"/>
        </w:rPr>
        <w:t xml:space="preserve"> all other cyber-attacks do not. The sorts of ‘cyber doomsday scenarios’ noted above would clearly be covered. The effects of such actions would equate to, and could even exceed, the physical consequences of a use </w:t>
      </w:r>
      <w:r w:rsidR="008F4D7A">
        <w:rPr>
          <w:rFonts w:cs="Times New Roman"/>
          <w:szCs w:val="24"/>
        </w:rPr>
        <w:t>of traditional military force.</w:t>
      </w:r>
    </w:p>
    <w:p w14:paraId="130C2BC1" w14:textId="38266F9D" w:rsidR="00874E76" w:rsidRPr="009B7225" w:rsidRDefault="005C4A0E" w:rsidP="0017445E">
      <w:pPr>
        <w:spacing w:line="480" w:lineRule="auto"/>
        <w:ind w:firstLine="720"/>
        <w:jc w:val="both"/>
        <w:rPr>
          <w:rFonts w:cs="Times New Roman"/>
          <w:szCs w:val="24"/>
        </w:rPr>
      </w:pPr>
      <w:r>
        <w:rPr>
          <w:rFonts w:cs="Times New Roman"/>
          <w:szCs w:val="24"/>
        </w:rPr>
        <w:t>Yet i</w:t>
      </w:r>
      <w:r w:rsidR="009B7225" w:rsidRPr="009B7225">
        <w:rPr>
          <w:rFonts w:cs="Times New Roman"/>
          <w:szCs w:val="24"/>
        </w:rPr>
        <w:t>t is entirely possible that</w:t>
      </w:r>
      <w:r w:rsidR="00395A4A" w:rsidRPr="009B7225">
        <w:rPr>
          <w:rFonts w:cs="Times New Roman"/>
          <w:szCs w:val="24"/>
        </w:rPr>
        <w:t xml:space="preserve"> </w:t>
      </w:r>
      <w:r w:rsidR="00F55151" w:rsidRPr="009B7225">
        <w:rPr>
          <w:rFonts w:cs="Times New Roman"/>
          <w:szCs w:val="24"/>
        </w:rPr>
        <w:t>an attack</w:t>
      </w:r>
      <w:r w:rsidR="00395A4A" w:rsidRPr="009B7225">
        <w:rPr>
          <w:rFonts w:cs="Times New Roman"/>
          <w:szCs w:val="24"/>
        </w:rPr>
        <w:t xml:space="preserve"> </w:t>
      </w:r>
      <w:r w:rsidR="00F55151" w:rsidRPr="009B7225">
        <w:rPr>
          <w:rFonts w:cs="Times New Roman"/>
          <w:szCs w:val="24"/>
        </w:rPr>
        <w:t>that, for example, ‘corrupts data on a stock exchange and which in turn causes widespread economic harm but no direct physical damage’</w:t>
      </w:r>
      <w:r w:rsidR="00F55151" w:rsidRPr="009B7225">
        <w:rPr>
          <w:rStyle w:val="FootnoteReference"/>
          <w:rFonts w:cs="Times New Roman"/>
          <w:szCs w:val="24"/>
        </w:rPr>
        <w:footnoteReference w:id="42"/>
      </w:r>
      <w:r w:rsidR="00F55151" w:rsidRPr="009B7225">
        <w:rPr>
          <w:rFonts w:cs="Times New Roman"/>
          <w:szCs w:val="24"/>
        </w:rPr>
        <w:t xml:space="preserve"> </w:t>
      </w:r>
      <w:r w:rsidR="00395A4A" w:rsidRPr="009B7225">
        <w:rPr>
          <w:rFonts w:cs="Times New Roman"/>
          <w:szCs w:val="24"/>
        </w:rPr>
        <w:t xml:space="preserve">could </w:t>
      </w:r>
      <w:r w:rsidR="004A4768" w:rsidRPr="009B7225">
        <w:rPr>
          <w:rFonts w:cs="Times New Roman"/>
          <w:szCs w:val="24"/>
        </w:rPr>
        <w:t xml:space="preserve">in some </w:t>
      </w:r>
      <w:r w:rsidR="008F4D7A">
        <w:rPr>
          <w:rFonts w:cs="Times New Roman"/>
          <w:szCs w:val="24"/>
        </w:rPr>
        <w:t xml:space="preserve">cases </w:t>
      </w:r>
      <w:r w:rsidR="00395A4A" w:rsidRPr="009B7225">
        <w:rPr>
          <w:rFonts w:cs="Times New Roman"/>
          <w:szCs w:val="24"/>
        </w:rPr>
        <w:t xml:space="preserve">constitute ‘a disaster’, irrespective of the fact that </w:t>
      </w:r>
      <w:r w:rsidR="001332B0" w:rsidRPr="009B7225">
        <w:rPr>
          <w:rFonts w:cs="Times New Roman"/>
          <w:szCs w:val="24"/>
        </w:rPr>
        <w:t xml:space="preserve">it resulted in </w:t>
      </w:r>
      <w:r w:rsidR="00395A4A" w:rsidRPr="009B7225">
        <w:rPr>
          <w:rFonts w:cs="Times New Roman"/>
          <w:szCs w:val="24"/>
        </w:rPr>
        <w:t xml:space="preserve">no </w:t>
      </w:r>
      <w:r w:rsidR="004A4768" w:rsidRPr="009B7225">
        <w:rPr>
          <w:rFonts w:cs="Times New Roman"/>
          <w:szCs w:val="24"/>
        </w:rPr>
        <w:t xml:space="preserve">direct </w:t>
      </w:r>
      <w:r w:rsidR="00395A4A" w:rsidRPr="009B7225">
        <w:rPr>
          <w:rFonts w:cs="Times New Roman"/>
          <w:szCs w:val="24"/>
        </w:rPr>
        <w:t>physical effects.</w:t>
      </w:r>
      <w:r w:rsidR="00395A4A" w:rsidRPr="009B7225">
        <w:rPr>
          <w:rStyle w:val="FootnoteReference"/>
          <w:rFonts w:cs="Times New Roman"/>
          <w:szCs w:val="24"/>
        </w:rPr>
        <w:footnoteReference w:id="43"/>
      </w:r>
      <w:r w:rsidR="001332B0" w:rsidRPr="009B7225">
        <w:rPr>
          <w:rFonts w:cs="Times New Roman"/>
          <w:szCs w:val="24"/>
        </w:rPr>
        <w:t xml:space="preserve"> </w:t>
      </w:r>
      <w:r w:rsidR="00ED676D" w:rsidRPr="009B7225">
        <w:rPr>
          <w:rFonts w:cs="Times New Roman"/>
          <w:szCs w:val="24"/>
        </w:rPr>
        <w:t>The claim that the effects of a cyber-attack must be violent or physical in nature</w:t>
      </w:r>
      <w:r w:rsidR="00395A4A" w:rsidRPr="009B7225">
        <w:rPr>
          <w:rFonts w:cs="Times New Roman"/>
          <w:szCs w:val="24"/>
        </w:rPr>
        <w:t xml:space="preserve"> has thus been criticised on the bas</w:t>
      </w:r>
      <w:r w:rsidR="00ED676D" w:rsidRPr="009B7225">
        <w:rPr>
          <w:rFonts w:cs="Times New Roman"/>
          <w:szCs w:val="24"/>
        </w:rPr>
        <w:t>is that it is ‘under inclusive’,</w:t>
      </w:r>
      <w:r w:rsidR="00395A4A" w:rsidRPr="009B7225">
        <w:rPr>
          <w:rFonts w:cs="Times New Roman"/>
          <w:szCs w:val="24"/>
        </w:rPr>
        <w:t xml:space="preserve"> exclud</w:t>
      </w:r>
      <w:r w:rsidR="00ED676D" w:rsidRPr="009B7225">
        <w:rPr>
          <w:rFonts w:cs="Times New Roman"/>
          <w:szCs w:val="24"/>
        </w:rPr>
        <w:t>ing</w:t>
      </w:r>
      <w:r w:rsidR="00395A4A" w:rsidRPr="009B7225">
        <w:rPr>
          <w:rFonts w:cs="Times New Roman"/>
          <w:szCs w:val="24"/>
        </w:rPr>
        <w:t xml:space="preserve"> too many cyber</w:t>
      </w:r>
      <w:r w:rsidR="001332B0" w:rsidRPr="009B7225">
        <w:rPr>
          <w:rFonts w:cs="Times New Roman"/>
          <w:szCs w:val="24"/>
        </w:rPr>
        <w:t xml:space="preserve"> threats (</w:t>
      </w:r>
      <w:r w:rsidR="002B47F1" w:rsidRPr="009B7225">
        <w:rPr>
          <w:rFonts w:cs="Times New Roman"/>
          <w:szCs w:val="24"/>
        </w:rPr>
        <w:t xml:space="preserve">including </w:t>
      </w:r>
      <w:r w:rsidR="008F4D7A">
        <w:rPr>
          <w:rFonts w:cs="Times New Roman"/>
          <w:szCs w:val="24"/>
        </w:rPr>
        <w:t xml:space="preserve">some </w:t>
      </w:r>
      <w:r w:rsidR="002B47F1" w:rsidRPr="009B7225">
        <w:rPr>
          <w:rFonts w:cs="Times New Roman"/>
          <w:szCs w:val="24"/>
        </w:rPr>
        <w:t>large-scale threats</w:t>
      </w:r>
      <w:r w:rsidR="001332B0" w:rsidRPr="009B7225">
        <w:rPr>
          <w:rFonts w:cs="Times New Roman"/>
          <w:szCs w:val="24"/>
        </w:rPr>
        <w:t>)</w:t>
      </w:r>
      <w:r w:rsidR="00395A4A" w:rsidRPr="009B7225">
        <w:rPr>
          <w:rFonts w:cs="Times New Roman"/>
          <w:szCs w:val="24"/>
        </w:rPr>
        <w:t xml:space="preserve"> from the reach of </w:t>
      </w:r>
      <w:r w:rsidR="00DB2102">
        <w:rPr>
          <w:rFonts w:cs="Times New Roman"/>
          <w:szCs w:val="24"/>
        </w:rPr>
        <w:t>a</w:t>
      </w:r>
      <w:r w:rsidR="00395A4A" w:rsidRPr="009B7225">
        <w:rPr>
          <w:rFonts w:cs="Times New Roman"/>
          <w:szCs w:val="24"/>
        </w:rPr>
        <w:t>rticle 2(4).</w:t>
      </w:r>
      <w:r w:rsidR="00395A4A" w:rsidRPr="009B7225">
        <w:rPr>
          <w:rStyle w:val="FootnoteReference"/>
          <w:rFonts w:cs="Times New Roman"/>
          <w:szCs w:val="24"/>
        </w:rPr>
        <w:footnoteReference w:id="44"/>
      </w:r>
      <w:r w:rsidR="003D3269">
        <w:rPr>
          <w:rFonts w:cs="Times New Roman"/>
          <w:szCs w:val="24"/>
        </w:rPr>
        <w:t xml:space="preserve"> </w:t>
      </w:r>
      <w:r w:rsidR="00962D7E">
        <w:rPr>
          <w:rFonts w:cs="Times New Roman"/>
          <w:szCs w:val="24"/>
        </w:rPr>
        <w:t>S</w:t>
      </w:r>
      <w:r w:rsidR="009B7225" w:rsidRPr="009B7225">
        <w:rPr>
          <w:rFonts w:cs="Times New Roman"/>
          <w:szCs w:val="24"/>
        </w:rPr>
        <w:t>ome</w:t>
      </w:r>
      <w:r w:rsidR="00ED676D" w:rsidRPr="009B7225">
        <w:rPr>
          <w:rFonts w:cs="Times New Roman"/>
          <w:szCs w:val="24"/>
        </w:rPr>
        <w:t xml:space="preserve"> commentators</w:t>
      </w:r>
      <w:r w:rsidR="00395A4A" w:rsidRPr="009B7225">
        <w:rPr>
          <w:rFonts w:cs="Times New Roman"/>
          <w:szCs w:val="24"/>
        </w:rPr>
        <w:t xml:space="preserve"> </w:t>
      </w:r>
      <w:r w:rsidR="00962D7E">
        <w:rPr>
          <w:rFonts w:cs="Times New Roman"/>
          <w:szCs w:val="24"/>
        </w:rPr>
        <w:t xml:space="preserve">therefore </w:t>
      </w:r>
      <w:r w:rsidR="00395A4A" w:rsidRPr="009B7225">
        <w:rPr>
          <w:rFonts w:cs="Times New Roman"/>
          <w:szCs w:val="24"/>
        </w:rPr>
        <w:t>argue that cyber-attacks that are particularly severe in spite of not leading to physical destruction should be included.</w:t>
      </w:r>
      <w:r w:rsidR="00395A4A" w:rsidRPr="009B7225">
        <w:rPr>
          <w:rStyle w:val="FootnoteReference"/>
          <w:rFonts w:cs="Times New Roman"/>
          <w:szCs w:val="24"/>
        </w:rPr>
        <w:footnoteReference w:id="45"/>
      </w:r>
      <w:r w:rsidR="008F4D7A">
        <w:rPr>
          <w:rFonts w:cs="Times New Roman"/>
          <w:szCs w:val="24"/>
        </w:rPr>
        <w:t xml:space="preserve"> </w:t>
      </w:r>
      <w:r w:rsidR="00395A4A" w:rsidRPr="009B7225">
        <w:rPr>
          <w:rFonts w:cs="Times New Roman"/>
          <w:szCs w:val="24"/>
        </w:rPr>
        <w:t>The counter-argument to this</w:t>
      </w:r>
      <w:r w:rsidR="008F4D7A">
        <w:rPr>
          <w:rFonts w:cs="Times New Roman"/>
          <w:szCs w:val="24"/>
        </w:rPr>
        <w:t xml:space="preserve"> </w:t>
      </w:r>
      <w:r w:rsidR="00395A4A" w:rsidRPr="009B7225">
        <w:rPr>
          <w:rFonts w:cs="Times New Roman"/>
          <w:szCs w:val="24"/>
        </w:rPr>
        <w:t xml:space="preserve">is that economic actions can also have devastating, albeit non-physical, effects. Purely economic attacks are, as </w:t>
      </w:r>
      <w:r w:rsidR="006648B4">
        <w:rPr>
          <w:rFonts w:cs="Times New Roman"/>
          <w:szCs w:val="24"/>
        </w:rPr>
        <w:t xml:space="preserve">has been </w:t>
      </w:r>
      <w:r w:rsidR="00395A4A" w:rsidRPr="009B7225">
        <w:rPr>
          <w:rFonts w:cs="Times New Roman"/>
          <w:szCs w:val="24"/>
        </w:rPr>
        <w:t xml:space="preserve">noted, excluded from </w:t>
      </w:r>
      <w:r w:rsidR="003166A8">
        <w:rPr>
          <w:rFonts w:cs="Times New Roman"/>
          <w:szCs w:val="24"/>
        </w:rPr>
        <w:t>a</w:t>
      </w:r>
      <w:r w:rsidR="00395A4A" w:rsidRPr="009B7225">
        <w:rPr>
          <w:rFonts w:cs="Times New Roman"/>
          <w:szCs w:val="24"/>
        </w:rPr>
        <w:t xml:space="preserve">rticle 2(4) </w:t>
      </w:r>
      <w:r w:rsidR="00395A4A" w:rsidRPr="009B7225">
        <w:rPr>
          <w:rFonts w:cs="Times New Roman"/>
          <w:i/>
          <w:szCs w:val="24"/>
        </w:rPr>
        <w:t>per se</w:t>
      </w:r>
      <w:r w:rsidR="00395A4A" w:rsidRPr="009B7225">
        <w:rPr>
          <w:rFonts w:cs="Times New Roman"/>
          <w:szCs w:val="24"/>
        </w:rPr>
        <w:t xml:space="preserve">, however severe their consequences. To allow certain </w:t>
      </w:r>
      <w:r w:rsidR="000257D3" w:rsidRPr="009B7225">
        <w:rPr>
          <w:rFonts w:cs="Times New Roman"/>
          <w:szCs w:val="24"/>
        </w:rPr>
        <w:t xml:space="preserve">cyber </w:t>
      </w:r>
      <w:r w:rsidR="00395A4A" w:rsidRPr="009B7225">
        <w:rPr>
          <w:rFonts w:cs="Times New Roman"/>
          <w:szCs w:val="24"/>
        </w:rPr>
        <w:t xml:space="preserve">acts </w:t>
      </w:r>
      <w:r w:rsidR="000257D3" w:rsidRPr="009B7225">
        <w:rPr>
          <w:rFonts w:cs="Times New Roman"/>
          <w:szCs w:val="24"/>
        </w:rPr>
        <w:t>t</w:t>
      </w:r>
      <w:r w:rsidR="00395A4A" w:rsidRPr="009B7225">
        <w:rPr>
          <w:rFonts w:cs="Times New Roman"/>
          <w:szCs w:val="24"/>
        </w:rPr>
        <w:t xml:space="preserve">o be included on the basis that their (non-physical) effects were particularly devastating would be to arbitrarily ignore the fact that </w:t>
      </w:r>
      <w:r w:rsidR="00ED676D" w:rsidRPr="009B7225">
        <w:rPr>
          <w:rFonts w:cs="Times New Roman"/>
          <w:szCs w:val="24"/>
        </w:rPr>
        <w:t xml:space="preserve">other potentially </w:t>
      </w:r>
      <w:r w:rsidR="00395A4A" w:rsidRPr="009B7225">
        <w:rPr>
          <w:rFonts w:cs="Times New Roman"/>
          <w:szCs w:val="24"/>
        </w:rPr>
        <w:t xml:space="preserve">equally injurious </w:t>
      </w:r>
      <w:r w:rsidR="00ED676D" w:rsidRPr="009B7225">
        <w:rPr>
          <w:rFonts w:cs="Times New Roman"/>
          <w:szCs w:val="24"/>
        </w:rPr>
        <w:t xml:space="preserve">non-physical </w:t>
      </w:r>
      <w:r w:rsidR="00395A4A" w:rsidRPr="009B7225">
        <w:rPr>
          <w:rFonts w:cs="Times New Roman"/>
          <w:szCs w:val="24"/>
        </w:rPr>
        <w:t>actions have long been considered excluded.</w:t>
      </w:r>
      <w:r w:rsidR="00395A4A" w:rsidRPr="009B7225">
        <w:rPr>
          <w:rStyle w:val="FootnoteReference"/>
          <w:rFonts w:cs="Times New Roman"/>
          <w:szCs w:val="24"/>
        </w:rPr>
        <w:footnoteReference w:id="46"/>
      </w:r>
    </w:p>
    <w:p w14:paraId="54F74748" w14:textId="676F8F9C" w:rsidR="002C7CB3" w:rsidRDefault="009B7225" w:rsidP="0017445E">
      <w:pPr>
        <w:spacing w:line="480" w:lineRule="auto"/>
        <w:ind w:firstLine="720"/>
        <w:jc w:val="both"/>
        <w:rPr>
          <w:rFonts w:cs="Times New Roman"/>
          <w:szCs w:val="24"/>
        </w:rPr>
      </w:pPr>
      <w:r w:rsidRPr="009B7225">
        <w:rPr>
          <w:rFonts w:cs="Times New Roman"/>
          <w:szCs w:val="24"/>
        </w:rPr>
        <w:t>Overall</w:t>
      </w:r>
      <w:r w:rsidR="003F6BEC" w:rsidRPr="009B7225">
        <w:rPr>
          <w:rFonts w:cs="Times New Roman"/>
          <w:szCs w:val="24"/>
        </w:rPr>
        <w:t xml:space="preserve">, while there is </w:t>
      </w:r>
      <w:r w:rsidR="00DA61CA" w:rsidRPr="009B7225">
        <w:rPr>
          <w:rFonts w:cs="Times New Roman"/>
          <w:szCs w:val="24"/>
        </w:rPr>
        <w:t>now a broad</w:t>
      </w:r>
      <w:r w:rsidR="003F6BEC" w:rsidRPr="009B7225">
        <w:rPr>
          <w:rFonts w:cs="Times New Roman"/>
          <w:szCs w:val="24"/>
        </w:rPr>
        <w:t xml:space="preserve"> consensus that the term ‘force’ in </w:t>
      </w:r>
      <w:r w:rsidR="002078B6">
        <w:rPr>
          <w:rFonts w:cs="Times New Roman"/>
          <w:szCs w:val="24"/>
        </w:rPr>
        <w:t>a</w:t>
      </w:r>
      <w:r w:rsidR="003F6BEC" w:rsidRPr="009B7225">
        <w:rPr>
          <w:rFonts w:cs="Times New Roman"/>
          <w:szCs w:val="24"/>
        </w:rPr>
        <w:t xml:space="preserve">rticle 2(4) covers </w:t>
      </w:r>
      <w:r w:rsidR="005C4A0E">
        <w:rPr>
          <w:rFonts w:cs="Times New Roman"/>
          <w:szCs w:val="24"/>
        </w:rPr>
        <w:t xml:space="preserve">large-scale </w:t>
      </w:r>
      <w:r w:rsidR="003F6BEC" w:rsidRPr="009B7225">
        <w:rPr>
          <w:rFonts w:cs="Times New Roman"/>
          <w:szCs w:val="24"/>
        </w:rPr>
        <w:t xml:space="preserve">cyber-attacks where the effects of those attacks </w:t>
      </w:r>
      <w:r w:rsidR="00DA61CA" w:rsidRPr="009B7225">
        <w:rPr>
          <w:rFonts w:cs="Times New Roman"/>
          <w:szCs w:val="24"/>
        </w:rPr>
        <w:t>are physical in nature</w:t>
      </w:r>
      <w:r w:rsidR="003F6BEC" w:rsidRPr="009B7225">
        <w:rPr>
          <w:rFonts w:cs="Times New Roman"/>
          <w:szCs w:val="24"/>
        </w:rPr>
        <w:t>, there is still significant uncertainty as to whether</w:t>
      </w:r>
      <w:r w:rsidR="00F55151" w:rsidRPr="009B7225">
        <w:rPr>
          <w:rFonts w:cs="Times New Roman"/>
          <w:szCs w:val="24"/>
        </w:rPr>
        <w:t xml:space="preserve"> </w:t>
      </w:r>
      <w:r w:rsidR="004A4768" w:rsidRPr="009B7225">
        <w:rPr>
          <w:rFonts w:cs="Times New Roman"/>
          <w:szCs w:val="24"/>
        </w:rPr>
        <w:t xml:space="preserve">attacks with </w:t>
      </w:r>
      <w:r w:rsidR="00F55151" w:rsidRPr="009B7225">
        <w:rPr>
          <w:rFonts w:cs="Times New Roman"/>
          <w:szCs w:val="24"/>
        </w:rPr>
        <w:t>grave but non-physical effects</w:t>
      </w:r>
      <w:r w:rsidR="003F6BEC" w:rsidRPr="009B7225">
        <w:rPr>
          <w:rFonts w:cs="Times New Roman"/>
          <w:szCs w:val="24"/>
        </w:rPr>
        <w:t xml:space="preserve"> can also be considered</w:t>
      </w:r>
      <w:r w:rsidR="00903F21" w:rsidRPr="009B7225">
        <w:rPr>
          <w:rFonts w:cs="Times New Roman"/>
          <w:szCs w:val="24"/>
        </w:rPr>
        <w:t xml:space="preserve"> to be a</w:t>
      </w:r>
      <w:r w:rsidR="004A4768" w:rsidRPr="009B7225">
        <w:rPr>
          <w:rFonts w:cs="Times New Roman"/>
          <w:szCs w:val="24"/>
        </w:rPr>
        <w:t xml:space="preserve"> violation of the prohibition.</w:t>
      </w:r>
    </w:p>
    <w:p w14:paraId="4CB8CA0E" w14:textId="77777777" w:rsidR="003D3269" w:rsidRPr="0017445E" w:rsidRDefault="003D3269" w:rsidP="0017445E">
      <w:pPr>
        <w:spacing w:line="480" w:lineRule="auto"/>
        <w:ind w:firstLine="720"/>
        <w:jc w:val="both"/>
        <w:rPr>
          <w:rFonts w:cs="Times New Roman"/>
          <w:szCs w:val="24"/>
        </w:rPr>
      </w:pPr>
    </w:p>
    <w:p w14:paraId="2D766987" w14:textId="74153C02" w:rsidR="009B4B03" w:rsidRPr="0017445E" w:rsidRDefault="0017445E" w:rsidP="0017445E">
      <w:pPr>
        <w:spacing w:line="480" w:lineRule="auto"/>
        <w:jc w:val="both"/>
        <w:rPr>
          <w:rFonts w:cs="Times New Roman"/>
          <w:b/>
          <w:szCs w:val="24"/>
        </w:rPr>
      </w:pPr>
      <w:r w:rsidRPr="0017445E">
        <w:rPr>
          <w:rFonts w:cs="Times New Roman"/>
          <w:b/>
          <w:szCs w:val="24"/>
        </w:rPr>
        <w:t>3</w:t>
      </w:r>
      <w:r w:rsidR="00691531" w:rsidRPr="0017445E">
        <w:rPr>
          <w:rFonts w:cs="Times New Roman"/>
          <w:b/>
          <w:szCs w:val="24"/>
        </w:rPr>
        <w:t>.</w:t>
      </w:r>
      <w:r w:rsidRPr="0017445E">
        <w:rPr>
          <w:rFonts w:cs="Times New Roman"/>
          <w:b/>
          <w:szCs w:val="24"/>
        </w:rPr>
        <w:t>3</w:t>
      </w:r>
      <w:r w:rsidR="003D3269">
        <w:rPr>
          <w:rFonts w:cs="Times New Roman"/>
          <w:b/>
          <w:szCs w:val="24"/>
        </w:rPr>
        <w:t>.</w:t>
      </w:r>
      <w:r w:rsidR="00691531" w:rsidRPr="0017445E">
        <w:rPr>
          <w:rFonts w:cs="Times New Roman"/>
          <w:b/>
          <w:szCs w:val="24"/>
        </w:rPr>
        <w:t xml:space="preserve"> </w:t>
      </w:r>
      <w:r w:rsidR="001938D6" w:rsidRPr="0017445E">
        <w:rPr>
          <w:rFonts w:cs="Times New Roman"/>
          <w:b/>
          <w:szCs w:val="24"/>
        </w:rPr>
        <w:t xml:space="preserve">The </w:t>
      </w:r>
      <w:r w:rsidR="003D3269">
        <w:rPr>
          <w:rFonts w:cs="Times New Roman"/>
          <w:b/>
          <w:szCs w:val="24"/>
        </w:rPr>
        <w:t>problem of a</w:t>
      </w:r>
      <w:r w:rsidR="009B4B03" w:rsidRPr="0017445E">
        <w:rPr>
          <w:rFonts w:cs="Times New Roman"/>
          <w:b/>
          <w:szCs w:val="24"/>
        </w:rPr>
        <w:t>ttribution</w:t>
      </w:r>
    </w:p>
    <w:p w14:paraId="32BB27C0" w14:textId="788E89C0" w:rsidR="009B4B03" w:rsidRPr="009B7225" w:rsidRDefault="00ED676D" w:rsidP="0017445E">
      <w:pPr>
        <w:spacing w:line="480" w:lineRule="auto"/>
        <w:ind w:firstLine="720"/>
        <w:jc w:val="both"/>
        <w:rPr>
          <w:rFonts w:cs="Times New Roman"/>
          <w:szCs w:val="24"/>
        </w:rPr>
      </w:pPr>
      <w:r w:rsidRPr="009B7225">
        <w:rPr>
          <w:rFonts w:cs="Times New Roman"/>
          <w:szCs w:val="24"/>
        </w:rPr>
        <w:t>Article 2(4)</w:t>
      </w:r>
      <w:r w:rsidR="00DA61CA" w:rsidRPr="009B7225">
        <w:rPr>
          <w:rFonts w:cs="Times New Roman"/>
          <w:szCs w:val="24"/>
        </w:rPr>
        <w:t xml:space="preserve"> is</w:t>
      </w:r>
      <w:r w:rsidR="00034FEE" w:rsidRPr="009B7225">
        <w:rPr>
          <w:rFonts w:cs="Times New Roman"/>
          <w:szCs w:val="24"/>
        </w:rPr>
        <w:t xml:space="preserve"> directed </w:t>
      </w:r>
      <w:r w:rsidR="00DA61CA" w:rsidRPr="009B7225">
        <w:rPr>
          <w:rFonts w:cs="Times New Roman"/>
          <w:szCs w:val="24"/>
        </w:rPr>
        <w:t xml:space="preserve">only </w:t>
      </w:r>
      <w:r w:rsidR="00034FEE" w:rsidRPr="009B7225">
        <w:rPr>
          <w:rFonts w:cs="Times New Roman"/>
          <w:szCs w:val="24"/>
        </w:rPr>
        <w:t xml:space="preserve">at </w:t>
      </w:r>
      <w:r w:rsidR="00034FEE" w:rsidRPr="009B7225">
        <w:rPr>
          <w:rFonts w:cs="Times New Roman"/>
          <w:i/>
          <w:szCs w:val="24"/>
        </w:rPr>
        <w:t>states</w:t>
      </w:r>
      <w:r w:rsidR="00DA61CA" w:rsidRPr="009B7225">
        <w:rPr>
          <w:rFonts w:cs="Times New Roman"/>
          <w:szCs w:val="24"/>
        </w:rPr>
        <w:t>;</w:t>
      </w:r>
      <w:r w:rsidR="001443DE" w:rsidRPr="009B7225">
        <w:rPr>
          <w:rFonts w:cs="Times New Roman"/>
          <w:szCs w:val="24"/>
        </w:rPr>
        <w:t xml:space="preserve"> </w:t>
      </w:r>
      <w:r w:rsidR="00F55151" w:rsidRPr="009B7225">
        <w:rPr>
          <w:rFonts w:cs="Times New Roman"/>
          <w:szCs w:val="24"/>
        </w:rPr>
        <w:t>specifically</w:t>
      </w:r>
      <w:r w:rsidR="00DA61CA" w:rsidRPr="009B7225">
        <w:rPr>
          <w:rFonts w:cs="Times New Roman"/>
          <w:szCs w:val="24"/>
        </w:rPr>
        <w:t>, it</w:t>
      </w:r>
      <w:r w:rsidR="00F55151" w:rsidRPr="009B7225">
        <w:rPr>
          <w:rFonts w:cs="Times New Roman"/>
          <w:szCs w:val="24"/>
        </w:rPr>
        <w:t xml:space="preserve"> </w:t>
      </w:r>
      <w:r w:rsidR="001443DE" w:rsidRPr="009B7225">
        <w:rPr>
          <w:rFonts w:cs="Times New Roman"/>
          <w:szCs w:val="24"/>
        </w:rPr>
        <w:t xml:space="preserve">prohibits the use of force by members of the </w:t>
      </w:r>
      <w:r w:rsidR="00F55151" w:rsidRPr="009B7225">
        <w:rPr>
          <w:rFonts w:cs="Times New Roman"/>
          <w:szCs w:val="24"/>
        </w:rPr>
        <w:t>UN</w:t>
      </w:r>
      <w:r w:rsidR="00691531" w:rsidRPr="009B7225">
        <w:rPr>
          <w:rFonts w:cs="Times New Roman"/>
          <w:szCs w:val="24"/>
        </w:rPr>
        <w:t xml:space="preserve"> against other states.</w:t>
      </w:r>
      <w:r w:rsidR="001443DE" w:rsidRPr="009B7225">
        <w:rPr>
          <w:rFonts w:cs="Times New Roman"/>
          <w:szCs w:val="24"/>
        </w:rPr>
        <w:t xml:space="preserve"> </w:t>
      </w:r>
      <w:r w:rsidR="006648B4">
        <w:rPr>
          <w:rFonts w:cs="Times New Roman"/>
          <w:szCs w:val="24"/>
        </w:rPr>
        <w:t>This means that</w:t>
      </w:r>
      <w:r w:rsidR="008F4D7A">
        <w:rPr>
          <w:rFonts w:cs="Times New Roman"/>
          <w:szCs w:val="24"/>
        </w:rPr>
        <w:t xml:space="preserve"> for a cyber-attack to constitute a b</w:t>
      </w:r>
      <w:r w:rsidR="006648B4">
        <w:rPr>
          <w:rFonts w:cs="Times New Roman"/>
          <w:szCs w:val="24"/>
        </w:rPr>
        <w:t xml:space="preserve">reach of </w:t>
      </w:r>
      <w:r w:rsidR="002078B6">
        <w:rPr>
          <w:rFonts w:cs="Times New Roman"/>
          <w:szCs w:val="24"/>
        </w:rPr>
        <w:t>a</w:t>
      </w:r>
      <w:r w:rsidR="006648B4">
        <w:rPr>
          <w:rFonts w:cs="Times New Roman"/>
          <w:szCs w:val="24"/>
        </w:rPr>
        <w:t>rticle 2(4)</w:t>
      </w:r>
      <w:r w:rsidR="008F4D7A">
        <w:rPr>
          <w:rFonts w:cs="Times New Roman"/>
          <w:szCs w:val="24"/>
        </w:rPr>
        <w:t xml:space="preserve"> it</w:t>
      </w:r>
      <w:r w:rsidR="00034FEE" w:rsidRPr="009B7225">
        <w:rPr>
          <w:rFonts w:cs="Times New Roman"/>
          <w:szCs w:val="24"/>
        </w:rPr>
        <w:t xml:space="preserve"> </w:t>
      </w:r>
      <w:r w:rsidR="008F4D7A">
        <w:rPr>
          <w:rFonts w:cs="Times New Roman"/>
          <w:szCs w:val="24"/>
        </w:rPr>
        <w:t>has to be attributed to a state actor</w:t>
      </w:r>
      <w:r w:rsidR="003D2C7F">
        <w:rPr>
          <w:rFonts w:cs="Times New Roman"/>
          <w:szCs w:val="24"/>
        </w:rPr>
        <w:t>:</w:t>
      </w:r>
      <w:r w:rsidR="008F4D7A">
        <w:rPr>
          <w:rFonts w:cs="Times New Roman"/>
          <w:szCs w:val="24"/>
        </w:rPr>
        <w:t xml:space="preserve"> something that is extremely problematic in the cyber context.</w:t>
      </w:r>
    </w:p>
    <w:p w14:paraId="50F0C412" w14:textId="3DE55094" w:rsidR="00182592" w:rsidRDefault="00903F21" w:rsidP="0017445E">
      <w:pPr>
        <w:spacing w:line="480" w:lineRule="auto"/>
        <w:ind w:firstLine="720"/>
        <w:jc w:val="both"/>
        <w:rPr>
          <w:rFonts w:cs="Times New Roman"/>
          <w:szCs w:val="24"/>
        </w:rPr>
      </w:pPr>
      <w:r w:rsidRPr="009B7225">
        <w:rPr>
          <w:rFonts w:cs="Times New Roman"/>
          <w:szCs w:val="24"/>
        </w:rPr>
        <w:t>States are</w:t>
      </w:r>
      <w:r w:rsidR="00DA61CA" w:rsidRPr="009B7225">
        <w:rPr>
          <w:rFonts w:cs="Times New Roman"/>
          <w:szCs w:val="24"/>
        </w:rPr>
        <w:t xml:space="preserve"> </w:t>
      </w:r>
      <w:r w:rsidR="00F55151" w:rsidRPr="009B7225">
        <w:rPr>
          <w:rFonts w:cs="Times New Roman"/>
          <w:szCs w:val="24"/>
        </w:rPr>
        <w:t xml:space="preserve">legally </w:t>
      </w:r>
      <w:r w:rsidRPr="009B7225">
        <w:rPr>
          <w:rFonts w:cs="Times New Roman"/>
          <w:szCs w:val="24"/>
        </w:rPr>
        <w:t xml:space="preserve">responsible </w:t>
      </w:r>
      <w:r w:rsidR="00182592">
        <w:rPr>
          <w:rFonts w:cs="Times New Roman"/>
          <w:szCs w:val="24"/>
        </w:rPr>
        <w:t>for the actions of their organs.</w:t>
      </w:r>
      <w:r w:rsidRPr="009B7225">
        <w:rPr>
          <w:rStyle w:val="FootnoteReference"/>
          <w:rFonts w:cs="Times New Roman"/>
          <w:szCs w:val="24"/>
        </w:rPr>
        <w:footnoteReference w:id="47"/>
      </w:r>
      <w:r w:rsidR="00182592">
        <w:rPr>
          <w:rFonts w:cs="Times New Roman"/>
          <w:szCs w:val="24"/>
        </w:rPr>
        <w:t xml:space="preserve"> </w:t>
      </w:r>
      <w:r w:rsidRPr="009B7225">
        <w:rPr>
          <w:rFonts w:cs="Times New Roman"/>
          <w:szCs w:val="24"/>
        </w:rPr>
        <w:t>Thus, cyber-attacks perpetrated by members of a state’s armed forces</w:t>
      </w:r>
      <w:r w:rsidR="004A4768" w:rsidRPr="009B7225">
        <w:rPr>
          <w:rFonts w:cs="Times New Roman"/>
          <w:szCs w:val="24"/>
        </w:rPr>
        <w:t xml:space="preserve"> – or</w:t>
      </w:r>
      <w:r w:rsidR="006648B4">
        <w:rPr>
          <w:rFonts w:cs="Times New Roman"/>
          <w:szCs w:val="24"/>
        </w:rPr>
        <w:t>, indeed,</w:t>
      </w:r>
      <w:r w:rsidR="004A4768" w:rsidRPr="009B7225">
        <w:rPr>
          <w:rFonts w:cs="Times New Roman"/>
          <w:szCs w:val="24"/>
        </w:rPr>
        <w:t xml:space="preserve"> by civilian hackers or programmers working directly for the state</w:t>
      </w:r>
      <w:r w:rsidR="004A4768" w:rsidRPr="009B7225">
        <w:rPr>
          <w:rStyle w:val="FootnoteReference"/>
          <w:rFonts w:cs="Times New Roman"/>
          <w:szCs w:val="24"/>
        </w:rPr>
        <w:footnoteReference w:id="48"/>
      </w:r>
      <w:r w:rsidR="004A4768" w:rsidRPr="009B7225">
        <w:rPr>
          <w:rFonts w:cs="Times New Roman"/>
          <w:szCs w:val="24"/>
        </w:rPr>
        <w:t xml:space="preserve"> –</w:t>
      </w:r>
      <w:r w:rsidRPr="009B7225">
        <w:rPr>
          <w:rFonts w:cs="Times New Roman"/>
          <w:szCs w:val="24"/>
        </w:rPr>
        <w:t xml:space="preserve"> will be considered actions of the state and</w:t>
      </w:r>
      <w:r w:rsidR="001B539A" w:rsidRPr="009B7225">
        <w:rPr>
          <w:rFonts w:cs="Times New Roman"/>
          <w:szCs w:val="24"/>
        </w:rPr>
        <w:t>,</w:t>
      </w:r>
      <w:r w:rsidRPr="009B7225">
        <w:rPr>
          <w:rFonts w:cs="Times New Roman"/>
          <w:szCs w:val="24"/>
        </w:rPr>
        <w:t xml:space="preserve"> </w:t>
      </w:r>
      <w:r w:rsidR="00DA61CA" w:rsidRPr="009B7225">
        <w:rPr>
          <w:rFonts w:cs="Times New Roman"/>
          <w:szCs w:val="24"/>
        </w:rPr>
        <w:t>therefore</w:t>
      </w:r>
      <w:r w:rsidRPr="009B7225">
        <w:rPr>
          <w:rFonts w:cs="Times New Roman"/>
          <w:szCs w:val="24"/>
        </w:rPr>
        <w:t xml:space="preserve">, </w:t>
      </w:r>
      <w:r w:rsidR="00034FEE" w:rsidRPr="009B7225">
        <w:rPr>
          <w:rFonts w:cs="Times New Roman"/>
          <w:szCs w:val="24"/>
        </w:rPr>
        <w:t>potentially</w:t>
      </w:r>
      <w:r w:rsidRPr="009B7225">
        <w:rPr>
          <w:rFonts w:cs="Times New Roman"/>
          <w:szCs w:val="24"/>
        </w:rPr>
        <w:t xml:space="preserve"> </w:t>
      </w:r>
      <w:r w:rsidR="00DA61CA" w:rsidRPr="009B7225">
        <w:rPr>
          <w:rFonts w:cs="Times New Roman"/>
          <w:szCs w:val="24"/>
        </w:rPr>
        <w:t>a</w:t>
      </w:r>
      <w:r w:rsidRPr="009B7225">
        <w:rPr>
          <w:rFonts w:cs="Times New Roman"/>
          <w:szCs w:val="24"/>
        </w:rPr>
        <w:t xml:space="preserve"> breach of </w:t>
      </w:r>
      <w:r w:rsidR="002078B6">
        <w:rPr>
          <w:rFonts w:cs="Times New Roman"/>
          <w:szCs w:val="24"/>
        </w:rPr>
        <w:t>a</w:t>
      </w:r>
      <w:r w:rsidRPr="009B7225">
        <w:rPr>
          <w:rFonts w:cs="Times New Roman"/>
          <w:szCs w:val="24"/>
        </w:rPr>
        <w:t>rticle 2(4).</w:t>
      </w:r>
      <w:r w:rsidR="004A4768" w:rsidRPr="009B7225">
        <w:rPr>
          <w:rFonts w:cs="Times New Roman"/>
          <w:szCs w:val="24"/>
        </w:rPr>
        <w:t xml:space="preserve"> </w:t>
      </w:r>
      <w:r w:rsidR="00F55151" w:rsidRPr="009B7225">
        <w:rPr>
          <w:rFonts w:cs="Times New Roman"/>
          <w:szCs w:val="24"/>
        </w:rPr>
        <w:t xml:space="preserve">However, </w:t>
      </w:r>
      <w:r w:rsidR="004A4768" w:rsidRPr="009B7225">
        <w:rPr>
          <w:rFonts w:cs="Times New Roman"/>
          <w:szCs w:val="24"/>
        </w:rPr>
        <w:t xml:space="preserve">the </w:t>
      </w:r>
      <w:r w:rsidR="00124083" w:rsidRPr="009B7225">
        <w:rPr>
          <w:rFonts w:cs="Times New Roman"/>
          <w:szCs w:val="24"/>
        </w:rPr>
        <w:t xml:space="preserve">cyber-attacks that have (allegedly) been perpetrated by a state </w:t>
      </w:r>
      <w:r w:rsidR="004A4768" w:rsidRPr="009B7225">
        <w:rPr>
          <w:rFonts w:cs="Times New Roman"/>
          <w:szCs w:val="24"/>
        </w:rPr>
        <w:t xml:space="preserve">up to this point </w:t>
      </w:r>
      <w:r w:rsidR="00124083" w:rsidRPr="009B7225">
        <w:rPr>
          <w:rFonts w:cs="Times New Roman"/>
          <w:szCs w:val="24"/>
        </w:rPr>
        <w:t>have</w:t>
      </w:r>
      <w:r w:rsidR="004A4768" w:rsidRPr="009B7225">
        <w:rPr>
          <w:rFonts w:cs="Times New Roman"/>
          <w:szCs w:val="24"/>
        </w:rPr>
        <w:t>, in practice,</w:t>
      </w:r>
      <w:r w:rsidR="00124083" w:rsidRPr="009B7225">
        <w:rPr>
          <w:rFonts w:cs="Times New Roman"/>
          <w:szCs w:val="24"/>
        </w:rPr>
        <w:t xml:space="preserve"> commonly </w:t>
      </w:r>
      <w:r w:rsidR="00DA61CA" w:rsidRPr="009B7225">
        <w:rPr>
          <w:rFonts w:cs="Times New Roman"/>
          <w:szCs w:val="24"/>
        </w:rPr>
        <w:t>not come from the state’s organs</w:t>
      </w:r>
      <w:r w:rsidR="004A4768" w:rsidRPr="009B7225">
        <w:rPr>
          <w:rFonts w:cs="Times New Roman"/>
          <w:szCs w:val="24"/>
        </w:rPr>
        <w:t xml:space="preserve"> directly</w:t>
      </w:r>
      <w:r w:rsidR="00DA61CA" w:rsidRPr="009B7225">
        <w:rPr>
          <w:rFonts w:cs="Times New Roman"/>
          <w:szCs w:val="24"/>
        </w:rPr>
        <w:t xml:space="preserve">, but have instead </w:t>
      </w:r>
      <w:r w:rsidR="004A4768" w:rsidRPr="009B7225">
        <w:rPr>
          <w:rFonts w:cs="Times New Roman"/>
          <w:szCs w:val="24"/>
        </w:rPr>
        <w:t xml:space="preserve">involved </w:t>
      </w:r>
      <w:r w:rsidR="00124083" w:rsidRPr="009B7225">
        <w:rPr>
          <w:rFonts w:cs="Times New Roman"/>
          <w:szCs w:val="24"/>
        </w:rPr>
        <w:t>a non-state actor</w:t>
      </w:r>
      <w:r w:rsidR="00DA61CA" w:rsidRPr="009B7225">
        <w:rPr>
          <w:rFonts w:cs="Times New Roman"/>
          <w:szCs w:val="24"/>
        </w:rPr>
        <w:t xml:space="preserve"> </w:t>
      </w:r>
      <w:r w:rsidR="00124083" w:rsidRPr="009B7225">
        <w:rPr>
          <w:rFonts w:cs="Times New Roman"/>
          <w:szCs w:val="24"/>
        </w:rPr>
        <w:t>undertak</w:t>
      </w:r>
      <w:r w:rsidR="004A4768" w:rsidRPr="009B7225">
        <w:rPr>
          <w:rFonts w:cs="Times New Roman"/>
          <w:szCs w:val="24"/>
        </w:rPr>
        <w:t>ing</w:t>
      </w:r>
      <w:r w:rsidR="00DA61CA" w:rsidRPr="009B7225">
        <w:rPr>
          <w:rFonts w:cs="Times New Roman"/>
          <w:szCs w:val="24"/>
        </w:rPr>
        <w:t xml:space="preserve"> the attack on behalf of the state</w:t>
      </w:r>
      <w:r w:rsidR="00124083" w:rsidRPr="009B7225">
        <w:rPr>
          <w:rFonts w:cs="Times New Roman"/>
          <w:szCs w:val="24"/>
        </w:rPr>
        <w:t>.</w:t>
      </w:r>
      <w:r w:rsidR="004A4768" w:rsidRPr="009B7225">
        <w:rPr>
          <w:rStyle w:val="FootnoteReference"/>
          <w:rFonts w:cs="Times New Roman"/>
          <w:szCs w:val="24"/>
        </w:rPr>
        <w:footnoteReference w:id="49"/>
      </w:r>
      <w:r w:rsidR="003D2C7F">
        <w:rPr>
          <w:rFonts w:cs="Times New Roman"/>
          <w:szCs w:val="24"/>
        </w:rPr>
        <w:t xml:space="preserve"> Attacks of this kind</w:t>
      </w:r>
      <w:r w:rsidR="004A4768" w:rsidRPr="009B7225">
        <w:rPr>
          <w:rFonts w:cs="Times New Roman"/>
          <w:szCs w:val="24"/>
        </w:rPr>
        <w:t xml:space="preserve"> are still </w:t>
      </w:r>
      <w:r w:rsidR="003D2C7F">
        <w:rPr>
          <w:rFonts w:cs="Times New Roman"/>
          <w:szCs w:val="24"/>
        </w:rPr>
        <w:t>attributable</w:t>
      </w:r>
      <w:r w:rsidR="004A4768" w:rsidRPr="009B7225">
        <w:rPr>
          <w:rFonts w:cs="Times New Roman"/>
          <w:szCs w:val="24"/>
        </w:rPr>
        <w:t xml:space="preserve"> u</w:t>
      </w:r>
      <w:r w:rsidR="00124083" w:rsidRPr="009B7225">
        <w:rPr>
          <w:rFonts w:cs="Times New Roman"/>
          <w:szCs w:val="24"/>
        </w:rPr>
        <w:t>nder the law of state responsibility</w:t>
      </w:r>
      <w:r w:rsidR="003D2C7F">
        <w:rPr>
          <w:rFonts w:cs="Times New Roman"/>
          <w:szCs w:val="24"/>
        </w:rPr>
        <w:t>:</w:t>
      </w:r>
      <w:r w:rsidR="00124083" w:rsidRPr="009B7225">
        <w:rPr>
          <w:rFonts w:cs="Times New Roman"/>
          <w:szCs w:val="24"/>
        </w:rPr>
        <w:t xml:space="preserve"> the</w:t>
      </w:r>
      <w:r w:rsidRPr="009B7225">
        <w:rPr>
          <w:rFonts w:cs="Times New Roman"/>
          <w:szCs w:val="24"/>
        </w:rPr>
        <w:t xml:space="preserve"> actions of groups or persons ‘acting on the instructions of, or under the direction or control of’ the state are attributable to that state.</w:t>
      </w:r>
      <w:r w:rsidRPr="009B7225">
        <w:rPr>
          <w:rStyle w:val="FootnoteReference"/>
          <w:rFonts w:cs="Times New Roman"/>
          <w:szCs w:val="24"/>
        </w:rPr>
        <w:footnoteReference w:id="50"/>
      </w:r>
      <w:r w:rsidRPr="009B7225">
        <w:rPr>
          <w:rFonts w:cs="Times New Roman"/>
          <w:szCs w:val="24"/>
        </w:rPr>
        <w:t xml:space="preserve"> </w:t>
      </w:r>
      <w:r w:rsidR="00124083" w:rsidRPr="009B7225">
        <w:rPr>
          <w:rFonts w:cs="Times New Roman"/>
          <w:szCs w:val="24"/>
        </w:rPr>
        <w:t xml:space="preserve">This means that a cyber-attack by a non-state actor that </w:t>
      </w:r>
      <w:r w:rsidR="004A4768" w:rsidRPr="009B7225">
        <w:rPr>
          <w:rFonts w:cs="Times New Roman"/>
          <w:szCs w:val="24"/>
        </w:rPr>
        <w:t>is</w:t>
      </w:r>
      <w:r w:rsidR="00124083" w:rsidRPr="009B7225">
        <w:rPr>
          <w:rFonts w:cs="Times New Roman"/>
          <w:szCs w:val="24"/>
        </w:rPr>
        <w:t xml:space="preserve"> directed/controlled by </w:t>
      </w:r>
      <w:r w:rsidR="004A4768" w:rsidRPr="009B7225">
        <w:rPr>
          <w:rFonts w:cs="Times New Roman"/>
          <w:szCs w:val="24"/>
        </w:rPr>
        <w:t>a</w:t>
      </w:r>
      <w:r w:rsidR="00124083" w:rsidRPr="009B7225">
        <w:rPr>
          <w:rFonts w:cs="Times New Roman"/>
          <w:szCs w:val="24"/>
        </w:rPr>
        <w:t xml:space="preserve"> state </w:t>
      </w:r>
      <w:r w:rsidR="003D2C7F">
        <w:rPr>
          <w:rFonts w:cs="Times New Roman"/>
          <w:szCs w:val="24"/>
        </w:rPr>
        <w:t>c</w:t>
      </w:r>
      <w:r w:rsidR="00124083" w:rsidRPr="009B7225">
        <w:rPr>
          <w:rFonts w:cs="Times New Roman"/>
          <w:szCs w:val="24"/>
        </w:rPr>
        <w:t xml:space="preserve">ould constitute a violation of </w:t>
      </w:r>
      <w:r w:rsidR="002078B6">
        <w:rPr>
          <w:rFonts w:cs="Times New Roman"/>
          <w:szCs w:val="24"/>
        </w:rPr>
        <w:t>a</w:t>
      </w:r>
      <w:r w:rsidR="00124083" w:rsidRPr="009B7225">
        <w:rPr>
          <w:rFonts w:cs="Times New Roman"/>
          <w:szCs w:val="24"/>
        </w:rPr>
        <w:t>rticle 2(4</w:t>
      </w:r>
      <w:r w:rsidR="00D73AC3" w:rsidRPr="009B7225">
        <w:rPr>
          <w:rFonts w:cs="Times New Roman"/>
          <w:szCs w:val="24"/>
        </w:rPr>
        <w:t>)</w:t>
      </w:r>
      <w:r w:rsidR="00124083" w:rsidRPr="009B7225">
        <w:rPr>
          <w:rFonts w:cs="Times New Roman"/>
          <w:szCs w:val="24"/>
        </w:rPr>
        <w:t xml:space="preserve"> for which the state in question </w:t>
      </w:r>
      <w:r w:rsidR="004A4768" w:rsidRPr="009B7225">
        <w:rPr>
          <w:rFonts w:cs="Times New Roman"/>
          <w:szCs w:val="24"/>
        </w:rPr>
        <w:t>would be</w:t>
      </w:r>
      <w:r w:rsidR="00124083" w:rsidRPr="009B7225">
        <w:rPr>
          <w:rFonts w:cs="Times New Roman"/>
          <w:szCs w:val="24"/>
        </w:rPr>
        <w:t xml:space="preserve"> legally responsible.  </w:t>
      </w:r>
    </w:p>
    <w:p w14:paraId="3F9EBFC7" w14:textId="5CD8E192" w:rsidR="00DF4F48" w:rsidRPr="009B7225" w:rsidRDefault="00182592" w:rsidP="0017445E">
      <w:pPr>
        <w:spacing w:line="480" w:lineRule="auto"/>
        <w:ind w:firstLine="720"/>
        <w:jc w:val="both"/>
        <w:rPr>
          <w:rFonts w:cs="Times New Roman"/>
          <w:szCs w:val="24"/>
        </w:rPr>
      </w:pPr>
      <w:r>
        <w:rPr>
          <w:rFonts w:cs="Times New Roman"/>
          <w:szCs w:val="24"/>
        </w:rPr>
        <w:t>The problem is that a</w:t>
      </w:r>
      <w:r w:rsidR="001B539A" w:rsidRPr="009B7225">
        <w:rPr>
          <w:rFonts w:cs="Times New Roman"/>
          <w:szCs w:val="24"/>
        </w:rPr>
        <w:t>ny</w:t>
      </w:r>
      <w:r w:rsidR="00903F21" w:rsidRPr="009B7225">
        <w:rPr>
          <w:rFonts w:cs="Times New Roman"/>
          <w:szCs w:val="24"/>
        </w:rPr>
        <w:t xml:space="preserve"> </w:t>
      </w:r>
      <w:r w:rsidR="00903F21" w:rsidRPr="009B7225">
        <w:rPr>
          <w:rFonts w:cs="Times New Roman"/>
          <w:i/>
          <w:szCs w:val="24"/>
        </w:rPr>
        <w:t>legal</w:t>
      </w:r>
      <w:r w:rsidR="00903F21" w:rsidRPr="009B7225">
        <w:rPr>
          <w:rFonts w:cs="Times New Roman"/>
          <w:szCs w:val="24"/>
        </w:rPr>
        <w:t xml:space="preserve"> attribution </w:t>
      </w:r>
      <w:r w:rsidR="001B539A" w:rsidRPr="009B7225">
        <w:rPr>
          <w:rFonts w:cs="Times New Roman"/>
          <w:szCs w:val="24"/>
        </w:rPr>
        <w:t xml:space="preserve">of cyber activity </w:t>
      </w:r>
      <w:r w:rsidR="00903F21" w:rsidRPr="009B7225">
        <w:rPr>
          <w:rFonts w:cs="Times New Roman"/>
          <w:szCs w:val="24"/>
        </w:rPr>
        <w:t xml:space="preserve">is predicated upon </w:t>
      </w:r>
      <w:r w:rsidR="00903F21" w:rsidRPr="009B7225">
        <w:rPr>
          <w:rFonts w:cs="Times New Roman"/>
          <w:i/>
          <w:szCs w:val="24"/>
        </w:rPr>
        <w:t>factual</w:t>
      </w:r>
      <w:r w:rsidR="00903F21" w:rsidRPr="009B7225">
        <w:rPr>
          <w:rFonts w:cs="Times New Roman"/>
          <w:szCs w:val="24"/>
        </w:rPr>
        <w:t xml:space="preserve"> attribution</w:t>
      </w:r>
      <w:r w:rsidR="001B539A" w:rsidRPr="009B7225">
        <w:rPr>
          <w:rFonts w:cs="Times New Roman"/>
          <w:szCs w:val="24"/>
        </w:rPr>
        <w:t xml:space="preserve">. </w:t>
      </w:r>
      <w:r w:rsidR="00903F21" w:rsidRPr="009B7225">
        <w:rPr>
          <w:rFonts w:cs="Times New Roman"/>
          <w:szCs w:val="24"/>
        </w:rPr>
        <w:t>Questions of factual (or ‘forensic’) attribution of course exist in all attempts to determine state responsibility for breaches of international law, but the problem of obtaining evidence is particularly pronounced in the cyber context.</w:t>
      </w:r>
      <w:r w:rsidR="00903F21" w:rsidRPr="009B7225">
        <w:rPr>
          <w:rStyle w:val="FootnoteReference"/>
          <w:rFonts w:cs="Times New Roman"/>
          <w:szCs w:val="24"/>
        </w:rPr>
        <w:footnoteReference w:id="51"/>
      </w:r>
      <w:r w:rsidR="00903F21" w:rsidRPr="009B7225">
        <w:rPr>
          <w:rFonts w:cs="Times New Roman"/>
          <w:szCs w:val="24"/>
        </w:rPr>
        <w:t xml:space="preserve"> There are significant technical uncertainties in </w:t>
      </w:r>
      <w:r w:rsidR="00CC5C3B" w:rsidRPr="009B7225">
        <w:rPr>
          <w:rFonts w:cs="Times New Roman"/>
          <w:szCs w:val="24"/>
        </w:rPr>
        <w:t>tracing the origins of cyber activities so as to be able to attribute them to any</w:t>
      </w:r>
      <w:r w:rsidR="00903F21" w:rsidRPr="009B7225">
        <w:rPr>
          <w:rFonts w:cs="Times New Roman"/>
          <w:szCs w:val="24"/>
        </w:rPr>
        <w:t xml:space="preserve"> particular actor.</w:t>
      </w:r>
      <w:r w:rsidR="00903F21" w:rsidRPr="009B7225">
        <w:rPr>
          <w:rStyle w:val="FootnoteReference"/>
          <w:rFonts w:cs="Times New Roman"/>
          <w:szCs w:val="24"/>
        </w:rPr>
        <w:footnoteReference w:id="52"/>
      </w:r>
      <w:r w:rsidR="00903F21" w:rsidRPr="009B7225">
        <w:rPr>
          <w:rFonts w:cs="Times New Roman"/>
          <w:szCs w:val="24"/>
        </w:rPr>
        <w:t xml:space="preserve"> </w:t>
      </w:r>
      <w:r w:rsidR="002C7CB3" w:rsidRPr="009B7225">
        <w:rPr>
          <w:rFonts w:cs="Times New Roman"/>
          <w:szCs w:val="24"/>
        </w:rPr>
        <w:t>Admittedly</w:t>
      </w:r>
      <w:r w:rsidR="00903F21" w:rsidRPr="009B7225">
        <w:rPr>
          <w:rFonts w:cs="Times New Roman"/>
          <w:szCs w:val="24"/>
        </w:rPr>
        <w:t xml:space="preserve">, </w:t>
      </w:r>
      <w:r w:rsidR="003D2C7F">
        <w:rPr>
          <w:rFonts w:cs="Times New Roman"/>
          <w:szCs w:val="24"/>
        </w:rPr>
        <w:t xml:space="preserve">such problems are </w:t>
      </w:r>
      <w:r w:rsidR="00903F21" w:rsidRPr="009B7225">
        <w:rPr>
          <w:rFonts w:cs="Times New Roman"/>
          <w:szCs w:val="24"/>
        </w:rPr>
        <w:t>not</w:t>
      </w:r>
      <w:r w:rsidR="003D2C7F">
        <w:rPr>
          <w:rFonts w:cs="Times New Roman"/>
          <w:szCs w:val="24"/>
        </w:rPr>
        <w:t>, from a computer science perspective,</w:t>
      </w:r>
      <w:r w:rsidR="00903F21" w:rsidRPr="009B7225">
        <w:rPr>
          <w:rFonts w:cs="Times New Roman"/>
          <w:szCs w:val="24"/>
        </w:rPr>
        <w:t xml:space="preserve"> always </w:t>
      </w:r>
      <w:r w:rsidR="001B539A" w:rsidRPr="009B7225">
        <w:rPr>
          <w:rFonts w:cs="Times New Roman"/>
          <w:szCs w:val="24"/>
        </w:rPr>
        <w:t>entirely insurmountable,</w:t>
      </w:r>
      <w:r w:rsidR="002C7CB3" w:rsidRPr="009B7225">
        <w:rPr>
          <w:rStyle w:val="FootnoteReference"/>
          <w:rFonts w:cs="Times New Roman"/>
          <w:szCs w:val="24"/>
        </w:rPr>
        <w:footnoteReference w:id="53"/>
      </w:r>
      <w:r w:rsidR="00903F21" w:rsidRPr="009B7225">
        <w:rPr>
          <w:rFonts w:cs="Times New Roman"/>
          <w:szCs w:val="24"/>
        </w:rPr>
        <w:t xml:space="preserve"> </w:t>
      </w:r>
      <w:r w:rsidR="001B539A" w:rsidRPr="009B7225">
        <w:rPr>
          <w:rFonts w:cs="Times New Roman"/>
          <w:szCs w:val="24"/>
        </w:rPr>
        <w:t>but they are</w:t>
      </w:r>
      <w:r w:rsidR="00903F21" w:rsidRPr="009B7225">
        <w:rPr>
          <w:rFonts w:cs="Times New Roman"/>
          <w:szCs w:val="24"/>
        </w:rPr>
        <w:t xml:space="preserve"> </w:t>
      </w:r>
      <w:r w:rsidR="00DF4F48" w:rsidRPr="009B7225">
        <w:rPr>
          <w:rFonts w:cs="Times New Roman"/>
          <w:szCs w:val="24"/>
        </w:rPr>
        <w:t>considerable</w:t>
      </w:r>
      <w:r w:rsidR="00D27E0F" w:rsidRPr="009B7225">
        <w:rPr>
          <w:rFonts w:cs="Times New Roman"/>
          <w:szCs w:val="24"/>
        </w:rPr>
        <w:t>.</w:t>
      </w:r>
      <w:r w:rsidR="00903F21" w:rsidRPr="009B7225">
        <w:rPr>
          <w:rFonts w:cs="Times New Roman"/>
          <w:szCs w:val="24"/>
        </w:rPr>
        <w:t xml:space="preserve"> </w:t>
      </w:r>
      <w:r w:rsidR="000A1E0F">
        <w:rPr>
          <w:rFonts w:cs="Times New Roman"/>
          <w:szCs w:val="24"/>
        </w:rPr>
        <w:t>T</w:t>
      </w:r>
      <w:r w:rsidR="003D2C7F">
        <w:rPr>
          <w:rFonts w:cs="Times New Roman"/>
          <w:szCs w:val="24"/>
        </w:rPr>
        <w:t>he</w:t>
      </w:r>
      <w:r w:rsidR="00903F21" w:rsidRPr="009B7225">
        <w:rPr>
          <w:rFonts w:cs="Times New Roman"/>
          <w:szCs w:val="24"/>
        </w:rPr>
        <w:t xml:space="preserve"> chances of </w:t>
      </w:r>
      <w:r w:rsidR="001938D6">
        <w:rPr>
          <w:rFonts w:cs="Times New Roman"/>
          <w:szCs w:val="24"/>
        </w:rPr>
        <w:t xml:space="preserve">factually – and therefore </w:t>
      </w:r>
      <w:r w:rsidR="001938D6" w:rsidRPr="001938D6">
        <w:rPr>
          <w:rFonts w:cs="Times New Roman"/>
          <w:i/>
          <w:szCs w:val="24"/>
        </w:rPr>
        <w:t>legally</w:t>
      </w:r>
      <w:r w:rsidR="001938D6">
        <w:rPr>
          <w:rFonts w:cs="Times New Roman"/>
          <w:szCs w:val="24"/>
        </w:rPr>
        <w:t xml:space="preserve"> – attributing cyber-attacks to a state will</w:t>
      </w:r>
      <w:r w:rsidR="00903F21" w:rsidRPr="009B7225">
        <w:rPr>
          <w:rFonts w:cs="Times New Roman"/>
          <w:szCs w:val="24"/>
        </w:rPr>
        <w:t>, in most instances in the cyber context, be extremely small.</w:t>
      </w:r>
      <w:r w:rsidR="00903F21" w:rsidRPr="009B7225">
        <w:rPr>
          <w:rStyle w:val="FootnoteReference"/>
          <w:rFonts w:cs="Times New Roman"/>
          <w:szCs w:val="24"/>
        </w:rPr>
        <w:footnoteReference w:id="54"/>
      </w:r>
    </w:p>
    <w:p w14:paraId="48301BF2" w14:textId="3F35E622" w:rsidR="0032455C" w:rsidRDefault="001938D6" w:rsidP="0017445E">
      <w:pPr>
        <w:spacing w:line="480" w:lineRule="auto"/>
        <w:ind w:firstLine="720"/>
        <w:jc w:val="both"/>
        <w:rPr>
          <w:rFonts w:cs="Times New Roman"/>
          <w:szCs w:val="24"/>
        </w:rPr>
      </w:pPr>
      <w:r>
        <w:rPr>
          <w:rFonts w:cs="Times New Roman"/>
          <w:szCs w:val="24"/>
        </w:rPr>
        <w:t>This</w:t>
      </w:r>
      <w:r w:rsidR="0032455C" w:rsidRPr="009B7225">
        <w:rPr>
          <w:rFonts w:cs="Times New Roman"/>
          <w:szCs w:val="24"/>
        </w:rPr>
        <w:t xml:space="preserve"> attribution</w:t>
      </w:r>
      <w:r w:rsidR="00903F21" w:rsidRPr="009B7225">
        <w:rPr>
          <w:rFonts w:cs="Times New Roman"/>
          <w:szCs w:val="24"/>
        </w:rPr>
        <w:t xml:space="preserve"> </w:t>
      </w:r>
      <w:r w:rsidR="006648B4">
        <w:rPr>
          <w:rFonts w:cs="Times New Roman"/>
          <w:szCs w:val="24"/>
        </w:rPr>
        <w:t>problem</w:t>
      </w:r>
      <w:r w:rsidR="00903F21" w:rsidRPr="00C251A4">
        <w:rPr>
          <w:rFonts w:cs="Times New Roman"/>
          <w:szCs w:val="24"/>
        </w:rPr>
        <w:t xml:space="preserve"> </w:t>
      </w:r>
      <w:r>
        <w:rPr>
          <w:rFonts w:cs="Times New Roman"/>
          <w:szCs w:val="24"/>
        </w:rPr>
        <w:t>is</w:t>
      </w:r>
      <w:r w:rsidR="00903F21" w:rsidRPr="00C251A4">
        <w:rPr>
          <w:rFonts w:cs="Times New Roman"/>
          <w:szCs w:val="24"/>
        </w:rPr>
        <w:t xml:space="preserve"> fundamental to the effectiveness of </w:t>
      </w:r>
      <w:r w:rsidR="002078B6">
        <w:rPr>
          <w:rFonts w:cs="Times New Roman"/>
          <w:szCs w:val="24"/>
        </w:rPr>
        <w:t>a</w:t>
      </w:r>
      <w:r w:rsidR="0032455C" w:rsidRPr="00C251A4">
        <w:rPr>
          <w:rFonts w:cs="Times New Roman"/>
          <w:szCs w:val="24"/>
        </w:rPr>
        <w:t>rticle 2(4</w:t>
      </w:r>
      <w:r w:rsidR="00D73AC3" w:rsidRPr="00C251A4">
        <w:rPr>
          <w:rFonts w:cs="Times New Roman"/>
          <w:szCs w:val="24"/>
        </w:rPr>
        <w:t>)</w:t>
      </w:r>
      <w:r w:rsidR="00903F21" w:rsidRPr="00C251A4">
        <w:rPr>
          <w:rFonts w:cs="Times New Roman"/>
          <w:szCs w:val="24"/>
        </w:rPr>
        <w:t xml:space="preserve"> in </w:t>
      </w:r>
      <w:r w:rsidR="00D27E0F" w:rsidRPr="00C251A4">
        <w:rPr>
          <w:rFonts w:cs="Times New Roman"/>
          <w:szCs w:val="24"/>
        </w:rPr>
        <w:t>relation to cyber disasters</w:t>
      </w:r>
      <w:r w:rsidR="00DF4F48" w:rsidRPr="00C251A4">
        <w:rPr>
          <w:rFonts w:cs="Times New Roman"/>
          <w:szCs w:val="24"/>
        </w:rPr>
        <w:t>.</w:t>
      </w:r>
      <w:r w:rsidR="00903F21" w:rsidRPr="00C251A4">
        <w:rPr>
          <w:rStyle w:val="FootnoteReference"/>
          <w:rFonts w:cs="Times New Roman"/>
          <w:szCs w:val="24"/>
        </w:rPr>
        <w:footnoteReference w:id="55"/>
      </w:r>
      <w:r w:rsidR="00DF4F48" w:rsidRPr="00C251A4">
        <w:rPr>
          <w:rFonts w:cs="Times New Roman"/>
          <w:szCs w:val="24"/>
        </w:rPr>
        <w:t xml:space="preserve"> I</w:t>
      </w:r>
      <w:r w:rsidR="00903F21" w:rsidRPr="00C251A4">
        <w:rPr>
          <w:rFonts w:cs="Times New Roman"/>
          <w:szCs w:val="24"/>
        </w:rPr>
        <w:t xml:space="preserve">t is telling that, as yet, </w:t>
      </w:r>
      <w:r w:rsidR="00903F21" w:rsidRPr="00C251A4">
        <w:rPr>
          <w:rFonts w:cs="Times New Roman"/>
          <w:i/>
          <w:szCs w:val="24"/>
        </w:rPr>
        <w:t>no</w:t>
      </w:r>
      <w:r w:rsidR="00903F21" w:rsidRPr="00C251A4">
        <w:rPr>
          <w:rFonts w:cs="Times New Roman"/>
          <w:szCs w:val="24"/>
        </w:rPr>
        <w:t xml:space="preserve"> act of cyber aggression has been conclusively factually (and, as a consequence, legally) attributed to a state.</w:t>
      </w:r>
      <w:r w:rsidR="00903F21" w:rsidRPr="00C251A4">
        <w:rPr>
          <w:rStyle w:val="FootnoteReference"/>
          <w:rFonts w:cs="Times New Roman"/>
          <w:szCs w:val="24"/>
        </w:rPr>
        <w:footnoteReference w:id="56"/>
      </w:r>
      <w:r w:rsidR="00DF4F48" w:rsidRPr="00C251A4">
        <w:rPr>
          <w:rFonts w:cs="Times New Roman"/>
          <w:szCs w:val="24"/>
        </w:rPr>
        <w:t xml:space="preserve"> I</w:t>
      </w:r>
      <w:r>
        <w:rPr>
          <w:rFonts w:cs="Times New Roman"/>
          <w:szCs w:val="24"/>
        </w:rPr>
        <w:t>f an attack cannot be attributed to a state it cannot b</w:t>
      </w:r>
      <w:r w:rsidR="000A1E0F">
        <w:rPr>
          <w:rFonts w:cs="Times New Roman"/>
          <w:szCs w:val="24"/>
        </w:rPr>
        <w:t xml:space="preserve">e a violation of </w:t>
      </w:r>
      <w:r w:rsidR="002078B6">
        <w:rPr>
          <w:rFonts w:cs="Times New Roman"/>
          <w:szCs w:val="24"/>
        </w:rPr>
        <w:t>a</w:t>
      </w:r>
      <w:r w:rsidR="000A1E0F">
        <w:rPr>
          <w:rFonts w:cs="Times New Roman"/>
          <w:szCs w:val="24"/>
        </w:rPr>
        <w:t>rticle 2(4).  I</w:t>
      </w:r>
      <w:r w:rsidR="00DF4F48" w:rsidRPr="00C251A4">
        <w:rPr>
          <w:rFonts w:cs="Times New Roman"/>
          <w:szCs w:val="24"/>
        </w:rPr>
        <w:t xml:space="preserve">rrespective of </w:t>
      </w:r>
      <w:r w:rsidR="006648B4">
        <w:rPr>
          <w:rFonts w:cs="Times New Roman"/>
          <w:szCs w:val="24"/>
        </w:rPr>
        <w:t>the prohibition’s</w:t>
      </w:r>
      <w:r w:rsidR="00DF4F48" w:rsidRPr="00C251A4">
        <w:rPr>
          <w:rFonts w:cs="Times New Roman"/>
          <w:szCs w:val="24"/>
        </w:rPr>
        <w:t xml:space="preserve"> centrality to the legal literature </w:t>
      </w:r>
      <w:r w:rsidR="00D27E0F" w:rsidRPr="00C251A4">
        <w:rPr>
          <w:rFonts w:cs="Times New Roman"/>
          <w:szCs w:val="24"/>
        </w:rPr>
        <w:t>concerning</w:t>
      </w:r>
      <w:r w:rsidR="00DF4F48" w:rsidRPr="00C251A4">
        <w:rPr>
          <w:rFonts w:cs="Times New Roman"/>
          <w:szCs w:val="24"/>
        </w:rPr>
        <w:t xml:space="preserve"> cyber threats, the application of </w:t>
      </w:r>
      <w:r w:rsidR="002078B6">
        <w:rPr>
          <w:rFonts w:cs="Times New Roman"/>
          <w:szCs w:val="24"/>
        </w:rPr>
        <w:t>a</w:t>
      </w:r>
      <w:r w:rsidR="00DF4F48" w:rsidRPr="00C251A4">
        <w:rPr>
          <w:rFonts w:cs="Times New Roman"/>
          <w:szCs w:val="24"/>
        </w:rPr>
        <w:t xml:space="preserve">rticle 2(4) to cyberspace </w:t>
      </w:r>
      <w:r w:rsidR="000A1E0F">
        <w:rPr>
          <w:rFonts w:cs="Times New Roman"/>
          <w:szCs w:val="24"/>
        </w:rPr>
        <w:t xml:space="preserve">thus </w:t>
      </w:r>
      <w:r w:rsidR="00DF4F48" w:rsidRPr="00C251A4">
        <w:rPr>
          <w:rFonts w:cs="Times New Roman"/>
          <w:szCs w:val="24"/>
        </w:rPr>
        <w:t>remains hypothetical</w:t>
      </w:r>
      <w:r w:rsidR="003D2C7F" w:rsidRPr="00C251A4">
        <w:rPr>
          <w:rFonts w:cs="Times New Roman"/>
          <w:szCs w:val="24"/>
        </w:rPr>
        <w:t>.</w:t>
      </w:r>
    </w:p>
    <w:p w14:paraId="3D4C5882" w14:textId="77777777" w:rsidR="003D3269" w:rsidRPr="00C251A4" w:rsidRDefault="003D3269" w:rsidP="0017445E">
      <w:pPr>
        <w:spacing w:line="480" w:lineRule="auto"/>
        <w:ind w:firstLine="720"/>
        <w:jc w:val="both"/>
        <w:rPr>
          <w:rFonts w:cs="Times New Roman"/>
          <w:szCs w:val="24"/>
        </w:rPr>
      </w:pPr>
    </w:p>
    <w:p w14:paraId="78ACE6E8" w14:textId="0548900A" w:rsidR="00D75363" w:rsidRPr="0017445E" w:rsidRDefault="0017445E" w:rsidP="002078B6">
      <w:pPr>
        <w:spacing w:line="480" w:lineRule="auto"/>
        <w:jc w:val="both"/>
        <w:rPr>
          <w:rFonts w:cs="Times New Roman"/>
          <w:b/>
          <w:szCs w:val="24"/>
        </w:rPr>
      </w:pPr>
      <w:r w:rsidRPr="0017445E">
        <w:rPr>
          <w:rFonts w:cs="Times New Roman"/>
          <w:b/>
          <w:szCs w:val="24"/>
        </w:rPr>
        <w:t>3.4</w:t>
      </w:r>
      <w:r w:rsidR="003D3269">
        <w:rPr>
          <w:rFonts w:cs="Times New Roman"/>
          <w:b/>
          <w:szCs w:val="24"/>
        </w:rPr>
        <w:t>.</w:t>
      </w:r>
      <w:r w:rsidR="00691531" w:rsidRPr="0017445E">
        <w:rPr>
          <w:rFonts w:cs="Times New Roman"/>
          <w:b/>
          <w:szCs w:val="24"/>
        </w:rPr>
        <w:t xml:space="preserve"> </w:t>
      </w:r>
      <w:r w:rsidR="003D3269">
        <w:rPr>
          <w:rFonts w:cs="Times New Roman"/>
          <w:b/>
          <w:szCs w:val="24"/>
        </w:rPr>
        <w:t>Cyber-a</w:t>
      </w:r>
      <w:r w:rsidR="00C879C5" w:rsidRPr="0017445E">
        <w:rPr>
          <w:rFonts w:cs="Times New Roman"/>
          <w:b/>
          <w:szCs w:val="24"/>
        </w:rPr>
        <w:t xml:space="preserve">ttacks by </w:t>
      </w:r>
      <w:r w:rsidR="003D3269">
        <w:rPr>
          <w:rFonts w:cs="Times New Roman"/>
          <w:b/>
          <w:szCs w:val="24"/>
        </w:rPr>
        <w:t>n</w:t>
      </w:r>
      <w:r w:rsidR="00C879C5" w:rsidRPr="0017445E">
        <w:rPr>
          <w:rFonts w:cs="Times New Roman"/>
          <w:b/>
          <w:szCs w:val="24"/>
        </w:rPr>
        <w:t>on-</w:t>
      </w:r>
      <w:r w:rsidR="003D3269">
        <w:rPr>
          <w:rFonts w:cs="Times New Roman"/>
          <w:b/>
          <w:szCs w:val="24"/>
        </w:rPr>
        <w:t>s</w:t>
      </w:r>
      <w:r w:rsidR="00C879C5" w:rsidRPr="0017445E">
        <w:rPr>
          <w:rFonts w:cs="Times New Roman"/>
          <w:b/>
          <w:szCs w:val="24"/>
        </w:rPr>
        <w:t xml:space="preserve">tate </w:t>
      </w:r>
      <w:r w:rsidR="003D3269">
        <w:rPr>
          <w:rFonts w:cs="Times New Roman"/>
          <w:b/>
          <w:szCs w:val="24"/>
        </w:rPr>
        <w:t>a</w:t>
      </w:r>
      <w:r w:rsidR="00C879C5" w:rsidRPr="0017445E">
        <w:rPr>
          <w:rFonts w:cs="Times New Roman"/>
          <w:b/>
          <w:szCs w:val="24"/>
        </w:rPr>
        <w:t>ctors</w:t>
      </w:r>
    </w:p>
    <w:p w14:paraId="1C2343E0" w14:textId="3143F9C2" w:rsidR="001B539A" w:rsidRPr="00C251A4" w:rsidRDefault="006648B4" w:rsidP="0017445E">
      <w:pPr>
        <w:spacing w:line="480" w:lineRule="auto"/>
        <w:ind w:firstLine="720"/>
        <w:jc w:val="both"/>
        <w:rPr>
          <w:rFonts w:cs="Times New Roman"/>
          <w:szCs w:val="24"/>
        </w:rPr>
      </w:pPr>
      <w:r>
        <w:rPr>
          <w:rFonts w:cs="Times New Roman"/>
          <w:szCs w:val="24"/>
        </w:rPr>
        <w:t>T</w:t>
      </w:r>
      <w:r w:rsidR="003D2C7F" w:rsidRPr="00C251A4">
        <w:rPr>
          <w:rFonts w:cs="Times New Roman"/>
          <w:szCs w:val="24"/>
        </w:rPr>
        <w:t xml:space="preserve">he fact that </w:t>
      </w:r>
      <w:r w:rsidR="002078B6">
        <w:rPr>
          <w:rFonts w:cs="Times New Roman"/>
          <w:szCs w:val="24"/>
        </w:rPr>
        <w:t>a</w:t>
      </w:r>
      <w:r w:rsidR="003D2C7F" w:rsidRPr="00C251A4">
        <w:rPr>
          <w:rFonts w:cs="Times New Roman"/>
          <w:szCs w:val="24"/>
        </w:rPr>
        <w:t>rticle 2(4) is directed only at states creates a further issue with regard to its effect</w:t>
      </w:r>
      <w:r w:rsidR="00935118">
        <w:rPr>
          <w:rFonts w:cs="Times New Roman"/>
          <w:szCs w:val="24"/>
        </w:rPr>
        <w:t>iveness in the cyber context: s</w:t>
      </w:r>
      <w:r w:rsidR="003D2C7F" w:rsidRPr="00C251A4">
        <w:rPr>
          <w:rFonts w:cs="Times New Roman"/>
          <w:szCs w:val="24"/>
        </w:rPr>
        <w:t xml:space="preserve">omewhat obviously, as </w:t>
      </w:r>
      <w:r w:rsidR="009D1AE1" w:rsidRPr="00C251A4">
        <w:rPr>
          <w:rFonts w:cs="Times New Roman"/>
          <w:szCs w:val="24"/>
        </w:rPr>
        <w:t xml:space="preserve">the article prohibits the use of force by a state, </w:t>
      </w:r>
      <w:r w:rsidR="001B539A" w:rsidRPr="00C251A4">
        <w:rPr>
          <w:rFonts w:cs="Times New Roman"/>
          <w:szCs w:val="24"/>
        </w:rPr>
        <w:t xml:space="preserve">cyber-attacks perpetrated by non-state actors </w:t>
      </w:r>
      <w:r w:rsidR="00935118">
        <w:rPr>
          <w:rFonts w:cs="Times New Roman"/>
          <w:szCs w:val="24"/>
        </w:rPr>
        <w:t xml:space="preserve">entirely </w:t>
      </w:r>
      <w:r w:rsidR="001B539A" w:rsidRPr="00C251A4">
        <w:rPr>
          <w:rFonts w:cs="Times New Roman"/>
          <w:szCs w:val="24"/>
        </w:rPr>
        <w:t xml:space="preserve">independently of a state are not covered by </w:t>
      </w:r>
      <w:r w:rsidR="002078B6">
        <w:rPr>
          <w:rFonts w:cs="Times New Roman"/>
          <w:szCs w:val="24"/>
        </w:rPr>
        <w:t>a</w:t>
      </w:r>
      <w:r w:rsidR="001B539A" w:rsidRPr="00C251A4">
        <w:rPr>
          <w:rFonts w:cs="Times New Roman"/>
          <w:szCs w:val="24"/>
        </w:rPr>
        <w:t xml:space="preserve">rticle 2(4) </w:t>
      </w:r>
      <w:r w:rsidR="001B539A" w:rsidRPr="00C251A4">
        <w:rPr>
          <w:rFonts w:cs="Times New Roman"/>
          <w:i/>
          <w:szCs w:val="24"/>
        </w:rPr>
        <w:t>at all</w:t>
      </w:r>
      <w:r w:rsidR="001B539A" w:rsidRPr="00C251A4">
        <w:rPr>
          <w:rFonts w:cs="Times New Roman"/>
          <w:szCs w:val="24"/>
        </w:rPr>
        <w:t>.</w:t>
      </w:r>
    </w:p>
    <w:p w14:paraId="0FEFA9F1" w14:textId="6430D8DA" w:rsidR="004C5BF6" w:rsidRPr="00C251A4" w:rsidRDefault="005E249E" w:rsidP="0017445E">
      <w:pPr>
        <w:spacing w:line="480" w:lineRule="auto"/>
        <w:ind w:firstLine="720"/>
        <w:jc w:val="both"/>
        <w:rPr>
          <w:rFonts w:cs="Times New Roman"/>
          <w:szCs w:val="24"/>
        </w:rPr>
      </w:pPr>
      <w:r>
        <w:rPr>
          <w:rFonts w:cs="Times New Roman"/>
          <w:szCs w:val="24"/>
        </w:rPr>
        <w:t>It is clear that it is not states but ‘</w:t>
      </w:r>
      <w:r w:rsidRPr="005E249E">
        <w:rPr>
          <w:rFonts w:cs="Times New Roman"/>
          <w:szCs w:val="24"/>
        </w:rPr>
        <w:t xml:space="preserve">non-state actors </w:t>
      </w:r>
      <w:r>
        <w:rPr>
          <w:rFonts w:cs="Times New Roman"/>
          <w:szCs w:val="24"/>
        </w:rPr>
        <w:t xml:space="preserve">[that] </w:t>
      </w:r>
      <w:r w:rsidRPr="005E249E">
        <w:rPr>
          <w:rFonts w:cs="Times New Roman"/>
          <w:szCs w:val="24"/>
        </w:rPr>
        <w:t>conduct the vast majority of harmful cyber operations’</w:t>
      </w:r>
      <w:r w:rsidRPr="00825174">
        <w:rPr>
          <w:rFonts w:cs="Times New Roman"/>
          <w:szCs w:val="24"/>
        </w:rPr>
        <w:t>.</w:t>
      </w:r>
      <w:r w:rsidRPr="00825174">
        <w:rPr>
          <w:rStyle w:val="FootnoteReference"/>
          <w:rFonts w:cs="Times New Roman"/>
          <w:szCs w:val="24"/>
        </w:rPr>
        <w:footnoteReference w:id="57"/>
      </w:r>
      <w:r w:rsidRPr="00825174">
        <w:rPr>
          <w:rFonts w:cs="Times New Roman"/>
          <w:szCs w:val="24"/>
        </w:rPr>
        <w:t xml:space="preserve"> This means that most</w:t>
      </w:r>
      <w:r w:rsidR="004C5BF6" w:rsidRPr="00825174">
        <w:rPr>
          <w:rFonts w:cs="Times New Roman"/>
          <w:szCs w:val="24"/>
        </w:rPr>
        <w:t xml:space="preserve"> aggressive cyber acts fall entirely beyond the</w:t>
      </w:r>
      <w:r w:rsidRPr="00825174">
        <w:rPr>
          <w:rFonts w:cs="Times New Roman"/>
          <w:szCs w:val="24"/>
        </w:rPr>
        <w:t xml:space="preserve"> scope of the</w:t>
      </w:r>
      <w:r w:rsidR="004C5BF6" w:rsidRPr="00825174">
        <w:rPr>
          <w:rFonts w:cs="Times New Roman"/>
          <w:szCs w:val="24"/>
        </w:rPr>
        <w:t xml:space="preserve"> </w:t>
      </w:r>
      <w:r w:rsidR="007005F9">
        <w:rPr>
          <w:rFonts w:cs="Times New Roman"/>
          <w:szCs w:val="24"/>
        </w:rPr>
        <w:t xml:space="preserve">usual approach to </w:t>
      </w:r>
      <w:r w:rsidR="004C5BF6" w:rsidRPr="00825174">
        <w:rPr>
          <w:rFonts w:cs="Times New Roman"/>
          <w:szCs w:val="24"/>
        </w:rPr>
        <w:t>cyber security</w:t>
      </w:r>
      <w:r w:rsidR="007005F9">
        <w:rPr>
          <w:rFonts w:cs="Times New Roman"/>
          <w:szCs w:val="24"/>
        </w:rPr>
        <w:t xml:space="preserve"> focused on article 2(4)</w:t>
      </w:r>
      <w:r w:rsidR="004C5BF6" w:rsidRPr="00825174">
        <w:rPr>
          <w:rFonts w:cs="Times New Roman"/>
          <w:szCs w:val="24"/>
        </w:rPr>
        <w:t>. Admittedly, a</w:t>
      </w:r>
      <w:r w:rsidRPr="00825174">
        <w:rPr>
          <w:rFonts w:cs="Times New Roman"/>
          <w:szCs w:val="24"/>
        </w:rPr>
        <w:t>t</w:t>
      </w:r>
      <w:r w:rsidR="004C5BF6" w:rsidRPr="00825174">
        <w:rPr>
          <w:rFonts w:cs="Times New Roman"/>
          <w:szCs w:val="24"/>
        </w:rPr>
        <w:t xml:space="preserve"> present states remain the actors that are most likely to possess the technological resources to launch large-scale cyber-attacks.</w:t>
      </w:r>
      <w:r w:rsidR="001938D6">
        <w:rPr>
          <w:rFonts w:cs="Times New Roman"/>
          <w:szCs w:val="24"/>
        </w:rPr>
        <w:t xml:space="preserve"> </w:t>
      </w:r>
      <w:r w:rsidR="004C5BF6" w:rsidRPr="00825174">
        <w:rPr>
          <w:rFonts w:cs="Times New Roman"/>
          <w:szCs w:val="24"/>
        </w:rPr>
        <w:t>Given that</w:t>
      </w:r>
      <w:r w:rsidR="004C5BF6" w:rsidRPr="00C251A4">
        <w:rPr>
          <w:rFonts w:cs="Times New Roman"/>
          <w:szCs w:val="24"/>
        </w:rPr>
        <w:t xml:space="preserve"> this book is focussed on disasters, and thus the most catastrophic security threats, </w:t>
      </w:r>
      <w:r w:rsidR="006612DD">
        <w:rPr>
          <w:rFonts w:cs="Times New Roman"/>
          <w:szCs w:val="24"/>
        </w:rPr>
        <w:t xml:space="preserve">it should be kept in mind that </w:t>
      </w:r>
      <w:r w:rsidR="004C5BF6" w:rsidRPr="00C251A4">
        <w:rPr>
          <w:rFonts w:cs="Times New Roman"/>
          <w:szCs w:val="24"/>
        </w:rPr>
        <w:t xml:space="preserve">state-authored </w:t>
      </w:r>
      <w:r w:rsidR="006612DD">
        <w:rPr>
          <w:rFonts w:cs="Times New Roman"/>
          <w:szCs w:val="24"/>
        </w:rPr>
        <w:t>cyber-</w:t>
      </w:r>
      <w:r w:rsidR="004C5BF6" w:rsidRPr="00C251A4">
        <w:rPr>
          <w:rFonts w:cs="Times New Roman"/>
          <w:szCs w:val="24"/>
        </w:rPr>
        <w:t>attacks</w:t>
      </w:r>
      <w:r w:rsidR="006612DD">
        <w:rPr>
          <w:rFonts w:cs="Times New Roman"/>
          <w:szCs w:val="24"/>
        </w:rPr>
        <w:t xml:space="preserve"> remain the most capable of </w:t>
      </w:r>
      <w:r w:rsidR="004C5BF6" w:rsidRPr="00C251A4">
        <w:rPr>
          <w:rFonts w:cs="Times New Roman"/>
          <w:szCs w:val="24"/>
        </w:rPr>
        <w:t>inflict</w:t>
      </w:r>
      <w:r w:rsidR="006612DD">
        <w:rPr>
          <w:rFonts w:cs="Times New Roman"/>
          <w:szCs w:val="24"/>
        </w:rPr>
        <w:t>ing</w:t>
      </w:r>
      <w:r w:rsidR="004C5BF6" w:rsidRPr="00C251A4">
        <w:rPr>
          <w:rFonts w:cs="Times New Roman"/>
          <w:szCs w:val="24"/>
        </w:rPr>
        <w:t xml:space="preserve"> such harm.</w:t>
      </w:r>
      <w:r w:rsidR="001938D6" w:rsidRPr="00825174">
        <w:rPr>
          <w:rStyle w:val="FootnoteReference"/>
          <w:rFonts w:cs="Times New Roman"/>
          <w:szCs w:val="24"/>
        </w:rPr>
        <w:footnoteReference w:id="58"/>
      </w:r>
      <w:r w:rsidR="004C5BF6" w:rsidRPr="00C251A4">
        <w:rPr>
          <w:rFonts w:cs="Times New Roman"/>
          <w:szCs w:val="24"/>
        </w:rPr>
        <w:t xml:space="preserve"> </w:t>
      </w:r>
      <w:r w:rsidR="006612DD">
        <w:rPr>
          <w:rFonts w:cs="Times New Roman"/>
          <w:szCs w:val="24"/>
        </w:rPr>
        <w:t>In other words, t</w:t>
      </w:r>
      <w:r w:rsidR="004C5BF6" w:rsidRPr="00C251A4">
        <w:rPr>
          <w:rFonts w:cs="Times New Roman"/>
          <w:szCs w:val="24"/>
        </w:rPr>
        <w:t xml:space="preserve">he </w:t>
      </w:r>
      <w:r w:rsidR="008835F0">
        <w:rPr>
          <w:rFonts w:cs="Times New Roman"/>
          <w:szCs w:val="24"/>
        </w:rPr>
        <w:t>likelihood</w:t>
      </w:r>
      <w:r w:rsidR="004C5BF6" w:rsidRPr="00C251A4">
        <w:rPr>
          <w:rFonts w:cs="Times New Roman"/>
          <w:szCs w:val="24"/>
        </w:rPr>
        <w:t xml:space="preserve"> of suffering cyber harm from a non-state actor is </w:t>
      </w:r>
      <w:r w:rsidR="004C5BF6" w:rsidRPr="008835F0">
        <w:rPr>
          <w:rFonts w:cs="Times New Roman"/>
          <w:szCs w:val="24"/>
        </w:rPr>
        <w:t>much</w:t>
      </w:r>
      <w:r w:rsidR="004C5BF6" w:rsidRPr="00C251A4">
        <w:rPr>
          <w:rFonts w:cs="Times New Roman"/>
          <w:szCs w:val="24"/>
        </w:rPr>
        <w:t xml:space="preserve"> greater than </w:t>
      </w:r>
      <w:r w:rsidR="008835F0">
        <w:rPr>
          <w:rFonts w:cs="Times New Roman"/>
          <w:szCs w:val="24"/>
        </w:rPr>
        <w:t xml:space="preserve">that </w:t>
      </w:r>
      <w:r w:rsidR="006612DD">
        <w:rPr>
          <w:rFonts w:cs="Times New Roman"/>
          <w:szCs w:val="24"/>
        </w:rPr>
        <w:t xml:space="preserve">of </w:t>
      </w:r>
      <w:r w:rsidR="004C5BF6" w:rsidRPr="00C251A4">
        <w:rPr>
          <w:rFonts w:cs="Times New Roman"/>
          <w:szCs w:val="24"/>
        </w:rPr>
        <w:t>suffering it at the hand</w:t>
      </w:r>
      <w:r w:rsidR="008835F0">
        <w:rPr>
          <w:rFonts w:cs="Times New Roman"/>
          <w:szCs w:val="24"/>
        </w:rPr>
        <w:t>s</w:t>
      </w:r>
      <w:r w:rsidR="004C5BF6" w:rsidRPr="00C251A4">
        <w:rPr>
          <w:rFonts w:cs="Times New Roman"/>
          <w:szCs w:val="24"/>
        </w:rPr>
        <w:t xml:space="preserve"> of state, but where the risk materialises in the latter case, the </w:t>
      </w:r>
      <w:r w:rsidR="008835F0">
        <w:rPr>
          <w:rFonts w:cs="Times New Roman"/>
          <w:szCs w:val="24"/>
        </w:rPr>
        <w:t xml:space="preserve">degree of the </w:t>
      </w:r>
      <w:r w:rsidR="004C5BF6" w:rsidRPr="00C251A4">
        <w:rPr>
          <w:rFonts w:cs="Times New Roman"/>
          <w:szCs w:val="24"/>
        </w:rPr>
        <w:t xml:space="preserve">harm </w:t>
      </w:r>
      <w:r w:rsidR="008835F0">
        <w:rPr>
          <w:rFonts w:cs="Times New Roman"/>
          <w:szCs w:val="24"/>
        </w:rPr>
        <w:t>inflicted</w:t>
      </w:r>
      <w:r w:rsidR="006612DD">
        <w:rPr>
          <w:rFonts w:cs="Times New Roman"/>
          <w:szCs w:val="24"/>
        </w:rPr>
        <w:t xml:space="preserve"> </w:t>
      </w:r>
      <w:r w:rsidR="004C5BF6" w:rsidRPr="00C251A4">
        <w:rPr>
          <w:rFonts w:cs="Times New Roman"/>
          <w:szCs w:val="24"/>
        </w:rPr>
        <w:t>is likely to be greater.</w:t>
      </w:r>
    </w:p>
    <w:p w14:paraId="7857338D" w14:textId="7E0C2DDD" w:rsidR="00D27E0F" w:rsidRDefault="0024445E" w:rsidP="0017445E">
      <w:pPr>
        <w:spacing w:line="480" w:lineRule="auto"/>
        <w:ind w:firstLine="720"/>
        <w:jc w:val="both"/>
        <w:rPr>
          <w:rFonts w:cs="Times New Roman"/>
          <w:szCs w:val="24"/>
        </w:rPr>
      </w:pPr>
      <w:r>
        <w:rPr>
          <w:rFonts w:cs="Times New Roman"/>
          <w:szCs w:val="24"/>
        </w:rPr>
        <w:t>Nonetheless</w:t>
      </w:r>
      <w:r w:rsidR="004C5BF6" w:rsidRPr="00C251A4">
        <w:rPr>
          <w:rFonts w:cs="Times New Roman"/>
          <w:szCs w:val="24"/>
        </w:rPr>
        <w:t xml:space="preserve">, while no </w:t>
      </w:r>
      <w:r w:rsidR="009C75AE">
        <w:rPr>
          <w:rFonts w:cs="Times New Roman"/>
          <w:szCs w:val="24"/>
        </w:rPr>
        <w:t>major</w:t>
      </w:r>
      <w:r w:rsidR="004C5BF6" w:rsidRPr="00C251A4">
        <w:rPr>
          <w:rFonts w:cs="Times New Roman"/>
          <w:szCs w:val="24"/>
        </w:rPr>
        <w:t xml:space="preserve"> act of cyber terrorism has yet occurred,</w:t>
      </w:r>
      <w:r w:rsidR="005E249E">
        <w:rPr>
          <w:rStyle w:val="FootnoteReference"/>
          <w:rFonts w:cs="Times New Roman"/>
          <w:szCs w:val="24"/>
        </w:rPr>
        <w:footnoteReference w:id="59"/>
      </w:r>
      <w:r w:rsidR="004C5BF6" w:rsidRPr="00C251A4">
        <w:rPr>
          <w:rFonts w:cs="Times New Roman"/>
          <w:szCs w:val="24"/>
        </w:rPr>
        <w:t xml:space="preserve"> </w:t>
      </w:r>
      <w:r>
        <w:rPr>
          <w:rFonts w:cs="Times New Roman"/>
          <w:szCs w:val="24"/>
        </w:rPr>
        <w:t xml:space="preserve">the ubiquity of non-state </w:t>
      </w:r>
      <w:r w:rsidR="001D5129">
        <w:rPr>
          <w:rFonts w:cs="Times New Roman"/>
          <w:szCs w:val="24"/>
        </w:rPr>
        <w:t xml:space="preserve">orchestrated </w:t>
      </w:r>
      <w:r>
        <w:rPr>
          <w:rFonts w:cs="Times New Roman"/>
          <w:szCs w:val="24"/>
        </w:rPr>
        <w:t xml:space="preserve">cyber-attacks, the </w:t>
      </w:r>
      <w:r w:rsidR="00343AAE">
        <w:rPr>
          <w:rFonts w:cs="Times New Roman"/>
          <w:szCs w:val="24"/>
        </w:rPr>
        <w:t xml:space="preserve">ever-increasing reliance on cyberspace </w:t>
      </w:r>
      <w:r>
        <w:rPr>
          <w:rFonts w:cs="Times New Roman"/>
          <w:szCs w:val="24"/>
        </w:rPr>
        <w:t>and the</w:t>
      </w:r>
      <w:r w:rsidR="004C5BF6" w:rsidRPr="00C251A4">
        <w:rPr>
          <w:rFonts w:cs="Times New Roman"/>
          <w:szCs w:val="24"/>
        </w:rPr>
        <w:t xml:space="preserve"> </w:t>
      </w:r>
      <w:r w:rsidR="009C75AE">
        <w:rPr>
          <w:rFonts w:cs="Times New Roman"/>
          <w:szCs w:val="24"/>
        </w:rPr>
        <w:t>inexpensiveness and anonymity</w:t>
      </w:r>
      <w:r w:rsidR="004C5BF6" w:rsidRPr="00C251A4">
        <w:rPr>
          <w:rFonts w:cs="Times New Roman"/>
          <w:szCs w:val="24"/>
        </w:rPr>
        <w:t xml:space="preserve"> associated with mounting cyber-attacks</w:t>
      </w:r>
      <w:r w:rsidR="009C75AE">
        <w:rPr>
          <w:rStyle w:val="FootnoteReference"/>
          <w:rFonts w:cs="Times New Roman"/>
          <w:szCs w:val="24"/>
        </w:rPr>
        <w:footnoteReference w:id="60"/>
      </w:r>
      <w:r w:rsidR="009C75AE">
        <w:rPr>
          <w:rFonts w:cs="Times New Roman"/>
          <w:szCs w:val="24"/>
        </w:rPr>
        <w:t xml:space="preserve"> mean that</w:t>
      </w:r>
      <w:r w:rsidR="004C5BF6" w:rsidRPr="00C251A4">
        <w:rPr>
          <w:rFonts w:cs="Times New Roman"/>
          <w:szCs w:val="24"/>
        </w:rPr>
        <w:t xml:space="preserve"> </w:t>
      </w:r>
      <w:r w:rsidR="009C75AE">
        <w:rPr>
          <w:rFonts w:cs="Times New Roman"/>
          <w:szCs w:val="24"/>
        </w:rPr>
        <w:t>likelihood of</w:t>
      </w:r>
      <w:r w:rsidR="006612DD">
        <w:rPr>
          <w:rFonts w:cs="Times New Roman"/>
          <w:szCs w:val="24"/>
        </w:rPr>
        <w:t xml:space="preserve"> a</w:t>
      </w:r>
      <w:r w:rsidR="004C5BF6" w:rsidRPr="00C251A4">
        <w:rPr>
          <w:rFonts w:cs="Times New Roman"/>
          <w:szCs w:val="24"/>
        </w:rPr>
        <w:t xml:space="preserve"> cyber disaster being caused by a non-state actor is very real.</w:t>
      </w:r>
      <w:r w:rsidR="009C75AE">
        <w:rPr>
          <w:rStyle w:val="FootnoteReference"/>
          <w:rFonts w:cs="Times New Roman"/>
          <w:szCs w:val="24"/>
        </w:rPr>
        <w:footnoteReference w:id="61"/>
      </w:r>
      <w:r w:rsidR="006612DD">
        <w:rPr>
          <w:rFonts w:cs="Times New Roman"/>
          <w:szCs w:val="24"/>
        </w:rPr>
        <w:t xml:space="preserve">  </w:t>
      </w:r>
      <w:r>
        <w:rPr>
          <w:rFonts w:cs="Times New Roman"/>
          <w:szCs w:val="24"/>
        </w:rPr>
        <w:t>Yet this threat is</w:t>
      </w:r>
      <w:r w:rsidR="004C5BF6" w:rsidRPr="00C251A4">
        <w:rPr>
          <w:rFonts w:cs="Times New Roman"/>
          <w:szCs w:val="24"/>
        </w:rPr>
        <w:t xml:space="preserve"> entirely outside of </w:t>
      </w:r>
      <w:r w:rsidR="002078B6">
        <w:rPr>
          <w:rFonts w:cs="Times New Roman"/>
          <w:szCs w:val="24"/>
        </w:rPr>
        <w:t>a</w:t>
      </w:r>
      <w:r w:rsidR="004C5BF6" w:rsidRPr="00C251A4">
        <w:rPr>
          <w:rFonts w:cs="Times New Roman"/>
          <w:szCs w:val="24"/>
        </w:rPr>
        <w:t>rticle 2(4)’s reach.</w:t>
      </w:r>
    </w:p>
    <w:p w14:paraId="6C5F88FE" w14:textId="77777777" w:rsidR="00B77E18" w:rsidRPr="00C251A4" w:rsidRDefault="00B77E18" w:rsidP="0017445E">
      <w:pPr>
        <w:spacing w:line="480" w:lineRule="auto"/>
        <w:ind w:firstLine="720"/>
        <w:jc w:val="both"/>
        <w:rPr>
          <w:rFonts w:cs="Times New Roman"/>
          <w:szCs w:val="24"/>
        </w:rPr>
      </w:pPr>
    </w:p>
    <w:p w14:paraId="4461A07C" w14:textId="029D9376" w:rsidR="000660D4" w:rsidRPr="0017445E" w:rsidRDefault="0017445E" w:rsidP="0017445E">
      <w:pPr>
        <w:spacing w:line="480" w:lineRule="auto"/>
        <w:jc w:val="both"/>
        <w:rPr>
          <w:rFonts w:cs="Times New Roman"/>
          <w:b/>
          <w:szCs w:val="24"/>
        </w:rPr>
      </w:pPr>
      <w:r>
        <w:rPr>
          <w:rFonts w:cs="Times New Roman"/>
          <w:b/>
          <w:szCs w:val="24"/>
        </w:rPr>
        <w:t>3.5</w:t>
      </w:r>
      <w:r w:rsidR="00B77E18">
        <w:rPr>
          <w:rFonts w:cs="Times New Roman"/>
          <w:b/>
          <w:szCs w:val="24"/>
        </w:rPr>
        <w:t>.</w:t>
      </w:r>
      <w:r w:rsidR="00691531" w:rsidRPr="0017445E">
        <w:rPr>
          <w:rFonts w:cs="Times New Roman"/>
          <w:b/>
          <w:szCs w:val="24"/>
        </w:rPr>
        <w:t xml:space="preserve"> </w:t>
      </w:r>
      <w:r w:rsidR="00D27E0F" w:rsidRPr="0017445E">
        <w:rPr>
          <w:rFonts w:cs="Times New Roman"/>
          <w:b/>
          <w:szCs w:val="24"/>
        </w:rPr>
        <w:t>The</w:t>
      </w:r>
      <w:r w:rsidR="000660D4" w:rsidRPr="0017445E">
        <w:rPr>
          <w:rFonts w:cs="Times New Roman"/>
          <w:b/>
          <w:szCs w:val="24"/>
        </w:rPr>
        <w:t xml:space="preserve"> </w:t>
      </w:r>
      <w:r w:rsidR="00B77E18">
        <w:rPr>
          <w:rFonts w:cs="Times New Roman"/>
          <w:b/>
          <w:szCs w:val="24"/>
        </w:rPr>
        <w:t>p</w:t>
      </w:r>
      <w:r w:rsidR="000660D4" w:rsidRPr="0017445E">
        <w:rPr>
          <w:rFonts w:cs="Times New Roman"/>
          <w:b/>
          <w:szCs w:val="24"/>
        </w:rPr>
        <w:t xml:space="preserve">ossibility of </w:t>
      </w:r>
      <w:r w:rsidR="00B77E18">
        <w:rPr>
          <w:rFonts w:cs="Times New Roman"/>
          <w:b/>
          <w:szCs w:val="24"/>
        </w:rPr>
        <w:t>a</w:t>
      </w:r>
      <w:r w:rsidR="000660D4" w:rsidRPr="0017445E">
        <w:rPr>
          <w:rFonts w:cs="Times New Roman"/>
          <w:b/>
          <w:szCs w:val="24"/>
        </w:rPr>
        <w:t xml:space="preserve">ccidental </w:t>
      </w:r>
      <w:r w:rsidR="00B77E18">
        <w:rPr>
          <w:rFonts w:cs="Times New Roman"/>
          <w:b/>
          <w:szCs w:val="24"/>
        </w:rPr>
        <w:t>c</w:t>
      </w:r>
      <w:r w:rsidR="000660D4" w:rsidRPr="0017445E">
        <w:rPr>
          <w:rFonts w:cs="Times New Roman"/>
          <w:b/>
          <w:szCs w:val="24"/>
        </w:rPr>
        <w:t xml:space="preserve">yber </w:t>
      </w:r>
      <w:r w:rsidR="00B77E18">
        <w:rPr>
          <w:rFonts w:cs="Times New Roman"/>
          <w:b/>
          <w:szCs w:val="24"/>
        </w:rPr>
        <w:t>d</w:t>
      </w:r>
      <w:r w:rsidR="000660D4" w:rsidRPr="0017445E">
        <w:rPr>
          <w:rFonts w:cs="Times New Roman"/>
          <w:b/>
          <w:szCs w:val="24"/>
        </w:rPr>
        <w:t xml:space="preserve">isasters </w:t>
      </w:r>
    </w:p>
    <w:p w14:paraId="70567D0D" w14:textId="533698A3" w:rsidR="00C251A4" w:rsidRPr="00C251A4" w:rsidRDefault="004C5BF6" w:rsidP="0017445E">
      <w:pPr>
        <w:spacing w:line="480" w:lineRule="auto"/>
        <w:ind w:firstLine="720"/>
        <w:jc w:val="both"/>
        <w:rPr>
          <w:rFonts w:cs="Times New Roman"/>
          <w:szCs w:val="24"/>
        </w:rPr>
      </w:pPr>
      <w:r w:rsidRPr="00C251A4">
        <w:rPr>
          <w:rFonts w:cs="Times New Roman"/>
          <w:szCs w:val="24"/>
        </w:rPr>
        <w:t>Similarly, the</w:t>
      </w:r>
      <w:r w:rsidR="000660D4" w:rsidRPr="00C251A4">
        <w:rPr>
          <w:rFonts w:cs="Times New Roman"/>
          <w:szCs w:val="24"/>
        </w:rPr>
        <w:t xml:space="preserve"> </w:t>
      </w:r>
      <w:r w:rsidRPr="00C251A4">
        <w:rPr>
          <w:rFonts w:cs="Times New Roman"/>
          <w:szCs w:val="24"/>
        </w:rPr>
        <w:t xml:space="preserve">predominant </w:t>
      </w:r>
      <w:r w:rsidR="00485A2A">
        <w:rPr>
          <w:rFonts w:cs="Times New Roman"/>
          <w:szCs w:val="24"/>
        </w:rPr>
        <w:t>a</w:t>
      </w:r>
      <w:r w:rsidRPr="00C251A4">
        <w:rPr>
          <w:rFonts w:cs="Times New Roman"/>
          <w:szCs w:val="24"/>
        </w:rPr>
        <w:t xml:space="preserve">rticle 2(4) approach </w:t>
      </w:r>
      <w:r w:rsidR="008835F0">
        <w:rPr>
          <w:rFonts w:cs="Times New Roman"/>
          <w:szCs w:val="24"/>
        </w:rPr>
        <w:t>side</w:t>
      </w:r>
      <w:r w:rsidR="008835F0" w:rsidRPr="00C251A4">
        <w:rPr>
          <w:rFonts w:cs="Times New Roman"/>
          <w:szCs w:val="24"/>
        </w:rPr>
        <w:t>-lines</w:t>
      </w:r>
      <w:r w:rsidR="000660D4" w:rsidRPr="00C251A4">
        <w:rPr>
          <w:rFonts w:cs="Times New Roman"/>
          <w:szCs w:val="24"/>
        </w:rPr>
        <w:t xml:space="preserve"> the fact that a cyber disaster could be caused entirely inadvertently. </w:t>
      </w:r>
      <w:r w:rsidR="00C251A4" w:rsidRPr="00C251A4">
        <w:rPr>
          <w:rFonts w:cs="Times New Roman"/>
          <w:szCs w:val="24"/>
        </w:rPr>
        <w:t xml:space="preserve">Not only is the prohibition of the use of force directed </w:t>
      </w:r>
      <w:r w:rsidR="008835F0">
        <w:rPr>
          <w:rFonts w:cs="Times New Roman"/>
          <w:szCs w:val="24"/>
        </w:rPr>
        <w:t xml:space="preserve">just </w:t>
      </w:r>
      <w:r w:rsidR="00C251A4" w:rsidRPr="00C251A4">
        <w:rPr>
          <w:rFonts w:cs="Times New Roman"/>
          <w:szCs w:val="24"/>
        </w:rPr>
        <w:t xml:space="preserve">at states, it also only prohibits the </w:t>
      </w:r>
      <w:r w:rsidR="00C251A4" w:rsidRPr="00C251A4">
        <w:rPr>
          <w:rFonts w:cs="Times New Roman"/>
          <w:i/>
          <w:szCs w:val="24"/>
        </w:rPr>
        <w:t>deliberate</w:t>
      </w:r>
      <w:r w:rsidR="00C251A4" w:rsidRPr="00C251A4">
        <w:rPr>
          <w:rFonts w:cs="Times New Roman"/>
          <w:szCs w:val="24"/>
        </w:rPr>
        <w:t xml:space="preserve"> use of force: it is therefore relevant </w:t>
      </w:r>
      <w:r w:rsidR="00343AAE">
        <w:rPr>
          <w:rFonts w:cs="Times New Roman"/>
          <w:szCs w:val="24"/>
        </w:rPr>
        <w:t xml:space="preserve">solely in relation to </w:t>
      </w:r>
      <w:r w:rsidR="00C251A4" w:rsidRPr="00C251A4">
        <w:rPr>
          <w:rFonts w:cs="Times New Roman"/>
          <w:szCs w:val="24"/>
        </w:rPr>
        <w:t>cyber-</w:t>
      </w:r>
      <w:r w:rsidR="00C251A4" w:rsidRPr="00C251A4">
        <w:rPr>
          <w:rFonts w:cs="Times New Roman"/>
          <w:i/>
          <w:szCs w:val="24"/>
        </w:rPr>
        <w:t>attacks</w:t>
      </w:r>
      <w:r w:rsidR="00C251A4" w:rsidRPr="00C251A4">
        <w:rPr>
          <w:rFonts w:cs="Times New Roman"/>
          <w:szCs w:val="24"/>
        </w:rPr>
        <w:t>. Accidental cyber disasters are simply beyond its scope.</w:t>
      </w:r>
    </w:p>
    <w:p w14:paraId="41084AEB" w14:textId="2A2FB0E7" w:rsidR="00C16434" w:rsidRDefault="001459CF" w:rsidP="0017445E">
      <w:pPr>
        <w:spacing w:line="480" w:lineRule="auto"/>
        <w:ind w:firstLine="720"/>
        <w:jc w:val="both"/>
        <w:rPr>
          <w:rFonts w:cs="Times New Roman"/>
          <w:szCs w:val="24"/>
        </w:rPr>
      </w:pPr>
      <w:r>
        <w:rPr>
          <w:rFonts w:cs="Times New Roman"/>
          <w:szCs w:val="24"/>
        </w:rPr>
        <w:t>I</w:t>
      </w:r>
      <w:r w:rsidR="000660D4" w:rsidRPr="00C251A4">
        <w:rPr>
          <w:rFonts w:cs="Times New Roman"/>
          <w:szCs w:val="24"/>
        </w:rPr>
        <w:t>t is undoubtedly the case that the potential exists for disasters to occur through cyberspace that were unintended, either because of human error or technological failure.</w:t>
      </w:r>
      <w:r w:rsidR="000660D4" w:rsidRPr="00C251A4">
        <w:rPr>
          <w:rStyle w:val="FootnoteReference"/>
          <w:rFonts w:cs="Times New Roman"/>
          <w:szCs w:val="24"/>
        </w:rPr>
        <w:footnoteReference w:id="62"/>
      </w:r>
      <w:r w:rsidR="000D1858" w:rsidRPr="00C251A4">
        <w:rPr>
          <w:rFonts w:cs="Times New Roman"/>
          <w:szCs w:val="24"/>
        </w:rPr>
        <w:t xml:space="preserve">  I</w:t>
      </w:r>
      <w:r w:rsidR="00343AAE">
        <w:rPr>
          <w:rFonts w:cs="Times New Roman"/>
          <w:szCs w:val="24"/>
        </w:rPr>
        <w:t xml:space="preserve">ndeed, </w:t>
      </w:r>
      <w:r w:rsidR="008835F0">
        <w:rPr>
          <w:rFonts w:cs="Times New Roman"/>
          <w:szCs w:val="24"/>
        </w:rPr>
        <w:t>some have</w:t>
      </w:r>
      <w:r w:rsidR="000D1858" w:rsidRPr="00C251A4">
        <w:rPr>
          <w:rFonts w:cs="Times New Roman"/>
          <w:szCs w:val="24"/>
        </w:rPr>
        <w:t xml:space="preserve"> a</w:t>
      </w:r>
      <w:r w:rsidR="008C63D0">
        <w:rPr>
          <w:rFonts w:cs="Times New Roman"/>
          <w:szCs w:val="24"/>
        </w:rPr>
        <w:t xml:space="preserve">rgued that </w:t>
      </w:r>
      <w:r w:rsidR="000D1858" w:rsidRPr="00C251A4">
        <w:rPr>
          <w:rFonts w:cs="Times New Roman"/>
          <w:szCs w:val="24"/>
        </w:rPr>
        <w:t xml:space="preserve">the greatest risk to cyber security </w:t>
      </w:r>
      <w:r w:rsidR="000D1858" w:rsidRPr="00C251A4">
        <w:rPr>
          <w:rFonts w:cs="Times New Roman"/>
          <w:i/>
          <w:szCs w:val="24"/>
        </w:rPr>
        <w:t>per se</w:t>
      </w:r>
      <w:r w:rsidR="000D1858" w:rsidRPr="00C251A4">
        <w:rPr>
          <w:rFonts w:cs="Times New Roman"/>
          <w:szCs w:val="24"/>
        </w:rPr>
        <w:t xml:space="preserve"> is not the deliberate infliction of</w:t>
      </w:r>
      <w:r w:rsidR="008C63D0">
        <w:rPr>
          <w:rFonts w:cs="Times New Roman"/>
          <w:szCs w:val="24"/>
        </w:rPr>
        <w:t xml:space="preserve"> harm through cyberspace at all,</w:t>
      </w:r>
      <w:r w:rsidR="000D1858" w:rsidRPr="00C251A4">
        <w:rPr>
          <w:rFonts w:cs="Times New Roman"/>
          <w:szCs w:val="24"/>
        </w:rPr>
        <w:t xml:space="preserve"> but simply mistake.</w:t>
      </w:r>
      <w:r w:rsidR="00D2600F">
        <w:rPr>
          <w:rStyle w:val="FootnoteReference"/>
          <w:rFonts w:cs="Times New Roman"/>
          <w:szCs w:val="24"/>
        </w:rPr>
        <w:footnoteReference w:id="63"/>
      </w:r>
      <w:r w:rsidR="000D1858" w:rsidRPr="00C251A4">
        <w:rPr>
          <w:rFonts w:cs="Times New Roman"/>
          <w:szCs w:val="24"/>
        </w:rPr>
        <w:t xml:space="preserve"> </w:t>
      </w:r>
      <w:r w:rsidR="00D20546">
        <w:rPr>
          <w:rFonts w:cs="Times New Roman"/>
          <w:szCs w:val="24"/>
        </w:rPr>
        <w:t>T</w:t>
      </w:r>
      <w:r w:rsidR="00C251A4" w:rsidRPr="00825174">
        <w:rPr>
          <w:rFonts w:cs="Times New Roman"/>
          <w:szCs w:val="24"/>
        </w:rPr>
        <w:t>he way in which cyber damage can ‘cascade’ (because of the inherent interconnectedness of cyberspace) means that even ‘</w:t>
      </w:r>
      <w:r w:rsidR="00825174">
        <w:rPr>
          <w:rFonts w:cs="Times New Roman"/>
          <w:szCs w:val="24"/>
        </w:rPr>
        <w:t>minor</w:t>
      </w:r>
      <w:r w:rsidR="00C251A4" w:rsidRPr="00825174">
        <w:rPr>
          <w:rFonts w:cs="Times New Roman"/>
          <w:szCs w:val="24"/>
        </w:rPr>
        <w:t>’ cyber accidents have the potential to inflict great harm.</w:t>
      </w:r>
      <w:r w:rsidR="00343AAE" w:rsidRPr="00825174">
        <w:rPr>
          <w:rStyle w:val="FootnoteReference"/>
          <w:rFonts w:cs="Times New Roman"/>
          <w:szCs w:val="24"/>
        </w:rPr>
        <w:footnoteReference w:id="64"/>
      </w:r>
      <w:r w:rsidR="00D20546">
        <w:rPr>
          <w:rFonts w:cs="Times New Roman"/>
          <w:szCs w:val="24"/>
        </w:rPr>
        <w:t xml:space="preserve"> Despite the political and media fixation on the threat of cyber-</w:t>
      </w:r>
      <w:r w:rsidR="00D20546" w:rsidRPr="00A757EF">
        <w:rPr>
          <w:rFonts w:cs="Times New Roman"/>
          <w:i/>
          <w:szCs w:val="24"/>
        </w:rPr>
        <w:t>attack</w:t>
      </w:r>
      <w:r w:rsidR="00D20546">
        <w:rPr>
          <w:rFonts w:cs="Times New Roman"/>
          <w:szCs w:val="24"/>
        </w:rPr>
        <w:t xml:space="preserve">, from the computer science perspective, there is little meaningful distinction </w:t>
      </w:r>
      <w:r w:rsidR="00A757EF">
        <w:rPr>
          <w:rFonts w:cs="Times New Roman"/>
          <w:szCs w:val="24"/>
        </w:rPr>
        <w:t xml:space="preserve">to be made </w:t>
      </w:r>
      <w:r w:rsidR="00D20546">
        <w:rPr>
          <w:rFonts w:cs="Times New Roman"/>
          <w:szCs w:val="24"/>
        </w:rPr>
        <w:t xml:space="preserve">between deliberate </w:t>
      </w:r>
      <w:r w:rsidR="00A757EF">
        <w:rPr>
          <w:rFonts w:cs="Times New Roman"/>
          <w:szCs w:val="24"/>
        </w:rPr>
        <w:t xml:space="preserve">cyber aggression and </w:t>
      </w:r>
      <w:r w:rsidR="008835F0">
        <w:rPr>
          <w:rFonts w:cs="Times New Roman"/>
          <w:szCs w:val="24"/>
        </w:rPr>
        <w:t>‘cyber mistake’,</w:t>
      </w:r>
      <w:r w:rsidR="00A757EF">
        <w:rPr>
          <w:rFonts w:cs="Times New Roman"/>
          <w:szCs w:val="24"/>
        </w:rPr>
        <w:t xml:space="preserve"> in terms of the harmful effects that can be caused.</w:t>
      </w:r>
      <w:r w:rsidR="00A757EF">
        <w:rPr>
          <w:rStyle w:val="FootnoteReference"/>
          <w:rFonts w:cs="Times New Roman"/>
          <w:szCs w:val="24"/>
        </w:rPr>
        <w:footnoteReference w:id="65"/>
      </w:r>
      <w:r w:rsidR="00A757EF">
        <w:rPr>
          <w:rFonts w:cs="Times New Roman"/>
          <w:szCs w:val="24"/>
        </w:rPr>
        <w:t xml:space="preserve"> </w:t>
      </w:r>
      <w:r w:rsidR="00C251A4" w:rsidRPr="00825174">
        <w:rPr>
          <w:rFonts w:cs="Times New Roman"/>
          <w:szCs w:val="24"/>
        </w:rPr>
        <w:t>Again</w:t>
      </w:r>
      <w:r w:rsidR="00C251A4" w:rsidRPr="00C251A4">
        <w:rPr>
          <w:rFonts w:cs="Times New Roman"/>
          <w:szCs w:val="24"/>
        </w:rPr>
        <w:t xml:space="preserve">, </w:t>
      </w:r>
      <w:r>
        <w:rPr>
          <w:rFonts w:cs="Times New Roman"/>
          <w:szCs w:val="24"/>
        </w:rPr>
        <w:t>the potential for accidental cyber disaster</w:t>
      </w:r>
      <w:r w:rsidR="00C251A4" w:rsidRPr="00C251A4">
        <w:rPr>
          <w:rFonts w:cs="Times New Roman"/>
          <w:szCs w:val="24"/>
        </w:rPr>
        <w:t xml:space="preserve"> </w:t>
      </w:r>
      <w:r>
        <w:rPr>
          <w:rFonts w:cs="Times New Roman"/>
          <w:szCs w:val="24"/>
        </w:rPr>
        <w:t xml:space="preserve">(or, indeed, accidental cyber harm of any scale) </w:t>
      </w:r>
      <w:r w:rsidR="00C251A4" w:rsidRPr="00C251A4">
        <w:rPr>
          <w:rFonts w:cs="Times New Roman"/>
          <w:szCs w:val="24"/>
        </w:rPr>
        <w:t xml:space="preserve">is not covered by </w:t>
      </w:r>
      <w:r w:rsidR="00831E31">
        <w:rPr>
          <w:rFonts w:cs="Times New Roman"/>
          <w:szCs w:val="24"/>
        </w:rPr>
        <w:t>a</w:t>
      </w:r>
      <w:r w:rsidR="00C251A4" w:rsidRPr="00C251A4">
        <w:rPr>
          <w:rFonts w:cs="Times New Roman"/>
          <w:szCs w:val="24"/>
        </w:rPr>
        <w:t>rticle 2(4) at all.</w:t>
      </w:r>
    </w:p>
    <w:p w14:paraId="20870D67" w14:textId="77777777" w:rsidR="000258C7" w:rsidRPr="009B7225" w:rsidRDefault="000258C7" w:rsidP="0017445E">
      <w:pPr>
        <w:spacing w:line="480" w:lineRule="auto"/>
        <w:ind w:firstLine="720"/>
        <w:jc w:val="both"/>
        <w:rPr>
          <w:rFonts w:cs="Times New Roman"/>
          <w:szCs w:val="24"/>
        </w:rPr>
      </w:pPr>
    </w:p>
    <w:p w14:paraId="762EE220" w14:textId="4C92A3B5" w:rsidR="00A973CF" w:rsidRPr="0017445E" w:rsidRDefault="0017445E" w:rsidP="0017445E">
      <w:pPr>
        <w:spacing w:line="480" w:lineRule="auto"/>
        <w:jc w:val="both"/>
        <w:rPr>
          <w:rFonts w:cs="Times New Roman"/>
          <w:b/>
          <w:sz w:val="28"/>
          <w:szCs w:val="28"/>
        </w:rPr>
      </w:pPr>
      <w:r w:rsidRPr="0017445E">
        <w:rPr>
          <w:rFonts w:cs="Times New Roman"/>
          <w:b/>
          <w:sz w:val="28"/>
          <w:szCs w:val="28"/>
        </w:rPr>
        <w:t>4</w:t>
      </w:r>
      <w:r w:rsidR="006F43B7" w:rsidRPr="0017445E">
        <w:rPr>
          <w:rFonts w:cs="Times New Roman"/>
          <w:b/>
          <w:sz w:val="28"/>
          <w:szCs w:val="28"/>
        </w:rPr>
        <w:t xml:space="preserve">. </w:t>
      </w:r>
      <w:r w:rsidR="000258C7">
        <w:rPr>
          <w:rFonts w:cs="Times New Roman"/>
          <w:b/>
          <w:sz w:val="28"/>
          <w:szCs w:val="28"/>
        </w:rPr>
        <w:t>An a</w:t>
      </w:r>
      <w:r w:rsidR="00B970DA" w:rsidRPr="0017445E">
        <w:rPr>
          <w:rFonts w:cs="Times New Roman"/>
          <w:b/>
          <w:sz w:val="28"/>
          <w:szCs w:val="28"/>
        </w:rPr>
        <w:t xml:space="preserve">lternative </w:t>
      </w:r>
      <w:r w:rsidR="000258C7">
        <w:rPr>
          <w:rFonts w:cs="Times New Roman"/>
          <w:b/>
          <w:sz w:val="28"/>
          <w:szCs w:val="28"/>
        </w:rPr>
        <w:t>a</w:t>
      </w:r>
      <w:r w:rsidR="00B970DA" w:rsidRPr="0017445E">
        <w:rPr>
          <w:rFonts w:cs="Times New Roman"/>
          <w:b/>
          <w:sz w:val="28"/>
          <w:szCs w:val="28"/>
        </w:rPr>
        <w:t>pproach</w:t>
      </w:r>
      <w:r w:rsidR="00C063B4" w:rsidRPr="0017445E">
        <w:rPr>
          <w:rFonts w:cs="Times New Roman"/>
          <w:b/>
          <w:sz w:val="28"/>
          <w:szCs w:val="28"/>
        </w:rPr>
        <w:t xml:space="preserve">: The </w:t>
      </w:r>
      <w:r w:rsidR="000258C7">
        <w:rPr>
          <w:rFonts w:cs="Times New Roman"/>
          <w:b/>
          <w:sz w:val="28"/>
          <w:szCs w:val="28"/>
        </w:rPr>
        <w:t>d</w:t>
      </w:r>
      <w:r w:rsidR="00C063B4" w:rsidRPr="0017445E">
        <w:rPr>
          <w:rFonts w:cs="Times New Roman"/>
          <w:b/>
          <w:sz w:val="28"/>
          <w:szCs w:val="28"/>
        </w:rPr>
        <w:t xml:space="preserve">uty of </w:t>
      </w:r>
      <w:r w:rsidR="000258C7">
        <w:rPr>
          <w:rFonts w:cs="Times New Roman"/>
          <w:b/>
          <w:sz w:val="28"/>
          <w:szCs w:val="28"/>
        </w:rPr>
        <w:t>c</w:t>
      </w:r>
      <w:r w:rsidR="00C063B4" w:rsidRPr="0017445E">
        <w:rPr>
          <w:rFonts w:cs="Times New Roman"/>
          <w:b/>
          <w:sz w:val="28"/>
          <w:szCs w:val="28"/>
        </w:rPr>
        <w:t xml:space="preserve">yber </w:t>
      </w:r>
      <w:r w:rsidR="000258C7">
        <w:rPr>
          <w:rFonts w:cs="Times New Roman"/>
          <w:b/>
          <w:sz w:val="28"/>
          <w:szCs w:val="28"/>
        </w:rPr>
        <w:t>d</w:t>
      </w:r>
      <w:r w:rsidR="00C063B4" w:rsidRPr="0017445E">
        <w:rPr>
          <w:rFonts w:cs="Times New Roman"/>
          <w:b/>
          <w:sz w:val="28"/>
          <w:szCs w:val="28"/>
        </w:rPr>
        <w:t xml:space="preserve">ue </w:t>
      </w:r>
      <w:r w:rsidR="000258C7">
        <w:rPr>
          <w:rFonts w:cs="Times New Roman"/>
          <w:b/>
          <w:sz w:val="28"/>
          <w:szCs w:val="28"/>
        </w:rPr>
        <w:t>d</w:t>
      </w:r>
      <w:r w:rsidR="00C063B4" w:rsidRPr="0017445E">
        <w:rPr>
          <w:rFonts w:cs="Times New Roman"/>
          <w:b/>
          <w:sz w:val="28"/>
          <w:szCs w:val="28"/>
        </w:rPr>
        <w:t>iligence</w:t>
      </w:r>
    </w:p>
    <w:p w14:paraId="7FA5CDC6" w14:textId="5B7D6685" w:rsidR="00FA1CC6" w:rsidRDefault="00FA1CC6" w:rsidP="0017445E">
      <w:pPr>
        <w:spacing w:line="480" w:lineRule="auto"/>
        <w:ind w:firstLine="720"/>
        <w:jc w:val="both"/>
        <w:rPr>
          <w:rFonts w:cs="Times New Roman"/>
          <w:szCs w:val="24"/>
        </w:rPr>
      </w:pPr>
      <w:r>
        <w:rPr>
          <w:rFonts w:cs="Times New Roman"/>
          <w:szCs w:val="24"/>
        </w:rPr>
        <w:t>I</w:t>
      </w:r>
      <w:r w:rsidR="0031596E" w:rsidRPr="009B7225">
        <w:rPr>
          <w:rFonts w:cs="Times New Roman"/>
          <w:szCs w:val="24"/>
        </w:rPr>
        <w:t>t is submitted</w:t>
      </w:r>
      <w:r>
        <w:rPr>
          <w:rFonts w:cs="Times New Roman"/>
          <w:szCs w:val="24"/>
        </w:rPr>
        <w:t>, based on the forgoing,</w:t>
      </w:r>
      <w:r w:rsidR="0031596E" w:rsidRPr="009B7225">
        <w:rPr>
          <w:rFonts w:cs="Times New Roman"/>
          <w:szCs w:val="24"/>
        </w:rPr>
        <w:t xml:space="preserve"> that </w:t>
      </w:r>
      <w:r w:rsidR="00831E31">
        <w:rPr>
          <w:rFonts w:cs="Times New Roman"/>
          <w:szCs w:val="24"/>
        </w:rPr>
        <w:t>a</w:t>
      </w:r>
      <w:r w:rsidR="000257D3" w:rsidRPr="009B7225">
        <w:rPr>
          <w:rFonts w:cs="Times New Roman"/>
          <w:szCs w:val="24"/>
        </w:rPr>
        <w:t>rticle 2(4)</w:t>
      </w:r>
      <w:r w:rsidR="00C879C5" w:rsidRPr="009B7225">
        <w:rPr>
          <w:rFonts w:cs="Times New Roman"/>
          <w:szCs w:val="24"/>
        </w:rPr>
        <w:t xml:space="preserve"> is not an adequate legal mechanism to try to limit the occurrence of</w:t>
      </w:r>
      <w:r w:rsidR="000257D3" w:rsidRPr="009B7225">
        <w:rPr>
          <w:rFonts w:cs="Times New Roman"/>
          <w:szCs w:val="24"/>
        </w:rPr>
        <w:t xml:space="preserve"> cyber disasters</w:t>
      </w:r>
      <w:r w:rsidR="008835F0">
        <w:rPr>
          <w:rFonts w:cs="Times New Roman"/>
          <w:szCs w:val="24"/>
        </w:rPr>
        <w:t xml:space="preserve"> (or</w:t>
      </w:r>
      <w:r w:rsidR="00BA45AE">
        <w:rPr>
          <w:rFonts w:cs="Times New Roman"/>
          <w:szCs w:val="24"/>
        </w:rPr>
        <w:t>,</w:t>
      </w:r>
      <w:r w:rsidR="008835F0">
        <w:rPr>
          <w:rFonts w:cs="Times New Roman"/>
          <w:szCs w:val="24"/>
        </w:rPr>
        <w:t xml:space="preserve"> at least, is inadequate as the </w:t>
      </w:r>
      <w:r w:rsidR="008C63D0">
        <w:rPr>
          <w:rFonts w:cs="Times New Roman"/>
          <w:szCs w:val="24"/>
        </w:rPr>
        <w:t>primary</w:t>
      </w:r>
      <w:r w:rsidR="008835F0">
        <w:rPr>
          <w:rFonts w:cs="Times New Roman"/>
          <w:szCs w:val="24"/>
        </w:rPr>
        <w:t xml:space="preserve"> legal mechanism in this regard)</w:t>
      </w:r>
      <w:r w:rsidR="000257D3" w:rsidRPr="009B7225">
        <w:rPr>
          <w:rFonts w:cs="Times New Roman"/>
          <w:szCs w:val="24"/>
        </w:rPr>
        <w:t>.</w:t>
      </w:r>
      <w:r w:rsidR="00A7271C" w:rsidRPr="009B7225">
        <w:rPr>
          <w:rFonts w:cs="Times New Roman"/>
          <w:szCs w:val="24"/>
        </w:rPr>
        <w:t xml:space="preserve"> With n</w:t>
      </w:r>
      <w:r>
        <w:rPr>
          <w:rFonts w:cs="Times New Roman"/>
          <w:szCs w:val="24"/>
        </w:rPr>
        <w:t xml:space="preserve">o new cyber law on the horizon, there is a need to explore </w:t>
      </w:r>
      <w:r w:rsidR="00A7271C" w:rsidRPr="009B7225">
        <w:rPr>
          <w:rFonts w:cs="Times New Roman"/>
          <w:szCs w:val="24"/>
        </w:rPr>
        <w:t xml:space="preserve">alternative </w:t>
      </w:r>
      <w:r>
        <w:rPr>
          <w:rFonts w:cs="Times New Roman"/>
          <w:szCs w:val="24"/>
        </w:rPr>
        <w:t xml:space="preserve">existing provisions of international law that may be </w:t>
      </w:r>
      <w:r w:rsidR="00374503">
        <w:rPr>
          <w:rFonts w:cs="Times New Roman"/>
          <w:szCs w:val="24"/>
        </w:rPr>
        <w:t xml:space="preserve">better </w:t>
      </w:r>
      <w:r>
        <w:rPr>
          <w:rFonts w:cs="Times New Roman"/>
          <w:szCs w:val="24"/>
        </w:rPr>
        <w:t xml:space="preserve">able to </w:t>
      </w:r>
      <w:r w:rsidR="008835F0">
        <w:rPr>
          <w:rFonts w:cs="Times New Roman"/>
          <w:szCs w:val="24"/>
        </w:rPr>
        <w:t>reduce</w:t>
      </w:r>
      <w:r>
        <w:rPr>
          <w:rFonts w:cs="Times New Roman"/>
          <w:szCs w:val="24"/>
        </w:rPr>
        <w:t xml:space="preserve"> cyber threats</w:t>
      </w:r>
      <w:r w:rsidR="00A7271C" w:rsidRPr="009B7225">
        <w:rPr>
          <w:rFonts w:cs="Times New Roman"/>
          <w:szCs w:val="24"/>
        </w:rPr>
        <w:t>.</w:t>
      </w:r>
      <w:r w:rsidR="00C879C5" w:rsidRPr="009B7225">
        <w:rPr>
          <w:rFonts w:cs="Times New Roman"/>
          <w:szCs w:val="24"/>
        </w:rPr>
        <w:t xml:space="preserve"> </w:t>
      </w:r>
      <w:r>
        <w:rPr>
          <w:rFonts w:cs="Times New Roman"/>
          <w:szCs w:val="24"/>
        </w:rPr>
        <w:t>In particular, t</w:t>
      </w:r>
      <w:r w:rsidR="00A7271C" w:rsidRPr="009B7225">
        <w:rPr>
          <w:rFonts w:cs="Times New Roman"/>
          <w:szCs w:val="24"/>
        </w:rPr>
        <w:t>he present author</w:t>
      </w:r>
      <w:r w:rsidR="00372D5E" w:rsidRPr="009B7225">
        <w:rPr>
          <w:rFonts w:cs="Times New Roman"/>
          <w:szCs w:val="24"/>
        </w:rPr>
        <w:t xml:space="preserve"> takes the view that</w:t>
      </w:r>
      <w:r w:rsidR="00475A02" w:rsidRPr="009B7225">
        <w:rPr>
          <w:rFonts w:cs="Times New Roman"/>
          <w:szCs w:val="24"/>
        </w:rPr>
        <w:t xml:space="preserve"> </w:t>
      </w:r>
      <w:r w:rsidR="00BF3E75">
        <w:rPr>
          <w:rFonts w:cs="Times New Roman"/>
          <w:szCs w:val="24"/>
        </w:rPr>
        <w:t>emphasis</w:t>
      </w:r>
      <w:r w:rsidR="0011473D" w:rsidRPr="009B7225">
        <w:rPr>
          <w:rFonts w:cs="Times New Roman"/>
          <w:szCs w:val="24"/>
        </w:rPr>
        <w:t xml:space="preserve"> </w:t>
      </w:r>
      <w:r w:rsidR="00866CDB">
        <w:rPr>
          <w:rFonts w:cs="Times New Roman"/>
          <w:szCs w:val="24"/>
        </w:rPr>
        <w:t>should</w:t>
      </w:r>
      <w:r w:rsidR="00A7271C" w:rsidRPr="009B7225">
        <w:rPr>
          <w:rFonts w:cs="Times New Roman"/>
          <w:szCs w:val="24"/>
        </w:rPr>
        <w:t xml:space="preserve"> be </w:t>
      </w:r>
      <w:r w:rsidR="00BF3E75">
        <w:rPr>
          <w:rFonts w:cs="Times New Roman"/>
          <w:szCs w:val="24"/>
        </w:rPr>
        <w:t>placed on</w:t>
      </w:r>
      <w:r w:rsidR="00A7271C" w:rsidRPr="009B7225">
        <w:rPr>
          <w:rFonts w:cs="Times New Roman"/>
          <w:szCs w:val="24"/>
        </w:rPr>
        <w:t xml:space="preserve"> </w:t>
      </w:r>
      <w:r w:rsidR="00D23193">
        <w:rPr>
          <w:rFonts w:cs="Times New Roman"/>
          <w:szCs w:val="24"/>
        </w:rPr>
        <w:t>a different</w:t>
      </w:r>
      <w:r w:rsidR="00BF3E75">
        <w:rPr>
          <w:rFonts w:cs="Times New Roman"/>
          <w:szCs w:val="24"/>
        </w:rPr>
        <w:t xml:space="preserve"> </w:t>
      </w:r>
      <w:r w:rsidR="00374503">
        <w:rPr>
          <w:rFonts w:cs="Times New Roman"/>
          <w:szCs w:val="24"/>
        </w:rPr>
        <w:t xml:space="preserve">norm of international law that has largely been overlooked in the cyber context: </w:t>
      </w:r>
      <w:r w:rsidR="003E0B5C" w:rsidRPr="009B7225">
        <w:rPr>
          <w:rFonts w:cs="Times New Roman"/>
          <w:szCs w:val="24"/>
        </w:rPr>
        <w:t>the</w:t>
      </w:r>
      <w:r w:rsidR="0011473D" w:rsidRPr="009B7225">
        <w:rPr>
          <w:rFonts w:cs="Times New Roman"/>
          <w:szCs w:val="24"/>
        </w:rPr>
        <w:t xml:space="preserve"> duty</w:t>
      </w:r>
      <w:r w:rsidR="00101641" w:rsidRPr="009B7225">
        <w:rPr>
          <w:rFonts w:cs="Times New Roman"/>
          <w:szCs w:val="24"/>
        </w:rPr>
        <w:t xml:space="preserve"> </w:t>
      </w:r>
      <w:r w:rsidR="00374503">
        <w:rPr>
          <w:rFonts w:cs="Times New Roman"/>
          <w:szCs w:val="24"/>
        </w:rPr>
        <w:t>of due diligence. This reorientation should n</w:t>
      </w:r>
      <w:r w:rsidR="004B5FDC">
        <w:rPr>
          <w:rFonts w:cs="Times New Roman"/>
          <w:szCs w:val="24"/>
        </w:rPr>
        <w:t>ot be to the total exclusion of the</w:t>
      </w:r>
      <w:r w:rsidR="00374503">
        <w:rPr>
          <w:rFonts w:cs="Times New Roman"/>
          <w:szCs w:val="24"/>
        </w:rPr>
        <w:t xml:space="preserve"> provisions of the </w:t>
      </w:r>
      <w:r w:rsidR="00374503" w:rsidRPr="004B5FDC">
        <w:rPr>
          <w:rFonts w:cs="Times New Roman"/>
          <w:i/>
          <w:szCs w:val="24"/>
        </w:rPr>
        <w:t>jus ad bellum</w:t>
      </w:r>
      <w:r w:rsidR="00374503">
        <w:rPr>
          <w:rFonts w:cs="Times New Roman"/>
          <w:szCs w:val="24"/>
        </w:rPr>
        <w:t xml:space="preserve">, </w:t>
      </w:r>
      <w:r w:rsidR="00374503" w:rsidRPr="004B5FDC">
        <w:rPr>
          <w:rFonts w:cs="Times New Roman"/>
          <w:i/>
          <w:szCs w:val="24"/>
        </w:rPr>
        <w:t>jus in bello</w:t>
      </w:r>
      <w:r w:rsidR="00374503">
        <w:rPr>
          <w:rFonts w:cs="Times New Roman"/>
          <w:szCs w:val="24"/>
        </w:rPr>
        <w:t xml:space="preserve">, or, indeed, other relevant </w:t>
      </w:r>
      <w:r w:rsidR="004B5FDC">
        <w:rPr>
          <w:rFonts w:cs="Times New Roman"/>
          <w:szCs w:val="24"/>
        </w:rPr>
        <w:t>norms of international law.</w:t>
      </w:r>
      <w:r w:rsidR="004B5FDC" w:rsidRPr="009B7225">
        <w:rPr>
          <w:rStyle w:val="FootnoteReference"/>
          <w:rFonts w:cs="Times New Roman"/>
          <w:szCs w:val="24"/>
        </w:rPr>
        <w:footnoteReference w:id="66"/>
      </w:r>
      <w:r w:rsidR="004B5FDC">
        <w:rPr>
          <w:rFonts w:cs="Times New Roman"/>
          <w:szCs w:val="24"/>
        </w:rPr>
        <w:t xml:space="preserve"> However, a focus on the duty of due diligence as the </w:t>
      </w:r>
      <w:r w:rsidR="004B5FDC" w:rsidRPr="008C63D0">
        <w:rPr>
          <w:rFonts w:cs="Times New Roman"/>
          <w:szCs w:val="24"/>
        </w:rPr>
        <w:t>primary</w:t>
      </w:r>
      <w:r w:rsidR="004B5FDC">
        <w:rPr>
          <w:rFonts w:cs="Times New Roman"/>
          <w:szCs w:val="24"/>
        </w:rPr>
        <w:t xml:space="preserve"> legal mechanism in relation to cyber security would circumvent many of the problems </w:t>
      </w:r>
      <w:r w:rsidR="00BF3E75">
        <w:rPr>
          <w:rFonts w:cs="Times New Roman"/>
          <w:szCs w:val="24"/>
        </w:rPr>
        <w:t>associated with the current emphasis on</w:t>
      </w:r>
      <w:r w:rsidR="004B5FDC">
        <w:rPr>
          <w:rFonts w:cs="Times New Roman"/>
          <w:szCs w:val="24"/>
        </w:rPr>
        <w:t xml:space="preserve"> </w:t>
      </w:r>
      <w:r w:rsidR="00831E31">
        <w:rPr>
          <w:rFonts w:cs="Times New Roman"/>
          <w:szCs w:val="24"/>
        </w:rPr>
        <w:t>a</w:t>
      </w:r>
      <w:r w:rsidR="004B5FDC">
        <w:rPr>
          <w:rFonts w:cs="Times New Roman"/>
          <w:szCs w:val="24"/>
        </w:rPr>
        <w:t>rticle 2(4).</w:t>
      </w:r>
    </w:p>
    <w:p w14:paraId="0ACCFB27" w14:textId="77777777" w:rsidR="00B016F3" w:rsidRDefault="00B016F3" w:rsidP="0017445E">
      <w:pPr>
        <w:spacing w:line="480" w:lineRule="auto"/>
        <w:ind w:firstLine="720"/>
        <w:jc w:val="both"/>
        <w:rPr>
          <w:rFonts w:cs="Times New Roman"/>
          <w:szCs w:val="24"/>
        </w:rPr>
      </w:pPr>
    </w:p>
    <w:p w14:paraId="16D4115B" w14:textId="0262C253" w:rsidR="004A6FCA" w:rsidRPr="0017445E" w:rsidRDefault="0017445E" w:rsidP="0017445E">
      <w:pPr>
        <w:spacing w:line="480" w:lineRule="auto"/>
        <w:jc w:val="both"/>
        <w:rPr>
          <w:b/>
        </w:rPr>
      </w:pPr>
      <w:r w:rsidRPr="0017445E">
        <w:rPr>
          <w:b/>
        </w:rPr>
        <w:t>4</w:t>
      </w:r>
      <w:r w:rsidR="004A6FCA" w:rsidRPr="0017445E">
        <w:rPr>
          <w:b/>
        </w:rPr>
        <w:t>.</w:t>
      </w:r>
      <w:r w:rsidRPr="0017445E">
        <w:rPr>
          <w:b/>
        </w:rPr>
        <w:t>1</w:t>
      </w:r>
      <w:r w:rsidR="00B016F3">
        <w:rPr>
          <w:b/>
        </w:rPr>
        <w:t>. The o</w:t>
      </w:r>
      <w:r w:rsidR="004A6FCA" w:rsidRPr="0017445E">
        <w:rPr>
          <w:b/>
        </w:rPr>
        <w:t xml:space="preserve">rigins and </w:t>
      </w:r>
      <w:r w:rsidR="00B016F3">
        <w:rPr>
          <w:b/>
        </w:rPr>
        <w:t>n</w:t>
      </w:r>
      <w:r w:rsidR="004A6FCA" w:rsidRPr="0017445E">
        <w:rPr>
          <w:b/>
        </w:rPr>
        <w:t xml:space="preserve">ature of the </w:t>
      </w:r>
      <w:r w:rsidR="00B016F3">
        <w:rPr>
          <w:b/>
        </w:rPr>
        <w:t>d</w:t>
      </w:r>
      <w:r w:rsidR="004A6FCA" w:rsidRPr="0017445E">
        <w:rPr>
          <w:b/>
        </w:rPr>
        <w:t>uty</w:t>
      </w:r>
      <w:r w:rsidR="006343BB" w:rsidRPr="0017445E">
        <w:rPr>
          <w:b/>
        </w:rPr>
        <w:t xml:space="preserve"> </w:t>
      </w:r>
      <w:r w:rsidR="00B016F3">
        <w:rPr>
          <w:rFonts w:cs="Times New Roman"/>
          <w:b/>
          <w:szCs w:val="24"/>
        </w:rPr>
        <w:t>of d</w:t>
      </w:r>
      <w:r w:rsidR="006343BB" w:rsidRPr="0017445E">
        <w:rPr>
          <w:rFonts w:cs="Times New Roman"/>
          <w:b/>
          <w:szCs w:val="24"/>
        </w:rPr>
        <w:t xml:space="preserve">ue </w:t>
      </w:r>
      <w:r w:rsidR="00B016F3">
        <w:rPr>
          <w:rFonts w:cs="Times New Roman"/>
          <w:b/>
          <w:szCs w:val="24"/>
        </w:rPr>
        <w:t>d</w:t>
      </w:r>
      <w:r w:rsidR="006343BB" w:rsidRPr="0017445E">
        <w:rPr>
          <w:rFonts w:cs="Times New Roman"/>
          <w:b/>
          <w:szCs w:val="24"/>
        </w:rPr>
        <w:t>iligence</w:t>
      </w:r>
    </w:p>
    <w:p w14:paraId="60AA7D3D" w14:textId="3AD0DC03" w:rsidR="004B5FDC" w:rsidRPr="0017445E" w:rsidRDefault="00D75363" w:rsidP="0017445E">
      <w:pPr>
        <w:spacing w:line="480" w:lineRule="auto"/>
        <w:ind w:firstLine="720"/>
        <w:jc w:val="both"/>
      </w:pPr>
      <w:r>
        <w:t>T</w:t>
      </w:r>
      <w:r w:rsidR="00322AC7" w:rsidRPr="00356F15">
        <w:t xml:space="preserve">here is no </w:t>
      </w:r>
      <w:r w:rsidR="008D1F4B">
        <w:t>single</w:t>
      </w:r>
      <w:r w:rsidR="00322AC7" w:rsidRPr="00356F15">
        <w:t xml:space="preserve"> definition of the international legal duty of due diligence (also sometimes referred to as the ‘duty to prevent’). It has been expressed in a variety of forms and applied in a range of </w:t>
      </w:r>
      <w:r w:rsidR="00E959E3" w:rsidRPr="00356F15">
        <w:t>contexts</w:t>
      </w:r>
      <w:r w:rsidR="00322AC7" w:rsidRPr="00356F15">
        <w:t>.</w:t>
      </w:r>
      <w:r w:rsidR="00356F15" w:rsidRPr="00356F15">
        <w:rPr>
          <w:rStyle w:val="FootnoteReference"/>
        </w:rPr>
        <w:footnoteReference w:id="67"/>
      </w:r>
      <w:r w:rsidR="00322AC7" w:rsidRPr="00356F15">
        <w:t xml:space="preserve"> Similarly, t</w:t>
      </w:r>
      <w:r w:rsidR="00AC0CEF" w:rsidRPr="00356F15">
        <w:t>he duty cannot be traced to a single leg</w:t>
      </w:r>
      <w:r w:rsidR="00866CDB" w:rsidRPr="00356F15">
        <w:t>al source</w:t>
      </w:r>
      <w:r w:rsidR="00AC0CEF" w:rsidRPr="00356F15">
        <w:t xml:space="preserve"> </w:t>
      </w:r>
      <w:r w:rsidR="004B5FDC" w:rsidRPr="00356F15">
        <w:t>as such, although in a broad sense it derives from the principle of state sovereignty</w:t>
      </w:r>
      <w:r w:rsidR="002B263B" w:rsidRPr="00356F15">
        <w:t>: a state enjoys rights to exercise sovereignty within its</w:t>
      </w:r>
      <w:r w:rsidR="002B263B" w:rsidRPr="008947F9">
        <w:t xml:space="preserve"> territory, but this comes with corresponding obligations to protect against activity occurring on </w:t>
      </w:r>
      <w:r w:rsidR="00322AC7" w:rsidRPr="008947F9">
        <w:t>that</w:t>
      </w:r>
      <w:r w:rsidR="00177D77">
        <w:t xml:space="preserve"> territory det</w:t>
      </w:r>
      <w:r w:rsidR="00177D77" w:rsidRPr="008947F9">
        <w:t>r</w:t>
      </w:r>
      <w:r w:rsidR="00177D77">
        <w:t>imentally</w:t>
      </w:r>
      <w:r w:rsidR="002B263B" w:rsidRPr="008947F9">
        <w:t xml:space="preserve"> affecting the territor</w:t>
      </w:r>
      <w:r w:rsidR="00BF3E75" w:rsidRPr="008947F9">
        <w:t xml:space="preserve">y of </w:t>
      </w:r>
      <w:r w:rsidR="002B263B" w:rsidRPr="008947F9">
        <w:t>other states.</w:t>
      </w:r>
      <w:r w:rsidR="008947F9" w:rsidRPr="008947F9">
        <w:rPr>
          <w:rStyle w:val="FootnoteReference"/>
        </w:rPr>
        <w:footnoteReference w:id="68"/>
      </w:r>
      <w:r w:rsidR="00322AC7" w:rsidRPr="008947F9">
        <w:t xml:space="preserve"> In its simple</w:t>
      </w:r>
      <w:r w:rsidR="00322AC7" w:rsidRPr="004A6FCA">
        <w:t xml:space="preserve">st form, </w:t>
      </w:r>
      <w:r w:rsidR="00322AC7">
        <w:t>therefore, the duty can be said to require</w:t>
      </w:r>
      <w:r w:rsidR="00322AC7" w:rsidRPr="004A6FCA">
        <w:t xml:space="preserve"> that states take reasonable steps to ensure that activities on their territory do not cause </w:t>
      </w:r>
      <w:r w:rsidR="00322AC7">
        <w:t xml:space="preserve">transboundary </w:t>
      </w:r>
      <w:r w:rsidR="00322AC7" w:rsidRPr="004A6FCA">
        <w:t>harm.</w:t>
      </w:r>
      <w:r w:rsidR="00322AC7" w:rsidRPr="009B7225">
        <w:rPr>
          <w:rStyle w:val="FootnoteReference"/>
          <w:rFonts w:cs="Times New Roman"/>
          <w:szCs w:val="24"/>
        </w:rPr>
        <w:footnoteReference w:id="69"/>
      </w:r>
      <w:r w:rsidR="00322AC7" w:rsidRPr="004A6FCA">
        <w:t xml:space="preserve">  </w:t>
      </w:r>
    </w:p>
    <w:p w14:paraId="07937B4F" w14:textId="6397041C" w:rsidR="00322AC7" w:rsidRPr="00356F15" w:rsidRDefault="002B263B" w:rsidP="0017445E">
      <w:pPr>
        <w:spacing w:line="480" w:lineRule="auto"/>
        <w:ind w:firstLine="720"/>
        <w:jc w:val="both"/>
        <w:rPr>
          <w:rFonts w:cs="Times New Roman"/>
          <w:szCs w:val="24"/>
        </w:rPr>
      </w:pPr>
      <w:r>
        <w:rPr>
          <w:rFonts w:cs="Times New Roman"/>
          <w:szCs w:val="24"/>
        </w:rPr>
        <w:t xml:space="preserve">The duty of due diligence </w:t>
      </w:r>
      <w:r w:rsidR="00322AC7">
        <w:rPr>
          <w:rFonts w:cs="Times New Roman"/>
          <w:szCs w:val="24"/>
        </w:rPr>
        <w:t xml:space="preserve">has </w:t>
      </w:r>
      <w:r>
        <w:rPr>
          <w:rFonts w:cs="Times New Roman"/>
          <w:szCs w:val="24"/>
        </w:rPr>
        <w:t xml:space="preserve">been particularly </w:t>
      </w:r>
      <w:r w:rsidR="00D54F54">
        <w:rPr>
          <w:rFonts w:cs="Times New Roman"/>
          <w:szCs w:val="24"/>
        </w:rPr>
        <w:t xml:space="preserve">embraced </w:t>
      </w:r>
      <w:r>
        <w:rPr>
          <w:rFonts w:cs="Times New Roman"/>
          <w:szCs w:val="24"/>
        </w:rPr>
        <w:t>i</w:t>
      </w:r>
      <w:r w:rsidR="00866CDB">
        <w:rPr>
          <w:rFonts w:cs="Times New Roman"/>
          <w:szCs w:val="24"/>
        </w:rPr>
        <w:t>n the environmental law context</w:t>
      </w:r>
      <w:r>
        <w:rPr>
          <w:rFonts w:cs="Times New Roman"/>
          <w:szCs w:val="24"/>
        </w:rPr>
        <w:t>.</w:t>
      </w:r>
      <w:r w:rsidR="00866CDB" w:rsidRPr="009B7225">
        <w:rPr>
          <w:rStyle w:val="FootnoteReference"/>
          <w:rFonts w:cs="Times New Roman"/>
          <w:szCs w:val="24"/>
        </w:rPr>
        <w:footnoteReference w:id="70"/>
      </w:r>
      <w:r>
        <w:rPr>
          <w:rFonts w:cs="Times New Roman"/>
          <w:szCs w:val="24"/>
        </w:rPr>
        <w:t xml:space="preserve">  Famously, the duty was set out and applied i</w:t>
      </w:r>
      <w:r w:rsidR="00D54F54">
        <w:rPr>
          <w:rFonts w:cs="Times New Roman"/>
          <w:szCs w:val="24"/>
        </w:rPr>
        <w:t xml:space="preserve">n the 1941 </w:t>
      </w:r>
      <w:r w:rsidR="00D54F54" w:rsidRPr="00D54F54">
        <w:rPr>
          <w:rFonts w:cs="Times New Roman"/>
          <w:i/>
          <w:szCs w:val="24"/>
        </w:rPr>
        <w:t>Trail Smelter</w:t>
      </w:r>
      <w:r w:rsidR="00D54F54">
        <w:rPr>
          <w:rFonts w:cs="Times New Roman"/>
          <w:szCs w:val="24"/>
        </w:rPr>
        <w:t xml:space="preserve"> arbitration, in which the Tribunal awarded damages to the United States in relation to air pollution that had emanated from Canadian territory</w:t>
      </w:r>
      <w:r w:rsidR="00E959E3">
        <w:rPr>
          <w:rFonts w:cs="Times New Roman"/>
          <w:szCs w:val="24"/>
        </w:rPr>
        <w:t>:</w:t>
      </w:r>
      <w:r w:rsidR="00BF3E75">
        <w:t xml:space="preserve"> ‘[a] </w:t>
      </w:r>
      <w:r w:rsidR="00D54F54">
        <w:t>State owes at all times a duty to protect other States against injurious acts by individuals from within its jurisdiction.’</w:t>
      </w:r>
      <w:r w:rsidR="00D54F54">
        <w:rPr>
          <w:rStyle w:val="FootnoteReference"/>
        </w:rPr>
        <w:footnoteReference w:id="71"/>
      </w:r>
      <w:r w:rsidR="00D54F54">
        <w:t xml:space="preserve"> </w:t>
      </w:r>
      <w:r w:rsidR="00546602">
        <w:t>At least in the</w:t>
      </w:r>
      <w:r w:rsidR="00D54F54">
        <w:t xml:space="preserve"> international environmental law</w:t>
      </w:r>
      <w:r w:rsidR="00546602">
        <w:t xml:space="preserve"> context</w:t>
      </w:r>
      <w:r w:rsidR="00E959E3">
        <w:t xml:space="preserve"> this duty </w:t>
      </w:r>
      <w:r w:rsidR="00D54F54">
        <w:rPr>
          <w:rFonts w:cs="Times New Roman"/>
          <w:szCs w:val="24"/>
        </w:rPr>
        <w:t xml:space="preserve">has </w:t>
      </w:r>
      <w:r w:rsidR="00561610">
        <w:rPr>
          <w:rFonts w:cs="Times New Roman"/>
          <w:szCs w:val="24"/>
        </w:rPr>
        <w:t>firmly</w:t>
      </w:r>
      <w:r w:rsidR="00546602">
        <w:rPr>
          <w:rFonts w:cs="Times New Roman"/>
          <w:szCs w:val="24"/>
        </w:rPr>
        <w:t xml:space="preserve"> </w:t>
      </w:r>
      <w:r w:rsidR="00D54F54">
        <w:rPr>
          <w:rFonts w:cs="Times New Roman"/>
          <w:szCs w:val="24"/>
        </w:rPr>
        <w:t xml:space="preserve">solidified into a </w:t>
      </w:r>
      <w:r w:rsidR="00E959E3">
        <w:rPr>
          <w:rFonts w:cs="Times New Roman"/>
          <w:szCs w:val="24"/>
        </w:rPr>
        <w:t>binding general principle</w:t>
      </w:r>
      <w:r w:rsidR="00D54F54">
        <w:rPr>
          <w:rFonts w:cs="Times New Roman"/>
          <w:szCs w:val="24"/>
        </w:rPr>
        <w:t xml:space="preserve"> of customary international law, as </w:t>
      </w:r>
      <w:r w:rsidR="00322AC7">
        <w:rPr>
          <w:rFonts w:cs="Times New Roman"/>
          <w:szCs w:val="24"/>
        </w:rPr>
        <w:t>has been</w:t>
      </w:r>
      <w:r w:rsidR="00D54F54">
        <w:rPr>
          <w:rFonts w:cs="Times New Roman"/>
          <w:szCs w:val="24"/>
        </w:rPr>
        <w:t xml:space="preserve"> confirmed by the </w:t>
      </w:r>
      <w:r w:rsidR="004A6FCA">
        <w:rPr>
          <w:rFonts w:cs="Times New Roman"/>
          <w:szCs w:val="24"/>
        </w:rPr>
        <w:t>International Court of Justice (</w:t>
      </w:r>
      <w:r w:rsidR="00D54F54">
        <w:rPr>
          <w:rFonts w:cs="Times New Roman"/>
          <w:szCs w:val="24"/>
        </w:rPr>
        <w:t>ICJ</w:t>
      </w:r>
      <w:r w:rsidR="004A6FCA">
        <w:rPr>
          <w:rFonts w:cs="Times New Roman"/>
          <w:szCs w:val="24"/>
        </w:rPr>
        <w:t>)</w:t>
      </w:r>
      <w:r w:rsidR="00D54F54">
        <w:rPr>
          <w:rFonts w:cs="Times New Roman"/>
          <w:szCs w:val="24"/>
        </w:rPr>
        <w:t xml:space="preserve"> in both </w:t>
      </w:r>
      <w:r w:rsidR="00546602">
        <w:rPr>
          <w:rFonts w:cs="Times New Roman"/>
          <w:szCs w:val="24"/>
        </w:rPr>
        <w:t>its 1996</w:t>
      </w:r>
      <w:r w:rsidR="00D54F54">
        <w:rPr>
          <w:rFonts w:cs="Times New Roman"/>
          <w:szCs w:val="24"/>
        </w:rPr>
        <w:t xml:space="preserve"> </w:t>
      </w:r>
      <w:r w:rsidR="00D54F54" w:rsidRPr="00546602">
        <w:rPr>
          <w:rFonts w:cs="Times New Roman"/>
          <w:i/>
          <w:szCs w:val="24"/>
        </w:rPr>
        <w:t>Nuclear Weapons</w:t>
      </w:r>
      <w:r w:rsidR="00D54F54">
        <w:rPr>
          <w:rFonts w:cs="Times New Roman"/>
          <w:szCs w:val="24"/>
        </w:rPr>
        <w:t xml:space="preserve"> advisory opinion</w:t>
      </w:r>
      <w:r w:rsidR="00546602">
        <w:rPr>
          <w:rStyle w:val="FootnoteReference"/>
          <w:rFonts w:cs="Times New Roman"/>
          <w:szCs w:val="24"/>
        </w:rPr>
        <w:footnoteReference w:id="72"/>
      </w:r>
      <w:r w:rsidR="00D54F54">
        <w:rPr>
          <w:rFonts w:cs="Times New Roman"/>
          <w:szCs w:val="24"/>
        </w:rPr>
        <w:t xml:space="preserve"> and the </w:t>
      </w:r>
      <w:r w:rsidR="00D54F54" w:rsidRPr="00546602">
        <w:rPr>
          <w:rFonts w:cs="Times New Roman"/>
          <w:i/>
          <w:szCs w:val="24"/>
        </w:rPr>
        <w:t xml:space="preserve">Pulp </w:t>
      </w:r>
      <w:r w:rsidR="00D54F54" w:rsidRPr="004A6FCA">
        <w:rPr>
          <w:rFonts w:cs="Times New Roman"/>
          <w:i/>
          <w:szCs w:val="24"/>
        </w:rPr>
        <w:t>Mills</w:t>
      </w:r>
      <w:r w:rsidR="00546602" w:rsidRPr="004A6FCA">
        <w:rPr>
          <w:rFonts w:cs="Times New Roman"/>
          <w:szCs w:val="24"/>
        </w:rPr>
        <w:t xml:space="preserve"> </w:t>
      </w:r>
      <w:r w:rsidR="00322AC7">
        <w:rPr>
          <w:rFonts w:cs="Times New Roman"/>
          <w:szCs w:val="24"/>
        </w:rPr>
        <w:t>merits decision of</w:t>
      </w:r>
      <w:r w:rsidR="00546602" w:rsidRPr="004A6FCA">
        <w:rPr>
          <w:rFonts w:cs="Times New Roman"/>
          <w:szCs w:val="24"/>
        </w:rPr>
        <w:t xml:space="preserve"> 2010.</w:t>
      </w:r>
      <w:r w:rsidR="00D54F54" w:rsidRPr="004A6FCA">
        <w:rPr>
          <w:rStyle w:val="FootnoteReference"/>
          <w:rFonts w:cs="Times New Roman"/>
          <w:szCs w:val="24"/>
        </w:rPr>
        <w:footnoteReference w:id="73"/>
      </w:r>
      <w:r w:rsidR="00E959E3">
        <w:rPr>
          <w:rFonts w:cs="Times New Roman"/>
          <w:szCs w:val="24"/>
        </w:rPr>
        <w:t xml:space="preserve"> </w:t>
      </w:r>
      <w:r w:rsidR="00546602" w:rsidRPr="004A6FCA">
        <w:rPr>
          <w:rFonts w:cs="Times New Roman"/>
          <w:szCs w:val="24"/>
        </w:rPr>
        <w:t xml:space="preserve">However, the duty of due diligence has also taken on a life outside of the context of transboundary environmental harm. </w:t>
      </w:r>
      <w:r w:rsidR="0031596E" w:rsidRPr="004A6FCA">
        <w:rPr>
          <w:rFonts w:cs="Times New Roman"/>
          <w:szCs w:val="24"/>
        </w:rPr>
        <w:t>T</w:t>
      </w:r>
      <w:r w:rsidR="00080561" w:rsidRPr="004A6FCA">
        <w:rPr>
          <w:rFonts w:cs="Times New Roman"/>
          <w:szCs w:val="24"/>
        </w:rPr>
        <w:t xml:space="preserve">he </w:t>
      </w:r>
      <w:r w:rsidR="002D20DF" w:rsidRPr="004A6FCA">
        <w:rPr>
          <w:rFonts w:cs="Times New Roman"/>
          <w:szCs w:val="24"/>
        </w:rPr>
        <w:t>ICJ</w:t>
      </w:r>
      <w:r w:rsidR="00080561" w:rsidRPr="004A6FCA">
        <w:rPr>
          <w:rFonts w:cs="Times New Roman"/>
          <w:szCs w:val="24"/>
        </w:rPr>
        <w:t xml:space="preserve"> </w:t>
      </w:r>
      <w:r w:rsidR="00E959E3">
        <w:rPr>
          <w:rFonts w:cs="Times New Roman"/>
          <w:szCs w:val="24"/>
        </w:rPr>
        <w:t>applied</w:t>
      </w:r>
      <w:r w:rsidR="00866CDB">
        <w:rPr>
          <w:rFonts w:cs="Times New Roman"/>
          <w:szCs w:val="24"/>
        </w:rPr>
        <w:t xml:space="preserve"> </w:t>
      </w:r>
      <w:r w:rsidR="00561610">
        <w:rPr>
          <w:rFonts w:cs="Times New Roman"/>
          <w:szCs w:val="24"/>
        </w:rPr>
        <w:t>it</w:t>
      </w:r>
      <w:r w:rsidR="00E959E3">
        <w:rPr>
          <w:rFonts w:cs="Times New Roman"/>
          <w:szCs w:val="24"/>
        </w:rPr>
        <w:t xml:space="preserve"> for the first time in</w:t>
      </w:r>
      <w:r w:rsidR="00101641" w:rsidRPr="004A6FCA">
        <w:rPr>
          <w:rFonts w:cs="Times New Roman"/>
          <w:szCs w:val="24"/>
        </w:rPr>
        <w:t xml:space="preserve"> 1949</w:t>
      </w:r>
      <w:r w:rsidR="00E959E3">
        <w:rPr>
          <w:rFonts w:cs="Times New Roman"/>
          <w:szCs w:val="24"/>
        </w:rPr>
        <w:t>,</w:t>
      </w:r>
      <w:r w:rsidR="00546602" w:rsidRPr="004A6FCA">
        <w:rPr>
          <w:rFonts w:cs="Times New Roman"/>
          <w:szCs w:val="24"/>
        </w:rPr>
        <w:t xml:space="preserve"> in the </w:t>
      </w:r>
      <w:r w:rsidR="00546602" w:rsidRPr="004A6FCA">
        <w:rPr>
          <w:rFonts w:cs="Times New Roman"/>
          <w:i/>
          <w:szCs w:val="24"/>
        </w:rPr>
        <w:t>Corfu Channel</w:t>
      </w:r>
      <w:r w:rsidR="00546602" w:rsidRPr="004A6FCA">
        <w:rPr>
          <w:rFonts w:cs="Times New Roman"/>
          <w:szCs w:val="24"/>
        </w:rPr>
        <w:t xml:space="preserve"> case</w:t>
      </w:r>
      <w:r w:rsidR="00101641" w:rsidRPr="004A6FCA">
        <w:rPr>
          <w:rFonts w:cs="Times New Roman"/>
          <w:szCs w:val="24"/>
        </w:rPr>
        <w:t>,</w:t>
      </w:r>
      <w:r w:rsidR="00322AC7">
        <w:rPr>
          <w:rFonts w:cs="Times New Roman"/>
          <w:szCs w:val="24"/>
        </w:rPr>
        <w:t xml:space="preserve"> </w:t>
      </w:r>
      <w:r w:rsidR="00866CDB">
        <w:rPr>
          <w:rFonts w:cs="Times New Roman"/>
          <w:szCs w:val="24"/>
        </w:rPr>
        <w:t>but</w:t>
      </w:r>
      <w:r w:rsidR="00546602" w:rsidRPr="004A6FCA">
        <w:rPr>
          <w:rFonts w:cs="Times New Roman"/>
          <w:szCs w:val="24"/>
        </w:rPr>
        <w:t xml:space="preserve"> did so</w:t>
      </w:r>
      <w:r w:rsidR="004A6FCA" w:rsidRPr="004A6FCA">
        <w:rPr>
          <w:rFonts w:cs="Times New Roman"/>
          <w:szCs w:val="24"/>
        </w:rPr>
        <w:t xml:space="preserve"> not</w:t>
      </w:r>
      <w:r w:rsidR="00546602" w:rsidRPr="004A6FCA">
        <w:rPr>
          <w:rFonts w:cs="Times New Roman"/>
          <w:szCs w:val="24"/>
        </w:rPr>
        <w:t xml:space="preserve"> in relation to </w:t>
      </w:r>
      <w:r w:rsidR="00D23193" w:rsidRPr="00356F15">
        <w:rPr>
          <w:rFonts w:cs="Times New Roman"/>
          <w:szCs w:val="24"/>
        </w:rPr>
        <w:t>environmental dama</w:t>
      </w:r>
      <w:r w:rsidR="008D1F4B">
        <w:rPr>
          <w:rFonts w:cs="Times New Roman"/>
          <w:szCs w:val="24"/>
        </w:rPr>
        <w:t>ge. Instead,</w:t>
      </w:r>
      <w:r w:rsidR="00356F15" w:rsidRPr="00356F15">
        <w:rPr>
          <w:rFonts w:cs="Times New Roman"/>
          <w:szCs w:val="24"/>
        </w:rPr>
        <w:t xml:space="preserve"> the Court found </w:t>
      </w:r>
      <w:r w:rsidR="00356F15" w:rsidRPr="00356F15">
        <w:rPr>
          <w:rFonts w:cs="Times New Roman"/>
          <w:szCs w:val="24"/>
          <w:shd w:val="clear" w:color="auto" w:fill="FFFFFF"/>
        </w:rPr>
        <w:t>Albania to be in breach of the duty by failing</w:t>
      </w:r>
      <w:r w:rsidR="00546602" w:rsidRPr="00356F15">
        <w:rPr>
          <w:rFonts w:cs="Times New Roman"/>
          <w:szCs w:val="24"/>
          <w:shd w:val="clear" w:color="auto" w:fill="FFFFFF"/>
        </w:rPr>
        <w:t xml:space="preserve"> to warn other states that its territorial waters were mined</w:t>
      </w:r>
      <w:r w:rsidR="004A6FCA" w:rsidRPr="00356F15">
        <w:rPr>
          <w:rFonts w:cs="Times New Roman"/>
          <w:szCs w:val="24"/>
        </w:rPr>
        <w:t>.</w:t>
      </w:r>
      <w:r w:rsidR="00561610" w:rsidRPr="00356F15">
        <w:rPr>
          <w:rStyle w:val="FootnoteReference"/>
          <w:rFonts w:cs="Times New Roman"/>
          <w:szCs w:val="24"/>
        </w:rPr>
        <w:footnoteReference w:id="74"/>
      </w:r>
      <w:r w:rsidR="004A6FCA" w:rsidRPr="00356F15">
        <w:rPr>
          <w:rFonts w:cs="Times New Roman"/>
          <w:szCs w:val="24"/>
        </w:rPr>
        <w:t xml:space="preserve"> </w:t>
      </w:r>
      <w:r w:rsidR="00E959E3" w:rsidRPr="00356F15">
        <w:rPr>
          <w:rFonts w:cs="Times New Roman"/>
          <w:szCs w:val="24"/>
        </w:rPr>
        <w:t xml:space="preserve">The </w:t>
      </w:r>
      <w:r w:rsidR="00D23193" w:rsidRPr="00356F15">
        <w:rPr>
          <w:rFonts w:cs="Times New Roman"/>
          <w:szCs w:val="24"/>
        </w:rPr>
        <w:t>ICJ</w:t>
      </w:r>
      <w:r w:rsidR="00E959E3" w:rsidRPr="00356F15">
        <w:rPr>
          <w:rFonts w:cs="Times New Roman"/>
          <w:szCs w:val="24"/>
        </w:rPr>
        <w:t xml:space="preserve"> has since affirmed the duty</w:t>
      </w:r>
      <w:r w:rsidR="009A4749">
        <w:rPr>
          <w:rFonts w:cs="Times New Roman"/>
          <w:szCs w:val="24"/>
        </w:rPr>
        <w:t>, in different forms,</w:t>
      </w:r>
      <w:r w:rsidR="00E959E3" w:rsidRPr="00356F15">
        <w:rPr>
          <w:rFonts w:cs="Times New Roman"/>
          <w:szCs w:val="24"/>
        </w:rPr>
        <w:t xml:space="preserve"> in various other </w:t>
      </w:r>
      <w:r w:rsidR="00D23193" w:rsidRPr="00356F15">
        <w:rPr>
          <w:rFonts w:cs="Times New Roman"/>
          <w:szCs w:val="24"/>
        </w:rPr>
        <w:t xml:space="preserve">international legal </w:t>
      </w:r>
      <w:r w:rsidR="00E959E3" w:rsidRPr="00356F15">
        <w:rPr>
          <w:rFonts w:cs="Times New Roman"/>
          <w:szCs w:val="24"/>
        </w:rPr>
        <w:t>contexts.</w:t>
      </w:r>
      <w:r w:rsidR="00356F15" w:rsidRPr="00356F15">
        <w:rPr>
          <w:rStyle w:val="FootnoteReference"/>
          <w:rFonts w:cs="Times New Roman"/>
          <w:szCs w:val="24"/>
        </w:rPr>
        <w:footnoteReference w:id="75"/>
      </w:r>
    </w:p>
    <w:p w14:paraId="3FEE39A0" w14:textId="31568BC2" w:rsidR="00322AC7" w:rsidRDefault="00322AC7" w:rsidP="0017445E">
      <w:pPr>
        <w:spacing w:line="480" w:lineRule="auto"/>
        <w:ind w:firstLine="720"/>
        <w:jc w:val="both"/>
        <w:rPr>
          <w:rFonts w:cs="Times New Roman"/>
          <w:szCs w:val="24"/>
        </w:rPr>
      </w:pPr>
      <w:r w:rsidRPr="00356F15">
        <w:rPr>
          <w:rFonts w:cs="Times New Roman"/>
          <w:szCs w:val="24"/>
        </w:rPr>
        <w:t>In terms of its content, it is important to note</w:t>
      </w:r>
      <w:r w:rsidR="00561610" w:rsidRPr="00356F15">
        <w:rPr>
          <w:rFonts w:cs="Times New Roman"/>
          <w:szCs w:val="24"/>
        </w:rPr>
        <w:t xml:space="preserve"> that</w:t>
      </w:r>
      <w:r w:rsidRPr="00356F15">
        <w:rPr>
          <w:rFonts w:cs="Times New Roman"/>
          <w:szCs w:val="24"/>
        </w:rPr>
        <w:t xml:space="preserve"> – as its name</w:t>
      </w:r>
      <w:r w:rsidRPr="009B7225">
        <w:rPr>
          <w:rFonts w:cs="Times New Roman"/>
          <w:szCs w:val="24"/>
        </w:rPr>
        <w:t xml:space="preserve"> suggests –</w:t>
      </w:r>
      <w:r w:rsidR="00561610">
        <w:rPr>
          <w:rFonts w:cs="Times New Roman"/>
          <w:szCs w:val="24"/>
        </w:rPr>
        <w:t xml:space="preserve"> </w:t>
      </w:r>
      <w:r w:rsidRPr="009B7225">
        <w:rPr>
          <w:rFonts w:cs="Times New Roman"/>
          <w:szCs w:val="24"/>
        </w:rPr>
        <w:t xml:space="preserve">the duty is not one of strict liability, but of </w:t>
      </w:r>
      <w:r w:rsidRPr="009B7225">
        <w:rPr>
          <w:rFonts w:cs="Times New Roman"/>
          <w:i/>
          <w:szCs w:val="24"/>
        </w:rPr>
        <w:t>due diligence</w:t>
      </w:r>
      <w:r w:rsidRPr="009B7225">
        <w:rPr>
          <w:rFonts w:cs="Times New Roman"/>
          <w:szCs w:val="24"/>
        </w:rPr>
        <w:t>.</w:t>
      </w:r>
      <w:r w:rsidRPr="009B7225">
        <w:rPr>
          <w:rStyle w:val="FootnoteReference"/>
          <w:rFonts w:cs="Times New Roman"/>
          <w:szCs w:val="24"/>
        </w:rPr>
        <w:footnoteReference w:id="76"/>
      </w:r>
      <w:r w:rsidR="00C37072">
        <w:rPr>
          <w:rFonts w:cs="Times New Roman"/>
          <w:szCs w:val="24"/>
        </w:rPr>
        <w:t xml:space="preserve"> </w:t>
      </w:r>
      <w:r>
        <w:rPr>
          <w:rFonts w:cs="Times New Roman"/>
          <w:szCs w:val="24"/>
        </w:rPr>
        <w:t xml:space="preserve">The alternative name by which </w:t>
      </w:r>
      <w:r w:rsidR="00E959E3">
        <w:rPr>
          <w:rFonts w:cs="Times New Roman"/>
          <w:szCs w:val="24"/>
        </w:rPr>
        <w:t>it</w:t>
      </w:r>
      <w:r>
        <w:rPr>
          <w:rFonts w:cs="Times New Roman"/>
          <w:szCs w:val="24"/>
        </w:rPr>
        <w:t xml:space="preserve"> is sometimes known, the </w:t>
      </w:r>
      <w:r w:rsidR="00E959E3">
        <w:rPr>
          <w:rFonts w:cs="Times New Roman"/>
          <w:szCs w:val="24"/>
        </w:rPr>
        <w:t>‘</w:t>
      </w:r>
      <w:r>
        <w:rPr>
          <w:rFonts w:cs="Times New Roman"/>
          <w:szCs w:val="24"/>
        </w:rPr>
        <w:t>duty to prevent</w:t>
      </w:r>
      <w:r w:rsidR="00E959E3">
        <w:rPr>
          <w:rFonts w:cs="Times New Roman"/>
          <w:szCs w:val="24"/>
        </w:rPr>
        <w:t>’</w:t>
      </w:r>
      <w:r>
        <w:rPr>
          <w:rFonts w:cs="Times New Roman"/>
          <w:szCs w:val="24"/>
        </w:rPr>
        <w:t xml:space="preserve">, is therefore misleading. </w:t>
      </w:r>
      <w:r w:rsidRPr="00356F15">
        <w:rPr>
          <w:rFonts w:cs="Times New Roman"/>
          <w:szCs w:val="24"/>
        </w:rPr>
        <w:t xml:space="preserve">States do not have a duty to </w:t>
      </w:r>
      <w:r w:rsidRPr="00356F15">
        <w:rPr>
          <w:rFonts w:cs="Times New Roman"/>
          <w:i/>
          <w:szCs w:val="24"/>
        </w:rPr>
        <w:t>prevent</w:t>
      </w:r>
      <w:r w:rsidRPr="00356F15">
        <w:rPr>
          <w:rFonts w:cs="Times New Roman"/>
          <w:szCs w:val="24"/>
        </w:rPr>
        <w:t xml:space="preserve"> transboundary harm</w:t>
      </w:r>
      <w:r w:rsidR="00561610" w:rsidRPr="00356F15">
        <w:rPr>
          <w:rFonts w:cs="Times New Roman"/>
          <w:szCs w:val="24"/>
        </w:rPr>
        <w:t>;</w:t>
      </w:r>
      <w:r w:rsidRPr="00356F15">
        <w:rPr>
          <w:rFonts w:cs="Times New Roman"/>
          <w:szCs w:val="24"/>
        </w:rPr>
        <w:t xml:space="preserve"> they have a duty to </w:t>
      </w:r>
      <w:r w:rsidRPr="00356F15">
        <w:rPr>
          <w:rFonts w:cs="Times New Roman"/>
          <w:i/>
          <w:szCs w:val="24"/>
        </w:rPr>
        <w:t>take reasonable steps to try to prevent</w:t>
      </w:r>
      <w:r w:rsidRPr="00356F15">
        <w:rPr>
          <w:rFonts w:cs="Times New Roman"/>
          <w:szCs w:val="24"/>
        </w:rPr>
        <w:t xml:space="preserve"> such harm. </w:t>
      </w:r>
      <w:r w:rsidR="00561610" w:rsidRPr="00356F15">
        <w:rPr>
          <w:rFonts w:cs="Times New Roman"/>
          <w:szCs w:val="24"/>
        </w:rPr>
        <w:t>The mere occurrence of transboundary harm do</w:t>
      </w:r>
      <w:r w:rsidR="008D1F4B">
        <w:rPr>
          <w:rFonts w:cs="Times New Roman"/>
          <w:szCs w:val="24"/>
        </w:rPr>
        <w:t xml:space="preserve">es not entail a breach of duty; rather, </w:t>
      </w:r>
      <w:r w:rsidR="00561610" w:rsidRPr="00356F15">
        <w:rPr>
          <w:rFonts w:cs="Times New Roman"/>
          <w:szCs w:val="24"/>
        </w:rPr>
        <w:t>a failure to have taken reasonable preventative measures in relation to that harm does.</w:t>
      </w:r>
      <w:r w:rsidR="00356F15" w:rsidRPr="00356F15">
        <w:rPr>
          <w:rStyle w:val="FootnoteReference"/>
          <w:rFonts w:cs="Times New Roman"/>
          <w:szCs w:val="24"/>
        </w:rPr>
        <w:footnoteReference w:id="77"/>
      </w:r>
      <w:r w:rsidR="00561610" w:rsidRPr="00356F15">
        <w:rPr>
          <w:rFonts w:cs="Times New Roman"/>
          <w:szCs w:val="24"/>
        </w:rPr>
        <w:t xml:space="preserve"> </w:t>
      </w:r>
      <w:r w:rsidRPr="00356F15">
        <w:rPr>
          <w:rFonts w:cs="Times New Roman"/>
          <w:szCs w:val="24"/>
        </w:rPr>
        <w:t xml:space="preserve">This means that </w:t>
      </w:r>
      <w:r w:rsidR="00B972E2" w:rsidRPr="00356F15">
        <w:rPr>
          <w:rFonts w:cs="Times New Roman"/>
          <w:szCs w:val="24"/>
        </w:rPr>
        <w:t xml:space="preserve">the </w:t>
      </w:r>
      <w:r w:rsidRPr="00356F15">
        <w:rPr>
          <w:rFonts w:cs="Times New Roman"/>
          <w:szCs w:val="24"/>
        </w:rPr>
        <w:t xml:space="preserve">duty entails a common but differentiated </w:t>
      </w:r>
      <w:r w:rsidR="00B972E2" w:rsidRPr="00356F15">
        <w:rPr>
          <w:rFonts w:cs="Times New Roman"/>
          <w:szCs w:val="24"/>
        </w:rPr>
        <w:t>responsibility for states.</w:t>
      </w:r>
      <w:r w:rsidR="00356F15" w:rsidRPr="00356F15">
        <w:rPr>
          <w:rStyle w:val="FootnoteReference"/>
          <w:rFonts w:cs="Times New Roman"/>
          <w:szCs w:val="24"/>
        </w:rPr>
        <w:footnoteReference w:id="78"/>
      </w:r>
      <w:r w:rsidR="00B972E2" w:rsidRPr="00356F15">
        <w:rPr>
          <w:rFonts w:cs="Times New Roman"/>
          <w:szCs w:val="24"/>
        </w:rPr>
        <w:t xml:space="preserve"> </w:t>
      </w:r>
      <w:r w:rsidR="00E7526B" w:rsidRPr="00356F15">
        <w:rPr>
          <w:rFonts w:cs="Times New Roman"/>
          <w:szCs w:val="24"/>
        </w:rPr>
        <w:t>The actions that constitute reasonable s</w:t>
      </w:r>
      <w:r w:rsidRPr="00356F15">
        <w:rPr>
          <w:rFonts w:cs="Times New Roman"/>
          <w:szCs w:val="24"/>
        </w:rPr>
        <w:t>teps towards prevention for one state</w:t>
      </w:r>
      <w:r w:rsidR="00B972E2" w:rsidRPr="00356F15">
        <w:rPr>
          <w:rFonts w:cs="Times New Roman"/>
          <w:szCs w:val="24"/>
        </w:rPr>
        <w:t xml:space="preserve"> – given, for example, the resources that it possesses – may be different from what can be reasonably expected </w:t>
      </w:r>
      <w:r w:rsidR="00177D77">
        <w:rPr>
          <w:rFonts w:cs="Times New Roman"/>
          <w:szCs w:val="24"/>
        </w:rPr>
        <w:t>of</w:t>
      </w:r>
      <w:r w:rsidR="00B972E2" w:rsidRPr="00356F15">
        <w:rPr>
          <w:rFonts w:cs="Times New Roman"/>
          <w:szCs w:val="24"/>
        </w:rPr>
        <w:t xml:space="preserve"> another.</w:t>
      </w:r>
      <w:r w:rsidR="007F7A3C">
        <w:rPr>
          <w:rStyle w:val="FootnoteReference"/>
          <w:rFonts w:cs="Times New Roman"/>
          <w:szCs w:val="24"/>
        </w:rPr>
        <w:footnoteReference w:id="79"/>
      </w:r>
      <w:r w:rsidR="00B972E2">
        <w:rPr>
          <w:rFonts w:cs="Times New Roman"/>
          <w:szCs w:val="24"/>
        </w:rPr>
        <w:t xml:space="preserve"> </w:t>
      </w:r>
    </w:p>
    <w:p w14:paraId="3779016D" w14:textId="77777777" w:rsidR="00B016F3" w:rsidRPr="004A6FCA" w:rsidRDefault="00B016F3" w:rsidP="0017445E">
      <w:pPr>
        <w:spacing w:line="480" w:lineRule="auto"/>
        <w:ind w:firstLine="720"/>
        <w:jc w:val="both"/>
        <w:rPr>
          <w:rFonts w:cs="Times New Roman"/>
          <w:szCs w:val="24"/>
        </w:rPr>
      </w:pPr>
    </w:p>
    <w:p w14:paraId="3125843F" w14:textId="70B1F6CB" w:rsidR="006343BB" w:rsidRPr="0017445E" w:rsidRDefault="0017445E" w:rsidP="0017445E">
      <w:pPr>
        <w:spacing w:line="480" w:lineRule="auto"/>
        <w:jc w:val="both"/>
        <w:rPr>
          <w:rFonts w:cs="Times New Roman"/>
          <w:b/>
          <w:szCs w:val="24"/>
        </w:rPr>
      </w:pPr>
      <w:r w:rsidRPr="0017445E">
        <w:rPr>
          <w:rFonts w:cs="Times New Roman"/>
          <w:b/>
          <w:szCs w:val="24"/>
        </w:rPr>
        <w:t>4</w:t>
      </w:r>
      <w:r w:rsidR="006343BB" w:rsidRPr="0017445E">
        <w:rPr>
          <w:rFonts w:cs="Times New Roman"/>
          <w:b/>
          <w:szCs w:val="24"/>
        </w:rPr>
        <w:t>.</w:t>
      </w:r>
      <w:r w:rsidRPr="0017445E">
        <w:rPr>
          <w:rFonts w:cs="Times New Roman"/>
          <w:b/>
          <w:szCs w:val="24"/>
        </w:rPr>
        <w:t>2</w:t>
      </w:r>
      <w:r w:rsidR="00B016F3">
        <w:rPr>
          <w:rFonts w:cs="Times New Roman"/>
          <w:b/>
          <w:szCs w:val="24"/>
        </w:rPr>
        <w:t>. The possibility of applying the duty of due diligence to c</w:t>
      </w:r>
      <w:r w:rsidR="006343BB" w:rsidRPr="0017445E">
        <w:rPr>
          <w:rFonts w:cs="Times New Roman"/>
          <w:b/>
          <w:szCs w:val="24"/>
        </w:rPr>
        <w:t>yberspace</w:t>
      </w:r>
    </w:p>
    <w:p w14:paraId="074F258E" w14:textId="49A17C15" w:rsidR="00E7526B" w:rsidRDefault="00866CDB" w:rsidP="0017445E">
      <w:pPr>
        <w:spacing w:line="480" w:lineRule="auto"/>
        <w:ind w:firstLine="720"/>
        <w:jc w:val="both"/>
        <w:rPr>
          <w:rFonts w:cs="Times New Roman"/>
          <w:szCs w:val="24"/>
        </w:rPr>
      </w:pPr>
      <w:r>
        <w:rPr>
          <w:rFonts w:cs="Times New Roman"/>
          <w:szCs w:val="24"/>
        </w:rPr>
        <w:t>T</w:t>
      </w:r>
      <w:r w:rsidR="00C37072">
        <w:rPr>
          <w:rFonts w:cs="Times New Roman"/>
          <w:szCs w:val="24"/>
        </w:rPr>
        <w:t xml:space="preserve">wo objections could be raised </w:t>
      </w:r>
      <w:r>
        <w:rPr>
          <w:rFonts w:cs="Times New Roman"/>
          <w:szCs w:val="24"/>
        </w:rPr>
        <w:t>in relation to the</w:t>
      </w:r>
      <w:r w:rsidR="00C37072">
        <w:rPr>
          <w:rFonts w:cs="Times New Roman"/>
          <w:szCs w:val="24"/>
        </w:rPr>
        <w:t xml:space="preserve"> potential applicability</w:t>
      </w:r>
      <w:r>
        <w:rPr>
          <w:rFonts w:cs="Times New Roman"/>
          <w:szCs w:val="24"/>
        </w:rPr>
        <w:t xml:space="preserve"> of the duty of due diligence to cyber </w:t>
      </w:r>
      <w:r w:rsidRPr="00CC2992">
        <w:rPr>
          <w:rFonts w:cs="Times New Roman"/>
          <w:szCs w:val="24"/>
        </w:rPr>
        <w:t xml:space="preserve">security. </w:t>
      </w:r>
      <w:r w:rsidR="00C37072" w:rsidRPr="00CC2992">
        <w:rPr>
          <w:rFonts w:cs="Times New Roman"/>
          <w:szCs w:val="24"/>
        </w:rPr>
        <w:t>First, i</w:t>
      </w:r>
      <w:r w:rsidR="00E7526B" w:rsidRPr="00CC2992">
        <w:rPr>
          <w:rFonts w:cs="Times New Roman"/>
          <w:szCs w:val="24"/>
        </w:rPr>
        <w:t xml:space="preserve">t was argued </w:t>
      </w:r>
      <w:r w:rsidR="00C37072" w:rsidRPr="00CC2992">
        <w:rPr>
          <w:rFonts w:cs="Times New Roman"/>
          <w:szCs w:val="24"/>
        </w:rPr>
        <w:t xml:space="preserve">by some scholars </w:t>
      </w:r>
      <w:r w:rsidR="00E7526B" w:rsidRPr="00CC2992">
        <w:rPr>
          <w:rFonts w:cs="Times New Roman"/>
          <w:szCs w:val="24"/>
        </w:rPr>
        <w:t xml:space="preserve">in the mid-1990s that cyberspace was a new </w:t>
      </w:r>
      <w:r w:rsidR="00C37072" w:rsidRPr="00CC2992">
        <w:rPr>
          <w:rFonts w:cs="Times New Roman"/>
          <w:szCs w:val="24"/>
        </w:rPr>
        <w:t>‘non</w:t>
      </w:r>
      <w:r w:rsidR="00E7526B" w:rsidRPr="00CC2992">
        <w:rPr>
          <w:rFonts w:cs="Times New Roman"/>
          <w:szCs w:val="24"/>
        </w:rPr>
        <w:t>-territorial</w:t>
      </w:r>
      <w:r w:rsidR="00C37072" w:rsidRPr="00CC2992">
        <w:rPr>
          <w:rFonts w:cs="Times New Roman"/>
          <w:szCs w:val="24"/>
        </w:rPr>
        <w:t>’</w:t>
      </w:r>
      <w:r w:rsidR="00E7526B" w:rsidRPr="00CC2992">
        <w:rPr>
          <w:rFonts w:cs="Times New Roman"/>
          <w:szCs w:val="24"/>
        </w:rPr>
        <w:t xml:space="preserve"> realm where existing </w:t>
      </w:r>
      <w:r w:rsidR="00C37072" w:rsidRPr="00CC2992">
        <w:rPr>
          <w:rFonts w:cs="Times New Roman"/>
          <w:szCs w:val="24"/>
        </w:rPr>
        <w:t>rules</w:t>
      </w:r>
      <w:r w:rsidR="00E7526B" w:rsidRPr="00CC2992">
        <w:rPr>
          <w:rFonts w:cs="Times New Roman"/>
          <w:szCs w:val="24"/>
        </w:rPr>
        <w:t xml:space="preserve"> of state jurisdiction</w:t>
      </w:r>
      <w:r w:rsidR="00C37072" w:rsidRPr="00CC2992">
        <w:rPr>
          <w:rFonts w:cs="Times New Roman"/>
          <w:szCs w:val="24"/>
        </w:rPr>
        <w:t xml:space="preserve"> </w:t>
      </w:r>
      <w:r w:rsidR="00440C3B" w:rsidRPr="00CC2992">
        <w:rPr>
          <w:rFonts w:cs="Times New Roman"/>
          <w:szCs w:val="24"/>
        </w:rPr>
        <w:t>premised</w:t>
      </w:r>
      <w:r w:rsidR="00C37072" w:rsidRPr="00CC2992">
        <w:rPr>
          <w:rFonts w:cs="Times New Roman"/>
          <w:szCs w:val="24"/>
        </w:rPr>
        <w:t xml:space="preserve"> on territorial sovereignty were entirely defunct.</w:t>
      </w:r>
      <w:r w:rsidR="00356F15" w:rsidRPr="00CC2992">
        <w:rPr>
          <w:rStyle w:val="FootnoteReference"/>
          <w:rFonts w:cs="Times New Roman"/>
          <w:szCs w:val="24"/>
        </w:rPr>
        <w:footnoteReference w:id="80"/>
      </w:r>
      <w:r w:rsidR="00C37072">
        <w:rPr>
          <w:rFonts w:cs="Times New Roman"/>
          <w:szCs w:val="24"/>
        </w:rPr>
        <w:t xml:space="preserve"> </w:t>
      </w:r>
      <w:r w:rsidR="00294BEC">
        <w:rPr>
          <w:rFonts w:cs="Times New Roman"/>
          <w:szCs w:val="24"/>
        </w:rPr>
        <w:t>A</w:t>
      </w:r>
      <w:r w:rsidR="00C37072">
        <w:rPr>
          <w:rFonts w:cs="Times New Roman"/>
          <w:szCs w:val="24"/>
        </w:rPr>
        <w:t xml:space="preserve"> duty that is tied to a state’s ability to exercise its jurisdiction within its territory </w:t>
      </w:r>
      <w:r w:rsidR="008D1F4B">
        <w:rPr>
          <w:rFonts w:cs="Times New Roman"/>
          <w:szCs w:val="24"/>
        </w:rPr>
        <w:t xml:space="preserve">– to take steps to try to prevent harm emanating from it – </w:t>
      </w:r>
      <w:r w:rsidR="00CC2992">
        <w:rPr>
          <w:rFonts w:cs="Times New Roman"/>
          <w:szCs w:val="24"/>
        </w:rPr>
        <w:t>would</w:t>
      </w:r>
      <w:r w:rsidR="00540060">
        <w:rPr>
          <w:rFonts w:cs="Times New Roman"/>
          <w:szCs w:val="24"/>
        </w:rPr>
        <w:t xml:space="preserve"> </w:t>
      </w:r>
      <w:r w:rsidR="00294BEC">
        <w:rPr>
          <w:rFonts w:cs="Times New Roman"/>
          <w:szCs w:val="24"/>
        </w:rPr>
        <w:t xml:space="preserve">thus </w:t>
      </w:r>
      <w:r w:rsidR="00CC2992">
        <w:rPr>
          <w:rFonts w:cs="Times New Roman"/>
          <w:szCs w:val="24"/>
        </w:rPr>
        <w:t xml:space="preserve">be </w:t>
      </w:r>
      <w:r w:rsidR="00540060">
        <w:rPr>
          <w:rFonts w:cs="Times New Roman"/>
          <w:szCs w:val="24"/>
        </w:rPr>
        <w:t xml:space="preserve">useless in </w:t>
      </w:r>
      <w:r>
        <w:rPr>
          <w:rFonts w:cs="Times New Roman"/>
          <w:szCs w:val="24"/>
        </w:rPr>
        <w:t xml:space="preserve">relation to </w:t>
      </w:r>
      <w:r w:rsidR="0086615A">
        <w:rPr>
          <w:rFonts w:cs="Times New Roman"/>
          <w:szCs w:val="24"/>
        </w:rPr>
        <w:t xml:space="preserve">such </w:t>
      </w:r>
      <w:r w:rsidR="00540060">
        <w:rPr>
          <w:rFonts w:cs="Times New Roman"/>
          <w:szCs w:val="24"/>
        </w:rPr>
        <w:t xml:space="preserve">a </w:t>
      </w:r>
      <w:r>
        <w:rPr>
          <w:rFonts w:cs="Times New Roman"/>
          <w:szCs w:val="24"/>
        </w:rPr>
        <w:t>‘space’</w:t>
      </w:r>
      <w:r w:rsidR="00540060">
        <w:rPr>
          <w:rFonts w:cs="Times New Roman"/>
          <w:szCs w:val="24"/>
        </w:rPr>
        <w:t xml:space="preserve"> </w:t>
      </w:r>
      <w:r w:rsidR="008D1F4B">
        <w:rPr>
          <w:rFonts w:cs="Times New Roman"/>
          <w:szCs w:val="24"/>
        </w:rPr>
        <w:t>that had no</w:t>
      </w:r>
      <w:r w:rsidR="00540060">
        <w:rPr>
          <w:rFonts w:cs="Times New Roman"/>
          <w:szCs w:val="24"/>
        </w:rPr>
        <w:t xml:space="preserve"> territorial </w:t>
      </w:r>
      <w:r w:rsidR="00440C3B">
        <w:rPr>
          <w:rFonts w:cs="Times New Roman"/>
          <w:szCs w:val="24"/>
        </w:rPr>
        <w:t>nexus</w:t>
      </w:r>
      <w:r w:rsidR="00540060">
        <w:rPr>
          <w:rFonts w:cs="Times New Roman"/>
          <w:szCs w:val="24"/>
        </w:rPr>
        <w:t>. However, while c</w:t>
      </w:r>
      <w:r w:rsidR="00C37072">
        <w:rPr>
          <w:rFonts w:cs="Times New Roman"/>
          <w:szCs w:val="24"/>
        </w:rPr>
        <w:t xml:space="preserve">yberspace is indeed a </w:t>
      </w:r>
      <w:r w:rsidR="00540060">
        <w:rPr>
          <w:rFonts w:cs="Times New Roman"/>
          <w:szCs w:val="24"/>
        </w:rPr>
        <w:t>virtual</w:t>
      </w:r>
      <w:r w:rsidR="00C37072">
        <w:rPr>
          <w:rFonts w:cs="Times New Roman"/>
          <w:szCs w:val="24"/>
        </w:rPr>
        <w:t xml:space="preserve"> realm it is also an </w:t>
      </w:r>
      <w:r w:rsidR="00C37072" w:rsidRPr="00C37072">
        <w:rPr>
          <w:rFonts w:cs="Times New Roman"/>
          <w:i/>
          <w:szCs w:val="24"/>
        </w:rPr>
        <w:t>infrastructure</w:t>
      </w:r>
      <w:r w:rsidR="00540060">
        <w:rPr>
          <w:rFonts w:cs="Times New Roman"/>
          <w:szCs w:val="24"/>
        </w:rPr>
        <w:t xml:space="preserve">, </w:t>
      </w:r>
      <w:r w:rsidR="00C37072">
        <w:rPr>
          <w:rFonts w:cs="Times New Roman"/>
          <w:szCs w:val="24"/>
        </w:rPr>
        <w:t xml:space="preserve">and at least some of that </w:t>
      </w:r>
      <w:r w:rsidR="00C37072" w:rsidRPr="00C37072">
        <w:rPr>
          <w:rFonts w:cs="Times New Roman"/>
          <w:szCs w:val="24"/>
        </w:rPr>
        <w:t>infrastructure</w:t>
      </w:r>
      <w:r w:rsidR="00C37072">
        <w:rPr>
          <w:rFonts w:cs="Times New Roman"/>
          <w:szCs w:val="24"/>
        </w:rPr>
        <w:t xml:space="preserve"> is necessarily physical in nature (and is, thus, inherently tied to territory).</w:t>
      </w:r>
      <w:r w:rsidR="009D56E2">
        <w:rPr>
          <w:rStyle w:val="FootnoteReference"/>
          <w:rFonts w:cs="Times New Roman"/>
          <w:szCs w:val="24"/>
        </w:rPr>
        <w:footnoteReference w:id="81"/>
      </w:r>
      <w:r w:rsidR="00C37072">
        <w:rPr>
          <w:rFonts w:cs="Times New Roman"/>
          <w:szCs w:val="24"/>
        </w:rPr>
        <w:t xml:space="preserve"> It is today unqu</w:t>
      </w:r>
      <w:r w:rsidR="009D56E2">
        <w:rPr>
          <w:rFonts w:cs="Times New Roman"/>
          <w:szCs w:val="24"/>
        </w:rPr>
        <w:t xml:space="preserve">estionable that – </w:t>
      </w:r>
      <w:r w:rsidR="00440C3B">
        <w:rPr>
          <w:rFonts w:cs="Times New Roman"/>
          <w:szCs w:val="24"/>
        </w:rPr>
        <w:t xml:space="preserve">as repeated and consistent state practice and </w:t>
      </w:r>
      <w:r w:rsidR="00440C3B" w:rsidRPr="00C37072">
        <w:rPr>
          <w:rFonts w:cs="Times New Roman"/>
          <w:i/>
          <w:szCs w:val="24"/>
        </w:rPr>
        <w:t>opinio juris</w:t>
      </w:r>
      <w:r w:rsidR="009D56E2">
        <w:rPr>
          <w:rFonts w:cs="Times New Roman"/>
          <w:szCs w:val="24"/>
        </w:rPr>
        <w:t xml:space="preserve"> have made clear –</w:t>
      </w:r>
      <w:r w:rsidR="00440C3B">
        <w:rPr>
          <w:rFonts w:cs="Times New Roman"/>
          <w:szCs w:val="24"/>
        </w:rPr>
        <w:t xml:space="preserve"> states possess </w:t>
      </w:r>
      <w:r w:rsidR="00C37072">
        <w:rPr>
          <w:rFonts w:cs="Times New Roman"/>
          <w:szCs w:val="24"/>
        </w:rPr>
        <w:t>an inherent jurisdiction over cyber activities occurring on</w:t>
      </w:r>
      <w:r w:rsidR="00440C3B">
        <w:rPr>
          <w:rFonts w:cs="Times New Roman"/>
          <w:szCs w:val="24"/>
        </w:rPr>
        <w:t xml:space="preserve"> or emanating from</w:t>
      </w:r>
      <w:r w:rsidR="00C37072">
        <w:rPr>
          <w:rFonts w:cs="Times New Roman"/>
          <w:szCs w:val="24"/>
        </w:rPr>
        <w:t xml:space="preserve"> their territory.</w:t>
      </w:r>
      <w:r w:rsidR="00C77E45">
        <w:rPr>
          <w:rStyle w:val="FootnoteReference"/>
          <w:rFonts w:cs="Times New Roman"/>
          <w:szCs w:val="24"/>
        </w:rPr>
        <w:footnoteReference w:id="82"/>
      </w:r>
      <w:r w:rsidR="00C37072">
        <w:rPr>
          <w:rFonts w:cs="Times New Roman"/>
          <w:szCs w:val="24"/>
        </w:rPr>
        <w:t xml:space="preserve">  </w:t>
      </w:r>
    </w:p>
    <w:p w14:paraId="026062B3" w14:textId="2E12B104" w:rsidR="00195D26" w:rsidRDefault="00440C3B" w:rsidP="0017445E">
      <w:pPr>
        <w:spacing w:line="480" w:lineRule="auto"/>
        <w:ind w:firstLine="720"/>
        <w:jc w:val="both"/>
        <w:rPr>
          <w:rFonts w:cs="Times New Roman"/>
          <w:szCs w:val="24"/>
        </w:rPr>
      </w:pPr>
      <w:r>
        <w:rPr>
          <w:rFonts w:cs="Times New Roman"/>
          <w:szCs w:val="24"/>
        </w:rPr>
        <w:t xml:space="preserve">Secondly, it could </w:t>
      </w:r>
      <w:r w:rsidR="0023341A">
        <w:rPr>
          <w:rFonts w:cs="Times New Roman"/>
          <w:szCs w:val="24"/>
        </w:rPr>
        <w:t xml:space="preserve">potentially </w:t>
      </w:r>
      <w:r>
        <w:rPr>
          <w:rFonts w:cs="Times New Roman"/>
          <w:szCs w:val="24"/>
        </w:rPr>
        <w:t xml:space="preserve">be </w:t>
      </w:r>
      <w:r w:rsidR="00540060">
        <w:rPr>
          <w:rFonts w:cs="Times New Roman"/>
          <w:szCs w:val="24"/>
        </w:rPr>
        <w:t>argued that states have not yet accep</w:t>
      </w:r>
      <w:r w:rsidR="00294BEC">
        <w:rPr>
          <w:rFonts w:cs="Times New Roman"/>
          <w:szCs w:val="24"/>
        </w:rPr>
        <w:t>ted</w:t>
      </w:r>
      <w:r w:rsidR="00540060">
        <w:rPr>
          <w:rFonts w:cs="Times New Roman"/>
          <w:szCs w:val="24"/>
        </w:rPr>
        <w:t xml:space="preserve"> the extension of the duty of due diligence to issues cyber security</w:t>
      </w:r>
      <w:r w:rsidR="0023341A">
        <w:rPr>
          <w:rFonts w:cs="Times New Roman"/>
          <w:szCs w:val="24"/>
        </w:rPr>
        <w:t xml:space="preserve"> and that, as such</w:t>
      </w:r>
      <w:r w:rsidR="00540060">
        <w:rPr>
          <w:rFonts w:cs="Times New Roman"/>
          <w:szCs w:val="24"/>
        </w:rPr>
        <w:t xml:space="preserve">, the duty is </w:t>
      </w:r>
      <w:r w:rsidR="00294BEC">
        <w:rPr>
          <w:rFonts w:cs="Times New Roman"/>
          <w:szCs w:val="24"/>
        </w:rPr>
        <w:t>simply in</w:t>
      </w:r>
      <w:r w:rsidR="00540060">
        <w:rPr>
          <w:rFonts w:cs="Times New Roman"/>
          <w:szCs w:val="24"/>
        </w:rPr>
        <w:t>applicable</w:t>
      </w:r>
      <w:r>
        <w:rPr>
          <w:rFonts w:cs="Times New Roman"/>
          <w:szCs w:val="24"/>
        </w:rPr>
        <w:t xml:space="preserve"> in the cyber </w:t>
      </w:r>
      <w:r w:rsidR="00294BEC">
        <w:rPr>
          <w:rFonts w:cs="Times New Roman"/>
          <w:szCs w:val="24"/>
        </w:rPr>
        <w:t>context</w:t>
      </w:r>
      <w:r w:rsidR="00540060">
        <w:rPr>
          <w:rFonts w:cs="Times New Roman"/>
          <w:szCs w:val="24"/>
        </w:rPr>
        <w:t>.</w:t>
      </w:r>
      <w:r>
        <w:rPr>
          <w:rStyle w:val="FootnoteReference"/>
          <w:rFonts w:cs="Times New Roman"/>
          <w:szCs w:val="24"/>
        </w:rPr>
        <w:footnoteReference w:id="83"/>
      </w:r>
      <w:r w:rsidR="00195D26">
        <w:rPr>
          <w:rFonts w:cs="Times New Roman"/>
          <w:szCs w:val="24"/>
        </w:rPr>
        <w:t xml:space="preserve"> I</w:t>
      </w:r>
      <w:r w:rsidR="00540060">
        <w:rPr>
          <w:rFonts w:cs="Times New Roman"/>
          <w:szCs w:val="24"/>
        </w:rPr>
        <w:t xml:space="preserve">t is true that states have </w:t>
      </w:r>
      <w:r w:rsidR="0023341A">
        <w:rPr>
          <w:rFonts w:cs="Times New Roman"/>
          <w:szCs w:val="24"/>
        </w:rPr>
        <w:t>been cautious in accepting the duty’s applicability in cyberspace</w:t>
      </w:r>
      <w:r w:rsidR="00195D26">
        <w:rPr>
          <w:rFonts w:cs="Times New Roman"/>
          <w:szCs w:val="24"/>
        </w:rPr>
        <w:t>.</w:t>
      </w:r>
      <w:r w:rsidR="00195D26">
        <w:rPr>
          <w:rStyle w:val="FootnoteReference"/>
          <w:rFonts w:cs="Times New Roman"/>
          <w:szCs w:val="24"/>
        </w:rPr>
        <w:footnoteReference w:id="84"/>
      </w:r>
      <w:r w:rsidR="00195D26">
        <w:rPr>
          <w:rFonts w:cs="Times New Roman"/>
          <w:szCs w:val="24"/>
        </w:rPr>
        <w:t xml:space="preserve"> In</w:t>
      </w:r>
      <w:r w:rsidR="00195D26" w:rsidRPr="009B7225">
        <w:rPr>
          <w:rFonts w:cs="Times New Roman"/>
          <w:szCs w:val="24"/>
        </w:rPr>
        <w:t xml:space="preserve"> 2013,</w:t>
      </w:r>
      <w:r w:rsidR="00195D26">
        <w:rPr>
          <w:rFonts w:cs="Times New Roman"/>
          <w:szCs w:val="24"/>
        </w:rPr>
        <w:t xml:space="preserve"> for example, </w:t>
      </w:r>
      <w:r w:rsidR="00195D26" w:rsidRPr="009B7225">
        <w:rPr>
          <w:rFonts w:cs="Times New Roman"/>
          <w:szCs w:val="24"/>
        </w:rPr>
        <w:t>the UN General Assembly’s ‘Group of Governmental Experts’</w:t>
      </w:r>
      <w:r w:rsidR="00195D26">
        <w:rPr>
          <w:rFonts w:cs="Times New Roman"/>
          <w:szCs w:val="24"/>
        </w:rPr>
        <w:t xml:space="preserve">, which was created as a </w:t>
      </w:r>
      <w:r w:rsidR="00195D26" w:rsidRPr="00B51C5D">
        <w:rPr>
          <w:rFonts w:cs="Times New Roman"/>
          <w:szCs w:val="24"/>
        </w:rPr>
        <w:t>state</w:t>
      </w:r>
      <w:r w:rsidR="00195D26">
        <w:rPr>
          <w:rFonts w:cs="Times New Roman"/>
          <w:szCs w:val="24"/>
        </w:rPr>
        <w:t xml:space="preserve"> forum </w:t>
      </w:r>
      <w:r w:rsidR="00CF0CB3">
        <w:rPr>
          <w:rFonts w:cs="Times New Roman"/>
          <w:szCs w:val="24"/>
        </w:rPr>
        <w:t>to consider</w:t>
      </w:r>
      <w:r w:rsidR="00195D26">
        <w:rPr>
          <w:rFonts w:cs="Times New Roman"/>
          <w:szCs w:val="24"/>
        </w:rPr>
        <w:t xml:space="preserve"> issues of international cyber security, asserted</w:t>
      </w:r>
      <w:r w:rsidR="00195D26" w:rsidRPr="009B7225">
        <w:rPr>
          <w:rFonts w:cs="Times New Roman"/>
          <w:szCs w:val="24"/>
        </w:rPr>
        <w:t xml:space="preserve"> </w:t>
      </w:r>
      <w:r w:rsidR="00195D26">
        <w:rPr>
          <w:rFonts w:cs="Times New Roman"/>
          <w:szCs w:val="24"/>
        </w:rPr>
        <w:t xml:space="preserve">that </w:t>
      </w:r>
      <w:r w:rsidR="00195D26" w:rsidRPr="009B7225">
        <w:rPr>
          <w:rFonts w:cs="Times New Roman"/>
          <w:szCs w:val="24"/>
        </w:rPr>
        <w:t xml:space="preserve">that </w:t>
      </w:r>
      <w:r w:rsidR="00195D26">
        <w:rPr>
          <w:rFonts w:cs="Times New Roman"/>
          <w:szCs w:val="24"/>
        </w:rPr>
        <w:t xml:space="preserve">states ‘should’ comply with the </w:t>
      </w:r>
      <w:r w:rsidR="00195D26" w:rsidRPr="009B7225">
        <w:rPr>
          <w:rFonts w:cs="Times New Roman"/>
          <w:szCs w:val="24"/>
        </w:rPr>
        <w:t xml:space="preserve">duty of due diligence </w:t>
      </w:r>
      <w:r w:rsidR="00195D26">
        <w:rPr>
          <w:rFonts w:cs="Times New Roman"/>
          <w:szCs w:val="24"/>
        </w:rPr>
        <w:t>in the context of cyber activity</w:t>
      </w:r>
      <w:r w:rsidR="00195D26" w:rsidRPr="009B7225">
        <w:rPr>
          <w:rFonts w:cs="Times New Roman"/>
          <w:szCs w:val="24"/>
        </w:rPr>
        <w:t>.</w:t>
      </w:r>
      <w:r w:rsidR="00195D26" w:rsidRPr="009B7225">
        <w:rPr>
          <w:rStyle w:val="FootnoteReference"/>
          <w:rFonts w:cs="Times New Roman"/>
          <w:szCs w:val="24"/>
        </w:rPr>
        <w:footnoteReference w:id="85"/>
      </w:r>
      <w:r w:rsidR="00195D26">
        <w:rPr>
          <w:rFonts w:cs="Times New Roman"/>
          <w:szCs w:val="24"/>
        </w:rPr>
        <w:t xml:space="preserve"> This is admittedly rather a tentative affirmation, given the use of the word ‘should’ </w:t>
      </w:r>
      <w:r w:rsidR="00177D77">
        <w:rPr>
          <w:rFonts w:cs="Times New Roman"/>
          <w:szCs w:val="24"/>
        </w:rPr>
        <w:t>as opposed to</w:t>
      </w:r>
      <w:r w:rsidR="00195D26">
        <w:rPr>
          <w:rFonts w:cs="Times New Roman"/>
          <w:szCs w:val="24"/>
        </w:rPr>
        <w:t xml:space="preserve"> more obligatory language. Similarly, a number of states have expressed their individual view that the duty extends to cyberspace, </w:t>
      </w:r>
      <w:r w:rsidR="00CF0CB3">
        <w:rPr>
          <w:rFonts w:cs="Times New Roman"/>
          <w:szCs w:val="24"/>
        </w:rPr>
        <w:t>but</w:t>
      </w:r>
      <w:r w:rsidR="00195D26">
        <w:rPr>
          <w:rFonts w:cs="Times New Roman"/>
          <w:szCs w:val="24"/>
        </w:rPr>
        <w:t xml:space="preserve"> again, in most cases</w:t>
      </w:r>
      <w:r w:rsidR="00CF0CB3">
        <w:rPr>
          <w:rFonts w:cs="Times New Roman"/>
          <w:szCs w:val="24"/>
        </w:rPr>
        <w:t>,</w:t>
      </w:r>
      <w:r w:rsidR="00195D26">
        <w:rPr>
          <w:rFonts w:cs="Times New Roman"/>
          <w:szCs w:val="24"/>
        </w:rPr>
        <w:t xml:space="preserve"> they have used self-consciously equivocal language</w:t>
      </w:r>
      <w:r w:rsidR="002C16CA">
        <w:rPr>
          <w:rFonts w:cs="Times New Roman"/>
          <w:szCs w:val="24"/>
        </w:rPr>
        <w:t xml:space="preserve"> in so doing</w:t>
      </w:r>
      <w:r w:rsidR="00195D26" w:rsidRPr="009B7225">
        <w:rPr>
          <w:rFonts w:cs="Times New Roman"/>
          <w:szCs w:val="24"/>
        </w:rPr>
        <w:t>.</w:t>
      </w:r>
      <w:r w:rsidR="00195D26" w:rsidRPr="009B7225">
        <w:rPr>
          <w:rStyle w:val="FootnoteReference"/>
          <w:rFonts w:cs="Times New Roman"/>
          <w:szCs w:val="24"/>
        </w:rPr>
        <w:footnoteReference w:id="86"/>
      </w:r>
      <w:r w:rsidR="00195D26">
        <w:rPr>
          <w:rFonts w:cs="Times New Roman"/>
          <w:szCs w:val="24"/>
        </w:rPr>
        <w:t xml:space="preserve">   </w:t>
      </w:r>
    </w:p>
    <w:p w14:paraId="46B723A6" w14:textId="5CFC224E" w:rsidR="00195D26" w:rsidRDefault="00195D26" w:rsidP="0017445E">
      <w:pPr>
        <w:spacing w:line="480" w:lineRule="auto"/>
        <w:ind w:firstLine="720"/>
        <w:jc w:val="both"/>
        <w:rPr>
          <w:rFonts w:cs="Times New Roman"/>
          <w:szCs w:val="24"/>
        </w:rPr>
      </w:pPr>
      <w:r>
        <w:rPr>
          <w:rFonts w:cs="Times New Roman"/>
          <w:szCs w:val="24"/>
        </w:rPr>
        <w:t xml:space="preserve">Nonetheless, these cautious references to </w:t>
      </w:r>
      <w:r w:rsidR="002C16CA">
        <w:rPr>
          <w:rFonts w:cs="Times New Roman"/>
          <w:szCs w:val="24"/>
        </w:rPr>
        <w:t>due diligence obligations</w:t>
      </w:r>
      <w:r>
        <w:rPr>
          <w:rFonts w:cs="Times New Roman"/>
          <w:szCs w:val="24"/>
        </w:rPr>
        <w:t xml:space="preserve"> evidence a growing acceptance by states that the duty does have implications for cyber security. Perhaps more importantly, </w:t>
      </w:r>
      <w:r w:rsidR="00B51C5D">
        <w:rPr>
          <w:rFonts w:cs="Times New Roman"/>
          <w:szCs w:val="24"/>
        </w:rPr>
        <w:t>no</w:t>
      </w:r>
      <w:r>
        <w:rPr>
          <w:rFonts w:cs="Times New Roman"/>
          <w:szCs w:val="24"/>
        </w:rPr>
        <w:t xml:space="preserve"> states</w:t>
      </w:r>
      <w:r w:rsidR="00B51C5D">
        <w:rPr>
          <w:rFonts w:cs="Times New Roman"/>
          <w:szCs w:val="24"/>
        </w:rPr>
        <w:t xml:space="preserve"> have explicitly </w:t>
      </w:r>
      <w:r w:rsidR="00B51C5D" w:rsidRPr="008F46AA">
        <w:rPr>
          <w:rFonts w:cs="Times New Roman"/>
          <w:i/>
          <w:szCs w:val="24"/>
        </w:rPr>
        <w:t>opposed</w:t>
      </w:r>
      <w:r w:rsidR="00B51C5D">
        <w:rPr>
          <w:rFonts w:cs="Times New Roman"/>
          <w:szCs w:val="24"/>
        </w:rPr>
        <w:t xml:space="preserve"> it</w:t>
      </w:r>
      <w:r w:rsidR="00D23193">
        <w:rPr>
          <w:rFonts w:cs="Times New Roman"/>
          <w:szCs w:val="24"/>
        </w:rPr>
        <w:t xml:space="preserve">s relevance to </w:t>
      </w:r>
      <w:r w:rsidR="002C16CA">
        <w:rPr>
          <w:rFonts w:cs="Times New Roman"/>
          <w:szCs w:val="24"/>
        </w:rPr>
        <w:t>cyberspace</w:t>
      </w:r>
      <w:r w:rsidR="00B51C5D">
        <w:rPr>
          <w:rFonts w:cs="Times New Roman"/>
          <w:szCs w:val="24"/>
        </w:rPr>
        <w:t>.</w:t>
      </w:r>
      <w:r>
        <w:rPr>
          <w:rFonts w:cs="Times New Roman"/>
          <w:szCs w:val="24"/>
        </w:rPr>
        <w:t xml:space="preserve"> </w:t>
      </w:r>
      <w:r w:rsidR="00DB71B5">
        <w:rPr>
          <w:rFonts w:cs="Times New Roman"/>
          <w:szCs w:val="24"/>
        </w:rPr>
        <w:t>T</w:t>
      </w:r>
      <w:r>
        <w:rPr>
          <w:rFonts w:cs="Times New Roman"/>
          <w:szCs w:val="24"/>
        </w:rPr>
        <w:t>he duty itself clearly already exists as a binding legal principle</w:t>
      </w:r>
      <w:r w:rsidR="00DB71B5">
        <w:rPr>
          <w:rFonts w:cs="Times New Roman"/>
          <w:szCs w:val="24"/>
        </w:rPr>
        <w:t xml:space="preserve"> and</w:t>
      </w:r>
      <w:r>
        <w:rPr>
          <w:rFonts w:cs="Times New Roman"/>
          <w:szCs w:val="24"/>
        </w:rPr>
        <w:t xml:space="preserve">, in international law, ‘it is unnecessary to identify a distinct reason to apply a general principle in a particular context. On the contrary, since [the duty] is a general principle, </w:t>
      </w:r>
      <w:r w:rsidRPr="002C16CA">
        <w:rPr>
          <w:rFonts w:cs="Times New Roman"/>
          <w:i/>
          <w:szCs w:val="24"/>
        </w:rPr>
        <w:t>the presumption is that the principle applies</w:t>
      </w:r>
      <w:r>
        <w:rPr>
          <w:rFonts w:cs="Times New Roman"/>
          <w:szCs w:val="24"/>
        </w:rPr>
        <w:t xml:space="preserve"> unless state practice or </w:t>
      </w:r>
      <w:r w:rsidRPr="00540060">
        <w:rPr>
          <w:rFonts w:cs="Times New Roman"/>
          <w:i/>
          <w:szCs w:val="24"/>
        </w:rPr>
        <w:t>opinio juris</w:t>
      </w:r>
      <w:r>
        <w:rPr>
          <w:rFonts w:cs="Times New Roman"/>
          <w:szCs w:val="24"/>
        </w:rPr>
        <w:t xml:space="preserve"> excludes it</w:t>
      </w:r>
      <w:r w:rsidR="00CD38C7">
        <w:rPr>
          <w:rFonts w:cs="Times New Roman"/>
          <w:szCs w:val="24"/>
        </w:rPr>
        <w:t>’</w:t>
      </w:r>
      <w:r>
        <w:rPr>
          <w:rFonts w:cs="Times New Roman"/>
          <w:szCs w:val="24"/>
        </w:rPr>
        <w:t>.</w:t>
      </w:r>
      <w:r>
        <w:rPr>
          <w:rStyle w:val="FootnoteReference"/>
          <w:rFonts w:cs="Times New Roman"/>
          <w:szCs w:val="24"/>
        </w:rPr>
        <w:footnoteReference w:id="87"/>
      </w:r>
    </w:p>
    <w:p w14:paraId="7ADF811A" w14:textId="399CF4E3" w:rsidR="00E7526B" w:rsidRDefault="00440C3B" w:rsidP="0017445E">
      <w:pPr>
        <w:spacing w:line="480" w:lineRule="auto"/>
        <w:ind w:firstLine="720"/>
        <w:jc w:val="both"/>
        <w:rPr>
          <w:rFonts w:cs="Times New Roman"/>
          <w:szCs w:val="24"/>
        </w:rPr>
      </w:pPr>
      <w:r>
        <w:rPr>
          <w:rFonts w:cs="Times New Roman"/>
          <w:szCs w:val="24"/>
        </w:rPr>
        <w:t>T</w:t>
      </w:r>
      <w:r w:rsidR="00101641" w:rsidRPr="004A6FCA">
        <w:rPr>
          <w:rFonts w:cs="Times New Roman"/>
          <w:szCs w:val="24"/>
        </w:rPr>
        <w:t xml:space="preserve">he </w:t>
      </w:r>
      <w:r w:rsidR="0056126B">
        <w:rPr>
          <w:rFonts w:cs="Times New Roman"/>
          <w:szCs w:val="24"/>
        </w:rPr>
        <w:t>application</w:t>
      </w:r>
      <w:r w:rsidR="00101641" w:rsidRPr="004A6FCA">
        <w:rPr>
          <w:rFonts w:cs="Times New Roman"/>
          <w:szCs w:val="24"/>
        </w:rPr>
        <w:t xml:space="preserve"> </w:t>
      </w:r>
      <w:r w:rsidR="00101641" w:rsidRPr="009B7225">
        <w:rPr>
          <w:rFonts w:cs="Times New Roman"/>
          <w:szCs w:val="24"/>
        </w:rPr>
        <w:t xml:space="preserve">of </w:t>
      </w:r>
      <w:r w:rsidR="00926571" w:rsidRPr="009B7225">
        <w:rPr>
          <w:rFonts w:cs="Times New Roman"/>
          <w:szCs w:val="24"/>
        </w:rPr>
        <w:t>the</w:t>
      </w:r>
      <w:r w:rsidR="00294BEC">
        <w:rPr>
          <w:rFonts w:cs="Times New Roman"/>
          <w:szCs w:val="24"/>
        </w:rPr>
        <w:t xml:space="preserve"> duty of due diligence to cyberspace </w:t>
      </w:r>
      <w:r w:rsidR="00101641" w:rsidRPr="009B7225">
        <w:rPr>
          <w:rFonts w:cs="Times New Roman"/>
          <w:szCs w:val="24"/>
        </w:rPr>
        <w:t xml:space="preserve">has been </w:t>
      </w:r>
      <w:r w:rsidR="00E7526B">
        <w:rPr>
          <w:rFonts w:cs="Times New Roman"/>
          <w:szCs w:val="24"/>
        </w:rPr>
        <w:t>largely</w:t>
      </w:r>
      <w:r w:rsidR="00101641" w:rsidRPr="009B7225">
        <w:rPr>
          <w:rFonts w:cs="Times New Roman"/>
          <w:szCs w:val="24"/>
        </w:rPr>
        <w:t xml:space="preserve"> overlooked</w:t>
      </w:r>
      <w:r w:rsidR="00FC2A45" w:rsidRPr="009B7225">
        <w:rPr>
          <w:rFonts w:cs="Times New Roman"/>
          <w:szCs w:val="24"/>
        </w:rPr>
        <w:t xml:space="preserve"> in the literature</w:t>
      </w:r>
      <w:r w:rsidR="00294BEC">
        <w:rPr>
          <w:rFonts w:cs="Times New Roman"/>
          <w:szCs w:val="24"/>
        </w:rPr>
        <w:t xml:space="preserve">, but a </w:t>
      </w:r>
      <w:r w:rsidR="0056126B">
        <w:rPr>
          <w:rFonts w:cs="Times New Roman"/>
          <w:szCs w:val="24"/>
        </w:rPr>
        <w:t>small number of writers</w:t>
      </w:r>
      <w:r w:rsidR="00294BEC">
        <w:rPr>
          <w:rFonts w:cs="Times New Roman"/>
          <w:szCs w:val="24"/>
        </w:rPr>
        <w:t xml:space="preserve"> have begun noting its relevance</w:t>
      </w:r>
      <w:r w:rsidR="00D23193">
        <w:rPr>
          <w:rFonts w:cs="Times New Roman"/>
          <w:szCs w:val="24"/>
        </w:rPr>
        <w:t xml:space="preserve"> over the last few years</w:t>
      </w:r>
      <w:r w:rsidR="0086615A">
        <w:rPr>
          <w:rFonts w:cs="Times New Roman"/>
          <w:szCs w:val="24"/>
        </w:rPr>
        <w:t xml:space="preserve">: academic support for it as an alternative to </w:t>
      </w:r>
      <w:r w:rsidR="00CD38C7">
        <w:rPr>
          <w:rFonts w:cs="Times New Roman"/>
          <w:szCs w:val="24"/>
        </w:rPr>
        <w:t>a</w:t>
      </w:r>
      <w:r w:rsidR="0086615A">
        <w:rPr>
          <w:rFonts w:cs="Times New Roman"/>
          <w:szCs w:val="24"/>
        </w:rPr>
        <w:t>rticle 2(4) is growing</w:t>
      </w:r>
      <w:r w:rsidR="00294BEC">
        <w:rPr>
          <w:rFonts w:cs="Times New Roman"/>
          <w:szCs w:val="24"/>
        </w:rPr>
        <w:t>.</w:t>
      </w:r>
      <w:r w:rsidR="00294BEC">
        <w:rPr>
          <w:rStyle w:val="FootnoteReference"/>
          <w:rFonts w:cs="Times New Roman"/>
          <w:szCs w:val="24"/>
        </w:rPr>
        <w:footnoteReference w:id="88"/>
      </w:r>
      <w:r w:rsidR="00294BEC">
        <w:rPr>
          <w:rFonts w:cs="Times New Roman"/>
          <w:szCs w:val="24"/>
        </w:rPr>
        <w:t xml:space="preserve">  </w:t>
      </w:r>
      <w:r w:rsidR="000521AE">
        <w:rPr>
          <w:rFonts w:cs="Times New Roman"/>
          <w:szCs w:val="24"/>
        </w:rPr>
        <w:t xml:space="preserve">It is also </w:t>
      </w:r>
      <w:r w:rsidR="002C16CA">
        <w:rPr>
          <w:rFonts w:cs="Times New Roman"/>
          <w:szCs w:val="24"/>
        </w:rPr>
        <w:t>telling</w:t>
      </w:r>
      <w:r w:rsidR="000521AE">
        <w:rPr>
          <w:rFonts w:cs="Times New Roman"/>
          <w:szCs w:val="24"/>
        </w:rPr>
        <w:t xml:space="preserve"> that t</w:t>
      </w:r>
      <w:r w:rsidR="0056126B" w:rsidRPr="009B7225">
        <w:rPr>
          <w:rFonts w:cs="Times New Roman"/>
          <w:szCs w:val="24"/>
        </w:rPr>
        <w:t>he</w:t>
      </w:r>
      <w:r w:rsidR="0056126B">
        <w:rPr>
          <w:rFonts w:cs="Times New Roman"/>
          <w:szCs w:val="24"/>
        </w:rPr>
        <w:t xml:space="preserve"> hugely influential</w:t>
      </w:r>
      <w:r w:rsidR="0056126B" w:rsidRPr="009B7225">
        <w:rPr>
          <w:rFonts w:cs="Times New Roman"/>
          <w:szCs w:val="24"/>
        </w:rPr>
        <w:t xml:space="preserve"> </w:t>
      </w:r>
      <w:r w:rsidR="0056126B" w:rsidRPr="009B7225">
        <w:rPr>
          <w:rFonts w:cs="Times New Roman"/>
          <w:i/>
          <w:szCs w:val="24"/>
        </w:rPr>
        <w:t>Tallinn Manual on the International Law Applicable to Cyber Warfare</w:t>
      </w:r>
      <w:r w:rsidR="0056126B" w:rsidRPr="009B7225">
        <w:rPr>
          <w:rFonts w:cs="Times New Roman"/>
          <w:szCs w:val="24"/>
        </w:rPr>
        <w:t xml:space="preserve">, which was prepared by an international group of experts at the invitation of the </w:t>
      </w:r>
      <w:r w:rsidR="009312B1">
        <w:rPr>
          <w:rFonts w:cs="Times New Roman"/>
          <w:szCs w:val="24"/>
        </w:rPr>
        <w:t>North Atlantic Treat</w:t>
      </w:r>
      <w:r w:rsidR="006667FE">
        <w:rPr>
          <w:rFonts w:cs="Times New Roman"/>
          <w:szCs w:val="24"/>
        </w:rPr>
        <w:t>y</w:t>
      </w:r>
      <w:r w:rsidR="009312B1">
        <w:rPr>
          <w:rFonts w:cs="Times New Roman"/>
          <w:szCs w:val="24"/>
        </w:rPr>
        <w:t xml:space="preserve"> Organization </w:t>
      </w:r>
      <w:r w:rsidR="0056126B" w:rsidRPr="009B7225">
        <w:rPr>
          <w:rFonts w:cs="Times New Roman"/>
          <w:szCs w:val="24"/>
        </w:rPr>
        <w:t>Cooperative Cyber Defence Centre of Excellence</w:t>
      </w:r>
      <w:r w:rsidR="0056126B">
        <w:rPr>
          <w:rFonts w:cs="Times New Roman"/>
          <w:szCs w:val="24"/>
        </w:rPr>
        <w:t>, affirm</w:t>
      </w:r>
      <w:r w:rsidR="000521AE">
        <w:rPr>
          <w:rFonts w:cs="Times New Roman"/>
          <w:szCs w:val="24"/>
        </w:rPr>
        <w:t>ed</w:t>
      </w:r>
      <w:r w:rsidR="0056126B">
        <w:rPr>
          <w:rFonts w:cs="Times New Roman"/>
          <w:szCs w:val="24"/>
        </w:rPr>
        <w:t xml:space="preserve"> the duty’s applicability to cyberspace in 2013</w:t>
      </w:r>
      <w:r w:rsidR="0056126B" w:rsidRPr="009B7225">
        <w:rPr>
          <w:rFonts w:cs="Times New Roman"/>
          <w:szCs w:val="24"/>
        </w:rPr>
        <w:t>.</w:t>
      </w:r>
      <w:r w:rsidR="0056126B" w:rsidRPr="009B7225">
        <w:rPr>
          <w:rStyle w:val="FootnoteReference"/>
          <w:rFonts w:cs="Times New Roman"/>
          <w:szCs w:val="24"/>
        </w:rPr>
        <w:footnoteReference w:id="89"/>
      </w:r>
      <w:r w:rsidR="0056126B">
        <w:rPr>
          <w:rFonts w:cs="Times New Roman"/>
          <w:szCs w:val="24"/>
        </w:rPr>
        <w:t xml:space="preserve"> Given the </w:t>
      </w:r>
      <w:r w:rsidR="0056126B" w:rsidRPr="000521AE">
        <w:rPr>
          <w:rFonts w:cs="Times New Roman"/>
          <w:i/>
          <w:szCs w:val="24"/>
        </w:rPr>
        <w:t>Tallinn Manual’s</w:t>
      </w:r>
      <w:r w:rsidR="0056126B">
        <w:rPr>
          <w:rFonts w:cs="Times New Roman"/>
          <w:szCs w:val="24"/>
        </w:rPr>
        <w:t xml:space="preserve"> focus on cyber </w:t>
      </w:r>
      <w:r w:rsidR="0056126B" w:rsidRPr="0056126B">
        <w:rPr>
          <w:rFonts w:cs="Times New Roman"/>
          <w:i/>
          <w:szCs w:val="24"/>
        </w:rPr>
        <w:t>warfare</w:t>
      </w:r>
      <w:r w:rsidR="0056126B">
        <w:rPr>
          <w:rFonts w:cs="Times New Roman"/>
          <w:szCs w:val="24"/>
        </w:rPr>
        <w:t xml:space="preserve">, and thus its </w:t>
      </w:r>
      <w:r w:rsidR="002C16CA">
        <w:rPr>
          <w:rFonts w:cs="Times New Roman"/>
          <w:szCs w:val="24"/>
        </w:rPr>
        <w:t xml:space="preserve">general </w:t>
      </w:r>
      <w:r w:rsidR="0056126B">
        <w:rPr>
          <w:rFonts w:cs="Times New Roman"/>
          <w:szCs w:val="24"/>
        </w:rPr>
        <w:t xml:space="preserve">alignment </w:t>
      </w:r>
      <w:r w:rsidR="0056126B" w:rsidRPr="008F46AA">
        <w:rPr>
          <w:rFonts w:cs="Times New Roman"/>
          <w:szCs w:val="24"/>
        </w:rPr>
        <w:t xml:space="preserve">to the common ‘militarised’ legal approach, it is both encouraging that the duty was referenced in this way, but also unsurprising that this reference was rather cursory (the duty is </w:t>
      </w:r>
      <w:r w:rsidR="000521AE" w:rsidRPr="008F46AA">
        <w:rPr>
          <w:rFonts w:cs="Times New Roman"/>
          <w:szCs w:val="24"/>
        </w:rPr>
        <w:t>set</w:t>
      </w:r>
      <w:r w:rsidR="0056126B" w:rsidRPr="008F46AA">
        <w:rPr>
          <w:rFonts w:cs="Times New Roman"/>
          <w:szCs w:val="24"/>
        </w:rPr>
        <w:t xml:space="preserve"> </w:t>
      </w:r>
      <w:r w:rsidR="008F46AA" w:rsidRPr="008F46AA">
        <w:rPr>
          <w:rFonts w:cs="Times New Roman"/>
          <w:szCs w:val="24"/>
        </w:rPr>
        <w:t xml:space="preserve">out as </w:t>
      </w:r>
      <w:r w:rsidR="00C20F8F" w:rsidRPr="008F46AA">
        <w:rPr>
          <w:rFonts w:cs="Times New Roman"/>
          <w:szCs w:val="24"/>
        </w:rPr>
        <w:t>1</w:t>
      </w:r>
      <w:r w:rsidR="0056126B" w:rsidRPr="008F46AA">
        <w:rPr>
          <w:rFonts w:cs="Times New Roman"/>
          <w:szCs w:val="24"/>
        </w:rPr>
        <w:t xml:space="preserve"> of the </w:t>
      </w:r>
      <w:r w:rsidR="008F46AA" w:rsidRPr="008F46AA">
        <w:rPr>
          <w:rFonts w:cs="Times New Roman"/>
          <w:szCs w:val="24"/>
        </w:rPr>
        <w:t>m</w:t>
      </w:r>
      <w:r w:rsidR="0056126B" w:rsidRPr="008F46AA">
        <w:rPr>
          <w:rFonts w:cs="Times New Roman"/>
          <w:szCs w:val="24"/>
        </w:rPr>
        <w:t xml:space="preserve">anual’s </w:t>
      </w:r>
      <w:r w:rsidR="00C20F8F" w:rsidRPr="008F46AA">
        <w:rPr>
          <w:rFonts w:cs="Times New Roman"/>
          <w:szCs w:val="24"/>
        </w:rPr>
        <w:t>96</w:t>
      </w:r>
      <w:r w:rsidR="0056126B" w:rsidRPr="008F46AA">
        <w:rPr>
          <w:rFonts w:cs="Times New Roman"/>
          <w:szCs w:val="24"/>
        </w:rPr>
        <w:t xml:space="preserve"> listed rules</w:t>
      </w:r>
      <w:r w:rsidR="008F46AA" w:rsidRPr="008F46AA">
        <w:rPr>
          <w:rFonts w:cs="Times New Roman"/>
          <w:szCs w:val="24"/>
        </w:rPr>
        <w:t>, with some brief commentary</w:t>
      </w:r>
      <w:r w:rsidR="0056126B" w:rsidRPr="008F46AA">
        <w:rPr>
          <w:rFonts w:cs="Times New Roman"/>
          <w:szCs w:val="24"/>
        </w:rPr>
        <w:t>).</w:t>
      </w:r>
      <w:r w:rsidR="0056126B">
        <w:rPr>
          <w:rFonts w:cs="Times New Roman"/>
          <w:szCs w:val="24"/>
        </w:rPr>
        <w:t xml:space="preserve"> </w:t>
      </w:r>
      <w:r w:rsidR="00D23193">
        <w:rPr>
          <w:rFonts w:cs="Times New Roman"/>
          <w:szCs w:val="24"/>
        </w:rPr>
        <w:t>Yet w</w:t>
      </w:r>
      <w:r w:rsidR="0056126B">
        <w:rPr>
          <w:rFonts w:cs="Times New Roman"/>
          <w:szCs w:val="24"/>
        </w:rPr>
        <w:t>ork is currently underway on what has be</w:t>
      </w:r>
      <w:r w:rsidR="0069048A">
        <w:rPr>
          <w:rFonts w:cs="Times New Roman"/>
          <w:szCs w:val="24"/>
        </w:rPr>
        <w:t xml:space="preserve">en dubbed ‘Tallinn 2.0’, </w:t>
      </w:r>
      <w:r w:rsidR="00C20F8F">
        <w:rPr>
          <w:rFonts w:cs="Times New Roman"/>
          <w:szCs w:val="24"/>
        </w:rPr>
        <w:t>an updated</w:t>
      </w:r>
      <w:r w:rsidR="0056126B">
        <w:rPr>
          <w:rFonts w:cs="Times New Roman"/>
          <w:szCs w:val="24"/>
        </w:rPr>
        <w:t xml:space="preserve"> version of the </w:t>
      </w:r>
      <w:r w:rsidR="008F46AA" w:rsidRPr="008F46AA">
        <w:rPr>
          <w:rFonts w:cs="Times New Roman"/>
          <w:szCs w:val="24"/>
        </w:rPr>
        <w:t>m</w:t>
      </w:r>
      <w:r w:rsidR="0056126B" w:rsidRPr="008F46AA">
        <w:rPr>
          <w:rFonts w:cs="Times New Roman"/>
          <w:szCs w:val="24"/>
        </w:rPr>
        <w:t>anual</w:t>
      </w:r>
      <w:r>
        <w:rPr>
          <w:rFonts w:cs="Times New Roman"/>
          <w:szCs w:val="24"/>
        </w:rPr>
        <w:t xml:space="preserve">, </w:t>
      </w:r>
      <w:r w:rsidR="00C20F8F">
        <w:rPr>
          <w:rFonts w:cs="Times New Roman"/>
          <w:szCs w:val="24"/>
        </w:rPr>
        <w:t xml:space="preserve">which is </w:t>
      </w:r>
      <w:r>
        <w:rPr>
          <w:rFonts w:cs="Times New Roman"/>
          <w:szCs w:val="24"/>
        </w:rPr>
        <w:t>expected to be completed in 2016.</w:t>
      </w:r>
      <w:r w:rsidR="00CF613D">
        <w:rPr>
          <w:rStyle w:val="FootnoteReference"/>
          <w:rFonts w:cs="Times New Roman"/>
          <w:szCs w:val="24"/>
        </w:rPr>
        <w:footnoteReference w:id="90"/>
      </w:r>
      <w:r w:rsidR="000521AE">
        <w:rPr>
          <w:rFonts w:cs="Times New Roman"/>
          <w:szCs w:val="24"/>
        </w:rPr>
        <w:t xml:space="preserve"> </w:t>
      </w:r>
      <w:r w:rsidR="00C20F8F">
        <w:rPr>
          <w:rFonts w:cs="Times New Roman"/>
          <w:szCs w:val="24"/>
        </w:rPr>
        <w:t>Interestingly, t</w:t>
      </w:r>
      <w:r w:rsidR="000521AE">
        <w:rPr>
          <w:rFonts w:cs="Times New Roman"/>
          <w:szCs w:val="24"/>
        </w:rPr>
        <w:t xml:space="preserve">he project’s director, Michael Schmitt, </w:t>
      </w:r>
      <w:r w:rsidR="008D1F4B">
        <w:rPr>
          <w:rFonts w:cs="Times New Roman"/>
          <w:szCs w:val="24"/>
        </w:rPr>
        <w:t>stated</w:t>
      </w:r>
      <w:r w:rsidR="000521AE">
        <w:rPr>
          <w:rFonts w:cs="Times New Roman"/>
          <w:szCs w:val="24"/>
        </w:rPr>
        <w:t xml:space="preserve"> in 2015</w:t>
      </w:r>
      <w:r>
        <w:rPr>
          <w:rFonts w:cs="Times New Roman"/>
          <w:szCs w:val="24"/>
        </w:rPr>
        <w:t xml:space="preserve"> that ‘[a]mon</w:t>
      </w:r>
      <w:r w:rsidR="00CF613D">
        <w:rPr>
          <w:rFonts w:cs="Times New Roman"/>
          <w:szCs w:val="24"/>
        </w:rPr>
        <w:t>g the topics the experts are examining is due diligence, this time in a more systematic and in-depth fashion.’</w:t>
      </w:r>
      <w:r w:rsidR="00CF613D">
        <w:rPr>
          <w:rStyle w:val="FootnoteReference"/>
          <w:rFonts w:cs="Times New Roman"/>
          <w:szCs w:val="24"/>
        </w:rPr>
        <w:footnoteReference w:id="91"/>
      </w:r>
      <w:r w:rsidR="00CF613D">
        <w:rPr>
          <w:rFonts w:cs="Times New Roman"/>
          <w:szCs w:val="24"/>
        </w:rPr>
        <w:t xml:space="preserve"> It is </w:t>
      </w:r>
      <w:r w:rsidR="00C20F8F">
        <w:rPr>
          <w:rFonts w:cs="Times New Roman"/>
          <w:szCs w:val="24"/>
        </w:rPr>
        <w:t xml:space="preserve">therefore </w:t>
      </w:r>
      <w:r w:rsidR="008F46AA">
        <w:rPr>
          <w:rFonts w:cs="Times New Roman"/>
          <w:szCs w:val="24"/>
        </w:rPr>
        <w:t>possible</w:t>
      </w:r>
      <w:r w:rsidR="00CF613D">
        <w:rPr>
          <w:rFonts w:cs="Times New Roman"/>
          <w:szCs w:val="24"/>
        </w:rPr>
        <w:t xml:space="preserve"> that Tallinn 2.0 </w:t>
      </w:r>
      <w:r w:rsidR="008D1F4B">
        <w:rPr>
          <w:rFonts w:cs="Times New Roman"/>
          <w:szCs w:val="24"/>
        </w:rPr>
        <w:t>might</w:t>
      </w:r>
      <w:r w:rsidR="00CF613D">
        <w:rPr>
          <w:rFonts w:cs="Times New Roman"/>
          <w:szCs w:val="24"/>
        </w:rPr>
        <w:t xml:space="preserve"> provide the first detailed guidance as to how the duty </w:t>
      </w:r>
      <w:r w:rsidR="00177D77">
        <w:rPr>
          <w:rFonts w:cs="Times New Roman"/>
          <w:szCs w:val="24"/>
        </w:rPr>
        <w:t>should</w:t>
      </w:r>
      <w:r w:rsidR="00CF613D">
        <w:rPr>
          <w:rFonts w:cs="Times New Roman"/>
          <w:szCs w:val="24"/>
        </w:rPr>
        <w:t xml:space="preserve"> operate in </w:t>
      </w:r>
      <w:r w:rsidR="00C20F8F">
        <w:rPr>
          <w:rFonts w:cs="Times New Roman"/>
          <w:szCs w:val="24"/>
        </w:rPr>
        <w:t>relation to cyberspace</w:t>
      </w:r>
      <w:r w:rsidR="00CF613D">
        <w:rPr>
          <w:rFonts w:cs="Times New Roman"/>
          <w:szCs w:val="24"/>
        </w:rPr>
        <w:t>.</w:t>
      </w:r>
    </w:p>
    <w:p w14:paraId="6B68C591" w14:textId="13EFF933" w:rsidR="00C20F8F" w:rsidRDefault="009644CD" w:rsidP="0017445E">
      <w:pPr>
        <w:spacing w:line="480" w:lineRule="auto"/>
        <w:ind w:firstLine="720"/>
        <w:jc w:val="both"/>
        <w:rPr>
          <w:rFonts w:cs="Times New Roman"/>
          <w:szCs w:val="24"/>
        </w:rPr>
      </w:pPr>
      <w:r>
        <w:rPr>
          <w:rFonts w:cs="Times New Roman"/>
          <w:szCs w:val="24"/>
        </w:rPr>
        <w:t>I</w:t>
      </w:r>
      <w:r w:rsidR="002C16CA">
        <w:rPr>
          <w:rFonts w:cs="Times New Roman"/>
          <w:szCs w:val="24"/>
        </w:rPr>
        <w:t xml:space="preserve">t is </w:t>
      </w:r>
      <w:r w:rsidR="0086615A">
        <w:rPr>
          <w:rFonts w:cs="Times New Roman"/>
          <w:szCs w:val="24"/>
        </w:rPr>
        <w:t xml:space="preserve">evident that </w:t>
      </w:r>
      <w:r w:rsidR="008F46AA">
        <w:rPr>
          <w:rFonts w:cs="Times New Roman"/>
          <w:szCs w:val="24"/>
        </w:rPr>
        <w:t>r</w:t>
      </w:r>
      <w:r w:rsidR="00A86A57">
        <w:rPr>
          <w:rFonts w:cs="Times New Roman"/>
          <w:szCs w:val="24"/>
        </w:rPr>
        <w:t xml:space="preserve">ecognition of the relationship between the duty of duty diligence and cyber security is </w:t>
      </w:r>
      <w:r w:rsidR="008F46AA">
        <w:rPr>
          <w:rFonts w:cs="Times New Roman"/>
          <w:szCs w:val="24"/>
        </w:rPr>
        <w:t xml:space="preserve">snowballing, with </w:t>
      </w:r>
      <w:r w:rsidR="00A86A57">
        <w:rPr>
          <w:rFonts w:cs="Times New Roman"/>
          <w:szCs w:val="24"/>
        </w:rPr>
        <w:t>increasing support for its application in academia and, more importantly</w:t>
      </w:r>
      <w:r w:rsidR="00C20F8F">
        <w:rPr>
          <w:rFonts w:cs="Times New Roman"/>
          <w:szCs w:val="24"/>
        </w:rPr>
        <w:t>, a growing</w:t>
      </w:r>
      <w:r w:rsidR="002C16CA">
        <w:rPr>
          <w:rFonts w:cs="Times New Roman"/>
          <w:szCs w:val="24"/>
        </w:rPr>
        <w:t xml:space="preserve"> – if admittedly </w:t>
      </w:r>
      <w:r w:rsidR="008D1F4B">
        <w:rPr>
          <w:rFonts w:cs="Times New Roman"/>
          <w:szCs w:val="24"/>
        </w:rPr>
        <w:t>as</w:t>
      </w:r>
      <w:r w:rsidR="002C16CA">
        <w:rPr>
          <w:rFonts w:cs="Times New Roman"/>
          <w:szCs w:val="24"/>
        </w:rPr>
        <w:t xml:space="preserve"> yet </w:t>
      </w:r>
      <w:r w:rsidR="008D1F4B">
        <w:rPr>
          <w:rFonts w:cs="Times New Roman"/>
          <w:szCs w:val="24"/>
        </w:rPr>
        <w:t xml:space="preserve">not </w:t>
      </w:r>
      <w:r w:rsidR="002C16CA">
        <w:rPr>
          <w:rFonts w:cs="Times New Roman"/>
          <w:szCs w:val="24"/>
        </w:rPr>
        <w:t>overwhelming –</w:t>
      </w:r>
      <w:r w:rsidR="00A86A57">
        <w:rPr>
          <w:rFonts w:cs="Times New Roman"/>
          <w:szCs w:val="24"/>
        </w:rPr>
        <w:t xml:space="preserve"> acceptance of </w:t>
      </w:r>
      <w:r w:rsidR="00C20F8F">
        <w:rPr>
          <w:rFonts w:cs="Times New Roman"/>
          <w:szCs w:val="24"/>
        </w:rPr>
        <w:t>it</w:t>
      </w:r>
      <w:r w:rsidR="00A86A57">
        <w:rPr>
          <w:rFonts w:cs="Times New Roman"/>
          <w:szCs w:val="24"/>
        </w:rPr>
        <w:t xml:space="preserve">s applicability by </w:t>
      </w:r>
      <w:r w:rsidR="00A86A57" w:rsidRPr="00A86A57">
        <w:rPr>
          <w:rFonts w:cs="Times New Roman"/>
          <w:i/>
          <w:szCs w:val="24"/>
        </w:rPr>
        <w:t>states</w:t>
      </w:r>
      <w:r w:rsidR="00A86A57">
        <w:rPr>
          <w:rFonts w:cs="Times New Roman"/>
          <w:szCs w:val="24"/>
        </w:rPr>
        <w:t>.</w:t>
      </w:r>
      <w:r w:rsidR="002C16CA">
        <w:rPr>
          <w:rFonts w:cs="Times New Roman"/>
          <w:szCs w:val="24"/>
        </w:rPr>
        <w:t xml:space="preserve"> There is, in the view of the present author, no legal bar</w:t>
      </w:r>
      <w:r w:rsidR="008D1F4B">
        <w:rPr>
          <w:rFonts w:cs="Times New Roman"/>
          <w:szCs w:val="24"/>
        </w:rPr>
        <w:t>rier</w:t>
      </w:r>
      <w:r w:rsidR="002C16CA">
        <w:rPr>
          <w:rFonts w:cs="Times New Roman"/>
          <w:szCs w:val="24"/>
        </w:rPr>
        <w:t xml:space="preserve"> to applying the duty to cyber threats in principle.</w:t>
      </w:r>
    </w:p>
    <w:p w14:paraId="556B7604" w14:textId="77777777" w:rsidR="00FE42A2" w:rsidRPr="009B7225" w:rsidRDefault="00FE42A2" w:rsidP="0017445E">
      <w:pPr>
        <w:spacing w:line="480" w:lineRule="auto"/>
        <w:ind w:firstLine="720"/>
        <w:jc w:val="both"/>
        <w:rPr>
          <w:rFonts w:cs="Times New Roman"/>
          <w:szCs w:val="24"/>
        </w:rPr>
      </w:pPr>
    </w:p>
    <w:p w14:paraId="2D704716" w14:textId="53DB2DA2" w:rsidR="006343BB" w:rsidRPr="0017445E" w:rsidRDefault="0017445E" w:rsidP="0017445E">
      <w:pPr>
        <w:spacing w:line="480" w:lineRule="auto"/>
        <w:jc w:val="both"/>
        <w:rPr>
          <w:rFonts w:cs="Times New Roman"/>
          <w:b/>
          <w:szCs w:val="24"/>
        </w:rPr>
      </w:pPr>
      <w:r w:rsidRPr="0017445E">
        <w:rPr>
          <w:rFonts w:cs="Times New Roman"/>
          <w:b/>
          <w:szCs w:val="24"/>
        </w:rPr>
        <w:t>4</w:t>
      </w:r>
      <w:r w:rsidR="006343BB" w:rsidRPr="0017445E">
        <w:rPr>
          <w:rFonts w:cs="Times New Roman"/>
          <w:b/>
          <w:szCs w:val="24"/>
        </w:rPr>
        <w:t>.</w:t>
      </w:r>
      <w:r w:rsidRPr="0017445E">
        <w:rPr>
          <w:rFonts w:cs="Times New Roman"/>
          <w:b/>
          <w:szCs w:val="24"/>
        </w:rPr>
        <w:t>3</w:t>
      </w:r>
      <w:r w:rsidR="00FE42A2">
        <w:rPr>
          <w:rFonts w:cs="Times New Roman"/>
          <w:b/>
          <w:szCs w:val="24"/>
        </w:rPr>
        <w:t>. The advantages of applying the duty of due diligence to c</w:t>
      </w:r>
      <w:r w:rsidR="006343BB" w:rsidRPr="0017445E">
        <w:rPr>
          <w:rFonts w:cs="Times New Roman"/>
          <w:b/>
          <w:szCs w:val="24"/>
        </w:rPr>
        <w:t>yberspace</w:t>
      </w:r>
    </w:p>
    <w:p w14:paraId="4763D0C3" w14:textId="4C65320D" w:rsidR="00CF613D" w:rsidRDefault="00C20F8F" w:rsidP="0017445E">
      <w:pPr>
        <w:spacing w:line="480" w:lineRule="auto"/>
        <w:ind w:firstLine="720"/>
        <w:jc w:val="both"/>
        <w:rPr>
          <w:rFonts w:cs="Times New Roman"/>
          <w:szCs w:val="24"/>
        </w:rPr>
      </w:pPr>
      <w:r w:rsidRPr="00F31C62">
        <w:rPr>
          <w:rFonts w:cs="Times New Roman"/>
          <w:szCs w:val="24"/>
        </w:rPr>
        <w:t>T</w:t>
      </w:r>
      <w:r w:rsidR="00CF613D" w:rsidRPr="00F31C62">
        <w:rPr>
          <w:rFonts w:cs="Times New Roman"/>
          <w:szCs w:val="24"/>
        </w:rPr>
        <w:t>her</w:t>
      </w:r>
      <w:r w:rsidR="00D23193" w:rsidRPr="00F31C62">
        <w:rPr>
          <w:rFonts w:cs="Times New Roman"/>
          <w:szCs w:val="24"/>
        </w:rPr>
        <w:t>e are a number of advantages to</w:t>
      </w:r>
      <w:r w:rsidR="00CF613D" w:rsidRPr="00F31C62">
        <w:rPr>
          <w:rFonts w:cs="Times New Roman"/>
          <w:szCs w:val="24"/>
        </w:rPr>
        <w:t xml:space="preserve"> </w:t>
      </w:r>
      <w:r w:rsidR="008F46AA" w:rsidRPr="00F31C62">
        <w:rPr>
          <w:rFonts w:cs="Times New Roman"/>
          <w:szCs w:val="24"/>
        </w:rPr>
        <w:t xml:space="preserve">emphasising </w:t>
      </w:r>
      <w:r w:rsidR="0069048A" w:rsidRPr="00F31C62">
        <w:rPr>
          <w:rFonts w:cs="Times New Roman"/>
          <w:szCs w:val="24"/>
        </w:rPr>
        <w:t>a</w:t>
      </w:r>
      <w:r w:rsidR="00CF613D" w:rsidRPr="00F31C62">
        <w:rPr>
          <w:rFonts w:cs="Times New Roman"/>
          <w:szCs w:val="24"/>
        </w:rPr>
        <w:t xml:space="preserve"> duty of </w:t>
      </w:r>
      <w:r w:rsidR="0069048A" w:rsidRPr="00F31C62">
        <w:rPr>
          <w:rFonts w:cs="Times New Roman"/>
          <w:szCs w:val="24"/>
        </w:rPr>
        <w:t xml:space="preserve">cyber </w:t>
      </w:r>
      <w:r w:rsidR="00CF613D" w:rsidRPr="00F31C62">
        <w:rPr>
          <w:rFonts w:cs="Times New Roman"/>
          <w:szCs w:val="24"/>
        </w:rPr>
        <w:t xml:space="preserve">due diligence. </w:t>
      </w:r>
      <w:r w:rsidR="0069048A" w:rsidRPr="00F31C62">
        <w:rPr>
          <w:rFonts w:cs="Times New Roman"/>
          <w:szCs w:val="24"/>
        </w:rPr>
        <w:t>For example</w:t>
      </w:r>
      <w:r w:rsidR="00CF613D" w:rsidRPr="00F31C62">
        <w:rPr>
          <w:rFonts w:cs="Times New Roman"/>
          <w:szCs w:val="24"/>
        </w:rPr>
        <w:t xml:space="preserve">, </w:t>
      </w:r>
      <w:r w:rsidR="008F46AA" w:rsidRPr="00F31C62">
        <w:rPr>
          <w:rFonts w:cs="Times New Roman"/>
          <w:szCs w:val="24"/>
        </w:rPr>
        <w:t>reference to the duty circumvents the</w:t>
      </w:r>
      <w:r w:rsidR="00CF613D" w:rsidRPr="00F31C62">
        <w:rPr>
          <w:rFonts w:cs="Times New Roman"/>
          <w:szCs w:val="24"/>
        </w:rPr>
        <w:t xml:space="preserve"> uncertainty </w:t>
      </w:r>
      <w:r w:rsidRPr="00F31C62">
        <w:rPr>
          <w:rFonts w:cs="Times New Roman"/>
          <w:szCs w:val="24"/>
        </w:rPr>
        <w:t>as</w:t>
      </w:r>
      <w:r w:rsidR="00CF613D" w:rsidRPr="00F31C62">
        <w:rPr>
          <w:rFonts w:cs="Times New Roman"/>
          <w:szCs w:val="24"/>
        </w:rPr>
        <w:t xml:space="preserve"> to which cyber activities constitute a breach of </w:t>
      </w:r>
      <w:r w:rsidR="00CD38C7">
        <w:rPr>
          <w:rFonts w:cs="Times New Roman"/>
          <w:szCs w:val="24"/>
        </w:rPr>
        <w:t>a</w:t>
      </w:r>
      <w:r w:rsidR="00CF613D" w:rsidRPr="00F31C62">
        <w:rPr>
          <w:rFonts w:cs="Times New Roman"/>
          <w:szCs w:val="24"/>
        </w:rPr>
        <w:t xml:space="preserve">rticle 2(4). </w:t>
      </w:r>
      <w:r w:rsidR="008F46AA" w:rsidRPr="00F31C62">
        <w:rPr>
          <w:rFonts w:cs="Times New Roman"/>
          <w:szCs w:val="24"/>
        </w:rPr>
        <w:t>A</w:t>
      </w:r>
      <w:r w:rsidR="00CF613D" w:rsidRPr="00F31C62">
        <w:rPr>
          <w:rFonts w:cs="Times New Roman"/>
          <w:szCs w:val="24"/>
        </w:rPr>
        <w:t xml:space="preserve"> state’s failure to take reasonable steps to prevent large-scale but ‘non-physical’ cyber-attacks from emanating from its territory </w:t>
      </w:r>
      <w:r w:rsidR="0069048A" w:rsidRPr="00F31C62">
        <w:rPr>
          <w:rFonts w:cs="Times New Roman"/>
          <w:szCs w:val="24"/>
        </w:rPr>
        <w:t>would be</w:t>
      </w:r>
      <w:r w:rsidR="00CF613D" w:rsidRPr="00F31C62">
        <w:rPr>
          <w:rFonts w:cs="Times New Roman"/>
          <w:szCs w:val="24"/>
        </w:rPr>
        <w:t xml:space="preserve"> just as much a breach of the duty as </w:t>
      </w:r>
      <w:r w:rsidR="0069048A" w:rsidRPr="00F31C62">
        <w:rPr>
          <w:rFonts w:cs="Times New Roman"/>
          <w:szCs w:val="24"/>
        </w:rPr>
        <w:t>would be a corresponding failure with regard to</w:t>
      </w:r>
      <w:r w:rsidR="00CF613D" w:rsidRPr="00F31C62">
        <w:rPr>
          <w:rFonts w:cs="Times New Roman"/>
          <w:szCs w:val="24"/>
        </w:rPr>
        <w:t xml:space="preserve"> attacks wi</w:t>
      </w:r>
      <w:r w:rsidR="008F46AA" w:rsidRPr="00F31C62">
        <w:rPr>
          <w:rFonts w:cs="Times New Roman"/>
          <w:szCs w:val="24"/>
        </w:rPr>
        <w:t>th direct physical consequences: either way, harm would have occurred as a result of that failure.</w:t>
      </w:r>
      <w:r w:rsidR="00CF613D" w:rsidRPr="00F31C62">
        <w:rPr>
          <w:rFonts w:cs="Times New Roman"/>
          <w:szCs w:val="24"/>
        </w:rPr>
        <w:t xml:space="preserve">  The categorisation issues that plague </w:t>
      </w:r>
      <w:r w:rsidR="00CD38C7">
        <w:rPr>
          <w:rFonts w:cs="Times New Roman"/>
          <w:szCs w:val="24"/>
        </w:rPr>
        <w:t>a</w:t>
      </w:r>
      <w:r w:rsidR="00CF613D" w:rsidRPr="00F31C62">
        <w:rPr>
          <w:rFonts w:cs="Times New Roman"/>
          <w:szCs w:val="24"/>
        </w:rPr>
        <w:t>rticle 2(4)’s coverage of cyber</w:t>
      </w:r>
      <w:r w:rsidR="0069048A" w:rsidRPr="00F31C62">
        <w:rPr>
          <w:rFonts w:cs="Times New Roman"/>
          <w:szCs w:val="24"/>
        </w:rPr>
        <w:t xml:space="preserve"> operations</w:t>
      </w:r>
      <w:r w:rsidRPr="00F31C62">
        <w:rPr>
          <w:rFonts w:cs="Times New Roman"/>
          <w:szCs w:val="24"/>
        </w:rPr>
        <w:t xml:space="preserve"> are </w:t>
      </w:r>
      <w:r w:rsidR="00CF613D" w:rsidRPr="00F31C62">
        <w:rPr>
          <w:rFonts w:cs="Times New Roman"/>
          <w:szCs w:val="24"/>
        </w:rPr>
        <w:t>sidestepped.</w:t>
      </w:r>
    </w:p>
    <w:p w14:paraId="5B4CA467" w14:textId="21E67B73" w:rsidR="008337D2" w:rsidRDefault="008F46AA" w:rsidP="0017445E">
      <w:pPr>
        <w:spacing w:line="480" w:lineRule="auto"/>
        <w:ind w:firstLine="720"/>
        <w:jc w:val="both"/>
        <w:rPr>
          <w:rFonts w:cs="Times New Roman"/>
          <w:szCs w:val="24"/>
        </w:rPr>
      </w:pPr>
      <w:r>
        <w:rPr>
          <w:rFonts w:cs="Times New Roman"/>
          <w:szCs w:val="24"/>
        </w:rPr>
        <w:t>Perhaps</w:t>
      </w:r>
      <w:r w:rsidR="0069048A">
        <w:rPr>
          <w:rFonts w:cs="Times New Roman"/>
          <w:szCs w:val="24"/>
        </w:rPr>
        <w:t xml:space="preserve"> more </w:t>
      </w:r>
      <w:r>
        <w:rPr>
          <w:rFonts w:cs="Times New Roman"/>
          <w:szCs w:val="24"/>
        </w:rPr>
        <w:t>importantly</w:t>
      </w:r>
      <w:r w:rsidR="0069048A">
        <w:rPr>
          <w:rFonts w:cs="Times New Roman"/>
          <w:szCs w:val="24"/>
        </w:rPr>
        <w:t>, t</w:t>
      </w:r>
      <w:r w:rsidR="00E044E0">
        <w:rPr>
          <w:rFonts w:cs="Times New Roman"/>
          <w:szCs w:val="24"/>
        </w:rPr>
        <w:t xml:space="preserve">he </w:t>
      </w:r>
      <w:r w:rsidR="00E044E0" w:rsidRPr="009B7225">
        <w:rPr>
          <w:rFonts w:cs="Times New Roman"/>
          <w:szCs w:val="24"/>
        </w:rPr>
        <w:t xml:space="preserve">inherent </w:t>
      </w:r>
      <w:r>
        <w:rPr>
          <w:rFonts w:cs="Times New Roman"/>
          <w:szCs w:val="24"/>
        </w:rPr>
        <w:t>difficulty in attributing</w:t>
      </w:r>
      <w:r w:rsidR="00E044E0" w:rsidRPr="009B7225">
        <w:rPr>
          <w:rFonts w:cs="Times New Roman"/>
          <w:szCs w:val="24"/>
        </w:rPr>
        <w:t xml:space="preserve"> </w:t>
      </w:r>
      <w:r w:rsidR="00C20F8F">
        <w:rPr>
          <w:rFonts w:cs="Times New Roman"/>
          <w:szCs w:val="24"/>
        </w:rPr>
        <w:t>cyber-</w:t>
      </w:r>
      <w:r w:rsidR="00E044E0" w:rsidRPr="009B7225">
        <w:rPr>
          <w:rFonts w:cs="Times New Roman"/>
          <w:szCs w:val="24"/>
        </w:rPr>
        <w:t xml:space="preserve">attacks </w:t>
      </w:r>
      <w:r>
        <w:rPr>
          <w:rFonts w:cs="Times New Roman"/>
          <w:szCs w:val="24"/>
        </w:rPr>
        <w:t xml:space="preserve">to a state actor </w:t>
      </w:r>
      <w:r w:rsidR="00E044E0" w:rsidRPr="009B7225">
        <w:rPr>
          <w:rFonts w:cs="Times New Roman"/>
          <w:szCs w:val="24"/>
        </w:rPr>
        <w:t xml:space="preserve">would </w:t>
      </w:r>
      <w:r w:rsidR="00E044E0">
        <w:rPr>
          <w:rFonts w:cs="Times New Roman"/>
          <w:szCs w:val="24"/>
        </w:rPr>
        <w:t>be significantly minimised if such attacks were considered through the prism of the duty of due diligence. This is not because, as some have incorrectly argued,</w:t>
      </w:r>
      <w:r w:rsidR="00E044E0" w:rsidRPr="009B7225">
        <w:rPr>
          <w:rStyle w:val="FootnoteReference"/>
          <w:rFonts w:cs="Times New Roman"/>
          <w:szCs w:val="24"/>
        </w:rPr>
        <w:footnoteReference w:id="92"/>
      </w:r>
      <w:r w:rsidR="00E044E0" w:rsidRPr="009B7225">
        <w:rPr>
          <w:rFonts w:cs="Times New Roman"/>
          <w:szCs w:val="24"/>
        </w:rPr>
        <w:t xml:space="preserve"> </w:t>
      </w:r>
      <w:r w:rsidR="00E044E0">
        <w:rPr>
          <w:rFonts w:cs="Times New Roman"/>
          <w:szCs w:val="24"/>
        </w:rPr>
        <w:t xml:space="preserve">a </w:t>
      </w:r>
      <w:r w:rsidR="00E044E0" w:rsidRPr="009B7225">
        <w:rPr>
          <w:rFonts w:cs="Times New Roman"/>
          <w:szCs w:val="24"/>
        </w:rPr>
        <w:t>state</w:t>
      </w:r>
      <w:r w:rsidR="00E044E0">
        <w:rPr>
          <w:rFonts w:cs="Times New Roman"/>
          <w:szCs w:val="24"/>
        </w:rPr>
        <w:t>’s</w:t>
      </w:r>
      <w:r w:rsidR="00E044E0" w:rsidRPr="009B7225">
        <w:rPr>
          <w:rFonts w:cs="Times New Roman"/>
          <w:szCs w:val="24"/>
        </w:rPr>
        <w:t xml:space="preserve"> </w:t>
      </w:r>
      <w:r w:rsidR="008337D2">
        <w:rPr>
          <w:rFonts w:cs="Times New Roman"/>
          <w:szCs w:val="24"/>
        </w:rPr>
        <w:t xml:space="preserve">failure to prevent </w:t>
      </w:r>
      <w:r w:rsidR="008337D2" w:rsidRPr="009B7225">
        <w:rPr>
          <w:rFonts w:cs="Times New Roman"/>
          <w:szCs w:val="24"/>
        </w:rPr>
        <w:t xml:space="preserve">cyber-attacks </w:t>
      </w:r>
      <w:r w:rsidR="008337D2">
        <w:rPr>
          <w:rFonts w:cs="Times New Roman"/>
          <w:szCs w:val="24"/>
        </w:rPr>
        <w:t xml:space="preserve">from </w:t>
      </w:r>
      <w:r w:rsidR="008337D2" w:rsidRPr="009B7225">
        <w:rPr>
          <w:rFonts w:cs="Times New Roman"/>
          <w:szCs w:val="24"/>
        </w:rPr>
        <w:t xml:space="preserve">emanating from its territory </w:t>
      </w:r>
      <w:r w:rsidR="008337D2">
        <w:rPr>
          <w:rFonts w:cs="Times New Roman"/>
          <w:szCs w:val="24"/>
        </w:rPr>
        <w:t>would mean that it is legally responsible for those attacks</w:t>
      </w:r>
      <w:r w:rsidR="00E044E0" w:rsidRPr="009B7225">
        <w:rPr>
          <w:rFonts w:cs="Times New Roman"/>
          <w:szCs w:val="24"/>
        </w:rPr>
        <w:t>.</w:t>
      </w:r>
      <w:r w:rsidR="0069048A">
        <w:rPr>
          <w:rFonts w:cs="Times New Roman"/>
          <w:szCs w:val="24"/>
        </w:rPr>
        <w:t xml:space="preserve"> </w:t>
      </w:r>
      <w:r w:rsidR="00C20F8F">
        <w:rPr>
          <w:rFonts w:cs="Times New Roman"/>
          <w:szCs w:val="24"/>
        </w:rPr>
        <w:t xml:space="preserve">As noted above, a breach of the duty would entail state responsibility </w:t>
      </w:r>
      <w:r w:rsidR="00D23193">
        <w:rPr>
          <w:rFonts w:cs="Times New Roman"/>
          <w:szCs w:val="24"/>
        </w:rPr>
        <w:t xml:space="preserve">not </w:t>
      </w:r>
      <w:r w:rsidR="00C20F8F">
        <w:rPr>
          <w:rFonts w:cs="Times New Roman"/>
          <w:szCs w:val="24"/>
        </w:rPr>
        <w:t xml:space="preserve">for the cyber-attack itself, but </w:t>
      </w:r>
      <w:r w:rsidR="00A267B6">
        <w:rPr>
          <w:rFonts w:cs="Times New Roman"/>
          <w:szCs w:val="24"/>
        </w:rPr>
        <w:t>for</w:t>
      </w:r>
      <w:r w:rsidR="00C20F8F">
        <w:rPr>
          <w:rFonts w:cs="Times New Roman"/>
          <w:szCs w:val="24"/>
        </w:rPr>
        <w:t xml:space="preserve"> a </w:t>
      </w:r>
      <w:r w:rsidR="00A267B6">
        <w:rPr>
          <w:rFonts w:cs="Times New Roman"/>
          <w:szCs w:val="24"/>
        </w:rPr>
        <w:t xml:space="preserve">failure to meet a </w:t>
      </w:r>
      <w:r w:rsidR="00C20F8F">
        <w:rPr>
          <w:rFonts w:cs="Times New Roman"/>
          <w:szCs w:val="24"/>
        </w:rPr>
        <w:t>separate obligation to take reasonable steps to prevent it</w:t>
      </w:r>
      <w:r w:rsidR="00E044E0" w:rsidRPr="009B7225">
        <w:rPr>
          <w:rFonts w:cs="Times New Roman"/>
          <w:szCs w:val="24"/>
        </w:rPr>
        <w:t>.</w:t>
      </w:r>
      <w:r w:rsidR="00E044E0" w:rsidRPr="009B7225">
        <w:rPr>
          <w:rStyle w:val="FootnoteReference"/>
          <w:rFonts w:cs="Times New Roman"/>
          <w:szCs w:val="24"/>
        </w:rPr>
        <w:footnoteReference w:id="93"/>
      </w:r>
      <w:r w:rsidR="00E044E0" w:rsidRPr="009B7225">
        <w:rPr>
          <w:rFonts w:cs="Times New Roman"/>
          <w:szCs w:val="24"/>
        </w:rPr>
        <w:t xml:space="preserve"> Under the duty, the perpetrator is responsible for the act, whereas the state is responsible for something else: the ‘act’, as it were, of not taking reasonable measures to stop the act.</w:t>
      </w:r>
      <w:r>
        <w:rPr>
          <w:rStyle w:val="FootnoteReference"/>
          <w:rFonts w:cs="Times New Roman"/>
          <w:szCs w:val="24"/>
        </w:rPr>
        <w:footnoteReference w:id="94"/>
      </w:r>
      <w:r w:rsidR="00E044E0">
        <w:rPr>
          <w:rFonts w:cs="Times New Roman"/>
          <w:szCs w:val="24"/>
        </w:rPr>
        <w:t xml:space="preserve">  </w:t>
      </w:r>
    </w:p>
    <w:p w14:paraId="264BDBE9" w14:textId="40F8D368" w:rsidR="00BE5ADB" w:rsidRPr="008E0D50" w:rsidRDefault="008337D2" w:rsidP="0017445E">
      <w:pPr>
        <w:spacing w:line="480" w:lineRule="auto"/>
        <w:ind w:firstLine="720"/>
        <w:jc w:val="both"/>
        <w:rPr>
          <w:rFonts w:cs="Times New Roman"/>
          <w:szCs w:val="24"/>
        </w:rPr>
      </w:pPr>
      <w:r>
        <w:rPr>
          <w:rFonts w:cs="Times New Roman"/>
          <w:szCs w:val="24"/>
        </w:rPr>
        <w:t>This means that</w:t>
      </w:r>
      <w:r w:rsidR="00E044E0" w:rsidRPr="009B7225">
        <w:rPr>
          <w:rFonts w:cs="Times New Roman"/>
          <w:szCs w:val="24"/>
        </w:rPr>
        <w:t xml:space="preserve"> </w:t>
      </w:r>
      <w:r>
        <w:rPr>
          <w:rFonts w:cs="Times New Roman"/>
          <w:szCs w:val="24"/>
        </w:rPr>
        <w:t>to find the state in breach</w:t>
      </w:r>
      <w:r w:rsidRPr="009B7225">
        <w:rPr>
          <w:rFonts w:cs="Times New Roman"/>
          <w:szCs w:val="24"/>
        </w:rPr>
        <w:t xml:space="preserve"> </w:t>
      </w:r>
      <w:r>
        <w:rPr>
          <w:rFonts w:cs="Times New Roman"/>
          <w:szCs w:val="24"/>
        </w:rPr>
        <w:t xml:space="preserve">of the duty of due diligence, </w:t>
      </w:r>
      <w:r w:rsidR="00E044E0" w:rsidRPr="009B7225">
        <w:rPr>
          <w:rFonts w:cs="Times New Roman"/>
          <w:szCs w:val="24"/>
        </w:rPr>
        <w:t xml:space="preserve">the </w:t>
      </w:r>
      <w:r w:rsidR="00E044E0" w:rsidRPr="009B7225">
        <w:rPr>
          <w:rFonts w:cs="Times New Roman"/>
          <w:i/>
          <w:szCs w:val="24"/>
        </w:rPr>
        <w:t>exact</w:t>
      </w:r>
      <w:r w:rsidR="00E044E0" w:rsidRPr="009B7225">
        <w:rPr>
          <w:rFonts w:cs="Times New Roman"/>
          <w:szCs w:val="24"/>
        </w:rPr>
        <w:t xml:space="preserve"> entity </w:t>
      </w:r>
      <w:r w:rsidR="00C20F8F">
        <w:rPr>
          <w:rFonts w:cs="Times New Roman"/>
          <w:szCs w:val="24"/>
        </w:rPr>
        <w:t xml:space="preserve">that conducted the cyber-attack </w:t>
      </w:r>
      <w:r w:rsidR="00E044E0" w:rsidRPr="009B7225">
        <w:rPr>
          <w:rFonts w:cs="Times New Roman"/>
          <w:szCs w:val="24"/>
        </w:rPr>
        <w:t>would not need to be established</w:t>
      </w:r>
      <w:r>
        <w:rPr>
          <w:rFonts w:cs="Times New Roman"/>
          <w:szCs w:val="24"/>
        </w:rPr>
        <w:t xml:space="preserve"> at all</w:t>
      </w:r>
      <w:r w:rsidR="00C20F8F">
        <w:rPr>
          <w:rFonts w:cs="Times New Roman"/>
          <w:szCs w:val="24"/>
        </w:rPr>
        <w:t>, as</w:t>
      </w:r>
      <w:r>
        <w:rPr>
          <w:rFonts w:cs="Times New Roman"/>
          <w:szCs w:val="24"/>
        </w:rPr>
        <w:t xml:space="preserve"> </w:t>
      </w:r>
      <w:r w:rsidR="00E044E0" w:rsidRPr="009B7225">
        <w:rPr>
          <w:rFonts w:cs="Times New Roman"/>
          <w:szCs w:val="24"/>
        </w:rPr>
        <w:t xml:space="preserve">the </w:t>
      </w:r>
      <w:r w:rsidR="00E044E0">
        <w:rPr>
          <w:rFonts w:cs="Times New Roman"/>
          <w:szCs w:val="24"/>
        </w:rPr>
        <w:t>duty</w:t>
      </w:r>
      <w:r w:rsidR="00E044E0" w:rsidRPr="009B7225">
        <w:rPr>
          <w:rFonts w:cs="Times New Roman"/>
          <w:szCs w:val="24"/>
        </w:rPr>
        <w:t xml:space="preserve"> does not relate to the </w:t>
      </w:r>
      <w:r w:rsidR="00E044E0">
        <w:rPr>
          <w:rFonts w:cs="Times New Roman"/>
          <w:szCs w:val="24"/>
        </w:rPr>
        <w:t xml:space="preserve">primary </w:t>
      </w:r>
      <w:r w:rsidR="00E044E0" w:rsidRPr="009B7225">
        <w:rPr>
          <w:rFonts w:cs="Times New Roman"/>
          <w:szCs w:val="24"/>
        </w:rPr>
        <w:t xml:space="preserve">act itself. </w:t>
      </w:r>
      <w:r w:rsidR="00BE5ADB">
        <w:rPr>
          <w:rFonts w:cs="Times New Roman"/>
          <w:szCs w:val="24"/>
        </w:rPr>
        <w:t>T</w:t>
      </w:r>
      <w:r w:rsidR="00E044E0">
        <w:rPr>
          <w:rFonts w:cs="Times New Roman"/>
          <w:szCs w:val="24"/>
        </w:rPr>
        <w:t>he duty would</w:t>
      </w:r>
      <w:r w:rsidR="00BE5ADB">
        <w:rPr>
          <w:rFonts w:cs="Times New Roman"/>
          <w:szCs w:val="24"/>
        </w:rPr>
        <w:t xml:space="preserve">, </w:t>
      </w:r>
      <w:r w:rsidR="00C20F8F">
        <w:rPr>
          <w:rFonts w:cs="Times New Roman"/>
          <w:szCs w:val="24"/>
        </w:rPr>
        <w:t xml:space="preserve">like </w:t>
      </w:r>
      <w:r w:rsidR="00953507">
        <w:rPr>
          <w:rFonts w:cs="Times New Roman"/>
          <w:szCs w:val="24"/>
        </w:rPr>
        <w:t>a</w:t>
      </w:r>
      <w:r w:rsidR="00C20F8F">
        <w:rPr>
          <w:rFonts w:cs="Times New Roman"/>
          <w:szCs w:val="24"/>
        </w:rPr>
        <w:t>rticle 2(4)</w:t>
      </w:r>
      <w:r w:rsidR="00BE5ADB">
        <w:rPr>
          <w:rFonts w:cs="Times New Roman"/>
          <w:szCs w:val="24"/>
        </w:rPr>
        <w:t>,</w:t>
      </w:r>
      <w:r w:rsidR="00E044E0">
        <w:rPr>
          <w:rFonts w:cs="Times New Roman"/>
          <w:szCs w:val="24"/>
        </w:rPr>
        <w:t xml:space="preserve"> </w:t>
      </w:r>
      <w:r w:rsidR="00E044E0" w:rsidRPr="009B7225">
        <w:rPr>
          <w:rFonts w:cs="Times New Roman"/>
          <w:szCs w:val="24"/>
        </w:rPr>
        <w:t xml:space="preserve">encompass attacks where the state itself was undertaking or directing the attack, but state involvement in the attack </w:t>
      </w:r>
      <w:r w:rsidR="00E044E0">
        <w:rPr>
          <w:rFonts w:cs="Times New Roman"/>
          <w:szCs w:val="24"/>
        </w:rPr>
        <w:t>would</w:t>
      </w:r>
      <w:r w:rsidR="00E044E0" w:rsidRPr="009B7225">
        <w:rPr>
          <w:rFonts w:cs="Times New Roman"/>
          <w:szCs w:val="24"/>
        </w:rPr>
        <w:t xml:space="preserve"> not need to be established, either legally or factually</w:t>
      </w:r>
      <w:r w:rsidR="00E044E0">
        <w:rPr>
          <w:rFonts w:cs="Times New Roman"/>
          <w:szCs w:val="24"/>
        </w:rPr>
        <w:t xml:space="preserve">. </w:t>
      </w:r>
      <w:r w:rsidR="00E044E0" w:rsidRPr="009B7225">
        <w:rPr>
          <w:rFonts w:cs="Times New Roman"/>
          <w:szCs w:val="24"/>
        </w:rPr>
        <w:t xml:space="preserve">States would not be able to hide behind attribution issues, because their legal duty </w:t>
      </w:r>
      <w:r w:rsidR="00E044E0">
        <w:rPr>
          <w:rFonts w:cs="Times New Roman"/>
          <w:szCs w:val="24"/>
        </w:rPr>
        <w:t>would</w:t>
      </w:r>
      <w:r w:rsidR="00E044E0" w:rsidRPr="009B7225">
        <w:rPr>
          <w:rFonts w:cs="Times New Roman"/>
          <w:szCs w:val="24"/>
        </w:rPr>
        <w:t xml:space="preserve"> not rest on whether or not they were the </w:t>
      </w:r>
      <w:r w:rsidR="00E044E0" w:rsidRPr="008E0D50">
        <w:rPr>
          <w:rFonts w:cs="Times New Roman"/>
          <w:szCs w:val="24"/>
        </w:rPr>
        <w:t>perpetrator</w:t>
      </w:r>
      <w:r w:rsidR="0069048A" w:rsidRPr="008E0D50">
        <w:rPr>
          <w:rFonts w:cs="Times New Roman"/>
          <w:szCs w:val="24"/>
        </w:rPr>
        <w:t xml:space="preserve">. </w:t>
      </w:r>
      <w:r w:rsidR="00A267B6" w:rsidRPr="008E0D50">
        <w:rPr>
          <w:rFonts w:cs="Times New Roman"/>
          <w:szCs w:val="24"/>
        </w:rPr>
        <w:t>Problems of a</w:t>
      </w:r>
      <w:r w:rsidRPr="008E0D50">
        <w:rPr>
          <w:rFonts w:cs="Times New Roman"/>
          <w:szCs w:val="24"/>
        </w:rPr>
        <w:t xml:space="preserve">ttribution are thus significantly minimised, to the point that </w:t>
      </w:r>
      <w:r w:rsidR="0069048A" w:rsidRPr="008E0D50">
        <w:rPr>
          <w:rFonts w:cs="Times New Roman"/>
          <w:szCs w:val="24"/>
        </w:rPr>
        <w:t xml:space="preserve">Antonopoulos has argued </w:t>
      </w:r>
      <w:r w:rsidRPr="008E0D50">
        <w:rPr>
          <w:rFonts w:cs="Times New Roman"/>
          <w:szCs w:val="24"/>
        </w:rPr>
        <w:t xml:space="preserve">that </w:t>
      </w:r>
      <w:r w:rsidR="0069048A" w:rsidRPr="008E0D50">
        <w:rPr>
          <w:rFonts w:cs="Times New Roman"/>
          <w:szCs w:val="24"/>
        </w:rPr>
        <w:t xml:space="preserve">the duty of due diligence </w:t>
      </w:r>
      <w:r w:rsidRPr="008E0D50">
        <w:rPr>
          <w:rFonts w:cs="Times New Roman"/>
          <w:szCs w:val="24"/>
        </w:rPr>
        <w:t xml:space="preserve">will </w:t>
      </w:r>
      <w:r w:rsidR="0069048A" w:rsidRPr="008E0D50">
        <w:rPr>
          <w:rFonts w:cs="Times New Roman"/>
          <w:szCs w:val="24"/>
        </w:rPr>
        <w:t>‘in most cases</w:t>
      </w:r>
      <w:r w:rsidRPr="008E0D50">
        <w:rPr>
          <w:rFonts w:cs="Times New Roman"/>
          <w:szCs w:val="24"/>
        </w:rPr>
        <w:t xml:space="preserve"> [be]</w:t>
      </w:r>
      <w:r w:rsidR="0069048A" w:rsidRPr="008E0D50">
        <w:rPr>
          <w:rFonts w:cs="Times New Roman"/>
          <w:szCs w:val="24"/>
        </w:rPr>
        <w:t xml:space="preserve"> </w:t>
      </w:r>
      <w:r w:rsidR="0069048A" w:rsidRPr="008E0D50">
        <w:rPr>
          <w:rFonts w:cs="Times New Roman"/>
          <w:i/>
          <w:szCs w:val="24"/>
        </w:rPr>
        <w:t>the only ground</w:t>
      </w:r>
      <w:r w:rsidR="0069048A" w:rsidRPr="008E0D50">
        <w:rPr>
          <w:rFonts w:cs="Times New Roman"/>
          <w:szCs w:val="24"/>
        </w:rPr>
        <w:t xml:space="preserve"> for establishing [state] responsibility’ for large-scale harm caused through cyberspace</w:t>
      </w:r>
      <w:r w:rsidRPr="008E0D50">
        <w:rPr>
          <w:rFonts w:cs="Times New Roman"/>
          <w:szCs w:val="24"/>
        </w:rPr>
        <w:t>.</w:t>
      </w:r>
      <w:r w:rsidRPr="008E0D50">
        <w:rPr>
          <w:rStyle w:val="FootnoteReference"/>
          <w:rFonts w:cs="Times New Roman"/>
          <w:szCs w:val="24"/>
        </w:rPr>
        <w:footnoteReference w:id="95"/>
      </w:r>
    </w:p>
    <w:p w14:paraId="474040FA" w14:textId="22DE797D" w:rsidR="00E044E0" w:rsidRDefault="008337D2" w:rsidP="0017445E">
      <w:pPr>
        <w:spacing w:line="480" w:lineRule="auto"/>
        <w:ind w:firstLine="720"/>
        <w:jc w:val="both"/>
        <w:rPr>
          <w:rFonts w:cs="Times New Roman"/>
          <w:szCs w:val="24"/>
        </w:rPr>
      </w:pPr>
      <w:r w:rsidRPr="008E0D50">
        <w:rPr>
          <w:rFonts w:cs="Times New Roman"/>
          <w:szCs w:val="24"/>
        </w:rPr>
        <w:t>For the same reason, t</w:t>
      </w:r>
      <w:r w:rsidR="00E044E0" w:rsidRPr="008E0D50">
        <w:rPr>
          <w:rFonts w:cs="Times New Roman"/>
          <w:szCs w:val="24"/>
        </w:rPr>
        <w:t>h</w:t>
      </w:r>
      <w:r w:rsidR="00BE5ADB" w:rsidRPr="008E0D50">
        <w:rPr>
          <w:rFonts w:cs="Times New Roman"/>
          <w:szCs w:val="24"/>
        </w:rPr>
        <w:t>e duty of due diligence</w:t>
      </w:r>
      <w:r w:rsidR="00E044E0" w:rsidRPr="008E0D50">
        <w:rPr>
          <w:rFonts w:cs="Times New Roman"/>
          <w:szCs w:val="24"/>
        </w:rPr>
        <w:t xml:space="preserve"> </w:t>
      </w:r>
      <w:r w:rsidR="00AB1AE2" w:rsidRPr="008E0D50">
        <w:rPr>
          <w:rFonts w:cs="Times New Roman"/>
          <w:szCs w:val="24"/>
        </w:rPr>
        <w:t xml:space="preserve">can </w:t>
      </w:r>
      <w:r w:rsidR="00BE5ADB" w:rsidRPr="008E0D50">
        <w:rPr>
          <w:rFonts w:cs="Times New Roman"/>
          <w:szCs w:val="24"/>
        </w:rPr>
        <w:t xml:space="preserve">also </w:t>
      </w:r>
      <w:r w:rsidR="00AB1AE2" w:rsidRPr="008E0D50">
        <w:rPr>
          <w:rFonts w:cs="Times New Roman"/>
          <w:szCs w:val="24"/>
        </w:rPr>
        <w:t xml:space="preserve">(indirectly) extend states’ legal </w:t>
      </w:r>
      <w:r w:rsidR="00E044E0" w:rsidRPr="008E0D50">
        <w:rPr>
          <w:rFonts w:cs="Times New Roman"/>
          <w:szCs w:val="24"/>
        </w:rPr>
        <w:t xml:space="preserve">responsibility </w:t>
      </w:r>
      <w:r w:rsidR="00AB1AE2" w:rsidRPr="008E0D50">
        <w:rPr>
          <w:rFonts w:cs="Times New Roman"/>
          <w:szCs w:val="24"/>
        </w:rPr>
        <w:t>to</w:t>
      </w:r>
      <w:r w:rsidR="00E044E0" w:rsidRPr="008E0D50">
        <w:rPr>
          <w:rFonts w:cs="Times New Roman"/>
          <w:szCs w:val="24"/>
        </w:rPr>
        <w:t xml:space="preserve"> </w:t>
      </w:r>
      <w:r w:rsidR="00AB1AE2" w:rsidRPr="008E0D50">
        <w:rPr>
          <w:rFonts w:cs="Times New Roman"/>
          <w:szCs w:val="24"/>
        </w:rPr>
        <w:t xml:space="preserve">cover </w:t>
      </w:r>
      <w:r w:rsidR="00BE5ADB" w:rsidRPr="008E0D50">
        <w:rPr>
          <w:rFonts w:cs="Times New Roman"/>
          <w:szCs w:val="24"/>
        </w:rPr>
        <w:t>cyber-</w:t>
      </w:r>
      <w:r w:rsidR="00E044E0" w:rsidRPr="008E0D50">
        <w:rPr>
          <w:rFonts w:cs="Times New Roman"/>
          <w:szCs w:val="24"/>
        </w:rPr>
        <w:t xml:space="preserve">attacks launched </w:t>
      </w:r>
      <w:r w:rsidRPr="008E0D50">
        <w:rPr>
          <w:rFonts w:cs="Times New Roman"/>
          <w:szCs w:val="24"/>
        </w:rPr>
        <w:t xml:space="preserve">entirely </w:t>
      </w:r>
      <w:r w:rsidR="00E044E0" w:rsidRPr="008E0D50">
        <w:rPr>
          <w:rFonts w:cs="Times New Roman"/>
          <w:szCs w:val="24"/>
        </w:rPr>
        <w:t xml:space="preserve">by non-state actors from </w:t>
      </w:r>
      <w:r w:rsidR="00AB1AE2" w:rsidRPr="008E0D50">
        <w:rPr>
          <w:rFonts w:cs="Times New Roman"/>
          <w:szCs w:val="24"/>
        </w:rPr>
        <w:t xml:space="preserve">within </w:t>
      </w:r>
      <w:r w:rsidR="00E044E0" w:rsidRPr="008E0D50">
        <w:rPr>
          <w:rFonts w:cs="Times New Roman"/>
          <w:szCs w:val="24"/>
        </w:rPr>
        <w:t>their territory</w:t>
      </w:r>
      <w:r w:rsidR="00BE5ADB" w:rsidRPr="00546EDE">
        <w:rPr>
          <w:rFonts w:cs="Times New Roman"/>
          <w:szCs w:val="24"/>
        </w:rPr>
        <w:t>.</w:t>
      </w:r>
      <w:r w:rsidR="0091392D" w:rsidRPr="00546EDE">
        <w:rPr>
          <w:rStyle w:val="FootnoteReference"/>
          <w:rFonts w:cs="Times New Roman"/>
          <w:szCs w:val="24"/>
        </w:rPr>
        <w:footnoteReference w:id="96"/>
      </w:r>
      <w:r w:rsidR="00BE5ADB" w:rsidRPr="00546EDE">
        <w:rPr>
          <w:rFonts w:cs="Times New Roman"/>
          <w:szCs w:val="24"/>
        </w:rPr>
        <w:t xml:space="preserve"> Again, while the state would not be responsible for the non-state perpetrated attack itself, it would be responsible for any failure on its part to take reasonable steps to prevent the attack. It is wo</w:t>
      </w:r>
      <w:r w:rsidR="00091866" w:rsidRPr="00546EDE">
        <w:rPr>
          <w:rFonts w:cs="Times New Roman"/>
          <w:szCs w:val="24"/>
        </w:rPr>
        <w:t xml:space="preserve">rth noting that, </w:t>
      </w:r>
      <w:r w:rsidR="00137AA6">
        <w:rPr>
          <w:rFonts w:cs="Times New Roman"/>
          <w:szCs w:val="24"/>
        </w:rPr>
        <w:t>in the twenty-first century</w:t>
      </w:r>
      <w:r w:rsidR="00091866" w:rsidRPr="00546EDE">
        <w:rPr>
          <w:rFonts w:cs="Times New Roman"/>
          <w:szCs w:val="24"/>
        </w:rPr>
        <w:t xml:space="preserve">, </w:t>
      </w:r>
      <w:r w:rsidR="00BE5ADB" w:rsidRPr="00546EDE">
        <w:rPr>
          <w:rFonts w:cs="Times New Roman"/>
          <w:szCs w:val="24"/>
        </w:rPr>
        <w:t xml:space="preserve">the duty of due diligence has </w:t>
      </w:r>
      <w:r w:rsidR="00091866" w:rsidRPr="00546EDE">
        <w:rPr>
          <w:rFonts w:cs="Times New Roman"/>
          <w:szCs w:val="24"/>
        </w:rPr>
        <w:t xml:space="preserve">clearly been viewed as being applicable </w:t>
      </w:r>
      <w:r w:rsidR="00BE5ADB" w:rsidRPr="00546EDE">
        <w:rPr>
          <w:rFonts w:cs="Times New Roman"/>
          <w:szCs w:val="24"/>
        </w:rPr>
        <w:t>in relation to international terrorism in general</w:t>
      </w:r>
      <w:r w:rsidR="00137AA6">
        <w:rPr>
          <w:rFonts w:cs="Times New Roman"/>
          <w:szCs w:val="24"/>
        </w:rPr>
        <w:t>, and has been significantly emphasised in that context</w:t>
      </w:r>
      <w:r w:rsidR="00BE5ADB" w:rsidRPr="00546EDE">
        <w:rPr>
          <w:rFonts w:cs="Times New Roman"/>
          <w:szCs w:val="24"/>
        </w:rPr>
        <w:t>.</w:t>
      </w:r>
      <w:r w:rsidR="008E0D50" w:rsidRPr="00546EDE">
        <w:rPr>
          <w:rStyle w:val="FootnoteReference"/>
          <w:rFonts w:cs="Times New Roman"/>
          <w:szCs w:val="24"/>
        </w:rPr>
        <w:footnoteReference w:id="97"/>
      </w:r>
      <w:r w:rsidR="00BE5ADB" w:rsidRPr="00546EDE">
        <w:rPr>
          <w:rFonts w:cs="Times New Roman"/>
          <w:szCs w:val="24"/>
        </w:rPr>
        <w:t xml:space="preserve"> It has been convincingly</w:t>
      </w:r>
      <w:r w:rsidR="00BE5ADB" w:rsidRPr="008E0D50">
        <w:rPr>
          <w:rFonts w:cs="Times New Roman"/>
          <w:szCs w:val="24"/>
        </w:rPr>
        <w:t xml:space="preserve"> argued that the responsibility of states to take measures to prevent their territory </w:t>
      </w:r>
      <w:r w:rsidR="00AB1AE2" w:rsidRPr="008E0D50">
        <w:rPr>
          <w:rFonts w:cs="Times New Roman"/>
          <w:szCs w:val="24"/>
        </w:rPr>
        <w:t>from being</w:t>
      </w:r>
      <w:r w:rsidR="00BE5ADB" w:rsidRPr="008E0D50">
        <w:rPr>
          <w:rFonts w:cs="Times New Roman"/>
          <w:szCs w:val="24"/>
        </w:rPr>
        <w:t xml:space="preserve"> the source of terrorist attacks equally applies to </w:t>
      </w:r>
      <w:r w:rsidR="00AB1AE2" w:rsidRPr="008E0D50">
        <w:rPr>
          <w:rFonts w:cs="Times New Roman"/>
          <w:szCs w:val="24"/>
        </w:rPr>
        <w:t xml:space="preserve">acts of </w:t>
      </w:r>
      <w:r w:rsidR="00BE5ADB" w:rsidRPr="008E0D50">
        <w:rPr>
          <w:rFonts w:cs="Times New Roman"/>
          <w:szCs w:val="24"/>
        </w:rPr>
        <w:t>cyber</w:t>
      </w:r>
      <w:r w:rsidR="00AB1AE2" w:rsidRPr="008E0D50">
        <w:rPr>
          <w:rFonts w:cs="Times New Roman"/>
          <w:szCs w:val="24"/>
        </w:rPr>
        <w:t xml:space="preserve"> terrorism.</w:t>
      </w:r>
      <w:r w:rsidR="008E0D50" w:rsidRPr="008E0D50">
        <w:rPr>
          <w:rStyle w:val="FootnoteReference"/>
          <w:rFonts w:cs="Times New Roman"/>
          <w:szCs w:val="24"/>
        </w:rPr>
        <w:footnoteReference w:id="98"/>
      </w:r>
      <w:r w:rsidR="00224027">
        <w:rPr>
          <w:rFonts w:cs="Times New Roman"/>
          <w:szCs w:val="24"/>
        </w:rPr>
        <w:t xml:space="preserve"> Indeed, there is no reason why this would not be the case.</w:t>
      </w:r>
    </w:p>
    <w:p w14:paraId="07098DAA" w14:textId="0ACE24D2" w:rsidR="00CF613D" w:rsidRDefault="00B44767" w:rsidP="0017445E">
      <w:pPr>
        <w:spacing w:line="480" w:lineRule="auto"/>
        <w:ind w:firstLine="720"/>
        <w:jc w:val="both"/>
        <w:rPr>
          <w:rFonts w:cs="Times New Roman"/>
          <w:szCs w:val="24"/>
        </w:rPr>
      </w:pPr>
      <w:r>
        <w:rPr>
          <w:rFonts w:cs="Times New Roman"/>
          <w:szCs w:val="24"/>
        </w:rPr>
        <w:t>A</w:t>
      </w:r>
      <w:r w:rsidR="00091866">
        <w:rPr>
          <w:rFonts w:cs="Times New Roman"/>
          <w:szCs w:val="24"/>
        </w:rPr>
        <w:t>s yet</w:t>
      </w:r>
      <w:r w:rsidR="00224027">
        <w:rPr>
          <w:rFonts w:cs="Times New Roman"/>
          <w:szCs w:val="24"/>
        </w:rPr>
        <w:t>,</w:t>
      </w:r>
      <w:r w:rsidR="00091866">
        <w:rPr>
          <w:rFonts w:cs="Times New Roman"/>
          <w:szCs w:val="24"/>
        </w:rPr>
        <w:t xml:space="preserve"> commentators </w:t>
      </w:r>
      <w:r w:rsidR="001741A6">
        <w:rPr>
          <w:rFonts w:cs="Times New Roman"/>
          <w:szCs w:val="24"/>
        </w:rPr>
        <w:t xml:space="preserve">have </w:t>
      </w:r>
      <w:r w:rsidR="00182592">
        <w:rPr>
          <w:rFonts w:cs="Times New Roman"/>
          <w:szCs w:val="24"/>
        </w:rPr>
        <w:t xml:space="preserve">not </w:t>
      </w:r>
      <w:r w:rsidR="001741A6">
        <w:rPr>
          <w:rFonts w:cs="Times New Roman"/>
          <w:szCs w:val="24"/>
        </w:rPr>
        <w:t xml:space="preserve">meaningfully </w:t>
      </w:r>
      <w:r>
        <w:rPr>
          <w:rFonts w:cs="Times New Roman"/>
          <w:szCs w:val="24"/>
        </w:rPr>
        <w:t>engaged with</w:t>
      </w:r>
      <w:r w:rsidR="001741A6">
        <w:rPr>
          <w:rFonts w:cs="Times New Roman"/>
          <w:szCs w:val="24"/>
        </w:rPr>
        <w:t xml:space="preserve"> whether the duty would </w:t>
      </w:r>
      <w:r w:rsidR="00546EDE">
        <w:rPr>
          <w:rFonts w:cs="Times New Roman"/>
          <w:szCs w:val="24"/>
        </w:rPr>
        <w:t xml:space="preserve">also </w:t>
      </w:r>
      <w:r w:rsidR="001741A6">
        <w:rPr>
          <w:rFonts w:cs="Times New Roman"/>
          <w:szCs w:val="24"/>
        </w:rPr>
        <w:t xml:space="preserve">incorporate a requirement for states to take reasonable steps to protect against </w:t>
      </w:r>
      <w:r w:rsidR="001741A6" w:rsidRPr="001741A6">
        <w:rPr>
          <w:rFonts w:cs="Times New Roman"/>
          <w:i/>
          <w:szCs w:val="24"/>
        </w:rPr>
        <w:t>accidental</w:t>
      </w:r>
      <w:r w:rsidR="001741A6">
        <w:rPr>
          <w:rFonts w:cs="Times New Roman"/>
          <w:szCs w:val="24"/>
        </w:rPr>
        <w:t xml:space="preserve"> cyber damage emanating from </w:t>
      </w:r>
      <w:r w:rsidR="00224027">
        <w:rPr>
          <w:rFonts w:cs="Times New Roman"/>
          <w:szCs w:val="24"/>
        </w:rPr>
        <w:t>their</w:t>
      </w:r>
      <w:r w:rsidR="001741A6">
        <w:rPr>
          <w:rFonts w:cs="Times New Roman"/>
          <w:szCs w:val="24"/>
        </w:rPr>
        <w:t xml:space="preserve"> territory being inflicted on other states.</w:t>
      </w:r>
      <w:r w:rsidR="00940EB0">
        <w:rPr>
          <w:rStyle w:val="FootnoteReference"/>
          <w:rFonts w:cs="Times New Roman"/>
          <w:szCs w:val="24"/>
        </w:rPr>
        <w:footnoteReference w:id="99"/>
      </w:r>
      <w:r w:rsidR="0088144E">
        <w:rPr>
          <w:rFonts w:cs="Times New Roman"/>
          <w:szCs w:val="24"/>
        </w:rPr>
        <w:t xml:space="preserve"> However, </w:t>
      </w:r>
      <w:r>
        <w:rPr>
          <w:rFonts w:cs="Times New Roman"/>
          <w:szCs w:val="24"/>
        </w:rPr>
        <w:t xml:space="preserve">it has long been accepted </w:t>
      </w:r>
      <w:r w:rsidR="0088144E">
        <w:rPr>
          <w:rFonts w:cs="Times New Roman"/>
          <w:szCs w:val="24"/>
        </w:rPr>
        <w:t xml:space="preserve">in the environmental law context </w:t>
      </w:r>
      <w:r>
        <w:rPr>
          <w:rFonts w:cs="Times New Roman"/>
          <w:szCs w:val="24"/>
        </w:rPr>
        <w:t xml:space="preserve">that </w:t>
      </w:r>
      <w:r w:rsidR="0088144E">
        <w:rPr>
          <w:rFonts w:cs="Times New Roman"/>
          <w:szCs w:val="24"/>
        </w:rPr>
        <w:t>the duty extends not just to deliberate transboundary environmental harm, but also to failures of due dil</w:t>
      </w:r>
      <w:r>
        <w:rPr>
          <w:rFonts w:cs="Times New Roman"/>
          <w:szCs w:val="24"/>
        </w:rPr>
        <w:t>igence with regard to the prevention of</w:t>
      </w:r>
      <w:r w:rsidR="0088144E">
        <w:rPr>
          <w:rFonts w:cs="Times New Roman"/>
          <w:szCs w:val="24"/>
        </w:rPr>
        <w:t xml:space="preserve"> accidental damage.</w:t>
      </w:r>
      <w:r>
        <w:rPr>
          <w:rStyle w:val="FootnoteReference"/>
          <w:rFonts w:cs="Times New Roman"/>
          <w:szCs w:val="24"/>
        </w:rPr>
        <w:footnoteReference w:id="100"/>
      </w:r>
      <w:r>
        <w:rPr>
          <w:rFonts w:cs="Times New Roman"/>
          <w:szCs w:val="24"/>
        </w:rPr>
        <w:t xml:space="preserve"> </w:t>
      </w:r>
      <w:r w:rsidR="0088144E">
        <w:rPr>
          <w:rFonts w:cs="Times New Roman"/>
          <w:szCs w:val="24"/>
        </w:rPr>
        <w:t xml:space="preserve">Despite the fact that the focus </w:t>
      </w:r>
      <w:r w:rsidR="00515159">
        <w:rPr>
          <w:rFonts w:cs="Times New Roman"/>
          <w:szCs w:val="24"/>
        </w:rPr>
        <w:t xml:space="preserve">on the duty of cyber due diligence </w:t>
      </w:r>
      <w:r w:rsidR="0088144E">
        <w:rPr>
          <w:rFonts w:cs="Times New Roman"/>
          <w:szCs w:val="24"/>
        </w:rPr>
        <w:t xml:space="preserve">thus far in the literature </w:t>
      </w:r>
      <w:r w:rsidR="005F66AB">
        <w:rPr>
          <w:rFonts w:cs="Times New Roman"/>
          <w:szCs w:val="24"/>
        </w:rPr>
        <w:t xml:space="preserve">(to the limited extent that </w:t>
      </w:r>
      <w:r w:rsidR="00224027">
        <w:rPr>
          <w:rFonts w:cs="Times New Roman"/>
          <w:szCs w:val="24"/>
        </w:rPr>
        <w:t>there has been any focus at all</w:t>
      </w:r>
      <w:r w:rsidR="005F66AB">
        <w:rPr>
          <w:rFonts w:cs="Times New Roman"/>
          <w:szCs w:val="24"/>
        </w:rPr>
        <w:t xml:space="preserve">) </w:t>
      </w:r>
      <w:r w:rsidR="0088144E">
        <w:rPr>
          <w:rFonts w:cs="Times New Roman"/>
          <w:szCs w:val="24"/>
        </w:rPr>
        <w:t xml:space="preserve">has been </w:t>
      </w:r>
      <w:r w:rsidR="00515159">
        <w:rPr>
          <w:rFonts w:cs="Times New Roman"/>
          <w:szCs w:val="24"/>
        </w:rPr>
        <w:t xml:space="preserve">on the duty acting </w:t>
      </w:r>
      <w:r w:rsidR="0088144E">
        <w:rPr>
          <w:rFonts w:cs="Times New Roman"/>
          <w:szCs w:val="24"/>
        </w:rPr>
        <w:t>as an alternative means of governing cyber-</w:t>
      </w:r>
      <w:r w:rsidR="0088144E" w:rsidRPr="00AB1AE2">
        <w:rPr>
          <w:rFonts w:cs="Times New Roman"/>
          <w:i/>
          <w:szCs w:val="24"/>
        </w:rPr>
        <w:t>attacks</w:t>
      </w:r>
      <w:r w:rsidR="0088144E">
        <w:rPr>
          <w:rFonts w:cs="Times New Roman"/>
          <w:szCs w:val="24"/>
        </w:rPr>
        <w:t xml:space="preserve">, </w:t>
      </w:r>
      <w:r w:rsidR="00515159">
        <w:rPr>
          <w:rFonts w:cs="Times New Roman"/>
          <w:szCs w:val="24"/>
        </w:rPr>
        <w:t>it</w:t>
      </w:r>
      <w:r w:rsidR="00224027">
        <w:rPr>
          <w:rFonts w:cs="Times New Roman"/>
          <w:szCs w:val="24"/>
        </w:rPr>
        <w:t xml:space="preserve"> is also entirely capable of</w:t>
      </w:r>
      <w:r w:rsidR="0088144E">
        <w:rPr>
          <w:rFonts w:cs="Times New Roman"/>
          <w:szCs w:val="24"/>
        </w:rPr>
        <w:t xml:space="preserve"> encompass</w:t>
      </w:r>
      <w:r w:rsidR="00224027">
        <w:rPr>
          <w:rFonts w:cs="Times New Roman"/>
          <w:szCs w:val="24"/>
        </w:rPr>
        <w:t>ing</w:t>
      </w:r>
      <w:r w:rsidR="0088144E">
        <w:rPr>
          <w:rFonts w:cs="Times New Roman"/>
          <w:szCs w:val="24"/>
        </w:rPr>
        <w:t xml:space="preserve"> a requirement for states </w:t>
      </w:r>
      <w:r w:rsidR="00B85BE7">
        <w:rPr>
          <w:rFonts w:cs="Times New Roman"/>
          <w:szCs w:val="24"/>
        </w:rPr>
        <w:t xml:space="preserve">take reasonable precautionary measures </w:t>
      </w:r>
      <w:r w:rsidR="0088144E">
        <w:rPr>
          <w:rFonts w:cs="Times New Roman"/>
          <w:szCs w:val="24"/>
        </w:rPr>
        <w:t xml:space="preserve">to </w:t>
      </w:r>
      <w:r w:rsidR="00B85BE7">
        <w:rPr>
          <w:rFonts w:cs="Times New Roman"/>
          <w:szCs w:val="24"/>
        </w:rPr>
        <w:t>protect against accidental cyber disaster</w:t>
      </w:r>
      <w:r w:rsidR="00B85BE7" w:rsidRPr="009B7225">
        <w:rPr>
          <w:rFonts w:cs="Times New Roman"/>
          <w:szCs w:val="24"/>
        </w:rPr>
        <w:t>.</w:t>
      </w:r>
      <w:r>
        <w:rPr>
          <w:rStyle w:val="FootnoteReference"/>
          <w:rFonts w:cs="Times New Roman"/>
          <w:szCs w:val="24"/>
        </w:rPr>
        <w:footnoteReference w:id="101"/>
      </w:r>
      <w:r w:rsidR="00B85BE7">
        <w:rPr>
          <w:rFonts w:cs="Times New Roman"/>
          <w:szCs w:val="24"/>
        </w:rPr>
        <w:t xml:space="preserve"> </w:t>
      </w:r>
      <w:r w:rsidR="00224027">
        <w:rPr>
          <w:rFonts w:cs="Times New Roman"/>
          <w:szCs w:val="24"/>
        </w:rPr>
        <w:t>By analogy to the environmental context, at least, this would seem a correct understanding of the duty’s scope.  In relation to cyber accidents, t</w:t>
      </w:r>
      <w:r w:rsidR="00B85BE7">
        <w:rPr>
          <w:rFonts w:cs="Times New Roman"/>
          <w:szCs w:val="24"/>
        </w:rPr>
        <w:t xml:space="preserve">his would </w:t>
      </w:r>
      <w:r w:rsidR="00224027">
        <w:rPr>
          <w:rFonts w:cs="Times New Roman"/>
          <w:szCs w:val="24"/>
        </w:rPr>
        <w:t>require</w:t>
      </w:r>
      <w:r w:rsidR="00B85BE7">
        <w:rPr>
          <w:rFonts w:cs="Times New Roman"/>
          <w:szCs w:val="24"/>
        </w:rPr>
        <w:t xml:space="preserve"> </w:t>
      </w:r>
      <w:r w:rsidR="00224027">
        <w:rPr>
          <w:rFonts w:cs="Times New Roman"/>
          <w:szCs w:val="24"/>
        </w:rPr>
        <w:t>state</w:t>
      </w:r>
      <w:r w:rsidR="0091392D">
        <w:rPr>
          <w:rFonts w:cs="Times New Roman"/>
          <w:szCs w:val="24"/>
        </w:rPr>
        <w:t xml:space="preserve">s having to adopt </w:t>
      </w:r>
      <w:r w:rsidR="00B85BE7">
        <w:rPr>
          <w:rFonts w:cs="Times New Roman"/>
          <w:szCs w:val="24"/>
        </w:rPr>
        <w:t>measures to secure</w:t>
      </w:r>
      <w:r w:rsidR="0088144E">
        <w:rPr>
          <w:rFonts w:cs="Times New Roman"/>
          <w:szCs w:val="24"/>
        </w:rPr>
        <w:t xml:space="preserve"> their </w:t>
      </w:r>
      <w:r w:rsidR="00B85BE7">
        <w:rPr>
          <w:rFonts w:cs="Times New Roman"/>
          <w:szCs w:val="24"/>
        </w:rPr>
        <w:t xml:space="preserve">own </w:t>
      </w:r>
      <w:r w:rsidR="0088144E">
        <w:rPr>
          <w:rFonts w:cs="Times New Roman"/>
          <w:szCs w:val="24"/>
        </w:rPr>
        <w:t xml:space="preserve">cyber infrastructure and </w:t>
      </w:r>
      <w:r w:rsidR="00B85BE7">
        <w:rPr>
          <w:rFonts w:cs="Times New Roman"/>
          <w:szCs w:val="24"/>
        </w:rPr>
        <w:t xml:space="preserve">to promote </w:t>
      </w:r>
      <w:r w:rsidR="0088144E">
        <w:rPr>
          <w:rFonts w:cs="Times New Roman"/>
          <w:szCs w:val="24"/>
        </w:rPr>
        <w:t>th</w:t>
      </w:r>
      <w:r w:rsidR="00B85BE7">
        <w:rPr>
          <w:rFonts w:cs="Times New Roman"/>
          <w:szCs w:val="24"/>
        </w:rPr>
        <w:t>e ‘cyber good hygiene’</w:t>
      </w:r>
      <w:r w:rsidR="0088144E">
        <w:rPr>
          <w:rFonts w:cs="Times New Roman"/>
          <w:szCs w:val="24"/>
        </w:rPr>
        <w:t xml:space="preserve"> of, for example, corporations </w:t>
      </w:r>
      <w:r w:rsidR="005F66AB">
        <w:rPr>
          <w:rFonts w:cs="Times New Roman"/>
          <w:szCs w:val="24"/>
        </w:rPr>
        <w:t xml:space="preserve">or other major legitimate non-state actors </w:t>
      </w:r>
      <w:r w:rsidR="0088144E">
        <w:rPr>
          <w:rFonts w:cs="Times New Roman"/>
          <w:szCs w:val="24"/>
        </w:rPr>
        <w:t>operating on their territory</w:t>
      </w:r>
      <w:r w:rsidR="00B85BE7">
        <w:rPr>
          <w:rFonts w:cs="Times New Roman"/>
          <w:szCs w:val="24"/>
        </w:rPr>
        <w:t>.</w:t>
      </w:r>
      <w:r w:rsidR="00B50390" w:rsidRPr="009B7225">
        <w:rPr>
          <w:rStyle w:val="FootnoteReference"/>
          <w:rFonts w:cs="Times New Roman"/>
          <w:szCs w:val="24"/>
        </w:rPr>
        <w:footnoteReference w:id="102"/>
      </w:r>
    </w:p>
    <w:p w14:paraId="5F8D31AA" w14:textId="77777777" w:rsidR="007C4D6B" w:rsidRDefault="007C4D6B" w:rsidP="0017445E">
      <w:pPr>
        <w:spacing w:line="480" w:lineRule="auto"/>
        <w:ind w:firstLine="720"/>
        <w:jc w:val="both"/>
        <w:rPr>
          <w:rFonts w:cs="Times New Roman"/>
          <w:szCs w:val="24"/>
        </w:rPr>
      </w:pPr>
    </w:p>
    <w:p w14:paraId="148C7A3E" w14:textId="00E7EA47" w:rsidR="006343BB" w:rsidRPr="0017445E" w:rsidRDefault="0017445E" w:rsidP="0017445E">
      <w:pPr>
        <w:spacing w:line="480" w:lineRule="auto"/>
        <w:jc w:val="both"/>
        <w:rPr>
          <w:rFonts w:cs="Times New Roman"/>
          <w:b/>
          <w:szCs w:val="24"/>
        </w:rPr>
      </w:pPr>
      <w:r w:rsidRPr="0017445E">
        <w:rPr>
          <w:rFonts w:cs="Times New Roman"/>
          <w:b/>
          <w:szCs w:val="24"/>
        </w:rPr>
        <w:t>4.4</w:t>
      </w:r>
      <w:r w:rsidR="007C4D6B">
        <w:rPr>
          <w:rFonts w:cs="Times New Roman"/>
          <w:b/>
          <w:szCs w:val="24"/>
        </w:rPr>
        <w:t>.</w:t>
      </w:r>
      <w:r w:rsidR="006343BB" w:rsidRPr="0017445E">
        <w:rPr>
          <w:rFonts w:cs="Times New Roman"/>
          <w:b/>
          <w:szCs w:val="24"/>
        </w:rPr>
        <w:t xml:space="preserve"> The </w:t>
      </w:r>
      <w:r w:rsidR="007C4D6B">
        <w:rPr>
          <w:rFonts w:cs="Times New Roman"/>
          <w:b/>
          <w:szCs w:val="24"/>
        </w:rPr>
        <w:t>p</w:t>
      </w:r>
      <w:r w:rsidR="000B5C4E" w:rsidRPr="0017445E">
        <w:rPr>
          <w:rFonts w:cs="Times New Roman"/>
          <w:b/>
          <w:szCs w:val="24"/>
        </w:rPr>
        <w:t xml:space="preserve">ossible </w:t>
      </w:r>
      <w:r w:rsidR="007C4D6B">
        <w:rPr>
          <w:rFonts w:cs="Times New Roman"/>
          <w:b/>
          <w:szCs w:val="24"/>
        </w:rPr>
        <w:t>l</w:t>
      </w:r>
      <w:r w:rsidR="006343BB" w:rsidRPr="0017445E">
        <w:rPr>
          <w:rFonts w:cs="Times New Roman"/>
          <w:b/>
          <w:szCs w:val="24"/>
        </w:rPr>
        <w:t xml:space="preserve">imitations of </w:t>
      </w:r>
      <w:r w:rsidR="007C4D6B">
        <w:rPr>
          <w:rFonts w:cs="Times New Roman"/>
          <w:b/>
          <w:szCs w:val="24"/>
        </w:rPr>
        <w:t>a</w:t>
      </w:r>
      <w:r w:rsidR="006343BB" w:rsidRPr="0017445E">
        <w:rPr>
          <w:rFonts w:cs="Times New Roman"/>
          <w:b/>
          <w:szCs w:val="24"/>
        </w:rPr>
        <w:t xml:space="preserve">pplying the </w:t>
      </w:r>
      <w:r w:rsidR="007C4D6B">
        <w:rPr>
          <w:rFonts w:cs="Times New Roman"/>
          <w:b/>
          <w:szCs w:val="24"/>
        </w:rPr>
        <w:t>d</w:t>
      </w:r>
      <w:r w:rsidR="006343BB" w:rsidRPr="0017445E">
        <w:rPr>
          <w:rFonts w:cs="Times New Roman"/>
          <w:b/>
          <w:szCs w:val="24"/>
        </w:rPr>
        <w:t xml:space="preserve">uty of </w:t>
      </w:r>
      <w:r w:rsidR="007C4D6B">
        <w:rPr>
          <w:rFonts w:cs="Times New Roman"/>
          <w:b/>
          <w:szCs w:val="24"/>
        </w:rPr>
        <w:t>d</w:t>
      </w:r>
      <w:r w:rsidR="006343BB" w:rsidRPr="0017445E">
        <w:rPr>
          <w:rFonts w:cs="Times New Roman"/>
          <w:b/>
          <w:szCs w:val="24"/>
        </w:rPr>
        <w:t xml:space="preserve">ue </w:t>
      </w:r>
      <w:r w:rsidR="007C4D6B">
        <w:rPr>
          <w:rFonts w:cs="Times New Roman"/>
          <w:b/>
          <w:szCs w:val="24"/>
        </w:rPr>
        <w:t>d</w:t>
      </w:r>
      <w:r w:rsidR="006343BB" w:rsidRPr="0017445E">
        <w:rPr>
          <w:rFonts w:cs="Times New Roman"/>
          <w:b/>
          <w:szCs w:val="24"/>
        </w:rPr>
        <w:t xml:space="preserve">iligence to </w:t>
      </w:r>
      <w:r w:rsidR="007C4D6B">
        <w:rPr>
          <w:rFonts w:cs="Times New Roman"/>
          <w:b/>
          <w:szCs w:val="24"/>
        </w:rPr>
        <w:t>c</w:t>
      </w:r>
      <w:r w:rsidR="006343BB" w:rsidRPr="0017445E">
        <w:rPr>
          <w:rFonts w:cs="Times New Roman"/>
          <w:b/>
          <w:szCs w:val="24"/>
        </w:rPr>
        <w:t xml:space="preserve">yberspace </w:t>
      </w:r>
    </w:p>
    <w:p w14:paraId="6C3A5AF0" w14:textId="4FBCFFAC" w:rsidR="004C7692" w:rsidRDefault="00000E21" w:rsidP="0017445E">
      <w:pPr>
        <w:spacing w:line="480" w:lineRule="auto"/>
        <w:ind w:firstLine="720"/>
        <w:jc w:val="both"/>
        <w:rPr>
          <w:rFonts w:cs="Times New Roman"/>
          <w:szCs w:val="24"/>
        </w:rPr>
      </w:pPr>
      <w:r w:rsidRPr="009B7225">
        <w:rPr>
          <w:rFonts w:cs="Times New Roman"/>
          <w:szCs w:val="24"/>
        </w:rPr>
        <w:t xml:space="preserve">The duty of due diligence is certainly not a panacea for the threat of cyber </w:t>
      </w:r>
      <w:r w:rsidR="00881CCA">
        <w:rPr>
          <w:rFonts w:cs="Times New Roman"/>
          <w:szCs w:val="24"/>
        </w:rPr>
        <w:t xml:space="preserve">disaster. </w:t>
      </w:r>
      <w:r w:rsidR="004C7692">
        <w:rPr>
          <w:rFonts w:cs="Times New Roman"/>
          <w:szCs w:val="24"/>
        </w:rPr>
        <w:t>It is worth reemphasising, for example, that where</w:t>
      </w:r>
      <w:r w:rsidR="004C7692" w:rsidRPr="009B7225">
        <w:rPr>
          <w:rFonts w:cs="Times New Roman"/>
          <w:szCs w:val="24"/>
        </w:rPr>
        <w:t xml:space="preserve"> a state has taken reasonable steps to prevent cyber-attacks or </w:t>
      </w:r>
      <w:r w:rsidR="004C7692">
        <w:rPr>
          <w:rFonts w:cs="Times New Roman"/>
          <w:szCs w:val="24"/>
        </w:rPr>
        <w:t xml:space="preserve">harmful </w:t>
      </w:r>
      <w:r w:rsidR="004C7692" w:rsidRPr="009B7225">
        <w:rPr>
          <w:rFonts w:cs="Times New Roman"/>
          <w:szCs w:val="24"/>
        </w:rPr>
        <w:t>cyber accidents from occurring from within its territory, it would not be in breach of the duty</w:t>
      </w:r>
      <w:r w:rsidR="004C7692">
        <w:rPr>
          <w:rFonts w:cs="Times New Roman"/>
          <w:szCs w:val="24"/>
        </w:rPr>
        <w:t xml:space="preserve"> of due diligence</w:t>
      </w:r>
      <w:r w:rsidR="004C7692" w:rsidRPr="009B7225">
        <w:rPr>
          <w:rFonts w:cs="Times New Roman"/>
          <w:szCs w:val="24"/>
        </w:rPr>
        <w:t xml:space="preserve">. </w:t>
      </w:r>
      <w:r w:rsidR="00F80F39">
        <w:rPr>
          <w:rFonts w:cs="Times New Roman"/>
          <w:szCs w:val="24"/>
        </w:rPr>
        <w:t>W</w:t>
      </w:r>
      <w:r w:rsidR="004C7692" w:rsidRPr="009B7225">
        <w:rPr>
          <w:rFonts w:cs="Times New Roman"/>
          <w:szCs w:val="24"/>
        </w:rPr>
        <w:t>here a state is entirely unable to stop the harm from materialising, despite its best efforts, the state would not be legally responsible.</w:t>
      </w:r>
      <w:r w:rsidR="004C7692">
        <w:rPr>
          <w:rFonts w:cs="Times New Roman"/>
          <w:szCs w:val="24"/>
        </w:rPr>
        <w:t xml:space="preserve"> It was noted above that states’ obligations under the duty are context specific: therefore where cyber harm emanat</w:t>
      </w:r>
      <w:r w:rsidR="00224027">
        <w:rPr>
          <w:rFonts w:cs="Times New Roman"/>
          <w:szCs w:val="24"/>
        </w:rPr>
        <w:t>es</w:t>
      </w:r>
      <w:r w:rsidR="004C7692">
        <w:rPr>
          <w:rFonts w:cs="Times New Roman"/>
          <w:szCs w:val="24"/>
        </w:rPr>
        <w:t xml:space="preserve"> from a state with limited technological or intelligence resources, it would be notably less likely that a breach of the duty on the part of the state concerned could be established. </w:t>
      </w:r>
      <w:r w:rsidR="00BA45AE">
        <w:rPr>
          <w:rFonts w:cs="Times New Roman"/>
          <w:szCs w:val="24"/>
        </w:rPr>
        <w:t>It is clear that a</w:t>
      </w:r>
      <w:r w:rsidR="004C7692">
        <w:rPr>
          <w:rFonts w:cs="Times New Roman"/>
          <w:szCs w:val="24"/>
        </w:rPr>
        <w:t>n array of cyber threats will still exist beyond the reach of the duty of due diligence.  However, it is submitted that far more cyber threats will be ‘caught’ by</w:t>
      </w:r>
      <w:r w:rsidR="00224027">
        <w:rPr>
          <w:rFonts w:cs="Times New Roman"/>
          <w:szCs w:val="24"/>
        </w:rPr>
        <w:t xml:space="preserve"> the duty than by </w:t>
      </w:r>
      <w:r w:rsidR="00566DDD">
        <w:rPr>
          <w:rFonts w:cs="Times New Roman"/>
          <w:szCs w:val="24"/>
        </w:rPr>
        <w:t>a</w:t>
      </w:r>
      <w:r w:rsidR="00224027">
        <w:rPr>
          <w:rFonts w:cs="Times New Roman"/>
          <w:szCs w:val="24"/>
        </w:rPr>
        <w:t>rticle 2(4)</w:t>
      </w:r>
      <w:r w:rsidR="00566DDD">
        <w:rPr>
          <w:rFonts w:cs="Times New Roman"/>
          <w:szCs w:val="24"/>
        </w:rPr>
        <w:t xml:space="preserve"> of the UN Charter</w:t>
      </w:r>
      <w:r w:rsidR="00224027">
        <w:rPr>
          <w:rFonts w:cs="Times New Roman"/>
          <w:szCs w:val="24"/>
        </w:rPr>
        <w:t>.</w:t>
      </w:r>
    </w:p>
    <w:p w14:paraId="15BF8ECB" w14:textId="07E714F0" w:rsidR="005550EF" w:rsidRDefault="004C7692" w:rsidP="0017445E">
      <w:pPr>
        <w:spacing w:line="480" w:lineRule="auto"/>
        <w:ind w:firstLine="720"/>
        <w:jc w:val="both"/>
        <w:rPr>
          <w:rFonts w:cs="Times New Roman"/>
          <w:szCs w:val="24"/>
        </w:rPr>
      </w:pPr>
      <w:r>
        <w:rPr>
          <w:rFonts w:cs="Times New Roman"/>
          <w:szCs w:val="24"/>
        </w:rPr>
        <w:t>Similarly, in relation to the question of attribution – which forever plagues the law’s ability to deal with cyber threats –</w:t>
      </w:r>
      <w:r w:rsidRPr="009B7225">
        <w:rPr>
          <w:rFonts w:cs="Times New Roman"/>
          <w:szCs w:val="24"/>
        </w:rPr>
        <w:t xml:space="preserve"> </w:t>
      </w:r>
      <w:r>
        <w:rPr>
          <w:rFonts w:cs="Times New Roman"/>
          <w:szCs w:val="24"/>
        </w:rPr>
        <w:t xml:space="preserve">one must be clear that </w:t>
      </w:r>
      <w:r w:rsidRPr="009B7225">
        <w:rPr>
          <w:rFonts w:cs="Times New Roman"/>
          <w:szCs w:val="24"/>
        </w:rPr>
        <w:t xml:space="preserve">factual attribution would, of course, still need to be established </w:t>
      </w:r>
      <w:r>
        <w:rPr>
          <w:rFonts w:cs="Times New Roman"/>
          <w:szCs w:val="24"/>
        </w:rPr>
        <w:t>in relation to the duty of due diligence.</w:t>
      </w:r>
      <w:r>
        <w:rPr>
          <w:rStyle w:val="FootnoteReference"/>
          <w:rFonts w:cs="Times New Roman"/>
          <w:szCs w:val="24"/>
        </w:rPr>
        <w:footnoteReference w:id="103"/>
      </w:r>
      <w:r>
        <w:rPr>
          <w:rFonts w:cs="Times New Roman"/>
          <w:szCs w:val="24"/>
        </w:rPr>
        <w:t xml:space="preserve"> I</w:t>
      </w:r>
      <w:r w:rsidRPr="009B7225">
        <w:rPr>
          <w:rFonts w:cs="Times New Roman"/>
          <w:szCs w:val="24"/>
        </w:rPr>
        <w:t xml:space="preserve">t </w:t>
      </w:r>
      <w:r w:rsidR="00031659">
        <w:rPr>
          <w:rFonts w:cs="Times New Roman"/>
          <w:szCs w:val="24"/>
        </w:rPr>
        <w:t>still has</w:t>
      </w:r>
      <w:r w:rsidRPr="009B7225">
        <w:rPr>
          <w:rFonts w:cs="Times New Roman"/>
          <w:szCs w:val="24"/>
        </w:rPr>
        <w:t xml:space="preserve"> to be </w:t>
      </w:r>
      <w:r>
        <w:rPr>
          <w:rFonts w:cs="Times New Roman"/>
          <w:szCs w:val="24"/>
        </w:rPr>
        <w:t>proven</w:t>
      </w:r>
      <w:r w:rsidRPr="009B7225">
        <w:rPr>
          <w:rFonts w:cs="Times New Roman"/>
          <w:szCs w:val="24"/>
        </w:rPr>
        <w:t xml:space="preserve"> that </w:t>
      </w:r>
      <w:r>
        <w:rPr>
          <w:rFonts w:cs="Times New Roman"/>
          <w:szCs w:val="24"/>
        </w:rPr>
        <w:t>the harmful cyber</w:t>
      </w:r>
      <w:r w:rsidRPr="009B7225">
        <w:rPr>
          <w:rFonts w:cs="Times New Roman"/>
          <w:szCs w:val="24"/>
        </w:rPr>
        <w:t xml:space="preserve"> act </w:t>
      </w:r>
      <w:r>
        <w:rPr>
          <w:rFonts w:cs="Times New Roman"/>
          <w:szCs w:val="24"/>
        </w:rPr>
        <w:t xml:space="preserve">indeed </w:t>
      </w:r>
      <w:r w:rsidRPr="009B7225">
        <w:rPr>
          <w:rFonts w:cs="Times New Roman"/>
          <w:szCs w:val="24"/>
        </w:rPr>
        <w:t xml:space="preserve">emanated from the </w:t>
      </w:r>
      <w:r w:rsidRPr="005F66AB">
        <w:rPr>
          <w:rFonts w:cs="Times New Roman"/>
          <w:i/>
          <w:szCs w:val="24"/>
        </w:rPr>
        <w:t>territory</w:t>
      </w:r>
      <w:r w:rsidRPr="005F66AB">
        <w:rPr>
          <w:rFonts w:cs="Times New Roman"/>
          <w:szCs w:val="24"/>
        </w:rPr>
        <w:t xml:space="preserve"> of the state in question</w:t>
      </w:r>
      <w:r w:rsidR="00031659" w:rsidRPr="005F66AB">
        <w:rPr>
          <w:rStyle w:val="FootnoteReference"/>
          <w:rFonts w:cs="Times New Roman"/>
          <w:szCs w:val="24"/>
        </w:rPr>
        <w:footnoteReference w:id="104"/>
      </w:r>
      <w:r w:rsidRPr="005F66AB">
        <w:rPr>
          <w:rFonts w:cs="Times New Roman"/>
          <w:szCs w:val="24"/>
        </w:rPr>
        <w:t xml:space="preserve"> and that the state failed to take reasonable steps, in the context of the situation, to try to prevent this.</w:t>
      </w:r>
      <w:r w:rsidRPr="005F66AB">
        <w:rPr>
          <w:rStyle w:val="FootnoteReference"/>
          <w:rFonts w:cs="Times New Roman"/>
          <w:szCs w:val="24"/>
        </w:rPr>
        <w:footnoteReference w:id="105"/>
      </w:r>
      <w:r w:rsidRPr="005F66AB">
        <w:rPr>
          <w:rFonts w:cs="Times New Roman"/>
          <w:szCs w:val="24"/>
        </w:rPr>
        <w:t xml:space="preserve"> As a technical matter, identifying the physical source of cyber activity </w:t>
      </w:r>
      <w:r w:rsidR="001D5129">
        <w:rPr>
          <w:rFonts w:cs="Times New Roman"/>
          <w:szCs w:val="24"/>
        </w:rPr>
        <w:t>– attribution to a particu</w:t>
      </w:r>
      <w:r w:rsidR="00585409">
        <w:rPr>
          <w:rFonts w:cs="Times New Roman"/>
          <w:szCs w:val="24"/>
        </w:rPr>
        <w:t>lar computer or device located i</w:t>
      </w:r>
      <w:r w:rsidR="001D5129">
        <w:rPr>
          <w:rFonts w:cs="Times New Roman"/>
          <w:szCs w:val="24"/>
        </w:rPr>
        <w:t>n a particular territory – i</w:t>
      </w:r>
      <w:r w:rsidRPr="005F66AB">
        <w:rPr>
          <w:rFonts w:cs="Times New Roman"/>
          <w:szCs w:val="24"/>
        </w:rPr>
        <w:t>s certainly significantly easier than identifying the perpetrator</w:t>
      </w:r>
      <w:r w:rsidR="00585409">
        <w:rPr>
          <w:rFonts w:cs="Times New Roman"/>
          <w:szCs w:val="24"/>
        </w:rPr>
        <w:t xml:space="preserve"> themselves</w:t>
      </w:r>
      <w:r w:rsidRPr="005F66AB">
        <w:rPr>
          <w:rFonts w:cs="Times New Roman"/>
          <w:szCs w:val="24"/>
        </w:rPr>
        <w:t>,</w:t>
      </w:r>
      <w:r w:rsidR="001D5129">
        <w:rPr>
          <w:rStyle w:val="FootnoteReference"/>
          <w:rFonts w:cs="Times New Roman"/>
          <w:szCs w:val="24"/>
        </w:rPr>
        <w:footnoteReference w:id="106"/>
      </w:r>
      <w:r w:rsidRPr="005F66AB">
        <w:rPr>
          <w:rFonts w:cs="Times New Roman"/>
          <w:szCs w:val="24"/>
        </w:rPr>
        <w:t xml:space="preserve"> but it </w:t>
      </w:r>
      <w:r w:rsidR="00585409">
        <w:rPr>
          <w:rFonts w:cs="Times New Roman"/>
          <w:szCs w:val="24"/>
        </w:rPr>
        <w:t xml:space="preserve">still </w:t>
      </w:r>
      <w:r w:rsidRPr="005F66AB">
        <w:rPr>
          <w:rFonts w:cs="Times New Roman"/>
          <w:szCs w:val="24"/>
        </w:rPr>
        <w:t>remains far from easy.</w:t>
      </w:r>
      <w:r w:rsidR="005F66AB" w:rsidRPr="005F66AB">
        <w:rPr>
          <w:rStyle w:val="FootnoteReference"/>
          <w:rFonts w:cs="Times New Roman"/>
          <w:szCs w:val="24"/>
        </w:rPr>
        <w:footnoteReference w:id="107"/>
      </w:r>
      <w:r w:rsidR="005F66AB" w:rsidRPr="005F66AB">
        <w:rPr>
          <w:rFonts w:cs="Times New Roman"/>
          <w:szCs w:val="24"/>
        </w:rPr>
        <w:t xml:space="preserve">  </w:t>
      </w:r>
    </w:p>
    <w:p w14:paraId="70D5C0E8" w14:textId="03AF66F2" w:rsidR="004C7692" w:rsidRDefault="005F66AB" w:rsidP="0017445E">
      <w:pPr>
        <w:spacing w:line="480" w:lineRule="auto"/>
        <w:ind w:firstLine="720"/>
        <w:jc w:val="both"/>
        <w:rPr>
          <w:rFonts w:cs="Times New Roman"/>
          <w:szCs w:val="24"/>
        </w:rPr>
      </w:pPr>
      <w:r w:rsidRPr="005F66AB">
        <w:rPr>
          <w:rFonts w:cs="Times New Roman"/>
          <w:szCs w:val="24"/>
        </w:rPr>
        <w:t xml:space="preserve">Cyber-attacks can, </w:t>
      </w:r>
      <w:r w:rsidR="005550EF">
        <w:rPr>
          <w:rFonts w:cs="Times New Roman"/>
          <w:szCs w:val="24"/>
        </w:rPr>
        <w:t>for example</w:t>
      </w:r>
      <w:r w:rsidRPr="005F66AB">
        <w:rPr>
          <w:rFonts w:cs="Times New Roman"/>
          <w:szCs w:val="24"/>
        </w:rPr>
        <w:t xml:space="preserve">, </w:t>
      </w:r>
      <w:r w:rsidR="005550EF">
        <w:rPr>
          <w:rFonts w:cs="Times New Roman"/>
          <w:szCs w:val="24"/>
        </w:rPr>
        <w:t xml:space="preserve">be </w:t>
      </w:r>
      <w:r w:rsidR="004C7692" w:rsidRPr="005F66AB">
        <w:rPr>
          <w:rFonts w:cs="Times New Roman"/>
          <w:szCs w:val="24"/>
        </w:rPr>
        <w:t>routed through comp</w:t>
      </w:r>
      <w:r w:rsidR="004C7692" w:rsidRPr="004C7692">
        <w:rPr>
          <w:rFonts w:cs="Times New Roman"/>
          <w:szCs w:val="24"/>
        </w:rPr>
        <w:t>uters located on a number of territories before reaching</w:t>
      </w:r>
      <w:r w:rsidR="004C7692">
        <w:rPr>
          <w:rFonts w:cs="Times New Roman"/>
          <w:szCs w:val="24"/>
        </w:rPr>
        <w:t xml:space="preserve"> their target, making locating the original physical ‘source’ all the more difficult.</w:t>
      </w:r>
      <w:r>
        <w:rPr>
          <w:rStyle w:val="FootnoteReference"/>
          <w:rFonts w:cs="Times New Roman"/>
          <w:szCs w:val="24"/>
        </w:rPr>
        <w:footnoteReference w:id="108"/>
      </w:r>
      <w:r>
        <w:rPr>
          <w:rFonts w:cs="Times New Roman"/>
          <w:szCs w:val="24"/>
        </w:rPr>
        <w:t xml:space="preserve"> </w:t>
      </w:r>
      <w:r w:rsidR="004C7692">
        <w:rPr>
          <w:rFonts w:cs="Times New Roman"/>
          <w:szCs w:val="24"/>
        </w:rPr>
        <w:t>It is worth noting that it is entirely unclear</w:t>
      </w:r>
      <w:r w:rsidR="005550EF">
        <w:rPr>
          <w:rFonts w:cs="Times New Roman"/>
          <w:szCs w:val="24"/>
        </w:rPr>
        <w:t xml:space="preserve"> at present</w:t>
      </w:r>
      <w:r w:rsidR="004C7692">
        <w:rPr>
          <w:rFonts w:cs="Times New Roman"/>
          <w:szCs w:val="24"/>
        </w:rPr>
        <w:t xml:space="preserve"> whether states’ obligations under the duty of due diligence would extend to a requirement that they take reasonable steps to prevent not only cyber-attacks that originate on, but also those that pass </w:t>
      </w:r>
      <w:r w:rsidR="004C7692" w:rsidRPr="00B0113D">
        <w:rPr>
          <w:rFonts w:cs="Times New Roman"/>
          <w:i/>
          <w:szCs w:val="24"/>
        </w:rPr>
        <w:t>through</w:t>
      </w:r>
      <w:r w:rsidR="004C7692">
        <w:rPr>
          <w:rFonts w:cs="Times New Roman"/>
          <w:szCs w:val="24"/>
        </w:rPr>
        <w:t xml:space="preserve"> their territory.</w:t>
      </w:r>
      <w:r w:rsidR="00A47F44">
        <w:rPr>
          <w:rStyle w:val="FootnoteReference"/>
          <w:rFonts w:cs="Times New Roman"/>
          <w:szCs w:val="24"/>
        </w:rPr>
        <w:footnoteReference w:id="109"/>
      </w:r>
      <w:r w:rsidR="004C7692">
        <w:rPr>
          <w:rFonts w:cs="Times New Roman"/>
          <w:szCs w:val="24"/>
        </w:rPr>
        <w:t xml:space="preserve"> If this were the case it would minimise the attribution problem associated with attacks ‘transitioning’ through a number of states, as all states that had computers on their territory through which the attack was routed would have a responsibility under the duty to take reasonable preventive steps. This would place an extremely onerous burden on states </w:t>
      </w:r>
      <w:r w:rsidR="004C7692" w:rsidRPr="00881CCA">
        <w:rPr>
          <w:rFonts w:cs="Times New Roman"/>
          <w:i/>
          <w:szCs w:val="24"/>
        </w:rPr>
        <w:t xml:space="preserve">from which the attack did not even </w:t>
      </w:r>
      <w:r w:rsidR="00585409">
        <w:rPr>
          <w:rFonts w:cs="Times New Roman"/>
          <w:i/>
          <w:szCs w:val="24"/>
        </w:rPr>
        <w:t xml:space="preserve">truly </w:t>
      </w:r>
      <w:r w:rsidR="004C7692" w:rsidRPr="00881CCA">
        <w:rPr>
          <w:rFonts w:cs="Times New Roman"/>
          <w:i/>
          <w:szCs w:val="24"/>
        </w:rPr>
        <w:t>originate</w:t>
      </w:r>
      <w:r w:rsidR="004C7692">
        <w:rPr>
          <w:rFonts w:cs="Times New Roman"/>
          <w:szCs w:val="24"/>
        </w:rPr>
        <w:t>, however, to the extent that expecting them to take steps to guard against cyber-attacks briefly ‘passing through’ might not be ‘reasonable’ (meaning that the duty would not be breached by a failure to take such steps</w:t>
      </w:r>
      <w:r>
        <w:rPr>
          <w:rFonts w:cs="Times New Roman"/>
          <w:szCs w:val="24"/>
        </w:rPr>
        <w:t xml:space="preserve"> in any event</w:t>
      </w:r>
      <w:r w:rsidR="004C7692">
        <w:rPr>
          <w:rFonts w:cs="Times New Roman"/>
          <w:szCs w:val="24"/>
        </w:rPr>
        <w:t>).</w:t>
      </w:r>
      <w:r w:rsidR="00D86752">
        <w:rPr>
          <w:rStyle w:val="FootnoteReference"/>
          <w:rFonts w:cs="Times New Roman"/>
          <w:szCs w:val="24"/>
        </w:rPr>
        <w:footnoteReference w:id="110"/>
      </w:r>
      <w:r w:rsidR="004C7692">
        <w:rPr>
          <w:rFonts w:cs="Times New Roman"/>
          <w:szCs w:val="24"/>
        </w:rPr>
        <w:t xml:space="preserve"> </w:t>
      </w:r>
      <w:r>
        <w:rPr>
          <w:rFonts w:cs="Times New Roman"/>
          <w:szCs w:val="24"/>
        </w:rPr>
        <w:t>Regardless</w:t>
      </w:r>
      <w:r w:rsidR="004C7692">
        <w:rPr>
          <w:rFonts w:cs="Times New Roman"/>
          <w:szCs w:val="24"/>
        </w:rPr>
        <w:t xml:space="preserve">, it is </w:t>
      </w:r>
      <w:r>
        <w:rPr>
          <w:rFonts w:cs="Times New Roman"/>
          <w:szCs w:val="24"/>
        </w:rPr>
        <w:t>important to note</w:t>
      </w:r>
      <w:r w:rsidR="004C7692">
        <w:rPr>
          <w:rFonts w:cs="Times New Roman"/>
          <w:szCs w:val="24"/>
        </w:rPr>
        <w:t xml:space="preserve"> that a</w:t>
      </w:r>
      <w:r w:rsidR="004C7692" w:rsidRPr="009B7225">
        <w:rPr>
          <w:rFonts w:cs="Times New Roman"/>
          <w:szCs w:val="24"/>
        </w:rPr>
        <w:t xml:space="preserve">ttribution problems </w:t>
      </w:r>
      <w:r w:rsidR="004C7692">
        <w:rPr>
          <w:rFonts w:cs="Times New Roman"/>
          <w:szCs w:val="24"/>
        </w:rPr>
        <w:t xml:space="preserve">certainly </w:t>
      </w:r>
      <w:r w:rsidR="004C7692" w:rsidRPr="009B7225">
        <w:rPr>
          <w:rFonts w:cs="Times New Roman"/>
          <w:szCs w:val="24"/>
        </w:rPr>
        <w:t>would not be overcome</w:t>
      </w:r>
      <w:r w:rsidR="004C7692">
        <w:rPr>
          <w:rFonts w:cs="Times New Roman"/>
          <w:szCs w:val="24"/>
        </w:rPr>
        <w:t xml:space="preserve"> by applying the duty of due diligence</w:t>
      </w:r>
      <w:r w:rsidR="004C7692" w:rsidRPr="009B7225">
        <w:rPr>
          <w:rFonts w:cs="Times New Roman"/>
          <w:szCs w:val="24"/>
        </w:rPr>
        <w:t xml:space="preserve">, but they would undoubtedly be </w:t>
      </w:r>
      <w:r w:rsidR="004C7692">
        <w:rPr>
          <w:rFonts w:cs="Times New Roman"/>
          <w:szCs w:val="24"/>
        </w:rPr>
        <w:t xml:space="preserve">significantly </w:t>
      </w:r>
      <w:r w:rsidR="004C7692" w:rsidRPr="009B7225">
        <w:rPr>
          <w:rFonts w:cs="Times New Roman"/>
          <w:szCs w:val="24"/>
        </w:rPr>
        <w:t>lessened</w:t>
      </w:r>
      <w:r w:rsidR="004C7692">
        <w:rPr>
          <w:rFonts w:cs="Times New Roman"/>
          <w:szCs w:val="24"/>
        </w:rPr>
        <w:t xml:space="preserve"> in comparison to the application of </w:t>
      </w:r>
      <w:r w:rsidR="00566DDD">
        <w:rPr>
          <w:rFonts w:cs="Times New Roman"/>
          <w:szCs w:val="24"/>
        </w:rPr>
        <w:t>a</w:t>
      </w:r>
      <w:r w:rsidR="004C7692">
        <w:rPr>
          <w:rFonts w:cs="Times New Roman"/>
          <w:szCs w:val="24"/>
        </w:rPr>
        <w:t>rticle 2(4)</w:t>
      </w:r>
      <w:r w:rsidR="004C7692" w:rsidRPr="009B7225">
        <w:rPr>
          <w:rFonts w:cs="Times New Roman"/>
          <w:szCs w:val="24"/>
        </w:rPr>
        <w:t xml:space="preserve">.  </w:t>
      </w:r>
    </w:p>
    <w:p w14:paraId="39DA72B9" w14:textId="185458C2" w:rsidR="009C7DEF" w:rsidRDefault="004C7692" w:rsidP="0017445E">
      <w:pPr>
        <w:spacing w:line="480" w:lineRule="auto"/>
        <w:ind w:firstLine="720"/>
        <w:jc w:val="both"/>
        <w:rPr>
          <w:rFonts w:cs="Times New Roman"/>
          <w:szCs w:val="24"/>
        </w:rPr>
      </w:pPr>
      <w:r>
        <w:rPr>
          <w:rFonts w:cs="Times New Roman"/>
          <w:szCs w:val="24"/>
        </w:rPr>
        <w:t>Another concern</w:t>
      </w:r>
      <w:r w:rsidR="005F66AB">
        <w:rPr>
          <w:rFonts w:cs="Times New Roman"/>
          <w:szCs w:val="24"/>
        </w:rPr>
        <w:t xml:space="preserve"> associated with the application of the duty of due diligence to the cyber realm is </w:t>
      </w:r>
      <w:r w:rsidR="000B5C4E" w:rsidRPr="009B7225">
        <w:rPr>
          <w:rFonts w:cs="Times New Roman"/>
          <w:szCs w:val="24"/>
        </w:rPr>
        <w:t>that</w:t>
      </w:r>
      <w:r w:rsidR="000B5C4E">
        <w:rPr>
          <w:rFonts w:cs="Times New Roman"/>
          <w:szCs w:val="24"/>
        </w:rPr>
        <w:t xml:space="preserve"> moving focus away from the </w:t>
      </w:r>
      <w:r w:rsidR="000B5C4E" w:rsidRPr="00520BAE">
        <w:rPr>
          <w:rFonts w:cs="Times New Roman"/>
          <w:i/>
          <w:szCs w:val="24"/>
        </w:rPr>
        <w:t>jus ad bellum</w:t>
      </w:r>
      <w:r w:rsidR="000B5C4E">
        <w:rPr>
          <w:rFonts w:cs="Times New Roman"/>
          <w:szCs w:val="24"/>
        </w:rPr>
        <w:t xml:space="preserve"> </w:t>
      </w:r>
      <w:r w:rsidR="005F66AB">
        <w:rPr>
          <w:rFonts w:cs="Times New Roman"/>
          <w:szCs w:val="24"/>
        </w:rPr>
        <w:t xml:space="preserve">may </w:t>
      </w:r>
      <w:r w:rsidR="000B5C4E">
        <w:rPr>
          <w:rFonts w:cs="Times New Roman"/>
          <w:szCs w:val="24"/>
        </w:rPr>
        <w:t>act to dangerously limit the ability of a state to defend itself against cyber threats</w:t>
      </w:r>
      <w:r w:rsidR="009C7DEF">
        <w:rPr>
          <w:rFonts w:cs="Times New Roman"/>
          <w:szCs w:val="24"/>
        </w:rPr>
        <w:t xml:space="preserve">. </w:t>
      </w:r>
      <w:r w:rsidR="00DA3550">
        <w:rPr>
          <w:rFonts w:cs="Times New Roman"/>
          <w:szCs w:val="24"/>
        </w:rPr>
        <w:t xml:space="preserve">A breach of </w:t>
      </w:r>
      <w:r w:rsidR="00566DDD">
        <w:rPr>
          <w:rFonts w:cs="Times New Roman"/>
          <w:szCs w:val="24"/>
        </w:rPr>
        <w:t>a</w:t>
      </w:r>
      <w:r w:rsidR="00BB3F74">
        <w:rPr>
          <w:rFonts w:cs="Times New Roman"/>
          <w:szCs w:val="24"/>
        </w:rPr>
        <w:t>rticle 2(4) will not necessarily, in itself, trigger the right for a state to use force in self-defence – this requires the occurrence of an ‘armed attack’,</w:t>
      </w:r>
      <w:r w:rsidR="009C7DEF">
        <w:rPr>
          <w:rStyle w:val="FootnoteReference"/>
          <w:rFonts w:cs="Times New Roman"/>
          <w:szCs w:val="24"/>
        </w:rPr>
        <w:footnoteReference w:id="111"/>
      </w:r>
      <w:r w:rsidR="00BB3F74">
        <w:rPr>
          <w:rFonts w:cs="Times New Roman"/>
          <w:szCs w:val="24"/>
        </w:rPr>
        <w:t xml:space="preserve"> which is </w:t>
      </w:r>
      <w:r w:rsidR="009C7DEF">
        <w:rPr>
          <w:rFonts w:cs="Times New Roman"/>
          <w:szCs w:val="24"/>
        </w:rPr>
        <w:t>an especially</w:t>
      </w:r>
      <w:r w:rsidR="00BB3F74">
        <w:rPr>
          <w:rFonts w:cs="Times New Roman"/>
          <w:szCs w:val="24"/>
        </w:rPr>
        <w:t xml:space="preserve"> ‘grave form</w:t>
      </w:r>
      <w:r w:rsidR="009C7DEF">
        <w:rPr>
          <w:rFonts w:cs="Times New Roman"/>
          <w:szCs w:val="24"/>
        </w:rPr>
        <w:t>’</w:t>
      </w:r>
      <w:r w:rsidR="00BB3F74">
        <w:rPr>
          <w:rFonts w:cs="Times New Roman"/>
          <w:szCs w:val="24"/>
        </w:rPr>
        <w:t xml:space="preserve"> of the use of force’</w:t>
      </w:r>
      <w:r w:rsidR="009C7DEF">
        <w:rPr>
          <w:rStyle w:val="FootnoteReference"/>
          <w:rFonts w:cs="Times New Roman"/>
          <w:szCs w:val="24"/>
        </w:rPr>
        <w:footnoteReference w:id="112"/>
      </w:r>
      <w:r w:rsidR="00BB3F74">
        <w:rPr>
          <w:rFonts w:cs="Times New Roman"/>
          <w:szCs w:val="24"/>
        </w:rPr>
        <w:t xml:space="preserve"> – but the </w:t>
      </w:r>
      <w:r w:rsidR="009C7DEF">
        <w:rPr>
          <w:rFonts w:cs="Times New Roman"/>
          <w:szCs w:val="24"/>
        </w:rPr>
        <w:t>prohibition of the use of force</w:t>
      </w:r>
      <w:r w:rsidR="00BB3F74">
        <w:rPr>
          <w:rFonts w:cs="Times New Roman"/>
          <w:szCs w:val="24"/>
        </w:rPr>
        <w:t xml:space="preserve"> does act as a ‘gateway’ to the right.</w:t>
      </w:r>
      <w:r w:rsidR="009C7DEF">
        <w:rPr>
          <w:rStyle w:val="FootnoteReference"/>
          <w:rFonts w:cs="Times New Roman"/>
          <w:szCs w:val="24"/>
        </w:rPr>
        <w:footnoteReference w:id="113"/>
      </w:r>
      <w:r w:rsidR="00BB3F74">
        <w:rPr>
          <w:rFonts w:cs="Times New Roman"/>
          <w:szCs w:val="24"/>
        </w:rPr>
        <w:t xml:space="preserve"> In other words, a </w:t>
      </w:r>
      <w:r w:rsidR="009C7DEF">
        <w:rPr>
          <w:rFonts w:cs="Times New Roman"/>
          <w:szCs w:val="24"/>
        </w:rPr>
        <w:t>violation</w:t>
      </w:r>
      <w:r w:rsidR="00BB3F74">
        <w:rPr>
          <w:rFonts w:cs="Times New Roman"/>
          <w:szCs w:val="24"/>
        </w:rPr>
        <w:t xml:space="preserve"> of </w:t>
      </w:r>
      <w:r w:rsidR="00566DDD">
        <w:rPr>
          <w:rFonts w:cs="Times New Roman"/>
          <w:szCs w:val="24"/>
        </w:rPr>
        <w:t>a</w:t>
      </w:r>
      <w:r w:rsidR="00BB3F74">
        <w:rPr>
          <w:rFonts w:cs="Times New Roman"/>
          <w:szCs w:val="24"/>
        </w:rPr>
        <w:t xml:space="preserve">rticle 2(4) is a necessary, but not sufficient condition for states to respond in self-defence. A breach of the </w:t>
      </w:r>
      <w:r w:rsidR="00DA3550">
        <w:rPr>
          <w:rFonts w:cs="Times New Roman"/>
          <w:szCs w:val="24"/>
        </w:rPr>
        <w:t xml:space="preserve">duty of due diligence </w:t>
      </w:r>
      <w:r w:rsidR="009C7DEF" w:rsidRPr="009C7DEF">
        <w:rPr>
          <w:rFonts w:cs="Times New Roman"/>
          <w:i/>
          <w:szCs w:val="24"/>
        </w:rPr>
        <w:t>simpliciter</w:t>
      </w:r>
      <w:r w:rsidR="009C7DEF">
        <w:rPr>
          <w:rFonts w:cs="Times New Roman"/>
          <w:szCs w:val="24"/>
        </w:rPr>
        <w:t xml:space="preserve"> </w:t>
      </w:r>
      <w:r w:rsidR="00DA3550">
        <w:rPr>
          <w:rFonts w:cs="Times New Roman"/>
          <w:szCs w:val="24"/>
        </w:rPr>
        <w:t xml:space="preserve">would </w:t>
      </w:r>
      <w:r w:rsidR="00BB3F74">
        <w:rPr>
          <w:rFonts w:cs="Times New Roman"/>
          <w:szCs w:val="24"/>
        </w:rPr>
        <w:t xml:space="preserve">therefore </w:t>
      </w:r>
      <w:r w:rsidR="00DA3550">
        <w:rPr>
          <w:rFonts w:cs="Times New Roman"/>
          <w:szCs w:val="24"/>
        </w:rPr>
        <w:t>not</w:t>
      </w:r>
      <w:r w:rsidR="00DC76F5">
        <w:rPr>
          <w:rFonts w:cs="Times New Roman"/>
          <w:szCs w:val="24"/>
        </w:rPr>
        <w:t>, in itself at least,</w:t>
      </w:r>
      <w:r w:rsidR="00DA3550">
        <w:rPr>
          <w:rFonts w:cs="Times New Roman"/>
          <w:szCs w:val="24"/>
        </w:rPr>
        <w:t xml:space="preserve"> trigger the right of self-defence</w:t>
      </w:r>
      <w:r w:rsidR="009C7DEF">
        <w:rPr>
          <w:rFonts w:cs="Times New Roman"/>
          <w:szCs w:val="24"/>
        </w:rPr>
        <w:t>.</w:t>
      </w:r>
      <w:r w:rsidR="009C7DEF">
        <w:rPr>
          <w:rStyle w:val="FootnoteReference"/>
          <w:rFonts w:cs="Times New Roman"/>
          <w:szCs w:val="24"/>
        </w:rPr>
        <w:footnoteReference w:id="114"/>
      </w:r>
      <w:r w:rsidR="009C7DEF">
        <w:rPr>
          <w:rFonts w:cs="Times New Roman"/>
          <w:szCs w:val="24"/>
        </w:rPr>
        <w:t xml:space="preserve"> </w:t>
      </w:r>
      <w:r w:rsidR="00DC76F5">
        <w:rPr>
          <w:rFonts w:cs="Times New Roman"/>
          <w:szCs w:val="24"/>
        </w:rPr>
        <w:t>O</w:t>
      </w:r>
      <w:r w:rsidR="009C7DEF">
        <w:rPr>
          <w:rFonts w:cs="Times New Roman"/>
          <w:szCs w:val="24"/>
        </w:rPr>
        <w:t xml:space="preserve">ne might </w:t>
      </w:r>
      <w:r w:rsidR="00DC76F5">
        <w:rPr>
          <w:rFonts w:cs="Times New Roman"/>
          <w:szCs w:val="24"/>
        </w:rPr>
        <w:t xml:space="preserve">therefore </w:t>
      </w:r>
      <w:r w:rsidR="009C7DEF">
        <w:rPr>
          <w:rFonts w:cs="Times New Roman"/>
          <w:szCs w:val="24"/>
        </w:rPr>
        <w:t>argue that</w:t>
      </w:r>
      <w:r w:rsidR="009C7DEF" w:rsidRPr="009B7225">
        <w:rPr>
          <w:rFonts w:cs="Times New Roman"/>
          <w:szCs w:val="24"/>
        </w:rPr>
        <w:t xml:space="preserve"> ‘it would not be of much consolation to the victim [of a large scale, devastating cyber-attack]</w:t>
      </w:r>
      <w:r w:rsidR="00566DDD">
        <w:rPr>
          <w:rFonts w:cs="Times New Roman"/>
          <w:szCs w:val="24"/>
        </w:rPr>
        <w:t xml:space="preserve"> </w:t>
      </w:r>
      <w:r w:rsidR="009C7DEF" w:rsidRPr="009B7225">
        <w:rPr>
          <w:rFonts w:cs="Times New Roman"/>
          <w:szCs w:val="24"/>
        </w:rPr>
        <w:t>…</w:t>
      </w:r>
      <w:r w:rsidR="00566DDD">
        <w:rPr>
          <w:rFonts w:cs="Times New Roman"/>
          <w:szCs w:val="24"/>
        </w:rPr>
        <w:t xml:space="preserve"> </w:t>
      </w:r>
      <w:r w:rsidR="009C7DEF" w:rsidRPr="009B7225">
        <w:rPr>
          <w:rFonts w:cs="Times New Roman"/>
          <w:szCs w:val="24"/>
        </w:rPr>
        <w:t>to know that it can hold the host state responsible for breaching its duty of due diligence’</w:t>
      </w:r>
      <w:r w:rsidR="00DC76F5">
        <w:rPr>
          <w:rFonts w:cs="Times New Roman"/>
          <w:szCs w:val="24"/>
        </w:rPr>
        <w:t>, if it cannot take forcible measures to defend itself</w:t>
      </w:r>
      <w:r w:rsidR="009C7DEF" w:rsidRPr="009B7225">
        <w:rPr>
          <w:rFonts w:cs="Times New Roman"/>
          <w:szCs w:val="24"/>
        </w:rPr>
        <w:t>.</w:t>
      </w:r>
      <w:r w:rsidR="009C7DEF" w:rsidRPr="009B7225">
        <w:rPr>
          <w:rStyle w:val="FootnoteReference"/>
          <w:rFonts w:cs="Times New Roman"/>
          <w:szCs w:val="24"/>
        </w:rPr>
        <w:footnoteReference w:id="115"/>
      </w:r>
      <w:r w:rsidR="009C7DEF" w:rsidRPr="009B7225">
        <w:rPr>
          <w:rFonts w:cs="Times New Roman"/>
          <w:szCs w:val="24"/>
        </w:rPr>
        <w:t xml:space="preserve"> </w:t>
      </w:r>
      <w:r w:rsidR="009C7DEF">
        <w:rPr>
          <w:rFonts w:cs="Times New Roman"/>
          <w:szCs w:val="24"/>
        </w:rPr>
        <w:t xml:space="preserve"> </w:t>
      </w:r>
    </w:p>
    <w:p w14:paraId="0C6FED17" w14:textId="47044D06" w:rsidR="000B5C4E" w:rsidRDefault="00AB1AE2" w:rsidP="0017445E">
      <w:pPr>
        <w:spacing w:line="480" w:lineRule="auto"/>
        <w:ind w:firstLine="720"/>
        <w:jc w:val="both"/>
        <w:rPr>
          <w:rFonts w:cs="Times New Roman"/>
          <w:szCs w:val="24"/>
        </w:rPr>
      </w:pPr>
      <w:r>
        <w:rPr>
          <w:rFonts w:cs="Times New Roman"/>
          <w:szCs w:val="24"/>
        </w:rPr>
        <w:t>This concern certainly should not be dismissed: h</w:t>
      </w:r>
      <w:r w:rsidR="000B5C4E">
        <w:rPr>
          <w:rFonts w:cs="Times New Roman"/>
          <w:szCs w:val="24"/>
        </w:rPr>
        <w:t>owever, i</w:t>
      </w:r>
      <w:r w:rsidR="000B5C4E" w:rsidRPr="009B7225">
        <w:rPr>
          <w:rFonts w:cs="Times New Roman"/>
          <w:szCs w:val="24"/>
        </w:rPr>
        <w:t xml:space="preserve">t is not argued herein that the </w:t>
      </w:r>
      <w:r w:rsidR="000B5C4E" w:rsidRPr="009B7225">
        <w:rPr>
          <w:rFonts w:cs="Times New Roman"/>
          <w:i/>
          <w:szCs w:val="24"/>
        </w:rPr>
        <w:t>jus ad bellum</w:t>
      </w:r>
      <w:r w:rsidR="000B5C4E" w:rsidRPr="009B7225">
        <w:rPr>
          <w:rFonts w:cs="Times New Roman"/>
          <w:szCs w:val="24"/>
        </w:rPr>
        <w:t xml:space="preserve"> has, or should have, </w:t>
      </w:r>
      <w:r w:rsidR="000B5C4E" w:rsidRPr="000B5C4E">
        <w:rPr>
          <w:rFonts w:cs="Times New Roman"/>
          <w:i/>
          <w:szCs w:val="24"/>
        </w:rPr>
        <w:t>no role</w:t>
      </w:r>
      <w:r w:rsidR="000B5C4E" w:rsidRPr="009B7225">
        <w:rPr>
          <w:rFonts w:cs="Times New Roman"/>
          <w:szCs w:val="24"/>
        </w:rPr>
        <w:t xml:space="preserve"> in the legal regulation of cyber activity. In cases of extreme, large-scale disaster</w:t>
      </w:r>
      <w:r w:rsidR="000B5C4E">
        <w:rPr>
          <w:rFonts w:cs="Times New Roman"/>
          <w:szCs w:val="24"/>
        </w:rPr>
        <w:t xml:space="preserve"> caused by a cyber-attack</w:t>
      </w:r>
      <w:r w:rsidR="000B5C4E" w:rsidRPr="009B7225">
        <w:rPr>
          <w:rFonts w:cs="Times New Roman"/>
          <w:szCs w:val="24"/>
        </w:rPr>
        <w:t xml:space="preserve"> – a ‘cyber 9/11’ – it is fairl</w:t>
      </w:r>
      <w:r w:rsidR="000B5C4E">
        <w:rPr>
          <w:rFonts w:cs="Times New Roman"/>
          <w:szCs w:val="24"/>
        </w:rPr>
        <w:t xml:space="preserve">y clear that </w:t>
      </w:r>
      <w:r w:rsidR="005550EF">
        <w:rPr>
          <w:rFonts w:cs="Times New Roman"/>
          <w:szCs w:val="24"/>
        </w:rPr>
        <w:t xml:space="preserve">not only will a </w:t>
      </w:r>
      <w:r w:rsidR="005550EF" w:rsidRPr="005550EF">
        <w:rPr>
          <w:rFonts w:cs="Times New Roman"/>
          <w:i/>
          <w:szCs w:val="24"/>
        </w:rPr>
        <w:t>prima facie</w:t>
      </w:r>
      <w:r w:rsidR="005550EF">
        <w:rPr>
          <w:rFonts w:cs="Times New Roman"/>
          <w:szCs w:val="24"/>
        </w:rPr>
        <w:t xml:space="preserve"> breach of </w:t>
      </w:r>
      <w:r w:rsidR="00566DDD">
        <w:rPr>
          <w:rFonts w:cs="Times New Roman"/>
          <w:szCs w:val="24"/>
        </w:rPr>
        <w:t>a</w:t>
      </w:r>
      <w:r w:rsidR="005550EF">
        <w:rPr>
          <w:rFonts w:cs="Times New Roman"/>
          <w:szCs w:val="24"/>
        </w:rPr>
        <w:t xml:space="preserve">rticle 2(4) have occurred, but one rising to a sufficient level of gravity so as to trigger </w:t>
      </w:r>
      <w:r w:rsidR="000B5C4E">
        <w:rPr>
          <w:rFonts w:cs="Times New Roman"/>
          <w:szCs w:val="24"/>
        </w:rPr>
        <w:t>the right of self-defence.</w:t>
      </w:r>
      <w:r w:rsidR="005F66AB">
        <w:rPr>
          <w:rStyle w:val="FootnoteReference"/>
          <w:rFonts w:cs="Times New Roman"/>
          <w:szCs w:val="24"/>
        </w:rPr>
        <w:footnoteReference w:id="116"/>
      </w:r>
      <w:r w:rsidR="000B5C4E">
        <w:rPr>
          <w:rFonts w:cs="Times New Roman"/>
          <w:szCs w:val="24"/>
        </w:rPr>
        <w:t xml:space="preserve"> This will also likely be the most appropriate response</w:t>
      </w:r>
      <w:r>
        <w:rPr>
          <w:rFonts w:cs="Times New Roman"/>
          <w:szCs w:val="24"/>
        </w:rPr>
        <w:t xml:space="preserve"> in such extreme cases</w:t>
      </w:r>
      <w:r w:rsidR="000B5C4E">
        <w:rPr>
          <w:rFonts w:cs="Times New Roman"/>
          <w:szCs w:val="24"/>
        </w:rPr>
        <w:t xml:space="preserve">: or, at least, it would be naive to expect that </w:t>
      </w:r>
      <w:r w:rsidR="000B5C4E" w:rsidRPr="009B7225">
        <w:rPr>
          <w:rFonts w:cs="Times New Roman"/>
          <w:szCs w:val="24"/>
        </w:rPr>
        <w:t xml:space="preserve">states </w:t>
      </w:r>
      <w:r w:rsidR="000B5C4E">
        <w:rPr>
          <w:rFonts w:cs="Times New Roman"/>
          <w:szCs w:val="24"/>
        </w:rPr>
        <w:t>would</w:t>
      </w:r>
      <w:r w:rsidR="000B5C4E" w:rsidRPr="009B7225">
        <w:rPr>
          <w:rFonts w:cs="Times New Roman"/>
          <w:szCs w:val="24"/>
        </w:rPr>
        <w:t xml:space="preserve"> refrain from a military response </w:t>
      </w:r>
      <w:r w:rsidR="000B5C4E">
        <w:rPr>
          <w:rFonts w:cs="Times New Roman"/>
          <w:szCs w:val="24"/>
        </w:rPr>
        <w:t>having suffered</w:t>
      </w:r>
      <w:r w:rsidR="000B5C4E" w:rsidRPr="009B7225">
        <w:rPr>
          <w:rFonts w:cs="Times New Roman"/>
          <w:szCs w:val="24"/>
        </w:rPr>
        <w:t xml:space="preserve"> a catastrophic attack</w:t>
      </w:r>
      <w:r w:rsidR="000B5C4E">
        <w:rPr>
          <w:rFonts w:cs="Times New Roman"/>
          <w:szCs w:val="24"/>
        </w:rPr>
        <w:t xml:space="preserve"> (</w:t>
      </w:r>
      <w:r w:rsidR="00DA3550">
        <w:rPr>
          <w:rFonts w:cs="Times New Roman"/>
          <w:szCs w:val="24"/>
        </w:rPr>
        <w:t>irrespective of</w:t>
      </w:r>
      <w:r>
        <w:rPr>
          <w:rFonts w:cs="Times New Roman"/>
          <w:szCs w:val="24"/>
        </w:rPr>
        <w:t xml:space="preserve"> </w:t>
      </w:r>
      <w:r w:rsidR="000B5C4E">
        <w:rPr>
          <w:rFonts w:cs="Times New Roman"/>
          <w:szCs w:val="24"/>
        </w:rPr>
        <w:t>the inherent attribution issues involved in identifying the perpetrator</w:t>
      </w:r>
      <w:r w:rsidR="00FC1490">
        <w:rPr>
          <w:rFonts w:cs="Times New Roman"/>
          <w:szCs w:val="24"/>
        </w:rPr>
        <w:t xml:space="preserve"> against which</w:t>
      </w:r>
      <w:r>
        <w:rPr>
          <w:rFonts w:cs="Times New Roman"/>
          <w:szCs w:val="24"/>
        </w:rPr>
        <w:t xml:space="preserve"> it should respond</w:t>
      </w:r>
      <w:r w:rsidR="000B5C4E">
        <w:rPr>
          <w:rFonts w:cs="Times New Roman"/>
          <w:szCs w:val="24"/>
        </w:rPr>
        <w:t>).</w:t>
      </w:r>
      <w:r w:rsidR="00FC1490">
        <w:rPr>
          <w:rFonts w:cs="Times New Roman"/>
          <w:szCs w:val="24"/>
        </w:rPr>
        <w:t xml:space="preserve">  </w:t>
      </w:r>
      <w:r w:rsidR="00881CCA">
        <w:rPr>
          <w:rFonts w:cs="Times New Roman"/>
          <w:szCs w:val="24"/>
        </w:rPr>
        <w:t xml:space="preserve">It is also worth </w:t>
      </w:r>
      <w:r w:rsidR="004C7692">
        <w:rPr>
          <w:rFonts w:cs="Times New Roman"/>
          <w:szCs w:val="24"/>
        </w:rPr>
        <w:t xml:space="preserve">remembering </w:t>
      </w:r>
      <w:r w:rsidR="00881CCA">
        <w:rPr>
          <w:rFonts w:cs="Times New Roman"/>
          <w:szCs w:val="24"/>
        </w:rPr>
        <w:t xml:space="preserve">that </w:t>
      </w:r>
      <w:r w:rsidR="000B5C4E">
        <w:rPr>
          <w:rFonts w:cs="Times New Roman"/>
          <w:szCs w:val="24"/>
        </w:rPr>
        <w:t>while a breach of the duty would not</w:t>
      </w:r>
      <w:r w:rsidR="00DA3550">
        <w:rPr>
          <w:rFonts w:cs="Times New Roman"/>
          <w:szCs w:val="24"/>
        </w:rPr>
        <w:t xml:space="preserve"> allow for</w:t>
      </w:r>
      <w:r w:rsidR="000B5C4E">
        <w:rPr>
          <w:rFonts w:cs="Times New Roman"/>
          <w:szCs w:val="24"/>
        </w:rPr>
        <w:t xml:space="preserve"> self-defence</w:t>
      </w:r>
      <w:r w:rsidR="00DA3550">
        <w:rPr>
          <w:rFonts w:cs="Times New Roman"/>
          <w:szCs w:val="24"/>
        </w:rPr>
        <w:t xml:space="preserve"> in response</w:t>
      </w:r>
      <w:r w:rsidR="000B5C4E">
        <w:rPr>
          <w:rFonts w:cs="Times New Roman"/>
          <w:szCs w:val="24"/>
        </w:rPr>
        <w:t>, it can give rise to the right of the victim state to take</w:t>
      </w:r>
      <w:r w:rsidR="00A267B6">
        <w:rPr>
          <w:rFonts w:cs="Times New Roman"/>
          <w:szCs w:val="24"/>
        </w:rPr>
        <w:t xml:space="preserve"> non-forcible countermeasures.</w:t>
      </w:r>
      <w:r w:rsidR="00031659">
        <w:rPr>
          <w:rStyle w:val="FootnoteReference"/>
          <w:rFonts w:cs="Times New Roman"/>
          <w:szCs w:val="24"/>
        </w:rPr>
        <w:footnoteReference w:id="117"/>
      </w:r>
      <w:r w:rsidR="00A267B6">
        <w:rPr>
          <w:rFonts w:cs="Times New Roman"/>
          <w:szCs w:val="24"/>
        </w:rPr>
        <w:t xml:space="preserve"> I</w:t>
      </w:r>
      <w:r w:rsidR="000B5C4E">
        <w:rPr>
          <w:rFonts w:cs="Times New Roman"/>
          <w:szCs w:val="24"/>
        </w:rPr>
        <w:t>t is not as though states would be left with no recourse.  T</w:t>
      </w:r>
      <w:r w:rsidR="000B5C4E" w:rsidRPr="009B7225">
        <w:rPr>
          <w:rFonts w:cs="Times New Roman"/>
          <w:szCs w:val="24"/>
        </w:rPr>
        <w:t xml:space="preserve">he </w:t>
      </w:r>
      <w:r w:rsidR="000B5C4E" w:rsidRPr="000B5C4E">
        <w:rPr>
          <w:rFonts w:cs="Times New Roman"/>
          <w:i/>
          <w:szCs w:val="24"/>
        </w:rPr>
        <w:t>jus ad bellum</w:t>
      </w:r>
      <w:r w:rsidR="000B5C4E">
        <w:rPr>
          <w:rFonts w:cs="Times New Roman"/>
          <w:szCs w:val="24"/>
        </w:rPr>
        <w:t>, and the right of self-defence in particular,</w:t>
      </w:r>
      <w:r w:rsidR="000B5C4E" w:rsidRPr="009B7225">
        <w:rPr>
          <w:rFonts w:cs="Times New Roman"/>
          <w:szCs w:val="24"/>
        </w:rPr>
        <w:t xml:space="preserve"> should </w:t>
      </w:r>
      <w:r w:rsidR="00881CCA">
        <w:rPr>
          <w:rFonts w:cs="Times New Roman"/>
          <w:szCs w:val="24"/>
        </w:rPr>
        <w:t xml:space="preserve">not be </w:t>
      </w:r>
      <w:r w:rsidR="000B5C4E">
        <w:rPr>
          <w:rFonts w:cs="Times New Roman"/>
          <w:szCs w:val="24"/>
        </w:rPr>
        <w:t xml:space="preserve">taken off the </w:t>
      </w:r>
      <w:r w:rsidR="00881CCA">
        <w:rPr>
          <w:rFonts w:cs="Times New Roman"/>
          <w:szCs w:val="24"/>
        </w:rPr>
        <w:t xml:space="preserve">cyber </w:t>
      </w:r>
      <w:r w:rsidR="000B5C4E">
        <w:rPr>
          <w:rFonts w:cs="Times New Roman"/>
          <w:szCs w:val="24"/>
        </w:rPr>
        <w:t xml:space="preserve">table, but should nonetheless </w:t>
      </w:r>
      <w:r w:rsidR="000B5C4E" w:rsidRPr="009B7225">
        <w:rPr>
          <w:rFonts w:cs="Times New Roman"/>
          <w:szCs w:val="24"/>
        </w:rPr>
        <w:t>be situated at the marg</w:t>
      </w:r>
      <w:r w:rsidR="00A267B6">
        <w:rPr>
          <w:rFonts w:cs="Times New Roman"/>
          <w:szCs w:val="24"/>
        </w:rPr>
        <w:t>ins of the cyber threats debate:</w:t>
      </w:r>
      <w:r w:rsidR="000B5C4E" w:rsidRPr="009B7225">
        <w:rPr>
          <w:rFonts w:cs="Times New Roman"/>
          <w:szCs w:val="24"/>
        </w:rPr>
        <w:t xml:space="preserve"> to only be called upon where absolutely necessary</w:t>
      </w:r>
      <w:r w:rsidR="000B5C4E">
        <w:rPr>
          <w:rFonts w:cs="Times New Roman"/>
          <w:szCs w:val="24"/>
        </w:rPr>
        <w:t xml:space="preserve"> and in the most extreme cases.</w:t>
      </w:r>
    </w:p>
    <w:p w14:paraId="3CE74294" w14:textId="20A9548F" w:rsidR="00EE71EC" w:rsidRDefault="001E62DF" w:rsidP="0017445E">
      <w:pPr>
        <w:spacing w:line="480" w:lineRule="auto"/>
        <w:ind w:firstLine="720"/>
        <w:jc w:val="both"/>
        <w:rPr>
          <w:rFonts w:cs="Times New Roman"/>
          <w:szCs w:val="24"/>
        </w:rPr>
      </w:pPr>
      <w:r w:rsidRPr="0047056A">
        <w:rPr>
          <w:rFonts w:cs="Times New Roman"/>
          <w:szCs w:val="24"/>
        </w:rPr>
        <w:t xml:space="preserve">Finally, </w:t>
      </w:r>
      <w:r w:rsidR="0024445E" w:rsidRPr="0047056A">
        <w:rPr>
          <w:rFonts w:cs="Times New Roman"/>
          <w:szCs w:val="24"/>
        </w:rPr>
        <w:t xml:space="preserve">it is important to note that the greatest strength of the duty of due diligence is also its </w:t>
      </w:r>
      <w:r w:rsidR="00781BCE">
        <w:rPr>
          <w:rFonts w:cs="Times New Roman"/>
          <w:szCs w:val="24"/>
        </w:rPr>
        <w:t>most significant</w:t>
      </w:r>
      <w:r w:rsidR="00781BCE" w:rsidRPr="0047056A">
        <w:rPr>
          <w:rFonts w:cs="Times New Roman"/>
          <w:szCs w:val="24"/>
        </w:rPr>
        <w:t xml:space="preserve"> </w:t>
      </w:r>
      <w:r w:rsidR="0024445E" w:rsidRPr="0047056A">
        <w:rPr>
          <w:rFonts w:cs="Times New Roman"/>
          <w:szCs w:val="24"/>
        </w:rPr>
        <w:t>limitation.</w:t>
      </w:r>
      <w:r w:rsidR="0047056A" w:rsidRPr="0047056A">
        <w:rPr>
          <w:rStyle w:val="FootnoteReference"/>
          <w:rFonts w:cs="Times New Roman"/>
          <w:szCs w:val="24"/>
        </w:rPr>
        <w:footnoteReference w:id="118"/>
      </w:r>
      <w:r w:rsidR="0024445E" w:rsidRPr="0047056A">
        <w:rPr>
          <w:rFonts w:cs="Times New Roman"/>
          <w:szCs w:val="24"/>
        </w:rPr>
        <w:t xml:space="preserve"> The duty</w:t>
      </w:r>
      <w:r w:rsidR="0047056A" w:rsidRPr="0047056A">
        <w:rPr>
          <w:rFonts w:cs="Times New Roman"/>
          <w:szCs w:val="24"/>
        </w:rPr>
        <w:t>’s value is to be found in its</w:t>
      </w:r>
      <w:r w:rsidR="0024445E" w:rsidRPr="0047056A">
        <w:rPr>
          <w:rFonts w:cs="Times New Roman"/>
          <w:szCs w:val="24"/>
        </w:rPr>
        <w:t xml:space="preserve"> flexib</w:t>
      </w:r>
      <w:r w:rsidR="0047056A" w:rsidRPr="0047056A">
        <w:rPr>
          <w:rFonts w:cs="Times New Roman"/>
          <w:szCs w:val="24"/>
        </w:rPr>
        <w:t>ility</w:t>
      </w:r>
      <w:r w:rsidR="0024445E" w:rsidRPr="0047056A">
        <w:rPr>
          <w:rFonts w:cs="Times New Roman"/>
          <w:szCs w:val="24"/>
        </w:rPr>
        <w:t xml:space="preserve">: it can be (and </w:t>
      </w:r>
      <w:r w:rsidR="0024445E" w:rsidRPr="0047056A">
        <w:rPr>
          <w:rFonts w:cs="Times New Roman"/>
          <w:i/>
          <w:szCs w:val="24"/>
        </w:rPr>
        <w:t>has been</w:t>
      </w:r>
      <w:r w:rsidR="0024445E" w:rsidRPr="0047056A">
        <w:rPr>
          <w:rFonts w:cs="Times New Roman"/>
          <w:szCs w:val="24"/>
        </w:rPr>
        <w:t xml:space="preserve">) adapted to numerous differing areas of international concern, and can realistically take into account what individual states can in fact achieve, and </w:t>
      </w:r>
      <w:r w:rsidR="0024445E" w:rsidRPr="0047056A">
        <w:rPr>
          <w:rFonts w:cs="Times New Roman"/>
          <w:i/>
          <w:szCs w:val="24"/>
        </w:rPr>
        <w:t>be expected</w:t>
      </w:r>
      <w:r w:rsidR="0024445E" w:rsidRPr="0047056A">
        <w:rPr>
          <w:rFonts w:cs="Times New Roman"/>
          <w:szCs w:val="24"/>
        </w:rPr>
        <w:t xml:space="preserve"> to achieve, in terms of securing against extra-territorial harm.</w:t>
      </w:r>
      <w:r w:rsidR="0047056A" w:rsidRPr="0047056A">
        <w:rPr>
          <w:rFonts w:cs="Times New Roman"/>
          <w:szCs w:val="24"/>
        </w:rPr>
        <w:t xml:space="preserve"> However, this flexibility also </w:t>
      </w:r>
      <w:r w:rsidR="0024445E" w:rsidRPr="0047056A">
        <w:rPr>
          <w:rFonts w:cs="Times New Roman"/>
          <w:szCs w:val="24"/>
        </w:rPr>
        <w:t xml:space="preserve">means that it can be </w:t>
      </w:r>
      <w:r w:rsidR="0047056A" w:rsidRPr="0047056A">
        <w:rPr>
          <w:rFonts w:cs="Times New Roman"/>
          <w:szCs w:val="24"/>
        </w:rPr>
        <w:t xml:space="preserve">very </w:t>
      </w:r>
      <w:r w:rsidR="0024445E" w:rsidRPr="0047056A">
        <w:rPr>
          <w:rFonts w:cs="Times New Roman"/>
          <w:szCs w:val="24"/>
        </w:rPr>
        <w:t xml:space="preserve">difficult to identify exactly what actions </w:t>
      </w:r>
      <w:r w:rsidR="0047056A" w:rsidRPr="0047056A">
        <w:rPr>
          <w:rFonts w:cs="Times New Roman"/>
          <w:szCs w:val="24"/>
        </w:rPr>
        <w:t>the duty</w:t>
      </w:r>
      <w:r w:rsidR="0024445E" w:rsidRPr="0047056A">
        <w:rPr>
          <w:rFonts w:cs="Times New Roman"/>
          <w:szCs w:val="24"/>
        </w:rPr>
        <w:t xml:space="preserve"> obliges a particular state to take in any given circumstance.</w:t>
      </w:r>
      <w:r w:rsidR="0047056A" w:rsidRPr="0047056A">
        <w:rPr>
          <w:rStyle w:val="FootnoteReference"/>
          <w:rFonts w:cs="Times New Roman"/>
          <w:szCs w:val="24"/>
        </w:rPr>
        <w:footnoteReference w:id="119"/>
      </w:r>
      <w:r w:rsidR="00DA3550">
        <w:rPr>
          <w:rFonts w:cs="Times New Roman"/>
          <w:szCs w:val="24"/>
        </w:rPr>
        <w:t xml:space="preserve"> The relatively limited engagement by states with the duty’s role in the cyber context means that there is as yet almost no understanding of what the duty would require</w:t>
      </w:r>
      <w:r w:rsidR="00EE71EC">
        <w:rPr>
          <w:rFonts w:cs="Times New Roman"/>
          <w:szCs w:val="24"/>
        </w:rPr>
        <w:t xml:space="preserve">. At present, it is unclear exactly what practical, ‘reasonable’ steps states would need to take to comply with the duty in the cyber context: </w:t>
      </w:r>
    </w:p>
    <w:p w14:paraId="76DDC25F" w14:textId="77777777" w:rsidR="007C4D6B" w:rsidRDefault="007C4D6B" w:rsidP="0017445E">
      <w:pPr>
        <w:spacing w:line="480" w:lineRule="auto"/>
        <w:ind w:firstLine="720"/>
        <w:jc w:val="both"/>
        <w:rPr>
          <w:rFonts w:cs="Times New Roman"/>
          <w:szCs w:val="24"/>
        </w:rPr>
      </w:pPr>
    </w:p>
    <w:p w14:paraId="0EF1FC96" w14:textId="77777777" w:rsidR="00DA3550" w:rsidRDefault="00EE71EC" w:rsidP="0017445E">
      <w:pPr>
        <w:spacing w:line="480" w:lineRule="auto"/>
        <w:ind w:left="567" w:right="567"/>
        <w:jc w:val="both"/>
        <w:rPr>
          <w:szCs w:val="24"/>
        </w:rPr>
      </w:pPr>
      <w:r w:rsidRPr="00566DDD">
        <w:rPr>
          <w:szCs w:val="24"/>
        </w:rPr>
        <w:t xml:space="preserve">Some of the crucial, so far largely unanswered legal questions, deriving from this generally accepted, yet quite general, concept of due diligence, relate, when it comes to ‘cyber space’, to the specific content of such due diligence obligations, </w:t>
      </w:r>
      <w:r w:rsidRPr="00566DDD">
        <w:rPr>
          <w:iCs/>
          <w:szCs w:val="24"/>
        </w:rPr>
        <w:t>i.e.</w:t>
      </w:r>
      <w:r w:rsidRPr="00566DDD">
        <w:rPr>
          <w:i/>
          <w:iCs/>
          <w:szCs w:val="24"/>
        </w:rPr>
        <w:t xml:space="preserve"> </w:t>
      </w:r>
      <w:r w:rsidRPr="00566DDD">
        <w:rPr>
          <w:szCs w:val="24"/>
        </w:rPr>
        <w:t xml:space="preserve">to </w:t>
      </w:r>
      <w:r w:rsidRPr="00566DDD">
        <w:rPr>
          <w:i/>
          <w:szCs w:val="24"/>
        </w:rPr>
        <w:t>the question of what level of precautions a State has to undertake</w:t>
      </w:r>
      <w:r w:rsidRPr="00566DDD">
        <w:rPr>
          <w:szCs w:val="24"/>
        </w:rPr>
        <w:t>, taking into account its level of technological development.</w:t>
      </w:r>
      <w:r w:rsidRPr="00575E42">
        <w:rPr>
          <w:rStyle w:val="FootnoteReference"/>
          <w:szCs w:val="24"/>
        </w:rPr>
        <w:footnoteReference w:id="120"/>
      </w:r>
    </w:p>
    <w:p w14:paraId="02D9BB95" w14:textId="77777777" w:rsidR="009D70A0" w:rsidRPr="00566DDD" w:rsidRDefault="009D70A0" w:rsidP="0017445E">
      <w:pPr>
        <w:spacing w:line="480" w:lineRule="auto"/>
        <w:ind w:left="567" w:right="567"/>
        <w:jc w:val="both"/>
        <w:rPr>
          <w:rFonts w:cs="Times New Roman"/>
          <w:szCs w:val="24"/>
        </w:rPr>
      </w:pPr>
    </w:p>
    <w:p w14:paraId="7473D1A4" w14:textId="78ECD2E3" w:rsidR="0047056A" w:rsidRDefault="008847E5" w:rsidP="0017445E">
      <w:pPr>
        <w:spacing w:line="480" w:lineRule="auto"/>
        <w:ind w:firstLine="720"/>
        <w:jc w:val="both"/>
        <w:rPr>
          <w:rFonts w:cs="Times New Roman"/>
          <w:szCs w:val="24"/>
        </w:rPr>
      </w:pPr>
      <w:r w:rsidRPr="00EE71EC">
        <w:rPr>
          <w:rFonts w:cs="Times New Roman"/>
          <w:szCs w:val="24"/>
        </w:rPr>
        <w:t>In any conte</w:t>
      </w:r>
      <w:r>
        <w:rPr>
          <w:rFonts w:cs="Times New Roman"/>
          <w:szCs w:val="24"/>
        </w:rPr>
        <w:t>xt, the duty</w:t>
      </w:r>
      <w:r w:rsidR="00B01D1B">
        <w:rPr>
          <w:rFonts w:cs="Times New Roman"/>
          <w:szCs w:val="24"/>
        </w:rPr>
        <w:t xml:space="preserve"> of due diligence</w:t>
      </w:r>
      <w:r>
        <w:rPr>
          <w:rFonts w:cs="Times New Roman"/>
          <w:szCs w:val="24"/>
        </w:rPr>
        <w:t xml:space="preserve"> will</w:t>
      </w:r>
      <w:r w:rsidR="002C16CA">
        <w:rPr>
          <w:rFonts w:cs="Times New Roman"/>
          <w:szCs w:val="24"/>
        </w:rPr>
        <w:t>,</w:t>
      </w:r>
      <w:r>
        <w:rPr>
          <w:rFonts w:cs="Times New Roman"/>
          <w:szCs w:val="24"/>
        </w:rPr>
        <w:t xml:space="preserve"> in </w:t>
      </w:r>
      <w:r w:rsidR="002C16CA">
        <w:rPr>
          <w:rFonts w:cs="Times New Roman"/>
          <w:szCs w:val="24"/>
        </w:rPr>
        <w:t>effect,</w:t>
      </w:r>
      <w:r>
        <w:rPr>
          <w:rFonts w:cs="Times New Roman"/>
          <w:szCs w:val="24"/>
        </w:rPr>
        <w:t xml:space="preserve"> be comprised on a number of smaller duties.</w:t>
      </w:r>
      <w:r w:rsidR="00B01D1B">
        <w:rPr>
          <w:rStyle w:val="FootnoteReference"/>
          <w:rFonts w:cs="Times New Roman"/>
          <w:szCs w:val="24"/>
        </w:rPr>
        <w:footnoteReference w:id="121"/>
      </w:r>
      <w:r>
        <w:rPr>
          <w:rFonts w:cs="Times New Roman"/>
          <w:szCs w:val="24"/>
        </w:rPr>
        <w:t xml:space="preserve"> </w:t>
      </w:r>
      <w:r w:rsidR="004C7692">
        <w:rPr>
          <w:rFonts w:cs="Times New Roman"/>
          <w:szCs w:val="24"/>
        </w:rPr>
        <w:t>I</w:t>
      </w:r>
      <w:r>
        <w:rPr>
          <w:rFonts w:cs="Times New Roman"/>
          <w:szCs w:val="24"/>
        </w:rPr>
        <w:t xml:space="preserve">n relation to cyberspace, </w:t>
      </w:r>
      <w:r w:rsidR="00EE71EC">
        <w:rPr>
          <w:rFonts w:cs="Times New Roman"/>
          <w:szCs w:val="24"/>
        </w:rPr>
        <w:t>states are yet to elucidate what these ‘sub-duties’ are.</w:t>
      </w:r>
      <w:r w:rsidR="007F7A3C">
        <w:rPr>
          <w:rStyle w:val="FootnoteReference"/>
          <w:rFonts w:cs="Times New Roman"/>
          <w:szCs w:val="24"/>
        </w:rPr>
        <w:footnoteReference w:id="122"/>
      </w:r>
      <w:r w:rsidR="00EE71EC">
        <w:rPr>
          <w:rFonts w:cs="Times New Roman"/>
          <w:szCs w:val="24"/>
        </w:rPr>
        <w:t xml:space="preserve"> Similarly, academics have not yet provided much guidance </w:t>
      </w:r>
      <w:r w:rsidR="00BB3F74">
        <w:rPr>
          <w:rFonts w:cs="Times New Roman"/>
          <w:szCs w:val="24"/>
        </w:rPr>
        <w:t>either</w:t>
      </w:r>
      <w:r w:rsidR="00EE71EC">
        <w:rPr>
          <w:rFonts w:cs="Times New Roman"/>
          <w:szCs w:val="24"/>
        </w:rPr>
        <w:t xml:space="preserve">, although there have been tentative suggestions that the duty might require, </w:t>
      </w:r>
      <w:r w:rsidR="00EE71EC" w:rsidRPr="00EE71EC">
        <w:rPr>
          <w:rFonts w:cs="Times New Roman"/>
          <w:i/>
          <w:szCs w:val="24"/>
        </w:rPr>
        <w:t>inter alia</w:t>
      </w:r>
      <w:r w:rsidR="00EE71EC">
        <w:rPr>
          <w:rFonts w:cs="Times New Roman"/>
          <w:szCs w:val="24"/>
        </w:rPr>
        <w:t>, obligations to</w:t>
      </w:r>
      <w:r>
        <w:rPr>
          <w:rFonts w:cs="Times New Roman"/>
          <w:szCs w:val="24"/>
        </w:rPr>
        <w:t xml:space="preserve"> prosecut</w:t>
      </w:r>
      <w:r w:rsidR="00EE71EC">
        <w:rPr>
          <w:rFonts w:cs="Times New Roman"/>
          <w:szCs w:val="24"/>
        </w:rPr>
        <w:t>e</w:t>
      </w:r>
      <w:r>
        <w:rPr>
          <w:rFonts w:cs="Times New Roman"/>
          <w:szCs w:val="24"/>
        </w:rPr>
        <w:t xml:space="preserve"> cyber-attackers, </w:t>
      </w:r>
      <w:r w:rsidR="00EE71EC">
        <w:rPr>
          <w:rFonts w:cs="Times New Roman"/>
          <w:szCs w:val="24"/>
        </w:rPr>
        <w:t xml:space="preserve">to </w:t>
      </w:r>
      <w:r w:rsidR="00940EB0">
        <w:rPr>
          <w:rFonts w:cs="Times New Roman"/>
          <w:szCs w:val="24"/>
        </w:rPr>
        <w:t>spend on</w:t>
      </w:r>
      <w:r>
        <w:rPr>
          <w:rFonts w:cs="Times New Roman"/>
          <w:szCs w:val="24"/>
        </w:rPr>
        <w:t xml:space="preserve"> cyber investigation</w:t>
      </w:r>
      <w:r w:rsidR="00940EB0">
        <w:rPr>
          <w:rFonts w:cs="Times New Roman"/>
          <w:szCs w:val="24"/>
        </w:rPr>
        <w:t>, review</w:t>
      </w:r>
      <w:r>
        <w:rPr>
          <w:rFonts w:cs="Times New Roman"/>
          <w:szCs w:val="24"/>
        </w:rPr>
        <w:t xml:space="preserve"> </w:t>
      </w:r>
      <w:r w:rsidR="00BB3F74">
        <w:rPr>
          <w:rFonts w:cs="Times New Roman"/>
          <w:szCs w:val="24"/>
        </w:rPr>
        <w:t xml:space="preserve">and security </w:t>
      </w:r>
      <w:r>
        <w:rPr>
          <w:rFonts w:cs="Times New Roman"/>
          <w:szCs w:val="24"/>
        </w:rPr>
        <w:t>technology</w:t>
      </w:r>
      <w:r w:rsidR="00FC1490">
        <w:rPr>
          <w:rFonts w:cs="Times New Roman"/>
          <w:szCs w:val="24"/>
        </w:rPr>
        <w:t>,</w:t>
      </w:r>
      <w:r>
        <w:rPr>
          <w:rFonts w:cs="Times New Roman"/>
          <w:szCs w:val="24"/>
        </w:rPr>
        <w:t xml:space="preserve"> and </w:t>
      </w:r>
      <w:r w:rsidR="00EE71EC">
        <w:rPr>
          <w:rFonts w:cs="Times New Roman"/>
          <w:szCs w:val="24"/>
        </w:rPr>
        <w:t>to share</w:t>
      </w:r>
      <w:r>
        <w:rPr>
          <w:rFonts w:cs="Times New Roman"/>
          <w:szCs w:val="24"/>
        </w:rPr>
        <w:t xml:space="preserve"> </w:t>
      </w:r>
      <w:r w:rsidR="00EE71EC">
        <w:rPr>
          <w:rFonts w:cs="Times New Roman"/>
          <w:szCs w:val="24"/>
        </w:rPr>
        <w:t>information</w:t>
      </w:r>
      <w:r w:rsidR="00940EB0">
        <w:rPr>
          <w:rFonts w:cs="Times New Roman"/>
          <w:szCs w:val="24"/>
        </w:rPr>
        <w:t xml:space="preserve"> on cyber activity, </w:t>
      </w:r>
      <w:r w:rsidR="00BB3F74">
        <w:rPr>
          <w:rFonts w:cs="Times New Roman"/>
          <w:szCs w:val="24"/>
        </w:rPr>
        <w:t>security</w:t>
      </w:r>
      <w:r w:rsidR="00940EB0">
        <w:rPr>
          <w:rFonts w:cs="Times New Roman"/>
          <w:szCs w:val="24"/>
        </w:rPr>
        <w:t xml:space="preserve"> and governance practices</w:t>
      </w:r>
      <w:r w:rsidR="00BB3F74">
        <w:rPr>
          <w:rFonts w:cs="Times New Roman"/>
          <w:szCs w:val="24"/>
        </w:rPr>
        <w:t xml:space="preserve"> with other states</w:t>
      </w:r>
      <w:r>
        <w:rPr>
          <w:rFonts w:cs="Times New Roman"/>
          <w:szCs w:val="24"/>
        </w:rPr>
        <w:t>.</w:t>
      </w:r>
      <w:r w:rsidR="00B01D1B">
        <w:rPr>
          <w:rStyle w:val="FootnoteReference"/>
          <w:rFonts w:cs="Times New Roman"/>
          <w:szCs w:val="24"/>
        </w:rPr>
        <w:footnoteReference w:id="123"/>
      </w:r>
      <w:r w:rsidR="00EE71EC">
        <w:rPr>
          <w:rFonts w:cs="Times New Roman"/>
          <w:szCs w:val="24"/>
        </w:rPr>
        <w:t xml:space="preserve"> The current pressing </w:t>
      </w:r>
      <w:r w:rsidR="00BB3F74">
        <w:rPr>
          <w:rFonts w:cs="Times New Roman"/>
          <w:szCs w:val="24"/>
        </w:rPr>
        <w:t>issue i</w:t>
      </w:r>
      <w:r w:rsidR="00EE71EC">
        <w:rPr>
          <w:rFonts w:cs="Times New Roman"/>
          <w:szCs w:val="24"/>
        </w:rPr>
        <w:t xml:space="preserve">s </w:t>
      </w:r>
      <w:r w:rsidR="00723442">
        <w:rPr>
          <w:rFonts w:cs="Times New Roman"/>
          <w:szCs w:val="24"/>
        </w:rPr>
        <w:t xml:space="preserve">to </w:t>
      </w:r>
      <w:r w:rsidR="00BB3F74">
        <w:rPr>
          <w:rFonts w:cs="Times New Roman"/>
          <w:szCs w:val="24"/>
        </w:rPr>
        <w:t>determin</w:t>
      </w:r>
      <w:r w:rsidR="00723442">
        <w:rPr>
          <w:rFonts w:cs="Times New Roman"/>
          <w:szCs w:val="24"/>
        </w:rPr>
        <w:t>e</w:t>
      </w:r>
      <w:r w:rsidR="00EE71EC">
        <w:rPr>
          <w:rFonts w:cs="Times New Roman"/>
          <w:szCs w:val="24"/>
        </w:rPr>
        <w:t xml:space="preserve"> </w:t>
      </w:r>
      <w:r w:rsidR="00EE71EC" w:rsidRPr="00EE71EC">
        <w:rPr>
          <w:rFonts w:cs="Times New Roman"/>
          <w:i/>
          <w:szCs w:val="24"/>
        </w:rPr>
        <w:t>how</w:t>
      </w:r>
      <w:r w:rsidR="00EE71EC">
        <w:rPr>
          <w:rFonts w:cs="Times New Roman"/>
          <w:szCs w:val="24"/>
        </w:rPr>
        <w:t xml:space="preserve"> the duty of due diligence should be applied to cyberspace in a practical sense.</w:t>
      </w:r>
    </w:p>
    <w:p w14:paraId="1A3E87E7" w14:textId="6E5D55F7" w:rsidR="00016E30" w:rsidRDefault="008847E5" w:rsidP="0017445E">
      <w:pPr>
        <w:spacing w:line="480" w:lineRule="auto"/>
        <w:ind w:firstLine="720"/>
        <w:jc w:val="both"/>
        <w:rPr>
          <w:rFonts w:cs="Times New Roman"/>
          <w:szCs w:val="24"/>
        </w:rPr>
      </w:pPr>
      <w:r>
        <w:rPr>
          <w:rFonts w:cs="Times New Roman"/>
          <w:szCs w:val="24"/>
        </w:rPr>
        <w:t>Despite the contextual – rather than absolute – nature of the duty of due diligence, there is no question that its application will place a notable burden on states in the cyber context.</w:t>
      </w:r>
      <w:r w:rsidR="009D56E2">
        <w:rPr>
          <w:rStyle w:val="FootnoteReference"/>
          <w:rFonts w:cs="Times New Roman"/>
          <w:szCs w:val="24"/>
        </w:rPr>
        <w:footnoteReference w:id="124"/>
      </w:r>
      <w:r>
        <w:rPr>
          <w:rFonts w:cs="Times New Roman"/>
          <w:szCs w:val="24"/>
        </w:rPr>
        <w:t xml:space="preserve"> While they are increasingly </w:t>
      </w:r>
      <w:r w:rsidR="00A47F44">
        <w:rPr>
          <w:rFonts w:cs="Times New Roman"/>
          <w:szCs w:val="24"/>
        </w:rPr>
        <w:t xml:space="preserve">(if rather slowly) </w:t>
      </w:r>
      <w:r>
        <w:rPr>
          <w:rFonts w:cs="Times New Roman"/>
          <w:szCs w:val="24"/>
        </w:rPr>
        <w:t xml:space="preserve">accepting the fact that the duty applies to cyberspace, it remains to be seen – when it comes to determining what onerous requirements that translates to in practice – the extent to which states will </w:t>
      </w:r>
      <w:r w:rsidRPr="001E62DF">
        <w:rPr>
          <w:rFonts w:cs="Times New Roman"/>
          <w:i/>
          <w:szCs w:val="24"/>
        </w:rPr>
        <w:t>comply</w:t>
      </w:r>
      <w:r>
        <w:rPr>
          <w:rFonts w:cs="Times New Roman"/>
          <w:szCs w:val="24"/>
        </w:rPr>
        <w:t xml:space="preserve"> with the duty,</w:t>
      </w:r>
      <w:r w:rsidR="00A47F44">
        <w:rPr>
          <w:rFonts w:cs="Times New Roman"/>
          <w:szCs w:val="24"/>
        </w:rPr>
        <w:t xml:space="preserve"> or at least do so effectively. This concern is amplified when it is considered that</w:t>
      </w:r>
      <w:r>
        <w:rPr>
          <w:rFonts w:cs="Times New Roman"/>
          <w:szCs w:val="24"/>
        </w:rPr>
        <w:t xml:space="preserve"> the</w:t>
      </w:r>
      <w:r w:rsidR="00FE4DE8">
        <w:rPr>
          <w:rFonts w:cs="Times New Roman"/>
          <w:szCs w:val="24"/>
        </w:rPr>
        <w:t xml:space="preserve"> </w:t>
      </w:r>
      <w:r w:rsidR="001E62DF">
        <w:rPr>
          <w:rFonts w:cs="Times New Roman"/>
          <w:szCs w:val="24"/>
        </w:rPr>
        <w:t xml:space="preserve">differentiated </w:t>
      </w:r>
      <w:r>
        <w:rPr>
          <w:rFonts w:cs="Times New Roman"/>
          <w:szCs w:val="24"/>
        </w:rPr>
        <w:t xml:space="preserve">responsibilities and </w:t>
      </w:r>
      <w:r w:rsidR="00FE4DE8">
        <w:rPr>
          <w:rFonts w:cs="Times New Roman"/>
          <w:szCs w:val="24"/>
        </w:rPr>
        <w:t>‘</w:t>
      </w:r>
      <w:r>
        <w:rPr>
          <w:rFonts w:cs="Times New Roman"/>
          <w:szCs w:val="24"/>
        </w:rPr>
        <w:t>reasonableness’ criterion</w:t>
      </w:r>
      <w:r w:rsidR="00FE4DE8">
        <w:rPr>
          <w:rFonts w:cs="Times New Roman"/>
          <w:szCs w:val="24"/>
        </w:rPr>
        <w:t xml:space="preserve"> </w:t>
      </w:r>
      <w:r>
        <w:rPr>
          <w:rFonts w:cs="Times New Roman"/>
          <w:szCs w:val="24"/>
        </w:rPr>
        <w:t xml:space="preserve">at the heart of the duty inevitably leave </w:t>
      </w:r>
      <w:r w:rsidR="0047056A">
        <w:rPr>
          <w:rFonts w:cs="Times New Roman"/>
          <w:szCs w:val="24"/>
        </w:rPr>
        <w:t>states</w:t>
      </w:r>
      <w:r>
        <w:rPr>
          <w:rFonts w:cs="Times New Roman"/>
          <w:szCs w:val="24"/>
        </w:rPr>
        <w:t xml:space="preserve"> with significant ‘e</w:t>
      </w:r>
      <w:r w:rsidR="00A47F44">
        <w:rPr>
          <w:rFonts w:cs="Times New Roman"/>
          <w:szCs w:val="24"/>
        </w:rPr>
        <w:t>ye of the beholder’ wiggle room as to how to apply it</w:t>
      </w:r>
      <w:r>
        <w:rPr>
          <w:rFonts w:cs="Times New Roman"/>
          <w:szCs w:val="24"/>
        </w:rPr>
        <w:t>.</w:t>
      </w:r>
    </w:p>
    <w:p w14:paraId="4CA41457" w14:textId="77777777" w:rsidR="009D70A0" w:rsidRPr="0017445E" w:rsidRDefault="009D70A0" w:rsidP="0017445E">
      <w:pPr>
        <w:spacing w:line="480" w:lineRule="auto"/>
        <w:ind w:firstLine="720"/>
        <w:jc w:val="both"/>
        <w:rPr>
          <w:rFonts w:cs="Times New Roman"/>
          <w:szCs w:val="24"/>
          <w:highlight w:val="green"/>
        </w:rPr>
      </w:pPr>
    </w:p>
    <w:p w14:paraId="6BF05E31" w14:textId="77777777" w:rsidR="004955A0" w:rsidRPr="0017445E" w:rsidRDefault="0017445E" w:rsidP="0017445E">
      <w:pPr>
        <w:spacing w:line="480" w:lineRule="auto"/>
        <w:jc w:val="both"/>
        <w:rPr>
          <w:rFonts w:cs="Times New Roman"/>
          <w:b/>
          <w:sz w:val="28"/>
          <w:szCs w:val="28"/>
        </w:rPr>
      </w:pPr>
      <w:r w:rsidRPr="0017445E">
        <w:rPr>
          <w:rFonts w:cs="Times New Roman"/>
          <w:b/>
          <w:sz w:val="28"/>
          <w:szCs w:val="28"/>
        </w:rPr>
        <w:t>5</w:t>
      </w:r>
      <w:r w:rsidR="004955A0" w:rsidRPr="0017445E">
        <w:rPr>
          <w:rFonts w:cs="Times New Roman"/>
          <w:b/>
          <w:sz w:val="28"/>
          <w:szCs w:val="28"/>
        </w:rPr>
        <w:t>. Conclusion</w:t>
      </w:r>
    </w:p>
    <w:p w14:paraId="7F5A5D42" w14:textId="4DAD21F9" w:rsidR="00F31BCA" w:rsidRDefault="00F31BCA" w:rsidP="0017445E">
      <w:pPr>
        <w:pStyle w:val="Body"/>
        <w:spacing w:line="480" w:lineRule="auto"/>
        <w:ind w:firstLine="720"/>
        <w:jc w:val="both"/>
        <w:rPr>
          <w:rFonts w:hAnsi="Times New Roman" w:cs="Times New Roman"/>
          <w:lang w:val="en-GB"/>
        </w:rPr>
      </w:pPr>
      <w:r w:rsidRPr="00C321AC">
        <w:rPr>
          <w:rFonts w:hAnsi="Times New Roman" w:cs="Times New Roman"/>
          <w:color w:val="auto"/>
          <w:lang w:val="en-GB"/>
        </w:rPr>
        <w:t>The threat of cyber-inflicted disaster looms large. However, there remain few bespoke rules of international law governing cyber threats, and there is little prospect of a new cyber security treaty emerging</w:t>
      </w:r>
      <w:r>
        <w:rPr>
          <w:rFonts w:hAnsi="Times New Roman" w:cs="Times New Roman"/>
          <w:color w:val="auto"/>
          <w:lang w:val="en-GB"/>
        </w:rPr>
        <w:t xml:space="preserve"> any time soon</w:t>
      </w:r>
      <w:r w:rsidRPr="00C321AC">
        <w:rPr>
          <w:rFonts w:hAnsi="Times New Roman" w:cs="Times New Roman"/>
          <w:color w:val="auto"/>
          <w:lang w:val="en-GB"/>
        </w:rPr>
        <w:t xml:space="preserve">. </w:t>
      </w:r>
      <w:r w:rsidRPr="00C321AC">
        <w:rPr>
          <w:rFonts w:hAnsi="Times New Roman" w:cs="Times New Roman"/>
          <w:lang w:val="en-GB"/>
        </w:rPr>
        <w:t xml:space="preserve">The common approach to dealing with large-scale cyber threats has </w:t>
      </w:r>
      <w:r>
        <w:rPr>
          <w:rFonts w:hAnsi="Times New Roman" w:cs="Times New Roman"/>
          <w:lang w:val="en-GB"/>
        </w:rPr>
        <w:t>therefore</w:t>
      </w:r>
      <w:r w:rsidRPr="00C321AC">
        <w:rPr>
          <w:rFonts w:hAnsi="Times New Roman" w:cs="Times New Roman"/>
          <w:lang w:val="en-GB"/>
        </w:rPr>
        <w:t xml:space="preserve"> been to apply the existing prohibition of the use of force</w:t>
      </w:r>
      <w:r w:rsidR="00FC58CC">
        <w:rPr>
          <w:rFonts w:hAnsi="Times New Roman" w:cs="Times New Roman"/>
          <w:lang w:val="en-GB"/>
        </w:rPr>
        <w:t xml:space="preserve"> under </w:t>
      </w:r>
      <w:r w:rsidR="00566DDD">
        <w:rPr>
          <w:rFonts w:hAnsi="Times New Roman" w:cs="Times New Roman"/>
          <w:lang w:val="en-GB"/>
        </w:rPr>
        <w:t>a</w:t>
      </w:r>
      <w:r>
        <w:rPr>
          <w:rFonts w:hAnsi="Times New Roman" w:cs="Times New Roman"/>
          <w:lang w:val="en-GB"/>
        </w:rPr>
        <w:t>rticle 2(4)</w:t>
      </w:r>
      <w:r w:rsidR="00723442">
        <w:rPr>
          <w:rFonts w:hAnsi="Times New Roman" w:cs="Times New Roman"/>
          <w:lang w:val="en-GB"/>
        </w:rPr>
        <w:t xml:space="preserve"> of the UN Charter</w:t>
      </w:r>
      <w:r w:rsidR="00FC58CC">
        <w:rPr>
          <w:rFonts w:hAnsi="Times New Roman" w:cs="Times New Roman"/>
          <w:lang w:val="en-GB"/>
        </w:rPr>
        <w:t>. However, this</w:t>
      </w:r>
      <w:r>
        <w:rPr>
          <w:rFonts w:hAnsi="Times New Roman" w:cs="Times New Roman"/>
          <w:lang w:val="en-GB"/>
        </w:rPr>
        <w:t xml:space="preserve"> is highly problematic. It is unclear exactly which cyber-attacks are covered by </w:t>
      </w:r>
      <w:r w:rsidR="00566DDD">
        <w:rPr>
          <w:rFonts w:hAnsi="Times New Roman" w:cs="Times New Roman"/>
          <w:lang w:val="en-GB"/>
        </w:rPr>
        <w:t>a</w:t>
      </w:r>
      <w:r>
        <w:rPr>
          <w:rFonts w:hAnsi="Times New Roman" w:cs="Times New Roman"/>
          <w:lang w:val="en-GB"/>
        </w:rPr>
        <w:t xml:space="preserve">rticle 2(4), and particularly whether attacks that do not directly cause physical results will fall </w:t>
      </w:r>
      <w:r w:rsidR="00FC58CC">
        <w:rPr>
          <w:rFonts w:hAnsi="Times New Roman" w:cs="Times New Roman"/>
          <w:lang w:val="en-GB"/>
        </w:rPr>
        <w:t>within its scope</w:t>
      </w:r>
      <w:r>
        <w:rPr>
          <w:rFonts w:hAnsi="Times New Roman" w:cs="Times New Roman"/>
          <w:lang w:val="en-GB"/>
        </w:rPr>
        <w:t>. More importantly, t</w:t>
      </w:r>
      <w:r w:rsidRPr="00C321AC">
        <w:rPr>
          <w:rFonts w:hAnsi="Times New Roman" w:cs="Times New Roman"/>
          <w:lang w:val="en-GB"/>
        </w:rPr>
        <w:t xml:space="preserve">he current </w:t>
      </w:r>
      <w:r>
        <w:rPr>
          <w:rFonts w:hAnsi="Times New Roman" w:cs="Times New Roman"/>
          <w:lang w:val="en-GB"/>
        </w:rPr>
        <w:t xml:space="preserve">legal focus on </w:t>
      </w:r>
      <w:r w:rsidR="00566DDD">
        <w:rPr>
          <w:rFonts w:hAnsi="Times New Roman" w:cs="Times New Roman"/>
          <w:lang w:val="en-GB"/>
        </w:rPr>
        <w:t>a</w:t>
      </w:r>
      <w:r>
        <w:rPr>
          <w:rFonts w:hAnsi="Times New Roman" w:cs="Times New Roman"/>
          <w:lang w:val="en-GB"/>
        </w:rPr>
        <w:t xml:space="preserve">rticle 2(4) </w:t>
      </w:r>
      <w:r w:rsidRPr="00C321AC">
        <w:rPr>
          <w:rFonts w:hAnsi="Times New Roman" w:cs="Times New Roman"/>
          <w:lang w:val="en-GB"/>
        </w:rPr>
        <w:t>does not sufficiently take into account the difficult</w:t>
      </w:r>
      <w:r w:rsidR="00FC58CC">
        <w:rPr>
          <w:rFonts w:hAnsi="Times New Roman" w:cs="Times New Roman"/>
          <w:lang w:val="en-GB"/>
        </w:rPr>
        <w:t>ies</w:t>
      </w:r>
      <w:r w:rsidRPr="00C321AC">
        <w:rPr>
          <w:rFonts w:hAnsi="Times New Roman" w:cs="Times New Roman"/>
          <w:lang w:val="en-GB"/>
        </w:rPr>
        <w:t xml:space="preserve"> in attributing a cyber-attack to a state and covers neither cyber-attacks by non-state actors nor unintended cyber harm.</w:t>
      </w:r>
    </w:p>
    <w:p w14:paraId="48B896B3" w14:textId="5E9ED2E5" w:rsidR="00F31BCA" w:rsidRPr="0017445E" w:rsidRDefault="00F31BCA" w:rsidP="0017445E">
      <w:pPr>
        <w:pStyle w:val="Body"/>
        <w:spacing w:line="480" w:lineRule="auto"/>
        <w:ind w:firstLine="720"/>
        <w:jc w:val="both"/>
        <w:rPr>
          <w:rFonts w:cs="Times New Roman"/>
          <w:lang w:val="en-GB"/>
        </w:rPr>
      </w:pPr>
      <w:r w:rsidRPr="00C321AC">
        <w:rPr>
          <w:rFonts w:hAnsi="Times New Roman" w:cs="Times New Roman"/>
          <w:lang w:val="en-GB"/>
        </w:rPr>
        <w:t xml:space="preserve">It </w:t>
      </w:r>
      <w:r>
        <w:rPr>
          <w:rFonts w:hAnsi="Times New Roman" w:cs="Times New Roman"/>
          <w:lang w:val="en-GB"/>
        </w:rPr>
        <w:t>has therefore</w:t>
      </w:r>
      <w:r w:rsidRPr="00C321AC">
        <w:rPr>
          <w:rFonts w:hAnsi="Times New Roman" w:cs="Times New Roman"/>
          <w:lang w:val="en-GB"/>
        </w:rPr>
        <w:t xml:space="preserve"> </w:t>
      </w:r>
      <w:r>
        <w:rPr>
          <w:rFonts w:hAnsi="Times New Roman" w:cs="Times New Roman"/>
          <w:lang w:val="en-GB"/>
        </w:rPr>
        <w:t xml:space="preserve">been </w:t>
      </w:r>
      <w:r w:rsidRPr="00C321AC">
        <w:rPr>
          <w:rFonts w:hAnsi="Times New Roman" w:cs="Times New Roman"/>
          <w:lang w:val="en-GB"/>
        </w:rPr>
        <w:t xml:space="preserve">argued </w:t>
      </w:r>
      <w:r w:rsidR="00723442">
        <w:rPr>
          <w:rFonts w:hAnsi="Times New Roman" w:cs="Times New Roman"/>
          <w:lang w:val="en-GB"/>
        </w:rPr>
        <w:t xml:space="preserve">herein </w:t>
      </w:r>
      <w:r w:rsidRPr="00C321AC">
        <w:rPr>
          <w:rFonts w:hAnsi="Times New Roman" w:cs="Times New Roman"/>
          <w:lang w:val="en-GB"/>
        </w:rPr>
        <w:t xml:space="preserve">that focus </w:t>
      </w:r>
      <w:r w:rsidR="00FC58CC">
        <w:rPr>
          <w:rFonts w:hAnsi="Times New Roman" w:cs="Times New Roman"/>
          <w:lang w:val="en-GB"/>
        </w:rPr>
        <w:t>should</w:t>
      </w:r>
      <w:r w:rsidRPr="00C321AC">
        <w:rPr>
          <w:rFonts w:hAnsi="Times New Roman" w:cs="Times New Roman"/>
          <w:lang w:val="en-GB"/>
        </w:rPr>
        <w:t xml:space="preserve"> be reoriented to another existing international legal obligation: the duty of due diligence. This duty can act as a more effective means of trying to prevent cyber disasters</w:t>
      </w:r>
      <w:r>
        <w:rPr>
          <w:rFonts w:hAnsi="Times New Roman" w:cs="Times New Roman"/>
          <w:lang w:val="en-GB"/>
        </w:rPr>
        <w:t xml:space="preserve">. It does not require that the acts that the law is seeking to prevent are attributable to a state, </w:t>
      </w:r>
      <w:r w:rsidR="0024445E">
        <w:rPr>
          <w:rFonts w:hAnsi="Times New Roman" w:cs="Times New Roman"/>
          <w:lang w:val="en-GB"/>
        </w:rPr>
        <w:t>but rather</w:t>
      </w:r>
      <w:r>
        <w:rPr>
          <w:rFonts w:hAnsi="Times New Roman" w:cs="Times New Roman"/>
          <w:lang w:val="en-GB"/>
        </w:rPr>
        <w:t xml:space="preserve"> that states must take reasonable steps to stop such acts occurring on their territory</w:t>
      </w:r>
      <w:r w:rsidRPr="00C321AC">
        <w:rPr>
          <w:rFonts w:hAnsi="Times New Roman" w:cs="Times New Roman"/>
          <w:lang w:val="en-GB"/>
        </w:rPr>
        <w:t>.</w:t>
      </w:r>
      <w:r w:rsidR="00B56C2B">
        <w:rPr>
          <w:rFonts w:hAnsi="Times New Roman" w:cs="Times New Roman"/>
          <w:lang w:val="en-GB"/>
        </w:rPr>
        <w:t xml:space="preserve"> </w:t>
      </w:r>
      <w:r w:rsidR="00FC58CC">
        <w:rPr>
          <w:rFonts w:hAnsi="Times New Roman" w:cs="Times New Roman"/>
          <w:lang w:val="en-GB"/>
        </w:rPr>
        <w:t>It</w:t>
      </w:r>
      <w:r w:rsidR="00B56C2B">
        <w:rPr>
          <w:rFonts w:hAnsi="Times New Roman" w:cs="Times New Roman"/>
          <w:lang w:val="en-GB"/>
        </w:rPr>
        <w:t xml:space="preserve"> </w:t>
      </w:r>
      <w:r w:rsidR="00FC58CC">
        <w:rPr>
          <w:rFonts w:hAnsi="Times New Roman" w:cs="Times New Roman"/>
          <w:lang w:val="en-GB"/>
        </w:rPr>
        <w:t xml:space="preserve">therefore </w:t>
      </w:r>
      <w:r w:rsidR="00B56C2B">
        <w:rPr>
          <w:rFonts w:hAnsi="Times New Roman" w:cs="Times New Roman"/>
          <w:lang w:val="en-GB"/>
        </w:rPr>
        <w:t>has the potential to limit the occurrence of attacks by non-state actors and unintentional cyber disasters</w:t>
      </w:r>
      <w:bookmarkStart w:id="0" w:name="_GoBack"/>
      <w:bookmarkEnd w:id="0"/>
      <w:r w:rsidR="00B56C2B">
        <w:rPr>
          <w:rFonts w:hAnsi="Times New Roman" w:cs="Times New Roman"/>
          <w:lang w:val="en-GB"/>
        </w:rPr>
        <w:t>.</w:t>
      </w:r>
      <w:r w:rsidR="00224027">
        <w:rPr>
          <w:rFonts w:hAnsi="Times New Roman" w:cs="Times New Roman"/>
          <w:lang w:val="en-GB"/>
        </w:rPr>
        <w:t xml:space="preserve"> Beyond these tangible benefits, as discussed in this chapter, it is also the view of the present author</w:t>
      </w:r>
      <w:r w:rsidR="00224027" w:rsidRPr="00224027">
        <w:rPr>
          <w:rFonts w:cs="Times New Roman"/>
          <w:lang w:val="en-GB"/>
        </w:rPr>
        <w:t xml:space="preserve"> that a focus on a duty that stems from </w:t>
      </w:r>
      <w:r w:rsidR="00DA3550">
        <w:rPr>
          <w:rFonts w:cs="Times New Roman"/>
          <w:lang w:val="en-GB"/>
        </w:rPr>
        <w:t>notions</w:t>
      </w:r>
      <w:r w:rsidR="00224027" w:rsidRPr="00224027">
        <w:rPr>
          <w:rFonts w:cs="Times New Roman"/>
          <w:lang w:val="en-GB"/>
        </w:rPr>
        <w:t xml:space="preserve"> of communitarian</w:t>
      </w:r>
      <w:r w:rsidR="00224027">
        <w:rPr>
          <w:rFonts w:cs="Times New Roman"/>
          <w:lang w:val="en-GB"/>
        </w:rPr>
        <w:t>,</w:t>
      </w:r>
      <w:r w:rsidR="00224027" w:rsidRPr="00224027">
        <w:rPr>
          <w:rFonts w:cs="Times New Roman"/>
          <w:lang w:val="en-GB"/>
        </w:rPr>
        <w:t xml:space="preserve"> environmental</w:t>
      </w:r>
      <w:r w:rsidR="00DA3550">
        <w:rPr>
          <w:rFonts w:cs="Times New Roman"/>
          <w:lang w:val="en-GB"/>
        </w:rPr>
        <w:t xml:space="preserve"> value</w:t>
      </w:r>
      <w:r w:rsidR="00224027" w:rsidRPr="00224027">
        <w:rPr>
          <w:rFonts w:cs="Times New Roman"/>
          <w:lang w:val="en-GB"/>
        </w:rPr>
        <w:t xml:space="preserve"> and good neighbourliness is </w:t>
      </w:r>
      <w:r w:rsidR="00224027">
        <w:rPr>
          <w:rFonts w:cs="Times New Roman"/>
          <w:lang w:val="en-GB"/>
        </w:rPr>
        <w:t xml:space="preserve">significantly </w:t>
      </w:r>
      <w:r w:rsidR="00224027" w:rsidRPr="00224027">
        <w:rPr>
          <w:rFonts w:cs="Times New Roman"/>
          <w:lang w:val="en-GB"/>
        </w:rPr>
        <w:t xml:space="preserve">preferable in terms of the cultural conception of cyber threats at the international level, </w:t>
      </w:r>
      <w:r w:rsidR="00DA3550">
        <w:rPr>
          <w:rFonts w:cs="Times New Roman"/>
          <w:lang w:val="en-GB"/>
        </w:rPr>
        <w:t>than a militarised focus</w:t>
      </w:r>
      <w:r w:rsidR="00B148AD">
        <w:rPr>
          <w:rFonts w:cs="Times New Roman"/>
          <w:lang w:val="en-GB"/>
        </w:rPr>
        <w:t xml:space="preserve"> that</w:t>
      </w:r>
      <w:r w:rsidR="00DA3550">
        <w:rPr>
          <w:rFonts w:cs="Times New Roman"/>
          <w:lang w:val="en-GB"/>
        </w:rPr>
        <w:t xml:space="preserve"> inherently antagonises cyberspace </w:t>
      </w:r>
      <w:r w:rsidR="00DA3550" w:rsidRPr="00723442">
        <w:rPr>
          <w:rFonts w:cs="Times New Roman"/>
          <w:i/>
          <w:lang w:val="en-GB"/>
        </w:rPr>
        <w:t>per se</w:t>
      </w:r>
      <w:r w:rsidR="00DA3550">
        <w:rPr>
          <w:rFonts w:cs="Times New Roman"/>
          <w:lang w:val="en-GB"/>
        </w:rPr>
        <w:t xml:space="preserve"> and increases the likelihood of escalating cyber harm.</w:t>
      </w:r>
    </w:p>
    <w:p w14:paraId="6C7A3641" w14:textId="013FF771" w:rsidR="00B56C2B" w:rsidRPr="009B7225" w:rsidRDefault="00A47F44" w:rsidP="0017445E">
      <w:pPr>
        <w:spacing w:line="480" w:lineRule="auto"/>
        <w:ind w:firstLine="720"/>
        <w:jc w:val="both"/>
        <w:rPr>
          <w:rFonts w:cs="Times New Roman"/>
          <w:szCs w:val="24"/>
        </w:rPr>
      </w:pPr>
      <w:r>
        <w:rPr>
          <w:rFonts w:cs="Times New Roman"/>
          <w:szCs w:val="24"/>
        </w:rPr>
        <w:t>S</w:t>
      </w:r>
      <w:r w:rsidR="00B56C2B">
        <w:rPr>
          <w:rFonts w:cs="Times New Roman"/>
          <w:szCs w:val="24"/>
        </w:rPr>
        <w:t xml:space="preserve">tates </w:t>
      </w:r>
      <w:r>
        <w:rPr>
          <w:rFonts w:cs="Times New Roman"/>
          <w:szCs w:val="24"/>
        </w:rPr>
        <w:t xml:space="preserve">are now beginning to </w:t>
      </w:r>
      <w:r w:rsidR="00B56C2B">
        <w:rPr>
          <w:rFonts w:cs="Times New Roman"/>
          <w:szCs w:val="24"/>
        </w:rPr>
        <w:t>broadly accept that the duty of due diligence can be</w:t>
      </w:r>
      <w:r>
        <w:rPr>
          <w:rFonts w:cs="Times New Roman"/>
          <w:szCs w:val="24"/>
        </w:rPr>
        <w:t xml:space="preserve">, and should be (if, perhaps not yet that it </w:t>
      </w:r>
      <w:r w:rsidRPr="00A47F44">
        <w:rPr>
          <w:rFonts w:cs="Times New Roman"/>
          <w:i/>
          <w:szCs w:val="24"/>
        </w:rPr>
        <w:t>must</w:t>
      </w:r>
      <w:r>
        <w:rPr>
          <w:rFonts w:cs="Times New Roman"/>
          <w:szCs w:val="24"/>
        </w:rPr>
        <w:t xml:space="preserve"> be)</w:t>
      </w:r>
      <w:r w:rsidR="00B56C2B">
        <w:rPr>
          <w:rFonts w:cs="Times New Roman"/>
          <w:szCs w:val="24"/>
        </w:rPr>
        <w:t xml:space="preserve"> applied to issues of cyber security. What remains unclear is the </w:t>
      </w:r>
      <w:r w:rsidR="00B56C2B" w:rsidRPr="00B56C2B">
        <w:rPr>
          <w:rFonts w:cs="Times New Roman"/>
          <w:i/>
          <w:szCs w:val="24"/>
        </w:rPr>
        <w:t>way</w:t>
      </w:r>
      <w:r w:rsidR="00B56C2B">
        <w:rPr>
          <w:rFonts w:cs="Times New Roman"/>
          <w:szCs w:val="24"/>
        </w:rPr>
        <w:t xml:space="preserve"> in which it will be applied</w:t>
      </w:r>
      <w:r w:rsidR="00357CBF">
        <w:rPr>
          <w:rFonts w:cs="Times New Roman"/>
          <w:szCs w:val="24"/>
        </w:rPr>
        <w:t xml:space="preserve"> and the exact obligations that it will entail</w:t>
      </w:r>
      <w:r w:rsidR="00E36B4C">
        <w:rPr>
          <w:rFonts w:cs="Times New Roman"/>
          <w:szCs w:val="24"/>
        </w:rPr>
        <w:t>: a</w:t>
      </w:r>
      <w:r w:rsidR="00940EB0">
        <w:rPr>
          <w:rFonts w:cs="Times New Roman"/>
          <w:szCs w:val="24"/>
        </w:rPr>
        <w:t>s yet, ‘international law</w:t>
      </w:r>
      <w:r w:rsidR="00566DDD">
        <w:rPr>
          <w:rFonts w:cs="Times New Roman"/>
          <w:szCs w:val="24"/>
        </w:rPr>
        <w:t xml:space="preserve"> </w:t>
      </w:r>
      <w:r w:rsidR="00940EB0">
        <w:rPr>
          <w:rFonts w:cs="Times New Roman"/>
          <w:szCs w:val="24"/>
        </w:rPr>
        <w:t>…</w:t>
      </w:r>
      <w:r w:rsidR="00566DDD">
        <w:rPr>
          <w:rFonts w:cs="Times New Roman"/>
          <w:szCs w:val="24"/>
        </w:rPr>
        <w:t xml:space="preserve"> </w:t>
      </w:r>
      <w:r w:rsidR="00940EB0">
        <w:rPr>
          <w:rFonts w:cs="Times New Roman"/>
          <w:szCs w:val="24"/>
        </w:rPr>
        <w:t>does not spell out in detail how nations should go about enhancing their cybersecurity to account for emerging due diligence obligations’</w:t>
      </w:r>
      <w:r w:rsidR="00566DDD">
        <w:rPr>
          <w:rFonts w:cs="Times New Roman"/>
          <w:szCs w:val="24"/>
        </w:rPr>
        <w:t>.</w:t>
      </w:r>
      <w:r w:rsidR="00E36B4C">
        <w:rPr>
          <w:rStyle w:val="FootnoteReference"/>
          <w:rFonts w:cs="Times New Roman"/>
          <w:szCs w:val="24"/>
        </w:rPr>
        <w:footnoteReference w:id="125"/>
      </w:r>
      <w:r w:rsidR="00357CBF">
        <w:rPr>
          <w:rFonts w:cs="Times New Roman"/>
          <w:szCs w:val="24"/>
        </w:rPr>
        <w:t xml:space="preserve"> The ideal solution </w:t>
      </w:r>
      <w:r>
        <w:rPr>
          <w:rFonts w:cs="Times New Roman"/>
          <w:szCs w:val="24"/>
        </w:rPr>
        <w:t xml:space="preserve">to this uncertainty </w:t>
      </w:r>
      <w:r w:rsidR="00357CBF">
        <w:rPr>
          <w:rFonts w:cs="Times New Roman"/>
          <w:szCs w:val="24"/>
        </w:rPr>
        <w:t xml:space="preserve">remains that </w:t>
      </w:r>
      <w:r w:rsidR="00B56C2B">
        <w:rPr>
          <w:rFonts w:cs="Times New Roman"/>
          <w:szCs w:val="24"/>
        </w:rPr>
        <w:t>all</w:t>
      </w:r>
      <w:r w:rsidR="00B56C2B" w:rsidRPr="009B7225">
        <w:rPr>
          <w:rFonts w:cs="Times New Roman"/>
          <w:szCs w:val="24"/>
        </w:rPr>
        <w:t xml:space="preserve"> </w:t>
      </w:r>
      <w:r w:rsidR="00B56C2B">
        <w:rPr>
          <w:rFonts w:cs="Times New Roman"/>
          <w:szCs w:val="24"/>
        </w:rPr>
        <w:t xml:space="preserve">international legal standards relevant to cyber security </w:t>
      </w:r>
      <w:r w:rsidR="00357CBF">
        <w:rPr>
          <w:rFonts w:cs="Times New Roman"/>
          <w:szCs w:val="24"/>
        </w:rPr>
        <w:t>are</w:t>
      </w:r>
      <w:r w:rsidR="00B56C2B" w:rsidRPr="009B7225">
        <w:rPr>
          <w:rFonts w:cs="Times New Roman"/>
          <w:szCs w:val="24"/>
        </w:rPr>
        <w:t xml:space="preserve"> crystallised in an international tre</w:t>
      </w:r>
      <w:r w:rsidR="00B56C2B">
        <w:rPr>
          <w:rFonts w:cs="Times New Roman"/>
          <w:szCs w:val="24"/>
        </w:rPr>
        <w:t>aty. This could spell out how the</w:t>
      </w:r>
      <w:r w:rsidR="00B56C2B" w:rsidRPr="009B7225">
        <w:rPr>
          <w:rFonts w:cs="Times New Roman"/>
          <w:szCs w:val="24"/>
        </w:rPr>
        <w:t xml:space="preserve"> </w:t>
      </w:r>
      <w:r w:rsidR="00B56C2B" w:rsidRPr="009B7225">
        <w:rPr>
          <w:rFonts w:cs="Times New Roman"/>
          <w:i/>
          <w:szCs w:val="24"/>
        </w:rPr>
        <w:t>jus ad bellum</w:t>
      </w:r>
      <w:r w:rsidR="00B56C2B" w:rsidRPr="009B7225">
        <w:rPr>
          <w:rFonts w:cs="Times New Roman"/>
          <w:szCs w:val="24"/>
        </w:rPr>
        <w:t xml:space="preserve"> </w:t>
      </w:r>
      <w:r>
        <w:rPr>
          <w:rFonts w:cs="Times New Roman"/>
          <w:szCs w:val="24"/>
        </w:rPr>
        <w:t xml:space="preserve">and </w:t>
      </w:r>
      <w:r w:rsidRPr="00A47F44">
        <w:rPr>
          <w:rFonts w:cs="Times New Roman"/>
          <w:i/>
          <w:szCs w:val="24"/>
        </w:rPr>
        <w:t xml:space="preserve">jus in bello </w:t>
      </w:r>
      <w:r w:rsidR="00B56C2B" w:rsidRPr="009B7225">
        <w:rPr>
          <w:rFonts w:cs="Times New Roman"/>
          <w:szCs w:val="24"/>
        </w:rPr>
        <w:t xml:space="preserve">rules </w:t>
      </w:r>
      <w:r w:rsidR="00B56C2B">
        <w:rPr>
          <w:rFonts w:cs="Times New Roman"/>
          <w:szCs w:val="24"/>
        </w:rPr>
        <w:t xml:space="preserve">relate to </w:t>
      </w:r>
      <w:r w:rsidR="00B56C2B" w:rsidRPr="009B7225">
        <w:rPr>
          <w:rFonts w:cs="Times New Roman"/>
          <w:szCs w:val="24"/>
        </w:rPr>
        <w:t xml:space="preserve">the </w:t>
      </w:r>
      <w:r w:rsidR="00357CBF">
        <w:rPr>
          <w:rFonts w:cs="Times New Roman"/>
          <w:szCs w:val="24"/>
        </w:rPr>
        <w:t xml:space="preserve">most </w:t>
      </w:r>
      <w:r w:rsidR="00B56C2B" w:rsidRPr="009B7225">
        <w:rPr>
          <w:rFonts w:cs="Times New Roman"/>
          <w:szCs w:val="24"/>
        </w:rPr>
        <w:t>extreme cases</w:t>
      </w:r>
      <w:r w:rsidR="00B56C2B">
        <w:rPr>
          <w:rFonts w:cs="Times New Roman"/>
          <w:szCs w:val="24"/>
        </w:rPr>
        <w:t xml:space="preserve"> of cyber catastrophe</w:t>
      </w:r>
      <w:r w:rsidR="00B56C2B" w:rsidRPr="009B7225">
        <w:rPr>
          <w:rFonts w:cs="Times New Roman"/>
          <w:szCs w:val="24"/>
        </w:rPr>
        <w:t>, but more importantly</w:t>
      </w:r>
      <w:r w:rsidR="00B56C2B">
        <w:rPr>
          <w:rFonts w:cs="Times New Roman"/>
          <w:szCs w:val="24"/>
        </w:rPr>
        <w:t>, it could</w:t>
      </w:r>
      <w:r w:rsidR="00B56C2B" w:rsidRPr="009B7225">
        <w:rPr>
          <w:rFonts w:cs="Times New Roman"/>
          <w:szCs w:val="24"/>
        </w:rPr>
        <w:t xml:space="preserve"> ‘elaborate what [is] required of states’ responsibilities in terms of due diligence</w:t>
      </w:r>
      <w:r w:rsidR="00566DDD">
        <w:rPr>
          <w:rFonts w:cs="Times New Roman"/>
          <w:szCs w:val="24"/>
        </w:rPr>
        <w:t>.</w:t>
      </w:r>
      <w:r w:rsidR="00B56C2B" w:rsidRPr="009B7225">
        <w:rPr>
          <w:rFonts w:cs="Times New Roman"/>
          <w:szCs w:val="24"/>
        </w:rPr>
        <w:t>’</w:t>
      </w:r>
      <w:r w:rsidR="00B56C2B" w:rsidRPr="009B7225">
        <w:rPr>
          <w:rStyle w:val="FootnoteReference"/>
          <w:rFonts w:cs="Times New Roman"/>
          <w:szCs w:val="24"/>
        </w:rPr>
        <w:footnoteReference w:id="126"/>
      </w:r>
      <w:r w:rsidR="00B56C2B" w:rsidRPr="009B7225">
        <w:rPr>
          <w:rFonts w:cs="Times New Roman"/>
          <w:szCs w:val="24"/>
        </w:rPr>
        <w:t xml:space="preserve"> Being rather more realistic, however – given the </w:t>
      </w:r>
      <w:r w:rsidR="00B56C2B">
        <w:rPr>
          <w:rFonts w:cs="Times New Roman"/>
          <w:szCs w:val="24"/>
        </w:rPr>
        <w:t xml:space="preserve">current </w:t>
      </w:r>
      <w:r w:rsidR="00B56C2B" w:rsidRPr="009B7225">
        <w:rPr>
          <w:rFonts w:cs="Times New Roman"/>
          <w:szCs w:val="24"/>
        </w:rPr>
        <w:t xml:space="preserve">unlikelihood of such a treaty appearing – </w:t>
      </w:r>
      <w:r w:rsidR="00B56C2B">
        <w:rPr>
          <w:rFonts w:cs="Times New Roman"/>
          <w:szCs w:val="24"/>
        </w:rPr>
        <w:t xml:space="preserve">the hope is that the Tallinn 2.0 process can provide </w:t>
      </w:r>
      <w:r w:rsidR="00357CBF">
        <w:rPr>
          <w:rFonts w:cs="Times New Roman"/>
          <w:szCs w:val="24"/>
        </w:rPr>
        <w:t>some</w:t>
      </w:r>
      <w:r w:rsidR="00B56C2B">
        <w:rPr>
          <w:rFonts w:cs="Times New Roman"/>
          <w:szCs w:val="24"/>
        </w:rPr>
        <w:t xml:space="preserve"> clarity to th</w:t>
      </w:r>
      <w:r w:rsidR="005D701C">
        <w:rPr>
          <w:rFonts w:cs="Times New Roman"/>
          <w:szCs w:val="24"/>
        </w:rPr>
        <w:t>e notion of cyber due diligence, which will then inform increased state engagement with the duty in this context.</w:t>
      </w:r>
      <w:r>
        <w:rPr>
          <w:rFonts w:cs="Times New Roman"/>
          <w:szCs w:val="24"/>
        </w:rPr>
        <w:t xml:space="preserve"> A shift in academic focus away from </w:t>
      </w:r>
      <w:r w:rsidR="00723442">
        <w:rPr>
          <w:rFonts w:cs="Times New Roman"/>
          <w:szCs w:val="24"/>
        </w:rPr>
        <w:t>militarised legal</w:t>
      </w:r>
      <w:r>
        <w:rPr>
          <w:rFonts w:cs="Times New Roman"/>
          <w:szCs w:val="24"/>
        </w:rPr>
        <w:t xml:space="preserve"> solutions and towards the duty of due diligence can also help to change state perceptions in this regard</w:t>
      </w:r>
      <w:r w:rsidR="005F66AB">
        <w:rPr>
          <w:rFonts w:cs="Times New Roman"/>
          <w:szCs w:val="24"/>
        </w:rPr>
        <w:t>.  This change cannot come quickly enough, as t</w:t>
      </w:r>
      <w:r>
        <w:rPr>
          <w:rFonts w:cs="Times New Roman"/>
          <w:szCs w:val="24"/>
        </w:rPr>
        <w:t>he duty currently represents international law’s best means of reducing the potential for cyber disasters to occur.</w:t>
      </w:r>
    </w:p>
    <w:p w14:paraId="278044AA" w14:textId="77777777" w:rsidR="006F43B7" w:rsidRDefault="006F43B7" w:rsidP="00D75363">
      <w:pPr>
        <w:spacing w:line="480" w:lineRule="auto"/>
        <w:jc w:val="both"/>
        <w:rPr>
          <w:rFonts w:cs="Times New Roman"/>
          <w:b/>
          <w:szCs w:val="24"/>
        </w:rPr>
      </w:pPr>
    </w:p>
    <w:p w14:paraId="4D970FE9" w14:textId="77777777" w:rsidR="00FE6A6A" w:rsidRPr="009B7225" w:rsidRDefault="00FE6A6A" w:rsidP="00D75363">
      <w:pPr>
        <w:spacing w:line="480" w:lineRule="auto"/>
        <w:jc w:val="both"/>
        <w:rPr>
          <w:rFonts w:cs="Times New Roman"/>
          <w:b/>
          <w:szCs w:val="24"/>
        </w:rPr>
      </w:pPr>
    </w:p>
    <w:p w14:paraId="7ED6FAB5" w14:textId="531BE1A8" w:rsidR="006F43B7" w:rsidRPr="0017445E" w:rsidRDefault="006F43B7" w:rsidP="00D75363">
      <w:pPr>
        <w:spacing w:line="480" w:lineRule="auto"/>
        <w:jc w:val="both"/>
        <w:rPr>
          <w:rFonts w:cs="Times New Roman"/>
          <w:b/>
          <w:sz w:val="28"/>
          <w:szCs w:val="28"/>
        </w:rPr>
      </w:pPr>
      <w:r w:rsidRPr="0017445E">
        <w:rPr>
          <w:rFonts w:cs="Times New Roman"/>
          <w:b/>
          <w:sz w:val="28"/>
          <w:szCs w:val="28"/>
        </w:rPr>
        <w:t>Select</w:t>
      </w:r>
      <w:r w:rsidR="0017445E" w:rsidRPr="0017445E">
        <w:rPr>
          <w:rFonts w:cs="Times New Roman"/>
          <w:b/>
          <w:sz w:val="28"/>
          <w:szCs w:val="28"/>
        </w:rPr>
        <w:t>ed</w:t>
      </w:r>
      <w:r w:rsidRPr="0017445E">
        <w:rPr>
          <w:rFonts w:cs="Times New Roman"/>
          <w:b/>
          <w:sz w:val="28"/>
          <w:szCs w:val="28"/>
        </w:rPr>
        <w:t xml:space="preserve"> Bibliography</w:t>
      </w:r>
      <w:r w:rsidR="00CF0F7D">
        <w:rPr>
          <w:rFonts w:cs="Times New Roman"/>
          <w:b/>
          <w:sz w:val="28"/>
          <w:szCs w:val="28"/>
        </w:rPr>
        <w:t>:</w:t>
      </w:r>
    </w:p>
    <w:p w14:paraId="649FBEE1" w14:textId="2A685C2D" w:rsidR="00E3735C" w:rsidRDefault="00E3735C" w:rsidP="00F4448F">
      <w:pPr>
        <w:spacing w:line="480" w:lineRule="auto"/>
        <w:jc w:val="both"/>
        <w:rPr>
          <w:rFonts w:cs="Times New Roman"/>
          <w:iCs/>
          <w:szCs w:val="24"/>
        </w:rPr>
      </w:pPr>
      <w:r w:rsidRPr="00650F2B">
        <w:rPr>
          <w:rStyle w:val="lucenesearchresulturlb"/>
          <w:rFonts w:cs="Times New Roman"/>
          <w:szCs w:val="24"/>
        </w:rPr>
        <w:t>Buchan R</w:t>
      </w:r>
      <w:r w:rsidR="00F4448F">
        <w:rPr>
          <w:rStyle w:val="lucenesearchresulturlb"/>
          <w:rFonts w:cs="Times New Roman"/>
          <w:szCs w:val="24"/>
        </w:rPr>
        <w:t xml:space="preserve">, </w:t>
      </w:r>
      <w:r w:rsidRPr="00650F2B">
        <w:rPr>
          <w:rStyle w:val="lucenesearchresulturlb"/>
          <w:rFonts w:cs="Times New Roman"/>
          <w:szCs w:val="24"/>
        </w:rPr>
        <w:t>‘Cyber Attacks: Unlawful Uses of Force or Prohibited Interventions’ (2012) 17</w:t>
      </w:r>
      <w:r w:rsidRPr="00650F2B">
        <w:rPr>
          <w:rFonts w:cs="Times New Roman"/>
          <w:szCs w:val="24"/>
        </w:rPr>
        <w:t xml:space="preserve"> </w:t>
      </w:r>
      <w:r w:rsidR="00F4448F">
        <w:rPr>
          <w:rFonts w:cs="Times New Roman"/>
          <w:szCs w:val="24"/>
        </w:rPr>
        <w:t>JCSL</w:t>
      </w:r>
      <w:r w:rsidRPr="00650F2B">
        <w:rPr>
          <w:rFonts w:cs="Times New Roman"/>
          <w:iCs/>
          <w:szCs w:val="24"/>
        </w:rPr>
        <w:t xml:space="preserve"> 212</w:t>
      </w:r>
    </w:p>
    <w:p w14:paraId="2F17B71B" w14:textId="77777777" w:rsidR="009D70A0" w:rsidRPr="00650F2B" w:rsidRDefault="009D70A0" w:rsidP="00F4448F">
      <w:pPr>
        <w:pStyle w:val="FootnoteText"/>
        <w:spacing w:line="480" w:lineRule="auto"/>
        <w:jc w:val="both"/>
      </w:pPr>
    </w:p>
    <w:p w14:paraId="4C18C896" w14:textId="47961867" w:rsidR="00E3735C" w:rsidRDefault="00E3735C" w:rsidP="00F4448F">
      <w:pPr>
        <w:pStyle w:val="FootnoteText"/>
        <w:spacing w:line="480" w:lineRule="auto"/>
        <w:jc w:val="both"/>
        <w:rPr>
          <w:rFonts w:cs="Times New Roman"/>
          <w:sz w:val="24"/>
          <w:szCs w:val="24"/>
        </w:rPr>
      </w:pPr>
      <w:r w:rsidRPr="00650F2B">
        <w:rPr>
          <w:rFonts w:cs="Times New Roman"/>
          <w:sz w:val="24"/>
          <w:szCs w:val="24"/>
        </w:rPr>
        <w:t>Green JA (ed</w:t>
      </w:r>
      <w:r w:rsidR="00FB54D7">
        <w:rPr>
          <w:rFonts w:cs="Times New Roman"/>
          <w:sz w:val="24"/>
          <w:szCs w:val="24"/>
        </w:rPr>
        <w:t>.</w:t>
      </w:r>
      <w:r w:rsidRPr="00650F2B">
        <w:rPr>
          <w:rFonts w:cs="Times New Roman"/>
          <w:sz w:val="24"/>
          <w:szCs w:val="24"/>
        </w:rPr>
        <w:t xml:space="preserve">), </w:t>
      </w:r>
      <w:r w:rsidRPr="00650F2B">
        <w:rPr>
          <w:rFonts w:cs="Times New Roman"/>
          <w:i/>
          <w:sz w:val="24"/>
          <w:szCs w:val="24"/>
        </w:rPr>
        <w:t>Cyber Warfare: A Multidisciplinary Analysis</w:t>
      </w:r>
      <w:r w:rsidRPr="00650F2B">
        <w:rPr>
          <w:rFonts w:cs="Times New Roman"/>
          <w:sz w:val="24"/>
          <w:szCs w:val="24"/>
        </w:rPr>
        <w:t xml:space="preserve"> (Routledge</w:t>
      </w:r>
      <w:r w:rsidR="00F4448F">
        <w:rPr>
          <w:rFonts w:cs="Times New Roman"/>
          <w:sz w:val="24"/>
          <w:szCs w:val="24"/>
        </w:rPr>
        <w:t>,</w:t>
      </w:r>
      <w:r w:rsidRPr="00650F2B">
        <w:rPr>
          <w:rFonts w:cs="Times New Roman"/>
          <w:sz w:val="24"/>
          <w:szCs w:val="24"/>
        </w:rPr>
        <w:t xml:space="preserve"> 2015)</w:t>
      </w:r>
    </w:p>
    <w:p w14:paraId="735D3BE0" w14:textId="77777777" w:rsidR="009D70A0" w:rsidRPr="00650F2B" w:rsidRDefault="009D70A0" w:rsidP="00F4448F">
      <w:pPr>
        <w:spacing w:line="480" w:lineRule="auto"/>
        <w:jc w:val="both"/>
      </w:pPr>
    </w:p>
    <w:p w14:paraId="3BB4F5F2" w14:textId="22250425" w:rsidR="00E3735C" w:rsidRDefault="00E3735C" w:rsidP="00F4448F">
      <w:pPr>
        <w:pStyle w:val="Body"/>
        <w:spacing w:line="480" w:lineRule="auto"/>
        <w:jc w:val="both"/>
        <w:rPr>
          <w:rFonts w:hAnsi="Times New Roman" w:cs="Times New Roman"/>
          <w:color w:val="auto"/>
          <w:lang w:val="en-GB"/>
        </w:rPr>
      </w:pPr>
      <w:r w:rsidRPr="00650F2B">
        <w:rPr>
          <w:rFonts w:hAnsi="Times New Roman" w:cs="Times New Roman"/>
          <w:color w:val="auto"/>
          <w:lang w:val="en-GB"/>
        </w:rPr>
        <w:t xml:space="preserve">Harrison Dinniss HA, </w:t>
      </w:r>
      <w:r w:rsidRPr="00650F2B">
        <w:rPr>
          <w:rFonts w:hAnsi="Times New Roman" w:cs="Times New Roman"/>
          <w:i/>
          <w:color w:val="auto"/>
          <w:lang w:val="en-GB"/>
        </w:rPr>
        <w:t>Cyber Warfare and the Laws of War</w:t>
      </w:r>
      <w:r w:rsidRPr="00650F2B">
        <w:rPr>
          <w:rFonts w:hAnsi="Times New Roman" w:cs="Times New Roman"/>
          <w:color w:val="auto"/>
          <w:lang w:val="en-GB"/>
        </w:rPr>
        <w:t xml:space="preserve"> (C</w:t>
      </w:r>
      <w:r w:rsidR="00F4448F">
        <w:rPr>
          <w:rFonts w:hAnsi="Times New Roman" w:cs="Times New Roman"/>
          <w:color w:val="auto"/>
          <w:lang w:val="en-GB"/>
        </w:rPr>
        <w:t>UP,</w:t>
      </w:r>
      <w:r w:rsidRPr="00650F2B">
        <w:rPr>
          <w:rFonts w:hAnsi="Times New Roman" w:cs="Times New Roman"/>
          <w:color w:val="auto"/>
          <w:lang w:val="en-GB"/>
        </w:rPr>
        <w:t xml:space="preserve"> 2012)</w:t>
      </w:r>
    </w:p>
    <w:p w14:paraId="5ACEF8A2" w14:textId="77777777" w:rsidR="009D70A0" w:rsidRPr="00B148AD" w:rsidRDefault="009D70A0" w:rsidP="00F4448F">
      <w:pPr>
        <w:pStyle w:val="Body"/>
        <w:spacing w:line="480" w:lineRule="auto"/>
        <w:jc w:val="both"/>
        <w:rPr>
          <w:lang w:val="en-GB"/>
        </w:rPr>
      </w:pPr>
    </w:p>
    <w:p w14:paraId="0792EE56" w14:textId="00A91243" w:rsidR="00293CBB" w:rsidRDefault="00FB54D7" w:rsidP="00D75363">
      <w:pPr>
        <w:spacing w:line="480" w:lineRule="auto"/>
        <w:jc w:val="both"/>
        <w:rPr>
          <w:rFonts w:cs="Times New Roman"/>
          <w:szCs w:val="24"/>
        </w:rPr>
      </w:pPr>
      <w:r w:rsidRPr="00431ED4">
        <w:rPr>
          <w:rFonts w:cs="Times New Roman"/>
          <w:szCs w:val="24"/>
        </w:rPr>
        <w:t>Heintschel von</w:t>
      </w:r>
      <w:r w:rsidRPr="00650F2B">
        <w:rPr>
          <w:rFonts w:cs="Times New Roman"/>
          <w:szCs w:val="24"/>
        </w:rPr>
        <w:t xml:space="preserve"> </w:t>
      </w:r>
      <w:r w:rsidR="00293CBB" w:rsidRPr="00650F2B">
        <w:rPr>
          <w:rFonts w:cs="Times New Roman"/>
          <w:szCs w:val="24"/>
        </w:rPr>
        <w:t>Heinegg W</w:t>
      </w:r>
      <w:r w:rsidR="00293CBB" w:rsidRPr="00431ED4">
        <w:rPr>
          <w:rFonts w:cs="Times New Roman"/>
          <w:szCs w:val="24"/>
        </w:rPr>
        <w:t xml:space="preserve">, ‘Territorial Sovereignty and Neutrality in Cyberspace’ (2013) 89 </w:t>
      </w:r>
      <w:r w:rsidR="00293CBB" w:rsidRPr="006667FE">
        <w:rPr>
          <w:rFonts w:cs="Times New Roman"/>
          <w:szCs w:val="24"/>
        </w:rPr>
        <w:t>International Legal Studies</w:t>
      </w:r>
      <w:r w:rsidR="00293CBB" w:rsidRPr="00431ED4">
        <w:rPr>
          <w:rFonts w:cs="Times New Roman"/>
          <w:szCs w:val="24"/>
        </w:rPr>
        <w:t xml:space="preserve"> 123</w:t>
      </w:r>
    </w:p>
    <w:p w14:paraId="1F104C8A" w14:textId="77777777" w:rsidR="009D70A0" w:rsidRPr="00650F2B" w:rsidRDefault="009D70A0" w:rsidP="00D75363">
      <w:pPr>
        <w:spacing w:line="480" w:lineRule="auto"/>
        <w:jc w:val="both"/>
        <w:rPr>
          <w:rFonts w:cs="Times New Roman"/>
          <w:szCs w:val="24"/>
        </w:rPr>
      </w:pPr>
    </w:p>
    <w:p w14:paraId="6F2C2D75" w14:textId="49AB496F" w:rsidR="00E3735C" w:rsidRDefault="00E3735C" w:rsidP="00FB54D7">
      <w:pPr>
        <w:pStyle w:val="FootnoteText"/>
        <w:spacing w:line="480" w:lineRule="auto"/>
        <w:jc w:val="both"/>
        <w:rPr>
          <w:rFonts w:cs="Times New Roman"/>
          <w:sz w:val="24"/>
          <w:szCs w:val="24"/>
        </w:rPr>
      </w:pPr>
      <w:r w:rsidRPr="00650F2B">
        <w:rPr>
          <w:rFonts w:cs="Times New Roman"/>
          <w:sz w:val="24"/>
          <w:szCs w:val="24"/>
        </w:rPr>
        <w:t xml:space="preserve">Lentz CE, ‘A State’s Duty to Prevent and Respond to Cyberterrorist Acts’ (2010) 10 </w:t>
      </w:r>
      <w:r w:rsidRPr="00FB54D7">
        <w:rPr>
          <w:rFonts w:cs="Times New Roman"/>
          <w:sz w:val="24"/>
          <w:szCs w:val="24"/>
        </w:rPr>
        <w:t>Chicago Journal of International Law</w:t>
      </w:r>
      <w:r w:rsidRPr="00650F2B">
        <w:rPr>
          <w:rFonts w:cs="Times New Roman"/>
          <w:sz w:val="24"/>
          <w:szCs w:val="24"/>
        </w:rPr>
        <w:t xml:space="preserve"> 799</w:t>
      </w:r>
    </w:p>
    <w:p w14:paraId="784D514E" w14:textId="77777777" w:rsidR="009D70A0" w:rsidRPr="00650F2B" w:rsidRDefault="009D70A0" w:rsidP="00D75363">
      <w:pPr>
        <w:spacing w:line="480" w:lineRule="auto"/>
        <w:jc w:val="both"/>
        <w:rPr>
          <w:rFonts w:cs="Times New Roman"/>
          <w:szCs w:val="24"/>
        </w:rPr>
      </w:pPr>
    </w:p>
    <w:p w14:paraId="7550E123" w14:textId="2F30AEC1" w:rsidR="00E3735C" w:rsidRDefault="00496ADF" w:rsidP="00FB54D7">
      <w:pPr>
        <w:pStyle w:val="FootnoteText"/>
        <w:spacing w:line="480" w:lineRule="auto"/>
        <w:jc w:val="both"/>
        <w:rPr>
          <w:rStyle w:val="Emphasis"/>
          <w:rFonts w:cs="Times New Roman"/>
          <w:bCs/>
          <w:i w:val="0"/>
          <w:iCs w:val="0"/>
          <w:sz w:val="24"/>
          <w:szCs w:val="24"/>
          <w:shd w:val="clear" w:color="auto" w:fill="FFFFFF"/>
        </w:rPr>
      </w:pPr>
      <w:r>
        <w:rPr>
          <w:rFonts w:cs="Times New Roman"/>
          <w:sz w:val="24"/>
          <w:szCs w:val="24"/>
        </w:rPr>
        <w:t>Morth</w:t>
      </w:r>
      <w:r w:rsidR="00E3735C" w:rsidRPr="00650F2B">
        <w:rPr>
          <w:rFonts w:cs="Times New Roman"/>
          <w:sz w:val="24"/>
          <w:szCs w:val="24"/>
        </w:rPr>
        <w:t xml:space="preserve"> TA, ‘Considering Our Position: Viewing </w:t>
      </w:r>
      <w:r w:rsidR="00E3735C" w:rsidRPr="00FB54D7">
        <w:rPr>
          <w:rFonts w:cs="Times New Roman"/>
          <w:sz w:val="24"/>
          <w:szCs w:val="24"/>
        </w:rPr>
        <w:t xml:space="preserve">Information Warfare as a Use of Force Prohibited by Article 2(4) of the U.N. Charter’ (1998) 30 </w:t>
      </w:r>
      <w:r w:rsidR="00E3735C" w:rsidRPr="00FB54D7">
        <w:rPr>
          <w:rStyle w:val="Emphasis"/>
          <w:rFonts w:cs="Times New Roman"/>
          <w:bCs/>
          <w:i w:val="0"/>
          <w:iCs w:val="0"/>
          <w:sz w:val="24"/>
          <w:szCs w:val="24"/>
          <w:shd w:val="clear" w:color="auto" w:fill="FFFFFF"/>
        </w:rPr>
        <w:t>Case Western Reserve Journal of International Law 567</w:t>
      </w:r>
    </w:p>
    <w:p w14:paraId="4935093C" w14:textId="77777777" w:rsidR="009D70A0" w:rsidRPr="00FB54D7" w:rsidRDefault="009D70A0" w:rsidP="00FB54D7">
      <w:pPr>
        <w:pStyle w:val="FootnoteText"/>
        <w:spacing w:line="480" w:lineRule="auto"/>
        <w:jc w:val="both"/>
      </w:pPr>
    </w:p>
    <w:p w14:paraId="55C22DA4" w14:textId="4F7D1037" w:rsidR="00E3735C" w:rsidRDefault="00E3735C" w:rsidP="00FB54D7">
      <w:pPr>
        <w:pStyle w:val="FootnoteText"/>
        <w:spacing w:line="480" w:lineRule="auto"/>
        <w:jc w:val="both"/>
        <w:rPr>
          <w:rFonts w:cs="Times New Roman"/>
          <w:sz w:val="24"/>
          <w:szCs w:val="24"/>
        </w:rPr>
      </w:pPr>
      <w:r w:rsidRPr="00650F2B">
        <w:rPr>
          <w:rFonts w:cs="Times New Roman"/>
          <w:sz w:val="24"/>
          <w:szCs w:val="24"/>
        </w:rPr>
        <w:t>O’Connell ME, ‘</w:t>
      </w:r>
      <w:r w:rsidRPr="00031659">
        <w:rPr>
          <w:rFonts w:cs="Times New Roman"/>
          <w:sz w:val="24"/>
          <w:szCs w:val="24"/>
        </w:rPr>
        <w:t xml:space="preserve">Cyber Security without Cyber War’ </w:t>
      </w:r>
      <w:r w:rsidRPr="00031659">
        <w:rPr>
          <w:rFonts w:cs="Times New Roman"/>
          <w:iCs/>
          <w:sz w:val="24"/>
          <w:szCs w:val="24"/>
        </w:rPr>
        <w:t>(2012) 17</w:t>
      </w:r>
      <w:r w:rsidRPr="00031659">
        <w:rPr>
          <w:rFonts w:cs="Times New Roman"/>
          <w:sz w:val="24"/>
          <w:szCs w:val="24"/>
        </w:rPr>
        <w:t xml:space="preserve"> </w:t>
      </w:r>
      <w:r w:rsidR="00F4448F" w:rsidRPr="009D70A0">
        <w:rPr>
          <w:rFonts w:cs="Times New Roman"/>
          <w:sz w:val="24"/>
          <w:szCs w:val="24"/>
        </w:rPr>
        <w:t xml:space="preserve">JCSL </w:t>
      </w:r>
      <w:r w:rsidRPr="00031659">
        <w:rPr>
          <w:rFonts w:cs="Times New Roman"/>
          <w:sz w:val="24"/>
          <w:szCs w:val="24"/>
        </w:rPr>
        <w:t>187</w:t>
      </w:r>
    </w:p>
    <w:p w14:paraId="163FB859" w14:textId="77777777" w:rsidR="009D70A0" w:rsidRPr="00031659" w:rsidRDefault="009D70A0" w:rsidP="00FB54D7">
      <w:pPr>
        <w:pStyle w:val="FootnoteText"/>
        <w:spacing w:line="480" w:lineRule="auto"/>
        <w:jc w:val="both"/>
      </w:pPr>
    </w:p>
    <w:p w14:paraId="49276D54" w14:textId="66CA49FE" w:rsidR="00031659" w:rsidRDefault="00031659" w:rsidP="00D75363">
      <w:pPr>
        <w:pStyle w:val="Body"/>
        <w:spacing w:line="480" w:lineRule="auto"/>
        <w:jc w:val="both"/>
        <w:rPr>
          <w:rFonts w:eastAsia="Times New Roman" w:hAnsi="Times New Roman" w:cs="Times New Roman"/>
          <w:color w:val="auto"/>
          <w:lang w:val="en"/>
        </w:rPr>
      </w:pPr>
      <w:r w:rsidRPr="00031659">
        <w:rPr>
          <w:rFonts w:eastAsia="Times New Roman" w:hAnsi="Times New Roman" w:cs="Times New Roman"/>
          <w:color w:val="auto"/>
          <w:lang w:val="en"/>
        </w:rPr>
        <w:t>Ohlin JD, Govern K</w:t>
      </w:r>
      <w:r w:rsidR="00FB54D7">
        <w:rPr>
          <w:rFonts w:eastAsia="Times New Roman" w:hAnsi="Times New Roman" w:cs="Times New Roman"/>
          <w:color w:val="auto"/>
          <w:lang w:val="en"/>
        </w:rPr>
        <w:t xml:space="preserve"> </w:t>
      </w:r>
      <w:r w:rsidRPr="000F6FCE">
        <w:rPr>
          <w:rFonts w:eastAsia="Times New Roman" w:hAnsi="Times New Roman" w:cs="Times New Roman"/>
          <w:bCs/>
          <w:color w:val="auto"/>
          <w:lang w:val="en"/>
        </w:rPr>
        <w:t>and Finkelstein</w:t>
      </w:r>
      <w:r w:rsidRPr="00031659">
        <w:rPr>
          <w:rFonts w:eastAsia="Times New Roman" w:hAnsi="Times New Roman" w:cs="Times New Roman"/>
          <w:bCs/>
          <w:color w:val="auto"/>
          <w:lang w:val="en"/>
        </w:rPr>
        <w:t xml:space="preserve"> C</w:t>
      </w:r>
      <w:r w:rsidRPr="000F6FCE">
        <w:rPr>
          <w:rFonts w:eastAsia="Times New Roman" w:hAnsi="Times New Roman" w:cs="Times New Roman"/>
          <w:bCs/>
          <w:color w:val="auto"/>
          <w:lang w:val="en"/>
        </w:rPr>
        <w:t xml:space="preserve"> </w:t>
      </w:r>
      <w:r w:rsidRPr="00031659">
        <w:rPr>
          <w:rFonts w:eastAsia="Times New Roman" w:hAnsi="Times New Roman" w:cs="Times New Roman"/>
          <w:bCs/>
          <w:color w:val="auto"/>
          <w:lang w:val="en"/>
        </w:rPr>
        <w:t xml:space="preserve">(eds), </w:t>
      </w:r>
      <w:r w:rsidRPr="00031659">
        <w:rPr>
          <w:rFonts w:eastAsia="Times New Roman" w:hAnsi="Times New Roman" w:cs="Times New Roman"/>
          <w:i/>
          <w:color w:val="auto"/>
          <w:lang w:val="en"/>
        </w:rPr>
        <w:t>Cyber War: Law and Ethics for Virtual Conflicts</w:t>
      </w:r>
      <w:r w:rsidRPr="00031659">
        <w:rPr>
          <w:rFonts w:eastAsia="Times New Roman" w:hAnsi="Times New Roman" w:cs="Times New Roman"/>
          <w:color w:val="auto"/>
          <w:lang w:val="en"/>
        </w:rPr>
        <w:t xml:space="preserve"> (</w:t>
      </w:r>
      <w:r w:rsidR="00FB54D7">
        <w:rPr>
          <w:rFonts w:eastAsia="Times New Roman" w:hAnsi="Times New Roman" w:cs="Times New Roman"/>
          <w:color w:val="auto"/>
          <w:lang w:val="en"/>
        </w:rPr>
        <w:t xml:space="preserve">OUP, </w:t>
      </w:r>
      <w:r w:rsidRPr="00031659">
        <w:rPr>
          <w:rFonts w:eastAsia="Times New Roman" w:hAnsi="Times New Roman" w:cs="Times New Roman"/>
          <w:color w:val="auto"/>
          <w:lang w:val="en"/>
        </w:rPr>
        <w:t>2015)</w:t>
      </w:r>
    </w:p>
    <w:p w14:paraId="258FF55E" w14:textId="77777777" w:rsidR="009D70A0" w:rsidRPr="00031659" w:rsidRDefault="009D70A0" w:rsidP="00D75363">
      <w:pPr>
        <w:pStyle w:val="Body"/>
        <w:spacing w:line="480" w:lineRule="auto"/>
        <w:jc w:val="both"/>
        <w:rPr>
          <w:rFonts w:eastAsia="Times New Roman" w:hAnsi="Times New Roman" w:cs="Times New Roman"/>
          <w:b/>
          <w:color w:val="auto"/>
          <w:lang w:val="en"/>
        </w:rPr>
      </w:pPr>
    </w:p>
    <w:p w14:paraId="182F1C31" w14:textId="5F8D11FE" w:rsidR="00E3735C" w:rsidRDefault="00E3735C" w:rsidP="00FB54D7">
      <w:pPr>
        <w:pStyle w:val="Body"/>
        <w:spacing w:line="480" w:lineRule="auto"/>
        <w:jc w:val="both"/>
        <w:rPr>
          <w:rFonts w:hAnsi="Times New Roman" w:cs="Times New Roman"/>
          <w:color w:val="auto"/>
          <w:lang w:val="en-GB"/>
        </w:rPr>
      </w:pPr>
      <w:r w:rsidRPr="00031659">
        <w:rPr>
          <w:rFonts w:hAnsi="Times New Roman" w:cs="Times New Roman"/>
          <w:color w:val="auto"/>
          <w:lang w:val="en-GB"/>
        </w:rPr>
        <w:t xml:space="preserve">Rid T, </w:t>
      </w:r>
      <w:r w:rsidRPr="00031659">
        <w:rPr>
          <w:rFonts w:hAnsi="Times New Roman" w:cs="Times New Roman"/>
          <w:i/>
          <w:iCs/>
          <w:color w:val="auto"/>
          <w:lang w:val="en-GB"/>
        </w:rPr>
        <w:t>Cyber War Will Not</w:t>
      </w:r>
      <w:r w:rsidRPr="00650F2B">
        <w:rPr>
          <w:rFonts w:hAnsi="Times New Roman" w:cs="Times New Roman"/>
          <w:i/>
          <w:iCs/>
          <w:color w:val="auto"/>
          <w:lang w:val="en-GB"/>
        </w:rPr>
        <w:t xml:space="preserve"> Take Place</w:t>
      </w:r>
      <w:r w:rsidRPr="00650F2B">
        <w:rPr>
          <w:rFonts w:hAnsi="Times New Roman" w:cs="Times New Roman"/>
          <w:color w:val="auto"/>
          <w:lang w:val="en-GB"/>
        </w:rPr>
        <w:t xml:space="preserve"> (Hurst</w:t>
      </w:r>
      <w:r w:rsidR="00FB54D7">
        <w:rPr>
          <w:rFonts w:hAnsi="Times New Roman" w:cs="Times New Roman"/>
          <w:color w:val="auto"/>
          <w:lang w:val="en-GB"/>
        </w:rPr>
        <w:t>,</w:t>
      </w:r>
      <w:r w:rsidRPr="00650F2B">
        <w:rPr>
          <w:rFonts w:hAnsi="Times New Roman" w:cs="Times New Roman"/>
          <w:color w:val="auto"/>
          <w:lang w:val="en-GB"/>
        </w:rPr>
        <w:t xml:space="preserve"> 2013)</w:t>
      </w:r>
    </w:p>
    <w:p w14:paraId="7FBDA0DC" w14:textId="77777777" w:rsidR="009D70A0" w:rsidRPr="00650F2B" w:rsidRDefault="009D70A0" w:rsidP="00FB54D7">
      <w:pPr>
        <w:spacing w:line="480" w:lineRule="auto"/>
        <w:jc w:val="both"/>
      </w:pPr>
    </w:p>
    <w:p w14:paraId="0A187B08" w14:textId="0F57E96F" w:rsidR="00293CBB" w:rsidRDefault="00E3735C" w:rsidP="00FB54D7">
      <w:pPr>
        <w:pStyle w:val="Body"/>
        <w:spacing w:line="480" w:lineRule="auto"/>
        <w:jc w:val="both"/>
        <w:rPr>
          <w:rFonts w:hAnsi="Times New Roman" w:cs="Times New Roman"/>
          <w:color w:val="auto"/>
          <w:lang w:val="en-GB"/>
        </w:rPr>
      </w:pPr>
      <w:r w:rsidRPr="00650F2B">
        <w:rPr>
          <w:rFonts w:hAnsi="Times New Roman" w:cs="Times New Roman"/>
          <w:color w:val="auto"/>
          <w:lang w:val="en-GB"/>
        </w:rPr>
        <w:t xml:space="preserve">Roscini M, </w:t>
      </w:r>
      <w:r w:rsidRPr="00650F2B">
        <w:rPr>
          <w:rFonts w:hAnsi="Times New Roman" w:cs="Times New Roman"/>
          <w:i/>
          <w:iCs/>
          <w:color w:val="auto"/>
          <w:lang w:val="en-GB"/>
        </w:rPr>
        <w:t>Cyber Operations and the Use of Force in International Law</w:t>
      </w:r>
      <w:r w:rsidRPr="00650F2B">
        <w:rPr>
          <w:rFonts w:hAnsi="Times New Roman" w:cs="Times New Roman"/>
          <w:color w:val="auto"/>
          <w:lang w:val="en-GB"/>
        </w:rPr>
        <w:t xml:space="preserve"> (O</w:t>
      </w:r>
      <w:r w:rsidR="006667FE">
        <w:rPr>
          <w:rFonts w:hAnsi="Times New Roman" w:cs="Times New Roman"/>
          <w:color w:val="auto"/>
          <w:lang w:val="en-GB"/>
        </w:rPr>
        <w:t>UP,</w:t>
      </w:r>
      <w:r w:rsidRPr="00650F2B">
        <w:rPr>
          <w:rFonts w:hAnsi="Times New Roman" w:cs="Times New Roman"/>
          <w:color w:val="auto"/>
          <w:lang w:val="en-GB"/>
        </w:rPr>
        <w:t xml:space="preserve"> 2014)</w:t>
      </w:r>
    </w:p>
    <w:p w14:paraId="7A018513" w14:textId="77777777" w:rsidR="009D70A0" w:rsidRPr="00650F2B" w:rsidRDefault="009D70A0" w:rsidP="00D75363">
      <w:pPr>
        <w:spacing w:line="480" w:lineRule="auto"/>
        <w:jc w:val="both"/>
        <w:rPr>
          <w:rFonts w:cs="Times New Roman"/>
          <w:szCs w:val="24"/>
        </w:rPr>
      </w:pPr>
    </w:p>
    <w:p w14:paraId="0C62DC53" w14:textId="6D5197A9" w:rsidR="00E3735C" w:rsidRDefault="00E3735C" w:rsidP="006667FE">
      <w:pPr>
        <w:spacing w:line="480" w:lineRule="auto"/>
        <w:jc w:val="both"/>
        <w:rPr>
          <w:rFonts w:cs="Times New Roman"/>
          <w:szCs w:val="24"/>
        </w:rPr>
      </w:pPr>
      <w:r w:rsidRPr="00650F2B">
        <w:rPr>
          <w:rFonts w:cs="Times New Roman"/>
          <w:szCs w:val="24"/>
        </w:rPr>
        <w:t xml:space="preserve">Schmitt MN (ed), </w:t>
      </w:r>
      <w:r w:rsidRPr="00650F2B">
        <w:rPr>
          <w:rFonts w:cs="Times New Roman"/>
          <w:i/>
          <w:szCs w:val="24"/>
        </w:rPr>
        <w:t xml:space="preserve">Tallinn Manual on the </w:t>
      </w:r>
      <w:r w:rsidRPr="00940EB0">
        <w:rPr>
          <w:rFonts w:cs="Times New Roman"/>
          <w:i/>
          <w:szCs w:val="24"/>
        </w:rPr>
        <w:t>International Law Applicable to Cyber Warfare</w:t>
      </w:r>
      <w:r w:rsidRPr="00940EB0">
        <w:rPr>
          <w:rFonts w:cs="Times New Roman"/>
          <w:szCs w:val="24"/>
        </w:rPr>
        <w:t xml:space="preserve"> </w:t>
      </w:r>
      <w:r w:rsidR="006667FE">
        <w:rPr>
          <w:rFonts w:cs="Times New Roman"/>
          <w:szCs w:val="24"/>
        </w:rPr>
        <w:t>(</w:t>
      </w:r>
      <w:r w:rsidRPr="00940EB0">
        <w:rPr>
          <w:rFonts w:cs="Times New Roman"/>
          <w:szCs w:val="24"/>
        </w:rPr>
        <w:t>Prepared by the International Group of Experts at the Invitation of the NATO Cooperative Cyber Defence Centre of Excellence</w:t>
      </w:r>
      <w:r w:rsidR="006667FE">
        <w:rPr>
          <w:rFonts w:cs="Times New Roman"/>
          <w:szCs w:val="24"/>
        </w:rPr>
        <w:t xml:space="preserve">, </w:t>
      </w:r>
      <w:r w:rsidR="00F4448F" w:rsidRPr="00650F2B">
        <w:rPr>
          <w:rFonts w:cs="Times New Roman"/>
        </w:rPr>
        <w:t>C</w:t>
      </w:r>
      <w:r w:rsidR="00F4448F">
        <w:rPr>
          <w:rFonts w:cs="Times New Roman"/>
        </w:rPr>
        <w:t xml:space="preserve">UP, </w:t>
      </w:r>
      <w:r w:rsidRPr="00940EB0">
        <w:rPr>
          <w:rFonts w:cs="Times New Roman"/>
          <w:szCs w:val="24"/>
        </w:rPr>
        <w:t>2013)</w:t>
      </w:r>
    </w:p>
    <w:p w14:paraId="275B1C18" w14:textId="77777777" w:rsidR="009D70A0" w:rsidRPr="00940EB0" w:rsidRDefault="009D70A0" w:rsidP="006667FE">
      <w:pPr>
        <w:spacing w:line="480" w:lineRule="auto"/>
        <w:jc w:val="both"/>
      </w:pPr>
    </w:p>
    <w:p w14:paraId="0B8002C3" w14:textId="27B7E6E9" w:rsidR="00E3735C" w:rsidRDefault="00E3735C" w:rsidP="006667FE">
      <w:pPr>
        <w:pStyle w:val="FootnoteText"/>
        <w:spacing w:line="480" w:lineRule="auto"/>
        <w:jc w:val="both"/>
        <w:rPr>
          <w:rFonts w:cs="Times New Roman"/>
          <w:sz w:val="24"/>
          <w:szCs w:val="24"/>
        </w:rPr>
      </w:pPr>
      <w:r w:rsidRPr="00940EB0">
        <w:rPr>
          <w:rFonts w:cs="Times New Roman"/>
          <w:sz w:val="24"/>
          <w:szCs w:val="24"/>
        </w:rPr>
        <w:t>Schmitt MN, ‘In Defen</w:t>
      </w:r>
      <w:r w:rsidR="00FF1EF3" w:rsidRPr="00940EB0">
        <w:rPr>
          <w:rFonts w:cs="Times New Roman"/>
          <w:sz w:val="24"/>
          <w:szCs w:val="24"/>
        </w:rPr>
        <w:t>s</w:t>
      </w:r>
      <w:r w:rsidRPr="00940EB0">
        <w:rPr>
          <w:rFonts w:cs="Times New Roman"/>
          <w:sz w:val="24"/>
          <w:szCs w:val="24"/>
        </w:rPr>
        <w:t xml:space="preserve">e of Due Diligence in Cyberspace’ (2015) 125 </w:t>
      </w:r>
      <w:r w:rsidRPr="00FB54D7">
        <w:rPr>
          <w:rFonts w:cs="Times New Roman"/>
          <w:sz w:val="24"/>
          <w:szCs w:val="24"/>
        </w:rPr>
        <w:t>Yale Law Journal Forum 68</w:t>
      </w:r>
    </w:p>
    <w:p w14:paraId="6E343184" w14:textId="77777777" w:rsidR="009D70A0" w:rsidRPr="00F4448F" w:rsidRDefault="009D70A0" w:rsidP="006667FE">
      <w:pPr>
        <w:pStyle w:val="FootnoteText"/>
        <w:spacing w:line="480" w:lineRule="auto"/>
        <w:jc w:val="both"/>
      </w:pPr>
    </w:p>
    <w:p w14:paraId="3BB8A7AE" w14:textId="775EF489" w:rsidR="00940EB0" w:rsidRDefault="00940EB0" w:rsidP="00FB54D7">
      <w:pPr>
        <w:autoSpaceDE w:val="0"/>
        <w:autoSpaceDN w:val="0"/>
        <w:adjustRightInd w:val="0"/>
        <w:spacing w:line="480" w:lineRule="auto"/>
        <w:jc w:val="both"/>
        <w:rPr>
          <w:rFonts w:cs="Times New Roman"/>
          <w:bCs/>
          <w:szCs w:val="24"/>
        </w:rPr>
      </w:pPr>
      <w:r w:rsidRPr="00940EB0">
        <w:rPr>
          <w:rFonts w:cs="Times New Roman"/>
          <w:szCs w:val="24"/>
        </w:rPr>
        <w:t xml:space="preserve">Shackelford SJ, Russell S and Kuehn A, </w:t>
      </w:r>
      <w:r w:rsidRPr="00940EB0">
        <w:rPr>
          <w:rFonts w:cs="Times New Roman"/>
          <w:bCs/>
          <w:szCs w:val="24"/>
        </w:rPr>
        <w:t xml:space="preserve">‘Defining Cybersecurity Due Diligence under International Law: Lessons from the Private Sector’ </w:t>
      </w:r>
      <w:r w:rsidRPr="00940EB0">
        <w:rPr>
          <w:rFonts w:cs="Times New Roman"/>
          <w:szCs w:val="24"/>
        </w:rPr>
        <w:t xml:space="preserve">in </w:t>
      </w:r>
      <w:r w:rsidRPr="00940EB0">
        <w:rPr>
          <w:rFonts w:cs="Times New Roman"/>
          <w:bCs/>
          <w:kern w:val="36"/>
          <w:szCs w:val="24"/>
        </w:rPr>
        <w:t xml:space="preserve">Mariarosaria Taddeo (ed), </w:t>
      </w:r>
      <w:r w:rsidRPr="00940EB0">
        <w:rPr>
          <w:rFonts w:cs="Times New Roman"/>
          <w:bCs/>
          <w:i/>
          <w:szCs w:val="24"/>
        </w:rPr>
        <w:t>Ethics and Policies for Cyber Warfare</w:t>
      </w:r>
      <w:r w:rsidRPr="00940EB0">
        <w:rPr>
          <w:rFonts w:cs="Times New Roman"/>
          <w:bCs/>
          <w:szCs w:val="24"/>
        </w:rPr>
        <w:t xml:space="preserve"> (</w:t>
      </w:r>
      <w:r w:rsidR="00FB54D7">
        <w:rPr>
          <w:rFonts w:cs="Times New Roman"/>
          <w:bCs/>
          <w:szCs w:val="24"/>
        </w:rPr>
        <w:t>OUP,</w:t>
      </w:r>
      <w:r w:rsidRPr="00FB54D7">
        <w:rPr>
          <w:rFonts w:cs="Times New Roman"/>
          <w:bCs/>
          <w:szCs w:val="24"/>
        </w:rPr>
        <w:t xml:space="preserve"> forthcoming</w:t>
      </w:r>
      <w:r w:rsidRPr="00940EB0">
        <w:rPr>
          <w:rFonts w:cs="Times New Roman"/>
          <w:bCs/>
          <w:szCs w:val="24"/>
        </w:rPr>
        <w:t xml:space="preserve"> 2016) </w:t>
      </w:r>
      <w:r w:rsidR="006667FE">
        <w:rPr>
          <w:rFonts w:cs="Times New Roman"/>
          <w:bCs/>
          <w:szCs w:val="24"/>
        </w:rPr>
        <w:t>(</w:t>
      </w:r>
      <w:r w:rsidRPr="00940EB0">
        <w:rPr>
          <w:rFonts w:cs="Times New Roman"/>
          <w:bCs/>
          <w:szCs w:val="24"/>
        </w:rPr>
        <w:t>pre-publication SSRN version: 14 April 2015 &lt;http://papers.ssrn.com/sol3/papers.cfm?abstract_id=2594323&gt;</w:t>
      </w:r>
      <w:r w:rsidR="006667FE">
        <w:rPr>
          <w:rFonts w:cs="Times New Roman"/>
          <w:bCs/>
          <w:szCs w:val="24"/>
        </w:rPr>
        <w:t>)</w:t>
      </w:r>
      <w:r w:rsidRPr="00940EB0">
        <w:rPr>
          <w:rFonts w:cs="Times New Roman"/>
          <w:bCs/>
          <w:szCs w:val="24"/>
        </w:rPr>
        <w:t xml:space="preserve"> </w:t>
      </w:r>
    </w:p>
    <w:p w14:paraId="635C905C" w14:textId="77777777" w:rsidR="009D70A0" w:rsidRPr="00940EB0" w:rsidRDefault="009D70A0" w:rsidP="00FB54D7">
      <w:pPr>
        <w:autoSpaceDE w:val="0"/>
        <w:autoSpaceDN w:val="0"/>
        <w:adjustRightInd w:val="0"/>
        <w:spacing w:line="480" w:lineRule="auto"/>
        <w:jc w:val="both"/>
        <w:rPr>
          <w:rFonts w:cs="Times New Roman"/>
          <w:szCs w:val="24"/>
        </w:rPr>
      </w:pPr>
    </w:p>
    <w:p w14:paraId="10E32E2C" w14:textId="613D2090" w:rsidR="00E3735C" w:rsidRDefault="00E3735C" w:rsidP="00D75363">
      <w:pPr>
        <w:spacing w:line="480" w:lineRule="auto"/>
        <w:jc w:val="both"/>
        <w:rPr>
          <w:rFonts w:cs="Times New Roman"/>
          <w:szCs w:val="24"/>
        </w:rPr>
      </w:pPr>
      <w:r w:rsidRPr="00940EB0">
        <w:rPr>
          <w:rFonts w:cs="Times New Roman"/>
          <w:szCs w:val="24"/>
        </w:rPr>
        <w:t>Sklerov MJ, ‘Solving the Dilemma of State Re</w:t>
      </w:r>
      <w:r w:rsidRPr="005550EF">
        <w:rPr>
          <w:rFonts w:cs="Times New Roman"/>
          <w:szCs w:val="24"/>
        </w:rPr>
        <w:t xml:space="preserve">sponses to Cyberattacks: A Justification for the Use of Active Defenses against States Who Neglect Their Duty to Prevent’ (2009) 201 </w:t>
      </w:r>
      <w:r w:rsidRPr="00FB54D7">
        <w:rPr>
          <w:rFonts w:cs="Times New Roman"/>
          <w:szCs w:val="24"/>
        </w:rPr>
        <w:t>Military Law Review</w:t>
      </w:r>
      <w:r w:rsidRPr="005550EF">
        <w:rPr>
          <w:rFonts w:cs="Times New Roman"/>
          <w:szCs w:val="24"/>
        </w:rPr>
        <w:t xml:space="preserve"> 1</w:t>
      </w:r>
    </w:p>
    <w:p w14:paraId="06ADC273" w14:textId="77777777" w:rsidR="009D70A0" w:rsidRPr="00650F2B" w:rsidRDefault="009D70A0" w:rsidP="00FB54D7">
      <w:pPr>
        <w:spacing w:line="480" w:lineRule="auto"/>
        <w:jc w:val="both"/>
      </w:pPr>
    </w:p>
    <w:p w14:paraId="148BC91A" w14:textId="15763318" w:rsidR="00E3735C" w:rsidRPr="00B148AD" w:rsidRDefault="0013336B" w:rsidP="00CF0F7D">
      <w:pPr>
        <w:pStyle w:val="FootnoteText"/>
        <w:spacing w:line="480" w:lineRule="auto"/>
        <w:jc w:val="both"/>
        <w:rPr>
          <w:rFonts w:cs="Times New Roman"/>
          <w:b/>
        </w:rPr>
      </w:pPr>
      <w:r>
        <w:rPr>
          <w:rFonts w:cs="Times New Roman"/>
          <w:sz w:val="24"/>
          <w:szCs w:val="24"/>
        </w:rPr>
        <w:t>Tsagourias</w:t>
      </w:r>
      <w:r w:rsidR="00E3735C" w:rsidRPr="00650F2B">
        <w:rPr>
          <w:rFonts w:cs="Times New Roman"/>
          <w:sz w:val="24"/>
          <w:szCs w:val="24"/>
        </w:rPr>
        <w:t xml:space="preserve"> N and Buchan R (eds), </w:t>
      </w:r>
      <w:r w:rsidR="00E3735C" w:rsidRPr="00650F2B">
        <w:rPr>
          <w:rFonts w:cs="Times New Roman"/>
          <w:i/>
          <w:sz w:val="24"/>
          <w:szCs w:val="24"/>
        </w:rPr>
        <w:t>Research Handbook on International Law and Cyberspace</w:t>
      </w:r>
      <w:r w:rsidR="00E3735C" w:rsidRPr="00650F2B">
        <w:rPr>
          <w:rFonts w:cs="Times New Roman"/>
          <w:sz w:val="24"/>
          <w:szCs w:val="24"/>
        </w:rPr>
        <w:t xml:space="preserve"> (Edward Elgar</w:t>
      </w:r>
      <w:r w:rsidR="00FB54D7">
        <w:rPr>
          <w:rFonts w:cs="Times New Roman"/>
          <w:sz w:val="24"/>
          <w:szCs w:val="24"/>
        </w:rPr>
        <w:t>,</w:t>
      </w:r>
      <w:r w:rsidR="00E3735C" w:rsidRPr="00650F2B">
        <w:rPr>
          <w:rFonts w:cs="Times New Roman"/>
          <w:sz w:val="24"/>
          <w:szCs w:val="24"/>
        </w:rPr>
        <w:t xml:space="preserve"> 2015)</w:t>
      </w:r>
    </w:p>
    <w:sectPr w:rsidR="00E3735C" w:rsidRPr="00B148AD" w:rsidSect="0085137B">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67F28" w14:textId="77777777" w:rsidR="00C36840" w:rsidRDefault="00C36840" w:rsidP="00A45AFF">
      <w:r>
        <w:separator/>
      </w:r>
    </w:p>
  </w:endnote>
  <w:endnote w:type="continuationSeparator" w:id="0">
    <w:p w14:paraId="76E1BCB8" w14:textId="77777777" w:rsidR="00C36840" w:rsidRDefault="00C36840" w:rsidP="00A4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486817"/>
      <w:docPartObj>
        <w:docPartGallery w:val="Page Numbers (Bottom of Page)"/>
        <w:docPartUnique/>
      </w:docPartObj>
    </w:sdtPr>
    <w:sdtEndPr>
      <w:rPr>
        <w:noProof/>
      </w:rPr>
    </w:sdtEndPr>
    <w:sdtContent>
      <w:p w14:paraId="6ED16ECE" w14:textId="77777777" w:rsidR="00B016F3" w:rsidRDefault="00B016F3">
        <w:pPr>
          <w:pStyle w:val="Footer"/>
          <w:jc w:val="center"/>
        </w:pPr>
        <w:r>
          <w:fldChar w:fldCharType="begin"/>
        </w:r>
        <w:r>
          <w:instrText xml:space="preserve"> PAGE   \* MERGEFORMAT </w:instrText>
        </w:r>
        <w:r>
          <w:fldChar w:fldCharType="separate"/>
        </w:r>
        <w:r w:rsidR="003E3194">
          <w:rPr>
            <w:noProof/>
          </w:rPr>
          <w:t>30</w:t>
        </w:r>
        <w:r>
          <w:rPr>
            <w:noProof/>
          </w:rPr>
          <w:fldChar w:fldCharType="end"/>
        </w:r>
      </w:p>
    </w:sdtContent>
  </w:sdt>
  <w:p w14:paraId="7394B56A" w14:textId="77777777" w:rsidR="00B016F3" w:rsidRDefault="00B01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735255"/>
      <w:docPartObj>
        <w:docPartGallery w:val="Page Numbers (Bottom of Page)"/>
        <w:docPartUnique/>
      </w:docPartObj>
    </w:sdtPr>
    <w:sdtEndPr>
      <w:rPr>
        <w:noProof/>
      </w:rPr>
    </w:sdtEndPr>
    <w:sdtContent>
      <w:p w14:paraId="535E85CF" w14:textId="77777777" w:rsidR="00B016F3" w:rsidRDefault="00B016F3">
        <w:pPr>
          <w:pStyle w:val="Footer"/>
          <w:jc w:val="center"/>
        </w:pPr>
        <w:r>
          <w:fldChar w:fldCharType="begin"/>
        </w:r>
        <w:r>
          <w:instrText xml:space="preserve"> PAGE   \* MERGEFORMAT </w:instrText>
        </w:r>
        <w:r>
          <w:fldChar w:fldCharType="separate"/>
        </w:r>
        <w:r w:rsidR="003E1F69">
          <w:rPr>
            <w:noProof/>
          </w:rPr>
          <w:t>1</w:t>
        </w:r>
        <w:r>
          <w:rPr>
            <w:noProof/>
          </w:rPr>
          <w:fldChar w:fldCharType="end"/>
        </w:r>
      </w:p>
    </w:sdtContent>
  </w:sdt>
  <w:p w14:paraId="6C4048FD" w14:textId="77777777" w:rsidR="00B016F3" w:rsidRDefault="00B01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1E89" w14:textId="77777777" w:rsidR="00C36840" w:rsidRDefault="00C36840" w:rsidP="00A45AFF">
      <w:r>
        <w:separator/>
      </w:r>
    </w:p>
  </w:footnote>
  <w:footnote w:type="continuationSeparator" w:id="0">
    <w:p w14:paraId="0C583D8D" w14:textId="77777777" w:rsidR="00C36840" w:rsidRDefault="00C36840" w:rsidP="00A45AFF">
      <w:r>
        <w:continuationSeparator/>
      </w:r>
    </w:p>
  </w:footnote>
  <w:footnote w:id="1">
    <w:p w14:paraId="737B2F42" w14:textId="347CAA75"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Cyberspace has been defined, in a much repeated formulation by the US Department of Defence, as ‘[a] global domain within the information environment consisting of the interdependent network of information technology infrastructures and resident data, including the Internet, telecommunications networks, computer systems, and embedded processors and controllers’. </w:t>
      </w:r>
      <w:r w:rsidRPr="006667FE">
        <w:rPr>
          <w:rFonts w:cs="Times New Roman"/>
          <w:i/>
          <w:sz w:val="20"/>
          <w:szCs w:val="20"/>
        </w:rPr>
        <w:t>Department of Defense Dictionary of Military and Associated Terms</w:t>
      </w:r>
      <w:r w:rsidRPr="006667FE">
        <w:rPr>
          <w:rFonts w:cs="Times New Roman"/>
          <w:sz w:val="20"/>
          <w:szCs w:val="20"/>
        </w:rPr>
        <w:t>, (Joint Publication 1-02, 8 November 2010) (as amended through 15 June 2015) 58 &lt;http://www.dtic.mil/</w:t>
      </w:r>
      <w:r>
        <w:rPr>
          <w:rFonts w:cs="Times New Roman"/>
          <w:sz w:val="20"/>
          <w:szCs w:val="20"/>
        </w:rPr>
        <w:t xml:space="preserve"> </w:t>
      </w:r>
      <w:r w:rsidRPr="006667FE">
        <w:rPr>
          <w:rFonts w:cs="Times New Roman"/>
          <w:sz w:val="20"/>
          <w:szCs w:val="20"/>
        </w:rPr>
        <w:t>doctrine/new_pubs/jp1_02.pdf&gt; accessed 22 October 2015.</w:t>
      </w:r>
    </w:p>
  </w:footnote>
  <w:footnote w:id="2">
    <w:p w14:paraId="57D0FC7F" w14:textId="59D83523"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M Laituri, ‘Geospatial Responses to Disasters: The Role of Cyberspace’ (2010) 32 ArcNews &lt;http://www.esri.com/news/arcnews/summer10articles/files/arcnews32_2/arcnews-summer10.pdf&gt; accessed 1 October 2015.</w:t>
      </w:r>
    </w:p>
  </w:footnote>
  <w:footnote w:id="3">
    <w:p w14:paraId="0773885B" w14:textId="0AC14B91"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MN Schmitt, ‘Introduction’ in N Tsagourias and R</w:t>
      </w:r>
      <w:r>
        <w:rPr>
          <w:rFonts w:cs="Times New Roman"/>
        </w:rPr>
        <w:t xml:space="preserve"> </w:t>
      </w:r>
      <w:r w:rsidRPr="006667FE">
        <w:rPr>
          <w:rFonts w:cs="Times New Roman"/>
        </w:rPr>
        <w:t xml:space="preserve">Buchan (eds), </w:t>
      </w:r>
      <w:r w:rsidRPr="006667FE">
        <w:rPr>
          <w:rFonts w:cs="Times New Roman"/>
          <w:i/>
        </w:rPr>
        <w:t>Research Handbook on International Law and Cyberspace</w:t>
      </w:r>
      <w:r w:rsidRPr="006667FE">
        <w:rPr>
          <w:rFonts w:cs="Times New Roman"/>
        </w:rPr>
        <w:t xml:space="preserve"> (Edward Elgar, 2015) 1.</w:t>
      </w:r>
    </w:p>
  </w:footnote>
  <w:footnote w:id="4">
    <w:p w14:paraId="7642B3F7" w14:textId="105C57ED" w:rsidR="00B016F3" w:rsidRPr="006667FE" w:rsidRDefault="00B016F3" w:rsidP="0017041B">
      <w:pPr>
        <w:shd w:val="clear" w:color="auto" w:fill="FFFFFF"/>
        <w:textAlignment w:val="baseline"/>
        <w:outlineLvl w:val="0"/>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w:t>
      </w:r>
      <w:r w:rsidRPr="006667FE">
        <w:rPr>
          <w:rFonts w:eastAsia="Times New Roman" w:cs="Times New Roman"/>
          <w:bCs/>
          <w:kern w:val="36"/>
          <w:sz w:val="20"/>
          <w:szCs w:val="20"/>
          <w:lang w:eastAsia="en-GB"/>
        </w:rPr>
        <w:t>‘Chancellor’s Speech to GCHQ on Cyber Security’ (original script,</w:t>
      </w:r>
      <w:r w:rsidRPr="006667FE">
        <w:rPr>
          <w:rFonts w:eastAsia="Times New Roman" w:cs="Times New Roman"/>
          <w:b/>
          <w:bCs/>
          <w:kern w:val="36"/>
          <w:sz w:val="20"/>
          <w:szCs w:val="20"/>
          <w:lang w:eastAsia="en-GB"/>
        </w:rPr>
        <w:t xml:space="preserve"> </w:t>
      </w:r>
      <w:r w:rsidRPr="006667FE">
        <w:rPr>
          <w:rFonts w:cs="Times New Roman"/>
          <w:sz w:val="20"/>
          <w:szCs w:val="20"/>
        </w:rPr>
        <w:t>17 November 2015)</w:t>
      </w:r>
      <w:r w:rsidRPr="006667FE">
        <w:rPr>
          <w:rStyle w:val="explanation"/>
          <w:rFonts w:cs="Times New Roman"/>
          <w:sz w:val="20"/>
          <w:szCs w:val="20"/>
          <w:bdr w:val="none" w:sz="0" w:space="0" w:color="auto" w:frame="1"/>
          <w:shd w:val="clear" w:color="auto" w:fill="FFFFFF"/>
        </w:rPr>
        <w:t xml:space="preserve"> &lt;https://www.gov.uk/government/speeches/chancellors-speech-to-gchq-on-cyber-security&gt; accessed 19 November 2015.</w:t>
      </w:r>
    </w:p>
  </w:footnote>
  <w:footnote w:id="5">
    <w:p w14:paraId="77FF11AC" w14:textId="0F7C249E" w:rsidR="00B016F3" w:rsidRPr="006667FE" w:rsidRDefault="00B016F3" w:rsidP="000A6DF4">
      <w:pPr>
        <w:rPr>
          <w:rFonts w:cs="Times New Roman"/>
          <w:color w:val="0000FF"/>
          <w:sz w:val="20"/>
          <w:szCs w:val="20"/>
        </w:rPr>
      </w:pPr>
      <w:r w:rsidRPr="006667FE">
        <w:rPr>
          <w:rStyle w:val="FootnoteReference"/>
          <w:rFonts w:cs="Times New Roman"/>
          <w:sz w:val="20"/>
          <w:szCs w:val="20"/>
        </w:rPr>
        <w:footnoteRef/>
      </w:r>
      <w:r w:rsidRPr="006667FE">
        <w:rPr>
          <w:rFonts w:cs="Times New Roman"/>
          <w:sz w:val="20"/>
          <w:szCs w:val="20"/>
        </w:rPr>
        <w:t xml:space="preserve"> See </w:t>
      </w:r>
      <w:r w:rsidRPr="00A429FB">
        <w:rPr>
          <w:rFonts w:cs="Times New Roman"/>
          <w:sz w:val="20"/>
          <w:szCs w:val="20"/>
        </w:rPr>
        <w:t xml:space="preserve">International Law Commission, </w:t>
      </w:r>
      <w:r w:rsidRPr="00A429FB">
        <w:rPr>
          <w:rFonts w:cs="Times New Roman"/>
          <w:i/>
          <w:sz w:val="20"/>
          <w:szCs w:val="20"/>
        </w:rPr>
        <w:t>Draft Articles on the Protection of Persons in the Event of</w:t>
      </w:r>
      <w:r w:rsidRPr="00A429FB">
        <w:rPr>
          <w:rFonts w:cs="Times New Roman"/>
          <w:sz w:val="20"/>
          <w:szCs w:val="20"/>
        </w:rPr>
        <w:t xml:space="preserve"> </w:t>
      </w:r>
      <w:r w:rsidRPr="00A429FB">
        <w:rPr>
          <w:rFonts w:cs="Times New Roman"/>
          <w:i/>
          <w:sz w:val="20"/>
          <w:szCs w:val="20"/>
        </w:rPr>
        <w:t>Disasters</w:t>
      </w:r>
      <w:r w:rsidRPr="00A429FB">
        <w:rPr>
          <w:rFonts w:cs="Times New Roman"/>
          <w:sz w:val="20"/>
          <w:szCs w:val="20"/>
        </w:rPr>
        <w:t xml:space="preserve"> UN Doc. A/CN.4/L.831 (15 May 2014) </w:t>
      </w:r>
      <w:r w:rsidRPr="006667FE">
        <w:rPr>
          <w:rFonts w:cs="Times New Roman"/>
          <w:sz w:val="20"/>
          <w:szCs w:val="20"/>
        </w:rPr>
        <w:t>art 3.</w:t>
      </w:r>
    </w:p>
  </w:footnote>
  <w:footnote w:id="6">
    <w:p w14:paraId="0F55F8EF" w14:textId="08C0676F" w:rsidR="00B016F3" w:rsidRPr="006667FE" w:rsidRDefault="00B016F3" w:rsidP="0017041B">
      <w:pPr>
        <w:pStyle w:val="Body"/>
        <w:rPr>
          <w:rFonts w:hAnsi="Times New Roman" w:cs="Times New Roman"/>
          <w:color w:val="auto"/>
          <w:sz w:val="20"/>
          <w:szCs w:val="20"/>
          <w:lang w:val="en-GB"/>
        </w:rPr>
      </w:pPr>
      <w:r w:rsidRPr="006667FE">
        <w:rPr>
          <w:rStyle w:val="FootnoteReference"/>
          <w:rFonts w:hAnsi="Times New Roman" w:cs="Times New Roman"/>
          <w:color w:val="auto"/>
          <w:sz w:val="20"/>
          <w:szCs w:val="20"/>
          <w:lang w:val="en-GB"/>
        </w:rPr>
        <w:footnoteRef/>
      </w:r>
      <w:r w:rsidRPr="006667FE">
        <w:rPr>
          <w:rFonts w:hAnsi="Times New Roman" w:cs="Times New Roman"/>
          <w:color w:val="auto"/>
          <w:sz w:val="20"/>
          <w:szCs w:val="20"/>
          <w:lang w:val="en-GB"/>
        </w:rPr>
        <w:t xml:space="preserve"> See, e.g., MJ Ranum, </w:t>
      </w:r>
      <w:r w:rsidRPr="006667FE">
        <w:rPr>
          <w:rFonts w:hAnsi="Times New Roman" w:cs="Times New Roman"/>
          <w:i/>
          <w:iCs/>
          <w:color w:val="auto"/>
          <w:sz w:val="20"/>
          <w:szCs w:val="20"/>
          <w:lang w:val="en-GB"/>
        </w:rPr>
        <w:t>The Myth of Homeland Security</w:t>
      </w:r>
      <w:r w:rsidRPr="006667FE">
        <w:rPr>
          <w:rFonts w:hAnsi="Times New Roman" w:cs="Times New Roman"/>
          <w:color w:val="auto"/>
          <w:sz w:val="20"/>
          <w:szCs w:val="20"/>
          <w:lang w:val="en-GB"/>
        </w:rPr>
        <w:t xml:space="preserve"> (Wiley Publishing, 2004); C</w:t>
      </w:r>
      <w:r>
        <w:rPr>
          <w:rFonts w:hAnsi="Times New Roman" w:cs="Times New Roman"/>
          <w:color w:val="auto"/>
          <w:sz w:val="20"/>
          <w:szCs w:val="20"/>
          <w:lang w:val="en-GB"/>
        </w:rPr>
        <w:t xml:space="preserve"> </w:t>
      </w:r>
      <w:r w:rsidRPr="006667FE">
        <w:rPr>
          <w:rFonts w:hAnsi="Times New Roman" w:cs="Times New Roman"/>
          <w:color w:val="auto"/>
          <w:sz w:val="20"/>
          <w:szCs w:val="20"/>
          <w:lang w:val="en-GB"/>
        </w:rPr>
        <w:t xml:space="preserve">Farivar, ‘A Brief Examination of Media Coverage of Cyber-Attacks (2007 – Present)’ in C Czosseck and K Geers (eds), </w:t>
      </w:r>
      <w:r w:rsidRPr="006667FE">
        <w:rPr>
          <w:rFonts w:hAnsi="Times New Roman" w:cs="Times New Roman"/>
          <w:i/>
          <w:iCs/>
          <w:color w:val="auto"/>
          <w:sz w:val="20"/>
          <w:szCs w:val="20"/>
          <w:lang w:val="en-GB"/>
        </w:rPr>
        <w:t>The Virtual Battlefield: Perspectives on Cyber Warfare</w:t>
      </w:r>
      <w:r w:rsidRPr="006667FE">
        <w:rPr>
          <w:rFonts w:hAnsi="Times New Roman" w:cs="Times New Roman"/>
          <w:color w:val="auto"/>
          <w:sz w:val="20"/>
          <w:szCs w:val="20"/>
          <w:lang w:val="en-GB"/>
        </w:rPr>
        <w:t xml:space="preserve"> (IOS Press, 2009); T Rid, </w:t>
      </w:r>
      <w:r w:rsidRPr="006667FE">
        <w:rPr>
          <w:rFonts w:hAnsi="Times New Roman" w:cs="Times New Roman"/>
          <w:i/>
          <w:iCs/>
          <w:color w:val="auto"/>
          <w:sz w:val="20"/>
          <w:szCs w:val="20"/>
          <w:lang w:val="en-GB"/>
        </w:rPr>
        <w:t>Cyber War Will Not Take Place</w:t>
      </w:r>
      <w:r w:rsidRPr="006667FE">
        <w:rPr>
          <w:rFonts w:hAnsi="Times New Roman" w:cs="Times New Roman"/>
          <w:color w:val="auto"/>
          <w:sz w:val="20"/>
          <w:szCs w:val="20"/>
          <w:lang w:val="en-GB"/>
        </w:rPr>
        <w:t xml:space="preserve"> (Hurst, 2013).</w:t>
      </w:r>
    </w:p>
  </w:footnote>
  <w:footnote w:id="7">
    <w:p w14:paraId="703BAFA1" w14:textId="719498EC"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P Sommer and I Brown, </w:t>
      </w:r>
      <w:r w:rsidRPr="006667FE">
        <w:rPr>
          <w:rFonts w:cs="Times New Roman"/>
          <w:i/>
          <w:sz w:val="20"/>
          <w:szCs w:val="20"/>
        </w:rPr>
        <w:t>Reduc</w:t>
      </w:r>
      <w:r w:rsidR="005A6AF3">
        <w:rPr>
          <w:rFonts w:cs="Times New Roman"/>
          <w:i/>
          <w:sz w:val="20"/>
          <w:szCs w:val="20"/>
        </w:rPr>
        <w:t>ing Systemic Cybersecurity Risk</w:t>
      </w:r>
      <w:r w:rsidRPr="006667FE">
        <w:rPr>
          <w:rFonts w:cs="Times New Roman"/>
          <w:sz w:val="20"/>
          <w:szCs w:val="20"/>
        </w:rPr>
        <w:t xml:space="preserve"> (Multi-Disciplinary Issues International Futures Programme, OECD/IFP Project on ‘Future Global Shocks’ 3 IFP/WKP/FGS, 14 January 2011) 10.</w:t>
      </w:r>
    </w:p>
  </w:footnote>
  <w:footnote w:id="8">
    <w:p w14:paraId="3CCDA647" w14:textId="584CCE10" w:rsidR="00B016F3" w:rsidRPr="006667FE" w:rsidRDefault="00B016F3" w:rsidP="0017041B">
      <w:pPr>
        <w:shd w:val="clear" w:color="auto" w:fill="FFFFFF"/>
        <w:outlineLvl w:val="0"/>
        <w:rPr>
          <w:rFonts w:eastAsia="Times New Roman" w:cs="Times New Roman"/>
          <w:bCs/>
          <w:kern w:val="36"/>
          <w:sz w:val="20"/>
          <w:szCs w:val="20"/>
          <w:lang w:eastAsia="en-GB"/>
        </w:rPr>
      </w:pPr>
      <w:r w:rsidRPr="006667FE">
        <w:rPr>
          <w:rStyle w:val="FootnoteReference"/>
          <w:rFonts w:cs="Times New Roman"/>
          <w:sz w:val="20"/>
          <w:szCs w:val="20"/>
        </w:rPr>
        <w:footnoteRef/>
      </w:r>
      <w:r w:rsidRPr="006667FE">
        <w:rPr>
          <w:rFonts w:cs="Times New Roman"/>
          <w:sz w:val="20"/>
          <w:szCs w:val="20"/>
        </w:rPr>
        <w:t xml:space="preserve"> </w:t>
      </w:r>
      <w:r w:rsidRPr="006667FE">
        <w:rPr>
          <w:rFonts w:cs="Times New Roman"/>
          <w:sz w:val="20"/>
          <w:szCs w:val="20"/>
          <w:shd w:val="clear" w:color="auto" w:fill="FFFFFF"/>
        </w:rPr>
        <w:t xml:space="preserve">Committee on Private-Public Sector Collaboration to Enhance Community Disaster Resilience, Geographical Science Committee, Board on Earth Sciences and Resources, Division on Earth and Life Studies, and National Research Council, </w:t>
      </w:r>
      <w:r w:rsidRPr="006667FE">
        <w:rPr>
          <w:rFonts w:eastAsia="Times New Roman" w:cs="Times New Roman"/>
          <w:bCs/>
          <w:i/>
          <w:kern w:val="36"/>
          <w:sz w:val="20"/>
          <w:szCs w:val="20"/>
          <w:lang w:eastAsia="en-GB"/>
        </w:rPr>
        <w:t>Building Community Disaster Resilience through Private-Public Collaboration</w:t>
      </w:r>
      <w:r w:rsidRPr="006667FE">
        <w:rPr>
          <w:rFonts w:eastAsia="Times New Roman" w:cs="Times New Roman"/>
          <w:bCs/>
          <w:kern w:val="36"/>
          <w:sz w:val="20"/>
          <w:szCs w:val="20"/>
          <w:lang w:eastAsia="en-GB"/>
        </w:rPr>
        <w:t xml:space="preserve"> (The National Academies Press, 2011) 20-2</w:t>
      </w:r>
      <w:r w:rsidRPr="006667FE">
        <w:rPr>
          <w:rFonts w:cs="Times New Roman"/>
          <w:sz w:val="20"/>
          <w:szCs w:val="20"/>
        </w:rPr>
        <w:t xml:space="preserve">; R Stiennon, </w:t>
      </w:r>
      <w:r w:rsidRPr="006667FE">
        <w:rPr>
          <w:rFonts w:cs="Times New Roman"/>
          <w:i/>
          <w:sz w:val="20"/>
          <w:szCs w:val="20"/>
        </w:rPr>
        <w:t>There Will Be Cyberwar: How the Move to Network-Centric War Fighting has Set the Stage for Cyberwar</w:t>
      </w:r>
      <w:r w:rsidRPr="006667FE">
        <w:rPr>
          <w:rFonts w:cs="Times New Roman"/>
          <w:sz w:val="20"/>
          <w:szCs w:val="20"/>
        </w:rPr>
        <w:t xml:space="preserve"> (IT-Harvest Press, 2015).</w:t>
      </w:r>
    </w:p>
  </w:footnote>
  <w:footnote w:id="9">
    <w:p w14:paraId="3870D61F" w14:textId="5CC4B3B4"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e.g., RA Clarke and R Knake, </w:t>
      </w:r>
      <w:r w:rsidRPr="006667FE">
        <w:rPr>
          <w:rFonts w:cs="Times New Roman"/>
          <w:i/>
          <w:iCs/>
        </w:rPr>
        <w:t>Cyber War: The Next Threat to National Security and What to do About It</w:t>
      </w:r>
      <w:r w:rsidRPr="006667FE">
        <w:rPr>
          <w:rFonts w:cs="Times New Roman"/>
        </w:rPr>
        <w:t xml:space="preserve"> (Harper Collins, 2010) 64-8; DB Garrie, ‘Cyber Warfare, What are the Rules?’ (2012) 1 </w:t>
      </w:r>
      <w:r w:rsidRPr="006667FE">
        <w:rPr>
          <w:rFonts w:cs="Times New Roman"/>
          <w:iCs/>
        </w:rPr>
        <w:t>Journal of Law and Cyber Warfare</w:t>
      </w:r>
      <w:r w:rsidRPr="006667FE">
        <w:rPr>
          <w:rFonts w:cs="Times New Roman"/>
          <w:i/>
          <w:iCs/>
        </w:rPr>
        <w:t xml:space="preserve"> </w:t>
      </w:r>
      <w:r w:rsidRPr="006667FE">
        <w:rPr>
          <w:rFonts w:cs="Times New Roman"/>
        </w:rPr>
        <w:t>1, 5.</w:t>
      </w:r>
    </w:p>
  </w:footnote>
  <w:footnote w:id="10">
    <w:p w14:paraId="5BD3456B" w14:textId="7BA4CB1F"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TA Morth, ‘Considering Our Position: Viewing Information Warfare as a Use of Force Prohibited by Article 2(4) of the U.N. Charter’ (1998) 30 </w:t>
      </w:r>
      <w:r w:rsidRPr="006667FE">
        <w:rPr>
          <w:rStyle w:val="Emphasis"/>
          <w:rFonts w:cs="Times New Roman"/>
          <w:bCs/>
          <w:i w:val="0"/>
          <w:iCs w:val="0"/>
          <w:shd w:val="clear" w:color="auto" w:fill="FFFFFF"/>
        </w:rPr>
        <w:t xml:space="preserve">Case Western Reserve Journal of International Law 567, 581; </w:t>
      </w:r>
      <w:r w:rsidRPr="006667FE">
        <w:rPr>
          <w:rFonts w:cs="Times New Roman"/>
        </w:rPr>
        <w:t>Sommer and Brown (n 7) 10.</w:t>
      </w:r>
    </w:p>
  </w:footnote>
  <w:footnote w:id="11">
    <w:p w14:paraId="531AF1C3" w14:textId="46A88FA2" w:rsidR="00B016F3" w:rsidRPr="006667FE" w:rsidRDefault="00B016F3" w:rsidP="0017041B">
      <w:pPr>
        <w:pStyle w:val="FootnoteText"/>
        <w:rPr>
          <w:rFonts w:cs="Times New Roman"/>
          <w:highlight w:val="yellow"/>
        </w:rPr>
      </w:pPr>
      <w:r w:rsidRPr="006667FE">
        <w:rPr>
          <w:rStyle w:val="FootnoteReference"/>
          <w:rFonts w:cs="Times New Roman"/>
        </w:rPr>
        <w:footnoteRef/>
      </w:r>
      <w:r w:rsidRPr="006667FE">
        <w:rPr>
          <w:rFonts w:cs="Times New Roman"/>
        </w:rPr>
        <w:t xml:space="preserve"> See L Hansen, ‘Digital Disaster, Cyber Security, and the Copenhagen School’ (2009) 53 International Studies Quarterly 1155, 1168-71.</w:t>
      </w:r>
    </w:p>
  </w:footnote>
  <w:footnote w:id="12">
    <w:p w14:paraId="4BB9A227" w14:textId="7559724A"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R Stiennon ‘A Short History of Cyber Warfare’ in JA Green (ed.), </w:t>
      </w:r>
      <w:r w:rsidRPr="006667FE">
        <w:rPr>
          <w:rFonts w:cs="Times New Roman"/>
          <w:i/>
        </w:rPr>
        <w:t>Cyber Warfare: A Multidisciplinary Analysis</w:t>
      </w:r>
      <w:r w:rsidRPr="006667FE">
        <w:rPr>
          <w:rFonts w:cs="Times New Roman"/>
        </w:rPr>
        <w:t xml:space="preserve"> (Routledge,</w:t>
      </w:r>
      <w:r>
        <w:rPr>
          <w:rFonts w:cs="Times New Roman"/>
        </w:rPr>
        <w:t xml:space="preserve"> 2015) 20-</w:t>
      </w:r>
      <w:r w:rsidRPr="006667FE">
        <w:rPr>
          <w:rFonts w:cs="Times New Roman"/>
        </w:rPr>
        <w:t>2.</w:t>
      </w:r>
    </w:p>
  </w:footnote>
  <w:footnote w:id="13">
    <w:p w14:paraId="2B8E839E" w14:textId="012EFAC1"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ibid 22.</w:t>
      </w:r>
    </w:p>
  </w:footnote>
  <w:footnote w:id="14">
    <w:p w14:paraId="155C08E3" w14:textId="27FC387A" w:rsidR="00B016F3" w:rsidRPr="006667FE" w:rsidRDefault="00B016F3" w:rsidP="0017041B">
      <w:pPr>
        <w:autoSpaceDE w:val="0"/>
        <w:autoSpaceDN w:val="0"/>
        <w:adjustRightInd w:val="0"/>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w:t>
      </w:r>
      <w:r w:rsidRPr="006667FE">
        <w:rPr>
          <w:rStyle w:val="Emphasis"/>
          <w:rFonts w:cs="Times New Roman"/>
          <w:bCs/>
          <w:i w:val="0"/>
          <w:iCs w:val="0"/>
          <w:sz w:val="20"/>
          <w:szCs w:val="20"/>
          <w:shd w:val="clear" w:color="auto" w:fill="FFFFFF"/>
        </w:rPr>
        <w:t>Convention on Cybercrime</w:t>
      </w:r>
      <w:r w:rsidRPr="006667FE">
        <w:rPr>
          <w:rFonts w:cs="Times New Roman"/>
          <w:sz w:val="20"/>
          <w:szCs w:val="20"/>
          <w:shd w:val="clear" w:color="auto" w:fill="FFFFFF"/>
        </w:rPr>
        <w:t xml:space="preserve"> (adopted 23 November 2001). </w:t>
      </w:r>
      <w:r w:rsidRPr="006667FE">
        <w:rPr>
          <w:rFonts w:cs="Times New Roman"/>
          <w:sz w:val="20"/>
          <w:szCs w:val="20"/>
        </w:rPr>
        <w:t>At the regional level, it is worth also noting the African Union (AU) Convention on Cyber Security and Personal Data Protection (adopted 27 June 2014), although this treaty explicitly only acts to reaffirm existing obligations incumbent on AU member states, and is, in any event, not focussed on large-scale security threats.</w:t>
      </w:r>
    </w:p>
  </w:footnote>
  <w:footnote w:id="15">
    <w:p w14:paraId="06CDA0B2" w14:textId="25DC19BE"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e.g., D Brown, ‘A Proposal for an International Convention to Regulate the Use of Information Systems in Armed Conflict’ (2006) 47 Harvard International Law Journal 179; OA Hathaway, R Crootof, P Levitz, H Nix, A Nowlan, W Perdue and J Spiegel, ‘The Law of Cyber-Attack’ (2012) 100 </w:t>
      </w:r>
      <w:r>
        <w:rPr>
          <w:rFonts w:cs="Times New Roman"/>
          <w:sz w:val="20"/>
          <w:szCs w:val="20"/>
        </w:rPr>
        <w:t>California Law Review 817, 880-</w:t>
      </w:r>
      <w:r w:rsidRPr="006667FE">
        <w:rPr>
          <w:rFonts w:cs="Times New Roman"/>
          <w:sz w:val="20"/>
          <w:szCs w:val="20"/>
        </w:rPr>
        <w:t>4; S Moore, ‘Cyber Attacks and the Beginning of an International Cyber Treaty’ (2013) 39 North Carolina Journal of International Law and Commercial Regulation 223.</w:t>
      </w:r>
    </w:p>
  </w:footnote>
  <w:footnote w:id="16">
    <w:p w14:paraId="199A70EF" w14:textId="7F262FA9" w:rsidR="00B016F3" w:rsidRPr="006667FE" w:rsidRDefault="00B016F3" w:rsidP="0017041B">
      <w:pPr>
        <w:rPr>
          <w:rFonts w:cs="Times New Roman"/>
          <w:sz w:val="20"/>
          <w:szCs w:val="20"/>
          <w:highlight w:val="yellow"/>
        </w:rPr>
      </w:pPr>
      <w:r w:rsidRPr="006667FE">
        <w:rPr>
          <w:rStyle w:val="FootnoteReference"/>
          <w:rFonts w:cs="Times New Roman"/>
          <w:sz w:val="20"/>
          <w:szCs w:val="20"/>
        </w:rPr>
        <w:footnoteRef/>
      </w:r>
      <w:r w:rsidRPr="006667FE">
        <w:rPr>
          <w:rFonts w:cs="Times New Roman"/>
          <w:sz w:val="20"/>
          <w:szCs w:val="20"/>
        </w:rPr>
        <w:t xml:space="preserve"> See, e.g., the proposal made to the UN collectively by Russia, China, Tajikistan and Uzbekistan in 2011: </w:t>
      </w:r>
      <w:r w:rsidRPr="006667FE">
        <w:rPr>
          <w:rFonts w:cs="Times New Roman"/>
          <w:i/>
          <w:sz w:val="20"/>
          <w:szCs w:val="20"/>
        </w:rPr>
        <w:t>International Code of Conduct for Information Security</w:t>
      </w:r>
      <w:r w:rsidRPr="006667FE">
        <w:rPr>
          <w:rFonts w:cs="Times New Roman"/>
          <w:sz w:val="20"/>
          <w:szCs w:val="20"/>
        </w:rPr>
        <w:t xml:space="preserve">, annexed to </w:t>
      </w:r>
      <w:r w:rsidRPr="006667FE">
        <w:rPr>
          <w:rFonts w:cs="Times New Roman"/>
          <w:i/>
          <w:sz w:val="20"/>
          <w:szCs w:val="20"/>
        </w:rPr>
        <w:t>Letter dated 12 September 2011 from the Permanent Representatives of China, the Russian Federation, Tajikistan and Uzbekistan to the United Nations addressed to the Secretary-General</w:t>
      </w:r>
      <w:r w:rsidRPr="006667FE">
        <w:rPr>
          <w:rFonts w:cs="Times New Roman"/>
          <w:sz w:val="20"/>
          <w:szCs w:val="20"/>
        </w:rPr>
        <w:t>, UN Doc. A/66/359 (14 September 2011).</w:t>
      </w:r>
    </w:p>
  </w:footnote>
  <w:footnote w:id="17">
    <w:p w14:paraId="54EB3101" w14:textId="2595EDAE"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w:t>
      </w:r>
      <w:r w:rsidRPr="006667FE">
        <w:rPr>
          <w:rFonts w:cs="Times New Roman"/>
          <w:i/>
        </w:rPr>
        <w:t>Role of Science and Technology in the Context of Security, Disarmament and Other Related Fields</w:t>
      </w:r>
      <w:r w:rsidRPr="006667FE">
        <w:rPr>
          <w:rFonts w:cs="Times New Roman"/>
        </w:rPr>
        <w:t>, UN Doc. A/53/576 (General Assembly, Report of the First Committee, 53rd sess., 18 November 1998).</w:t>
      </w:r>
    </w:p>
  </w:footnote>
  <w:footnote w:id="18">
    <w:p w14:paraId="5DC3C555" w14:textId="03CBFC50" w:rsidR="00B016F3" w:rsidRPr="006667FE" w:rsidRDefault="00B016F3" w:rsidP="0017041B">
      <w:pPr>
        <w:rPr>
          <w:rFonts w:cs="Times New Roman"/>
          <w:i/>
          <w:sz w:val="20"/>
          <w:szCs w:val="20"/>
        </w:rPr>
      </w:pPr>
      <w:r w:rsidRPr="006667FE">
        <w:rPr>
          <w:rStyle w:val="FootnoteReference"/>
          <w:rFonts w:cs="Times New Roman"/>
          <w:sz w:val="20"/>
          <w:szCs w:val="20"/>
        </w:rPr>
        <w:footnoteRef/>
      </w:r>
      <w:r w:rsidRPr="006667FE">
        <w:rPr>
          <w:rFonts w:cs="Times New Roman"/>
          <w:sz w:val="20"/>
          <w:szCs w:val="20"/>
        </w:rPr>
        <w:t xml:space="preserve"> Draft Convention on International Information Security (Concept) (24 September 2011) &lt;http://www.mid.ru/</w:t>
      </w:r>
      <w:r>
        <w:rPr>
          <w:rFonts w:cs="Times New Roman"/>
          <w:sz w:val="20"/>
          <w:szCs w:val="20"/>
        </w:rPr>
        <w:t xml:space="preserve"> </w:t>
      </w:r>
      <w:r w:rsidRPr="006667FE">
        <w:rPr>
          <w:rFonts w:cs="Times New Roman"/>
          <w:sz w:val="20"/>
          <w:szCs w:val="20"/>
        </w:rPr>
        <w:t>bdomp/ns-osndoc.nsf/1e5f0de28fe77fdcc32575d900298676/7b17ead7244e2064c3257925003bcbcc!Open</w:t>
      </w:r>
      <w:r>
        <w:rPr>
          <w:rFonts w:cs="Times New Roman"/>
          <w:sz w:val="20"/>
          <w:szCs w:val="20"/>
        </w:rPr>
        <w:t xml:space="preserve"> </w:t>
      </w:r>
      <w:r w:rsidRPr="006667FE">
        <w:rPr>
          <w:rFonts w:cs="Times New Roman"/>
          <w:sz w:val="20"/>
          <w:szCs w:val="20"/>
        </w:rPr>
        <w:t>Document&gt; accessed 27 October 2015.</w:t>
      </w:r>
    </w:p>
  </w:footnote>
  <w:footnote w:id="19">
    <w:p w14:paraId="3A764324" w14:textId="3C5C9FC5" w:rsidR="00B016F3" w:rsidRPr="006667FE" w:rsidRDefault="00B016F3" w:rsidP="0017041B">
      <w:pPr>
        <w:pStyle w:val="Body"/>
        <w:rPr>
          <w:rFonts w:hAnsi="Times New Roman" w:cs="Times New Roman"/>
          <w:color w:val="auto"/>
          <w:sz w:val="20"/>
          <w:szCs w:val="20"/>
          <w:lang w:val="en-GB"/>
        </w:rPr>
      </w:pPr>
      <w:r w:rsidRPr="006667FE">
        <w:rPr>
          <w:rStyle w:val="FootnoteReference"/>
          <w:rFonts w:hAnsi="Times New Roman" w:cs="Times New Roman"/>
          <w:color w:val="auto"/>
          <w:sz w:val="20"/>
          <w:szCs w:val="20"/>
          <w:lang w:val="en-GB"/>
        </w:rPr>
        <w:footnoteRef/>
      </w:r>
      <w:r w:rsidRPr="006667FE">
        <w:rPr>
          <w:rFonts w:hAnsi="Times New Roman" w:cs="Times New Roman"/>
          <w:color w:val="auto"/>
          <w:sz w:val="20"/>
          <w:szCs w:val="20"/>
          <w:lang w:val="en-GB"/>
        </w:rPr>
        <w:t xml:space="preserve"> </w:t>
      </w:r>
      <w:r w:rsidRPr="006667FE">
        <w:rPr>
          <w:rFonts w:eastAsia="Times New Roman" w:hAnsi="Times New Roman" w:cs="Times New Roman"/>
          <w:color w:val="auto"/>
          <w:sz w:val="20"/>
          <w:szCs w:val="20"/>
          <w:lang w:val="en-GB"/>
        </w:rPr>
        <w:t xml:space="preserve">MC Waxman, ‘Cyber-Attacks and the Use of Force: Back to the Future of Article 2(4)’ (2011) 36 YJIL 421, </w:t>
      </w:r>
      <w:r w:rsidRPr="006667FE">
        <w:rPr>
          <w:rFonts w:hAnsi="Times New Roman" w:cs="Times New Roman"/>
          <w:color w:val="auto"/>
          <w:sz w:val="20"/>
          <w:szCs w:val="20"/>
          <w:lang w:val="en-GB"/>
        </w:rPr>
        <w:t xml:space="preserve">426; R Nguyen, ‘Navigating </w:t>
      </w:r>
      <w:r w:rsidRPr="006667FE">
        <w:rPr>
          <w:rFonts w:hAnsi="Times New Roman" w:cs="Times New Roman"/>
          <w:i/>
          <w:color w:val="auto"/>
          <w:sz w:val="20"/>
          <w:szCs w:val="20"/>
          <w:lang w:val="en-GB"/>
        </w:rPr>
        <w:t xml:space="preserve">Jus ad Bellum </w:t>
      </w:r>
      <w:r w:rsidRPr="006667FE">
        <w:rPr>
          <w:rFonts w:hAnsi="Times New Roman" w:cs="Times New Roman"/>
          <w:color w:val="auto"/>
          <w:sz w:val="20"/>
          <w:szCs w:val="20"/>
          <w:lang w:val="en-GB"/>
        </w:rPr>
        <w:t>in the Age of Cyber Warfare’ (2013) 101 California Law Review 1079, 1111.</w:t>
      </w:r>
    </w:p>
  </w:footnote>
  <w:footnote w:id="20">
    <w:p w14:paraId="65FAA02E" w14:textId="738D8ADD"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CA Ford, ‘The Trouble with Cyber Arms Control’ (2010) 29 The New Atlantis – A Journal of Technology and Society 5.</w:t>
      </w:r>
    </w:p>
  </w:footnote>
  <w:footnote w:id="21">
    <w:p w14:paraId="5ADFF853" w14:textId="38B9143D"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M Hoisington, ‘Cyberwarfare and the Use of Force Giving Rise to The Right of Self-Defense’ (2009) 32 Boston College International and Comparative Law Review 439, 440.</w:t>
      </w:r>
    </w:p>
  </w:footnote>
  <w:footnote w:id="22">
    <w:p w14:paraId="5D466C68" w14:textId="54C95B51"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e.g., </w:t>
      </w:r>
      <w:r>
        <w:rPr>
          <w:rFonts w:cs="Times New Roman"/>
          <w:sz w:val="20"/>
          <w:szCs w:val="20"/>
        </w:rPr>
        <w:t>MN Schmitt (ed</w:t>
      </w:r>
      <w:r w:rsidRPr="006667FE">
        <w:rPr>
          <w:rFonts w:cs="Times New Roman"/>
          <w:sz w:val="20"/>
          <w:szCs w:val="20"/>
        </w:rPr>
        <w:t>),</w:t>
      </w:r>
      <w:r w:rsidRPr="006667FE">
        <w:rPr>
          <w:rFonts w:cs="Times New Roman"/>
          <w:i/>
          <w:sz w:val="20"/>
          <w:szCs w:val="20"/>
        </w:rPr>
        <w:t xml:space="preserve"> Tallinn Manual on the International Law Applicable to Cyber Warfare</w:t>
      </w:r>
      <w:r w:rsidRPr="006667FE">
        <w:rPr>
          <w:rFonts w:cs="Times New Roman"/>
          <w:sz w:val="20"/>
          <w:szCs w:val="20"/>
        </w:rPr>
        <w:t xml:space="preserve"> (Prepared by the International Group of Experts at the Invitation of the North Atlantic Treat Organization (NATO) Cooperative Cyber Defence Centre of Excellence, CUP 2013) 5; M Benatar, ‘The Use of Cyber Force: Need for a Legal Justification?’ (2009) 3 Goettingen Journal of International Law 375, 395; MN Schmitt, ‘Cyberspace and International Law: The Penumbral Mist of Uncertainty’ (2013) 126 Harvard Law Review Forum 176, 176-7; N Tsagourias, ‘The Legal Status of Cyberspace’ in N Tsagourias and R Buchan (eds), </w:t>
      </w:r>
      <w:r w:rsidRPr="006667FE">
        <w:rPr>
          <w:rFonts w:cs="Times New Roman"/>
          <w:i/>
          <w:sz w:val="20"/>
          <w:szCs w:val="20"/>
        </w:rPr>
        <w:t>Research Handbook on International Law and Cyberspace</w:t>
      </w:r>
      <w:r w:rsidRPr="006667FE">
        <w:rPr>
          <w:rFonts w:cs="Times New Roman"/>
          <w:sz w:val="20"/>
          <w:szCs w:val="20"/>
        </w:rPr>
        <w:t xml:space="preserve"> (Edward Elgar, 2015).</w:t>
      </w:r>
    </w:p>
  </w:footnote>
  <w:footnote w:id="23">
    <w:p w14:paraId="71B9ACF7" w14:textId="329CF6C5" w:rsidR="00B016F3" w:rsidRPr="006667FE" w:rsidRDefault="00B016F3" w:rsidP="0017041B">
      <w:pPr>
        <w:rPr>
          <w:rFonts w:cs="Times New Roman"/>
          <w:b/>
          <w:sz w:val="20"/>
          <w:szCs w:val="20"/>
        </w:rPr>
      </w:pPr>
      <w:r w:rsidRPr="006667FE">
        <w:rPr>
          <w:rStyle w:val="FootnoteReference"/>
          <w:rFonts w:cs="Times New Roman"/>
          <w:sz w:val="20"/>
          <w:szCs w:val="20"/>
        </w:rPr>
        <w:footnoteRef/>
      </w:r>
      <w:r w:rsidRPr="006667FE">
        <w:rPr>
          <w:rFonts w:cs="Times New Roman"/>
          <w:sz w:val="20"/>
          <w:szCs w:val="20"/>
        </w:rPr>
        <w:t xml:space="preserve"> W Heintschel von Heinegg, ‘Territorial Sovereignty and Neutrality in Cyberspace’ (2013) 89 International Legal Studies 123, 123-4; C Waters, ‘New Hacktivists and the Old Concept of </w:t>
      </w:r>
      <w:r w:rsidRPr="006667FE">
        <w:rPr>
          <w:rFonts w:cs="Times New Roman"/>
          <w:i/>
          <w:sz w:val="20"/>
          <w:szCs w:val="20"/>
        </w:rPr>
        <w:t>Levée en Masse</w:t>
      </w:r>
      <w:r w:rsidRPr="006667FE">
        <w:rPr>
          <w:rFonts w:cs="Times New Roman"/>
          <w:sz w:val="20"/>
          <w:szCs w:val="20"/>
        </w:rPr>
        <w:t>’ (2014) 37 Dalhouse Law Journal</w:t>
      </w:r>
      <w:r w:rsidRPr="006667FE">
        <w:rPr>
          <w:rFonts w:cs="Times New Roman"/>
          <w:i/>
          <w:sz w:val="20"/>
          <w:szCs w:val="20"/>
        </w:rPr>
        <w:t xml:space="preserve"> </w:t>
      </w:r>
      <w:r w:rsidRPr="006667FE">
        <w:rPr>
          <w:rFonts w:cs="Times New Roman"/>
          <w:sz w:val="20"/>
          <w:szCs w:val="20"/>
        </w:rPr>
        <w:t>771, 773-5.</w:t>
      </w:r>
    </w:p>
  </w:footnote>
  <w:footnote w:id="24">
    <w:p w14:paraId="7B2D821A" w14:textId="52346DB4" w:rsidR="00B016F3" w:rsidRPr="006667FE" w:rsidRDefault="00B016F3" w:rsidP="0017041B">
      <w:pPr>
        <w:rPr>
          <w:rFonts w:cs="Times New Roman"/>
          <w:sz w:val="20"/>
          <w:szCs w:val="20"/>
          <w:shd w:val="clear" w:color="auto" w:fill="FFCCCC"/>
        </w:rPr>
      </w:pPr>
      <w:r w:rsidRPr="006667FE">
        <w:rPr>
          <w:rStyle w:val="FootnoteReference"/>
          <w:rFonts w:cs="Times New Roman"/>
          <w:sz w:val="20"/>
          <w:szCs w:val="20"/>
        </w:rPr>
        <w:footnoteRef/>
      </w:r>
      <w:r w:rsidRPr="006667FE">
        <w:rPr>
          <w:rFonts w:cs="Times New Roman"/>
          <w:sz w:val="20"/>
          <w:szCs w:val="20"/>
        </w:rPr>
        <w:t xml:space="preserve"> </w:t>
      </w:r>
      <w:r w:rsidRPr="006667FE">
        <w:rPr>
          <w:rStyle w:val="lucenesearchresulturlb"/>
          <w:rFonts w:cs="Times New Roman"/>
          <w:sz w:val="20"/>
          <w:szCs w:val="20"/>
        </w:rPr>
        <w:t>R Buchan, ‘Cyber Attacks: Unlawful Uses of Force or Prohibited Interventions’ (2012) 17 JCSL</w:t>
      </w:r>
      <w:r w:rsidRPr="006667FE">
        <w:rPr>
          <w:rFonts w:cs="Times New Roman"/>
          <w:sz w:val="20"/>
          <w:szCs w:val="20"/>
        </w:rPr>
        <w:t xml:space="preserve"> </w:t>
      </w:r>
      <w:r w:rsidRPr="006667FE">
        <w:rPr>
          <w:rFonts w:cs="Times New Roman"/>
          <w:iCs/>
          <w:sz w:val="20"/>
          <w:szCs w:val="20"/>
        </w:rPr>
        <w:t xml:space="preserve">212, </w:t>
      </w:r>
      <w:r w:rsidRPr="006667FE">
        <w:rPr>
          <w:rFonts w:cs="Times New Roman"/>
          <w:sz w:val="20"/>
          <w:szCs w:val="20"/>
        </w:rPr>
        <w:t>212-13.</w:t>
      </w:r>
    </w:p>
  </w:footnote>
  <w:footnote w:id="25">
    <w:p w14:paraId="1BE521C0" w14:textId="40E073CB"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MN Schmitt, ‘In Defense of Due Diligence in Cyberspace’ (2015) 125 Yale Law Journal Forum 68, 69.</w:t>
      </w:r>
    </w:p>
  </w:footnote>
  <w:footnote w:id="26">
    <w:p w14:paraId="404C716E" w14:textId="4D0293AA"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HA Harrison Dinniss, ‘The Regulation of Cyber Warfare under the </w:t>
      </w:r>
      <w:r w:rsidRPr="006667FE">
        <w:rPr>
          <w:rFonts w:cs="Times New Roman"/>
          <w:i/>
        </w:rPr>
        <w:t>Jus in Bello</w:t>
      </w:r>
      <w:r w:rsidRPr="006667FE">
        <w:rPr>
          <w:rFonts w:cs="Times New Roman"/>
        </w:rPr>
        <w:t xml:space="preserve">’ in JA Green (ed), </w:t>
      </w:r>
      <w:r w:rsidRPr="006667FE">
        <w:rPr>
          <w:rFonts w:cs="Times New Roman"/>
          <w:i/>
        </w:rPr>
        <w:t>Cyber Warfare: A Multidisciplinary Analysis</w:t>
      </w:r>
      <w:r w:rsidRPr="006667FE">
        <w:rPr>
          <w:rFonts w:cs="Times New Roman"/>
        </w:rPr>
        <w:t xml:space="preserve"> (Routledge, 2015) (providing an excellent summary of the applicability of the </w:t>
      </w:r>
      <w:r w:rsidRPr="006667FE">
        <w:rPr>
          <w:rFonts w:cs="Times New Roman"/>
          <w:i/>
        </w:rPr>
        <w:t>jus in bello</w:t>
      </w:r>
      <w:r w:rsidRPr="006667FE">
        <w:rPr>
          <w:rFonts w:cs="Times New Roman"/>
        </w:rPr>
        <w:t xml:space="preserve"> to cyberspace).</w:t>
      </w:r>
    </w:p>
  </w:footnote>
  <w:footnote w:id="27">
    <w:p w14:paraId="4FA86905" w14:textId="51BA3AE1"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Schmitt, ‘Introduction’ (n 3) 3.</w:t>
      </w:r>
    </w:p>
  </w:footnote>
  <w:footnote w:id="28">
    <w:p w14:paraId="0AD1B96A" w14:textId="1D7E2D7A"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ME O’Connell, ‘Cyber Security without Cyber War’ </w:t>
      </w:r>
      <w:r w:rsidRPr="006667FE">
        <w:rPr>
          <w:rFonts w:cs="Times New Roman"/>
          <w:iCs/>
        </w:rPr>
        <w:t>(2012) 17</w:t>
      </w:r>
      <w:r w:rsidRPr="006667FE">
        <w:rPr>
          <w:rFonts w:cs="Times New Roman"/>
        </w:rPr>
        <w:t xml:space="preserve"> JCSL</w:t>
      </w:r>
      <w:r w:rsidRPr="006667FE">
        <w:rPr>
          <w:rFonts w:cs="Times New Roman"/>
          <w:iCs/>
        </w:rPr>
        <w:t xml:space="preserve"> </w:t>
      </w:r>
      <w:r w:rsidRPr="006667FE">
        <w:rPr>
          <w:rFonts w:cs="Times New Roman"/>
        </w:rPr>
        <w:t>187.</w:t>
      </w:r>
    </w:p>
  </w:footnote>
  <w:footnote w:id="29">
    <w:p w14:paraId="2AC2CDC2" w14:textId="5ADCEB06" w:rsidR="00B016F3" w:rsidRPr="006667FE" w:rsidRDefault="00B016F3" w:rsidP="0017041B">
      <w:pPr>
        <w:pStyle w:val="Body"/>
        <w:rPr>
          <w:rFonts w:hAnsi="Times New Roman" w:cs="Times New Roman"/>
          <w:color w:val="auto"/>
          <w:sz w:val="20"/>
          <w:szCs w:val="20"/>
          <w:lang w:val="en-GB"/>
        </w:rPr>
      </w:pPr>
      <w:r w:rsidRPr="006667FE">
        <w:rPr>
          <w:rStyle w:val="FootnoteReference"/>
          <w:rFonts w:hAnsi="Times New Roman" w:cs="Times New Roman"/>
          <w:color w:val="auto"/>
          <w:sz w:val="20"/>
          <w:szCs w:val="20"/>
          <w:lang w:val="en-GB"/>
        </w:rPr>
        <w:footnoteRef/>
      </w:r>
      <w:r w:rsidRPr="006667FE">
        <w:rPr>
          <w:rFonts w:hAnsi="Times New Roman" w:cs="Times New Roman"/>
          <w:color w:val="auto"/>
          <w:sz w:val="20"/>
          <w:szCs w:val="20"/>
          <w:lang w:val="en-GB"/>
        </w:rPr>
        <w:t xml:space="preserve"> See, for just a few representative examples, HA Harrison Dinniss, </w:t>
      </w:r>
      <w:r w:rsidRPr="006667FE">
        <w:rPr>
          <w:rFonts w:hAnsi="Times New Roman" w:cs="Times New Roman"/>
          <w:i/>
          <w:color w:val="auto"/>
          <w:sz w:val="20"/>
          <w:szCs w:val="20"/>
          <w:lang w:val="en-GB"/>
        </w:rPr>
        <w:t>Cyber Warfare and the Laws of War</w:t>
      </w:r>
      <w:r w:rsidRPr="006667FE">
        <w:rPr>
          <w:rFonts w:hAnsi="Times New Roman" w:cs="Times New Roman"/>
          <w:color w:val="auto"/>
          <w:sz w:val="20"/>
          <w:szCs w:val="20"/>
          <w:lang w:val="en-GB"/>
        </w:rPr>
        <w:t xml:space="preserve"> (CUP, 2012) 37-74; M Roscini, </w:t>
      </w:r>
      <w:r w:rsidRPr="006667FE">
        <w:rPr>
          <w:rFonts w:hAnsi="Times New Roman" w:cs="Times New Roman"/>
          <w:i/>
          <w:iCs/>
          <w:color w:val="auto"/>
          <w:sz w:val="20"/>
          <w:szCs w:val="20"/>
          <w:lang w:val="en-GB"/>
        </w:rPr>
        <w:t>Cyber Operations and the Use of Force in International Law</w:t>
      </w:r>
      <w:r w:rsidRPr="006667FE">
        <w:rPr>
          <w:rFonts w:hAnsi="Times New Roman" w:cs="Times New Roman"/>
          <w:color w:val="auto"/>
          <w:sz w:val="20"/>
          <w:szCs w:val="20"/>
          <w:lang w:val="en-GB"/>
        </w:rPr>
        <w:t xml:space="preserve"> (OUP, 2014) 45-67; J Maogoto, </w:t>
      </w:r>
      <w:r w:rsidRPr="006667FE">
        <w:rPr>
          <w:rFonts w:hAnsi="Times New Roman" w:cs="Times New Roman"/>
          <w:i/>
          <w:color w:val="auto"/>
          <w:sz w:val="20"/>
          <w:szCs w:val="20"/>
          <w:lang w:val="en-GB"/>
        </w:rPr>
        <w:t>Technology and the Law on the Use of Force: New Security Challenges in the Twenty-First Century</w:t>
      </w:r>
      <w:r w:rsidRPr="006667FE">
        <w:rPr>
          <w:rFonts w:hAnsi="Times New Roman" w:cs="Times New Roman"/>
          <w:color w:val="auto"/>
          <w:sz w:val="20"/>
          <w:szCs w:val="20"/>
          <w:lang w:val="en-GB"/>
        </w:rPr>
        <w:t xml:space="preserve"> (Routledge, 2015) 53-68.</w:t>
      </w:r>
    </w:p>
  </w:footnote>
  <w:footnote w:id="30">
    <w:p w14:paraId="0E5C5270" w14:textId="108B68AC"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Charter of the United Nations</w:t>
      </w:r>
      <w:r w:rsidRPr="006667FE">
        <w:rPr>
          <w:rFonts w:cs="Times New Roman"/>
          <w:i/>
          <w:iCs/>
          <w:color w:val="0000FF"/>
        </w:rPr>
        <w:t xml:space="preserve"> </w:t>
      </w:r>
      <w:r w:rsidRPr="00B87449">
        <w:rPr>
          <w:rFonts w:cs="Times New Roman"/>
          <w:shd w:val="clear" w:color="auto" w:fill="F9F9F9"/>
        </w:rPr>
        <w:t>(adopted 26 June 1945, entered into force 24 October 1945)</w:t>
      </w:r>
      <w:r w:rsidRPr="00B87449">
        <w:rPr>
          <w:rFonts w:cs="Times New Roman"/>
        </w:rPr>
        <w:t xml:space="preserve"> </w:t>
      </w:r>
      <w:r w:rsidRPr="006667FE">
        <w:rPr>
          <w:rFonts w:cs="Times New Roman"/>
        </w:rPr>
        <w:t>art 2(4).</w:t>
      </w:r>
    </w:p>
  </w:footnote>
  <w:footnote w:id="31">
    <w:p w14:paraId="06D346B1" w14:textId="57A012BE"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Y Dinstein, ‘Computer Network Attacks and Self-Defense’ (2002) 76 International Law Studies 99, 99.</w:t>
      </w:r>
    </w:p>
  </w:footnote>
  <w:footnote w:id="32">
    <w:p w14:paraId="724BAA06" w14:textId="1B5EB15F"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e.g. A Orakhelashvili, </w:t>
      </w:r>
      <w:r w:rsidRPr="006667FE">
        <w:rPr>
          <w:rFonts w:cs="Times New Roman"/>
          <w:i/>
          <w:sz w:val="20"/>
          <w:szCs w:val="20"/>
        </w:rPr>
        <w:t xml:space="preserve">Peremptory Norms in International Law </w:t>
      </w:r>
      <w:r w:rsidRPr="006667FE">
        <w:rPr>
          <w:rFonts w:cs="Times New Roman"/>
          <w:sz w:val="20"/>
          <w:szCs w:val="20"/>
        </w:rPr>
        <w:t xml:space="preserve">(OUP, 2006) 50. </w:t>
      </w:r>
      <w:r w:rsidRPr="006667FE">
        <w:rPr>
          <w:rFonts w:cs="Times New Roman"/>
          <w:i/>
          <w:sz w:val="20"/>
          <w:szCs w:val="20"/>
        </w:rPr>
        <w:t>Contra</w:t>
      </w:r>
      <w:r w:rsidRPr="006667FE">
        <w:rPr>
          <w:rFonts w:cs="Times New Roman"/>
          <w:sz w:val="20"/>
          <w:szCs w:val="20"/>
        </w:rPr>
        <w:t xml:space="preserve"> JA Green, ‘</w:t>
      </w:r>
      <w:r w:rsidRPr="006667FE">
        <w:rPr>
          <w:rFonts w:cs="Times New Roman"/>
          <w:bCs/>
          <w:sz w:val="20"/>
          <w:szCs w:val="20"/>
          <w:shd w:val="clear" w:color="auto" w:fill="FFFFFF"/>
        </w:rPr>
        <w:t>Questioning the Peremptory Status of the Prohibition of the Use of Force’ (2011) 32</w:t>
      </w:r>
      <w:r w:rsidRPr="006667FE">
        <w:rPr>
          <w:rStyle w:val="apple-converted-space"/>
          <w:rFonts w:cs="Times New Roman"/>
          <w:sz w:val="20"/>
          <w:szCs w:val="20"/>
          <w:shd w:val="clear" w:color="auto" w:fill="FFFFFF"/>
        </w:rPr>
        <w:t> </w:t>
      </w:r>
      <w:r w:rsidRPr="006667FE">
        <w:rPr>
          <w:rFonts w:cs="Times New Roman"/>
          <w:sz w:val="20"/>
          <w:szCs w:val="20"/>
          <w:shd w:val="clear" w:color="auto" w:fill="FFFFFF"/>
        </w:rPr>
        <w:t>Michigan Journal of International Law 215</w:t>
      </w:r>
      <w:r w:rsidRPr="006667FE">
        <w:rPr>
          <w:rFonts w:cs="Times New Roman"/>
          <w:sz w:val="20"/>
          <w:szCs w:val="20"/>
        </w:rPr>
        <w:t>.</w:t>
      </w:r>
    </w:p>
  </w:footnote>
  <w:footnote w:id="33">
    <w:p w14:paraId="5BC68B15" w14:textId="39153FF5"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E Kodar, ‘Computer Network Attacks in the Grey Areas of </w:t>
      </w:r>
      <w:r w:rsidRPr="006667FE">
        <w:rPr>
          <w:rFonts w:cs="Times New Roman"/>
          <w:i/>
        </w:rPr>
        <w:t>Jus ad Bellum</w:t>
      </w:r>
      <w:r w:rsidRPr="006667FE">
        <w:rPr>
          <w:rFonts w:cs="Times New Roman"/>
        </w:rPr>
        <w:t xml:space="preserve"> and </w:t>
      </w:r>
      <w:r w:rsidRPr="006667FE">
        <w:rPr>
          <w:rFonts w:cs="Times New Roman"/>
          <w:i/>
        </w:rPr>
        <w:t>Jus in Bello</w:t>
      </w:r>
      <w:r w:rsidRPr="006667FE">
        <w:rPr>
          <w:rFonts w:cs="Times New Roman"/>
        </w:rPr>
        <w:t xml:space="preserve">’ (2009) 9 Baltic Yearbook of International Law 133, 138. </w:t>
      </w:r>
      <w:r w:rsidRPr="006667FE">
        <w:rPr>
          <w:rFonts w:cs="Times New Roman"/>
          <w:i/>
        </w:rPr>
        <w:t>Contra</w:t>
      </w:r>
      <w:r w:rsidRPr="006667FE">
        <w:rPr>
          <w:rFonts w:cs="Times New Roman"/>
        </w:rPr>
        <w:t xml:space="preserve"> DE Graham, ‘Cyber Threats and the Law of War’ (2010) 4 National Security Law and Policy 87, particularly at 88 (viewing the applicability of art 2(4) to cyberspace as being self-evident).</w:t>
      </w:r>
    </w:p>
  </w:footnote>
  <w:footnote w:id="34">
    <w:p w14:paraId="6AD29BD6" w14:textId="7F437B55"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JA Green, ‘The Regulation of Cyber Warfare under the </w:t>
      </w:r>
      <w:r w:rsidRPr="006667FE">
        <w:rPr>
          <w:rFonts w:cs="Times New Roman"/>
          <w:i/>
        </w:rPr>
        <w:t>Jus ad Bellum</w:t>
      </w:r>
      <w:r w:rsidRPr="006667FE">
        <w:rPr>
          <w:rFonts w:cs="Times New Roman"/>
        </w:rPr>
        <w:t xml:space="preserve">’ in JA Green (ed), </w:t>
      </w:r>
      <w:r w:rsidRPr="006667FE">
        <w:rPr>
          <w:rFonts w:cs="Times New Roman"/>
          <w:i/>
        </w:rPr>
        <w:t>Cyber Warfare: A Multidisciplinary Analysis</w:t>
      </w:r>
      <w:r w:rsidRPr="006667FE">
        <w:rPr>
          <w:rFonts w:cs="Times New Roman"/>
        </w:rPr>
        <w:t xml:space="preserve"> (Routledge, 2015) particularly at 98-107.</w:t>
      </w:r>
    </w:p>
  </w:footnote>
  <w:footnote w:id="35">
    <w:p w14:paraId="2CB16092" w14:textId="3019D14D"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This is clear from the </w:t>
      </w:r>
      <w:r w:rsidRPr="006667FE">
        <w:rPr>
          <w:rFonts w:cs="Times New Roman"/>
          <w:i/>
          <w:sz w:val="20"/>
          <w:szCs w:val="20"/>
        </w:rPr>
        <w:t>travaux préparatoires</w:t>
      </w:r>
      <w:r w:rsidRPr="006667FE">
        <w:rPr>
          <w:rFonts w:cs="Times New Roman"/>
          <w:sz w:val="20"/>
          <w:szCs w:val="20"/>
        </w:rPr>
        <w:t xml:space="preserve"> of the Charter in 1945 (see Documents of the United Nations Conference on International Organisation (UNCIO), vol VI: Commission I (General Provisions) (Library of Congress 1945), 720), as well as from subsequent state practice (see, e.g., </w:t>
      </w:r>
      <w:r w:rsidRPr="006667FE">
        <w:rPr>
          <w:rFonts w:cs="Times New Roman"/>
          <w:i/>
          <w:sz w:val="20"/>
          <w:szCs w:val="20"/>
        </w:rPr>
        <w:t>Report of the Special Committee on Principles of International Law Concerning Friendly Relations and Co-Operation Among States</w:t>
      </w:r>
      <w:r w:rsidRPr="006667FE">
        <w:rPr>
          <w:rFonts w:cs="Times New Roman"/>
          <w:sz w:val="20"/>
          <w:szCs w:val="20"/>
        </w:rPr>
        <w:t xml:space="preserve">, UN Doc. A/7619 (3 October 1969) paras 86-93; </w:t>
      </w:r>
      <w:r w:rsidRPr="006667FE">
        <w:rPr>
          <w:rFonts w:cs="Times New Roman"/>
          <w:i/>
          <w:sz w:val="20"/>
          <w:szCs w:val="20"/>
          <w:shd w:val="clear" w:color="auto" w:fill="FFFFFF"/>
        </w:rPr>
        <w:t>Definition of Aggression</w:t>
      </w:r>
      <w:r w:rsidRPr="006667FE">
        <w:rPr>
          <w:rFonts w:cs="Times New Roman"/>
          <w:sz w:val="20"/>
          <w:szCs w:val="20"/>
          <w:shd w:val="clear" w:color="auto" w:fill="FFFFFF"/>
        </w:rPr>
        <w:t xml:space="preserve">, GA Res. 3314 (XXIX) (14 December 1974).  Scholars have also adopted this understanding of ‘force’: for the classic </w:t>
      </w:r>
      <w:r w:rsidRPr="006667FE">
        <w:rPr>
          <w:rFonts w:cs="Times New Roman"/>
          <w:sz w:val="20"/>
          <w:szCs w:val="20"/>
        </w:rPr>
        <w:t>academic expression of this view, see TJ Farer, ‘Political and Economic Coercion in Contemporary International Law’ (1985) 79 AJIL 405.</w:t>
      </w:r>
    </w:p>
  </w:footnote>
  <w:footnote w:id="36">
    <w:p w14:paraId="2BD29662" w14:textId="5FD72318"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e.g., SP Kanuck, ‘Information Warfare: New Challenges for Public International Law’ (1996) 37 Harvard International Law Journal 272, 289.</w:t>
      </w:r>
    </w:p>
  </w:footnote>
  <w:footnote w:id="37">
    <w:p w14:paraId="48E0032B" w14:textId="77777777"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e.g., Morth (n 10) 591.</w:t>
      </w:r>
    </w:p>
  </w:footnote>
  <w:footnote w:id="38">
    <w:p w14:paraId="54E67318" w14:textId="7D6D0CE1"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MN Schmitt ‘Computer Network Attack and the Use of Force in International Law: Thoughts on a Normative Framework’ (1999) 37 Columbia Journal of Transnational Law 885 (the classic example of this approach being adopted in the cyber context).</w:t>
      </w:r>
    </w:p>
  </w:footnote>
  <w:footnote w:id="39">
    <w:p w14:paraId="27DA3DD5" w14:textId="3115954A"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MN Schmitt, ‘Cyber Operations in International Law: The Use of Force, Collective Security, Self-Defense and Armed Conflicts’ (Committee on Deterring Cyber Attacks, National Research Council, The National Academic Press, 2010) 154; M Roscini, ‘World Wide Warfare – </w:t>
      </w:r>
      <w:r w:rsidRPr="006667FE">
        <w:rPr>
          <w:rFonts w:cs="Times New Roman"/>
          <w:i/>
          <w:sz w:val="20"/>
          <w:szCs w:val="20"/>
        </w:rPr>
        <w:t>Jus ad Bellum</w:t>
      </w:r>
      <w:r w:rsidRPr="006667FE">
        <w:rPr>
          <w:rFonts w:cs="Times New Roman"/>
          <w:sz w:val="20"/>
          <w:szCs w:val="20"/>
        </w:rPr>
        <w:t xml:space="preserve"> and the Use of Cyber Force’ (2010) 14 Max Planck YB of United Nations Law 85, 106.</w:t>
      </w:r>
    </w:p>
  </w:footnote>
  <w:footnote w:id="40">
    <w:p w14:paraId="7A82CD3F" w14:textId="5245DD54"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e.g., E Haslam, ‘Information Warfare: Technological Changes and International Law’ (2000) 5 JCSL 157, 165; DB Silver, ‘Computer Network Attack as a Use of Force under Article 2(4)’ (2002) 76 International Law Studies 73, 84-92; Kodar (n 33) 139; J Goldsmith, ‘How Cyber Changes the Laws of War’ (2013) 24 EJIL 129, 133.</w:t>
      </w:r>
    </w:p>
  </w:footnote>
  <w:footnote w:id="41">
    <w:p w14:paraId="0708E4EC" w14:textId="3EACA9C8"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Y Dinstein, </w:t>
      </w:r>
      <w:r w:rsidRPr="006667FE">
        <w:rPr>
          <w:rFonts w:cs="Times New Roman"/>
          <w:i/>
          <w:sz w:val="20"/>
          <w:szCs w:val="20"/>
        </w:rPr>
        <w:t>War, Aggression and Self-Defence</w:t>
      </w:r>
      <w:r w:rsidRPr="006667FE">
        <w:rPr>
          <w:rFonts w:cs="Times New Roman"/>
          <w:sz w:val="20"/>
          <w:szCs w:val="20"/>
        </w:rPr>
        <w:t xml:space="preserve"> (5th edn, CUP, 2011) 88, emphasis added.</w:t>
      </w:r>
    </w:p>
  </w:footnote>
  <w:footnote w:id="42">
    <w:p w14:paraId="7B42EF19"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Goldsmith (n 40) 133.</w:t>
      </w:r>
    </w:p>
  </w:footnote>
  <w:footnote w:id="43">
    <w:p w14:paraId="51DB8938" w14:textId="6DBC2F4D" w:rsidR="00B016F3" w:rsidRPr="006667FE" w:rsidRDefault="00B016F3" w:rsidP="0017041B">
      <w:pPr>
        <w:shd w:val="clear" w:color="auto" w:fill="FFFFFF"/>
        <w:outlineLvl w:val="1"/>
        <w:rPr>
          <w:rFonts w:cs="Times New Roman"/>
          <w:sz w:val="20"/>
          <w:szCs w:val="20"/>
          <w:shd w:val="clear" w:color="auto" w:fill="FFFFFF"/>
        </w:rPr>
      </w:pPr>
      <w:r w:rsidRPr="006667FE">
        <w:rPr>
          <w:rStyle w:val="FootnoteReference"/>
          <w:rFonts w:cs="Times New Roman"/>
          <w:sz w:val="20"/>
          <w:szCs w:val="20"/>
        </w:rPr>
        <w:footnoteRef/>
      </w:r>
      <w:r w:rsidRPr="006667FE">
        <w:rPr>
          <w:rFonts w:cs="Times New Roman"/>
          <w:sz w:val="20"/>
          <w:szCs w:val="20"/>
        </w:rPr>
        <w:t xml:space="preserve"> See </w:t>
      </w:r>
      <w:r w:rsidRPr="006667FE">
        <w:rPr>
          <w:rFonts w:cs="Times New Roman"/>
          <w:sz w:val="20"/>
          <w:szCs w:val="20"/>
          <w:shd w:val="clear" w:color="auto" w:fill="FFFFFF"/>
        </w:rPr>
        <w:t xml:space="preserve">A-M Osula, </w:t>
      </w:r>
      <w:r w:rsidRPr="006667FE">
        <w:rPr>
          <w:rFonts w:eastAsia="Times New Roman" w:cs="Times New Roman"/>
          <w:i/>
          <w:sz w:val="20"/>
          <w:szCs w:val="20"/>
          <w:lang w:eastAsia="en-GB"/>
        </w:rPr>
        <w:t>EU Solidarity Clause and “Cyber Disaster”</w:t>
      </w:r>
      <w:r w:rsidRPr="006667FE">
        <w:rPr>
          <w:rFonts w:eastAsia="Times New Roman" w:cs="Times New Roman"/>
          <w:sz w:val="20"/>
          <w:szCs w:val="20"/>
          <w:lang w:eastAsia="en-GB"/>
        </w:rPr>
        <w:t xml:space="preserve"> (NATO Cooperative Cyber Defence Centre of Excellence,</w:t>
      </w:r>
      <w:r w:rsidRPr="006667FE">
        <w:rPr>
          <w:rFonts w:cs="Times New Roman"/>
          <w:sz w:val="20"/>
          <w:szCs w:val="20"/>
          <w:shd w:val="clear" w:color="auto" w:fill="FFFFFF"/>
        </w:rPr>
        <w:t xml:space="preserve"> 19 November 2014) &lt;https://ccdcoe.org/EU%20Solidarity%20Clause%20and%20Cyber%20</w:t>
      </w:r>
      <w:r>
        <w:rPr>
          <w:rFonts w:cs="Times New Roman"/>
          <w:sz w:val="20"/>
          <w:szCs w:val="20"/>
          <w:shd w:val="clear" w:color="auto" w:fill="FFFFFF"/>
        </w:rPr>
        <w:t xml:space="preserve"> </w:t>
      </w:r>
      <w:r w:rsidRPr="006667FE">
        <w:rPr>
          <w:rFonts w:cs="Times New Roman"/>
          <w:sz w:val="20"/>
          <w:szCs w:val="20"/>
          <w:shd w:val="clear" w:color="auto" w:fill="FFFFFF"/>
        </w:rPr>
        <w:t>Disaster.html</w:t>
      </w:r>
      <w:r w:rsidRPr="006667FE">
        <w:rPr>
          <w:rFonts w:cs="Times New Roman"/>
          <w:sz w:val="20"/>
          <w:szCs w:val="20"/>
        </w:rPr>
        <w:t>&gt; accessed 3 November 2015 (</w:t>
      </w:r>
      <w:r w:rsidRPr="006667FE">
        <w:rPr>
          <w:rFonts w:cs="Times New Roman"/>
          <w:sz w:val="20"/>
          <w:szCs w:val="20"/>
          <w:shd w:val="clear" w:color="auto" w:fill="FFFFFF"/>
        </w:rPr>
        <w:t>extrapolating that,</w:t>
      </w:r>
      <w:r w:rsidRPr="006667FE">
        <w:rPr>
          <w:rFonts w:cs="Times New Roman"/>
          <w:sz w:val="20"/>
          <w:szCs w:val="20"/>
        </w:rPr>
        <w:t xml:space="preserve"> for the European Union (EU), the notion of a cyber disaster ‘</w:t>
      </w:r>
      <w:r w:rsidRPr="006667FE">
        <w:rPr>
          <w:rFonts w:cs="Times New Roman"/>
          <w:sz w:val="20"/>
          <w:szCs w:val="20"/>
          <w:shd w:val="clear" w:color="auto" w:fill="FFFFFF"/>
        </w:rPr>
        <w:t>does not seem to be necessarily tied to physical or financial damage’).</w:t>
      </w:r>
    </w:p>
  </w:footnote>
  <w:footnote w:id="44">
    <w:p w14:paraId="6E2BFBFD" w14:textId="5DFD68AB" w:rsidR="00B016F3" w:rsidRPr="003D3269" w:rsidRDefault="00B016F3" w:rsidP="0017041B">
      <w:pPr>
        <w:rPr>
          <w:rFonts w:cs="Times New Roman"/>
          <w:sz w:val="20"/>
          <w:szCs w:val="20"/>
        </w:rPr>
      </w:pPr>
      <w:r w:rsidRPr="003D3269">
        <w:rPr>
          <w:rStyle w:val="FootnoteReference"/>
          <w:rFonts w:cs="Times New Roman"/>
          <w:sz w:val="20"/>
          <w:szCs w:val="20"/>
        </w:rPr>
        <w:footnoteRef/>
      </w:r>
      <w:r w:rsidRPr="003D3269">
        <w:rPr>
          <w:rFonts w:cs="Times New Roman"/>
          <w:sz w:val="20"/>
          <w:szCs w:val="20"/>
        </w:rPr>
        <w:t xml:space="preserve"> See, e.g., VM Antolin-Jenkins, ‘Defining the Parameters of Cyberwar Operations: Looking for Law in All the Wrong Places?’ (2005) 51 Naval Law Review 132, 155; </w:t>
      </w:r>
      <w:r w:rsidRPr="003D3269">
        <w:rPr>
          <w:rStyle w:val="lucenesearchresulturlb"/>
          <w:rFonts w:cs="Times New Roman"/>
          <w:sz w:val="20"/>
          <w:szCs w:val="20"/>
        </w:rPr>
        <w:t xml:space="preserve">SG Handler, ‘New Cyber Face of Battle: Developing a Legal Approach to Accommodate Emerging Trends in Warfare’ (2012) 48 </w:t>
      </w:r>
      <w:r w:rsidRPr="003D3269">
        <w:rPr>
          <w:rFonts w:cs="Times New Roman"/>
          <w:iCs/>
          <w:sz w:val="20"/>
          <w:szCs w:val="20"/>
        </w:rPr>
        <w:t xml:space="preserve">Stanford Journal of International Law 209, </w:t>
      </w:r>
      <w:r w:rsidRPr="003D3269">
        <w:rPr>
          <w:rFonts w:cs="Times New Roman"/>
          <w:sz w:val="20"/>
          <w:szCs w:val="20"/>
        </w:rPr>
        <w:t>229.</w:t>
      </w:r>
    </w:p>
  </w:footnote>
  <w:footnote w:id="45">
    <w:p w14:paraId="286F002A" w14:textId="0F287D0F" w:rsidR="00B016F3" w:rsidRPr="003D3269" w:rsidRDefault="00B016F3" w:rsidP="0017041B">
      <w:pPr>
        <w:pStyle w:val="FootnoteText"/>
        <w:rPr>
          <w:rFonts w:cs="Times New Roman"/>
        </w:rPr>
      </w:pPr>
      <w:r w:rsidRPr="003D3269">
        <w:rPr>
          <w:rStyle w:val="FootnoteReference"/>
          <w:rFonts w:cs="Times New Roman"/>
        </w:rPr>
        <w:footnoteRef/>
      </w:r>
      <w:r w:rsidRPr="003D3269">
        <w:rPr>
          <w:rFonts w:cs="Times New Roman"/>
        </w:rPr>
        <w:t xml:space="preserve"> See, e.g., Waxman (n 19) 435-6.</w:t>
      </w:r>
    </w:p>
  </w:footnote>
  <w:footnote w:id="46">
    <w:p w14:paraId="45660A6C" w14:textId="1839AEF8" w:rsidR="00B016F3" w:rsidRPr="003D3269" w:rsidRDefault="00B016F3" w:rsidP="0017041B">
      <w:pPr>
        <w:rPr>
          <w:rFonts w:cs="Times New Roman"/>
          <w:sz w:val="20"/>
          <w:szCs w:val="20"/>
        </w:rPr>
      </w:pPr>
      <w:r w:rsidRPr="003D3269">
        <w:rPr>
          <w:rStyle w:val="FootnoteReference"/>
          <w:rFonts w:cs="Times New Roman"/>
          <w:sz w:val="20"/>
          <w:szCs w:val="20"/>
        </w:rPr>
        <w:footnoteRef/>
      </w:r>
      <w:r w:rsidRPr="003D3269">
        <w:rPr>
          <w:rFonts w:cs="Times New Roman"/>
          <w:sz w:val="20"/>
          <w:szCs w:val="20"/>
        </w:rPr>
        <w:t xml:space="preserve"> See, e.g., W Banks, ‘The Role of Counterterrorism Law in Shaping </w:t>
      </w:r>
      <w:r w:rsidRPr="003D3269">
        <w:rPr>
          <w:rFonts w:cs="Times New Roman"/>
          <w:i/>
          <w:sz w:val="20"/>
          <w:szCs w:val="20"/>
        </w:rPr>
        <w:t>ad Bellum</w:t>
      </w:r>
      <w:r w:rsidRPr="003D3269">
        <w:rPr>
          <w:rFonts w:cs="Times New Roman"/>
          <w:sz w:val="20"/>
          <w:szCs w:val="20"/>
        </w:rPr>
        <w:t xml:space="preserve"> Norms for Cyber Warfare’ (2013) 89 International Law Studies 157, 163.</w:t>
      </w:r>
    </w:p>
  </w:footnote>
  <w:footnote w:id="47">
    <w:p w14:paraId="76AAAFCA" w14:textId="3594A5CA" w:rsidR="00B016F3" w:rsidRPr="006667FE" w:rsidRDefault="00B016F3" w:rsidP="00DF2F31">
      <w:pPr>
        <w:rPr>
          <w:rFonts w:cs="Times New Roman"/>
          <w:color w:val="0000FF"/>
          <w:sz w:val="20"/>
          <w:szCs w:val="20"/>
        </w:rPr>
      </w:pPr>
      <w:r w:rsidRPr="003D3269">
        <w:rPr>
          <w:rStyle w:val="FootnoteReference"/>
          <w:rFonts w:cs="Times New Roman"/>
          <w:sz w:val="20"/>
          <w:szCs w:val="20"/>
        </w:rPr>
        <w:footnoteRef/>
      </w:r>
      <w:r w:rsidRPr="003D3269">
        <w:rPr>
          <w:rFonts w:cs="Times New Roman"/>
          <w:sz w:val="20"/>
          <w:szCs w:val="20"/>
        </w:rPr>
        <w:t xml:space="preserve"> See ILC, </w:t>
      </w:r>
      <w:r w:rsidRPr="003D3269">
        <w:rPr>
          <w:rFonts w:cs="Times New Roman"/>
          <w:i/>
          <w:sz w:val="20"/>
          <w:szCs w:val="20"/>
        </w:rPr>
        <w:t xml:space="preserve">Draft </w:t>
      </w:r>
      <w:r w:rsidR="00250AFD">
        <w:rPr>
          <w:rFonts w:cs="Times New Roman"/>
          <w:i/>
          <w:sz w:val="20"/>
          <w:szCs w:val="20"/>
        </w:rPr>
        <w:t>A</w:t>
      </w:r>
      <w:r w:rsidRPr="003D3269">
        <w:rPr>
          <w:rFonts w:cs="Times New Roman"/>
          <w:i/>
          <w:sz w:val="20"/>
          <w:szCs w:val="20"/>
        </w:rPr>
        <w:t>rticles on Responsibility of States for Internationally Wrongful Acts, with commentaries</w:t>
      </w:r>
      <w:r w:rsidRPr="005A6AF3">
        <w:rPr>
          <w:rFonts w:cs="Times New Roman"/>
          <w:sz w:val="20"/>
          <w:szCs w:val="20"/>
        </w:rPr>
        <w:t>,</w:t>
      </w:r>
      <w:r w:rsidRPr="003D3269">
        <w:rPr>
          <w:rFonts w:cs="Times New Roman"/>
          <w:i/>
          <w:sz w:val="20"/>
          <w:szCs w:val="20"/>
        </w:rPr>
        <w:t xml:space="preserve"> </w:t>
      </w:r>
      <w:r w:rsidRPr="003D3269">
        <w:rPr>
          <w:rFonts w:cs="Times New Roman"/>
          <w:sz w:val="20"/>
          <w:szCs w:val="20"/>
        </w:rPr>
        <w:t>UN Doc. A/56/10 (Rep. of the ILC on the work of its fifty-third session, 2001) art 4.</w:t>
      </w:r>
    </w:p>
  </w:footnote>
  <w:footnote w:id="48">
    <w:p w14:paraId="0D26E16E" w14:textId="6EAA5988"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ibid art 4; Roscini (n 39) 98.</w:t>
      </w:r>
    </w:p>
  </w:footnote>
  <w:footnote w:id="49">
    <w:p w14:paraId="27A2F4FB" w14:textId="77FA1D9B" w:rsidR="00B016F3" w:rsidRPr="006667FE" w:rsidRDefault="00B016F3" w:rsidP="0017041B">
      <w:pPr>
        <w:pStyle w:val="Heading3"/>
        <w:spacing w:before="0"/>
        <w:jc w:val="left"/>
        <w:rPr>
          <w:rFonts w:ascii="Times New Roman" w:eastAsiaTheme="minorHAnsi" w:hAnsi="Times New Roman" w:cs="Times New Roman"/>
          <w:b w:val="0"/>
          <w:color w:val="auto"/>
          <w:sz w:val="20"/>
          <w:szCs w:val="20"/>
        </w:rPr>
      </w:pPr>
      <w:r w:rsidRPr="006667FE">
        <w:rPr>
          <w:rStyle w:val="FootnoteReference"/>
          <w:rFonts w:ascii="Times New Roman" w:hAnsi="Times New Roman" w:cs="Times New Roman"/>
          <w:b w:val="0"/>
          <w:color w:val="auto"/>
          <w:sz w:val="20"/>
          <w:szCs w:val="20"/>
        </w:rPr>
        <w:footnoteRef/>
      </w:r>
      <w:r w:rsidRPr="006667FE">
        <w:rPr>
          <w:rFonts w:ascii="Times New Roman" w:hAnsi="Times New Roman" w:cs="Times New Roman"/>
          <w:b w:val="0"/>
          <w:color w:val="auto"/>
          <w:sz w:val="20"/>
          <w:szCs w:val="20"/>
        </w:rPr>
        <w:t xml:space="preserve"> </w:t>
      </w:r>
      <w:r w:rsidRPr="006667FE">
        <w:rPr>
          <w:rFonts w:ascii="Times New Roman" w:hAnsi="Times New Roman" w:cs="Times New Roman"/>
          <w:b w:val="0"/>
          <w:color w:val="auto"/>
          <w:sz w:val="20"/>
          <w:szCs w:val="20"/>
          <w:lang w:val="en"/>
        </w:rPr>
        <w:t xml:space="preserve">N Bussolati, ‘The Rise of Non-State Actors in Cyberwarfare’ </w:t>
      </w:r>
      <w:r w:rsidRPr="006667FE">
        <w:rPr>
          <w:rFonts w:ascii="Times New Roman" w:eastAsia="Times New Roman" w:hAnsi="Times New Roman" w:cs="Times New Roman"/>
          <w:b w:val="0"/>
          <w:bCs w:val="0"/>
          <w:color w:val="auto"/>
          <w:sz w:val="20"/>
          <w:szCs w:val="20"/>
          <w:lang w:eastAsia="en-GB"/>
        </w:rPr>
        <w:t xml:space="preserve">in </w:t>
      </w:r>
      <w:r w:rsidRPr="006667FE">
        <w:rPr>
          <w:rFonts w:ascii="Times New Roman" w:eastAsia="Times New Roman" w:hAnsi="Times New Roman" w:cs="Times New Roman"/>
          <w:b w:val="0"/>
          <w:color w:val="auto"/>
          <w:sz w:val="20"/>
          <w:szCs w:val="20"/>
          <w:lang w:val="en" w:eastAsia="en-GB"/>
        </w:rPr>
        <w:t xml:space="preserve">JD Ohlin, K Govern and C Finkelstein </w:t>
      </w:r>
      <w:r w:rsidRPr="006667FE">
        <w:rPr>
          <w:rFonts w:ascii="Times New Roman" w:eastAsia="Times New Roman" w:hAnsi="Times New Roman" w:cs="Times New Roman"/>
          <w:b w:val="0"/>
          <w:bCs w:val="0"/>
          <w:color w:val="auto"/>
          <w:sz w:val="20"/>
          <w:szCs w:val="20"/>
          <w:lang w:val="en" w:eastAsia="en-GB"/>
        </w:rPr>
        <w:t xml:space="preserve">(eds), </w:t>
      </w:r>
      <w:r w:rsidRPr="006667FE">
        <w:rPr>
          <w:rFonts w:ascii="Times New Roman" w:eastAsia="Times New Roman" w:hAnsi="Times New Roman" w:cs="Times New Roman"/>
          <w:b w:val="0"/>
          <w:i/>
          <w:color w:val="auto"/>
          <w:sz w:val="20"/>
          <w:szCs w:val="20"/>
          <w:lang w:val="en" w:eastAsia="en-GB"/>
        </w:rPr>
        <w:t>Cyber War: Law and Ethics for Virtual Conflicts</w:t>
      </w:r>
      <w:r w:rsidRPr="006667FE">
        <w:rPr>
          <w:rFonts w:ascii="Times New Roman" w:eastAsia="Times New Roman" w:hAnsi="Times New Roman" w:cs="Times New Roman"/>
          <w:b w:val="0"/>
          <w:color w:val="auto"/>
          <w:sz w:val="20"/>
          <w:szCs w:val="20"/>
          <w:lang w:val="en" w:eastAsia="en-GB"/>
        </w:rPr>
        <w:t xml:space="preserve"> (OUP, 2015) particularly at </w:t>
      </w:r>
      <w:r w:rsidRPr="006667FE">
        <w:rPr>
          <w:rFonts w:ascii="Times New Roman" w:hAnsi="Times New Roman" w:cs="Times New Roman"/>
          <w:b w:val="0"/>
          <w:color w:val="auto"/>
          <w:sz w:val="20"/>
          <w:szCs w:val="20"/>
        </w:rPr>
        <w:t>118-22.</w:t>
      </w:r>
    </w:p>
  </w:footnote>
  <w:footnote w:id="50">
    <w:p w14:paraId="319D079E" w14:textId="566A21DB"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Draft Articles on State Responsibility (n 47) art 8.</w:t>
      </w:r>
    </w:p>
  </w:footnote>
  <w:footnote w:id="51">
    <w:p w14:paraId="703A0858" w14:textId="49BE2422"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N Tsagourias, ‘Cyber-Attacks, Self-Defence and the Problem of Attribution’ (2012) 17</w:t>
      </w:r>
      <w:r>
        <w:rPr>
          <w:rFonts w:cs="Times New Roman"/>
          <w:sz w:val="20"/>
          <w:szCs w:val="20"/>
        </w:rPr>
        <w:t xml:space="preserve"> </w:t>
      </w:r>
      <w:r w:rsidRPr="006667FE">
        <w:rPr>
          <w:rFonts w:cs="Times New Roman"/>
          <w:sz w:val="20"/>
          <w:szCs w:val="20"/>
        </w:rPr>
        <w:t xml:space="preserve">JCSL </w:t>
      </w:r>
      <w:r w:rsidRPr="006667FE">
        <w:rPr>
          <w:rFonts w:cs="Times New Roman"/>
          <w:iCs/>
          <w:sz w:val="20"/>
          <w:szCs w:val="20"/>
        </w:rPr>
        <w:t xml:space="preserve">229, </w:t>
      </w:r>
      <w:r w:rsidRPr="006667FE">
        <w:rPr>
          <w:rFonts w:cs="Times New Roman"/>
          <w:sz w:val="20"/>
          <w:szCs w:val="20"/>
        </w:rPr>
        <w:t>233.</w:t>
      </w:r>
    </w:p>
  </w:footnote>
  <w:footnote w:id="52">
    <w:p w14:paraId="7D5F10E6" w14:textId="31721730"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w:t>
      </w:r>
      <w:r w:rsidRPr="006667FE">
        <w:rPr>
          <w:rStyle w:val="lucenesearchresulturlb"/>
          <w:rFonts w:cs="Times New Roman"/>
        </w:rPr>
        <w:t xml:space="preserve">J Brenner, </w:t>
      </w:r>
      <w:r w:rsidRPr="006667FE">
        <w:rPr>
          <w:rFonts w:cs="Times New Roman"/>
          <w:i/>
        </w:rPr>
        <w:t>America the Vulnerable: Inside the New Threat Matrix of Digital Espionage, Crime, and Warfare</w:t>
      </w:r>
      <w:r w:rsidRPr="006667FE">
        <w:rPr>
          <w:rFonts w:cs="Times New Roman"/>
        </w:rPr>
        <w:t xml:space="preserve"> (The Penguin Press, 2011) 32;</w:t>
      </w:r>
      <w:r w:rsidRPr="006667FE">
        <w:rPr>
          <w:rFonts w:cs="Times New Roman"/>
          <w:b/>
        </w:rPr>
        <w:t xml:space="preserve"> </w:t>
      </w:r>
      <w:r w:rsidRPr="006667FE">
        <w:rPr>
          <w:rFonts w:cs="Times New Roman"/>
        </w:rPr>
        <w:t xml:space="preserve">PW Singer and A Friedman, </w:t>
      </w:r>
      <w:r w:rsidRPr="006667FE">
        <w:rPr>
          <w:rFonts w:cs="Times New Roman"/>
          <w:i/>
          <w:iCs/>
        </w:rPr>
        <w:t>Cybersecurity and Cyberwar: What Everyone Needs to Know</w:t>
      </w:r>
      <w:r w:rsidRPr="006667FE">
        <w:rPr>
          <w:rFonts w:cs="Times New Roman"/>
        </w:rPr>
        <w:t xml:space="preserve"> (OUP, 2014) 75.</w:t>
      </w:r>
    </w:p>
  </w:footnote>
  <w:footnote w:id="53">
    <w:p w14:paraId="43184E5A" w14:textId="1E7D0598"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NC Rowe, ‘The Attribution of Cyber Warfare’ in JA Green (ed), </w:t>
      </w:r>
      <w:r w:rsidRPr="006667FE">
        <w:rPr>
          <w:rFonts w:cs="Times New Roman"/>
          <w:i/>
        </w:rPr>
        <w:t>Cyber Warfare: A Multidisciplinary Analysis</w:t>
      </w:r>
      <w:r w:rsidRPr="006667FE">
        <w:rPr>
          <w:rFonts w:cs="Times New Roman"/>
        </w:rPr>
        <w:t xml:space="preserve"> (Routledge, 2015).</w:t>
      </w:r>
    </w:p>
  </w:footnote>
  <w:footnote w:id="54">
    <w:p w14:paraId="1682A3D8"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O’Connell (n 28) 202.</w:t>
      </w:r>
    </w:p>
  </w:footnote>
  <w:footnote w:id="55">
    <w:p w14:paraId="2CD46472"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Goldsmith (n 40) 136.</w:t>
      </w:r>
    </w:p>
  </w:footnote>
  <w:footnote w:id="56">
    <w:p w14:paraId="6B1E2E1F"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Harrison Dinniss (n 29) 53.</w:t>
      </w:r>
    </w:p>
  </w:footnote>
  <w:footnote w:id="57">
    <w:p w14:paraId="7FDC4AC0" w14:textId="464456AD"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Schmitt, ‘In Defense of Due Diligence in Cyberspace’ (n 25) 77.</w:t>
      </w:r>
    </w:p>
  </w:footnote>
  <w:footnote w:id="58">
    <w:p w14:paraId="412CB2BE" w14:textId="38CEB0C0" w:rsidR="00B016F3" w:rsidRPr="006667FE" w:rsidRDefault="00B016F3" w:rsidP="0017041B">
      <w:pPr>
        <w:shd w:val="clear" w:color="auto" w:fill="FFFFFF"/>
        <w:outlineLvl w:val="0"/>
        <w:rPr>
          <w:rFonts w:eastAsia="Times New Roman" w:cs="Times New Roman"/>
          <w:bCs/>
          <w:i/>
          <w:spacing w:val="-5"/>
          <w:kern w:val="36"/>
          <w:sz w:val="20"/>
          <w:szCs w:val="20"/>
          <w:lang w:eastAsia="en-GB"/>
        </w:rPr>
      </w:pPr>
      <w:r w:rsidRPr="006667FE">
        <w:rPr>
          <w:rStyle w:val="FootnoteReference"/>
          <w:rFonts w:cs="Times New Roman"/>
          <w:sz w:val="20"/>
          <w:szCs w:val="20"/>
        </w:rPr>
        <w:footnoteRef/>
      </w:r>
      <w:r w:rsidRPr="006667FE">
        <w:rPr>
          <w:rFonts w:cs="Times New Roman"/>
          <w:sz w:val="20"/>
          <w:szCs w:val="20"/>
        </w:rPr>
        <w:t xml:space="preserve"> </w:t>
      </w:r>
      <w:r w:rsidRPr="006667FE">
        <w:rPr>
          <w:rFonts w:eastAsia="Times New Roman" w:cs="Times New Roman"/>
          <w:bCs/>
          <w:spacing w:val="-5"/>
          <w:kern w:val="36"/>
          <w:sz w:val="20"/>
          <w:szCs w:val="20"/>
          <w:lang w:eastAsia="en-GB"/>
        </w:rPr>
        <w:t xml:space="preserve">M Korolov, ‘10 Deadliest Differences of State-Sponsored Attacks’, </w:t>
      </w:r>
      <w:r w:rsidRPr="006667FE">
        <w:rPr>
          <w:rFonts w:eastAsia="Times New Roman" w:cs="Times New Roman"/>
          <w:bCs/>
          <w:i/>
          <w:spacing w:val="-5"/>
          <w:kern w:val="36"/>
          <w:sz w:val="20"/>
          <w:szCs w:val="20"/>
          <w:lang w:eastAsia="en-GB"/>
        </w:rPr>
        <w:t>CSO Online</w:t>
      </w:r>
      <w:r w:rsidRPr="006667FE">
        <w:rPr>
          <w:rFonts w:eastAsia="Times New Roman" w:cs="Times New Roman"/>
          <w:bCs/>
          <w:spacing w:val="-5"/>
          <w:kern w:val="36"/>
          <w:sz w:val="20"/>
          <w:szCs w:val="20"/>
          <w:lang w:eastAsia="en-GB"/>
        </w:rPr>
        <w:t xml:space="preserve"> (1 December 2014) &lt;http://www.csoonline.com/article/2852855/advanced-persistent-threats/10-deadliest-differences-of-state-sponsored-attacks.html&gt; accessed 11 November 2015.</w:t>
      </w:r>
    </w:p>
  </w:footnote>
  <w:footnote w:id="59">
    <w:p w14:paraId="6AD1FAC3" w14:textId="249739F1"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CE Lentz, ‘A State’s Duty to Prevent and Respond to Cyberterrorist Acts’ (2010) 10 Chicago Journal of International Law 799, 807.</w:t>
      </w:r>
    </w:p>
  </w:footnote>
  <w:footnote w:id="60">
    <w:p w14:paraId="148DFF95" w14:textId="1260BA30"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JA Green, ‘Introduction’ in JA Green (ed), </w:t>
      </w:r>
      <w:r w:rsidRPr="006667FE">
        <w:rPr>
          <w:rFonts w:cs="Times New Roman"/>
          <w:i/>
        </w:rPr>
        <w:t>Cyber Warfare: A Multidisciplinary Analysis</w:t>
      </w:r>
      <w:r w:rsidRPr="006667FE">
        <w:rPr>
          <w:rFonts w:cs="Times New Roman"/>
        </w:rPr>
        <w:t xml:space="preserve"> (Routledge 2015) 2.</w:t>
      </w:r>
    </w:p>
  </w:footnote>
  <w:footnote w:id="61">
    <w:p w14:paraId="2692AA9B" w14:textId="256940A2"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MJ Sklerov, ‘Solving the Dilemma of State Responses to Cyberattacks: A Justification for the Use of Active Defenses against States Who Neglect Their Duty to Prevent’ (2009) 201 Military Law Review 1, 65; Lentz (n 59) particularly at 800; </w:t>
      </w:r>
      <w:r w:rsidRPr="006667FE">
        <w:rPr>
          <w:rFonts w:cs="Times New Roman"/>
          <w:lang w:val="en"/>
        </w:rPr>
        <w:t>Bussolati (n 49).</w:t>
      </w:r>
    </w:p>
  </w:footnote>
  <w:footnote w:id="62">
    <w:p w14:paraId="63A7CDFB" w14:textId="5B5FC2FB" w:rsidR="00B016F3" w:rsidRPr="006667FE" w:rsidRDefault="00B016F3" w:rsidP="0017041B">
      <w:pPr>
        <w:shd w:val="clear" w:color="auto" w:fill="FFFFFF"/>
        <w:outlineLvl w:val="0"/>
        <w:rPr>
          <w:rFonts w:eastAsia="Times New Roman" w:cs="Times New Roman"/>
          <w:bCs/>
          <w:kern w:val="36"/>
          <w:sz w:val="20"/>
          <w:szCs w:val="20"/>
          <w:lang w:eastAsia="en-GB"/>
        </w:rPr>
      </w:pPr>
      <w:r w:rsidRPr="006667FE">
        <w:rPr>
          <w:rStyle w:val="FootnoteReference"/>
          <w:rFonts w:cs="Times New Roman"/>
          <w:sz w:val="20"/>
          <w:szCs w:val="20"/>
        </w:rPr>
        <w:footnoteRef/>
      </w:r>
      <w:r w:rsidRPr="006667FE">
        <w:rPr>
          <w:rFonts w:cs="Times New Roman"/>
          <w:sz w:val="20"/>
          <w:szCs w:val="20"/>
        </w:rPr>
        <w:t xml:space="preserve"> </w:t>
      </w:r>
      <w:r w:rsidRPr="006667FE">
        <w:rPr>
          <w:rFonts w:eastAsia="Times New Roman" w:cs="Times New Roman"/>
          <w:sz w:val="20"/>
          <w:szCs w:val="20"/>
          <w:shd w:val="clear" w:color="auto" w:fill="FFFFFF"/>
          <w:lang w:eastAsia="en-GB"/>
        </w:rPr>
        <w:t xml:space="preserve">J Migga Kizza, </w:t>
      </w:r>
      <w:r w:rsidRPr="006667FE">
        <w:rPr>
          <w:rFonts w:eastAsia="Times New Roman" w:cs="Times New Roman"/>
          <w:bCs/>
          <w:i/>
          <w:kern w:val="36"/>
          <w:sz w:val="20"/>
          <w:szCs w:val="20"/>
          <w:lang w:eastAsia="en-GB"/>
        </w:rPr>
        <w:t>Computer Network Security and Cyber Ethics</w:t>
      </w:r>
      <w:r w:rsidRPr="006667FE">
        <w:rPr>
          <w:rFonts w:eastAsia="Times New Roman" w:cs="Times New Roman"/>
          <w:bCs/>
          <w:kern w:val="36"/>
          <w:sz w:val="20"/>
          <w:szCs w:val="20"/>
          <w:lang w:eastAsia="en-GB"/>
        </w:rPr>
        <w:t xml:space="preserve"> (4th edn, McFarland and Company, 2014) </w:t>
      </w:r>
      <w:r w:rsidRPr="006667FE">
        <w:rPr>
          <w:rFonts w:cs="Times New Roman"/>
          <w:sz w:val="20"/>
          <w:szCs w:val="20"/>
        </w:rPr>
        <w:t>83.</w:t>
      </w:r>
    </w:p>
  </w:footnote>
  <w:footnote w:id="63">
    <w:p w14:paraId="3795EF93" w14:textId="29400EC4"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M Heatherly, ‘How Prepared are we for Cyber Attacks and Other Disasters?’ (2012) 66 Washington State Bar News 31, 31 (reporting the argument to this effect made by J Addicott, director of the Center for Terrorism Law at St Mary’s University, Texas).</w:t>
      </w:r>
    </w:p>
  </w:footnote>
  <w:footnote w:id="64">
    <w:p w14:paraId="0E14A8A1"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Sommer and Brown (n 7) 32.</w:t>
      </w:r>
    </w:p>
  </w:footnote>
  <w:footnote w:id="65">
    <w:p w14:paraId="4995F43E" w14:textId="298478B2" w:rsidR="00B016F3" w:rsidRPr="006667FE" w:rsidRDefault="00B016F3" w:rsidP="0017041B">
      <w:pPr>
        <w:pStyle w:val="Heading1"/>
        <w:spacing w:before="0" w:beforeAutospacing="0" w:after="0" w:afterAutospacing="0"/>
        <w:rPr>
          <w:rFonts w:eastAsiaTheme="majorEastAsia"/>
          <w:b w:val="0"/>
          <w:i/>
          <w:sz w:val="20"/>
          <w:szCs w:val="20"/>
          <w:lang w:eastAsia="en-US"/>
        </w:rPr>
      </w:pPr>
      <w:r w:rsidRPr="006667FE">
        <w:rPr>
          <w:rStyle w:val="FootnoteReference"/>
          <w:b w:val="0"/>
          <w:sz w:val="20"/>
          <w:szCs w:val="20"/>
        </w:rPr>
        <w:footnoteRef/>
      </w:r>
      <w:r w:rsidRPr="006667FE">
        <w:rPr>
          <w:sz w:val="20"/>
          <w:szCs w:val="20"/>
        </w:rPr>
        <w:t xml:space="preserve"> </w:t>
      </w:r>
      <w:r w:rsidRPr="006667FE">
        <w:rPr>
          <w:rStyle w:val="addmd1"/>
          <w:b w:val="0"/>
        </w:rPr>
        <w:t xml:space="preserve">M Dunn Cavelty, </w:t>
      </w:r>
      <w:r w:rsidRPr="006667FE">
        <w:rPr>
          <w:b w:val="0"/>
          <w:i/>
          <w:sz w:val="20"/>
          <w:szCs w:val="20"/>
        </w:rPr>
        <w:t>Cyber-Security and Threat Politics: US Efforts to Secure the Information Age</w:t>
      </w:r>
      <w:r w:rsidRPr="006667FE">
        <w:rPr>
          <w:rStyle w:val="addmd1"/>
          <w:b w:val="0"/>
        </w:rPr>
        <w:t xml:space="preserve"> (Routledge, 2008) 20.</w:t>
      </w:r>
    </w:p>
  </w:footnote>
  <w:footnote w:id="66">
    <w:p w14:paraId="18C7BA81" w14:textId="40FC1F34" w:rsidR="00B016F3" w:rsidRPr="006667FE" w:rsidRDefault="00B016F3" w:rsidP="0017041B">
      <w:pPr>
        <w:rPr>
          <w:rFonts w:eastAsia="Times New Roman" w:cs="Times New Roman"/>
          <w:sz w:val="20"/>
          <w:szCs w:val="20"/>
          <w:lang w:val="en" w:eastAsia="en-GB"/>
        </w:rPr>
      </w:pPr>
      <w:r w:rsidRPr="006667FE">
        <w:rPr>
          <w:rStyle w:val="FootnoteReference"/>
          <w:rFonts w:cs="Times New Roman"/>
          <w:sz w:val="20"/>
          <w:szCs w:val="20"/>
        </w:rPr>
        <w:footnoteRef/>
      </w:r>
      <w:r w:rsidRPr="006667FE">
        <w:rPr>
          <w:rFonts w:cs="Times New Roman"/>
          <w:sz w:val="20"/>
          <w:szCs w:val="20"/>
        </w:rPr>
        <w:t xml:space="preserve"> For example, a small number of writers have focussed on the principle of non-intervention in this context (see, e.g., Buchan (n 24); </w:t>
      </w:r>
      <w:r w:rsidRPr="006667FE">
        <w:rPr>
          <w:rFonts w:eastAsia="Times New Roman" w:cs="Times New Roman"/>
          <w:sz w:val="20"/>
          <w:szCs w:val="20"/>
          <w:lang w:eastAsia="en-GB"/>
        </w:rPr>
        <w:t>S</w:t>
      </w:r>
      <w:r w:rsidRPr="006667FE">
        <w:rPr>
          <w:rFonts w:eastAsia="Times New Roman" w:cs="Times New Roman"/>
          <w:sz w:val="20"/>
          <w:szCs w:val="20"/>
          <w:lang w:val="en" w:eastAsia="en-GB"/>
        </w:rPr>
        <w:t xml:space="preserve"> Watts, ‘Low-Intensity Cyber Operations and the Principle of Non-Intervention’ </w:t>
      </w:r>
      <w:r w:rsidRPr="006667FE">
        <w:rPr>
          <w:rFonts w:eastAsia="Times New Roman" w:cs="Times New Roman"/>
          <w:bCs/>
          <w:sz w:val="20"/>
          <w:szCs w:val="20"/>
          <w:lang w:eastAsia="en-GB"/>
        </w:rPr>
        <w:t xml:space="preserve">in </w:t>
      </w:r>
      <w:r w:rsidRPr="006667FE">
        <w:rPr>
          <w:rFonts w:eastAsia="Times New Roman" w:cs="Times New Roman"/>
          <w:sz w:val="20"/>
          <w:szCs w:val="20"/>
          <w:lang w:val="en" w:eastAsia="en-GB"/>
        </w:rPr>
        <w:t xml:space="preserve">JD Ohlin, K Govern </w:t>
      </w:r>
      <w:r w:rsidRPr="006667FE">
        <w:rPr>
          <w:rFonts w:eastAsia="Times New Roman" w:cs="Times New Roman"/>
          <w:bCs/>
          <w:sz w:val="20"/>
          <w:szCs w:val="20"/>
          <w:lang w:val="en" w:eastAsia="en-GB"/>
        </w:rPr>
        <w:t xml:space="preserve">and C Finkelstein (eds), </w:t>
      </w:r>
      <w:r w:rsidRPr="006667FE">
        <w:rPr>
          <w:rFonts w:eastAsia="Times New Roman" w:cs="Times New Roman"/>
          <w:i/>
          <w:sz w:val="20"/>
          <w:szCs w:val="20"/>
          <w:lang w:val="en" w:eastAsia="en-GB"/>
        </w:rPr>
        <w:t>Cyber War: Law and Ethics for Virtual Conflicts</w:t>
      </w:r>
      <w:r w:rsidRPr="006667FE">
        <w:rPr>
          <w:rFonts w:eastAsia="Times New Roman" w:cs="Times New Roman"/>
          <w:sz w:val="20"/>
          <w:szCs w:val="20"/>
          <w:lang w:val="en" w:eastAsia="en-GB"/>
        </w:rPr>
        <w:t xml:space="preserve"> (OUP, 2015)</w:t>
      </w:r>
      <w:r w:rsidRPr="006667FE">
        <w:rPr>
          <w:rFonts w:eastAsia="Times New Roman" w:cs="Times New Roman"/>
          <w:sz w:val="20"/>
          <w:szCs w:val="20"/>
          <w:lang w:eastAsia="en-GB"/>
        </w:rPr>
        <w:t>)</w:t>
      </w:r>
      <w:r w:rsidRPr="006667FE">
        <w:rPr>
          <w:rFonts w:cs="Times New Roman"/>
          <w:sz w:val="20"/>
          <w:szCs w:val="20"/>
        </w:rPr>
        <w:t>.  However, the potential of this principle to effectively restrain inter-state cyber-attacks can be brought into question (see Banks (n 46) 170; Green (n 34) 107-10). Moreover, it is beset with many of the same problems as art 2(4) in the cyber context: an attack still needs to be attributed to a state, meaning that the principle is similarly inapplicable to both cyber-attacks by non-state actors and cyber accidents.</w:t>
      </w:r>
    </w:p>
  </w:footnote>
  <w:footnote w:id="67">
    <w:p w14:paraId="414AA162" w14:textId="53D824F5" w:rsidR="00B016F3" w:rsidRPr="006667FE" w:rsidRDefault="00B016F3" w:rsidP="0017041B">
      <w:pPr>
        <w:rPr>
          <w:rFonts w:cs="Times New Roman"/>
          <w:sz w:val="20"/>
          <w:szCs w:val="20"/>
          <w:shd w:val="clear" w:color="auto" w:fill="FFFFFF"/>
        </w:rPr>
      </w:pPr>
      <w:r w:rsidRPr="006667FE">
        <w:rPr>
          <w:rStyle w:val="FootnoteReference"/>
          <w:rFonts w:cs="Times New Roman"/>
          <w:sz w:val="20"/>
          <w:szCs w:val="20"/>
        </w:rPr>
        <w:footnoteRef/>
      </w:r>
      <w:r w:rsidRPr="006667FE">
        <w:rPr>
          <w:rFonts w:cs="Times New Roman"/>
          <w:sz w:val="20"/>
          <w:szCs w:val="20"/>
        </w:rPr>
        <w:t xml:space="preserve"> </w:t>
      </w:r>
      <w:r w:rsidRPr="006667FE">
        <w:rPr>
          <w:rFonts w:cs="Times New Roman"/>
          <w:sz w:val="20"/>
          <w:szCs w:val="20"/>
          <w:shd w:val="clear" w:color="auto" w:fill="FFFFFF"/>
        </w:rPr>
        <w:t>See, generally, JA Hessbruegge, ‘The Historical Development of the Doctrines of Attribution and Due Diligence in International Law’ (</w:t>
      </w:r>
      <w:r w:rsidRPr="006667FE">
        <w:rPr>
          <w:rFonts w:cs="Times New Roman"/>
          <w:sz w:val="20"/>
          <w:szCs w:val="20"/>
        </w:rPr>
        <w:t>2003-04) 36 JILP 265.</w:t>
      </w:r>
    </w:p>
  </w:footnote>
  <w:footnote w:id="68">
    <w:p w14:paraId="671E011E" w14:textId="201710C4"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Schmitt, ‘In Defense of Due Diligence in Cyberspace’ (n 25) 71-2.</w:t>
      </w:r>
    </w:p>
  </w:footnote>
  <w:footnote w:id="69">
    <w:p w14:paraId="051DD7E9" w14:textId="4B589348"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generally, RP Barnidge, Jr, ‘The Due Diligence Principle under International Law’ (2006) 8 International Community Law Review 81.</w:t>
      </w:r>
    </w:p>
  </w:footnote>
  <w:footnote w:id="70">
    <w:p w14:paraId="64F0AA5C" w14:textId="4AF1E71D" w:rsidR="00B016F3" w:rsidRPr="00B016F3"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e.g., International Law Association Study Group on Due Diligence in International Law, </w:t>
      </w:r>
      <w:r w:rsidRPr="006667FE">
        <w:rPr>
          <w:rFonts w:cs="Times New Roman"/>
          <w:i/>
        </w:rPr>
        <w:t>First Report</w:t>
      </w:r>
      <w:r w:rsidRPr="006667FE">
        <w:rPr>
          <w:rFonts w:cs="Times New Roman"/>
        </w:rPr>
        <w:t>, (D French (Chair) and T Stephens (Rapporteur), 7 March 2014) &lt;http://www.ila-</w:t>
      </w:r>
      <w:r w:rsidRPr="00B016F3">
        <w:rPr>
          <w:rFonts w:cs="Times New Roman"/>
        </w:rPr>
        <w:t>hq.org/en/committees/study_</w:t>
      </w:r>
      <w:r>
        <w:rPr>
          <w:rFonts w:cs="Times New Roman"/>
        </w:rPr>
        <w:t xml:space="preserve"> </w:t>
      </w:r>
      <w:r w:rsidRPr="00B016F3">
        <w:rPr>
          <w:rFonts w:cs="Times New Roman"/>
        </w:rPr>
        <w:t>groups.cfm/cid/1045&gt; accessed 27 October 2015.</w:t>
      </w:r>
    </w:p>
  </w:footnote>
  <w:footnote w:id="71">
    <w:p w14:paraId="7FC46568" w14:textId="4442F470" w:rsidR="00B016F3" w:rsidRPr="00B016F3" w:rsidRDefault="00B016F3" w:rsidP="00B016F3">
      <w:pPr>
        <w:pStyle w:val="NoSpacing"/>
        <w:rPr>
          <w:rFonts w:cs="Times New Roman"/>
          <w:sz w:val="20"/>
          <w:szCs w:val="20"/>
          <w:highlight w:val="yellow"/>
        </w:rPr>
      </w:pPr>
      <w:r w:rsidRPr="00B016F3">
        <w:rPr>
          <w:rStyle w:val="FootnoteReference"/>
          <w:rFonts w:ascii="Times New Roman" w:hAnsi="Times New Roman" w:cs="Times New Roman"/>
          <w:sz w:val="20"/>
          <w:szCs w:val="20"/>
        </w:rPr>
        <w:footnoteRef/>
      </w:r>
      <w:r w:rsidRPr="00B016F3">
        <w:rPr>
          <w:rFonts w:ascii="Times New Roman" w:hAnsi="Times New Roman" w:cs="Times New Roman"/>
          <w:sz w:val="20"/>
          <w:szCs w:val="20"/>
        </w:rPr>
        <w:t xml:space="preserve"> </w:t>
      </w:r>
      <w:r w:rsidRPr="00B016F3">
        <w:rPr>
          <w:rFonts w:ascii="Times New Roman" w:hAnsi="Times New Roman" w:cs="Times New Roman"/>
          <w:i/>
          <w:sz w:val="20"/>
          <w:szCs w:val="20"/>
        </w:rPr>
        <w:t>Trail Smelter</w:t>
      </w:r>
      <w:r w:rsidRPr="00B016F3">
        <w:rPr>
          <w:rFonts w:ascii="Times New Roman" w:hAnsi="Times New Roman" w:cs="Times New Roman"/>
          <w:sz w:val="20"/>
          <w:szCs w:val="20"/>
        </w:rPr>
        <w:t xml:space="preserve"> </w:t>
      </w:r>
      <w:r w:rsidRPr="00B016F3">
        <w:rPr>
          <w:rFonts w:ascii="Times New Roman" w:hAnsi="Times New Roman" w:cs="Times New Roman"/>
          <w:i/>
          <w:sz w:val="20"/>
          <w:szCs w:val="20"/>
        </w:rPr>
        <w:t>Case</w:t>
      </w:r>
      <w:r w:rsidRPr="00B016F3">
        <w:rPr>
          <w:rFonts w:ascii="Times New Roman" w:hAnsi="Times New Roman" w:cs="Times New Roman"/>
          <w:sz w:val="20"/>
          <w:szCs w:val="20"/>
        </w:rPr>
        <w:t xml:space="preserve"> (</w:t>
      </w:r>
      <w:r w:rsidRPr="00B016F3">
        <w:rPr>
          <w:rFonts w:ascii="Times New Roman" w:hAnsi="Times New Roman" w:cs="Times New Roman"/>
          <w:i/>
          <w:sz w:val="20"/>
          <w:szCs w:val="20"/>
        </w:rPr>
        <w:t>United States</w:t>
      </w:r>
      <w:r w:rsidRPr="00B016F3">
        <w:rPr>
          <w:rFonts w:ascii="Times New Roman" w:hAnsi="Times New Roman" w:cs="Times New Roman"/>
          <w:sz w:val="20"/>
          <w:szCs w:val="20"/>
        </w:rPr>
        <w:t xml:space="preserve">, </w:t>
      </w:r>
      <w:r w:rsidRPr="00B016F3">
        <w:rPr>
          <w:rFonts w:ascii="Times New Roman" w:hAnsi="Times New Roman" w:cs="Times New Roman"/>
          <w:i/>
          <w:sz w:val="20"/>
          <w:szCs w:val="20"/>
        </w:rPr>
        <w:t>Canada</w:t>
      </w:r>
      <w:r w:rsidRPr="00B016F3">
        <w:rPr>
          <w:rFonts w:ascii="Times New Roman" w:hAnsi="Times New Roman" w:cs="Times New Roman"/>
          <w:sz w:val="20"/>
          <w:szCs w:val="20"/>
        </w:rPr>
        <w:t>) (</w:t>
      </w:r>
      <w:r w:rsidRPr="00B016F3">
        <w:rPr>
          <w:rFonts w:ascii="Times New Roman" w:hAnsi="Times New Roman" w:cs="Times New Roman"/>
          <w:i/>
          <w:sz w:val="20"/>
          <w:szCs w:val="20"/>
        </w:rPr>
        <w:t xml:space="preserve">) </w:t>
      </w:r>
      <w:r w:rsidRPr="00B016F3">
        <w:rPr>
          <w:rFonts w:ascii="Times New Roman" w:hAnsi="Times New Roman" w:cs="Times New Roman"/>
          <w:sz w:val="20"/>
          <w:szCs w:val="20"/>
        </w:rPr>
        <w:t>Intl Arb. Rep. 1905 (Arbitral Trib., 11 March 1941) 1963.</w:t>
      </w:r>
      <w:r w:rsidRPr="00B016F3">
        <w:rPr>
          <w:rFonts w:cs="Times New Roman"/>
          <w:sz w:val="20"/>
          <w:szCs w:val="20"/>
        </w:rPr>
        <w:t xml:space="preserve"> </w:t>
      </w:r>
    </w:p>
  </w:footnote>
  <w:footnote w:id="72">
    <w:p w14:paraId="2C734CC1" w14:textId="417A3647" w:rsidR="00B016F3" w:rsidRPr="00B016F3" w:rsidRDefault="00B016F3" w:rsidP="0017041B">
      <w:pPr>
        <w:rPr>
          <w:rFonts w:cs="Times New Roman"/>
          <w:sz w:val="20"/>
          <w:szCs w:val="20"/>
        </w:rPr>
      </w:pPr>
      <w:r w:rsidRPr="00B016F3">
        <w:rPr>
          <w:rStyle w:val="FootnoteReference"/>
          <w:rFonts w:cs="Times New Roman"/>
          <w:sz w:val="20"/>
          <w:szCs w:val="20"/>
        </w:rPr>
        <w:footnoteRef/>
      </w:r>
      <w:r w:rsidRPr="00B016F3">
        <w:rPr>
          <w:rFonts w:cs="Times New Roman"/>
          <w:sz w:val="20"/>
          <w:szCs w:val="20"/>
        </w:rPr>
        <w:t xml:space="preserve"> </w:t>
      </w:r>
      <w:r w:rsidRPr="00B016F3">
        <w:rPr>
          <w:rFonts w:cs="Times New Roman"/>
          <w:i/>
          <w:sz w:val="20"/>
          <w:szCs w:val="20"/>
        </w:rPr>
        <w:t>Legality of the Threat or Use of Nuclear Weapons (Advisory Opinion)</w:t>
      </w:r>
      <w:r w:rsidRPr="00B016F3">
        <w:rPr>
          <w:rFonts w:cs="Times New Roman"/>
          <w:sz w:val="20"/>
          <w:szCs w:val="20"/>
          <w:lang w:val="en-US"/>
        </w:rPr>
        <w:t xml:space="preserve"> ICJ Rep. 1996, 226 (8 July 1996)</w:t>
      </w:r>
      <w:r>
        <w:rPr>
          <w:rFonts w:cs="Times New Roman"/>
          <w:sz w:val="20"/>
          <w:szCs w:val="20"/>
          <w:lang w:val="en-US"/>
        </w:rPr>
        <w:t xml:space="preserve"> </w:t>
      </w:r>
      <w:r w:rsidRPr="00B016F3">
        <w:rPr>
          <w:rFonts w:cs="Times New Roman"/>
          <w:sz w:val="20"/>
          <w:szCs w:val="20"/>
        </w:rPr>
        <w:t>para 29.</w:t>
      </w:r>
    </w:p>
  </w:footnote>
  <w:footnote w:id="73">
    <w:p w14:paraId="5E545942" w14:textId="3D155005" w:rsidR="00B016F3" w:rsidRPr="006667FE" w:rsidRDefault="00B016F3" w:rsidP="00823D32">
      <w:pPr>
        <w:pStyle w:val="FootnoteText"/>
        <w:rPr>
          <w:rFonts w:cs="Times New Roman"/>
          <w:color w:val="0000FF"/>
        </w:rPr>
      </w:pPr>
      <w:r w:rsidRPr="00B016F3">
        <w:rPr>
          <w:rStyle w:val="FootnoteReference"/>
          <w:rFonts w:cs="Times New Roman"/>
        </w:rPr>
        <w:footnoteRef/>
      </w:r>
      <w:r w:rsidRPr="00B016F3">
        <w:rPr>
          <w:rFonts w:cs="Times New Roman"/>
        </w:rPr>
        <w:t xml:space="preserve"> </w:t>
      </w:r>
      <w:r w:rsidRPr="00B016F3">
        <w:rPr>
          <w:rFonts w:cs="Times New Roman"/>
          <w:i/>
        </w:rPr>
        <w:t>Case concerning Pulp Mills on the River Uruguay (Argentine v Uruguay)</w:t>
      </w:r>
      <w:r w:rsidRPr="00B016F3">
        <w:rPr>
          <w:rFonts w:cs="Times New Roman"/>
        </w:rPr>
        <w:t xml:space="preserve"> ICJ Rep. 2010, 14 (20 April 2010) para 101.</w:t>
      </w:r>
    </w:p>
  </w:footnote>
  <w:footnote w:id="74">
    <w:p w14:paraId="64F12E50" w14:textId="0C390DC3" w:rsidR="00B016F3" w:rsidRPr="00FE42A2" w:rsidRDefault="00B016F3" w:rsidP="0017041B">
      <w:pPr>
        <w:rPr>
          <w:rFonts w:cs="Times New Roman"/>
          <w:sz w:val="20"/>
          <w:szCs w:val="20"/>
        </w:rPr>
      </w:pPr>
      <w:r w:rsidRPr="00FE42A2">
        <w:rPr>
          <w:rStyle w:val="FootnoteReference"/>
          <w:rFonts w:cs="Times New Roman"/>
          <w:sz w:val="20"/>
          <w:szCs w:val="20"/>
        </w:rPr>
        <w:footnoteRef/>
      </w:r>
      <w:r w:rsidRPr="00FE42A2">
        <w:rPr>
          <w:rFonts w:cs="Times New Roman"/>
          <w:sz w:val="20"/>
          <w:szCs w:val="20"/>
        </w:rPr>
        <w:t xml:space="preserve"> </w:t>
      </w:r>
      <w:r w:rsidRPr="00FE42A2">
        <w:rPr>
          <w:rFonts w:cs="Times New Roman"/>
          <w:i/>
          <w:sz w:val="20"/>
          <w:szCs w:val="20"/>
        </w:rPr>
        <w:t>Corfu Channel Case</w:t>
      </w:r>
      <w:r w:rsidRPr="00FE42A2">
        <w:rPr>
          <w:rFonts w:cs="Times New Roman"/>
          <w:sz w:val="20"/>
          <w:szCs w:val="20"/>
        </w:rPr>
        <w:t xml:space="preserve"> (</w:t>
      </w:r>
      <w:r w:rsidRPr="00FE42A2">
        <w:rPr>
          <w:rFonts w:cs="Times New Roman"/>
          <w:i/>
          <w:sz w:val="20"/>
          <w:szCs w:val="20"/>
        </w:rPr>
        <w:t>United Kingdom v. Albania</w:t>
      </w:r>
      <w:r w:rsidRPr="00FE42A2">
        <w:rPr>
          <w:rFonts w:cs="Times New Roman"/>
          <w:sz w:val="20"/>
          <w:szCs w:val="20"/>
        </w:rPr>
        <w:t>), (Merits) (1949) ICJ Rep. 1949, 244 (ICJ, 9 April 1949) para 22.</w:t>
      </w:r>
    </w:p>
  </w:footnote>
  <w:footnote w:id="75">
    <w:p w14:paraId="138A9E23" w14:textId="09CD5EAD" w:rsidR="00B016F3" w:rsidRPr="00FE42A2" w:rsidRDefault="00B016F3" w:rsidP="0017041B">
      <w:pPr>
        <w:rPr>
          <w:rFonts w:cs="Times New Roman"/>
          <w:sz w:val="20"/>
          <w:szCs w:val="20"/>
        </w:rPr>
      </w:pPr>
      <w:r w:rsidRPr="00FE42A2">
        <w:rPr>
          <w:rStyle w:val="FootnoteReference"/>
          <w:rFonts w:cs="Times New Roman"/>
          <w:sz w:val="20"/>
          <w:szCs w:val="20"/>
        </w:rPr>
        <w:footnoteRef/>
      </w:r>
      <w:r w:rsidRPr="00FE42A2">
        <w:rPr>
          <w:rFonts w:cs="Times New Roman"/>
          <w:sz w:val="20"/>
          <w:szCs w:val="20"/>
        </w:rPr>
        <w:t xml:space="preserve"> See, e.g., </w:t>
      </w:r>
      <w:r w:rsidRPr="00FE42A2">
        <w:rPr>
          <w:rFonts w:cs="Times New Roman"/>
          <w:i/>
          <w:sz w:val="20"/>
          <w:szCs w:val="20"/>
        </w:rPr>
        <w:t>United States Diplomatic and Consular Staff in Tehran</w:t>
      </w:r>
      <w:r w:rsidRPr="00FE42A2">
        <w:rPr>
          <w:rFonts w:cs="Times New Roman"/>
          <w:sz w:val="20"/>
          <w:szCs w:val="20"/>
        </w:rPr>
        <w:t xml:space="preserve"> (</w:t>
      </w:r>
      <w:r w:rsidRPr="00FE42A2">
        <w:rPr>
          <w:rFonts w:cs="Times New Roman"/>
          <w:i/>
          <w:sz w:val="20"/>
          <w:szCs w:val="20"/>
        </w:rPr>
        <w:t>United States of America v Iran</w:t>
      </w:r>
      <w:r w:rsidRPr="00FE42A2">
        <w:rPr>
          <w:rFonts w:cs="Times New Roman"/>
          <w:sz w:val="20"/>
          <w:szCs w:val="20"/>
        </w:rPr>
        <w:t>) ICJ Rep. 1980, 3</w:t>
      </w:r>
      <w:r w:rsidR="00FE42A2">
        <w:rPr>
          <w:rFonts w:cs="Times New Roman"/>
          <w:sz w:val="20"/>
          <w:szCs w:val="20"/>
        </w:rPr>
        <w:t xml:space="preserve"> (</w:t>
      </w:r>
      <w:r w:rsidRPr="00FE42A2">
        <w:rPr>
          <w:rFonts w:cs="Times New Roman"/>
          <w:sz w:val="20"/>
          <w:szCs w:val="20"/>
        </w:rPr>
        <w:t xml:space="preserve">24 May 1980) paras 61-8; </w:t>
      </w:r>
      <w:r w:rsidRPr="00FE42A2">
        <w:rPr>
          <w:rFonts w:cs="Times New Roman"/>
          <w:i/>
          <w:sz w:val="20"/>
          <w:szCs w:val="20"/>
        </w:rPr>
        <w:t>Armed Activities on the Territory of the Congo</w:t>
      </w:r>
      <w:r w:rsidRPr="00FE42A2">
        <w:rPr>
          <w:rFonts w:cs="Times New Roman"/>
          <w:sz w:val="20"/>
          <w:szCs w:val="20"/>
        </w:rPr>
        <w:t xml:space="preserve"> (</w:t>
      </w:r>
      <w:r w:rsidRPr="00FE42A2">
        <w:rPr>
          <w:rFonts w:cs="Times New Roman"/>
          <w:i/>
          <w:sz w:val="20"/>
          <w:szCs w:val="20"/>
        </w:rPr>
        <w:t>Democratic Republic of the Cong</w:t>
      </w:r>
      <w:r w:rsidRPr="00FE42A2">
        <w:rPr>
          <w:rFonts w:cs="Times New Roman"/>
          <w:sz w:val="20"/>
          <w:szCs w:val="20"/>
        </w:rPr>
        <w:t xml:space="preserve">o </w:t>
      </w:r>
      <w:r w:rsidRPr="00FE42A2">
        <w:rPr>
          <w:rFonts w:cs="Times New Roman"/>
          <w:i/>
          <w:sz w:val="20"/>
          <w:szCs w:val="20"/>
        </w:rPr>
        <w:t>v</w:t>
      </w:r>
      <w:r w:rsidRPr="00FE42A2">
        <w:rPr>
          <w:rFonts w:cs="Times New Roman"/>
          <w:sz w:val="20"/>
          <w:szCs w:val="20"/>
        </w:rPr>
        <w:t xml:space="preserve"> </w:t>
      </w:r>
      <w:r w:rsidRPr="00FE42A2">
        <w:rPr>
          <w:rFonts w:cs="Times New Roman"/>
          <w:i/>
          <w:sz w:val="20"/>
          <w:szCs w:val="20"/>
        </w:rPr>
        <w:t>Uganda</w:t>
      </w:r>
      <w:r w:rsidRPr="00FE42A2">
        <w:rPr>
          <w:rFonts w:cs="Times New Roman"/>
          <w:sz w:val="20"/>
          <w:szCs w:val="20"/>
        </w:rPr>
        <w:t xml:space="preserve">) ICJ Rep. 2005, 168 (19 December 2005) particularly paras 300-05; </w:t>
      </w:r>
      <w:r w:rsidRPr="00FE42A2">
        <w:rPr>
          <w:rFonts w:cs="Times New Roman"/>
          <w:i/>
          <w:sz w:val="20"/>
          <w:szCs w:val="20"/>
        </w:rPr>
        <w:t>Application of the Convention on the Prevention and Punishment of the Crime of Genocide</w:t>
      </w:r>
      <w:r w:rsidRPr="00FE42A2">
        <w:rPr>
          <w:rFonts w:cs="Times New Roman"/>
          <w:sz w:val="20"/>
          <w:szCs w:val="20"/>
        </w:rPr>
        <w:t xml:space="preserve"> (</w:t>
      </w:r>
      <w:r w:rsidRPr="00FE42A2">
        <w:rPr>
          <w:rFonts w:cs="Times New Roman"/>
          <w:i/>
          <w:sz w:val="20"/>
          <w:szCs w:val="20"/>
        </w:rPr>
        <w:t>Bosnia and Herzegovina v Serbia and Montenegro</w:t>
      </w:r>
      <w:r w:rsidRPr="00FE42A2">
        <w:rPr>
          <w:rFonts w:cs="Times New Roman"/>
          <w:sz w:val="20"/>
          <w:szCs w:val="20"/>
        </w:rPr>
        <w:t xml:space="preserve">) ICJ Rep. 2007, 43 </w:t>
      </w:r>
      <w:r w:rsidR="00FE42A2">
        <w:rPr>
          <w:rFonts w:cs="Times New Roman"/>
          <w:sz w:val="20"/>
          <w:szCs w:val="20"/>
        </w:rPr>
        <w:t>(</w:t>
      </w:r>
      <w:r w:rsidRPr="00FE42A2">
        <w:rPr>
          <w:rFonts w:cs="Times New Roman"/>
          <w:sz w:val="20"/>
          <w:szCs w:val="20"/>
        </w:rPr>
        <w:t>26 February 2007) particularly at paras 428-30.</w:t>
      </w:r>
    </w:p>
  </w:footnote>
  <w:footnote w:id="76">
    <w:p w14:paraId="47E16DD8" w14:textId="2929B16F" w:rsidR="00B016F3" w:rsidRPr="00FE42A2" w:rsidRDefault="00B016F3" w:rsidP="0017041B">
      <w:pPr>
        <w:pStyle w:val="FootnoteText"/>
        <w:rPr>
          <w:rFonts w:cs="Times New Roman"/>
        </w:rPr>
      </w:pPr>
      <w:r w:rsidRPr="00FE42A2">
        <w:rPr>
          <w:rStyle w:val="FootnoteReference"/>
          <w:rFonts w:cs="Times New Roman"/>
        </w:rPr>
        <w:footnoteRef/>
      </w:r>
      <w:r w:rsidR="00FE42A2">
        <w:rPr>
          <w:rFonts w:cs="Times New Roman"/>
        </w:rPr>
        <w:t xml:space="preserve"> Roscini (n 29) 87-</w:t>
      </w:r>
      <w:r w:rsidRPr="00FE42A2">
        <w:rPr>
          <w:rFonts w:cs="Times New Roman"/>
        </w:rPr>
        <w:t>8.</w:t>
      </w:r>
    </w:p>
  </w:footnote>
  <w:footnote w:id="77">
    <w:p w14:paraId="62EB82BF" w14:textId="2345D8F9" w:rsidR="00B016F3" w:rsidRPr="00FE42A2" w:rsidRDefault="00B016F3" w:rsidP="00BC555F">
      <w:pPr>
        <w:rPr>
          <w:rFonts w:cs="Times New Roman"/>
          <w:sz w:val="20"/>
          <w:szCs w:val="20"/>
        </w:rPr>
      </w:pPr>
      <w:r w:rsidRPr="00FE42A2">
        <w:rPr>
          <w:rStyle w:val="FootnoteReference"/>
          <w:rFonts w:cs="Times New Roman"/>
          <w:sz w:val="20"/>
          <w:szCs w:val="20"/>
        </w:rPr>
        <w:footnoteRef/>
      </w:r>
      <w:r w:rsidRPr="00FE42A2">
        <w:rPr>
          <w:rFonts w:cs="Times New Roman"/>
          <w:sz w:val="20"/>
          <w:szCs w:val="20"/>
        </w:rPr>
        <w:t xml:space="preserve"> ILC, </w:t>
      </w:r>
      <w:r w:rsidRPr="00FE42A2">
        <w:rPr>
          <w:rFonts w:cs="Times New Roman"/>
          <w:i/>
          <w:sz w:val="20"/>
          <w:szCs w:val="20"/>
        </w:rPr>
        <w:t xml:space="preserve">Draft </w:t>
      </w:r>
      <w:r w:rsidR="00250AFD">
        <w:rPr>
          <w:rFonts w:cs="Times New Roman"/>
          <w:i/>
          <w:sz w:val="20"/>
          <w:szCs w:val="20"/>
        </w:rPr>
        <w:t>A</w:t>
      </w:r>
      <w:r w:rsidRPr="00FE42A2">
        <w:rPr>
          <w:rFonts w:cs="Times New Roman"/>
          <w:i/>
          <w:sz w:val="20"/>
          <w:szCs w:val="20"/>
        </w:rPr>
        <w:t>rticles on Prevention of Transboundary Harm from Hazardous Activities with Commentaries</w:t>
      </w:r>
      <w:r w:rsidRPr="005A6AF3">
        <w:rPr>
          <w:rFonts w:cs="Times New Roman"/>
          <w:sz w:val="20"/>
          <w:szCs w:val="20"/>
        </w:rPr>
        <w:t>,</w:t>
      </w:r>
      <w:r w:rsidRPr="00FE42A2">
        <w:rPr>
          <w:rFonts w:cs="Times New Roman"/>
          <w:sz w:val="20"/>
          <w:szCs w:val="20"/>
        </w:rPr>
        <w:t xml:space="preserve"> UN Doc.</w:t>
      </w:r>
      <w:r w:rsidRPr="00FE42A2">
        <w:rPr>
          <w:rFonts w:cs="Times New Roman"/>
          <w:i/>
          <w:sz w:val="20"/>
          <w:szCs w:val="20"/>
        </w:rPr>
        <w:t xml:space="preserve"> </w:t>
      </w:r>
      <w:r w:rsidRPr="00FE42A2">
        <w:rPr>
          <w:rFonts w:cs="Times New Roman"/>
          <w:sz w:val="20"/>
          <w:szCs w:val="20"/>
        </w:rPr>
        <w:t xml:space="preserve">A/56/10 (Rep. of the ILC on the work of its fifty-third session, 2001) </w:t>
      </w:r>
      <w:r w:rsidRPr="00FE42A2">
        <w:rPr>
          <w:rFonts w:cs="Times New Roman"/>
          <w:sz w:val="20"/>
          <w:szCs w:val="20"/>
          <w:shd w:val="clear" w:color="auto" w:fill="FFFFFF"/>
        </w:rPr>
        <w:t>draft art 3(7)</w:t>
      </w:r>
      <w:r w:rsidR="00FE42A2">
        <w:rPr>
          <w:rFonts w:cs="Times New Roman"/>
          <w:sz w:val="20"/>
          <w:szCs w:val="20"/>
          <w:shd w:val="clear" w:color="auto" w:fill="FFFFFF"/>
        </w:rPr>
        <w:t>,</w:t>
      </w:r>
      <w:r w:rsidRPr="00FE42A2">
        <w:rPr>
          <w:rFonts w:cs="Times New Roman"/>
          <w:sz w:val="20"/>
          <w:szCs w:val="20"/>
          <w:shd w:val="clear" w:color="auto" w:fill="FFFFFF"/>
        </w:rPr>
        <w:t xml:space="preserve"> 391-2. </w:t>
      </w:r>
    </w:p>
  </w:footnote>
  <w:footnote w:id="78">
    <w:p w14:paraId="0003C729" w14:textId="1EAC3501" w:rsidR="00B016F3" w:rsidRPr="00FE42A2" w:rsidRDefault="00B016F3" w:rsidP="0017041B">
      <w:pPr>
        <w:pStyle w:val="FootnoteText"/>
        <w:rPr>
          <w:rFonts w:cs="Times New Roman"/>
        </w:rPr>
      </w:pPr>
      <w:r w:rsidRPr="00FE42A2">
        <w:rPr>
          <w:rStyle w:val="FootnoteReference"/>
          <w:rFonts w:cs="Times New Roman"/>
        </w:rPr>
        <w:footnoteRef/>
      </w:r>
      <w:r w:rsidRPr="00FE42A2">
        <w:rPr>
          <w:rFonts w:cs="Times New Roman"/>
        </w:rPr>
        <w:t xml:space="preserve"> ILA Study Group on Due Diligence (n 70) 27.</w:t>
      </w:r>
    </w:p>
  </w:footnote>
  <w:footnote w:id="79">
    <w:p w14:paraId="2BFC2758" w14:textId="431EE660" w:rsidR="00B016F3" w:rsidRPr="00FE42A2" w:rsidRDefault="00B016F3" w:rsidP="0017041B">
      <w:pPr>
        <w:pStyle w:val="FootnoteText"/>
        <w:rPr>
          <w:rFonts w:cs="Times New Roman"/>
        </w:rPr>
      </w:pPr>
      <w:r w:rsidRPr="00FE42A2">
        <w:rPr>
          <w:rStyle w:val="FootnoteReference"/>
          <w:rFonts w:cs="Times New Roman"/>
        </w:rPr>
        <w:footnoteRef/>
      </w:r>
      <w:r w:rsidRPr="00FE42A2">
        <w:rPr>
          <w:rFonts w:cs="Times New Roman"/>
        </w:rPr>
        <w:t xml:space="preserve"> C Antonopoulos, ‘State Responsibility in Cyberspace’ in N Tsagourias and R Buchan (eds), </w:t>
      </w:r>
      <w:r w:rsidRPr="00FE42A2">
        <w:rPr>
          <w:rFonts w:cs="Times New Roman"/>
          <w:i/>
        </w:rPr>
        <w:t>Research Handbook on International Law and Cyberspace</w:t>
      </w:r>
      <w:r w:rsidRPr="00FE42A2">
        <w:rPr>
          <w:rFonts w:cs="Times New Roman"/>
        </w:rPr>
        <w:t xml:space="preserve"> (Edward Elgar, 2015) 69.</w:t>
      </w:r>
    </w:p>
  </w:footnote>
  <w:footnote w:id="80">
    <w:p w14:paraId="037E1E56" w14:textId="700AB21F" w:rsidR="00B016F3" w:rsidRPr="006667FE" w:rsidRDefault="00B016F3" w:rsidP="0017041B">
      <w:pPr>
        <w:pStyle w:val="FootnoteText"/>
        <w:rPr>
          <w:rFonts w:cs="Times New Roman"/>
        </w:rPr>
      </w:pPr>
      <w:r w:rsidRPr="00FE42A2">
        <w:rPr>
          <w:rStyle w:val="FootnoteReference"/>
          <w:rFonts w:cs="Times New Roman"/>
        </w:rPr>
        <w:footnoteRef/>
      </w:r>
      <w:r w:rsidRPr="00FE42A2">
        <w:rPr>
          <w:rFonts w:cs="Times New Roman"/>
        </w:rPr>
        <w:t xml:space="preserve"> For the classic expression of this view, see DR Johnson and DG Post, ‘Law and Borders – The Rise of Law in Cyberspace’ (1995-96) 48 Stanford Law Review 1367.</w:t>
      </w:r>
    </w:p>
  </w:footnote>
  <w:footnote w:id="81">
    <w:p w14:paraId="185E6F7F" w14:textId="1378D774"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PW Franzese, ‘Sovereignty in Cyberspace: Can it Exist?’ (2009) 64 Air Force Law Review 1, 12.</w:t>
      </w:r>
    </w:p>
  </w:footnote>
  <w:footnote w:id="82">
    <w:p w14:paraId="79E81757" w14:textId="1FB835E5"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Heinegg (n 23) 126, 132-3; U Kohl, ‘Jurisdiction in Cyberspace’ in N Tsagourias and R Buchan (eds), </w:t>
      </w:r>
      <w:r w:rsidRPr="006667FE">
        <w:rPr>
          <w:rFonts w:cs="Times New Roman"/>
          <w:i/>
        </w:rPr>
        <w:t>Research Handbook on International Law and Cyberspace</w:t>
      </w:r>
      <w:r w:rsidRPr="006667FE">
        <w:rPr>
          <w:rFonts w:cs="Times New Roman"/>
        </w:rPr>
        <w:t xml:space="preserve"> (Edward Elgar, 2015).</w:t>
      </w:r>
    </w:p>
  </w:footnote>
  <w:footnote w:id="83">
    <w:p w14:paraId="57D44FA4" w14:textId="643710F4"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Schmitt, ‘In Defense of Due Diligence in Cyberspace’ (n 25) 73 (noting, but not subscribing to this possible argument).</w:t>
      </w:r>
    </w:p>
  </w:footnote>
  <w:footnote w:id="84">
    <w:p w14:paraId="07001F86" w14:textId="3978D5AA"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ibid, 71-3.</w:t>
      </w:r>
    </w:p>
  </w:footnote>
  <w:footnote w:id="85">
    <w:p w14:paraId="2AC5FC19" w14:textId="66575C36"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w:t>
      </w:r>
      <w:r w:rsidRPr="006667FE">
        <w:rPr>
          <w:rFonts w:cs="Times New Roman"/>
          <w:i/>
          <w:sz w:val="20"/>
          <w:szCs w:val="20"/>
        </w:rPr>
        <w:t>Report of the Group of Governmental Experts on Developments in the Field of Information and Telecommunications in the Context of International Security</w:t>
      </w:r>
      <w:r w:rsidRPr="006667FE">
        <w:rPr>
          <w:rFonts w:cs="Times New Roman"/>
          <w:sz w:val="20"/>
          <w:szCs w:val="20"/>
        </w:rPr>
        <w:t>, UN Doc A/68/98 (General Assembly, 68</w:t>
      </w:r>
      <w:r w:rsidRPr="006667FE">
        <w:rPr>
          <w:rFonts w:cs="Times New Roman"/>
          <w:sz w:val="20"/>
          <w:szCs w:val="20"/>
          <w:vertAlign w:val="superscript"/>
        </w:rPr>
        <w:t>th</w:t>
      </w:r>
      <w:r w:rsidRPr="006667FE">
        <w:rPr>
          <w:rFonts w:cs="Times New Roman"/>
          <w:sz w:val="20"/>
          <w:szCs w:val="20"/>
        </w:rPr>
        <w:t xml:space="preserve"> sess, 24 June 2013) para 23.</w:t>
      </w:r>
    </w:p>
  </w:footnote>
  <w:footnote w:id="86">
    <w:p w14:paraId="08650934" w14:textId="577D9FED"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e.g., the United States’ </w:t>
      </w:r>
      <w:r w:rsidRPr="006667FE">
        <w:rPr>
          <w:rFonts w:cs="Times New Roman"/>
          <w:i/>
          <w:sz w:val="20"/>
          <w:szCs w:val="20"/>
        </w:rPr>
        <w:t>International Strategy for Cyberspace</w:t>
      </w:r>
      <w:r w:rsidRPr="006667FE">
        <w:rPr>
          <w:rFonts w:cs="Times New Roman"/>
          <w:sz w:val="20"/>
          <w:szCs w:val="20"/>
        </w:rPr>
        <w:t xml:space="preserve">: </w:t>
      </w:r>
      <w:r w:rsidRPr="006667FE">
        <w:rPr>
          <w:rFonts w:cs="Times New Roman"/>
          <w:i/>
          <w:sz w:val="20"/>
          <w:szCs w:val="20"/>
        </w:rPr>
        <w:t>Prosperity, Security, and Openness in a Networked World</w:t>
      </w:r>
      <w:r w:rsidRPr="006667FE">
        <w:rPr>
          <w:rFonts w:cs="Times New Roman"/>
          <w:sz w:val="20"/>
          <w:szCs w:val="20"/>
        </w:rPr>
        <w:t xml:space="preserve"> (May 2011) 10 &lt;https://www.whitehouse.gov/sites/default/files/rss_viewer/international_</w:t>
      </w:r>
      <w:r w:rsidR="00FE42A2">
        <w:rPr>
          <w:rFonts w:cs="Times New Roman"/>
          <w:sz w:val="20"/>
          <w:szCs w:val="20"/>
        </w:rPr>
        <w:t xml:space="preserve"> </w:t>
      </w:r>
      <w:r w:rsidRPr="006667FE">
        <w:rPr>
          <w:rFonts w:cs="Times New Roman"/>
          <w:sz w:val="20"/>
          <w:szCs w:val="20"/>
        </w:rPr>
        <w:t>strategy_for_cyberspace.pdf&gt; accessed 6 November 2011 (also using the word ‘should’ in relation to the duty’s application in cyberspace); SP Kanuck, ‘Sovereign Discourse on Cyber Conflict under International Law’ (2010) 88 Texas Law Review 1571, 1591, both in the main text and in note 88 (quoting the statements by India, China and Russia, taking similar positions).</w:t>
      </w:r>
    </w:p>
  </w:footnote>
  <w:footnote w:id="87">
    <w:p w14:paraId="271EB342" w14:textId="1AE26F71"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Schmitt, ‘In Defense of Due Diligence in Cyberspace’ (n 25) 73, emphasis added.</w:t>
      </w:r>
    </w:p>
  </w:footnote>
  <w:footnote w:id="88">
    <w:p w14:paraId="5FCFBAA0" w14:textId="0D9AF4E6" w:rsidR="00B016F3" w:rsidRPr="006667FE" w:rsidRDefault="00B016F3" w:rsidP="0017041B">
      <w:pPr>
        <w:autoSpaceDE w:val="0"/>
        <w:autoSpaceDN w:val="0"/>
        <w:adjustRightInd w:val="0"/>
        <w:rPr>
          <w:rFonts w:cs="Times New Roman"/>
          <w:bCs/>
          <w:sz w:val="20"/>
          <w:szCs w:val="20"/>
        </w:rPr>
      </w:pPr>
      <w:r w:rsidRPr="006667FE">
        <w:rPr>
          <w:rStyle w:val="FootnoteReference"/>
          <w:rFonts w:cs="Times New Roman"/>
          <w:sz w:val="20"/>
          <w:szCs w:val="20"/>
        </w:rPr>
        <w:footnoteRef/>
      </w:r>
      <w:r w:rsidRPr="006667FE">
        <w:rPr>
          <w:rFonts w:cs="Times New Roman"/>
          <w:sz w:val="20"/>
          <w:szCs w:val="20"/>
        </w:rPr>
        <w:t xml:space="preserve"> See, e.g., Heinegg (n 23) particularly at 135-8; Roscini (n 29) 40, 80-8; Green (n 34) particularly at 116-20; Schmitt (ibid); Antonopoulos (n 79) 65-70; SJ Shackelford, S Russell and A Kuehn, </w:t>
      </w:r>
      <w:r w:rsidRPr="006667FE">
        <w:rPr>
          <w:rFonts w:cs="Times New Roman"/>
          <w:bCs/>
          <w:sz w:val="20"/>
          <w:szCs w:val="20"/>
        </w:rPr>
        <w:t xml:space="preserve">‘Defining Cybersecurity Due Diligence under International Law: Lessons from the Private Sector’ </w:t>
      </w:r>
      <w:r w:rsidRPr="006667FE">
        <w:rPr>
          <w:rFonts w:cs="Times New Roman"/>
          <w:sz w:val="20"/>
          <w:szCs w:val="20"/>
        </w:rPr>
        <w:t xml:space="preserve">in </w:t>
      </w:r>
      <w:r w:rsidRPr="006667FE">
        <w:rPr>
          <w:rFonts w:cs="Times New Roman"/>
          <w:bCs/>
          <w:kern w:val="36"/>
          <w:sz w:val="20"/>
          <w:szCs w:val="20"/>
        </w:rPr>
        <w:t xml:space="preserve">M Taddeo (ed), </w:t>
      </w:r>
      <w:r w:rsidRPr="006667FE">
        <w:rPr>
          <w:rFonts w:cs="Times New Roman"/>
          <w:bCs/>
          <w:i/>
          <w:sz w:val="20"/>
          <w:szCs w:val="20"/>
        </w:rPr>
        <w:t>Ethics and Policies for Cyber Warfare</w:t>
      </w:r>
      <w:r w:rsidRPr="006667FE">
        <w:rPr>
          <w:rFonts w:cs="Times New Roman"/>
          <w:bCs/>
          <w:sz w:val="20"/>
          <w:szCs w:val="20"/>
        </w:rPr>
        <w:t xml:space="preserve"> (OUP, forthcoming 2016) (pre-publication SSRN version, 14 April 2015) &lt;http://papers.ssrn.</w:t>
      </w:r>
      <w:r w:rsidR="00FE42A2">
        <w:rPr>
          <w:rFonts w:cs="Times New Roman"/>
          <w:bCs/>
          <w:sz w:val="20"/>
          <w:szCs w:val="20"/>
        </w:rPr>
        <w:t xml:space="preserve"> </w:t>
      </w:r>
      <w:r w:rsidRPr="006667FE">
        <w:rPr>
          <w:rFonts w:cs="Times New Roman"/>
          <w:bCs/>
          <w:sz w:val="20"/>
          <w:szCs w:val="20"/>
        </w:rPr>
        <w:t>com/sol3/papers.cfm?abstract_id=2594323&gt; accessed 17 November 2015</w:t>
      </w:r>
      <w:r w:rsidRPr="006667FE">
        <w:rPr>
          <w:rFonts w:cs="Times New Roman"/>
          <w:sz w:val="20"/>
          <w:szCs w:val="20"/>
        </w:rPr>
        <w:t>.</w:t>
      </w:r>
    </w:p>
  </w:footnote>
  <w:footnote w:id="89">
    <w:p w14:paraId="3F376930" w14:textId="0F2AB354"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w:t>
      </w:r>
      <w:r w:rsidRPr="006667FE">
        <w:rPr>
          <w:rFonts w:cs="Times New Roman"/>
          <w:i/>
        </w:rPr>
        <w:t>Tallinn Manual</w:t>
      </w:r>
      <w:r w:rsidRPr="006667FE">
        <w:rPr>
          <w:rFonts w:cs="Times New Roman"/>
        </w:rPr>
        <w:t xml:space="preserve"> (n 22) rule 5, 26, emphasis added.</w:t>
      </w:r>
    </w:p>
  </w:footnote>
  <w:footnote w:id="90">
    <w:p w14:paraId="4BCB20D7"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the </w:t>
      </w:r>
      <w:r w:rsidRPr="006667FE">
        <w:rPr>
          <w:rFonts w:eastAsia="Times New Roman" w:cs="Times New Roman"/>
          <w:lang w:eastAsia="en-GB"/>
        </w:rPr>
        <w:t xml:space="preserve">NATO Cooperative Cyber Defence Centre of Excellence’s official statement regarding the Tallinn Manual project and ‘Tallinn 2.0’ &lt;https://ccdcoe.org/research.html&gt; accessed 5 November 2015. </w:t>
      </w:r>
    </w:p>
  </w:footnote>
  <w:footnote w:id="91">
    <w:p w14:paraId="4AB7C01B" w14:textId="5EC0AFE5"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Schmitt, ‘In Defense of Due Diligence in Cyberspace’ (n 25) 71.</w:t>
      </w:r>
    </w:p>
  </w:footnote>
  <w:footnote w:id="92">
    <w:p w14:paraId="0651AA26" w14:textId="461F7C85"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Graham (n 33) particularly at 92-6; C Lotrionte, ‘State Sovereignty and Self-Defense in Cyberspace: A Normative Framework for Balancing Legal Rights’ (2012) 26 </w:t>
      </w:r>
      <w:r w:rsidRPr="007C4D6B">
        <w:rPr>
          <w:rFonts w:cs="Times New Roman"/>
          <w:sz w:val="20"/>
          <w:szCs w:val="20"/>
        </w:rPr>
        <w:t>Emory International Law Review</w:t>
      </w:r>
      <w:r w:rsidRPr="006667FE">
        <w:rPr>
          <w:rFonts w:cs="Times New Roman"/>
          <w:sz w:val="20"/>
          <w:szCs w:val="20"/>
        </w:rPr>
        <w:t xml:space="preserve"> 825, 853-4.</w:t>
      </w:r>
    </w:p>
  </w:footnote>
  <w:footnote w:id="93">
    <w:p w14:paraId="05F91B39"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Roscini (n 29) 40.</w:t>
      </w:r>
    </w:p>
  </w:footnote>
  <w:footnote w:id="94">
    <w:p w14:paraId="4095FBA6" w14:textId="23EFC8C6"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C Ryngaert, ‘State Responsibility and Non-State Actors’ in M Noortmann, A Reinisch and C Ryngaert (eds), </w:t>
      </w:r>
      <w:r w:rsidRPr="006667FE">
        <w:rPr>
          <w:rFonts w:cs="Times New Roman"/>
          <w:i/>
        </w:rPr>
        <w:t>Non-State Actors in International Law</w:t>
      </w:r>
      <w:r w:rsidRPr="006667FE">
        <w:rPr>
          <w:rFonts w:cs="Times New Roman"/>
        </w:rPr>
        <w:t xml:space="preserve"> (Hart, 2015) 177 (in reference to the duty in general).</w:t>
      </w:r>
    </w:p>
  </w:footnote>
  <w:footnote w:id="95">
    <w:p w14:paraId="54E3F402"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Antonopoulos (n 79) 66, emphasis added.</w:t>
      </w:r>
    </w:p>
  </w:footnote>
  <w:footnote w:id="96">
    <w:p w14:paraId="4814CF5C" w14:textId="50EC855F" w:rsidR="00B016F3" w:rsidRPr="006667FE" w:rsidRDefault="00B016F3" w:rsidP="0017041B">
      <w:pPr>
        <w:pStyle w:val="FootnoteText"/>
        <w:rPr>
          <w:rFonts w:cs="Times New Roman"/>
        </w:rPr>
      </w:pPr>
      <w:r w:rsidRPr="006667FE">
        <w:rPr>
          <w:rStyle w:val="FootnoteReference"/>
          <w:rFonts w:cs="Times New Roman"/>
        </w:rPr>
        <w:footnoteRef/>
      </w:r>
      <w:r w:rsidR="007C4D6B">
        <w:rPr>
          <w:rFonts w:cs="Times New Roman"/>
        </w:rPr>
        <w:t xml:space="preserve"> Roscini (n 29) 80-</w:t>
      </w:r>
      <w:r w:rsidRPr="006667FE">
        <w:rPr>
          <w:rFonts w:cs="Times New Roman"/>
        </w:rPr>
        <w:t>8.</w:t>
      </w:r>
    </w:p>
  </w:footnote>
  <w:footnote w:id="97">
    <w:p w14:paraId="6163E612" w14:textId="1CC57E5B"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e.g., the obligations set out by the UN Security Council in Resolution 1373, UN Doc. S/RES/1373 (28 September 2001), immediately following the atrocities of 9/11 (requiring states to take preventive steps in relation to terrorist activity). For general discussion of the application of the duty to terrorist activity, see T Becker, </w:t>
      </w:r>
      <w:r w:rsidRPr="006667FE">
        <w:rPr>
          <w:rFonts w:cs="Times New Roman"/>
          <w:i/>
        </w:rPr>
        <w:t>Terrorism and the State: Rethinking the Rules of State Responsibility</w:t>
      </w:r>
      <w:r w:rsidRPr="006667FE">
        <w:rPr>
          <w:rFonts w:cs="Times New Roman"/>
        </w:rPr>
        <w:t xml:space="preserve"> (Hart, 2006), 138-46, 341-5; RP Barnidge, Jr., </w:t>
      </w:r>
      <w:r w:rsidRPr="006667FE">
        <w:rPr>
          <w:rFonts w:cs="Times New Roman"/>
          <w:i/>
        </w:rPr>
        <w:t>Non-State Actors and Terrorism: Applying the Law of State Responsibility and the Due Diligence Principle</w:t>
      </w:r>
      <w:r w:rsidRPr="006667FE">
        <w:rPr>
          <w:rFonts w:cs="Times New Roman"/>
        </w:rPr>
        <w:t xml:space="preserve"> (TMC Asser Press, 2008).</w:t>
      </w:r>
    </w:p>
  </w:footnote>
  <w:footnote w:id="98">
    <w:p w14:paraId="507E1EB9" w14:textId="69DFAB28"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Sklerov (n 61) 65-7; Lentz (n 59); B Saul and K Heath, ‘Cyber Terrorism’ in N Tsagourias and R Buchan (eds), </w:t>
      </w:r>
      <w:r w:rsidRPr="006667FE">
        <w:rPr>
          <w:rFonts w:cs="Times New Roman"/>
          <w:i/>
        </w:rPr>
        <w:t>Research Handbook on International Law and Cyberspace</w:t>
      </w:r>
      <w:r w:rsidRPr="006667FE">
        <w:rPr>
          <w:rFonts w:cs="Times New Roman"/>
        </w:rPr>
        <w:t xml:space="preserve"> (Edward Elgar, 2015) particularly at 148.</w:t>
      </w:r>
    </w:p>
  </w:footnote>
  <w:footnote w:id="99">
    <w:p w14:paraId="116D856A" w14:textId="0B9813C0" w:rsidR="00B016F3" w:rsidRPr="006667FE" w:rsidRDefault="00B016F3" w:rsidP="0017041B">
      <w:pPr>
        <w:autoSpaceDE w:val="0"/>
        <w:autoSpaceDN w:val="0"/>
        <w:adjustRightInd w:val="0"/>
        <w:rPr>
          <w:rFonts w:cs="Times New Roman"/>
          <w:bCs/>
          <w:i/>
          <w:sz w:val="20"/>
          <w:szCs w:val="20"/>
        </w:rPr>
      </w:pPr>
      <w:r w:rsidRPr="006667FE">
        <w:rPr>
          <w:rStyle w:val="FootnoteReference"/>
          <w:rFonts w:cs="Times New Roman"/>
          <w:sz w:val="20"/>
          <w:szCs w:val="20"/>
        </w:rPr>
        <w:footnoteRef/>
      </w:r>
      <w:r w:rsidRPr="006667FE">
        <w:rPr>
          <w:rFonts w:cs="Times New Roman"/>
          <w:sz w:val="20"/>
          <w:szCs w:val="20"/>
        </w:rPr>
        <w:t xml:space="preserve"> Although see Shackelford, Russell and Kuehn (n 88) (who at least touch on this notion</w:t>
      </w:r>
      <w:r w:rsidR="00250AFD">
        <w:rPr>
          <w:rFonts w:cs="Times New Roman"/>
          <w:sz w:val="20"/>
          <w:szCs w:val="20"/>
        </w:rPr>
        <w:t>, if somewhat implicitly</w:t>
      </w:r>
      <w:r w:rsidRPr="006667FE">
        <w:rPr>
          <w:rFonts w:cs="Times New Roman"/>
          <w:sz w:val="20"/>
          <w:szCs w:val="20"/>
        </w:rPr>
        <w:t>).</w:t>
      </w:r>
    </w:p>
  </w:footnote>
  <w:footnote w:id="100">
    <w:p w14:paraId="31A3DDB2" w14:textId="3A5D06B8"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G Handl, ‘State Liability for Accidental Transnational Environmental Damage by Private Persons’ (1980) 74 AJIL 525.</w:t>
      </w:r>
    </w:p>
  </w:footnote>
  <w:footnote w:id="101">
    <w:p w14:paraId="767CB341" w14:textId="3D854BBF"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R Andorno, ‘The Precautionary Principle: A New Legal Standard for a Technological Age’ (2004) 1 Journal of International Biotechnology Law 11 (focussing on the precautionary principle, albeit not as an element of the duty of due diligence </w:t>
      </w:r>
      <w:r w:rsidRPr="006667FE">
        <w:rPr>
          <w:rFonts w:cs="Times New Roman"/>
          <w:i/>
        </w:rPr>
        <w:t>per se</w:t>
      </w:r>
      <w:r w:rsidRPr="006667FE">
        <w:rPr>
          <w:rFonts w:cs="Times New Roman"/>
        </w:rPr>
        <w:t>).</w:t>
      </w:r>
    </w:p>
  </w:footnote>
  <w:footnote w:id="102">
    <w:p w14:paraId="28F5AA4B"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See, generally, O’Connell (n 28) (albeit not specifically linking these concepts to the duty of due diligence).</w:t>
      </w:r>
    </w:p>
  </w:footnote>
  <w:footnote w:id="103">
    <w:p w14:paraId="7392C573"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Heinegg (n 23) 135.</w:t>
      </w:r>
    </w:p>
  </w:footnote>
  <w:footnote w:id="104">
    <w:p w14:paraId="60ADD48C" w14:textId="3DB7AD10"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M Roscini, ‘</w:t>
      </w:r>
      <w:r w:rsidRPr="006667FE">
        <w:rPr>
          <w:rFonts w:cs="Times New Roman"/>
          <w:lang w:val="en"/>
        </w:rPr>
        <w:t>Evidentiary Issues in International Disputes Related to State Responsibility for Cyber Operations’</w:t>
      </w:r>
      <w:r w:rsidRPr="006667FE">
        <w:rPr>
          <w:rFonts w:cs="Times New Roman"/>
        </w:rPr>
        <w:t xml:space="preserve"> </w:t>
      </w:r>
      <w:r w:rsidRPr="006667FE">
        <w:rPr>
          <w:rFonts w:eastAsia="Times New Roman" w:cs="Times New Roman"/>
          <w:bCs/>
          <w:lang w:eastAsia="en-GB"/>
        </w:rPr>
        <w:t xml:space="preserve">in </w:t>
      </w:r>
      <w:r w:rsidRPr="006667FE">
        <w:rPr>
          <w:rFonts w:eastAsia="Times New Roman" w:cs="Times New Roman"/>
          <w:lang w:val="en" w:eastAsia="en-GB"/>
        </w:rPr>
        <w:t xml:space="preserve">JD Ohlin, K Govern </w:t>
      </w:r>
      <w:r w:rsidRPr="006667FE">
        <w:rPr>
          <w:rFonts w:eastAsia="Times New Roman" w:cs="Times New Roman"/>
          <w:bCs/>
          <w:lang w:val="en" w:eastAsia="en-GB"/>
        </w:rPr>
        <w:t xml:space="preserve">and C Finkelstein (eds), </w:t>
      </w:r>
      <w:r w:rsidRPr="006667FE">
        <w:rPr>
          <w:rFonts w:eastAsia="Times New Roman" w:cs="Times New Roman"/>
          <w:i/>
          <w:lang w:val="en" w:eastAsia="en-GB"/>
        </w:rPr>
        <w:t>Cyber War: Law and Ethics for Virtual Conflicts</w:t>
      </w:r>
      <w:r w:rsidRPr="006667FE">
        <w:rPr>
          <w:rFonts w:eastAsia="Times New Roman" w:cs="Times New Roman"/>
          <w:lang w:val="en" w:eastAsia="en-GB"/>
        </w:rPr>
        <w:t xml:space="preserve"> (OUP, 2015) </w:t>
      </w:r>
      <w:r w:rsidRPr="006667FE">
        <w:rPr>
          <w:rFonts w:cs="Times New Roman"/>
        </w:rPr>
        <w:t>225.</w:t>
      </w:r>
    </w:p>
  </w:footnote>
  <w:footnote w:id="105">
    <w:p w14:paraId="07BFDDCC" w14:textId="1DD7810F"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See Becker (n 97) 341-5 (in relation to attribution and the duty of due diligence in general, not just in the cyber context).</w:t>
      </w:r>
    </w:p>
  </w:footnote>
  <w:footnote w:id="106">
    <w:p w14:paraId="66AC93E7"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Rowe (n 53) 67.</w:t>
      </w:r>
    </w:p>
  </w:footnote>
  <w:footnote w:id="107">
    <w:p w14:paraId="05B2F8FC"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Sklerov (n 61) 71.</w:t>
      </w:r>
    </w:p>
  </w:footnote>
  <w:footnote w:id="108">
    <w:p w14:paraId="3E069CE3" w14:textId="5896FDB3" w:rsidR="00B016F3" w:rsidRPr="006667FE" w:rsidRDefault="00B016F3" w:rsidP="0017041B">
      <w:pPr>
        <w:autoSpaceDE w:val="0"/>
        <w:autoSpaceDN w:val="0"/>
        <w:adjustRightInd w:val="0"/>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w:t>
      </w:r>
      <w:r w:rsidRPr="006667FE">
        <w:rPr>
          <w:rFonts w:cs="Times New Roman"/>
          <w:bCs/>
          <w:iCs/>
          <w:sz w:val="20"/>
          <w:szCs w:val="20"/>
        </w:rPr>
        <w:t>E</w:t>
      </w:r>
      <w:r w:rsidRPr="006667FE">
        <w:rPr>
          <w:rFonts w:cs="Times New Roman"/>
          <w:iCs/>
          <w:sz w:val="20"/>
          <w:szCs w:val="20"/>
        </w:rPr>
        <w:t xml:space="preserve">M </w:t>
      </w:r>
      <w:r w:rsidRPr="006667FE">
        <w:rPr>
          <w:rFonts w:cs="Times New Roman"/>
          <w:bCs/>
          <w:iCs/>
          <w:sz w:val="20"/>
          <w:szCs w:val="20"/>
        </w:rPr>
        <w:t xml:space="preserve">Mudrinich, </w:t>
      </w:r>
      <w:r w:rsidRPr="006667FE">
        <w:rPr>
          <w:rFonts w:cs="Times New Roman"/>
          <w:sz w:val="20"/>
          <w:szCs w:val="20"/>
        </w:rPr>
        <w:t xml:space="preserve">‘Cyber </w:t>
      </w:r>
      <w:r w:rsidRPr="006667FE">
        <w:rPr>
          <w:rFonts w:cs="Times New Roman"/>
          <w:bCs/>
          <w:sz w:val="20"/>
          <w:szCs w:val="20"/>
        </w:rPr>
        <w:t xml:space="preserve">3.0: </w:t>
      </w:r>
      <w:r w:rsidRPr="006667FE">
        <w:rPr>
          <w:rFonts w:cs="Times New Roman"/>
          <w:sz w:val="20"/>
          <w:szCs w:val="20"/>
        </w:rPr>
        <w:t xml:space="preserve">The Department of </w:t>
      </w:r>
      <w:r w:rsidRPr="006667FE">
        <w:rPr>
          <w:rFonts w:cs="Times New Roman"/>
          <w:bCs/>
          <w:sz w:val="20"/>
          <w:szCs w:val="20"/>
        </w:rPr>
        <w:t xml:space="preserve">Defense </w:t>
      </w:r>
      <w:r w:rsidRPr="006667FE">
        <w:rPr>
          <w:rFonts w:cs="Times New Roman"/>
          <w:sz w:val="20"/>
          <w:szCs w:val="20"/>
        </w:rPr>
        <w:t xml:space="preserve">Strategy for Operating </w:t>
      </w:r>
      <w:r w:rsidRPr="006667FE">
        <w:rPr>
          <w:rFonts w:cs="Times New Roman"/>
          <w:bCs/>
          <w:sz w:val="20"/>
          <w:szCs w:val="20"/>
        </w:rPr>
        <w:t xml:space="preserve">in </w:t>
      </w:r>
      <w:r w:rsidRPr="006667FE">
        <w:rPr>
          <w:rFonts w:cs="Times New Roman"/>
          <w:sz w:val="20"/>
          <w:szCs w:val="20"/>
        </w:rPr>
        <w:t xml:space="preserve">Cyberspace </w:t>
      </w:r>
      <w:r w:rsidRPr="006667FE">
        <w:rPr>
          <w:rFonts w:cs="Times New Roman"/>
          <w:bCs/>
          <w:sz w:val="20"/>
          <w:szCs w:val="20"/>
        </w:rPr>
        <w:t xml:space="preserve">and </w:t>
      </w:r>
      <w:r w:rsidRPr="006667FE">
        <w:rPr>
          <w:rFonts w:cs="Times New Roman"/>
          <w:sz w:val="20"/>
          <w:szCs w:val="20"/>
        </w:rPr>
        <w:t>the Attribution Problem’ (2012) 68 Air Force Law Review 167, particularly at 198-200.</w:t>
      </w:r>
    </w:p>
  </w:footnote>
  <w:footnote w:id="109">
    <w:p w14:paraId="1EBD72EE" w14:textId="167D03FD" w:rsidR="00B016F3" w:rsidRPr="006667FE" w:rsidRDefault="00B016F3" w:rsidP="0017041B">
      <w:pPr>
        <w:autoSpaceDE w:val="0"/>
        <w:autoSpaceDN w:val="0"/>
        <w:adjustRightInd w:val="0"/>
        <w:rPr>
          <w:rFonts w:cs="Times New Roman"/>
          <w:bCs/>
          <w:i/>
          <w:sz w:val="20"/>
          <w:szCs w:val="20"/>
        </w:rPr>
      </w:pPr>
      <w:r w:rsidRPr="006667FE">
        <w:rPr>
          <w:rStyle w:val="FootnoteReference"/>
          <w:rFonts w:cs="Times New Roman"/>
          <w:sz w:val="20"/>
          <w:szCs w:val="20"/>
        </w:rPr>
        <w:footnoteRef/>
      </w:r>
      <w:r w:rsidRPr="006667FE">
        <w:rPr>
          <w:rFonts w:cs="Times New Roman"/>
          <w:sz w:val="20"/>
          <w:szCs w:val="20"/>
        </w:rPr>
        <w:t xml:space="preserve"> A Zimmermann, ‘</w:t>
      </w:r>
      <w:r w:rsidRPr="006667FE">
        <w:rPr>
          <w:rFonts w:cs="Times New Roman"/>
          <w:bCs/>
          <w:sz w:val="20"/>
          <w:szCs w:val="20"/>
        </w:rPr>
        <w:t xml:space="preserve">International Law and “Cyber Space”’, </w:t>
      </w:r>
      <w:r w:rsidRPr="006667FE">
        <w:rPr>
          <w:rFonts w:cs="Times New Roman"/>
          <w:bCs/>
          <w:i/>
          <w:sz w:val="20"/>
          <w:szCs w:val="20"/>
        </w:rPr>
        <w:t>ESIL Reflections</w:t>
      </w:r>
      <w:r w:rsidRPr="006667FE">
        <w:rPr>
          <w:rFonts w:cs="Times New Roman"/>
          <w:bCs/>
          <w:sz w:val="20"/>
          <w:szCs w:val="20"/>
        </w:rPr>
        <w:t xml:space="preserve"> (</w:t>
      </w:r>
      <w:r w:rsidRPr="006667FE">
        <w:rPr>
          <w:rFonts w:cs="Times New Roman"/>
          <w:sz w:val="20"/>
          <w:szCs w:val="20"/>
        </w:rPr>
        <w:t xml:space="preserve">Vol 3(1), 10 </w:t>
      </w:r>
      <w:r w:rsidRPr="006667FE">
        <w:rPr>
          <w:rFonts w:cs="Times New Roman"/>
          <w:bCs/>
          <w:sz w:val="20"/>
          <w:szCs w:val="20"/>
        </w:rPr>
        <w:t xml:space="preserve">January 2014) 4, &lt;http://www.esil-sedi.eu/node/481&gt; accessed 17 November 2015; </w:t>
      </w:r>
      <w:r w:rsidRPr="009D70A0">
        <w:rPr>
          <w:rFonts w:cs="Times New Roman"/>
          <w:sz w:val="20"/>
          <w:szCs w:val="20"/>
        </w:rPr>
        <w:t xml:space="preserve">Schmitt, </w:t>
      </w:r>
      <w:r w:rsidRPr="006667FE">
        <w:rPr>
          <w:rFonts w:cs="Times New Roman"/>
          <w:sz w:val="20"/>
          <w:szCs w:val="20"/>
        </w:rPr>
        <w:t>‘In Defense of Due Diligence in Cyberspace’</w:t>
      </w:r>
      <w:r w:rsidRPr="009D70A0">
        <w:rPr>
          <w:rFonts w:cs="Times New Roman"/>
          <w:sz w:val="20"/>
          <w:szCs w:val="20"/>
        </w:rPr>
        <w:t xml:space="preserve"> (n 25)</w:t>
      </w:r>
      <w:r w:rsidRPr="006667FE">
        <w:rPr>
          <w:rFonts w:cs="Times New Roman"/>
          <w:sz w:val="20"/>
          <w:szCs w:val="20"/>
        </w:rPr>
        <w:t xml:space="preserve"> 72-3; Shackelford, Russell and Kuehn (n 88) 10-12.</w:t>
      </w:r>
    </w:p>
  </w:footnote>
  <w:footnote w:id="110">
    <w:p w14:paraId="64EECC5B" w14:textId="59F610AA" w:rsidR="00B016F3" w:rsidRPr="00F80F39" w:rsidRDefault="00B016F3" w:rsidP="0017041B">
      <w:pPr>
        <w:pStyle w:val="FootnoteText"/>
        <w:rPr>
          <w:rFonts w:cs="Times New Roman"/>
        </w:rPr>
      </w:pPr>
      <w:r w:rsidRPr="006667FE">
        <w:rPr>
          <w:rStyle w:val="FootnoteReference"/>
          <w:rFonts w:cs="Times New Roman"/>
        </w:rPr>
        <w:footnoteRef/>
      </w:r>
      <w:r w:rsidRPr="00F80F39">
        <w:rPr>
          <w:rFonts w:cs="Times New Roman"/>
        </w:rPr>
        <w:t xml:space="preserve"> Heinegg (n 23) 137-8.</w:t>
      </w:r>
    </w:p>
  </w:footnote>
  <w:footnote w:id="111">
    <w:p w14:paraId="3822AC3B" w14:textId="75FDF5B4" w:rsidR="00B016F3" w:rsidRPr="00F80F39" w:rsidRDefault="00B016F3" w:rsidP="0017041B">
      <w:pPr>
        <w:pStyle w:val="FootnoteText"/>
        <w:rPr>
          <w:rFonts w:cs="Times New Roman"/>
        </w:rPr>
      </w:pPr>
      <w:r w:rsidRPr="006667FE">
        <w:rPr>
          <w:rStyle w:val="FootnoteReference"/>
          <w:rFonts w:cs="Times New Roman"/>
        </w:rPr>
        <w:footnoteRef/>
      </w:r>
      <w:r w:rsidRPr="00F80F39">
        <w:rPr>
          <w:rFonts w:cs="Times New Roman"/>
        </w:rPr>
        <w:t xml:space="preserve"> UN Charter, art 51.</w:t>
      </w:r>
    </w:p>
  </w:footnote>
  <w:footnote w:id="112">
    <w:p w14:paraId="25361FDD" w14:textId="57FDA6CA"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w:t>
      </w:r>
      <w:r w:rsidRPr="006667FE">
        <w:rPr>
          <w:rFonts w:cs="Times New Roman"/>
          <w:i/>
        </w:rPr>
        <w:t>Military and Paramilitary Activities in and against Nicaragua</w:t>
      </w:r>
      <w:r w:rsidRPr="006667FE">
        <w:rPr>
          <w:rFonts w:cs="Times New Roman"/>
        </w:rPr>
        <w:t xml:space="preserve"> (</w:t>
      </w:r>
      <w:r w:rsidRPr="006667FE">
        <w:rPr>
          <w:rFonts w:cs="Times New Roman"/>
          <w:i/>
        </w:rPr>
        <w:t>Nicaragua v</w:t>
      </w:r>
      <w:r w:rsidRPr="006667FE">
        <w:rPr>
          <w:rFonts w:cs="Times New Roman"/>
        </w:rPr>
        <w:t xml:space="preserve"> </w:t>
      </w:r>
      <w:r w:rsidRPr="006667FE">
        <w:rPr>
          <w:rFonts w:cs="Times New Roman"/>
          <w:i/>
        </w:rPr>
        <w:t>United States of America</w:t>
      </w:r>
      <w:r w:rsidRPr="006667FE">
        <w:rPr>
          <w:rFonts w:cs="Times New Roman"/>
        </w:rPr>
        <w:t xml:space="preserve">), Merits, ICJ Reports 14 (27 June 1986) para 191; </w:t>
      </w:r>
      <w:r w:rsidRPr="006667FE">
        <w:rPr>
          <w:rFonts w:cs="Times New Roman"/>
          <w:i/>
        </w:rPr>
        <w:t xml:space="preserve">Oil Platforms </w:t>
      </w:r>
      <w:r w:rsidRPr="006667FE">
        <w:rPr>
          <w:rFonts w:cs="Times New Roman"/>
        </w:rPr>
        <w:t>(</w:t>
      </w:r>
      <w:r w:rsidRPr="006667FE">
        <w:rPr>
          <w:rFonts w:cs="Times New Roman"/>
          <w:i/>
        </w:rPr>
        <w:t>Islamic Republic of Iran v. United States of America</w:t>
      </w:r>
      <w:r w:rsidRPr="006667FE">
        <w:rPr>
          <w:rFonts w:cs="Times New Roman"/>
        </w:rPr>
        <w:t>) Merits, ICJ Reports 161 (6 November 2003) para 51.</w:t>
      </w:r>
    </w:p>
  </w:footnote>
  <w:footnote w:id="113">
    <w:p w14:paraId="28711F41" w14:textId="18679C4A"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Green (n 34) 110-12.</w:t>
      </w:r>
    </w:p>
  </w:footnote>
  <w:footnote w:id="114">
    <w:p w14:paraId="16C8BC69" w14:textId="01E3BA1D"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K Ziolkowski, ‘</w:t>
      </w:r>
      <w:r w:rsidRPr="006667FE">
        <w:rPr>
          <w:rFonts w:cs="Times New Roman"/>
          <w:i/>
          <w:sz w:val="20"/>
          <w:szCs w:val="20"/>
        </w:rPr>
        <w:t>Ius ad bellum</w:t>
      </w:r>
      <w:r w:rsidRPr="006667FE">
        <w:rPr>
          <w:rFonts w:cs="Times New Roman"/>
          <w:sz w:val="20"/>
          <w:szCs w:val="20"/>
        </w:rPr>
        <w:t xml:space="preserve"> in Cyberspace – Some Thoughts on the “Schmitt Criteria” for Use of Force’ in </w:t>
      </w:r>
      <w:r w:rsidRPr="006667FE">
        <w:rPr>
          <w:rFonts w:cs="Times New Roman"/>
          <w:sz w:val="20"/>
          <w:szCs w:val="20"/>
          <w:shd w:val="clear" w:color="auto" w:fill="FFFFFF"/>
        </w:rPr>
        <w:t>C Czosseck, R Ottis and</w:t>
      </w:r>
      <w:r w:rsidRPr="006667FE">
        <w:rPr>
          <w:rFonts w:cs="Times New Roman"/>
          <w:sz w:val="20"/>
          <w:szCs w:val="20"/>
        </w:rPr>
        <w:t xml:space="preserve"> K Ziolkowski (eds), </w:t>
      </w:r>
      <w:r w:rsidRPr="006667FE">
        <w:rPr>
          <w:rFonts w:cs="Times New Roman"/>
          <w:i/>
          <w:sz w:val="20"/>
          <w:szCs w:val="20"/>
        </w:rPr>
        <w:t>4th International Conference on Cyber Conflict</w:t>
      </w:r>
      <w:r w:rsidRPr="006667FE">
        <w:rPr>
          <w:rFonts w:cs="Times New Roman"/>
          <w:sz w:val="20"/>
          <w:szCs w:val="20"/>
        </w:rPr>
        <w:t xml:space="preserve"> (NATO CCD COE Publications, 2012) 306-08. </w:t>
      </w:r>
      <w:r w:rsidRPr="006667FE">
        <w:rPr>
          <w:rFonts w:cs="Times New Roman"/>
          <w:i/>
          <w:sz w:val="20"/>
          <w:szCs w:val="20"/>
        </w:rPr>
        <w:t>Contra</w:t>
      </w:r>
      <w:r w:rsidRPr="006667FE">
        <w:rPr>
          <w:rFonts w:cs="Times New Roman"/>
          <w:sz w:val="20"/>
          <w:szCs w:val="20"/>
        </w:rPr>
        <w:t xml:space="preserve"> Tallinn Manual (n 22) 29 (arguing that a breach of the duty may give rise to the right to respond in self-defence).</w:t>
      </w:r>
    </w:p>
  </w:footnote>
  <w:footnote w:id="115">
    <w:p w14:paraId="2DF0B9AC" w14:textId="7777777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Tsagourias (n 51) 242.</w:t>
      </w:r>
    </w:p>
  </w:footnote>
  <w:footnote w:id="116">
    <w:p w14:paraId="070FD7CD" w14:textId="52A3BBF6" w:rsidR="00B016F3" w:rsidRPr="006667FE" w:rsidRDefault="00B016F3" w:rsidP="0017041B">
      <w:pPr>
        <w:pStyle w:val="FootnoteText"/>
        <w:rPr>
          <w:rFonts w:cs="Times New Roman"/>
        </w:rPr>
      </w:pPr>
      <w:r w:rsidRPr="006667FE">
        <w:rPr>
          <w:rStyle w:val="FootnoteReference"/>
          <w:rFonts w:cs="Times New Roman"/>
        </w:rPr>
        <w:footnoteRef/>
      </w:r>
      <w:r w:rsidR="009D70A0">
        <w:rPr>
          <w:rFonts w:cs="Times New Roman"/>
        </w:rPr>
        <w:t xml:space="preserve"> See, e.g., Graham (n 33) 90-</w:t>
      </w:r>
      <w:r w:rsidRPr="006667FE">
        <w:rPr>
          <w:rFonts w:cs="Times New Roman"/>
        </w:rPr>
        <w:t xml:space="preserve">2; Waxman (n 19) 111; </w:t>
      </w:r>
      <w:r w:rsidRPr="006667FE">
        <w:rPr>
          <w:rFonts w:cs="Times New Roman"/>
          <w:i/>
        </w:rPr>
        <w:t>Tallinn Manual</w:t>
      </w:r>
      <w:r w:rsidRPr="006667FE">
        <w:rPr>
          <w:rFonts w:cs="Times New Roman"/>
        </w:rPr>
        <w:t xml:space="preserve"> (n 22) 54-61.</w:t>
      </w:r>
    </w:p>
  </w:footnote>
  <w:footnote w:id="117">
    <w:p w14:paraId="05D67E8F" w14:textId="602C1E33"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Roscini (n 104) 225.  See</w:t>
      </w:r>
      <w:r w:rsidR="00F80F39">
        <w:rPr>
          <w:rFonts w:cs="Times New Roman"/>
        </w:rPr>
        <w:t xml:space="preserve"> also</w:t>
      </w:r>
      <w:r w:rsidRPr="006667FE">
        <w:rPr>
          <w:rFonts w:cs="Times New Roman"/>
        </w:rPr>
        <w:t>, in relation to countermeasures in the cyber context more g</w:t>
      </w:r>
      <w:r w:rsidR="009D70A0">
        <w:rPr>
          <w:rFonts w:cs="Times New Roman"/>
        </w:rPr>
        <w:t>enerally, O’Connell (n 28) 204-</w:t>
      </w:r>
      <w:r w:rsidRPr="006667FE">
        <w:rPr>
          <w:rFonts w:cs="Times New Roman"/>
        </w:rPr>
        <w:t>5.</w:t>
      </w:r>
    </w:p>
  </w:footnote>
  <w:footnote w:id="118">
    <w:p w14:paraId="10C1F870" w14:textId="714D46C7"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P Birnie, A Boyle and C Redgwell, </w:t>
      </w:r>
      <w:r w:rsidRPr="006667FE">
        <w:rPr>
          <w:rFonts w:cs="Times New Roman"/>
          <w:i/>
        </w:rPr>
        <w:t>International Law and the Environment</w:t>
      </w:r>
      <w:r w:rsidRPr="006667FE">
        <w:rPr>
          <w:rFonts w:cs="Times New Roman"/>
        </w:rPr>
        <w:t xml:space="preserve"> (3rd edn, OUP, 2009) 149.</w:t>
      </w:r>
    </w:p>
  </w:footnote>
  <w:footnote w:id="119">
    <w:p w14:paraId="7C6494E9" w14:textId="77E71E02"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ibid 149-50.</w:t>
      </w:r>
    </w:p>
  </w:footnote>
  <w:footnote w:id="120">
    <w:p w14:paraId="39B19FA3" w14:textId="7AF4E709"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Zimmermann (n 109) 4</w:t>
      </w:r>
      <w:r w:rsidR="00B148AD">
        <w:rPr>
          <w:rFonts w:cs="Times New Roman"/>
        </w:rPr>
        <w:t>, emphasis added</w:t>
      </w:r>
      <w:r w:rsidRPr="006667FE">
        <w:rPr>
          <w:rFonts w:cs="Times New Roman"/>
        </w:rPr>
        <w:t>.</w:t>
      </w:r>
    </w:p>
  </w:footnote>
  <w:footnote w:id="121">
    <w:p w14:paraId="6E4606C1" w14:textId="77777777" w:rsidR="00B016F3" w:rsidRPr="006667FE" w:rsidRDefault="00B016F3" w:rsidP="0017041B">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Sklerov (n 61) 62.</w:t>
      </w:r>
    </w:p>
  </w:footnote>
  <w:footnote w:id="122">
    <w:p w14:paraId="0F7E1274" w14:textId="5FA15E1B" w:rsidR="00B016F3" w:rsidRPr="006667FE" w:rsidRDefault="00B016F3" w:rsidP="0095432B">
      <w:pPr>
        <w:rPr>
          <w:rFonts w:cs="Times New Roman"/>
          <w:i/>
          <w:sz w:val="20"/>
          <w:szCs w:val="20"/>
        </w:rPr>
      </w:pPr>
      <w:r w:rsidRPr="006667FE">
        <w:rPr>
          <w:rStyle w:val="FootnoteReference"/>
          <w:rFonts w:cs="Times New Roman"/>
          <w:sz w:val="20"/>
          <w:szCs w:val="20"/>
        </w:rPr>
        <w:footnoteRef/>
      </w:r>
      <w:r w:rsidRPr="006667FE">
        <w:rPr>
          <w:rFonts w:cs="Times New Roman"/>
          <w:sz w:val="20"/>
          <w:szCs w:val="20"/>
        </w:rPr>
        <w:t xml:space="preserve"> Having said this, as long ago as 2000, the UN General Assembly ‘not[ed] the value of’ various measures that could be taken by states in relation to cyberspace, many of which look rather like the sorts of measures one would expect to be required under a duty of due diligence (albeit that the General Assembly did not explicitly link these to the duty): </w:t>
      </w:r>
      <w:r w:rsidRPr="006667FE">
        <w:rPr>
          <w:rFonts w:cs="Times New Roman"/>
          <w:i/>
          <w:sz w:val="20"/>
          <w:szCs w:val="20"/>
        </w:rPr>
        <w:t>Combating the criminal misuse of information technologies</w:t>
      </w:r>
      <w:r w:rsidRPr="006667FE">
        <w:rPr>
          <w:rFonts w:cs="Times New Roman"/>
          <w:sz w:val="20"/>
          <w:szCs w:val="20"/>
        </w:rPr>
        <w:t>, GA Res. 55/63 (4 December 2000).</w:t>
      </w:r>
    </w:p>
  </w:footnote>
  <w:footnote w:id="123">
    <w:p w14:paraId="729694D3" w14:textId="77777777" w:rsidR="00B016F3" w:rsidRPr="006667FE" w:rsidRDefault="00B016F3" w:rsidP="0017041B">
      <w:pPr>
        <w:autoSpaceDE w:val="0"/>
        <w:autoSpaceDN w:val="0"/>
        <w:adjustRightInd w:val="0"/>
        <w:rPr>
          <w:rFonts w:cs="Times New Roman"/>
          <w:bCs/>
          <w:i/>
          <w:sz w:val="20"/>
          <w:szCs w:val="20"/>
        </w:rPr>
      </w:pPr>
      <w:r w:rsidRPr="006667FE">
        <w:rPr>
          <w:rStyle w:val="FootnoteReference"/>
          <w:rFonts w:cs="Times New Roman"/>
          <w:sz w:val="20"/>
          <w:szCs w:val="20"/>
        </w:rPr>
        <w:footnoteRef/>
      </w:r>
      <w:r w:rsidRPr="006667FE">
        <w:rPr>
          <w:rFonts w:cs="Times New Roman"/>
          <w:sz w:val="20"/>
          <w:szCs w:val="20"/>
        </w:rPr>
        <w:t xml:space="preserve"> See, e.g., Sklerov (n 61) 62; Shackelford, Russell and Kuehn (n 88) 7.</w:t>
      </w:r>
    </w:p>
  </w:footnote>
  <w:footnote w:id="124">
    <w:p w14:paraId="15D854B2" w14:textId="30C364C9" w:rsidR="00B016F3" w:rsidRPr="006667FE" w:rsidRDefault="00B016F3" w:rsidP="0017041B">
      <w:pPr>
        <w:pStyle w:val="FootnoteText"/>
        <w:rPr>
          <w:rFonts w:cs="Times New Roman"/>
        </w:rPr>
      </w:pPr>
      <w:r w:rsidRPr="006667FE">
        <w:rPr>
          <w:rStyle w:val="FootnoteReference"/>
          <w:rFonts w:cs="Times New Roman"/>
        </w:rPr>
        <w:footnoteRef/>
      </w:r>
      <w:r w:rsidRPr="006667FE">
        <w:rPr>
          <w:rFonts w:cs="Times New Roman"/>
        </w:rPr>
        <w:t xml:space="preserve"> Schmitt, ‘In Defense of Due Diligence in Cyberspace’ (n 25) 80.</w:t>
      </w:r>
    </w:p>
  </w:footnote>
  <w:footnote w:id="125">
    <w:p w14:paraId="2735F5D3" w14:textId="77777777" w:rsidR="00B016F3" w:rsidRPr="006667FE" w:rsidRDefault="00B016F3" w:rsidP="0017445E">
      <w:pPr>
        <w:pStyle w:val="FootnoteText"/>
        <w:jc w:val="both"/>
        <w:rPr>
          <w:rFonts w:cs="Times New Roman"/>
        </w:rPr>
      </w:pPr>
      <w:r w:rsidRPr="006667FE">
        <w:rPr>
          <w:rStyle w:val="FootnoteReference"/>
          <w:rFonts w:cs="Times New Roman"/>
        </w:rPr>
        <w:footnoteRef/>
      </w:r>
      <w:r w:rsidRPr="006667FE">
        <w:rPr>
          <w:rFonts w:cs="Times New Roman"/>
        </w:rPr>
        <w:t xml:space="preserve"> Shackelford, Russell and Kuehn (n 88) 3 and 14 (quoted at 14).</w:t>
      </w:r>
    </w:p>
  </w:footnote>
  <w:footnote w:id="126">
    <w:p w14:paraId="5C246C3A" w14:textId="05FD3B88" w:rsidR="00B016F3" w:rsidRPr="006667FE" w:rsidRDefault="00B016F3" w:rsidP="00BD05A3">
      <w:pPr>
        <w:rPr>
          <w:rFonts w:cs="Times New Roman"/>
          <w:sz w:val="20"/>
          <w:szCs w:val="20"/>
        </w:rPr>
      </w:pPr>
      <w:r w:rsidRPr="006667FE">
        <w:rPr>
          <w:rStyle w:val="FootnoteReference"/>
          <w:rFonts w:cs="Times New Roman"/>
          <w:sz w:val="20"/>
          <w:szCs w:val="20"/>
        </w:rPr>
        <w:footnoteRef/>
      </w:r>
      <w:r w:rsidRPr="006667FE">
        <w:rPr>
          <w:rFonts w:cs="Times New Roman"/>
          <w:sz w:val="20"/>
          <w:szCs w:val="20"/>
        </w:rPr>
        <w:t xml:space="preserve"> ME O’Connell and L Arimatsu, ‘Cyber Security and International Law’, </w:t>
      </w:r>
      <w:r w:rsidRPr="006667FE">
        <w:rPr>
          <w:rFonts w:cs="Times New Roman"/>
          <w:i/>
          <w:sz w:val="20"/>
          <w:szCs w:val="20"/>
        </w:rPr>
        <w:t>Chatham House</w:t>
      </w:r>
      <w:r w:rsidRPr="006667FE">
        <w:rPr>
          <w:rFonts w:cs="Times New Roman"/>
          <w:sz w:val="20"/>
          <w:szCs w:val="20"/>
        </w:rPr>
        <w:t xml:space="preserve"> (Meeting Summary (E Wilmshurst, chair), 29 May 2012) 11 &lt;http://www.chathamhouse.org/sites/default/files/public/Research/</w:t>
      </w:r>
      <w:r w:rsidR="009D70A0">
        <w:rPr>
          <w:rFonts w:cs="Times New Roman"/>
          <w:sz w:val="20"/>
          <w:szCs w:val="20"/>
        </w:rPr>
        <w:t xml:space="preserve"> </w:t>
      </w:r>
      <w:r w:rsidRPr="006667FE">
        <w:rPr>
          <w:rFonts w:cs="Times New Roman"/>
          <w:sz w:val="20"/>
          <w:szCs w:val="20"/>
        </w:rPr>
        <w:t>International%20Law/290512summary.pdf&gt; accessed 23 October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688"/>
    <w:multiLevelType w:val="hybridMultilevel"/>
    <w:tmpl w:val="CFAEE740"/>
    <w:lvl w:ilvl="0" w:tplc="CFBC0E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A1478"/>
    <w:multiLevelType w:val="hybridMultilevel"/>
    <w:tmpl w:val="D698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14C04"/>
    <w:multiLevelType w:val="hybridMultilevel"/>
    <w:tmpl w:val="1A4C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F3703"/>
    <w:multiLevelType w:val="hybridMultilevel"/>
    <w:tmpl w:val="5542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92964"/>
    <w:multiLevelType w:val="multilevel"/>
    <w:tmpl w:val="3B4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25F08"/>
    <w:multiLevelType w:val="hybridMultilevel"/>
    <w:tmpl w:val="08B460D4"/>
    <w:lvl w:ilvl="0" w:tplc="CFEE7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D163D8"/>
    <w:multiLevelType w:val="hybridMultilevel"/>
    <w:tmpl w:val="EE48E4E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D00261"/>
    <w:multiLevelType w:val="hybridMultilevel"/>
    <w:tmpl w:val="E8102E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37DA6"/>
    <w:multiLevelType w:val="hybridMultilevel"/>
    <w:tmpl w:val="EE48E4E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F02E2"/>
    <w:multiLevelType w:val="multilevel"/>
    <w:tmpl w:val="B4BE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7"/>
  </w:num>
  <w:num w:numId="5">
    <w:abstractNumId w:val="9"/>
  </w:num>
  <w:num w:numId="6">
    <w:abstractNumId w:val="4"/>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6"/>
    <w:rsid w:val="00000611"/>
    <w:rsid w:val="00000690"/>
    <w:rsid w:val="00000E21"/>
    <w:rsid w:val="000012AE"/>
    <w:rsid w:val="000020F9"/>
    <w:rsid w:val="00002159"/>
    <w:rsid w:val="00002A40"/>
    <w:rsid w:val="00003A18"/>
    <w:rsid w:val="00003BD3"/>
    <w:rsid w:val="0000458D"/>
    <w:rsid w:val="00005717"/>
    <w:rsid w:val="000063FD"/>
    <w:rsid w:val="00006AD5"/>
    <w:rsid w:val="00006DF9"/>
    <w:rsid w:val="00006E7E"/>
    <w:rsid w:val="00010713"/>
    <w:rsid w:val="000119F6"/>
    <w:rsid w:val="00011D62"/>
    <w:rsid w:val="000122CE"/>
    <w:rsid w:val="0001335A"/>
    <w:rsid w:val="00013411"/>
    <w:rsid w:val="0001431C"/>
    <w:rsid w:val="00014E7E"/>
    <w:rsid w:val="00015161"/>
    <w:rsid w:val="000157D7"/>
    <w:rsid w:val="00015956"/>
    <w:rsid w:val="00015BBC"/>
    <w:rsid w:val="00015F34"/>
    <w:rsid w:val="00015F3C"/>
    <w:rsid w:val="00015F72"/>
    <w:rsid w:val="00016888"/>
    <w:rsid w:val="00016E30"/>
    <w:rsid w:val="00017EFA"/>
    <w:rsid w:val="000202B8"/>
    <w:rsid w:val="00020760"/>
    <w:rsid w:val="00022242"/>
    <w:rsid w:val="0002233A"/>
    <w:rsid w:val="00022BF9"/>
    <w:rsid w:val="00022C09"/>
    <w:rsid w:val="000232DB"/>
    <w:rsid w:val="0002369E"/>
    <w:rsid w:val="0002395F"/>
    <w:rsid w:val="000240E3"/>
    <w:rsid w:val="00025054"/>
    <w:rsid w:val="00025407"/>
    <w:rsid w:val="000257D3"/>
    <w:rsid w:val="000258C7"/>
    <w:rsid w:val="00025AEB"/>
    <w:rsid w:val="00026291"/>
    <w:rsid w:val="00026FC8"/>
    <w:rsid w:val="00027091"/>
    <w:rsid w:val="000274AD"/>
    <w:rsid w:val="00027BCD"/>
    <w:rsid w:val="00030878"/>
    <w:rsid w:val="00030ECC"/>
    <w:rsid w:val="00031659"/>
    <w:rsid w:val="000326AB"/>
    <w:rsid w:val="00032C90"/>
    <w:rsid w:val="00033841"/>
    <w:rsid w:val="00033E26"/>
    <w:rsid w:val="0003479E"/>
    <w:rsid w:val="00034FEE"/>
    <w:rsid w:val="00035064"/>
    <w:rsid w:val="0003592E"/>
    <w:rsid w:val="00035984"/>
    <w:rsid w:val="00037A4C"/>
    <w:rsid w:val="000401FE"/>
    <w:rsid w:val="000405FE"/>
    <w:rsid w:val="00041341"/>
    <w:rsid w:val="0004192D"/>
    <w:rsid w:val="00041C11"/>
    <w:rsid w:val="00041DFF"/>
    <w:rsid w:val="00042110"/>
    <w:rsid w:val="0004296D"/>
    <w:rsid w:val="0004384F"/>
    <w:rsid w:val="00043A01"/>
    <w:rsid w:val="00043A97"/>
    <w:rsid w:val="00043E01"/>
    <w:rsid w:val="00044182"/>
    <w:rsid w:val="00044840"/>
    <w:rsid w:val="00044EBF"/>
    <w:rsid w:val="00044EF5"/>
    <w:rsid w:val="00045012"/>
    <w:rsid w:val="000454A2"/>
    <w:rsid w:val="000461F3"/>
    <w:rsid w:val="000466C1"/>
    <w:rsid w:val="00050753"/>
    <w:rsid w:val="00051021"/>
    <w:rsid w:val="000516E4"/>
    <w:rsid w:val="00051B72"/>
    <w:rsid w:val="000521AE"/>
    <w:rsid w:val="000524A7"/>
    <w:rsid w:val="00053111"/>
    <w:rsid w:val="00053156"/>
    <w:rsid w:val="0005343F"/>
    <w:rsid w:val="000536E0"/>
    <w:rsid w:val="00053D6F"/>
    <w:rsid w:val="00054ED7"/>
    <w:rsid w:val="00055AE5"/>
    <w:rsid w:val="000561A2"/>
    <w:rsid w:val="00057486"/>
    <w:rsid w:val="00057667"/>
    <w:rsid w:val="000578C2"/>
    <w:rsid w:val="00060401"/>
    <w:rsid w:val="00060C09"/>
    <w:rsid w:val="00060D39"/>
    <w:rsid w:val="00061BF4"/>
    <w:rsid w:val="0006200F"/>
    <w:rsid w:val="000623CD"/>
    <w:rsid w:val="0006292D"/>
    <w:rsid w:val="00063112"/>
    <w:rsid w:val="000635D1"/>
    <w:rsid w:val="00063AF4"/>
    <w:rsid w:val="00064B1C"/>
    <w:rsid w:val="00064D16"/>
    <w:rsid w:val="000651C3"/>
    <w:rsid w:val="000658E3"/>
    <w:rsid w:val="000659C2"/>
    <w:rsid w:val="000660D4"/>
    <w:rsid w:val="00066EEC"/>
    <w:rsid w:val="000678EF"/>
    <w:rsid w:val="000705FF"/>
    <w:rsid w:val="00070989"/>
    <w:rsid w:val="00070C4B"/>
    <w:rsid w:val="00072326"/>
    <w:rsid w:val="00072911"/>
    <w:rsid w:val="0007472A"/>
    <w:rsid w:val="00074B5D"/>
    <w:rsid w:val="00074ECA"/>
    <w:rsid w:val="0007566C"/>
    <w:rsid w:val="00075BAB"/>
    <w:rsid w:val="00075E9C"/>
    <w:rsid w:val="00076B36"/>
    <w:rsid w:val="00076E83"/>
    <w:rsid w:val="00077032"/>
    <w:rsid w:val="00077465"/>
    <w:rsid w:val="000779BE"/>
    <w:rsid w:val="000779DB"/>
    <w:rsid w:val="00077B73"/>
    <w:rsid w:val="00077D7C"/>
    <w:rsid w:val="000801A0"/>
    <w:rsid w:val="0008054B"/>
    <w:rsid w:val="00080561"/>
    <w:rsid w:val="0008069F"/>
    <w:rsid w:val="00080C41"/>
    <w:rsid w:val="00081085"/>
    <w:rsid w:val="00081262"/>
    <w:rsid w:val="000813EF"/>
    <w:rsid w:val="000816A1"/>
    <w:rsid w:val="0008174E"/>
    <w:rsid w:val="00081A61"/>
    <w:rsid w:val="000824C2"/>
    <w:rsid w:val="00082975"/>
    <w:rsid w:val="0008302D"/>
    <w:rsid w:val="00083164"/>
    <w:rsid w:val="00083680"/>
    <w:rsid w:val="0008535F"/>
    <w:rsid w:val="00085876"/>
    <w:rsid w:val="00085DAB"/>
    <w:rsid w:val="00086943"/>
    <w:rsid w:val="0008735B"/>
    <w:rsid w:val="0008736C"/>
    <w:rsid w:val="00087456"/>
    <w:rsid w:val="0009015E"/>
    <w:rsid w:val="000913D8"/>
    <w:rsid w:val="00091866"/>
    <w:rsid w:val="0009288F"/>
    <w:rsid w:val="00093567"/>
    <w:rsid w:val="00093C50"/>
    <w:rsid w:val="00094D47"/>
    <w:rsid w:val="00094E34"/>
    <w:rsid w:val="00095C1C"/>
    <w:rsid w:val="000962C6"/>
    <w:rsid w:val="0009690A"/>
    <w:rsid w:val="000974D4"/>
    <w:rsid w:val="00097F5B"/>
    <w:rsid w:val="000A01EB"/>
    <w:rsid w:val="000A07C2"/>
    <w:rsid w:val="000A0D7D"/>
    <w:rsid w:val="000A1445"/>
    <w:rsid w:val="000A15FB"/>
    <w:rsid w:val="000A1E0F"/>
    <w:rsid w:val="000A2350"/>
    <w:rsid w:val="000A259A"/>
    <w:rsid w:val="000A324F"/>
    <w:rsid w:val="000A3A75"/>
    <w:rsid w:val="000A4EE4"/>
    <w:rsid w:val="000A62D5"/>
    <w:rsid w:val="000A6DF4"/>
    <w:rsid w:val="000A701F"/>
    <w:rsid w:val="000A729D"/>
    <w:rsid w:val="000A7428"/>
    <w:rsid w:val="000A7432"/>
    <w:rsid w:val="000B02DD"/>
    <w:rsid w:val="000B040A"/>
    <w:rsid w:val="000B07EA"/>
    <w:rsid w:val="000B0F0C"/>
    <w:rsid w:val="000B1283"/>
    <w:rsid w:val="000B18E0"/>
    <w:rsid w:val="000B2878"/>
    <w:rsid w:val="000B2C73"/>
    <w:rsid w:val="000B3497"/>
    <w:rsid w:val="000B3BA2"/>
    <w:rsid w:val="000B3DF4"/>
    <w:rsid w:val="000B463A"/>
    <w:rsid w:val="000B4661"/>
    <w:rsid w:val="000B4842"/>
    <w:rsid w:val="000B5C4E"/>
    <w:rsid w:val="000B64F5"/>
    <w:rsid w:val="000B6A2F"/>
    <w:rsid w:val="000B73AF"/>
    <w:rsid w:val="000B79AA"/>
    <w:rsid w:val="000B7A5F"/>
    <w:rsid w:val="000B7D76"/>
    <w:rsid w:val="000C0270"/>
    <w:rsid w:val="000C0571"/>
    <w:rsid w:val="000C07DA"/>
    <w:rsid w:val="000C0B25"/>
    <w:rsid w:val="000C0B30"/>
    <w:rsid w:val="000C0EF7"/>
    <w:rsid w:val="000C1241"/>
    <w:rsid w:val="000C38C7"/>
    <w:rsid w:val="000C4728"/>
    <w:rsid w:val="000C48EF"/>
    <w:rsid w:val="000C6112"/>
    <w:rsid w:val="000C620A"/>
    <w:rsid w:val="000C682F"/>
    <w:rsid w:val="000C6C9F"/>
    <w:rsid w:val="000C7529"/>
    <w:rsid w:val="000C79AA"/>
    <w:rsid w:val="000D001F"/>
    <w:rsid w:val="000D06C0"/>
    <w:rsid w:val="000D0E1F"/>
    <w:rsid w:val="000D1858"/>
    <w:rsid w:val="000D1C35"/>
    <w:rsid w:val="000D1CFA"/>
    <w:rsid w:val="000D3240"/>
    <w:rsid w:val="000D3C96"/>
    <w:rsid w:val="000D3CCC"/>
    <w:rsid w:val="000D3F6B"/>
    <w:rsid w:val="000D4A67"/>
    <w:rsid w:val="000D4C7F"/>
    <w:rsid w:val="000D4E19"/>
    <w:rsid w:val="000D5499"/>
    <w:rsid w:val="000D54C8"/>
    <w:rsid w:val="000D5D89"/>
    <w:rsid w:val="000E04ED"/>
    <w:rsid w:val="000E163D"/>
    <w:rsid w:val="000E1A38"/>
    <w:rsid w:val="000E1BAF"/>
    <w:rsid w:val="000E1DF7"/>
    <w:rsid w:val="000E2ADF"/>
    <w:rsid w:val="000E304E"/>
    <w:rsid w:val="000E3462"/>
    <w:rsid w:val="000E3DE2"/>
    <w:rsid w:val="000E4B29"/>
    <w:rsid w:val="000E5750"/>
    <w:rsid w:val="000E6443"/>
    <w:rsid w:val="000E6B8A"/>
    <w:rsid w:val="000E6C2D"/>
    <w:rsid w:val="000E753E"/>
    <w:rsid w:val="000E7F1C"/>
    <w:rsid w:val="000F0810"/>
    <w:rsid w:val="000F0E3B"/>
    <w:rsid w:val="000F15CC"/>
    <w:rsid w:val="000F2836"/>
    <w:rsid w:val="000F2AB6"/>
    <w:rsid w:val="000F31AD"/>
    <w:rsid w:val="000F3A14"/>
    <w:rsid w:val="000F48DB"/>
    <w:rsid w:val="000F57FC"/>
    <w:rsid w:val="000F6630"/>
    <w:rsid w:val="000F6886"/>
    <w:rsid w:val="001008F2"/>
    <w:rsid w:val="00100B1E"/>
    <w:rsid w:val="00101641"/>
    <w:rsid w:val="00101898"/>
    <w:rsid w:val="0010212E"/>
    <w:rsid w:val="00103E5E"/>
    <w:rsid w:val="001045B2"/>
    <w:rsid w:val="0010460B"/>
    <w:rsid w:val="00104AEF"/>
    <w:rsid w:val="001054AF"/>
    <w:rsid w:val="001057D4"/>
    <w:rsid w:val="00105FAB"/>
    <w:rsid w:val="00106282"/>
    <w:rsid w:val="001063AF"/>
    <w:rsid w:val="001066C0"/>
    <w:rsid w:val="001067CE"/>
    <w:rsid w:val="0010724F"/>
    <w:rsid w:val="00107F36"/>
    <w:rsid w:val="00110E36"/>
    <w:rsid w:val="0011173F"/>
    <w:rsid w:val="001120BD"/>
    <w:rsid w:val="001122B0"/>
    <w:rsid w:val="00112CE0"/>
    <w:rsid w:val="001130D2"/>
    <w:rsid w:val="001130FA"/>
    <w:rsid w:val="00113426"/>
    <w:rsid w:val="0011473D"/>
    <w:rsid w:val="00114F9B"/>
    <w:rsid w:val="001151BA"/>
    <w:rsid w:val="00116F72"/>
    <w:rsid w:val="00116F9D"/>
    <w:rsid w:val="00117073"/>
    <w:rsid w:val="001173A9"/>
    <w:rsid w:val="00117791"/>
    <w:rsid w:val="0011795A"/>
    <w:rsid w:val="00120A4C"/>
    <w:rsid w:val="00121B75"/>
    <w:rsid w:val="00121E61"/>
    <w:rsid w:val="0012390D"/>
    <w:rsid w:val="00124083"/>
    <w:rsid w:val="00124EC6"/>
    <w:rsid w:val="0012543E"/>
    <w:rsid w:val="00125819"/>
    <w:rsid w:val="00127574"/>
    <w:rsid w:val="001276A6"/>
    <w:rsid w:val="0012774E"/>
    <w:rsid w:val="00130846"/>
    <w:rsid w:val="00130F15"/>
    <w:rsid w:val="001318C7"/>
    <w:rsid w:val="0013214C"/>
    <w:rsid w:val="00132810"/>
    <w:rsid w:val="00132933"/>
    <w:rsid w:val="001332B0"/>
    <w:rsid w:val="0013336B"/>
    <w:rsid w:val="00133861"/>
    <w:rsid w:val="00133BE6"/>
    <w:rsid w:val="00133F26"/>
    <w:rsid w:val="0013498A"/>
    <w:rsid w:val="00135347"/>
    <w:rsid w:val="00135883"/>
    <w:rsid w:val="00135D3A"/>
    <w:rsid w:val="00136667"/>
    <w:rsid w:val="001366F1"/>
    <w:rsid w:val="00137425"/>
    <w:rsid w:val="00137AA6"/>
    <w:rsid w:val="00137E8A"/>
    <w:rsid w:val="0014004B"/>
    <w:rsid w:val="00140831"/>
    <w:rsid w:val="0014108D"/>
    <w:rsid w:val="0014168B"/>
    <w:rsid w:val="00141994"/>
    <w:rsid w:val="00142016"/>
    <w:rsid w:val="001429ED"/>
    <w:rsid w:val="00142F66"/>
    <w:rsid w:val="00143D27"/>
    <w:rsid w:val="001443DE"/>
    <w:rsid w:val="00145677"/>
    <w:rsid w:val="00145678"/>
    <w:rsid w:val="001459CF"/>
    <w:rsid w:val="00146014"/>
    <w:rsid w:val="00147094"/>
    <w:rsid w:val="0014751C"/>
    <w:rsid w:val="0014768F"/>
    <w:rsid w:val="0014791F"/>
    <w:rsid w:val="00147B4F"/>
    <w:rsid w:val="00147CFF"/>
    <w:rsid w:val="00150007"/>
    <w:rsid w:val="001501A4"/>
    <w:rsid w:val="001506E9"/>
    <w:rsid w:val="00150BED"/>
    <w:rsid w:val="001510F8"/>
    <w:rsid w:val="00151107"/>
    <w:rsid w:val="001522C8"/>
    <w:rsid w:val="00152503"/>
    <w:rsid w:val="00152A99"/>
    <w:rsid w:val="00152B9B"/>
    <w:rsid w:val="00153634"/>
    <w:rsid w:val="00153B2E"/>
    <w:rsid w:val="00153F7E"/>
    <w:rsid w:val="00154560"/>
    <w:rsid w:val="00154EDA"/>
    <w:rsid w:val="00155540"/>
    <w:rsid w:val="00156063"/>
    <w:rsid w:val="0015673C"/>
    <w:rsid w:val="001568EC"/>
    <w:rsid w:val="00156DDD"/>
    <w:rsid w:val="00157160"/>
    <w:rsid w:val="00160A60"/>
    <w:rsid w:val="001610DE"/>
    <w:rsid w:val="0016152C"/>
    <w:rsid w:val="00161B10"/>
    <w:rsid w:val="00162859"/>
    <w:rsid w:val="00162B8B"/>
    <w:rsid w:val="00162D36"/>
    <w:rsid w:val="00163364"/>
    <w:rsid w:val="00163A07"/>
    <w:rsid w:val="00163BBC"/>
    <w:rsid w:val="00163D22"/>
    <w:rsid w:val="00165234"/>
    <w:rsid w:val="001658F3"/>
    <w:rsid w:val="0016618E"/>
    <w:rsid w:val="00166562"/>
    <w:rsid w:val="00167201"/>
    <w:rsid w:val="00167972"/>
    <w:rsid w:val="00167EDC"/>
    <w:rsid w:val="0017041B"/>
    <w:rsid w:val="00170AEC"/>
    <w:rsid w:val="00171975"/>
    <w:rsid w:val="00171AB6"/>
    <w:rsid w:val="00172096"/>
    <w:rsid w:val="0017281B"/>
    <w:rsid w:val="0017299A"/>
    <w:rsid w:val="00172C6B"/>
    <w:rsid w:val="00173C2C"/>
    <w:rsid w:val="00173D4B"/>
    <w:rsid w:val="00173FA6"/>
    <w:rsid w:val="001741A6"/>
    <w:rsid w:val="0017445E"/>
    <w:rsid w:val="001746E3"/>
    <w:rsid w:val="00175B47"/>
    <w:rsid w:val="00175CA2"/>
    <w:rsid w:val="00175E7B"/>
    <w:rsid w:val="00175EA6"/>
    <w:rsid w:val="00176503"/>
    <w:rsid w:val="001767A0"/>
    <w:rsid w:val="00177556"/>
    <w:rsid w:val="00177A3E"/>
    <w:rsid w:val="00177D77"/>
    <w:rsid w:val="00180A4B"/>
    <w:rsid w:val="00181BE3"/>
    <w:rsid w:val="00181FC4"/>
    <w:rsid w:val="00182592"/>
    <w:rsid w:val="00182786"/>
    <w:rsid w:val="00183308"/>
    <w:rsid w:val="00184498"/>
    <w:rsid w:val="001849F8"/>
    <w:rsid w:val="00184C4F"/>
    <w:rsid w:val="00184CA0"/>
    <w:rsid w:val="00184FE7"/>
    <w:rsid w:val="00185669"/>
    <w:rsid w:val="0018601C"/>
    <w:rsid w:val="00186196"/>
    <w:rsid w:val="0018634C"/>
    <w:rsid w:val="00186F5E"/>
    <w:rsid w:val="001878D9"/>
    <w:rsid w:val="00187FE0"/>
    <w:rsid w:val="00190BF1"/>
    <w:rsid w:val="00190C64"/>
    <w:rsid w:val="001913AF"/>
    <w:rsid w:val="00191CBD"/>
    <w:rsid w:val="001920AF"/>
    <w:rsid w:val="00192386"/>
    <w:rsid w:val="00192A1E"/>
    <w:rsid w:val="00192B1F"/>
    <w:rsid w:val="00192CC1"/>
    <w:rsid w:val="00192F43"/>
    <w:rsid w:val="001933BD"/>
    <w:rsid w:val="001938D6"/>
    <w:rsid w:val="00194355"/>
    <w:rsid w:val="00194440"/>
    <w:rsid w:val="00194722"/>
    <w:rsid w:val="00194C53"/>
    <w:rsid w:val="001956CE"/>
    <w:rsid w:val="001956DC"/>
    <w:rsid w:val="00195931"/>
    <w:rsid w:val="00195BC2"/>
    <w:rsid w:val="00195D26"/>
    <w:rsid w:val="00196208"/>
    <w:rsid w:val="00196228"/>
    <w:rsid w:val="00196922"/>
    <w:rsid w:val="00196B4F"/>
    <w:rsid w:val="001978D8"/>
    <w:rsid w:val="001A06CF"/>
    <w:rsid w:val="001A0916"/>
    <w:rsid w:val="001A1B90"/>
    <w:rsid w:val="001A27D6"/>
    <w:rsid w:val="001A2E59"/>
    <w:rsid w:val="001A300F"/>
    <w:rsid w:val="001A37D8"/>
    <w:rsid w:val="001A592A"/>
    <w:rsid w:val="001A593F"/>
    <w:rsid w:val="001A61D6"/>
    <w:rsid w:val="001A6396"/>
    <w:rsid w:val="001A68B0"/>
    <w:rsid w:val="001A70F2"/>
    <w:rsid w:val="001A74AD"/>
    <w:rsid w:val="001B0361"/>
    <w:rsid w:val="001B0A66"/>
    <w:rsid w:val="001B0CCC"/>
    <w:rsid w:val="001B0EF8"/>
    <w:rsid w:val="001B10E2"/>
    <w:rsid w:val="001B1E95"/>
    <w:rsid w:val="001B25C6"/>
    <w:rsid w:val="001B25D2"/>
    <w:rsid w:val="001B3718"/>
    <w:rsid w:val="001B4204"/>
    <w:rsid w:val="001B42E3"/>
    <w:rsid w:val="001B4961"/>
    <w:rsid w:val="001B502A"/>
    <w:rsid w:val="001B5133"/>
    <w:rsid w:val="001B539A"/>
    <w:rsid w:val="001B5985"/>
    <w:rsid w:val="001B5C02"/>
    <w:rsid w:val="001B5C51"/>
    <w:rsid w:val="001C0683"/>
    <w:rsid w:val="001C0DD4"/>
    <w:rsid w:val="001C1187"/>
    <w:rsid w:val="001C11AF"/>
    <w:rsid w:val="001C1642"/>
    <w:rsid w:val="001C27BF"/>
    <w:rsid w:val="001C2AC4"/>
    <w:rsid w:val="001C33CF"/>
    <w:rsid w:val="001C383D"/>
    <w:rsid w:val="001C412D"/>
    <w:rsid w:val="001C52BF"/>
    <w:rsid w:val="001C5592"/>
    <w:rsid w:val="001C5C68"/>
    <w:rsid w:val="001C6053"/>
    <w:rsid w:val="001C6395"/>
    <w:rsid w:val="001C750D"/>
    <w:rsid w:val="001C7719"/>
    <w:rsid w:val="001C782A"/>
    <w:rsid w:val="001D0633"/>
    <w:rsid w:val="001D064D"/>
    <w:rsid w:val="001D1334"/>
    <w:rsid w:val="001D1841"/>
    <w:rsid w:val="001D32B3"/>
    <w:rsid w:val="001D36D3"/>
    <w:rsid w:val="001D3AAD"/>
    <w:rsid w:val="001D4661"/>
    <w:rsid w:val="001D482D"/>
    <w:rsid w:val="001D4D99"/>
    <w:rsid w:val="001D5129"/>
    <w:rsid w:val="001D56B9"/>
    <w:rsid w:val="001D61F2"/>
    <w:rsid w:val="001D7037"/>
    <w:rsid w:val="001D7893"/>
    <w:rsid w:val="001D789B"/>
    <w:rsid w:val="001E00F3"/>
    <w:rsid w:val="001E059E"/>
    <w:rsid w:val="001E067E"/>
    <w:rsid w:val="001E0D35"/>
    <w:rsid w:val="001E0E3F"/>
    <w:rsid w:val="001E0EBC"/>
    <w:rsid w:val="001E175C"/>
    <w:rsid w:val="001E1BB8"/>
    <w:rsid w:val="001E36A0"/>
    <w:rsid w:val="001E3903"/>
    <w:rsid w:val="001E395A"/>
    <w:rsid w:val="001E4A8F"/>
    <w:rsid w:val="001E4CAE"/>
    <w:rsid w:val="001E50D5"/>
    <w:rsid w:val="001E574F"/>
    <w:rsid w:val="001E5C35"/>
    <w:rsid w:val="001E62DF"/>
    <w:rsid w:val="001E697D"/>
    <w:rsid w:val="001E6B75"/>
    <w:rsid w:val="001E6C53"/>
    <w:rsid w:val="001F0F49"/>
    <w:rsid w:val="001F11F5"/>
    <w:rsid w:val="001F1565"/>
    <w:rsid w:val="001F1A85"/>
    <w:rsid w:val="001F2805"/>
    <w:rsid w:val="001F410C"/>
    <w:rsid w:val="001F5100"/>
    <w:rsid w:val="001F5835"/>
    <w:rsid w:val="001F65EF"/>
    <w:rsid w:val="001F6CD3"/>
    <w:rsid w:val="001F7022"/>
    <w:rsid w:val="001F71E8"/>
    <w:rsid w:val="001F725C"/>
    <w:rsid w:val="001F774E"/>
    <w:rsid w:val="001F7789"/>
    <w:rsid w:val="0020015A"/>
    <w:rsid w:val="0020039E"/>
    <w:rsid w:val="00200492"/>
    <w:rsid w:val="00200F75"/>
    <w:rsid w:val="00201587"/>
    <w:rsid w:val="00201848"/>
    <w:rsid w:val="00201B78"/>
    <w:rsid w:val="00201E39"/>
    <w:rsid w:val="00201E3D"/>
    <w:rsid w:val="002022E2"/>
    <w:rsid w:val="00202BA8"/>
    <w:rsid w:val="00203CAD"/>
    <w:rsid w:val="00203E9C"/>
    <w:rsid w:val="0020479E"/>
    <w:rsid w:val="00205F7E"/>
    <w:rsid w:val="0020624F"/>
    <w:rsid w:val="002064CC"/>
    <w:rsid w:val="00206B74"/>
    <w:rsid w:val="002078B6"/>
    <w:rsid w:val="00207EED"/>
    <w:rsid w:val="00212BBF"/>
    <w:rsid w:val="00212DB9"/>
    <w:rsid w:val="00212F87"/>
    <w:rsid w:val="00213E8E"/>
    <w:rsid w:val="002150DA"/>
    <w:rsid w:val="00216DEB"/>
    <w:rsid w:val="00217FE2"/>
    <w:rsid w:val="002205AB"/>
    <w:rsid w:val="00220862"/>
    <w:rsid w:val="0022087A"/>
    <w:rsid w:val="00220B97"/>
    <w:rsid w:val="002218D0"/>
    <w:rsid w:val="00222F32"/>
    <w:rsid w:val="002234E9"/>
    <w:rsid w:val="00223DFD"/>
    <w:rsid w:val="00224027"/>
    <w:rsid w:val="00224123"/>
    <w:rsid w:val="0022427E"/>
    <w:rsid w:val="0022475E"/>
    <w:rsid w:val="00224880"/>
    <w:rsid w:val="002268AC"/>
    <w:rsid w:val="002268CC"/>
    <w:rsid w:val="00227673"/>
    <w:rsid w:val="002277CB"/>
    <w:rsid w:val="00227E85"/>
    <w:rsid w:val="0023006C"/>
    <w:rsid w:val="002302BF"/>
    <w:rsid w:val="00230DD5"/>
    <w:rsid w:val="00230DE6"/>
    <w:rsid w:val="002316CE"/>
    <w:rsid w:val="002317F0"/>
    <w:rsid w:val="00231809"/>
    <w:rsid w:val="00231908"/>
    <w:rsid w:val="00231BFB"/>
    <w:rsid w:val="0023271C"/>
    <w:rsid w:val="00232C8F"/>
    <w:rsid w:val="00232D96"/>
    <w:rsid w:val="00232E0A"/>
    <w:rsid w:val="002332B0"/>
    <w:rsid w:val="0023341A"/>
    <w:rsid w:val="002337AC"/>
    <w:rsid w:val="00233EE2"/>
    <w:rsid w:val="0023471E"/>
    <w:rsid w:val="0023494E"/>
    <w:rsid w:val="00234FBB"/>
    <w:rsid w:val="002352F3"/>
    <w:rsid w:val="00235B6D"/>
    <w:rsid w:val="00235CE9"/>
    <w:rsid w:val="00235E77"/>
    <w:rsid w:val="0023639B"/>
    <w:rsid w:val="00236E8C"/>
    <w:rsid w:val="002403DF"/>
    <w:rsid w:val="00240499"/>
    <w:rsid w:val="00240573"/>
    <w:rsid w:val="00240765"/>
    <w:rsid w:val="0024082E"/>
    <w:rsid w:val="00240D08"/>
    <w:rsid w:val="0024110C"/>
    <w:rsid w:val="002413CA"/>
    <w:rsid w:val="0024140F"/>
    <w:rsid w:val="00241DC1"/>
    <w:rsid w:val="00241F27"/>
    <w:rsid w:val="00242BDB"/>
    <w:rsid w:val="00242FFF"/>
    <w:rsid w:val="00243092"/>
    <w:rsid w:val="00243754"/>
    <w:rsid w:val="00243A71"/>
    <w:rsid w:val="0024445E"/>
    <w:rsid w:val="00244A33"/>
    <w:rsid w:val="00244C55"/>
    <w:rsid w:val="00244FB9"/>
    <w:rsid w:val="00245E34"/>
    <w:rsid w:val="00246170"/>
    <w:rsid w:val="0024724A"/>
    <w:rsid w:val="00247B7A"/>
    <w:rsid w:val="0025042F"/>
    <w:rsid w:val="00250AFD"/>
    <w:rsid w:val="00250FFC"/>
    <w:rsid w:val="00251D55"/>
    <w:rsid w:val="00252DBD"/>
    <w:rsid w:val="00252E32"/>
    <w:rsid w:val="00253875"/>
    <w:rsid w:val="00254055"/>
    <w:rsid w:val="00254BBA"/>
    <w:rsid w:val="00255000"/>
    <w:rsid w:val="00255E21"/>
    <w:rsid w:val="00255F50"/>
    <w:rsid w:val="002563E6"/>
    <w:rsid w:val="00260109"/>
    <w:rsid w:val="00261023"/>
    <w:rsid w:val="00261D43"/>
    <w:rsid w:val="0026261E"/>
    <w:rsid w:val="002629D5"/>
    <w:rsid w:val="00262A04"/>
    <w:rsid w:val="00263AD1"/>
    <w:rsid w:val="002646E7"/>
    <w:rsid w:val="00264765"/>
    <w:rsid w:val="0026496D"/>
    <w:rsid w:val="0026521B"/>
    <w:rsid w:val="00265312"/>
    <w:rsid w:val="002654C6"/>
    <w:rsid w:val="0026564A"/>
    <w:rsid w:val="00266647"/>
    <w:rsid w:val="0026696A"/>
    <w:rsid w:val="00266CBC"/>
    <w:rsid w:val="002671B5"/>
    <w:rsid w:val="00267625"/>
    <w:rsid w:val="0026768C"/>
    <w:rsid w:val="002676E6"/>
    <w:rsid w:val="00267A7D"/>
    <w:rsid w:val="00267E78"/>
    <w:rsid w:val="00270D17"/>
    <w:rsid w:val="00270FA6"/>
    <w:rsid w:val="00271472"/>
    <w:rsid w:val="0027239B"/>
    <w:rsid w:val="0027274F"/>
    <w:rsid w:val="00272919"/>
    <w:rsid w:val="00272CDD"/>
    <w:rsid w:val="002741FE"/>
    <w:rsid w:val="00274263"/>
    <w:rsid w:val="002764E3"/>
    <w:rsid w:val="0027735A"/>
    <w:rsid w:val="00277AEE"/>
    <w:rsid w:val="00277FF8"/>
    <w:rsid w:val="002806C9"/>
    <w:rsid w:val="0028082F"/>
    <w:rsid w:val="002808F0"/>
    <w:rsid w:val="0028146D"/>
    <w:rsid w:val="002814DF"/>
    <w:rsid w:val="00282B5A"/>
    <w:rsid w:val="0028373B"/>
    <w:rsid w:val="00283832"/>
    <w:rsid w:val="00284D70"/>
    <w:rsid w:val="00284FB9"/>
    <w:rsid w:val="002856AD"/>
    <w:rsid w:val="00285786"/>
    <w:rsid w:val="00285B1C"/>
    <w:rsid w:val="00285C0A"/>
    <w:rsid w:val="00285E0D"/>
    <w:rsid w:val="00286D93"/>
    <w:rsid w:val="002873CE"/>
    <w:rsid w:val="00287538"/>
    <w:rsid w:val="0028785F"/>
    <w:rsid w:val="00287A1C"/>
    <w:rsid w:val="00290173"/>
    <w:rsid w:val="002905F2"/>
    <w:rsid w:val="00292D2A"/>
    <w:rsid w:val="002932DA"/>
    <w:rsid w:val="0029385F"/>
    <w:rsid w:val="002938FE"/>
    <w:rsid w:val="00293CBB"/>
    <w:rsid w:val="0029406A"/>
    <w:rsid w:val="00294574"/>
    <w:rsid w:val="00294BEC"/>
    <w:rsid w:val="002954DD"/>
    <w:rsid w:val="00295C32"/>
    <w:rsid w:val="00295CE0"/>
    <w:rsid w:val="00297994"/>
    <w:rsid w:val="00297D15"/>
    <w:rsid w:val="002A1290"/>
    <w:rsid w:val="002A1E64"/>
    <w:rsid w:val="002A1E95"/>
    <w:rsid w:val="002A2552"/>
    <w:rsid w:val="002A25B5"/>
    <w:rsid w:val="002A2A45"/>
    <w:rsid w:val="002A3EF8"/>
    <w:rsid w:val="002A42C6"/>
    <w:rsid w:val="002A4343"/>
    <w:rsid w:val="002A454F"/>
    <w:rsid w:val="002A4D61"/>
    <w:rsid w:val="002A4DFA"/>
    <w:rsid w:val="002A520C"/>
    <w:rsid w:val="002A5910"/>
    <w:rsid w:val="002A6416"/>
    <w:rsid w:val="002A72F5"/>
    <w:rsid w:val="002A7378"/>
    <w:rsid w:val="002A73F1"/>
    <w:rsid w:val="002A785D"/>
    <w:rsid w:val="002B19C6"/>
    <w:rsid w:val="002B263B"/>
    <w:rsid w:val="002B2B46"/>
    <w:rsid w:val="002B3F72"/>
    <w:rsid w:val="002B40B4"/>
    <w:rsid w:val="002B47F1"/>
    <w:rsid w:val="002B4DE1"/>
    <w:rsid w:val="002B500E"/>
    <w:rsid w:val="002B5365"/>
    <w:rsid w:val="002B64D1"/>
    <w:rsid w:val="002B7111"/>
    <w:rsid w:val="002B7278"/>
    <w:rsid w:val="002B74F1"/>
    <w:rsid w:val="002B7EEB"/>
    <w:rsid w:val="002C0747"/>
    <w:rsid w:val="002C0CF1"/>
    <w:rsid w:val="002C1307"/>
    <w:rsid w:val="002C16CA"/>
    <w:rsid w:val="002C1959"/>
    <w:rsid w:val="002C2080"/>
    <w:rsid w:val="002C2CC2"/>
    <w:rsid w:val="002C321E"/>
    <w:rsid w:val="002C351A"/>
    <w:rsid w:val="002C3591"/>
    <w:rsid w:val="002C4AFA"/>
    <w:rsid w:val="002C50C0"/>
    <w:rsid w:val="002C510A"/>
    <w:rsid w:val="002C53D0"/>
    <w:rsid w:val="002C5872"/>
    <w:rsid w:val="002C5B63"/>
    <w:rsid w:val="002C7CB3"/>
    <w:rsid w:val="002D0222"/>
    <w:rsid w:val="002D0242"/>
    <w:rsid w:val="002D08D8"/>
    <w:rsid w:val="002D192C"/>
    <w:rsid w:val="002D20DF"/>
    <w:rsid w:val="002D21DD"/>
    <w:rsid w:val="002D2769"/>
    <w:rsid w:val="002D2CED"/>
    <w:rsid w:val="002D3835"/>
    <w:rsid w:val="002D49F8"/>
    <w:rsid w:val="002D511E"/>
    <w:rsid w:val="002D5517"/>
    <w:rsid w:val="002D566C"/>
    <w:rsid w:val="002D60B7"/>
    <w:rsid w:val="002D62F0"/>
    <w:rsid w:val="002D6414"/>
    <w:rsid w:val="002D65E6"/>
    <w:rsid w:val="002D6619"/>
    <w:rsid w:val="002D6BC2"/>
    <w:rsid w:val="002D6E7B"/>
    <w:rsid w:val="002D727F"/>
    <w:rsid w:val="002D75E7"/>
    <w:rsid w:val="002D78D6"/>
    <w:rsid w:val="002E02E9"/>
    <w:rsid w:val="002E0D86"/>
    <w:rsid w:val="002E1573"/>
    <w:rsid w:val="002E17EC"/>
    <w:rsid w:val="002E1B52"/>
    <w:rsid w:val="002E2DEA"/>
    <w:rsid w:val="002E38AA"/>
    <w:rsid w:val="002E46C1"/>
    <w:rsid w:val="002E470F"/>
    <w:rsid w:val="002E522C"/>
    <w:rsid w:val="002E5862"/>
    <w:rsid w:val="002E5A8F"/>
    <w:rsid w:val="002E6DBB"/>
    <w:rsid w:val="002E71A6"/>
    <w:rsid w:val="002E7AF2"/>
    <w:rsid w:val="002E7FD3"/>
    <w:rsid w:val="002F00FA"/>
    <w:rsid w:val="002F0CF3"/>
    <w:rsid w:val="002F1787"/>
    <w:rsid w:val="002F1873"/>
    <w:rsid w:val="002F1BE0"/>
    <w:rsid w:val="002F1DD0"/>
    <w:rsid w:val="002F2561"/>
    <w:rsid w:val="002F2831"/>
    <w:rsid w:val="002F345C"/>
    <w:rsid w:val="002F3863"/>
    <w:rsid w:val="002F38D6"/>
    <w:rsid w:val="002F404E"/>
    <w:rsid w:val="002F5006"/>
    <w:rsid w:val="002F5E62"/>
    <w:rsid w:val="002F6481"/>
    <w:rsid w:val="002F6977"/>
    <w:rsid w:val="002F6F40"/>
    <w:rsid w:val="002F7EF4"/>
    <w:rsid w:val="003001F7"/>
    <w:rsid w:val="00300462"/>
    <w:rsid w:val="0030082B"/>
    <w:rsid w:val="00301624"/>
    <w:rsid w:val="00302424"/>
    <w:rsid w:val="00302C4B"/>
    <w:rsid w:val="00302E3C"/>
    <w:rsid w:val="00303016"/>
    <w:rsid w:val="003046F5"/>
    <w:rsid w:val="00304B88"/>
    <w:rsid w:val="00305AB4"/>
    <w:rsid w:val="003061F9"/>
    <w:rsid w:val="00306300"/>
    <w:rsid w:val="00306C0E"/>
    <w:rsid w:val="003073C7"/>
    <w:rsid w:val="00307A88"/>
    <w:rsid w:val="00307B6B"/>
    <w:rsid w:val="00307BEF"/>
    <w:rsid w:val="00307C0C"/>
    <w:rsid w:val="003103D2"/>
    <w:rsid w:val="00311864"/>
    <w:rsid w:val="00312A82"/>
    <w:rsid w:val="00312FE1"/>
    <w:rsid w:val="00314C76"/>
    <w:rsid w:val="00315862"/>
    <w:rsid w:val="0031596E"/>
    <w:rsid w:val="00316154"/>
    <w:rsid w:val="00316374"/>
    <w:rsid w:val="003164E1"/>
    <w:rsid w:val="003166A8"/>
    <w:rsid w:val="00316809"/>
    <w:rsid w:val="00320521"/>
    <w:rsid w:val="00320587"/>
    <w:rsid w:val="003208C6"/>
    <w:rsid w:val="00320905"/>
    <w:rsid w:val="00320C00"/>
    <w:rsid w:val="003210AE"/>
    <w:rsid w:val="00321E83"/>
    <w:rsid w:val="0032236B"/>
    <w:rsid w:val="00322ABD"/>
    <w:rsid w:val="00322AC7"/>
    <w:rsid w:val="00322D8E"/>
    <w:rsid w:val="00323056"/>
    <w:rsid w:val="00323118"/>
    <w:rsid w:val="003237FE"/>
    <w:rsid w:val="00323FD3"/>
    <w:rsid w:val="003240E7"/>
    <w:rsid w:val="0032423D"/>
    <w:rsid w:val="00324450"/>
    <w:rsid w:val="0032455C"/>
    <w:rsid w:val="00324851"/>
    <w:rsid w:val="00324935"/>
    <w:rsid w:val="00325F67"/>
    <w:rsid w:val="003269C9"/>
    <w:rsid w:val="00330035"/>
    <w:rsid w:val="00330495"/>
    <w:rsid w:val="00330895"/>
    <w:rsid w:val="003312E6"/>
    <w:rsid w:val="0033299E"/>
    <w:rsid w:val="00332EB3"/>
    <w:rsid w:val="00333024"/>
    <w:rsid w:val="00333217"/>
    <w:rsid w:val="00333B20"/>
    <w:rsid w:val="00333B55"/>
    <w:rsid w:val="003342BF"/>
    <w:rsid w:val="00335898"/>
    <w:rsid w:val="00335C90"/>
    <w:rsid w:val="003365A1"/>
    <w:rsid w:val="00336AC6"/>
    <w:rsid w:val="00337CFC"/>
    <w:rsid w:val="00340303"/>
    <w:rsid w:val="003409C0"/>
    <w:rsid w:val="00340A44"/>
    <w:rsid w:val="003422BC"/>
    <w:rsid w:val="003438F1"/>
    <w:rsid w:val="00343AAE"/>
    <w:rsid w:val="00343EFD"/>
    <w:rsid w:val="00344804"/>
    <w:rsid w:val="003448E0"/>
    <w:rsid w:val="00344D7F"/>
    <w:rsid w:val="00344F8D"/>
    <w:rsid w:val="003456CE"/>
    <w:rsid w:val="00345CA2"/>
    <w:rsid w:val="003461A5"/>
    <w:rsid w:val="00346285"/>
    <w:rsid w:val="0034791F"/>
    <w:rsid w:val="00347E55"/>
    <w:rsid w:val="00350093"/>
    <w:rsid w:val="00351070"/>
    <w:rsid w:val="00351552"/>
    <w:rsid w:val="0035188E"/>
    <w:rsid w:val="00351B56"/>
    <w:rsid w:val="00351D59"/>
    <w:rsid w:val="003532AE"/>
    <w:rsid w:val="003532C8"/>
    <w:rsid w:val="0035369E"/>
    <w:rsid w:val="003537BF"/>
    <w:rsid w:val="003544E6"/>
    <w:rsid w:val="0035459F"/>
    <w:rsid w:val="00355C14"/>
    <w:rsid w:val="00355D13"/>
    <w:rsid w:val="00356013"/>
    <w:rsid w:val="0035641C"/>
    <w:rsid w:val="00356F15"/>
    <w:rsid w:val="0035745F"/>
    <w:rsid w:val="003575C0"/>
    <w:rsid w:val="00357CBF"/>
    <w:rsid w:val="00360064"/>
    <w:rsid w:val="003601D6"/>
    <w:rsid w:val="0036059E"/>
    <w:rsid w:val="0036066D"/>
    <w:rsid w:val="003606DE"/>
    <w:rsid w:val="00360D6D"/>
    <w:rsid w:val="003614AC"/>
    <w:rsid w:val="00361BE7"/>
    <w:rsid w:val="00361C3F"/>
    <w:rsid w:val="00361FA0"/>
    <w:rsid w:val="00362064"/>
    <w:rsid w:val="00362428"/>
    <w:rsid w:val="003627BC"/>
    <w:rsid w:val="00362AE2"/>
    <w:rsid w:val="00362FC5"/>
    <w:rsid w:val="00363067"/>
    <w:rsid w:val="003630ED"/>
    <w:rsid w:val="003635C5"/>
    <w:rsid w:val="003635D0"/>
    <w:rsid w:val="00365131"/>
    <w:rsid w:val="0036570E"/>
    <w:rsid w:val="003657EC"/>
    <w:rsid w:val="00365906"/>
    <w:rsid w:val="00365A81"/>
    <w:rsid w:val="00366650"/>
    <w:rsid w:val="00370D19"/>
    <w:rsid w:val="0037141B"/>
    <w:rsid w:val="003719BC"/>
    <w:rsid w:val="00372248"/>
    <w:rsid w:val="00372B18"/>
    <w:rsid w:val="00372B7A"/>
    <w:rsid w:val="00372B7F"/>
    <w:rsid w:val="00372D5E"/>
    <w:rsid w:val="003738C8"/>
    <w:rsid w:val="00374503"/>
    <w:rsid w:val="003757C6"/>
    <w:rsid w:val="00376C75"/>
    <w:rsid w:val="00376F10"/>
    <w:rsid w:val="003772AB"/>
    <w:rsid w:val="00377D3D"/>
    <w:rsid w:val="0038012E"/>
    <w:rsid w:val="003811E9"/>
    <w:rsid w:val="00381494"/>
    <w:rsid w:val="00381541"/>
    <w:rsid w:val="00381637"/>
    <w:rsid w:val="003820A6"/>
    <w:rsid w:val="003824F7"/>
    <w:rsid w:val="003834D8"/>
    <w:rsid w:val="00383A40"/>
    <w:rsid w:val="00383E93"/>
    <w:rsid w:val="003844EC"/>
    <w:rsid w:val="00385736"/>
    <w:rsid w:val="0038578D"/>
    <w:rsid w:val="00385E6E"/>
    <w:rsid w:val="003864CE"/>
    <w:rsid w:val="00386EF0"/>
    <w:rsid w:val="00387070"/>
    <w:rsid w:val="003872DF"/>
    <w:rsid w:val="003906F1"/>
    <w:rsid w:val="003908E3"/>
    <w:rsid w:val="003909B9"/>
    <w:rsid w:val="00390C24"/>
    <w:rsid w:val="00390DA9"/>
    <w:rsid w:val="00391CF4"/>
    <w:rsid w:val="00391CFE"/>
    <w:rsid w:val="00392287"/>
    <w:rsid w:val="00392C8E"/>
    <w:rsid w:val="0039336D"/>
    <w:rsid w:val="00393790"/>
    <w:rsid w:val="00393FB8"/>
    <w:rsid w:val="00394234"/>
    <w:rsid w:val="003946AC"/>
    <w:rsid w:val="00394F17"/>
    <w:rsid w:val="003950AF"/>
    <w:rsid w:val="0039550B"/>
    <w:rsid w:val="00395A4A"/>
    <w:rsid w:val="00395B35"/>
    <w:rsid w:val="00397339"/>
    <w:rsid w:val="003A00EF"/>
    <w:rsid w:val="003A07AF"/>
    <w:rsid w:val="003A1658"/>
    <w:rsid w:val="003A2F64"/>
    <w:rsid w:val="003A3AD4"/>
    <w:rsid w:val="003A3C78"/>
    <w:rsid w:val="003A4972"/>
    <w:rsid w:val="003A4B04"/>
    <w:rsid w:val="003A5362"/>
    <w:rsid w:val="003A5473"/>
    <w:rsid w:val="003A5847"/>
    <w:rsid w:val="003A5977"/>
    <w:rsid w:val="003A5A83"/>
    <w:rsid w:val="003A5D5C"/>
    <w:rsid w:val="003A656A"/>
    <w:rsid w:val="003A66D5"/>
    <w:rsid w:val="003A6865"/>
    <w:rsid w:val="003A6AFC"/>
    <w:rsid w:val="003A6BE7"/>
    <w:rsid w:val="003B0F1E"/>
    <w:rsid w:val="003B114C"/>
    <w:rsid w:val="003B19BD"/>
    <w:rsid w:val="003B1F02"/>
    <w:rsid w:val="003B22DE"/>
    <w:rsid w:val="003B23A4"/>
    <w:rsid w:val="003B280A"/>
    <w:rsid w:val="003B28C8"/>
    <w:rsid w:val="003B3079"/>
    <w:rsid w:val="003B3826"/>
    <w:rsid w:val="003B3D37"/>
    <w:rsid w:val="003B409C"/>
    <w:rsid w:val="003B45E8"/>
    <w:rsid w:val="003B5521"/>
    <w:rsid w:val="003B5769"/>
    <w:rsid w:val="003B5A27"/>
    <w:rsid w:val="003B634D"/>
    <w:rsid w:val="003B73AB"/>
    <w:rsid w:val="003B77E5"/>
    <w:rsid w:val="003B7C35"/>
    <w:rsid w:val="003B7ECC"/>
    <w:rsid w:val="003C0218"/>
    <w:rsid w:val="003C0AF7"/>
    <w:rsid w:val="003C12BE"/>
    <w:rsid w:val="003C143A"/>
    <w:rsid w:val="003C260A"/>
    <w:rsid w:val="003C2E3B"/>
    <w:rsid w:val="003C30FF"/>
    <w:rsid w:val="003C390C"/>
    <w:rsid w:val="003C4F49"/>
    <w:rsid w:val="003C54E1"/>
    <w:rsid w:val="003C557F"/>
    <w:rsid w:val="003C6922"/>
    <w:rsid w:val="003C6C61"/>
    <w:rsid w:val="003C6E69"/>
    <w:rsid w:val="003C7D98"/>
    <w:rsid w:val="003D0F62"/>
    <w:rsid w:val="003D14CB"/>
    <w:rsid w:val="003D15BC"/>
    <w:rsid w:val="003D176E"/>
    <w:rsid w:val="003D1858"/>
    <w:rsid w:val="003D1A74"/>
    <w:rsid w:val="003D1DA7"/>
    <w:rsid w:val="003D1F40"/>
    <w:rsid w:val="003D1F62"/>
    <w:rsid w:val="003D2546"/>
    <w:rsid w:val="003D266F"/>
    <w:rsid w:val="003D2A1A"/>
    <w:rsid w:val="003D2C7F"/>
    <w:rsid w:val="003D2D07"/>
    <w:rsid w:val="003D2F7F"/>
    <w:rsid w:val="003D30B6"/>
    <w:rsid w:val="003D3269"/>
    <w:rsid w:val="003D4962"/>
    <w:rsid w:val="003D4B32"/>
    <w:rsid w:val="003D69F5"/>
    <w:rsid w:val="003D6E90"/>
    <w:rsid w:val="003D7191"/>
    <w:rsid w:val="003D7F72"/>
    <w:rsid w:val="003E0162"/>
    <w:rsid w:val="003E0473"/>
    <w:rsid w:val="003E069C"/>
    <w:rsid w:val="003E0B5C"/>
    <w:rsid w:val="003E0E54"/>
    <w:rsid w:val="003E120F"/>
    <w:rsid w:val="003E145F"/>
    <w:rsid w:val="003E17FD"/>
    <w:rsid w:val="003E1F05"/>
    <w:rsid w:val="003E1F69"/>
    <w:rsid w:val="003E2756"/>
    <w:rsid w:val="003E27D3"/>
    <w:rsid w:val="003E2A43"/>
    <w:rsid w:val="003E3194"/>
    <w:rsid w:val="003E386A"/>
    <w:rsid w:val="003E401E"/>
    <w:rsid w:val="003E4E08"/>
    <w:rsid w:val="003E5356"/>
    <w:rsid w:val="003E5884"/>
    <w:rsid w:val="003E5DAA"/>
    <w:rsid w:val="003E652C"/>
    <w:rsid w:val="003F03C4"/>
    <w:rsid w:val="003F09BE"/>
    <w:rsid w:val="003F0DF7"/>
    <w:rsid w:val="003F140B"/>
    <w:rsid w:val="003F1E0F"/>
    <w:rsid w:val="003F1E6B"/>
    <w:rsid w:val="003F3197"/>
    <w:rsid w:val="003F3214"/>
    <w:rsid w:val="003F3E9E"/>
    <w:rsid w:val="003F44F3"/>
    <w:rsid w:val="003F4B2E"/>
    <w:rsid w:val="003F5148"/>
    <w:rsid w:val="003F53CE"/>
    <w:rsid w:val="003F5B94"/>
    <w:rsid w:val="003F6BEC"/>
    <w:rsid w:val="003F7A72"/>
    <w:rsid w:val="003F7D76"/>
    <w:rsid w:val="00400571"/>
    <w:rsid w:val="004007D7"/>
    <w:rsid w:val="00400C38"/>
    <w:rsid w:val="00400CCE"/>
    <w:rsid w:val="00400FEF"/>
    <w:rsid w:val="00401857"/>
    <w:rsid w:val="00403C51"/>
    <w:rsid w:val="004046C5"/>
    <w:rsid w:val="004049E0"/>
    <w:rsid w:val="00404B9A"/>
    <w:rsid w:val="004052E4"/>
    <w:rsid w:val="00405DE5"/>
    <w:rsid w:val="00405F2C"/>
    <w:rsid w:val="004067A6"/>
    <w:rsid w:val="00406901"/>
    <w:rsid w:val="004074C6"/>
    <w:rsid w:val="00407868"/>
    <w:rsid w:val="00407AAA"/>
    <w:rsid w:val="004106F8"/>
    <w:rsid w:val="00411FF3"/>
    <w:rsid w:val="00412336"/>
    <w:rsid w:val="00412797"/>
    <w:rsid w:val="00412B5E"/>
    <w:rsid w:val="004134BA"/>
    <w:rsid w:val="004135F5"/>
    <w:rsid w:val="0041394B"/>
    <w:rsid w:val="00413D36"/>
    <w:rsid w:val="0041441B"/>
    <w:rsid w:val="00414533"/>
    <w:rsid w:val="00414B88"/>
    <w:rsid w:val="004163A3"/>
    <w:rsid w:val="00416AFF"/>
    <w:rsid w:val="00416FE2"/>
    <w:rsid w:val="004170C8"/>
    <w:rsid w:val="0041734D"/>
    <w:rsid w:val="0041741F"/>
    <w:rsid w:val="00417A8D"/>
    <w:rsid w:val="00417C69"/>
    <w:rsid w:val="0042135B"/>
    <w:rsid w:val="0042280B"/>
    <w:rsid w:val="004228D7"/>
    <w:rsid w:val="0042294C"/>
    <w:rsid w:val="00423994"/>
    <w:rsid w:val="00423F67"/>
    <w:rsid w:val="004251D0"/>
    <w:rsid w:val="00425A18"/>
    <w:rsid w:val="00425D47"/>
    <w:rsid w:val="004262C1"/>
    <w:rsid w:val="004273BA"/>
    <w:rsid w:val="00427967"/>
    <w:rsid w:val="00427C2F"/>
    <w:rsid w:val="00427D4C"/>
    <w:rsid w:val="00427F47"/>
    <w:rsid w:val="00430CA2"/>
    <w:rsid w:val="00431ED4"/>
    <w:rsid w:val="00432753"/>
    <w:rsid w:val="00432F54"/>
    <w:rsid w:val="00432F79"/>
    <w:rsid w:val="004339DB"/>
    <w:rsid w:val="00433C15"/>
    <w:rsid w:val="00434DD3"/>
    <w:rsid w:val="0043512E"/>
    <w:rsid w:val="00435A46"/>
    <w:rsid w:val="00435B92"/>
    <w:rsid w:val="00436393"/>
    <w:rsid w:val="0043684F"/>
    <w:rsid w:val="00436B3A"/>
    <w:rsid w:val="004370A8"/>
    <w:rsid w:val="00437381"/>
    <w:rsid w:val="00437699"/>
    <w:rsid w:val="00437D0D"/>
    <w:rsid w:val="0044038C"/>
    <w:rsid w:val="00440C3B"/>
    <w:rsid w:val="00440EF0"/>
    <w:rsid w:val="00441467"/>
    <w:rsid w:val="00441E0B"/>
    <w:rsid w:val="0044319F"/>
    <w:rsid w:val="00443497"/>
    <w:rsid w:val="0044373D"/>
    <w:rsid w:val="00443A7D"/>
    <w:rsid w:val="00444234"/>
    <w:rsid w:val="0044483C"/>
    <w:rsid w:val="004450D2"/>
    <w:rsid w:val="00445BC8"/>
    <w:rsid w:val="004469EF"/>
    <w:rsid w:val="00450E0F"/>
    <w:rsid w:val="00451252"/>
    <w:rsid w:val="00451776"/>
    <w:rsid w:val="004525A2"/>
    <w:rsid w:val="00452AC3"/>
    <w:rsid w:val="00452E8E"/>
    <w:rsid w:val="00453003"/>
    <w:rsid w:val="0045442F"/>
    <w:rsid w:val="0045449C"/>
    <w:rsid w:val="00454738"/>
    <w:rsid w:val="00454EC0"/>
    <w:rsid w:val="00455977"/>
    <w:rsid w:val="004563EB"/>
    <w:rsid w:val="00456420"/>
    <w:rsid w:val="00456592"/>
    <w:rsid w:val="00456BDE"/>
    <w:rsid w:val="0045773C"/>
    <w:rsid w:val="00457FED"/>
    <w:rsid w:val="0046000D"/>
    <w:rsid w:val="00461280"/>
    <w:rsid w:val="004619EE"/>
    <w:rsid w:val="00461E29"/>
    <w:rsid w:val="00462013"/>
    <w:rsid w:val="00462360"/>
    <w:rsid w:val="00462518"/>
    <w:rsid w:val="004632F2"/>
    <w:rsid w:val="004644D2"/>
    <w:rsid w:val="00464BE7"/>
    <w:rsid w:val="00465002"/>
    <w:rsid w:val="004659D2"/>
    <w:rsid w:val="004661EB"/>
    <w:rsid w:val="0046633F"/>
    <w:rsid w:val="0046663D"/>
    <w:rsid w:val="0046698D"/>
    <w:rsid w:val="004672AD"/>
    <w:rsid w:val="0046769C"/>
    <w:rsid w:val="00467AE4"/>
    <w:rsid w:val="0047056A"/>
    <w:rsid w:val="00470A39"/>
    <w:rsid w:val="00471F72"/>
    <w:rsid w:val="00472CB0"/>
    <w:rsid w:val="00473040"/>
    <w:rsid w:val="0047377D"/>
    <w:rsid w:val="004738EF"/>
    <w:rsid w:val="00474BF5"/>
    <w:rsid w:val="00475A02"/>
    <w:rsid w:val="00476325"/>
    <w:rsid w:val="004773F1"/>
    <w:rsid w:val="004775E9"/>
    <w:rsid w:val="0047796A"/>
    <w:rsid w:val="00477D08"/>
    <w:rsid w:val="004801CD"/>
    <w:rsid w:val="00480261"/>
    <w:rsid w:val="0048126F"/>
    <w:rsid w:val="00482A8E"/>
    <w:rsid w:val="00482D5F"/>
    <w:rsid w:val="00483150"/>
    <w:rsid w:val="00484005"/>
    <w:rsid w:val="0048407B"/>
    <w:rsid w:val="004843C2"/>
    <w:rsid w:val="00484B64"/>
    <w:rsid w:val="00484DDB"/>
    <w:rsid w:val="004853B6"/>
    <w:rsid w:val="0048579F"/>
    <w:rsid w:val="00485A2A"/>
    <w:rsid w:val="00485E9B"/>
    <w:rsid w:val="00485EAF"/>
    <w:rsid w:val="004863DD"/>
    <w:rsid w:val="0048649F"/>
    <w:rsid w:val="004868E2"/>
    <w:rsid w:val="00486D08"/>
    <w:rsid w:val="00486F14"/>
    <w:rsid w:val="00487348"/>
    <w:rsid w:val="0048778E"/>
    <w:rsid w:val="004904DC"/>
    <w:rsid w:val="00490A81"/>
    <w:rsid w:val="00490B90"/>
    <w:rsid w:val="004910B8"/>
    <w:rsid w:val="00491401"/>
    <w:rsid w:val="00492565"/>
    <w:rsid w:val="0049382F"/>
    <w:rsid w:val="00493EB2"/>
    <w:rsid w:val="004942F8"/>
    <w:rsid w:val="0049496C"/>
    <w:rsid w:val="00494B56"/>
    <w:rsid w:val="004950C3"/>
    <w:rsid w:val="0049535E"/>
    <w:rsid w:val="004955A0"/>
    <w:rsid w:val="00496ADF"/>
    <w:rsid w:val="00496BCC"/>
    <w:rsid w:val="0049715A"/>
    <w:rsid w:val="00497A6C"/>
    <w:rsid w:val="00497AA2"/>
    <w:rsid w:val="004A042A"/>
    <w:rsid w:val="004A0809"/>
    <w:rsid w:val="004A0CE3"/>
    <w:rsid w:val="004A0D52"/>
    <w:rsid w:val="004A2C49"/>
    <w:rsid w:val="004A2C8B"/>
    <w:rsid w:val="004A2DB5"/>
    <w:rsid w:val="004A3570"/>
    <w:rsid w:val="004A3890"/>
    <w:rsid w:val="004A3E44"/>
    <w:rsid w:val="004A401A"/>
    <w:rsid w:val="004A4768"/>
    <w:rsid w:val="004A4892"/>
    <w:rsid w:val="004A5072"/>
    <w:rsid w:val="004A54A1"/>
    <w:rsid w:val="004A59ED"/>
    <w:rsid w:val="004A5C22"/>
    <w:rsid w:val="004A60F3"/>
    <w:rsid w:val="004A61AA"/>
    <w:rsid w:val="004A69E1"/>
    <w:rsid w:val="004A6BBD"/>
    <w:rsid w:val="004A6F24"/>
    <w:rsid w:val="004A6FCA"/>
    <w:rsid w:val="004A7124"/>
    <w:rsid w:val="004A7A44"/>
    <w:rsid w:val="004A7B2C"/>
    <w:rsid w:val="004B1C51"/>
    <w:rsid w:val="004B1C62"/>
    <w:rsid w:val="004B1DE8"/>
    <w:rsid w:val="004B2409"/>
    <w:rsid w:val="004B2BEC"/>
    <w:rsid w:val="004B3465"/>
    <w:rsid w:val="004B4AA4"/>
    <w:rsid w:val="004B5AC6"/>
    <w:rsid w:val="004B5AD8"/>
    <w:rsid w:val="004B5B2E"/>
    <w:rsid w:val="004B5FDC"/>
    <w:rsid w:val="004B636F"/>
    <w:rsid w:val="004B7CC7"/>
    <w:rsid w:val="004B7EBB"/>
    <w:rsid w:val="004C03CD"/>
    <w:rsid w:val="004C0A03"/>
    <w:rsid w:val="004C0C7B"/>
    <w:rsid w:val="004C1E44"/>
    <w:rsid w:val="004C2EC2"/>
    <w:rsid w:val="004C3146"/>
    <w:rsid w:val="004C3634"/>
    <w:rsid w:val="004C3CF8"/>
    <w:rsid w:val="004C4212"/>
    <w:rsid w:val="004C44AC"/>
    <w:rsid w:val="004C4CA2"/>
    <w:rsid w:val="004C5604"/>
    <w:rsid w:val="004C5635"/>
    <w:rsid w:val="004C5BF6"/>
    <w:rsid w:val="004C6145"/>
    <w:rsid w:val="004C6A62"/>
    <w:rsid w:val="004C6B13"/>
    <w:rsid w:val="004C6C81"/>
    <w:rsid w:val="004C7106"/>
    <w:rsid w:val="004C7692"/>
    <w:rsid w:val="004C78CB"/>
    <w:rsid w:val="004C791D"/>
    <w:rsid w:val="004D0A6C"/>
    <w:rsid w:val="004D1DD2"/>
    <w:rsid w:val="004D1FF2"/>
    <w:rsid w:val="004D3423"/>
    <w:rsid w:val="004D3713"/>
    <w:rsid w:val="004D3CD3"/>
    <w:rsid w:val="004D3D4E"/>
    <w:rsid w:val="004D40AF"/>
    <w:rsid w:val="004D4DD4"/>
    <w:rsid w:val="004D4EB2"/>
    <w:rsid w:val="004D5440"/>
    <w:rsid w:val="004D6930"/>
    <w:rsid w:val="004D6A38"/>
    <w:rsid w:val="004D6B22"/>
    <w:rsid w:val="004D7A78"/>
    <w:rsid w:val="004E1270"/>
    <w:rsid w:val="004E1CE1"/>
    <w:rsid w:val="004E238F"/>
    <w:rsid w:val="004E27D2"/>
    <w:rsid w:val="004E362A"/>
    <w:rsid w:val="004E38DA"/>
    <w:rsid w:val="004E3A71"/>
    <w:rsid w:val="004E3BC7"/>
    <w:rsid w:val="004E3D45"/>
    <w:rsid w:val="004E3F48"/>
    <w:rsid w:val="004E4360"/>
    <w:rsid w:val="004E43D9"/>
    <w:rsid w:val="004E4864"/>
    <w:rsid w:val="004E4C26"/>
    <w:rsid w:val="004E5340"/>
    <w:rsid w:val="004E5D94"/>
    <w:rsid w:val="004E5F8F"/>
    <w:rsid w:val="004E6A9B"/>
    <w:rsid w:val="004E77AF"/>
    <w:rsid w:val="004E7C26"/>
    <w:rsid w:val="004F0467"/>
    <w:rsid w:val="004F08A0"/>
    <w:rsid w:val="004F1DC4"/>
    <w:rsid w:val="004F1E5B"/>
    <w:rsid w:val="004F2041"/>
    <w:rsid w:val="004F2212"/>
    <w:rsid w:val="004F3120"/>
    <w:rsid w:val="004F33C1"/>
    <w:rsid w:val="004F3461"/>
    <w:rsid w:val="004F3509"/>
    <w:rsid w:val="004F485B"/>
    <w:rsid w:val="004F4C7C"/>
    <w:rsid w:val="004F5F3D"/>
    <w:rsid w:val="004F6800"/>
    <w:rsid w:val="004F689A"/>
    <w:rsid w:val="004F7C1C"/>
    <w:rsid w:val="005014DB"/>
    <w:rsid w:val="0050242F"/>
    <w:rsid w:val="00502D78"/>
    <w:rsid w:val="005030CC"/>
    <w:rsid w:val="0050311D"/>
    <w:rsid w:val="005033C4"/>
    <w:rsid w:val="00503519"/>
    <w:rsid w:val="00503C01"/>
    <w:rsid w:val="00503E9C"/>
    <w:rsid w:val="00504371"/>
    <w:rsid w:val="0050471A"/>
    <w:rsid w:val="00504F53"/>
    <w:rsid w:val="00505109"/>
    <w:rsid w:val="00505882"/>
    <w:rsid w:val="00506D52"/>
    <w:rsid w:val="0051066B"/>
    <w:rsid w:val="00511A40"/>
    <w:rsid w:val="00512056"/>
    <w:rsid w:val="00512637"/>
    <w:rsid w:val="005136C8"/>
    <w:rsid w:val="00513AF0"/>
    <w:rsid w:val="00514121"/>
    <w:rsid w:val="00515159"/>
    <w:rsid w:val="00515A3D"/>
    <w:rsid w:val="00516DBC"/>
    <w:rsid w:val="00516E33"/>
    <w:rsid w:val="00517B22"/>
    <w:rsid w:val="00520BAE"/>
    <w:rsid w:val="00520F89"/>
    <w:rsid w:val="00520FE8"/>
    <w:rsid w:val="0052106D"/>
    <w:rsid w:val="00521104"/>
    <w:rsid w:val="00521325"/>
    <w:rsid w:val="00521520"/>
    <w:rsid w:val="00521768"/>
    <w:rsid w:val="00521B09"/>
    <w:rsid w:val="00522765"/>
    <w:rsid w:val="005227AB"/>
    <w:rsid w:val="005234B3"/>
    <w:rsid w:val="00523A61"/>
    <w:rsid w:val="005245F1"/>
    <w:rsid w:val="00524C20"/>
    <w:rsid w:val="005254BC"/>
    <w:rsid w:val="005255B2"/>
    <w:rsid w:val="00525A4A"/>
    <w:rsid w:val="005276ED"/>
    <w:rsid w:val="00527BAA"/>
    <w:rsid w:val="00530439"/>
    <w:rsid w:val="00531003"/>
    <w:rsid w:val="005313B8"/>
    <w:rsid w:val="00531C76"/>
    <w:rsid w:val="00532D60"/>
    <w:rsid w:val="00533203"/>
    <w:rsid w:val="005335FD"/>
    <w:rsid w:val="005336A7"/>
    <w:rsid w:val="0053430A"/>
    <w:rsid w:val="00534B24"/>
    <w:rsid w:val="00535172"/>
    <w:rsid w:val="00535F22"/>
    <w:rsid w:val="00535FCE"/>
    <w:rsid w:val="00536F6A"/>
    <w:rsid w:val="00537979"/>
    <w:rsid w:val="00540060"/>
    <w:rsid w:val="00540A59"/>
    <w:rsid w:val="00541ADF"/>
    <w:rsid w:val="00542121"/>
    <w:rsid w:val="00543095"/>
    <w:rsid w:val="0054353C"/>
    <w:rsid w:val="00543D77"/>
    <w:rsid w:val="0054658A"/>
    <w:rsid w:val="00546602"/>
    <w:rsid w:val="00546B42"/>
    <w:rsid w:val="00546CEF"/>
    <w:rsid w:val="00546D0B"/>
    <w:rsid w:val="00546EDE"/>
    <w:rsid w:val="00547B5F"/>
    <w:rsid w:val="005506AF"/>
    <w:rsid w:val="00550900"/>
    <w:rsid w:val="00551359"/>
    <w:rsid w:val="005517C1"/>
    <w:rsid w:val="005522E0"/>
    <w:rsid w:val="0055265D"/>
    <w:rsid w:val="00552AA5"/>
    <w:rsid w:val="0055333B"/>
    <w:rsid w:val="005537CE"/>
    <w:rsid w:val="00553ECF"/>
    <w:rsid w:val="00554786"/>
    <w:rsid w:val="00554856"/>
    <w:rsid w:val="00554EC5"/>
    <w:rsid w:val="0055508D"/>
    <w:rsid w:val="005550EF"/>
    <w:rsid w:val="005559B6"/>
    <w:rsid w:val="00555D04"/>
    <w:rsid w:val="00555EF1"/>
    <w:rsid w:val="005564CE"/>
    <w:rsid w:val="0055662E"/>
    <w:rsid w:val="005572DE"/>
    <w:rsid w:val="00561149"/>
    <w:rsid w:val="0056126B"/>
    <w:rsid w:val="00561610"/>
    <w:rsid w:val="005626D9"/>
    <w:rsid w:val="00562AB6"/>
    <w:rsid w:val="00562D81"/>
    <w:rsid w:val="00562E94"/>
    <w:rsid w:val="005640CD"/>
    <w:rsid w:val="0056436D"/>
    <w:rsid w:val="00564747"/>
    <w:rsid w:val="00564BAE"/>
    <w:rsid w:val="005652F0"/>
    <w:rsid w:val="0056532B"/>
    <w:rsid w:val="00565BC4"/>
    <w:rsid w:val="00566069"/>
    <w:rsid w:val="005663BC"/>
    <w:rsid w:val="00566571"/>
    <w:rsid w:val="00566C90"/>
    <w:rsid w:val="00566DDD"/>
    <w:rsid w:val="00567E77"/>
    <w:rsid w:val="005705F1"/>
    <w:rsid w:val="00572676"/>
    <w:rsid w:val="005726DF"/>
    <w:rsid w:val="00574808"/>
    <w:rsid w:val="00574B07"/>
    <w:rsid w:val="00575E42"/>
    <w:rsid w:val="005767D2"/>
    <w:rsid w:val="00576E60"/>
    <w:rsid w:val="005778DB"/>
    <w:rsid w:val="00577CAC"/>
    <w:rsid w:val="00577DDB"/>
    <w:rsid w:val="005804EA"/>
    <w:rsid w:val="00581290"/>
    <w:rsid w:val="005814BC"/>
    <w:rsid w:val="00581A2E"/>
    <w:rsid w:val="00581B3D"/>
    <w:rsid w:val="00581CCE"/>
    <w:rsid w:val="00582002"/>
    <w:rsid w:val="00582231"/>
    <w:rsid w:val="005825D8"/>
    <w:rsid w:val="00583435"/>
    <w:rsid w:val="00583A2B"/>
    <w:rsid w:val="00583D09"/>
    <w:rsid w:val="00583EB1"/>
    <w:rsid w:val="0058453D"/>
    <w:rsid w:val="00585279"/>
    <w:rsid w:val="00585409"/>
    <w:rsid w:val="00585A7B"/>
    <w:rsid w:val="00586626"/>
    <w:rsid w:val="00586696"/>
    <w:rsid w:val="00587384"/>
    <w:rsid w:val="005875D1"/>
    <w:rsid w:val="005907EC"/>
    <w:rsid w:val="00591B7F"/>
    <w:rsid w:val="005923F8"/>
    <w:rsid w:val="00593664"/>
    <w:rsid w:val="00593720"/>
    <w:rsid w:val="00593738"/>
    <w:rsid w:val="00594922"/>
    <w:rsid w:val="00594B18"/>
    <w:rsid w:val="00594B84"/>
    <w:rsid w:val="00594BCE"/>
    <w:rsid w:val="00595152"/>
    <w:rsid w:val="0059525B"/>
    <w:rsid w:val="005953AB"/>
    <w:rsid w:val="00595639"/>
    <w:rsid w:val="005968AB"/>
    <w:rsid w:val="00596BA4"/>
    <w:rsid w:val="005A08FD"/>
    <w:rsid w:val="005A124A"/>
    <w:rsid w:val="005A1A9C"/>
    <w:rsid w:val="005A1DBF"/>
    <w:rsid w:val="005A2EE4"/>
    <w:rsid w:val="005A2F9E"/>
    <w:rsid w:val="005A372A"/>
    <w:rsid w:val="005A37EF"/>
    <w:rsid w:val="005A3A14"/>
    <w:rsid w:val="005A3C06"/>
    <w:rsid w:val="005A3D43"/>
    <w:rsid w:val="005A4C01"/>
    <w:rsid w:val="005A5116"/>
    <w:rsid w:val="005A5DB8"/>
    <w:rsid w:val="005A6432"/>
    <w:rsid w:val="005A66CB"/>
    <w:rsid w:val="005A6912"/>
    <w:rsid w:val="005A6AF3"/>
    <w:rsid w:val="005A7893"/>
    <w:rsid w:val="005A7A59"/>
    <w:rsid w:val="005B0332"/>
    <w:rsid w:val="005B11FD"/>
    <w:rsid w:val="005B2CDA"/>
    <w:rsid w:val="005B2F6D"/>
    <w:rsid w:val="005B3112"/>
    <w:rsid w:val="005B358B"/>
    <w:rsid w:val="005B381D"/>
    <w:rsid w:val="005B4351"/>
    <w:rsid w:val="005B4746"/>
    <w:rsid w:val="005B4976"/>
    <w:rsid w:val="005B5054"/>
    <w:rsid w:val="005B5F3D"/>
    <w:rsid w:val="005B644A"/>
    <w:rsid w:val="005B69BC"/>
    <w:rsid w:val="005B6A80"/>
    <w:rsid w:val="005B6D0E"/>
    <w:rsid w:val="005B6EAF"/>
    <w:rsid w:val="005B7795"/>
    <w:rsid w:val="005B7E74"/>
    <w:rsid w:val="005C08CE"/>
    <w:rsid w:val="005C0CF6"/>
    <w:rsid w:val="005C107D"/>
    <w:rsid w:val="005C2A6E"/>
    <w:rsid w:val="005C3B33"/>
    <w:rsid w:val="005C3D3E"/>
    <w:rsid w:val="005C4145"/>
    <w:rsid w:val="005C4A0E"/>
    <w:rsid w:val="005C4F15"/>
    <w:rsid w:val="005C552A"/>
    <w:rsid w:val="005C6382"/>
    <w:rsid w:val="005C6492"/>
    <w:rsid w:val="005C6BDE"/>
    <w:rsid w:val="005C7288"/>
    <w:rsid w:val="005C74E9"/>
    <w:rsid w:val="005C7732"/>
    <w:rsid w:val="005D03BE"/>
    <w:rsid w:val="005D0859"/>
    <w:rsid w:val="005D0AF2"/>
    <w:rsid w:val="005D169E"/>
    <w:rsid w:val="005D1C3C"/>
    <w:rsid w:val="005D2441"/>
    <w:rsid w:val="005D27A6"/>
    <w:rsid w:val="005D3237"/>
    <w:rsid w:val="005D45F4"/>
    <w:rsid w:val="005D5366"/>
    <w:rsid w:val="005D5646"/>
    <w:rsid w:val="005D575E"/>
    <w:rsid w:val="005D5F50"/>
    <w:rsid w:val="005D61C9"/>
    <w:rsid w:val="005D6A6F"/>
    <w:rsid w:val="005D701C"/>
    <w:rsid w:val="005D721C"/>
    <w:rsid w:val="005E0F09"/>
    <w:rsid w:val="005E1DA1"/>
    <w:rsid w:val="005E2114"/>
    <w:rsid w:val="005E242C"/>
    <w:rsid w:val="005E249E"/>
    <w:rsid w:val="005E25B1"/>
    <w:rsid w:val="005E25F7"/>
    <w:rsid w:val="005E2C78"/>
    <w:rsid w:val="005E312B"/>
    <w:rsid w:val="005E32F1"/>
    <w:rsid w:val="005E3B77"/>
    <w:rsid w:val="005E4FD0"/>
    <w:rsid w:val="005E5C50"/>
    <w:rsid w:val="005E6167"/>
    <w:rsid w:val="005E642C"/>
    <w:rsid w:val="005E64C7"/>
    <w:rsid w:val="005E68D6"/>
    <w:rsid w:val="005E6A26"/>
    <w:rsid w:val="005E6A66"/>
    <w:rsid w:val="005E7F31"/>
    <w:rsid w:val="005F08CB"/>
    <w:rsid w:val="005F0F84"/>
    <w:rsid w:val="005F15E6"/>
    <w:rsid w:val="005F1DD0"/>
    <w:rsid w:val="005F3245"/>
    <w:rsid w:val="005F3346"/>
    <w:rsid w:val="005F3673"/>
    <w:rsid w:val="005F3682"/>
    <w:rsid w:val="005F3BAB"/>
    <w:rsid w:val="005F41C5"/>
    <w:rsid w:val="005F4DDA"/>
    <w:rsid w:val="005F5ECC"/>
    <w:rsid w:val="005F623C"/>
    <w:rsid w:val="005F6389"/>
    <w:rsid w:val="005F66AB"/>
    <w:rsid w:val="005F7031"/>
    <w:rsid w:val="005F7C6E"/>
    <w:rsid w:val="00600EAF"/>
    <w:rsid w:val="00601617"/>
    <w:rsid w:val="006016AC"/>
    <w:rsid w:val="00601D04"/>
    <w:rsid w:val="00602FCA"/>
    <w:rsid w:val="006030F6"/>
    <w:rsid w:val="006033A4"/>
    <w:rsid w:val="006039F3"/>
    <w:rsid w:val="0060463A"/>
    <w:rsid w:val="00604D19"/>
    <w:rsid w:val="00605704"/>
    <w:rsid w:val="00605801"/>
    <w:rsid w:val="00605B25"/>
    <w:rsid w:val="006068DA"/>
    <w:rsid w:val="00607376"/>
    <w:rsid w:val="00607384"/>
    <w:rsid w:val="006078C9"/>
    <w:rsid w:val="0061083E"/>
    <w:rsid w:val="00611629"/>
    <w:rsid w:val="00612441"/>
    <w:rsid w:val="006129F8"/>
    <w:rsid w:val="00613A8A"/>
    <w:rsid w:val="00613B87"/>
    <w:rsid w:val="0061412E"/>
    <w:rsid w:val="00614645"/>
    <w:rsid w:val="00614A89"/>
    <w:rsid w:val="006150CE"/>
    <w:rsid w:val="00616139"/>
    <w:rsid w:val="0061647E"/>
    <w:rsid w:val="00616995"/>
    <w:rsid w:val="006169E0"/>
    <w:rsid w:val="00616E39"/>
    <w:rsid w:val="00617A14"/>
    <w:rsid w:val="00617ECD"/>
    <w:rsid w:val="00617FE0"/>
    <w:rsid w:val="006201F3"/>
    <w:rsid w:val="006206F2"/>
    <w:rsid w:val="0062077E"/>
    <w:rsid w:val="006209C6"/>
    <w:rsid w:val="00620F57"/>
    <w:rsid w:val="006210C0"/>
    <w:rsid w:val="006224BF"/>
    <w:rsid w:val="00622577"/>
    <w:rsid w:val="00622796"/>
    <w:rsid w:val="006231DC"/>
    <w:rsid w:val="00623A35"/>
    <w:rsid w:val="00623BD0"/>
    <w:rsid w:val="00623FA4"/>
    <w:rsid w:val="0062433F"/>
    <w:rsid w:val="00624809"/>
    <w:rsid w:val="00624C05"/>
    <w:rsid w:val="00624EB0"/>
    <w:rsid w:val="006261D5"/>
    <w:rsid w:val="006269FD"/>
    <w:rsid w:val="006270AB"/>
    <w:rsid w:val="0063028D"/>
    <w:rsid w:val="006302D2"/>
    <w:rsid w:val="00632470"/>
    <w:rsid w:val="00632632"/>
    <w:rsid w:val="00632B55"/>
    <w:rsid w:val="00632ED1"/>
    <w:rsid w:val="00633067"/>
    <w:rsid w:val="006338FD"/>
    <w:rsid w:val="00633BB4"/>
    <w:rsid w:val="00633DEA"/>
    <w:rsid w:val="006340C9"/>
    <w:rsid w:val="006343BB"/>
    <w:rsid w:val="00634A9E"/>
    <w:rsid w:val="00634D03"/>
    <w:rsid w:val="00635083"/>
    <w:rsid w:val="00635188"/>
    <w:rsid w:val="00636C02"/>
    <w:rsid w:val="0063726C"/>
    <w:rsid w:val="00637EB4"/>
    <w:rsid w:val="006400F5"/>
    <w:rsid w:val="00640496"/>
    <w:rsid w:val="006409D5"/>
    <w:rsid w:val="00642A11"/>
    <w:rsid w:val="00642CA1"/>
    <w:rsid w:val="00643089"/>
    <w:rsid w:val="00643364"/>
    <w:rsid w:val="0064364A"/>
    <w:rsid w:val="00643AB5"/>
    <w:rsid w:val="00643F1F"/>
    <w:rsid w:val="0064440F"/>
    <w:rsid w:val="00644E00"/>
    <w:rsid w:val="00645BC6"/>
    <w:rsid w:val="006463D3"/>
    <w:rsid w:val="006464C6"/>
    <w:rsid w:val="00647599"/>
    <w:rsid w:val="006475BB"/>
    <w:rsid w:val="00650CB0"/>
    <w:rsid w:val="006522E8"/>
    <w:rsid w:val="006526A9"/>
    <w:rsid w:val="00652CFF"/>
    <w:rsid w:val="006531CA"/>
    <w:rsid w:val="0065338A"/>
    <w:rsid w:val="006535CE"/>
    <w:rsid w:val="00653888"/>
    <w:rsid w:val="00654093"/>
    <w:rsid w:val="006550A8"/>
    <w:rsid w:val="00656561"/>
    <w:rsid w:val="00656661"/>
    <w:rsid w:val="00656715"/>
    <w:rsid w:val="00656763"/>
    <w:rsid w:val="00656CB1"/>
    <w:rsid w:val="00657818"/>
    <w:rsid w:val="00657900"/>
    <w:rsid w:val="00657B71"/>
    <w:rsid w:val="00660088"/>
    <w:rsid w:val="00660202"/>
    <w:rsid w:val="00660BBE"/>
    <w:rsid w:val="006612DD"/>
    <w:rsid w:val="00661A71"/>
    <w:rsid w:val="0066273E"/>
    <w:rsid w:val="00663CC2"/>
    <w:rsid w:val="00663FC3"/>
    <w:rsid w:val="00664649"/>
    <w:rsid w:val="006647E2"/>
    <w:rsid w:val="006648B4"/>
    <w:rsid w:val="00664F88"/>
    <w:rsid w:val="006654EA"/>
    <w:rsid w:val="00665B91"/>
    <w:rsid w:val="00666010"/>
    <w:rsid w:val="006667FE"/>
    <w:rsid w:val="00666A60"/>
    <w:rsid w:val="00666A8E"/>
    <w:rsid w:val="00666FAF"/>
    <w:rsid w:val="00670019"/>
    <w:rsid w:val="00670577"/>
    <w:rsid w:val="006707EB"/>
    <w:rsid w:val="0067086B"/>
    <w:rsid w:val="006708F3"/>
    <w:rsid w:val="00673AD8"/>
    <w:rsid w:val="0067428B"/>
    <w:rsid w:val="006751C8"/>
    <w:rsid w:val="0067652F"/>
    <w:rsid w:val="006772FE"/>
    <w:rsid w:val="00677ED7"/>
    <w:rsid w:val="00680190"/>
    <w:rsid w:val="006805F0"/>
    <w:rsid w:val="00680601"/>
    <w:rsid w:val="00681229"/>
    <w:rsid w:val="00681E1F"/>
    <w:rsid w:val="006820E6"/>
    <w:rsid w:val="006849C5"/>
    <w:rsid w:val="00684DE9"/>
    <w:rsid w:val="00684F45"/>
    <w:rsid w:val="0068652B"/>
    <w:rsid w:val="00686922"/>
    <w:rsid w:val="00686D7A"/>
    <w:rsid w:val="0069048A"/>
    <w:rsid w:val="0069049E"/>
    <w:rsid w:val="00690714"/>
    <w:rsid w:val="0069087B"/>
    <w:rsid w:val="006909E7"/>
    <w:rsid w:val="00690F15"/>
    <w:rsid w:val="00691531"/>
    <w:rsid w:val="0069346B"/>
    <w:rsid w:val="00694473"/>
    <w:rsid w:val="0069448F"/>
    <w:rsid w:val="00694D6C"/>
    <w:rsid w:val="00694DDD"/>
    <w:rsid w:val="0069523D"/>
    <w:rsid w:val="00695C3F"/>
    <w:rsid w:val="00696598"/>
    <w:rsid w:val="0069754C"/>
    <w:rsid w:val="006A14FA"/>
    <w:rsid w:val="006A313D"/>
    <w:rsid w:val="006A3BDE"/>
    <w:rsid w:val="006A497A"/>
    <w:rsid w:val="006A4D1C"/>
    <w:rsid w:val="006A4D22"/>
    <w:rsid w:val="006A50D1"/>
    <w:rsid w:val="006A5877"/>
    <w:rsid w:val="006A5BFC"/>
    <w:rsid w:val="006A5CE9"/>
    <w:rsid w:val="006A621A"/>
    <w:rsid w:val="006A6C12"/>
    <w:rsid w:val="006A726B"/>
    <w:rsid w:val="006A7B33"/>
    <w:rsid w:val="006A7CBA"/>
    <w:rsid w:val="006B0687"/>
    <w:rsid w:val="006B0978"/>
    <w:rsid w:val="006B0D9C"/>
    <w:rsid w:val="006B156F"/>
    <w:rsid w:val="006B21DE"/>
    <w:rsid w:val="006B295B"/>
    <w:rsid w:val="006B391F"/>
    <w:rsid w:val="006B5913"/>
    <w:rsid w:val="006B5E38"/>
    <w:rsid w:val="006B652F"/>
    <w:rsid w:val="006B6633"/>
    <w:rsid w:val="006C0CEC"/>
    <w:rsid w:val="006C1147"/>
    <w:rsid w:val="006C1FD9"/>
    <w:rsid w:val="006C2019"/>
    <w:rsid w:val="006C2220"/>
    <w:rsid w:val="006C3405"/>
    <w:rsid w:val="006C4753"/>
    <w:rsid w:val="006C4BDD"/>
    <w:rsid w:val="006C4D9A"/>
    <w:rsid w:val="006C5680"/>
    <w:rsid w:val="006C642C"/>
    <w:rsid w:val="006C6469"/>
    <w:rsid w:val="006C65DC"/>
    <w:rsid w:val="006C6A33"/>
    <w:rsid w:val="006C7B34"/>
    <w:rsid w:val="006C7C53"/>
    <w:rsid w:val="006D008D"/>
    <w:rsid w:val="006D061D"/>
    <w:rsid w:val="006D081C"/>
    <w:rsid w:val="006D08FF"/>
    <w:rsid w:val="006D0F87"/>
    <w:rsid w:val="006D1106"/>
    <w:rsid w:val="006D11C5"/>
    <w:rsid w:val="006D143B"/>
    <w:rsid w:val="006D17AF"/>
    <w:rsid w:val="006D2664"/>
    <w:rsid w:val="006D2D60"/>
    <w:rsid w:val="006D4428"/>
    <w:rsid w:val="006D4503"/>
    <w:rsid w:val="006D4629"/>
    <w:rsid w:val="006D4BC9"/>
    <w:rsid w:val="006D5066"/>
    <w:rsid w:val="006D50E0"/>
    <w:rsid w:val="006D5C33"/>
    <w:rsid w:val="006D5DD6"/>
    <w:rsid w:val="006D5E11"/>
    <w:rsid w:val="006D649B"/>
    <w:rsid w:val="006D6586"/>
    <w:rsid w:val="006D6710"/>
    <w:rsid w:val="006D6EC7"/>
    <w:rsid w:val="006D72AF"/>
    <w:rsid w:val="006D7F44"/>
    <w:rsid w:val="006E0220"/>
    <w:rsid w:val="006E062A"/>
    <w:rsid w:val="006E0A61"/>
    <w:rsid w:val="006E166E"/>
    <w:rsid w:val="006E1B01"/>
    <w:rsid w:val="006E1C3A"/>
    <w:rsid w:val="006E2293"/>
    <w:rsid w:val="006E2AFD"/>
    <w:rsid w:val="006E2D03"/>
    <w:rsid w:val="006E3246"/>
    <w:rsid w:val="006E3627"/>
    <w:rsid w:val="006E38AF"/>
    <w:rsid w:val="006E3EDD"/>
    <w:rsid w:val="006E4DFF"/>
    <w:rsid w:val="006E5E5C"/>
    <w:rsid w:val="006E60D8"/>
    <w:rsid w:val="006E6936"/>
    <w:rsid w:val="006E7C86"/>
    <w:rsid w:val="006E7DD9"/>
    <w:rsid w:val="006F0F1D"/>
    <w:rsid w:val="006F1220"/>
    <w:rsid w:val="006F1304"/>
    <w:rsid w:val="006F198F"/>
    <w:rsid w:val="006F2214"/>
    <w:rsid w:val="006F2D4C"/>
    <w:rsid w:val="006F3990"/>
    <w:rsid w:val="006F3A0C"/>
    <w:rsid w:val="006F3FDE"/>
    <w:rsid w:val="006F43B7"/>
    <w:rsid w:val="006F4842"/>
    <w:rsid w:val="006F50D3"/>
    <w:rsid w:val="006F5613"/>
    <w:rsid w:val="006F5652"/>
    <w:rsid w:val="006F62FD"/>
    <w:rsid w:val="006F6629"/>
    <w:rsid w:val="006F671D"/>
    <w:rsid w:val="006F6A33"/>
    <w:rsid w:val="006F746C"/>
    <w:rsid w:val="006F75A6"/>
    <w:rsid w:val="006F7C94"/>
    <w:rsid w:val="007005F9"/>
    <w:rsid w:val="00700FB1"/>
    <w:rsid w:val="00701408"/>
    <w:rsid w:val="007015CD"/>
    <w:rsid w:val="00701980"/>
    <w:rsid w:val="00701B05"/>
    <w:rsid w:val="00701F60"/>
    <w:rsid w:val="00703674"/>
    <w:rsid w:val="00703B71"/>
    <w:rsid w:val="007047A6"/>
    <w:rsid w:val="007049A4"/>
    <w:rsid w:val="00705651"/>
    <w:rsid w:val="007058E3"/>
    <w:rsid w:val="00705D42"/>
    <w:rsid w:val="00707426"/>
    <w:rsid w:val="00707604"/>
    <w:rsid w:val="00707A90"/>
    <w:rsid w:val="00707DB9"/>
    <w:rsid w:val="00710731"/>
    <w:rsid w:val="007107E9"/>
    <w:rsid w:val="00710BDB"/>
    <w:rsid w:val="00710D76"/>
    <w:rsid w:val="007116DE"/>
    <w:rsid w:val="00711792"/>
    <w:rsid w:val="00712A6B"/>
    <w:rsid w:val="00712BE4"/>
    <w:rsid w:val="00714BEA"/>
    <w:rsid w:val="00714C7F"/>
    <w:rsid w:val="007153A4"/>
    <w:rsid w:val="00715D47"/>
    <w:rsid w:val="00716CFE"/>
    <w:rsid w:val="00717370"/>
    <w:rsid w:val="00717401"/>
    <w:rsid w:val="00717713"/>
    <w:rsid w:val="0072044B"/>
    <w:rsid w:val="00721004"/>
    <w:rsid w:val="007211C1"/>
    <w:rsid w:val="00721654"/>
    <w:rsid w:val="0072233C"/>
    <w:rsid w:val="00722772"/>
    <w:rsid w:val="00722A16"/>
    <w:rsid w:val="00723442"/>
    <w:rsid w:val="00723FC8"/>
    <w:rsid w:val="007241E0"/>
    <w:rsid w:val="007243CA"/>
    <w:rsid w:val="00724656"/>
    <w:rsid w:val="00724ED3"/>
    <w:rsid w:val="00724F9D"/>
    <w:rsid w:val="00725FFA"/>
    <w:rsid w:val="0072604E"/>
    <w:rsid w:val="00726B6E"/>
    <w:rsid w:val="00726BB5"/>
    <w:rsid w:val="00726FD8"/>
    <w:rsid w:val="0072716E"/>
    <w:rsid w:val="007275C3"/>
    <w:rsid w:val="00727D1B"/>
    <w:rsid w:val="00727D81"/>
    <w:rsid w:val="00727E44"/>
    <w:rsid w:val="00730079"/>
    <w:rsid w:val="00730237"/>
    <w:rsid w:val="00730297"/>
    <w:rsid w:val="007305B6"/>
    <w:rsid w:val="00730945"/>
    <w:rsid w:val="00731404"/>
    <w:rsid w:val="007317D9"/>
    <w:rsid w:val="00731D85"/>
    <w:rsid w:val="007321C5"/>
    <w:rsid w:val="00732327"/>
    <w:rsid w:val="007330FA"/>
    <w:rsid w:val="0073325E"/>
    <w:rsid w:val="007334D5"/>
    <w:rsid w:val="00733970"/>
    <w:rsid w:val="00733D82"/>
    <w:rsid w:val="007340AE"/>
    <w:rsid w:val="007341AE"/>
    <w:rsid w:val="00734271"/>
    <w:rsid w:val="00734C98"/>
    <w:rsid w:val="00734ED5"/>
    <w:rsid w:val="007350E3"/>
    <w:rsid w:val="007351BE"/>
    <w:rsid w:val="007351CD"/>
    <w:rsid w:val="00736024"/>
    <w:rsid w:val="007366DE"/>
    <w:rsid w:val="00736E41"/>
    <w:rsid w:val="0074059D"/>
    <w:rsid w:val="007405A7"/>
    <w:rsid w:val="007416F4"/>
    <w:rsid w:val="00741924"/>
    <w:rsid w:val="00741FF8"/>
    <w:rsid w:val="0074285B"/>
    <w:rsid w:val="007428F4"/>
    <w:rsid w:val="00745479"/>
    <w:rsid w:val="00745518"/>
    <w:rsid w:val="00745BC2"/>
    <w:rsid w:val="0074659E"/>
    <w:rsid w:val="007465E6"/>
    <w:rsid w:val="00746BD6"/>
    <w:rsid w:val="007475CC"/>
    <w:rsid w:val="00747C30"/>
    <w:rsid w:val="00747E8A"/>
    <w:rsid w:val="0075029E"/>
    <w:rsid w:val="00750361"/>
    <w:rsid w:val="007515C5"/>
    <w:rsid w:val="007516EF"/>
    <w:rsid w:val="00751E51"/>
    <w:rsid w:val="00752128"/>
    <w:rsid w:val="00752199"/>
    <w:rsid w:val="00752973"/>
    <w:rsid w:val="00753039"/>
    <w:rsid w:val="007539E1"/>
    <w:rsid w:val="0075572D"/>
    <w:rsid w:val="00755C6B"/>
    <w:rsid w:val="0075628B"/>
    <w:rsid w:val="00756423"/>
    <w:rsid w:val="00756CD3"/>
    <w:rsid w:val="007604F3"/>
    <w:rsid w:val="00762060"/>
    <w:rsid w:val="0076224A"/>
    <w:rsid w:val="00762D3A"/>
    <w:rsid w:val="007632E9"/>
    <w:rsid w:val="00763EB0"/>
    <w:rsid w:val="00765B68"/>
    <w:rsid w:val="00765C58"/>
    <w:rsid w:val="00765CA4"/>
    <w:rsid w:val="00765F12"/>
    <w:rsid w:val="0076756C"/>
    <w:rsid w:val="00767661"/>
    <w:rsid w:val="00767DDA"/>
    <w:rsid w:val="0077175C"/>
    <w:rsid w:val="00771AC4"/>
    <w:rsid w:val="00771C61"/>
    <w:rsid w:val="00771F5E"/>
    <w:rsid w:val="007724D8"/>
    <w:rsid w:val="00772973"/>
    <w:rsid w:val="00772D52"/>
    <w:rsid w:val="00773CCF"/>
    <w:rsid w:val="00773F23"/>
    <w:rsid w:val="0077438B"/>
    <w:rsid w:val="00774712"/>
    <w:rsid w:val="00774B5E"/>
    <w:rsid w:val="00775047"/>
    <w:rsid w:val="00775F74"/>
    <w:rsid w:val="007760E5"/>
    <w:rsid w:val="00776532"/>
    <w:rsid w:val="00776665"/>
    <w:rsid w:val="00776EA8"/>
    <w:rsid w:val="0077751C"/>
    <w:rsid w:val="00777E4D"/>
    <w:rsid w:val="00780138"/>
    <w:rsid w:val="00780C54"/>
    <w:rsid w:val="007811CA"/>
    <w:rsid w:val="00781280"/>
    <w:rsid w:val="00781338"/>
    <w:rsid w:val="00781BCE"/>
    <w:rsid w:val="0078211E"/>
    <w:rsid w:val="00782FDA"/>
    <w:rsid w:val="00783B9D"/>
    <w:rsid w:val="00783E7A"/>
    <w:rsid w:val="007850A7"/>
    <w:rsid w:val="0078576A"/>
    <w:rsid w:val="00785954"/>
    <w:rsid w:val="0078634C"/>
    <w:rsid w:val="00787018"/>
    <w:rsid w:val="007875FE"/>
    <w:rsid w:val="007878D1"/>
    <w:rsid w:val="0079004D"/>
    <w:rsid w:val="007906C2"/>
    <w:rsid w:val="007910E5"/>
    <w:rsid w:val="007929CA"/>
    <w:rsid w:val="00793495"/>
    <w:rsid w:val="00794B55"/>
    <w:rsid w:val="0079636B"/>
    <w:rsid w:val="007965AB"/>
    <w:rsid w:val="007966A1"/>
    <w:rsid w:val="007967DF"/>
    <w:rsid w:val="00796868"/>
    <w:rsid w:val="00797F7B"/>
    <w:rsid w:val="007A0087"/>
    <w:rsid w:val="007A01B8"/>
    <w:rsid w:val="007A07FD"/>
    <w:rsid w:val="007A0DA4"/>
    <w:rsid w:val="007A18AF"/>
    <w:rsid w:val="007A1AFA"/>
    <w:rsid w:val="007A1CB7"/>
    <w:rsid w:val="007A1F8B"/>
    <w:rsid w:val="007A2132"/>
    <w:rsid w:val="007A29FE"/>
    <w:rsid w:val="007A2ED8"/>
    <w:rsid w:val="007A3043"/>
    <w:rsid w:val="007A345E"/>
    <w:rsid w:val="007A3954"/>
    <w:rsid w:val="007A3E13"/>
    <w:rsid w:val="007A42E7"/>
    <w:rsid w:val="007A4406"/>
    <w:rsid w:val="007A47E3"/>
    <w:rsid w:val="007A4B00"/>
    <w:rsid w:val="007A54AC"/>
    <w:rsid w:val="007A55F7"/>
    <w:rsid w:val="007A5AF5"/>
    <w:rsid w:val="007A62C2"/>
    <w:rsid w:val="007A65DE"/>
    <w:rsid w:val="007A6EA4"/>
    <w:rsid w:val="007A7823"/>
    <w:rsid w:val="007A7C07"/>
    <w:rsid w:val="007B10FB"/>
    <w:rsid w:val="007B13A0"/>
    <w:rsid w:val="007B259C"/>
    <w:rsid w:val="007B2C3C"/>
    <w:rsid w:val="007B3FAB"/>
    <w:rsid w:val="007B589E"/>
    <w:rsid w:val="007B5E03"/>
    <w:rsid w:val="007B5E19"/>
    <w:rsid w:val="007B6CEC"/>
    <w:rsid w:val="007B6DDA"/>
    <w:rsid w:val="007B6F19"/>
    <w:rsid w:val="007B71D1"/>
    <w:rsid w:val="007B7A4E"/>
    <w:rsid w:val="007B7A70"/>
    <w:rsid w:val="007B7F68"/>
    <w:rsid w:val="007C00B5"/>
    <w:rsid w:val="007C018C"/>
    <w:rsid w:val="007C08F8"/>
    <w:rsid w:val="007C0D97"/>
    <w:rsid w:val="007C12F0"/>
    <w:rsid w:val="007C144B"/>
    <w:rsid w:val="007C2C86"/>
    <w:rsid w:val="007C2CD8"/>
    <w:rsid w:val="007C2EDE"/>
    <w:rsid w:val="007C33F2"/>
    <w:rsid w:val="007C3406"/>
    <w:rsid w:val="007C34E1"/>
    <w:rsid w:val="007C3740"/>
    <w:rsid w:val="007C3ADC"/>
    <w:rsid w:val="007C4B86"/>
    <w:rsid w:val="007C4D6B"/>
    <w:rsid w:val="007C6A09"/>
    <w:rsid w:val="007C7487"/>
    <w:rsid w:val="007D0439"/>
    <w:rsid w:val="007D0C4B"/>
    <w:rsid w:val="007D0D2D"/>
    <w:rsid w:val="007D17A5"/>
    <w:rsid w:val="007D2DEA"/>
    <w:rsid w:val="007D31F0"/>
    <w:rsid w:val="007D3668"/>
    <w:rsid w:val="007D3AFD"/>
    <w:rsid w:val="007D4043"/>
    <w:rsid w:val="007D456F"/>
    <w:rsid w:val="007D465F"/>
    <w:rsid w:val="007D466E"/>
    <w:rsid w:val="007D6045"/>
    <w:rsid w:val="007D6679"/>
    <w:rsid w:val="007D6A8A"/>
    <w:rsid w:val="007D7043"/>
    <w:rsid w:val="007E0B0E"/>
    <w:rsid w:val="007E11DE"/>
    <w:rsid w:val="007E1AD2"/>
    <w:rsid w:val="007E1D99"/>
    <w:rsid w:val="007E2313"/>
    <w:rsid w:val="007E2A92"/>
    <w:rsid w:val="007E307F"/>
    <w:rsid w:val="007E390C"/>
    <w:rsid w:val="007E46AF"/>
    <w:rsid w:val="007E4703"/>
    <w:rsid w:val="007E5344"/>
    <w:rsid w:val="007E63F4"/>
    <w:rsid w:val="007E7C21"/>
    <w:rsid w:val="007F0506"/>
    <w:rsid w:val="007F0D66"/>
    <w:rsid w:val="007F124C"/>
    <w:rsid w:val="007F1FE0"/>
    <w:rsid w:val="007F29D2"/>
    <w:rsid w:val="007F431F"/>
    <w:rsid w:val="007F46B7"/>
    <w:rsid w:val="007F4777"/>
    <w:rsid w:val="007F4E53"/>
    <w:rsid w:val="007F61C0"/>
    <w:rsid w:val="007F63E2"/>
    <w:rsid w:val="007F65FA"/>
    <w:rsid w:val="007F69EC"/>
    <w:rsid w:val="007F6A75"/>
    <w:rsid w:val="007F6CFB"/>
    <w:rsid w:val="007F7A3C"/>
    <w:rsid w:val="00800605"/>
    <w:rsid w:val="0080083C"/>
    <w:rsid w:val="00800B25"/>
    <w:rsid w:val="00800F53"/>
    <w:rsid w:val="0080198B"/>
    <w:rsid w:val="00801B95"/>
    <w:rsid w:val="00802413"/>
    <w:rsid w:val="00802C6B"/>
    <w:rsid w:val="0080302A"/>
    <w:rsid w:val="00803482"/>
    <w:rsid w:val="0080415E"/>
    <w:rsid w:val="00804E7C"/>
    <w:rsid w:val="00805D97"/>
    <w:rsid w:val="00805E9E"/>
    <w:rsid w:val="00810175"/>
    <w:rsid w:val="008110D8"/>
    <w:rsid w:val="00811A8A"/>
    <w:rsid w:val="008123B9"/>
    <w:rsid w:val="00812E89"/>
    <w:rsid w:val="00813589"/>
    <w:rsid w:val="008136F7"/>
    <w:rsid w:val="00813FBD"/>
    <w:rsid w:val="0081423C"/>
    <w:rsid w:val="0081447C"/>
    <w:rsid w:val="008155BD"/>
    <w:rsid w:val="00815D94"/>
    <w:rsid w:val="00815FB5"/>
    <w:rsid w:val="0081666D"/>
    <w:rsid w:val="008171E4"/>
    <w:rsid w:val="00817AF8"/>
    <w:rsid w:val="00817C25"/>
    <w:rsid w:val="00817DAA"/>
    <w:rsid w:val="00817DBF"/>
    <w:rsid w:val="0082008E"/>
    <w:rsid w:val="008219C6"/>
    <w:rsid w:val="00821E2E"/>
    <w:rsid w:val="00822FF8"/>
    <w:rsid w:val="008231FC"/>
    <w:rsid w:val="008232E8"/>
    <w:rsid w:val="0082353A"/>
    <w:rsid w:val="008237C6"/>
    <w:rsid w:val="00823D32"/>
    <w:rsid w:val="00824295"/>
    <w:rsid w:val="00824819"/>
    <w:rsid w:val="00825174"/>
    <w:rsid w:val="008262EC"/>
    <w:rsid w:val="0082652B"/>
    <w:rsid w:val="0082654B"/>
    <w:rsid w:val="008275F0"/>
    <w:rsid w:val="00827A20"/>
    <w:rsid w:val="00827BC6"/>
    <w:rsid w:val="0083020C"/>
    <w:rsid w:val="0083077E"/>
    <w:rsid w:val="00830C30"/>
    <w:rsid w:val="00830F72"/>
    <w:rsid w:val="008318A9"/>
    <w:rsid w:val="00831B2F"/>
    <w:rsid w:val="00831E31"/>
    <w:rsid w:val="00832D1D"/>
    <w:rsid w:val="00832D88"/>
    <w:rsid w:val="00832FD8"/>
    <w:rsid w:val="00833365"/>
    <w:rsid w:val="008333F9"/>
    <w:rsid w:val="008335B1"/>
    <w:rsid w:val="008337D2"/>
    <w:rsid w:val="00834029"/>
    <w:rsid w:val="008345DD"/>
    <w:rsid w:val="008350B7"/>
    <w:rsid w:val="00836599"/>
    <w:rsid w:val="008366AB"/>
    <w:rsid w:val="00837851"/>
    <w:rsid w:val="008379BC"/>
    <w:rsid w:val="008406AE"/>
    <w:rsid w:val="00840752"/>
    <w:rsid w:val="00841059"/>
    <w:rsid w:val="00841E48"/>
    <w:rsid w:val="00842402"/>
    <w:rsid w:val="00842F37"/>
    <w:rsid w:val="00843028"/>
    <w:rsid w:val="0084386A"/>
    <w:rsid w:val="008452C4"/>
    <w:rsid w:val="00845A8D"/>
    <w:rsid w:val="00845B4A"/>
    <w:rsid w:val="00846D07"/>
    <w:rsid w:val="00846E9E"/>
    <w:rsid w:val="00847158"/>
    <w:rsid w:val="00847472"/>
    <w:rsid w:val="008475FF"/>
    <w:rsid w:val="00850362"/>
    <w:rsid w:val="00850412"/>
    <w:rsid w:val="00850464"/>
    <w:rsid w:val="0085137B"/>
    <w:rsid w:val="00851488"/>
    <w:rsid w:val="0085162E"/>
    <w:rsid w:val="008518DD"/>
    <w:rsid w:val="0085246C"/>
    <w:rsid w:val="00852AFF"/>
    <w:rsid w:val="00852CF2"/>
    <w:rsid w:val="00853166"/>
    <w:rsid w:val="00853B66"/>
    <w:rsid w:val="008544E6"/>
    <w:rsid w:val="00856122"/>
    <w:rsid w:val="008566CB"/>
    <w:rsid w:val="00856B2C"/>
    <w:rsid w:val="00856CFC"/>
    <w:rsid w:val="00857452"/>
    <w:rsid w:val="0085752A"/>
    <w:rsid w:val="0085774C"/>
    <w:rsid w:val="00857C50"/>
    <w:rsid w:val="00857E9A"/>
    <w:rsid w:val="008607CF"/>
    <w:rsid w:val="00860FAB"/>
    <w:rsid w:val="00863D43"/>
    <w:rsid w:val="00863F29"/>
    <w:rsid w:val="008645F9"/>
    <w:rsid w:val="0086462D"/>
    <w:rsid w:val="00864DE8"/>
    <w:rsid w:val="00865442"/>
    <w:rsid w:val="008654C0"/>
    <w:rsid w:val="00865615"/>
    <w:rsid w:val="00865A98"/>
    <w:rsid w:val="00865F4E"/>
    <w:rsid w:val="0086615A"/>
    <w:rsid w:val="00866CDB"/>
    <w:rsid w:val="00866E4D"/>
    <w:rsid w:val="00866FCA"/>
    <w:rsid w:val="00867380"/>
    <w:rsid w:val="00867767"/>
    <w:rsid w:val="008709C2"/>
    <w:rsid w:val="00870F7B"/>
    <w:rsid w:val="008711D3"/>
    <w:rsid w:val="008714D5"/>
    <w:rsid w:val="00871A1F"/>
    <w:rsid w:val="00871DB7"/>
    <w:rsid w:val="00871EDA"/>
    <w:rsid w:val="00872407"/>
    <w:rsid w:val="0087260F"/>
    <w:rsid w:val="0087307B"/>
    <w:rsid w:val="00873D1A"/>
    <w:rsid w:val="00873F4F"/>
    <w:rsid w:val="008746BD"/>
    <w:rsid w:val="008746F2"/>
    <w:rsid w:val="00874CFE"/>
    <w:rsid w:val="00874E76"/>
    <w:rsid w:val="00875461"/>
    <w:rsid w:val="008773B8"/>
    <w:rsid w:val="008773FA"/>
    <w:rsid w:val="00877465"/>
    <w:rsid w:val="00877523"/>
    <w:rsid w:val="00877712"/>
    <w:rsid w:val="00877CF4"/>
    <w:rsid w:val="00877D70"/>
    <w:rsid w:val="00880D49"/>
    <w:rsid w:val="0088144E"/>
    <w:rsid w:val="008815A0"/>
    <w:rsid w:val="00881CCA"/>
    <w:rsid w:val="0088220A"/>
    <w:rsid w:val="0088256C"/>
    <w:rsid w:val="0088288F"/>
    <w:rsid w:val="00882B95"/>
    <w:rsid w:val="008835F0"/>
    <w:rsid w:val="00883678"/>
    <w:rsid w:val="00883B70"/>
    <w:rsid w:val="00884196"/>
    <w:rsid w:val="008847E5"/>
    <w:rsid w:val="008858B6"/>
    <w:rsid w:val="0088592D"/>
    <w:rsid w:val="00885E28"/>
    <w:rsid w:val="00885E4E"/>
    <w:rsid w:val="008866EE"/>
    <w:rsid w:val="00887491"/>
    <w:rsid w:val="00887673"/>
    <w:rsid w:val="00887B0D"/>
    <w:rsid w:val="0089082C"/>
    <w:rsid w:val="00890BFD"/>
    <w:rsid w:val="00890D9D"/>
    <w:rsid w:val="00890EB3"/>
    <w:rsid w:val="008914D2"/>
    <w:rsid w:val="008921B4"/>
    <w:rsid w:val="008922CE"/>
    <w:rsid w:val="0089243A"/>
    <w:rsid w:val="00892800"/>
    <w:rsid w:val="008928AE"/>
    <w:rsid w:val="008932EA"/>
    <w:rsid w:val="00893899"/>
    <w:rsid w:val="00893AD2"/>
    <w:rsid w:val="00894612"/>
    <w:rsid w:val="0089464B"/>
    <w:rsid w:val="008947F9"/>
    <w:rsid w:val="0089490A"/>
    <w:rsid w:val="00894E02"/>
    <w:rsid w:val="008961A0"/>
    <w:rsid w:val="00896515"/>
    <w:rsid w:val="008967AF"/>
    <w:rsid w:val="008975C8"/>
    <w:rsid w:val="008978B8"/>
    <w:rsid w:val="008A0570"/>
    <w:rsid w:val="008A0A39"/>
    <w:rsid w:val="008A1DEC"/>
    <w:rsid w:val="008A2B66"/>
    <w:rsid w:val="008A34ED"/>
    <w:rsid w:val="008A350C"/>
    <w:rsid w:val="008A3F7C"/>
    <w:rsid w:val="008A42C6"/>
    <w:rsid w:val="008A5A52"/>
    <w:rsid w:val="008A63EA"/>
    <w:rsid w:val="008A65FB"/>
    <w:rsid w:val="008A6AD8"/>
    <w:rsid w:val="008A6F6E"/>
    <w:rsid w:val="008A7A22"/>
    <w:rsid w:val="008B00D0"/>
    <w:rsid w:val="008B03BD"/>
    <w:rsid w:val="008B0902"/>
    <w:rsid w:val="008B0DC6"/>
    <w:rsid w:val="008B0FD8"/>
    <w:rsid w:val="008B1CCE"/>
    <w:rsid w:val="008B1EB1"/>
    <w:rsid w:val="008B24C0"/>
    <w:rsid w:val="008B264F"/>
    <w:rsid w:val="008B311D"/>
    <w:rsid w:val="008B3F3C"/>
    <w:rsid w:val="008B49C8"/>
    <w:rsid w:val="008B51EC"/>
    <w:rsid w:val="008B5223"/>
    <w:rsid w:val="008B5B11"/>
    <w:rsid w:val="008B5B52"/>
    <w:rsid w:val="008B6016"/>
    <w:rsid w:val="008B60B4"/>
    <w:rsid w:val="008B68FB"/>
    <w:rsid w:val="008B7119"/>
    <w:rsid w:val="008B720A"/>
    <w:rsid w:val="008B7459"/>
    <w:rsid w:val="008B78C7"/>
    <w:rsid w:val="008B7C19"/>
    <w:rsid w:val="008C0154"/>
    <w:rsid w:val="008C022E"/>
    <w:rsid w:val="008C02A9"/>
    <w:rsid w:val="008C047D"/>
    <w:rsid w:val="008C0C37"/>
    <w:rsid w:val="008C1D2A"/>
    <w:rsid w:val="008C1FE4"/>
    <w:rsid w:val="008C262E"/>
    <w:rsid w:val="008C2C15"/>
    <w:rsid w:val="008C31EB"/>
    <w:rsid w:val="008C35E9"/>
    <w:rsid w:val="008C3F71"/>
    <w:rsid w:val="008C4046"/>
    <w:rsid w:val="008C471E"/>
    <w:rsid w:val="008C63D0"/>
    <w:rsid w:val="008C682B"/>
    <w:rsid w:val="008C6833"/>
    <w:rsid w:val="008D18F6"/>
    <w:rsid w:val="008D1C79"/>
    <w:rsid w:val="008D1F4B"/>
    <w:rsid w:val="008D2686"/>
    <w:rsid w:val="008D26E4"/>
    <w:rsid w:val="008D2F3F"/>
    <w:rsid w:val="008D44BA"/>
    <w:rsid w:val="008D44CA"/>
    <w:rsid w:val="008D47AA"/>
    <w:rsid w:val="008D4881"/>
    <w:rsid w:val="008D4F20"/>
    <w:rsid w:val="008D4FA7"/>
    <w:rsid w:val="008D568C"/>
    <w:rsid w:val="008E0093"/>
    <w:rsid w:val="008E082B"/>
    <w:rsid w:val="008E0ABA"/>
    <w:rsid w:val="008E0D50"/>
    <w:rsid w:val="008E1022"/>
    <w:rsid w:val="008E106B"/>
    <w:rsid w:val="008E181D"/>
    <w:rsid w:val="008E23C5"/>
    <w:rsid w:val="008E27A6"/>
    <w:rsid w:val="008E2EFC"/>
    <w:rsid w:val="008E4301"/>
    <w:rsid w:val="008E4E50"/>
    <w:rsid w:val="008E551B"/>
    <w:rsid w:val="008E5DD3"/>
    <w:rsid w:val="008E5FAA"/>
    <w:rsid w:val="008E6596"/>
    <w:rsid w:val="008E6B7E"/>
    <w:rsid w:val="008E6FCD"/>
    <w:rsid w:val="008E741C"/>
    <w:rsid w:val="008E79AB"/>
    <w:rsid w:val="008E7F92"/>
    <w:rsid w:val="008F070F"/>
    <w:rsid w:val="008F1397"/>
    <w:rsid w:val="008F1814"/>
    <w:rsid w:val="008F244C"/>
    <w:rsid w:val="008F262A"/>
    <w:rsid w:val="008F3803"/>
    <w:rsid w:val="008F3AFE"/>
    <w:rsid w:val="008F3D41"/>
    <w:rsid w:val="008F424E"/>
    <w:rsid w:val="008F4572"/>
    <w:rsid w:val="008F4606"/>
    <w:rsid w:val="008F4661"/>
    <w:rsid w:val="008F46AA"/>
    <w:rsid w:val="008F4D7A"/>
    <w:rsid w:val="008F4E93"/>
    <w:rsid w:val="008F52D4"/>
    <w:rsid w:val="008F5AFD"/>
    <w:rsid w:val="008F5CDC"/>
    <w:rsid w:val="008F5D73"/>
    <w:rsid w:val="008F6314"/>
    <w:rsid w:val="008F63F8"/>
    <w:rsid w:val="008F640C"/>
    <w:rsid w:val="008F7338"/>
    <w:rsid w:val="008F74A6"/>
    <w:rsid w:val="008F7D2B"/>
    <w:rsid w:val="009006A3"/>
    <w:rsid w:val="00900804"/>
    <w:rsid w:val="00901006"/>
    <w:rsid w:val="0090106F"/>
    <w:rsid w:val="009022F6"/>
    <w:rsid w:val="00902AE4"/>
    <w:rsid w:val="00903B46"/>
    <w:rsid w:val="00903DCD"/>
    <w:rsid w:val="00903E9C"/>
    <w:rsid w:val="00903F21"/>
    <w:rsid w:val="00903FDF"/>
    <w:rsid w:val="0090495B"/>
    <w:rsid w:val="00904C47"/>
    <w:rsid w:val="009052D9"/>
    <w:rsid w:val="00905507"/>
    <w:rsid w:val="009056EF"/>
    <w:rsid w:val="00906A6A"/>
    <w:rsid w:val="00906C98"/>
    <w:rsid w:val="00907108"/>
    <w:rsid w:val="009077FE"/>
    <w:rsid w:val="00907856"/>
    <w:rsid w:val="00911620"/>
    <w:rsid w:val="00911CBB"/>
    <w:rsid w:val="00911D87"/>
    <w:rsid w:val="009120D3"/>
    <w:rsid w:val="009122E6"/>
    <w:rsid w:val="00912A71"/>
    <w:rsid w:val="00912D62"/>
    <w:rsid w:val="0091304C"/>
    <w:rsid w:val="00913086"/>
    <w:rsid w:val="00913126"/>
    <w:rsid w:val="00913649"/>
    <w:rsid w:val="00913684"/>
    <w:rsid w:val="0091392D"/>
    <w:rsid w:val="009140F1"/>
    <w:rsid w:val="00914132"/>
    <w:rsid w:val="009153A1"/>
    <w:rsid w:val="009153FF"/>
    <w:rsid w:val="0091568E"/>
    <w:rsid w:val="00917560"/>
    <w:rsid w:val="0091768C"/>
    <w:rsid w:val="0092017D"/>
    <w:rsid w:val="0092042F"/>
    <w:rsid w:val="00920AB3"/>
    <w:rsid w:val="00921A4C"/>
    <w:rsid w:val="00921C48"/>
    <w:rsid w:val="009227CD"/>
    <w:rsid w:val="009227D0"/>
    <w:rsid w:val="009233E5"/>
    <w:rsid w:val="00924075"/>
    <w:rsid w:val="00924747"/>
    <w:rsid w:val="009247FC"/>
    <w:rsid w:val="00925BCD"/>
    <w:rsid w:val="00926571"/>
    <w:rsid w:val="00926B7F"/>
    <w:rsid w:val="00926BB5"/>
    <w:rsid w:val="00926E49"/>
    <w:rsid w:val="00930599"/>
    <w:rsid w:val="00930AF7"/>
    <w:rsid w:val="00930C00"/>
    <w:rsid w:val="00930C92"/>
    <w:rsid w:val="00930F96"/>
    <w:rsid w:val="00930FF6"/>
    <w:rsid w:val="009312B1"/>
    <w:rsid w:val="00931374"/>
    <w:rsid w:val="00932296"/>
    <w:rsid w:val="0093302E"/>
    <w:rsid w:val="00933BD2"/>
    <w:rsid w:val="009342BF"/>
    <w:rsid w:val="00935118"/>
    <w:rsid w:val="009358A7"/>
    <w:rsid w:val="009364FC"/>
    <w:rsid w:val="00936A11"/>
    <w:rsid w:val="00936A5E"/>
    <w:rsid w:val="00936B8C"/>
    <w:rsid w:val="00936DAB"/>
    <w:rsid w:val="00937435"/>
    <w:rsid w:val="009408CC"/>
    <w:rsid w:val="00940EB0"/>
    <w:rsid w:val="00941252"/>
    <w:rsid w:val="00941531"/>
    <w:rsid w:val="0094156E"/>
    <w:rsid w:val="0094245A"/>
    <w:rsid w:val="0094266B"/>
    <w:rsid w:val="00942E36"/>
    <w:rsid w:val="00943705"/>
    <w:rsid w:val="00944A1D"/>
    <w:rsid w:val="00944A89"/>
    <w:rsid w:val="00944EB6"/>
    <w:rsid w:val="009450C8"/>
    <w:rsid w:val="00946A0A"/>
    <w:rsid w:val="00947330"/>
    <w:rsid w:val="00947A31"/>
    <w:rsid w:val="009500FD"/>
    <w:rsid w:val="00950F40"/>
    <w:rsid w:val="009518D0"/>
    <w:rsid w:val="00952192"/>
    <w:rsid w:val="0095220D"/>
    <w:rsid w:val="00953507"/>
    <w:rsid w:val="00953F54"/>
    <w:rsid w:val="0095432B"/>
    <w:rsid w:val="0095499E"/>
    <w:rsid w:val="00955229"/>
    <w:rsid w:val="009552EA"/>
    <w:rsid w:val="00955A0B"/>
    <w:rsid w:val="009563B5"/>
    <w:rsid w:val="00957A8E"/>
    <w:rsid w:val="00957C8A"/>
    <w:rsid w:val="009605B6"/>
    <w:rsid w:val="00960D5F"/>
    <w:rsid w:val="00960E74"/>
    <w:rsid w:val="00961C75"/>
    <w:rsid w:val="00962D7E"/>
    <w:rsid w:val="00962F2E"/>
    <w:rsid w:val="00963226"/>
    <w:rsid w:val="009632DF"/>
    <w:rsid w:val="00963719"/>
    <w:rsid w:val="00963D10"/>
    <w:rsid w:val="009644CD"/>
    <w:rsid w:val="00964874"/>
    <w:rsid w:val="00964AF1"/>
    <w:rsid w:val="0096575E"/>
    <w:rsid w:val="00965E2E"/>
    <w:rsid w:val="00965F06"/>
    <w:rsid w:val="00965FFF"/>
    <w:rsid w:val="00966124"/>
    <w:rsid w:val="00966F5A"/>
    <w:rsid w:val="00967A82"/>
    <w:rsid w:val="00970293"/>
    <w:rsid w:val="00972D97"/>
    <w:rsid w:val="0097582D"/>
    <w:rsid w:val="00975D07"/>
    <w:rsid w:val="00975DB6"/>
    <w:rsid w:val="00976324"/>
    <w:rsid w:val="00976550"/>
    <w:rsid w:val="00976EA7"/>
    <w:rsid w:val="00976EFD"/>
    <w:rsid w:val="0097791C"/>
    <w:rsid w:val="0097794E"/>
    <w:rsid w:val="00980D82"/>
    <w:rsid w:val="00981133"/>
    <w:rsid w:val="00981736"/>
    <w:rsid w:val="00981A26"/>
    <w:rsid w:val="009827F0"/>
    <w:rsid w:val="009835A7"/>
    <w:rsid w:val="00983664"/>
    <w:rsid w:val="009849B3"/>
    <w:rsid w:val="0098576A"/>
    <w:rsid w:val="00985B23"/>
    <w:rsid w:val="00985F27"/>
    <w:rsid w:val="00987434"/>
    <w:rsid w:val="009877E2"/>
    <w:rsid w:val="00987B46"/>
    <w:rsid w:val="009904F4"/>
    <w:rsid w:val="00990DB2"/>
    <w:rsid w:val="00991574"/>
    <w:rsid w:val="009918FA"/>
    <w:rsid w:val="009921D5"/>
    <w:rsid w:val="009927E9"/>
    <w:rsid w:val="00992AB6"/>
    <w:rsid w:val="00992F40"/>
    <w:rsid w:val="00993349"/>
    <w:rsid w:val="009933CC"/>
    <w:rsid w:val="0099396E"/>
    <w:rsid w:val="00994007"/>
    <w:rsid w:val="00994C38"/>
    <w:rsid w:val="00994E08"/>
    <w:rsid w:val="00994ED0"/>
    <w:rsid w:val="00995359"/>
    <w:rsid w:val="00995B2E"/>
    <w:rsid w:val="00995CCD"/>
    <w:rsid w:val="009963A5"/>
    <w:rsid w:val="00996783"/>
    <w:rsid w:val="00996954"/>
    <w:rsid w:val="0099733A"/>
    <w:rsid w:val="00997D7D"/>
    <w:rsid w:val="009A0A24"/>
    <w:rsid w:val="009A195A"/>
    <w:rsid w:val="009A1A2F"/>
    <w:rsid w:val="009A1E9C"/>
    <w:rsid w:val="009A2DA8"/>
    <w:rsid w:val="009A2E48"/>
    <w:rsid w:val="009A31FF"/>
    <w:rsid w:val="009A3CE5"/>
    <w:rsid w:val="009A4605"/>
    <w:rsid w:val="009A4749"/>
    <w:rsid w:val="009A5D57"/>
    <w:rsid w:val="009A6DBF"/>
    <w:rsid w:val="009A6F47"/>
    <w:rsid w:val="009A7338"/>
    <w:rsid w:val="009A7B72"/>
    <w:rsid w:val="009A7B9A"/>
    <w:rsid w:val="009B06F2"/>
    <w:rsid w:val="009B0B99"/>
    <w:rsid w:val="009B0E17"/>
    <w:rsid w:val="009B120F"/>
    <w:rsid w:val="009B16C3"/>
    <w:rsid w:val="009B1910"/>
    <w:rsid w:val="009B2E0E"/>
    <w:rsid w:val="009B328E"/>
    <w:rsid w:val="009B3DA9"/>
    <w:rsid w:val="009B42E1"/>
    <w:rsid w:val="009B45F5"/>
    <w:rsid w:val="009B47F0"/>
    <w:rsid w:val="009B4A22"/>
    <w:rsid w:val="009B4B03"/>
    <w:rsid w:val="009B5512"/>
    <w:rsid w:val="009B56D5"/>
    <w:rsid w:val="009B5917"/>
    <w:rsid w:val="009B67AC"/>
    <w:rsid w:val="009B7225"/>
    <w:rsid w:val="009C0085"/>
    <w:rsid w:val="009C06D8"/>
    <w:rsid w:val="009C08FF"/>
    <w:rsid w:val="009C0996"/>
    <w:rsid w:val="009C0C89"/>
    <w:rsid w:val="009C2209"/>
    <w:rsid w:val="009C2B2A"/>
    <w:rsid w:val="009C2BBA"/>
    <w:rsid w:val="009C4227"/>
    <w:rsid w:val="009C45E6"/>
    <w:rsid w:val="009C4BDA"/>
    <w:rsid w:val="009C5730"/>
    <w:rsid w:val="009C5D2A"/>
    <w:rsid w:val="009C6D0F"/>
    <w:rsid w:val="009C6F81"/>
    <w:rsid w:val="009C75AE"/>
    <w:rsid w:val="009C7DEF"/>
    <w:rsid w:val="009D0BEC"/>
    <w:rsid w:val="009D12BA"/>
    <w:rsid w:val="009D1A7A"/>
    <w:rsid w:val="009D1AE1"/>
    <w:rsid w:val="009D1C78"/>
    <w:rsid w:val="009D1E6D"/>
    <w:rsid w:val="009D2094"/>
    <w:rsid w:val="009D2E04"/>
    <w:rsid w:val="009D327C"/>
    <w:rsid w:val="009D3603"/>
    <w:rsid w:val="009D3EF6"/>
    <w:rsid w:val="009D4522"/>
    <w:rsid w:val="009D4E8A"/>
    <w:rsid w:val="009D4E8C"/>
    <w:rsid w:val="009D56E2"/>
    <w:rsid w:val="009D5AB7"/>
    <w:rsid w:val="009D5B39"/>
    <w:rsid w:val="009D5F02"/>
    <w:rsid w:val="009D6770"/>
    <w:rsid w:val="009D6A33"/>
    <w:rsid w:val="009D70A0"/>
    <w:rsid w:val="009D7AE5"/>
    <w:rsid w:val="009D7C37"/>
    <w:rsid w:val="009D7C92"/>
    <w:rsid w:val="009D7DC1"/>
    <w:rsid w:val="009E0E48"/>
    <w:rsid w:val="009E0E58"/>
    <w:rsid w:val="009E1CB7"/>
    <w:rsid w:val="009E1DE5"/>
    <w:rsid w:val="009E247C"/>
    <w:rsid w:val="009E31A3"/>
    <w:rsid w:val="009E402B"/>
    <w:rsid w:val="009E4873"/>
    <w:rsid w:val="009E56FE"/>
    <w:rsid w:val="009E67CF"/>
    <w:rsid w:val="009E6C1E"/>
    <w:rsid w:val="009E6ECD"/>
    <w:rsid w:val="009E6F99"/>
    <w:rsid w:val="009E75D1"/>
    <w:rsid w:val="009F09A2"/>
    <w:rsid w:val="009F0BD0"/>
    <w:rsid w:val="009F1087"/>
    <w:rsid w:val="009F118E"/>
    <w:rsid w:val="009F175A"/>
    <w:rsid w:val="009F233C"/>
    <w:rsid w:val="009F26A1"/>
    <w:rsid w:val="009F2A15"/>
    <w:rsid w:val="009F2B2E"/>
    <w:rsid w:val="009F2C53"/>
    <w:rsid w:val="009F2E22"/>
    <w:rsid w:val="009F379D"/>
    <w:rsid w:val="009F37EE"/>
    <w:rsid w:val="009F3DE8"/>
    <w:rsid w:val="009F60DD"/>
    <w:rsid w:val="009F65D4"/>
    <w:rsid w:val="009F676B"/>
    <w:rsid w:val="009F7524"/>
    <w:rsid w:val="00A004E5"/>
    <w:rsid w:val="00A01E93"/>
    <w:rsid w:val="00A02002"/>
    <w:rsid w:val="00A02213"/>
    <w:rsid w:val="00A02FC5"/>
    <w:rsid w:val="00A033D6"/>
    <w:rsid w:val="00A03940"/>
    <w:rsid w:val="00A05758"/>
    <w:rsid w:val="00A067BE"/>
    <w:rsid w:val="00A069CC"/>
    <w:rsid w:val="00A06A2B"/>
    <w:rsid w:val="00A06BD8"/>
    <w:rsid w:val="00A07015"/>
    <w:rsid w:val="00A07122"/>
    <w:rsid w:val="00A0739A"/>
    <w:rsid w:val="00A07A89"/>
    <w:rsid w:val="00A07D2C"/>
    <w:rsid w:val="00A100C7"/>
    <w:rsid w:val="00A10463"/>
    <w:rsid w:val="00A10720"/>
    <w:rsid w:val="00A11168"/>
    <w:rsid w:val="00A11CF1"/>
    <w:rsid w:val="00A123BB"/>
    <w:rsid w:val="00A12740"/>
    <w:rsid w:val="00A128BF"/>
    <w:rsid w:val="00A12FA9"/>
    <w:rsid w:val="00A135A4"/>
    <w:rsid w:val="00A13760"/>
    <w:rsid w:val="00A13923"/>
    <w:rsid w:val="00A14108"/>
    <w:rsid w:val="00A1433D"/>
    <w:rsid w:val="00A143E7"/>
    <w:rsid w:val="00A151E1"/>
    <w:rsid w:val="00A16853"/>
    <w:rsid w:val="00A16A0A"/>
    <w:rsid w:val="00A16A13"/>
    <w:rsid w:val="00A16B03"/>
    <w:rsid w:val="00A176F4"/>
    <w:rsid w:val="00A17DEC"/>
    <w:rsid w:val="00A20E2F"/>
    <w:rsid w:val="00A21466"/>
    <w:rsid w:val="00A218F3"/>
    <w:rsid w:val="00A21A45"/>
    <w:rsid w:val="00A23B83"/>
    <w:rsid w:val="00A2457E"/>
    <w:rsid w:val="00A2472F"/>
    <w:rsid w:val="00A24E7C"/>
    <w:rsid w:val="00A250EC"/>
    <w:rsid w:val="00A263D0"/>
    <w:rsid w:val="00A267B6"/>
    <w:rsid w:val="00A26834"/>
    <w:rsid w:val="00A26B20"/>
    <w:rsid w:val="00A27556"/>
    <w:rsid w:val="00A2768A"/>
    <w:rsid w:val="00A27942"/>
    <w:rsid w:val="00A27ADC"/>
    <w:rsid w:val="00A27CB1"/>
    <w:rsid w:val="00A27CEF"/>
    <w:rsid w:val="00A30B88"/>
    <w:rsid w:val="00A30D6D"/>
    <w:rsid w:val="00A31CC7"/>
    <w:rsid w:val="00A32182"/>
    <w:rsid w:val="00A32280"/>
    <w:rsid w:val="00A333F8"/>
    <w:rsid w:val="00A33D65"/>
    <w:rsid w:val="00A34AC7"/>
    <w:rsid w:val="00A34FB4"/>
    <w:rsid w:val="00A35CC9"/>
    <w:rsid w:val="00A36109"/>
    <w:rsid w:val="00A3626E"/>
    <w:rsid w:val="00A362D2"/>
    <w:rsid w:val="00A36786"/>
    <w:rsid w:val="00A37111"/>
    <w:rsid w:val="00A37BAF"/>
    <w:rsid w:val="00A37EAA"/>
    <w:rsid w:val="00A37F7D"/>
    <w:rsid w:val="00A40A33"/>
    <w:rsid w:val="00A40E1D"/>
    <w:rsid w:val="00A4172B"/>
    <w:rsid w:val="00A419D2"/>
    <w:rsid w:val="00A421EF"/>
    <w:rsid w:val="00A429FB"/>
    <w:rsid w:val="00A44FF1"/>
    <w:rsid w:val="00A45AEE"/>
    <w:rsid w:val="00A45AFF"/>
    <w:rsid w:val="00A4617D"/>
    <w:rsid w:val="00A46B01"/>
    <w:rsid w:val="00A47F44"/>
    <w:rsid w:val="00A514D9"/>
    <w:rsid w:val="00A5169E"/>
    <w:rsid w:val="00A51AB0"/>
    <w:rsid w:val="00A51DA8"/>
    <w:rsid w:val="00A52679"/>
    <w:rsid w:val="00A53485"/>
    <w:rsid w:val="00A53D86"/>
    <w:rsid w:val="00A547BB"/>
    <w:rsid w:val="00A5503C"/>
    <w:rsid w:val="00A55C77"/>
    <w:rsid w:val="00A55F37"/>
    <w:rsid w:val="00A56148"/>
    <w:rsid w:val="00A5624C"/>
    <w:rsid w:val="00A563A7"/>
    <w:rsid w:val="00A56BB2"/>
    <w:rsid w:val="00A57FCA"/>
    <w:rsid w:val="00A60CDA"/>
    <w:rsid w:val="00A610A6"/>
    <w:rsid w:val="00A622C7"/>
    <w:rsid w:val="00A63796"/>
    <w:rsid w:val="00A63C7F"/>
    <w:rsid w:val="00A640FD"/>
    <w:rsid w:val="00A64C41"/>
    <w:rsid w:val="00A65E4D"/>
    <w:rsid w:val="00A66BC3"/>
    <w:rsid w:val="00A672A0"/>
    <w:rsid w:val="00A67718"/>
    <w:rsid w:val="00A67E03"/>
    <w:rsid w:val="00A70282"/>
    <w:rsid w:val="00A70B91"/>
    <w:rsid w:val="00A71DBD"/>
    <w:rsid w:val="00A7271C"/>
    <w:rsid w:val="00A72B7F"/>
    <w:rsid w:val="00A73134"/>
    <w:rsid w:val="00A73180"/>
    <w:rsid w:val="00A7363C"/>
    <w:rsid w:val="00A73819"/>
    <w:rsid w:val="00A73ED8"/>
    <w:rsid w:val="00A741E5"/>
    <w:rsid w:val="00A7457A"/>
    <w:rsid w:val="00A75428"/>
    <w:rsid w:val="00A75797"/>
    <w:rsid w:val="00A757EF"/>
    <w:rsid w:val="00A75A58"/>
    <w:rsid w:val="00A76278"/>
    <w:rsid w:val="00A7662A"/>
    <w:rsid w:val="00A770F6"/>
    <w:rsid w:val="00A770F7"/>
    <w:rsid w:val="00A7791D"/>
    <w:rsid w:val="00A8097D"/>
    <w:rsid w:val="00A809A2"/>
    <w:rsid w:val="00A81B48"/>
    <w:rsid w:val="00A821A3"/>
    <w:rsid w:val="00A829E8"/>
    <w:rsid w:val="00A8377D"/>
    <w:rsid w:val="00A8394D"/>
    <w:rsid w:val="00A841E8"/>
    <w:rsid w:val="00A84E24"/>
    <w:rsid w:val="00A853C4"/>
    <w:rsid w:val="00A85E23"/>
    <w:rsid w:val="00A86598"/>
    <w:rsid w:val="00A868D2"/>
    <w:rsid w:val="00A86A57"/>
    <w:rsid w:val="00A86AB6"/>
    <w:rsid w:val="00A8772B"/>
    <w:rsid w:val="00A87DF0"/>
    <w:rsid w:val="00A87E93"/>
    <w:rsid w:val="00A87F5A"/>
    <w:rsid w:val="00A901D9"/>
    <w:rsid w:val="00A91497"/>
    <w:rsid w:val="00A921F8"/>
    <w:rsid w:val="00A92609"/>
    <w:rsid w:val="00A92FE8"/>
    <w:rsid w:val="00A93FB8"/>
    <w:rsid w:val="00A941C5"/>
    <w:rsid w:val="00A94978"/>
    <w:rsid w:val="00A9531F"/>
    <w:rsid w:val="00A95793"/>
    <w:rsid w:val="00A96B56"/>
    <w:rsid w:val="00A96FC2"/>
    <w:rsid w:val="00A97146"/>
    <w:rsid w:val="00A973CF"/>
    <w:rsid w:val="00AA0591"/>
    <w:rsid w:val="00AA0710"/>
    <w:rsid w:val="00AA0DE4"/>
    <w:rsid w:val="00AA0E0F"/>
    <w:rsid w:val="00AA1BEE"/>
    <w:rsid w:val="00AA2430"/>
    <w:rsid w:val="00AA27EF"/>
    <w:rsid w:val="00AA2A2B"/>
    <w:rsid w:val="00AA2A5B"/>
    <w:rsid w:val="00AA2F03"/>
    <w:rsid w:val="00AA304C"/>
    <w:rsid w:val="00AA313C"/>
    <w:rsid w:val="00AA3D7D"/>
    <w:rsid w:val="00AA3E2C"/>
    <w:rsid w:val="00AA3E57"/>
    <w:rsid w:val="00AA4B9C"/>
    <w:rsid w:val="00AA4C87"/>
    <w:rsid w:val="00AA4F66"/>
    <w:rsid w:val="00AA5571"/>
    <w:rsid w:val="00AA56E6"/>
    <w:rsid w:val="00AA5E45"/>
    <w:rsid w:val="00AA6139"/>
    <w:rsid w:val="00AA708B"/>
    <w:rsid w:val="00AA7AB0"/>
    <w:rsid w:val="00AB0405"/>
    <w:rsid w:val="00AB04E6"/>
    <w:rsid w:val="00AB055C"/>
    <w:rsid w:val="00AB0808"/>
    <w:rsid w:val="00AB0D34"/>
    <w:rsid w:val="00AB0FA5"/>
    <w:rsid w:val="00AB1706"/>
    <w:rsid w:val="00AB1AE2"/>
    <w:rsid w:val="00AB2382"/>
    <w:rsid w:val="00AB243F"/>
    <w:rsid w:val="00AB36C9"/>
    <w:rsid w:val="00AB3CA5"/>
    <w:rsid w:val="00AB5061"/>
    <w:rsid w:val="00AB58BB"/>
    <w:rsid w:val="00AB5C50"/>
    <w:rsid w:val="00AB6199"/>
    <w:rsid w:val="00AB6399"/>
    <w:rsid w:val="00AB7CA7"/>
    <w:rsid w:val="00AB7E23"/>
    <w:rsid w:val="00AC0153"/>
    <w:rsid w:val="00AC0B3B"/>
    <w:rsid w:val="00AC0CEF"/>
    <w:rsid w:val="00AC1938"/>
    <w:rsid w:val="00AC2A86"/>
    <w:rsid w:val="00AC30FD"/>
    <w:rsid w:val="00AC3270"/>
    <w:rsid w:val="00AC3335"/>
    <w:rsid w:val="00AC33B0"/>
    <w:rsid w:val="00AC393C"/>
    <w:rsid w:val="00AC40C0"/>
    <w:rsid w:val="00AC4708"/>
    <w:rsid w:val="00AC4D71"/>
    <w:rsid w:val="00AC5596"/>
    <w:rsid w:val="00AC5D04"/>
    <w:rsid w:val="00AC5DA9"/>
    <w:rsid w:val="00AC5F65"/>
    <w:rsid w:val="00AC6487"/>
    <w:rsid w:val="00AC663A"/>
    <w:rsid w:val="00AC6723"/>
    <w:rsid w:val="00AC6A79"/>
    <w:rsid w:val="00AC6B43"/>
    <w:rsid w:val="00AC6F3B"/>
    <w:rsid w:val="00AC733D"/>
    <w:rsid w:val="00AC73CC"/>
    <w:rsid w:val="00AC7DB7"/>
    <w:rsid w:val="00AD0965"/>
    <w:rsid w:val="00AD09AC"/>
    <w:rsid w:val="00AD0BCB"/>
    <w:rsid w:val="00AD13FE"/>
    <w:rsid w:val="00AD148D"/>
    <w:rsid w:val="00AD1B6C"/>
    <w:rsid w:val="00AD1C1C"/>
    <w:rsid w:val="00AD1D7E"/>
    <w:rsid w:val="00AD249B"/>
    <w:rsid w:val="00AD30BD"/>
    <w:rsid w:val="00AD3C25"/>
    <w:rsid w:val="00AD43A2"/>
    <w:rsid w:val="00AD43D7"/>
    <w:rsid w:val="00AD4633"/>
    <w:rsid w:val="00AD5468"/>
    <w:rsid w:val="00AD55E3"/>
    <w:rsid w:val="00AD57A8"/>
    <w:rsid w:val="00AD57D9"/>
    <w:rsid w:val="00AD5B5A"/>
    <w:rsid w:val="00AD5EE1"/>
    <w:rsid w:val="00AD7A48"/>
    <w:rsid w:val="00AD7AE1"/>
    <w:rsid w:val="00AD7EDB"/>
    <w:rsid w:val="00AD7F61"/>
    <w:rsid w:val="00AE015B"/>
    <w:rsid w:val="00AE026F"/>
    <w:rsid w:val="00AE0595"/>
    <w:rsid w:val="00AE08B9"/>
    <w:rsid w:val="00AE1333"/>
    <w:rsid w:val="00AE133E"/>
    <w:rsid w:val="00AE163A"/>
    <w:rsid w:val="00AE1A2A"/>
    <w:rsid w:val="00AE2432"/>
    <w:rsid w:val="00AE2D18"/>
    <w:rsid w:val="00AE2E77"/>
    <w:rsid w:val="00AE39E3"/>
    <w:rsid w:val="00AE3D2E"/>
    <w:rsid w:val="00AE4217"/>
    <w:rsid w:val="00AE4CE5"/>
    <w:rsid w:val="00AE4EE5"/>
    <w:rsid w:val="00AE533A"/>
    <w:rsid w:val="00AE5588"/>
    <w:rsid w:val="00AE6F27"/>
    <w:rsid w:val="00AE71E4"/>
    <w:rsid w:val="00AE7FF5"/>
    <w:rsid w:val="00AF037F"/>
    <w:rsid w:val="00AF03D3"/>
    <w:rsid w:val="00AF049D"/>
    <w:rsid w:val="00AF1AD2"/>
    <w:rsid w:val="00AF2074"/>
    <w:rsid w:val="00AF2166"/>
    <w:rsid w:val="00AF22F8"/>
    <w:rsid w:val="00AF2811"/>
    <w:rsid w:val="00AF2D9A"/>
    <w:rsid w:val="00AF2F2E"/>
    <w:rsid w:val="00AF4A67"/>
    <w:rsid w:val="00AF4E8B"/>
    <w:rsid w:val="00AF5603"/>
    <w:rsid w:val="00AF566E"/>
    <w:rsid w:val="00AF6C57"/>
    <w:rsid w:val="00AF7BD0"/>
    <w:rsid w:val="00B006C0"/>
    <w:rsid w:val="00B0102E"/>
    <w:rsid w:val="00B0113D"/>
    <w:rsid w:val="00B016F3"/>
    <w:rsid w:val="00B01D1B"/>
    <w:rsid w:val="00B0203D"/>
    <w:rsid w:val="00B03681"/>
    <w:rsid w:val="00B03A6F"/>
    <w:rsid w:val="00B03C2A"/>
    <w:rsid w:val="00B04263"/>
    <w:rsid w:val="00B0444C"/>
    <w:rsid w:val="00B04949"/>
    <w:rsid w:val="00B04A87"/>
    <w:rsid w:val="00B05F6B"/>
    <w:rsid w:val="00B061F4"/>
    <w:rsid w:val="00B06D20"/>
    <w:rsid w:val="00B06E6F"/>
    <w:rsid w:val="00B07898"/>
    <w:rsid w:val="00B07EA8"/>
    <w:rsid w:val="00B10403"/>
    <w:rsid w:val="00B108C6"/>
    <w:rsid w:val="00B10CFB"/>
    <w:rsid w:val="00B11851"/>
    <w:rsid w:val="00B119C9"/>
    <w:rsid w:val="00B12704"/>
    <w:rsid w:val="00B12967"/>
    <w:rsid w:val="00B1347D"/>
    <w:rsid w:val="00B13D9C"/>
    <w:rsid w:val="00B13E76"/>
    <w:rsid w:val="00B1423A"/>
    <w:rsid w:val="00B148AD"/>
    <w:rsid w:val="00B14954"/>
    <w:rsid w:val="00B14EC9"/>
    <w:rsid w:val="00B150A6"/>
    <w:rsid w:val="00B152EC"/>
    <w:rsid w:val="00B166B8"/>
    <w:rsid w:val="00B17723"/>
    <w:rsid w:val="00B17F21"/>
    <w:rsid w:val="00B20107"/>
    <w:rsid w:val="00B2015D"/>
    <w:rsid w:val="00B21090"/>
    <w:rsid w:val="00B21DBD"/>
    <w:rsid w:val="00B21FDA"/>
    <w:rsid w:val="00B222FF"/>
    <w:rsid w:val="00B22423"/>
    <w:rsid w:val="00B23482"/>
    <w:rsid w:val="00B23B58"/>
    <w:rsid w:val="00B240C1"/>
    <w:rsid w:val="00B24D49"/>
    <w:rsid w:val="00B250DA"/>
    <w:rsid w:val="00B2594C"/>
    <w:rsid w:val="00B268CB"/>
    <w:rsid w:val="00B2790F"/>
    <w:rsid w:val="00B3003E"/>
    <w:rsid w:val="00B3038B"/>
    <w:rsid w:val="00B30D34"/>
    <w:rsid w:val="00B3256E"/>
    <w:rsid w:val="00B326F3"/>
    <w:rsid w:val="00B32DE7"/>
    <w:rsid w:val="00B33270"/>
    <w:rsid w:val="00B3492F"/>
    <w:rsid w:val="00B34EF5"/>
    <w:rsid w:val="00B350C2"/>
    <w:rsid w:val="00B35387"/>
    <w:rsid w:val="00B355EB"/>
    <w:rsid w:val="00B35815"/>
    <w:rsid w:val="00B35B9B"/>
    <w:rsid w:val="00B35E0E"/>
    <w:rsid w:val="00B35E36"/>
    <w:rsid w:val="00B36469"/>
    <w:rsid w:val="00B37B38"/>
    <w:rsid w:val="00B40D37"/>
    <w:rsid w:val="00B41291"/>
    <w:rsid w:val="00B425A0"/>
    <w:rsid w:val="00B4267B"/>
    <w:rsid w:val="00B4389F"/>
    <w:rsid w:val="00B438DE"/>
    <w:rsid w:val="00B439A8"/>
    <w:rsid w:val="00B444ED"/>
    <w:rsid w:val="00B44767"/>
    <w:rsid w:val="00B454C4"/>
    <w:rsid w:val="00B45B8D"/>
    <w:rsid w:val="00B460AB"/>
    <w:rsid w:val="00B46AEB"/>
    <w:rsid w:val="00B472B5"/>
    <w:rsid w:val="00B4785A"/>
    <w:rsid w:val="00B47F75"/>
    <w:rsid w:val="00B50390"/>
    <w:rsid w:val="00B5081D"/>
    <w:rsid w:val="00B51552"/>
    <w:rsid w:val="00B51C5D"/>
    <w:rsid w:val="00B525DB"/>
    <w:rsid w:val="00B52740"/>
    <w:rsid w:val="00B52751"/>
    <w:rsid w:val="00B52D89"/>
    <w:rsid w:val="00B52F2A"/>
    <w:rsid w:val="00B53053"/>
    <w:rsid w:val="00B53218"/>
    <w:rsid w:val="00B538FF"/>
    <w:rsid w:val="00B539B1"/>
    <w:rsid w:val="00B547FE"/>
    <w:rsid w:val="00B54AC4"/>
    <w:rsid w:val="00B550CD"/>
    <w:rsid w:val="00B55933"/>
    <w:rsid w:val="00B56C2B"/>
    <w:rsid w:val="00B56FFE"/>
    <w:rsid w:val="00B57206"/>
    <w:rsid w:val="00B574CF"/>
    <w:rsid w:val="00B6020C"/>
    <w:rsid w:val="00B61026"/>
    <w:rsid w:val="00B6120D"/>
    <w:rsid w:val="00B61409"/>
    <w:rsid w:val="00B614A2"/>
    <w:rsid w:val="00B614C1"/>
    <w:rsid w:val="00B618C8"/>
    <w:rsid w:val="00B620BD"/>
    <w:rsid w:val="00B621F9"/>
    <w:rsid w:val="00B62308"/>
    <w:rsid w:val="00B62AA2"/>
    <w:rsid w:val="00B64072"/>
    <w:rsid w:val="00B645C4"/>
    <w:rsid w:val="00B64DE3"/>
    <w:rsid w:val="00B65515"/>
    <w:rsid w:val="00B65943"/>
    <w:rsid w:val="00B659A8"/>
    <w:rsid w:val="00B66967"/>
    <w:rsid w:val="00B66E02"/>
    <w:rsid w:val="00B7062F"/>
    <w:rsid w:val="00B7078C"/>
    <w:rsid w:val="00B70A52"/>
    <w:rsid w:val="00B70F4A"/>
    <w:rsid w:val="00B71A10"/>
    <w:rsid w:val="00B71EE3"/>
    <w:rsid w:val="00B71FBB"/>
    <w:rsid w:val="00B721F5"/>
    <w:rsid w:val="00B72738"/>
    <w:rsid w:val="00B731A9"/>
    <w:rsid w:val="00B74B52"/>
    <w:rsid w:val="00B763B7"/>
    <w:rsid w:val="00B76DAF"/>
    <w:rsid w:val="00B77729"/>
    <w:rsid w:val="00B77D82"/>
    <w:rsid w:val="00B77E18"/>
    <w:rsid w:val="00B80937"/>
    <w:rsid w:val="00B817EE"/>
    <w:rsid w:val="00B81957"/>
    <w:rsid w:val="00B81C10"/>
    <w:rsid w:val="00B83027"/>
    <w:rsid w:val="00B8440B"/>
    <w:rsid w:val="00B846C4"/>
    <w:rsid w:val="00B847CA"/>
    <w:rsid w:val="00B84A5E"/>
    <w:rsid w:val="00B84D77"/>
    <w:rsid w:val="00B85BE7"/>
    <w:rsid w:val="00B8606D"/>
    <w:rsid w:val="00B863E3"/>
    <w:rsid w:val="00B86836"/>
    <w:rsid w:val="00B8713C"/>
    <w:rsid w:val="00B8725A"/>
    <w:rsid w:val="00B87449"/>
    <w:rsid w:val="00B901EC"/>
    <w:rsid w:val="00B913AD"/>
    <w:rsid w:val="00B91864"/>
    <w:rsid w:val="00B921B9"/>
    <w:rsid w:val="00B92753"/>
    <w:rsid w:val="00B92D07"/>
    <w:rsid w:val="00B92DA6"/>
    <w:rsid w:val="00B93110"/>
    <w:rsid w:val="00B9388A"/>
    <w:rsid w:val="00B93AE9"/>
    <w:rsid w:val="00B9419F"/>
    <w:rsid w:val="00B943E5"/>
    <w:rsid w:val="00B94961"/>
    <w:rsid w:val="00B94985"/>
    <w:rsid w:val="00B94F91"/>
    <w:rsid w:val="00B94FDA"/>
    <w:rsid w:val="00B9582B"/>
    <w:rsid w:val="00B9706D"/>
    <w:rsid w:val="00B970DA"/>
    <w:rsid w:val="00B972E2"/>
    <w:rsid w:val="00B97E7D"/>
    <w:rsid w:val="00B97F39"/>
    <w:rsid w:val="00BA0FE4"/>
    <w:rsid w:val="00BA1F7F"/>
    <w:rsid w:val="00BA397B"/>
    <w:rsid w:val="00BA3FAE"/>
    <w:rsid w:val="00BA42AC"/>
    <w:rsid w:val="00BA45AE"/>
    <w:rsid w:val="00BA489F"/>
    <w:rsid w:val="00BA4EF3"/>
    <w:rsid w:val="00BA573C"/>
    <w:rsid w:val="00BA6E7F"/>
    <w:rsid w:val="00BA7547"/>
    <w:rsid w:val="00BA75FC"/>
    <w:rsid w:val="00BA7BCA"/>
    <w:rsid w:val="00BA7E57"/>
    <w:rsid w:val="00BB0650"/>
    <w:rsid w:val="00BB0769"/>
    <w:rsid w:val="00BB0BD8"/>
    <w:rsid w:val="00BB167B"/>
    <w:rsid w:val="00BB185C"/>
    <w:rsid w:val="00BB1D75"/>
    <w:rsid w:val="00BB252F"/>
    <w:rsid w:val="00BB319C"/>
    <w:rsid w:val="00BB3BE9"/>
    <w:rsid w:val="00BB3BEB"/>
    <w:rsid w:val="00BB3F74"/>
    <w:rsid w:val="00BB3F97"/>
    <w:rsid w:val="00BB403F"/>
    <w:rsid w:val="00BB52DC"/>
    <w:rsid w:val="00BB5988"/>
    <w:rsid w:val="00BB6030"/>
    <w:rsid w:val="00BB6264"/>
    <w:rsid w:val="00BB63AB"/>
    <w:rsid w:val="00BB6651"/>
    <w:rsid w:val="00BB6A4C"/>
    <w:rsid w:val="00BB6E83"/>
    <w:rsid w:val="00BB72E3"/>
    <w:rsid w:val="00BB766C"/>
    <w:rsid w:val="00BB7956"/>
    <w:rsid w:val="00BC0B76"/>
    <w:rsid w:val="00BC115A"/>
    <w:rsid w:val="00BC1875"/>
    <w:rsid w:val="00BC18BD"/>
    <w:rsid w:val="00BC1A16"/>
    <w:rsid w:val="00BC1A9B"/>
    <w:rsid w:val="00BC2348"/>
    <w:rsid w:val="00BC23F5"/>
    <w:rsid w:val="00BC2758"/>
    <w:rsid w:val="00BC2D41"/>
    <w:rsid w:val="00BC2DAD"/>
    <w:rsid w:val="00BC3778"/>
    <w:rsid w:val="00BC3A55"/>
    <w:rsid w:val="00BC4EA1"/>
    <w:rsid w:val="00BC555F"/>
    <w:rsid w:val="00BC57F6"/>
    <w:rsid w:val="00BC61C4"/>
    <w:rsid w:val="00BC656A"/>
    <w:rsid w:val="00BC759B"/>
    <w:rsid w:val="00BC7CAD"/>
    <w:rsid w:val="00BC7EE8"/>
    <w:rsid w:val="00BD05A3"/>
    <w:rsid w:val="00BD35C6"/>
    <w:rsid w:val="00BD3C97"/>
    <w:rsid w:val="00BD4CA3"/>
    <w:rsid w:val="00BD5B51"/>
    <w:rsid w:val="00BD5EF9"/>
    <w:rsid w:val="00BD6FA6"/>
    <w:rsid w:val="00BD7444"/>
    <w:rsid w:val="00BD79A1"/>
    <w:rsid w:val="00BD7E41"/>
    <w:rsid w:val="00BE0097"/>
    <w:rsid w:val="00BE1134"/>
    <w:rsid w:val="00BE15AF"/>
    <w:rsid w:val="00BE1806"/>
    <w:rsid w:val="00BE1907"/>
    <w:rsid w:val="00BE203D"/>
    <w:rsid w:val="00BE298D"/>
    <w:rsid w:val="00BE2BA7"/>
    <w:rsid w:val="00BE2F08"/>
    <w:rsid w:val="00BE4B21"/>
    <w:rsid w:val="00BE4E92"/>
    <w:rsid w:val="00BE505F"/>
    <w:rsid w:val="00BE5195"/>
    <w:rsid w:val="00BE5745"/>
    <w:rsid w:val="00BE5ADB"/>
    <w:rsid w:val="00BE5F76"/>
    <w:rsid w:val="00BE6038"/>
    <w:rsid w:val="00BE6640"/>
    <w:rsid w:val="00BE793E"/>
    <w:rsid w:val="00BF1225"/>
    <w:rsid w:val="00BF151A"/>
    <w:rsid w:val="00BF1B4B"/>
    <w:rsid w:val="00BF1DAF"/>
    <w:rsid w:val="00BF2E7B"/>
    <w:rsid w:val="00BF30B8"/>
    <w:rsid w:val="00BF3218"/>
    <w:rsid w:val="00BF3289"/>
    <w:rsid w:val="00BF382F"/>
    <w:rsid w:val="00BF3BEF"/>
    <w:rsid w:val="00BF3DD4"/>
    <w:rsid w:val="00BF3E75"/>
    <w:rsid w:val="00BF4A72"/>
    <w:rsid w:val="00BF5268"/>
    <w:rsid w:val="00BF599C"/>
    <w:rsid w:val="00BF6D14"/>
    <w:rsid w:val="00BF7C86"/>
    <w:rsid w:val="00C00A91"/>
    <w:rsid w:val="00C017E0"/>
    <w:rsid w:val="00C02305"/>
    <w:rsid w:val="00C02779"/>
    <w:rsid w:val="00C02A76"/>
    <w:rsid w:val="00C02D49"/>
    <w:rsid w:val="00C02D82"/>
    <w:rsid w:val="00C03575"/>
    <w:rsid w:val="00C03874"/>
    <w:rsid w:val="00C0396F"/>
    <w:rsid w:val="00C03B37"/>
    <w:rsid w:val="00C03BED"/>
    <w:rsid w:val="00C03F1B"/>
    <w:rsid w:val="00C048D3"/>
    <w:rsid w:val="00C04CEC"/>
    <w:rsid w:val="00C06109"/>
    <w:rsid w:val="00C063B4"/>
    <w:rsid w:val="00C066F8"/>
    <w:rsid w:val="00C07129"/>
    <w:rsid w:val="00C07530"/>
    <w:rsid w:val="00C07581"/>
    <w:rsid w:val="00C10178"/>
    <w:rsid w:val="00C103CE"/>
    <w:rsid w:val="00C11062"/>
    <w:rsid w:val="00C113FE"/>
    <w:rsid w:val="00C1175C"/>
    <w:rsid w:val="00C12065"/>
    <w:rsid w:val="00C12582"/>
    <w:rsid w:val="00C125EE"/>
    <w:rsid w:val="00C12B27"/>
    <w:rsid w:val="00C12DDE"/>
    <w:rsid w:val="00C13FC1"/>
    <w:rsid w:val="00C14DF1"/>
    <w:rsid w:val="00C15AEC"/>
    <w:rsid w:val="00C16434"/>
    <w:rsid w:val="00C16EE2"/>
    <w:rsid w:val="00C17282"/>
    <w:rsid w:val="00C17647"/>
    <w:rsid w:val="00C20A45"/>
    <w:rsid w:val="00C20F8F"/>
    <w:rsid w:val="00C21C67"/>
    <w:rsid w:val="00C21E1A"/>
    <w:rsid w:val="00C225D8"/>
    <w:rsid w:val="00C228E4"/>
    <w:rsid w:val="00C22AA7"/>
    <w:rsid w:val="00C22E65"/>
    <w:rsid w:val="00C23538"/>
    <w:rsid w:val="00C23C3E"/>
    <w:rsid w:val="00C24C5E"/>
    <w:rsid w:val="00C251A4"/>
    <w:rsid w:val="00C255E4"/>
    <w:rsid w:val="00C256E4"/>
    <w:rsid w:val="00C2733B"/>
    <w:rsid w:val="00C30606"/>
    <w:rsid w:val="00C306FB"/>
    <w:rsid w:val="00C30755"/>
    <w:rsid w:val="00C31264"/>
    <w:rsid w:val="00C31A40"/>
    <w:rsid w:val="00C3269C"/>
    <w:rsid w:val="00C3277A"/>
    <w:rsid w:val="00C32908"/>
    <w:rsid w:val="00C32B69"/>
    <w:rsid w:val="00C32F5B"/>
    <w:rsid w:val="00C339B2"/>
    <w:rsid w:val="00C340A1"/>
    <w:rsid w:val="00C3412D"/>
    <w:rsid w:val="00C34665"/>
    <w:rsid w:val="00C34C09"/>
    <w:rsid w:val="00C35A83"/>
    <w:rsid w:val="00C35FFC"/>
    <w:rsid w:val="00C36840"/>
    <w:rsid w:val="00C37072"/>
    <w:rsid w:val="00C37253"/>
    <w:rsid w:val="00C405EE"/>
    <w:rsid w:val="00C4069F"/>
    <w:rsid w:val="00C40BEC"/>
    <w:rsid w:val="00C419A5"/>
    <w:rsid w:val="00C41FD0"/>
    <w:rsid w:val="00C42D3A"/>
    <w:rsid w:val="00C4312C"/>
    <w:rsid w:val="00C43755"/>
    <w:rsid w:val="00C43891"/>
    <w:rsid w:val="00C4401C"/>
    <w:rsid w:val="00C4454A"/>
    <w:rsid w:val="00C44C93"/>
    <w:rsid w:val="00C456AD"/>
    <w:rsid w:val="00C4570D"/>
    <w:rsid w:val="00C45C9B"/>
    <w:rsid w:val="00C469EF"/>
    <w:rsid w:val="00C471CB"/>
    <w:rsid w:val="00C47301"/>
    <w:rsid w:val="00C474BD"/>
    <w:rsid w:val="00C5003E"/>
    <w:rsid w:val="00C50BDE"/>
    <w:rsid w:val="00C510FD"/>
    <w:rsid w:val="00C51688"/>
    <w:rsid w:val="00C516B6"/>
    <w:rsid w:val="00C517B7"/>
    <w:rsid w:val="00C51F2E"/>
    <w:rsid w:val="00C52006"/>
    <w:rsid w:val="00C5231C"/>
    <w:rsid w:val="00C525FA"/>
    <w:rsid w:val="00C52D3F"/>
    <w:rsid w:val="00C53845"/>
    <w:rsid w:val="00C53930"/>
    <w:rsid w:val="00C53A49"/>
    <w:rsid w:val="00C556FB"/>
    <w:rsid w:val="00C55B7A"/>
    <w:rsid w:val="00C56B62"/>
    <w:rsid w:val="00C56F24"/>
    <w:rsid w:val="00C5744F"/>
    <w:rsid w:val="00C577E2"/>
    <w:rsid w:val="00C61292"/>
    <w:rsid w:val="00C61661"/>
    <w:rsid w:val="00C61AB2"/>
    <w:rsid w:val="00C6220B"/>
    <w:rsid w:val="00C628A8"/>
    <w:rsid w:val="00C647C4"/>
    <w:rsid w:val="00C659C7"/>
    <w:rsid w:val="00C65DF0"/>
    <w:rsid w:val="00C65F5A"/>
    <w:rsid w:val="00C65F78"/>
    <w:rsid w:val="00C661B2"/>
    <w:rsid w:val="00C66262"/>
    <w:rsid w:val="00C66848"/>
    <w:rsid w:val="00C66DA7"/>
    <w:rsid w:val="00C67469"/>
    <w:rsid w:val="00C67D8B"/>
    <w:rsid w:val="00C67F51"/>
    <w:rsid w:val="00C70830"/>
    <w:rsid w:val="00C70EEC"/>
    <w:rsid w:val="00C7194F"/>
    <w:rsid w:val="00C71A7A"/>
    <w:rsid w:val="00C72A0C"/>
    <w:rsid w:val="00C72C29"/>
    <w:rsid w:val="00C72EC4"/>
    <w:rsid w:val="00C732C1"/>
    <w:rsid w:val="00C73360"/>
    <w:rsid w:val="00C7406C"/>
    <w:rsid w:val="00C74D32"/>
    <w:rsid w:val="00C75156"/>
    <w:rsid w:val="00C754BD"/>
    <w:rsid w:val="00C7583E"/>
    <w:rsid w:val="00C75E1E"/>
    <w:rsid w:val="00C768AB"/>
    <w:rsid w:val="00C77E45"/>
    <w:rsid w:val="00C77F71"/>
    <w:rsid w:val="00C80CB0"/>
    <w:rsid w:val="00C80E26"/>
    <w:rsid w:val="00C811E4"/>
    <w:rsid w:val="00C815D5"/>
    <w:rsid w:val="00C81AB9"/>
    <w:rsid w:val="00C83071"/>
    <w:rsid w:val="00C8329A"/>
    <w:rsid w:val="00C83AE0"/>
    <w:rsid w:val="00C83D45"/>
    <w:rsid w:val="00C84935"/>
    <w:rsid w:val="00C84E90"/>
    <w:rsid w:val="00C8509F"/>
    <w:rsid w:val="00C85450"/>
    <w:rsid w:val="00C8546D"/>
    <w:rsid w:val="00C863D1"/>
    <w:rsid w:val="00C868B0"/>
    <w:rsid w:val="00C87147"/>
    <w:rsid w:val="00C879C5"/>
    <w:rsid w:val="00C87CCB"/>
    <w:rsid w:val="00C9005A"/>
    <w:rsid w:val="00C90990"/>
    <w:rsid w:val="00C90AB6"/>
    <w:rsid w:val="00C912D4"/>
    <w:rsid w:val="00C9210A"/>
    <w:rsid w:val="00C92DCF"/>
    <w:rsid w:val="00C93345"/>
    <w:rsid w:val="00C9395D"/>
    <w:rsid w:val="00C94591"/>
    <w:rsid w:val="00C97376"/>
    <w:rsid w:val="00C97768"/>
    <w:rsid w:val="00C97FD2"/>
    <w:rsid w:val="00CA1E47"/>
    <w:rsid w:val="00CA348E"/>
    <w:rsid w:val="00CA3B69"/>
    <w:rsid w:val="00CA42A7"/>
    <w:rsid w:val="00CA4B68"/>
    <w:rsid w:val="00CA4EE3"/>
    <w:rsid w:val="00CA53D5"/>
    <w:rsid w:val="00CA58B0"/>
    <w:rsid w:val="00CA58DC"/>
    <w:rsid w:val="00CA5BBB"/>
    <w:rsid w:val="00CA65AD"/>
    <w:rsid w:val="00CA7253"/>
    <w:rsid w:val="00CA7539"/>
    <w:rsid w:val="00CB0007"/>
    <w:rsid w:val="00CB0073"/>
    <w:rsid w:val="00CB1000"/>
    <w:rsid w:val="00CB17A4"/>
    <w:rsid w:val="00CB1F89"/>
    <w:rsid w:val="00CB32F5"/>
    <w:rsid w:val="00CB39D7"/>
    <w:rsid w:val="00CB42AB"/>
    <w:rsid w:val="00CB4B75"/>
    <w:rsid w:val="00CB4F1D"/>
    <w:rsid w:val="00CB57A1"/>
    <w:rsid w:val="00CB5974"/>
    <w:rsid w:val="00CB677D"/>
    <w:rsid w:val="00CB6F31"/>
    <w:rsid w:val="00CB768C"/>
    <w:rsid w:val="00CB7BEB"/>
    <w:rsid w:val="00CC03DD"/>
    <w:rsid w:val="00CC0642"/>
    <w:rsid w:val="00CC0BBA"/>
    <w:rsid w:val="00CC2585"/>
    <w:rsid w:val="00CC2742"/>
    <w:rsid w:val="00CC2992"/>
    <w:rsid w:val="00CC2F9C"/>
    <w:rsid w:val="00CC38D8"/>
    <w:rsid w:val="00CC3905"/>
    <w:rsid w:val="00CC3C29"/>
    <w:rsid w:val="00CC512E"/>
    <w:rsid w:val="00CC520D"/>
    <w:rsid w:val="00CC5C3B"/>
    <w:rsid w:val="00CC67DF"/>
    <w:rsid w:val="00CC7146"/>
    <w:rsid w:val="00CC7291"/>
    <w:rsid w:val="00CC77BB"/>
    <w:rsid w:val="00CC7A90"/>
    <w:rsid w:val="00CC7C7D"/>
    <w:rsid w:val="00CD0543"/>
    <w:rsid w:val="00CD082C"/>
    <w:rsid w:val="00CD0E79"/>
    <w:rsid w:val="00CD2752"/>
    <w:rsid w:val="00CD28A7"/>
    <w:rsid w:val="00CD3210"/>
    <w:rsid w:val="00CD3847"/>
    <w:rsid w:val="00CD38C7"/>
    <w:rsid w:val="00CD444B"/>
    <w:rsid w:val="00CD4697"/>
    <w:rsid w:val="00CD495A"/>
    <w:rsid w:val="00CD4D22"/>
    <w:rsid w:val="00CD51AC"/>
    <w:rsid w:val="00CD5699"/>
    <w:rsid w:val="00CD61CC"/>
    <w:rsid w:val="00CD76F4"/>
    <w:rsid w:val="00CD7A31"/>
    <w:rsid w:val="00CD7AE5"/>
    <w:rsid w:val="00CE02EE"/>
    <w:rsid w:val="00CE0770"/>
    <w:rsid w:val="00CE0F1C"/>
    <w:rsid w:val="00CE2578"/>
    <w:rsid w:val="00CE2971"/>
    <w:rsid w:val="00CE2DFC"/>
    <w:rsid w:val="00CE45BC"/>
    <w:rsid w:val="00CE514B"/>
    <w:rsid w:val="00CE56FC"/>
    <w:rsid w:val="00CE5725"/>
    <w:rsid w:val="00CE695F"/>
    <w:rsid w:val="00CE7E8E"/>
    <w:rsid w:val="00CE7F53"/>
    <w:rsid w:val="00CF03E8"/>
    <w:rsid w:val="00CF0B59"/>
    <w:rsid w:val="00CF0CB3"/>
    <w:rsid w:val="00CF0F7D"/>
    <w:rsid w:val="00CF103F"/>
    <w:rsid w:val="00CF1932"/>
    <w:rsid w:val="00CF1BA3"/>
    <w:rsid w:val="00CF224B"/>
    <w:rsid w:val="00CF25B5"/>
    <w:rsid w:val="00CF40A8"/>
    <w:rsid w:val="00CF56AE"/>
    <w:rsid w:val="00CF613D"/>
    <w:rsid w:val="00CF628D"/>
    <w:rsid w:val="00CF62D9"/>
    <w:rsid w:val="00CF655F"/>
    <w:rsid w:val="00CF6801"/>
    <w:rsid w:val="00CF6B47"/>
    <w:rsid w:val="00CF6CA0"/>
    <w:rsid w:val="00CF6CA8"/>
    <w:rsid w:val="00CF6D93"/>
    <w:rsid w:val="00D000CE"/>
    <w:rsid w:val="00D0012C"/>
    <w:rsid w:val="00D0060D"/>
    <w:rsid w:val="00D0129F"/>
    <w:rsid w:val="00D01737"/>
    <w:rsid w:val="00D01C45"/>
    <w:rsid w:val="00D02D4E"/>
    <w:rsid w:val="00D03ABB"/>
    <w:rsid w:val="00D03CAF"/>
    <w:rsid w:val="00D040FE"/>
    <w:rsid w:val="00D041B0"/>
    <w:rsid w:val="00D04368"/>
    <w:rsid w:val="00D062F9"/>
    <w:rsid w:val="00D0794F"/>
    <w:rsid w:val="00D07BC8"/>
    <w:rsid w:val="00D10C44"/>
    <w:rsid w:val="00D111A3"/>
    <w:rsid w:val="00D1185F"/>
    <w:rsid w:val="00D1233F"/>
    <w:rsid w:val="00D1250D"/>
    <w:rsid w:val="00D129F3"/>
    <w:rsid w:val="00D12C86"/>
    <w:rsid w:val="00D12D49"/>
    <w:rsid w:val="00D12ED7"/>
    <w:rsid w:val="00D135E8"/>
    <w:rsid w:val="00D13700"/>
    <w:rsid w:val="00D138B1"/>
    <w:rsid w:val="00D13CA9"/>
    <w:rsid w:val="00D14920"/>
    <w:rsid w:val="00D14A17"/>
    <w:rsid w:val="00D14DCD"/>
    <w:rsid w:val="00D15080"/>
    <w:rsid w:val="00D15464"/>
    <w:rsid w:val="00D154D9"/>
    <w:rsid w:val="00D15A8D"/>
    <w:rsid w:val="00D15FA8"/>
    <w:rsid w:val="00D1602F"/>
    <w:rsid w:val="00D16E9E"/>
    <w:rsid w:val="00D171DD"/>
    <w:rsid w:val="00D179C1"/>
    <w:rsid w:val="00D2021D"/>
    <w:rsid w:val="00D20546"/>
    <w:rsid w:val="00D2076F"/>
    <w:rsid w:val="00D20BF4"/>
    <w:rsid w:val="00D20F05"/>
    <w:rsid w:val="00D211C6"/>
    <w:rsid w:val="00D23193"/>
    <w:rsid w:val="00D2397D"/>
    <w:rsid w:val="00D23AB7"/>
    <w:rsid w:val="00D2498C"/>
    <w:rsid w:val="00D25C10"/>
    <w:rsid w:val="00D2600F"/>
    <w:rsid w:val="00D26268"/>
    <w:rsid w:val="00D26A2B"/>
    <w:rsid w:val="00D27B26"/>
    <w:rsid w:val="00D27CF0"/>
    <w:rsid w:val="00D27E0F"/>
    <w:rsid w:val="00D30144"/>
    <w:rsid w:val="00D308C0"/>
    <w:rsid w:val="00D30C55"/>
    <w:rsid w:val="00D30D4B"/>
    <w:rsid w:val="00D315D7"/>
    <w:rsid w:val="00D31CC0"/>
    <w:rsid w:val="00D32633"/>
    <w:rsid w:val="00D3334D"/>
    <w:rsid w:val="00D3447B"/>
    <w:rsid w:val="00D345B9"/>
    <w:rsid w:val="00D347C2"/>
    <w:rsid w:val="00D360E4"/>
    <w:rsid w:val="00D360F5"/>
    <w:rsid w:val="00D363CE"/>
    <w:rsid w:val="00D3657A"/>
    <w:rsid w:val="00D36BB7"/>
    <w:rsid w:val="00D36D4D"/>
    <w:rsid w:val="00D37973"/>
    <w:rsid w:val="00D37D92"/>
    <w:rsid w:val="00D40071"/>
    <w:rsid w:val="00D409C0"/>
    <w:rsid w:val="00D4105D"/>
    <w:rsid w:val="00D41A24"/>
    <w:rsid w:val="00D4209F"/>
    <w:rsid w:val="00D42370"/>
    <w:rsid w:val="00D423B5"/>
    <w:rsid w:val="00D43E4F"/>
    <w:rsid w:val="00D448F8"/>
    <w:rsid w:val="00D460DC"/>
    <w:rsid w:val="00D46EA6"/>
    <w:rsid w:val="00D47393"/>
    <w:rsid w:val="00D47A2A"/>
    <w:rsid w:val="00D5070D"/>
    <w:rsid w:val="00D50E75"/>
    <w:rsid w:val="00D51892"/>
    <w:rsid w:val="00D51E47"/>
    <w:rsid w:val="00D521DB"/>
    <w:rsid w:val="00D529E0"/>
    <w:rsid w:val="00D52DA3"/>
    <w:rsid w:val="00D533FA"/>
    <w:rsid w:val="00D535A8"/>
    <w:rsid w:val="00D535DE"/>
    <w:rsid w:val="00D54A5F"/>
    <w:rsid w:val="00D54F54"/>
    <w:rsid w:val="00D54FB3"/>
    <w:rsid w:val="00D55019"/>
    <w:rsid w:val="00D556B1"/>
    <w:rsid w:val="00D55A2E"/>
    <w:rsid w:val="00D55AB2"/>
    <w:rsid w:val="00D5626F"/>
    <w:rsid w:val="00D566DC"/>
    <w:rsid w:val="00D57616"/>
    <w:rsid w:val="00D60083"/>
    <w:rsid w:val="00D60114"/>
    <w:rsid w:val="00D60731"/>
    <w:rsid w:val="00D61553"/>
    <w:rsid w:val="00D61786"/>
    <w:rsid w:val="00D61FB3"/>
    <w:rsid w:val="00D6294B"/>
    <w:rsid w:val="00D62BA4"/>
    <w:rsid w:val="00D62D70"/>
    <w:rsid w:val="00D63886"/>
    <w:rsid w:val="00D63B81"/>
    <w:rsid w:val="00D63E2C"/>
    <w:rsid w:val="00D64C16"/>
    <w:rsid w:val="00D656A7"/>
    <w:rsid w:val="00D66559"/>
    <w:rsid w:val="00D6716C"/>
    <w:rsid w:val="00D674E1"/>
    <w:rsid w:val="00D712B8"/>
    <w:rsid w:val="00D72931"/>
    <w:rsid w:val="00D7369B"/>
    <w:rsid w:val="00D73AC3"/>
    <w:rsid w:val="00D73B55"/>
    <w:rsid w:val="00D74D71"/>
    <w:rsid w:val="00D75363"/>
    <w:rsid w:val="00D80506"/>
    <w:rsid w:val="00D810AE"/>
    <w:rsid w:val="00D81897"/>
    <w:rsid w:val="00D818AA"/>
    <w:rsid w:val="00D81C38"/>
    <w:rsid w:val="00D81C6B"/>
    <w:rsid w:val="00D81FE7"/>
    <w:rsid w:val="00D823C6"/>
    <w:rsid w:val="00D82974"/>
    <w:rsid w:val="00D82D92"/>
    <w:rsid w:val="00D8328D"/>
    <w:rsid w:val="00D83587"/>
    <w:rsid w:val="00D845EB"/>
    <w:rsid w:val="00D84B36"/>
    <w:rsid w:val="00D85A3C"/>
    <w:rsid w:val="00D8619F"/>
    <w:rsid w:val="00D86752"/>
    <w:rsid w:val="00D8756B"/>
    <w:rsid w:val="00D90360"/>
    <w:rsid w:val="00D90386"/>
    <w:rsid w:val="00D903A0"/>
    <w:rsid w:val="00D91AAD"/>
    <w:rsid w:val="00D91FD6"/>
    <w:rsid w:val="00D92440"/>
    <w:rsid w:val="00D9427B"/>
    <w:rsid w:val="00D94436"/>
    <w:rsid w:val="00D94534"/>
    <w:rsid w:val="00D94C40"/>
    <w:rsid w:val="00D95035"/>
    <w:rsid w:val="00D9577A"/>
    <w:rsid w:val="00D960FF"/>
    <w:rsid w:val="00D972C6"/>
    <w:rsid w:val="00D97324"/>
    <w:rsid w:val="00D9745F"/>
    <w:rsid w:val="00DA0B53"/>
    <w:rsid w:val="00DA13FB"/>
    <w:rsid w:val="00DA22EB"/>
    <w:rsid w:val="00DA258E"/>
    <w:rsid w:val="00DA25AC"/>
    <w:rsid w:val="00DA29D9"/>
    <w:rsid w:val="00DA339F"/>
    <w:rsid w:val="00DA34F3"/>
    <w:rsid w:val="00DA3550"/>
    <w:rsid w:val="00DA359E"/>
    <w:rsid w:val="00DA3E4D"/>
    <w:rsid w:val="00DA43C5"/>
    <w:rsid w:val="00DA49CC"/>
    <w:rsid w:val="00DA5361"/>
    <w:rsid w:val="00DA57F4"/>
    <w:rsid w:val="00DA5B41"/>
    <w:rsid w:val="00DA5DA5"/>
    <w:rsid w:val="00DA6104"/>
    <w:rsid w:val="00DA61CA"/>
    <w:rsid w:val="00DA625C"/>
    <w:rsid w:val="00DA636B"/>
    <w:rsid w:val="00DA63E6"/>
    <w:rsid w:val="00DA6AFE"/>
    <w:rsid w:val="00DA78B9"/>
    <w:rsid w:val="00DB0255"/>
    <w:rsid w:val="00DB0364"/>
    <w:rsid w:val="00DB2102"/>
    <w:rsid w:val="00DB30AC"/>
    <w:rsid w:val="00DB3374"/>
    <w:rsid w:val="00DB33B7"/>
    <w:rsid w:val="00DB341C"/>
    <w:rsid w:val="00DB400A"/>
    <w:rsid w:val="00DB4DAF"/>
    <w:rsid w:val="00DB5DEF"/>
    <w:rsid w:val="00DB6775"/>
    <w:rsid w:val="00DB71B5"/>
    <w:rsid w:val="00DC0358"/>
    <w:rsid w:val="00DC12AB"/>
    <w:rsid w:val="00DC196B"/>
    <w:rsid w:val="00DC1D91"/>
    <w:rsid w:val="00DC1FAD"/>
    <w:rsid w:val="00DC2C39"/>
    <w:rsid w:val="00DC3068"/>
    <w:rsid w:val="00DC363F"/>
    <w:rsid w:val="00DC3C1C"/>
    <w:rsid w:val="00DC3C61"/>
    <w:rsid w:val="00DC3C68"/>
    <w:rsid w:val="00DC3D74"/>
    <w:rsid w:val="00DC4030"/>
    <w:rsid w:val="00DC5150"/>
    <w:rsid w:val="00DC5519"/>
    <w:rsid w:val="00DC5678"/>
    <w:rsid w:val="00DC58BC"/>
    <w:rsid w:val="00DC59BF"/>
    <w:rsid w:val="00DC68A5"/>
    <w:rsid w:val="00DC6AFE"/>
    <w:rsid w:val="00DC76F5"/>
    <w:rsid w:val="00DC7E6D"/>
    <w:rsid w:val="00DD0242"/>
    <w:rsid w:val="00DD02A9"/>
    <w:rsid w:val="00DD0854"/>
    <w:rsid w:val="00DD0DD8"/>
    <w:rsid w:val="00DD0EB0"/>
    <w:rsid w:val="00DD12E4"/>
    <w:rsid w:val="00DD3083"/>
    <w:rsid w:val="00DD34D6"/>
    <w:rsid w:val="00DD3CEA"/>
    <w:rsid w:val="00DD544C"/>
    <w:rsid w:val="00DD586B"/>
    <w:rsid w:val="00DD590C"/>
    <w:rsid w:val="00DD622F"/>
    <w:rsid w:val="00DD6A28"/>
    <w:rsid w:val="00DD7430"/>
    <w:rsid w:val="00DD7596"/>
    <w:rsid w:val="00DD783C"/>
    <w:rsid w:val="00DE0FE0"/>
    <w:rsid w:val="00DE12BE"/>
    <w:rsid w:val="00DE15B1"/>
    <w:rsid w:val="00DE170D"/>
    <w:rsid w:val="00DE1B9F"/>
    <w:rsid w:val="00DE1C98"/>
    <w:rsid w:val="00DE1E4C"/>
    <w:rsid w:val="00DE2E90"/>
    <w:rsid w:val="00DE3EBC"/>
    <w:rsid w:val="00DE4331"/>
    <w:rsid w:val="00DE543C"/>
    <w:rsid w:val="00DE5453"/>
    <w:rsid w:val="00DE60DC"/>
    <w:rsid w:val="00DE6338"/>
    <w:rsid w:val="00DE68EB"/>
    <w:rsid w:val="00DE6930"/>
    <w:rsid w:val="00DE6A1B"/>
    <w:rsid w:val="00DE6B77"/>
    <w:rsid w:val="00DE6C40"/>
    <w:rsid w:val="00DE7263"/>
    <w:rsid w:val="00DF00FA"/>
    <w:rsid w:val="00DF01BF"/>
    <w:rsid w:val="00DF042D"/>
    <w:rsid w:val="00DF08E1"/>
    <w:rsid w:val="00DF122F"/>
    <w:rsid w:val="00DF126D"/>
    <w:rsid w:val="00DF13BE"/>
    <w:rsid w:val="00DF156E"/>
    <w:rsid w:val="00DF15F0"/>
    <w:rsid w:val="00DF1687"/>
    <w:rsid w:val="00DF1DCF"/>
    <w:rsid w:val="00DF20B1"/>
    <w:rsid w:val="00DF262E"/>
    <w:rsid w:val="00DF271C"/>
    <w:rsid w:val="00DF2CF8"/>
    <w:rsid w:val="00DF2F31"/>
    <w:rsid w:val="00DF3472"/>
    <w:rsid w:val="00DF3805"/>
    <w:rsid w:val="00DF3C2A"/>
    <w:rsid w:val="00DF459A"/>
    <w:rsid w:val="00DF4997"/>
    <w:rsid w:val="00DF4BD3"/>
    <w:rsid w:val="00DF4F48"/>
    <w:rsid w:val="00DF519D"/>
    <w:rsid w:val="00DF540D"/>
    <w:rsid w:val="00DF55C0"/>
    <w:rsid w:val="00DF5797"/>
    <w:rsid w:val="00DF6B4A"/>
    <w:rsid w:val="00DF74E9"/>
    <w:rsid w:val="00DF768F"/>
    <w:rsid w:val="00DF7867"/>
    <w:rsid w:val="00E00B71"/>
    <w:rsid w:val="00E012F2"/>
    <w:rsid w:val="00E0152F"/>
    <w:rsid w:val="00E01F09"/>
    <w:rsid w:val="00E02172"/>
    <w:rsid w:val="00E0220E"/>
    <w:rsid w:val="00E02373"/>
    <w:rsid w:val="00E02667"/>
    <w:rsid w:val="00E02AD0"/>
    <w:rsid w:val="00E031A6"/>
    <w:rsid w:val="00E033EF"/>
    <w:rsid w:val="00E035B4"/>
    <w:rsid w:val="00E044E0"/>
    <w:rsid w:val="00E05483"/>
    <w:rsid w:val="00E057F5"/>
    <w:rsid w:val="00E05EEF"/>
    <w:rsid w:val="00E06DD1"/>
    <w:rsid w:val="00E102FA"/>
    <w:rsid w:val="00E1037C"/>
    <w:rsid w:val="00E10A49"/>
    <w:rsid w:val="00E11108"/>
    <w:rsid w:val="00E12576"/>
    <w:rsid w:val="00E12D1B"/>
    <w:rsid w:val="00E12DC6"/>
    <w:rsid w:val="00E13752"/>
    <w:rsid w:val="00E144B6"/>
    <w:rsid w:val="00E14CA1"/>
    <w:rsid w:val="00E15051"/>
    <w:rsid w:val="00E15115"/>
    <w:rsid w:val="00E15EB4"/>
    <w:rsid w:val="00E164FE"/>
    <w:rsid w:val="00E172A0"/>
    <w:rsid w:val="00E172FE"/>
    <w:rsid w:val="00E175C1"/>
    <w:rsid w:val="00E17D52"/>
    <w:rsid w:val="00E21AA1"/>
    <w:rsid w:val="00E21FA8"/>
    <w:rsid w:val="00E2216F"/>
    <w:rsid w:val="00E2313F"/>
    <w:rsid w:val="00E23D10"/>
    <w:rsid w:val="00E23D9F"/>
    <w:rsid w:val="00E24191"/>
    <w:rsid w:val="00E25D30"/>
    <w:rsid w:val="00E26803"/>
    <w:rsid w:val="00E2691D"/>
    <w:rsid w:val="00E26C69"/>
    <w:rsid w:val="00E26C73"/>
    <w:rsid w:val="00E26EBE"/>
    <w:rsid w:val="00E26FAA"/>
    <w:rsid w:val="00E27505"/>
    <w:rsid w:val="00E27BC6"/>
    <w:rsid w:val="00E30A54"/>
    <w:rsid w:val="00E30D31"/>
    <w:rsid w:val="00E3102F"/>
    <w:rsid w:val="00E311E0"/>
    <w:rsid w:val="00E31369"/>
    <w:rsid w:val="00E31B2B"/>
    <w:rsid w:val="00E31BC1"/>
    <w:rsid w:val="00E31EB0"/>
    <w:rsid w:val="00E321B4"/>
    <w:rsid w:val="00E32562"/>
    <w:rsid w:val="00E32F05"/>
    <w:rsid w:val="00E339AF"/>
    <w:rsid w:val="00E33B61"/>
    <w:rsid w:val="00E34A4B"/>
    <w:rsid w:val="00E3529C"/>
    <w:rsid w:val="00E3545E"/>
    <w:rsid w:val="00E35DBD"/>
    <w:rsid w:val="00E36441"/>
    <w:rsid w:val="00E36B4C"/>
    <w:rsid w:val="00E36ECD"/>
    <w:rsid w:val="00E3719A"/>
    <w:rsid w:val="00E3735C"/>
    <w:rsid w:val="00E4011F"/>
    <w:rsid w:val="00E40815"/>
    <w:rsid w:val="00E40A4B"/>
    <w:rsid w:val="00E40D25"/>
    <w:rsid w:val="00E41836"/>
    <w:rsid w:val="00E41A6A"/>
    <w:rsid w:val="00E41F5E"/>
    <w:rsid w:val="00E426A8"/>
    <w:rsid w:val="00E4312F"/>
    <w:rsid w:val="00E43F7B"/>
    <w:rsid w:val="00E448AA"/>
    <w:rsid w:val="00E4556F"/>
    <w:rsid w:val="00E4625E"/>
    <w:rsid w:val="00E4736A"/>
    <w:rsid w:val="00E47A65"/>
    <w:rsid w:val="00E47D32"/>
    <w:rsid w:val="00E5068D"/>
    <w:rsid w:val="00E50ED1"/>
    <w:rsid w:val="00E51723"/>
    <w:rsid w:val="00E5199C"/>
    <w:rsid w:val="00E51D9D"/>
    <w:rsid w:val="00E52ABF"/>
    <w:rsid w:val="00E5525C"/>
    <w:rsid w:val="00E56317"/>
    <w:rsid w:val="00E5697D"/>
    <w:rsid w:val="00E56E40"/>
    <w:rsid w:val="00E60693"/>
    <w:rsid w:val="00E607DB"/>
    <w:rsid w:val="00E60BB7"/>
    <w:rsid w:val="00E61723"/>
    <w:rsid w:val="00E61BDB"/>
    <w:rsid w:val="00E61D4C"/>
    <w:rsid w:val="00E6295C"/>
    <w:rsid w:val="00E63359"/>
    <w:rsid w:val="00E63896"/>
    <w:rsid w:val="00E63B37"/>
    <w:rsid w:val="00E63F04"/>
    <w:rsid w:val="00E64A92"/>
    <w:rsid w:val="00E65DED"/>
    <w:rsid w:val="00E660E5"/>
    <w:rsid w:val="00E66424"/>
    <w:rsid w:val="00E665C4"/>
    <w:rsid w:val="00E66E69"/>
    <w:rsid w:val="00E70275"/>
    <w:rsid w:val="00E71A6F"/>
    <w:rsid w:val="00E71E14"/>
    <w:rsid w:val="00E723CD"/>
    <w:rsid w:val="00E72BB9"/>
    <w:rsid w:val="00E73AA6"/>
    <w:rsid w:val="00E73E0D"/>
    <w:rsid w:val="00E7428A"/>
    <w:rsid w:val="00E7439E"/>
    <w:rsid w:val="00E743AC"/>
    <w:rsid w:val="00E74788"/>
    <w:rsid w:val="00E74CF2"/>
    <w:rsid w:val="00E7526B"/>
    <w:rsid w:val="00E7677F"/>
    <w:rsid w:val="00E76CC8"/>
    <w:rsid w:val="00E770E4"/>
    <w:rsid w:val="00E77F8D"/>
    <w:rsid w:val="00E80500"/>
    <w:rsid w:val="00E815C5"/>
    <w:rsid w:val="00E819F7"/>
    <w:rsid w:val="00E81DB3"/>
    <w:rsid w:val="00E82414"/>
    <w:rsid w:val="00E8303A"/>
    <w:rsid w:val="00E844B4"/>
    <w:rsid w:val="00E8482F"/>
    <w:rsid w:val="00E84941"/>
    <w:rsid w:val="00E84BA6"/>
    <w:rsid w:val="00E84CE9"/>
    <w:rsid w:val="00E84E73"/>
    <w:rsid w:val="00E85A4B"/>
    <w:rsid w:val="00E86337"/>
    <w:rsid w:val="00E86350"/>
    <w:rsid w:val="00E87763"/>
    <w:rsid w:val="00E87928"/>
    <w:rsid w:val="00E87C32"/>
    <w:rsid w:val="00E90009"/>
    <w:rsid w:val="00E91090"/>
    <w:rsid w:val="00E9128D"/>
    <w:rsid w:val="00E92467"/>
    <w:rsid w:val="00E92B67"/>
    <w:rsid w:val="00E93559"/>
    <w:rsid w:val="00E93563"/>
    <w:rsid w:val="00E940C7"/>
    <w:rsid w:val="00E94A7F"/>
    <w:rsid w:val="00E959E3"/>
    <w:rsid w:val="00E96076"/>
    <w:rsid w:val="00E96305"/>
    <w:rsid w:val="00E96525"/>
    <w:rsid w:val="00E96A79"/>
    <w:rsid w:val="00E96BEB"/>
    <w:rsid w:val="00EA034F"/>
    <w:rsid w:val="00EA1209"/>
    <w:rsid w:val="00EA1557"/>
    <w:rsid w:val="00EA1D7F"/>
    <w:rsid w:val="00EA1EF4"/>
    <w:rsid w:val="00EA24FF"/>
    <w:rsid w:val="00EA2B7B"/>
    <w:rsid w:val="00EA54D6"/>
    <w:rsid w:val="00EA5B3B"/>
    <w:rsid w:val="00EA610C"/>
    <w:rsid w:val="00EA7BA9"/>
    <w:rsid w:val="00EA7D82"/>
    <w:rsid w:val="00EA7DD5"/>
    <w:rsid w:val="00EA7F8A"/>
    <w:rsid w:val="00EB0F1C"/>
    <w:rsid w:val="00EB10EC"/>
    <w:rsid w:val="00EB1A10"/>
    <w:rsid w:val="00EB29F6"/>
    <w:rsid w:val="00EB2C5E"/>
    <w:rsid w:val="00EB39D1"/>
    <w:rsid w:val="00EB3C64"/>
    <w:rsid w:val="00EB3D33"/>
    <w:rsid w:val="00EB3FA6"/>
    <w:rsid w:val="00EB54AC"/>
    <w:rsid w:val="00EB61E7"/>
    <w:rsid w:val="00EB6440"/>
    <w:rsid w:val="00EB6744"/>
    <w:rsid w:val="00EB693F"/>
    <w:rsid w:val="00EB6982"/>
    <w:rsid w:val="00EB7806"/>
    <w:rsid w:val="00EB7867"/>
    <w:rsid w:val="00EC0291"/>
    <w:rsid w:val="00EC0E22"/>
    <w:rsid w:val="00EC143E"/>
    <w:rsid w:val="00EC19E4"/>
    <w:rsid w:val="00EC21C4"/>
    <w:rsid w:val="00EC23BC"/>
    <w:rsid w:val="00EC2C15"/>
    <w:rsid w:val="00EC2DB1"/>
    <w:rsid w:val="00EC3293"/>
    <w:rsid w:val="00EC3607"/>
    <w:rsid w:val="00EC3C7A"/>
    <w:rsid w:val="00EC452F"/>
    <w:rsid w:val="00EC4DEC"/>
    <w:rsid w:val="00EC53C5"/>
    <w:rsid w:val="00EC5E4C"/>
    <w:rsid w:val="00EC6914"/>
    <w:rsid w:val="00EC6DCB"/>
    <w:rsid w:val="00EC744D"/>
    <w:rsid w:val="00EC75C3"/>
    <w:rsid w:val="00ED027B"/>
    <w:rsid w:val="00ED0784"/>
    <w:rsid w:val="00ED0C8D"/>
    <w:rsid w:val="00ED1764"/>
    <w:rsid w:val="00ED1B4B"/>
    <w:rsid w:val="00ED1EB3"/>
    <w:rsid w:val="00ED2136"/>
    <w:rsid w:val="00ED2460"/>
    <w:rsid w:val="00ED2991"/>
    <w:rsid w:val="00ED2D0C"/>
    <w:rsid w:val="00ED3A4A"/>
    <w:rsid w:val="00ED3ACB"/>
    <w:rsid w:val="00ED503D"/>
    <w:rsid w:val="00ED5247"/>
    <w:rsid w:val="00ED5CE5"/>
    <w:rsid w:val="00ED5CFA"/>
    <w:rsid w:val="00ED5D7B"/>
    <w:rsid w:val="00ED6088"/>
    <w:rsid w:val="00ED6456"/>
    <w:rsid w:val="00ED6605"/>
    <w:rsid w:val="00ED670C"/>
    <w:rsid w:val="00ED676D"/>
    <w:rsid w:val="00ED71E1"/>
    <w:rsid w:val="00ED77F8"/>
    <w:rsid w:val="00ED7CCE"/>
    <w:rsid w:val="00EE00CF"/>
    <w:rsid w:val="00EE025A"/>
    <w:rsid w:val="00EE0CE4"/>
    <w:rsid w:val="00EE0DDE"/>
    <w:rsid w:val="00EE19A5"/>
    <w:rsid w:val="00EE1CFC"/>
    <w:rsid w:val="00EE2029"/>
    <w:rsid w:val="00EE20EE"/>
    <w:rsid w:val="00EE2F97"/>
    <w:rsid w:val="00EE316F"/>
    <w:rsid w:val="00EE34E6"/>
    <w:rsid w:val="00EE3F50"/>
    <w:rsid w:val="00EE477C"/>
    <w:rsid w:val="00EE4A69"/>
    <w:rsid w:val="00EE4F32"/>
    <w:rsid w:val="00EE5473"/>
    <w:rsid w:val="00EE5537"/>
    <w:rsid w:val="00EE580F"/>
    <w:rsid w:val="00EE64DD"/>
    <w:rsid w:val="00EE6CBE"/>
    <w:rsid w:val="00EE6CE4"/>
    <w:rsid w:val="00EE71EC"/>
    <w:rsid w:val="00EF043C"/>
    <w:rsid w:val="00EF063E"/>
    <w:rsid w:val="00EF0D7B"/>
    <w:rsid w:val="00EF0FD0"/>
    <w:rsid w:val="00EF1160"/>
    <w:rsid w:val="00EF1B77"/>
    <w:rsid w:val="00EF1F75"/>
    <w:rsid w:val="00EF20F2"/>
    <w:rsid w:val="00EF2C8F"/>
    <w:rsid w:val="00EF3166"/>
    <w:rsid w:val="00EF33FD"/>
    <w:rsid w:val="00EF439A"/>
    <w:rsid w:val="00EF4699"/>
    <w:rsid w:val="00EF4A69"/>
    <w:rsid w:val="00EF5E1F"/>
    <w:rsid w:val="00EF5F96"/>
    <w:rsid w:val="00EF6171"/>
    <w:rsid w:val="00EF6808"/>
    <w:rsid w:val="00EF68B5"/>
    <w:rsid w:val="00EF6C4D"/>
    <w:rsid w:val="00EF77C2"/>
    <w:rsid w:val="00EF793B"/>
    <w:rsid w:val="00F00B22"/>
    <w:rsid w:val="00F00E16"/>
    <w:rsid w:val="00F00EF9"/>
    <w:rsid w:val="00F028DD"/>
    <w:rsid w:val="00F033FE"/>
    <w:rsid w:val="00F038A3"/>
    <w:rsid w:val="00F03966"/>
    <w:rsid w:val="00F03BEA"/>
    <w:rsid w:val="00F050AE"/>
    <w:rsid w:val="00F05816"/>
    <w:rsid w:val="00F059E8"/>
    <w:rsid w:val="00F05A58"/>
    <w:rsid w:val="00F05CD0"/>
    <w:rsid w:val="00F05FC7"/>
    <w:rsid w:val="00F069F8"/>
    <w:rsid w:val="00F103D8"/>
    <w:rsid w:val="00F1047C"/>
    <w:rsid w:val="00F1067B"/>
    <w:rsid w:val="00F10C6D"/>
    <w:rsid w:val="00F113E2"/>
    <w:rsid w:val="00F11435"/>
    <w:rsid w:val="00F11555"/>
    <w:rsid w:val="00F11587"/>
    <w:rsid w:val="00F12115"/>
    <w:rsid w:val="00F123E8"/>
    <w:rsid w:val="00F12A73"/>
    <w:rsid w:val="00F13401"/>
    <w:rsid w:val="00F13E99"/>
    <w:rsid w:val="00F142AB"/>
    <w:rsid w:val="00F14B33"/>
    <w:rsid w:val="00F1563B"/>
    <w:rsid w:val="00F171C2"/>
    <w:rsid w:val="00F17D97"/>
    <w:rsid w:val="00F17FE8"/>
    <w:rsid w:val="00F2027E"/>
    <w:rsid w:val="00F2093E"/>
    <w:rsid w:val="00F20DA6"/>
    <w:rsid w:val="00F2120E"/>
    <w:rsid w:val="00F21366"/>
    <w:rsid w:val="00F21BFD"/>
    <w:rsid w:val="00F21F4A"/>
    <w:rsid w:val="00F22F8A"/>
    <w:rsid w:val="00F230CB"/>
    <w:rsid w:val="00F23384"/>
    <w:rsid w:val="00F23F91"/>
    <w:rsid w:val="00F2429A"/>
    <w:rsid w:val="00F24945"/>
    <w:rsid w:val="00F24B52"/>
    <w:rsid w:val="00F25775"/>
    <w:rsid w:val="00F2592C"/>
    <w:rsid w:val="00F27044"/>
    <w:rsid w:val="00F30951"/>
    <w:rsid w:val="00F30BBF"/>
    <w:rsid w:val="00F30EEF"/>
    <w:rsid w:val="00F30FB2"/>
    <w:rsid w:val="00F31683"/>
    <w:rsid w:val="00F31788"/>
    <w:rsid w:val="00F31BCA"/>
    <w:rsid w:val="00F31C62"/>
    <w:rsid w:val="00F31F1A"/>
    <w:rsid w:val="00F324D1"/>
    <w:rsid w:val="00F32DFA"/>
    <w:rsid w:val="00F32EC9"/>
    <w:rsid w:val="00F33957"/>
    <w:rsid w:val="00F33ABD"/>
    <w:rsid w:val="00F34AB5"/>
    <w:rsid w:val="00F34B15"/>
    <w:rsid w:val="00F35591"/>
    <w:rsid w:val="00F374BE"/>
    <w:rsid w:val="00F37A31"/>
    <w:rsid w:val="00F37DFB"/>
    <w:rsid w:val="00F41DEE"/>
    <w:rsid w:val="00F41E74"/>
    <w:rsid w:val="00F41EEB"/>
    <w:rsid w:val="00F42369"/>
    <w:rsid w:val="00F425BB"/>
    <w:rsid w:val="00F42A83"/>
    <w:rsid w:val="00F43122"/>
    <w:rsid w:val="00F433C9"/>
    <w:rsid w:val="00F433D6"/>
    <w:rsid w:val="00F442FC"/>
    <w:rsid w:val="00F4448F"/>
    <w:rsid w:val="00F444E0"/>
    <w:rsid w:val="00F445A4"/>
    <w:rsid w:val="00F4662C"/>
    <w:rsid w:val="00F46888"/>
    <w:rsid w:val="00F476A4"/>
    <w:rsid w:val="00F515A1"/>
    <w:rsid w:val="00F519A9"/>
    <w:rsid w:val="00F527C8"/>
    <w:rsid w:val="00F528D4"/>
    <w:rsid w:val="00F530F8"/>
    <w:rsid w:val="00F53C3E"/>
    <w:rsid w:val="00F53D36"/>
    <w:rsid w:val="00F54011"/>
    <w:rsid w:val="00F540A2"/>
    <w:rsid w:val="00F542AD"/>
    <w:rsid w:val="00F54372"/>
    <w:rsid w:val="00F5451B"/>
    <w:rsid w:val="00F549D0"/>
    <w:rsid w:val="00F54B00"/>
    <w:rsid w:val="00F55151"/>
    <w:rsid w:val="00F5529B"/>
    <w:rsid w:val="00F5578C"/>
    <w:rsid w:val="00F5750C"/>
    <w:rsid w:val="00F5781E"/>
    <w:rsid w:val="00F57BC6"/>
    <w:rsid w:val="00F57EC1"/>
    <w:rsid w:val="00F60FCA"/>
    <w:rsid w:val="00F614BB"/>
    <w:rsid w:val="00F61E8A"/>
    <w:rsid w:val="00F62515"/>
    <w:rsid w:val="00F6293F"/>
    <w:rsid w:val="00F62AE8"/>
    <w:rsid w:val="00F63069"/>
    <w:rsid w:val="00F63D78"/>
    <w:rsid w:val="00F6438E"/>
    <w:rsid w:val="00F6477F"/>
    <w:rsid w:val="00F647BA"/>
    <w:rsid w:val="00F64881"/>
    <w:rsid w:val="00F6539A"/>
    <w:rsid w:val="00F658C1"/>
    <w:rsid w:val="00F65911"/>
    <w:rsid w:val="00F6702E"/>
    <w:rsid w:val="00F67880"/>
    <w:rsid w:val="00F70559"/>
    <w:rsid w:val="00F70895"/>
    <w:rsid w:val="00F70F2C"/>
    <w:rsid w:val="00F71CBB"/>
    <w:rsid w:val="00F73B5D"/>
    <w:rsid w:val="00F73D54"/>
    <w:rsid w:val="00F73D82"/>
    <w:rsid w:val="00F74F35"/>
    <w:rsid w:val="00F74F67"/>
    <w:rsid w:val="00F752B8"/>
    <w:rsid w:val="00F75339"/>
    <w:rsid w:val="00F761C6"/>
    <w:rsid w:val="00F76750"/>
    <w:rsid w:val="00F769FB"/>
    <w:rsid w:val="00F800FB"/>
    <w:rsid w:val="00F80267"/>
    <w:rsid w:val="00F80567"/>
    <w:rsid w:val="00F80AEC"/>
    <w:rsid w:val="00F80F39"/>
    <w:rsid w:val="00F81471"/>
    <w:rsid w:val="00F819F4"/>
    <w:rsid w:val="00F81C2B"/>
    <w:rsid w:val="00F82289"/>
    <w:rsid w:val="00F824F8"/>
    <w:rsid w:val="00F82A35"/>
    <w:rsid w:val="00F835BB"/>
    <w:rsid w:val="00F83C82"/>
    <w:rsid w:val="00F846B6"/>
    <w:rsid w:val="00F84D7A"/>
    <w:rsid w:val="00F852AC"/>
    <w:rsid w:val="00F8612E"/>
    <w:rsid w:val="00F865DD"/>
    <w:rsid w:val="00F86899"/>
    <w:rsid w:val="00F86BD7"/>
    <w:rsid w:val="00F8782D"/>
    <w:rsid w:val="00F87C7F"/>
    <w:rsid w:val="00F90316"/>
    <w:rsid w:val="00F90569"/>
    <w:rsid w:val="00F906B4"/>
    <w:rsid w:val="00F90714"/>
    <w:rsid w:val="00F9072F"/>
    <w:rsid w:val="00F9102C"/>
    <w:rsid w:val="00F91A7A"/>
    <w:rsid w:val="00F91E87"/>
    <w:rsid w:val="00F92705"/>
    <w:rsid w:val="00F92DC3"/>
    <w:rsid w:val="00F92E82"/>
    <w:rsid w:val="00F937DB"/>
    <w:rsid w:val="00F93CCF"/>
    <w:rsid w:val="00F9401E"/>
    <w:rsid w:val="00F94421"/>
    <w:rsid w:val="00F947BE"/>
    <w:rsid w:val="00F94922"/>
    <w:rsid w:val="00F94CF7"/>
    <w:rsid w:val="00F95B9F"/>
    <w:rsid w:val="00F95D43"/>
    <w:rsid w:val="00F963A6"/>
    <w:rsid w:val="00F9680B"/>
    <w:rsid w:val="00F97D4E"/>
    <w:rsid w:val="00F97E95"/>
    <w:rsid w:val="00F97F46"/>
    <w:rsid w:val="00FA028B"/>
    <w:rsid w:val="00FA02FC"/>
    <w:rsid w:val="00FA0B34"/>
    <w:rsid w:val="00FA0BD3"/>
    <w:rsid w:val="00FA12F5"/>
    <w:rsid w:val="00FA1324"/>
    <w:rsid w:val="00FA1CC6"/>
    <w:rsid w:val="00FA1D60"/>
    <w:rsid w:val="00FA2084"/>
    <w:rsid w:val="00FA277A"/>
    <w:rsid w:val="00FA2D70"/>
    <w:rsid w:val="00FA3DF7"/>
    <w:rsid w:val="00FA459A"/>
    <w:rsid w:val="00FA4E1D"/>
    <w:rsid w:val="00FA55D3"/>
    <w:rsid w:val="00FA59F2"/>
    <w:rsid w:val="00FA634E"/>
    <w:rsid w:val="00FA6516"/>
    <w:rsid w:val="00FA65EE"/>
    <w:rsid w:val="00FA6B3A"/>
    <w:rsid w:val="00FA6CE2"/>
    <w:rsid w:val="00FA76C5"/>
    <w:rsid w:val="00FB015A"/>
    <w:rsid w:val="00FB03E8"/>
    <w:rsid w:val="00FB0A45"/>
    <w:rsid w:val="00FB0DA3"/>
    <w:rsid w:val="00FB0EDA"/>
    <w:rsid w:val="00FB0EDD"/>
    <w:rsid w:val="00FB1666"/>
    <w:rsid w:val="00FB1778"/>
    <w:rsid w:val="00FB337A"/>
    <w:rsid w:val="00FB3972"/>
    <w:rsid w:val="00FB3AA1"/>
    <w:rsid w:val="00FB3B3A"/>
    <w:rsid w:val="00FB46D4"/>
    <w:rsid w:val="00FB49C9"/>
    <w:rsid w:val="00FB52EF"/>
    <w:rsid w:val="00FB5461"/>
    <w:rsid w:val="00FB54D7"/>
    <w:rsid w:val="00FB61B0"/>
    <w:rsid w:val="00FB665F"/>
    <w:rsid w:val="00FB7207"/>
    <w:rsid w:val="00FB729A"/>
    <w:rsid w:val="00FB732B"/>
    <w:rsid w:val="00FC0540"/>
    <w:rsid w:val="00FC1490"/>
    <w:rsid w:val="00FC15E8"/>
    <w:rsid w:val="00FC2A45"/>
    <w:rsid w:val="00FC33B9"/>
    <w:rsid w:val="00FC34C9"/>
    <w:rsid w:val="00FC4300"/>
    <w:rsid w:val="00FC4619"/>
    <w:rsid w:val="00FC4AFE"/>
    <w:rsid w:val="00FC500B"/>
    <w:rsid w:val="00FC50EC"/>
    <w:rsid w:val="00FC50EF"/>
    <w:rsid w:val="00FC5407"/>
    <w:rsid w:val="00FC58CC"/>
    <w:rsid w:val="00FC63DA"/>
    <w:rsid w:val="00FC7B2A"/>
    <w:rsid w:val="00FC7E9F"/>
    <w:rsid w:val="00FD0296"/>
    <w:rsid w:val="00FD02F7"/>
    <w:rsid w:val="00FD06D0"/>
    <w:rsid w:val="00FD0D5A"/>
    <w:rsid w:val="00FD1998"/>
    <w:rsid w:val="00FD1AB6"/>
    <w:rsid w:val="00FD43DB"/>
    <w:rsid w:val="00FD4CBA"/>
    <w:rsid w:val="00FD502E"/>
    <w:rsid w:val="00FD51F4"/>
    <w:rsid w:val="00FD5AE9"/>
    <w:rsid w:val="00FD5B03"/>
    <w:rsid w:val="00FD5ED9"/>
    <w:rsid w:val="00FD66E6"/>
    <w:rsid w:val="00FD74BC"/>
    <w:rsid w:val="00FD7B23"/>
    <w:rsid w:val="00FD7D39"/>
    <w:rsid w:val="00FE0792"/>
    <w:rsid w:val="00FE164A"/>
    <w:rsid w:val="00FE4251"/>
    <w:rsid w:val="00FE42A2"/>
    <w:rsid w:val="00FE4376"/>
    <w:rsid w:val="00FE4BA3"/>
    <w:rsid w:val="00FE4D6F"/>
    <w:rsid w:val="00FE4DE8"/>
    <w:rsid w:val="00FE5C0B"/>
    <w:rsid w:val="00FE65BE"/>
    <w:rsid w:val="00FE6621"/>
    <w:rsid w:val="00FE6A6A"/>
    <w:rsid w:val="00FE797E"/>
    <w:rsid w:val="00FF10D1"/>
    <w:rsid w:val="00FF186D"/>
    <w:rsid w:val="00FF1EF3"/>
    <w:rsid w:val="00FF2573"/>
    <w:rsid w:val="00FF2F64"/>
    <w:rsid w:val="00FF3849"/>
    <w:rsid w:val="00FF452B"/>
    <w:rsid w:val="00FF45B7"/>
    <w:rsid w:val="00FF4F06"/>
    <w:rsid w:val="00FF537E"/>
    <w:rsid w:val="00FF57B2"/>
    <w:rsid w:val="00FF5BE9"/>
    <w:rsid w:val="00FF6127"/>
    <w:rsid w:val="00FF61ED"/>
    <w:rsid w:val="00FF699E"/>
    <w:rsid w:val="00FF6E26"/>
    <w:rsid w:val="00FF773F"/>
    <w:rsid w:val="00FF79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E4972B"/>
  <w15:docId w15:val="{F22EA8D6-03D3-4AD3-A2BA-7D79AD09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9B6"/>
    <w:rPr>
      <w:rFonts w:cstheme="minorBidi"/>
      <w:szCs w:val="22"/>
    </w:rPr>
  </w:style>
  <w:style w:type="paragraph" w:styleId="Heading1">
    <w:name w:val="heading 1"/>
    <w:basedOn w:val="Normal"/>
    <w:link w:val="Heading1Char"/>
    <w:uiPriority w:val="9"/>
    <w:qFormat/>
    <w:rsid w:val="00BB403F"/>
    <w:pPr>
      <w:spacing w:before="100" w:beforeAutospacing="1" w:after="100" w:afterAutospacing="1"/>
      <w:outlineLvl w:val="0"/>
    </w:pPr>
    <w:rPr>
      <w:rFonts w:eastAsia="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057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1659"/>
    <w:pPr>
      <w:keepNext/>
      <w:keepLines/>
      <w:spacing w:before="200"/>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9B6"/>
    <w:pPr>
      <w:ind w:left="720"/>
    </w:pPr>
    <w:rPr>
      <w:rFonts w:eastAsia="Times New Roman" w:cs="Times New Roman"/>
      <w:szCs w:val="24"/>
      <w:lang w:eastAsia="en-GB"/>
    </w:rPr>
  </w:style>
  <w:style w:type="paragraph" w:styleId="PlainText">
    <w:name w:val="Plain Text"/>
    <w:basedOn w:val="Normal"/>
    <w:link w:val="PlainTextChar"/>
    <w:uiPriority w:val="99"/>
    <w:semiHidden/>
    <w:rsid w:val="005559B6"/>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semiHidden/>
    <w:rsid w:val="005559B6"/>
    <w:rPr>
      <w:rFonts w:ascii="Courier New" w:eastAsia="Times New Roman" w:hAnsi="Courier New"/>
      <w:sz w:val="20"/>
      <w:szCs w:val="20"/>
      <w:lang w:eastAsia="en-GB"/>
    </w:rPr>
  </w:style>
  <w:style w:type="paragraph" w:styleId="Header">
    <w:name w:val="header"/>
    <w:basedOn w:val="Normal"/>
    <w:link w:val="HeaderChar"/>
    <w:uiPriority w:val="99"/>
    <w:unhideWhenUsed/>
    <w:rsid w:val="00A45AFF"/>
    <w:pPr>
      <w:tabs>
        <w:tab w:val="center" w:pos="4513"/>
        <w:tab w:val="right" w:pos="9026"/>
      </w:tabs>
    </w:pPr>
  </w:style>
  <w:style w:type="character" w:customStyle="1" w:styleId="HeaderChar">
    <w:name w:val="Header Char"/>
    <w:basedOn w:val="DefaultParagraphFont"/>
    <w:link w:val="Header"/>
    <w:uiPriority w:val="99"/>
    <w:rsid w:val="00A45AFF"/>
    <w:rPr>
      <w:rFonts w:cstheme="minorBidi"/>
      <w:szCs w:val="22"/>
    </w:rPr>
  </w:style>
  <w:style w:type="paragraph" w:styleId="Footer">
    <w:name w:val="footer"/>
    <w:basedOn w:val="Normal"/>
    <w:link w:val="FooterChar"/>
    <w:uiPriority w:val="99"/>
    <w:unhideWhenUsed/>
    <w:rsid w:val="00A45AFF"/>
    <w:pPr>
      <w:tabs>
        <w:tab w:val="center" w:pos="4513"/>
        <w:tab w:val="right" w:pos="9026"/>
      </w:tabs>
    </w:pPr>
  </w:style>
  <w:style w:type="character" w:customStyle="1" w:styleId="FooterChar">
    <w:name w:val="Footer Char"/>
    <w:basedOn w:val="DefaultParagraphFont"/>
    <w:link w:val="Footer"/>
    <w:uiPriority w:val="99"/>
    <w:rsid w:val="00A45AFF"/>
    <w:rPr>
      <w:rFonts w:cstheme="minorBidi"/>
      <w:szCs w:val="22"/>
    </w:rPr>
  </w:style>
  <w:style w:type="character" w:customStyle="1" w:styleId="readingnamec3df014143a7e497e525c6f4ab1b2beb">
    <w:name w:val="reading_name_c3df014143a7e497e525c6f4ab1b2beb"/>
    <w:basedOn w:val="DefaultParagraphFont"/>
    <w:rsid w:val="00C8509F"/>
  </w:style>
  <w:style w:type="character" w:styleId="Hyperlink">
    <w:name w:val="Hyperlink"/>
    <w:basedOn w:val="DefaultParagraphFont"/>
    <w:uiPriority w:val="99"/>
    <w:unhideWhenUsed/>
    <w:rsid w:val="00C8509F"/>
    <w:rPr>
      <w:color w:val="0000FF"/>
      <w:u w:val="single"/>
    </w:rPr>
  </w:style>
  <w:style w:type="character" w:customStyle="1" w:styleId="personname">
    <w:name w:val="person_name"/>
    <w:basedOn w:val="DefaultParagraphFont"/>
    <w:rsid w:val="00C8509F"/>
  </w:style>
  <w:style w:type="character" w:customStyle="1" w:styleId="apple-converted-space">
    <w:name w:val="apple-converted-space"/>
    <w:basedOn w:val="DefaultParagraphFont"/>
    <w:rsid w:val="00C8509F"/>
  </w:style>
  <w:style w:type="paragraph" w:customStyle="1" w:styleId="Body">
    <w:name w:val="Body"/>
    <w:rsid w:val="00C8509F"/>
    <w:pPr>
      <w:pBdr>
        <w:top w:val="nil"/>
        <w:left w:val="nil"/>
        <w:bottom w:val="nil"/>
        <w:right w:val="nil"/>
        <w:between w:val="nil"/>
        <w:bar w:val="nil"/>
      </w:pBdr>
    </w:pPr>
    <w:rPr>
      <w:rFonts w:eastAsia="Arial Unicode MS" w:hAnsi="Arial Unicode MS" w:cs="Arial Unicode MS"/>
      <w:color w:val="000000"/>
      <w:u w:color="000000"/>
      <w:bdr w:val="nil"/>
      <w:lang w:val="fr-FR" w:eastAsia="en-GB"/>
    </w:rPr>
  </w:style>
  <w:style w:type="character" w:styleId="Emphasis">
    <w:name w:val="Emphasis"/>
    <w:basedOn w:val="DefaultParagraphFont"/>
    <w:uiPriority w:val="20"/>
    <w:qFormat/>
    <w:rsid w:val="00705D42"/>
    <w:rPr>
      <w:i/>
      <w:iCs/>
    </w:rPr>
  </w:style>
  <w:style w:type="character" w:customStyle="1" w:styleId="lucenesearchresulturlb">
    <w:name w:val="lucene_search_result_url_b"/>
    <w:basedOn w:val="DefaultParagraphFont"/>
    <w:rsid w:val="005C7288"/>
  </w:style>
  <w:style w:type="character" w:customStyle="1" w:styleId="lead-symbol">
    <w:name w:val="lead-symbol"/>
    <w:basedOn w:val="DefaultParagraphFont"/>
    <w:rsid w:val="004B7CC7"/>
  </w:style>
  <w:style w:type="character" w:customStyle="1" w:styleId="more-symbols">
    <w:name w:val="more-symbols"/>
    <w:basedOn w:val="DefaultParagraphFont"/>
    <w:rsid w:val="004B7CC7"/>
  </w:style>
  <w:style w:type="character" w:customStyle="1" w:styleId="lead-symbol1">
    <w:name w:val="lead-symbol1"/>
    <w:basedOn w:val="DefaultParagraphFont"/>
    <w:rsid w:val="004163A3"/>
    <w:rPr>
      <w:b/>
      <w:bCs/>
      <w:color w:val="000000"/>
      <w:sz w:val="36"/>
      <w:szCs w:val="36"/>
    </w:rPr>
  </w:style>
  <w:style w:type="character" w:customStyle="1" w:styleId="more-symbols1">
    <w:name w:val="more-symbols1"/>
    <w:basedOn w:val="DefaultParagraphFont"/>
    <w:rsid w:val="004163A3"/>
    <w:rPr>
      <w:b/>
      <w:bCs/>
      <w:color w:val="000000"/>
      <w:sz w:val="20"/>
      <w:szCs w:val="20"/>
    </w:rPr>
  </w:style>
  <w:style w:type="character" w:customStyle="1" w:styleId="resolution1">
    <w:name w:val="resolution1"/>
    <w:basedOn w:val="DefaultParagraphFont"/>
    <w:rsid w:val="004163A3"/>
    <w:rPr>
      <w:rFonts w:ascii="Georgia" w:hAnsi="Georgia" w:hint="default"/>
      <w:b/>
      <w:bCs/>
      <w:color w:val="000000"/>
      <w:sz w:val="28"/>
      <w:szCs w:val="28"/>
    </w:rPr>
  </w:style>
  <w:style w:type="character" w:customStyle="1" w:styleId="doc-info1">
    <w:name w:val="doc-info1"/>
    <w:basedOn w:val="DefaultParagraphFont"/>
    <w:rsid w:val="004163A3"/>
    <w:rPr>
      <w:rFonts w:ascii="Georgia" w:hAnsi="Georgia" w:hint="default"/>
      <w:b w:val="0"/>
      <w:bCs w:val="0"/>
      <w:color w:val="000000"/>
      <w:sz w:val="20"/>
      <w:szCs w:val="20"/>
    </w:rPr>
  </w:style>
  <w:style w:type="paragraph" w:styleId="HTMLPreformatted">
    <w:name w:val="HTML Preformatted"/>
    <w:basedOn w:val="Normal"/>
    <w:link w:val="HTMLPreformattedChar"/>
    <w:uiPriority w:val="99"/>
    <w:unhideWhenUsed/>
    <w:rsid w:val="00A4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421EF"/>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BB403F"/>
    <w:rPr>
      <w:rFonts w:eastAsia="Times New Roman"/>
      <w:b/>
      <w:bCs/>
      <w:kern w:val="36"/>
      <w:sz w:val="48"/>
      <w:szCs w:val="48"/>
      <w:lang w:eastAsia="en-GB"/>
    </w:rPr>
  </w:style>
  <w:style w:type="character" w:customStyle="1" w:styleId="a-size-large">
    <w:name w:val="a-size-large"/>
    <w:basedOn w:val="DefaultParagraphFont"/>
    <w:rsid w:val="00BB403F"/>
  </w:style>
  <w:style w:type="paragraph" w:styleId="FootnoteText">
    <w:name w:val="footnote text"/>
    <w:aliases w:val=" Char,FN"/>
    <w:basedOn w:val="Normal"/>
    <w:link w:val="FootnoteTextChar"/>
    <w:uiPriority w:val="99"/>
    <w:unhideWhenUsed/>
    <w:rsid w:val="00AA5E45"/>
    <w:rPr>
      <w:sz w:val="20"/>
      <w:szCs w:val="20"/>
    </w:rPr>
  </w:style>
  <w:style w:type="character" w:customStyle="1" w:styleId="FootnoteTextChar">
    <w:name w:val="Footnote Text Char"/>
    <w:aliases w:val=" Char Char,FN Char"/>
    <w:basedOn w:val="DefaultParagraphFont"/>
    <w:link w:val="FootnoteText"/>
    <w:uiPriority w:val="99"/>
    <w:rsid w:val="00AA5E45"/>
    <w:rPr>
      <w:rFonts w:cstheme="minorBidi"/>
      <w:sz w:val="20"/>
      <w:szCs w:val="20"/>
    </w:rPr>
  </w:style>
  <w:style w:type="character" w:styleId="FootnoteReference">
    <w:name w:val="footnote reference"/>
    <w:basedOn w:val="DefaultParagraphFont"/>
    <w:uiPriority w:val="99"/>
    <w:semiHidden/>
    <w:unhideWhenUsed/>
    <w:rsid w:val="00AA5E45"/>
    <w:rPr>
      <w:vertAlign w:val="superscript"/>
    </w:rPr>
  </w:style>
  <w:style w:type="character" w:styleId="CommentReference">
    <w:name w:val="annotation reference"/>
    <w:basedOn w:val="DefaultParagraphFont"/>
    <w:uiPriority w:val="99"/>
    <w:semiHidden/>
    <w:unhideWhenUsed/>
    <w:rsid w:val="009120D3"/>
    <w:rPr>
      <w:sz w:val="16"/>
      <w:szCs w:val="16"/>
    </w:rPr>
  </w:style>
  <w:style w:type="paragraph" w:styleId="CommentText">
    <w:name w:val="annotation text"/>
    <w:basedOn w:val="Normal"/>
    <w:link w:val="CommentTextChar"/>
    <w:uiPriority w:val="99"/>
    <w:semiHidden/>
    <w:unhideWhenUsed/>
    <w:rsid w:val="009120D3"/>
    <w:rPr>
      <w:sz w:val="20"/>
      <w:szCs w:val="20"/>
    </w:rPr>
  </w:style>
  <w:style w:type="character" w:customStyle="1" w:styleId="CommentTextChar">
    <w:name w:val="Comment Text Char"/>
    <w:basedOn w:val="DefaultParagraphFont"/>
    <w:link w:val="CommentText"/>
    <w:uiPriority w:val="99"/>
    <w:semiHidden/>
    <w:rsid w:val="009120D3"/>
    <w:rPr>
      <w:rFonts w:cstheme="minorBidi"/>
      <w:sz w:val="20"/>
      <w:szCs w:val="20"/>
    </w:rPr>
  </w:style>
  <w:style w:type="paragraph" w:styleId="CommentSubject">
    <w:name w:val="annotation subject"/>
    <w:basedOn w:val="CommentText"/>
    <w:next w:val="CommentText"/>
    <w:link w:val="CommentSubjectChar"/>
    <w:uiPriority w:val="99"/>
    <w:semiHidden/>
    <w:unhideWhenUsed/>
    <w:rsid w:val="009120D3"/>
    <w:rPr>
      <w:b/>
      <w:bCs/>
    </w:rPr>
  </w:style>
  <w:style w:type="character" w:customStyle="1" w:styleId="CommentSubjectChar">
    <w:name w:val="Comment Subject Char"/>
    <w:basedOn w:val="CommentTextChar"/>
    <w:link w:val="CommentSubject"/>
    <w:uiPriority w:val="99"/>
    <w:semiHidden/>
    <w:rsid w:val="009120D3"/>
    <w:rPr>
      <w:rFonts w:cstheme="minorBidi"/>
      <w:b/>
      <w:bCs/>
      <w:sz w:val="20"/>
      <w:szCs w:val="20"/>
    </w:rPr>
  </w:style>
  <w:style w:type="paragraph" w:styleId="BalloonText">
    <w:name w:val="Balloon Text"/>
    <w:basedOn w:val="Normal"/>
    <w:link w:val="BalloonTextChar"/>
    <w:uiPriority w:val="99"/>
    <w:semiHidden/>
    <w:unhideWhenUsed/>
    <w:rsid w:val="009120D3"/>
    <w:rPr>
      <w:rFonts w:ascii="Tahoma" w:hAnsi="Tahoma" w:cs="Tahoma"/>
      <w:sz w:val="16"/>
      <w:szCs w:val="16"/>
    </w:rPr>
  </w:style>
  <w:style w:type="character" w:customStyle="1" w:styleId="BalloonTextChar">
    <w:name w:val="Balloon Text Char"/>
    <w:basedOn w:val="DefaultParagraphFont"/>
    <w:link w:val="BalloonText"/>
    <w:uiPriority w:val="99"/>
    <w:semiHidden/>
    <w:rsid w:val="009120D3"/>
    <w:rPr>
      <w:rFonts w:ascii="Tahoma" w:hAnsi="Tahoma" w:cs="Tahoma"/>
      <w:sz w:val="16"/>
      <w:szCs w:val="16"/>
    </w:rPr>
  </w:style>
  <w:style w:type="character" w:styleId="FollowedHyperlink">
    <w:name w:val="FollowedHyperlink"/>
    <w:basedOn w:val="DefaultParagraphFont"/>
    <w:uiPriority w:val="99"/>
    <w:semiHidden/>
    <w:unhideWhenUsed/>
    <w:rsid w:val="00407AAA"/>
    <w:rPr>
      <w:color w:val="800080" w:themeColor="followedHyperlink"/>
      <w:u w:val="single"/>
    </w:rPr>
  </w:style>
  <w:style w:type="character" w:customStyle="1" w:styleId="Heading3Char">
    <w:name w:val="Heading 3 Char"/>
    <w:basedOn w:val="DefaultParagraphFont"/>
    <w:link w:val="Heading3"/>
    <w:uiPriority w:val="9"/>
    <w:rsid w:val="00031659"/>
    <w:rPr>
      <w:rFonts w:asciiTheme="majorHAnsi" w:eastAsiaTheme="majorEastAsia" w:hAnsiTheme="majorHAnsi" w:cstheme="majorBidi"/>
      <w:b/>
      <w:bCs/>
      <w:color w:val="4F81BD" w:themeColor="accent1"/>
      <w:szCs w:val="22"/>
    </w:rPr>
  </w:style>
  <w:style w:type="character" w:customStyle="1" w:styleId="addmd1">
    <w:name w:val="addmd1"/>
    <w:basedOn w:val="DefaultParagraphFont"/>
    <w:rsid w:val="00031659"/>
    <w:rPr>
      <w:sz w:val="20"/>
      <w:szCs w:val="20"/>
    </w:rPr>
  </w:style>
  <w:style w:type="paragraph" w:customStyle="1" w:styleId="Default">
    <w:name w:val="Default"/>
    <w:rsid w:val="00A47F4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semiHidden/>
    <w:rsid w:val="00605704"/>
    <w:rPr>
      <w:rFonts w:asciiTheme="majorHAnsi" w:eastAsiaTheme="majorEastAsia" w:hAnsiTheme="majorHAnsi" w:cstheme="majorBidi"/>
      <w:color w:val="365F91" w:themeColor="accent1" w:themeShade="BF"/>
      <w:sz w:val="26"/>
      <w:szCs w:val="26"/>
    </w:rPr>
  </w:style>
  <w:style w:type="character" w:customStyle="1" w:styleId="explanation">
    <w:name w:val="explanation"/>
    <w:basedOn w:val="DefaultParagraphFont"/>
    <w:rsid w:val="00605704"/>
  </w:style>
  <w:style w:type="paragraph" w:styleId="NoSpacing">
    <w:name w:val="No Spacing"/>
    <w:uiPriority w:val="1"/>
    <w:qFormat/>
    <w:rsid w:val="007929CA"/>
    <w:rPr>
      <w:rFonts w:asciiTheme="minorHAnsi" w:hAnsiTheme="minorHAnsi" w:cstheme="minorBidi"/>
      <w:sz w:val="22"/>
      <w:szCs w:val="22"/>
    </w:rPr>
  </w:style>
  <w:style w:type="paragraph" w:styleId="Revision">
    <w:name w:val="Revision"/>
    <w:hidden/>
    <w:uiPriority w:val="99"/>
    <w:semiHidden/>
    <w:rsid w:val="00FB54D7"/>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97020">
      <w:bodyDiv w:val="1"/>
      <w:marLeft w:val="0"/>
      <w:marRight w:val="0"/>
      <w:marTop w:val="0"/>
      <w:marBottom w:val="0"/>
      <w:divBdr>
        <w:top w:val="none" w:sz="0" w:space="0" w:color="auto"/>
        <w:left w:val="none" w:sz="0" w:space="0" w:color="auto"/>
        <w:bottom w:val="none" w:sz="0" w:space="0" w:color="auto"/>
        <w:right w:val="none" w:sz="0" w:space="0" w:color="auto"/>
      </w:divBdr>
    </w:div>
    <w:div w:id="468480156">
      <w:bodyDiv w:val="1"/>
      <w:marLeft w:val="0"/>
      <w:marRight w:val="0"/>
      <w:marTop w:val="0"/>
      <w:marBottom w:val="0"/>
      <w:divBdr>
        <w:top w:val="none" w:sz="0" w:space="0" w:color="auto"/>
        <w:left w:val="none" w:sz="0" w:space="0" w:color="auto"/>
        <w:bottom w:val="none" w:sz="0" w:space="0" w:color="auto"/>
        <w:right w:val="none" w:sz="0" w:space="0" w:color="auto"/>
      </w:divBdr>
      <w:divsChild>
        <w:div w:id="1271166474">
          <w:marLeft w:val="0"/>
          <w:marRight w:val="0"/>
          <w:marTop w:val="0"/>
          <w:marBottom w:val="0"/>
          <w:divBdr>
            <w:top w:val="none" w:sz="0" w:space="0" w:color="auto"/>
            <w:left w:val="none" w:sz="0" w:space="0" w:color="auto"/>
            <w:bottom w:val="none" w:sz="0" w:space="0" w:color="auto"/>
            <w:right w:val="none" w:sz="0" w:space="0" w:color="auto"/>
          </w:divBdr>
          <w:divsChild>
            <w:div w:id="1755129544">
              <w:marLeft w:val="0"/>
              <w:marRight w:val="0"/>
              <w:marTop w:val="0"/>
              <w:marBottom w:val="0"/>
              <w:divBdr>
                <w:top w:val="none" w:sz="0" w:space="0" w:color="auto"/>
                <w:left w:val="none" w:sz="0" w:space="0" w:color="auto"/>
                <w:bottom w:val="none" w:sz="0" w:space="0" w:color="auto"/>
                <w:right w:val="none" w:sz="0" w:space="0" w:color="auto"/>
              </w:divBdr>
              <w:divsChild>
                <w:div w:id="1534883481">
                  <w:marLeft w:val="0"/>
                  <w:marRight w:val="0"/>
                  <w:marTop w:val="0"/>
                  <w:marBottom w:val="0"/>
                  <w:divBdr>
                    <w:top w:val="none" w:sz="0" w:space="0" w:color="auto"/>
                    <w:left w:val="none" w:sz="0" w:space="0" w:color="auto"/>
                    <w:bottom w:val="none" w:sz="0" w:space="0" w:color="auto"/>
                    <w:right w:val="none" w:sz="0" w:space="0" w:color="auto"/>
                  </w:divBdr>
                  <w:divsChild>
                    <w:div w:id="1463813166">
                      <w:marLeft w:val="0"/>
                      <w:marRight w:val="0"/>
                      <w:marTop w:val="0"/>
                      <w:marBottom w:val="0"/>
                      <w:divBdr>
                        <w:top w:val="none" w:sz="0" w:space="0" w:color="auto"/>
                        <w:left w:val="none" w:sz="0" w:space="0" w:color="auto"/>
                        <w:bottom w:val="none" w:sz="0" w:space="0" w:color="auto"/>
                        <w:right w:val="none" w:sz="0" w:space="0" w:color="auto"/>
                      </w:divBdr>
                      <w:divsChild>
                        <w:div w:id="1409303882">
                          <w:marLeft w:val="0"/>
                          <w:marRight w:val="0"/>
                          <w:marTop w:val="0"/>
                          <w:marBottom w:val="0"/>
                          <w:divBdr>
                            <w:top w:val="none" w:sz="0" w:space="0" w:color="auto"/>
                            <w:left w:val="none" w:sz="0" w:space="0" w:color="auto"/>
                            <w:bottom w:val="none" w:sz="0" w:space="0" w:color="auto"/>
                            <w:right w:val="none" w:sz="0" w:space="0" w:color="auto"/>
                          </w:divBdr>
                          <w:divsChild>
                            <w:div w:id="69274737">
                              <w:marLeft w:val="0"/>
                              <w:marRight w:val="0"/>
                              <w:marTop w:val="0"/>
                              <w:marBottom w:val="0"/>
                              <w:divBdr>
                                <w:top w:val="none" w:sz="0" w:space="0" w:color="auto"/>
                                <w:left w:val="none" w:sz="0" w:space="0" w:color="auto"/>
                                <w:bottom w:val="none" w:sz="0" w:space="0" w:color="auto"/>
                                <w:right w:val="none" w:sz="0" w:space="0" w:color="auto"/>
                              </w:divBdr>
                              <w:divsChild>
                                <w:div w:id="12784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3347">
      <w:bodyDiv w:val="1"/>
      <w:marLeft w:val="0"/>
      <w:marRight w:val="0"/>
      <w:marTop w:val="0"/>
      <w:marBottom w:val="0"/>
      <w:divBdr>
        <w:top w:val="none" w:sz="0" w:space="0" w:color="auto"/>
        <w:left w:val="none" w:sz="0" w:space="0" w:color="auto"/>
        <w:bottom w:val="none" w:sz="0" w:space="0" w:color="auto"/>
        <w:right w:val="none" w:sz="0" w:space="0" w:color="auto"/>
      </w:divBdr>
    </w:div>
    <w:div w:id="605507176">
      <w:bodyDiv w:val="1"/>
      <w:marLeft w:val="0"/>
      <w:marRight w:val="0"/>
      <w:marTop w:val="0"/>
      <w:marBottom w:val="0"/>
      <w:divBdr>
        <w:top w:val="none" w:sz="0" w:space="0" w:color="auto"/>
        <w:left w:val="none" w:sz="0" w:space="0" w:color="auto"/>
        <w:bottom w:val="none" w:sz="0" w:space="0" w:color="auto"/>
        <w:right w:val="none" w:sz="0" w:space="0" w:color="auto"/>
      </w:divBdr>
    </w:div>
    <w:div w:id="1032799689">
      <w:bodyDiv w:val="1"/>
      <w:marLeft w:val="0"/>
      <w:marRight w:val="0"/>
      <w:marTop w:val="0"/>
      <w:marBottom w:val="0"/>
      <w:divBdr>
        <w:top w:val="none" w:sz="0" w:space="0" w:color="auto"/>
        <w:left w:val="none" w:sz="0" w:space="0" w:color="auto"/>
        <w:bottom w:val="none" w:sz="0" w:space="0" w:color="auto"/>
        <w:right w:val="none" w:sz="0" w:space="0" w:color="auto"/>
      </w:divBdr>
    </w:div>
    <w:div w:id="1181041353">
      <w:bodyDiv w:val="1"/>
      <w:marLeft w:val="0"/>
      <w:marRight w:val="0"/>
      <w:marTop w:val="0"/>
      <w:marBottom w:val="0"/>
      <w:divBdr>
        <w:top w:val="none" w:sz="0" w:space="0" w:color="auto"/>
        <w:left w:val="none" w:sz="0" w:space="0" w:color="auto"/>
        <w:bottom w:val="none" w:sz="0" w:space="0" w:color="auto"/>
        <w:right w:val="none" w:sz="0" w:space="0" w:color="auto"/>
      </w:divBdr>
    </w:div>
    <w:div w:id="1349598490">
      <w:bodyDiv w:val="1"/>
      <w:marLeft w:val="0"/>
      <w:marRight w:val="0"/>
      <w:marTop w:val="0"/>
      <w:marBottom w:val="0"/>
      <w:divBdr>
        <w:top w:val="none" w:sz="0" w:space="0" w:color="auto"/>
        <w:left w:val="none" w:sz="0" w:space="0" w:color="auto"/>
        <w:bottom w:val="none" w:sz="0" w:space="0" w:color="auto"/>
        <w:right w:val="none" w:sz="0" w:space="0" w:color="auto"/>
      </w:divBdr>
    </w:div>
    <w:div w:id="15598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A368-EEDA-4F57-A94A-89541F01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7292</Words>
  <Characters>41566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Green</dc:creator>
  <cp:lastModifiedBy>katja samuel</cp:lastModifiedBy>
  <cp:revision>2</cp:revision>
  <dcterms:created xsi:type="dcterms:W3CDTF">2015-11-30T12:47:00Z</dcterms:created>
  <dcterms:modified xsi:type="dcterms:W3CDTF">2015-11-30T12:47:00Z</dcterms:modified>
</cp:coreProperties>
</file>