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8D213" w14:textId="116ECFCD" w:rsidR="00360DE8" w:rsidRPr="00EA1E99" w:rsidRDefault="00852746" w:rsidP="004C1DD1">
      <w:pPr>
        <w:spacing w:line="480" w:lineRule="auto"/>
        <w:jc w:val="center"/>
        <w:rPr>
          <w:rFonts w:eastAsia="Times New Roman" w:cs="Times New Roman"/>
          <w:b/>
        </w:rPr>
      </w:pPr>
      <w:r w:rsidRPr="00EA1E99">
        <w:rPr>
          <w:rFonts w:eastAsia="Times New Roman" w:cs="Times New Roman"/>
          <w:b/>
        </w:rPr>
        <w:t xml:space="preserve">The </w:t>
      </w:r>
      <w:proofErr w:type="spellStart"/>
      <w:r w:rsidR="00552496" w:rsidRPr="00EA1E99">
        <w:rPr>
          <w:rFonts w:eastAsia="Times New Roman" w:cs="Times New Roman"/>
          <w:b/>
        </w:rPr>
        <w:t>Chilcot</w:t>
      </w:r>
      <w:proofErr w:type="spellEnd"/>
      <w:r w:rsidR="00976E8A" w:rsidRPr="00EA1E99">
        <w:rPr>
          <w:rFonts w:eastAsia="Times New Roman" w:cs="Times New Roman"/>
          <w:b/>
        </w:rPr>
        <w:t xml:space="preserve"> Report</w:t>
      </w:r>
    </w:p>
    <w:p w14:paraId="30CFFD91" w14:textId="77777777" w:rsidR="00852746" w:rsidRPr="00EA1E99" w:rsidRDefault="00EA2356" w:rsidP="004C1DD1">
      <w:pPr>
        <w:spacing w:line="480" w:lineRule="auto"/>
        <w:jc w:val="center"/>
        <w:rPr>
          <w:rFonts w:eastAsia="Times New Roman" w:cs="Times New Roman"/>
          <w:b/>
        </w:rPr>
      </w:pPr>
      <w:r w:rsidRPr="00EA1E99">
        <w:rPr>
          <w:rFonts w:eastAsia="Times New Roman" w:cs="Times New Roman"/>
          <w:b/>
        </w:rPr>
        <w:t>Some Thoughts on International Law and Legal Advice</w:t>
      </w:r>
    </w:p>
    <w:p w14:paraId="363F7546" w14:textId="77777777" w:rsidR="009013BA" w:rsidRPr="00EA1E99" w:rsidRDefault="00852746" w:rsidP="004C1DD1">
      <w:pPr>
        <w:spacing w:line="480" w:lineRule="auto"/>
        <w:jc w:val="center"/>
        <w:rPr>
          <w:rFonts w:cs="Times New Roman"/>
        </w:rPr>
      </w:pPr>
      <w:r w:rsidRPr="00EA1E99">
        <w:rPr>
          <w:rFonts w:cs="Times New Roman"/>
        </w:rPr>
        <w:t>James A Green</w:t>
      </w:r>
      <w:r w:rsidRPr="00EA1E99">
        <w:rPr>
          <w:rStyle w:val="FootnoteReference"/>
          <w:rFonts w:cs="Times New Roman"/>
        </w:rPr>
        <w:footnoteReference w:customMarkFollows="1" w:id="2"/>
        <w:sym w:font="Symbol" w:char="F02A"/>
      </w:r>
      <w:r w:rsidRPr="00EA1E99">
        <w:rPr>
          <w:rFonts w:cs="Times New Roman"/>
        </w:rPr>
        <w:t xml:space="preserve"> and Stephen Samuel</w:t>
      </w:r>
      <w:r w:rsidRPr="00EA1E99">
        <w:rPr>
          <w:rStyle w:val="FootnoteReference"/>
          <w:rFonts w:cs="Times New Roman"/>
        </w:rPr>
        <w:footnoteReference w:customMarkFollows="1" w:id="3"/>
        <w:sym w:font="Symbol" w:char="F02B"/>
      </w:r>
    </w:p>
    <w:p w14:paraId="776CF071" w14:textId="77777777" w:rsidR="00B24051" w:rsidRPr="00EA1E99" w:rsidRDefault="00B24051" w:rsidP="00FB37EF">
      <w:pPr>
        <w:spacing w:line="480" w:lineRule="auto"/>
        <w:ind w:left="709"/>
        <w:rPr>
          <w:rFonts w:cs="Times New Roman"/>
          <w:b/>
        </w:rPr>
      </w:pPr>
    </w:p>
    <w:p w14:paraId="24930D8B" w14:textId="77777777" w:rsidR="00492D31" w:rsidRPr="00EA1E99" w:rsidRDefault="00492D31" w:rsidP="00FB37EF">
      <w:pPr>
        <w:spacing w:line="480" w:lineRule="auto"/>
        <w:ind w:left="709"/>
        <w:rPr>
          <w:rFonts w:cs="Times New Roman"/>
          <w:b/>
        </w:rPr>
      </w:pPr>
      <w:r w:rsidRPr="00EA1E99">
        <w:rPr>
          <w:rFonts w:cs="Times New Roman"/>
          <w:b/>
        </w:rPr>
        <w:t>Abstract</w:t>
      </w:r>
    </w:p>
    <w:p w14:paraId="33DDE6E0" w14:textId="22B6825A" w:rsidR="00FB37EF" w:rsidRPr="00EA1E99" w:rsidRDefault="00FB37EF" w:rsidP="00FB37EF">
      <w:pPr>
        <w:spacing w:line="480" w:lineRule="auto"/>
        <w:ind w:left="709"/>
        <w:rPr>
          <w:rFonts w:cs="Times New Roman"/>
        </w:rPr>
      </w:pPr>
      <w:r w:rsidRPr="00EA1E99">
        <w:rPr>
          <w:rFonts w:cs="Times New Roman"/>
        </w:rPr>
        <w:t>The Report of the Iraq (</w:t>
      </w:r>
      <w:proofErr w:type="spellStart"/>
      <w:r w:rsidRPr="00EA1E99">
        <w:rPr>
          <w:rFonts w:cs="Times New Roman"/>
        </w:rPr>
        <w:t>Chilcot</w:t>
      </w:r>
      <w:proofErr w:type="spellEnd"/>
      <w:r w:rsidRPr="00EA1E99">
        <w:rPr>
          <w:rFonts w:cs="Times New Roman"/>
        </w:rPr>
        <w:t xml:space="preserve">) Inquiry was finally published, 7 years after the Inquiry’s creation, on 6 July 2016.  The scope of the Inquiry’s work was vast, and this was reflected in the enormous size of its final Report.  </w:t>
      </w:r>
      <w:r w:rsidR="00A168A5" w:rsidRPr="00EA1E99">
        <w:rPr>
          <w:rFonts w:cs="Times New Roman"/>
        </w:rPr>
        <w:t>T</w:t>
      </w:r>
      <w:r w:rsidRPr="00EA1E99">
        <w:rPr>
          <w:rFonts w:cs="Times New Roman"/>
        </w:rPr>
        <w:t xml:space="preserve">he publication of the Report </w:t>
      </w:r>
      <w:r w:rsidR="00A168A5" w:rsidRPr="00EA1E99">
        <w:rPr>
          <w:rFonts w:cs="Times New Roman"/>
        </w:rPr>
        <w:t xml:space="preserve">thus </w:t>
      </w:r>
      <w:r w:rsidRPr="00EA1E99">
        <w:rPr>
          <w:rFonts w:cs="Times New Roman"/>
        </w:rPr>
        <w:t xml:space="preserve">raises a multitude of questions requiring further analysis.  In this short article, we aim to contribute some initial thoughts, immediately following the Report’s </w:t>
      </w:r>
      <w:r w:rsidR="00452877">
        <w:rPr>
          <w:rFonts w:cs="Times New Roman"/>
        </w:rPr>
        <w:t>publication, in just two (inter</w:t>
      </w:r>
      <w:r w:rsidRPr="00EA1E99">
        <w:rPr>
          <w:rFonts w:cs="Times New Roman"/>
        </w:rPr>
        <w:t xml:space="preserve">related) areas.  First, we comment on the role of international law in the </w:t>
      </w:r>
      <w:proofErr w:type="spellStart"/>
      <w:r w:rsidRPr="00EA1E99">
        <w:rPr>
          <w:rFonts w:cs="Times New Roman"/>
        </w:rPr>
        <w:t>Chilcot</w:t>
      </w:r>
      <w:proofErr w:type="spellEnd"/>
      <w:r w:rsidRPr="00EA1E99">
        <w:rPr>
          <w:rFonts w:cs="Times New Roman"/>
        </w:rPr>
        <w:t xml:space="preserve"> Inquiry.  To what extent was international law considered and how was it presented in the Report?  We also </w:t>
      </w:r>
      <w:r w:rsidR="00A91566" w:rsidRPr="00EA1E99">
        <w:rPr>
          <w:rFonts w:cs="Times New Roman"/>
        </w:rPr>
        <w:t xml:space="preserve">ask </w:t>
      </w:r>
      <w:r w:rsidRPr="00EA1E99">
        <w:rPr>
          <w:rFonts w:cs="Times New Roman"/>
        </w:rPr>
        <w:t xml:space="preserve">whether the Report reaches any implicit substantive legal conclusions, despite formally refraining from determinations of law.  Secondly, we review the Inquiry’s </w:t>
      </w:r>
      <w:r w:rsidR="00452877">
        <w:rPr>
          <w:rFonts w:cs="Times New Roman"/>
        </w:rPr>
        <w:t>findings</w:t>
      </w:r>
      <w:r w:rsidRPr="00EA1E99">
        <w:rPr>
          <w:rFonts w:cs="Times New Roman"/>
        </w:rPr>
        <w:t xml:space="preserve"> concerning international legal advice and legal advisers.  In particular, we contribute some thoughts on the Report’s </w:t>
      </w:r>
      <w:r w:rsidR="00452877">
        <w:rPr>
          <w:rFonts w:cs="Times New Roman"/>
        </w:rPr>
        <w:t>treatment</w:t>
      </w:r>
      <w:r w:rsidRPr="00EA1E99">
        <w:rPr>
          <w:rFonts w:cs="Times New Roman"/>
        </w:rPr>
        <w:t xml:space="preserve"> </w:t>
      </w:r>
      <w:r w:rsidR="00452877">
        <w:rPr>
          <w:rFonts w:cs="Times New Roman"/>
        </w:rPr>
        <w:t xml:space="preserve">of questions </w:t>
      </w:r>
      <w:r w:rsidRPr="00EA1E99">
        <w:rPr>
          <w:rFonts w:cs="Times New Roman"/>
        </w:rPr>
        <w:t>relati</w:t>
      </w:r>
      <w:r w:rsidR="00452877">
        <w:rPr>
          <w:rFonts w:cs="Times New Roman"/>
        </w:rPr>
        <w:t>ng</w:t>
      </w:r>
      <w:r w:rsidRPr="00EA1E99">
        <w:rPr>
          <w:rFonts w:cs="Times New Roman"/>
        </w:rPr>
        <w:t xml:space="preserve"> to the appropriate recipient</w:t>
      </w:r>
      <w:r w:rsidR="00A168A5" w:rsidRPr="00EA1E99">
        <w:rPr>
          <w:rFonts w:cs="Times New Roman"/>
        </w:rPr>
        <w:t>s</w:t>
      </w:r>
      <w:r w:rsidRPr="00EA1E99">
        <w:rPr>
          <w:rFonts w:cs="Times New Roman"/>
        </w:rPr>
        <w:t xml:space="preserve"> of legal advice and its transparency, the timeliness of advice, the perception and treatment </w:t>
      </w:r>
      <w:r w:rsidR="00EA2ED3" w:rsidRPr="00EA1E99">
        <w:rPr>
          <w:rFonts w:cs="Times New Roman"/>
        </w:rPr>
        <w:t>of law and legal advice by the G</w:t>
      </w:r>
      <w:r w:rsidRPr="00EA1E99">
        <w:rPr>
          <w:rFonts w:cs="Times New Roman"/>
        </w:rPr>
        <w:t>overnment, and the independence and quality of that advice.</w:t>
      </w:r>
    </w:p>
    <w:p w14:paraId="6F0D58DF" w14:textId="77777777" w:rsidR="00492D31" w:rsidRPr="00EA1E99" w:rsidRDefault="00492D31" w:rsidP="00FB37EF">
      <w:pPr>
        <w:spacing w:line="480" w:lineRule="auto"/>
        <w:rPr>
          <w:rFonts w:cs="Times New Roman"/>
          <w:b/>
        </w:rPr>
      </w:pPr>
    </w:p>
    <w:p w14:paraId="6E17587F" w14:textId="77777777" w:rsidR="00492D31" w:rsidRPr="00EA1E99" w:rsidRDefault="00492D31" w:rsidP="00FB37EF">
      <w:pPr>
        <w:spacing w:line="480" w:lineRule="auto"/>
        <w:rPr>
          <w:rFonts w:cs="Times New Roman"/>
          <w:b/>
        </w:rPr>
      </w:pPr>
      <w:r w:rsidRPr="00EA1E99">
        <w:rPr>
          <w:rFonts w:cs="Times New Roman"/>
          <w:b/>
        </w:rPr>
        <w:lastRenderedPageBreak/>
        <w:t>1. Introduction</w:t>
      </w:r>
    </w:p>
    <w:p w14:paraId="10AAF926" w14:textId="579F5C69" w:rsidR="004C4EF7" w:rsidRPr="00EA1E99" w:rsidRDefault="00492D31" w:rsidP="004C1DD1">
      <w:pPr>
        <w:spacing w:line="480" w:lineRule="auto"/>
        <w:rPr>
          <w:rFonts w:cs="Times New Roman"/>
        </w:rPr>
      </w:pPr>
      <w:r w:rsidRPr="00EA1E99">
        <w:rPr>
          <w:rFonts w:cs="Times New Roman"/>
        </w:rPr>
        <w:t xml:space="preserve">The Iraq Inquiry – commonly known as the </w:t>
      </w:r>
      <w:proofErr w:type="spellStart"/>
      <w:r w:rsidRPr="00EA1E99">
        <w:rPr>
          <w:rFonts w:cs="Times New Roman"/>
        </w:rPr>
        <w:t>Chilcot</w:t>
      </w:r>
      <w:proofErr w:type="spellEnd"/>
      <w:r w:rsidRPr="00EA1E99">
        <w:rPr>
          <w:rFonts w:cs="Times New Roman"/>
        </w:rPr>
        <w:t xml:space="preserve"> Inquiry, after its chair</w:t>
      </w:r>
      <w:r w:rsidR="002F5EFC" w:rsidRPr="00EA1E99">
        <w:rPr>
          <w:rFonts w:cs="Times New Roman"/>
        </w:rPr>
        <w:t>person</w:t>
      </w:r>
      <w:r w:rsidRPr="00EA1E99">
        <w:rPr>
          <w:rFonts w:cs="Times New Roman"/>
        </w:rPr>
        <w:t xml:space="preserve">, Sir John </w:t>
      </w:r>
      <w:proofErr w:type="spellStart"/>
      <w:r w:rsidRPr="00EA1E99">
        <w:rPr>
          <w:rFonts w:cs="Times New Roman"/>
        </w:rPr>
        <w:t>Chilcot</w:t>
      </w:r>
      <w:proofErr w:type="spellEnd"/>
      <w:r w:rsidRPr="00EA1E99">
        <w:rPr>
          <w:rFonts w:cs="Times New Roman"/>
        </w:rPr>
        <w:t xml:space="preserve"> – was announced on 15 June 2009 by then </w:t>
      </w:r>
      <w:r w:rsidR="004C4EF7" w:rsidRPr="00EA1E99">
        <w:rPr>
          <w:rFonts w:cs="Times New Roman"/>
        </w:rPr>
        <w:t xml:space="preserve">UK </w:t>
      </w:r>
      <w:r w:rsidRPr="00EA1E99">
        <w:rPr>
          <w:rFonts w:cs="Times New Roman"/>
        </w:rPr>
        <w:t>Prime Minister Gordon Brown,</w:t>
      </w:r>
      <w:r w:rsidR="00630436" w:rsidRPr="00EA1E99">
        <w:rPr>
          <w:rStyle w:val="FootnoteReference"/>
          <w:rFonts w:cs="Times New Roman"/>
        </w:rPr>
        <w:footnoteReference w:id="4"/>
      </w:r>
      <w:r w:rsidRPr="00EA1E99">
        <w:rPr>
          <w:rFonts w:cs="Times New Roman"/>
        </w:rPr>
        <w:t xml:space="preserve"> and was formally launched on 30 July 2009.</w:t>
      </w:r>
      <w:r w:rsidRPr="00EA1E99">
        <w:rPr>
          <w:rStyle w:val="FootnoteReference"/>
          <w:rFonts w:cs="Times New Roman"/>
        </w:rPr>
        <w:footnoteReference w:id="5"/>
      </w:r>
      <w:r w:rsidRPr="00EA1E99">
        <w:rPr>
          <w:rFonts w:cs="Times New Roman"/>
        </w:rPr>
        <w:t xml:space="preserve">  It was constituted </w:t>
      </w:r>
      <w:r w:rsidR="00AE0293" w:rsidRPr="00EA1E99">
        <w:rPr>
          <w:rFonts w:cs="Times New Roman"/>
        </w:rPr>
        <w:t>as a non-statutory inquiry,</w:t>
      </w:r>
      <w:r w:rsidR="00AE0293" w:rsidRPr="00EA1E99">
        <w:rPr>
          <w:rStyle w:val="FootnoteReference"/>
          <w:rFonts w:cs="Times New Roman"/>
        </w:rPr>
        <w:footnoteReference w:id="6"/>
      </w:r>
      <w:r w:rsidRPr="00EA1E99">
        <w:rPr>
          <w:rFonts w:cs="Times New Roman"/>
        </w:rPr>
        <w:t xml:space="preserve"> to independently ‘consider the period from summer 2001, before military operations began in March 2003, and [the UK’s] subsequent involvement in Iraq right up to the end of July [2009].’</w:t>
      </w:r>
      <w:r w:rsidRPr="00EA1E99">
        <w:rPr>
          <w:rStyle w:val="FootnoteReference"/>
          <w:rFonts w:cs="Times New Roman"/>
        </w:rPr>
        <w:footnoteReference w:id="7"/>
      </w:r>
      <w:r w:rsidR="00630436" w:rsidRPr="00EA1E99">
        <w:rPr>
          <w:rFonts w:cs="Times New Roman"/>
        </w:rPr>
        <w:t xml:space="preserve">  </w:t>
      </w:r>
    </w:p>
    <w:p w14:paraId="0A24E7C5" w14:textId="6493C674" w:rsidR="00957863" w:rsidRPr="00EA1E99" w:rsidRDefault="00D9363A" w:rsidP="004C1DD1">
      <w:pPr>
        <w:spacing w:line="480" w:lineRule="auto"/>
        <w:ind w:firstLine="709"/>
        <w:rPr>
          <w:rFonts w:cs="Times New Roman"/>
        </w:rPr>
      </w:pPr>
      <w:r w:rsidRPr="00EA1E99">
        <w:rPr>
          <w:rFonts w:cs="Times New Roman"/>
        </w:rPr>
        <w:t>The</w:t>
      </w:r>
      <w:r w:rsidR="009602E5" w:rsidRPr="00EA1E99">
        <w:rPr>
          <w:rFonts w:cs="Times New Roman"/>
        </w:rPr>
        <w:t xml:space="preserve"> Inquiry was an enormous undertaking</w:t>
      </w:r>
      <w:r w:rsidRPr="00EA1E99">
        <w:rPr>
          <w:rFonts w:cs="Times New Roman"/>
        </w:rPr>
        <w:t xml:space="preserve"> in many respects</w:t>
      </w:r>
      <w:r w:rsidR="009602E5" w:rsidRPr="00EA1E99">
        <w:rPr>
          <w:rFonts w:cs="Times New Roman"/>
        </w:rPr>
        <w:t xml:space="preserve">. </w:t>
      </w:r>
      <w:r w:rsidR="00876BF4" w:rsidRPr="00EA1E99">
        <w:rPr>
          <w:rFonts w:cs="Times New Roman"/>
        </w:rPr>
        <w:t xml:space="preserve"> </w:t>
      </w:r>
      <w:r w:rsidR="00630436" w:rsidRPr="00EA1E99">
        <w:rPr>
          <w:rFonts w:cs="Times New Roman"/>
        </w:rPr>
        <w:t xml:space="preserve">According to </w:t>
      </w:r>
      <w:r w:rsidR="00A168A5" w:rsidRPr="00EA1E99">
        <w:rPr>
          <w:rFonts w:cs="Times New Roman"/>
        </w:rPr>
        <w:t>its</w:t>
      </w:r>
      <w:r w:rsidR="00630436" w:rsidRPr="00EA1E99">
        <w:rPr>
          <w:rFonts w:cs="Times New Roman"/>
        </w:rPr>
        <w:t xml:space="preserve"> own cost analysis, its total expenditure from 2009 to the publication of its Report was £10,375,000.</w:t>
      </w:r>
      <w:r w:rsidR="00AE0293" w:rsidRPr="00EA1E99">
        <w:rPr>
          <w:rStyle w:val="FootnoteReference"/>
          <w:rFonts w:cs="Times New Roman"/>
        </w:rPr>
        <w:footnoteReference w:id="8"/>
      </w:r>
      <w:r w:rsidR="00AE0293" w:rsidRPr="00EA1E99">
        <w:rPr>
          <w:rFonts w:cs="Times New Roman"/>
        </w:rPr>
        <w:t xml:space="preserve">  Its work spanned 7 years; the publication of its Report was, of course, </w:t>
      </w:r>
      <w:r w:rsidR="009013BA" w:rsidRPr="00EA1E99">
        <w:rPr>
          <w:rFonts w:cs="Times New Roman"/>
        </w:rPr>
        <w:t>controversially and repeatedly</w:t>
      </w:r>
      <w:r w:rsidR="00AE0293" w:rsidRPr="00EA1E99">
        <w:rPr>
          <w:rFonts w:cs="Times New Roman"/>
        </w:rPr>
        <w:t xml:space="preserve"> delayed.</w:t>
      </w:r>
      <w:r w:rsidR="009013BA" w:rsidRPr="00EA1E99">
        <w:rPr>
          <w:rStyle w:val="FootnoteReference"/>
          <w:rFonts w:cs="Times New Roman"/>
        </w:rPr>
        <w:footnoteReference w:id="9"/>
      </w:r>
      <w:r w:rsidR="00AE0293" w:rsidRPr="00EA1E99">
        <w:rPr>
          <w:rFonts w:cs="Times New Roman"/>
        </w:rPr>
        <w:t xml:space="preserve">  The </w:t>
      </w:r>
      <w:proofErr w:type="spellStart"/>
      <w:r w:rsidR="00AE0293" w:rsidRPr="00EA1E99">
        <w:rPr>
          <w:rFonts w:cs="Times New Roman"/>
        </w:rPr>
        <w:t>Chilcot</w:t>
      </w:r>
      <w:proofErr w:type="spellEnd"/>
      <w:r w:rsidR="00AE0293" w:rsidRPr="00EA1E99">
        <w:rPr>
          <w:rFonts w:cs="Times New Roman"/>
        </w:rPr>
        <w:t xml:space="preserve"> </w:t>
      </w:r>
      <w:r w:rsidR="00630436" w:rsidRPr="00EA1E99">
        <w:rPr>
          <w:rFonts w:cs="Times New Roman"/>
        </w:rPr>
        <w:t>Report was finally published</w:t>
      </w:r>
      <w:r w:rsidR="00492D31" w:rsidRPr="00EA1E99">
        <w:rPr>
          <w:rFonts w:cs="Times New Roman"/>
        </w:rPr>
        <w:t xml:space="preserve"> </w:t>
      </w:r>
      <w:r w:rsidR="00A063FA" w:rsidRPr="00EA1E99">
        <w:rPr>
          <w:rFonts w:cs="Times New Roman"/>
        </w:rPr>
        <w:t>on 6 July 2016.</w:t>
      </w:r>
      <w:r w:rsidR="00AE0293" w:rsidRPr="00EA1E99">
        <w:rPr>
          <w:rStyle w:val="FootnoteReference"/>
          <w:rFonts w:cs="Times New Roman"/>
        </w:rPr>
        <w:footnoteReference w:id="10"/>
      </w:r>
      <w:r w:rsidR="00AE0293" w:rsidRPr="00EA1E99">
        <w:rPr>
          <w:rFonts w:cs="Times New Roman"/>
        </w:rPr>
        <w:t xml:space="preserve">  It </w:t>
      </w:r>
      <w:r w:rsidR="00630436" w:rsidRPr="00EA1E99">
        <w:rPr>
          <w:rFonts w:cs="Times New Roman"/>
        </w:rPr>
        <w:t>comprised twelve volumes (as well as an executive summary) and</w:t>
      </w:r>
      <w:r w:rsidR="004C4EF7" w:rsidRPr="00EA1E99">
        <w:rPr>
          <w:rFonts w:cs="Times New Roman"/>
        </w:rPr>
        <w:t>,</w:t>
      </w:r>
      <w:r w:rsidR="00630436" w:rsidRPr="00EA1E99">
        <w:rPr>
          <w:rFonts w:cs="Times New Roman"/>
        </w:rPr>
        <w:t xml:space="preserve"> famously</w:t>
      </w:r>
      <w:r w:rsidR="004C4EF7" w:rsidRPr="00EA1E99">
        <w:rPr>
          <w:rFonts w:cs="Times New Roman"/>
        </w:rPr>
        <w:t>,</w:t>
      </w:r>
      <w:r w:rsidR="00630436" w:rsidRPr="00EA1E99">
        <w:rPr>
          <w:rFonts w:cs="Times New Roman"/>
        </w:rPr>
        <w:t xml:space="preserve"> ran to over 2.6 million words.</w:t>
      </w:r>
      <w:r w:rsidR="00A063FA" w:rsidRPr="00EA1E99">
        <w:rPr>
          <w:rStyle w:val="FootnoteReference"/>
          <w:rFonts w:cs="Times New Roman"/>
        </w:rPr>
        <w:footnoteReference w:id="11"/>
      </w:r>
    </w:p>
    <w:p w14:paraId="44DC368D" w14:textId="713A7DEA" w:rsidR="009013BA" w:rsidRPr="00EA1E99" w:rsidRDefault="00957863" w:rsidP="004C1DD1">
      <w:pPr>
        <w:spacing w:line="480" w:lineRule="auto"/>
        <w:ind w:firstLine="709"/>
        <w:rPr>
          <w:rFonts w:cs="Times New Roman"/>
        </w:rPr>
      </w:pPr>
      <w:r w:rsidRPr="00EA1E99">
        <w:rPr>
          <w:rFonts w:cs="Times New Roman"/>
        </w:rPr>
        <w:t xml:space="preserve">Given the scope of the Inquiry’s work, not to mention the sheer size of its final Report, there exist a </w:t>
      </w:r>
      <w:r w:rsidR="00EA2356" w:rsidRPr="00EA1E99">
        <w:rPr>
          <w:rFonts w:cs="Times New Roman"/>
        </w:rPr>
        <w:t>vast</w:t>
      </w:r>
      <w:r w:rsidRPr="00EA1E99">
        <w:rPr>
          <w:rFonts w:cs="Times New Roman"/>
        </w:rPr>
        <w:t xml:space="preserve"> number of questions that require further analysis post-publication.  </w:t>
      </w:r>
      <w:r w:rsidR="00AC0E6F" w:rsidRPr="00EA1E99">
        <w:rPr>
          <w:rFonts w:cs="Times New Roman"/>
        </w:rPr>
        <w:t>Our</w:t>
      </w:r>
      <w:r w:rsidR="004B367B" w:rsidRPr="00EA1E99">
        <w:rPr>
          <w:rFonts w:cs="Times New Roman"/>
        </w:rPr>
        <w:t xml:space="preserve"> aim</w:t>
      </w:r>
      <w:r w:rsidR="0016396E" w:rsidRPr="00EA1E99">
        <w:rPr>
          <w:rFonts w:cs="Times New Roman"/>
        </w:rPr>
        <w:t xml:space="preserve"> </w:t>
      </w:r>
      <w:r w:rsidR="0016396E" w:rsidRPr="00EA1E99">
        <w:rPr>
          <w:rFonts w:cs="Times New Roman"/>
        </w:rPr>
        <w:lastRenderedPageBreak/>
        <w:t xml:space="preserve">is </w:t>
      </w:r>
      <w:r w:rsidR="004A7955" w:rsidRPr="00EA1E99">
        <w:rPr>
          <w:rFonts w:cs="Times New Roman"/>
        </w:rPr>
        <w:t xml:space="preserve">extremely </w:t>
      </w:r>
      <w:r w:rsidR="0016396E" w:rsidRPr="00EA1E99">
        <w:rPr>
          <w:rFonts w:cs="Times New Roman"/>
        </w:rPr>
        <w:t>modest</w:t>
      </w:r>
      <w:r w:rsidR="00AC0E6F" w:rsidRPr="00EA1E99">
        <w:rPr>
          <w:rFonts w:cs="Times New Roman"/>
        </w:rPr>
        <w:t xml:space="preserve"> in comparison to the </w:t>
      </w:r>
      <w:r w:rsidR="00EE08AD" w:rsidRPr="00EA1E99">
        <w:rPr>
          <w:rFonts w:cs="Times New Roman"/>
        </w:rPr>
        <w:t>scale</w:t>
      </w:r>
      <w:r w:rsidR="00AC0E6F" w:rsidRPr="00EA1E99">
        <w:rPr>
          <w:rFonts w:cs="Times New Roman"/>
        </w:rPr>
        <w:t xml:space="preserve"> of the Inquiry</w:t>
      </w:r>
      <w:r w:rsidR="0016396E" w:rsidRPr="00EA1E99">
        <w:rPr>
          <w:rFonts w:cs="Times New Roman"/>
        </w:rPr>
        <w:t xml:space="preserve">. </w:t>
      </w:r>
      <w:r w:rsidR="00876BF4" w:rsidRPr="00EA1E99">
        <w:rPr>
          <w:rFonts w:cs="Times New Roman"/>
        </w:rPr>
        <w:t xml:space="preserve"> </w:t>
      </w:r>
      <w:r w:rsidR="0016396E" w:rsidRPr="00EA1E99">
        <w:rPr>
          <w:rFonts w:cs="Times New Roman"/>
        </w:rPr>
        <w:t xml:space="preserve">In this article, we wish to </w:t>
      </w:r>
      <w:r w:rsidRPr="00EA1E99">
        <w:rPr>
          <w:rFonts w:cs="Times New Roman"/>
        </w:rPr>
        <w:t xml:space="preserve">contribute to </w:t>
      </w:r>
      <w:r w:rsidR="0016396E" w:rsidRPr="00EA1E99">
        <w:rPr>
          <w:rFonts w:cs="Times New Roman"/>
        </w:rPr>
        <w:t>one area of</w:t>
      </w:r>
      <w:r w:rsidRPr="00EA1E99">
        <w:rPr>
          <w:rFonts w:cs="Times New Roman"/>
        </w:rPr>
        <w:t xml:space="preserve"> discussion</w:t>
      </w:r>
      <w:r w:rsidR="004B367B" w:rsidRPr="00EA1E99">
        <w:rPr>
          <w:rFonts w:cs="Times New Roman"/>
        </w:rPr>
        <w:t xml:space="preserve">, </w:t>
      </w:r>
      <w:r w:rsidR="008345D5" w:rsidRPr="00EA1E99">
        <w:rPr>
          <w:rFonts w:cs="Times New Roman"/>
        </w:rPr>
        <w:t xml:space="preserve">which </w:t>
      </w:r>
      <w:r w:rsidR="0016396E" w:rsidRPr="00EA1E99">
        <w:rPr>
          <w:rFonts w:cs="Times New Roman"/>
        </w:rPr>
        <w:t>has</w:t>
      </w:r>
      <w:r w:rsidRPr="00EA1E99">
        <w:rPr>
          <w:rFonts w:cs="Times New Roman"/>
        </w:rPr>
        <w:t xml:space="preserve"> already begun in the media and international law blogosphere since the Report was released</w:t>
      </w:r>
      <w:r w:rsidR="0016396E" w:rsidRPr="00EA1E99">
        <w:rPr>
          <w:rFonts w:cs="Times New Roman"/>
        </w:rPr>
        <w:t>.</w:t>
      </w:r>
      <w:r w:rsidR="0040752F" w:rsidRPr="00EA1E99">
        <w:rPr>
          <w:rStyle w:val="FootnoteReference"/>
          <w:rFonts w:cs="Times New Roman"/>
        </w:rPr>
        <w:footnoteReference w:id="12"/>
      </w:r>
      <w:r w:rsidRPr="00EA1E99">
        <w:rPr>
          <w:rFonts w:cs="Times New Roman"/>
        </w:rPr>
        <w:t xml:space="preserve"> </w:t>
      </w:r>
      <w:r w:rsidR="005B71CD" w:rsidRPr="00EA1E99">
        <w:rPr>
          <w:rFonts w:cs="Times New Roman"/>
        </w:rPr>
        <w:t xml:space="preserve"> </w:t>
      </w:r>
      <w:r w:rsidR="00A168A5" w:rsidRPr="00EA1E99">
        <w:rPr>
          <w:rFonts w:cs="Times New Roman"/>
        </w:rPr>
        <w:t xml:space="preserve">This </w:t>
      </w:r>
      <w:r w:rsidR="0016396E" w:rsidRPr="00EA1E99">
        <w:rPr>
          <w:rFonts w:cs="Times New Roman"/>
        </w:rPr>
        <w:t>discussion has tw</w:t>
      </w:r>
      <w:r w:rsidR="00452877">
        <w:rPr>
          <w:rFonts w:cs="Times New Roman"/>
        </w:rPr>
        <w:t>o inter</w:t>
      </w:r>
      <w:r w:rsidR="0016396E" w:rsidRPr="00EA1E99">
        <w:rPr>
          <w:rFonts w:cs="Times New Roman"/>
        </w:rPr>
        <w:t xml:space="preserve">related dimensions. </w:t>
      </w:r>
      <w:r w:rsidR="00876BF4" w:rsidRPr="00EA1E99">
        <w:rPr>
          <w:rFonts w:cs="Times New Roman"/>
        </w:rPr>
        <w:t xml:space="preserve"> </w:t>
      </w:r>
      <w:r w:rsidR="0016396E" w:rsidRPr="00EA1E99">
        <w:rPr>
          <w:rFonts w:cs="Times New Roman"/>
        </w:rPr>
        <w:t xml:space="preserve">First, </w:t>
      </w:r>
      <w:r w:rsidR="00B00762" w:rsidRPr="00EA1E99">
        <w:rPr>
          <w:rFonts w:cs="Times New Roman"/>
        </w:rPr>
        <w:t xml:space="preserve">we </w:t>
      </w:r>
      <w:r w:rsidR="005B71CD" w:rsidRPr="00EA1E99">
        <w:rPr>
          <w:rFonts w:cs="Times New Roman"/>
        </w:rPr>
        <w:t xml:space="preserve">comment on </w:t>
      </w:r>
      <w:r w:rsidR="0016396E" w:rsidRPr="00EA1E99">
        <w:rPr>
          <w:rFonts w:cs="Times New Roman"/>
        </w:rPr>
        <w:t>the</w:t>
      </w:r>
      <w:r w:rsidRPr="00EA1E99">
        <w:rPr>
          <w:rFonts w:cs="Times New Roman"/>
        </w:rPr>
        <w:t xml:space="preserve"> role of international law in the </w:t>
      </w:r>
      <w:proofErr w:type="spellStart"/>
      <w:r w:rsidRPr="00EA1E99">
        <w:rPr>
          <w:rFonts w:cs="Times New Roman"/>
        </w:rPr>
        <w:t>Chilcot</w:t>
      </w:r>
      <w:proofErr w:type="spellEnd"/>
      <w:r w:rsidRPr="00EA1E99">
        <w:rPr>
          <w:rFonts w:cs="Times New Roman"/>
        </w:rPr>
        <w:t xml:space="preserve"> </w:t>
      </w:r>
      <w:r w:rsidR="005B71CD" w:rsidRPr="00EA1E99">
        <w:rPr>
          <w:rFonts w:cs="Times New Roman"/>
        </w:rPr>
        <w:t>Inquiry</w:t>
      </w:r>
      <w:r w:rsidRPr="00EA1E99">
        <w:rPr>
          <w:rFonts w:cs="Times New Roman"/>
        </w:rPr>
        <w:t xml:space="preserve"> </w:t>
      </w:r>
      <w:r w:rsidR="0016396E" w:rsidRPr="00EA1E99">
        <w:rPr>
          <w:rFonts w:cs="Times New Roman"/>
        </w:rPr>
        <w:t>and</w:t>
      </w:r>
      <w:r w:rsidR="005B71CD" w:rsidRPr="00EA1E99">
        <w:rPr>
          <w:rFonts w:cs="Times New Roman"/>
        </w:rPr>
        <w:t>,</w:t>
      </w:r>
      <w:r w:rsidR="0016396E" w:rsidRPr="00EA1E99">
        <w:rPr>
          <w:rFonts w:cs="Times New Roman"/>
        </w:rPr>
        <w:t xml:space="preserve"> secondly,</w:t>
      </w:r>
      <w:r w:rsidR="005B71CD" w:rsidRPr="00EA1E99">
        <w:rPr>
          <w:rFonts w:cs="Times New Roman"/>
        </w:rPr>
        <w:t xml:space="preserve"> we consider</w:t>
      </w:r>
      <w:r w:rsidRPr="00EA1E99">
        <w:rPr>
          <w:rFonts w:cs="Times New Roman"/>
        </w:rPr>
        <w:t xml:space="preserve"> </w:t>
      </w:r>
      <w:r w:rsidR="005B71CD" w:rsidRPr="00EA1E99">
        <w:rPr>
          <w:rFonts w:cs="Times New Roman"/>
        </w:rPr>
        <w:t>the Inquiry’s</w:t>
      </w:r>
      <w:r w:rsidRPr="00EA1E99">
        <w:rPr>
          <w:rFonts w:cs="Times New Roman"/>
        </w:rPr>
        <w:t xml:space="preserve"> </w:t>
      </w:r>
      <w:r w:rsidR="00EA2356" w:rsidRPr="00EA1E99">
        <w:rPr>
          <w:rFonts w:cs="Times New Roman"/>
        </w:rPr>
        <w:t>conclusions concerning</w:t>
      </w:r>
      <w:r w:rsidRPr="00EA1E99">
        <w:rPr>
          <w:rFonts w:cs="Times New Roman"/>
        </w:rPr>
        <w:t xml:space="preserve"> international legal advice and legal advis</w:t>
      </w:r>
      <w:r w:rsidR="00CD008C" w:rsidRPr="00EA1E99">
        <w:rPr>
          <w:rFonts w:cs="Times New Roman"/>
        </w:rPr>
        <w:t>e</w:t>
      </w:r>
      <w:r w:rsidRPr="00EA1E99">
        <w:rPr>
          <w:rFonts w:cs="Times New Roman"/>
        </w:rPr>
        <w:t>rs.</w:t>
      </w:r>
      <w:r w:rsidR="00EA2356" w:rsidRPr="00EA1E99">
        <w:rPr>
          <w:rFonts w:cs="Times New Roman"/>
        </w:rPr>
        <w:t xml:space="preserve">  </w:t>
      </w:r>
      <w:r w:rsidR="00080EA5" w:rsidRPr="00EA1E99">
        <w:rPr>
          <w:rFonts w:cs="Times New Roman"/>
        </w:rPr>
        <w:t xml:space="preserve">Our </w:t>
      </w:r>
      <w:r w:rsidR="001E5029" w:rsidRPr="00EA1E99">
        <w:rPr>
          <w:rFonts w:cs="Times New Roman"/>
        </w:rPr>
        <w:t>focus</w:t>
      </w:r>
      <w:r w:rsidR="00080EA5" w:rsidRPr="00EA1E99">
        <w:rPr>
          <w:rFonts w:cs="Times New Roman"/>
        </w:rPr>
        <w:t xml:space="preserve"> </w:t>
      </w:r>
      <w:r w:rsidR="001E5029" w:rsidRPr="00EA1E99">
        <w:rPr>
          <w:rFonts w:cs="Times New Roman"/>
        </w:rPr>
        <w:t>in this paper</w:t>
      </w:r>
      <w:r w:rsidR="00080EA5" w:rsidRPr="00EA1E99">
        <w:rPr>
          <w:rFonts w:cs="Times New Roman"/>
        </w:rPr>
        <w:t xml:space="preserve"> is not </w:t>
      </w:r>
      <w:r w:rsidR="00A91566" w:rsidRPr="00EA1E99">
        <w:rPr>
          <w:rFonts w:cs="Times New Roman"/>
        </w:rPr>
        <w:t>on</w:t>
      </w:r>
      <w:r w:rsidR="003A2F77" w:rsidRPr="00EA1E99">
        <w:rPr>
          <w:rFonts w:cs="Times New Roman"/>
        </w:rPr>
        <w:t xml:space="preserve"> substantive legal issues</w:t>
      </w:r>
      <w:r w:rsidR="00080EA5" w:rsidRPr="00EA1E99">
        <w:rPr>
          <w:rFonts w:cs="Times New Roman"/>
        </w:rPr>
        <w:t xml:space="preserve"> </w:t>
      </w:r>
      <w:r w:rsidR="00080EA5" w:rsidRPr="00EA1E99">
        <w:rPr>
          <w:rFonts w:cs="Times New Roman"/>
          <w:i/>
        </w:rPr>
        <w:t>per se.</w:t>
      </w:r>
      <w:r w:rsidR="003A2F77" w:rsidRPr="00EA1E99">
        <w:rPr>
          <w:rFonts w:cs="Times New Roman"/>
        </w:rPr>
        <w:t xml:space="preserve"> </w:t>
      </w:r>
      <w:r w:rsidR="00080EA5" w:rsidRPr="00EA1E99">
        <w:rPr>
          <w:rFonts w:cs="Times New Roman"/>
        </w:rPr>
        <w:t>In particular,</w:t>
      </w:r>
      <w:r w:rsidR="003A2F77" w:rsidRPr="00EA1E99">
        <w:rPr>
          <w:rFonts w:cs="Times New Roman"/>
        </w:rPr>
        <w:t xml:space="preserve"> we deliberately side-step the question of whether the intervention of Iraq in 2003 was lawful or unlawful.  This is partly because that </w:t>
      </w:r>
      <w:r w:rsidR="001E5029" w:rsidRPr="00EA1E99">
        <w:rPr>
          <w:rFonts w:cs="Times New Roman"/>
          <w:i/>
        </w:rPr>
        <w:t>ad bellum</w:t>
      </w:r>
      <w:r w:rsidR="001E5029" w:rsidRPr="00EA1E99">
        <w:rPr>
          <w:rFonts w:cs="Times New Roman"/>
        </w:rPr>
        <w:t xml:space="preserve"> </w:t>
      </w:r>
      <w:r w:rsidR="003A2F77" w:rsidRPr="00EA1E99">
        <w:rPr>
          <w:rFonts w:cs="Times New Roman"/>
        </w:rPr>
        <w:t>question has been significantly, and continuingly, evaluated elsewhere since late-2002.</w:t>
      </w:r>
      <w:r w:rsidR="003A2F77" w:rsidRPr="00EA1E99">
        <w:rPr>
          <w:rStyle w:val="FootnoteReference"/>
          <w:rFonts w:cs="Times New Roman"/>
        </w:rPr>
        <w:footnoteReference w:id="13"/>
      </w:r>
      <w:r w:rsidR="003A2F77" w:rsidRPr="00EA1E99">
        <w:rPr>
          <w:rFonts w:cs="Times New Roman"/>
        </w:rPr>
        <w:t xml:space="preserve">  </w:t>
      </w:r>
      <w:r w:rsidR="00080EA5" w:rsidRPr="00EA1E99">
        <w:rPr>
          <w:rFonts w:cs="Times New Roman"/>
        </w:rPr>
        <w:t>Furthermore,</w:t>
      </w:r>
      <w:r w:rsidR="003A2F77" w:rsidRPr="00EA1E99">
        <w:rPr>
          <w:rFonts w:cs="Times New Roman"/>
        </w:rPr>
        <w:t xml:space="preserve"> the </w:t>
      </w:r>
      <w:proofErr w:type="spellStart"/>
      <w:r w:rsidR="003A2F77" w:rsidRPr="00EA1E99">
        <w:rPr>
          <w:rFonts w:cs="Times New Roman"/>
        </w:rPr>
        <w:t>Chilcot</w:t>
      </w:r>
      <w:proofErr w:type="spellEnd"/>
      <w:r w:rsidR="003A2F77" w:rsidRPr="00EA1E99">
        <w:rPr>
          <w:rFonts w:cs="Times New Roman"/>
        </w:rPr>
        <w:t xml:space="preserve"> Inquiry’s mandate did not </w:t>
      </w:r>
      <w:r w:rsidR="00EA2356" w:rsidRPr="00EA1E99">
        <w:rPr>
          <w:rFonts w:cs="Times New Roman"/>
        </w:rPr>
        <w:t>allow</w:t>
      </w:r>
      <w:r w:rsidR="003A2F77" w:rsidRPr="00EA1E99">
        <w:rPr>
          <w:rFonts w:cs="Times New Roman"/>
        </w:rPr>
        <w:t xml:space="preserve"> for it to reach formal legal determinations, and its Report made it explicit that it did not do so.</w:t>
      </w:r>
      <w:r w:rsidR="00EA2356" w:rsidRPr="00EA1E99">
        <w:rPr>
          <w:rStyle w:val="FootnoteReference"/>
          <w:rFonts w:cs="Times New Roman"/>
        </w:rPr>
        <w:footnoteReference w:id="14"/>
      </w:r>
      <w:r w:rsidR="00E06828" w:rsidRPr="00EA1E99">
        <w:rPr>
          <w:rFonts w:cs="Times New Roman"/>
        </w:rPr>
        <w:t xml:space="preserve"> </w:t>
      </w:r>
    </w:p>
    <w:p w14:paraId="4F258BB9" w14:textId="4B32960A" w:rsidR="003A2F77" w:rsidRPr="00EA1E99" w:rsidRDefault="00347A11" w:rsidP="004C1DD1">
      <w:pPr>
        <w:spacing w:line="480" w:lineRule="auto"/>
        <w:ind w:firstLine="709"/>
        <w:rPr>
          <w:rFonts w:cs="Times New Roman"/>
        </w:rPr>
      </w:pPr>
      <w:r w:rsidRPr="00EA1E99">
        <w:rPr>
          <w:rFonts w:cs="Times New Roman"/>
        </w:rPr>
        <w:t>While</w:t>
      </w:r>
      <w:r w:rsidR="003A2F77" w:rsidRPr="00EA1E99">
        <w:rPr>
          <w:rFonts w:cs="Times New Roman"/>
        </w:rPr>
        <w:t xml:space="preserve"> the Inquiry did not </w:t>
      </w:r>
      <w:r w:rsidR="004363E4" w:rsidRPr="00EA1E99">
        <w:rPr>
          <w:rFonts w:cs="Times New Roman"/>
        </w:rPr>
        <w:t xml:space="preserve">make </w:t>
      </w:r>
      <w:r w:rsidR="003A2F77" w:rsidRPr="00EA1E99">
        <w:rPr>
          <w:rFonts w:cs="Times New Roman"/>
        </w:rPr>
        <w:t xml:space="preserve">legal </w:t>
      </w:r>
      <w:r w:rsidR="00A91566" w:rsidRPr="00EA1E99">
        <w:rPr>
          <w:rFonts w:cs="Times New Roman"/>
        </w:rPr>
        <w:t>conclusions</w:t>
      </w:r>
      <w:r w:rsidR="003A2F77" w:rsidRPr="00EA1E99">
        <w:rPr>
          <w:rFonts w:cs="Times New Roman"/>
        </w:rPr>
        <w:t xml:space="preserve">, </w:t>
      </w:r>
      <w:r w:rsidR="00080EA5" w:rsidRPr="00EA1E99">
        <w:rPr>
          <w:rFonts w:cs="Times New Roman"/>
        </w:rPr>
        <w:t xml:space="preserve">the topic of </w:t>
      </w:r>
      <w:r w:rsidR="003A2F77" w:rsidRPr="00EA1E99">
        <w:rPr>
          <w:rFonts w:cs="Times New Roman"/>
        </w:rPr>
        <w:t>international law was significant</w:t>
      </w:r>
      <w:r w:rsidRPr="00EA1E99">
        <w:rPr>
          <w:rFonts w:cs="Times New Roman"/>
        </w:rPr>
        <w:t xml:space="preserve"> and</w:t>
      </w:r>
      <w:r w:rsidR="003A2F77" w:rsidRPr="00EA1E99">
        <w:rPr>
          <w:rFonts w:cs="Times New Roman"/>
        </w:rPr>
        <w:t xml:space="preserve"> manifest</w:t>
      </w:r>
      <w:r w:rsidRPr="00EA1E99">
        <w:rPr>
          <w:rFonts w:cs="Times New Roman"/>
        </w:rPr>
        <w:t>ed itself</w:t>
      </w:r>
      <w:r w:rsidR="003A2F77" w:rsidRPr="00EA1E99">
        <w:rPr>
          <w:rFonts w:cs="Times New Roman"/>
        </w:rPr>
        <w:t xml:space="preserve"> in various ways </w:t>
      </w:r>
      <w:r w:rsidR="0072593C" w:rsidRPr="00EA1E99">
        <w:rPr>
          <w:rFonts w:cs="Times New Roman"/>
        </w:rPr>
        <w:t>during</w:t>
      </w:r>
      <w:r w:rsidR="003A2F77" w:rsidRPr="00EA1E99">
        <w:rPr>
          <w:rFonts w:cs="Times New Roman"/>
        </w:rPr>
        <w:t xml:space="preserve"> </w:t>
      </w:r>
      <w:r w:rsidR="005B71CD" w:rsidRPr="00EA1E99">
        <w:rPr>
          <w:rFonts w:cs="Times New Roman"/>
        </w:rPr>
        <w:t>the Inquiry’s</w:t>
      </w:r>
      <w:r w:rsidR="003A2F77" w:rsidRPr="00EA1E99">
        <w:rPr>
          <w:rFonts w:cs="Times New Roman"/>
        </w:rPr>
        <w:t xml:space="preserve"> </w:t>
      </w:r>
      <w:r w:rsidR="00EA2356" w:rsidRPr="00EA1E99">
        <w:rPr>
          <w:rFonts w:cs="Times New Roman"/>
        </w:rPr>
        <w:t>7-year odyssey</w:t>
      </w:r>
      <w:r w:rsidRPr="00EA1E99">
        <w:rPr>
          <w:rFonts w:cs="Times New Roman"/>
        </w:rPr>
        <w:t xml:space="preserve">. </w:t>
      </w:r>
      <w:r w:rsidR="005B71CD" w:rsidRPr="00EA1E99">
        <w:rPr>
          <w:rFonts w:cs="Times New Roman"/>
        </w:rPr>
        <w:t xml:space="preserve"> </w:t>
      </w:r>
      <w:r w:rsidR="0072593C" w:rsidRPr="00EA1E99">
        <w:rPr>
          <w:rFonts w:cs="Times New Roman"/>
        </w:rPr>
        <w:t xml:space="preserve">In particular, the </w:t>
      </w:r>
      <w:proofErr w:type="spellStart"/>
      <w:r w:rsidR="005B71CD" w:rsidRPr="00EA1E99">
        <w:rPr>
          <w:rFonts w:cs="Times New Roman"/>
        </w:rPr>
        <w:t>Chilcot</w:t>
      </w:r>
      <w:proofErr w:type="spellEnd"/>
      <w:r w:rsidR="005B71CD" w:rsidRPr="00EA1E99">
        <w:rPr>
          <w:rFonts w:cs="Times New Roman"/>
        </w:rPr>
        <w:t xml:space="preserve"> </w:t>
      </w:r>
      <w:r w:rsidR="0072593C" w:rsidRPr="00EA1E99">
        <w:rPr>
          <w:rFonts w:cs="Times New Roman"/>
        </w:rPr>
        <w:t xml:space="preserve">Report engaged in detail with the process of legal advice and decision-making in relation to the Iraq intervention and its aftermath.  </w:t>
      </w:r>
      <w:r w:rsidRPr="00EA1E99">
        <w:rPr>
          <w:rFonts w:cs="Times New Roman"/>
        </w:rPr>
        <w:t xml:space="preserve">Given </w:t>
      </w:r>
      <w:r w:rsidR="0072593C" w:rsidRPr="00EA1E99">
        <w:rPr>
          <w:rFonts w:cs="Times New Roman"/>
        </w:rPr>
        <w:t>space</w:t>
      </w:r>
      <w:r w:rsidRPr="00EA1E99">
        <w:rPr>
          <w:rFonts w:cs="Times New Roman"/>
        </w:rPr>
        <w:t xml:space="preserve"> constraints</w:t>
      </w:r>
      <w:r w:rsidR="0072593C" w:rsidRPr="00EA1E99">
        <w:rPr>
          <w:rFonts w:cs="Times New Roman"/>
        </w:rPr>
        <w:t xml:space="preserve"> and </w:t>
      </w:r>
      <w:r w:rsidR="004363E4" w:rsidRPr="00EA1E99">
        <w:rPr>
          <w:rFonts w:cs="Times New Roman"/>
        </w:rPr>
        <w:t>a desire to provide</w:t>
      </w:r>
      <w:r w:rsidR="0072593C" w:rsidRPr="00EA1E99">
        <w:rPr>
          <w:rFonts w:cs="Times New Roman"/>
        </w:rPr>
        <w:t xml:space="preserve"> </w:t>
      </w:r>
      <w:r w:rsidR="004363E4" w:rsidRPr="00EA1E99">
        <w:rPr>
          <w:rFonts w:cs="Times New Roman"/>
        </w:rPr>
        <w:t xml:space="preserve">timely commentary </w:t>
      </w:r>
      <w:r w:rsidRPr="00EA1E99">
        <w:rPr>
          <w:rFonts w:cs="Times New Roman"/>
        </w:rPr>
        <w:t>(</w:t>
      </w:r>
      <w:r w:rsidR="00EA2356" w:rsidRPr="00EA1E99">
        <w:rPr>
          <w:rFonts w:cs="Times New Roman"/>
        </w:rPr>
        <w:t xml:space="preserve">at the time of writing, the Report was released just </w:t>
      </w:r>
      <w:r w:rsidR="00DB7F96" w:rsidRPr="00EA1E99">
        <w:rPr>
          <w:rFonts w:cs="Times New Roman"/>
        </w:rPr>
        <w:t>1</w:t>
      </w:r>
      <w:r w:rsidR="00505D4A" w:rsidRPr="00EA1E99">
        <w:rPr>
          <w:rFonts w:cs="Times New Roman"/>
        </w:rPr>
        <w:t>6</w:t>
      </w:r>
      <w:r w:rsidR="00EA2356" w:rsidRPr="00EA1E99">
        <w:rPr>
          <w:rFonts w:cs="Times New Roman"/>
        </w:rPr>
        <w:t xml:space="preserve"> days ago</w:t>
      </w:r>
      <w:r w:rsidR="0072593C" w:rsidRPr="00EA1E99">
        <w:rPr>
          <w:rFonts w:cs="Times New Roman"/>
        </w:rPr>
        <w:t xml:space="preserve">), our </w:t>
      </w:r>
      <w:r w:rsidR="001E5029" w:rsidRPr="00EA1E99">
        <w:rPr>
          <w:rFonts w:cs="Times New Roman"/>
        </w:rPr>
        <w:t xml:space="preserve">present </w:t>
      </w:r>
      <w:r w:rsidR="0072593C" w:rsidRPr="00EA1E99">
        <w:rPr>
          <w:rFonts w:cs="Times New Roman"/>
        </w:rPr>
        <w:t xml:space="preserve">aim </w:t>
      </w:r>
      <w:r w:rsidRPr="00EA1E99">
        <w:rPr>
          <w:rFonts w:cs="Times New Roman"/>
        </w:rPr>
        <w:t xml:space="preserve">is not </w:t>
      </w:r>
      <w:r w:rsidR="0072593C" w:rsidRPr="00EA1E99">
        <w:rPr>
          <w:rFonts w:cs="Times New Roman"/>
        </w:rPr>
        <w:t xml:space="preserve">to </w:t>
      </w:r>
      <w:r w:rsidR="001E5029" w:rsidRPr="00EA1E99">
        <w:rPr>
          <w:rFonts w:cs="Times New Roman"/>
        </w:rPr>
        <w:t>embark on</w:t>
      </w:r>
      <w:r w:rsidR="00766F07" w:rsidRPr="00EA1E99">
        <w:rPr>
          <w:rFonts w:cs="Times New Roman"/>
        </w:rPr>
        <w:t xml:space="preserve"> </w:t>
      </w:r>
      <w:r w:rsidRPr="00EA1E99">
        <w:rPr>
          <w:rFonts w:cs="Times New Roman"/>
        </w:rPr>
        <w:t xml:space="preserve">a </w:t>
      </w:r>
      <w:r w:rsidR="001E5029" w:rsidRPr="00EA1E99">
        <w:rPr>
          <w:rFonts w:cs="Times New Roman"/>
        </w:rPr>
        <w:t xml:space="preserve">complete </w:t>
      </w:r>
      <w:r w:rsidRPr="00EA1E99">
        <w:rPr>
          <w:rFonts w:cs="Times New Roman"/>
        </w:rPr>
        <w:t>description of the</w:t>
      </w:r>
      <w:r w:rsidR="001E5029" w:rsidRPr="00EA1E99">
        <w:rPr>
          <w:rFonts w:cs="Times New Roman"/>
        </w:rPr>
        <w:t xml:space="preserve"> contemporary</w:t>
      </w:r>
      <w:r w:rsidRPr="00EA1E99">
        <w:rPr>
          <w:rFonts w:cs="Times New Roman"/>
        </w:rPr>
        <w:t xml:space="preserve"> </w:t>
      </w:r>
      <w:r w:rsidR="001E5029" w:rsidRPr="00EA1E99">
        <w:rPr>
          <w:rFonts w:cs="Times New Roman"/>
        </w:rPr>
        <w:lastRenderedPageBreak/>
        <w:t>procedures</w:t>
      </w:r>
      <w:r w:rsidRPr="00EA1E99">
        <w:rPr>
          <w:rFonts w:cs="Times New Roman"/>
        </w:rPr>
        <w:t xml:space="preserve"> of international legal advice and governmental decision-making.</w:t>
      </w:r>
      <w:r w:rsidR="00A82D93" w:rsidRPr="00EA1E99">
        <w:rPr>
          <w:rStyle w:val="FootnoteReference"/>
          <w:rFonts w:cs="Times New Roman"/>
        </w:rPr>
        <w:footnoteReference w:id="15"/>
      </w:r>
      <w:r w:rsidRPr="00EA1E99">
        <w:rPr>
          <w:rFonts w:cs="Times New Roman"/>
        </w:rPr>
        <w:t xml:space="preserve"> Rather, we</w:t>
      </w:r>
      <w:r w:rsidR="00EA2356" w:rsidRPr="00EA1E99">
        <w:rPr>
          <w:rFonts w:cs="Times New Roman"/>
        </w:rPr>
        <w:t xml:space="preserve"> </w:t>
      </w:r>
      <w:r w:rsidR="00A91566" w:rsidRPr="00EA1E99">
        <w:rPr>
          <w:rFonts w:cs="Times New Roman"/>
        </w:rPr>
        <w:t xml:space="preserve">simply </w:t>
      </w:r>
      <w:r w:rsidR="001E5029" w:rsidRPr="00EA1E99">
        <w:rPr>
          <w:rFonts w:cs="Times New Roman"/>
        </w:rPr>
        <w:t>reflect upon</w:t>
      </w:r>
      <w:r w:rsidRPr="00EA1E99">
        <w:rPr>
          <w:rFonts w:cs="Times New Roman"/>
        </w:rPr>
        <w:t xml:space="preserve"> </w:t>
      </w:r>
      <w:r w:rsidR="004363E4" w:rsidRPr="00EA1E99">
        <w:rPr>
          <w:rFonts w:cs="Times New Roman"/>
        </w:rPr>
        <w:t xml:space="preserve">certain aspects of </w:t>
      </w:r>
      <w:r w:rsidRPr="00EA1E99">
        <w:rPr>
          <w:rFonts w:cs="Times New Roman"/>
        </w:rPr>
        <w:t xml:space="preserve">the manner in which the </w:t>
      </w:r>
      <w:proofErr w:type="spellStart"/>
      <w:r w:rsidRPr="00EA1E99">
        <w:rPr>
          <w:rFonts w:cs="Times New Roman"/>
        </w:rPr>
        <w:t>Chilcot</w:t>
      </w:r>
      <w:proofErr w:type="spellEnd"/>
      <w:r w:rsidRPr="00EA1E99">
        <w:rPr>
          <w:rFonts w:cs="Times New Roman"/>
        </w:rPr>
        <w:t xml:space="preserve"> Inquiry </w:t>
      </w:r>
      <w:r w:rsidR="00F71A57" w:rsidRPr="00EA1E99">
        <w:rPr>
          <w:rFonts w:cs="Times New Roman"/>
        </w:rPr>
        <w:t xml:space="preserve">engaged with and </w:t>
      </w:r>
      <w:r w:rsidRPr="00EA1E99">
        <w:rPr>
          <w:rFonts w:cs="Times New Roman"/>
        </w:rPr>
        <w:t>represented international law and legal advice.</w:t>
      </w:r>
    </w:p>
    <w:p w14:paraId="6E6E2380" w14:textId="77777777" w:rsidR="003A2F77" w:rsidRPr="00EA1E99" w:rsidRDefault="003A2F77" w:rsidP="004C1DD1">
      <w:pPr>
        <w:spacing w:line="480" w:lineRule="auto"/>
        <w:ind w:firstLine="709"/>
        <w:rPr>
          <w:rFonts w:cs="Times New Roman"/>
        </w:rPr>
      </w:pPr>
    </w:p>
    <w:p w14:paraId="1254E9E7" w14:textId="77777777" w:rsidR="00D058A5" w:rsidRPr="00EA1E99" w:rsidRDefault="00EA2356" w:rsidP="004C1DD1">
      <w:pPr>
        <w:spacing w:line="480" w:lineRule="auto"/>
        <w:rPr>
          <w:rFonts w:cs="Times New Roman"/>
          <w:b/>
        </w:rPr>
      </w:pPr>
      <w:r w:rsidRPr="00EA1E99">
        <w:rPr>
          <w:rFonts w:cs="Times New Roman"/>
          <w:b/>
        </w:rPr>
        <w:t xml:space="preserve">2. </w:t>
      </w:r>
      <w:r w:rsidR="00D058A5" w:rsidRPr="00EA1E99">
        <w:rPr>
          <w:rFonts w:cs="Times New Roman"/>
          <w:b/>
        </w:rPr>
        <w:t xml:space="preserve">The </w:t>
      </w:r>
      <w:proofErr w:type="spellStart"/>
      <w:r w:rsidR="00D058A5" w:rsidRPr="00EA1E99">
        <w:rPr>
          <w:rFonts w:cs="Times New Roman"/>
          <w:b/>
        </w:rPr>
        <w:t>Chilcot</w:t>
      </w:r>
      <w:proofErr w:type="spellEnd"/>
      <w:r w:rsidR="00D058A5" w:rsidRPr="00EA1E99">
        <w:rPr>
          <w:rFonts w:cs="Times New Roman"/>
          <w:b/>
        </w:rPr>
        <w:t xml:space="preserve"> Inquiry and International Law</w:t>
      </w:r>
    </w:p>
    <w:p w14:paraId="6CC8D4F3" w14:textId="735E43C5" w:rsidR="00B22092" w:rsidRPr="00EA1E99" w:rsidRDefault="004A7955" w:rsidP="004A7955">
      <w:pPr>
        <w:spacing w:line="480" w:lineRule="auto"/>
        <w:rPr>
          <w:rFonts w:cs="Times New Roman"/>
          <w:b/>
          <w:i/>
        </w:rPr>
      </w:pPr>
      <w:r w:rsidRPr="00EA1E99">
        <w:rPr>
          <w:rFonts w:cs="Times New Roman"/>
          <w:b/>
          <w:i/>
        </w:rPr>
        <w:t xml:space="preserve">A. </w:t>
      </w:r>
      <w:r w:rsidR="00B22092" w:rsidRPr="00EA1E99">
        <w:rPr>
          <w:rFonts w:cs="Times New Roman"/>
          <w:b/>
          <w:i/>
        </w:rPr>
        <w:t>The Role of International Law in the Work of the Inquiry</w:t>
      </w:r>
    </w:p>
    <w:p w14:paraId="6F9E4D5C" w14:textId="16F77054" w:rsidR="0072593C" w:rsidRPr="00EA1E99" w:rsidRDefault="00D058A5" w:rsidP="004C1DD1">
      <w:pPr>
        <w:spacing w:line="480" w:lineRule="auto"/>
        <w:rPr>
          <w:rFonts w:cs="Times New Roman"/>
        </w:rPr>
      </w:pPr>
      <w:r w:rsidRPr="00EA1E99">
        <w:rPr>
          <w:rFonts w:cs="Times New Roman"/>
        </w:rPr>
        <w:t xml:space="preserve">At first glance, international law was seemingly </w:t>
      </w:r>
      <w:r w:rsidR="002D0784" w:rsidRPr="00EA1E99">
        <w:rPr>
          <w:rFonts w:cs="Times New Roman"/>
        </w:rPr>
        <w:t>excluded</w:t>
      </w:r>
      <w:r w:rsidRPr="00EA1E99">
        <w:rPr>
          <w:rFonts w:cs="Times New Roman"/>
        </w:rPr>
        <w:t xml:space="preserve"> as an </w:t>
      </w:r>
      <w:r w:rsidR="004363E4" w:rsidRPr="00EA1E99">
        <w:rPr>
          <w:rFonts w:cs="Times New Roman"/>
        </w:rPr>
        <w:t>element</w:t>
      </w:r>
      <w:r w:rsidRPr="00EA1E99">
        <w:rPr>
          <w:rFonts w:cs="Times New Roman"/>
        </w:rPr>
        <w:t xml:space="preserve"> of the </w:t>
      </w:r>
      <w:proofErr w:type="spellStart"/>
      <w:r w:rsidR="00B017FF" w:rsidRPr="00EA1E99">
        <w:rPr>
          <w:rFonts w:cs="Times New Roman"/>
        </w:rPr>
        <w:t>Chilcot</w:t>
      </w:r>
      <w:proofErr w:type="spellEnd"/>
      <w:r w:rsidR="00B017FF" w:rsidRPr="00EA1E99">
        <w:rPr>
          <w:rFonts w:cs="Times New Roman"/>
        </w:rPr>
        <w:t xml:space="preserve"> </w:t>
      </w:r>
      <w:r w:rsidRPr="00EA1E99">
        <w:rPr>
          <w:rFonts w:cs="Times New Roman"/>
        </w:rPr>
        <w:t xml:space="preserve">Inquiry’s work from the outset.  Gordon Brown’s announcement of the Inquiry’s creation, for example, avoided any reference whatsoever to ‘law’ or ‘legality’, in preference of more generic language </w:t>
      </w:r>
      <w:r w:rsidR="0072593C" w:rsidRPr="00EA1E99">
        <w:rPr>
          <w:rFonts w:cs="Times New Roman"/>
        </w:rPr>
        <w:t>regarding</w:t>
      </w:r>
      <w:r w:rsidRPr="00EA1E99">
        <w:rPr>
          <w:rFonts w:cs="Times New Roman"/>
        </w:rPr>
        <w:t xml:space="preserve"> the ‘controversial’ nature of the 2003 intervention.</w:t>
      </w:r>
      <w:r w:rsidRPr="00EA1E99">
        <w:rPr>
          <w:rStyle w:val="FootnoteReference"/>
          <w:rFonts w:cs="Times New Roman"/>
        </w:rPr>
        <w:footnoteReference w:id="16"/>
      </w:r>
      <w:r w:rsidRPr="00EA1E99">
        <w:rPr>
          <w:rFonts w:cs="Times New Roman"/>
        </w:rPr>
        <w:t xml:space="preserve">  Sir John </w:t>
      </w:r>
      <w:proofErr w:type="spellStart"/>
      <w:r w:rsidRPr="00EA1E99">
        <w:rPr>
          <w:rFonts w:cs="Times New Roman"/>
        </w:rPr>
        <w:t>Chilcot’s</w:t>
      </w:r>
      <w:proofErr w:type="spellEnd"/>
      <w:r w:rsidRPr="00EA1E99">
        <w:rPr>
          <w:rFonts w:cs="Times New Roman"/>
        </w:rPr>
        <w:t xml:space="preserve"> </w:t>
      </w:r>
      <w:r w:rsidR="00B017FF" w:rsidRPr="00EA1E99">
        <w:rPr>
          <w:rFonts w:cs="Times New Roman"/>
        </w:rPr>
        <w:t>July 2009 launch statement made it clear that ‘[t]he Inquiry is not a court of law and nobody is on trial.’</w:t>
      </w:r>
      <w:r w:rsidRPr="00EA1E99">
        <w:rPr>
          <w:rStyle w:val="FootnoteReference"/>
          <w:rFonts w:cs="Times New Roman"/>
        </w:rPr>
        <w:footnoteReference w:id="17"/>
      </w:r>
      <w:r w:rsidRPr="00EA1E99">
        <w:rPr>
          <w:rFonts w:cs="Times New Roman"/>
        </w:rPr>
        <w:t xml:space="preserve">  </w:t>
      </w:r>
      <w:r w:rsidR="00B017FF" w:rsidRPr="00EA1E99">
        <w:rPr>
          <w:rFonts w:cs="Times New Roman"/>
        </w:rPr>
        <w:t>It was thus unsurprising that the 2016 Report stressed in its Introduction that ‘[t]he Inquiry has not expressed a view as to whether or not the UK’s participation in the conflict was lawful.</w:t>
      </w:r>
      <w:r w:rsidR="0072593C" w:rsidRPr="00EA1E99">
        <w:rPr>
          <w:rFonts w:cs="Times New Roman"/>
        </w:rPr>
        <w:t>’</w:t>
      </w:r>
      <w:r w:rsidR="0072593C" w:rsidRPr="00EA1E99">
        <w:rPr>
          <w:rStyle w:val="FootnoteReference"/>
          <w:rFonts w:cs="Times New Roman"/>
        </w:rPr>
        <w:footnoteReference w:id="18"/>
      </w:r>
    </w:p>
    <w:p w14:paraId="270AAF98" w14:textId="4E16E18F" w:rsidR="00B22092" w:rsidRPr="00EA1E99" w:rsidRDefault="0072593C" w:rsidP="00B22092">
      <w:pPr>
        <w:spacing w:line="480" w:lineRule="auto"/>
        <w:ind w:firstLine="720"/>
        <w:rPr>
          <w:rFonts w:cs="Times New Roman"/>
        </w:rPr>
      </w:pPr>
      <w:r w:rsidRPr="00EA1E99">
        <w:rPr>
          <w:rFonts w:cs="Times New Roman"/>
        </w:rPr>
        <w:t xml:space="preserve">It is not uncommon for the </w:t>
      </w:r>
      <w:r w:rsidR="002D0784" w:rsidRPr="00EA1E99">
        <w:rPr>
          <w:rFonts w:cs="Times New Roman"/>
        </w:rPr>
        <w:t>mandates</w:t>
      </w:r>
      <w:r w:rsidRPr="00EA1E99">
        <w:rPr>
          <w:rFonts w:cs="Times New Roman"/>
        </w:rPr>
        <w:t xml:space="preserve"> of d</w:t>
      </w:r>
      <w:r w:rsidR="00B017FF" w:rsidRPr="00EA1E99">
        <w:rPr>
          <w:rFonts w:cs="Times New Roman"/>
        </w:rPr>
        <w:t xml:space="preserve">omestic commissions of inquiry </w:t>
      </w:r>
      <w:r w:rsidRPr="00EA1E99">
        <w:rPr>
          <w:rFonts w:cs="Times New Roman"/>
        </w:rPr>
        <w:t xml:space="preserve">to </w:t>
      </w:r>
      <w:r w:rsidR="00D70E22">
        <w:rPr>
          <w:rFonts w:cs="Times New Roman"/>
        </w:rPr>
        <w:t>pre</w:t>
      </w:r>
      <w:r w:rsidRPr="00EA1E99">
        <w:rPr>
          <w:rFonts w:cs="Times New Roman"/>
        </w:rPr>
        <w:t xml:space="preserve">clude </w:t>
      </w:r>
      <w:r w:rsidR="004363E4" w:rsidRPr="00EA1E99">
        <w:rPr>
          <w:rFonts w:cs="Times New Roman"/>
        </w:rPr>
        <w:t>the commission in question</w:t>
      </w:r>
      <w:r w:rsidR="002D0784" w:rsidRPr="00EA1E99">
        <w:rPr>
          <w:rFonts w:cs="Times New Roman"/>
        </w:rPr>
        <w:t xml:space="preserve"> from</w:t>
      </w:r>
      <w:r w:rsidRPr="00EA1E99">
        <w:rPr>
          <w:rFonts w:cs="Times New Roman"/>
        </w:rPr>
        <w:t xml:space="preserve"> making </w:t>
      </w:r>
      <w:r w:rsidR="00B22092" w:rsidRPr="00EA1E99">
        <w:rPr>
          <w:rFonts w:cs="Times New Roman"/>
        </w:rPr>
        <w:t>formal legal determinations.</w:t>
      </w:r>
      <w:r w:rsidRPr="00EA1E99">
        <w:rPr>
          <w:rStyle w:val="FootnoteReference"/>
          <w:rFonts w:cs="Times New Roman"/>
        </w:rPr>
        <w:footnoteReference w:id="19"/>
      </w:r>
      <w:r w:rsidR="00B22092" w:rsidRPr="00EA1E99">
        <w:rPr>
          <w:rFonts w:cs="Times New Roman"/>
        </w:rPr>
        <w:t xml:space="preserve">  T</w:t>
      </w:r>
      <w:r w:rsidR="00B017FF" w:rsidRPr="00EA1E99">
        <w:rPr>
          <w:rFonts w:cs="Times New Roman"/>
        </w:rPr>
        <w:t xml:space="preserve">he </w:t>
      </w:r>
      <w:proofErr w:type="spellStart"/>
      <w:r w:rsidR="00B017FF" w:rsidRPr="00EA1E99">
        <w:rPr>
          <w:rFonts w:cs="Times New Roman"/>
        </w:rPr>
        <w:t>Chilcot</w:t>
      </w:r>
      <w:proofErr w:type="spellEnd"/>
      <w:r w:rsidR="00D058A5" w:rsidRPr="00EA1E99">
        <w:rPr>
          <w:rFonts w:cs="Times New Roman"/>
        </w:rPr>
        <w:t xml:space="preserve"> </w:t>
      </w:r>
      <w:r w:rsidR="00887AE4" w:rsidRPr="00EA1E99">
        <w:rPr>
          <w:rFonts w:cs="Times New Roman"/>
        </w:rPr>
        <w:t xml:space="preserve">Inquiry was </w:t>
      </w:r>
      <w:r w:rsidR="00EA2ED3" w:rsidRPr="00EA1E99">
        <w:rPr>
          <w:rFonts w:cs="Times New Roman"/>
        </w:rPr>
        <w:t xml:space="preserve">primarily </w:t>
      </w:r>
      <w:r w:rsidR="00887AE4" w:rsidRPr="00EA1E99">
        <w:rPr>
          <w:rFonts w:cs="Times New Roman"/>
        </w:rPr>
        <w:t xml:space="preserve">concerned with the extent to which one may regard the UK officials </w:t>
      </w:r>
      <w:r w:rsidR="005B71CD" w:rsidRPr="00EA1E99">
        <w:rPr>
          <w:rFonts w:cs="Times New Roman"/>
        </w:rPr>
        <w:t xml:space="preserve">concerned </w:t>
      </w:r>
      <w:r w:rsidR="00887AE4" w:rsidRPr="00EA1E99">
        <w:rPr>
          <w:rFonts w:cs="Times New Roman"/>
        </w:rPr>
        <w:t xml:space="preserve">as being well-informed to make judgments and decisions, rather than ascertaining which </w:t>
      </w:r>
      <w:r w:rsidR="00D70E22">
        <w:rPr>
          <w:rFonts w:cs="Times New Roman"/>
        </w:rPr>
        <w:lastRenderedPageBreak/>
        <w:t>judg</w:t>
      </w:r>
      <w:r w:rsidR="00887AE4" w:rsidRPr="00EA1E99">
        <w:rPr>
          <w:rFonts w:cs="Times New Roman"/>
        </w:rPr>
        <w:t xml:space="preserve">ment or decision was objectively better. </w:t>
      </w:r>
      <w:r w:rsidR="005B71CD" w:rsidRPr="00EA1E99">
        <w:rPr>
          <w:rFonts w:cs="Times New Roman"/>
        </w:rPr>
        <w:t xml:space="preserve"> </w:t>
      </w:r>
      <w:r w:rsidRPr="00EA1E99">
        <w:rPr>
          <w:rFonts w:cs="Times New Roman"/>
        </w:rPr>
        <w:t>It is notable that</w:t>
      </w:r>
      <w:r w:rsidR="001C5706" w:rsidRPr="00EA1E99">
        <w:rPr>
          <w:rFonts w:cs="Times New Roman"/>
        </w:rPr>
        <w:t xml:space="preserve"> none of the Inquiry’s members were lawyers (let alone international lawyers).</w:t>
      </w:r>
      <w:r w:rsidRPr="00EA1E99">
        <w:rPr>
          <w:rStyle w:val="FootnoteReference"/>
          <w:rFonts w:cs="Times New Roman"/>
        </w:rPr>
        <w:footnoteReference w:id="20"/>
      </w:r>
      <w:r w:rsidR="00B22092" w:rsidRPr="00EA1E99">
        <w:rPr>
          <w:rFonts w:cs="Times New Roman"/>
        </w:rPr>
        <w:t xml:space="preserve"> </w:t>
      </w:r>
    </w:p>
    <w:p w14:paraId="5FFF26B8" w14:textId="0D19CBD8" w:rsidR="001C5706" w:rsidRPr="00EA1E99" w:rsidRDefault="00B017FF" w:rsidP="00B22092">
      <w:pPr>
        <w:spacing w:line="480" w:lineRule="auto"/>
        <w:ind w:firstLine="720"/>
        <w:rPr>
          <w:rFonts w:cs="Times New Roman"/>
        </w:rPr>
      </w:pPr>
      <w:r w:rsidRPr="00EA1E99">
        <w:rPr>
          <w:rFonts w:cs="Times New Roman"/>
        </w:rPr>
        <w:t>The decision to restrict the Inquiry’s mandate to exclude legal determinations</w:t>
      </w:r>
      <w:r w:rsidR="001C5706" w:rsidRPr="00EA1E99">
        <w:rPr>
          <w:rFonts w:cs="Times New Roman"/>
        </w:rPr>
        <w:t xml:space="preserve">, and – particularly – the post-Report refusal to release information regarding the selection criteria that led to it being composed exclusively of non-lawyers, has </w:t>
      </w:r>
      <w:r w:rsidR="002D0784" w:rsidRPr="00EA1E99">
        <w:rPr>
          <w:rFonts w:cs="Times New Roman"/>
        </w:rPr>
        <w:t xml:space="preserve">been subject to </w:t>
      </w:r>
      <w:r w:rsidR="001B00FC" w:rsidRPr="00EA1E99">
        <w:rPr>
          <w:rFonts w:cs="Times New Roman"/>
        </w:rPr>
        <w:t>revived</w:t>
      </w:r>
      <w:r w:rsidR="001C5706" w:rsidRPr="00EA1E99">
        <w:rPr>
          <w:rFonts w:cs="Times New Roman"/>
        </w:rPr>
        <w:t xml:space="preserve"> criticism</w:t>
      </w:r>
      <w:r w:rsidR="001B00FC" w:rsidRPr="00EA1E99">
        <w:rPr>
          <w:rFonts w:cs="Times New Roman"/>
        </w:rPr>
        <w:t xml:space="preserve"> following the Report’s publication</w:t>
      </w:r>
      <w:r w:rsidR="001C5706" w:rsidRPr="00EA1E99">
        <w:rPr>
          <w:rFonts w:cs="Times New Roman"/>
        </w:rPr>
        <w:t>.</w:t>
      </w:r>
      <w:r w:rsidR="00E72E8F" w:rsidRPr="00EA1E99">
        <w:rPr>
          <w:rStyle w:val="FootnoteReference"/>
          <w:rFonts w:cs="Times New Roman"/>
        </w:rPr>
        <w:footnoteReference w:id="21"/>
      </w:r>
      <w:r w:rsidR="00BF3CB3" w:rsidRPr="00EA1E99">
        <w:rPr>
          <w:rFonts w:cs="Times New Roman"/>
        </w:rPr>
        <w:t xml:space="preserve">  However, this criticism may, to an extent at least, be unwarranted.  This is partly because it is debatable whether it would have been desirable</w:t>
      </w:r>
      <w:r w:rsidR="00B12B5F" w:rsidRPr="00EA1E99">
        <w:rPr>
          <w:rFonts w:cs="Times New Roman"/>
        </w:rPr>
        <w:t xml:space="preserve"> or feasible</w:t>
      </w:r>
      <w:r w:rsidR="00BF3CB3" w:rsidRPr="00EA1E99">
        <w:rPr>
          <w:rFonts w:cs="Times New Roman"/>
        </w:rPr>
        <w:t xml:space="preserve"> for the Inquiry to make formal legal pronouncements as to the (ill</w:t>
      </w:r>
      <w:proofErr w:type="gramStart"/>
      <w:r w:rsidR="00BF3CB3" w:rsidRPr="00EA1E99">
        <w:rPr>
          <w:rFonts w:cs="Times New Roman"/>
        </w:rPr>
        <w:t>)legality</w:t>
      </w:r>
      <w:proofErr w:type="gramEnd"/>
      <w:r w:rsidR="00BF3CB3" w:rsidRPr="00EA1E99">
        <w:rPr>
          <w:rFonts w:cs="Times New Roman"/>
        </w:rPr>
        <w:t xml:space="preserve"> of the war</w:t>
      </w:r>
      <w:r w:rsidR="00B12B5F" w:rsidRPr="00EA1E99">
        <w:rPr>
          <w:rFonts w:cs="Times New Roman"/>
        </w:rPr>
        <w:t>.</w:t>
      </w:r>
    </w:p>
    <w:p w14:paraId="25CD0F1B" w14:textId="77777777" w:rsidR="00EA2ED3" w:rsidRPr="00EA1E99" w:rsidRDefault="00957863" w:rsidP="004C1DD1">
      <w:pPr>
        <w:spacing w:line="480" w:lineRule="auto"/>
        <w:ind w:firstLine="720"/>
        <w:rPr>
          <w:rFonts w:cs="Times New Roman"/>
        </w:rPr>
      </w:pPr>
      <w:r w:rsidRPr="00EA1E99">
        <w:rPr>
          <w:rFonts w:cs="Times New Roman"/>
        </w:rPr>
        <w:t>I</w:t>
      </w:r>
      <w:r w:rsidR="001C5706" w:rsidRPr="00EA1E99">
        <w:rPr>
          <w:rFonts w:cs="Times New Roman"/>
        </w:rPr>
        <w:t xml:space="preserve">t is tempting for international lawyers to view determinations on substantive international law in commissions of inquiry as being inherently ‘positive’, especially </w:t>
      </w:r>
      <w:r w:rsidRPr="00EA1E99">
        <w:rPr>
          <w:rFonts w:cs="Times New Roman"/>
        </w:rPr>
        <w:t>when the commission in question is dealing with ‘fundamental’ lega</w:t>
      </w:r>
      <w:r w:rsidR="00E72E8F" w:rsidRPr="00EA1E99">
        <w:rPr>
          <w:rFonts w:cs="Times New Roman"/>
        </w:rPr>
        <w:t xml:space="preserve">l issues (such as human rights </w:t>
      </w:r>
      <w:r w:rsidRPr="00EA1E99">
        <w:rPr>
          <w:rFonts w:cs="Times New Roman"/>
        </w:rPr>
        <w:t>or</w:t>
      </w:r>
      <w:r w:rsidR="00E72E8F" w:rsidRPr="00EA1E99">
        <w:rPr>
          <w:rFonts w:cs="Times New Roman"/>
        </w:rPr>
        <w:t>, say,</w:t>
      </w:r>
      <w:r w:rsidRPr="00EA1E99">
        <w:rPr>
          <w:rFonts w:cs="Times New Roman"/>
        </w:rPr>
        <w:t xml:space="preserve"> the use of </w:t>
      </w:r>
      <w:r w:rsidR="00E72E8F" w:rsidRPr="00EA1E99">
        <w:rPr>
          <w:rFonts w:cs="Times New Roman"/>
        </w:rPr>
        <w:t xml:space="preserve">military </w:t>
      </w:r>
      <w:r w:rsidRPr="00EA1E99">
        <w:rPr>
          <w:rFonts w:cs="Times New Roman"/>
        </w:rPr>
        <w:t xml:space="preserve">force), and especially </w:t>
      </w:r>
      <w:r w:rsidR="001C5706" w:rsidRPr="00EA1E99">
        <w:rPr>
          <w:rFonts w:cs="Times New Roman"/>
        </w:rPr>
        <w:t xml:space="preserve">given that such a commission may well be the most formal and ‘authoritative’ forum in which international law standards </w:t>
      </w:r>
      <w:r w:rsidR="00E72E8F" w:rsidRPr="00EA1E99">
        <w:rPr>
          <w:rFonts w:cs="Times New Roman"/>
          <w:i/>
        </w:rPr>
        <w:t>could be</w:t>
      </w:r>
      <w:r w:rsidR="001C5706" w:rsidRPr="00EA1E99">
        <w:rPr>
          <w:rFonts w:cs="Times New Roman"/>
        </w:rPr>
        <w:t xml:space="preserve"> considered in relation to the given factual circumstances</w:t>
      </w:r>
      <w:r w:rsidR="00E72E8F" w:rsidRPr="00EA1E99">
        <w:rPr>
          <w:rFonts w:cs="Times New Roman"/>
        </w:rPr>
        <w:t xml:space="preserve"> – </w:t>
      </w:r>
      <w:r w:rsidR="001C5706" w:rsidRPr="00EA1E99">
        <w:rPr>
          <w:rFonts w:cs="Times New Roman"/>
        </w:rPr>
        <w:t>as was undoubtedly the case for the UK’s involvement in the Iraq War</w:t>
      </w:r>
      <w:r w:rsidRPr="00EA1E99">
        <w:rPr>
          <w:rFonts w:cs="Times New Roman"/>
        </w:rPr>
        <w:t>.</w:t>
      </w:r>
      <w:r w:rsidR="00E72E8F" w:rsidRPr="00EA1E99">
        <w:rPr>
          <w:rStyle w:val="FootnoteReference"/>
          <w:rFonts w:cs="Times New Roman"/>
        </w:rPr>
        <w:footnoteReference w:id="22"/>
      </w:r>
      <w:r w:rsidRPr="00EA1E99">
        <w:rPr>
          <w:rFonts w:cs="Times New Roman"/>
        </w:rPr>
        <w:t xml:space="preserve">  </w:t>
      </w:r>
    </w:p>
    <w:p w14:paraId="5A7D4C24" w14:textId="6C36E6BE" w:rsidR="00BF3CB3" w:rsidRPr="00EA1E99" w:rsidRDefault="00957863" w:rsidP="004C1DD1">
      <w:pPr>
        <w:spacing w:line="480" w:lineRule="auto"/>
        <w:ind w:firstLine="720"/>
        <w:rPr>
          <w:rFonts w:cs="Times New Roman"/>
        </w:rPr>
      </w:pPr>
      <w:r w:rsidRPr="00EA1E99">
        <w:rPr>
          <w:rFonts w:cs="Times New Roman"/>
        </w:rPr>
        <w:t>However, as the present authors have argued elsewhere,</w:t>
      </w:r>
      <w:r w:rsidR="00BF3CB3" w:rsidRPr="00EA1E99">
        <w:rPr>
          <w:rStyle w:val="FootnoteReference"/>
          <w:rFonts w:cs="Times New Roman"/>
        </w:rPr>
        <w:footnoteReference w:id="23"/>
      </w:r>
      <w:r w:rsidRPr="00EA1E99">
        <w:rPr>
          <w:rFonts w:cs="Times New Roman"/>
        </w:rPr>
        <w:t xml:space="preserve"> </w:t>
      </w:r>
      <w:r w:rsidR="002D0784" w:rsidRPr="00EA1E99">
        <w:rPr>
          <w:rFonts w:cs="Times New Roman"/>
        </w:rPr>
        <w:t>i</w:t>
      </w:r>
      <w:r w:rsidRPr="00EA1E99">
        <w:rPr>
          <w:rFonts w:cs="Times New Roman"/>
        </w:rPr>
        <w:t xml:space="preserve">t is a mistake to view it as inherently desirable that commissions of inquiry reach </w:t>
      </w:r>
      <w:r w:rsidR="001C5706" w:rsidRPr="00EA1E99">
        <w:rPr>
          <w:rFonts w:cs="Times New Roman"/>
        </w:rPr>
        <w:t xml:space="preserve">substantive </w:t>
      </w:r>
      <w:r w:rsidRPr="00EA1E99">
        <w:rPr>
          <w:rFonts w:cs="Times New Roman"/>
        </w:rPr>
        <w:t xml:space="preserve">international </w:t>
      </w:r>
      <w:r w:rsidR="001C5706" w:rsidRPr="00EA1E99">
        <w:rPr>
          <w:rFonts w:cs="Times New Roman"/>
        </w:rPr>
        <w:t>legal determinations</w:t>
      </w:r>
      <w:r w:rsidR="002D0784" w:rsidRPr="00EA1E99">
        <w:rPr>
          <w:rFonts w:cs="Times New Roman"/>
        </w:rPr>
        <w:t>.  This is</w:t>
      </w:r>
      <w:r w:rsidRPr="00EA1E99">
        <w:rPr>
          <w:rFonts w:cs="Times New Roman"/>
        </w:rPr>
        <w:t xml:space="preserve"> because, in </w:t>
      </w:r>
      <w:r w:rsidR="00BF3CB3" w:rsidRPr="00EA1E99">
        <w:rPr>
          <w:rFonts w:cs="Times New Roman"/>
        </w:rPr>
        <w:t>many</w:t>
      </w:r>
      <w:r w:rsidRPr="00EA1E99">
        <w:rPr>
          <w:rFonts w:cs="Times New Roman"/>
        </w:rPr>
        <w:t xml:space="preserve"> instances,</w:t>
      </w:r>
      <w:r w:rsidR="001C5706" w:rsidRPr="00EA1E99">
        <w:rPr>
          <w:rFonts w:cs="Times New Roman"/>
        </w:rPr>
        <w:t xml:space="preserve"> such commissions will not possess the requisite normative authority (given</w:t>
      </w:r>
      <w:r w:rsidR="000B14F7" w:rsidRPr="00EA1E99">
        <w:rPr>
          <w:rFonts w:cs="Times New Roman"/>
        </w:rPr>
        <w:t>, in particular,</w:t>
      </w:r>
      <w:r w:rsidR="001C5706" w:rsidRPr="00EA1E99">
        <w:rPr>
          <w:rFonts w:cs="Times New Roman"/>
        </w:rPr>
        <w:t xml:space="preserve"> the </w:t>
      </w:r>
      <w:r w:rsidR="000B14F7" w:rsidRPr="00EA1E99">
        <w:rPr>
          <w:rFonts w:cs="Times New Roman"/>
        </w:rPr>
        <w:t xml:space="preserve">often complex </w:t>
      </w:r>
      <w:r w:rsidR="001C5706" w:rsidRPr="00EA1E99">
        <w:rPr>
          <w:rFonts w:cs="Times New Roman"/>
        </w:rPr>
        <w:t>social context</w:t>
      </w:r>
      <w:r w:rsidR="000B14F7" w:rsidRPr="00EA1E99">
        <w:rPr>
          <w:rFonts w:cs="Times New Roman"/>
        </w:rPr>
        <w:t>s</w:t>
      </w:r>
      <w:r w:rsidR="001C5706" w:rsidRPr="00EA1E99">
        <w:rPr>
          <w:rFonts w:cs="Times New Roman"/>
        </w:rPr>
        <w:t xml:space="preserve"> in which they </w:t>
      </w:r>
      <w:r w:rsidR="000B14F7" w:rsidRPr="00EA1E99">
        <w:rPr>
          <w:rFonts w:cs="Times New Roman"/>
        </w:rPr>
        <w:t>operate</w:t>
      </w:r>
      <w:r w:rsidR="001C5706" w:rsidRPr="00EA1E99">
        <w:rPr>
          <w:rFonts w:cs="Times New Roman"/>
        </w:rPr>
        <w:t xml:space="preserve">) to </w:t>
      </w:r>
      <w:r w:rsidR="001B0AE0" w:rsidRPr="00EA1E99">
        <w:rPr>
          <w:rFonts w:cs="Times New Roman"/>
        </w:rPr>
        <w:t xml:space="preserve">be </w:t>
      </w:r>
      <w:r w:rsidRPr="00EA1E99">
        <w:rPr>
          <w:rFonts w:cs="Times New Roman"/>
        </w:rPr>
        <w:t>suitable forum</w:t>
      </w:r>
      <w:r w:rsidR="001B0AE0" w:rsidRPr="00EA1E99">
        <w:rPr>
          <w:rFonts w:cs="Times New Roman"/>
        </w:rPr>
        <w:t>s</w:t>
      </w:r>
      <w:r w:rsidRPr="00EA1E99">
        <w:rPr>
          <w:rFonts w:cs="Times New Roman"/>
        </w:rPr>
        <w:t xml:space="preserve"> for this.</w:t>
      </w:r>
      <w:r w:rsidR="001B00FC" w:rsidRPr="00EA1E99">
        <w:rPr>
          <w:rStyle w:val="FootnoteReference"/>
          <w:rFonts w:cs="Times New Roman"/>
        </w:rPr>
        <w:footnoteReference w:id="24"/>
      </w:r>
      <w:r w:rsidR="00BF3CB3" w:rsidRPr="00EA1E99">
        <w:rPr>
          <w:rFonts w:cs="Times New Roman"/>
        </w:rPr>
        <w:t xml:space="preserve">  </w:t>
      </w:r>
      <w:r w:rsidR="00B12B5F" w:rsidRPr="00EA1E99">
        <w:rPr>
          <w:rFonts w:cs="Times New Roman"/>
        </w:rPr>
        <w:t xml:space="preserve">As such, it is questionable </w:t>
      </w:r>
      <w:r w:rsidR="002D0784" w:rsidRPr="00EA1E99">
        <w:rPr>
          <w:rFonts w:cs="Times New Roman"/>
        </w:rPr>
        <w:t>whether</w:t>
      </w:r>
      <w:r w:rsidR="00B12B5F" w:rsidRPr="00EA1E99">
        <w:rPr>
          <w:rFonts w:cs="Times New Roman"/>
        </w:rPr>
        <w:t xml:space="preserve"> the</w:t>
      </w:r>
      <w:r w:rsidR="00BF3CB3" w:rsidRPr="00EA1E99">
        <w:rPr>
          <w:rFonts w:cs="Times New Roman"/>
        </w:rPr>
        <w:t xml:space="preserve"> </w:t>
      </w:r>
      <w:proofErr w:type="spellStart"/>
      <w:r w:rsidR="00BF3CB3" w:rsidRPr="00EA1E99">
        <w:rPr>
          <w:rFonts w:cs="Times New Roman"/>
        </w:rPr>
        <w:t>Chilcot</w:t>
      </w:r>
      <w:proofErr w:type="spellEnd"/>
      <w:r w:rsidR="00BF3CB3" w:rsidRPr="00EA1E99">
        <w:rPr>
          <w:rFonts w:cs="Times New Roman"/>
        </w:rPr>
        <w:t xml:space="preserve"> </w:t>
      </w:r>
      <w:r w:rsidR="00BF3CB3" w:rsidRPr="00EA1E99">
        <w:rPr>
          <w:rFonts w:cs="Times New Roman"/>
        </w:rPr>
        <w:lastRenderedPageBreak/>
        <w:t xml:space="preserve">Inquiry </w:t>
      </w:r>
      <w:r w:rsidR="00B12B5F" w:rsidRPr="00EA1E99">
        <w:rPr>
          <w:rFonts w:cs="Times New Roman"/>
        </w:rPr>
        <w:t>could</w:t>
      </w:r>
      <w:r w:rsidR="002D0784" w:rsidRPr="00EA1E99">
        <w:rPr>
          <w:rFonts w:cs="Times New Roman"/>
        </w:rPr>
        <w:t>, or should, have</w:t>
      </w:r>
      <w:r w:rsidR="00BF3CB3" w:rsidRPr="00EA1E99">
        <w:rPr>
          <w:rFonts w:cs="Times New Roman"/>
        </w:rPr>
        <w:t xml:space="preserve"> </w:t>
      </w:r>
      <w:r w:rsidR="002D0784" w:rsidRPr="00EA1E99">
        <w:rPr>
          <w:rFonts w:cs="Times New Roman"/>
        </w:rPr>
        <w:t xml:space="preserve">reached </w:t>
      </w:r>
      <w:r w:rsidR="006112BD" w:rsidRPr="00EA1E99">
        <w:rPr>
          <w:rFonts w:cs="Times New Roman"/>
        </w:rPr>
        <w:t xml:space="preserve">substantive legal </w:t>
      </w:r>
      <w:r w:rsidR="002D0784" w:rsidRPr="00EA1E99">
        <w:rPr>
          <w:rFonts w:cs="Times New Roman"/>
        </w:rPr>
        <w:t>conclusions</w:t>
      </w:r>
      <w:r w:rsidR="006112BD" w:rsidRPr="00EA1E99">
        <w:rPr>
          <w:rFonts w:cs="Times New Roman"/>
        </w:rPr>
        <w:t xml:space="preserve">, </w:t>
      </w:r>
      <w:r w:rsidR="00B12B5F" w:rsidRPr="00EA1E99">
        <w:rPr>
          <w:rFonts w:cs="Times New Roman"/>
        </w:rPr>
        <w:t xml:space="preserve">especially </w:t>
      </w:r>
      <w:r w:rsidR="00F97292" w:rsidRPr="00EA1E99">
        <w:rPr>
          <w:rFonts w:cs="Times New Roman"/>
        </w:rPr>
        <w:t>given</w:t>
      </w:r>
      <w:r w:rsidR="006112BD" w:rsidRPr="00EA1E99">
        <w:rPr>
          <w:rFonts w:cs="Times New Roman"/>
        </w:rPr>
        <w:t xml:space="preserve"> the form in which it was constituted.</w:t>
      </w:r>
      <w:r w:rsidR="00F25693" w:rsidRPr="00EA1E99">
        <w:rPr>
          <w:rStyle w:val="FootnoteReference"/>
          <w:rFonts w:cs="Times New Roman"/>
        </w:rPr>
        <w:footnoteReference w:id="25"/>
      </w:r>
    </w:p>
    <w:p w14:paraId="04C2E6D3" w14:textId="2DDAE3BC" w:rsidR="00F97292" w:rsidRPr="00EA1E99" w:rsidRDefault="006112BD" w:rsidP="00C716C0">
      <w:pPr>
        <w:spacing w:line="480" w:lineRule="auto"/>
        <w:ind w:firstLine="720"/>
        <w:rPr>
          <w:rFonts w:eastAsia="Times New Roman" w:cs="Times New Roman"/>
        </w:rPr>
      </w:pPr>
      <w:r w:rsidRPr="00EA1E99">
        <w:rPr>
          <w:rFonts w:cs="Times New Roman"/>
        </w:rPr>
        <w:t xml:space="preserve">The critique of the Inquiry’s engagement with international law also somewhat overlooks the fact that, </w:t>
      </w:r>
      <w:r w:rsidR="008A4427" w:rsidRPr="00EA1E99">
        <w:rPr>
          <w:rFonts w:cs="Times New Roman"/>
        </w:rPr>
        <w:t xml:space="preserve">while it was not the Inquiry’s role to </w:t>
      </w:r>
      <w:r w:rsidR="008A4427" w:rsidRPr="00EA1E99">
        <w:rPr>
          <w:rFonts w:cs="Times New Roman"/>
          <w:i/>
        </w:rPr>
        <w:t>apply</w:t>
      </w:r>
      <w:r w:rsidR="008A4427" w:rsidRPr="00EA1E99">
        <w:rPr>
          <w:rFonts w:cs="Times New Roman"/>
        </w:rPr>
        <w:t xml:space="preserve"> international law, the Report did </w:t>
      </w:r>
      <w:r w:rsidR="008A4427" w:rsidRPr="00EA1E99">
        <w:rPr>
          <w:rFonts w:cs="Times New Roman"/>
          <w:i/>
        </w:rPr>
        <w:t>engage</w:t>
      </w:r>
      <w:r w:rsidR="008A4427" w:rsidRPr="00EA1E99">
        <w:rPr>
          <w:rFonts w:cs="Times New Roman"/>
        </w:rPr>
        <w:t xml:space="preserve"> with it.</w:t>
      </w:r>
      <w:r w:rsidR="008D4758" w:rsidRPr="00EA1E99">
        <w:rPr>
          <w:rFonts w:eastAsia="Times New Roman" w:cs="Times New Roman"/>
        </w:rPr>
        <w:t xml:space="preserve">  </w:t>
      </w:r>
      <w:r w:rsidR="00EA2ED3" w:rsidRPr="00EA1E99">
        <w:rPr>
          <w:rFonts w:cs="Times New Roman"/>
        </w:rPr>
        <w:t>Despite initial appearances, i</w:t>
      </w:r>
      <w:r w:rsidR="009A06F9" w:rsidRPr="00EA1E99">
        <w:rPr>
          <w:rFonts w:eastAsia="Times New Roman" w:cs="Times New Roman"/>
        </w:rPr>
        <w:t>nternational l</w:t>
      </w:r>
      <w:r w:rsidR="00B710A7" w:rsidRPr="00EA1E99">
        <w:rPr>
          <w:rFonts w:eastAsia="Times New Roman" w:cs="Times New Roman"/>
        </w:rPr>
        <w:t>aw was certainly not side-lined: indeed, it was seen as crucial</w:t>
      </w:r>
      <w:r w:rsidR="00EA2ED3" w:rsidRPr="00EA1E99">
        <w:rPr>
          <w:rFonts w:eastAsia="Times New Roman" w:cs="Times New Roman"/>
        </w:rPr>
        <w:t>.  As</w:t>
      </w:r>
      <w:r w:rsidR="009A06F9" w:rsidRPr="00EA1E99">
        <w:rPr>
          <w:rFonts w:eastAsia="Times New Roman" w:cs="Times New Roman"/>
        </w:rPr>
        <w:t xml:space="preserve"> Sir John </w:t>
      </w:r>
      <w:proofErr w:type="spellStart"/>
      <w:r w:rsidR="009A06F9" w:rsidRPr="00EA1E99">
        <w:rPr>
          <w:rFonts w:eastAsia="Times New Roman" w:cs="Times New Roman"/>
        </w:rPr>
        <w:t>Chilcot</w:t>
      </w:r>
      <w:proofErr w:type="spellEnd"/>
      <w:r w:rsidR="009A06F9" w:rsidRPr="00EA1E99">
        <w:rPr>
          <w:rFonts w:eastAsia="Times New Roman" w:cs="Times New Roman"/>
        </w:rPr>
        <w:t xml:space="preserve"> stated in a letter to </w:t>
      </w:r>
      <w:r w:rsidR="00B710A7" w:rsidRPr="00EA1E99">
        <w:rPr>
          <w:rFonts w:eastAsia="Times New Roman" w:cs="Times New Roman"/>
        </w:rPr>
        <w:t xml:space="preserve">Sir </w:t>
      </w:r>
      <w:r w:rsidR="009A06F9" w:rsidRPr="00EA1E99">
        <w:rPr>
          <w:rFonts w:cs="Times New Roman"/>
        </w:rPr>
        <w:t xml:space="preserve">Gus O’Donnell </w:t>
      </w:r>
      <w:r w:rsidR="00B710A7" w:rsidRPr="00EA1E99">
        <w:rPr>
          <w:rFonts w:cs="Times New Roman"/>
        </w:rPr>
        <w:t xml:space="preserve">(then Cabinet Secretary) </w:t>
      </w:r>
      <w:r w:rsidR="009A06F9" w:rsidRPr="00EA1E99">
        <w:rPr>
          <w:rFonts w:cs="Times New Roman"/>
        </w:rPr>
        <w:t>in January 2011</w:t>
      </w:r>
      <w:r w:rsidR="002D0784" w:rsidRPr="00EA1E99">
        <w:rPr>
          <w:rFonts w:cs="Times New Roman"/>
        </w:rPr>
        <w:t xml:space="preserve">, </w:t>
      </w:r>
      <w:r w:rsidR="009A06F9" w:rsidRPr="00EA1E99">
        <w:rPr>
          <w:rFonts w:cs="Times New Roman"/>
        </w:rPr>
        <w:t>‘the legal basis for military action and the way in which this develo</w:t>
      </w:r>
      <w:r w:rsidR="00B710A7" w:rsidRPr="00EA1E99">
        <w:rPr>
          <w:rFonts w:cs="Times New Roman"/>
        </w:rPr>
        <w:t>ped [is] a central part of the I</w:t>
      </w:r>
      <w:r w:rsidR="009A06F9" w:rsidRPr="00EA1E99">
        <w:rPr>
          <w:rFonts w:cs="Times New Roman"/>
        </w:rPr>
        <w:t>nquiry’s work</w:t>
      </w:r>
      <w:r w:rsidR="00B710A7" w:rsidRPr="00EA1E99">
        <w:rPr>
          <w:rFonts w:cs="Times New Roman"/>
        </w:rPr>
        <w:t>.</w:t>
      </w:r>
      <w:r w:rsidR="009A06F9" w:rsidRPr="00EA1E99">
        <w:rPr>
          <w:rFonts w:cs="Times New Roman"/>
        </w:rPr>
        <w:t>’</w:t>
      </w:r>
      <w:r w:rsidR="00B710A7" w:rsidRPr="00EA1E99">
        <w:rPr>
          <w:rStyle w:val="FootnoteReference"/>
          <w:rFonts w:cs="Times New Roman"/>
        </w:rPr>
        <w:footnoteReference w:id="26"/>
      </w:r>
      <w:r w:rsidR="00B710A7" w:rsidRPr="00EA1E99">
        <w:rPr>
          <w:rFonts w:eastAsia="Times New Roman" w:cs="Times New Roman"/>
        </w:rPr>
        <w:t xml:space="preserve">  </w:t>
      </w:r>
    </w:p>
    <w:p w14:paraId="5948265C" w14:textId="13CA960D" w:rsidR="002D0784" w:rsidRPr="00EA1E99" w:rsidRDefault="00B710A7" w:rsidP="00C716C0">
      <w:pPr>
        <w:spacing w:line="480" w:lineRule="auto"/>
        <w:ind w:firstLine="720"/>
        <w:rPr>
          <w:rFonts w:eastAsia="Times New Roman" w:cs="Times New Roman"/>
        </w:rPr>
      </w:pPr>
      <w:r w:rsidRPr="00EA1E99">
        <w:rPr>
          <w:rFonts w:eastAsia="Times New Roman" w:cs="Times New Roman"/>
        </w:rPr>
        <w:t>It will, of course, be recalled that w</w:t>
      </w:r>
      <w:r w:rsidR="008D4758" w:rsidRPr="00EA1E99">
        <w:rPr>
          <w:rFonts w:eastAsia="Times New Roman" w:cs="Times New Roman"/>
        </w:rPr>
        <w:t xml:space="preserve">ithin a few months of its establishment, the Inquiry had appointed Dame Rosalyn Higgins to </w:t>
      </w:r>
      <w:proofErr w:type="gramStart"/>
      <w:r w:rsidR="008D4758" w:rsidRPr="00EA1E99">
        <w:rPr>
          <w:rFonts w:eastAsia="Times New Roman" w:cs="Times New Roman"/>
        </w:rPr>
        <w:t>advise</w:t>
      </w:r>
      <w:proofErr w:type="gramEnd"/>
      <w:r w:rsidR="008D4758" w:rsidRPr="00EA1E99">
        <w:rPr>
          <w:rFonts w:eastAsia="Times New Roman" w:cs="Times New Roman"/>
        </w:rPr>
        <w:t xml:space="preserve"> on matters of international law</w:t>
      </w:r>
      <w:r w:rsidR="00015F59" w:rsidRPr="00EA1E99">
        <w:rPr>
          <w:rFonts w:eastAsia="Times New Roman" w:cs="Times New Roman"/>
        </w:rPr>
        <w:t>.</w:t>
      </w:r>
      <w:r w:rsidR="008D4758" w:rsidRPr="00EA1E99">
        <w:rPr>
          <w:rStyle w:val="FootnoteReference"/>
          <w:rFonts w:eastAsia="Times New Roman" w:cs="Times New Roman"/>
        </w:rPr>
        <w:footnoteReference w:id="27"/>
      </w:r>
      <w:r w:rsidR="002D0784" w:rsidRPr="00EA1E99">
        <w:rPr>
          <w:rFonts w:eastAsia="Times New Roman" w:cs="Times New Roman"/>
        </w:rPr>
        <w:t xml:space="preserve"> </w:t>
      </w:r>
      <w:r w:rsidR="00EA2ED3" w:rsidRPr="00EA1E99">
        <w:rPr>
          <w:rFonts w:eastAsia="Times New Roman" w:cs="Times New Roman"/>
        </w:rPr>
        <w:t xml:space="preserve"> </w:t>
      </w:r>
      <w:r w:rsidR="00015F59" w:rsidRPr="00EA1E99">
        <w:rPr>
          <w:rFonts w:eastAsia="Times New Roman" w:cs="Times New Roman"/>
        </w:rPr>
        <w:t>I</w:t>
      </w:r>
      <w:r w:rsidR="008D4758" w:rsidRPr="00EA1E99">
        <w:rPr>
          <w:rFonts w:eastAsia="Times New Roman" w:cs="Times New Roman"/>
        </w:rPr>
        <w:t xml:space="preserve">t </w:t>
      </w:r>
      <w:r w:rsidRPr="00EA1E99">
        <w:rPr>
          <w:rFonts w:eastAsia="Times New Roman" w:cs="Times New Roman"/>
        </w:rPr>
        <w:t xml:space="preserve">also </w:t>
      </w:r>
      <w:r w:rsidR="00015F59" w:rsidRPr="00EA1E99">
        <w:rPr>
          <w:rFonts w:eastAsia="Times New Roman" w:cs="Times New Roman"/>
        </w:rPr>
        <w:t>went on to solicit submissions from international lawyers in 2010,</w:t>
      </w:r>
      <w:r w:rsidR="00015F59" w:rsidRPr="00EA1E99">
        <w:rPr>
          <w:rStyle w:val="FootnoteReference"/>
          <w:rFonts w:eastAsia="Times New Roman" w:cs="Times New Roman"/>
        </w:rPr>
        <w:footnoteReference w:id="28"/>
      </w:r>
      <w:r w:rsidR="00015F59" w:rsidRPr="00EA1E99">
        <w:rPr>
          <w:rFonts w:eastAsia="Times New Roman" w:cs="Times New Roman"/>
        </w:rPr>
        <w:t xml:space="preserve"> all 37 of which have now been published on the Inquiry’s website</w:t>
      </w:r>
      <w:r w:rsidR="008D4758" w:rsidRPr="00EA1E99">
        <w:rPr>
          <w:rFonts w:eastAsia="Times New Roman" w:cs="Times New Roman"/>
        </w:rPr>
        <w:t>.</w:t>
      </w:r>
      <w:r w:rsidR="00015F59" w:rsidRPr="00EA1E99">
        <w:rPr>
          <w:rStyle w:val="FootnoteReference"/>
          <w:rFonts w:eastAsia="Times New Roman" w:cs="Times New Roman"/>
        </w:rPr>
        <w:footnoteReference w:id="29"/>
      </w:r>
      <w:r w:rsidR="00015F59" w:rsidRPr="00EA1E99">
        <w:rPr>
          <w:rFonts w:eastAsia="Times New Roman" w:cs="Times New Roman"/>
        </w:rPr>
        <w:t xml:space="preserve"> </w:t>
      </w:r>
      <w:r w:rsidR="00103894" w:rsidRPr="00EA1E99">
        <w:rPr>
          <w:rFonts w:eastAsia="Times New Roman" w:cs="Times New Roman"/>
        </w:rPr>
        <w:t xml:space="preserve"> I</w:t>
      </w:r>
      <w:r w:rsidR="006E11E3" w:rsidRPr="00EA1E99">
        <w:rPr>
          <w:rFonts w:eastAsia="Times New Roman" w:cs="Times New Roman"/>
        </w:rPr>
        <w:t>n</w:t>
      </w:r>
      <w:r w:rsidR="00103894" w:rsidRPr="00EA1E99">
        <w:rPr>
          <w:rFonts w:eastAsia="Times New Roman" w:cs="Times New Roman"/>
        </w:rPr>
        <w:t xml:space="preserve"> its Report, the Inquiry made it clear that Dame Rosalyn’s input contributed directly to the Inquiry’s procedures and conclusions</w:t>
      </w:r>
      <w:r w:rsidRPr="00EA1E99">
        <w:rPr>
          <w:rFonts w:eastAsia="Times New Roman" w:cs="Times New Roman"/>
        </w:rPr>
        <w:t xml:space="preserve"> throughout</w:t>
      </w:r>
      <w:r w:rsidR="00103894" w:rsidRPr="00EA1E99">
        <w:rPr>
          <w:rFonts w:eastAsia="Times New Roman" w:cs="Times New Roman"/>
        </w:rPr>
        <w:t>,</w:t>
      </w:r>
      <w:r w:rsidR="00103894" w:rsidRPr="00EA1E99">
        <w:rPr>
          <w:rStyle w:val="FootnoteReference"/>
          <w:rFonts w:eastAsia="Times New Roman" w:cs="Times New Roman"/>
        </w:rPr>
        <w:footnoteReference w:id="30"/>
      </w:r>
      <w:r w:rsidR="00103894" w:rsidRPr="00EA1E99">
        <w:rPr>
          <w:rFonts w:eastAsia="Times New Roman" w:cs="Times New Roman"/>
        </w:rPr>
        <w:t xml:space="preserve"> and that the</w:t>
      </w:r>
      <w:r w:rsidRPr="00EA1E99">
        <w:rPr>
          <w:rFonts w:eastAsia="Times New Roman" w:cs="Times New Roman"/>
        </w:rPr>
        <w:t xml:space="preserve"> solicited </w:t>
      </w:r>
      <w:r w:rsidR="00103894" w:rsidRPr="00EA1E99">
        <w:rPr>
          <w:rFonts w:eastAsia="Times New Roman" w:cs="Times New Roman"/>
        </w:rPr>
        <w:t>international law submissions ‘</w:t>
      </w:r>
      <w:r w:rsidR="00015F59" w:rsidRPr="00EA1E99">
        <w:rPr>
          <w:rFonts w:eastAsia="Times New Roman" w:cs="Times New Roman"/>
        </w:rPr>
        <w:t>inform</w:t>
      </w:r>
      <w:r w:rsidR="00103894" w:rsidRPr="00EA1E99">
        <w:rPr>
          <w:rFonts w:eastAsia="Times New Roman" w:cs="Times New Roman"/>
        </w:rPr>
        <w:t>[</w:t>
      </w:r>
      <w:proofErr w:type="spellStart"/>
      <w:r w:rsidR="00103894" w:rsidRPr="00EA1E99">
        <w:rPr>
          <w:rFonts w:eastAsia="Times New Roman" w:cs="Times New Roman"/>
        </w:rPr>
        <w:t>ed</w:t>
      </w:r>
      <w:proofErr w:type="spellEnd"/>
      <w:r w:rsidR="00103894" w:rsidRPr="00EA1E99">
        <w:rPr>
          <w:rFonts w:eastAsia="Times New Roman" w:cs="Times New Roman"/>
        </w:rPr>
        <w:t>]</w:t>
      </w:r>
      <w:r w:rsidR="00015F59" w:rsidRPr="00EA1E99">
        <w:rPr>
          <w:rFonts w:eastAsia="Times New Roman" w:cs="Times New Roman"/>
        </w:rPr>
        <w:t xml:space="preserve"> its consideration of legal issues</w:t>
      </w:r>
      <w:r w:rsidR="00103894" w:rsidRPr="00EA1E99">
        <w:rPr>
          <w:rFonts w:eastAsia="Times New Roman" w:cs="Times New Roman"/>
        </w:rPr>
        <w:t>.</w:t>
      </w:r>
      <w:r w:rsidR="00015F59" w:rsidRPr="00EA1E99">
        <w:rPr>
          <w:rFonts w:eastAsia="Times New Roman" w:cs="Times New Roman"/>
        </w:rPr>
        <w:t>’</w:t>
      </w:r>
      <w:r w:rsidR="00015F59" w:rsidRPr="00EA1E99">
        <w:rPr>
          <w:rStyle w:val="FootnoteReference"/>
          <w:rFonts w:eastAsia="Times New Roman" w:cs="Times New Roman"/>
        </w:rPr>
        <w:footnoteReference w:id="31"/>
      </w:r>
      <w:r w:rsidR="004C202A" w:rsidRPr="00EA1E99">
        <w:rPr>
          <w:rFonts w:eastAsia="Times New Roman" w:cs="Times New Roman"/>
        </w:rPr>
        <w:t xml:space="preserve">  </w:t>
      </w:r>
    </w:p>
    <w:p w14:paraId="13DEDF1E" w14:textId="5FD9299C" w:rsidR="008D4758" w:rsidRPr="00EA1E99" w:rsidRDefault="00F97292" w:rsidP="00C716C0">
      <w:pPr>
        <w:spacing w:line="480" w:lineRule="auto"/>
        <w:ind w:firstLine="720"/>
        <w:rPr>
          <w:rFonts w:eastAsia="Times New Roman" w:cs="Times New Roman"/>
        </w:rPr>
      </w:pPr>
      <w:r w:rsidRPr="00EA1E99">
        <w:rPr>
          <w:rFonts w:eastAsia="Times New Roman" w:cs="Times New Roman"/>
        </w:rPr>
        <w:lastRenderedPageBreak/>
        <w:t>A p</w:t>
      </w:r>
      <w:r w:rsidR="00020537" w:rsidRPr="00EA1E99">
        <w:rPr>
          <w:rFonts w:eastAsia="Times New Roman" w:cs="Times New Roman"/>
        </w:rPr>
        <w:t>erus</w:t>
      </w:r>
      <w:r w:rsidRPr="00EA1E99">
        <w:rPr>
          <w:rFonts w:eastAsia="Times New Roman" w:cs="Times New Roman"/>
        </w:rPr>
        <w:t>al of</w:t>
      </w:r>
      <w:r w:rsidR="004C202A" w:rsidRPr="00EA1E99">
        <w:rPr>
          <w:rFonts w:eastAsia="Times New Roman" w:cs="Times New Roman"/>
        </w:rPr>
        <w:t xml:space="preserve"> the </w:t>
      </w:r>
      <w:r w:rsidR="008F2EF7" w:rsidRPr="00EA1E99">
        <w:rPr>
          <w:rFonts w:eastAsia="Times New Roman" w:cs="Times New Roman"/>
        </w:rPr>
        <w:t xml:space="preserve">published </w:t>
      </w:r>
      <w:r w:rsidR="004C202A" w:rsidRPr="00EA1E99">
        <w:rPr>
          <w:rFonts w:eastAsia="Times New Roman" w:cs="Times New Roman"/>
        </w:rPr>
        <w:t xml:space="preserve">communications </w:t>
      </w:r>
      <w:r w:rsidR="008F2EF7" w:rsidRPr="00EA1E99">
        <w:rPr>
          <w:rFonts w:eastAsia="Times New Roman" w:cs="Times New Roman"/>
        </w:rPr>
        <w:t>to and from the</w:t>
      </w:r>
      <w:r w:rsidR="004C202A" w:rsidRPr="00EA1E99">
        <w:rPr>
          <w:rFonts w:eastAsia="Times New Roman" w:cs="Times New Roman"/>
        </w:rPr>
        <w:t xml:space="preserve"> Inquiry</w:t>
      </w:r>
      <w:r w:rsidR="00CA45AD" w:rsidRPr="00EA1E99">
        <w:rPr>
          <w:rStyle w:val="FootnoteReference"/>
          <w:rFonts w:eastAsia="Times New Roman" w:cs="Times New Roman"/>
        </w:rPr>
        <w:footnoteReference w:id="32"/>
      </w:r>
      <w:r w:rsidR="004C202A" w:rsidRPr="00EA1E99">
        <w:rPr>
          <w:rFonts w:eastAsia="Times New Roman" w:cs="Times New Roman"/>
        </w:rPr>
        <w:t xml:space="preserve"> indicate</w:t>
      </w:r>
      <w:r w:rsidR="00020537" w:rsidRPr="00EA1E99">
        <w:rPr>
          <w:rFonts w:eastAsia="Times New Roman" w:cs="Times New Roman"/>
        </w:rPr>
        <w:t>s</w:t>
      </w:r>
      <w:r w:rsidR="004C202A" w:rsidRPr="00EA1E99">
        <w:rPr>
          <w:rFonts w:eastAsia="Times New Roman" w:cs="Times New Roman"/>
        </w:rPr>
        <w:t xml:space="preserve"> that well over </w:t>
      </w:r>
      <w:r w:rsidR="008F2EF7" w:rsidRPr="00EA1E99">
        <w:rPr>
          <w:rFonts w:eastAsia="Times New Roman" w:cs="Times New Roman"/>
        </w:rPr>
        <w:t xml:space="preserve">100 of them explicitly, in some measure, refer to questions of international law (and this, of course, does not take into the hundreds of other documents </w:t>
      </w:r>
      <w:r w:rsidR="00DB7F96" w:rsidRPr="00EA1E99">
        <w:rPr>
          <w:rFonts w:eastAsia="Times New Roman" w:cs="Times New Roman"/>
        </w:rPr>
        <w:t xml:space="preserve">that have been </w:t>
      </w:r>
      <w:r w:rsidR="008F2EF7" w:rsidRPr="00EA1E99">
        <w:rPr>
          <w:rFonts w:eastAsia="Times New Roman" w:cs="Times New Roman"/>
        </w:rPr>
        <w:t xml:space="preserve">published by the Inquiry).  </w:t>
      </w:r>
      <w:r w:rsidR="002D0784" w:rsidRPr="00EA1E99">
        <w:rPr>
          <w:rFonts w:eastAsia="Times New Roman" w:cs="Times New Roman"/>
        </w:rPr>
        <w:t>This</w:t>
      </w:r>
      <w:r w:rsidR="00020537" w:rsidRPr="00EA1E99">
        <w:rPr>
          <w:rFonts w:eastAsia="Times New Roman" w:cs="Times New Roman"/>
        </w:rPr>
        <w:t xml:space="preserve"> </w:t>
      </w:r>
      <w:r w:rsidR="008F2EF7" w:rsidRPr="00EA1E99">
        <w:rPr>
          <w:rFonts w:eastAsia="Times New Roman" w:cs="Times New Roman"/>
        </w:rPr>
        <w:t xml:space="preserve">quantitative </w:t>
      </w:r>
      <w:r w:rsidRPr="00EA1E99">
        <w:rPr>
          <w:rFonts w:eastAsia="Times New Roman" w:cs="Times New Roman"/>
        </w:rPr>
        <w:t>inspection</w:t>
      </w:r>
      <w:r w:rsidR="00981CF4" w:rsidRPr="00EA1E99">
        <w:rPr>
          <w:rFonts w:eastAsia="Times New Roman" w:cs="Times New Roman"/>
        </w:rPr>
        <w:t xml:space="preserve"> </w:t>
      </w:r>
      <w:r w:rsidR="007E6F5C" w:rsidRPr="00EA1E99">
        <w:rPr>
          <w:rFonts w:eastAsia="Times New Roman" w:cs="Times New Roman"/>
        </w:rPr>
        <w:t>is merely indicative, of course: there is</w:t>
      </w:r>
      <w:r w:rsidR="00981CF4" w:rsidRPr="00EA1E99">
        <w:rPr>
          <w:rFonts w:eastAsia="Times New Roman" w:cs="Times New Roman"/>
        </w:rPr>
        <w:t xml:space="preserve"> </w:t>
      </w:r>
      <w:r w:rsidR="007E6F5C" w:rsidRPr="00EA1E99">
        <w:rPr>
          <w:rFonts w:eastAsia="Times New Roman" w:cs="Times New Roman"/>
        </w:rPr>
        <w:t>a further</w:t>
      </w:r>
      <w:r w:rsidR="00981CF4" w:rsidRPr="00EA1E99">
        <w:rPr>
          <w:rFonts w:eastAsia="Times New Roman" w:cs="Times New Roman"/>
        </w:rPr>
        <w:t xml:space="preserve"> need</w:t>
      </w:r>
      <w:r w:rsidR="00020537" w:rsidRPr="00EA1E99">
        <w:rPr>
          <w:rFonts w:eastAsia="Times New Roman" w:cs="Times New Roman"/>
        </w:rPr>
        <w:t xml:space="preserve"> </w:t>
      </w:r>
      <w:r w:rsidR="007E6F5C" w:rsidRPr="00EA1E99">
        <w:rPr>
          <w:rFonts w:eastAsia="Times New Roman" w:cs="Times New Roman"/>
        </w:rPr>
        <w:t>to</w:t>
      </w:r>
      <w:r w:rsidR="00981CF4" w:rsidRPr="00EA1E99">
        <w:rPr>
          <w:rFonts w:eastAsia="Times New Roman" w:cs="Times New Roman"/>
        </w:rPr>
        <w:t xml:space="preserve"> </w:t>
      </w:r>
      <w:r w:rsidR="00DB7F96" w:rsidRPr="00EA1E99">
        <w:rPr>
          <w:rFonts w:eastAsia="Times New Roman" w:cs="Times New Roman"/>
        </w:rPr>
        <w:t>consider</w:t>
      </w:r>
      <w:r w:rsidR="00981CF4" w:rsidRPr="00EA1E99">
        <w:rPr>
          <w:rFonts w:eastAsia="Times New Roman" w:cs="Times New Roman"/>
        </w:rPr>
        <w:t xml:space="preserve"> </w:t>
      </w:r>
      <w:r w:rsidR="00020537" w:rsidRPr="00EA1E99">
        <w:rPr>
          <w:rFonts w:eastAsia="Times New Roman" w:cs="Times New Roman"/>
        </w:rPr>
        <w:t xml:space="preserve">the Inquiry’s engagement </w:t>
      </w:r>
      <w:r w:rsidR="00981CF4" w:rsidRPr="00EA1E99">
        <w:rPr>
          <w:rFonts w:eastAsia="Times New Roman" w:cs="Times New Roman"/>
        </w:rPr>
        <w:t xml:space="preserve">with international law </w:t>
      </w:r>
      <w:r w:rsidR="00020537" w:rsidRPr="00EA1E99">
        <w:rPr>
          <w:rFonts w:eastAsia="Times New Roman" w:cs="Times New Roman"/>
        </w:rPr>
        <w:t xml:space="preserve">in </w:t>
      </w:r>
      <w:r w:rsidR="001A05B6" w:rsidRPr="00EA1E99">
        <w:rPr>
          <w:rFonts w:eastAsia="Times New Roman" w:cs="Times New Roman"/>
        </w:rPr>
        <w:t xml:space="preserve">more </w:t>
      </w:r>
      <w:r w:rsidR="00020537" w:rsidRPr="00EA1E99">
        <w:rPr>
          <w:rFonts w:eastAsia="Times New Roman" w:cs="Times New Roman"/>
        </w:rPr>
        <w:t>qualitative</w:t>
      </w:r>
      <w:r w:rsidR="001A05B6" w:rsidRPr="00EA1E99">
        <w:rPr>
          <w:rFonts w:eastAsia="Times New Roman" w:cs="Times New Roman"/>
        </w:rPr>
        <w:t xml:space="preserve"> terms.</w:t>
      </w:r>
    </w:p>
    <w:p w14:paraId="682233CC" w14:textId="77777777" w:rsidR="00B22092" w:rsidRPr="00EA1E99" w:rsidRDefault="00B22092" w:rsidP="00B22092">
      <w:pPr>
        <w:spacing w:line="480" w:lineRule="auto"/>
        <w:rPr>
          <w:rFonts w:eastAsia="Times New Roman" w:cs="Times New Roman"/>
        </w:rPr>
      </w:pPr>
    </w:p>
    <w:p w14:paraId="032A1844" w14:textId="14438C2C" w:rsidR="00B22092" w:rsidRPr="00EA1E99" w:rsidRDefault="004A7955" w:rsidP="00B22092">
      <w:pPr>
        <w:spacing w:line="480" w:lineRule="auto"/>
        <w:rPr>
          <w:rFonts w:eastAsia="Times New Roman" w:cs="Times New Roman"/>
          <w:b/>
          <w:i/>
        </w:rPr>
      </w:pPr>
      <w:r w:rsidRPr="00EA1E99">
        <w:rPr>
          <w:rFonts w:eastAsia="Times New Roman" w:cs="Times New Roman"/>
          <w:b/>
          <w:i/>
        </w:rPr>
        <w:t xml:space="preserve">B. </w:t>
      </w:r>
      <w:r w:rsidR="006E11E3" w:rsidRPr="00EA1E99">
        <w:rPr>
          <w:rFonts w:eastAsia="Times New Roman" w:cs="Times New Roman"/>
          <w:b/>
          <w:i/>
        </w:rPr>
        <w:t>Legal Inferences</w:t>
      </w:r>
      <w:r w:rsidR="00B22092" w:rsidRPr="00EA1E99">
        <w:rPr>
          <w:rFonts w:eastAsia="Times New Roman" w:cs="Times New Roman"/>
          <w:b/>
          <w:i/>
        </w:rPr>
        <w:t xml:space="preserve"> </w:t>
      </w:r>
      <w:r w:rsidR="005654CC" w:rsidRPr="00EA1E99">
        <w:rPr>
          <w:rFonts w:eastAsia="Times New Roman" w:cs="Times New Roman"/>
          <w:b/>
          <w:i/>
        </w:rPr>
        <w:t>from</w:t>
      </w:r>
      <w:r w:rsidR="00B22092" w:rsidRPr="00EA1E99">
        <w:rPr>
          <w:rFonts w:eastAsia="Times New Roman" w:cs="Times New Roman"/>
          <w:b/>
          <w:i/>
        </w:rPr>
        <w:t xml:space="preserve"> the </w:t>
      </w:r>
      <w:proofErr w:type="spellStart"/>
      <w:r w:rsidR="00B22092" w:rsidRPr="00EA1E99">
        <w:rPr>
          <w:rFonts w:eastAsia="Times New Roman" w:cs="Times New Roman"/>
          <w:b/>
          <w:i/>
        </w:rPr>
        <w:t>Chilcot</w:t>
      </w:r>
      <w:proofErr w:type="spellEnd"/>
      <w:r w:rsidR="005654CC" w:rsidRPr="00EA1E99">
        <w:rPr>
          <w:rFonts w:eastAsia="Times New Roman" w:cs="Times New Roman"/>
          <w:b/>
          <w:i/>
        </w:rPr>
        <w:t xml:space="preserve"> Report</w:t>
      </w:r>
    </w:p>
    <w:p w14:paraId="6012B269" w14:textId="68DD8C44" w:rsidR="00F97292" w:rsidRPr="00EA1E99" w:rsidRDefault="001A05B6" w:rsidP="00F97292">
      <w:pPr>
        <w:spacing w:line="480" w:lineRule="auto"/>
        <w:rPr>
          <w:rFonts w:eastAsia="Times New Roman" w:cs="Times New Roman"/>
        </w:rPr>
      </w:pPr>
      <w:r w:rsidRPr="00EA1E99">
        <w:rPr>
          <w:rFonts w:eastAsia="Times New Roman" w:cs="Times New Roman"/>
        </w:rPr>
        <w:t>Post-publication</w:t>
      </w:r>
      <w:r w:rsidR="00B22092" w:rsidRPr="00EA1E99">
        <w:rPr>
          <w:rFonts w:eastAsia="Times New Roman" w:cs="Times New Roman"/>
        </w:rPr>
        <w:t>, i</w:t>
      </w:r>
      <w:r w:rsidR="00AD3C2E" w:rsidRPr="00EA1E99">
        <w:rPr>
          <w:rFonts w:eastAsia="Times New Roman" w:cs="Times New Roman"/>
        </w:rPr>
        <w:t xml:space="preserve">t has been </w:t>
      </w:r>
      <w:r w:rsidR="0011671D" w:rsidRPr="00EA1E99">
        <w:rPr>
          <w:rFonts w:eastAsia="Times New Roman" w:cs="Times New Roman"/>
        </w:rPr>
        <w:t>tentatively suggested</w:t>
      </w:r>
      <w:r w:rsidR="00E72DCC">
        <w:rPr>
          <w:rFonts w:eastAsia="Times New Roman" w:cs="Times New Roman"/>
        </w:rPr>
        <w:t xml:space="preserve"> that,</w:t>
      </w:r>
      <w:r w:rsidR="00AD3C2E" w:rsidRPr="00EA1E99">
        <w:rPr>
          <w:rFonts w:eastAsia="Times New Roman" w:cs="Times New Roman"/>
        </w:rPr>
        <w:t xml:space="preserve"> while the </w:t>
      </w:r>
      <w:proofErr w:type="spellStart"/>
      <w:r w:rsidR="00AD3C2E" w:rsidRPr="00EA1E99">
        <w:rPr>
          <w:rFonts w:eastAsia="Times New Roman" w:cs="Times New Roman"/>
        </w:rPr>
        <w:t>Chilcot</w:t>
      </w:r>
      <w:proofErr w:type="spellEnd"/>
      <w:r w:rsidR="00AD3C2E" w:rsidRPr="00EA1E99">
        <w:rPr>
          <w:rFonts w:eastAsia="Times New Roman" w:cs="Times New Roman"/>
        </w:rPr>
        <w:t xml:space="preserve"> Inquiry did not expl</w:t>
      </w:r>
      <w:r w:rsidR="00E72DCC">
        <w:rPr>
          <w:rFonts w:eastAsia="Times New Roman" w:cs="Times New Roman"/>
        </w:rPr>
        <w:t xml:space="preserve">icitly reach legal conclusions, </w:t>
      </w:r>
      <w:r w:rsidR="00AD3C2E" w:rsidRPr="00EA1E99">
        <w:rPr>
          <w:rFonts w:eastAsia="Times New Roman" w:cs="Times New Roman"/>
        </w:rPr>
        <w:t xml:space="preserve">such conclusions </w:t>
      </w:r>
      <w:r w:rsidR="006E11E3" w:rsidRPr="00EA1E99">
        <w:rPr>
          <w:rFonts w:eastAsia="Times New Roman" w:cs="Times New Roman"/>
        </w:rPr>
        <w:t xml:space="preserve">could </w:t>
      </w:r>
      <w:r w:rsidR="00AD3C2E" w:rsidRPr="00EA1E99">
        <w:rPr>
          <w:rFonts w:eastAsia="Times New Roman" w:cs="Times New Roman"/>
        </w:rPr>
        <w:t xml:space="preserve">be </w:t>
      </w:r>
      <w:r w:rsidR="00AD3C2E" w:rsidRPr="00EA1E99">
        <w:rPr>
          <w:rFonts w:eastAsia="Times New Roman" w:cs="Times New Roman"/>
          <w:i/>
        </w:rPr>
        <w:t>inferred</w:t>
      </w:r>
      <w:r w:rsidR="00AD3C2E" w:rsidRPr="00EA1E99">
        <w:rPr>
          <w:rFonts w:eastAsia="Times New Roman" w:cs="Times New Roman"/>
        </w:rPr>
        <w:t xml:space="preserve"> from its Report</w:t>
      </w:r>
      <w:r w:rsidR="0011671D" w:rsidRPr="00EA1E99">
        <w:rPr>
          <w:rFonts w:eastAsia="Times New Roman" w:cs="Times New Roman"/>
        </w:rPr>
        <w:t>,</w:t>
      </w:r>
      <w:r w:rsidR="005654CC" w:rsidRPr="00EA1E99">
        <w:rPr>
          <w:rStyle w:val="FootnoteReference"/>
          <w:rFonts w:eastAsia="Times New Roman" w:cs="Times New Roman"/>
        </w:rPr>
        <w:footnoteReference w:id="33"/>
      </w:r>
      <w:r w:rsidR="0011671D" w:rsidRPr="00EA1E99">
        <w:rPr>
          <w:rFonts w:eastAsia="Times New Roman" w:cs="Times New Roman"/>
        </w:rPr>
        <w:t xml:space="preserve"> or</w:t>
      </w:r>
      <w:r w:rsidR="005654CC" w:rsidRPr="00EA1E99">
        <w:rPr>
          <w:rFonts w:eastAsia="Times New Roman" w:cs="Times New Roman"/>
        </w:rPr>
        <w:t>,</w:t>
      </w:r>
      <w:r w:rsidR="0011671D" w:rsidRPr="00EA1E99">
        <w:rPr>
          <w:rFonts w:eastAsia="Times New Roman" w:cs="Times New Roman"/>
        </w:rPr>
        <w:t xml:space="preserve"> at least</w:t>
      </w:r>
      <w:r w:rsidR="005654CC" w:rsidRPr="00EA1E99">
        <w:rPr>
          <w:rFonts w:eastAsia="Times New Roman" w:cs="Times New Roman"/>
        </w:rPr>
        <w:t>,</w:t>
      </w:r>
      <w:r w:rsidR="0011671D" w:rsidRPr="00EA1E99">
        <w:rPr>
          <w:rFonts w:eastAsia="Times New Roman" w:cs="Times New Roman"/>
        </w:rPr>
        <w:t xml:space="preserve"> that </w:t>
      </w:r>
      <w:r w:rsidRPr="00EA1E99">
        <w:rPr>
          <w:rFonts w:eastAsia="Times New Roman" w:cs="Times New Roman"/>
        </w:rPr>
        <w:t>the Report</w:t>
      </w:r>
      <w:r w:rsidR="0011671D" w:rsidRPr="00EA1E99">
        <w:rPr>
          <w:rFonts w:eastAsia="Times New Roman" w:cs="Times New Roman"/>
        </w:rPr>
        <w:t xml:space="preserve"> came ‘as close is it [could] to saying that the war was unlawful’</w:t>
      </w:r>
      <w:r w:rsidR="00AD3C2E" w:rsidRPr="00EA1E99">
        <w:rPr>
          <w:rFonts w:eastAsia="Times New Roman" w:cs="Times New Roman"/>
        </w:rPr>
        <w:t>.</w:t>
      </w:r>
      <w:r w:rsidR="005654CC" w:rsidRPr="00EA1E99">
        <w:rPr>
          <w:rStyle w:val="FootnoteReference"/>
          <w:rFonts w:eastAsia="Times New Roman" w:cs="Times New Roman"/>
        </w:rPr>
        <w:footnoteReference w:id="34"/>
      </w:r>
      <w:r w:rsidR="0011671D" w:rsidRPr="00EA1E99">
        <w:rPr>
          <w:rFonts w:eastAsia="Times New Roman" w:cs="Times New Roman"/>
        </w:rPr>
        <w:t xml:space="preserve">  </w:t>
      </w:r>
      <w:r w:rsidR="005654CC" w:rsidRPr="00EA1E99">
        <w:rPr>
          <w:rFonts w:eastAsia="Times New Roman" w:cs="Times New Roman"/>
        </w:rPr>
        <w:t xml:space="preserve">One </w:t>
      </w:r>
      <w:r w:rsidRPr="00EA1E99">
        <w:rPr>
          <w:rFonts w:eastAsia="Times New Roman" w:cs="Times New Roman"/>
        </w:rPr>
        <w:t xml:space="preserve">could </w:t>
      </w:r>
      <w:r w:rsidR="005654CC" w:rsidRPr="00EA1E99">
        <w:rPr>
          <w:rFonts w:eastAsia="Times New Roman" w:cs="Times New Roman"/>
        </w:rPr>
        <w:t xml:space="preserve">certainly </w:t>
      </w:r>
      <w:r w:rsidRPr="00EA1E99">
        <w:rPr>
          <w:rFonts w:eastAsia="Times New Roman" w:cs="Times New Roman"/>
        </w:rPr>
        <w:t xml:space="preserve">seize the opportunity to </w:t>
      </w:r>
      <w:r w:rsidR="0011671D" w:rsidRPr="00EA1E99">
        <w:rPr>
          <w:rFonts w:eastAsia="Times New Roman" w:cs="Times New Roman"/>
        </w:rPr>
        <w:t xml:space="preserve">extrapolate legal </w:t>
      </w:r>
      <w:r w:rsidR="006E11E3" w:rsidRPr="00EA1E99">
        <w:rPr>
          <w:rFonts w:eastAsia="Times New Roman" w:cs="Times New Roman"/>
        </w:rPr>
        <w:t xml:space="preserve">opinions </w:t>
      </w:r>
      <w:r w:rsidR="0011671D" w:rsidRPr="00EA1E99">
        <w:rPr>
          <w:rFonts w:eastAsia="Times New Roman" w:cs="Times New Roman"/>
        </w:rPr>
        <w:t xml:space="preserve">from the </w:t>
      </w:r>
      <w:r w:rsidR="000D1AC6" w:rsidRPr="00EA1E99">
        <w:rPr>
          <w:rFonts w:eastAsia="Times New Roman" w:cs="Times New Roman"/>
        </w:rPr>
        <w:t>R</w:t>
      </w:r>
      <w:r w:rsidR="0011671D" w:rsidRPr="00EA1E99">
        <w:rPr>
          <w:rFonts w:eastAsia="Times New Roman" w:cs="Times New Roman"/>
        </w:rPr>
        <w:t>eport</w:t>
      </w:r>
      <w:r w:rsidR="007E6F5C" w:rsidRPr="00EA1E99">
        <w:rPr>
          <w:rFonts w:eastAsia="Times New Roman" w:cs="Times New Roman"/>
        </w:rPr>
        <w:t>:</w:t>
      </w:r>
      <w:r w:rsidR="005654CC" w:rsidRPr="00EA1E99">
        <w:rPr>
          <w:rFonts w:eastAsia="Times New Roman" w:cs="Times New Roman"/>
        </w:rPr>
        <w:t xml:space="preserve"> </w:t>
      </w:r>
      <w:r w:rsidR="00DB7F96" w:rsidRPr="00EA1E99">
        <w:rPr>
          <w:rFonts w:eastAsia="Times New Roman" w:cs="Times New Roman"/>
        </w:rPr>
        <w:t>its</w:t>
      </w:r>
      <w:r w:rsidR="005654CC" w:rsidRPr="00EA1E99">
        <w:rPr>
          <w:rFonts w:eastAsia="Times New Roman" w:cs="Times New Roman"/>
        </w:rPr>
        <w:t xml:space="preserve"> 2.6 million words offer fertile ground for this</w:t>
      </w:r>
      <w:r w:rsidR="0011671D" w:rsidRPr="00EA1E99">
        <w:rPr>
          <w:rFonts w:eastAsia="Times New Roman" w:cs="Times New Roman"/>
        </w:rPr>
        <w:t>.</w:t>
      </w:r>
    </w:p>
    <w:p w14:paraId="4A92AEEE" w14:textId="7A774CFE" w:rsidR="004A6AD5" w:rsidRPr="00EA1E99" w:rsidRDefault="0039010D" w:rsidP="00F97292">
      <w:pPr>
        <w:spacing w:line="480" w:lineRule="auto"/>
        <w:ind w:firstLine="720"/>
        <w:rPr>
          <w:rFonts w:eastAsia="Times New Roman" w:cs="Times New Roman"/>
        </w:rPr>
      </w:pPr>
      <w:r w:rsidRPr="00EA1E99">
        <w:rPr>
          <w:rFonts w:eastAsia="Times New Roman" w:cs="Times New Roman"/>
        </w:rPr>
        <w:t>For example, t</w:t>
      </w:r>
      <w:r w:rsidR="00917EF7" w:rsidRPr="00EA1E99">
        <w:rPr>
          <w:rFonts w:eastAsia="Times New Roman" w:cs="Times New Roman"/>
        </w:rPr>
        <w:t xml:space="preserve">he Inquiry’s conclusion that Tony </w:t>
      </w:r>
      <w:r w:rsidR="00917EF7" w:rsidRPr="00EA1E99">
        <w:rPr>
          <w:rFonts w:cs="Times New Roman"/>
          <w:color w:val="000000"/>
        </w:rPr>
        <w:t>Blair’s public statements in January 2003 ‘were at odds with the draft advice he had received and discussed with Lord Goldsmith’</w:t>
      </w:r>
      <w:r w:rsidRPr="00EA1E99">
        <w:rPr>
          <w:rStyle w:val="FootnoteReference"/>
          <w:rFonts w:cs="Times New Roman"/>
          <w:color w:val="000000"/>
        </w:rPr>
        <w:footnoteReference w:id="35"/>
      </w:r>
      <w:r w:rsidR="00917EF7" w:rsidRPr="00EA1E99">
        <w:rPr>
          <w:rFonts w:cs="Times New Roman"/>
          <w:color w:val="000000"/>
        </w:rPr>
        <w:t xml:space="preserve"> is </w:t>
      </w:r>
      <w:r w:rsidRPr="00EA1E99">
        <w:rPr>
          <w:rFonts w:cs="Times New Roman"/>
          <w:color w:val="000000"/>
        </w:rPr>
        <w:t>suggestively</w:t>
      </w:r>
      <w:r w:rsidR="00917EF7" w:rsidRPr="00EA1E99">
        <w:rPr>
          <w:rFonts w:cs="Times New Roman"/>
          <w:color w:val="000000"/>
        </w:rPr>
        <w:t xml:space="preserve"> left hanging</w:t>
      </w:r>
      <w:r w:rsidRPr="00EA1E99">
        <w:rPr>
          <w:rFonts w:cs="Times New Roman"/>
          <w:color w:val="000000"/>
        </w:rPr>
        <w:t>,</w:t>
      </w:r>
      <w:r w:rsidR="00917EF7" w:rsidRPr="00EA1E99">
        <w:rPr>
          <w:rFonts w:cs="Times New Roman"/>
          <w:color w:val="000000"/>
        </w:rPr>
        <w:t xml:space="preserve"> as are</w:t>
      </w:r>
      <w:r w:rsidRPr="00EA1E99">
        <w:rPr>
          <w:rFonts w:cs="Times New Roman"/>
          <w:color w:val="000000"/>
        </w:rPr>
        <w:t xml:space="preserve"> various statements made in 2002 by Kofi Annan – </w:t>
      </w:r>
      <w:r w:rsidR="00DB7F96" w:rsidRPr="00EA1E99">
        <w:rPr>
          <w:rFonts w:cs="Times New Roman"/>
          <w:color w:val="000000"/>
        </w:rPr>
        <w:t>the</w:t>
      </w:r>
      <w:r w:rsidRPr="00EA1E99">
        <w:rPr>
          <w:rFonts w:cs="Times New Roman"/>
          <w:color w:val="000000"/>
        </w:rPr>
        <w:t xml:space="preserve"> UN Secretary</w:t>
      </w:r>
      <w:r w:rsidR="00A527AC" w:rsidRPr="00EA1E99">
        <w:rPr>
          <w:rFonts w:cs="Times New Roman"/>
          <w:color w:val="000000"/>
        </w:rPr>
        <w:t>-</w:t>
      </w:r>
      <w:r w:rsidRPr="00EA1E99">
        <w:rPr>
          <w:rFonts w:cs="Times New Roman"/>
          <w:color w:val="000000"/>
        </w:rPr>
        <w:t>General</w:t>
      </w:r>
      <w:r w:rsidR="00DB7F96" w:rsidRPr="00EA1E99">
        <w:rPr>
          <w:rFonts w:cs="Times New Roman"/>
          <w:color w:val="000000"/>
        </w:rPr>
        <w:t xml:space="preserve"> at the time</w:t>
      </w:r>
      <w:r w:rsidRPr="00EA1E99">
        <w:rPr>
          <w:rFonts w:cs="Times New Roman"/>
          <w:color w:val="000000"/>
        </w:rPr>
        <w:t xml:space="preserve"> – as to the legal need for unequivocal Security Council authorisation for any inter-state use of force.</w:t>
      </w:r>
      <w:r w:rsidR="008501D3" w:rsidRPr="00EA1E99">
        <w:rPr>
          <w:rStyle w:val="FootnoteReference"/>
          <w:rFonts w:cs="Times New Roman"/>
          <w:color w:val="000000"/>
        </w:rPr>
        <w:footnoteReference w:id="36"/>
      </w:r>
      <w:r w:rsidR="008501D3" w:rsidRPr="00EA1E99">
        <w:rPr>
          <w:rFonts w:cs="Times New Roman"/>
          <w:color w:val="000000"/>
        </w:rPr>
        <w:t xml:space="preserve">  </w:t>
      </w:r>
    </w:p>
    <w:p w14:paraId="4A0A92A0" w14:textId="5018B924" w:rsidR="00B77C08" w:rsidRPr="00EA1E99" w:rsidRDefault="008501D3" w:rsidP="008A4427">
      <w:pPr>
        <w:spacing w:line="480" w:lineRule="auto"/>
        <w:ind w:firstLine="720"/>
        <w:rPr>
          <w:rFonts w:cs="Times New Roman"/>
          <w:color w:val="000000"/>
        </w:rPr>
      </w:pPr>
      <w:r w:rsidRPr="00EA1E99">
        <w:rPr>
          <w:rFonts w:cs="Times New Roman"/>
          <w:color w:val="000000"/>
        </w:rPr>
        <w:t>Elsewhere, t</w:t>
      </w:r>
      <w:r w:rsidR="0039010D" w:rsidRPr="00EA1E99">
        <w:rPr>
          <w:rFonts w:cs="Times New Roman"/>
          <w:color w:val="000000"/>
        </w:rPr>
        <w:t xml:space="preserve">he Report </w:t>
      </w:r>
      <w:r w:rsidR="00EA2ED3" w:rsidRPr="00EA1E99">
        <w:rPr>
          <w:rFonts w:cs="Times New Roman"/>
          <w:color w:val="000000"/>
        </w:rPr>
        <w:t xml:space="preserve">strongly </w:t>
      </w:r>
      <w:r w:rsidRPr="00EA1E99">
        <w:rPr>
          <w:rFonts w:cs="Times New Roman"/>
          <w:color w:val="000000"/>
        </w:rPr>
        <w:t>gives the impression</w:t>
      </w:r>
      <w:r w:rsidR="0039010D" w:rsidRPr="00EA1E99">
        <w:rPr>
          <w:rFonts w:cs="Times New Roman"/>
          <w:color w:val="000000"/>
        </w:rPr>
        <w:t xml:space="preserve"> that the Inquiry </w:t>
      </w:r>
      <w:r w:rsidR="00B01447" w:rsidRPr="00EA1E99">
        <w:rPr>
          <w:rFonts w:cs="Times New Roman"/>
          <w:color w:val="000000"/>
        </w:rPr>
        <w:t>shared</w:t>
      </w:r>
      <w:r w:rsidR="0039010D" w:rsidRPr="00EA1E99">
        <w:rPr>
          <w:rFonts w:cs="Times New Roman"/>
          <w:color w:val="000000"/>
        </w:rPr>
        <w:t xml:space="preserve"> the </w:t>
      </w:r>
      <w:r w:rsidR="00B01447" w:rsidRPr="00EA1E99">
        <w:rPr>
          <w:rFonts w:cs="Times New Roman"/>
          <w:color w:val="000000"/>
        </w:rPr>
        <w:t xml:space="preserve">consensus </w:t>
      </w:r>
      <w:r w:rsidR="002A7724" w:rsidRPr="00EA1E99">
        <w:rPr>
          <w:rFonts w:cs="Times New Roman"/>
          <w:color w:val="000000"/>
        </w:rPr>
        <w:t xml:space="preserve">position </w:t>
      </w:r>
      <w:r w:rsidR="0039010D" w:rsidRPr="00EA1E99">
        <w:rPr>
          <w:rFonts w:cs="Times New Roman"/>
          <w:color w:val="000000"/>
        </w:rPr>
        <w:t xml:space="preserve">that </w:t>
      </w:r>
      <w:r w:rsidR="00B01447" w:rsidRPr="00EA1E99">
        <w:rPr>
          <w:rFonts w:cs="Times New Roman"/>
          <w:color w:val="000000"/>
        </w:rPr>
        <w:t xml:space="preserve">the right of self-defence </w:t>
      </w:r>
      <w:r w:rsidR="000D1AC6" w:rsidRPr="00EA1E99">
        <w:rPr>
          <w:rFonts w:cs="Times New Roman"/>
          <w:color w:val="000000"/>
        </w:rPr>
        <w:t>could</w:t>
      </w:r>
      <w:r w:rsidR="00B01447" w:rsidRPr="00EA1E99">
        <w:rPr>
          <w:rFonts w:cs="Times New Roman"/>
          <w:color w:val="000000"/>
        </w:rPr>
        <w:t xml:space="preserve"> </w:t>
      </w:r>
      <w:r w:rsidR="00B109C4" w:rsidRPr="00EA1E99">
        <w:rPr>
          <w:rFonts w:cs="Times New Roman"/>
          <w:color w:val="000000"/>
        </w:rPr>
        <w:t xml:space="preserve">not </w:t>
      </w:r>
      <w:r w:rsidR="000D1AC6" w:rsidRPr="00EA1E99">
        <w:rPr>
          <w:rFonts w:cs="Times New Roman"/>
          <w:color w:val="000000"/>
        </w:rPr>
        <w:t xml:space="preserve">have </w:t>
      </w:r>
      <w:r w:rsidR="00B01447" w:rsidRPr="00EA1E99">
        <w:rPr>
          <w:rFonts w:cs="Times New Roman"/>
          <w:color w:val="000000"/>
        </w:rPr>
        <w:t>provide</w:t>
      </w:r>
      <w:r w:rsidR="000D1AC6" w:rsidRPr="00EA1E99">
        <w:rPr>
          <w:rFonts w:cs="Times New Roman"/>
          <w:color w:val="000000"/>
        </w:rPr>
        <w:t>d</w:t>
      </w:r>
      <w:r w:rsidR="00B01447" w:rsidRPr="00EA1E99">
        <w:rPr>
          <w:rFonts w:cs="Times New Roman"/>
          <w:color w:val="000000"/>
        </w:rPr>
        <w:t xml:space="preserve"> </w:t>
      </w:r>
      <w:r w:rsidR="000D1AC6" w:rsidRPr="00EA1E99">
        <w:rPr>
          <w:rFonts w:cs="Times New Roman"/>
          <w:color w:val="000000"/>
        </w:rPr>
        <w:t xml:space="preserve">a legal </w:t>
      </w:r>
      <w:r w:rsidR="00B01447" w:rsidRPr="00EA1E99">
        <w:rPr>
          <w:rFonts w:cs="Times New Roman"/>
          <w:color w:val="000000"/>
        </w:rPr>
        <w:t xml:space="preserve">justification for </w:t>
      </w:r>
      <w:r w:rsidR="00B109C4" w:rsidRPr="00EA1E99">
        <w:rPr>
          <w:rFonts w:cs="Times New Roman"/>
          <w:color w:val="000000"/>
        </w:rPr>
        <w:t xml:space="preserve">the </w:t>
      </w:r>
      <w:r w:rsidR="00B01447" w:rsidRPr="00EA1E99">
        <w:rPr>
          <w:rFonts w:cs="Times New Roman"/>
          <w:color w:val="000000"/>
        </w:rPr>
        <w:t>use of force</w:t>
      </w:r>
      <w:r w:rsidRPr="00EA1E99">
        <w:rPr>
          <w:rFonts w:cs="Times New Roman"/>
          <w:color w:val="000000"/>
        </w:rPr>
        <w:t>.</w:t>
      </w:r>
      <w:r w:rsidRPr="00EA1E99">
        <w:rPr>
          <w:rStyle w:val="FootnoteReference"/>
          <w:rFonts w:cs="Times New Roman"/>
          <w:color w:val="000000"/>
        </w:rPr>
        <w:footnoteReference w:id="37"/>
      </w:r>
      <w:r w:rsidRPr="00EA1E99">
        <w:rPr>
          <w:rFonts w:cs="Times New Roman"/>
          <w:color w:val="000000"/>
        </w:rPr>
        <w:t xml:space="preserve">  T</w:t>
      </w:r>
      <w:r w:rsidR="0039010D" w:rsidRPr="00EA1E99">
        <w:rPr>
          <w:rFonts w:cs="Times New Roman"/>
          <w:color w:val="000000"/>
        </w:rPr>
        <w:t xml:space="preserve">his </w:t>
      </w:r>
      <w:r w:rsidR="00105260" w:rsidRPr="00EA1E99">
        <w:rPr>
          <w:rFonts w:cs="Times New Roman"/>
          <w:color w:val="000000"/>
        </w:rPr>
        <w:t xml:space="preserve">view </w:t>
      </w:r>
      <w:r w:rsidRPr="00EA1E99">
        <w:rPr>
          <w:rFonts w:cs="Times New Roman"/>
          <w:color w:val="000000"/>
        </w:rPr>
        <w:t xml:space="preserve">– had it been </w:t>
      </w:r>
      <w:r w:rsidR="000D1AC6" w:rsidRPr="00EA1E99">
        <w:rPr>
          <w:rFonts w:cs="Times New Roman"/>
          <w:color w:val="000000"/>
        </w:rPr>
        <w:t xml:space="preserve">made as </w:t>
      </w:r>
      <w:r w:rsidR="00105260" w:rsidRPr="00EA1E99">
        <w:rPr>
          <w:rFonts w:cs="Times New Roman"/>
          <w:color w:val="000000"/>
        </w:rPr>
        <w:t xml:space="preserve">a statement of law </w:t>
      </w:r>
      <w:r w:rsidRPr="00EA1E99">
        <w:rPr>
          <w:rFonts w:cs="Times New Roman"/>
          <w:color w:val="000000"/>
        </w:rPr>
        <w:t xml:space="preserve">– </w:t>
      </w:r>
      <w:r w:rsidR="0039010D" w:rsidRPr="00EA1E99">
        <w:rPr>
          <w:rFonts w:cs="Times New Roman"/>
          <w:color w:val="000000"/>
        </w:rPr>
        <w:t xml:space="preserve">would hardly </w:t>
      </w:r>
      <w:r w:rsidR="006B0400" w:rsidRPr="00EA1E99">
        <w:rPr>
          <w:rFonts w:cs="Times New Roman"/>
          <w:color w:val="000000"/>
        </w:rPr>
        <w:t xml:space="preserve">have </w:t>
      </w:r>
      <w:r w:rsidR="006B0400" w:rsidRPr="00EA1E99">
        <w:rPr>
          <w:rFonts w:cs="Times New Roman"/>
          <w:color w:val="000000"/>
        </w:rPr>
        <w:lastRenderedPageBreak/>
        <w:t>been</w:t>
      </w:r>
      <w:r w:rsidR="0039010D" w:rsidRPr="00EA1E99">
        <w:rPr>
          <w:rFonts w:cs="Times New Roman"/>
          <w:color w:val="000000"/>
        </w:rPr>
        <w:t xml:space="preserve"> controversial</w:t>
      </w:r>
      <w:r w:rsidRPr="00EA1E99">
        <w:rPr>
          <w:rFonts w:cs="Times New Roman"/>
          <w:color w:val="000000"/>
        </w:rPr>
        <w:t xml:space="preserve">.  After all, </w:t>
      </w:r>
      <w:r w:rsidR="006B0400" w:rsidRPr="00EA1E99">
        <w:rPr>
          <w:rFonts w:cs="Times New Roman"/>
          <w:color w:val="000000"/>
        </w:rPr>
        <w:t>even the most advent advocates</w:t>
      </w:r>
      <w:r w:rsidR="000D1AC6" w:rsidRPr="00EA1E99">
        <w:rPr>
          <w:rFonts w:cs="Times New Roman"/>
          <w:color w:val="000000"/>
        </w:rPr>
        <w:t xml:space="preserve"> of intervention</w:t>
      </w:r>
      <w:r w:rsidR="006B0400" w:rsidRPr="00EA1E99">
        <w:rPr>
          <w:rFonts w:cs="Times New Roman"/>
          <w:color w:val="000000"/>
        </w:rPr>
        <w:t xml:space="preserve"> </w:t>
      </w:r>
      <w:r w:rsidR="00B109C4" w:rsidRPr="00EA1E99">
        <w:rPr>
          <w:rFonts w:cs="Times New Roman"/>
          <w:color w:val="000000"/>
        </w:rPr>
        <w:t>within</w:t>
      </w:r>
      <w:r w:rsidR="009164D2" w:rsidRPr="00EA1E99">
        <w:rPr>
          <w:rFonts w:cs="Times New Roman"/>
          <w:color w:val="000000"/>
        </w:rPr>
        <w:t xml:space="preserve"> the UK and US governments at the time ultimately decided</w:t>
      </w:r>
      <w:r w:rsidRPr="00EA1E99">
        <w:rPr>
          <w:rFonts w:cs="Times New Roman"/>
          <w:color w:val="000000"/>
        </w:rPr>
        <w:t xml:space="preserve"> to steer</w:t>
      </w:r>
      <w:r w:rsidR="006B0400" w:rsidRPr="00EA1E99">
        <w:rPr>
          <w:rFonts w:cs="Times New Roman"/>
          <w:color w:val="000000"/>
        </w:rPr>
        <w:t xml:space="preserve"> clear of </w:t>
      </w:r>
      <w:r w:rsidR="00706E94" w:rsidRPr="00EA1E99">
        <w:rPr>
          <w:rFonts w:cs="Times New Roman"/>
          <w:color w:val="000000"/>
        </w:rPr>
        <w:t xml:space="preserve">the </w:t>
      </w:r>
      <w:r w:rsidR="006B0400" w:rsidRPr="00EA1E99">
        <w:rPr>
          <w:rFonts w:cs="Times New Roman"/>
          <w:color w:val="000000"/>
        </w:rPr>
        <w:t xml:space="preserve">self-defence </w:t>
      </w:r>
      <w:r w:rsidR="00706E94" w:rsidRPr="00EA1E99">
        <w:rPr>
          <w:rFonts w:cs="Times New Roman"/>
          <w:color w:val="000000"/>
        </w:rPr>
        <w:t xml:space="preserve">argument </w:t>
      </w:r>
      <w:r w:rsidR="006B0400" w:rsidRPr="00EA1E99">
        <w:rPr>
          <w:rFonts w:cs="Times New Roman"/>
          <w:color w:val="000000"/>
        </w:rPr>
        <w:t>in favour of the ‘revival’ argument</w:t>
      </w:r>
      <w:r w:rsidRPr="00EA1E99">
        <w:rPr>
          <w:rFonts w:cs="Times New Roman"/>
          <w:color w:val="000000"/>
        </w:rPr>
        <w:t>.</w:t>
      </w:r>
      <w:r w:rsidRPr="00EA1E99">
        <w:rPr>
          <w:rStyle w:val="FootnoteReference"/>
          <w:rFonts w:cs="Times New Roman"/>
          <w:color w:val="000000"/>
        </w:rPr>
        <w:footnoteReference w:id="38"/>
      </w:r>
      <w:r w:rsidRPr="00EA1E99">
        <w:rPr>
          <w:rFonts w:cs="Times New Roman"/>
          <w:color w:val="000000"/>
        </w:rPr>
        <w:t xml:space="preserve">  However, again,</w:t>
      </w:r>
      <w:r w:rsidR="0039010D" w:rsidRPr="00EA1E99">
        <w:rPr>
          <w:rFonts w:cs="Times New Roman"/>
          <w:color w:val="000000"/>
        </w:rPr>
        <w:t xml:space="preserve"> </w:t>
      </w:r>
      <w:r w:rsidRPr="00EA1E99">
        <w:rPr>
          <w:rFonts w:cs="Times New Roman"/>
          <w:color w:val="000000"/>
        </w:rPr>
        <w:t>the Inquiry wa</w:t>
      </w:r>
      <w:r w:rsidR="0039010D" w:rsidRPr="00EA1E99">
        <w:rPr>
          <w:rFonts w:cs="Times New Roman"/>
          <w:color w:val="000000"/>
        </w:rPr>
        <w:t xml:space="preserve">s careful not to </w:t>
      </w:r>
      <w:r w:rsidR="00B109C4" w:rsidRPr="00EA1E99">
        <w:rPr>
          <w:rFonts w:cs="Times New Roman"/>
          <w:color w:val="000000"/>
        </w:rPr>
        <w:t xml:space="preserve">offer </w:t>
      </w:r>
      <w:r w:rsidR="006B0400" w:rsidRPr="00EA1E99">
        <w:rPr>
          <w:rFonts w:cs="Times New Roman"/>
          <w:color w:val="000000"/>
        </w:rPr>
        <w:t>an</w:t>
      </w:r>
      <w:r w:rsidR="0039010D" w:rsidRPr="00EA1E99">
        <w:rPr>
          <w:rFonts w:cs="Times New Roman"/>
          <w:color w:val="000000"/>
        </w:rPr>
        <w:t xml:space="preserve"> explicit</w:t>
      </w:r>
      <w:r w:rsidR="006B0400" w:rsidRPr="00EA1E99">
        <w:rPr>
          <w:rFonts w:cs="Times New Roman"/>
          <w:color w:val="000000"/>
        </w:rPr>
        <w:t xml:space="preserve"> legal </w:t>
      </w:r>
      <w:r w:rsidR="00B109C4" w:rsidRPr="00EA1E99">
        <w:rPr>
          <w:rFonts w:cs="Times New Roman"/>
          <w:color w:val="000000"/>
        </w:rPr>
        <w:t xml:space="preserve">opinion </w:t>
      </w:r>
      <w:r w:rsidRPr="00EA1E99">
        <w:rPr>
          <w:rFonts w:cs="Times New Roman"/>
          <w:color w:val="000000"/>
        </w:rPr>
        <w:t>in this regard</w:t>
      </w:r>
      <w:r w:rsidR="002A7724" w:rsidRPr="00EA1E99">
        <w:rPr>
          <w:rFonts w:cs="Times New Roman"/>
          <w:color w:val="000000"/>
        </w:rPr>
        <w:t xml:space="preserve"> itself</w:t>
      </w:r>
      <w:r w:rsidRPr="00EA1E99">
        <w:rPr>
          <w:rFonts w:cs="Times New Roman"/>
          <w:color w:val="000000"/>
        </w:rPr>
        <w:t>, instead simply noting that there was ‘consistent and unambiguous’ legal advice pointing in that direction.</w:t>
      </w:r>
      <w:r w:rsidRPr="00EA1E99">
        <w:rPr>
          <w:rStyle w:val="FootnoteReference"/>
          <w:rFonts w:cs="Times New Roman"/>
          <w:color w:val="000000"/>
        </w:rPr>
        <w:footnoteReference w:id="39"/>
      </w:r>
      <w:r w:rsidRPr="00EA1E99">
        <w:rPr>
          <w:rFonts w:cs="Times New Roman"/>
          <w:color w:val="000000"/>
        </w:rPr>
        <w:t xml:space="preserve">  </w:t>
      </w:r>
    </w:p>
    <w:p w14:paraId="7A88BB00" w14:textId="5F836DB2" w:rsidR="00C716C0" w:rsidRPr="00EA1E99" w:rsidRDefault="006B0400" w:rsidP="008A4427">
      <w:pPr>
        <w:spacing w:line="480" w:lineRule="auto"/>
        <w:ind w:firstLine="720"/>
        <w:rPr>
          <w:rFonts w:cs="Times New Roman"/>
        </w:rPr>
      </w:pPr>
      <w:r w:rsidRPr="00EA1E99">
        <w:rPr>
          <w:rFonts w:cs="Times New Roman"/>
        </w:rPr>
        <w:t>T</w:t>
      </w:r>
      <w:r w:rsidR="0039010D" w:rsidRPr="00EA1E99">
        <w:rPr>
          <w:rFonts w:cs="Times New Roman"/>
        </w:rPr>
        <w:t>he</w:t>
      </w:r>
      <w:r w:rsidRPr="00EA1E99">
        <w:rPr>
          <w:rFonts w:cs="Times New Roman"/>
        </w:rPr>
        <w:t xml:space="preserve"> same is true of the Report’s </w:t>
      </w:r>
      <w:r w:rsidR="008501D3" w:rsidRPr="00EA1E99">
        <w:rPr>
          <w:rFonts w:cs="Times New Roman"/>
        </w:rPr>
        <w:t>consideration</w:t>
      </w:r>
      <w:r w:rsidRPr="00EA1E99">
        <w:rPr>
          <w:rFonts w:cs="Times New Roman"/>
        </w:rPr>
        <w:t xml:space="preserve"> of</w:t>
      </w:r>
      <w:r w:rsidR="0039010D" w:rsidRPr="00EA1E99">
        <w:rPr>
          <w:rFonts w:cs="Times New Roman"/>
        </w:rPr>
        <w:t xml:space="preserve"> the Government</w:t>
      </w:r>
      <w:r w:rsidRPr="00EA1E99">
        <w:rPr>
          <w:rFonts w:cs="Times New Roman"/>
        </w:rPr>
        <w:t>’s</w:t>
      </w:r>
      <w:r w:rsidR="0039010D" w:rsidRPr="00EA1E99">
        <w:rPr>
          <w:rFonts w:cs="Times New Roman"/>
        </w:rPr>
        <w:t xml:space="preserve"> </w:t>
      </w:r>
      <w:r w:rsidRPr="00EA1E99">
        <w:rPr>
          <w:rFonts w:cs="Times New Roman"/>
        </w:rPr>
        <w:t xml:space="preserve">efforts to </w:t>
      </w:r>
      <w:r w:rsidR="0039010D" w:rsidRPr="00EA1E99">
        <w:rPr>
          <w:rFonts w:cs="Times New Roman"/>
        </w:rPr>
        <w:t>compl</w:t>
      </w:r>
      <w:r w:rsidRPr="00EA1E99">
        <w:rPr>
          <w:rFonts w:cs="Times New Roman"/>
        </w:rPr>
        <w:t>y</w:t>
      </w:r>
      <w:r w:rsidR="0039010D" w:rsidRPr="00EA1E99">
        <w:rPr>
          <w:rFonts w:cs="Times New Roman"/>
        </w:rPr>
        <w:t xml:space="preserve"> with International Humanitarian Law </w:t>
      </w:r>
      <w:r w:rsidR="008501D3" w:rsidRPr="00EA1E99">
        <w:rPr>
          <w:rFonts w:cs="Times New Roman"/>
        </w:rPr>
        <w:t>in relation to</w:t>
      </w:r>
      <w:r w:rsidR="0039010D" w:rsidRPr="00EA1E99">
        <w:rPr>
          <w:rFonts w:cs="Times New Roman"/>
        </w:rPr>
        <w:t xml:space="preserve"> target</w:t>
      </w:r>
      <w:r w:rsidR="008501D3" w:rsidRPr="00EA1E99">
        <w:rPr>
          <w:rFonts w:cs="Times New Roman"/>
        </w:rPr>
        <w:t xml:space="preserve"> selection</w:t>
      </w:r>
      <w:r w:rsidRPr="00EA1E99">
        <w:rPr>
          <w:rFonts w:cs="Times New Roman"/>
        </w:rPr>
        <w:t xml:space="preserve">.  The Report commended these efforts, but </w:t>
      </w:r>
      <w:r w:rsidR="002A7724" w:rsidRPr="00EA1E99">
        <w:rPr>
          <w:rFonts w:cs="Times New Roman"/>
        </w:rPr>
        <w:t xml:space="preserve">stopped </w:t>
      </w:r>
      <w:r w:rsidRPr="00EA1E99">
        <w:rPr>
          <w:rFonts w:cs="Times New Roman"/>
        </w:rPr>
        <w:t xml:space="preserve">short of confirming that they </w:t>
      </w:r>
      <w:r w:rsidR="008501D3" w:rsidRPr="00EA1E99">
        <w:rPr>
          <w:rFonts w:cs="Times New Roman"/>
        </w:rPr>
        <w:t xml:space="preserve">actually </w:t>
      </w:r>
      <w:r w:rsidRPr="00EA1E99">
        <w:rPr>
          <w:rFonts w:cs="Times New Roman"/>
        </w:rPr>
        <w:t>met with success</w:t>
      </w:r>
      <w:r w:rsidR="002A7724" w:rsidRPr="00EA1E99">
        <w:rPr>
          <w:rFonts w:cs="Times New Roman"/>
        </w:rPr>
        <w:t>.</w:t>
      </w:r>
      <w:r w:rsidR="002A7724" w:rsidRPr="00EA1E99">
        <w:rPr>
          <w:rStyle w:val="FootnoteReference"/>
          <w:rFonts w:cs="Times New Roman"/>
        </w:rPr>
        <w:footnoteReference w:id="40"/>
      </w:r>
      <w:r w:rsidR="002A7724" w:rsidRPr="00EA1E99">
        <w:rPr>
          <w:rFonts w:cs="Times New Roman"/>
        </w:rPr>
        <w:t xml:space="preserve">  </w:t>
      </w:r>
      <w:r w:rsidRPr="00EA1E99">
        <w:rPr>
          <w:rFonts w:cs="Times New Roman"/>
        </w:rPr>
        <w:t>Perhaps most starkly</w:t>
      </w:r>
      <w:r w:rsidR="00970716" w:rsidRPr="00EA1E99">
        <w:rPr>
          <w:rFonts w:cs="Times New Roman"/>
        </w:rPr>
        <w:t>,</w:t>
      </w:r>
      <w:r w:rsidR="00F41344" w:rsidRPr="00EA1E99">
        <w:rPr>
          <w:rStyle w:val="FootnoteReference"/>
          <w:rFonts w:cs="Times New Roman"/>
        </w:rPr>
        <w:footnoteReference w:id="41"/>
      </w:r>
      <w:r w:rsidR="00970716" w:rsidRPr="00EA1E99">
        <w:rPr>
          <w:rFonts w:cs="Times New Roman"/>
        </w:rPr>
        <w:t xml:space="preserve"> the </w:t>
      </w:r>
      <w:r w:rsidR="00C716C0" w:rsidRPr="00EA1E99">
        <w:rPr>
          <w:rFonts w:cs="Times New Roman"/>
        </w:rPr>
        <w:t>R</w:t>
      </w:r>
      <w:r w:rsidRPr="00EA1E99">
        <w:rPr>
          <w:rFonts w:cs="Times New Roman"/>
        </w:rPr>
        <w:t xml:space="preserve">eport </w:t>
      </w:r>
      <w:r w:rsidR="00C716C0" w:rsidRPr="00EA1E99">
        <w:rPr>
          <w:rFonts w:cs="Times New Roman"/>
        </w:rPr>
        <w:t xml:space="preserve">concluded that </w:t>
      </w:r>
    </w:p>
    <w:p w14:paraId="6A7AEB01" w14:textId="65872B79" w:rsidR="00970716" w:rsidRPr="00EA1E99" w:rsidRDefault="00C716C0" w:rsidP="00C716C0">
      <w:pPr>
        <w:spacing w:line="480" w:lineRule="auto"/>
        <w:ind w:left="720"/>
        <w:rPr>
          <w:rFonts w:cs="Times New Roman"/>
        </w:rPr>
      </w:pPr>
      <w:r w:rsidRPr="00EA1E99">
        <w:rPr>
          <w:rFonts w:cs="Times New Roman"/>
        </w:rPr>
        <w:t xml:space="preserve">[t]he UK Government was claiming to act on behalf of the international community “to uphold the authority of the Security Council”, knowing that it did not have a majority in the Security Council in support of its actions. </w:t>
      </w:r>
      <w:r w:rsidR="00EA2ED3" w:rsidRPr="00EA1E99">
        <w:rPr>
          <w:rFonts w:cs="Times New Roman"/>
        </w:rPr>
        <w:t xml:space="preserve"> </w:t>
      </w:r>
      <w:r w:rsidRPr="00EA1E99">
        <w:rPr>
          <w:rFonts w:cs="Times New Roman"/>
          <w:i/>
        </w:rPr>
        <w:t>In those circumstances, the UK’s actions undermined the authority of the Security Council</w:t>
      </w:r>
      <w:r w:rsidRPr="00EA1E99">
        <w:rPr>
          <w:rFonts w:cs="Times New Roman"/>
        </w:rPr>
        <w:t>.</w:t>
      </w:r>
      <w:r w:rsidRPr="00EA1E99">
        <w:rPr>
          <w:rStyle w:val="FootnoteReference"/>
          <w:rFonts w:cs="Times New Roman"/>
        </w:rPr>
        <w:footnoteReference w:id="42"/>
      </w:r>
    </w:p>
    <w:p w14:paraId="00722A7A" w14:textId="4EC12854" w:rsidR="00203F0F" w:rsidRPr="00EA1E99" w:rsidRDefault="00C716C0" w:rsidP="00E3708F">
      <w:pPr>
        <w:spacing w:line="480" w:lineRule="auto"/>
        <w:rPr>
          <w:rFonts w:cs="Times New Roman"/>
          <w:color w:val="000000"/>
        </w:rPr>
      </w:pPr>
      <w:r w:rsidRPr="00EA1E99">
        <w:rPr>
          <w:rFonts w:cs="Times New Roman"/>
          <w:color w:val="000000"/>
        </w:rPr>
        <w:t xml:space="preserve">Given that the UK’s avowed legal basis for the action for the intervention was </w:t>
      </w:r>
      <w:r w:rsidR="00F41344" w:rsidRPr="00EA1E99">
        <w:rPr>
          <w:rFonts w:cs="Times New Roman"/>
          <w:color w:val="000000"/>
        </w:rPr>
        <w:t xml:space="preserve">ultimately </w:t>
      </w:r>
      <w:r w:rsidRPr="00EA1E99">
        <w:rPr>
          <w:rFonts w:cs="Times New Roman"/>
          <w:color w:val="000000"/>
        </w:rPr>
        <w:t>Chapter VII authorisation – and</w:t>
      </w:r>
      <w:r w:rsidR="00F41344" w:rsidRPr="00EA1E99">
        <w:rPr>
          <w:rFonts w:cs="Times New Roman"/>
          <w:color w:val="000000"/>
        </w:rPr>
        <w:t>, indeed,</w:t>
      </w:r>
      <w:r w:rsidRPr="00EA1E99">
        <w:rPr>
          <w:rFonts w:cs="Times New Roman"/>
          <w:color w:val="000000"/>
        </w:rPr>
        <w:t xml:space="preserve"> given that this was the only (even potentially) credible </w:t>
      </w:r>
      <w:r w:rsidR="00F41344" w:rsidRPr="00EA1E99">
        <w:rPr>
          <w:rFonts w:cs="Times New Roman"/>
          <w:color w:val="000000"/>
        </w:rPr>
        <w:t xml:space="preserve">legal </w:t>
      </w:r>
      <w:r w:rsidRPr="00EA1E99">
        <w:rPr>
          <w:rFonts w:cs="Times New Roman"/>
          <w:color w:val="000000"/>
        </w:rPr>
        <w:t>basis for that action</w:t>
      </w:r>
      <w:r w:rsidR="009164D2" w:rsidRPr="00EA1E99">
        <w:rPr>
          <w:rStyle w:val="FootnoteReference"/>
          <w:rFonts w:cs="Times New Roman"/>
          <w:color w:val="000000"/>
        </w:rPr>
        <w:footnoteReference w:id="43"/>
      </w:r>
      <w:r w:rsidRPr="00EA1E99">
        <w:rPr>
          <w:rFonts w:cs="Times New Roman"/>
          <w:color w:val="000000"/>
        </w:rPr>
        <w:t xml:space="preserve"> – it could be inferred that the Inquiry concluded that the UK’s use of force was unlawful, and </w:t>
      </w:r>
      <w:r w:rsidR="00F41344" w:rsidRPr="00EA1E99">
        <w:rPr>
          <w:rFonts w:cs="Times New Roman"/>
          <w:color w:val="000000"/>
        </w:rPr>
        <w:t xml:space="preserve">that </w:t>
      </w:r>
      <w:r w:rsidRPr="00EA1E99">
        <w:rPr>
          <w:rFonts w:cs="Times New Roman"/>
          <w:color w:val="000000"/>
        </w:rPr>
        <w:t xml:space="preserve">this was </w:t>
      </w:r>
      <w:r w:rsidR="00533163" w:rsidRPr="00EA1E99">
        <w:rPr>
          <w:rFonts w:cs="Times New Roman"/>
          <w:color w:val="000000"/>
        </w:rPr>
        <w:t>its diplomatic way of</w:t>
      </w:r>
      <w:r w:rsidRPr="00EA1E99">
        <w:rPr>
          <w:rFonts w:cs="Times New Roman"/>
          <w:color w:val="000000"/>
        </w:rPr>
        <w:t xml:space="preserve"> saying </w:t>
      </w:r>
      <w:r w:rsidR="00F41344" w:rsidRPr="00EA1E99">
        <w:rPr>
          <w:rFonts w:cs="Times New Roman"/>
          <w:color w:val="000000"/>
        </w:rPr>
        <w:t>so</w:t>
      </w:r>
      <w:r w:rsidRPr="00EA1E99">
        <w:rPr>
          <w:rFonts w:cs="Times New Roman"/>
          <w:color w:val="000000"/>
        </w:rPr>
        <w:t>.</w:t>
      </w:r>
      <w:r w:rsidR="00203F0F" w:rsidRPr="00EA1E99">
        <w:rPr>
          <w:rFonts w:cs="Times New Roman"/>
          <w:color w:val="000000"/>
        </w:rPr>
        <w:t xml:space="preserve">  </w:t>
      </w:r>
      <w:r w:rsidR="00F41344" w:rsidRPr="00EA1E99">
        <w:rPr>
          <w:rFonts w:cs="Times New Roman"/>
          <w:color w:val="000000"/>
        </w:rPr>
        <w:t>However,</w:t>
      </w:r>
      <w:r w:rsidR="0085388A" w:rsidRPr="00EA1E99">
        <w:rPr>
          <w:rFonts w:cs="Times New Roman"/>
          <w:color w:val="000000"/>
        </w:rPr>
        <w:t xml:space="preserve"> </w:t>
      </w:r>
      <w:r w:rsidR="00203F0F" w:rsidRPr="00EA1E99">
        <w:rPr>
          <w:rFonts w:cs="Times New Roman"/>
          <w:color w:val="000000"/>
        </w:rPr>
        <w:t xml:space="preserve">the finding could just as easily be read as indicating that international law was ‘complied with’ in general, but that this nonetheless undermined the authority of the Security Council.  </w:t>
      </w:r>
    </w:p>
    <w:p w14:paraId="42E56627" w14:textId="3A3E23B6" w:rsidR="00B22092" w:rsidRPr="00EA1E99" w:rsidRDefault="00203F0F" w:rsidP="00056454">
      <w:pPr>
        <w:spacing w:line="480" w:lineRule="auto"/>
        <w:ind w:firstLine="720"/>
        <w:rPr>
          <w:rFonts w:cs="Times New Roman"/>
          <w:color w:val="000000"/>
        </w:rPr>
      </w:pPr>
      <w:r w:rsidRPr="00EA1E99">
        <w:rPr>
          <w:rFonts w:cs="Times New Roman"/>
          <w:color w:val="000000"/>
        </w:rPr>
        <w:t>T</w:t>
      </w:r>
      <w:r w:rsidR="0085388A" w:rsidRPr="00EA1E99">
        <w:rPr>
          <w:rFonts w:cs="Times New Roman"/>
          <w:color w:val="000000"/>
        </w:rPr>
        <w:t xml:space="preserve">he present authors are wary of </w:t>
      </w:r>
      <w:r w:rsidR="00C716C0" w:rsidRPr="00EA1E99">
        <w:rPr>
          <w:rFonts w:cs="Times New Roman"/>
          <w:color w:val="000000"/>
        </w:rPr>
        <w:t>second-guessing unexpressed conclusions</w:t>
      </w:r>
      <w:r w:rsidR="00F41344" w:rsidRPr="00EA1E99">
        <w:rPr>
          <w:rFonts w:cs="Times New Roman"/>
          <w:color w:val="000000"/>
        </w:rPr>
        <w:t xml:space="preserve"> on the part of the members of the Inquiry</w:t>
      </w:r>
      <w:r w:rsidR="00C716C0" w:rsidRPr="00EA1E99">
        <w:rPr>
          <w:rFonts w:cs="Times New Roman"/>
          <w:color w:val="000000"/>
        </w:rPr>
        <w:t xml:space="preserve">.  </w:t>
      </w:r>
      <w:r w:rsidRPr="00EA1E99">
        <w:rPr>
          <w:rFonts w:cs="Times New Roman"/>
          <w:color w:val="000000"/>
        </w:rPr>
        <w:t>Ultimately, t</w:t>
      </w:r>
      <w:r w:rsidR="00F41344" w:rsidRPr="00EA1E99">
        <w:rPr>
          <w:rFonts w:cs="Times New Roman"/>
          <w:color w:val="000000"/>
        </w:rPr>
        <w:t xml:space="preserve">he </w:t>
      </w:r>
      <w:proofErr w:type="spellStart"/>
      <w:r w:rsidR="00F41344" w:rsidRPr="00EA1E99">
        <w:rPr>
          <w:rFonts w:cs="Times New Roman"/>
          <w:color w:val="000000"/>
        </w:rPr>
        <w:t>Chilcot</w:t>
      </w:r>
      <w:proofErr w:type="spellEnd"/>
      <w:r w:rsidR="00F41344" w:rsidRPr="00EA1E99">
        <w:rPr>
          <w:rFonts w:cs="Times New Roman"/>
          <w:color w:val="000000"/>
        </w:rPr>
        <w:t xml:space="preserve"> Report does not make findings of law, </w:t>
      </w:r>
      <w:r w:rsidR="00F41344" w:rsidRPr="00EA1E99">
        <w:rPr>
          <w:rFonts w:cs="Times New Roman"/>
          <w:color w:val="000000"/>
        </w:rPr>
        <w:lastRenderedPageBreak/>
        <w:t xml:space="preserve">as is to be expected given its mandate; inferring such findings is undoubtedly possible, but such </w:t>
      </w:r>
      <w:r w:rsidR="00226D04" w:rsidRPr="00EA1E99">
        <w:rPr>
          <w:rFonts w:cs="Times New Roman"/>
          <w:color w:val="000000"/>
        </w:rPr>
        <w:t xml:space="preserve">an </w:t>
      </w:r>
      <w:r w:rsidR="00F41344" w:rsidRPr="00EA1E99">
        <w:rPr>
          <w:rFonts w:cs="Times New Roman"/>
          <w:color w:val="000000"/>
        </w:rPr>
        <w:t xml:space="preserve">exercise is </w:t>
      </w:r>
      <w:r w:rsidRPr="00EA1E99">
        <w:rPr>
          <w:rFonts w:cs="Times New Roman"/>
          <w:color w:val="000000"/>
        </w:rPr>
        <w:t xml:space="preserve">unhelpfully </w:t>
      </w:r>
      <w:r w:rsidR="00F41344" w:rsidRPr="00EA1E99">
        <w:rPr>
          <w:rFonts w:cs="Times New Roman"/>
          <w:color w:val="000000"/>
        </w:rPr>
        <w:t>speculative.</w:t>
      </w:r>
    </w:p>
    <w:p w14:paraId="758CB7B0" w14:textId="77777777" w:rsidR="00B22092" w:rsidRPr="00EA1E99" w:rsidRDefault="00B22092" w:rsidP="00B22092">
      <w:pPr>
        <w:spacing w:line="480" w:lineRule="auto"/>
        <w:rPr>
          <w:rFonts w:eastAsia="Times New Roman" w:cs="Times New Roman"/>
        </w:rPr>
      </w:pPr>
    </w:p>
    <w:p w14:paraId="326FCCC1" w14:textId="5DBD9916" w:rsidR="00B22092" w:rsidRPr="00EA1E99" w:rsidRDefault="004A7955" w:rsidP="00B22092">
      <w:pPr>
        <w:spacing w:line="480" w:lineRule="auto"/>
        <w:rPr>
          <w:rFonts w:eastAsia="Times New Roman" w:cs="Times New Roman"/>
          <w:b/>
          <w:i/>
        </w:rPr>
      </w:pPr>
      <w:r w:rsidRPr="00EA1E99">
        <w:rPr>
          <w:rFonts w:eastAsia="Times New Roman" w:cs="Times New Roman"/>
          <w:b/>
          <w:i/>
        </w:rPr>
        <w:t xml:space="preserve">C. </w:t>
      </w:r>
      <w:proofErr w:type="gramStart"/>
      <w:r w:rsidR="004B0455" w:rsidRPr="00EA1E99">
        <w:rPr>
          <w:rFonts w:eastAsia="Times New Roman" w:cs="Times New Roman"/>
          <w:b/>
          <w:i/>
        </w:rPr>
        <w:t>The</w:t>
      </w:r>
      <w:proofErr w:type="gramEnd"/>
      <w:r w:rsidR="004B0455" w:rsidRPr="00EA1E99">
        <w:rPr>
          <w:rFonts w:eastAsia="Times New Roman" w:cs="Times New Roman"/>
          <w:b/>
          <w:i/>
        </w:rPr>
        <w:t xml:space="preserve"> </w:t>
      </w:r>
      <w:proofErr w:type="spellStart"/>
      <w:r w:rsidR="00B22092" w:rsidRPr="00EA1E99">
        <w:rPr>
          <w:rFonts w:eastAsia="Times New Roman" w:cs="Times New Roman"/>
          <w:b/>
          <w:i/>
        </w:rPr>
        <w:t>Chilcot</w:t>
      </w:r>
      <w:proofErr w:type="spellEnd"/>
      <w:r w:rsidR="00B22092" w:rsidRPr="00EA1E99">
        <w:rPr>
          <w:rFonts w:eastAsia="Times New Roman" w:cs="Times New Roman"/>
          <w:b/>
          <w:i/>
        </w:rPr>
        <w:t xml:space="preserve"> Report</w:t>
      </w:r>
      <w:r w:rsidR="00684C8F" w:rsidRPr="00EA1E99">
        <w:rPr>
          <w:rFonts w:eastAsia="Times New Roman" w:cs="Times New Roman"/>
          <w:b/>
          <w:i/>
        </w:rPr>
        <w:t>’s Reference</w:t>
      </w:r>
      <w:r w:rsidR="004B0455" w:rsidRPr="00EA1E99">
        <w:rPr>
          <w:rFonts w:eastAsia="Times New Roman" w:cs="Times New Roman"/>
          <w:b/>
          <w:i/>
        </w:rPr>
        <w:t>s</w:t>
      </w:r>
      <w:r w:rsidR="00684C8F" w:rsidRPr="00EA1E99">
        <w:rPr>
          <w:rFonts w:eastAsia="Times New Roman" w:cs="Times New Roman"/>
          <w:b/>
          <w:i/>
        </w:rPr>
        <w:t xml:space="preserve"> </w:t>
      </w:r>
      <w:r w:rsidR="004B0455" w:rsidRPr="00EA1E99">
        <w:rPr>
          <w:rFonts w:eastAsia="Times New Roman" w:cs="Times New Roman"/>
          <w:b/>
          <w:i/>
        </w:rPr>
        <w:t>to</w:t>
      </w:r>
      <w:r w:rsidR="00684C8F" w:rsidRPr="00EA1E99">
        <w:rPr>
          <w:rFonts w:eastAsia="Times New Roman" w:cs="Times New Roman"/>
          <w:b/>
          <w:i/>
        </w:rPr>
        <w:t xml:space="preserve"> International Law</w:t>
      </w:r>
    </w:p>
    <w:p w14:paraId="394B66A0" w14:textId="7B82864A" w:rsidR="00F97292" w:rsidRPr="00EA1E99" w:rsidRDefault="00203F0F" w:rsidP="00F97292">
      <w:pPr>
        <w:spacing w:line="480" w:lineRule="auto"/>
        <w:rPr>
          <w:rFonts w:eastAsia="Times New Roman" w:cs="Times New Roman"/>
        </w:rPr>
      </w:pPr>
      <w:r w:rsidRPr="00EA1E99">
        <w:rPr>
          <w:rFonts w:eastAsia="Times New Roman" w:cs="Times New Roman"/>
        </w:rPr>
        <w:t>I</w:t>
      </w:r>
      <w:r w:rsidR="00B22092" w:rsidRPr="00EA1E99">
        <w:rPr>
          <w:rFonts w:eastAsia="Times New Roman" w:cs="Times New Roman"/>
        </w:rPr>
        <w:t xml:space="preserve">nternational law was </w:t>
      </w:r>
      <w:r w:rsidR="002A7724" w:rsidRPr="00EA1E99">
        <w:rPr>
          <w:rFonts w:eastAsia="Times New Roman" w:cs="Times New Roman"/>
        </w:rPr>
        <w:t xml:space="preserve">nevertheless </w:t>
      </w:r>
      <w:r w:rsidR="00B22092" w:rsidRPr="00EA1E99">
        <w:rPr>
          <w:rFonts w:eastAsia="Times New Roman" w:cs="Times New Roman"/>
        </w:rPr>
        <w:t xml:space="preserve">a key element of </w:t>
      </w:r>
      <w:r w:rsidR="002A7724" w:rsidRPr="00EA1E99">
        <w:rPr>
          <w:rFonts w:eastAsia="Times New Roman" w:cs="Times New Roman"/>
        </w:rPr>
        <w:t xml:space="preserve">the Inquiry’s </w:t>
      </w:r>
      <w:r w:rsidR="00B22092" w:rsidRPr="00EA1E99">
        <w:rPr>
          <w:rFonts w:eastAsia="Times New Roman" w:cs="Times New Roman"/>
        </w:rPr>
        <w:t>Report.  T</w:t>
      </w:r>
      <w:r w:rsidR="008F2EF7" w:rsidRPr="00EA1E99">
        <w:rPr>
          <w:rFonts w:eastAsia="Times New Roman" w:cs="Times New Roman"/>
        </w:rPr>
        <w:t>h</w:t>
      </w:r>
      <w:r w:rsidR="00103894" w:rsidRPr="00EA1E99">
        <w:rPr>
          <w:rFonts w:eastAsia="Times New Roman" w:cs="Times New Roman"/>
        </w:rPr>
        <w:t xml:space="preserve">e </w:t>
      </w:r>
      <w:r w:rsidR="008D4758" w:rsidRPr="00EA1E99">
        <w:rPr>
          <w:rFonts w:eastAsia="Times New Roman" w:cs="Times New Roman"/>
        </w:rPr>
        <w:t>Inquiry</w:t>
      </w:r>
      <w:r w:rsidR="00103894" w:rsidRPr="00EA1E99">
        <w:rPr>
          <w:rFonts w:eastAsia="Times New Roman" w:cs="Times New Roman"/>
        </w:rPr>
        <w:t>’s</w:t>
      </w:r>
      <w:r w:rsidR="008D4758" w:rsidRPr="00EA1E99">
        <w:rPr>
          <w:rFonts w:eastAsia="Times New Roman" w:cs="Times New Roman"/>
        </w:rPr>
        <w:t xml:space="preserve"> commitment to </w:t>
      </w:r>
      <w:r w:rsidR="00103894" w:rsidRPr="00EA1E99">
        <w:rPr>
          <w:rFonts w:eastAsia="Times New Roman" w:cs="Times New Roman"/>
        </w:rPr>
        <w:t xml:space="preserve">international legal accuracy and clarity </w:t>
      </w:r>
      <w:r w:rsidRPr="00EA1E99">
        <w:rPr>
          <w:rFonts w:eastAsia="Times New Roman" w:cs="Times New Roman"/>
        </w:rPr>
        <w:t xml:space="preserve">is evident </w:t>
      </w:r>
      <w:r w:rsidR="00B22092" w:rsidRPr="00EA1E99">
        <w:rPr>
          <w:rFonts w:eastAsia="Times New Roman" w:cs="Times New Roman"/>
        </w:rPr>
        <w:t>throughout</w:t>
      </w:r>
      <w:r w:rsidR="00103894" w:rsidRPr="00EA1E99">
        <w:rPr>
          <w:rFonts w:eastAsia="Times New Roman" w:cs="Times New Roman"/>
        </w:rPr>
        <w:t>.</w:t>
      </w:r>
      <w:r w:rsidR="00981FC3" w:rsidRPr="00EA1E99">
        <w:rPr>
          <w:rFonts w:eastAsia="Times New Roman" w:cs="Times New Roman"/>
        </w:rPr>
        <w:t xml:space="preserve">  </w:t>
      </w:r>
      <w:r w:rsidR="00A77731" w:rsidRPr="00EA1E99">
        <w:rPr>
          <w:rFonts w:eastAsia="Times New Roman" w:cs="Times New Roman"/>
        </w:rPr>
        <w:t>Irrespective of its refusal to make legal determinations, t</w:t>
      </w:r>
      <w:r w:rsidR="00981FC3" w:rsidRPr="00EA1E99">
        <w:rPr>
          <w:rFonts w:eastAsia="Times New Roman" w:cs="Times New Roman"/>
        </w:rPr>
        <w:t xml:space="preserve">he Inquiry certainly </w:t>
      </w:r>
      <w:r w:rsidR="00A77731" w:rsidRPr="00EA1E99">
        <w:rPr>
          <w:rFonts w:eastAsia="Times New Roman" w:cs="Times New Roman"/>
        </w:rPr>
        <w:t xml:space="preserve">has </w:t>
      </w:r>
      <w:r w:rsidR="00981FC3" w:rsidRPr="00EA1E99">
        <w:rPr>
          <w:rFonts w:eastAsia="Times New Roman" w:cs="Times New Roman"/>
        </w:rPr>
        <w:t xml:space="preserve">not been afraid to set out and highlight </w:t>
      </w:r>
      <w:r w:rsidR="00A77731" w:rsidRPr="00EA1E99">
        <w:rPr>
          <w:rFonts w:eastAsia="Times New Roman" w:cs="Times New Roman"/>
        </w:rPr>
        <w:t xml:space="preserve">international </w:t>
      </w:r>
      <w:r w:rsidR="00684C8F" w:rsidRPr="00EA1E99">
        <w:rPr>
          <w:rFonts w:eastAsia="Times New Roman" w:cs="Times New Roman"/>
        </w:rPr>
        <w:t>law</w:t>
      </w:r>
      <w:r w:rsidR="00A77731" w:rsidRPr="00EA1E99">
        <w:rPr>
          <w:rFonts w:eastAsia="Times New Roman" w:cs="Times New Roman"/>
        </w:rPr>
        <w:t xml:space="preserve"> to a notable extent.</w:t>
      </w:r>
      <w:r w:rsidR="00922408" w:rsidRPr="00EA1E99">
        <w:rPr>
          <w:rStyle w:val="FootnoteReference"/>
          <w:rFonts w:eastAsia="Times New Roman" w:cs="Times New Roman"/>
        </w:rPr>
        <w:footnoteReference w:id="44"/>
      </w:r>
      <w:r w:rsidR="00F97292" w:rsidRPr="00EA1E99">
        <w:rPr>
          <w:rFonts w:eastAsia="Times New Roman" w:cs="Times New Roman"/>
        </w:rPr>
        <w:t xml:space="preserve">  </w:t>
      </w:r>
      <w:r w:rsidR="00A77731" w:rsidRPr="00EA1E99">
        <w:rPr>
          <w:rFonts w:eastAsia="Times New Roman" w:cs="Times New Roman"/>
        </w:rPr>
        <w:t>F</w:t>
      </w:r>
      <w:r w:rsidR="00981FC3" w:rsidRPr="00EA1E99">
        <w:rPr>
          <w:rFonts w:eastAsia="Times New Roman" w:cs="Times New Roman"/>
        </w:rPr>
        <w:t xml:space="preserve">or the most part, in so doing, has achieved a good balance between legal literacy and accessibility.  </w:t>
      </w:r>
    </w:p>
    <w:p w14:paraId="060EDEA9" w14:textId="451971FF" w:rsidR="00A77731" w:rsidRPr="00EA1E99" w:rsidRDefault="00981FC3" w:rsidP="00F97292">
      <w:pPr>
        <w:spacing w:line="480" w:lineRule="auto"/>
        <w:ind w:firstLine="709"/>
        <w:rPr>
          <w:rFonts w:eastAsia="Times New Roman" w:cs="Times New Roman"/>
        </w:rPr>
      </w:pPr>
      <w:r w:rsidRPr="00EA1E99">
        <w:rPr>
          <w:rFonts w:eastAsia="Times New Roman" w:cs="Times New Roman"/>
        </w:rPr>
        <w:t xml:space="preserve">For example, in relation to </w:t>
      </w:r>
      <w:r w:rsidR="00D848FC" w:rsidRPr="00EA1E99">
        <w:rPr>
          <w:rFonts w:eastAsia="Times New Roman" w:cs="Times New Roman"/>
        </w:rPr>
        <w:t xml:space="preserve">questions of </w:t>
      </w:r>
      <w:r w:rsidRPr="00EA1E99">
        <w:rPr>
          <w:rFonts w:eastAsia="Times New Roman" w:cs="Times New Roman"/>
        </w:rPr>
        <w:t>target</w:t>
      </w:r>
      <w:r w:rsidR="00D848FC" w:rsidRPr="00EA1E99">
        <w:rPr>
          <w:rFonts w:eastAsia="Times New Roman" w:cs="Times New Roman"/>
        </w:rPr>
        <w:t xml:space="preserve"> selection</w:t>
      </w:r>
      <w:r w:rsidRPr="00EA1E99">
        <w:rPr>
          <w:rFonts w:eastAsia="Times New Roman" w:cs="Times New Roman"/>
        </w:rPr>
        <w:t xml:space="preserve">, the </w:t>
      </w:r>
      <w:proofErr w:type="spellStart"/>
      <w:r w:rsidR="00A77731" w:rsidRPr="00EA1E99">
        <w:rPr>
          <w:rFonts w:eastAsia="Times New Roman" w:cs="Times New Roman"/>
        </w:rPr>
        <w:t>Chilcot</w:t>
      </w:r>
      <w:proofErr w:type="spellEnd"/>
      <w:r w:rsidR="00A77731" w:rsidRPr="00EA1E99">
        <w:rPr>
          <w:rFonts w:eastAsia="Times New Roman" w:cs="Times New Roman"/>
        </w:rPr>
        <w:t xml:space="preserve"> </w:t>
      </w:r>
      <w:r w:rsidRPr="00EA1E99">
        <w:rPr>
          <w:rFonts w:eastAsia="Times New Roman" w:cs="Times New Roman"/>
        </w:rPr>
        <w:t xml:space="preserve">Report helpfully sets out the </w:t>
      </w:r>
      <w:r w:rsidRPr="00EA1E99">
        <w:rPr>
          <w:rFonts w:cs="Times New Roman"/>
          <w:color w:val="000000"/>
        </w:rPr>
        <w:t>key rules of International Humanitarian Law (IHL)</w:t>
      </w:r>
      <w:r w:rsidR="002A7724" w:rsidRPr="00EA1E99">
        <w:rPr>
          <w:rFonts w:cs="Times New Roman"/>
          <w:color w:val="000000"/>
        </w:rPr>
        <w:t>:</w:t>
      </w:r>
      <w:r w:rsidR="00D848FC" w:rsidRPr="00EA1E99">
        <w:rPr>
          <w:rFonts w:cs="Times New Roman"/>
          <w:color w:val="000000"/>
        </w:rPr>
        <w:t xml:space="preserve"> </w:t>
      </w:r>
      <w:r w:rsidR="00D848FC" w:rsidRPr="00EA1E99">
        <w:rPr>
          <w:rFonts w:cs="Times New Roman"/>
        </w:rPr>
        <w:t>i.e., distinction, proportionality, military necessity and precaution in attack</w:t>
      </w:r>
      <w:r w:rsidRPr="00EA1E99">
        <w:rPr>
          <w:rFonts w:cs="Times New Roman"/>
          <w:color w:val="000000"/>
        </w:rPr>
        <w:t>.</w:t>
      </w:r>
      <w:r w:rsidR="00A77731" w:rsidRPr="00EA1E99">
        <w:rPr>
          <w:rStyle w:val="FootnoteReference"/>
          <w:rFonts w:cs="Times New Roman"/>
          <w:color w:val="000000"/>
        </w:rPr>
        <w:footnoteReference w:id="45"/>
      </w:r>
      <w:r w:rsidRPr="00EA1E99">
        <w:rPr>
          <w:rFonts w:cs="Times New Roman"/>
          <w:color w:val="000000"/>
        </w:rPr>
        <w:t xml:space="preserve">  Its summary </w:t>
      </w:r>
      <w:r w:rsidR="00D848FC" w:rsidRPr="00EA1E99">
        <w:rPr>
          <w:rFonts w:cs="Times New Roman"/>
          <w:color w:val="000000"/>
        </w:rPr>
        <w:t xml:space="preserve">of these principles </w:t>
      </w:r>
      <w:r w:rsidRPr="00EA1E99">
        <w:rPr>
          <w:rFonts w:cs="Times New Roman"/>
          <w:color w:val="000000"/>
        </w:rPr>
        <w:t xml:space="preserve">is </w:t>
      </w:r>
      <w:r w:rsidR="00533163" w:rsidRPr="00EA1E99">
        <w:rPr>
          <w:rFonts w:cs="Times New Roman"/>
          <w:color w:val="000000"/>
        </w:rPr>
        <w:t xml:space="preserve">not only </w:t>
      </w:r>
      <w:r w:rsidR="00D848FC" w:rsidRPr="00EA1E99">
        <w:rPr>
          <w:rFonts w:cs="Times New Roman"/>
          <w:color w:val="000000"/>
        </w:rPr>
        <w:t xml:space="preserve">legally </w:t>
      </w:r>
      <w:r w:rsidRPr="00EA1E99">
        <w:rPr>
          <w:rFonts w:cs="Times New Roman"/>
          <w:color w:val="000000"/>
        </w:rPr>
        <w:t>accurate,</w:t>
      </w:r>
      <w:r w:rsidR="00F97292" w:rsidRPr="00EA1E99">
        <w:rPr>
          <w:rStyle w:val="FootnoteReference"/>
          <w:rFonts w:cs="Times New Roman"/>
          <w:color w:val="000000"/>
        </w:rPr>
        <w:footnoteReference w:id="46"/>
      </w:r>
      <w:r w:rsidRPr="00EA1E99">
        <w:rPr>
          <w:rFonts w:cs="Times New Roman"/>
          <w:color w:val="000000"/>
        </w:rPr>
        <w:t xml:space="preserve"> </w:t>
      </w:r>
      <w:r w:rsidR="002A7724" w:rsidRPr="00EA1E99">
        <w:rPr>
          <w:rFonts w:cs="Times New Roman"/>
          <w:color w:val="000000"/>
        </w:rPr>
        <w:t>but, moreover,</w:t>
      </w:r>
      <w:r w:rsidRPr="00EA1E99">
        <w:rPr>
          <w:rFonts w:cs="Times New Roman"/>
          <w:color w:val="000000"/>
        </w:rPr>
        <w:t xml:space="preserve"> </w:t>
      </w:r>
      <w:r w:rsidR="00533163" w:rsidRPr="00EA1E99">
        <w:rPr>
          <w:rFonts w:cs="Times New Roman"/>
          <w:color w:val="000000"/>
        </w:rPr>
        <w:t xml:space="preserve">is </w:t>
      </w:r>
      <w:r w:rsidRPr="00EA1E99">
        <w:rPr>
          <w:rFonts w:cs="Times New Roman"/>
          <w:color w:val="000000"/>
        </w:rPr>
        <w:t>well filtered</w:t>
      </w:r>
      <w:r w:rsidR="00D848FC" w:rsidRPr="00EA1E99">
        <w:rPr>
          <w:rFonts w:cs="Times New Roman"/>
          <w:color w:val="000000"/>
        </w:rPr>
        <w:t xml:space="preserve"> </w:t>
      </w:r>
      <w:r w:rsidR="00A77731" w:rsidRPr="00EA1E99">
        <w:rPr>
          <w:rFonts w:cs="Times New Roman"/>
          <w:color w:val="000000"/>
        </w:rPr>
        <w:t>and</w:t>
      </w:r>
      <w:r w:rsidR="00D848FC" w:rsidRPr="00EA1E99">
        <w:rPr>
          <w:rFonts w:cs="Times New Roman"/>
          <w:color w:val="000000"/>
        </w:rPr>
        <w:t xml:space="preserve"> </w:t>
      </w:r>
      <w:r w:rsidRPr="00EA1E99">
        <w:rPr>
          <w:rFonts w:cs="Times New Roman"/>
          <w:color w:val="000000"/>
        </w:rPr>
        <w:t>succinctly presented</w:t>
      </w:r>
      <w:r w:rsidR="00A77731" w:rsidRPr="00EA1E99">
        <w:rPr>
          <w:rFonts w:cs="Times New Roman"/>
          <w:color w:val="000000"/>
        </w:rPr>
        <w:t>.</w:t>
      </w:r>
      <w:r w:rsidRPr="00EA1E99">
        <w:rPr>
          <w:rFonts w:eastAsia="Times New Roman" w:cs="Times New Roman"/>
        </w:rPr>
        <w:t xml:space="preserve"> </w:t>
      </w:r>
      <w:r w:rsidR="00D848FC" w:rsidRPr="00EA1E99">
        <w:rPr>
          <w:rFonts w:eastAsia="Times New Roman" w:cs="Times New Roman"/>
        </w:rPr>
        <w:t xml:space="preserve">  The Report also provides a similar, </w:t>
      </w:r>
      <w:r w:rsidR="00203F0F" w:rsidRPr="00EA1E99">
        <w:rPr>
          <w:rFonts w:eastAsia="Times New Roman" w:cs="Times New Roman"/>
        </w:rPr>
        <w:t xml:space="preserve">albeit </w:t>
      </w:r>
      <w:r w:rsidR="00D848FC" w:rsidRPr="00EA1E99">
        <w:rPr>
          <w:rFonts w:eastAsia="Times New Roman" w:cs="Times New Roman"/>
        </w:rPr>
        <w:t xml:space="preserve">more in-depth, </w:t>
      </w:r>
      <w:r w:rsidR="00D848FC" w:rsidRPr="00EA1E99">
        <w:rPr>
          <w:rFonts w:cs="Times New Roman"/>
          <w:color w:val="000000"/>
        </w:rPr>
        <w:t>summary of the IHL obligations concerning the preservation of religious, historic and cultural property.</w:t>
      </w:r>
      <w:r w:rsidR="00A77731" w:rsidRPr="00EA1E99">
        <w:rPr>
          <w:rStyle w:val="FootnoteReference"/>
          <w:rFonts w:cs="Times New Roman"/>
          <w:color w:val="000000"/>
        </w:rPr>
        <w:footnoteReference w:id="47"/>
      </w:r>
      <w:r w:rsidR="00D848FC" w:rsidRPr="00EA1E99">
        <w:rPr>
          <w:rFonts w:cs="Times New Roman"/>
          <w:color w:val="000000"/>
        </w:rPr>
        <w:t xml:space="preserve">  </w:t>
      </w:r>
    </w:p>
    <w:p w14:paraId="0380A502" w14:textId="32DB45A8" w:rsidR="00981FC3" w:rsidRPr="00EA1E99" w:rsidRDefault="00D848FC" w:rsidP="00A77731">
      <w:pPr>
        <w:spacing w:line="480" w:lineRule="auto"/>
        <w:ind w:firstLine="709"/>
        <w:rPr>
          <w:rFonts w:eastAsia="Times New Roman" w:cs="Times New Roman"/>
        </w:rPr>
      </w:pPr>
      <w:r w:rsidRPr="00EA1E99">
        <w:rPr>
          <w:rFonts w:cs="Times New Roman"/>
          <w:color w:val="000000"/>
        </w:rPr>
        <w:t xml:space="preserve">With regard to the crucial question of the </w:t>
      </w:r>
      <w:r w:rsidRPr="00EA1E99">
        <w:rPr>
          <w:rFonts w:cs="Times New Roman"/>
          <w:i/>
          <w:color w:val="000000"/>
        </w:rPr>
        <w:t>ad bellum</w:t>
      </w:r>
      <w:r w:rsidRPr="00EA1E99">
        <w:rPr>
          <w:rFonts w:cs="Times New Roman"/>
          <w:color w:val="000000"/>
        </w:rPr>
        <w:t xml:space="preserve"> basis for the 2003 intervention, the controversial ‘revival argument’ is accessibly presented and explained </w:t>
      </w:r>
      <w:r w:rsidR="00A77731" w:rsidRPr="00EA1E99">
        <w:rPr>
          <w:rFonts w:cs="Times New Roman"/>
          <w:color w:val="000000"/>
        </w:rPr>
        <w:t>in the Report.</w:t>
      </w:r>
      <w:r w:rsidR="00A77731" w:rsidRPr="00EA1E99">
        <w:rPr>
          <w:rStyle w:val="FootnoteReference"/>
          <w:rFonts w:cs="Times New Roman"/>
          <w:color w:val="000000"/>
        </w:rPr>
        <w:footnoteReference w:id="48"/>
      </w:r>
      <w:r w:rsidRPr="00EA1E99">
        <w:rPr>
          <w:rFonts w:cs="Times New Roman"/>
          <w:color w:val="000000"/>
        </w:rPr>
        <w:t xml:space="preserve"> </w:t>
      </w:r>
      <w:r w:rsidR="00A77731" w:rsidRPr="00EA1E99">
        <w:rPr>
          <w:rFonts w:cs="Times New Roman"/>
          <w:color w:val="000000"/>
        </w:rPr>
        <w:t xml:space="preserve"> Another indicative example of the Inquiry’s approach – in the context of the revival argument – is the fact </w:t>
      </w:r>
      <w:r w:rsidRPr="00EA1E99">
        <w:rPr>
          <w:rFonts w:cs="Times New Roman"/>
          <w:color w:val="000000"/>
        </w:rPr>
        <w:t>that key provisions of the 1969 Vienna Convention on the Law of Treaties</w:t>
      </w:r>
      <w:r w:rsidR="00A77731" w:rsidRPr="00EA1E99">
        <w:rPr>
          <w:rStyle w:val="FootnoteReference"/>
          <w:rFonts w:cs="Times New Roman"/>
          <w:color w:val="000000"/>
        </w:rPr>
        <w:footnoteReference w:id="49"/>
      </w:r>
      <w:r w:rsidRPr="00EA1E99">
        <w:rPr>
          <w:rFonts w:cs="Times New Roman"/>
          <w:color w:val="000000"/>
        </w:rPr>
        <w:t xml:space="preserve"> </w:t>
      </w:r>
      <w:r w:rsidR="00203F0F" w:rsidRPr="00EA1E99">
        <w:rPr>
          <w:rFonts w:cs="Times New Roman"/>
          <w:color w:val="000000"/>
        </w:rPr>
        <w:t xml:space="preserve">relating to </w:t>
      </w:r>
      <w:r w:rsidR="00203F0F" w:rsidRPr="00EA1E99">
        <w:rPr>
          <w:rFonts w:cs="Times New Roman"/>
          <w:color w:val="000000"/>
        </w:rPr>
        <w:lastRenderedPageBreak/>
        <w:t xml:space="preserve">legal interpretation </w:t>
      </w:r>
      <w:r w:rsidRPr="00EA1E99">
        <w:rPr>
          <w:rFonts w:cs="Times New Roman"/>
          <w:color w:val="000000"/>
        </w:rPr>
        <w:t>are reproduced in full</w:t>
      </w:r>
      <w:r w:rsidR="00E3708F" w:rsidRPr="00EA1E99">
        <w:rPr>
          <w:rFonts w:cs="Times New Roman"/>
          <w:color w:val="000000"/>
        </w:rPr>
        <w:t>.</w:t>
      </w:r>
      <w:r w:rsidRPr="00EA1E99">
        <w:rPr>
          <w:rFonts w:cs="Times New Roman"/>
          <w:color w:val="000000"/>
        </w:rPr>
        <w:t xml:space="preserve"> </w:t>
      </w:r>
      <w:r w:rsidR="008A4427" w:rsidRPr="00EA1E99">
        <w:rPr>
          <w:rFonts w:cs="Times New Roman"/>
          <w:color w:val="000000"/>
        </w:rPr>
        <w:t xml:space="preserve"> This p</w:t>
      </w:r>
      <w:r w:rsidRPr="00EA1E99">
        <w:rPr>
          <w:rFonts w:cs="Times New Roman"/>
          <w:color w:val="000000"/>
        </w:rPr>
        <w:t>rovid</w:t>
      </w:r>
      <w:r w:rsidR="008A4427" w:rsidRPr="00EA1E99">
        <w:rPr>
          <w:rFonts w:cs="Times New Roman"/>
          <w:color w:val="000000"/>
        </w:rPr>
        <w:t>es</w:t>
      </w:r>
      <w:r w:rsidRPr="00EA1E99">
        <w:rPr>
          <w:rFonts w:cs="Times New Roman"/>
          <w:color w:val="000000"/>
        </w:rPr>
        <w:t xml:space="preserve"> anyone reading the Report</w:t>
      </w:r>
      <w:r w:rsidR="00E3708F" w:rsidRPr="00EA1E99">
        <w:rPr>
          <w:rFonts w:cs="Times New Roman"/>
          <w:color w:val="000000"/>
        </w:rPr>
        <w:t>,</w:t>
      </w:r>
      <w:r w:rsidRPr="00EA1E99">
        <w:rPr>
          <w:rFonts w:cs="Times New Roman"/>
          <w:color w:val="000000"/>
        </w:rPr>
        <w:t xml:space="preserve"> who may not have a background in international law</w:t>
      </w:r>
      <w:r w:rsidR="00E3708F" w:rsidRPr="00EA1E99">
        <w:rPr>
          <w:rFonts w:cs="Times New Roman"/>
          <w:color w:val="000000"/>
        </w:rPr>
        <w:t>,</w:t>
      </w:r>
      <w:r w:rsidRPr="00EA1E99">
        <w:rPr>
          <w:rFonts w:cs="Times New Roman"/>
          <w:color w:val="000000"/>
        </w:rPr>
        <w:t xml:space="preserve"> with a valuable tool with which to undertake assessment of the Security Council resolutions that formed the basis of the UK’</w:t>
      </w:r>
      <w:r w:rsidR="00A77731" w:rsidRPr="00EA1E99">
        <w:rPr>
          <w:rFonts w:cs="Times New Roman"/>
          <w:color w:val="000000"/>
        </w:rPr>
        <w:t>s legal case</w:t>
      </w:r>
      <w:r w:rsidR="00981FC3" w:rsidRPr="00EA1E99">
        <w:rPr>
          <w:rFonts w:cs="Times New Roman"/>
          <w:color w:val="000000"/>
        </w:rPr>
        <w:t>.</w:t>
      </w:r>
      <w:r w:rsidR="00A77731" w:rsidRPr="00EA1E99">
        <w:rPr>
          <w:rStyle w:val="FootnoteReference"/>
          <w:rFonts w:cs="Times New Roman"/>
          <w:color w:val="000000"/>
        </w:rPr>
        <w:footnoteReference w:id="50"/>
      </w:r>
    </w:p>
    <w:p w14:paraId="7946E642" w14:textId="79F9F32A" w:rsidR="00AD3C2E" w:rsidRPr="00EA1E99" w:rsidRDefault="00D62011" w:rsidP="00DB20E6">
      <w:pPr>
        <w:spacing w:line="480" w:lineRule="auto"/>
        <w:ind w:firstLine="709"/>
        <w:rPr>
          <w:rFonts w:cs="Times New Roman"/>
          <w:color w:val="000000"/>
        </w:rPr>
      </w:pPr>
      <w:r w:rsidRPr="00EA1E99">
        <w:rPr>
          <w:rFonts w:cs="Times New Roman"/>
          <w:color w:val="000000"/>
        </w:rPr>
        <w:t xml:space="preserve">This is not to say that the Inquiry’s engagement with international law was </w:t>
      </w:r>
      <w:r w:rsidR="00DB20E6" w:rsidRPr="00EA1E99">
        <w:rPr>
          <w:rFonts w:cs="Times New Roman"/>
          <w:color w:val="000000"/>
        </w:rPr>
        <w:t>unfailing</w:t>
      </w:r>
      <w:r w:rsidRPr="00EA1E99">
        <w:rPr>
          <w:rFonts w:cs="Times New Roman"/>
          <w:color w:val="000000"/>
        </w:rPr>
        <w:t xml:space="preserve">.  For example, its offhand summary of the </w:t>
      </w:r>
      <w:r w:rsidRPr="00EA1E99">
        <w:rPr>
          <w:rFonts w:cs="Times New Roman"/>
          <w:i/>
          <w:color w:val="000000"/>
        </w:rPr>
        <w:t>jus ad bellum</w:t>
      </w:r>
      <w:r w:rsidRPr="00EA1E99">
        <w:rPr>
          <w:rFonts w:cs="Times New Roman"/>
          <w:color w:val="000000"/>
        </w:rPr>
        <w:t xml:space="preserve"> as the ‘prohibition on the use of force except in self-defence or where clearly authorised by the Security Council’,</w:t>
      </w:r>
      <w:r w:rsidRPr="00EA1E99">
        <w:rPr>
          <w:rStyle w:val="FootnoteReference"/>
          <w:rFonts w:cs="Times New Roman"/>
          <w:color w:val="000000"/>
        </w:rPr>
        <w:footnoteReference w:id="51"/>
      </w:r>
      <w:r w:rsidRPr="00EA1E99">
        <w:rPr>
          <w:rFonts w:cs="Times New Roman"/>
          <w:color w:val="000000"/>
        </w:rPr>
        <w:t xml:space="preserve"> while broadly accurate, is devoid of nuance and paints a picture that might act to somewhat obscure the complex </w:t>
      </w:r>
      <w:r w:rsidR="00E06D19" w:rsidRPr="00EA1E99">
        <w:rPr>
          <w:rFonts w:cs="Times New Roman"/>
          <w:color w:val="000000"/>
        </w:rPr>
        <w:t>realities concerning</w:t>
      </w:r>
      <w:r w:rsidRPr="00EA1E99">
        <w:rPr>
          <w:rFonts w:cs="Times New Roman"/>
          <w:color w:val="000000"/>
        </w:rPr>
        <w:t xml:space="preserve"> the law on the use of force.</w:t>
      </w:r>
      <w:r w:rsidR="00DB20E6" w:rsidRPr="00EA1E99">
        <w:rPr>
          <w:rFonts w:cs="Times New Roman"/>
          <w:color w:val="000000"/>
        </w:rPr>
        <w:t xml:space="preserve">  Such representations perhaps further underscore </w:t>
      </w:r>
      <w:r w:rsidR="002E4096" w:rsidRPr="00EA1E99">
        <w:rPr>
          <w:rFonts w:cs="Times New Roman"/>
          <w:color w:val="000000"/>
        </w:rPr>
        <w:t xml:space="preserve">the view </w:t>
      </w:r>
      <w:r w:rsidR="00DB20E6" w:rsidRPr="00EA1E99">
        <w:rPr>
          <w:rFonts w:cs="Times New Roman"/>
          <w:color w:val="000000"/>
        </w:rPr>
        <w:t xml:space="preserve">that it would not have been appropriate or desirable for </w:t>
      </w:r>
      <w:proofErr w:type="spellStart"/>
      <w:r w:rsidR="00DB20E6" w:rsidRPr="00EA1E99">
        <w:rPr>
          <w:rFonts w:cs="Times New Roman"/>
          <w:color w:val="000000"/>
        </w:rPr>
        <w:t>Chilcot</w:t>
      </w:r>
      <w:proofErr w:type="spellEnd"/>
      <w:r w:rsidR="00DB20E6" w:rsidRPr="00EA1E99">
        <w:rPr>
          <w:rFonts w:cs="Times New Roman"/>
          <w:color w:val="000000"/>
        </w:rPr>
        <w:t xml:space="preserve"> to have had a mandate to reach concrete legal findings.</w:t>
      </w:r>
      <w:r w:rsidR="00B00762" w:rsidRPr="00EA1E99">
        <w:rPr>
          <w:rStyle w:val="FootnoteReference"/>
          <w:rFonts w:cs="Times New Roman"/>
          <w:color w:val="000000"/>
        </w:rPr>
        <w:footnoteReference w:id="52"/>
      </w:r>
      <w:r w:rsidR="00DB20E6" w:rsidRPr="00EA1E99">
        <w:rPr>
          <w:rFonts w:cs="Times New Roman"/>
          <w:color w:val="000000"/>
        </w:rPr>
        <w:t xml:space="preserve">  </w:t>
      </w:r>
    </w:p>
    <w:p w14:paraId="2FFC7C72" w14:textId="1A94CD24" w:rsidR="00DB20E6" w:rsidRPr="00EA1E99" w:rsidRDefault="00DB20E6" w:rsidP="00DB20E6">
      <w:pPr>
        <w:spacing w:line="480" w:lineRule="auto"/>
        <w:ind w:firstLine="709"/>
        <w:rPr>
          <w:rFonts w:cs="Times New Roman"/>
        </w:rPr>
      </w:pPr>
      <w:r w:rsidRPr="00EA1E99">
        <w:rPr>
          <w:rFonts w:cs="Times New Roman"/>
          <w:color w:val="000000"/>
        </w:rPr>
        <w:t xml:space="preserve">Nonetheless, for the most part, the way in which the Inquiry has engaged with international law – </w:t>
      </w:r>
      <w:r w:rsidR="00AD3C2E" w:rsidRPr="00EA1E99">
        <w:rPr>
          <w:rFonts w:cs="Times New Roman"/>
          <w:color w:val="000000"/>
        </w:rPr>
        <w:t xml:space="preserve">both </w:t>
      </w:r>
      <w:r w:rsidRPr="00EA1E99">
        <w:rPr>
          <w:rFonts w:cs="Times New Roman"/>
          <w:color w:val="000000"/>
        </w:rPr>
        <w:t xml:space="preserve">in terms of depth and accuracy – is pleasing.  </w:t>
      </w:r>
      <w:r w:rsidR="00203F0F" w:rsidRPr="00EA1E99">
        <w:rPr>
          <w:rFonts w:cs="Times New Roman"/>
          <w:shd w:val="clear" w:color="auto" w:fill="FFFFFF"/>
        </w:rPr>
        <w:t>S</w:t>
      </w:r>
      <w:r w:rsidR="00AD3C2E" w:rsidRPr="00EA1E99">
        <w:rPr>
          <w:rFonts w:cs="Times New Roman"/>
          <w:shd w:val="clear" w:color="auto" w:fill="FFFFFF"/>
        </w:rPr>
        <w:t>ignificant i</w:t>
      </w:r>
      <w:r w:rsidRPr="00EA1E99">
        <w:rPr>
          <w:rFonts w:cs="Times New Roman"/>
          <w:shd w:val="clear" w:color="auto" w:fill="FFFFFF"/>
        </w:rPr>
        <w:t xml:space="preserve">nternational legal discourse </w:t>
      </w:r>
      <w:r w:rsidR="00AD3C2E" w:rsidRPr="00EA1E99">
        <w:rPr>
          <w:rFonts w:cs="Times New Roman"/>
          <w:shd w:val="clear" w:color="auto" w:fill="FFFFFF"/>
        </w:rPr>
        <w:t xml:space="preserve">in the UK </w:t>
      </w:r>
      <w:r w:rsidRPr="00EA1E99">
        <w:rPr>
          <w:rFonts w:cs="Times New Roman"/>
          <w:shd w:val="clear" w:color="auto" w:fill="FFFFFF"/>
        </w:rPr>
        <w:t xml:space="preserve">regarding the Iraq War </w:t>
      </w:r>
      <w:r w:rsidR="00AD3C2E" w:rsidRPr="00EA1E99">
        <w:rPr>
          <w:rFonts w:cs="Times New Roman"/>
          <w:shd w:val="clear" w:color="auto" w:fill="FFFFFF"/>
        </w:rPr>
        <w:t xml:space="preserve">has </w:t>
      </w:r>
      <w:r w:rsidR="00533163" w:rsidRPr="00EA1E99">
        <w:rPr>
          <w:rFonts w:cs="Times New Roman"/>
          <w:shd w:val="clear" w:color="auto" w:fill="FFFFFF"/>
        </w:rPr>
        <w:t xml:space="preserve">run </w:t>
      </w:r>
      <w:r w:rsidRPr="00EA1E99">
        <w:rPr>
          <w:rFonts w:cs="Times New Roman"/>
          <w:shd w:val="clear" w:color="auto" w:fill="FFFFFF"/>
        </w:rPr>
        <w:t xml:space="preserve">parallel to the Inquiry’s work, and </w:t>
      </w:r>
      <w:r w:rsidR="00AD3C2E" w:rsidRPr="00EA1E99">
        <w:rPr>
          <w:rFonts w:cs="Times New Roman"/>
          <w:shd w:val="clear" w:color="auto" w:fill="FFFFFF"/>
        </w:rPr>
        <w:t>has been</w:t>
      </w:r>
      <w:r w:rsidRPr="00EA1E99">
        <w:rPr>
          <w:rFonts w:cs="Times New Roman"/>
          <w:shd w:val="clear" w:color="auto" w:fill="FFFFFF"/>
        </w:rPr>
        <w:t xml:space="preserve"> fuelled by it.  As Peevers has argued, </w:t>
      </w:r>
      <w:r w:rsidRPr="00EA1E99">
        <w:rPr>
          <w:rFonts w:cs="Times New Roman"/>
          <w:color w:val="000000"/>
          <w:shd w:val="clear" w:color="auto" w:fill="FFFFFF"/>
        </w:rPr>
        <w:t>‘the Inquiry itself generated a “resurgent” debate over Iraq War decision-making and, during the hearings, we perhaps heard more than ever before about the legal aspects of the decision to go to war.’</w:t>
      </w:r>
      <w:r w:rsidRPr="00EA1E99">
        <w:rPr>
          <w:rStyle w:val="FootnoteReference"/>
          <w:rFonts w:cs="Times New Roman"/>
          <w:color w:val="000000"/>
          <w:shd w:val="clear" w:color="auto" w:fill="FFFFFF"/>
        </w:rPr>
        <w:footnoteReference w:id="53"/>
      </w:r>
      <w:r w:rsidRPr="00EA1E99">
        <w:rPr>
          <w:rFonts w:cs="Times New Roman"/>
          <w:color w:val="000000"/>
          <w:shd w:val="clear" w:color="auto" w:fill="FFFFFF"/>
        </w:rPr>
        <w:t xml:space="preserve">  </w:t>
      </w:r>
      <w:r w:rsidR="00B22092" w:rsidRPr="00EA1E99">
        <w:rPr>
          <w:rFonts w:cs="Times New Roman"/>
        </w:rPr>
        <w:t xml:space="preserve">The </w:t>
      </w:r>
      <w:r w:rsidR="00533163" w:rsidRPr="00EA1E99">
        <w:rPr>
          <w:rFonts w:cs="Times New Roman"/>
        </w:rPr>
        <w:t xml:space="preserve">Inquiry’s high profile means that the </w:t>
      </w:r>
      <w:r w:rsidR="00B22092" w:rsidRPr="00EA1E99">
        <w:rPr>
          <w:rFonts w:eastAsia="Times New Roman" w:cs="Times New Roman"/>
        </w:rPr>
        <w:t>admirable care taken in its</w:t>
      </w:r>
      <w:r w:rsidR="0013331F" w:rsidRPr="00EA1E99">
        <w:rPr>
          <w:rFonts w:eastAsia="Times New Roman" w:cs="Times New Roman"/>
        </w:rPr>
        <w:t xml:space="preserve"> Report’s</w:t>
      </w:r>
      <w:r w:rsidR="00B22092" w:rsidRPr="00EA1E99">
        <w:rPr>
          <w:rFonts w:eastAsia="Times New Roman" w:cs="Times New Roman"/>
        </w:rPr>
        <w:t xml:space="preserve"> representations of international law </w:t>
      </w:r>
      <w:r w:rsidR="00B22092" w:rsidRPr="00EA1E99">
        <w:rPr>
          <w:rFonts w:cs="Times New Roman"/>
        </w:rPr>
        <w:t>has the potential to</w:t>
      </w:r>
      <w:r w:rsidRPr="00EA1E99">
        <w:rPr>
          <w:rFonts w:cs="Times New Roman"/>
        </w:rPr>
        <w:t xml:space="preserve"> </w:t>
      </w:r>
      <w:r w:rsidR="00B22092" w:rsidRPr="00EA1E99">
        <w:rPr>
          <w:rFonts w:cs="Times New Roman"/>
        </w:rPr>
        <w:t>improve</w:t>
      </w:r>
      <w:r w:rsidRPr="00EA1E99">
        <w:rPr>
          <w:rFonts w:cs="Times New Roman"/>
        </w:rPr>
        <w:t xml:space="preserve"> future engagement with </w:t>
      </w:r>
      <w:r w:rsidR="00B22092" w:rsidRPr="00EA1E99">
        <w:rPr>
          <w:rFonts w:cs="Times New Roman"/>
        </w:rPr>
        <w:t>international law</w:t>
      </w:r>
      <w:r w:rsidRPr="00EA1E99">
        <w:rPr>
          <w:rFonts w:cs="Times New Roman"/>
        </w:rPr>
        <w:t xml:space="preserve"> by </w:t>
      </w:r>
      <w:r w:rsidR="00922408" w:rsidRPr="00EA1E99">
        <w:rPr>
          <w:rFonts w:cs="Times New Roman"/>
        </w:rPr>
        <w:t xml:space="preserve">British commissions of inquiry, </w:t>
      </w:r>
      <w:r w:rsidRPr="00EA1E99">
        <w:rPr>
          <w:rFonts w:cs="Times New Roman"/>
        </w:rPr>
        <w:t xml:space="preserve">as well </w:t>
      </w:r>
      <w:r w:rsidR="00B22092" w:rsidRPr="00EA1E99">
        <w:rPr>
          <w:rFonts w:cs="Times New Roman"/>
        </w:rPr>
        <w:t>contributing</w:t>
      </w:r>
      <w:r w:rsidRPr="00EA1E99">
        <w:rPr>
          <w:rFonts w:cs="Times New Roman"/>
        </w:rPr>
        <w:t xml:space="preserve"> </w:t>
      </w:r>
      <w:r w:rsidR="00B22092" w:rsidRPr="00EA1E99">
        <w:rPr>
          <w:rFonts w:cs="Times New Roman"/>
        </w:rPr>
        <w:t xml:space="preserve">positively to </w:t>
      </w:r>
      <w:r w:rsidRPr="00EA1E99">
        <w:rPr>
          <w:rFonts w:cs="Times New Roman"/>
        </w:rPr>
        <w:t xml:space="preserve">the wider social awareness of </w:t>
      </w:r>
      <w:r w:rsidR="00922408" w:rsidRPr="00EA1E99">
        <w:rPr>
          <w:rFonts w:cs="Times New Roman"/>
        </w:rPr>
        <w:t>international legal standards</w:t>
      </w:r>
      <w:r w:rsidRPr="00EA1E99">
        <w:rPr>
          <w:rFonts w:cs="Times New Roman"/>
        </w:rPr>
        <w:t xml:space="preserve"> in the UK.</w:t>
      </w:r>
    </w:p>
    <w:p w14:paraId="043EEEAB" w14:textId="765E47FD" w:rsidR="00F41344" w:rsidRPr="00EA1E99" w:rsidRDefault="00F41344" w:rsidP="004C1DD1">
      <w:pPr>
        <w:spacing w:line="480" w:lineRule="auto"/>
        <w:rPr>
          <w:rFonts w:cs="Times New Roman"/>
          <w:b/>
        </w:rPr>
      </w:pPr>
    </w:p>
    <w:p w14:paraId="7D56D402" w14:textId="465880D1" w:rsidR="002D426A" w:rsidRPr="00EA1E99" w:rsidRDefault="005E09C8" w:rsidP="004C1DD1">
      <w:pPr>
        <w:spacing w:line="480" w:lineRule="auto"/>
        <w:rPr>
          <w:rFonts w:cs="Times New Roman"/>
          <w:b/>
        </w:rPr>
      </w:pPr>
      <w:r w:rsidRPr="00EA1E99">
        <w:rPr>
          <w:rFonts w:cs="Times New Roman"/>
          <w:b/>
        </w:rPr>
        <w:t xml:space="preserve">3. </w:t>
      </w:r>
      <w:r w:rsidR="00CA45AD" w:rsidRPr="00EA1E99">
        <w:rPr>
          <w:rFonts w:cs="Times New Roman"/>
          <w:b/>
        </w:rPr>
        <w:t xml:space="preserve">The </w:t>
      </w:r>
      <w:proofErr w:type="spellStart"/>
      <w:r w:rsidR="00CA45AD" w:rsidRPr="00EA1E99">
        <w:rPr>
          <w:rFonts w:cs="Times New Roman"/>
          <w:b/>
        </w:rPr>
        <w:t>Chilcot</w:t>
      </w:r>
      <w:proofErr w:type="spellEnd"/>
      <w:r w:rsidR="00CA45AD" w:rsidRPr="00EA1E99">
        <w:rPr>
          <w:rFonts w:cs="Times New Roman"/>
          <w:b/>
        </w:rPr>
        <w:t xml:space="preserve"> Inquiry and International Legal Advice</w:t>
      </w:r>
    </w:p>
    <w:p w14:paraId="0D61170E" w14:textId="619DF65A" w:rsidR="0085388A" w:rsidRPr="00EA1E99" w:rsidRDefault="00741570" w:rsidP="004A774C">
      <w:pPr>
        <w:spacing w:line="480" w:lineRule="auto"/>
        <w:rPr>
          <w:rFonts w:eastAsia="Times New Roman" w:cs="Times New Roman"/>
        </w:rPr>
      </w:pPr>
      <w:r w:rsidRPr="00EA1E99">
        <w:rPr>
          <w:rFonts w:eastAsia="Times New Roman" w:cs="Times New Roman"/>
        </w:rPr>
        <w:lastRenderedPageBreak/>
        <w:t xml:space="preserve">It has already been noted that the </w:t>
      </w:r>
      <w:proofErr w:type="spellStart"/>
      <w:r w:rsidRPr="00EA1E99">
        <w:rPr>
          <w:rFonts w:eastAsia="Times New Roman" w:cs="Times New Roman"/>
        </w:rPr>
        <w:t>Chilcot</w:t>
      </w:r>
      <w:proofErr w:type="spellEnd"/>
      <w:r w:rsidRPr="00EA1E99">
        <w:rPr>
          <w:rFonts w:eastAsia="Times New Roman" w:cs="Times New Roman"/>
        </w:rPr>
        <w:t xml:space="preserve"> Inquiry was not a </w:t>
      </w:r>
      <w:r w:rsidR="00051322" w:rsidRPr="00EA1E99">
        <w:rPr>
          <w:rFonts w:eastAsia="Times New Roman" w:cs="Times New Roman"/>
        </w:rPr>
        <w:t>body capable of making legal determinations</w:t>
      </w:r>
      <w:r w:rsidRPr="00EA1E99">
        <w:rPr>
          <w:rFonts w:eastAsia="Times New Roman" w:cs="Times New Roman"/>
        </w:rPr>
        <w:t xml:space="preserve"> and never framed itself in these </w:t>
      </w:r>
      <w:r w:rsidR="00051322" w:rsidRPr="00EA1E99">
        <w:rPr>
          <w:rFonts w:eastAsia="Times New Roman" w:cs="Times New Roman"/>
        </w:rPr>
        <w:t>terms.</w:t>
      </w:r>
      <w:r w:rsidR="00672E27" w:rsidRPr="00EA1E99">
        <w:rPr>
          <w:rStyle w:val="FootnoteReference"/>
          <w:rFonts w:eastAsia="Times New Roman" w:cs="Times New Roman"/>
        </w:rPr>
        <w:footnoteReference w:id="54"/>
      </w:r>
      <w:r w:rsidR="00051322" w:rsidRPr="00EA1E99">
        <w:rPr>
          <w:rFonts w:eastAsia="Times New Roman" w:cs="Times New Roman"/>
        </w:rPr>
        <w:t xml:space="preserve">  </w:t>
      </w:r>
      <w:r w:rsidR="00672E27" w:rsidRPr="00EA1E99">
        <w:rPr>
          <w:rFonts w:eastAsia="Times New Roman" w:cs="Times New Roman"/>
        </w:rPr>
        <w:t>Perhaps as a</w:t>
      </w:r>
      <w:r w:rsidR="00051322" w:rsidRPr="00EA1E99">
        <w:rPr>
          <w:rFonts w:eastAsia="Times New Roman" w:cs="Times New Roman"/>
        </w:rPr>
        <w:t xml:space="preserve"> result</w:t>
      </w:r>
      <w:r w:rsidR="00672E27" w:rsidRPr="00EA1E99">
        <w:rPr>
          <w:rFonts w:eastAsia="Times New Roman" w:cs="Times New Roman"/>
        </w:rPr>
        <w:t xml:space="preserve">, </w:t>
      </w:r>
      <w:r w:rsidR="00051322" w:rsidRPr="00EA1E99">
        <w:rPr>
          <w:rFonts w:eastAsia="Times New Roman" w:cs="Times New Roman"/>
        </w:rPr>
        <w:t xml:space="preserve">the </w:t>
      </w:r>
      <w:r w:rsidR="0014374B" w:rsidRPr="00EA1E99">
        <w:rPr>
          <w:rFonts w:eastAsia="Times New Roman" w:cs="Times New Roman"/>
        </w:rPr>
        <w:t>Inquiry</w:t>
      </w:r>
      <w:r w:rsidR="007774C2" w:rsidRPr="00EA1E99">
        <w:rPr>
          <w:rFonts w:eastAsia="Times New Roman" w:cs="Times New Roman"/>
        </w:rPr>
        <w:t xml:space="preserve"> </w:t>
      </w:r>
      <w:r w:rsidR="00051322" w:rsidRPr="00EA1E99">
        <w:rPr>
          <w:rFonts w:eastAsia="Times New Roman" w:cs="Times New Roman"/>
        </w:rPr>
        <w:t>perceived one of its roles as</w:t>
      </w:r>
      <w:r w:rsidR="0014374B" w:rsidRPr="00EA1E99">
        <w:rPr>
          <w:rFonts w:eastAsia="Times New Roman" w:cs="Times New Roman"/>
        </w:rPr>
        <w:t xml:space="preserve"> not </w:t>
      </w:r>
      <w:r w:rsidR="007774C2" w:rsidRPr="00EA1E99">
        <w:rPr>
          <w:rFonts w:eastAsia="Times New Roman" w:cs="Times New Roman"/>
        </w:rPr>
        <w:t>merely</w:t>
      </w:r>
      <w:r w:rsidR="0014374B" w:rsidRPr="00EA1E99">
        <w:rPr>
          <w:rFonts w:eastAsia="Times New Roman" w:cs="Times New Roman"/>
        </w:rPr>
        <w:t xml:space="preserve"> </w:t>
      </w:r>
      <w:r w:rsidR="00672E27" w:rsidRPr="00EA1E99">
        <w:rPr>
          <w:rFonts w:eastAsia="Times New Roman" w:cs="Times New Roman"/>
        </w:rPr>
        <w:t xml:space="preserve">being </w:t>
      </w:r>
      <w:r w:rsidR="00051322" w:rsidRPr="00EA1E99">
        <w:rPr>
          <w:rFonts w:eastAsia="Times New Roman" w:cs="Times New Roman"/>
        </w:rPr>
        <w:t>to</w:t>
      </w:r>
      <w:r w:rsidR="00C90D9E" w:rsidRPr="00EA1E99">
        <w:rPr>
          <w:rFonts w:eastAsia="Times New Roman" w:cs="Times New Roman"/>
        </w:rPr>
        <w:t xml:space="preserve"> </w:t>
      </w:r>
      <w:r w:rsidR="00CF5609" w:rsidRPr="00EA1E99">
        <w:rPr>
          <w:rFonts w:eastAsia="Times New Roman" w:cs="Times New Roman"/>
        </w:rPr>
        <w:t>analys</w:t>
      </w:r>
      <w:r w:rsidR="00051322" w:rsidRPr="00EA1E99">
        <w:rPr>
          <w:rFonts w:eastAsia="Times New Roman" w:cs="Times New Roman"/>
        </w:rPr>
        <w:t>e</w:t>
      </w:r>
      <w:r w:rsidR="00CF5609" w:rsidRPr="00EA1E99">
        <w:rPr>
          <w:rFonts w:eastAsia="Times New Roman" w:cs="Times New Roman"/>
        </w:rPr>
        <w:t xml:space="preserve"> the ‘content’ of </w:t>
      </w:r>
      <w:r w:rsidR="00C90D9E" w:rsidRPr="00EA1E99">
        <w:rPr>
          <w:rFonts w:eastAsia="Times New Roman" w:cs="Times New Roman"/>
        </w:rPr>
        <w:t xml:space="preserve">the legal </w:t>
      </w:r>
      <w:r w:rsidR="00CF5609" w:rsidRPr="00EA1E99">
        <w:rPr>
          <w:rFonts w:eastAsia="Times New Roman" w:cs="Times New Roman"/>
        </w:rPr>
        <w:t>advic</w:t>
      </w:r>
      <w:r w:rsidR="0014374B" w:rsidRPr="00EA1E99">
        <w:rPr>
          <w:rFonts w:eastAsia="Times New Roman" w:cs="Times New Roman"/>
        </w:rPr>
        <w:t>e given to government</w:t>
      </w:r>
      <w:r w:rsidR="00051322" w:rsidRPr="00EA1E99">
        <w:rPr>
          <w:rFonts w:eastAsia="Times New Roman" w:cs="Times New Roman"/>
        </w:rPr>
        <w:t xml:space="preserve"> in relation to the Iraq War</w:t>
      </w:r>
      <w:r w:rsidR="0014374B" w:rsidRPr="00EA1E99">
        <w:rPr>
          <w:rFonts w:eastAsia="Times New Roman" w:cs="Times New Roman"/>
        </w:rPr>
        <w:t xml:space="preserve">, but also </w:t>
      </w:r>
      <w:r w:rsidR="00051322" w:rsidRPr="00EA1E99">
        <w:rPr>
          <w:rFonts w:eastAsia="Times New Roman" w:cs="Times New Roman"/>
        </w:rPr>
        <w:t xml:space="preserve">to </w:t>
      </w:r>
      <w:r w:rsidR="007774C2" w:rsidRPr="00EA1E99">
        <w:rPr>
          <w:rFonts w:eastAsia="Times New Roman" w:cs="Times New Roman"/>
        </w:rPr>
        <w:t>engag</w:t>
      </w:r>
      <w:r w:rsidR="00051322" w:rsidRPr="00EA1E99">
        <w:rPr>
          <w:rFonts w:eastAsia="Times New Roman" w:cs="Times New Roman"/>
        </w:rPr>
        <w:t>e</w:t>
      </w:r>
      <w:r w:rsidR="007774C2" w:rsidRPr="00EA1E99">
        <w:rPr>
          <w:rFonts w:eastAsia="Times New Roman" w:cs="Times New Roman"/>
        </w:rPr>
        <w:t xml:space="preserve"> with the</w:t>
      </w:r>
      <w:r w:rsidR="0014374B" w:rsidRPr="00EA1E99">
        <w:rPr>
          <w:rFonts w:eastAsia="Times New Roman" w:cs="Times New Roman"/>
        </w:rPr>
        <w:t xml:space="preserve"> means and occasions</w:t>
      </w:r>
      <w:r w:rsidR="007774C2" w:rsidRPr="00EA1E99">
        <w:rPr>
          <w:rFonts w:eastAsia="Times New Roman" w:cs="Times New Roman"/>
        </w:rPr>
        <w:t xml:space="preserve"> by which advice was provided </w:t>
      </w:r>
      <w:r w:rsidR="00051322" w:rsidRPr="00EA1E99">
        <w:rPr>
          <w:rFonts w:eastAsia="Times New Roman" w:cs="Times New Roman"/>
        </w:rPr>
        <w:t>and received</w:t>
      </w:r>
      <w:r w:rsidR="00672E27" w:rsidRPr="00EA1E99">
        <w:rPr>
          <w:rFonts w:eastAsia="Times New Roman" w:cs="Times New Roman"/>
        </w:rPr>
        <w:t xml:space="preserve">.  The legal advice that formed the basis of the justification for war is a central element of </w:t>
      </w:r>
      <w:proofErr w:type="spellStart"/>
      <w:r w:rsidR="00672E27" w:rsidRPr="00EA1E99">
        <w:rPr>
          <w:rFonts w:eastAsia="Times New Roman" w:cs="Times New Roman"/>
        </w:rPr>
        <w:t>Ch</w:t>
      </w:r>
      <w:r w:rsidR="00ED2072" w:rsidRPr="00EA1E99">
        <w:rPr>
          <w:rFonts w:eastAsia="Times New Roman" w:cs="Times New Roman"/>
        </w:rPr>
        <w:t>i</w:t>
      </w:r>
      <w:r w:rsidR="00672E27" w:rsidRPr="00EA1E99">
        <w:rPr>
          <w:rFonts w:eastAsia="Times New Roman" w:cs="Times New Roman"/>
        </w:rPr>
        <w:t>lcot</w:t>
      </w:r>
      <w:proofErr w:type="spellEnd"/>
      <w:r w:rsidR="00672E27" w:rsidRPr="00EA1E99">
        <w:rPr>
          <w:rFonts w:eastAsia="Times New Roman" w:cs="Times New Roman"/>
        </w:rPr>
        <w:t>: m</w:t>
      </w:r>
      <w:r w:rsidR="00672E27" w:rsidRPr="00EA1E99">
        <w:rPr>
          <w:rFonts w:cs="Times New Roman"/>
        </w:rPr>
        <w:t>ost notably, section 5 of the Report – running to 169 pages and over 70,000 words – is devoted entirely to the question of the advice that formed the basis for the UK’s legal case for the intervention,</w:t>
      </w:r>
      <w:r w:rsidR="00672E27" w:rsidRPr="00EA1E99">
        <w:rPr>
          <w:rStyle w:val="FootnoteReference"/>
          <w:rFonts w:cs="Times New Roman"/>
        </w:rPr>
        <w:footnoteReference w:id="55"/>
      </w:r>
      <w:r w:rsidR="00672E27" w:rsidRPr="00EA1E99">
        <w:rPr>
          <w:rFonts w:cs="Times New Roman"/>
        </w:rPr>
        <w:t xml:space="preserve"> although it is important to note that questions concerning legal advice (its nature, delivery and reception) are explored throughout the Report.</w:t>
      </w:r>
      <w:r w:rsidR="00672E27" w:rsidRPr="00EA1E99">
        <w:rPr>
          <w:rStyle w:val="FootnoteReference"/>
          <w:rFonts w:cs="Times New Roman"/>
        </w:rPr>
        <w:footnoteReference w:id="56"/>
      </w:r>
      <w:r w:rsidR="00672E27" w:rsidRPr="00EA1E99">
        <w:rPr>
          <w:rFonts w:cs="Times New Roman"/>
        </w:rPr>
        <w:t xml:space="preserve">  </w:t>
      </w:r>
    </w:p>
    <w:p w14:paraId="5558CED1" w14:textId="34E317AD" w:rsidR="00D92309" w:rsidRPr="00EA1E99" w:rsidRDefault="00B608F0" w:rsidP="00042074">
      <w:pPr>
        <w:spacing w:line="480" w:lineRule="auto"/>
        <w:ind w:firstLine="720"/>
        <w:rPr>
          <w:rFonts w:cs="Times New Roman"/>
        </w:rPr>
      </w:pPr>
      <w:r w:rsidRPr="00EA1E99">
        <w:rPr>
          <w:rFonts w:eastAsia="Times New Roman" w:cs="Times New Roman"/>
        </w:rPr>
        <w:t xml:space="preserve">Writing in 2009, not long after the </w:t>
      </w:r>
      <w:proofErr w:type="spellStart"/>
      <w:r w:rsidRPr="00EA1E99">
        <w:rPr>
          <w:rFonts w:eastAsia="Times New Roman" w:cs="Times New Roman"/>
        </w:rPr>
        <w:t>Chilcot</w:t>
      </w:r>
      <w:proofErr w:type="spellEnd"/>
      <w:r w:rsidRPr="00EA1E99">
        <w:rPr>
          <w:rFonts w:eastAsia="Times New Roman" w:cs="Times New Roman"/>
        </w:rPr>
        <w:t xml:space="preserve"> Inquiry’s creation, </w:t>
      </w:r>
      <w:r w:rsidRPr="00EA1E99">
        <w:rPr>
          <w:rFonts w:cs="Times New Roman"/>
        </w:rPr>
        <w:t>Scott and Baird argued that it was already the case that the Inquiry had ‘led to unprecedented scrutiny of the role of the government legal advisor</w:t>
      </w:r>
      <w:r w:rsidR="00056454" w:rsidRPr="00EA1E99">
        <w:rPr>
          <w:rFonts w:cs="Times New Roman"/>
        </w:rPr>
        <w:t>.</w:t>
      </w:r>
      <w:r w:rsidRPr="00EA1E99">
        <w:rPr>
          <w:rFonts w:cs="Times New Roman"/>
        </w:rPr>
        <w:t>’</w:t>
      </w:r>
      <w:r w:rsidRPr="00EA1E99">
        <w:rPr>
          <w:rStyle w:val="FootnoteReference"/>
          <w:rFonts w:cs="Times New Roman"/>
        </w:rPr>
        <w:footnoteReference w:id="57"/>
      </w:r>
      <w:r w:rsidR="00056454" w:rsidRPr="00EA1E99">
        <w:rPr>
          <w:rFonts w:cs="Times New Roman"/>
        </w:rPr>
        <w:t xml:space="preserve">  Such scrutiny has continued throughout the 7 years of the Inquiry’s existence.</w:t>
      </w:r>
      <w:r w:rsidRPr="00EA1E99">
        <w:rPr>
          <w:rStyle w:val="FootnoteReference"/>
          <w:rFonts w:cs="Times New Roman"/>
          <w:color w:val="000000"/>
          <w:shd w:val="clear" w:color="auto" w:fill="FFFFFF"/>
        </w:rPr>
        <w:footnoteReference w:id="58"/>
      </w:r>
      <w:r w:rsidR="00056454" w:rsidRPr="00EA1E99">
        <w:rPr>
          <w:rFonts w:cs="Times New Roman"/>
          <w:color w:val="000000"/>
          <w:shd w:val="clear" w:color="auto" w:fill="FFFFFF"/>
        </w:rPr>
        <w:t xml:space="preserve">  </w:t>
      </w:r>
      <w:r w:rsidRPr="00EA1E99">
        <w:rPr>
          <w:rFonts w:cs="Times New Roman"/>
        </w:rPr>
        <w:t xml:space="preserve">The </w:t>
      </w:r>
      <w:proofErr w:type="spellStart"/>
      <w:r w:rsidRPr="00EA1E99">
        <w:rPr>
          <w:rFonts w:cs="Times New Roman"/>
        </w:rPr>
        <w:t>Chilcot</w:t>
      </w:r>
      <w:proofErr w:type="spellEnd"/>
      <w:r w:rsidRPr="00EA1E99">
        <w:rPr>
          <w:rFonts w:cs="Times New Roman"/>
        </w:rPr>
        <w:t xml:space="preserve"> Inquiry has </w:t>
      </w:r>
      <w:r w:rsidR="006D224F" w:rsidRPr="00EA1E99">
        <w:rPr>
          <w:rFonts w:cs="Times New Roman"/>
        </w:rPr>
        <w:t>thus</w:t>
      </w:r>
      <w:r w:rsidR="00DF4A1C" w:rsidRPr="00EA1E99">
        <w:rPr>
          <w:rFonts w:cs="Times New Roman"/>
        </w:rPr>
        <w:t>, arguably unintentionally,</w:t>
      </w:r>
      <w:r w:rsidR="006D224F" w:rsidRPr="00EA1E99">
        <w:rPr>
          <w:rFonts w:cs="Times New Roman"/>
        </w:rPr>
        <w:t xml:space="preserve"> </w:t>
      </w:r>
      <w:r w:rsidR="00633F77" w:rsidRPr="00EA1E99">
        <w:rPr>
          <w:rFonts w:cs="Times New Roman"/>
        </w:rPr>
        <w:t>somewhat</w:t>
      </w:r>
      <w:r w:rsidR="0085388A" w:rsidRPr="00EA1E99">
        <w:rPr>
          <w:rFonts w:cs="Times New Roman"/>
        </w:rPr>
        <w:t xml:space="preserve"> ‘democratize</w:t>
      </w:r>
      <w:r w:rsidR="00633F77" w:rsidRPr="00EA1E99">
        <w:rPr>
          <w:rFonts w:cs="Times New Roman"/>
        </w:rPr>
        <w:t>d</w:t>
      </w:r>
      <w:r w:rsidR="0085388A" w:rsidRPr="00EA1E99">
        <w:rPr>
          <w:rFonts w:cs="Times New Roman"/>
        </w:rPr>
        <w:t xml:space="preserve">’ </w:t>
      </w:r>
      <w:r w:rsidR="00D92309" w:rsidRPr="00EA1E99">
        <w:rPr>
          <w:rFonts w:cs="Times New Roman"/>
        </w:rPr>
        <w:t xml:space="preserve">the nature of the provision of </w:t>
      </w:r>
      <w:r w:rsidR="0085388A" w:rsidRPr="00EA1E99">
        <w:rPr>
          <w:rFonts w:cs="Times New Roman"/>
        </w:rPr>
        <w:t>legal advice to governments,</w:t>
      </w:r>
      <w:r w:rsidR="00DB7F96" w:rsidRPr="00EA1E99">
        <w:rPr>
          <w:rStyle w:val="FootnoteReference"/>
          <w:rFonts w:cs="Times New Roman"/>
        </w:rPr>
        <w:footnoteReference w:id="59"/>
      </w:r>
      <w:r w:rsidR="0085388A" w:rsidRPr="00EA1E99">
        <w:rPr>
          <w:rFonts w:cs="Times New Roman"/>
        </w:rPr>
        <w:t xml:space="preserve"> b</w:t>
      </w:r>
      <w:r w:rsidR="00DF4A1C" w:rsidRPr="00EA1E99">
        <w:rPr>
          <w:rFonts w:cs="Times New Roman"/>
        </w:rPr>
        <w:t>y bringing</w:t>
      </w:r>
      <w:r w:rsidRPr="00EA1E99">
        <w:rPr>
          <w:rFonts w:cs="Times New Roman"/>
        </w:rPr>
        <w:t xml:space="preserve"> public attention to certain features of international legal expertise</w:t>
      </w:r>
      <w:r w:rsidR="008C274F" w:rsidRPr="00EA1E99">
        <w:rPr>
          <w:rFonts w:cs="Times New Roman"/>
        </w:rPr>
        <w:t xml:space="preserve"> and advice</w:t>
      </w:r>
      <w:r w:rsidRPr="00EA1E99">
        <w:rPr>
          <w:rFonts w:cs="Times New Roman"/>
        </w:rPr>
        <w:t xml:space="preserve">.  </w:t>
      </w:r>
      <w:r w:rsidR="00D92309" w:rsidRPr="00EA1E99">
        <w:rPr>
          <w:rFonts w:cs="Times New Roman"/>
        </w:rPr>
        <w:t>The events of the Iraq War, with which t</w:t>
      </w:r>
      <w:r w:rsidR="00DB7F96" w:rsidRPr="00EA1E99">
        <w:rPr>
          <w:rFonts w:cs="Times New Roman"/>
        </w:rPr>
        <w:t>he Inquiry was concerned</w:t>
      </w:r>
      <w:r w:rsidR="00D92309" w:rsidRPr="00EA1E99">
        <w:rPr>
          <w:rFonts w:cs="Times New Roman"/>
        </w:rPr>
        <w:t>,</w:t>
      </w:r>
      <w:r w:rsidR="00DB7F96" w:rsidRPr="00EA1E99">
        <w:rPr>
          <w:rFonts w:cs="Times New Roman"/>
        </w:rPr>
        <w:t xml:space="preserve"> </w:t>
      </w:r>
      <w:r w:rsidR="00D92309" w:rsidRPr="00EA1E99">
        <w:rPr>
          <w:rFonts w:cs="Times New Roman"/>
        </w:rPr>
        <w:t>did</w:t>
      </w:r>
      <w:r w:rsidR="00DB7F96" w:rsidRPr="00EA1E99">
        <w:rPr>
          <w:rFonts w:cs="Times New Roman"/>
        </w:rPr>
        <w:t xml:space="preserve"> not merely </w:t>
      </w:r>
      <w:r w:rsidR="00D92309" w:rsidRPr="00EA1E99">
        <w:rPr>
          <w:rFonts w:cs="Times New Roman"/>
        </w:rPr>
        <w:t>engage substantive legal</w:t>
      </w:r>
      <w:r w:rsidR="00DB7F96" w:rsidRPr="00EA1E99">
        <w:rPr>
          <w:rFonts w:cs="Times New Roman"/>
        </w:rPr>
        <w:t xml:space="preserve"> question</w:t>
      </w:r>
      <w:r w:rsidR="00D92309" w:rsidRPr="00EA1E99">
        <w:rPr>
          <w:rFonts w:cs="Times New Roman"/>
        </w:rPr>
        <w:t>s</w:t>
      </w:r>
      <w:r w:rsidR="00DB7F96" w:rsidRPr="00EA1E99">
        <w:rPr>
          <w:rFonts w:cs="Times New Roman"/>
        </w:rPr>
        <w:t xml:space="preserve">, </w:t>
      </w:r>
      <w:r w:rsidR="00D92309" w:rsidRPr="00EA1E99">
        <w:rPr>
          <w:rFonts w:cs="Times New Roman"/>
        </w:rPr>
        <w:t>they also</w:t>
      </w:r>
      <w:r w:rsidR="00DB7F96" w:rsidRPr="00EA1E99">
        <w:rPr>
          <w:rFonts w:cs="Times New Roman"/>
        </w:rPr>
        <w:t xml:space="preserve"> </w:t>
      </w:r>
      <w:r w:rsidR="00D92309" w:rsidRPr="00EA1E99">
        <w:rPr>
          <w:rFonts w:cs="Times New Roman"/>
        </w:rPr>
        <w:t>raise</w:t>
      </w:r>
      <w:r w:rsidR="00056454" w:rsidRPr="00EA1E99">
        <w:rPr>
          <w:rFonts w:cs="Times New Roman"/>
        </w:rPr>
        <w:t>d</w:t>
      </w:r>
      <w:r w:rsidR="00DB7F96" w:rsidRPr="00EA1E99">
        <w:rPr>
          <w:rFonts w:cs="Times New Roman"/>
        </w:rPr>
        <w:t xml:space="preserve"> existential questions about international law generally.</w:t>
      </w:r>
      <w:r w:rsidR="00DB7F96" w:rsidRPr="00EA1E99">
        <w:rPr>
          <w:rStyle w:val="FootnoteReference"/>
          <w:rFonts w:cs="Times New Roman"/>
        </w:rPr>
        <w:footnoteReference w:id="60"/>
      </w:r>
      <w:r w:rsidR="00DB7F96" w:rsidRPr="00EA1E99">
        <w:rPr>
          <w:rFonts w:cs="Times New Roman"/>
        </w:rPr>
        <w:t xml:space="preserve"> </w:t>
      </w:r>
      <w:r w:rsidR="00C90D9E" w:rsidRPr="00EA1E99">
        <w:rPr>
          <w:rFonts w:cs="Times New Roman"/>
        </w:rPr>
        <w:t xml:space="preserve"> </w:t>
      </w:r>
      <w:r w:rsidR="00DF4A1C" w:rsidRPr="00EA1E99">
        <w:rPr>
          <w:rFonts w:cs="Times New Roman"/>
        </w:rPr>
        <w:t xml:space="preserve">Many of </w:t>
      </w:r>
      <w:r w:rsidR="00D92309" w:rsidRPr="00EA1E99">
        <w:rPr>
          <w:rFonts w:cs="Times New Roman"/>
        </w:rPr>
        <w:t xml:space="preserve">the </w:t>
      </w:r>
      <w:r w:rsidRPr="00EA1E99">
        <w:rPr>
          <w:rFonts w:cs="Times New Roman"/>
        </w:rPr>
        <w:t xml:space="preserve">features </w:t>
      </w:r>
      <w:r w:rsidR="00DB7F96" w:rsidRPr="00EA1E99">
        <w:rPr>
          <w:rFonts w:cs="Times New Roman"/>
        </w:rPr>
        <w:lastRenderedPageBreak/>
        <w:t xml:space="preserve">of international legal advice and existential questions about international law </w:t>
      </w:r>
      <w:r w:rsidR="00D92309" w:rsidRPr="00EA1E99">
        <w:rPr>
          <w:rFonts w:cs="Times New Roman"/>
        </w:rPr>
        <w:t>that f</w:t>
      </w:r>
      <w:r w:rsidR="00763D5D">
        <w:rPr>
          <w:rFonts w:cs="Times New Roman"/>
        </w:rPr>
        <w:t>e</w:t>
      </w:r>
      <w:r w:rsidR="00D92309" w:rsidRPr="00EA1E99">
        <w:rPr>
          <w:rFonts w:cs="Times New Roman"/>
        </w:rPr>
        <w:t xml:space="preserve">ll within the Inquiry’s mandate </w:t>
      </w:r>
      <w:r w:rsidRPr="00EA1E99">
        <w:rPr>
          <w:rFonts w:cs="Times New Roman"/>
        </w:rPr>
        <w:t xml:space="preserve">have </w:t>
      </w:r>
      <w:r w:rsidR="00DF4A1C" w:rsidRPr="00EA1E99">
        <w:rPr>
          <w:rFonts w:cs="Times New Roman"/>
        </w:rPr>
        <w:t xml:space="preserve">long </w:t>
      </w:r>
      <w:r w:rsidRPr="00EA1E99">
        <w:rPr>
          <w:rFonts w:cs="Times New Roman"/>
        </w:rPr>
        <w:t>been recognised within professional circles,</w:t>
      </w:r>
      <w:r w:rsidR="006D224F" w:rsidRPr="00EA1E99">
        <w:rPr>
          <w:rStyle w:val="FootnoteReference"/>
          <w:rFonts w:cs="Times New Roman"/>
        </w:rPr>
        <w:footnoteReference w:id="61"/>
      </w:r>
      <w:r w:rsidRPr="00EA1E99">
        <w:rPr>
          <w:rFonts w:cs="Times New Roman"/>
        </w:rPr>
        <w:t xml:space="preserve"> but the </w:t>
      </w:r>
      <w:proofErr w:type="spellStart"/>
      <w:r w:rsidRPr="00EA1E99">
        <w:rPr>
          <w:rFonts w:cs="Times New Roman"/>
        </w:rPr>
        <w:t>Chilcot</w:t>
      </w:r>
      <w:proofErr w:type="spellEnd"/>
      <w:r w:rsidRPr="00EA1E99">
        <w:rPr>
          <w:rFonts w:cs="Times New Roman"/>
        </w:rPr>
        <w:t xml:space="preserve"> Report has uniquely highlighted them and made them a matter of public record.  </w:t>
      </w:r>
    </w:p>
    <w:p w14:paraId="3CADD69F" w14:textId="7774BF38" w:rsidR="00672E27" w:rsidRPr="00EA1E99" w:rsidRDefault="00D92309" w:rsidP="00672E27">
      <w:pPr>
        <w:spacing w:line="480" w:lineRule="auto"/>
        <w:ind w:firstLine="720"/>
        <w:rPr>
          <w:rFonts w:cs="Times New Roman"/>
        </w:rPr>
      </w:pPr>
      <w:r w:rsidRPr="00EA1E99">
        <w:rPr>
          <w:rFonts w:cs="Times New Roman"/>
        </w:rPr>
        <w:t xml:space="preserve">The role of the legal adviser, as the name suggests, is to </w:t>
      </w:r>
      <w:proofErr w:type="gramStart"/>
      <w:r w:rsidRPr="00EA1E99">
        <w:rPr>
          <w:rFonts w:cs="Times New Roman"/>
        </w:rPr>
        <w:t>advise</w:t>
      </w:r>
      <w:proofErr w:type="gramEnd"/>
      <w:r w:rsidRPr="00EA1E99">
        <w:rPr>
          <w:rFonts w:cs="Times New Roman"/>
        </w:rPr>
        <w:t xml:space="preserve">.  This, though, begs a number of questions, both generally and in relation to the UK’s role in the Iraq War.  </w:t>
      </w:r>
      <w:r w:rsidR="00DB106C" w:rsidRPr="00EA1E99">
        <w:rPr>
          <w:rFonts w:cs="Times New Roman"/>
        </w:rPr>
        <w:t xml:space="preserve">For </w:t>
      </w:r>
      <w:r w:rsidR="00045F39" w:rsidRPr="00EA1E99">
        <w:rPr>
          <w:rFonts w:cs="Times New Roman"/>
        </w:rPr>
        <w:t xml:space="preserve">the purposes of this </w:t>
      </w:r>
      <w:r w:rsidRPr="00EA1E99">
        <w:rPr>
          <w:rFonts w:cs="Times New Roman"/>
        </w:rPr>
        <w:t>article</w:t>
      </w:r>
      <w:r w:rsidR="00DB106C" w:rsidRPr="00EA1E99">
        <w:rPr>
          <w:rFonts w:cs="Times New Roman"/>
        </w:rPr>
        <w:t xml:space="preserve">, we </w:t>
      </w:r>
      <w:r w:rsidRPr="00EA1E99">
        <w:rPr>
          <w:rFonts w:cs="Times New Roman"/>
        </w:rPr>
        <w:t xml:space="preserve">briefly touch upon just a few </w:t>
      </w:r>
      <w:r w:rsidR="002520A3" w:rsidRPr="00EA1E99">
        <w:rPr>
          <w:rFonts w:cs="Times New Roman"/>
        </w:rPr>
        <w:t xml:space="preserve">such </w:t>
      </w:r>
      <w:r w:rsidRPr="00EA1E99">
        <w:rPr>
          <w:rFonts w:cs="Times New Roman"/>
        </w:rPr>
        <w:t>questions, as manifested in the Report: the appropriate recipient of legal advice</w:t>
      </w:r>
      <w:r w:rsidR="00373E6D" w:rsidRPr="00EA1E99">
        <w:rPr>
          <w:rFonts w:cs="Times New Roman"/>
        </w:rPr>
        <w:t xml:space="preserve"> and its transparency</w:t>
      </w:r>
      <w:r w:rsidRPr="00EA1E99">
        <w:rPr>
          <w:rFonts w:cs="Times New Roman"/>
        </w:rPr>
        <w:t>, the timeliness of advice, the perception and treatment of law a</w:t>
      </w:r>
      <w:r w:rsidR="00EA2ED3" w:rsidRPr="00EA1E99">
        <w:rPr>
          <w:rFonts w:cs="Times New Roman"/>
        </w:rPr>
        <w:t>nd legal advice by the G</w:t>
      </w:r>
      <w:r w:rsidRPr="00EA1E99">
        <w:rPr>
          <w:rFonts w:cs="Times New Roman"/>
        </w:rPr>
        <w:t xml:space="preserve">overnment, and the independence and quality of that advice.  </w:t>
      </w:r>
      <w:r w:rsidR="002520A3" w:rsidRPr="00EA1E99">
        <w:rPr>
          <w:rFonts w:cs="Times New Roman"/>
        </w:rPr>
        <w:t xml:space="preserve">These </w:t>
      </w:r>
      <w:r w:rsidRPr="00EA1E99">
        <w:rPr>
          <w:rFonts w:cs="Times New Roman"/>
        </w:rPr>
        <w:t xml:space="preserve">particular points are </w:t>
      </w:r>
      <w:r w:rsidR="002520A3" w:rsidRPr="00EA1E99">
        <w:rPr>
          <w:rFonts w:cs="Times New Roman"/>
        </w:rPr>
        <w:t xml:space="preserve">complex and </w:t>
      </w:r>
      <w:r w:rsidRPr="00EA1E99">
        <w:rPr>
          <w:rFonts w:cs="Times New Roman"/>
        </w:rPr>
        <w:t>wide-ranging</w:t>
      </w:r>
      <w:r w:rsidR="002520A3" w:rsidRPr="00EA1E99">
        <w:rPr>
          <w:rFonts w:cs="Times New Roman"/>
        </w:rPr>
        <w:t>.</w:t>
      </w:r>
      <w:r w:rsidRPr="00EA1E99">
        <w:rPr>
          <w:rFonts w:cs="Times New Roman"/>
        </w:rPr>
        <w:t xml:space="preserve"> </w:t>
      </w:r>
      <w:r w:rsidR="004B0455" w:rsidRPr="00EA1E99">
        <w:rPr>
          <w:rFonts w:cs="Times New Roman"/>
        </w:rPr>
        <w:t xml:space="preserve"> </w:t>
      </w:r>
      <w:r w:rsidR="002520A3" w:rsidRPr="00EA1E99">
        <w:rPr>
          <w:rFonts w:cs="Times New Roman"/>
        </w:rPr>
        <w:t>A</w:t>
      </w:r>
      <w:r w:rsidRPr="00EA1E99">
        <w:rPr>
          <w:rFonts w:cs="Times New Roman"/>
        </w:rPr>
        <w:t xml:space="preserve">s such, </w:t>
      </w:r>
      <w:r w:rsidR="00DB106C" w:rsidRPr="00EA1E99">
        <w:rPr>
          <w:rFonts w:cs="Times New Roman"/>
        </w:rPr>
        <w:t>for sa</w:t>
      </w:r>
      <w:r w:rsidRPr="00EA1E99">
        <w:rPr>
          <w:rFonts w:cs="Times New Roman"/>
        </w:rPr>
        <w:t>ke of brevity, our discussion of them is necessarily selective.</w:t>
      </w:r>
      <w:r w:rsidR="00672E27" w:rsidRPr="00EA1E99">
        <w:rPr>
          <w:rFonts w:cs="Times New Roman"/>
        </w:rPr>
        <w:t xml:space="preserve">  </w:t>
      </w:r>
      <w:r w:rsidR="00373E6D" w:rsidRPr="00EA1E99">
        <w:rPr>
          <w:rFonts w:cs="Times New Roman"/>
        </w:rPr>
        <w:t>It is</w:t>
      </w:r>
      <w:r w:rsidR="00533163" w:rsidRPr="00EA1E99">
        <w:rPr>
          <w:rFonts w:cs="Times New Roman"/>
        </w:rPr>
        <w:t>, however,</w:t>
      </w:r>
      <w:r w:rsidR="00373E6D" w:rsidRPr="00EA1E99">
        <w:rPr>
          <w:rFonts w:cs="Times New Roman"/>
        </w:rPr>
        <w:t xml:space="preserve"> worth keeping in mind that u</w:t>
      </w:r>
      <w:r w:rsidR="00672E27" w:rsidRPr="00EA1E99">
        <w:rPr>
          <w:rFonts w:cs="Times New Roman"/>
        </w:rPr>
        <w:t>nderpinning the discussions in this section</w:t>
      </w:r>
      <w:r w:rsidR="00533163" w:rsidRPr="00EA1E99">
        <w:rPr>
          <w:rFonts w:cs="Times New Roman"/>
        </w:rPr>
        <w:t xml:space="preserve"> </w:t>
      </w:r>
      <w:r w:rsidR="00672E27" w:rsidRPr="00EA1E99">
        <w:rPr>
          <w:rFonts w:cs="Times New Roman"/>
        </w:rPr>
        <w:t xml:space="preserve">is </w:t>
      </w:r>
      <w:proofErr w:type="spellStart"/>
      <w:r w:rsidR="001D7D71" w:rsidRPr="00EA1E99">
        <w:rPr>
          <w:rFonts w:eastAsia="Times New Roman" w:cs="Times New Roman"/>
        </w:rPr>
        <w:t>Chilcot’s</w:t>
      </w:r>
      <w:proofErr w:type="spellEnd"/>
      <w:r w:rsidR="001D7D71" w:rsidRPr="00EA1E99">
        <w:rPr>
          <w:rFonts w:eastAsia="Times New Roman" w:cs="Times New Roman"/>
        </w:rPr>
        <w:t xml:space="preserve"> ultimate conclusion</w:t>
      </w:r>
      <w:r w:rsidR="000B14F7" w:rsidRPr="00EA1E99">
        <w:rPr>
          <w:rFonts w:eastAsia="Times New Roman" w:cs="Times New Roman"/>
        </w:rPr>
        <w:t xml:space="preserve"> that </w:t>
      </w:r>
      <w:r w:rsidR="00D4066A" w:rsidRPr="00EA1E99">
        <w:rPr>
          <w:rFonts w:eastAsia="Times New Roman" w:cs="Times New Roman"/>
        </w:rPr>
        <w:t>‘</w:t>
      </w:r>
      <w:r w:rsidR="00672E27" w:rsidRPr="00EA1E99">
        <w:rPr>
          <w:rFonts w:eastAsia="Times New Roman" w:cs="Times New Roman"/>
          <w:i/>
        </w:rPr>
        <w:t>the circumstances in which it was decided</w:t>
      </w:r>
      <w:r w:rsidR="00672E27" w:rsidRPr="00EA1E99">
        <w:rPr>
          <w:rFonts w:eastAsia="Times New Roman" w:cs="Times New Roman"/>
        </w:rPr>
        <w:t xml:space="preserve"> that there was a legal basis for UK military action </w:t>
      </w:r>
      <w:r w:rsidR="00672E27" w:rsidRPr="00EA1E99">
        <w:rPr>
          <w:rFonts w:eastAsia="Times New Roman" w:cs="Times New Roman"/>
          <w:i/>
        </w:rPr>
        <w:t>were far from satisfactory</w:t>
      </w:r>
      <w:r w:rsidR="00672E27" w:rsidRPr="00EA1E99">
        <w:rPr>
          <w:rFonts w:eastAsia="Times New Roman" w:cs="Times New Roman"/>
        </w:rPr>
        <w:t>.’</w:t>
      </w:r>
      <w:r w:rsidR="00672E27" w:rsidRPr="00EA1E99">
        <w:rPr>
          <w:rStyle w:val="FootnoteReference"/>
          <w:rFonts w:eastAsia="Times New Roman" w:cs="Times New Roman"/>
        </w:rPr>
        <w:footnoteReference w:id="62"/>
      </w:r>
    </w:p>
    <w:p w14:paraId="237CF5B3" w14:textId="77777777" w:rsidR="00D16DBE" w:rsidRPr="00EA1E99" w:rsidRDefault="00D16DBE" w:rsidP="004C3623">
      <w:pPr>
        <w:spacing w:line="480" w:lineRule="auto"/>
        <w:rPr>
          <w:rFonts w:cs="Times New Roman"/>
          <w:i/>
        </w:rPr>
      </w:pPr>
    </w:p>
    <w:p w14:paraId="58AC2B4D" w14:textId="58BAD46F" w:rsidR="004C3623" w:rsidRPr="00EA1E99" w:rsidRDefault="004A7955" w:rsidP="004C3623">
      <w:pPr>
        <w:spacing w:line="480" w:lineRule="auto"/>
        <w:rPr>
          <w:rFonts w:cs="Times New Roman"/>
          <w:b/>
          <w:i/>
        </w:rPr>
      </w:pPr>
      <w:r w:rsidRPr="00EA1E99">
        <w:rPr>
          <w:rFonts w:cs="Times New Roman"/>
          <w:b/>
          <w:i/>
        </w:rPr>
        <w:t xml:space="preserve">A. </w:t>
      </w:r>
      <w:r w:rsidR="00385EF0" w:rsidRPr="00EA1E99">
        <w:rPr>
          <w:rFonts w:cs="Times New Roman"/>
          <w:b/>
          <w:i/>
        </w:rPr>
        <w:t xml:space="preserve">The Recipients </w:t>
      </w:r>
      <w:r w:rsidR="00373E6D" w:rsidRPr="00EA1E99">
        <w:rPr>
          <w:rFonts w:cs="Times New Roman"/>
          <w:b/>
          <w:i/>
        </w:rPr>
        <w:t xml:space="preserve">and Transparency </w:t>
      </w:r>
      <w:r w:rsidR="00385EF0" w:rsidRPr="00EA1E99">
        <w:rPr>
          <w:rFonts w:cs="Times New Roman"/>
          <w:b/>
          <w:i/>
        </w:rPr>
        <w:t>of Legal Advice</w:t>
      </w:r>
    </w:p>
    <w:p w14:paraId="63DFDDA0" w14:textId="344D0499" w:rsidR="004C3623" w:rsidRPr="00EA1E99" w:rsidRDefault="004C3623" w:rsidP="00D92309">
      <w:pPr>
        <w:spacing w:line="480" w:lineRule="auto"/>
        <w:rPr>
          <w:rFonts w:cs="Times New Roman"/>
        </w:rPr>
      </w:pPr>
      <w:r w:rsidRPr="00EA1E99">
        <w:rPr>
          <w:rFonts w:cs="Times New Roman"/>
        </w:rPr>
        <w:t xml:space="preserve">The </w:t>
      </w:r>
      <w:proofErr w:type="spellStart"/>
      <w:r w:rsidRPr="00EA1E99">
        <w:rPr>
          <w:rFonts w:cs="Times New Roman"/>
        </w:rPr>
        <w:t>Chilcot</w:t>
      </w:r>
      <w:proofErr w:type="spellEnd"/>
      <w:r w:rsidRPr="00EA1E99">
        <w:rPr>
          <w:rFonts w:cs="Times New Roman"/>
        </w:rPr>
        <w:t xml:space="preserve"> Report highlights the difficulty in determining </w:t>
      </w:r>
      <w:r w:rsidR="00D16DBE" w:rsidRPr="00EA1E99">
        <w:rPr>
          <w:rFonts w:cs="Times New Roman"/>
        </w:rPr>
        <w:t xml:space="preserve">to </w:t>
      </w:r>
      <w:r w:rsidRPr="00EA1E99">
        <w:rPr>
          <w:rFonts w:cs="Times New Roman"/>
        </w:rPr>
        <w:t xml:space="preserve">whom </w:t>
      </w:r>
      <w:r w:rsidR="00D16DBE" w:rsidRPr="00EA1E99">
        <w:rPr>
          <w:rFonts w:cs="Times New Roman"/>
        </w:rPr>
        <w:t>the legal adv</w:t>
      </w:r>
      <w:r w:rsidR="00CD008C" w:rsidRPr="00EA1E99">
        <w:rPr>
          <w:rFonts w:cs="Times New Roman"/>
        </w:rPr>
        <w:t>ise</w:t>
      </w:r>
      <w:r w:rsidR="00D16DBE" w:rsidRPr="00EA1E99">
        <w:rPr>
          <w:rFonts w:cs="Times New Roman"/>
        </w:rPr>
        <w:t>r owes a responsib</w:t>
      </w:r>
      <w:r w:rsidR="00D92309" w:rsidRPr="00EA1E99">
        <w:rPr>
          <w:rFonts w:cs="Times New Roman"/>
        </w:rPr>
        <w:t>i</w:t>
      </w:r>
      <w:r w:rsidR="00D16DBE" w:rsidRPr="00EA1E99">
        <w:rPr>
          <w:rFonts w:cs="Times New Roman"/>
        </w:rPr>
        <w:t>l</w:t>
      </w:r>
      <w:r w:rsidR="00D92309" w:rsidRPr="00EA1E99">
        <w:rPr>
          <w:rFonts w:cs="Times New Roman"/>
        </w:rPr>
        <w:t>it</w:t>
      </w:r>
      <w:r w:rsidR="00D16DBE" w:rsidRPr="00EA1E99">
        <w:rPr>
          <w:rFonts w:cs="Times New Roman"/>
        </w:rPr>
        <w:t>y to provide advice.  D</w:t>
      </w:r>
      <w:r w:rsidRPr="00EA1E99">
        <w:rPr>
          <w:rFonts w:cs="Times New Roman"/>
        </w:rPr>
        <w:t xml:space="preserve">iffering perspectives </w:t>
      </w:r>
      <w:r w:rsidR="00D16DBE" w:rsidRPr="00EA1E99">
        <w:rPr>
          <w:rFonts w:cs="Times New Roman"/>
        </w:rPr>
        <w:t>in this regard</w:t>
      </w:r>
      <w:r w:rsidRPr="00EA1E99">
        <w:rPr>
          <w:rFonts w:cs="Times New Roman"/>
        </w:rPr>
        <w:t xml:space="preserve"> </w:t>
      </w:r>
      <w:r w:rsidR="00D16DBE" w:rsidRPr="00EA1E99">
        <w:rPr>
          <w:rFonts w:cs="Times New Roman"/>
        </w:rPr>
        <w:t xml:space="preserve">became </w:t>
      </w:r>
      <w:r w:rsidRPr="00EA1E99">
        <w:rPr>
          <w:rFonts w:cs="Times New Roman"/>
        </w:rPr>
        <w:t xml:space="preserve">notably </w:t>
      </w:r>
      <w:r w:rsidR="00D16DBE" w:rsidRPr="00EA1E99">
        <w:rPr>
          <w:rFonts w:cs="Times New Roman"/>
        </w:rPr>
        <w:t>apparent in the course of the Inquiry’s work</w:t>
      </w:r>
      <w:r w:rsidRPr="00EA1E99">
        <w:rPr>
          <w:rFonts w:cs="Times New Roman"/>
        </w:rPr>
        <w:t>.  Lord Goldsmith, for example, ‘told the Inquiry that he viewed Mr Blair as “ultimately” the client for his advice.’</w:t>
      </w:r>
      <w:r w:rsidRPr="00EA1E99">
        <w:rPr>
          <w:rStyle w:val="FootnoteReference"/>
          <w:rFonts w:cs="Times New Roman"/>
        </w:rPr>
        <w:footnoteReference w:id="63"/>
      </w:r>
      <w:r w:rsidRPr="00EA1E99">
        <w:rPr>
          <w:rFonts w:cs="Times New Roman"/>
        </w:rPr>
        <w:t xml:space="preserve">  In direct contrast, </w:t>
      </w:r>
      <w:r w:rsidR="00D16DBE" w:rsidRPr="00EA1E99">
        <w:rPr>
          <w:rFonts w:cs="Times New Roman"/>
        </w:rPr>
        <w:t xml:space="preserve">the Cabinet Secretary, </w:t>
      </w:r>
      <w:r w:rsidRPr="00EA1E99">
        <w:rPr>
          <w:rFonts w:cs="Times New Roman"/>
        </w:rPr>
        <w:t>Lord Turnbull</w:t>
      </w:r>
      <w:r w:rsidR="00D16DBE" w:rsidRPr="00EA1E99">
        <w:rPr>
          <w:rFonts w:cs="Times New Roman"/>
        </w:rPr>
        <w:t>,</w:t>
      </w:r>
      <w:r w:rsidRPr="00EA1E99">
        <w:rPr>
          <w:rFonts w:cs="Times New Roman"/>
        </w:rPr>
        <w:t xml:space="preserve"> was of the view that ‘he, Admiral Sir Michael Boyce, Chief of the </w:t>
      </w:r>
      <w:r w:rsidRPr="00EA1E99">
        <w:rPr>
          <w:rFonts w:cs="Times New Roman"/>
        </w:rPr>
        <w:lastRenderedPageBreak/>
        <w:t xml:space="preserve">Defence Staff (CDS), the diplomatic service and others </w:t>
      </w:r>
      <w:r w:rsidRPr="00EA1E99">
        <w:rPr>
          <w:rFonts w:cs="Times New Roman"/>
          <w:i/>
        </w:rPr>
        <w:t>were all clients</w:t>
      </w:r>
      <w:r w:rsidR="00D16DBE" w:rsidRPr="00EA1E99">
        <w:rPr>
          <w:rFonts w:cs="Times New Roman"/>
        </w:rPr>
        <w:t xml:space="preserve"> for Lord Goldsmith’s advice</w:t>
      </w:r>
      <w:r w:rsidRPr="00EA1E99">
        <w:rPr>
          <w:rFonts w:cs="Times New Roman"/>
        </w:rPr>
        <w:t>.’</w:t>
      </w:r>
      <w:r w:rsidRPr="00EA1E99">
        <w:rPr>
          <w:rStyle w:val="FootnoteReference"/>
          <w:rFonts w:cs="Times New Roman"/>
        </w:rPr>
        <w:footnoteReference w:id="64"/>
      </w:r>
    </w:p>
    <w:p w14:paraId="06F3D1D0" w14:textId="545A608D" w:rsidR="004C3623" w:rsidRPr="00EA1E99" w:rsidRDefault="004C3623" w:rsidP="004C3623">
      <w:pPr>
        <w:spacing w:line="480" w:lineRule="auto"/>
        <w:ind w:firstLine="720"/>
        <w:rPr>
          <w:rFonts w:cs="Times New Roman"/>
        </w:rPr>
      </w:pPr>
      <w:proofErr w:type="spellStart"/>
      <w:r w:rsidRPr="00EA1E99">
        <w:rPr>
          <w:rFonts w:cs="Times New Roman"/>
        </w:rPr>
        <w:t>Chilcot</w:t>
      </w:r>
      <w:proofErr w:type="spellEnd"/>
      <w:r w:rsidRPr="00EA1E99">
        <w:rPr>
          <w:rFonts w:cs="Times New Roman"/>
        </w:rPr>
        <w:t xml:space="preserve"> </w:t>
      </w:r>
      <w:r w:rsidR="001D7D71" w:rsidRPr="00EA1E99">
        <w:rPr>
          <w:rFonts w:cs="Times New Roman"/>
        </w:rPr>
        <w:t>confirms</w:t>
      </w:r>
      <w:r w:rsidRPr="00EA1E99">
        <w:rPr>
          <w:rFonts w:cs="Times New Roman"/>
        </w:rPr>
        <w:t xml:space="preserve"> that the </w:t>
      </w:r>
      <w:r w:rsidR="00D92309" w:rsidRPr="00EA1E99">
        <w:rPr>
          <w:rFonts w:cs="Times New Roman"/>
        </w:rPr>
        <w:t>acquisition of f</w:t>
      </w:r>
      <w:r w:rsidR="00D16DBE" w:rsidRPr="00EA1E99">
        <w:rPr>
          <w:rFonts w:cs="Times New Roman"/>
        </w:rPr>
        <w:t xml:space="preserve">ormal </w:t>
      </w:r>
      <w:r w:rsidRPr="00EA1E99">
        <w:rPr>
          <w:rFonts w:cs="Times New Roman"/>
        </w:rPr>
        <w:t xml:space="preserve">advice </w:t>
      </w:r>
      <w:r w:rsidR="00D92309" w:rsidRPr="00EA1E99">
        <w:rPr>
          <w:rFonts w:cs="Times New Roman"/>
        </w:rPr>
        <w:t xml:space="preserve">in relation to the legality of the use of force was </w:t>
      </w:r>
      <w:r w:rsidRPr="00EA1E99">
        <w:rPr>
          <w:rFonts w:cs="Times New Roman"/>
        </w:rPr>
        <w:t>deliberately</w:t>
      </w:r>
      <w:r w:rsidR="00D16DBE" w:rsidRPr="00EA1E99">
        <w:rPr>
          <w:rFonts w:cs="Times New Roman"/>
        </w:rPr>
        <w:t xml:space="preserve"> delayed</w:t>
      </w:r>
      <w:r w:rsidRPr="00EA1E99">
        <w:rPr>
          <w:rFonts w:cs="Times New Roman"/>
        </w:rPr>
        <w:t>,</w:t>
      </w:r>
      <w:r w:rsidR="00016053" w:rsidRPr="00EA1E99">
        <w:rPr>
          <w:rStyle w:val="FootnoteReference"/>
          <w:rFonts w:cs="Times New Roman"/>
        </w:rPr>
        <w:footnoteReference w:id="65"/>
      </w:r>
      <w:r w:rsidRPr="00EA1E99">
        <w:rPr>
          <w:rFonts w:cs="Times New Roman"/>
        </w:rPr>
        <w:t xml:space="preserve"> </w:t>
      </w:r>
      <w:r w:rsidR="00D16DBE" w:rsidRPr="00EA1E99">
        <w:rPr>
          <w:rFonts w:cs="Times New Roman"/>
        </w:rPr>
        <w:t>and</w:t>
      </w:r>
      <w:r w:rsidRPr="00EA1E99">
        <w:rPr>
          <w:rFonts w:cs="Times New Roman"/>
        </w:rPr>
        <w:t xml:space="preserve"> that early informal legal advice was kept within an extremely tight circle</w:t>
      </w:r>
      <w:r w:rsidR="00F96820" w:rsidRPr="00EA1E99">
        <w:rPr>
          <w:rFonts w:cs="Times New Roman"/>
        </w:rPr>
        <w:t xml:space="preserve"> of only a few people</w:t>
      </w:r>
      <w:r w:rsidR="00D16DBE" w:rsidRPr="00EA1E99">
        <w:rPr>
          <w:rFonts w:cs="Times New Roman"/>
        </w:rPr>
        <w:t>.</w:t>
      </w:r>
      <w:r w:rsidR="00F96820" w:rsidRPr="00EA1E99">
        <w:rPr>
          <w:rStyle w:val="FootnoteReference"/>
          <w:rFonts w:cs="Times New Roman"/>
        </w:rPr>
        <w:footnoteReference w:id="66"/>
      </w:r>
      <w:r w:rsidR="00D16DBE" w:rsidRPr="00EA1E99">
        <w:rPr>
          <w:rFonts w:cs="Times New Roman"/>
        </w:rPr>
        <w:t xml:space="preserve">  </w:t>
      </w:r>
      <w:r w:rsidR="001D7D71" w:rsidRPr="00EA1E99">
        <w:rPr>
          <w:rFonts w:cs="Times New Roman"/>
        </w:rPr>
        <w:t>I</w:t>
      </w:r>
      <w:r w:rsidR="00D92309" w:rsidRPr="00EA1E99">
        <w:rPr>
          <w:rFonts w:cs="Times New Roman"/>
        </w:rPr>
        <w:t>t is also the case that, o</w:t>
      </w:r>
      <w:r w:rsidRPr="00EA1E99">
        <w:rPr>
          <w:rFonts w:cs="Times New Roman"/>
        </w:rPr>
        <w:t xml:space="preserve">nce </w:t>
      </w:r>
      <w:r w:rsidR="00D16DBE" w:rsidRPr="00EA1E99">
        <w:rPr>
          <w:rFonts w:cs="Times New Roman"/>
        </w:rPr>
        <w:t xml:space="preserve">it was finally </w:t>
      </w:r>
      <w:r w:rsidRPr="00EA1E99">
        <w:rPr>
          <w:rFonts w:cs="Times New Roman"/>
        </w:rPr>
        <w:t>obtained, formal legal advice was not presented to Cabinet in a timely manner.</w:t>
      </w:r>
      <w:r w:rsidR="00AB39CD" w:rsidRPr="00EA1E99">
        <w:rPr>
          <w:rStyle w:val="FootnoteReference"/>
          <w:rFonts w:cs="Times New Roman"/>
        </w:rPr>
        <w:footnoteReference w:id="67"/>
      </w:r>
      <w:r w:rsidRPr="00EA1E99">
        <w:rPr>
          <w:rFonts w:cs="Times New Roman"/>
        </w:rPr>
        <w:t xml:space="preserve">  The </w:t>
      </w:r>
      <w:proofErr w:type="spellStart"/>
      <w:r w:rsidRPr="00EA1E99">
        <w:rPr>
          <w:rFonts w:cs="Times New Roman"/>
        </w:rPr>
        <w:t>Chilcot</w:t>
      </w:r>
      <w:proofErr w:type="spellEnd"/>
      <w:r w:rsidRPr="00EA1E99">
        <w:rPr>
          <w:rFonts w:cs="Times New Roman"/>
        </w:rPr>
        <w:t xml:space="preserve"> Report is clear that Mr Blair and Mr Straw </w:t>
      </w:r>
      <w:r w:rsidR="00F05A3A" w:rsidRPr="00EA1E99">
        <w:rPr>
          <w:rFonts w:cs="Times New Roman"/>
        </w:rPr>
        <w:t xml:space="preserve">in particular </w:t>
      </w:r>
      <w:r w:rsidRPr="00EA1E99">
        <w:rPr>
          <w:rFonts w:cs="Times New Roman"/>
        </w:rPr>
        <w:t>acted as conduits between the legal advisers and the Cabinet (and other senior officials) in this regard, filtering and controlling the flow and quality of information.</w:t>
      </w:r>
      <w:r w:rsidR="00CD008C" w:rsidRPr="00EA1E99">
        <w:rPr>
          <w:rStyle w:val="FootnoteReference"/>
          <w:rFonts w:cs="Times New Roman"/>
        </w:rPr>
        <w:footnoteReference w:id="68"/>
      </w:r>
    </w:p>
    <w:p w14:paraId="000732ED" w14:textId="598E99F2" w:rsidR="006A1EFF" w:rsidRPr="00EA1E99" w:rsidRDefault="004C3623" w:rsidP="006A1EFF">
      <w:pPr>
        <w:spacing w:line="480" w:lineRule="auto"/>
        <w:ind w:firstLine="720"/>
        <w:rPr>
          <w:rFonts w:cs="Times New Roman"/>
        </w:rPr>
      </w:pPr>
      <w:r w:rsidRPr="00EA1E99">
        <w:rPr>
          <w:rFonts w:cs="Times New Roman"/>
        </w:rPr>
        <w:t>The Inquiry accept</w:t>
      </w:r>
      <w:r w:rsidR="001D7D71" w:rsidRPr="00EA1E99">
        <w:rPr>
          <w:rFonts w:cs="Times New Roman"/>
        </w:rPr>
        <w:t>ed</w:t>
      </w:r>
      <w:r w:rsidRPr="00EA1E99">
        <w:rPr>
          <w:rFonts w:cs="Times New Roman"/>
        </w:rPr>
        <w:t xml:space="preserve"> that, constitutionally, there was no requirement for legal advice to be presented to Parliament,</w:t>
      </w:r>
      <w:r w:rsidR="00016053" w:rsidRPr="00EA1E99">
        <w:rPr>
          <w:rStyle w:val="FootnoteReference"/>
          <w:rFonts w:cs="Times New Roman"/>
        </w:rPr>
        <w:footnoteReference w:id="69"/>
      </w:r>
      <w:r w:rsidRPr="00EA1E99">
        <w:rPr>
          <w:rFonts w:cs="Times New Roman"/>
        </w:rPr>
        <w:t xml:space="preserve"> despite its conventional – if not legal</w:t>
      </w:r>
      <w:r w:rsidR="00016053" w:rsidRPr="00EA1E99">
        <w:rPr>
          <w:rStyle w:val="FootnoteReference"/>
          <w:rFonts w:cs="Times New Roman"/>
        </w:rPr>
        <w:footnoteReference w:id="70"/>
      </w:r>
      <w:r w:rsidRPr="00EA1E99">
        <w:rPr>
          <w:rFonts w:cs="Times New Roman"/>
        </w:rPr>
        <w:t xml:space="preserve"> – role in decision-making concerning the use of force (a role that has strengthened notably since the 2003 intervention).</w:t>
      </w:r>
      <w:r w:rsidR="00016053" w:rsidRPr="00EA1E99">
        <w:rPr>
          <w:rStyle w:val="FootnoteReference"/>
          <w:rFonts w:cs="Times New Roman"/>
        </w:rPr>
        <w:footnoteReference w:id="71"/>
      </w:r>
      <w:r w:rsidRPr="00EA1E99">
        <w:rPr>
          <w:rFonts w:cs="Times New Roman"/>
        </w:rPr>
        <w:t xml:space="preserve">  </w:t>
      </w:r>
      <w:r w:rsidR="006A1EFF" w:rsidRPr="00EA1E99">
        <w:rPr>
          <w:rFonts w:cs="Times New Roman"/>
        </w:rPr>
        <w:t>T</w:t>
      </w:r>
      <w:r w:rsidRPr="00EA1E99">
        <w:rPr>
          <w:rFonts w:cs="Times New Roman"/>
        </w:rPr>
        <w:t>he Inquiry</w:t>
      </w:r>
      <w:r w:rsidR="00F05A3A" w:rsidRPr="00EA1E99">
        <w:rPr>
          <w:rFonts w:cs="Times New Roman"/>
        </w:rPr>
        <w:t xml:space="preserve"> </w:t>
      </w:r>
      <w:r w:rsidR="006A1EFF" w:rsidRPr="00EA1E99">
        <w:rPr>
          <w:rFonts w:cs="Times New Roman"/>
        </w:rPr>
        <w:t>also</w:t>
      </w:r>
      <w:r w:rsidR="00623B2E" w:rsidRPr="00EA1E99">
        <w:rPr>
          <w:rFonts w:cs="Times New Roman"/>
        </w:rPr>
        <w:t xml:space="preserve"> </w:t>
      </w:r>
      <w:r w:rsidR="006A1EFF" w:rsidRPr="00EA1E99">
        <w:rPr>
          <w:rFonts w:cs="Times New Roman"/>
        </w:rPr>
        <w:t>agreed</w:t>
      </w:r>
      <w:r w:rsidR="006A1EFF" w:rsidRPr="00EA1E99">
        <w:rPr>
          <w:rStyle w:val="FootnoteReference"/>
          <w:rFonts w:cs="Times New Roman"/>
        </w:rPr>
        <w:footnoteReference w:id="72"/>
      </w:r>
      <w:r w:rsidR="00F05A3A" w:rsidRPr="00EA1E99">
        <w:rPr>
          <w:rFonts w:cs="Times New Roman"/>
        </w:rPr>
        <w:t xml:space="preserve"> </w:t>
      </w:r>
      <w:r w:rsidR="006A1EFF" w:rsidRPr="00EA1E99">
        <w:rPr>
          <w:rFonts w:cs="Times New Roman"/>
        </w:rPr>
        <w:t xml:space="preserve">with </w:t>
      </w:r>
      <w:r w:rsidR="00F05A3A" w:rsidRPr="00EA1E99">
        <w:rPr>
          <w:rFonts w:cs="Times New Roman"/>
        </w:rPr>
        <w:t xml:space="preserve">the </w:t>
      </w:r>
      <w:r w:rsidR="009D1DAB" w:rsidRPr="00EA1E99">
        <w:rPr>
          <w:rFonts w:cs="Times New Roman"/>
        </w:rPr>
        <w:t>Mr Blair’s</w:t>
      </w:r>
      <w:r w:rsidR="00F05A3A" w:rsidRPr="00EA1E99">
        <w:rPr>
          <w:rFonts w:cs="Times New Roman"/>
        </w:rPr>
        <w:t xml:space="preserve"> contention</w:t>
      </w:r>
      <w:r w:rsidR="00533163" w:rsidRPr="00EA1E99">
        <w:rPr>
          <w:rStyle w:val="FootnoteReference"/>
          <w:rFonts w:cs="Times New Roman"/>
        </w:rPr>
        <w:footnoteReference w:id="73"/>
      </w:r>
      <w:r w:rsidR="006A1EFF" w:rsidRPr="00EA1E99">
        <w:rPr>
          <w:rFonts w:cs="Times New Roman"/>
        </w:rPr>
        <w:t xml:space="preserve"> that government was entitled to confidential legal advice.  What the Inquiry took exception to, however, was the fact that advice was not communicated to the wider Cabinet and other key officials: </w:t>
      </w:r>
      <w:r w:rsidR="00F05A3A" w:rsidRPr="00EA1E99">
        <w:rPr>
          <w:rFonts w:cs="Times New Roman"/>
        </w:rPr>
        <w:t>it</w:t>
      </w:r>
      <w:r w:rsidRPr="00EA1E99">
        <w:rPr>
          <w:rFonts w:cs="Times New Roman"/>
        </w:rPr>
        <w:t xml:space="preserve"> was unequivocal in holding that ‘[t]he advice [prepared by the Attorney General] should have been provided to Ministers and senior officials whose responsibilities were directly engaged and should have been made available to Cabinet.’</w:t>
      </w:r>
      <w:r w:rsidRPr="00EA1E99">
        <w:rPr>
          <w:rStyle w:val="FootnoteReference"/>
          <w:rFonts w:cs="Times New Roman"/>
        </w:rPr>
        <w:footnoteReference w:id="74"/>
      </w:r>
      <w:r w:rsidRPr="00EA1E99">
        <w:rPr>
          <w:rFonts w:cs="Times New Roman"/>
        </w:rPr>
        <w:t xml:space="preserve">  Mr Blair and Mr </w:t>
      </w:r>
      <w:r w:rsidR="0019375C" w:rsidRPr="00EA1E99">
        <w:rPr>
          <w:rFonts w:cs="Times New Roman"/>
        </w:rPr>
        <w:t>Str</w:t>
      </w:r>
      <w:r w:rsidRPr="00EA1E99">
        <w:rPr>
          <w:rFonts w:cs="Times New Roman"/>
        </w:rPr>
        <w:t xml:space="preserve">aw’s restrictive approach </w:t>
      </w:r>
      <w:r w:rsidRPr="00EA1E99">
        <w:rPr>
          <w:rFonts w:cs="Times New Roman"/>
        </w:rPr>
        <w:lastRenderedPageBreak/>
        <w:t>to disseminating legal advice was</w:t>
      </w:r>
      <w:r w:rsidR="006A1EFF" w:rsidRPr="00EA1E99">
        <w:rPr>
          <w:rFonts w:cs="Times New Roman"/>
        </w:rPr>
        <w:t xml:space="preserve"> thus</w:t>
      </w:r>
      <w:r w:rsidRPr="00EA1E99">
        <w:rPr>
          <w:rFonts w:cs="Times New Roman"/>
        </w:rPr>
        <w:t xml:space="preserve"> deemed unsatisfactory by the </w:t>
      </w:r>
      <w:r w:rsidR="00F96820" w:rsidRPr="00EA1E99">
        <w:rPr>
          <w:rFonts w:cs="Times New Roman"/>
        </w:rPr>
        <w:t>Inquiry: ‘[a]s the Attorney General, Lord Goldsmith was the Government’s Legal Adviser not just the Legal Adviser to Mr Blair</w:t>
      </w:r>
      <w:r w:rsidRPr="00EA1E99">
        <w:rPr>
          <w:rFonts w:cs="Times New Roman"/>
        </w:rPr>
        <w:t>.</w:t>
      </w:r>
      <w:r w:rsidR="00F96820" w:rsidRPr="00EA1E99">
        <w:rPr>
          <w:rFonts w:cs="Times New Roman"/>
        </w:rPr>
        <w:t>’</w:t>
      </w:r>
      <w:r w:rsidR="00F96820" w:rsidRPr="00EA1E99">
        <w:rPr>
          <w:rStyle w:val="FootnoteReference"/>
          <w:rFonts w:cs="Times New Roman"/>
        </w:rPr>
        <w:footnoteReference w:id="75"/>
      </w:r>
      <w:r w:rsidR="00776638" w:rsidRPr="00EA1E99">
        <w:rPr>
          <w:rFonts w:cs="Times New Roman"/>
        </w:rPr>
        <w:t xml:space="preserve">  </w:t>
      </w:r>
    </w:p>
    <w:p w14:paraId="52C4DD92" w14:textId="75B85713" w:rsidR="004C3623" w:rsidRPr="00EA1E99" w:rsidRDefault="001D7D71" w:rsidP="006A1EFF">
      <w:pPr>
        <w:spacing w:line="480" w:lineRule="auto"/>
        <w:ind w:firstLine="720"/>
        <w:rPr>
          <w:rFonts w:cs="Times New Roman"/>
        </w:rPr>
      </w:pPr>
      <w:proofErr w:type="spellStart"/>
      <w:r w:rsidRPr="00EA1E99">
        <w:rPr>
          <w:rFonts w:cs="Times New Roman"/>
        </w:rPr>
        <w:t>Chilcot’s</w:t>
      </w:r>
      <w:proofErr w:type="spellEnd"/>
      <w:r w:rsidRPr="00EA1E99">
        <w:rPr>
          <w:rFonts w:cs="Times New Roman"/>
        </w:rPr>
        <w:t xml:space="preserve"> position </w:t>
      </w:r>
      <w:r w:rsidR="006A1EFF" w:rsidRPr="00EA1E99">
        <w:rPr>
          <w:rFonts w:cs="Times New Roman"/>
        </w:rPr>
        <w:t xml:space="preserve">in this regard </w:t>
      </w:r>
      <w:r w:rsidRPr="00EA1E99">
        <w:rPr>
          <w:rFonts w:cs="Times New Roman"/>
        </w:rPr>
        <w:t>must be correct, given that the Cabinet is the ultimate decision-making body in the Government regarding the use of force.</w:t>
      </w:r>
      <w:r w:rsidR="004940D5" w:rsidRPr="00EA1E99">
        <w:rPr>
          <w:rStyle w:val="FootnoteReference"/>
          <w:rFonts w:cs="Times New Roman"/>
        </w:rPr>
        <w:footnoteReference w:id="76"/>
      </w:r>
      <w:r w:rsidRPr="00EA1E99">
        <w:rPr>
          <w:rFonts w:cs="Times New Roman"/>
        </w:rPr>
        <w:t xml:space="preserve">  </w:t>
      </w:r>
      <w:r w:rsidR="00533163" w:rsidRPr="00EA1E99">
        <w:rPr>
          <w:rFonts w:cs="Times New Roman"/>
        </w:rPr>
        <w:t>I</w:t>
      </w:r>
      <w:r w:rsidRPr="00EA1E99">
        <w:rPr>
          <w:rFonts w:cs="Times New Roman"/>
        </w:rPr>
        <w:t>n relation to the Iraq War</w:t>
      </w:r>
      <w:r w:rsidR="00533163" w:rsidRPr="00EA1E99">
        <w:rPr>
          <w:rFonts w:cs="Times New Roman"/>
        </w:rPr>
        <w:t xml:space="preserve"> specifically</w:t>
      </w:r>
      <w:r w:rsidRPr="00EA1E99">
        <w:rPr>
          <w:rFonts w:cs="Times New Roman"/>
        </w:rPr>
        <w:t>, t</w:t>
      </w:r>
      <w:r w:rsidR="00776638" w:rsidRPr="00EA1E99">
        <w:rPr>
          <w:rFonts w:cs="Times New Roman"/>
        </w:rPr>
        <w:t>h</w:t>
      </w:r>
      <w:r w:rsidRPr="00EA1E99">
        <w:rPr>
          <w:rFonts w:cs="Times New Roman"/>
        </w:rPr>
        <w:t>e</w:t>
      </w:r>
      <w:r w:rsidR="00776638" w:rsidRPr="00EA1E99">
        <w:rPr>
          <w:rFonts w:cs="Times New Roman"/>
        </w:rPr>
        <w:t xml:space="preserve"> </w:t>
      </w:r>
      <w:r w:rsidR="00F96820" w:rsidRPr="00EA1E99">
        <w:rPr>
          <w:rFonts w:cs="Times New Roman"/>
        </w:rPr>
        <w:t xml:space="preserve">restrictive approach </w:t>
      </w:r>
      <w:r w:rsidR="00F05A3A" w:rsidRPr="00EA1E99">
        <w:rPr>
          <w:rFonts w:cs="Times New Roman"/>
        </w:rPr>
        <w:t xml:space="preserve">to </w:t>
      </w:r>
      <w:r w:rsidRPr="00EA1E99">
        <w:rPr>
          <w:rFonts w:cs="Times New Roman"/>
        </w:rPr>
        <w:t xml:space="preserve">the access to </w:t>
      </w:r>
      <w:r w:rsidR="00F05A3A" w:rsidRPr="00EA1E99">
        <w:rPr>
          <w:rFonts w:cs="Times New Roman"/>
        </w:rPr>
        <w:t xml:space="preserve">legal advice </w:t>
      </w:r>
      <w:r w:rsidR="00776638" w:rsidRPr="00EA1E99">
        <w:rPr>
          <w:rFonts w:cs="Times New Roman"/>
        </w:rPr>
        <w:t>undoubtedly undermined the relationship between the</w:t>
      </w:r>
      <w:r w:rsidR="00EA2ED3" w:rsidRPr="00EA1E99">
        <w:rPr>
          <w:rFonts w:cs="Times New Roman"/>
        </w:rPr>
        <w:t xml:space="preserve"> G</w:t>
      </w:r>
      <w:r w:rsidR="00CD008C" w:rsidRPr="00EA1E99">
        <w:rPr>
          <w:rFonts w:cs="Times New Roman"/>
        </w:rPr>
        <w:t>overnment and its legal advise</w:t>
      </w:r>
      <w:r w:rsidR="00776638" w:rsidRPr="00EA1E99">
        <w:rPr>
          <w:rFonts w:cs="Times New Roman"/>
        </w:rPr>
        <w:t>rs</w:t>
      </w:r>
      <w:r w:rsidR="00F05A3A" w:rsidRPr="00EA1E99">
        <w:rPr>
          <w:rFonts w:cs="Times New Roman"/>
        </w:rPr>
        <w:t>.  Mor</w:t>
      </w:r>
      <w:r w:rsidR="004940D5" w:rsidRPr="00EA1E99">
        <w:rPr>
          <w:rFonts w:cs="Times New Roman"/>
        </w:rPr>
        <w:t xml:space="preserve">e generally, this </w:t>
      </w:r>
      <w:r w:rsidR="00F05A3A" w:rsidRPr="00EA1E99">
        <w:rPr>
          <w:rFonts w:cs="Times New Roman"/>
        </w:rPr>
        <w:t xml:space="preserve">has </w:t>
      </w:r>
      <w:r w:rsidR="00776638" w:rsidRPr="00EA1E99">
        <w:rPr>
          <w:rFonts w:cs="Times New Roman"/>
        </w:rPr>
        <w:t>wider implications for the place of international law in governmental decision-making and the domestic democratic rule of law.</w:t>
      </w:r>
    </w:p>
    <w:p w14:paraId="7918DAFA" w14:textId="77777777" w:rsidR="007259FF" w:rsidRPr="00EA1E99" w:rsidRDefault="007259FF" w:rsidP="004C1DD1">
      <w:pPr>
        <w:spacing w:line="480" w:lineRule="auto"/>
        <w:rPr>
          <w:rFonts w:eastAsia="Times New Roman" w:cs="Times New Roman"/>
          <w:i/>
        </w:rPr>
      </w:pPr>
    </w:p>
    <w:p w14:paraId="2824FA21" w14:textId="4FBCE0C0" w:rsidR="00385EF0" w:rsidRPr="00EA1E99" w:rsidRDefault="005A30A1" w:rsidP="00385EF0">
      <w:pPr>
        <w:spacing w:line="480" w:lineRule="auto"/>
        <w:rPr>
          <w:rFonts w:cs="Times New Roman"/>
          <w:b/>
          <w:i/>
        </w:rPr>
      </w:pPr>
      <w:r w:rsidRPr="00EA1E99">
        <w:rPr>
          <w:rFonts w:cs="Times New Roman"/>
          <w:b/>
          <w:i/>
        </w:rPr>
        <w:t xml:space="preserve">B. </w:t>
      </w:r>
      <w:r w:rsidR="00F05A3A" w:rsidRPr="00EA1E99">
        <w:rPr>
          <w:rFonts w:cs="Times New Roman"/>
          <w:b/>
          <w:i/>
        </w:rPr>
        <w:t>The Timeliness of</w:t>
      </w:r>
      <w:r w:rsidR="00385EF0" w:rsidRPr="00EA1E99">
        <w:rPr>
          <w:rFonts w:cs="Times New Roman"/>
          <w:b/>
          <w:i/>
        </w:rPr>
        <w:t xml:space="preserve"> Legal Advice</w:t>
      </w:r>
    </w:p>
    <w:p w14:paraId="48885517" w14:textId="1AE0D217" w:rsidR="00385EF0" w:rsidRPr="00EA1E99" w:rsidRDefault="00385EF0" w:rsidP="00385EF0">
      <w:pPr>
        <w:spacing w:line="480" w:lineRule="auto"/>
        <w:rPr>
          <w:rFonts w:cs="Times New Roman"/>
        </w:rPr>
      </w:pPr>
      <w:r w:rsidRPr="00EA1E99">
        <w:rPr>
          <w:rFonts w:cs="Times New Roman"/>
        </w:rPr>
        <w:t xml:space="preserve">It is </w:t>
      </w:r>
      <w:r w:rsidR="00AB39CD" w:rsidRPr="00EA1E99">
        <w:rPr>
          <w:rFonts w:cs="Times New Roman"/>
        </w:rPr>
        <w:t>evident</w:t>
      </w:r>
      <w:r w:rsidRPr="00EA1E99">
        <w:rPr>
          <w:rFonts w:cs="Times New Roman"/>
        </w:rPr>
        <w:t xml:space="preserve"> from the Report that t</w:t>
      </w:r>
      <w:r w:rsidR="00AB39CD" w:rsidRPr="00EA1E99">
        <w:rPr>
          <w:rFonts w:cs="Times New Roman"/>
        </w:rPr>
        <w:t xml:space="preserve">here was a </w:t>
      </w:r>
      <w:r w:rsidR="00F05A3A" w:rsidRPr="00EA1E99">
        <w:rPr>
          <w:rFonts w:cs="Times New Roman"/>
        </w:rPr>
        <w:t xml:space="preserve">notable </w:t>
      </w:r>
      <w:r w:rsidR="00EA2ED3" w:rsidRPr="00EA1E99">
        <w:rPr>
          <w:rFonts w:cs="Times New Roman"/>
        </w:rPr>
        <w:t>delay in the G</w:t>
      </w:r>
      <w:r w:rsidR="00F05A3A" w:rsidRPr="00EA1E99">
        <w:rPr>
          <w:rFonts w:cs="Times New Roman"/>
        </w:rPr>
        <w:t xml:space="preserve">overnment’s </w:t>
      </w:r>
      <w:r w:rsidRPr="00EA1E99">
        <w:rPr>
          <w:rFonts w:cs="Times New Roman"/>
        </w:rPr>
        <w:t>seeking of formal legal advice, particularly from the Attorney General.</w:t>
      </w:r>
      <w:r w:rsidR="00016053" w:rsidRPr="00EA1E99">
        <w:rPr>
          <w:rStyle w:val="FootnoteReference"/>
          <w:rFonts w:cs="Times New Roman"/>
        </w:rPr>
        <w:footnoteReference w:id="77"/>
      </w:r>
      <w:r w:rsidRPr="00EA1E99">
        <w:rPr>
          <w:rFonts w:cs="Times New Roman"/>
        </w:rPr>
        <w:t xml:space="preserve">  Indeed, </w:t>
      </w:r>
      <w:r w:rsidR="00AB39CD" w:rsidRPr="00EA1E99">
        <w:rPr>
          <w:rFonts w:cs="Times New Roman"/>
        </w:rPr>
        <w:t xml:space="preserve">it was </w:t>
      </w:r>
      <w:r w:rsidRPr="00EA1E99">
        <w:rPr>
          <w:rFonts w:cs="Times New Roman"/>
        </w:rPr>
        <w:t xml:space="preserve">not </w:t>
      </w:r>
      <w:r w:rsidR="00AB39CD" w:rsidRPr="00EA1E99">
        <w:rPr>
          <w:rFonts w:cs="Times New Roman"/>
        </w:rPr>
        <w:t>simply the case that</w:t>
      </w:r>
      <w:r w:rsidRPr="00EA1E99">
        <w:rPr>
          <w:rFonts w:cs="Times New Roman"/>
        </w:rPr>
        <w:t xml:space="preserve"> advice </w:t>
      </w:r>
      <w:r w:rsidR="00AB39CD" w:rsidRPr="00EA1E99">
        <w:rPr>
          <w:rFonts w:cs="Times New Roman"/>
        </w:rPr>
        <w:t xml:space="preserve">was </w:t>
      </w:r>
      <w:r w:rsidRPr="00EA1E99">
        <w:rPr>
          <w:rFonts w:cs="Times New Roman"/>
        </w:rPr>
        <w:t>not sought: despite the willingness of the Attorney General</w:t>
      </w:r>
      <w:r w:rsidR="00016053" w:rsidRPr="00EA1E99">
        <w:rPr>
          <w:rStyle w:val="FootnoteReference"/>
          <w:rFonts w:cs="Times New Roman"/>
        </w:rPr>
        <w:footnoteReference w:id="78"/>
      </w:r>
      <w:r w:rsidRPr="00EA1E99">
        <w:rPr>
          <w:rFonts w:cs="Times New Roman"/>
        </w:rPr>
        <w:t xml:space="preserve"> (and other legal advis</w:t>
      </w:r>
      <w:r w:rsidR="00CD008C" w:rsidRPr="00EA1E99">
        <w:rPr>
          <w:rFonts w:cs="Times New Roman"/>
        </w:rPr>
        <w:t>e</w:t>
      </w:r>
      <w:r w:rsidRPr="00EA1E99">
        <w:rPr>
          <w:rFonts w:cs="Times New Roman"/>
        </w:rPr>
        <w:t>rs</w:t>
      </w:r>
      <w:r w:rsidR="00016053" w:rsidRPr="00EA1E99">
        <w:rPr>
          <w:rStyle w:val="FootnoteReference"/>
          <w:rFonts w:cs="Times New Roman"/>
        </w:rPr>
        <w:footnoteReference w:id="79"/>
      </w:r>
      <w:r w:rsidRPr="00EA1E99">
        <w:rPr>
          <w:rFonts w:cs="Times New Roman"/>
        </w:rPr>
        <w:t xml:space="preserve">) to provide it, Lord Goldsmith was </w:t>
      </w:r>
      <w:r w:rsidRPr="00EA1E99">
        <w:rPr>
          <w:rFonts w:cs="Times New Roman"/>
          <w:i/>
        </w:rPr>
        <w:t>instructed</w:t>
      </w:r>
      <w:r w:rsidRPr="00EA1E99">
        <w:rPr>
          <w:rFonts w:cs="Times New Roman"/>
        </w:rPr>
        <w:t xml:space="preserve"> not </w:t>
      </w:r>
      <w:r w:rsidR="00AB39CD" w:rsidRPr="00EA1E99">
        <w:rPr>
          <w:rFonts w:cs="Times New Roman"/>
        </w:rPr>
        <w:t>offer</w:t>
      </w:r>
      <w:r w:rsidRPr="00EA1E99">
        <w:rPr>
          <w:rFonts w:cs="Times New Roman"/>
        </w:rPr>
        <w:t xml:space="preserve"> a legal response until called upon</w:t>
      </w:r>
      <w:r w:rsidR="00AB39CD" w:rsidRPr="00EA1E99">
        <w:rPr>
          <w:rFonts w:cs="Times New Roman"/>
        </w:rPr>
        <w:t>.</w:t>
      </w:r>
      <w:r w:rsidR="005B20C1" w:rsidRPr="00EA1E99">
        <w:rPr>
          <w:rStyle w:val="FootnoteReference"/>
          <w:rFonts w:cs="Times New Roman"/>
        </w:rPr>
        <w:footnoteReference w:id="80"/>
      </w:r>
      <w:r w:rsidR="00AB39CD" w:rsidRPr="00EA1E99">
        <w:rPr>
          <w:rFonts w:cs="Times New Roman"/>
        </w:rPr>
        <w:t xml:space="preserve">  This highlights not only an</w:t>
      </w:r>
      <w:r w:rsidRPr="00EA1E99">
        <w:rPr>
          <w:rFonts w:cs="Times New Roman"/>
        </w:rPr>
        <w:t xml:space="preserve"> omission, </w:t>
      </w:r>
      <w:r w:rsidR="0019375C" w:rsidRPr="00EA1E99">
        <w:rPr>
          <w:rFonts w:cs="Times New Roman"/>
        </w:rPr>
        <w:t>but also</w:t>
      </w:r>
      <w:r w:rsidRPr="00EA1E99">
        <w:rPr>
          <w:rFonts w:cs="Times New Roman"/>
        </w:rPr>
        <w:t xml:space="preserve"> a deliberate choice to </w:t>
      </w:r>
      <w:r w:rsidR="005B20C1" w:rsidRPr="00EA1E99">
        <w:rPr>
          <w:rFonts w:cs="Times New Roman"/>
        </w:rPr>
        <w:t>block early legal analysis</w:t>
      </w:r>
      <w:r w:rsidR="00F05A3A" w:rsidRPr="00EA1E99">
        <w:rPr>
          <w:rFonts w:cs="Times New Roman"/>
        </w:rPr>
        <w:t xml:space="preserve"> of the plans to use </w:t>
      </w:r>
      <w:r w:rsidR="00835D8E" w:rsidRPr="00EA1E99">
        <w:rPr>
          <w:rFonts w:cs="Times New Roman"/>
        </w:rPr>
        <w:t xml:space="preserve">military </w:t>
      </w:r>
      <w:r w:rsidR="00F05A3A" w:rsidRPr="00EA1E99">
        <w:rPr>
          <w:rFonts w:cs="Times New Roman"/>
        </w:rPr>
        <w:t xml:space="preserve">force (plans that </w:t>
      </w:r>
      <w:proofErr w:type="spellStart"/>
      <w:r w:rsidR="00F05A3A" w:rsidRPr="00EA1E99">
        <w:rPr>
          <w:rFonts w:cs="Times New Roman"/>
        </w:rPr>
        <w:t>Chilcot</w:t>
      </w:r>
      <w:proofErr w:type="spellEnd"/>
      <w:r w:rsidR="00F05A3A" w:rsidRPr="00EA1E99">
        <w:rPr>
          <w:rFonts w:cs="Times New Roman"/>
        </w:rPr>
        <w:t xml:space="preserve"> confirm were firmly in place before the end of 2002)</w:t>
      </w:r>
      <w:r w:rsidR="00623B2E" w:rsidRPr="00EA1E99">
        <w:rPr>
          <w:rFonts w:cs="Times New Roman"/>
        </w:rPr>
        <w:t>.</w:t>
      </w:r>
      <w:r w:rsidR="00623B2E" w:rsidRPr="00EA1E99">
        <w:rPr>
          <w:rStyle w:val="FootnoteReference"/>
          <w:rFonts w:cs="Times New Roman"/>
        </w:rPr>
        <w:footnoteReference w:id="81"/>
      </w:r>
      <w:r w:rsidRPr="00EA1E99">
        <w:rPr>
          <w:rFonts w:cs="Times New Roman"/>
        </w:rPr>
        <w:t xml:space="preserve"> </w:t>
      </w:r>
    </w:p>
    <w:p w14:paraId="599183B7" w14:textId="0E4B6CBF" w:rsidR="00CD008C" w:rsidRPr="00EA1E99" w:rsidRDefault="00AB39CD" w:rsidP="00AB39CD">
      <w:pPr>
        <w:spacing w:line="480" w:lineRule="auto"/>
        <w:ind w:firstLine="720"/>
        <w:rPr>
          <w:rFonts w:cs="Times New Roman"/>
        </w:rPr>
      </w:pPr>
      <w:r w:rsidRPr="00EA1E99">
        <w:rPr>
          <w:rFonts w:cs="Times New Roman"/>
        </w:rPr>
        <w:t xml:space="preserve">The Report </w:t>
      </w:r>
      <w:r w:rsidR="00F05A3A" w:rsidRPr="00EA1E99">
        <w:rPr>
          <w:rFonts w:cs="Times New Roman"/>
        </w:rPr>
        <w:t xml:space="preserve">certainly </w:t>
      </w:r>
      <w:r w:rsidRPr="00EA1E99">
        <w:rPr>
          <w:rFonts w:cs="Times New Roman"/>
        </w:rPr>
        <w:t>implies that th</w:t>
      </w:r>
      <w:r w:rsidR="00F05A3A" w:rsidRPr="00EA1E99">
        <w:rPr>
          <w:rFonts w:cs="Times New Roman"/>
        </w:rPr>
        <w:t>e</w:t>
      </w:r>
      <w:r w:rsidRPr="00EA1E99">
        <w:rPr>
          <w:rFonts w:cs="Times New Roman"/>
        </w:rPr>
        <w:t xml:space="preserve"> decision</w:t>
      </w:r>
      <w:r w:rsidR="005836CE" w:rsidRPr="00EA1E99">
        <w:rPr>
          <w:rFonts w:cs="Times New Roman"/>
        </w:rPr>
        <w:t xml:space="preserve"> to delay advice</w:t>
      </w:r>
      <w:r w:rsidRPr="00EA1E99">
        <w:rPr>
          <w:rFonts w:cs="Times New Roman"/>
        </w:rPr>
        <w:t xml:space="preserve"> was undesirable,</w:t>
      </w:r>
      <w:r w:rsidR="00052D18" w:rsidRPr="00EA1E99">
        <w:rPr>
          <w:rStyle w:val="FootnoteReference"/>
          <w:rFonts w:cs="Times New Roman"/>
        </w:rPr>
        <w:footnoteReference w:id="82"/>
      </w:r>
      <w:r w:rsidRPr="00EA1E99">
        <w:rPr>
          <w:rFonts w:cs="Times New Roman"/>
        </w:rPr>
        <w:t xml:space="preserve"> although it stops short of explicitly</w:t>
      </w:r>
      <w:r w:rsidR="005836CE" w:rsidRPr="00EA1E99">
        <w:rPr>
          <w:rFonts w:cs="Times New Roman"/>
        </w:rPr>
        <w:t xml:space="preserve"> </w:t>
      </w:r>
      <w:r w:rsidR="00052D18" w:rsidRPr="00EA1E99">
        <w:rPr>
          <w:rFonts w:cs="Times New Roman"/>
        </w:rPr>
        <w:t>condemning it</w:t>
      </w:r>
      <w:r w:rsidR="005836CE" w:rsidRPr="00EA1E99">
        <w:rPr>
          <w:rFonts w:cs="Times New Roman"/>
        </w:rPr>
        <w:t xml:space="preserve">.  </w:t>
      </w:r>
      <w:r w:rsidR="00052D18" w:rsidRPr="00EA1E99">
        <w:rPr>
          <w:rFonts w:cs="Times New Roman"/>
        </w:rPr>
        <w:t>This was</w:t>
      </w:r>
      <w:r w:rsidR="005836CE" w:rsidRPr="00EA1E99">
        <w:rPr>
          <w:rFonts w:cs="Times New Roman"/>
        </w:rPr>
        <w:t xml:space="preserve">, perhaps, </w:t>
      </w:r>
      <w:r w:rsidRPr="00EA1E99">
        <w:rPr>
          <w:rFonts w:cs="Times New Roman"/>
        </w:rPr>
        <w:t>because</w:t>
      </w:r>
      <w:r w:rsidR="00385EF0" w:rsidRPr="00EA1E99">
        <w:rPr>
          <w:rFonts w:cs="Times New Roman"/>
        </w:rPr>
        <w:t xml:space="preserve"> </w:t>
      </w:r>
      <w:proofErr w:type="spellStart"/>
      <w:r w:rsidR="00052D18" w:rsidRPr="00EA1E99">
        <w:rPr>
          <w:rFonts w:cs="Times New Roman"/>
        </w:rPr>
        <w:t>Chilcot</w:t>
      </w:r>
      <w:proofErr w:type="spellEnd"/>
      <w:r w:rsidR="00052D18" w:rsidRPr="00EA1E99">
        <w:rPr>
          <w:rFonts w:cs="Times New Roman"/>
        </w:rPr>
        <w:t xml:space="preserve"> had in </w:t>
      </w:r>
      <w:r w:rsidR="00052D18" w:rsidRPr="00EA1E99">
        <w:rPr>
          <w:rFonts w:cs="Times New Roman"/>
        </w:rPr>
        <w:lastRenderedPageBreak/>
        <w:t xml:space="preserve">mind the fact that </w:t>
      </w:r>
      <w:r w:rsidR="00385EF0" w:rsidRPr="00EA1E99">
        <w:rPr>
          <w:rFonts w:cs="Times New Roman"/>
        </w:rPr>
        <w:t xml:space="preserve">a governmental request for the provision of formal legal advice </w:t>
      </w:r>
      <w:r w:rsidR="00052D18" w:rsidRPr="00EA1E99">
        <w:rPr>
          <w:rFonts w:cs="Times New Roman"/>
        </w:rPr>
        <w:t>may</w:t>
      </w:r>
      <w:r w:rsidR="00385EF0" w:rsidRPr="00EA1E99">
        <w:rPr>
          <w:rFonts w:cs="Times New Roman"/>
        </w:rPr>
        <w:t xml:space="preserve"> have had </w:t>
      </w:r>
      <w:r w:rsidRPr="00EA1E99">
        <w:rPr>
          <w:rFonts w:cs="Times New Roman"/>
        </w:rPr>
        <w:t xml:space="preserve">wider </w:t>
      </w:r>
      <w:r w:rsidR="00385EF0" w:rsidRPr="00EA1E99">
        <w:rPr>
          <w:rFonts w:cs="Times New Roman"/>
        </w:rPr>
        <w:t>political and strategic implications</w:t>
      </w:r>
      <w:r w:rsidRPr="00EA1E99">
        <w:rPr>
          <w:rFonts w:cs="Times New Roman"/>
        </w:rPr>
        <w:t xml:space="preserve"> in the lead-up to war</w:t>
      </w:r>
      <w:r w:rsidR="00385EF0" w:rsidRPr="00EA1E99">
        <w:rPr>
          <w:rFonts w:cs="Times New Roman"/>
        </w:rPr>
        <w:t>,</w:t>
      </w:r>
      <w:r w:rsidR="00052D18" w:rsidRPr="00EA1E99">
        <w:rPr>
          <w:rStyle w:val="FootnoteReference"/>
          <w:rFonts w:cs="Times New Roman"/>
        </w:rPr>
        <w:footnoteReference w:id="83"/>
      </w:r>
      <w:r w:rsidR="00385EF0" w:rsidRPr="00EA1E99">
        <w:rPr>
          <w:rFonts w:cs="Times New Roman"/>
        </w:rPr>
        <w:t xml:space="preserve"> particularly </w:t>
      </w:r>
      <w:r w:rsidRPr="00EA1E99">
        <w:rPr>
          <w:rFonts w:cs="Times New Roman"/>
        </w:rPr>
        <w:t>when it was relatively clear that the</w:t>
      </w:r>
      <w:r w:rsidR="00385EF0" w:rsidRPr="00EA1E99">
        <w:rPr>
          <w:rFonts w:cs="Times New Roman"/>
        </w:rPr>
        <w:t xml:space="preserve"> advice</w:t>
      </w:r>
      <w:r w:rsidRPr="00EA1E99">
        <w:rPr>
          <w:rFonts w:cs="Times New Roman"/>
        </w:rPr>
        <w:t xml:space="preserve"> </w:t>
      </w:r>
      <w:r w:rsidR="00F05A3A" w:rsidRPr="00EA1E99">
        <w:rPr>
          <w:rFonts w:cs="Times New Roman"/>
        </w:rPr>
        <w:t xml:space="preserve">in 2002 </w:t>
      </w:r>
      <w:r w:rsidRPr="00EA1E99">
        <w:rPr>
          <w:rFonts w:cs="Times New Roman"/>
        </w:rPr>
        <w:t xml:space="preserve">would </w:t>
      </w:r>
      <w:r w:rsidR="00F05A3A" w:rsidRPr="00EA1E99">
        <w:rPr>
          <w:rFonts w:cs="Times New Roman"/>
        </w:rPr>
        <w:t>have been</w:t>
      </w:r>
      <w:r w:rsidRPr="00EA1E99">
        <w:rPr>
          <w:rFonts w:cs="Times New Roman"/>
        </w:rPr>
        <w:t xml:space="preserve"> that the use of force would be unlawful.</w:t>
      </w:r>
      <w:r w:rsidR="00052D18" w:rsidRPr="00EA1E99">
        <w:rPr>
          <w:rStyle w:val="FootnoteReference"/>
          <w:rFonts w:cs="Times New Roman"/>
        </w:rPr>
        <w:footnoteReference w:id="84"/>
      </w:r>
      <w:r w:rsidR="00385EF0" w:rsidRPr="00EA1E99">
        <w:rPr>
          <w:rFonts w:cs="Times New Roman"/>
        </w:rPr>
        <w:t xml:space="preserve">  This</w:t>
      </w:r>
      <w:r w:rsidR="005836CE" w:rsidRPr="00EA1E99">
        <w:rPr>
          <w:rFonts w:cs="Times New Roman"/>
        </w:rPr>
        <w:t xml:space="preserve"> </w:t>
      </w:r>
      <w:r w:rsidR="00BB3DC7" w:rsidRPr="00EA1E99">
        <w:rPr>
          <w:rFonts w:cs="Times New Roman"/>
        </w:rPr>
        <w:t xml:space="preserve">restriction – in effect a </w:t>
      </w:r>
      <w:r w:rsidR="00F05A3A" w:rsidRPr="00EA1E99">
        <w:rPr>
          <w:rFonts w:cs="Times New Roman"/>
        </w:rPr>
        <w:t>gag order</w:t>
      </w:r>
      <w:r w:rsidR="00BB3DC7" w:rsidRPr="00EA1E99">
        <w:rPr>
          <w:rFonts w:cs="Times New Roman"/>
        </w:rPr>
        <w:t xml:space="preserve"> on legal advice –</w:t>
      </w:r>
      <w:r w:rsidR="00F05A3A" w:rsidRPr="00EA1E99">
        <w:rPr>
          <w:rFonts w:cs="Times New Roman"/>
        </w:rPr>
        <w:t xml:space="preserve"> </w:t>
      </w:r>
      <w:r w:rsidR="00385EF0" w:rsidRPr="00EA1E99">
        <w:rPr>
          <w:rFonts w:cs="Times New Roman"/>
        </w:rPr>
        <w:t>placed the legal advis</w:t>
      </w:r>
      <w:r w:rsidR="00CD008C" w:rsidRPr="00EA1E99">
        <w:rPr>
          <w:rFonts w:cs="Times New Roman"/>
        </w:rPr>
        <w:t>e</w:t>
      </w:r>
      <w:r w:rsidR="00385EF0" w:rsidRPr="00EA1E99">
        <w:rPr>
          <w:rFonts w:cs="Times New Roman"/>
        </w:rPr>
        <w:t>rs in a</w:t>
      </w:r>
      <w:r w:rsidR="00F05A3A" w:rsidRPr="00EA1E99">
        <w:rPr>
          <w:rFonts w:cs="Times New Roman"/>
        </w:rPr>
        <w:t>n extremely</w:t>
      </w:r>
      <w:r w:rsidR="00385EF0" w:rsidRPr="00EA1E99">
        <w:rPr>
          <w:rFonts w:cs="Times New Roman"/>
        </w:rPr>
        <w:t xml:space="preserve"> difficult position.</w:t>
      </w:r>
      <w:r w:rsidR="00B66582" w:rsidRPr="00EA1E99">
        <w:rPr>
          <w:rStyle w:val="FootnoteReference"/>
          <w:rFonts w:cs="Times New Roman"/>
        </w:rPr>
        <w:footnoteReference w:id="85"/>
      </w:r>
      <w:r w:rsidR="00385EF0" w:rsidRPr="00EA1E99">
        <w:rPr>
          <w:rFonts w:cs="Times New Roman"/>
        </w:rPr>
        <w:t xml:space="preserve">  </w:t>
      </w:r>
      <w:r w:rsidR="00016053" w:rsidRPr="00EA1E99">
        <w:rPr>
          <w:rFonts w:cs="Times New Roman"/>
        </w:rPr>
        <w:t>The FCO legal advis</w:t>
      </w:r>
      <w:r w:rsidR="00CD008C" w:rsidRPr="00EA1E99">
        <w:rPr>
          <w:rFonts w:cs="Times New Roman"/>
        </w:rPr>
        <w:t>e</w:t>
      </w:r>
      <w:r w:rsidR="00016053" w:rsidRPr="00EA1E99">
        <w:rPr>
          <w:rFonts w:cs="Times New Roman"/>
        </w:rPr>
        <w:t>rs, for example,</w:t>
      </w:r>
      <w:r w:rsidR="00385EF0" w:rsidRPr="00EA1E99">
        <w:rPr>
          <w:rFonts w:cs="Times New Roman"/>
        </w:rPr>
        <w:t xml:space="preserve"> were </w:t>
      </w:r>
      <w:r w:rsidR="00CD008C" w:rsidRPr="00EA1E99">
        <w:rPr>
          <w:rFonts w:cs="Times New Roman"/>
        </w:rPr>
        <w:t xml:space="preserve">clearly </w:t>
      </w:r>
      <w:r w:rsidR="00385EF0" w:rsidRPr="00EA1E99">
        <w:rPr>
          <w:rFonts w:cs="Times New Roman"/>
        </w:rPr>
        <w:t xml:space="preserve">perturbed by this obfuscation of legal </w:t>
      </w:r>
      <w:r w:rsidR="00776638" w:rsidRPr="00EA1E99">
        <w:rPr>
          <w:rFonts w:cs="Times New Roman"/>
        </w:rPr>
        <w:t>questions</w:t>
      </w:r>
      <w:r w:rsidR="00F05A3A" w:rsidRPr="00EA1E99">
        <w:rPr>
          <w:rFonts w:cs="Times New Roman"/>
        </w:rPr>
        <w:t xml:space="preserve"> during the initial planning stages of the intervention</w:t>
      </w:r>
      <w:r w:rsidR="00835D8E" w:rsidRPr="00EA1E99">
        <w:rPr>
          <w:rFonts w:cs="Times New Roman"/>
        </w:rPr>
        <w:t>.</w:t>
      </w:r>
      <w:r w:rsidR="00016053" w:rsidRPr="00EA1E99">
        <w:rPr>
          <w:rStyle w:val="FootnoteReference"/>
          <w:rFonts w:cs="Times New Roman"/>
        </w:rPr>
        <w:footnoteReference w:id="86"/>
      </w:r>
      <w:r w:rsidR="008A4427" w:rsidRPr="00EA1E99">
        <w:rPr>
          <w:rFonts w:cs="Times New Roman"/>
        </w:rPr>
        <w:t xml:space="preserve"> </w:t>
      </w:r>
      <w:r w:rsidR="00385EF0" w:rsidRPr="00EA1E99">
        <w:rPr>
          <w:rFonts w:cs="Times New Roman"/>
        </w:rPr>
        <w:t xml:space="preserve"> </w:t>
      </w:r>
      <w:r w:rsidR="00835D8E" w:rsidRPr="00EA1E99">
        <w:rPr>
          <w:rFonts w:cs="Times New Roman"/>
        </w:rPr>
        <w:t>W</w:t>
      </w:r>
      <w:r w:rsidR="00385EF0" w:rsidRPr="00EA1E99">
        <w:rPr>
          <w:rFonts w:cs="Times New Roman"/>
        </w:rPr>
        <w:t>hereas</w:t>
      </w:r>
      <w:r w:rsidR="00835D8E" w:rsidRPr="00EA1E99">
        <w:rPr>
          <w:rFonts w:cs="Times New Roman"/>
        </w:rPr>
        <w:t>,</w:t>
      </w:r>
      <w:r w:rsidR="00385EF0" w:rsidRPr="00EA1E99">
        <w:rPr>
          <w:rFonts w:cs="Times New Roman"/>
        </w:rPr>
        <w:t xml:space="preserve"> the Attorney General was</w:t>
      </w:r>
      <w:r w:rsidR="005836CE" w:rsidRPr="00EA1E99">
        <w:rPr>
          <w:rFonts w:cs="Times New Roman"/>
        </w:rPr>
        <w:t xml:space="preserve">, perhaps unsurprisingly, </w:t>
      </w:r>
      <w:r w:rsidR="00CD008C" w:rsidRPr="00EA1E99">
        <w:rPr>
          <w:rFonts w:cs="Times New Roman"/>
        </w:rPr>
        <w:t>rather more</w:t>
      </w:r>
      <w:r w:rsidR="00385EF0" w:rsidRPr="00EA1E99">
        <w:rPr>
          <w:rFonts w:cs="Times New Roman"/>
        </w:rPr>
        <w:t xml:space="preserve"> willing to accept </w:t>
      </w:r>
      <w:r w:rsidR="005836CE" w:rsidRPr="00EA1E99">
        <w:rPr>
          <w:rFonts w:cs="Times New Roman"/>
        </w:rPr>
        <w:t>the instruction to refrain from providing formal advice</w:t>
      </w:r>
      <w:r w:rsidR="00385EF0" w:rsidRPr="00EA1E99">
        <w:rPr>
          <w:rFonts w:cs="Times New Roman"/>
        </w:rPr>
        <w:t xml:space="preserve"> in late 2002</w:t>
      </w:r>
      <w:r w:rsidR="00F05A3A" w:rsidRPr="00EA1E99">
        <w:rPr>
          <w:rFonts w:cs="Times New Roman"/>
        </w:rPr>
        <w:t>, and was prosaic when discussing it in retrospect</w:t>
      </w:r>
      <w:r w:rsidR="00385EF0" w:rsidRPr="00EA1E99">
        <w:rPr>
          <w:rFonts w:cs="Times New Roman"/>
        </w:rPr>
        <w:t>.</w:t>
      </w:r>
      <w:r w:rsidR="00623B2E" w:rsidRPr="00EA1E99">
        <w:rPr>
          <w:rStyle w:val="FootnoteReference"/>
          <w:rFonts w:cs="Times New Roman"/>
        </w:rPr>
        <w:footnoteReference w:id="87"/>
      </w:r>
      <w:r w:rsidR="00C40CC2" w:rsidRPr="00EA1E99">
        <w:rPr>
          <w:rFonts w:cs="Times New Roman"/>
        </w:rPr>
        <w:t xml:space="preserve"> </w:t>
      </w:r>
    </w:p>
    <w:p w14:paraId="1E0C8BFF" w14:textId="77777777" w:rsidR="00320042" w:rsidRPr="00EA1E99" w:rsidRDefault="00C40CC2" w:rsidP="003F6809">
      <w:pPr>
        <w:spacing w:line="480" w:lineRule="auto"/>
        <w:ind w:firstLine="720"/>
        <w:rPr>
          <w:rFonts w:cs="Times New Roman"/>
        </w:rPr>
      </w:pPr>
      <w:r w:rsidRPr="00EA1E99">
        <w:rPr>
          <w:rFonts w:cs="Times New Roman"/>
        </w:rPr>
        <w:t>In any event, the deliberate delaying of legal advice</w:t>
      </w:r>
      <w:r w:rsidR="00F05A3A" w:rsidRPr="00EA1E99">
        <w:rPr>
          <w:rFonts w:cs="Times New Roman"/>
        </w:rPr>
        <w:t xml:space="preserve"> (</w:t>
      </w:r>
      <w:r w:rsidRPr="00EA1E99">
        <w:rPr>
          <w:rFonts w:cs="Times New Roman"/>
        </w:rPr>
        <w:t xml:space="preserve">both </w:t>
      </w:r>
      <w:r w:rsidRPr="00EA1E99">
        <w:rPr>
          <w:rFonts w:cs="Times New Roman"/>
          <w:i/>
        </w:rPr>
        <w:t>per se</w:t>
      </w:r>
      <w:r w:rsidRPr="00EA1E99">
        <w:rPr>
          <w:rFonts w:cs="Times New Roman"/>
        </w:rPr>
        <w:t xml:space="preserve"> and</w:t>
      </w:r>
      <w:r w:rsidR="00F05A3A" w:rsidRPr="00EA1E99">
        <w:rPr>
          <w:rFonts w:cs="Times New Roman"/>
        </w:rPr>
        <w:t>,</w:t>
      </w:r>
      <w:r w:rsidRPr="00EA1E99">
        <w:rPr>
          <w:rFonts w:cs="Times New Roman"/>
        </w:rPr>
        <w:t xml:space="preserve"> then</w:t>
      </w:r>
      <w:r w:rsidR="00F05A3A" w:rsidRPr="00EA1E99">
        <w:rPr>
          <w:rFonts w:cs="Times New Roman"/>
        </w:rPr>
        <w:t>,</w:t>
      </w:r>
      <w:r w:rsidRPr="00EA1E99">
        <w:rPr>
          <w:rFonts w:cs="Times New Roman"/>
        </w:rPr>
        <w:t xml:space="preserve"> its communication to the Cabinet and other senior officials </w:t>
      </w:r>
      <w:r w:rsidR="00AD72DA" w:rsidRPr="00EA1E99">
        <w:rPr>
          <w:rFonts w:cs="Times New Roman"/>
        </w:rPr>
        <w:t xml:space="preserve">as </w:t>
      </w:r>
      <w:r w:rsidRPr="00EA1E99">
        <w:rPr>
          <w:rFonts w:cs="Times New Roman"/>
        </w:rPr>
        <w:t>discussed in the previous subsection</w:t>
      </w:r>
      <w:r w:rsidR="00F05A3A" w:rsidRPr="00EA1E99">
        <w:rPr>
          <w:rFonts w:cs="Times New Roman"/>
        </w:rPr>
        <w:t>)</w:t>
      </w:r>
      <w:r w:rsidRPr="00EA1E99">
        <w:rPr>
          <w:rFonts w:cs="Times New Roman"/>
        </w:rPr>
        <w:t xml:space="preserve"> further indicates the </w:t>
      </w:r>
      <w:r w:rsidR="0019375C" w:rsidRPr="00EA1E99">
        <w:rPr>
          <w:rFonts w:cs="Times New Roman"/>
        </w:rPr>
        <w:t>worrying</w:t>
      </w:r>
      <w:r w:rsidRPr="00EA1E99">
        <w:rPr>
          <w:rFonts w:cs="Times New Roman"/>
        </w:rPr>
        <w:t xml:space="preserve"> marginalisation of legal questions</w:t>
      </w:r>
      <w:r w:rsidR="008529DC" w:rsidRPr="00EA1E99">
        <w:rPr>
          <w:rFonts w:cs="Times New Roman"/>
        </w:rPr>
        <w:t xml:space="preserve"> by government officials at the time</w:t>
      </w:r>
      <w:r w:rsidR="00A168A5" w:rsidRPr="00EA1E99">
        <w:rPr>
          <w:rFonts w:cs="Times New Roman"/>
        </w:rPr>
        <w:t>.</w:t>
      </w:r>
    </w:p>
    <w:p w14:paraId="549D61B5" w14:textId="77777777" w:rsidR="00C40CC2" w:rsidRPr="00EA1E99" w:rsidRDefault="00C40CC2" w:rsidP="003F6809">
      <w:pPr>
        <w:spacing w:line="480" w:lineRule="auto"/>
        <w:ind w:firstLine="720"/>
        <w:rPr>
          <w:rFonts w:cs="Times New Roman"/>
        </w:rPr>
      </w:pPr>
    </w:p>
    <w:p w14:paraId="34BA2E21" w14:textId="1C070BCE" w:rsidR="00C40CC2" w:rsidRPr="00EA1E99" w:rsidRDefault="005A30A1" w:rsidP="00C40CC2">
      <w:pPr>
        <w:spacing w:line="480" w:lineRule="auto"/>
        <w:rPr>
          <w:rFonts w:cs="Times New Roman"/>
          <w:b/>
          <w:i/>
        </w:rPr>
      </w:pPr>
      <w:r w:rsidRPr="00EA1E99">
        <w:rPr>
          <w:rFonts w:cs="Times New Roman"/>
          <w:b/>
          <w:i/>
        </w:rPr>
        <w:t xml:space="preserve">C. </w:t>
      </w:r>
      <w:r w:rsidR="00C40CC2" w:rsidRPr="00EA1E99">
        <w:rPr>
          <w:rFonts w:cs="Times New Roman"/>
          <w:b/>
          <w:i/>
        </w:rPr>
        <w:t>The Perception and Treatment of Legal Advice</w:t>
      </w:r>
    </w:p>
    <w:p w14:paraId="4228E324" w14:textId="1D1B791B" w:rsidR="00BB3DC7" w:rsidRPr="00EA1E99" w:rsidRDefault="00010BD2" w:rsidP="0035463E">
      <w:pPr>
        <w:spacing w:line="480" w:lineRule="auto"/>
        <w:rPr>
          <w:rFonts w:cs="Times New Roman"/>
        </w:rPr>
      </w:pPr>
      <w:r w:rsidRPr="00EA1E99">
        <w:rPr>
          <w:rFonts w:cs="Times New Roman"/>
        </w:rPr>
        <w:t xml:space="preserve">There is a recurring perception amongst international lawyers that, as advisers, their role is a ‘marginal’ one: some practitioners have even described </w:t>
      </w:r>
      <w:r w:rsidR="00044D33" w:rsidRPr="00EA1E99">
        <w:rPr>
          <w:rFonts w:cs="Times New Roman"/>
        </w:rPr>
        <w:t xml:space="preserve">their professional role </w:t>
      </w:r>
      <w:r w:rsidRPr="00EA1E99">
        <w:rPr>
          <w:rFonts w:cs="Times New Roman"/>
        </w:rPr>
        <w:t xml:space="preserve">as </w:t>
      </w:r>
      <w:r w:rsidR="004B0455" w:rsidRPr="00EA1E99">
        <w:rPr>
          <w:rFonts w:cs="Times New Roman"/>
        </w:rPr>
        <w:t xml:space="preserve">that of </w:t>
      </w:r>
      <w:r w:rsidRPr="00EA1E99">
        <w:rPr>
          <w:rFonts w:cs="Times New Roman"/>
        </w:rPr>
        <w:t>‘handmaidens’ of wider socio-political forces.</w:t>
      </w:r>
      <w:r w:rsidRPr="00EA1E99">
        <w:rPr>
          <w:rStyle w:val="FootnoteReference"/>
          <w:rFonts w:cs="Times New Roman"/>
        </w:rPr>
        <w:footnoteReference w:id="88"/>
      </w:r>
      <w:r w:rsidRPr="00EA1E99">
        <w:rPr>
          <w:rFonts w:cs="Times New Roman"/>
        </w:rPr>
        <w:t xml:space="preserve">  The </w:t>
      </w:r>
      <w:proofErr w:type="spellStart"/>
      <w:r w:rsidRPr="00EA1E99">
        <w:rPr>
          <w:rFonts w:cs="Times New Roman"/>
        </w:rPr>
        <w:t>Chilcot</w:t>
      </w:r>
      <w:proofErr w:type="spellEnd"/>
      <w:r w:rsidRPr="00EA1E99">
        <w:rPr>
          <w:rFonts w:cs="Times New Roman"/>
        </w:rPr>
        <w:t xml:space="preserve"> Inquiry’s account of the events leading up to the 2003 Iraq intervention reflects this perspective to </w:t>
      </w:r>
      <w:r w:rsidR="00320042" w:rsidRPr="00EA1E99">
        <w:rPr>
          <w:rFonts w:cs="Times New Roman"/>
        </w:rPr>
        <w:t>some degree</w:t>
      </w:r>
      <w:r w:rsidRPr="00EA1E99">
        <w:rPr>
          <w:rFonts w:cs="Times New Roman"/>
        </w:rPr>
        <w:t>.</w:t>
      </w:r>
      <w:r w:rsidR="0035463E" w:rsidRPr="00EA1E99">
        <w:rPr>
          <w:rFonts w:cs="Times New Roman"/>
        </w:rPr>
        <w:t xml:space="preserve">  </w:t>
      </w:r>
    </w:p>
    <w:p w14:paraId="7417B0EA" w14:textId="67A99A7B" w:rsidR="0035463E" w:rsidRPr="00EA1E99" w:rsidRDefault="0035463E" w:rsidP="00305018">
      <w:pPr>
        <w:spacing w:line="480" w:lineRule="auto"/>
        <w:ind w:firstLine="720"/>
        <w:rPr>
          <w:rFonts w:cs="Times New Roman"/>
        </w:rPr>
      </w:pPr>
      <w:r w:rsidRPr="00EA1E99">
        <w:rPr>
          <w:rFonts w:cs="Times New Roman"/>
        </w:rPr>
        <w:lastRenderedPageBreak/>
        <w:t>At the same time, it is important not to overstate the extent to which legal advice was marginalise</w:t>
      </w:r>
      <w:r w:rsidR="00BB3DC7" w:rsidRPr="00EA1E99">
        <w:rPr>
          <w:rFonts w:cs="Times New Roman"/>
        </w:rPr>
        <w:t xml:space="preserve">d in relation to the Iraq War.  </w:t>
      </w:r>
      <w:proofErr w:type="spellStart"/>
      <w:r w:rsidRPr="00EA1E99">
        <w:rPr>
          <w:rFonts w:cs="Times New Roman"/>
        </w:rPr>
        <w:t>Chilcot</w:t>
      </w:r>
      <w:proofErr w:type="spellEnd"/>
      <w:r w:rsidRPr="00EA1E99">
        <w:rPr>
          <w:rFonts w:cs="Times New Roman"/>
        </w:rPr>
        <w:t xml:space="preserve"> shows us the inner workings of </w:t>
      </w:r>
      <w:r w:rsidR="007A2CE0" w:rsidRPr="00EA1E99">
        <w:rPr>
          <w:rFonts w:cs="Times New Roman"/>
        </w:rPr>
        <w:t xml:space="preserve">the provision of </w:t>
      </w:r>
      <w:r w:rsidRPr="00EA1E99">
        <w:rPr>
          <w:rFonts w:cs="Times New Roman"/>
        </w:rPr>
        <w:t xml:space="preserve">legal advice </w:t>
      </w:r>
      <w:r w:rsidR="007A2CE0" w:rsidRPr="00EA1E99">
        <w:rPr>
          <w:rFonts w:cs="Times New Roman"/>
        </w:rPr>
        <w:t xml:space="preserve">to </w:t>
      </w:r>
      <w:r w:rsidRPr="00EA1E99">
        <w:rPr>
          <w:rFonts w:cs="Times New Roman"/>
        </w:rPr>
        <w:t>the UK</w:t>
      </w:r>
      <w:r w:rsidR="007A2CE0" w:rsidRPr="00EA1E99">
        <w:rPr>
          <w:rFonts w:cs="Times New Roman"/>
        </w:rPr>
        <w:t xml:space="preserve"> Government</w:t>
      </w:r>
      <w:r w:rsidRPr="00EA1E99">
        <w:rPr>
          <w:rFonts w:cs="Times New Roman"/>
        </w:rPr>
        <w:t xml:space="preserve"> in unprecedented depth.</w:t>
      </w:r>
      <w:r w:rsidR="00052D18" w:rsidRPr="00EA1E99">
        <w:rPr>
          <w:rStyle w:val="FootnoteReference"/>
          <w:rFonts w:cs="Times New Roman"/>
        </w:rPr>
        <w:footnoteReference w:id="89"/>
      </w:r>
      <w:r w:rsidRPr="00EA1E99">
        <w:rPr>
          <w:rFonts w:cs="Times New Roman"/>
        </w:rPr>
        <w:t xml:space="preserve">  It indicates that there </w:t>
      </w:r>
      <w:r w:rsidR="007A2CE0" w:rsidRPr="00EA1E99">
        <w:rPr>
          <w:rFonts w:cs="Times New Roman"/>
        </w:rPr>
        <w:t>exists</w:t>
      </w:r>
      <w:r w:rsidRPr="00EA1E99">
        <w:rPr>
          <w:rFonts w:cs="Times New Roman"/>
        </w:rPr>
        <w:t xml:space="preserve"> a high degree of procedural fidelity to the role of such advice, and that notable significance is placed upon it.</w:t>
      </w:r>
      <w:r w:rsidR="00BB3DC7" w:rsidRPr="00EA1E99">
        <w:rPr>
          <w:rStyle w:val="FootnoteReference"/>
          <w:rFonts w:cs="Times New Roman"/>
        </w:rPr>
        <w:footnoteReference w:id="90"/>
      </w:r>
      <w:r w:rsidRPr="00EA1E99">
        <w:rPr>
          <w:rFonts w:cs="Times New Roman"/>
        </w:rPr>
        <w:t xml:space="preserve">  This is not merely because of the need to ensure that any particular action is taken within the law and </w:t>
      </w:r>
      <w:r w:rsidR="00AD72DA" w:rsidRPr="00EA1E99">
        <w:rPr>
          <w:rFonts w:cs="Times New Roman"/>
        </w:rPr>
        <w:t xml:space="preserve">is </w:t>
      </w:r>
      <w:r w:rsidRPr="00EA1E99">
        <w:rPr>
          <w:rFonts w:cs="Times New Roman"/>
        </w:rPr>
        <w:t xml:space="preserve">immune from disruptive and </w:t>
      </w:r>
      <w:r w:rsidR="00763D5D">
        <w:rPr>
          <w:rFonts w:cs="Times New Roman"/>
        </w:rPr>
        <w:t>de</w:t>
      </w:r>
      <w:r w:rsidRPr="00EA1E99">
        <w:rPr>
          <w:rFonts w:cs="Times New Roman"/>
        </w:rPr>
        <w:t>stabilising legal disputes, but also because supportive legal opinion has the capacity to legitimate decisions and behaviour.</w:t>
      </w:r>
      <w:r w:rsidR="001E206C" w:rsidRPr="00EA1E99">
        <w:rPr>
          <w:rStyle w:val="FootnoteReference"/>
          <w:rFonts w:cs="Times New Roman"/>
        </w:rPr>
        <w:footnoteReference w:id="91"/>
      </w:r>
      <w:r w:rsidRPr="00EA1E99">
        <w:rPr>
          <w:rFonts w:cs="Times New Roman"/>
        </w:rPr>
        <w:t xml:space="preserve">  It </w:t>
      </w:r>
      <w:r w:rsidR="007A2CE0" w:rsidRPr="00EA1E99">
        <w:rPr>
          <w:rFonts w:cs="Times New Roman"/>
        </w:rPr>
        <w:t>is important to note</w:t>
      </w:r>
      <w:r w:rsidRPr="00EA1E99">
        <w:rPr>
          <w:rFonts w:cs="Times New Roman"/>
        </w:rPr>
        <w:t xml:space="preserve"> that</w:t>
      </w:r>
      <w:r w:rsidR="00BB3DC7" w:rsidRPr="00EA1E99">
        <w:rPr>
          <w:rFonts w:cs="Times New Roman"/>
        </w:rPr>
        <w:t>,</w:t>
      </w:r>
      <w:r w:rsidRPr="00EA1E99">
        <w:rPr>
          <w:rFonts w:cs="Times New Roman"/>
        </w:rPr>
        <w:t xml:space="preserve"> </w:t>
      </w:r>
      <w:r w:rsidR="007A2CE0" w:rsidRPr="00EA1E99">
        <w:rPr>
          <w:rFonts w:cs="Times New Roman"/>
        </w:rPr>
        <w:t xml:space="preserve">while </w:t>
      </w:r>
      <w:proofErr w:type="spellStart"/>
      <w:r w:rsidR="007A2CE0" w:rsidRPr="00EA1E99">
        <w:rPr>
          <w:rFonts w:cs="Times New Roman"/>
        </w:rPr>
        <w:t>Chilcot</w:t>
      </w:r>
      <w:proofErr w:type="spellEnd"/>
      <w:r w:rsidR="007A2CE0" w:rsidRPr="00EA1E99">
        <w:rPr>
          <w:rFonts w:cs="Times New Roman"/>
        </w:rPr>
        <w:t xml:space="preserve"> undoubtedly </w:t>
      </w:r>
      <w:r w:rsidR="00BB3DC7" w:rsidRPr="00EA1E99">
        <w:rPr>
          <w:rFonts w:cs="Times New Roman"/>
        </w:rPr>
        <w:t>confirms</w:t>
      </w:r>
      <w:r w:rsidR="007A2CE0" w:rsidRPr="00EA1E99">
        <w:rPr>
          <w:rFonts w:cs="Times New Roman"/>
        </w:rPr>
        <w:t xml:space="preserve"> the marginalisation of legal advice, it also – at the same time – shows that </w:t>
      </w:r>
      <w:r w:rsidRPr="00EA1E99">
        <w:rPr>
          <w:rFonts w:cs="Times New Roman"/>
        </w:rPr>
        <w:t xml:space="preserve">legal advisers are an integral element of </w:t>
      </w:r>
      <w:r w:rsidR="00320042" w:rsidRPr="00EA1E99">
        <w:rPr>
          <w:rFonts w:cs="Times New Roman"/>
        </w:rPr>
        <w:t xml:space="preserve">British </w:t>
      </w:r>
      <w:r w:rsidRPr="00EA1E99">
        <w:rPr>
          <w:rFonts w:cs="Times New Roman"/>
        </w:rPr>
        <w:t xml:space="preserve">governmental decision-making, and </w:t>
      </w:r>
      <w:r w:rsidR="007A2CE0" w:rsidRPr="00EA1E99">
        <w:rPr>
          <w:rFonts w:cs="Times New Roman"/>
        </w:rPr>
        <w:t xml:space="preserve">that </w:t>
      </w:r>
      <w:r w:rsidRPr="00EA1E99">
        <w:rPr>
          <w:rFonts w:cs="Times New Roman"/>
        </w:rPr>
        <w:t xml:space="preserve">this was to an extent true even in relation to the events assessed by the Inquiry.  </w:t>
      </w:r>
    </w:p>
    <w:p w14:paraId="320A76DE" w14:textId="14494EBF" w:rsidR="0035463E" w:rsidRPr="00EA1E99" w:rsidRDefault="0035463E" w:rsidP="00305018">
      <w:pPr>
        <w:spacing w:line="480" w:lineRule="auto"/>
        <w:ind w:firstLine="720"/>
        <w:rPr>
          <w:rFonts w:cs="Times New Roman"/>
          <w:color w:val="000000"/>
        </w:rPr>
      </w:pPr>
      <w:r w:rsidRPr="00EA1E99">
        <w:rPr>
          <w:rFonts w:cs="Times New Roman"/>
        </w:rPr>
        <w:t xml:space="preserve">Of course, </w:t>
      </w:r>
      <w:proofErr w:type="spellStart"/>
      <w:r w:rsidR="007A2CE0" w:rsidRPr="00EA1E99">
        <w:rPr>
          <w:rFonts w:cs="Times New Roman"/>
        </w:rPr>
        <w:t>Chilcot</w:t>
      </w:r>
      <w:proofErr w:type="spellEnd"/>
      <w:r w:rsidR="007A2CE0" w:rsidRPr="00EA1E99">
        <w:rPr>
          <w:rFonts w:cs="Times New Roman"/>
        </w:rPr>
        <w:t xml:space="preserve"> </w:t>
      </w:r>
      <w:r w:rsidR="00305018" w:rsidRPr="00EA1E99">
        <w:rPr>
          <w:rFonts w:cs="Times New Roman"/>
        </w:rPr>
        <w:t xml:space="preserve">also </w:t>
      </w:r>
      <w:r w:rsidR="007A2CE0" w:rsidRPr="00EA1E99">
        <w:rPr>
          <w:rFonts w:cs="Times New Roman"/>
        </w:rPr>
        <w:t>highlights</w:t>
      </w:r>
      <w:r w:rsidRPr="00EA1E99">
        <w:rPr>
          <w:rFonts w:cs="Times New Roman"/>
        </w:rPr>
        <w:t xml:space="preserve">, in parallel, a rather uglier, more instrumental view of ‘the law’.  </w:t>
      </w:r>
      <w:r w:rsidR="007A2CE0" w:rsidRPr="00EA1E99">
        <w:rPr>
          <w:rFonts w:cs="Times New Roman"/>
        </w:rPr>
        <w:t xml:space="preserve"> It is clear that </w:t>
      </w:r>
      <w:r w:rsidRPr="00EA1E99">
        <w:rPr>
          <w:rFonts w:cs="Times New Roman"/>
        </w:rPr>
        <w:t>at le</w:t>
      </w:r>
      <w:r w:rsidR="00EA2ED3" w:rsidRPr="00EA1E99">
        <w:rPr>
          <w:rFonts w:cs="Times New Roman"/>
        </w:rPr>
        <w:t>ast some senior figures in the G</w:t>
      </w:r>
      <w:r w:rsidRPr="00EA1E99">
        <w:rPr>
          <w:rFonts w:cs="Times New Roman"/>
        </w:rPr>
        <w:t xml:space="preserve">overnment viewed compliance with international law </w:t>
      </w:r>
      <w:r w:rsidR="007A2CE0" w:rsidRPr="00EA1E99">
        <w:rPr>
          <w:rFonts w:cs="Times New Roman"/>
        </w:rPr>
        <w:t xml:space="preserve">in relation to Iraq </w:t>
      </w:r>
      <w:r w:rsidRPr="00EA1E99">
        <w:rPr>
          <w:rFonts w:cs="Times New Roman"/>
        </w:rPr>
        <w:t>purely as valuable political and procedural ‘cover’, rather than having any inherent value in itself.</w:t>
      </w:r>
      <w:r w:rsidRPr="00EA1E99">
        <w:rPr>
          <w:rStyle w:val="FootnoteReference"/>
          <w:rFonts w:cs="Times New Roman"/>
        </w:rPr>
        <w:footnoteReference w:id="92"/>
      </w:r>
      <w:r w:rsidRPr="00EA1E99">
        <w:rPr>
          <w:rFonts w:cs="Times New Roman"/>
        </w:rPr>
        <w:t xml:space="preserve">  </w:t>
      </w:r>
      <w:r w:rsidR="00AD72DA" w:rsidRPr="00EA1E99">
        <w:rPr>
          <w:rFonts w:cs="Times New Roman"/>
        </w:rPr>
        <w:t xml:space="preserve">Indeed, such </w:t>
      </w:r>
      <w:proofErr w:type="spellStart"/>
      <w:r w:rsidRPr="00EA1E99">
        <w:rPr>
          <w:rFonts w:cs="Times New Roman"/>
        </w:rPr>
        <w:t>instrumentalisation</w:t>
      </w:r>
      <w:proofErr w:type="spellEnd"/>
      <w:r w:rsidRPr="00EA1E99">
        <w:rPr>
          <w:rFonts w:cs="Times New Roman"/>
        </w:rPr>
        <w:t xml:space="preserve"> </w:t>
      </w:r>
      <w:r w:rsidR="00BB3DC7" w:rsidRPr="00EA1E99">
        <w:rPr>
          <w:rFonts w:cs="Times New Roman"/>
        </w:rPr>
        <w:t>occurred</w:t>
      </w:r>
      <w:r w:rsidR="007A2CE0" w:rsidRPr="00EA1E99">
        <w:rPr>
          <w:rFonts w:cs="Times New Roman"/>
        </w:rPr>
        <w:t xml:space="preserve"> </w:t>
      </w:r>
      <w:r w:rsidR="00305018" w:rsidRPr="00EA1E99">
        <w:rPr>
          <w:rFonts w:cs="Times New Roman"/>
        </w:rPr>
        <w:t xml:space="preserve">not </w:t>
      </w:r>
      <w:r w:rsidR="007A2CE0" w:rsidRPr="00EA1E99">
        <w:rPr>
          <w:rFonts w:cs="Times New Roman"/>
        </w:rPr>
        <w:t xml:space="preserve">only </w:t>
      </w:r>
      <w:r w:rsidR="00BB3DC7" w:rsidRPr="00EA1E99">
        <w:rPr>
          <w:rFonts w:cs="Times New Roman"/>
        </w:rPr>
        <w:t>in relation to</w:t>
      </w:r>
      <w:r w:rsidR="007A2CE0" w:rsidRPr="00EA1E99">
        <w:rPr>
          <w:rFonts w:cs="Times New Roman"/>
        </w:rPr>
        <w:t xml:space="preserve"> legal advice, but also </w:t>
      </w:r>
      <w:r w:rsidR="00BB3DC7" w:rsidRPr="00EA1E99">
        <w:rPr>
          <w:rFonts w:cs="Times New Roman"/>
        </w:rPr>
        <w:t>with respect to</w:t>
      </w:r>
      <w:r w:rsidRPr="00EA1E99">
        <w:rPr>
          <w:rFonts w:cs="Times New Roman"/>
        </w:rPr>
        <w:t xml:space="preserve"> </w:t>
      </w:r>
      <w:r w:rsidR="00044D33" w:rsidRPr="00EA1E99">
        <w:rPr>
          <w:rFonts w:cs="Times New Roman"/>
        </w:rPr>
        <w:t xml:space="preserve">the </w:t>
      </w:r>
      <w:r w:rsidRPr="00EA1E99">
        <w:rPr>
          <w:rFonts w:cs="Times New Roman"/>
          <w:i/>
        </w:rPr>
        <w:t>advis</w:t>
      </w:r>
      <w:r w:rsidR="00BB3DC7" w:rsidRPr="00EA1E99">
        <w:rPr>
          <w:rFonts w:cs="Times New Roman"/>
          <w:i/>
        </w:rPr>
        <w:t>ers</w:t>
      </w:r>
      <w:r w:rsidR="00BB3DC7" w:rsidRPr="00EA1E99">
        <w:rPr>
          <w:rFonts w:cs="Times New Roman"/>
        </w:rPr>
        <w:t xml:space="preserve">.  </w:t>
      </w:r>
      <w:r w:rsidR="00AD72DA" w:rsidRPr="00EA1E99">
        <w:rPr>
          <w:rFonts w:cs="Times New Roman"/>
        </w:rPr>
        <w:t>O</w:t>
      </w:r>
      <w:r w:rsidR="00BB3DC7" w:rsidRPr="00EA1E99">
        <w:rPr>
          <w:rFonts w:cs="Times New Roman"/>
        </w:rPr>
        <w:t>ne might note</w:t>
      </w:r>
      <w:r w:rsidR="00AD72DA" w:rsidRPr="00EA1E99">
        <w:rPr>
          <w:rFonts w:cs="Times New Roman"/>
        </w:rPr>
        <w:t>, for example,</w:t>
      </w:r>
      <w:r w:rsidR="00BB3DC7" w:rsidRPr="00EA1E99">
        <w:rPr>
          <w:rFonts w:cs="Times New Roman"/>
        </w:rPr>
        <w:t xml:space="preserve"> </w:t>
      </w:r>
      <w:r w:rsidRPr="00EA1E99">
        <w:rPr>
          <w:rFonts w:cs="Times New Roman"/>
        </w:rPr>
        <w:t xml:space="preserve">the decision to have Lord Goldsmith present the </w:t>
      </w:r>
      <w:r w:rsidR="007A2CE0" w:rsidRPr="00EA1E99">
        <w:rPr>
          <w:rFonts w:cs="Times New Roman"/>
        </w:rPr>
        <w:t xml:space="preserve">final </w:t>
      </w:r>
      <w:r w:rsidRPr="00EA1E99">
        <w:rPr>
          <w:rFonts w:cs="Times New Roman"/>
        </w:rPr>
        <w:t>l</w:t>
      </w:r>
      <w:r w:rsidR="00D9210B" w:rsidRPr="00EA1E99">
        <w:rPr>
          <w:rFonts w:cs="Times New Roman"/>
        </w:rPr>
        <w:t xml:space="preserve">egal case for war to </w:t>
      </w:r>
      <w:r w:rsidR="00D9210B" w:rsidRPr="00EA1E99">
        <w:rPr>
          <w:rFonts w:cs="Times New Roman"/>
        </w:rPr>
        <w:lastRenderedPageBreak/>
        <w:t>Parliament.</w:t>
      </w:r>
      <w:r w:rsidR="00BB3DC7" w:rsidRPr="00EA1E99">
        <w:rPr>
          <w:rStyle w:val="FootnoteReference"/>
          <w:rFonts w:cs="Times New Roman"/>
        </w:rPr>
        <w:footnoteReference w:id="93"/>
      </w:r>
      <w:r w:rsidRPr="00EA1E99">
        <w:rPr>
          <w:rFonts w:cs="Times New Roman"/>
        </w:rPr>
        <w:t xml:space="preserve">  The Inquiry found this</w:t>
      </w:r>
      <w:r w:rsidR="007A2CE0" w:rsidRPr="00EA1E99">
        <w:rPr>
          <w:rFonts w:cs="Times New Roman"/>
        </w:rPr>
        <w:t xml:space="preserve"> to be </w:t>
      </w:r>
      <w:r w:rsidRPr="00EA1E99">
        <w:rPr>
          <w:rFonts w:cs="Times New Roman"/>
        </w:rPr>
        <w:t>an ‘unusual’</w:t>
      </w:r>
      <w:r w:rsidR="007A2CE0" w:rsidRPr="00EA1E99">
        <w:rPr>
          <w:rFonts w:cs="Times New Roman"/>
        </w:rPr>
        <w:t xml:space="preserve"> practice</w:t>
      </w:r>
      <w:r w:rsidR="00305018" w:rsidRPr="00EA1E99">
        <w:rPr>
          <w:rFonts w:cs="Times New Roman"/>
        </w:rPr>
        <w:t>,</w:t>
      </w:r>
      <w:r w:rsidR="00BB3DC7" w:rsidRPr="00EA1E99">
        <w:rPr>
          <w:rStyle w:val="FootnoteReference"/>
          <w:rFonts w:cs="Times New Roman"/>
        </w:rPr>
        <w:footnoteReference w:id="94"/>
      </w:r>
      <w:r w:rsidR="00305018" w:rsidRPr="00EA1E99">
        <w:rPr>
          <w:rFonts w:cs="Times New Roman"/>
        </w:rPr>
        <w:t xml:space="preserve"> and </w:t>
      </w:r>
      <w:r w:rsidR="00AD72DA" w:rsidRPr="00EA1E99">
        <w:rPr>
          <w:rFonts w:cs="Times New Roman"/>
        </w:rPr>
        <w:t xml:space="preserve">stated </w:t>
      </w:r>
      <w:r w:rsidR="00305018" w:rsidRPr="00EA1E99">
        <w:rPr>
          <w:rFonts w:cs="Times New Roman"/>
        </w:rPr>
        <w:t>that responsibility for making the legal case to Parliament should have rested with ‘</w:t>
      </w:r>
      <w:r w:rsidR="00305018" w:rsidRPr="00EA1E99">
        <w:rPr>
          <w:rFonts w:cs="Times New Roman"/>
          <w:color w:val="000000"/>
        </w:rPr>
        <w:t>the Minister responsible for the policy</w:t>
      </w:r>
      <w:r w:rsidR="00320042" w:rsidRPr="00EA1E99">
        <w:rPr>
          <w:rFonts w:cs="Times New Roman"/>
          <w:color w:val="000000"/>
        </w:rPr>
        <w:t>,</w:t>
      </w:r>
      <w:r w:rsidR="00305018" w:rsidRPr="00EA1E99">
        <w:rPr>
          <w:rFonts w:cs="Times New Roman"/>
          <w:color w:val="000000"/>
        </w:rPr>
        <w:t xml:space="preserve"> in this case Mr Blair or Mr Straw.’</w:t>
      </w:r>
      <w:r w:rsidR="00D9210B" w:rsidRPr="00EA1E99">
        <w:rPr>
          <w:rStyle w:val="FootnoteReference"/>
          <w:rFonts w:cs="Times New Roman"/>
          <w:color w:val="000000"/>
        </w:rPr>
        <w:footnoteReference w:id="95"/>
      </w:r>
      <w:r w:rsidR="00BB3DC7" w:rsidRPr="00EA1E99">
        <w:rPr>
          <w:rFonts w:cs="Times New Roman"/>
        </w:rPr>
        <w:t xml:space="preserve">  </w:t>
      </w:r>
      <w:proofErr w:type="spellStart"/>
      <w:r w:rsidR="00D9210B" w:rsidRPr="00EA1E99">
        <w:rPr>
          <w:rFonts w:cs="Times New Roman"/>
        </w:rPr>
        <w:t>Chilcot</w:t>
      </w:r>
      <w:proofErr w:type="spellEnd"/>
      <w:r w:rsidR="00D9210B" w:rsidRPr="00EA1E99">
        <w:rPr>
          <w:rFonts w:cs="Times New Roman"/>
        </w:rPr>
        <w:t xml:space="preserve"> stopped </w:t>
      </w:r>
      <w:r w:rsidR="007A2CE0" w:rsidRPr="00EA1E99">
        <w:rPr>
          <w:rFonts w:cs="Times New Roman"/>
        </w:rPr>
        <w:t xml:space="preserve">short of saying that </w:t>
      </w:r>
      <w:r w:rsidR="00BB3DC7" w:rsidRPr="00EA1E99">
        <w:rPr>
          <w:rFonts w:cs="Times New Roman"/>
        </w:rPr>
        <w:t xml:space="preserve">this </w:t>
      </w:r>
      <w:r w:rsidR="00320042" w:rsidRPr="00EA1E99">
        <w:rPr>
          <w:rFonts w:cs="Times New Roman"/>
        </w:rPr>
        <w:t>‘</w:t>
      </w:r>
      <w:r w:rsidR="00BB3DC7" w:rsidRPr="00EA1E99">
        <w:rPr>
          <w:rFonts w:cs="Times New Roman"/>
        </w:rPr>
        <w:t>unusual</w:t>
      </w:r>
      <w:r w:rsidR="00320042" w:rsidRPr="00EA1E99">
        <w:rPr>
          <w:rFonts w:cs="Times New Roman"/>
        </w:rPr>
        <w:t>’</w:t>
      </w:r>
      <w:r w:rsidR="00BB3DC7" w:rsidRPr="00EA1E99">
        <w:rPr>
          <w:rFonts w:cs="Times New Roman"/>
        </w:rPr>
        <w:t xml:space="preserve"> approach </w:t>
      </w:r>
      <w:r w:rsidRPr="00EA1E99">
        <w:rPr>
          <w:rFonts w:cs="Times New Roman"/>
        </w:rPr>
        <w:t xml:space="preserve">was motivated by a desire to stave off awkward legal questions </w:t>
      </w:r>
      <w:r w:rsidR="00BB3DC7" w:rsidRPr="00EA1E99">
        <w:rPr>
          <w:rFonts w:cs="Times New Roman"/>
        </w:rPr>
        <w:t xml:space="preserve">in Parliament </w:t>
      </w:r>
      <w:r w:rsidRPr="00EA1E99">
        <w:rPr>
          <w:rFonts w:cs="Times New Roman"/>
        </w:rPr>
        <w:t>by presenting a</w:t>
      </w:r>
      <w:r w:rsidR="00BB3DC7" w:rsidRPr="00EA1E99">
        <w:rPr>
          <w:rFonts w:cs="Times New Roman"/>
        </w:rPr>
        <w:t xml:space="preserve"> legal </w:t>
      </w:r>
      <w:r w:rsidR="00BB3DC7" w:rsidRPr="00EA1E99">
        <w:rPr>
          <w:rFonts w:cs="Times New Roman"/>
          <w:i/>
        </w:rPr>
        <w:t>fait accompli</w:t>
      </w:r>
      <w:r w:rsidR="00AD72DA" w:rsidRPr="00EA1E99">
        <w:rPr>
          <w:rFonts w:cs="Times New Roman"/>
        </w:rPr>
        <w:t xml:space="preserve"> – </w:t>
      </w:r>
      <w:r w:rsidR="00BB3DC7" w:rsidRPr="00EA1E99">
        <w:rPr>
          <w:rFonts w:cs="Times New Roman"/>
        </w:rPr>
        <w:t>an</w:t>
      </w:r>
      <w:r w:rsidRPr="00EA1E99">
        <w:rPr>
          <w:rFonts w:cs="Times New Roman"/>
        </w:rPr>
        <w:t xml:space="preserve"> ‘authoritative’ expert view that would be d</w:t>
      </w:r>
      <w:r w:rsidR="00BB3DC7" w:rsidRPr="00EA1E99">
        <w:rPr>
          <w:rFonts w:cs="Times New Roman"/>
        </w:rPr>
        <w:t xml:space="preserve">ifficult for MPs to dispute.  However, the present authors are </w:t>
      </w:r>
      <w:r w:rsidR="00D9210B" w:rsidRPr="00EA1E99">
        <w:rPr>
          <w:rFonts w:cs="Times New Roman"/>
        </w:rPr>
        <w:t xml:space="preserve">more </w:t>
      </w:r>
      <w:r w:rsidR="00BB3DC7" w:rsidRPr="00EA1E99">
        <w:rPr>
          <w:rFonts w:cs="Times New Roman"/>
        </w:rPr>
        <w:t>willing to speculate in that regard</w:t>
      </w:r>
      <w:r w:rsidR="007A2CE0" w:rsidRPr="00EA1E99">
        <w:rPr>
          <w:rFonts w:cs="Times New Roman"/>
        </w:rPr>
        <w:t>.</w:t>
      </w:r>
    </w:p>
    <w:p w14:paraId="2C494679" w14:textId="7A1834A7" w:rsidR="005B20C1" w:rsidRPr="00EA1E99" w:rsidRDefault="0035463E" w:rsidP="00305018">
      <w:pPr>
        <w:spacing w:line="480" w:lineRule="auto"/>
        <w:ind w:firstLine="720"/>
        <w:rPr>
          <w:rFonts w:cs="Times New Roman"/>
        </w:rPr>
      </w:pPr>
      <w:r w:rsidRPr="00EA1E99">
        <w:rPr>
          <w:rFonts w:cs="Times New Roman"/>
        </w:rPr>
        <w:t>The integral nature of the legal advis</w:t>
      </w:r>
      <w:r w:rsidR="00BB3DC7" w:rsidRPr="00EA1E99">
        <w:rPr>
          <w:rFonts w:cs="Times New Roman"/>
        </w:rPr>
        <w:t>e</w:t>
      </w:r>
      <w:r w:rsidRPr="00EA1E99">
        <w:rPr>
          <w:rFonts w:cs="Times New Roman"/>
        </w:rPr>
        <w:t>r to the pr</w:t>
      </w:r>
      <w:r w:rsidR="00BB3DC7" w:rsidRPr="00EA1E99">
        <w:rPr>
          <w:rFonts w:cs="Times New Roman"/>
        </w:rPr>
        <w:t>ocess of governmental decision-</w:t>
      </w:r>
      <w:r w:rsidR="007A2CE0" w:rsidRPr="00EA1E99">
        <w:rPr>
          <w:rFonts w:cs="Times New Roman"/>
        </w:rPr>
        <w:t xml:space="preserve">making </w:t>
      </w:r>
      <w:r w:rsidRPr="00EA1E99">
        <w:rPr>
          <w:rFonts w:cs="Times New Roman"/>
        </w:rPr>
        <w:t xml:space="preserve">means that the expectations placed on </w:t>
      </w:r>
      <w:r w:rsidR="00AD72DA" w:rsidRPr="00EA1E99">
        <w:rPr>
          <w:rFonts w:cs="Times New Roman"/>
        </w:rPr>
        <w:t xml:space="preserve">the </w:t>
      </w:r>
      <w:r w:rsidR="000857C4" w:rsidRPr="00EA1E99">
        <w:rPr>
          <w:rFonts w:cs="Times New Roman"/>
        </w:rPr>
        <w:t xml:space="preserve">legal </w:t>
      </w:r>
      <w:r w:rsidR="007A2CE0" w:rsidRPr="00EA1E99">
        <w:rPr>
          <w:rFonts w:cs="Times New Roman"/>
        </w:rPr>
        <w:t>advice given</w:t>
      </w:r>
      <w:r w:rsidR="000857C4" w:rsidRPr="00EA1E99">
        <w:rPr>
          <w:rFonts w:cs="Times New Roman"/>
        </w:rPr>
        <w:t xml:space="preserve"> tend to be high</w:t>
      </w:r>
      <w:r w:rsidR="00373E6D" w:rsidRPr="00EA1E99">
        <w:rPr>
          <w:rFonts w:cs="Times New Roman"/>
        </w:rPr>
        <w:t>.</w:t>
      </w:r>
      <w:r w:rsidR="00B66582" w:rsidRPr="00EA1E99">
        <w:rPr>
          <w:rStyle w:val="FootnoteReference"/>
          <w:rFonts w:cs="Times New Roman"/>
        </w:rPr>
        <w:footnoteReference w:id="96"/>
      </w:r>
      <w:r w:rsidR="00373E6D" w:rsidRPr="00EA1E99">
        <w:rPr>
          <w:rFonts w:cs="Times New Roman"/>
        </w:rPr>
        <w:t xml:space="preserve">  Moreover, ‘integral’ does not necessarily mean ‘integrated’ in this context</w:t>
      </w:r>
      <w:r w:rsidR="000857C4" w:rsidRPr="00EA1E99">
        <w:rPr>
          <w:rFonts w:cs="Times New Roman"/>
        </w:rPr>
        <w:t xml:space="preserve">.  </w:t>
      </w:r>
      <w:r w:rsidR="005B20C1" w:rsidRPr="00EA1E99">
        <w:rPr>
          <w:rFonts w:cs="Times New Roman"/>
        </w:rPr>
        <w:t xml:space="preserve">It is evident </w:t>
      </w:r>
      <w:r w:rsidR="00CD008C" w:rsidRPr="00EA1E99">
        <w:rPr>
          <w:rFonts w:cs="Times New Roman"/>
        </w:rPr>
        <w:t xml:space="preserve">from the </w:t>
      </w:r>
      <w:proofErr w:type="spellStart"/>
      <w:r w:rsidR="00CD008C" w:rsidRPr="00EA1E99">
        <w:rPr>
          <w:rFonts w:cs="Times New Roman"/>
        </w:rPr>
        <w:t>Chi</w:t>
      </w:r>
      <w:r w:rsidR="005B20C1" w:rsidRPr="00EA1E99">
        <w:rPr>
          <w:rFonts w:cs="Times New Roman"/>
        </w:rPr>
        <w:t>l</w:t>
      </w:r>
      <w:r w:rsidR="00CD008C" w:rsidRPr="00EA1E99">
        <w:rPr>
          <w:rFonts w:cs="Times New Roman"/>
        </w:rPr>
        <w:t>c</w:t>
      </w:r>
      <w:r w:rsidR="005B20C1" w:rsidRPr="00EA1E99">
        <w:rPr>
          <w:rFonts w:cs="Times New Roman"/>
        </w:rPr>
        <w:t>ot</w:t>
      </w:r>
      <w:proofErr w:type="spellEnd"/>
      <w:r w:rsidR="005B20C1" w:rsidRPr="00EA1E99">
        <w:rPr>
          <w:rFonts w:cs="Times New Roman"/>
        </w:rPr>
        <w:t xml:space="preserve"> Report that there was little appetite in the Cabine</w:t>
      </w:r>
      <w:r w:rsidR="00CD008C" w:rsidRPr="00EA1E99">
        <w:rPr>
          <w:rFonts w:cs="Times New Roman"/>
        </w:rPr>
        <w:t>t to engage with legal analysis</w:t>
      </w:r>
      <w:r w:rsidR="005B20C1" w:rsidRPr="00EA1E99">
        <w:rPr>
          <w:rFonts w:cs="Times New Roman"/>
        </w:rPr>
        <w:t>.</w:t>
      </w:r>
      <w:r w:rsidR="00373E6D" w:rsidRPr="00EA1E99">
        <w:rPr>
          <w:rStyle w:val="FootnoteReference"/>
          <w:rFonts w:cs="Times New Roman"/>
        </w:rPr>
        <w:footnoteReference w:id="97"/>
      </w:r>
      <w:r w:rsidR="005B20C1" w:rsidRPr="00EA1E99">
        <w:rPr>
          <w:rFonts w:cs="Times New Roman"/>
        </w:rPr>
        <w:t xml:space="preserve">  The prevailing view was that the advice should be in a black and white form –</w:t>
      </w:r>
      <w:r w:rsidR="00AD72DA" w:rsidRPr="00EA1E99">
        <w:rPr>
          <w:rFonts w:cs="Times New Roman"/>
        </w:rPr>
        <w:t xml:space="preserve"> </w:t>
      </w:r>
      <w:r w:rsidR="005B20C1" w:rsidRPr="00EA1E99">
        <w:rPr>
          <w:rFonts w:cs="Times New Roman"/>
        </w:rPr>
        <w:t>war was lawful or unlawful – and any further legal advice was extraneous.</w:t>
      </w:r>
      <w:r w:rsidR="000857C4" w:rsidRPr="00EA1E99">
        <w:rPr>
          <w:rStyle w:val="FootnoteReference"/>
          <w:rFonts w:cs="Times New Roman"/>
        </w:rPr>
        <w:footnoteReference w:id="98"/>
      </w:r>
      <w:r w:rsidR="005B20C1" w:rsidRPr="00EA1E99">
        <w:rPr>
          <w:rFonts w:cs="Times New Roman"/>
        </w:rPr>
        <w:t xml:space="preserve">  As a result, legal nuance was lost.</w:t>
      </w:r>
      <w:r w:rsidR="004940D5" w:rsidRPr="00EA1E99">
        <w:rPr>
          <w:rStyle w:val="FootnoteReference"/>
          <w:rFonts w:cs="Times New Roman"/>
        </w:rPr>
        <w:footnoteReference w:id="99"/>
      </w:r>
      <w:r w:rsidR="005B20C1" w:rsidRPr="00EA1E99">
        <w:rPr>
          <w:rFonts w:cs="Times New Roman"/>
        </w:rPr>
        <w:t xml:space="preserve">  From </w:t>
      </w:r>
      <w:r w:rsidR="00CD008C" w:rsidRPr="00EA1E99">
        <w:rPr>
          <w:rFonts w:cs="Times New Roman"/>
        </w:rPr>
        <w:t>the</w:t>
      </w:r>
      <w:r w:rsidR="005B20C1" w:rsidRPr="00EA1E99">
        <w:rPr>
          <w:rFonts w:cs="Times New Roman"/>
        </w:rPr>
        <w:t xml:space="preserve"> perspective</w:t>
      </w:r>
      <w:r w:rsidR="00CD008C" w:rsidRPr="00EA1E99">
        <w:rPr>
          <w:rFonts w:cs="Times New Roman"/>
        </w:rPr>
        <w:t xml:space="preserve"> of the present authors</w:t>
      </w:r>
      <w:r w:rsidR="005B20C1" w:rsidRPr="00EA1E99">
        <w:rPr>
          <w:rFonts w:cs="Times New Roman"/>
        </w:rPr>
        <w:t xml:space="preserve">, as international </w:t>
      </w:r>
      <w:r w:rsidR="00AD72DA" w:rsidRPr="00EA1E99">
        <w:rPr>
          <w:rFonts w:cs="Times New Roman"/>
        </w:rPr>
        <w:t>law academics</w:t>
      </w:r>
      <w:r w:rsidR="005B20C1" w:rsidRPr="00EA1E99">
        <w:rPr>
          <w:rFonts w:cs="Times New Roman"/>
        </w:rPr>
        <w:t>, this is a damning finding.  However, it is perhaps reflective of the reality of the rol</w:t>
      </w:r>
      <w:r w:rsidR="00CD008C" w:rsidRPr="00EA1E99">
        <w:rPr>
          <w:rFonts w:cs="Times New Roman"/>
        </w:rPr>
        <w:t>e of the government legal advise</w:t>
      </w:r>
      <w:r w:rsidR="005B20C1" w:rsidRPr="00EA1E99">
        <w:rPr>
          <w:rFonts w:cs="Times New Roman"/>
        </w:rPr>
        <w:t>r.</w:t>
      </w:r>
      <w:r w:rsidR="00373E6D" w:rsidRPr="00EA1E99">
        <w:rPr>
          <w:rStyle w:val="FootnoteReference"/>
          <w:rFonts w:cs="Times New Roman"/>
        </w:rPr>
        <w:footnoteReference w:id="100"/>
      </w:r>
    </w:p>
    <w:p w14:paraId="0EF322B3" w14:textId="3076E091" w:rsidR="00CD008C" w:rsidRPr="00EA1E99" w:rsidRDefault="005B20C1" w:rsidP="005F6BAF">
      <w:pPr>
        <w:spacing w:line="480" w:lineRule="auto"/>
        <w:ind w:firstLine="720"/>
        <w:rPr>
          <w:rFonts w:cs="Times New Roman"/>
        </w:rPr>
      </w:pPr>
      <w:r w:rsidRPr="00EA1E99">
        <w:rPr>
          <w:rFonts w:cs="Times New Roman"/>
        </w:rPr>
        <w:t xml:space="preserve">What is more concerning </w:t>
      </w:r>
      <w:r w:rsidR="007A2CE0" w:rsidRPr="00EA1E99">
        <w:rPr>
          <w:rFonts w:cs="Times New Roman"/>
        </w:rPr>
        <w:t xml:space="preserve">– and is a key issue apparent from </w:t>
      </w:r>
      <w:proofErr w:type="spellStart"/>
      <w:r w:rsidR="007A2CE0" w:rsidRPr="00EA1E99">
        <w:rPr>
          <w:rFonts w:cs="Times New Roman"/>
        </w:rPr>
        <w:t>Chilcot</w:t>
      </w:r>
      <w:proofErr w:type="spellEnd"/>
      <w:r w:rsidR="007A2CE0" w:rsidRPr="00EA1E99">
        <w:rPr>
          <w:rFonts w:cs="Times New Roman"/>
        </w:rPr>
        <w:t xml:space="preserve"> in relation to the marginalisation of advice – i</w:t>
      </w:r>
      <w:r w:rsidRPr="00EA1E99">
        <w:rPr>
          <w:rFonts w:cs="Times New Roman"/>
        </w:rPr>
        <w:t xml:space="preserve">s that </w:t>
      </w:r>
      <w:r w:rsidR="007A2CE0" w:rsidRPr="00EA1E99">
        <w:rPr>
          <w:rFonts w:cs="Times New Roman"/>
        </w:rPr>
        <w:t>the Inquiry</w:t>
      </w:r>
      <w:r w:rsidRPr="00EA1E99">
        <w:rPr>
          <w:rFonts w:cs="Times New Roman"/>
        </w:rPr>
        <w:t xml:space="preserve"> reveals the extent to which legal advice was disputed or </w:t>
      </w:r>
      <w:r w:rsidR="00CD008C" w:rsidRPr="00EA1E99">
        <w:rPr>
          <w:rFonts w:cs="Times New Roman"/>
        </w:rPr>
        <w:t>rejected</w:t>
      </w:r>
      <w:r w:rsidRPr="00EA1E99">
        <w:rPr>
          <w:rFonts w:cs="Times New Roman"/>
        </w:rPr>
        <w:t xml:space="preserve"> by those being advised.  The picture painted by the Report is one of </w:t>
      </w:r>
      <w:r w:rsidR="00373E6D" w:rsidRPr="00EA1E99">
        <w:rPr>
          <w:rFonts w:cs="Times New Roman"/>
        </w:rPr>
        <w:t xml:space="preserve">outright </w:t>
      </w:r>
      <w:r w:rsidRPr="00EA1E99">
        <w:rPr>
          <w:rFonts w:cs="Times New Roman"/>
        </w:rPr>
        <w:lastRenderedPageBreak/>
        <w:t>hostility</w:t>
      </w:r>
      <w:r w:rsidR="00373E6D" w:rsidRPr="00EA1E99">
        <w:rPr>
          <w:rFonts w:cs="Times New Roman"/>
        </w:rPr>
        <w:t xml:space="preserve">, </w:t>
      </w:r>
      <w:r w:rsidR="00AD72DA" w:rsidRPr="00EA1E99">
        <w:rPr>
          <w:rFonts w:cs="Times New Roman"/>
        </w:rPr>
        <w:t xml:space="preserve">at least </w:t>
      </w:r>
      <w:r w:rsidR="00373E6D" w:rsidRPr="00EA1E99">
        <w:rPr>
          <w:rFonts w:cs="Times New Roman"/>
        </w:rPr>
        <w:t>in some quarters,</w:t>
      </w:r>
      <w:r w:rsidRPr="00EA1E99">
        <w:rPr>
          <w:rFonts w:cs="Times New Roman"/>
        </w:rPr>
        <w:t xml:space="preserve"> towards legal advice that did not clearly s</w:t>
      </w:r>
      <w:r w:rsidR="00EA2ED3" w:rsidRPr="00EA1E99">
        <w:rPr>
          <w:rFonts w:cs="Times New Roman"/>
        </w:rPr>
        <w:t>upport the policy goals of the G</w:t>
      </w:r>
      <w:r w:rsidRPr="00EA1E99">
        <w:rPr>
          <w:rFonts w:cs="Times New Roman"/>
        </w:rPr>
        <w:t xml:space="preserve">overnment.  </w:t>
      </w:r>
    </w:p>
    <w:p w14:paraId="24B83516" w14:textId="5B5EC110" w:rsidR="00CD008C" w:rsidRPr="00EA1E99" w:rsidRDefault="005B20C1" w:rsidP="005F6BAF">
      <w:pPr>
        <w:spacing w:line="480" w:lineRule="auto"/>
        <w:ind w:firstLine="720"/>
        <w:rPr>
          <w:rFonts w:cs="Times New Roman"/>
        </w:rPr>
      </w:pPr>
      <w:r w:rsidRPr="00EA1E99">
        <w:rPr>
          <w:rFonts w:cs="Times New Roman"/>
        </w:rPr>
        <w:t>International law was seen by some senior officials – both before and after the March 2003 intervention – as merely a constraining annoyance.</w:t>
      </w:r>
      <w:r w:rsidRPr="00EA1E99">
        <w:rPr>
          <w:rStyle w:val="FootnoteReference"/>
          <w:rFonts w:cs="Times New Roman"/>
        </w:rPr>
        <w:footnoteReference w:id="101"/>
      </w:r>
      <w:r w:rsidRPr="00EA1E99">
        <w:rPr>
          <w:rFonts w:cs="Times New Roman"/>
        </w:rPr>
        <w:t xml:space="preserve">  As such, legal advice was at times viewed as </w:t>
      </w:r>
      <w:r w:rsidR="00CD008C" w:rsidRPr="00EA1E99">
        <w:rPr>
          <w:rFonts w:cs="Times New Roman"/>
        </w:rPr>
        <w:t xml:space="preserve">being about </w:t>
      </w:r>
      <w:r w:rsidRPr="00EA1E99">
        <w:rPr>
          <w:rFonts w:cs="Times New Roman"/>
        </w:rPr>
        <w:t>work</w:t>
      </w:r>
      <w:r w:rsidR="00CD008C" w:rsidRPr="00EA1E99">
        <w:rPr>
          <w:rFonts w:cs="Times New Roman"/>
        </w:rPr>
        <w:t>ing</w:t>
      </w:r>
      <w:r w:rsidRPr="00EA1E99">
        <w:rPr>
          <w:rFonts w:cs="Times New Roman"/>
        </w:rPr>
        <w:t xml:space="preserve"> around the law’s unhelpful restrictions, and, thus, legal advice that was seen as </w:t>
      </w:r>
      <w:r w:rsidRPr="00EA1E99">
        <w:rPr>
          <w:rFonts w:cs="Times New Roman"/>
          <w:i/>
        </w:rPr>
        <w:t>adding</w:t>
      </w:r>
      <w:r w:rsidRPr="00EA1E99">
        <w:rPr>
          <w:rFonts w:cs="Times New Roman"/>
        </w:rPr>
        <w:t xml:space="preserve"> to the restrictive </w:t>
      </w:r>
      <w:r w:rsidR="00AD72DA" w:rsidRPr="00EA1E99">
        <w:rPr>
          <w:rFonts w:cs="Times New Roman"/>
        </w:rPr>
        <w:t xml:space="preserve">nature </w:t>
      </w:r>
      <w:r w:rsidRPr="00EA1E99">
        <w:rPr>
          <w:rFonts w:cs="Times New Roman"/>
        </w:rPr>
        <w:t xml:space="preserve">of the law </w:t>
      </w:r>
      <w:r w:rsidR="00CD008C" w:rsidRPr="00EA1E99">
        <w:rPr>
          <w:rFonts w:cs="Times New Roman"/>
        </w:rPr>
        <w:t xml:space="preserve">in any way </w:t>
      </w:r>
      <w:r w:rsidRPr="00EA1E99">
        <w:rPr>
          <w:rFonts w:cs="Times New Roman"/>
        </w:rPr>
        <w:t xml:space="preserve">was dismissed.  This perspective is illustrated by Sir John </w:t>
      </w:r>
      <w:proofErr w:type="spellStart"/>
      <w:r w:rsidRPr="00EA1E99">
        <w:rPr>
          <w:rFonts w:cs="Times New Roman"/>
        </w:rPr>
        <w:t>Sawers</w:t>
      </w:r>
      <w:proofErr w:type="spellEnd"/>
      <w:r w:rsidRPr="00EA1E99">
        <w:rPr>
          <w:rFonts w:cs="Times New Roman"/>
        </w:rPr>
        <w:t xml:space="preserve">’ statement in February 2002 that ‘[t]he </w:t>
      </w:r>
      <w:r w:rsidRPr="00EA1E99">
        <w:rPr>
          <w:rFonts w:cs="Times New Roman"/>
          <w:i/>
        </w:rPr>
        <w:t>lawyers and peaceniks</w:t>
      </w:r>
      <w:r w:rsidRPr="00EA1E99">
        <w:rPr>
          <w:rFonts w:cs="Times New Roman"/>
        </w:rPr>
        <w:t xml:space="preserve"> should not prevent us from saying what we really want in Iraq [</w:t>
      </w:r>
      <w:r w:rsidR="00140D46">
        <w:rPr>
          <w:rFonts w:cs="Times New Roman"/>
        </w:rPr>
        <w:t xml:space="preserve">i.e., </w:t>
      </w:r>
      <w:r w:rsidRPr="00EA1E99">
        <w:rPr>
          <w:rFonts w:cs="Times New Roman"/>
        </w:rPr>
        <w:t>regime change].’</w:t>
      </w:r>
      <w:r w:rsidRPr="00EA1E99">
        <w:rPr>
          <w:rStyle w:val="FootnoteReference"/>
          <w:rFonts w:cs="Times New Roman"/>
        </w:rPr>
        <w:footnoteReference w:id="102"/>
      </w:r>
      <w:r w:rsidRPr="00EA1E99">
        <w:rPr>
          <w:rFonts w:cs="Times New Roman"/>
        </w:rPr>
        <w:t xml:space="preserve">  </w:t>
      </w:r>
    </w:p>
    <w:p w14:paraId="171857C3" w14:textId="02E6B85D" w:rsidR="005B20C1" w:rsidRPr="00EA1E99" w:rsidRDefault="005B20C1" w:rsidP="005F6BAF">
      <w:pPr>
        <w:spacing w:line="480" w:lineRule="auto"/>
        <w:ind w:firstLine="720"/>
        <w:rPr>
          <w:rFonts w:cs="Times New Roman"/>
          <w:lang w:val="en-US"/>
        </w:rPr>
      </w:pPr>
      <w:r w:rsidRPr="00EA1E99">
        <w:rPr>
          <w:rFonts w:cs="Times New Roman"/>
        </w:rPr>
        <w:t xml:space="preserve">Another stark example from the period </w:t>
      </w:r>
      <w:r w:rsidR="00373E6D" w:rsidRPr="00EA1E99">
        <w:rPr>
          <w:rFonts w:cs="Times New Roman"/>
        </w:rPr>
        <w:t>immediately prior</w:t>
      </w:r>
      <w:r w:rsidRPr="00EA1E99">
        <w:rPr>
          <w:rFonts w:cs="Times New Roman"/>
        </w:rPr>
        <w:t xml:space="preserve"> to the intervention is Jack Straw’s rejection</w:t>
      </w:r>
      <w:r w:rsidR="008D6867" w:rsidRPr="00EA1E99">
        <w:rPr>
          <w:rStyle w:val="FootnoteReference"/>
          <w:rFonts w:cs="Times New Roman"/>
        </w:rPr>
        <w:footnoteReference w:id="103"/>
      </w:r>
      <w:r w:rsidRPr="00EA1E99">
        <w:rPr>
          <w:rFonts w:cs="Times New Roman"/>
        </w:rPr>
        <w:t xml:space="preserve"> of Sir Michael Wood’s warning that a second Security Council resolution was re</w:t>
      </w:r>
      <w:r w:rsidR="00CD008C" w:rsidRPr="00EA1E99">
        <w:rPr>
          <w:rFonts w:cs="Times New Roman"/>
        </w:rPr>
        <w:t>quired for force to be lawful.</w:t>
      </w:r>
      <w:r w:rsidR="008D6867" w:rsidRPr="00EA1E99">
        <w:rPr>
          <w:rStyle w:val="FootnoteReference"/>
          <w:rFonts w:cs="Times New Roman"/>
          <w:lang w:val="en-US"/>
        </w:rPr>
        <w:footnoteReference w:id="104"/>
      </w:r>
      <w:r w:rsidR="00CD008C" w:rsidRPr="00EA1E99">
        <w:rPr>
          <w:rFonts w:cs="Times New Roman"/>
        </w:rPr>
        <w:t xml:space="preserve">  </w:t>
      </w:r>
      <w:proofErr w:type="spellStart"/>
      <w:r w:rsidRPr="00EA1E99">
        <w:rPr>
          <w:rFonts w:cs="Times New Roman"/>
          <w:lang w:val="en-US"/>
        </w:rPr>
        <w:t>Mr</w:t>
      </w:r>
      <w:proofErr w:type="spellEnd"/>
      <w:r w:rsidRPr="00EA1E99">
        <w:rPr>
          <w:rFonts w:cs="Times New Roman"/>
          <w:lang w:val="en-US"/>
        </w:rPr>
        <w:t xml:space="preserve"> Straw wrote to Sir Michael stating: ‘I note your advice, but I do not accept it.’</w:t>
      </w:r>
      <w:r w:rsidRPr="00EA1E99">
        <w:rPr>
          <w:rStyle w:val="FootnoteReference"/>
          <w:rFonts w:cs="Times New Roman"/>
          <w:lang w:val="en-US"/>
        </w:rPr>
        <w:footnoteReference w:id="105"/>
      </w:r>
      <w:r w:rsidR="005F6BAF" w:rsidRPr="00EA1E99">
        <w:rPr>
          <w:rFonts w:cs="Times New Roman"/>
          <w:lang w:val="en-US"/>
        </w:rPr>
        <w:t xml:space="preserve">  The Foreign Secretary instead drew upon legal advice from elsewhere, </w:t>
      </w:r>
      <w:r w:rsidR="00C55A28" w:rsidRPr="00EA1E99">
        <w:rPr>
          <w:rFonts w:cs="Times New Roman"/>
          <w:lang w:val="en-US"/>
        </w:rPr>
        <w:t>including</w:t>
      </w:r>
      <w:r w:rsidR="005F6BAF" w:rsidRPr="00EA1E99">
        <w:rPr>
          <w:rFonts w:cs="Times New Roman"/>
          <w:lang w:val="en-US"/>
        </w:rPr>
        <w:t xml:space="preserve"> from US government lawyers,</w:t>
      </w:r>
      <w:r w:rsidR="00373E6D" w:rsidRPr="00EA1E99">
        <w:rPr>
          <w:rStyle w:val="FootnoteReference"/>
          <w:rFonts w:cs="Times New Roman"/>
          <w:lang w:val="en-US"/>
        </w:rPr>
        <w:footnoteReference w:id="106"/>
      </w:r>
      <w:r w:rsidR="005F6BAF" w:rsidRPr="00EA1E99">
        <w:rPr>
          <w:rFonts w:cs="Times New Roman"/>
          <w:lang w:val="en-US"/>
        </w:rPr>
        <w:t xml:space="preserve"> to reach an alternative </w:t>
      </w:r>
      <w:r w:rsidR="00CD008C" w:rsidRPr="00EA1E99">
        <w:rPr>
          <w:rFonts w:cs="Times New Roman"/>
          <w:lang w:val="en-US"/>
        </w:rPr>
        <w:t xml:space="preserve">legal </w:t>
      </w:r>
      <w:r w:rsidR="005F6BAF" w:rsidRPr="00EA1E99">
        <w:rPr>
          <w:rFonts w:cs="Times New Roman"/>
          <w:lang w:val="en-US"/>
        </w:rPr>
        <w:t xml:space="preserve">conclusion.  </w:t>
      </w:r>
      <w:r w:rsidR="007A2CE0" w:rsidRPr="00EA1E99">
        <w:rPr>
          <w:rFonts w:cs="Times New Roman"/>
          <w:lang w:val="en-US"/>
        </w:rPr>
        <w:t>Similarly, one might note that the Prime Minister’s Chief of Staff</w:t>
      </w:r>
      <w:r w:rsidR="005F6BAF" w:rsidRPr="00EA1E99">
        <w:rPr>
          <w:rFonts w:cs="Times New Roman"/>
          <w:lang w:val="en-US"/>
        </w:rPr>
        <w:t xml:space="preserve"> proposed that Sir Jeremy </w:t>
      </w:r>
      <w:proofErr w:type="spellStart"/>
      <w:r w:rsidR="005F6BAF" w:rsidRPr="00EA1E99">
        <w:rPr>
          <w:rFonts w:cs="Times New Roman"/>
          <w:lang w:val="en-US"/>
        </w:rPr>
        <w:t>Greenstock</w:t>
      </w:r>
      <w:proofErr w:type="spellEnd"/>
      <w:r w:rsidR="005F6BAF" w:rsidRPr="00EA1E99">
        <w:rPr>
          <w:rFonts w:cs="Times New Roman"/>
          <w:lang w:val="en-US"/>
        </w:rPr>
        <w:t xml:space="preserve"> be asked to seek alternative </w:t>
      </w:r>
      <w:r w:rsidR="007A2CE0" w:rsidRPr="00EA1E99">
        <w:rPr>
          <w:rFonts w:cs="Times New Roman"/>
          <w:lang w:val="en-US"/>
        </w:rPr>
        <w:t>(</w:t>
      </w:r>
      <w:r w:rsidR="00D25A0B" w:rsidRPr="00EA1E99">
        <w:rPr>
          <w:rFonts w:cs="Times New Roman"/>
          <w:lang w:val="en-US"/>
        </w:rPr>
        <w:t xml:space="preserve">i.e., </w:t>
      </w:r>
      <w:r w:rsidR="007A2CE0" w:rsidRPr="00EA1E99">
        <w:rPr>
          <w:rFonts w:cs="Times New Roman"/>
          <w:lang w:val="en-US"/>
        </w:rPr>
        <w:t xml:space="preserve">more agreeable) </w:t>
      </w:r>
      <w:r w:rsidR="005F6BAF" w:rsidRPr="00EA1E99">
        <w:rPr>
          <w:rFonts w:cs="Times New Roman"/>
          <w:lang w:val="en-US"/>
        </w:rPr>
        <w:t xml:space="preserve">legal advice to that </w:t>
      </w:r>
      <w:r w:rsidR="00320042" w:rsidRPr="00EA1E99">
        <w:rPr>
          <w:rFonts w:cs="Times New Roman"/>
          <w:lang w:val="en-US"/>
        </w:rPr>
        <w:t xml:space="preserve">initially </w:t>
      </w:r>
      <w:r w:rsidR="005F6BAF" w:rsidRPr="00EA1E99">
        <w:rPr>
          <w:rFonts w:cs="Times New Roman"/>
          <w:lang w:val="en-US"/>
        </w:rPr>
        <w:t>given by Lord Goldsmith.</w:t>
      </w:r>
      <w:r w:rsidR="00373E6D" w:rsidRPr="00EA1E99">
        <w:rPr>
          <w:rStyle w:val="FootnoteReference"/>
          <w:rFonts w:cs="Times New Roman"/>
          <w:lang w:val="en-US"/>
        </w:rPr>
        <w:footnoteReference w:id="107"/>
      </w:r>
    </w:p>
    <w:p w14:paraId="4926CC4D" w14:textId="4ACCA3D8" w:rsidR="00B05CE7" w:rsidRPr="00EA1E99" w:rsidRDefault="005F6BAF" w:rsidP="00CD008C">
      <w:pPr>
        <w:spacing w:line="480" w:lineRule="auto"/>
        <w:ind w:firstLine="720"/>
        <w:rPr>
          <w:rFonts w:cs="Times New Roman"/>
        </w:rPr>
      </w:pPr>
      <w:r w:rsidRPr="00EA1E99">
        <w:rPr>
          <w:rFonts w:cs="Times New Roman"/>
          <w:lang w:val="en-US"/>
        </w:rPr>
        <w:t xml:space="preserve">These rejections of </w:t>
      </w:r>
      <w:r w:rsidR="00CD008C" w:rsidRPr="00EA1E99">
        <w:rPr>
          <w:rFonts w:cs="Times New Roman"/>
          <w:lang w:val="en-US"/>
        </w:rPr>
        <w:t>‘</w:t>
      </w:r>
      <w:r w:rsidRPr="00EA1E99">
        <w:rPr>
          <w:rFonts w:cs="Times New Roman"/>
          <w:lang w:val="en-US"/>
        </w:rPr>
        <w:t>undesirable</w:t>
      </w:r>
      <w:r w:rsidR="00CD008C" w:rsidRPr="00EA1E99">
        <w:rPr>
          <w:rFonts w:cs="Times New Roman"/>
          <w:lang w:val="en-US"/>
        </w:rPr>
        <w:t>’</w:t>
      </w:r>
      <w:r w:rsidRPr="00EA1E99">
        <w:rPr>
          <w:rFonts w:cs="Times New Roman"/>
          <w:lang w:val="en-US"/>
        </w:rPr>
        <w:t xml:space="preserve"> advice highlight a constitutional tension regarding the role of the legal advi</w:t>
      </w:r>
      <w:r w:rsidR="00CD008C" w:rsidRPr="00EA1E99">
        <w:rPr>
          <w:rFonts w:cs="Times New Roman"/>
          <w:lang w:val="en-US"/>
        </w:rPr>
        <w:t>se</w:t>
      </w:r>
      <w:r w:rsidRPr="00EA1E99">
        <w:rPr>
          <w:rFonts w:cs="Times New Roman"/>
          <w:lang w:val="en-US"/>
        </w:rPr>
        <w:t xml:space="preserve">r.  The Inquiry noted, for example, </w:t>
      </w:r>
      <w:r w:rsidRPr="00EA1E99">
        <w:rPr>
          <w:rFonts w:cs="Times New Roman"/>
        </w:rPr>
        <w:t xml:space="preserve">Sir Franklin Berman’s view that Ministers </w:t>
      </w:r>
      <w:r w:rsidR="00D25A0B" w:rsidRPr="00EA1E99">
        <w:rPr>
          <w:rFonts w:cs="Times New Roman"/>
        </w:rPr>
        <w:t xml:space="preserve">should </w:t>
      </w:r>
      <w:r w:rsidRPr="00EA1E99">
        <w:rPr>
          <w:rFonts w:cs="Times New Roman"/>
        </w:rPr>
        <w:t xml:space="preserve">not </w:t>
      </w:r>
      <w:r w:rsidR="00D25A0B" w:rsidRPr="00EA1E99">
        <w:rPr>
          <w:rFonts w:cs="Times New Roman"/>
        </w:rPr>
        <w:t xml:space="preserve">be </w:t>
      </w:r>
      <w:r w:rsidRPr="00EA1E99">
        <w:rPr>
          <w:rFonts w:cs="Times New Roman"/>
        </w:rPr>
        <w:t>entitled to cherry pick legal advice to support</w:t>
      </w:r>
      <w:r w:rsidR="00CD008C" w:rsidRPr="00EA1E99">
        <w:rPr>
          <w:rFonts w:cs="Times New Roman"/>
        </w:rPr>
        <w:t xml:space="preserve"> their preferred policy </w:t>
      </w:r>
      <w:r w:rsidR="00CD008C" w:rsidRPr="00EA1E99">
        <w:rPr>
          <w:rFonts w:cs="Times New Roman"/>
        </w:rPr>
        <w:lastRenderedPageBreak/>
        <w:t>option.</w:t>
      </w:r>
      <w:r w:rsidR="00B05CE7" w:rsidRPr="00EA1E99">
        <w:rPr>
          <w:rStyle w:val="FootnoteReference"/>
          <w:rFonts w:cs="Times New Roman"/>
        </w:rPr>
        <w:footnoteReference w:id="108"/>
      </w:r>
      <w:r w:rsidR="00CD008C" w:rsidRPr="00EA1E99">
        <w:rPr>
          <w:rFonts w:cs="Times New Roman"/>
        </w:rPr>
        <w:t xml:space="preserve">  However, </w:t>
      </w:r>
      <w:r w:rsidRPr="00EA1E99">
        <w:rPr>
          <w:rFonts w:cs="Times New Roman"/>
        </w:rPr>
        <w:t xml:space="preserve">the Report did not necessarily </w:t>
      </w:r>
      <w:r w:rsidR="00CD008C" w:rsidRPr="00EA1E99">
        <w:rPr>
          <w:rFonts w:cs="Times New Roman"/>
        </w:rPr>
        <w:t xml:space="preserve">endorse this view: it merely juxtaposed it </w:t>
      </w:r>
      <w:r w:rsidR="00B05CE7" w:rsidRPr="00EA1E99">
        <w:rPr>
          <w:rFonts w:cs="Times New Roman"/>
        </w:rPr>
        <w:t>with</w:t>
      </w:r>
      <w:r w:rsidR="00CD008C" w:rsidRPr="00EA1E99">
        <w:rPr>
          <w:rFonts w:cs="Times New Roman"/>
        </w:rPr>
        <w:t xml:space="preserve"> Mr Straw’s contrary </w:t>
      </w:r>
      <w:r w:rsidR="00D25A0B" w:rsidRPr="00EA1E99">
        <w:rPr>
          <w:rFonts w:cs="Times New Roman"/>
        </w:rPr>
        <w:t xml:space="preserve">assertion </w:t>
      </w:r>
      <w:r w:rsidR="00CD008C" w:rsidRPr="00EA1E99">
        <w:rPr>
          <w:rFonts w:cs="Times New Roman"/>
        </w:rPr>
        <w:t>that advice was – as it were –</w:t>
      </w:r>
      <w:r w:rsidR="008D6867" w:rsidRPr="00EA1E99">
        <w:rPr>
          <w:rFonts w:cs="Times New Roman"/>
        </w:rPr>
        <w:t xml:space="preserve"> advisory,</w:t>
      </w:r>
      <w:r w:rsidR="00373E6D" w:rsidRPr="00EA1E99">
        <w:rPr>
          <w:rStyle w:val="FootnoteReference"/>
          <w:rFonts w:cs="Times New Roman"/>
        </w:rPr>
        <w:footnoteReference w:id="109"/>
      </w:r>
      <w:r w:rsidR="008D6867" w:rsidRPr="00EA1E99">
        <w:rPr>
          <w:rFonts w:cs="Times New Roman"/>
        </w:rPr>
        <w:t xml:space="preserve"> and left the reader to draw their own conclusions on this point.</w:t>
      </w:r>
      <w:r w:rsidR="00CD008C" w:rsidRPr="00EA1E99">
        <w:rPr>
          <w:rFonts w:cs="Times New Roman"/>
        </w:rPr>
        <w:t xml:space="preserve">  </w:t>
      </w:r>
    </w:p>
    <w:p w14:paraId="06E171B4" w14:textId="5D216E2F" w:rsidR="00B05CE7" w:rsidRPr="00EA1E99" w:rsidRDefault="008D6867" w:rsidP="00C94F0F">
      <w:pPr>
        <w:spacing w:line="480" w:lineRule="auto"/>
        <w:ind w:firstLine="720"/>
        <w:rPr>
          <w:rFonts w:cs="Times New Roman"/>
        </w:rPr>
      </w:pPr>
      <w:r w:rsidRPr="00EA1E99">
        <w:rPr>
          <w:rFonts w:cs="Times New Roman"/>
        </w:rPr>
        <w:t>The current authors take the position that it</w:t>
      </w:r>
      <w:r w:rsidR="00B05CE7" w:rsidRPr="00EA1E99">
        <w:rPr>
          <w:rFonts w:cs="Times New Roman"/>
        </w:rPr>
        <w:t xml:space="preserve"> must be correct that the</w:t>
      </w:r>
      <w:r w:rsidR="00CD008C" w:rsidRPr="00EA1E99">
        <w:rPr>
          <w:rFonts w:cs="Times New Roman"/>
        </w:rPr>
        <w:t xml:space="preserve"> views of legal advisers </w:t>
      </w:r>
      <w:r w:rsidR="00B05CE7" w:rsidRPr="00EA1E99">
        <w:rPr>
          <w:rFonts w:cs="Times New Roman"/>
        </w:rPr>
        <w:t xml:space="preserve">cannot </w:t>
      </w:r>
      <w:r w:rsidR="00D615B6" w:rsidRPr="00EA1E99">
        <w:rPr>
          <w:rFonts w:cs="Times New Roman"/>
        </w:rPr>
        <w:t>replace government policy,</w:t>
      </w:r>
      <w:r w:rsidR="00CD008C" w:rsidRPr="00EA1E99">
        <w:rPr>
          <w:rFonts w:cs="Times New Roman"/>
        </w:rPr>
        <w:t xml:space="preserve"> </w:t>
      </w:r>
      <w:r w:rsidR="00B05CE7" w:rsidRPr="00EA1E99">
        <w:rPr>
          <w:rFonts w:cs="Times New Roman"/>
        </w:rPr>
        <w:t xml:space="preserve">as </w:t>
      </w:r>
      <w:r w:rsidR="00CD008C" w:rsidRPr="00EA1E99">
        <w:rPr>
          <w:rFonts w:cs="Times New Roman"/>
        </w:rPr>
        <w:t xml:space="preserve">this would in effect </w:t>
      </w:r>
      <w:r w:rsidR="004B0455" w:rsidRPr="00EA1E99">
        <w:rPr>
          <w:rFonts w:cs="Times New Roman"/>
        </w:rPr>
        <w:t>turn them into unelected policy-</w:t>
      </w:r>
      <w:r w:rsidR="00CD008C" w:rsidRPr="00EA1E99">
        <w:rPr>
          <w:rFonts w:cs="Times New Roman"/>
        </w:rPr>
        <w:t xml:space="preserve">makers.  </w:t>
      </w:r>
      <w:r w:rsidR="00C94F0F" w:rsidRPr="00EA1E99">
        <w:rPr>
          <w:rFonts w:cs="Times New Roman"/>
        </w:rPr>
        <w:t xml:space="preserve">Mr Blair and Mr Straw (amongst others in </w:t>
      </w:r>
      <w:r w:rsidR="00320042" w:rsidRPr="00EA1E99">
        <w:rPr>
          <w:rFonts w:cs="Times New Roman"/>
        </w:rPr>
        <w:t>the G</w:t>
      </w:r>
      <w:r w:rsidR="00C94F0F" w:rsidRPr="00EA1E99">
        <w:rPr>
          <w:rFonts w:cs="Times New Roman"/>
        </w:rPr>
        <w:t xml:space="preserve">overnment) surely possessed </w:t>
      </w:r>
      <w:r w:rsidR="00D615B6" w:rsidRPr="00EA1E99">
        <w:rPr>
          <w:rFonts w:cs="Times New Roman"/>
        </w:rPr>
        <w:t>significant discretionary</w:t>
      </w:r>
      <w:r w:rsidR="00C94F0F" w:rsidRPr="00EA1E99">
        <w:rPr>
          <w:rFonts w:cs="Times New Roman"/>
        </w:rPr>
        <w:t xml:space="preserve"> ‘power’ </w:t>
      </w:r>
      <w:r w:rsidR="00D615B6" w:rsidRPr="00EA1E99">
        <w:rPr>
          <w:rFonts w:cs="Times New Roman"/>
        </w:rPr>
        <w:t>to treat</w:t>
      </w:r>
      <w:r w:rsidR="004B0455" w:rsidRPr="00EA1E99">
        <w:rPr>
          <w:rFonts w:cs="Times New Roman"/>
        </w:rPr>
        <w:t xml:space="preserve"> the</w:t>
      </w:r>
      <w:r w:rsidR="00C94F0F" w:rsidRPr="00EA1E99">
        <w:rPr>
          <w:rFonts w:cs="Times New Roman"/>
        </w:rPr>
        <w:t xml:space="preserve"> legal advice</w:t>
      </w:r>
      <w:r w:rsidR="007B3795" w:rsidRPr="00EA1E99">
        <w:rPr>
          <w:rFonts w:cs="Times New Roman"/>
        </w:rPr>
        <w:t xml:space="preserve"> </w:t>
      </w:r>
      <w:r w:rsidR="004B0455" w:rsidRPr="00EA1E99">
        <w:rPr>
          <w:rFonts w:cs="Times New Roman"/>
        </w:rPr>
        <w:t xml:space="preserve">that </w:t>
      </w:r>
      <w:r w:rsidR="007B3795" w:rsidRPr="00EA1E99">
        <w:rPr>
          <w:rFonts w:cs="Times New Roman"/>
        </w:rPr>
        <w:t>they had received</w:t>
      </w:r>
      <w:r w:rsidR="004B0455" w:rsidRPr="00EA1E99">
        <w:rPr>
          <w:rFonts w:cs="Times New Roman"/>
        </w:rPr>
        <w:t xml:space="preserve"> as they felt appropriate</w:t>
      </w:r>
      <w:r w:rsidR="00C94F0F" w:rsidRPr="00EA1E99">
        <w:rPr>
          <w:rFonts w:cs="Times New Roman"/>
        </w:rPr>
        <w:t>.</w:t>
      </w:r>
      <w:r w:rsidR="00373E6D" w:rsidRPr="00EA1E99">
        <w:rPr>
          <w:rStyle w:val="FootnoteReference"/>
          <w:rFonts w:cs="Times New Roman"/>
        </w:rPr>
        <w:footnoteReference w:id="110"/>
      </w:r>
      <w:r w:rsidR="00C94F0F" w:rsidRPr="00EA1E99">
        <w:rPr>
          <w:rFonts w:cs="Times New Roman"/>
        </w:rPr>
        <w:t xml:space="preserve">  </w:t>
      </w:r>
      <w:r w:rsidRPr="00EA1E99">
        <w:rPr>
          <w:rFonts w:cs="Times New Roman"/>
        </w:rPr>
        <w:t xml:space="preserve">The more important question </w:t>
      </w:r>
      <w:r w:rsidR="00C94F0F" w:rsidRPr="00EA1E99">
        <w:rPr>
          <w:rFonts w:cs="Times New Roman"/>
        </w:rPr>
        <w:t xml:space="preserve">is the </w:t>
      </w:r>
      <w:r w:rsidR="007B3795" w:rsidRPr="00EA1E99">
        <w:rPr>
          <w:rFonts w:cs="Times New Roman"/>
        </w:rPr>
        <w:t xml:space="preserve">manner in which, and the </w:t>
      </w:r>
      <w:r w:rsidR="00C94F0F" w:rsidRPr="00EA1E99">
        <w:rPr>
          <w:rFonts w:cs="Times New Roman"/>
          <w:i/>
        </w:rPr>
        <w:t>desirability</w:t>
      </w:r>
      <w:r w:rsidR="00C94F0F" w:rsidRPr="00EA1E99">
        <w:rPr>
          <w:rFonts w:cs="Times New Roman"/>
        </w:rPr>
        <w:t xml:space="preserve"> of</w:t>
      </w:r>
      <w:r w:rsidR="004B0455" w:rsidRPr="00EA1E99">
        <w:rPr>
          <w:rFonts w:cs="Times New Roman"/>
        </w:rPr>
        <w:t xml:space="preserve"> the manner in which</w:t>
      </w:r>
      <w:r w:rsidR="007B3795" w:rsidRPr="00EA1E99">
        <w:rPr>
          <w:rFonts w:cs="Times New Roman"/>
        </w:rPr>
        <w:t>,</w:t>
      </w:r>
      <w:r w:rsidR="00C94F0F" w:rsidRPr="00EA1E99">
        <w:rPr>
          <w:rFonts w:cs="Times New Roman"/>
        </w:rPr>
        <w:t xml:space="preserve"> </w:t>
      </w:r>
      <w:r w:rsidR="007B3795" w:rsidRPr="00EA1E99">
        <w:rPr>
          <w:rFonts w:cs="Times New Roman"/>
        </w:rPr>
        <w:t>the</w:t>
      </w:r>
      <w:r w:rsidR="004B0455" w:rsidRPr="00EA1E99">
        <w:rPr>
          <w:rFonts w:cs="Times New Roman"/>
        </w:rPr>
        <w:t>y</w:t>
      </w:r>
      <w:r w:rsidR="007B3795" w:rsidRPr="00EA1E99">
        <w:rPr>
          <w:rFonts w:cs="Times New Roman"/>
        </w:rPr>
        <w:t xml:space="preserve"> </w:t>
      </w:r>
      <w:r w:rsidR="00C94F0F" w:rsidRPr="00EA1E99">
        <w:rPr>
          <w:rFonts w:cs="Times New Roman"/>
        </w:rPr>
        <w:t>exercise</w:t>
      </w:r>
      <w:r w:rsidR="004B0455" w:rsidRPr="00EA1E99">
        <w:rPr>
          <w:rFonts w:cs="Times New Roman"/>
        </w:rPr>
        <w:t>d</w:t>
      </w:r>
      <w:r w:rsidR="00C94F0F" w:rsidRPr="00EA1E99">
        <w:rPr>
          <w:rFonts w:cs="Times New Roman"/>
        </w:rPr>
        <w:t xml:space="preserve"> this power.  On this front, the </w:t>
      </w:r>
      <w:proofErr w:type="spellStart"/>
      <w:r w:rsidR="00C94F0F" w:rsidRPr="00EA1E99">
        <w:rPr>
          <w:rFonts w:cs="Times New Roman"/>
        </w:rPr>
        <w:t>Chilcot</w:t>
      </w:r>
      <w:proofErr w:type="spellEnd"/>
      <w:r w:rsidR="00C94F0F" w:rsidRPr="00EA1E99">
        <w:rPr>
          <w:rFonts w:cs="Times New Roman"/>
        </w:rPr>
        <w:t xml:space="preserve"> Report is devastatingly critical.  Th</w:t>
      </w:r>
      <w:r w:rsidR="00EA2ED3" w:rsidRPr="00EA1E99">
        <w:rPr>
          <w:rFonts w:cs="Times New Roman"/>
        </w:rPr>
        <w:t>e fact that key figures in the G</w:t>
      </w:r>
      <w:r w:rsidR="00C94F0F" w:rsidRPr="00EA1E99">
        <w:rPr>
          <w:rFonts w:cs="Times New Roman"/>
        </w:rPr>
        <w:t xml:space="preserve">overnment </w:t>
      </w:r>
      <w:r w:rsidR="000221A2" w:rsidRPr="00EA1E99">
        <w:rPr>
          <w:rFonts w:cs="Times New Roman"/>
        </w:rPr>
        <w:t xml:space="preserve">failed to adequately </w:t>
      </w:r>
      <w:r w:rsidR="00A168A5" w:rsidRPr="00EA1E99">
        <w:rPr>
          <w:rFonts w:cs="Times New Roman"/>
        </w:rPr>
        <w:t xml:space="preserve">explain </w:t>
      </w:r>
      <w:r w:rsidR="00C94F0F" w:rsidRPr="00EA1E99">
        <w:rPr>
          <w:rFonts w:cs="Times New Roman"/>
        </w:rPr>
        <w:t xml:space="preserve">– except in terms of their beliefs </w:t>
      </w:r>
      <w:r w:rsidRPr="00EA1E99">
        <w:rPr>
          <w:rFonts w:cs="Times New Roman"/>
        </w:rPr>
        <w:t>as to</w:t>
      </w:r>
      <w:r w:rsidR="00C94F0F" w:rsidRPr="00EA1E99">
        <w:rPr>
          <w:rFonts w:cs="Times New Roman"/>
        </w:rPr>
        <w:t xml:space="preserve"> what they thought was right</w:t>
      </w:r>
      <w:r w:rsidR="00373E6D" w:rsidRPr="00EA1E99">
        <w:rPr>
          <w:rStyle w:val="FootnoteReference"/>
          <w:rFonts w:cs="Times New Roman"/>
        </w:rPr>
        <w:footnoteReference w:id="111"/>
      </w:r>
      <w:r w:rsidR="00C94F0F" w:rsidRPr="00EA1E99">
        <w:rPr>
          <w:rFonts w:cs="Times New Roman"/>
        </w:rPr>
        <w:t xml:space="preserve"> – their reasons for rejecting, delaying and marginalising formal legal advice (and the fact that </w:t>
      </w:r>
      <w:proofErr w:type="spellStart"/>
      <w:r w:rsidR="00C94F0F" w:rsidRPr="00EA1E99">
        <w:rPr>
          <w:rFonts w:cs="Times New Roman"/>
        </w:rPr>
        <w:t>Chilcot</w:t>
      </w:r>
      <w:proofErr w:type="spellEnd"/>
      <w:r w:rsidR="00C94F0F" w:rsidRPr="00EA1E99">
        <w:rPr>
          <w:rFonts w:cs="Times New Roman"/>
        </w:rPr>
        <w:t xml:space="preserve"> was able to demonstrate this) is </w:t>
      </w:r>
      <w:r w:rsidR="00340776" w:rsidRPr="00EA1E99">
        <w:rPr>
          <w:rFonts w:cs="Times New Roman"/>
        </w:rPr>
        <w:t>telling</w:t>
      </w:r>
      <w:r w:rsidR="00C94F0F" w:rsidRPr="00EA1E99">
        <w:rPr>
          <w:rFonts w:cs="Times New Roman"/>
        </w:rPr>
        <w:t>.  The Inquiry</w:t>
      </w:r>
      <w:r w:rsidR="00B05CE7" w:rsidRPr="00EA1E99">
        <w:rPr>
          <w:rFonts w:cs="Times New Roman"/>
        </w:rPr>
        <w:t xml:space="preserve">, and the </w:t>
      </w:r>
      <w:r w:rsidR="00C94F0F" w:rsidRPr="00EA1E99">
        <w:rPr>
          <w:rFonts w:cs="Times New Roman"/>
        </w:rPr>
        <w:t xml:space="preserve">wider </w:t>
      </w:r>
      <w:r w:rsidR="00B05CE7" w:rsidRPr="00EA1E99">
        <w:rPr>
          <w:rFonts w:cs="Times New Roman"/>
        </w:rPr>
        <w:t xml:space="preserve">social and political legacy of a war that most viewed as unlawful, </w:t>
      </w:r>
      <w:r w:rsidR="00320042" w:rsidRPr="00EA1E99">
        <w:rPr>
          <w:rFonts w:cs="Times New Roman"/>
        </w:rPr>
        <w:t xml:space="preserve">profoundly </w:t>
      </w:r>
      <w:r w:rsidRPr="00EA1E99">
        <w:rPr>
          <w:rFonts w:cs="Times New Roman"/>
        </w:rPr>
        <w:t>demonstrate</w:t>
      </w:r>
      <w:r w:rsidR="00B05CE7" w:rsidRPr="00EA1E99">
        <w:rPr>
          <w:rFonts w:cs="Times New Roman"/>
        </w:rPr>
        <w:t xml:space="preserve"> </w:t>
      </w:r>
      <w:r w:rsidRPr="00EA1E99">
        <w:rPr>
          <w:rFonts w:cs="Times New Roman"/>
        </w:rPr>
        <w:t>the</w:t>
      </w:r>
      <w:r w:rsidR="00B05CE7" w:rsidRPr="00EA1E99">
        <w:rPr>
          <w:rFonts w:cs="Times New Roman"/>
        </w:rPr>
        <w:t xml:space="preserve"> need </w:t>
      </w:r>
      <w:r w:rsidRPr="00EA1E99">
        <w:rPr>
          <w:rFonts w:cs="Times New Roman"/>
        </w:rPr>
        <w:t>to</w:t>
      </w:r>
      <w:r w:rsidR="00B05CE7" w:rsidRPr="00EA1E99">
        <w:rPr>
          <w:rFonts w:cs="Times New Roman"/>
        </w:rPr>
        <w:t xml:space="preserve"> respect the </w:t>
      </w:r>
      <w:r w:rsidR="00D25A0B" w:rsidRPr="00EA1E99">
        <w:rPr>
          <w:rFonts w:cs="Times New Roman"/>
        </w:rPr>
        <w:t xml:space="preserve">opinions </w:t>
      </w:r>
      <w:r w:rsidR="00B05CE7" w:rsidRPr="00EA1E99">
        <w:rPr>
          <w:rFonts w:cs="Times New Roman"/>
        </w:rPr>
        <w:t>of legal advis</w:t>
      </w:r>
      <w:r w:rsidR="00A168A5" w:rsidRPr="00EA1E99">
        <w:rPr>
          <w:rFonts w:cs="Times New Roman"/>
        </w:rPr>
        <w:t>e</w:t>
      </w:r>
      <w:r w:rsidR="00B05CE7" w:rsidRPr="00EA1E99">
        <w:rPr>
          <w:rFonts w:cs="Times New Roman"/>
        </w:rPr>
        <w:t>rs</w:t>
      </w:r>
      <w:r w:rsidR="00C94F0F" w:rsidRPr="00EA1E99">
        <w:rPr>
          <w:rFonts w:cs="Times New Roman"/>
        </w:rPr>
        <w:t xml:space="preserve"> and </w:t>
      </w:r>
      <w:r w:rsidRPr="00EA1E99">
        <w:rPr>
          <w:rFonts w:cs="Times New Roman"/>
        </w:rPr>
        <w:t xml:space="preserve">to </w:t>
      </w:r>
      <w:r w:rsidR="00C94F0F" w:rsidRPr="00EA1E99">
        <w:rPr>
          <w:rFonts w:cs="Times New Roman"/>
        </w:rPr>
        <w:t xml:space="preserve">adequately </w:t>
      </w:r>
      <w:r w:rsidR="00C94F0F" w:rsidRPr="00EA1E99">
        <w:rPr>
          <w:rFonts w:cs="Times New Roman"/>
          <w:i/>
        </w:rPr>
        <w:t>justify</w:t>
      </w:r>
      <w:r w:rsidR="00C94F0F" w:rsidRPr="00EA1E99">
        <w:rPr>
          <w:rFonts w:cs="Times New Roman"/>
        </w:rPr>
        <w:t xml:space="preserve"> any departure from </w:t>
      </w:r>
      <w:r w:rsidR="00D25A0B" w:rsidRPr="00EA1E99">
        <w:rPr>
          <w:rFonts w:cs="Times New Roman"/>
        </w:rPr>
        <w:t>those opinions</w:t>
      </w:r>
      <w:r w:rsidR="00B05CE7" w:rsidRPr="00EA1E99">
        <w:rPr>
          <w:rFonts w:cs="Times New Roman"/>
        </w:rPr>
        <w:t>.</w:t>
      </w:r>
    </w:p>
    <w:p w14:paraId="0371611C" w14:textId="77777777" w:rsidR="00B05CE7" w:rsidRPr="00EA1E99" w:rsidRDefault="00B05CE7" w:rsidP="00CD008C">
      <w:pPr>
        <w:spacing w:line="480" w:lineRule="auto"/>
        <w:ind w:firstLine="720"/>
        <w:rPr>
          <w:rFonts w:cs="Times New Roman"/>
        </w:rPr>
      </w:pPr>
    </w:p>
    <w:p w14:paraId="35FCBD11" w14:textId="77777777" w:rsidR="002B7112" w:rsidRPr="00EA1E99" w:rsidRDefault="002B7112" w:rsidP="002B7112">
      <w:pPr>
        <w:spacing w:line="480" w:lineRule="auto"/>
        <w:rPr>
          <w:rFonts w:cs="Times New Roman"/>
          <w:b/>
          <w:i/>
        </w:rPr>
      </w:pPr>
      <w:r w:rsidRPr="00EA1E99">
        <w:rPr>
          <w:rFonts w:cs="Times New Roman"/>
          <w:b/>
          <w:i/>
        </w:rPr>
        <w:t xml:space="preserve">D. The Quality and Independence of Legal Advice </w:t>
      </w:r>
    </w:p>
    <w:p w14:paraId="3BEE0DAB" w14:textId="0815FECB" w:rsidR="002B7112" w:rsidRPr="00EA1E99" w:rsidRDefault="002B7112" w:rsidP="002B7112">
      <w:pPr>
        <w:spacing w:line="480" w:lineRule="auto"/>
        <w:rPr>
          <w:rFonts w:cs="Times New Roman"/>
        </w:rPr>
      </w:pPr>
      <w:r w:rsidRPr="00EA1E99">
        <w:rPr>
          <w:rFonts w:cs="Times New Roman"/>
        </w:rPr>
        <w:t xml:space="preserve">This article does not aim to consider the content of the advice provided in relation to the Iraq intervention in substantive terms.  Certainly, the advice that the Attorney General </w:t>
      </w:r>
      <w:r w:rsidR="00320042" w:rsidRPr="00EA1E99">
        <w:rPr>
          <w:rFonts w:cs="Times New Roman"/>
        </w:rPr>
        <w:t xml:space="preserve">ultimately </w:t>
      </w:r>
      <w:r w:rsidRPr="00EA1E99">
        <w:rPr>
          <w:rFonts w:cs="Times New Roman"/>
        </w:rPr>
        <w:t xml:space="preserve">provided can and should be questioned, given its departure from the majority opinion amongst other Legal Officers and the wider international legal community.  However, in this subsection, </w:t>
      </w:r>
      <w:r w:rsidRPr="00EA1E99">
        <w:rPr>
          <w:rFonts w:cs="Times New Roman"/>
        </w:rPr>
        <w:lastRenderedPageBreak/>
        <w:t xml:space="preserve">we are instead concerned with issues affecting the quality and independence </w:t>
      </w:r>
      <w:r w:rsidR="00C95381" w:rsidRPr="00EA1E99">
        <w:rPr>
          <w:rFonts w:cs="Times New Roman"/>
        </w:rPr>
        <w:t>of legal advice,</w:t>
      </w:r>
      <w:r w:rsidRPr="00EA1E99">
        <w:rPr>
          <w:rStyle w:val="FootnoteReference"/>
          <w:rFonts w:cs="Times New Roman"/>
        </w:rPr>
        <w:footnoteReference w:id="112"/>
      </w:r>
      <w:r w:rsidR="00C95381" w:rsidRPr="00EA1E99">
        <w:rPr>
          <w:rFonts w:cs="Times New Roman"/>
        </w:rPr>
        <w:t xml:space="preserve"> particularly with respect to the advice provided by Lord Goldsmith.</w:t>
      </w:r>
    </w:p>
    <w:p w14:paraId="527D0307" w14:textId="3D398139" w:rsidR="002B7112" w:rsidRPr="00EA1E99" w:rsidRDefault="002B7112" w:rsidP="007C2D68">
      <w:pPr>
        <w:spacing w:line="480" w:lineRule="auto"/>
        <w:ind w:firstLine="709"/>
        <w:rPr>
          <w:rFonts w:cs="Times New Roman"/>
        </w:rPr>
      </w:pPr>
      <w:r w:rsidRPr="00EA1E99">
        <w:rPr>
          <w:rFonts w:cs="Times New Roman"/>
        </w:rPr>
        <w:t>The Attorney General is, of course, the most senior legal adviser to the British Government, and his advice is, therefore, in constitutional terms, paramount.</w:t>
      </w:r>
      <w:r w:rsidR="00DD13C9" w:rsidRPr="00EA1E99">
        <w:rPr>
          <w:rStyle w:val="FootnoteReference"/>
          <w:rFonts w:cs="Times New Roman"/>
        </w:rPr>
        <w:footnoteReference w:id="113"/>
      </w:r>
      <w:r w:rsidRPr="00EA1E99">
        <w:rPr>
          <w:rFonts w:cs="Times New Roman"/>
        </w:rPr>
        <w:t xml:space="preserve">  However, while Lord Goldsmith is an eminent lawyer, he does not have specialised expertise in relation to public international law (and, particularly, in respect to the </w:t>
      </w:r>
      <w:r w:rsidRPr="00EA1E99">
        <w:rPr>
          <w:rFonts w:cs="Times New Roman"/>
          <w:i/>
        </w:rPr>
        <w:t>jus</w:t>
      </w:r>
      <w:r w:rsidRPr="00EA1E99">
        <w:rPr>
          <w:rFonts w:cs="Times New Roman"/>
        </w:rPr>
        <w:t xml:space="preserve"> </w:t>
      </w:r>
      <w:r w:rsidRPr="00EA1E99">
        <w:rPr>
          <w:rFonts w:cs="Times New Roman"/>
          <w:i/>
        </w:rPr>
        <w:t>ad bellum</w:t>
      </w:r>
      <w:r w:rsidRPr="00EA1E99">
        <w:rPr>
          <w:rFonts w:cs="Times New Roman"/>
        </w:rPr>
        <w:t xml:space="preserve">). </w:t>
      </w:r>
      <w:r w:rsidR="004A560C" w:rsidRPr="00EA1E99">
        <w:rPr>
          <w:rFonts w:cs="Times New Roman"/>
        </w:rPr>
        <w:t xml:space="preserve"> </w:t>
      </w:r>
      <w:r w:rsidR="000221A2" w:rsidRPr="00EA1E99">
        <w:rPr>
          <w:rFonts w:cs="Times New Roman"/>
        </w:rPr>
        <w:t>Given this</w:t>
      </w:r>
      <w:r w:rsidRPr="00EA1E99">
        <w:rPr>
          <w:rFonts w:cs="Times New Roman"/>
        </w:rPr>
        <w:t xml:space="preserve">, it is notable that he formulated his legal opinion on </w:t>
      </w:r>
      <w:r w:rsidRPr="00EA1E99">
        <w:rPr>
          <w:rFonts w:cs="Times New Roman"/>
          <w:i/>
        </w:rPr>
        <w:t>ad bellum</w:t>
      </w:r>
      <w:r w:rsidRPr="00EA1E99">
        <w:rPr>
          <w:rFonts w:cs="Times New Roman"/>
        </w:rPr>
        <w:t xml:space="preserve"> issues with input from other Legal Officers (notably FCO legal advisers and the UKMIS legal team in New York).</w:t>
      </w:r>
      <w:r w:rsidRPr="00EA1E99">
        <w:rPr>
          <w:rStyle w:val="FootnoteReference"/>
          <w:rFonts w:cs="Times New Roman"/>
        </w:rPr>
        <w:footnoteReference w:id="114"/>
      </w:r>
      <w:r w:rsidRPr="00EA1E99">
        <w:rPr>
          <w:rFonts w:cs="Times New Roman"/>
        </w:rPr>
        <w:t xml:space="preserve">  Such consultation and pooling of legal opinion is surely highly desirable, both in terms of broadening legal appraisal and engagi</w:t>
      </w:r>
      <w:r w:rsidR="000B5287" w:rsidRPr="00EA1E99">
        <w:rPr>
          <w:rFonts w:cs="Times New Roman"/>
        </w:rPr>
        <w:t xml:space="preserve">ng subject-specific expertise.  </w:t>
      </w:r>
      <w:r w:rsidRPr="00EA1E99">
        <w:rPr>
          <w:rFonts w:cs="Times New Roman"/>
        </w:rPr>
        <w:t xml:space="preserve">However, the </w:t>
      </w:r>
      <w:proofErr w:type="spellStart"/>
      <w:r w:rsidRPr="00EA1E99">
        <w:rPr>
          <w:rFonts w:cs="Times New Roman"/>
        </w:rPr>
        <w:t>Chilcot</w:t>
      </w:r>
      <w:proofErr w:type="spellEnd"/>
      <w:r w:rsidRPr="00EA1E99">
        <w:rPr>
          <w:rFonts w:cs="Times New Roman"/>
        </w:rPr>
        <w:t xml:space="preserve"> Report noted Sir Michael Wood’s view that:</w:t>
      </w:r>
    </w:p>
    <w:p w14:paraId="20EA0853" w14:textId="77777777" w:rsidR="002B7112" w:rsidRPr="00EA1E99" w:rsidRDefault="002B7112" w:rsidP="002B7112">
      <w:pPr>
        <w:spacing w:line="480" w:lineRule="auto"/>
        <w:ind w:left="709"/>
        <w:rPr>
          <w:rFonts w:cs="Times New Roman"/>
        </w:rPr>
      </w:pPr>
      <w:proofErr w:type="gramStart"/>
      <w:r w:rsidRPr="00EA1E99">
        <w:rPr>
          <w:rFonts w:cs="Times New Roman"/>
        </w:rPr>
        <w:t>the</w:t>
      </w:r>
      <w:proofErr w:type="gramEnd"/>
      <w:r w:rsidRPr="00EA1E99">
        <w:rPr>
          <w:rFonts w:cs="Times New Roman"/>
        </w:rPr>
        <w:t xml:space="preserve"> Foreign Secretary was content for me to send the letter provided I did not include in the letter a statement of my own view of the law; and provided that I made it clear in the letter that no advice was needed at present. I was not happy with these instructions…</w:t>
      </w:r>
      <w:r w:rsidRPr="00EA1E99">
        <w:rPr>
          <w:rStyle w:val="FootnoteReference"/>
          <w:rFonts w:cs="Times New Roman"/>
        </w:rPr>
        <w:footnoteReference w:id="115"/>
      </w:r>
    </w:p>
    <w:p w14:paraId="4D4E1764" w14:textId="72FB3AB9" w:rsidR="002B7112" w:rsidRPr="00EA1E99" w:rsidRDefault="002B7112" w:rsidP="002B7112">
      <w:pPr>
        <w:spacing w:line="480" w:lineRule="auto"/>
        <w:rPr>
          <w:rFonts w:cs="Times New Roman"/>
        </w:rPr>
      </w:pPr>
      <w:r w:rsidRPr="00EA1E99">
        <w:rPr>
          <w:rFonts w:cs="Times New Roman"/>
        </w:rPr>
        <w:t>The suggestion by Mr Straw that FCO legal advisers should not take a position on the law when instructing the Attorney General was certainly problematic.  In effect, due to the Foreign Secretary impairing communication between legal advisers, the Report also noted that a divergence of views</w:t>
      </w:r>
      <w:r w:rsidR="000C566E" w:rsidRPr="00EA1E99">
        <w:rPr>
          <w:rFonts w:cs="Times New Roman"/>
        </w:rPr>
        <w:t xml:space="preserve"> amongst Legal Officers</w:t>
      </w:r>
      <w:r w:rsidRPr="00EA1E99">
        <w:rPr>
          <w:rFonts w:cs="Times New Roman"/>
        </w:rPr>
        <w:t xml:space="preserve"> ‘crystallised when it became clear that a second resolution would not be forthcoming.’</w:t>
      </w:r>
      <w:r w:rsidRPr="00EA1E99">
        <w:rPr>
          <w:rStyle w:val="FootnoteReference"/>
          <w:rFonts w:cs="Times New Roman"/>
        </w:rPr>
        <w:footnoteReference w:id="116"/>
      </w:r>
      <w:r w:rsidRPr="00EA1E99">
        <w:rPr>
          <w:rFonts w:cs="Times New Roman"/>
        </w:rPr>
        <w:t xml:space="preserve">  Clearly it would have been desirable for full and </w:t>
      </w:r>
      <w:r w:rsidRPr="00EA1E99">
        <w:rPr>
          <w:rFonts w:cs="Times New Roman"/>
        </w:rPr>
        <w:lastRenderedPageBreak/>
        <w:t>frank communications in this regard to have occurred</w:t>
      </w:r>
      <w:r w:rsidR="000C566E" w:rsidRPr="00EA1E99">
        <w:rPr>
          <w:rFonts w:cs="Times New Roman"/>
        </w:rPr>
        <w:t>, and this should have been encouraged by government rather than restricted</w:t>
      </w:r>
      <w:r w:rsidRPr="00EA1E99">
        <w:rPr>
          <w:rFonts w:cs="Times New Roman"/>
        </w:rPr>
        <w:t>.</w:t>
      </w:r>
    </w:p>
    <w:p w14:paraId="5D28318A" w14:textId="38BBC294" w:rsidR="000C566E" w:rsidRPr="00EA1E99" w:rsidRDefault="002B7112" w:rsidP="004363E4">
      <w:pPr>
        <w:spacing w:line="480" w:lineRule="auto"/>
        <w:ind w:firstLine="720"/>
        <w:rPr>
          <w:rFonts w:cs="Times New Roman"/>
        </w:rPr>
      </w:pPr>
      <w:r w:rsidRPr="00EA1E99">
        <w:rPr>
          <w:rFonts w:cs="Times New Roman"/>
        </w:rPr>
        <w:t xml:space="preserve">It has long been apparent that </w:t>
      </w:r>
      <w:r w:rsidR="004363E4" w:rsidRPr="00EA1E99">
        <w:rPr>
          <w:rFonts w:cs="Times New Roman"/>
        </w:rPr>
        <w:t>in the early months of 2003 there were</w:t>
      </w:r>
      <w:r w:rsidRPr="00EA1E99">
        <w:rPr>
          <w:rFonts w:cs="Times New Roman"/>
        </w:rPr>
        <w:t xml:space="preserve"> significant change</w:t>
      </w:r>
      <w:r w:rsidR="004363E4" w:rsidRPr="00EA1E99">
        <w:rPr>
          <w:rFonts w:cs="Times New Roman"/>
        </w:rPr>
        <w:t>s,</w:t>
      </w:r>
      <w:r w:rsidRPr="00EA1E99">
        <w:rPr>
          <w:rFonts w:cs="Times New Roman"/>
        </w:rPr>
        <w:t xml:space="preserve"> </w:t>
      </w:r>
      <w:r w:rsidR="004363E4" w:rsidRPr="00EA1E99">
        <w:rPr>
          <w:rFonts w:cs="Times New Roman"/>
        </w:rPr>
        <w:t>‘in both tone and content’,</w:t>
      </w:r>
      <w:r w:rsidR="004363E4" w:rsidRPr="00EA1E99">
        <w:rPr>
          <w:rStyle w:val="FootnoteReference"/>
          <w:rFonts w:cs="Times New Roman"/>
        </w:rPr>
        <w:footnoteReference w:id="117"/>
      </w:r>
      <w:r w:rsidR="004363E4" w:rsidRPr="00EA1E99">
        <w:rPr>
          <w:rFonts w:cs="Times New Roman"/>
        </w:rPr>
        <w:t xml:space="preserve"> to the legal </w:t>
      </w:r>
      <w:r w:rsidR="000C566E" w:rsidRPr="00EA1E99">
        <w:rPr>
          <w:rFonts w:cs="Times New Roman"/>
        </w:rPr>
        <w:t>advice</w:t>
      </w:r>
      <w:r w:rsidR="004363E4" w:rsidRPr="00EA1E99">
        <w:rPr>
          <w:rFonts w:cs="Times New Roman"/>
        </w:rPr>
        <w:t xml:space="preserve"> </w:t>
      </w:r>
      <w:r w:rsidR="000C566E" w:rsidRPr="00EA1E99">
        <w:rPr>
          <w:rFonts w:cs="Times New Roman"/>
        </w:rPr>
        <w:t>provided</w:t>
      </w:r>
      <w:r w:rsidR="004363E4" w:rsidRPr="00EA1E99">
        <w:rPr>
          <w:rFonts w:cs="Times New Roman"/>
        </w:rPr>
        <w:t xml:space="preserve"> by the Attorney General</w:t>
      </w:r>
      <w:r w:rsidRPr="00EA1E99">
        <w:rPr>
          <w:rFonts w:cs="Times New Roman"/>
        </w:rPr>
        <w:t>.</w:t>
      </w:r>
      <w:r w:rsidRPr="00EA1E99">
        <w:rPr>
          <w:rStyle w:val="FootnoteReference"/>
          <w:rFonts w:cs="Times New Roman"/>
        </w:rPr>
        <w:footnoteReference w:id="118"/>
      </w:r>
      <w:r w:rsidRPr="00EA1E99">
        <w:rPr>
          <w:rFonts w:cs="Times New Roman"/>
        </w:rPr>
        <w:t xml:space="preserve">  However, the </w:t>
      </w:r>
      <w:proofErr w:type="spellStart"/>
      <w:r w:rsidRPr="00EA1E99">
        <w:rPr>
          <w:rFonts w:cs="Times New Roman"/>
        </w:rPr>
        <w:t>Chilcot</w:t>
      </w:r>
      <w:proofErr w:type="spellEnd"/>
      <w:r w:rsidRPr="00EA1E99">
        <w:rPr>
          <w:rFonts w:cs="Times New Roman"/>
        </w:rPr>
        <w:t xml:space="preserve"> Report painstakingly charts the progression of Lord Goldsmith’s legal analysis, exposing it to a huge amount of scrutiny.  </w:t>
      </w:r>
    </w:p>
    <w:p w14:paraId="47E43CDB" w14:textId="162482A8" w:rsidR="002B7112" w:rsidRPr="00EA1E99" w:rsidRDefault="002B7112" w:rsidP="004363E4">
      <w:pPr>
        <w:spacing w:line="480" w:lineRule="auto"/>
        <w:ind w:firstLine="720"/>
        <w:rPr>
          <w:rFonts w:cs="Times New Roman"/>
        </w:rPr>
      </w:pPr>
      <w:r w:rsidRPr="00EA1E99">
        <w:rPr>
          <w:rFonts w:cs="Times New Roman"/>
        </w:rPr>
        <w:t>Lord Goldsmith’s preliminary view was he was ‘not optimistic’</w:t>
      </w:r>
      <w:r w:rsidRPr="00EA1E99">
        <w:rPr>
          <w:rStyle w:val="FootnoteReference"/>
          <w:rFonts w:cs="Times New Roman"/>
        </w:rPr>
        <w:footnoteReference w:id="119"/>
      </w:r>
      <w:r w:rsidRPr="00EA1E99">
        <w:rPr>
          <w:rFonts w:cs="Times New Roman"/>
        </w:rPr>
        <w:t xml:space="preserve"> and even ‘pessimistic’</w:t>
      </w:r>
      <w:r w:rsidRPr="00EA1E99">
        <w:rPr>
          <w:rStyle w:val="FootnoteReference"/>
          <w:rFonts w:cs="Times New Roman"/>
        </w:rPr>
        <w:footnoteReference w:id="120"/>
      </w:r>
      <w:r w:rsidRPr="00EA1E99">
        <w:rPr>
          <w:rFonts w:cs="Times New Roman"/>
        </w:rPr>
        <w:t xml:space="preserve"> about the legal position for military action without a second Security Council resolution, and </w:t>
      </w:r>
      <w:r w:rsidR="000C566E" w:rsidRPr="00EA1E99">
        <w:rPr>
          <w:rFonts w:cs="Times New Roman"/>
        </w:rPr>
        <w:t xml:space="preserve">he </w:t>
      </w:r>
      <w:r w:rsidRPr="00EA1E99">
        <w:rPr>
          <w:rFonts w:cs="Times New Roman"/>
        </w:rPr>
        <w:t xml:space="preserve">was clear that a further </w:t>
      </w:r>
      <w:r w:rsidRPr="00EA1E99">
        <w:rPr>
          <w:rFonts w:cs="Times New Roman"/>
          <w:i/>
        </w:rPr>
        <w:t>decision</w:t>
      </w:r>
      <w:r w:rsidRPr="00EA1E99">
        <w:rPr>
          <w:rFonts w:cs="Times New Roman"/>
        </w:rPr>
        <w:t xml:space="preserve"> of the Security Council at least was required.</w:t>
      </w:r>
      <w:r w:rsidRPr="00EA1E99">
        <w:rPr>
          <w:rStyle w:val="FootnoteReference"/>
          <w:rFonts w:cs="Times New Roman"/>
        </w:rPr>
        <w:footnoteReference w:id="121"/>
      </w:r>
      <w:r w:rsidRPr="00EA1E99">
        <w:rPr>
          <w:rFonts w:cs="Times New Roman"/>
        </w:rPr>
        <w:t xml:space="preserve">  There was then something of a shift, to a position that identified two competing legal arguments.  One of these, of course, was that a ‘reasonable case’ could be made for authorisation by way of resolution 1441 alone,</w:t>
      </w:r>
      <w:r w:rsidRPr="00EA1E99">
        <w:rPr>
          <w:rStyle w:val="FootnoteReference"/>
          <w:rFonts w:cs="Times New Roman"/>
        </w:rPr>
        <w:footnoteReference w:id="122"/>
      </w:r>
      <w:r w:rsidRPr="00EA1E99">
        <w:rPr>
          <w:rFonts w:cs="Times New Roman"/>
        </w:rPr>
        <w:t xml:space="preserve"> albeit that the Attorney General felt that a second resolution was still ‘the safest legal course’</w:t>
      </w:r>
      <w:r w:rsidRPr="00EA1E99">
        <w:rPr>
          <w:rStyle w:val="FootnoteReference"/>
          <w:rFonts w:cs="Times New Roman"/>
        </w:rPr>
        <w:footnoteReference w:id="123"/>
      </w:r>
      <w:r w:rsidRPr="00EA1E99">
        <w:rPr>
          <w:rFonts w:cs="Times New Roman"/>
        </w:rPr>
        <w:t xml:space="preserve"> and that there was no guarantee that a court of law – were it ever to consider the question – would find in favour of this </w:t>
      </w:r>
      <w:r w:rsidR="000C566E" w:rsidRPr="00EA1E99">
        <w:rPr>
          <w:rFonts w:cs="Times New Roman"/>
        </w:rPr>
        <w:t>position</w:t>
      </w:r>
      <w:r w:rsidRPr="00EA1E99">
        <w:rPr>
          <w:rFonts w:cs="Times New Roman"/>
        </w:rPr>
        <w:t>.</w:t>
      </w:r>
      <w:r w:rsidRPr="00EA1E99">
        <w:rPr>
          <w:rStyle w:val="FootnoteReference"/>
          <w:rFonts w:cs="Times New Roman"/>
        </w:rPr>
        <w:footnoteReference w:id="124"/>
      </w:r>
      <w:r w:rsidRPr="00EA1E99">
        <w:rPr>
          <w:rFonts w:cs="Times New Roman"/>
        </w:rPr>
        <w:t xml:space="preserve">  The final version of the Attorney General’s formal legal advice, famously, was that the ‘better view’ was that there was a legal basis for the use of force without a further Security Council resolution.</w:t>
      </w:r>
      <w:r w:rsidRPr="00EA1E99">
        <w:rPr>
          <w:rStyle w:val="FootnoteReference"/>
          <w:rFonts w:cs="Times New Roman"/>
        </w:rPr>
        <w:footnoteReference w:id="125"/>
      </w:r>
      <w:r w:rsidR="000C566E" w:rsidRPr="00EA1E99">
        <w:rPr>
          <w:rFonts w:cs="Times New Roman"/>
        </w:rPr>
        <w:t xml:space="preserve">  As is well-known, this third and final legal position – which best aligned to the Government’s pre-determined policy course – ‘was the basis on which military action was taken.’</w:t>
      </w:r>
      <w:r w:rsidR="000C566E" w:rsidRPr="00EA1E99">
        <w:rPr>
          <w:rStyle w:val="FootnoteReference"/>
          <w:rFonts w:cs="Times New Roman"/>
        </w:rPr>
        <w:footnoteReference w:id="126"/>
      </w:r>
    </w:p>
    <w:p w14:paraId="19FF7C1F" w14:textId="18648CAA" w:rsidR="002B7112" w:rsidRPr="00EA1E99" w:rsidRDefault="002B7112" w:rsidP="002B7112">
      <w:pPr>
        <w:spacing w:line="480" w:lineRule="auto"/>
        <w:rPr>
          <w:rFonts w:cs="Times New Roman"/>
          <w:color w:val="000000"/>
        </w:rPr>
      </w:pPr>
      <w:r w:rsidRPr="00EA1E99">
        <w:rPr>
          <w:rFonts w:cs="Times New Roman"/>
        </w:rPr>
        <w:lastRenderedPageBreak/>
        <w:tab/>
        <w:t xml:space="preserve">The </w:t>
      </w:r>
      <w:proofErr w:type="spellStart"/>
      <w:r w:rsidRPr="00EA1E99">
        <w:rPr>
          <w:rFonts w:cs="Times New Roman"/>
        </w:rPr>
        <w:t>Chilcot</w:t>
      </w:r>
      <w:proofErr w:type="spellEnd"/>
      <w:r w:rsidRPr="00EA1E99">
        <w:rPr>
          <w:rFonts w:cs="Times New Roman"/>
        </w:rPr>
        <w:t xml:space="preserve"> Report does not shy away from confirming that there was ‘a change of view’ on the part of the Attorney General.</w:t>
      </w:r>
      <w:r w:rsidRPr="00EA1E99">
        <w:rPr>
          <w:rStyle w:val="FootnoteReference"/>
          <w:rFonts w:cs="Times New Roman"/>
        </w:rPr>
        <w:footnoteReference w:id="127"/>
      </w:r>
      <w:r w:rsidRPr="00EA1E99">
        <w:rPr>
          <w:rFonts w:cs="Times New Roman"/>
        </w:rPr>
        <w:t xml:space="preserve">  It is not explicit as why this change occurred, although it does provide indicative evidence in this regard.  Lord Goldsmith’s view was, for example, influenced by ‘</w:t>
      </w:r>
      <w:r w:rsidRPr="00EA1E99">
        <w:rPr>
          <w:rFonts w:cs="Times New Roman"/>
          <w:color w:val="000000"/>
        </w:rPr>
        <w:t>the arguments of the US Administration which [he] heard in Washington’,</w:t>
      </w:r>
      <w:r w:rsidRPr="00EA1E99">
        <w:rPr>
          <w:rStyle w:val="FootnoteReference"/>
          <w:rFonts w:cs="Times New Roman"/>
          <w:color w:val="000000"/>
        </w:rPr>
        <w:footnoteReference w:id="128"/>
      </w:r>
      <w:r w:rsidRPr="00EA1E99">
        <w:rPr>
          <w:rFonts w:cs="Times New Roman"/>
          <w:color w:val="000000"/>
        </w:rPr>
        <w:t xml:space="preserve"> and </w:t>
      </w:r>
      <w:r w:rsidR="00462177" w:rsidRPr="00EA1E99">
        <w:rPr>
          <w:rFonts w:cs="Times New Roman"/>
          <w:color w:val="000000"/>
        </w:rPr>
        <w:t xml:space="preserve">by </w:t>
      </w:r>
      <w:r w:rsidRPr="00EA1E99">
        <w:rPr>
          <w:rFonts w:cs="Times New Roman"/>
          <w:color w:val="000000"/>
        </w:rPr>
        <w:t xml:space="preserve">‘discussions with Mr Straw, Sir Jeremy </w:t>
      </w:r>
      <w:proofErr w:type="spellStart"/>
      <w:r w:rsidRPr="00EA1E99">
        <w:rPr>
          <w:rFonts w:cs="Times New Roman"/>
          <w:color w:val="000000"/>
        </w:rPr>
        <w:t>Greenstock</w:t>
      </w:r>
      <w:proofErr w:type="spellEnd"/>
      <w:r w:rsidRPr="00EA1E99">
        <w:rPr>
          <w:rFonts w:cs="Times New Roman"/>
          <w:color w:val="000000"/>
        </w:rPr>
        <w:t xml:space="preserve"> and the US Administration’.</w:t>
      </w:r>
      <w:r w:rsidRPr="00EA1E99">
        <w:rPr>
          <w:rStyle w:val="FootnoteReference"/>
          <w:rFonts w:cs="Times New Roman"/>
          <w:color w:val="000000"/>
        </w:rPr>
        <w:footnoteReference w:id="129"/>
      </w:r>
      <w:r w:rsidRPr="00EA1E99">
        <w:rPr>
          <w:rFonts w:cs="Times New Roman"/>
          <w:color w:val="000000"/>
        </w:rPr>
        <w:t xml:space="preserve">  </w:t>
      </w:r>
    </w:p>
    <w:p w14:paraId="79496D93" w14:textId="0F123E78" w:rsidR="002B7112" w:rsidRPr="00EA1E99" w:rsidRDefault="00E961CA" w:rsidP="002B7112">
      <w:pPr>
        <w:spacing w:line="480" w:lineRule="auto"/>
        <w:ind w:firstLine="720"/>
        <w:rPr>
          <w:rFonts w:cs="Times New Roman"/>
          <w:color w:val="000000"/>
        </w:rPr>
      </w:pPr>
      <w:r w:rsidRPr="00EA1E99">
        <w:rPr>
          <w:rFonts w:cs="Times New Roman"/>
          <w:color w:val="000000"/>
        </w:rPr>
        <w:t>T</w:t>
      </w:r>
      <w:r w:rsidR="002B7112" w:rsidRPr="00EA1E99">
        <w:rPr>
          <w:rFonts w:cs="Times New Roman"/>
          <w:color w:val="000000"/>
        </w:rPr>
        <w:t xml:space="preserve">here was a degree of sustained political pressure placed on the Attorney General internally.  In </w:t>
      </w:r>
      <w:r w:rsidR="00DD13C9" w:rsidRPr="00EA1E99">
        <w:rPr>
          <w:rFonts w:cs="Times New Roman"/>
          <w:color w:val="000000"/>
        </w:rPr>
        <w:t>general</w:t>
      </w:r>
      <w:r w:rsidR="002B7112" w:rsidRPr="00EA1E99">
        <w:rPr>
          <w:rFonts w:cs="Times New Roman"/>
          <w:color w:val="000000"/>
        </w:rPr>
        <w:t>, this was subtle</w:t>
      </w:r>
      <w:r w:rsidR="008E4043" w:rsidRPr="00EA1E99">
        <w:rPr>
          <w:rFonts w:cs="Times New Roman"/>
          <w:color w:val="000000"/>
        </w:rPr>
        <w:t xml:space="preserve"> and indirect</w:t>
      </w:r>
      <w:r w:rsidR="00DD13C9" w:rsidRPr="00EA1E99">
        <w:rPr>
          <w:rFonts w:cs="Times New Roman"/>
          <w:color w:val="000000"/>
        </w:rPr>
        <w:t>, rather than overt</w:t>
      </w:r>
      <w:r w:rsidR="002B7112" w:rsidRPr="00EA1E99">
        <w:rPr>
          <w:rFonts w:cs="Times New Roman"/>
          <w:color w:val="000000"/>
        </w:rPr>
        <w:t xml:space="preserve">.  For example, the question posed to the </w:t>
      </w:r>
      <w:r w:rsidR="008E4043" w:rsidRPr="00EA1E99">
        <w:rPr>
          <w:rFonts w:cs="Times New Roman"/>
          <w:color w:val="000000"/>
        </w:rPr>
        <w:t>legal advisers</w:t>
      </w:r>
      <w:r w:rsidR="002B7112" w:rsidRPr="00EA1E99">
        <w:rPr>
          <w:rFonts w:cs="Times New Roman"/>
          <w:color w:val="000000"/>
        </w:rPr>
        <w:t xml:space="preserve"> became framed in terms of whether a legal case could or could not be made, rather than </w:t>
      </w:r>
      <w:r w:rsidR="000C566E" w:rsidRPr="00EA1E99">
        <w:rPr>
          <w:rFonts w:cs="Times New Roman"/>
          <w:color w:val="000000"/>
        </w:rPr>
        <w:t xml:space="preserve">as </w:t>
      </w:r>
      <w:r w:rsidR="002B7112" w:rsidRPr="00EA1E99">
        <w:rPr>
          <w:rFonts w:cs="Times New Roman"/>
          <w:color w:val="000000"/>
        </w:rPr>
        <w:t xml:space="preserve">a request for opinion as to what the </w:t>
      </w:r>
      <w:r w:rsidR="000C566E" w:rsidRPr="00EA1E99">
        <w:rPr>
          <w:rFonts w:cs="Times New Roman"/>
          <w:color w:val="000000"/>
        </w:rPr>
        <w:t xml:space="preserve">strongest </w:t>
      </w:r>
      <w:r w:rsidR="002B7112" w:rsidRPr="00EA1E99">
        <w:rPr>
          <w:rFonts w:cs="Times New Roman"/>
          <w:color w:val="000000"/>
        </w:rPr>
        <w:t xml:space="preserve">legal </w:t>
      </w:r>
      <w:r w:rsidR="000C566E" w:rsidRPr="00EA1E99">
        <w:rPr>
          <w:rFonts w:cs="Times New Roman"/>
          <w:color w:val="000000"/>
        </w:rPr>
        <w:t xml:space="preserve">position </w:t>
      </w:r>
      <w:r w:rsidR="002B7112" w:rsidRPr="00EA1E99">
        <w:rPr>
          <w:rFonts w:cs="Times New Roman"/>
          <w:color w:val="000000"/>
        </w:rPr>
        <w:t>was.</w:t>
      </w:r>
      <w:r w:rsidR="002B7112" w:rsidRPr="00EA1E99">
        <w:rPr>
          <w:rStyle w:val="FootnoteReference"/>
          <w:rFonts w:cs="Times New Roman"/>
          <w:color w:val="000000"/>
        </w:rPr>
        <w:footnoteReference w:id="130"/>
      </w:r>
      <w:r w:rsidR="002B7112" w:rsidRPr="00EA1E99">
        <w:rPr>
          <w:rFonts w:cs="Times New Roman"/>
          <w:color w:val="000000"/>
        </w:rPr>
        <w:t xml:space="preserve">  When the question being asked is changed, of course, it is likely that answers given will change too,</w:t>
      </w:r>
      <w:r w:rsidR="002B7112" w:rsidRPr="00EA1E99">
        <w:rPr>
          <w:rStyle w:val="FootnoteReference"/>
          <w:rFonts w:cs="Times New Roman"/>
          <w:color w:val="000000"/>
        </w:rPr>
        <w:footnoteReference w:id="131"/>
      </w:r>
      <w:r w:rsidR="002B7112" w:rsidRPr="00EA1E99">
        <w:rPr>
          <w:rFonts w:cs="Times New Roman"/>
          <w:color w:val="000000"/>
        </w:rPr>
        <w:t xml:space="preserve"> and pressure </w:t>
      </w:r>
      <w:r w:rsidR="00462177" w:rsidRPr="00EA1E99">
        <w:rPr>
          <w:rFonts w:cs="Times New Roman"/>
          <w:color w:val="000000"/>
        </w:rPr>
        <w:t>to provide a ‘clear cut’ answer – from various officials – increased on</w:t>
      </w:r>
      <w:r w:rsidR="002B7112" w:rsidRPr="00EA1E99">
        <w:rPr>
          <w:rFonts w:cs="Times New Roman"/>
          <w:color w:val="000000"/>
        </w:rPr>
        <w:t xml:space="preserve"> the Attorney General </w:t>
      </w:r>
      <w:r w:rsidR="00462177" w:rsidRPr="00EA1E99">
        <w:rPr>
          <w:rFonts w:cs="Times New Roman"/>
          <w:color w:val="000000"/>
        </w:rPr>
        <w:t>in early 2003</w:t>
      </w:r>
      <w:r w:rsidR="002B7112" w:rsidRPr="00EA1E99">
        <w:rPr>
          <w:rFonts w:cs="Times New Roman"/>
          <w:color w:val="000000"/>
        </w:rPr>
        <w:t>.</w:t>
      </w:r>
      <w:r w:rsidR="002B7112" w:rsidRPr="00EA1E99">
        <w:rPr>
          <w:rStyle w:val="FootnoteReference"/>
          <w:rFonts w:cs="Times New Roman"/>
          <w:color w:val="000000"/>
        </w:rPr>
        <w:footnoteReference w:id="132"/>
      </w:r>
      <w:r w:rsidR="002B7112" w:rsidRPr="00EA1E99">
        <w:rPr>
          <w:rFonts w:cs="Times New Roman"/>
          <w:color w:val="000000"/>
        </w:rPr>
        <w:t xml:space="preserve">  </w:t>
      </w:r>
    </w:p>
    <w:p w14:paraId="651594A0" w14:textId="6272BE94" w:rsidR="00FE45C0" w:rsidRPr="00EA1E99" w:rsidRDefault="000C566E" w:rsidP="002B7112">
      <w:pPr>
        <w:spacing w:line="480" w:lineRule="auto"/>
        <w:ind w:firstLine="720"/>
        <w:rPr>
          <w:rFonts w:cs="Times New Roman"/>
          <w:color w:val="000000"/>
        </w:rPr>
      </w:pPr>
      <w:r w:rsidRPr="00EA1E99">
        <w:rPr>
          <w:rFonts w:cs="Times New Roman"/>
          <w:color w:val="000000"/>
        </w:rPr>
        <w:t>T</w:t>
      </w:r>
      <w:r w:rsidR="00DD13C9" w:rsidRPr="00EA1E99">
        <w:rPr>
          <w:rFonts w:cs="Times New Roman"/>
          <w:color w:val="000000"/>
        </w:rPr>
        <w:t xml:space="preserve">here are numerous </w:t>
      </w:r>
      <w:r w:rsidRPr="00EA1E99">
        <w:rPr>
          <w:rFonts w:cs="Times New Roman"/>
          <w:color w:val="000000"/>
        </w:rPr>
        <w:t xml:space="preserve">other </w:t>
      </w:r>
      <w:r w:rsidR="008E4043" w:rsidRPr="00EA1E99">
        <w:rPr>
          <w:rFonts w:cs="Times New Roman"/>
          <w:color w:val="000000"/>
        </w:rPr>
        <w:t>findings</w:t>
      </w:r>
      <w:r w:rsidR="00DD13C9" w:rsidRPr="00EA1E99">
        <w:rPr>
          <w:rFonts w:cs="Times New Roman"/>
          <w:color w:val="000000"/>
        </w:rPr>
        <w:t xml:space="preserve"> in section 5 of the Report that indicate – despite the contention of some officials</w:t>
      </w:r>
      <w:r w:rsidR="00DD13C9" w:rsidRPr="00EA1E99">
        <w:rPr>
          <w:rStyle w:val="FootnoteReference"/>
          <w:rFonts w:cs="Times New Roman"/>
          <w:color w:val="000000"/>
        </w:rPr>
        <w:footnoteReference w:id="133"/>
      </w:r>
      <w:r w:rsidR="00DD13C9" w:rsidRPr="00EA1E99">
        <w:rPr>
          <w:rFonts w:cs="Times New Roman"/>
          <w:color w:val="000000"/>
        </w:rPr>
        <w:t xml:space="preserve"> – that political pressure was placed on the </w:t>
      </w:r>
      <w:r w:rsidRPr="00EA1E99">
        <w:rPr>
          <w:rFonts w:cs="Times New Roman"/>
          <w:color w:val="000000"/>
        </w:rPr>
        <w:t xml:space="preserve">UK’s </w:t>
      </w:r>
      <w:r w:rsidR="00DD13C9" w:rsidRPr="00EA1E99">
        <w:rPr>
          <w:rFonts w:cs="Times New Roman"/>
          <w:color w:val="000000"/>
        </w:rPr>
        <w:t>legal advis</w:t>
      </w:r>
      <w:r w:rsidR="008E4043" w:rsidRPr="00EA1E99">
        <w:rPr>
          <w:rFonts w:cs="Times New Roman"/>
          <w:color w:val="000000"/>
        </w:rPr>
        <w:t>e</w:t>
      </w:r>
      <w:r w:rsidR="00DD13C9" w:rsidRPr="00EA1E99">
        <w:rPr>
          <w:rFonts w:cs="Times New Roman"/>
          <w:color w:val="000000"/>
        </w:rPr>
        <w:t xml:space="preserve">rs. </w:t>
      </w:r>
      <w:r w:rsidR="002B7112" w:rsidRPr="00EA1E99">
        <w:rPr>
          <w:rFonts w:cs="Times New Roman"/>
          <w:color w:val="000000"/>
        </w:rPr>
        <w:t xml:space="preserve"> Mr S</w:t>
      </w:r>
      <w:r w:rsidR="007C2D68" w:rsidRPr="00EA1E99">
        <w:rPr>
          <w:rFonts w:cs="Times New Roman"/>
          <w:color w:val="000000"/>
        </w:rPr>
        <w:t>tr</w:t>
      </w:r>
      <w:r w:rsidR="002B7112" w:rsidRPr="00EA1E99">
        <w:rPr>
          <w:rFonts w:cs="Times New Roman"/>
          <w:color w:val="000000"/>
        </w:rPr>
        <w:t xml:space="preserve">aw, for example, directly </w:t>
      </w:r>
      <w:r w:rsidR="008E4043" w:rsidRPr="00EA1E99">
        <w:rPr>
          <w:rFonts w:cs="Times New Roman"/>
          <w:color w:val="000000"/>
        </w:rPr>
        <w:t xml:space="preserve">and expressly </w:t>
      </w:r>
      <w:r w:rsidR="002B7112" w:rsidRPr="00EA1E99">
        <w:rPr>
          <w:rFonts w:cs="Times New Roman"/>
          <w:color w:val="000000"/>
        </w:rPr>
        <w:t>challenged some of the initial advice of the Attorney General in relation to the assessment of ‘material breach’ of resolution 1441</w:t>
      </w:r>
      <w:r w:rsidR="00FE45C0" w:rsidRPr="00EA1E99">
        <w:rPr>
          <w:rFonts w:cs="Times New Roman"/>
          <w:color w:val="000000"/>
        </w:rPr>
        <w:t>,</w:t>
      </w:r>
      <w:r w:rsidR="002B7112" w:rsidRPr="00EA1E99">
        <w:rPr>
          <w:rStyle w:val="FootnoteReference"/>
          <w:rFonts w:cs="Times New Roman"/>
          <w:color w:val="000000"/>
        </w:rPr>
        <w:footnoteReference w:id="134"/>
      </w:r>
      <w:r w:rsidR="00FE45C0" w:rsidRPr="00EA1E99">
        <w:rPr>
          <w:rFonts w:cs="Times New Roman"/>
          <w:color w:val="000000"/>
        </w:rPr>
        <w:t xml:space="preserve"> as well as rejecting – in a significant, and ‘</w:t>
      </w:r>
      <w:r w:rsidR="002A7D4D" w:rsidRPr="00EA1E99">
        <w:rPr>
          <w:rFonts w:cs="Times New Roman"/>
          <w:color w:val="000000"/>
        </w:rPr>
        <w:t>un</w:t>
      </w:r>
      <w:r w:rsidR="00FE45C0" w:rsidRPr="00EA1E99">
        <w:rPr>
          <w:rFonts w:cs="Times New Roman"/>
          <w:color w:val="000000"/>
        </w:rPr>
        <w:t>usual’,</w:t>
      </w:r>
      <w:r w:rsidR="00FE45C0" w:rsidRPr="00EA1E99">
        <w:rPr>
          <w:rStyle w:val="FootnoteReference"/>
          <w:rFonts w:cs="Times New Roman"/>
          <w:color w:val="000000"/>
        </w:rPr>
        <w:footnoteReference w:id="135"/>
      </w:r>
      <w:r w:rsidR="00FE45C0" w:rsidRPr="00EA1E99">
        <w:rPr>
          <w:rFonts w:cs="Times New Roman"/>
          <w:color w:val="000000"/>
        </w:rPr>
        <w:t xml:space="preserve"> exchange with Sir Michael Wood – the considered legal position of the FCO’s principal </w:t>
      </w:r>
      <w:r w:rsidR="00836644">
        <w:rPr>
          <w:rFonts w:cs="Times New Roman"/>
          <w:color w:val="000000"/>
        </w:rPr>
        <w:t>l</w:t>
      </w:r>
      <w:r w:rsidR="00FE45C0" w:rsidRPr="00EA1E99">
        <w:rPr>
          <w:rFonts w:cs="Times New Roman"/>
          <w:color w:val="000000"/>
        </w:rPr>
        <w:t xml:space="preserve">egal </w:t>
      </w:r>
      <w:r w:rsidR="00836644">
        <w:rPr>
          <w:rFonts w:cs="Times New Roman"/>
          <w:color w:val="000000"/>
        </w:rPr>
        <w:t>a</w:t>
      </w:r>
      <w:r w:rsidR="00FE45C0" w:rsidRPr="00EA1E99">
        <w:rPr>
          <w:rFonts w:cs="Times New Roman"/>
          <w:color w:val="000000"/>
        </w:rPr>
        <w:t>dvis</w:t>
      </w:r>
      <w:r w:rsidR="00836644">
        <w:rPr>
          <w:rFonts w:cs="Times New Roman"/>
          <w:color w:val="000000"/>
        </w:rPr>
        <w:t>e</w:t>
      </w:r>
      <w:r w:rsidR="00FE45C0" w:rsidRPr="00EA1E99">
        <w:rPr>
          <w:rFonts w:cs="Times New Roman"/>
          <w:color w:val="000000"/>
        </w:rPr>
        <w:t>r.</w:t>
      </w:r>
      <w:r w:rsidR="00FE45C0" w:rsidRPr="00EA1E99">
        <w:rPr>
          <w:rStyle w:val="FootnoteReference"/>
          <w:rFonts w:cs="Times New Roman"/>
          <w:color w:val="000000"/>
        </w:rPr>
        <w:footnoteReference w:id="136"/>
      </w:r>
      <w:r w:rsidR="00FE45C0" w:rsidRPr="00EA1E99">
        <w:rPr>
          <w:rFonts w:cs="Times New Roman"/>
          <w:color w:val="000000"/>
        </w:rPr>
        <w:t xml:space="preserve"> </w:t>
      </w:r>
      <w:r w:rsidR="002B7112" w:rsidRPr="00EA1E99">
        <w:rPr>
          <w:rFonts w:cs="Times New Roman"/>
          <w:color w:val="000000"/>
        </w:rPr>
        <w:t xml:space="preserve">  The Foreign Secretary also noted in February 2003 that, however desirable a second resolution may h</w:t>
      </w:r>
      <w:r w:rsidR="00EA2ED3" w:rsidRPr="00EA1E99">
        <w:rPr>
          <w:rFonts w:cs="Times New Roman"/>
          <w:color w:val="000000"/>
        </w:rPr>
        <w:t xml:space="preserve">ave been, a </w:t>
      </w:r>
      <w:r w:rsidR="00EA2ED3" w:rsidRPr="00EA1E99">
        <w:rPr>
          <w:rFonts w:cs="Times New Roman"/>
          <w:color w:val="000000"/>
        </w:rPr>
        <w:lastRenderedPageBreak/>
        <w:t>combination of the G</w:t>
      </w:r>
      <w:r w:rsidR="002B7112" w:rsidRPr="00EA1E99">
        <w:rPr>
          <w:rFonts w:cs="Times New Roman"/>
          <w:color w:val="000000"/>
        </w:rPr>
        <w:t>overnment’s policy goals and the diplomatic reality at the UN meant that the UK was ‘likely to have to go for something less’</w:t>
      </w:r>
      <w:r w:rsidR="00FE45C0" w:rsidRPr="00EA1E99">
        <w:rPr>
          <w:rFonts w:cs="Times New Roman"/>
          <w:color w:val="000000"/>
        </w:rPr>
        <w:t>,</w:t>
      </w:r>
      <w:r w:rsidR="002B7112" w:rsidRPr="00EA1E99">
        <w:rPr>
          <w:rStyle w:val="FootnoteReference"/>
          <w:rFonts w:cs="Times New Roman"/>
          <w:color w:val="000000"/>
        </w:rPr>
        <w:footnoteReference w:id="137"/>
      </w:r>
      <w:r w:rsidR="00FE45C0" w:rsidRPr="00EA1E99">
        <w:rPr>
          <w:rFonts w:cs="Times New Roman"/>
          <w:color w:val="000000"/>
        </w:rPr>
        <w:t xml:space="preserve"> a statement of intent that one might reasonably assume heaped pressure on the advisers who were presenting an opinion to the effect that ‘less’ would be legally insufficient.</w:t>
      </w:r>
    </w:p>
    <w:p w14:paraId="5454757F" w14:textId="675CC84C" w:rsidR="00FE45C0" w:rsidRPr="00EA1E99" w:rsidRDefault="002B7112" w:rsidP="002B7112">
      <w:pPr>
        <w:spacing w:line="480" w:lineRule="auto"/>
        <w:ind w:firstLine="720"/>
        <w:rPr>
          <w:rFonts w:cs="Times New Roman"/>
          <w:color w:val="000000"/>
        </w:rPr>
      </w:pPr>
      <w:r w:rsidRPr="00EA1E99">
        <w:rPr>
          <w:rFonts w:cs="Times New Roman"/>
          <w:color w:val="000000"/>
        </w:rPr>
        <w:t>Similarly, the Prime Minister’s private determination to push ahead with the intervention in the early months of 2003</w:t>
      </w:r>
      <w:r w:rsidRPr="00EA1E99">
        <w:rPr>
          <w:rStyle w:val="FootnoteReference"/>
          <w:rFonts w:cs="Times New Roman"/>
          <w:color w:val="000000"/>
        </w:rPr>
        <w:footnoteReference w:id="138"/>
      </w:r>
      <w:r w:rsidRPr="00EA1E99">
        <w:rPr>
          <w:rFonts w:cs="Times New Roman"/>
          <w:color w:val="000000"/>
        </w:rPr>
        <w:t xml:space="preserve"> and </w:t>
      </w:r>
      <w:r w:rsidR="00DD13C9" w:rsidRPr="00EA1E99">
        <w:rPr>
          <w:rFonts w:cs="Times New Roman"/>
          <w:color w:val="000000"/>
        </w:rPr>
        <w:t xml:space="preserve">the </w:t>
      </w:r>
      <w:r w:rsidR="00FE45C0" w:rsidRPr="00EA1E99">
        <w:rPr>
          <w:rFonts w:cs="Times New Roman"/>
          <w:color w:val="000000"/>
        </w:rPr>
        <w:t xml:space="preserve">specific </w:t>
      </w:r>
      <w:r w:rsidR="00DD13C9" w:rsidRPr="00EA1E99">
        <w:rPr>
          <w:rFonts w:cs="Times New Roman"/>
          <w:color w:val="000000"/>
        </w:rPr>
        <w:t xml:space="preserve">finding of the Inquiry that he expressed concern to Lord Goldsmith that the </w:t>
      </w:r>
      <w:r w:rsidR="00FE45C0" w:rsidRPr="00EA1E99">
        <w:rPr>
          <w:rFonts w:cs="Times New Roman"/>
          <w:color w:val="000000"/>
        </w:rPr>
        <w:t xml:space="preserve">formal </w:t>
      </w:r>
      <w:r w:rsidR="00462177" w:rsidRPr="00EA1E99">
        <w:rPr>
          <w:rFonts w:cs="Times New Roman"/>
          <w:color w:val="000000"/>
        </w:rPr>
        <w:t xml:space="preserve">legal opinion that a ‘reasonable case’ could be made </w:t>
      </w:r>
      <w:r w:rsidR="00DD13C9" w:rsidRPr="00EA1E99">
        <w:rPr>
          <w:rFonts w:cs="Times New Roman"/>
          <w:color w:val="000000"/>
        </w:rPr>
        <w:t>‘did not offer a clear indication that military action would be lawful’</w:t>
      </w:r>
      <w:r w:rsidRPr="00EA1E99">
        <w:rPr>
          <w:rStyle w:val="FootnoteReference"/>
          <w:rFonts w:cs="Times New Roman"/>
          <w:color w:val="000000"/>
        </w:rPr>
        <w:footnoteReference w:id="139"/>
      </w:r>
      <w:r w:rsidRPr="00EA1E99">
        <w:rPr>
          <w:rFonts w:cs="Times New Roman"/>
          <w:color w:val="000000"/>
        </w:rPr>
        <w:t xml:space="preserve"> </w:t>
      </w:r>
      <w:r w:rsidR="00FE45C0" w:rsidRPr="00EA1E99">
        <w:rPr>
          <w:rFonts w:cs="Times New Roman"/>
          <w:color w:val="000000"/>
        </w:rPr>
        <w:t xml:space="preserve">also </w:t>
      </w:r>
      <w:r w:rsidRPr="00EA1E99">
        <w:rPr>
          <w:rFonts w:cs="Times New Roman"/>
          <w:color w:val="000000"/>
        </w:rPr>
        <w:t>almost certainly contributed to the pressure on the Attorney General and other legal advisers to present a strong case for the use of force</w:t>
      </w:r>
      <w:r w:rsidR="00462177" w:rsidRPr="00EA1E99">
        <w:rPr>
          <w:rFonts w:cs="Times New Roman"/>
          <w:color w:val="000000"/>
        </w:rPr>
        <w:t>.  This is e</w:t>
      </w:r>
      <w:r w:rsidRPr="00EA1E99">
        <w:rPr>
          <w:rFonts w:cs="Times New Roman"/>
          <w:color w:val="000000"/>
        </w:rPr>
        <w:t xml:space="preserve">specially </w:t>
      </w:r>
      <w:r w:rsidR="00462177" w:rsidRPr="00EA1E99">
        <w:rPr>
          <w:rFonts w:cs="Times New Roman"/>
          <w:color w:val="000000"/>
        </w:rPr>
        <w:t xml:space="preserve">apparent </w:t>
      </w:r>
      <w:r w:rsidRPr="00EA1E99">
        <w:rPr>
          <w:rFonts w:cs="Times New Roman"/>
          <w:color w:val="000000"/>
        </w:rPr>
        <w:t xml:space="preserve">when </w:t>
      </w:r>
      <w:r w:rsidR="00462177" w:rsidRPr="00EA1E99">
        <w:rPr>
          <w:rFonts w:cs="Times New Roman"/>
          <w:color w:val="000000"/>
        </w:rPr>
        <w:t xml:space="preserve">it is considered that this was </w:t>
      </w:r>
      <w:r w:rsidRPr="00EA1E99">
        <w:rPr>
          <w:rFonts w:cs="Times New Roman"/>
          <w:color w:val="000000"/>
        </w:rPr>
        <w:t>combined with the increasing opposition to the war</w:t>
      </w:r>
      <w:r w:rsidR="00462177" w:rsidRPr="00EA1E99">
        <w:rPr>
          <w:rFonts w:cs="Times New Roman"/>
          <w:color w:val="000000"/>
        </w:rPr>
        <w:t>, including from within government</w:t>
      </w:r>
      <w:r w:rsidRPr="00EA1E99">
        <w:rPr>
          <w:rFonts w:cs="Times New Roman"/>
          <w:color w:val="000000"/>
        </w:rPr>
        <w:t>.</w:t>
      </w:r>
      <w:r w:rsidRPr="00EA1E99">
        <w:rPr>
          <w:rStyle w:val="FootnoteReference"/>
          <w:rFonts w:cs="Times New Roman"/>
          <w:color w:val="000000"/>
        </w:rPr>
        <w:footnoteReference w:id="140"/>
      </w:r>
      <w:r w:rsidRPr="00EA1E99">
        <w:rPr>
          <w:rFonts w:cs="Times New Roman"/>
          <w:color w:val="000000"/>
        </w:rPr>
        <w:t xml:space="preserve">  </w:t>
      </w:r>
    </w:p>
    <w:p w14:paraId="10FDA913" w14:textId="5AF83B98" w:rsidR="002B7112" w:rsidRPr="00EA1E99" w:rsidRDefault="00462177" w:rsidP="002B7112">
      <w:pPr>
        <w:spacing w:line="480" w:lineRule="auto"/>
        <w:ind w:firstLine="720"/>
        <w:rPr>
          <w:rFonts w:cs="Times New Roman"/>
          <w:color w:val="000000"/>
        </w:rPr>
      </w:pPr>
      <w:r w:rsidRPr="00EA1E99">
        <w:rPr>
          <w:rFonts w:cs="Times New Roman"/>
          <w:color w:val="000000"/>
        </w:rPr>
        <w:t>Perhaps most n</w:t>
      </w:r>
      <w:r w:rsidR="002B7112" w:rsidRPr="00EA1E99">
        <w:rPr>
          <w:rFonts w:cs="Times New Roman"/>
          <w:color w:val="000000"/>
        </w:rPr>
        <w:t xml:space="preserve">otably, Lord Goldsmith confirmed that the key </w:t>
      </w:r>
      <w:r w:rsidRPr="00EA1E99">
        <w:rPr>
          <w:rFonts w:cs="Times New Roman"/>
          <w:color w:val="000000"/>
        </w:rPr>
        <w:t>steps</w:t>
      </w:r>
      <w:r w:rsidR="002B7112" w:rsidRPr="00EA1E99">
        <w:rPr>
          <w:rFonts w:cs="Times New Roman"/>
          <w:color w:val="000000"/>
        </w:rPr>
        <w:t xml:space="preserve"> of the revival argument, in the first instance, ‘had been </w:t>
      </w:r>
      <w:r w:rsidR="002B7112" w:rsidRPr="00EA1E99">
        <w:rPr>
          <w:rFonts w:cs="Times New Roman"/>
          <w:i/>
          <w:color w:val="000000"/>
        </w:rPr>
        <w:t>put to</w:t>
      </w:r>
      <w:r w:rsidR="002B7112" w:rsidRPr="00EA1E99">
        <w:rPr>
          <w:rFonts w:cs="Times New Roman"/>
          <w:color w:val="000000"/>
        </w:rPr>
        <w:t xml:space="preserve"> [him]’ by Sir Jeremy </w:t>
      </w:r>
      <w:proofErr w:type="spellStart"/>
      <w:r w:rsidR="002B7112" w:rsidRPr="00EA1E99">
        <w:rPr>
          <w:rFonts w:cs="Times New Roman"/>
          <w:color w:val="000000"/>
        </w:rPr>
        <w:t>Greenstock</w:t>
      </w:r>
      <w:proofErr w:type="spellEnd"/>
      <w:r w:rsidR="002B7112" w:rsidRPr="00EA1E99">
        <w:rPr>
          <w:rFonts w:cs="Times New Roman"/>
          <w:color w:val="000000"/>
        </w:rPr>
        <w:t>.</w:t>
      </w:r>
      <w:r w:rsidR="002B7112" w:rsidRPr="00EA1E99">
        <w:rPr>
          <w:rStyle w:val="FootnoteReference"/>
          <w:rFonts w:cs="Times New Roman"/>
          <w:color w:val="000000"/>
        </w:rPr>
        <w:footnoteReference w:id="141"/>
      </w:r>
      <w:r w:rsidR="002B7112" w:rsidRPr="00EA1E99">
        <w:rPr>
          <w:rFonts w:cs="Times New Roman"/>
          <w:color w:val="000000"/>
        </w:rPr>
        <w:t xml:space="preserve">  This inverse flow of legal advice – from diplomat to the UK’s most senior legal adviser –</w:t>
      </w:r>
      <w:r w:rsidRPr="00EA1E99">
        <w:rPr>
          <w:rFonts w:cs="Times New Roman"/>
          <w:color w:val="000000"/>
        </w:rPr>
        <w:t xml:space="preserve"> may be seen as </w:t>
      </w:r>
      <w:r w:rsidR="008E4043" w:rsidRPr="00EA1E99">
        <w:rPr>
          <w:rFonts w:cs="Times New Roman"/>
          <w:color w:val="000000"/>
        </w:rPr>
        <w:t>representative</w:t>
      </w:r>
      <w:r w:rsidR="002B7112" w:rsidRPr="00EA1E99">
        <w:rPr>
          <w:rFonts w:cs="Times New Roman"/>
          <w:color w:val="000000"/>
        </w:rPr>
        <w:t xml:space="preserve"> of the strong implication in </w:t>
      </w:r>
      <w:r w:rsidR="00FE45C0" w:rsidRPr="00EA1E99">
        <w:rPr>
          <w:rFonts w:cs="Times New Roman"/>
          <w:color w:val="000000"/>
        </w:rPr>
        <w:t xml:space="preserve">section 5 of </w:t>
      </w:r>
      <w:r w:rsidR="002B7112" w:rsidRPr="00EA1E99">
        <w:rPr>
          <w:rFonts w:cs="Times New Roman"/>
          <w:color w:val="000000"/>
        </w:rPr>
        <w:t xml:space="preserve">the </w:t>
      </w:r>
      <w:proofErr w:type="spellStart"/>
      <w:r w:rsidR="002B7112" w:rsidRPr="00EA1E99">
        <w:rPr>
          <w:rFonts w:cs="Times New Roman"/>
          <w:color w:val="000000"/>
        </w:rPr>
        <w:t>Chilcot</w:t>
      </w:r>
      <w:proofErr w:type="spellEnd"/>
      <w:r w:rsidR="002B7112" w:rsidRPr="00EA1E99">
        <w:rPr>
          <w:rFonts w:cs="Times New Roman"/>
          <w:color w:val="000000"/>
        </w:rPr>
        <w:t xml:space="preserve"> Report that</w:t>
      </w:r>
      <w:r w:rsidR="002B7112" w:rsidRPr="00EA1E99">
        <w:rPr>
          <w:rFonts w:cs="Times New Roman"/>
        </w:rPr>
        <w:t xml:space="preserve"> diplomatic and policy concerns detrimentally influenced </w:t>
      </w:r>
      <w:r w:rsidR="008C4F38" w:rsidRPr="00EA1E99">
        <w:rPr>
          <w:rFonts w:cs="Times New Roman"/>
        </w:rPr>
        <w:t>the</w:t>
      </w:r>
      <w:r w:rsidR="002B7112" w:rsidRPr="00EA1E99">
        <w:rPr>
          <w:rFonts w:cs="Times New Roman"/>
        </w:rPr>
        <w:t xml:space="preserve"> independence of legal advice</w:t>
      </w:r>
      <w:r w:rsidR="008C4F38" w:rsidRPr="00EA1E99">
        <w:rPr>
          <w:rFonts w:cs="Times New Roman"/>
        </w:rPr>
        <w:t xml:space="preserve"> and, as a result, </w:t>
      </w:r>
      <w:r w:rsidR="00FE45C0" w:rsidRPr="00EA1E99">
        <w:rPr>
          <w:rFonts w:cs="Times New Roman"/>
        </w:rPr>
        <w:t xml:space="preserve">reduced </w:t>
      </w:r>
      <w:r w:rsidR="008C4F38" w:rsidRPr="00EA1E99">
        <w:rPr>
          <w:rFonts w:cs="Times New Roman"/>
        </w:rPr>
        <w:t>the substantive quality of the advice given</w:t>
      </w:r>
      <w:r w:rsidR="002B7112" w:rsidRPr="00EA1E99">
        <w:rPr>
          <w:rFonts w:cs="Times New Roman"/>
        </w:rPr>
        <w:t>.</w:t>
      </w:r>
      <w:r w:rsidR="002B7112" w:rsidRPr="00EA1E99">
        <w:rPr>
          <w:rFonts w:cs="Times New Roman"/>
          <w:color w:val="000000"/>
        </w:rPr>
        <w:t xml:space="preserve"> </w:t>
      </w:r>
    </w:p>
    <w:p w14:paraId="7443D337" w14:textId="4EB4B7C6" w:rsidR="002B7112" w:rsidRPr="00EA1E99" w:rsidRDefault="002B7112" w:rsidP="002B7112">
      <w:pPr>
        <w:spacing w:line="480" w:lineRule="auto"/>
        <w:rPr>
          <w:rFonts w:cs="Times New Roman"/>
        </w:rPr>
      </w:pPr>
      <w:r w:rsidRPr="00EA1E99">
        <w:rPr>
          <w:rFonts w:cs="Times New Roman"/>
        </w:rPr>
        <w:tab/>
      </w:r>
      <w:r w:rsidR="00462177" w:rsidRPr="00EA1E99">
        <w:rPr>
          <w:rFonts w:cs="Times New Roman"/>
        </w:rPr>
        <w:t>None of this is to say</w:t>
      </w:r>
      <w:r w:rsidRPr="00EA1E99">
        <w:rPr>
          <w:rFonts w:cs="Times New Roman"/>
        </w:rPr>
        <w:t xml:space="preserve"> that the Attorney General was not circumspect about the importance of his advice remaining independent from political influence.  Lord Goldsmith explained his general view about the qualities of legal advice to government, noting</w:t>
      </w:r>
      <w:r w:rsidR="00FE45C0" w:rsidRPr="00EA1E99">
        <w:rPr>
          <w:rFonts w:cs="Times New Roman"/>
        </w:rPr>
        <w:t>,</w:t>
      </w:r>
      <w:r w:rsidRPr="00EA1E99">
        <w:rPr>
          <w:rFonts w:cs="Times New Roman"/>
        </w:rPr>
        <w:t xml:space="preserve"> in particular</w:t>
      </w:r>
      <w:r w:rsidR="00FE45C0" w:rsidRPr="00EA1E99">
        <w:rPr>
          <w:rFonts w:cs="Times New Roman"/>
        </w:rPr>
        <w:t>,</w:t>
      </w:r>
      <w:r w:rsidRPr="00EA1E99">
        <w:rPr>
          <w:rFonts w:cs="Times New Roman"/>
        </w:rPr>
        <w:t xml:space="preserve"> that lawyers should offer advice </w:t>
      </w:r>
      <w:r w:rsidR="000B14F7" w:rsidRPr="00EA1E99">
        <w:rPr>
          <w:rFonts w:cs="Times New Roman"/>
        </w:rPr>
        <w:t xml:space="preserve">that </w:t>
      </w:r>
      <w:r w:rsidR="00E15E93" w:rsidRPr="00EA1E99">
        <w:rPr>
          <w:rFonts w:cs="Times New Roman"/>
        </w:rPr>
        <w:t xml:space="preserve">they </w:t>
      </w:r>
      <w:r w:rsidRPr="00EA1E99">
        <w:rPr>
          <w:rFonts w:cs="Times New Roman"/>
        </w:rPr>
        <w:t xml:space="preserve">‘honestly consider to be correct’ and give </w:t>
      </w:r>
      <w:r w:rsidRPr="00EA1E99">
        <w:rPr>
          <w:rFonts w:cs="Times New Roman"/>
        </w:rPr>
        <w:lastRenderedPageBreak/>
        <w:t>‘advice they believe in’ and not what ‘they think other</w:t>
      </w:r>
      <w:r w:rsidR="00E15E93" w:rsidRPr="00EA1E99">
        <w:rPr>
          <w:rFonts w:cs="Times New Roman"/>
        </w:rPr>
        <w:t>s</w:t>
      </w:r>
      <w:r w:rsidRPr="00EA1E99">
        <w:rPr>
          <w:rFonts w:cs="Times New Roman"/>
        </w:rPr>
        <w:t xml:space="preserve"> want to hear.’</w:t>
      </w:r>
      <w:r w:rsidRPr="00EA1E99">
        <w:rPr>
          <w:rStyle w:val="FootnoteReference"/>
          <w:rFonts w:cs="Times New Roman"/>
        </w:rPr>
        <w:footnoteReference w:id="142"/>
      </w:r>
      <w:r w:rsidRPr="00EA1E99">
        <w:rPr>
          <w:rFonts w:cs="Times New Roman"/>
        </w:rPr>
        <w:t xml:space="preserve">  He further explained some of the negative consequences of legal advisers not </w:t>
      </w:r>
      <w:r w:rsidR="0050375B" w:rsidRPr="00EA1E99">
        <w:rPr>
          <w:rFonts w:cs="Times New Roman"/>
        </w:rPr>
        <w:t>acting in this independent manner</w:t>
      </w:r>
      <w:r w:rsidRPr="00EA1E99">
        <w:rPr>
          <w:rFonts w:cs="Times New Roman"/>
        </w:rPr>
        <w:t xml:space="preserve">, pointing out that </w:t>
      </w:r>
      <w:r w:rsidR="00FE45C0" w:rsidRPr="00EA1E99">
        <w:rPr>
          <w:rFonts w:cs="Times New Roman"/>
        </w:rPr>
        <w:t>this</w:t>
      </w:r>
      <w:r w:rsidRPr="00EA1E99">
        <w:rPr>
          <w:rFonts w:cs="Times New Roman"/>
        </w:rPr>
        <w:t xml:space="preserve"> ‘would undermine their function’.</w:t>
      </w:r>
      <w:r w:rsidRPr="00EA1E99">
        <w:rPr>
          <w:rStyle w:val="FootnoteReference"/>
          <w:rFonts w:cs="Times New Roman"/>
        </w:rPr>
        <w:footnoteReference w:id="143"/>
      </w:r>
      <w:r w:rsidR="00462177" w:rsidRPr="00EA1E99">
        <w:rPr>
          <w:rFonts w:cs="Times New Roman"/>
        </w:rPr>
        <w:t xml:space="preserve">  Nonetheless, it would not seem that this goal of </w:t>
      </w:r>
      <w:r w:rsidR="0050375B" w:rsidRPr="00EA1E99">
        <w:rPr>
          <w:rFonts w:cs="Times New Roman"/>
        </w:rPr>
        <w:t xml:space="preserve">maintaining lawyerly </w:t>
      </w:r>
      <w:r w:rsidR="00462177" w:rsidRPr="00EA1E99">
        <w:rPr>
          <w:rFonts w:cs="Times New Roman"/>
        </w:rPr>
        <w:t>independence was adequately realised.</w:t>
      </w:r>
    </w:p>
    <w:p w14:paraId="7AFFF7B0" w14:textId="69BD6423" w:rsidR="005115F7" w:rsidRPr="00EA1E99" w:rsidRDefault="008C4F38" w:rsidP="00C940B9">
      <w:pPr>
        <w:spacing w:line="480" w:lineRule="auto"/>
        <w:ind w:firstLine="720"/>
        <w:rPr>
          <w:rFonts w:cs="Times New Roman"/>
        </w:rPr>
      </w:pPr>
      <w:r w:rsidRPr="00EA1E99">
        <w:rPr>
          <w:rFonts w:cs="Times New Roman"/>
        </w:rPr>
        <w:t>Overall</w:t>
      </w:r>
      <w:r w:rsidR="00E961CA" w:rsidRPr="00EA1E99">
        <w:rPr>
          <w:rFonts w:cs="Times New Roman"/>
        </w:rPr>
        <w:t xml:space="preserve">, </w:t>
      </w:r>
      <w:r w:rsidR="00462177" w:rsidRPr="00EA1E99">
        <w:rPr>
          <w:rFonts w:cs="Times New Roman"/>
        </w:rPr>
        <w:t xml:space="preserve">therefore, </w:t>
      </w:r>
      <w:r w:rsidRPr="00EA1E99">
        <w:rPr>
          <w:rFonts w:cs="Times New Roman"/>
        </w:rPr>
        <w:t>perhaps the most crucial lesson of all to learn from</w:t>
      </w:r>
      <w:r w:rsidR="00E961CA" w:rsidRPr="00EA1E99">
        <w:rPr>
          <w:rFonts w:cs="Times New Roman"/>
        </w:rPr>
        <w:t xml:space="preserve"> </w:t>
      </w:r>
      <w:r w:rsidRPr="00EA1E99">
        <w:rPr>
          <w:rFonts w:cs="Times New Roman"/>
        </w:rPr>
        <w:t xml:space="preserve">the </w:t>
      </w:r>
      <w:proofErr w:type="spellStart"/>
      <w:r w:rsidR="00E961CA" w:rsidRPr="00EA1E99">
        <w:rPr>
          <w:rFonts w:cs="Times New Roman"/>
        </w:rPr>
        <w:t>Chilcot</w:t>
      </w:r>
      <w:proofErr w:type="spellEnd"/>
      <w:r w:rsidR="00E961CA" w:rsidRPr="00EA1E99">
        <w:rPr>
          <w:rFonts w:cs="Times New Roman"/>
        </w:rPr>
        <w:t xml:space="preserve"> </w:t>
      </w:r>
      <w:r w:rsidRPr="00EA1E99">
        <w:rPr>
          <w:rFonts w:cs="Times New Roman"/>
        </w:rPr>
        <w:t>Report</w:t>
      </w:r>
      <w:r w:rsidR="00E961CA" w:rsidRPr="00EA1E99">
        <w:rPr>
          <w:rFonts w:cs="Times New Roman"/>
        </w:rPr>
        <w:t xml:space="preserve"> </w:t>
      </w:r>
      <w:r w:rsidRPr="00EA1E99">
        <w:rPr>
          <w:rFonts w:cs="Times New Roman"/>
        </w:rPr>
        <w:t xml:space="preserve">– in relation to </w:t>
      </w:r>
      <w:r w:rsidR="008E4043" w:rsidRPr="00EA1E99">
        <w:rPr>
          <w:rFonts w:cs="Times New Roman"/>
        </w:rPr>
        <w:t>questions of international law</w:t>
      </w:r>
      <w:r w:rsidRPr="00EA1E99">
        <w:rPr>
          <w:rFonts w:cs="Times New Roman"/>
        </w:rPr>
        <w:t xml:space="preserve"> – is</w:t>
      </w:r>
      <w:r w:rsidR="00E961CA" w:rsidRPr="00EA1E99">
        <w:rPr>
          <w:rFonts w:cs="Times New Roman"/>
        </w:rPr>
        <w:t xml:space="preserve"> the</w:t>
      </w:r>
      <w:r w:rsidR="002B7112" w:rsidRPr="00EA1E99">
        <w:rPr>
          <w:rFonts w:cs="Times New Roman"/>
        </w:rPr>
        <w:t xml:space="preserve"> need to protect the independence of legal advice to governments.  Simply put, </w:t>
      </w:r>
      <w:r w:rsidR="005115F7" w:rsidRPr="00EA1E99">
        <w:rPr>
          <w:rFonts w:cs="Times New Roman"/>
        </w:rPr>
        <w:t xml:space="preserve">our view is that </w:t>
      </w:r>
      <w:r w:rsidR="002B7112" w:rsidRPr="00EA1E99">
        <w:rPr>
          <w:rFonts w:cs="Times New Roman"/>
        </w:rPr>
        <w:t xml:space="preserve">a decision </w:t>
      </w:r>
      <w:r w:rsidR="00E961CA" w:rsidRPr="00EA1E99">
        <w:rPr>
          <w:rFonts w:cs="Times New Roman"/>
        </w:rPr>
        <w:t xml:space="preserve">by government </w:t>
      </w:r>
      <w:r w:rsidR="002B7112" w:rsidRPr="00EA1E99">
        <w:rPr>
          <w:rFonts w:cs="Times New Roman"/>
        </w:rPr>
        <w:t xml:space="preserve">to reject advice </w:t>
      </w:r>
      <w:r w:rsidR="00E961CA" w:rsidRPr="00EA1E99">
        <w:rPr>
          <w:rFonts w:cs="Times New Roman"/>
        </w:rPr>
        <w:t xml:space="preserve">reached </w:t>
      </w:r>
      <w:r w:rsidR="002B7112" w:rsidRPr="00EA1E99">
        <w:rPr>
          <w:rFonts w:cs="Times New Roman"/>
        </w:rPr>
        <w:t xml:space="preserve">independently is a better alternative to allowing legal advice to be pressured so as to suit governmental policy.  </w:t>
      </w:r>
    </w:p>
    <w:p w14:paraId="2F0F4B90" w14:textId="7675B2A8" w:rsidR="00C940B9" w:rsidRPr="00EA1E99" w:rsidRDefault="002B7112" w:rsidP="00C940B9">
      <w:pPr>
        <w:spacing w:line="480" w:lineRule="auto"/>
        <w:ind w:firstLine="720"/>
        <w:rPr>
          <w:rFonts w:cs="Times New Roman"/>
        </w:rPr>
      </w:pPr>
      <w:r w:rsidRPr="00EA1E99">
        <w:rPr>
          <w:rFonts w:cs="Times New Roman"/>
        </w:rPr>
        <w:t xml:space="preserve">Legal advisers do not exist in a </w:t>
      </w:r>
      <w:r w:rsidR="007C2D68" w:rsidRPr="00EA1E99">
        <w:rPr>
          <w:rFonts w:cs="Times New Roman"/>
        </w:rPr>
        <w:t xml:space="preserve">political </w:t>
      </w:r>
      <w:r w:rsidRPr="00EA1E99">
        <w:rPr>
          <w:rFonts w:cs="Times New Roman"/>
        </w:rPr>
        <w:t>vacuum, and they are, in some respects, slaves to two masters: they are required to be conscientious about their specific client – the government of the day – but are also interested in broader questions o</w:t>
      </w:r>
      <w:r w:rsidR="008E4043" w:rsidRPr="00EA1E99">
        <w:rPr>
          <w:rFonts w:cs="Times New Roman"/>
        </w:rPr>
        <w:t xml:space="preserve">f fidelity to the rule of law.  Different lawyers will weigh </w:t>
      </w:r>
      <w:r w:rsidR="005115F7" w:rsidRPr="00EA1E99">
        <w:rPr>
          <w:rFonts w:cs="Times New Roman"/>
        </w:rPr>
        <w:t xml:space="preserve">the </w:t>
      </w:r>
      <w:r w:rsidR="008E4043" w:rsidRPr="00EA1E99">
        <w:rPr>
          <w:rFonts w:cs="Times New Roman"/>
        </w:rPr>
        <w:t xml:space="preserve">balance </w:t>
      </w:r>
      <w:r w:rsidR="005115F7" w:rsidRPr="00EA1E99">
        <w:rPr>
          <w:rFonts w:cs="Times New Roman"/>
        </w:rPr>
        <w:t xml:space="preserve">between these two concerns </w:t>
      </w:r>
      <w:r w:rsidR="008E4043" w:rsidRPr="00EA1E99">
        <w:rPr>
          <w:rFonts w:cs="Times New Roman"/>
        </w:rPr>
        <w:t>differently</w:t>
      </w:r>
      <w:r w:rsidR="00C940B9" w:rsidRPr="00EA1E99">
        <w:rPr>
          <w:rFonts w:cs="Times New Roman"/>
        </w:rPr>
        <w:t>.</w:t>
      </w:r>
      <w:r w:rsidR="008E4043" w:rsidRPr="00EA1E99">
        <w:rPr>
          <w:rFonts w:cs="Times New Roman"/>
        </w:rPr>
        <w:t xml:space="preserve"> </w:t>
      </w:r>
      <w:r w:rsidR="00C940B9" w:rsidRPr="00EA1E99">
        <w:rPr>
          <w:rFonts w:cs="Times New Roman"/>
        </w:rPr>
        <w:t xml:space="preserve"> </w:t>
      </w:r>
      <w:r w:rsidR="008E4043" w:rsidRPr="00EA1E99">
        <w:rPr>
          <w:rFonts w:cs="Times New Roman"/>
        </w:rPr>
        <w:t>Elizabeth Wil</w:t>
      </w:r>
      <w:r w:rsidR="0050375B" w:rsidRPr="00EA1E99">
        <w:rPr>
          <w:rFonts w:cs="Times New Roman"/>
        </w:rPr>
        <w:t>ms</w:t>
      </w:r>
      <w:r w:rsidR="008E4043" w:rsidRPr="00EA1E99">
        <w:rPr>
          <w:rFonts w:cs="Times New Roman"/>
        </w:rPr>
        <w:t>hurst, of course, famously resigned</w:t>
      </w:r>
      <w:r w:rsidR="00C940B9" w:rsidRPr="00EA1E99">
        <w:rPr>
          <w:rFonts w:cs="Times New Roman"/>
        </w:rPr>
        <w:t xml:space="preserve"> her post.</w:t>
      </w:r>
      <w:r w:rsidR="00C940B9" w:rsidRPr="00EA1E99">
        <w:rPr>
          <w:rStyle w:val="FootnoteReference"/>
          <w:rFonts w:cs="Times New Roman"/>
        </w:rPr>
        <w:footnoteReference w:id="144"/>
      </w:r>
      <w:r w:rsidR="00C940B9" w:rsidRPr="00EA1E99">
        <w:rPr>
          <w:rFonts w:cs="Times New Roman"/>
        </w:rPr>
        <w:t xml:space="preserve">  </w:t>
      </w:r>
      <w:r w:rsidR="008E4043" w:rsidRPr="00EA1E99">
        <w:rPr>
          <w:rFonts w:cs="Times New Roman"/>
        </w:rPr>
        <w:t>Sir Michael Wood, o</w:t>
      </w:r>
      <w:r w:rsidR="00836644">
        <w:rPr>
          <w:rFonts w:cs="Times New Roman"/>
        </w:rPr>
        <w:t>n</w:t>
      </w:r>
      <w:r w:rsidR="008E4043" w:rsidRPr="00EA1E99">
        <w:rPr>
          <w:rFonts w:cs="Times New Roman"/>
        </w:rPr>
        <w:t xml:space="preserve"> the other hand – once it was clear that his legal </w:t>
      </w:r>
      <w:r w:rsidR="00C940B9" w:rsidRPr="00EA1E99">
        <w:rPr>
          <w:rFonts w:cs="Times New Roman"/>
        </w:rPr>
        <w:t>opinion</w:t>
      </w:r>
      <w:r w:rsidR="008E4043" w:rsidRPr="00EA1E99">
        <w:rPr>
          <w:rFonts w:cs="Times New Roman"/>
        </w:rPr>
        <w:t xml:space="preserve"> was not going to be accepted – retained fidelity to ‘the client’, and shifted from </w:t>
      </w:r>
      <w:r w:rsidR="00C940B9" w:rsidRPr="00EA1E99">
        <w:rPr>
          <w:rFonts w:cs="Times New Roman"/>
        </w:rPr>
        <w:t>‘advisory decision-making mode’ to ‘advocacy mode’.</w:t>
      </w:r>
      <w:r w:rsidR="00C940B9" w:rsidRPr="00EA1E99">
        <w:rPr>
          <w:rStyle w:val="FootnoteReference"/>
          <w:rFonts w:cs="Times New Roman"/>
        </w:rPr>
        <w:footnoteReference w:id="145"/>
      </w:r>
    </w:p>
    <w:p w14:paraId="152540B3" w14:textId="1C53D7D6" w:rsidR="004A7955" w:rsidRPr="00EA1E99" w:rsidRDefault="00C940B9" w:rsidP="00A168A5">
      <w:pPr>
        <w:spacing w:line="480" w:lineRule="auto"/>
        <w:ind w:firstLine="720"/>
        <w:rPr>
          <w:rFonts w:cs="Times New Roman"/>
        </w:rPr>
      </w:pPr>
      <w:r w:rsidRPr="00EA1E99">
        <w:rPr>
          <w:rFonts w:cs="Times New Roman"/>
        </w:rPr>
        <w:t xml:space="preserve">One cannot reach a conclusion as to </w:t>
      </w:r>
      <w:r w:rsidR="005115F7" w:rsidRPr="00EA1E99">
        <w:rPr>
          <w:rFonts w:cs="Times New Roman"/>
        </w:rPr>
        <w:t xml:space="preserve">a </w:t>
      </w:r>
      <w:r w:rsidRPr="00EA1E99">
        <w:rPr>
          <w:rFonts w:cs="Times New Roman"/>
        </w:rPr>
        <w:t xml:space="preserve">‘better’ way for </w:t>
      </w:r>
      <w:r w:rsidR="008E4043" w:rsidRPr="00EA1E99">
        <w:rPr>
          <w:rFonts w:cs="Times New Roman"/>
        </w:rPr>
        <w:t xml:space="preserve">these dual responsibilities – to the client and to the law – </w:t>
      </w:r>
      <w:r w:rsidRPr="00EA1E99">
        <w:rPr>
          <w:rFonts w:cs="Times New Roman"/>
        </w:rPr>
        <w:t>to be</w:t>
      </w:r>
      <w:r w:rsidR="008E4043" w:rsidRPr="00EA1E99">
        <w:rPr>
          <w:rFonts w:cs="Times New Roman"/>
        </w:rPr>
        <w:t xml:space="preserve"> reconci</w:t>
      </w:r>
      <w:r w:rsidRPr="00EA1E99">
        <w:rPr>
          <w:rFonts w:cs="Times New Roman"/>
        </w:rPr>
        <w:t xml:space="preserve">led by individuals.  </w:t>
      </w:r>
      <w:r w:rsidR="008E4043" w:rsidRPr="00EA1E99">
        <w:rPr>
          <w:rFonts w:cs="Times New Roman"/>
        </w:rPr>
        <w:t xml:space="preserve"> </w:t>
      </w:r>
      <w:r w:rsidRPr="00EA1E99">
        <w:rPr>
          <w:rFonts w:cs="Times New Roman"/>
        </w:rPr>
        <w:t>What we</w:t>
      </w:r>
      <w:r w:rsidR="008E4043" w:rsidRPr="00EA1E99">
        <w:rPr>
          <w:rFonts w:cs="Times New Roman"/>
        </w:rPr>
        <w:t xml:space="preserve"> would argue </w:t>
      </w:r>
      <w:r w:rsidRPr="00EA1E99">
        <w:rPr>
          <w:rFonts w:cs="Times New Roman"/>
        </w:rPr>
        <w:t xml:space="preserve">is </w:t>
      </w:r>
      <w:r w:rsidR="008E4043" w:rsidRPr="00EA1E99">
        <w:rPr>
          <w:rFonts w:cs="Times New Roman"/>
        </w:rPr>
        <w:t>that t</w:t>
      </w:r>
      <w:r w:rsidR="002B7112" w:rsidRPr="00EA1E99">
        <w:rPr>
          <w:rFonts w:cs="Times New Roman"/>
        </w:rPr>
        <w:t xml:space="preserve">he </w:t>
      </w:r>
      <w:r w:rsidR="008E4043" w:rsidRPr="00EA1E99">
        <w:rPr>
          <w:rFonts w:cs="Times New Roman"/>
        </w:rPr>
        <w:t>role</w:t>
      </w:r>
      <w:r w:rsidR="002B7112" w:rsidRPr="00EA1E99">
        <w:rPr>
          <w:rFonts w:cs="Times New Roman"/>
        </w:rPr>
        <w:t xml:space="preserve"> of </w:t>
      </w:r>
      <w:r w:rsidR="008E4043" w:rsidRPr="00EA1E99">
        <w:rPr>
          <w:rFonts w:cs="Times New Roman"/>
        </w:rPr>
        <w:t xml:space="preserve">the legal </w:t>
      </w:r>
      <w:r w:rsidRPr="00EA1E99">
        <w:rPr>
          <w:rFonts w:cs="Times New Roman"/>
        </w:rPr>
        <w:t xml:space="preserve">officer, as both adviser and advocate, requires </w:t>
      </w:r>
      <w:r w:rsidR="002B7112" w:rsidRPr="00EA1E99">
        <w:rPr>
          <w:rFonts w:cs="Times New Roman"/>
        </w:rPr>
        <w:t>not only t</w:t>
      </w:r>
      <w:r w:rsidRPr="00EA1E99">
        <w:rPr>
          <w:rFonts w:cs="Times New Roman"/>
        </w:rPr>
        <w:t>hat he or she</w:t>
      </w:r>
      <w:r w:rsidR="002B7112" w:rsidRPr="00EA1E99">
        <w:rPr>
          <w:rFonts w:cs="Times New Roman"/>
        </w:rPr>
        <w:t xml:space="preserve"> ha</w:t>
      </w:r>
      <w:r w:rsidRPr="00EA1E99">
        <w:rPr>
          <w:rFonts w:cs="Times New Roman"/>
        </w:rPr>
        <w:t>s</w:t>
      </w:r>
      <w:r w:rsidR="002B7112" w:rsidRPr="00EA1E99">
        <w:rPr>
          <w:rFonts w:cs="Times New Roman"/>
        </w:rPr>
        <w:t xml:space="preserve"> the clearest </w:t>
      </w:r>
      <w:r w:rsidRPr="00EA1E99">
        <w:rPr>
          <w:rFonts w:cs="Times New Roman"/>
        </w:rPr>
        <w:t xml:space="preserve">possible </w:t>
      </w:r>
      <w:r w:rsidR="002B7112" w:rsidRPr="00EA1E99">
        <w:rPr>
          <w:rFonts w:cs="Times New Roman"/>
        </w:rPr>
        <w:t xml:space="preserve">picture of the legal rules, but also involves, at </w:t>
      </w:r>
      <w:r w:rsidRPr="00EA1E99">
        <w:rPr>
          <w:rFonts w:cs="Times New Roman"/>
        </w:rPr>
        <w:t xml:space="preserve">least at </w:t>
      </w:r>
      <w:r w:rsidR="002B7112" w:rsidRPr="00EA1E99">
        <w:rPr>
          <w:rFonts w:cs="Times New Roman"/>
        </w:rPr>
        <w:t xml:space="preserve">times, </w:t>
      </w:r>
      <w:r w:rsidR="008C4F38" w:rsidRPr="00EA1E99">
        <w:rPr>
          <w:rFonts w:cs="Times New Roman"/>
        </w:rPr>
        <w:t xml:space="preserve">the formulation </w:t>
      </w:r>
      <w:r w:rsidR="008C4F38" w:rsidRPr="00EA1E99">
        <w:rPr>
          <w:rFonts w:cs="Times New Roman"/>
        </w:rPr>
        <w:lastRenderedPageBreak/>
        <w:t xml:space="preserve">of </w:t>
      </w:r>
      <w:r w:rsidR="002B7112" w:rsidRPr="00EA1E99">
        <w:rPr>
          <w:rFonts w:cs="Times New Roman"/>
        </w:rPr>
        <w:t>a genuine opinion on how those rules apply and ought to be interpreted.</w:t>
      </w:r>
      <w:r w:rsidR="00E125EB" w:rsidRPr="00EA1E99">
        <w:rPr>
          <w:rStyle w:val="FootnoteReference"/>
          <w:rFonts w:cs="Times New Roman"/>
        </w:rPr>
        <w:footnoteReference w:id="146"/>
      </w:r>
      <w:r w:rsidR="002B7112" w:rsidRPr="00EA1E99">
        <w:rPr>
          <w:rFonts w:cs="Times New Roman"/>
        </w:rPr>
        <w:t xml:space="preserve"> </w:t>
      </w:r>
      <w:r w:rsidR="00836644">
        <w:rPr>
          <w:rFonts w:cs="Times New Roman"/>
        </w:rPr>
        <w:t xml:space="preserve"> </w:t>
      </w:r>
      <w:r w:rsidR="002B7112" w:rsidRPr="00EA1E99">
        <w:rPr>
          <w:rFonts w:cs="Times New Roman"/>
        </w:rPr>
        <w:t xml:space="preserve">To meaningfully fulfil this role, legal advisers must be provided with sufficient independence, and the </w:t>
      </w:r>
      <w:r w:rsidR="00465744" w:rsidRPr="00EA1E99">
        <w:rPr>
          <w:rFonts w:cs="Times New Roman"/>
        </w:rPr>
        <w:t xml:space="preserve">genuine </w:t>
      </w:r>
      <w:r w:rsidR="002B7112" w:rsidRPr="00EA1E99">
        <w:rPr>
          <w:rFonts w:cs="Times New Roman"/>
        </w:rPr>
        <w:t>opportunity to p</w:t>
      </w:r>
      <w:r w:rsidR="00A168A5" w:rsidRPr="00EA1E99">
        <w:rPr>
          <w:rFonts w:cs="Times New Roman"/>
        </w:rPr>
        <w:t>rovide informed expert advice.</w:t>
      </w:r>
    </w:p>
    <w:p w14:paraId="35F10839" w14:textId="77777777" w:rsidR="00A168A5" w:rsidRPr="00EA1E99" w:rsidRDefault="00A168A5" w:rsidP="00A168A5">
      <w:pPr>
        <w:spacing w:line="480" w:lineRule="auto"/>
        <w:ind w:firstLine="720"/>
        <w:rPr>
          <w:rFonts w:cs="Times New Roman"/>
        </w:rPr>
      </w:pPr>
    </w:p>
    <w:p w14:paraId="39837901" w14:textId="77777777" w:rsidR="00E7612E" w:rsidRPr="00EA1E99" w:rsidRDefault="004A7955" w:rsidP="004C1DD1">
      <w:pPr>
        <w:spacing w:line="480" w:lineRule="auto"/>
        <w:rPr>
          <w:rFonts w:cs="Times New Roman"/>
          <w:b/>
        </w:rPr>
      </w:pPr>
      <w:r w:rsidRPr="00EA1E99">
        <w:rPr>
          <w:rFonts w:cs="Times New Roman"/>
          <w:b/>
        </w:rPr>
        <w:t>4. Conclusion</w:t>
      </w:r>
    </w:p>
    <w:p w14:paraId="3B5A2F07" w14:textId="578BE982" w:rsidR="0021044B" w:rsidRPr="00EA1E99" w:rsidRDefault="00BA7B3E" w:rsidP="004C1DD1">
      <w:pPr>
        <w:spacing w:line="480" w:lineRule="auto"/>
        <w:rPr>
          <w:rFonts w:cs="Times New Roman"/>
        </w:rPr>
      </w:pPr>
      <w:r w:rsidRPr="00EA1E99">
        <w:rPr>
          <w:rFonts w:cs="Times New Roman"/>
        </w:rPr>
        <w:t xml:space="preserve">In this </w:t>
      </w:r>
      <w:r w:rsidR="007D75A7" w:rsidRPr="00EA1E99">
        <w:rPr>
          <w:rFonts w:cs="Times New Roman"/>
        </w:rPr>
        <w:t>article</w:t>
      </w:r>
      <w:r w:rsidRPr="00EA1E99">
        <w:rPr>
          <w:rFonts w:cs="Times New Roman"/>
        </w:rPr>
        <w:t xml:space="preserve">, we have offered some </w:t>
      </w:r>
      <w:r w:rsidR="0021044B" w:rsidRPr="00EA1E99">
        <w:rPr>
          <w:rFonts w:cs="Times New Roman"/>
        </w:rPr>
        <w:t>initial</w:t>
      </w:r>
      <w:r w:rsidRPr="00EA1E99">
        <w:rPr>
          <w:rFonts w:cs="Times New Roman"/>
        </w:rPr>
        <w:t xml:space="preserve"> thoughts as to the treatment</w:t>
      </w:r>
      <w:r w:rsidR="005115F7" w:rsidRPr="00EA1E99">
        <w:rPr>
          <w:rFonts w:cs="Times New Roman"/>
        </w:rPr>
        <w:t xml:space="preserve"> of international law and international legal advice</w:t>
      </w:r>
      <w:r w:rsidRPr="00EA1E99">
        <w:rPr>
          <w:rFonts w:cs="Times New Roman"/>
        </w:rPr>
        <w:t xml:space="preserve"> </w:t>
      </w:r>
      <w:r w:rsidR="00AF47C8" w:rsidRPr="00EA1E99">
        <w:rPr>
          <w:rFonts w:cs="Times New Roman"/>
        </w:rPr>
        <w:t xml:space="preserve">in the recently published </w:t>
      </w:r>
      <w:proofErr w:type="spellStart"/>
      <w:r w:rsidR="00AF47C8" w:rsidRPr="00EA1E99">
        <w:rPr>
          <w:rFonts w:cs="Times New Roman"/>
        </w:rPr>
        <w:t>Chilcot</w:t>
      </w:r>
      <w:proofErr w:type="spellEnd"/>
      <w:r w:rsidR="00AF47C8" w:rsidRPr="00EA1E99">
        <w:rPr>
          <w:rFonts w:cs="Times New Roman"/>
        </w:rPr>
        <w:t xml:space="preserve"> Report</w:t>
      </w:r>
      <w:r w:rsidRPr="00EA1E99">
        <w:rPr>
          <w:rFonts w:cs="Times New Roman"/>
        </w:rPr>
        <w:t>.</w:t>
      </w:r>
      <w:r w:rsidR="0021044B" w:rsidRPr="00EA1E99">
        <w:rPr>
          <w:rFonts w:cs="Times New Roman"/>
        </w:rPr>
        <w:t xml:space="preserve">  The </w:t>
      </w:r>
      <w:r w:rsidR="005115F7" w:rsidRPr="00EA1E99">
        <w:rPr>
          <w:rFonts w:cs="Times New Roman"/>
        </w:rPr>
        <w:t xml:space="preserve">Inquiry </w:t>
      </w:r>
      <w:r w:rsidR="0021044B" w:rsidRPr="00EA1E99">
        <w:rPr>
          <w:rFonts w:cs="Times New Roman"/>
        </w:rPr>
        <w:t xml:space="preserve">did not make explicit legal determinations – we argue probably desirably – and, despite the temptation to do so, it is dangerous to infer any </w:t>
      </w:r>
      <w:r w:rsidR="007D75A7" w:rsidRPr="00EA1E99">
        <w:rPr>
          <w:rFonts w:cs="Times New Roman"/>
        </w:rPr>
        <w:t xml:space="preserve">legal </w:t>
      </w:r>
      <w:r w:rsidR="0021044B" w:rsidRPr="00EA1E99">
        <w:rPr>
          <w:rFonts w:cs="Times New Roman"/>
        </w:rPr>
        <w:t xml:space="preserve">conclusions </w:t>
      </w:r>
      <w:r w:rsidR="00C43258" w:rsidRPr="00EA1E99">
        <w:rPr>
          <w:rFonts w:cs="Times New Roman"/>
        </w:rPr>
        <w:t>from</w:t>
      </w:r>
      <w:r w:rsidR="005115F7" w:rsidRPr="00EA1E99">
        <w:rPr>
          <w:rFonts w:cs="Times New Roman"/>
        </w:rPr>
        <w:t xml:space="preserve"> its Report</w:t>
      </w:r>
      <w:r w:rsidR="0021044B" w:rsidRPr="00EA1E99">
        <w:rPr>
          <w:rFonts w:cs="Times New Roman"/>
        </w:rPr>
        <w:t xml:space="preserve">.  There are </w:t>
      </w:r>
      <w:r w:rsidR="007D75A7" w:rsidRPr="00EA1E99">
        <w:rPr>
          <w:rFonts w:cs="Times New Roman"/>
        </w:rPr>
        <w:t xml:space="preserve">certainly some </w:t>
      </w:r>
      <w:r w:rsidR="0021044B" w:rsidRPr="00EA1E99">
        <w:rPr>
          <w:rFonts w:cs="Times New Roman"/>
        </w:rPr>
        <w:t xml:space="preserve">unflinching findings in the Report, such as the </w:t>
      </w:r>
      <w:r w:rsidR="006A1EFF" w:rsidRPr="00EA1E99">
        <w:rPr>
          <w:rFonts w:cs="Times New Roman"/>
        </w:rPr>
        <w:t xml:space="preserve">already </w:t>
      </w:r>
      <w:r w:rsidR="005115F7" w:rsidRPr="00EA1E99">
        <w:rPr>
          <w:rFonts w:cs="Times New Roman"/>
        </w:rPr>
        <w:t xml:space="preserve">now </w:t>
      </w:r>
      <w:r w:rsidR="006A1EFF" w:rsidRPr="00EA1E99">
        <w:rPr>
          <w:rFonts w:cs="Times New Roman"/>
        </w:rPr>
        <w:t xml:space="preserve">infamous revelation that the Prime Minister </w:t>
      </w:r>
      <w:r w:rsidR="00A03C74" w:rsidRPr="00EA1E99">
        <w:rPr>
          <w:rFonts w:cs="Times New Roman"/>
        </w:rPr>
        <w:t>wrote</w:t>
      </w:r>
      <w:r w:rsidR="006A1EFF" w:rsidRPr="00EA1E99">
        <w:rPr>
          <w:rFonts w:cs="Times New Roman"/>
        </w:rPr>
        <w:t xml:space="preserve"> to President Bush in July 2002 stating ‘I will be with you whatever’,</w:t>
      </w:r>
      <w:r w:rsidR="00A03C74" w:rsidRPr="00EA1E99">
        <w:rPr>
          <w:rStyle w:val="FootnoteReference"/>
          <w:rFonts w:cs="Times New Roman"/>
        </w:rPr>
        <w:footnoteReference w:id="147"/>
      </w:r>
      <w:r w:rsidR="006A1EFF" w:rsidRPr="00EA1E99">
        <w:rPr>
          <w:rFonts w:cs="Times New Roman"/>
        </w:rPr>
        <w:t xml:space="preserve"> and the Inquiry’s </w:t>
      </w:r>
      <w:r w:rsidR="0021044B" w:rsidRPr="00EA1E99">
        <w:rPr>
          <w:rFonts w:cs="Times New Roman"/>
        </w:rPr>
        <w:t>conclusion that ‘the UK’s actions undermined the authority of the Security Council.’</w:t>
      </w:r>
      <w:r w:rsidR="0021044B" w:rsidRPr="00EA1E99">
        <w:rPr>
          <w:rStyle w:val="FootnoteReference"/>
          <w:rFonts w:cs="Times New Roman"/>
        </w:rPr>
        <w:footnoteReference w:id="148"/>
      </w:r>
      <w:r w:rsidR="00AF47C8" w:rsidRPr="00EA1E99">
        <w:rPr>
          <w:rFonts w:cs="Times New Roman"/>
        </w:rPr>
        <w:t xml:space="preserve">  </w:t>
      </w:r>
      <w:proofErr w:type="spellStart"/>
      <w:r w:rsidR="00AF47C8" w:rsidRPr="00EA1E99">
        <w:rPr>
          <w:rFonts w:cs="Times New Roman"/>
        </w:rPr>
        <w:t>Chil</w:t>
      </w:r>
      <w:r w:rsidR="0021044B" w:rsidRPr="00EA1E99">
        <w:rPr>
          <w:rFonts w:cs="Times New Roman"/>
        </w:rPr>
        <w:t>c</w:t>
      </w:r>
      <w:r w:rsidR="00AF47C8" w:rsidRPr="00EA1E99">
        <w:rPr>
          <w:rFonts w:cs="Times New Roman"/>
        </w:rPr>
        <w:t>o</w:t>
      </w:r>
      <w:r w:rsidR="0021044B" w:rsidRPr="00EA1E99">
        <w:rPr>
          <w:rFonts w:cs="Times New Roman"/>
        </w:rPr>
        <w:t>t</w:t>
      </w:r>
      <w:proofErr w:type="spellEnd"/>
      <w:r w:rsidR="0021044B" w:rsidRPr="00EA1E99">
        <w:rPr>
          <w:rFonts w:cs="Times New Roman"/>
        </w:rPr>
        <w:t xml:space="preserve"> was not</w:t>
      </w:r>
      <w:r w:rsidR="00C43258" w:rsidRPr="00EA1E99">
        <w:rPr>
          <w:rFonts w:cs="Times New Roman"/>
        </w:rPr>
        <w:t xml:space="preserve"> </w:t>
      </w:r>
      <w:r w:rsidR="0021044B" w:rsidRPr="00EA1E99">
        <w:rPr>
          <w:rFonts w:cs="Times New Roman"/>
        </w:rPr>
        <w:t>the whitewash that some feared.</w:t>
      </w:r>
      <w:r w:rsidR="00AF47C8" w:rsidRPr="00EA1E99">
        <w:rPr>
          <w:rStyle w:val="FootnoteReference"/>
          <w:rFonts w:cs="Times New Roman"/>
        </w:rPr>
        <w:footnoteReference w:id="149"/>
      </w:r>
      <w:r w:rsidR="0021044B" w:rsidRPr="00EA1E99">
        <w:rPr>
          <w:rFonts w:cs="Times New Roman"/>
        </w:rPr>
        <w:t xml:space="preserve">  Nonetheless, </w:t>
      </w:r>
      <w:r w:rsidR="00AF47C8" w:rsidRPr="00EA1E99">
        <w:rPr>
          <w:rFonts w:cs="Times New Roman"/>
        </w:rPr>
        <w:t>even the Report’s most hard-hitting</w:t>
      </w:r>
      <w:r w:rsidR="0021044B" w:rsidRPr="00EA1E99">
        <w:rPr>
          <w:rFonts w:cs="Times New Roman"/>
        </w:rPr>
        <w:t xml:space="preserve"> </w:t>
      </w:r>
      <w:r w:rsidR="00AF47C8" w:rsidRPr="00EA1E99">
        <w:rPr>
          <w:rFonts w:cs="Times New Roman"/>
        </w:rPr>
        <w:t>conclusions</w:t>
      </w:r>
      <w:r w:rsidR="0021044B" w:rsidRPr="00EA1E99">
        <w:rPr>
          <w:rFonts w:cs="Times New Roman"/>
        </w:rPr>
        <w:t xml:space="preserve"> do not</w:t>
      </w:r>
      <w:r w:rsidR="00AF47C8" w:rsidRPr="00EA1E99">
        <w:rPr>
          <w:rFonts w:cs="Times New Roman"/>
        </w:rPr>
        <w:t>, in themselves,</w:t>
      </w:r>
      <w:r w:rsidR="0021044B" w:rsidRPr="00EA1E99">
        <w:rPr>
          <w:rFonts w:cs="Times New Roman"/>
        </w:rPr>
        <w:t xml:space="preserve"> have direct legal implications.</w:t>
      </w:r>
    </w:p>
    <w:p w14:paraId="75C2355B" w14:textId="444941B5" w:rsidR="004C3623" w:rsidRPr="00EA1E99" w:rsidRDefault="0021044B" w:rsidP="0021044B">
      <w:pPr>
        <w:spacing w:line="480" w:lineRule="auto"/>
        <w:ind w:firstLine="720"/>
        <w:rPr>
          <w:rFonts w:cs="Times New Roman"/>
        </w:rPr>
      </w:pPr>
      <w:r w:rsidRPr="00EA1E99">
        <w:rPr>
          <w:rFonts w:cs="Times New Roman"/>
        </w:rPr>
        <w:t>What</w:t>
      </w:r>
      <w:bookmarkStart w:id="0" w:name="_GoBack"/>
      <w:bookmarkEnd w:id="0"/>
      <w:r w:rsidRPr="00EA1E99">
        <w:rPr>
          <w:rFonts w:cs="Times New Roman"/>
        </w:rPr>
        <w:t xml:space="preserve"> the Report </w:t>
      </w:r>
      <w:r w:rsidRPr="00EA1E99">
        <w:rPr>
          <w:rFonts w:cs="Times New Roman"/>
          <w:i/>
        </w:rPr>
        <w:t>did</w:t>
      </w:r>
      <w:r w:rsidRPr="00EA1E99">
        <w:rPr>
          <w:rFonts w:cs="Times New Roman"/>
        </w:rPr>
        <w:t xml:space="preserve"> do was engage with international law to a notable extent.  </w:t>
      </w:r>
      <w:r w:rsidR="007D75A7" w:rsidRPr="00EA1E99">
        <w:rPr>
          <w:rFonts w:cs="Times New Roman"/>
        </w:rPr>
        <w:t>Moreover, i</w:t>
      </w:r>
      <w:r w:rsidRPr="00EA1E99">
        <w:rPr>
          <w:rFonts w:cs="Times New Roman"/>
        </w:rPr>
        <w:t xml:space="preserve">ts treatment of international law </w:t>
      </w:r>
      <w:r w:rsidR="007D75A7" w:rsidRPr="00EA1E99">
        <w:rPr>
          <w:rFonts w:cs="Times New Roman"/>
        </w:rPr>
        <w:t xml:space="preserve">was, for the most part, both </w:t>
      </w:r>
      <w:r w:rsidR="005115F7" w:rsidRPr="00EA1E99">
        <w:rPr>
          <w:rFonts w:cs="Times New Roman"/>
        </w:rPr>
        <w:t>accurate</w:t>
      </w:r>
      <w:r w:rsidR="007D75A7" w:rsidRPr="00EA1E99">
        <w:rPr>
          <w:rFonts w:cs="Times New Roman"/>
        </w:rPr>
        <w:t xml:space="preserve"> and accessible.  This is undoubtedly a positive consequence of the Inquiry</w:t>
      </w:r>
      <w:r w:rsidR="00AF47C8" w:rsidRPr="00EA1E99">
        <w:rPr>
          <w:rFonts w:cs="Times New Roman"/>
        </w:rPr>
        <w:t>’s work</w:t>
      </w:r>
      <w:r w:rsidR="007D75A7" w:rsidRPr="00EA1E99">
        <w:rPr>
          <w:rFonts w:cs="Times New Roman"/>
        </w:rPr>
        <w:t xml:space="preserve">, </w:t>
      </w:r>
      <w:r w:rsidR="00AF47C8" w:rsidRPr="00EA1E99">
        <w:rPr>
          <w:rFonts w:cs="Times New Roman"/>
        </w:rPr>
        <w:t>which has</w:t>
      </w:r>
      <w:r w:rsidR="007D75A7" w:rsidRPr="00EA1E99">
        <w:rPr>
          <w:rFonts w:cs="Times New Roman"/>
        </w:rPr>
        <w:t xml:space="preserve"> implications for the wider </w:t>
      </w:r>
      <w:r w:rsidR="00AF47C8" w:rsidRPr="00EA1E99">
        <w:rPr>
          <w:rFonts w:cs="Times New Roman"/>
        </w:rPr>
        <w:t xml:space="preserve">social </w:t>
      </w:r>
      <w:r w:rsidR="007D75A7" w:rsidRPr="00EA1E99">
        <w:rPr>
          <w:rFonts w:cs="Times New Roman"/>
        </w:rPr>
        <w:t xml:space="preserve">appreciation of international legal standards and </w:t>
      </w:r>
      <w:r w:rsidR="00AF47C8" w:rsidRPr="00EA1E99">
        <w:rPr>
          <w:rFonts w:cs="Times New Roman"/>
        </w:rPr>
        <w:t xml:space="preserve">for </w:t>
      </w:r>
      <w:r w:rsidR="007D75A7" w:rsidRPr="00EA1E99">
        <w:rPr>
          <w:rFonts w:cs="Times New Roman"/>
        </w:rPr>
        <w:t>the role of international law in future commissions of inquiry.</w:t>
      </w:r>
    </w:p>
    <w:p w14:paraId="3007143F" w14:textId="288114D8" w:rsidR="007D75A7" w:rsidRPr="00EA1E99" w:rsidRDefault="007D75A7" w:rsidP="0021044B">
      <w:pPr>
        <w:spacing w:line="480" w:lineRule="auto"/>
        <w:ind w:firstLine="720"/>
        <w:rPr>
          <w:rFonts w:cs="Times New Roman"/>
        </w:rPr>
      </w:pPr>
      <w:r w:rsidRPr="00EA1E99">
        <w:rPr>
          <w:rFonts w:cs="Times New Roman"/>
        </w:rPr>
        <w:t xml:space="preserve">Far more extensive </w:t>
      </w:r>
      <w:r w:rsidR="00AF47C8" w:rsidRPr="00EA1E99">
        <w:rPr>
          <w:rFonts w:cs="Times New Roman"/>
        </w:rPr>
        <w:t xml:space="preserve">still </w:t>
      </w:r>
      <w:r w:rsidRPr="00EA1E99">
        <w:rPr>
          <w:rFonts w:cs="Times New Roman"/>
        </w:rPr>
        <w:t xml:space="preserve">was the Report’s </w:t>
      </w:r>
      <w:r w:rsidR="00C43258" w:rsidRPr="00EA1E99">
        <w:rPr>
          <w:rFonts w:cs="Times New Roman"/>
        </w:rPr>
        <w:t xml:space="preserve">consideration </w:t>
      </w:r>
      <w:r w:rsidRPr="00EA1E99">
        <w:rPr>
          <w:rFonts w:cs="Times New Roman"/>
        </w:rPr>
        <w:t>of the provision and treatment of legal advice.  We hav</w:t>
      </w:r>
      <w:r w:rsidR="00AF47C8" w:rsidRPr="00EA1E99">
        <w:rPr>
          <w:rFonts w:cs="Times New Roman"/>
        </w:rPr>
        <w:t xml:space="preserve">e argued that </w:t>
      </w:r>
      <w:proofErr w:type="spellStart"/>
      <w:r w:rsidR="00AF47C8" w:rsidRPr="00EA1E99">
        <w:rPr>
          <w:rFonts w:cs="Times New Roman"/>
        </w:rPr>
        <w:t>Chilc</w:t>
      </w:r>
      <w:r w:rsidRPr="00EA1E99">
        <w:rPr>
          <w:rFonts w:cs="Times New Roman"/>
        </w:rPr>
        <w:t>ot</w:t>
      </w:r>
      <w:proofErr w:type="spellEnd"/>
      <w:r w:rsidRPr="00EA1E99">
        <w:rPr>
          <w:rFonts w:cs="Times New Roman"/>
        </w:rPr>
        <w:t xml:space="preserve"> demonstrates a worrying trend amongst </w:t>
      </w:r>
      <w:r w:rsidRPr="00EA1E99">
        <w:rPr>
          <w:rFonts w:cs="Times New Roman"/>
        </w:rPr>
        <w:lastRenderedPageBreak/>
        <w:t>government officials to marginalise, delay and obfuscate legal advice</w:t>
      </w:r>
      <w:r w:rsidR="00453B44" w:rsidRPr="00EA1E99">
        <w:rPr>
          <w:rFonts w:cs="Times New Roman"/>
        </w:rPr>
        <w:t>,</w:t>
      </w:r>
      <w:r w:rsidR="00453B44" w:rsidRPr="00EA1E99">
        <w:rPr>
          <w:rStyle w:val="FootnoteReference"/>
          <w:rFonts w:cs="Times New Roman"/>
        </w:rPr>
        <w:footnoteReference w:id="150"/>
      </w:r>
      <w:r w:rsidR="00AF47C8" w:rsidRPr="00EA1E99">
        <w:rPr>
          <w:rFonts w:cs="Times New Roman"/>
        </w:rPr>
        <w:t xml:space="preserve"> at least with regard to the events considered by the Inquiry</w:t>
      </w:r>
      <w:r w:rsidRPr="00EA1E99">
        <w:rPr>
          <w:rFonts w:cs="Times New Roman"/>
        </w:rPr>
        <w:t xml:space="preserve">.  One must be careful not to overstate this trend, but it was </w:t>
      </w:r>
      <w:r w:rsidR="00C43258" w:rsidRPr="00EA1E99">
        <w:rPr>
          <w:rFonts w:cs="Times New Roman"/>
        </w:rPr>
        <w:t xml:space="preserve">undoubtedly </w:t>
      </w:r>
      <w:r w:rsidRPr="00EA1E99">
        <w:rPr>
          <w:rFonts w:cs="Times New Roman"/>
        </w:rPr>
        <w:t>a notable aspect of decision-making in relation to the Iraq War.  As the Inquiry’s chair</w:t>
      </w:r>
      <w:r w:rsidR="002F5EFC" w:rsidRPr="00EA1E99">
        <w:rPr>
          <w:rFonts w:cs="Times New Roman"/>
        </w:rPr>
        <w:t>person</w:t>
      </w:r>
      <w:r w:rsidRPr="00EA1E99">
        <w:rPr>
          <w:rFonts w:cs="Times New Roman"/>
        </w:rPr>
        <w:t xml:space="preserve"> made clear in his statement accompanying the publication of the Report, ‘</w:t>
      </w:r>
      <w:r w:rsidRPr="00EA1E99">
        <w:rPr>
          <w:rFonts w:eastAsia="Times New Roman" w:cs="Times New Roman"/>
        </w:rPr>
        <w:t>the circumstances in which it was decided that there was a legal basis for UK military action were far from satisfactory.’</w:t>
      </w:r>
      <w:r w:rsidRPr="00EA1E99">
        <w:rPr>
          <w:rStyle w:val="FootnoteReference"/>
          <w:rFonts w:eastAsia="Times New Roman" w:cs="Times New Roman"/>
        </w:rPr>
        <w:footnoteReference w:id="151"/>
      </w:r>
      <w:r w:rsidRPr="00EA1E99">
        <w:rPr>
          <w:rFonts w:eastAsia="Times New Roman" w:cs="Times New Roman"/>
        </w:rPr>
        <w:t xml:space="preserve">  </w:t>
      </w:r>
      <w:r w:rsidRPr="00EA1E99">
        <w:rPr>
          <w:rFonts w:cs="Times New Roman"/>
        </w:rPr>
        <w:t>In this article, we particularly stress that crucial lesson</w:t>
      </w:r>
      <w:r w:rsidR="00AF47C8" w:rsidRPr="00EA1E99">
        <w:rPr>
          <w:rFonts w:cs="Times New Roman"/>
        </w:rPr>
        <w:t>s</w:t>
      </w:r>
      <w:r w:rsidRPr="00EA1E99">
        <w:rPr>
          <w:rFonts w:cs="Times New Roman"/>
        </w:rPr>
        <w:t xml:space="preserve"> to learn from </w:t>
      </w:r>
      <w:proofErr w:type="spellStart"/>
      <w:r w:rsidRPr="00EA1E99">
        <w:rPr>
          <w:rFonts w:cs="Times New Roman"/>
        </w:rPr>
        <w:t>Chilcot</w:t>
      </w:r>
      <w:proofErr w:type="spellEnd"/>
      <w:r w:rsidRPr="00EA1E99">
        <w:rPr>
          <w:rFonts w:cs="Times New Roman"/>
        </w:rPr>
        <w:t xml:space="preserve"> </w:t>
      </w:r>
      <w:r w:rsidR="00AF47C8" w:rsidRPr="00EA1E99">
        <w:rPr>
          <w:rFonts w:cs="Times New Roman"/>
        </w:rPr>
        <w:t>are</w:t>
      </w:r>
      <w:r w:rsidRPr="00EA1E99">
        <w:rPr>
          <w:rFonts w:cs="Times New Roman"/>
        </w:rPr>
        <w:t xml:space="preserve"> the need </w:t>
      </w:r>
      <w:r w:rsidR="00AF47C8" w:rsidRPr="00EA1E99">
        <w:rPr>
          <w:rFonts w:cs="Times New Roman"/>
        </w:rPr>
        <w:t xml:space="preserve">for officials </w:t>
      </w:r>
      <w:r w:rsidRPr="00EA1E99">
        <w:rPr>
          <w:rFonts w:cs="Times New Roman"/>
        </w:rPr>
        <w:t xml:space="preserve">to respect legal advice (including fully justifying deviation from it), and </w:t>
      </w:r>
      <w:r w:rsidR="00AF47C8" w:rsidRPr="00EA1E99">
        <w:rPr>
          <w:rFonts w:cs="Times New Roman"/>
        </w:rPr>
        <w:t>the importance of protecting</w:t>
      </w:r>
      <w:r w:rsidRPr="00EA1E99">
        <w:rPr>
          <w:rFonts w:cs="Times New Roman"/>
        </w:rPr>
        <w:t xml:space="preserve"> the independence of the legal adviser.</w:t>
      </w:r>
    </w:p>
    <w:sectPr w:rsidR="007D75A7" w:rsidRPr="00EA1E9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0A9CA" w14:textId="77777777" w:rsidR="00911043" w:rsidRDefault="00911043" w:rsidP="00D058A5">
      <w:r>
        <w:separator/>
      </w:r>
    </w:p>
  </w:endnote>
  <w:endnote w:type="continuationSeparator" w:id="0">
    <w:p w14:paraId="7D923683" w14:textId="77777777" w:rsidR="00911043" w:rsidRDefault="00911043" w:rsidP="00D058A5">
      <w:r>
        <w:continuationSeparator/>
      </w:r>
    </w:p>
  </w:endnote>
  <w:endnote w:type="continuationNotice" w:id="1">
    <w:p w14:paraId="1EBC0158" w14:textId="77777777" w:rsidR="00911043" w:rsidRDefault="00911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491652"/>
      <w:docPartObj>
        <w:docPartGallery w:val="Page Numbers (Bottom of Page)"/>
        <w:docPartUnique/>
      </w:docPartObj>
    </w:sdtPr>
    <w:sdtEndPr>
      <w:rPr>
        <w:noProof/>
      </w:rPr>
    </w:sdtEndPr>
    <w:sdtContent>
      <w:p w14:paraId="4114E2C0" w14:textId="77777777" w:rsidR="00D85CE2" w:rsidRDefault="00D85CE2">
        <w:pPr>
          <w:pStyle w:val="Footer"/>
          <w:jc w:val="center"/>
        </w:pPr>
        <w:r>
          <w:fldChar w:fldCharType="begin"/>
        </w:r>
        <w:r>
          <w:instrText xml:space="preserve"> PAGE   \* MERGEFORMAT </w:instrText>
        </w:r>
        <w:r>
          <w:fldChar w:fldCharType="separate"/>
        </w:r>
        <w:r w:rsidR="00831283">
          <w:rPr>
            <w:noProof/>
          </w:rPr>
          <w:t>20</w:t>
        </w:r>
        <w:r>
          <w:rPr>
            <w:noProof/>
          </w:rPr>
          <w:fldChar w:fldCharType="end"/>
        </w:r>
      </w:p>
    </w:sdtContent>
  </w:sdt>
  <w:p w14:paraId="594BC9B3" w14:textId="77777777" w:rsidR="00D85CE2" w:rsidRDefault="00D85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136E7" w14:textId="77777777" w:rsidR="00911043" w:rsidRDefault="00911043" w:rsidP="00D058A5">
      <w:r>
        <w:separator/>
      </w:r>
    </w:p>
  </w:footnote>
  <w:footnote w:type="continuationSeparator" w:id="0">
    <w:p w14:paraId="2786B1A3" w14:textId="77777777" w:rsidR="00911043" w:rsidRDefault="00911043" w:rsidP="00D058A5">
      <w:r>
        <w:continuationSeparator/>
      </w:r>
    </w:p>
  </w:footnote>
  <w:footnote w:type="continuationNotice" w:id="1">
    <w:p w14:paraId="083B72A4" w14:textId="77777777" w:rsidR="00911043" w:rsidRDefault="00911043"/>
  </w:footnote>
  <w:footnote w:id="2">
    <w:p w14:paraId="0E322F26" w14:textId="77777777" w:rsidR="00D85CE2" w:rsidRPr="00EA1E99" w:rsidRDefault="00D85CE2" w:rsidP="00EA1E99">
      <w:pPr>
        <w:pStyle w:val="FootnoteText"/>
        <w:rPr>
          <w:szCs w:val="20"/>
        </w:rPr>
      </w:pPr>
      <w:r w:rsidRPr="00EA1E99">
        <w:rPr>
          <w:rStyle w:val="FootnoteReference"/>
          <w:rFonts w:eastAsiaTheme="majorEastAsia"/>
          <w:szCs w:val="20"/>
        </w:rPr>
        <w:sym w:font="Symbol" w:char="F02A"/>
      </w:r>
      <w:r w:rsidRPr="00EA1E99">
        <w:rPr>
          <w:szCs w:val="20"/>
        </w:rPr>
        <w:t xml:space="preserve"> Professor of Public International Law, University of Reading.</w:t>
      </w:r>
    </w:p>
  </w:footnote>
  <w:footnote w:id="3">
    <w:p w14:paraId="3647744F" w14:textId="102912E2" w:rsidR="00D85CE2" w:rsidRPr="00EA1E99" w:rsidRDefault="00D85CE2" w:rsidP="00EA1E99">
      <w:pPr>
        <w:rPr>
          <w:rFonts w:cs="Times New Roman"/>
          <w:sz w:val="20"/>
          <w:szCs w:val="20"/>
        </w:rPr>
      </w:pPr>
      <w:r w:rsidRPr="00EA1E99">
        <w:rPr>
          <w:rStyle w:val="FootnoteReference"/>
          <w:rFonts w:cs="Times New Roman"/>
          <w:sz w:val="20"/>
          <w:szCs w:val="20"/>
        </w:rPr>
        <w:sym w:font="Symbol" w:char="F02B"/>
      </w:r>
      <w:r w:rsidRPr="00EA1E99">
        <w:rPr>
          <w:rFonts w:cs="Times New Roman"/>
          <w:sz w:val="20"/>
          <w:szCs w:val="20"/>
        </w:rPr>
        <w:t xml:space="preserve"> Doctoral Candidate, University of Reading.  </w:t>
      </w:r>
      <w:r w:rsidR="000B14F7" w:rsidRPr="00EA1E99">
        <w:rPr>
          <w:rFonts w:cs="Times New Roman"/>
          <w:sz w:val="20"/>
          <w:szCs w:val="20"/>
        </w:rPr>
        <w:t xml:space="preserve">The authors would like to thank </w:t>
      </w:r>
      <w:r w:rsidR="000B14F7" w:rsidRPr="00EA1E99">
        <w:rPr>
          <w:rFonts w:eastAsia="Times New Roman" w:cs="Times New Roman"/>
          <w:color w:val="000000"/>
          <w:sz w:val="20"/>
          <w:szCs w:val="20"/>
        </w:rPr>
        <w:t xml:space="preserve">April </w:t>
      </w:r>
      <w:proofErr w:type="spellStart"/>
      <w:r w:rsidR="000B14F7" w:rsidRPr="00EA1E99">
        <w:rPr>
          <w:rFonts w:eastAsia="Times New Roman" w:cs="Times New Roman"/>
          <w:color w:val="000000"/>
          <w:sz w:val="20"/>
          <w:szCs w:val="20"/>
        </w:rPr>
        <w:t>Longstaffe</w:t>
      </w:r>
      <w:proofErr w:type="spellEnd"/>
      <w:r w:rsidR="000B14F7" w:rsidRPr="00EA1E99">
        <w:rPr>
          <w:rFonts w:eastAsia="Times New Roman" w:cs="Times New Roman"/>
          <w:color w:val="000000"/>
          <w:sz w:val="20"/>
          <w:szCs w:val="20"/>
        </w:rPr>
        <w:t xml:space="preserve"> for her research assistance and the </w:t>
      </w:r>
      <w:r w:rsidR="000B14F7" w:rsidRPr="00EA1E99">
        <w:rPr>
          <w:rFonts w:cs="Times New Roman"/>
          <w:sz w:val="20"/>
          <w:szCs w:val="20"/>
        </w:rPr>
        <w:t xml:space="preserve">ESRC funded ‘Commissions of Inquiry: Problems and Prospects’ project based at the Human Rights and International Law Unit, University of Liverpool, for the financial support both in relation to financing April’s work for us and for funding our trip to Liverpool in January 2015 (well before the publication of the </w:t>
      </w:r>
      <w:proofErr w:type="spellStart"/>
      <w:r w:rsidR="000B14F7" w:rsidRPr="00EA1E99">
        <w:rPr>
          <w:rFonts w:cs="Times New Roman"/>
          <w:sz w:val="20"/>
          <w:szCs w:val="20"/>
        </w:rPr>
        <w:t>Chilcot</w:t>
      </w:r>
      <w:proofErr w:type="spellEnd"/>
      <w:r w:rsidR="000B14F7" w:rsidRPr="00EA1E99">
        <w:rPr>
          <w:rFonts w:cs="Times New Roman"/>
          <w:sz w:val="20"/>
          <w:szCs w:val="20"/>
        </w:rPr>
        <w:t xml:space="preserve"> Report in July 2016) to present a work-in-progress version of our underpinning research.  We also wish to thank the participants at the Liverpool workshop for their feedback, and, in particular, Professor Christian Henderson.  </w:t>
      </w:r>
      <w:r w:rsidRPr="00EA1E99">
        <w:rPr>
          <w:rFonts w:cs="Times New Roman"/>
          <w:sz w:val="20"/>
          <w:szCs w:val="20"/>
        </w:rPr>
        <w:t>All websites accessed 22 July 2016.</w:t>
      </w:r>
    </w:p>
  </w:footnote>
  <w:footnote w:id="4">
    <w:p w14:paraId="6E45DAAE" w14:textId="72DE8383"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HC Deb (15 June 2009) </w:t>
      </w:r>
      <w:r w:rsidRPr="00EA1E99">
        <w:rPr>
          <w:i/>
          <w:szCs w:val="20"/>
        </w:rPr>
        <w:t>Hansard</w:t>
      </w:r>
      <w:r w:rsidRPr="00EA1E99">
        <w:rPr>
          <w:szCs w:val="20"/>
        </w:rPr>
        <w:t xml:space="preserve">, </w:t>
      </w:r>
      <w:proofErr w:type="spellStart"/>
      <w:r w:rsidRPr="00EA1E99">
        <w:rPr>
          <w:szCs w:val="20"/>
        </w:rPr>
        <w:t>vol</w:t>
      </w:r>
      <w:proofErr w:type="spellEnd"/>
      <w:r w:rsidRPr="00EA1E99">
        <w:rPr>
          <w:szCs w:val="20"/>
        </w:rPr>
        <w:t xml:space="preserve"> 494, www.publications.parliament.uk/pa/cm200809/cmhansrd/cm090615/debtext/90615-0004.htm.</w:t>
      </w:r>
    </w:p>
  </w:footnote>
  <w:footnote w:id="5">
    <w:p w14:paraId="08E33934" w14:textId="460E2015"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Iraq Inquiry Launched (30 July 2009) www.iraqinquiry.org.uk/the-inquiry/news-archive/2009/2009-07-30-opening/.</w:t>
      </w:r>
    </w:p>
  </w:footnote>
  <w:footnote w:id="6">
    <w:p w14:paraId="10163A43" w14:textId="167520AC"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In the UK a clear distinction is drawn between ‘statutory’ and ‘non-statutory’ inquiries, with most of the former usually being set up under the Inquiries Act 2005 (c.12).  See Select Committee on the Inquiries Act 2005, House of Lords, Report of Session 2013–14, </w:t>
      </w:r>
      <w:r w:rsidRPr="00EA1E99">
        <w:rPr>
          <w:i/>
          <w:szCs w:val="20"/>
        </w:rPr>
        <w:t>The Inquiries Act 2005: Post-Legislative Scrutiny</w:t>
      </w:r>
      <w:r w:rsidRPr="00EA1E99">
        <w:rPr>
          <w:szCs w:val="20"/>
        </w:rPr>
        <w:t xml:space="preserve"> (The Stationery Office Limited 2014).  As a non-statutory inquiry, </w:t>
      </w:r>
      <w:proofErr w:type="spellStart"/>
      <w:r w:rsidRPr="00EA1E99">
        <w:rPr>
          <w:szCs w:val="20"/>
        </w:rPr>
        <w:t>Chilcot</w:t>
      </w:r>
      <w:proofErr w:type="spellEnd"/>
      <w:r w:rsidRPr="00EA1E99">
        <w:rPr>
          <w:szCs w:val="20"/>
        </w:rPr>
        <w:t xml:space="preserve"> retained a notable degree of independent discretion and procedural flexibility.  See Stephen Samuel and James A Green, ‘Domestic Commissions of Inquiry and International Law: The Importance of Normative Authority’ in Christian Henderson (</w:t>
      </w:r>
      <w:proofErr w:type="spellStart"/>
      <w:proofErr w:type="gramStart"/>
      <w:r w:rsidRPr="00EA1E99">
        <w:rPr>
          <w:szCs w:val="20"/>
        </w:rPr>
        <w:t>ed</w:t>
      </w:r>
      <w:proofErr w:type="spellEnd"/>
      <w:proofErr w:type="gramEnd"/>
      <w:r w:rsidRPr="00EA1E99">
        <w:rPr>
          <w:szCs w:val="20"/>
        </w:rPr>
        <w:t xml:space="preserve">), </w:t>
      </w:r>
      <w:r w:rsidRPr="00EA1E99">
        <w:rPr>
          <w:i/>
          <w:szCs w:val="20"/>
        </w:rPr>
        <w:t>Commissions of Inquiry: Problems and Prospects</w:t>
      </w:r>
      <w:r w:rsidRPr="00EA1E99">
        <w:rPr>
          <w:szCs w:val="20"/>
        </w:rPr>
        <w:t xml:space="preserve"> (</w:t>
      </w:r>
      <w:r w:rsidR="00452877">
        <w:rPr>
          <w:szCs w:val="20"/>
        </w:rPr>
        <w:t>Hart Publishing forthcoming 2017</w:t>
      </w:r>
      <w:r w:rsidRPr="00EA1E99">
        <w:rPr>
          <w:szCs w:val="20"/>
        </w:rPr>
        <w:t>).</w:t>
      </w:r>
    </w:p>
  </w:footnote>
  <w:footnote w:id="7">
    <w:p w14:paraId="3FC5E2EC" w14:textId="0C7D7DD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r w:rsidRPr="00EA1E99">
        <w:rPr>
          <w:i/>
          <w:szCs w:val="20"/>
        </w:rPr>
        <w:t>Hansard</w:t>
      </w:r>
      <w:r w:rsidR="00DC5BBD" w:rsidRPr="00EA1E99">
        <w:rPr>
          <w:szCs w:val="20"/>
        </w:rPr>
        <w:t xml:space="preserve"> (15 June 2009) (n 1</w:t>
      </w:r>
      <w:r w:rsidRPr="00EA1E99">
        <w:rPr>
          <w:szCs w:val="20"/>
        </w:rPr>
        <w:t>).</w:t>
      </w:r>
    </w:p>
  </w:footnote>
  <w:footnote w:id="8">
    <w:p w14:paraId="259F559F"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Inquiry Costs, www.iraqinquiry.org.uk/the-inquiry/inquiry-costs/ (setting out a full financial breakdown).</w:t>
      </w:r>
    </w:p>
  </w:footnote>
  <w:footnote w:id="9">
    <w:p w14:paraId="6CA47F17"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Stephanie Boland, ‘What Do We </w:t>
      </w:r>
      <w:proofErr w:type="gramStart"/>
      <w:r w:rsidRPr="00EA1E99">
        <w:rPr>
          <w:szCs w:val="20"/>
        </w:rPr>
        <w:t>Know</w:t>
      </w:r>
      <w:proofErr w:type="gramEnd"/>
      <w:r w:rsidRPr="00EA1E99">
        <w:rPr>
          <w:szCs w:val="20"/>
        </w:rPr>
        <w:t xml:space="preserve"> about the </w:t>
      </w:r>
      <w:proofErr w:type="spellStart"/>
      <w:r w:rsidRPr="00EA1E99">
        <w:rPr>
          <w:szCs w:val="20"/>
        </w:rPr>
        <w:t>Chilcot</w:t>
      </w:r>
      <w:proofErr w:type="spellEnd"/>
      <w:r w:rsidRPr="00EA1E99">
        <w:rPr>
          <w:szCs w:val="20"/>
        </w:rPr>
        <w:t xml:space="preserve"> Inquiry Report, and When Will it be Published?’ </w:t>
      </w:r>
      <w:r w:rsidRPr="00EA1E99">
        <w:rPr>
          <w:i/>
          <w:szCs w:val="20"/>
        </w:rPr>
        <w:t>New Statesman</w:t>
      </w:r>
      <w:r w:rsidRPr="00EA1E99">
        <w:rPr>
          <w:szCs w:val="20"/>
        </w:rPr>
        <w:t xml:space="preserve"> (16 May 2016) www.newstatesman.com/politics/uk/2016/05/what-do-we-know-about-chilcot-inquiry-report-and-when-will-it-be-published; and ‘</w:t>
      </w:r>
      <w:proofErr w:type="spellStart"/>
      <w:r w:rsidRPr="00EA1E99">
        <w:rPr>
          <w:szCs w:val="20"/>
        </w:rPr>
        <w:t>Chilcot</w:t>
      </w:r>
      <w:proofErr w:type="spellEnd"/>
      <w:r w:rsidRPr="00EA1E99">
        <w:rPr>
          <w:szCs w:val="20"/>
        </w:rPr>
        <w:t xml:space="preserve"> Iraq Inquiry: MPs to Debate Report Delays’ </w:t>
      </w:r>
      <w:r w:rsidRPr="00EA1E99">
        <w:rPr>
          <w:i/>
          <w:szCs w:val="20"/>
        </w:rPr>
        <w:t xml:space="preserve">BBC News </w:t>
      </w:r>
      <w:r w:rsidRPr="00EA1E99">
        <w:rPr>
          <w:szCs w:val="20"/>
        </w:rPr>
        <w:t>(13 January 2015) www.bbc.co.uk/news/uk-politics-30788981.</w:t>
      </w:r>
    </w:p>
  </w:footnote>
  <w:footnote w:id="10">
    <w:p w14:paraId="7DAC7662"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The Report of the Iraq Inquiry (Report of a Committee of Privy Counsellors), 6 July 2016 (</w:t>
      </w:r>
      <w:proofErr w:type="spellStart"/>
      <w:r w:rsidRPr="00EA1E99">
        <w:rPr>
          <w:szCs w:val="20"/>
        </w:rPr>
        <w:t>Chilcot</w:t>
      </w:r>
      <w:proofErr w:type="spellEnd"/>
      <w:r w:rsidRPr="00EA1E99">
        <w:rPr>
          <w:szCs w:val="20"/>
        </w:rPr>
        <w:t xml:space="preserve"> Inquiry), www.iraqinquiry.org.uk/the-report (comprising twelve volumes and executive summary).</w:t>
      </w:r>
    </w:p>
  </w:footnote>
  <w:footnote w:id="11">
    <w:p w14:paraId="5C46967F" w14:textId="78ABFEE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Indeed, it has quickly become a common media trope to point out that the report is ‘four times the length of War and Peace’.  See Emily Allen, ‘</w:t>
      </w:r>
      <w:proofErr w:type="spellStart"/>
      <w:r w:rsidRPr="00EA1E99">
        <w:rPr>
          <w:szCs w:val="20"/>
        </w:rPr>
        <w:t>Chilcot</w:t>
      </w:r>
      <w:proofErr w:type="spellEnd"/>
      <w:r w:rsidRPr="00EA1E99">
        <w:rPr>
          <w:szCs w:val="20"/>
        </w:rPr>
        <w:t xml:space="preserve"> Inquiry: What is </w:t>
      </w:r>
      <w:proofErr w:type="gramStart"/>
      <w:r w:rsidRPr="00EA1E99">
        <w:rPr>
          <w:szCs w:val="20"/>
        </w:rPr>
        <w:t>It</w:t>
      </w:r>
      <w:proofErr w:type="gramEnd"/>
      <w:r w:rsidRPr="00EA1E99">
        <w:rPr>
          <w:szCs w:val="20"/>
        </w:rPr>
        <w:t xml:space="preserve"> and What Did the Iraq War Report Say?’ </w:t>
      </w:r>
      <w:r w:rsidRPr="00EA1E99">
        <w:rPr>
          <w:i/>
          <w:szCs w:val="20"/>
        </w:rPr>
        <w:t>The Telegraph</w:t>
      </w:r>
      <w:r w:rsidRPr="00EA1E99">
        <w:rPr>
          <w:szCs w:val="20"/>
        </w:rPr>
        <w:t xml:space="preserve"> (5 July 2016) www.telegraph.co.uk/news/2016/06/28/chilcot-inquiry-when-is-the-report-being-published-and-why-has-i/.</w:t>
      </w:r>
    </w:p>
  </w:footnote>
  <w:footnote w:id="12">
    <w:p w14:paraId="2A87D4CE" w14:textId="77777777" w:rsidR="00D85CE2" w:rsidRPr="00EA1E99" w:rsidRDefault="00D85CE2" w:rsidP="00EA1E99">
      <w:pPr>
        <w:rPr>
          <w:rFonts w:cs="Times New Roman"/>
          <w:sz w:val="20"/>
          <w:szCs w:val="20"/>
        </w:rPr>
      </w:pPr>
      <w:r w:rsidRPr="00EA1E99">
        <w:rPr>
          <w:rStyle w:val="FootnoteReference"/>
          <w:rFonts w:cs="Times New Roman"/>
          <w:sz w:val="20"/>
          <w:szCs w:val="20"/>
        </w:rPr>
        <w:footnoteRef/>
      </w:r>
      <w:r w:rsidRPr="00EA1E99">
        <w:rPr>
          <w:rFonts w:cs="Times New Roman"/>
          <w:sz w:val="20"/>
          <w:szCs w:val="20"/>
        </w:rPr>
        <w:t xml:space="preserve"> See, e.g., Elizabeth Wilmshurst, ‘We Ignored the Rule of Law – The Result was Iraq’ </w:t>
      </w:r>
      <w:r w:rsidRPr="00EA1E99">
        <w:rPr>
          <w:rFonts w:cs="Times New Roman"/>
          <w:i/>
          <w:sz w:val="20"/>
          <w:szCs w:val="20"/>
        </w:rPr>
        <w:t>The Guardian</w:t>
      </w:r>
      <w:r w:rsidRPr="00EA1E99">
        <w:rPr>
          <w:rFonts w:cs="Times New Roman"/>
          <w:sz w:val="20"/>
          <w:szCs w:val="20"/>
        </w:rPr>
        <w:t xml:space="preserve"> (6 July 2016) www.theguardian.com/commentisfree/2016/jul/07/ignored-rule-law-war-result-was-iraq-un-charter-foreign-office-lawyer-2003?CMP=fb_gu; Jamie </w:t>
      </w:r>
      <w:proofErr w:type="spellStart"/>
      <w:r w:rsidRPr="00EA1E99">
        <w:rPr>
          <w:rFonts w:cs="Times New Roman"/>
          <w:sz w:val="20"/>
          <w:szCs w:val="20"/>
        </w:rPr>
        <w:t>Doward</w:t>
      </w:r>
      <w:proofErr w:type="spellEnd"/>
      <w:r w:rsidRPr="00EA1E99">
        <w:rPr>
          <w:rFonts w:cs="Times New Roman"/>
          <w:sz w:val="20"/>
          <w:szCs w:val="20"/>
        </w:rPr>
        <w:t xml:space="preserve"> and Chris Ames, ‘Whitehall’s Secret Advice on </w:t>
      </w:r>
      <w:proofErr w:type="spellStart"/>
      <w:r w:rsidRPr="00EA1E99">
        <w:rPr>
          <w:rFonts w:cs="Times New Roman"/>
          <w:sz w:val="20"/>
          <w:szCs w:val="20"/>
        </w:rPr>
        <w:t>Chilcot</w:t>
      </w:r>
      <w:proofErr w:type="spellEnd"/>
      <w:r w:rsidRPr="00EA1E99">
        <w:rPr>
          <w:rFonts w:cs="Times New Roman"/>
          <w:sz w:val="20"/>
          <w:szCs w:val="20"/>
        </w:rPr>
        <w:t xml:space="preserve"> Will Not be Released’ </w:t>
      </w:r>
      <w:r w:rsidRPr="00EA1E99">
        <w:rPr>
          <w:rFonts w:cs="Times New Roman"/>
          <w:i/>
          <w:sz w:val="20"/>
          <w:szCs w:val="20"/>
        </w:rPr>
        <w:t>The Observer</w:t>
      </w:r>
      <w:r w:rsidRPr="00EA1E99">
        <w:rPr>
          <w:rFonts w:cs="Times New Roman"/>
          <w:sz w:val="20"/>
          <w:szCs w:val="20"/>
        </w:rPr>
        <w:t xml:space="preserve"> (9 July 2016) www.theguardian.com/uk-news/2016/jul/09/whitehall-holds-back-official-advice-on-iraq-war; Oona Hathaway, ‘What the </w:t>
      </w:r>
      <w:proofErr w:type="spellStart"/>
      <w:r w:rsidRPr="00EA1E99">
        <w:rPr>
          <w:rFonts w:cs="Times New Roman"/>
          <w:sz w:val="20"/>
          <w:szCs w:val="20"/>
        </w:rPr>
        <w:t>Chilcot</w:t>
      </w:r>
      <w:proofErr w:type="spellEnd"/>
      <w:r w:rsidRPr="00EA1E99">
        <w:rPr>
          <w:rFonts w:cs="Times New Roman"/>
          <w:sz w:val="20"/>
          <w:szCs w:val="20"/>
        </w:rPr>
        <w:t xml:space="preserve"> Report Teaches Us About National Security Lawyering’ </w:t>
      </w:r>
      <w:r w:rsidRPr="00EA1E99">
        <w:rPr>
          <w:rFonts w:cs="Times New Roman"/>
          <w:i/>
          <w:sz w:val="20"/>
          <w:szCs w:val="20"/>
        </w:rPr>
        <w:t>Just Security</w:t>
      </w:r>
      <w:r w:rsidRPr="00EA1E99">
        <w:rPr>
          <w:rFonts w:cs="Times New Roman"/>
          <w:sz w:val="20"/>
          <w:szCs w:val="20"/>
        </w:rPr>
        <w:t xml:space="preserve"> (11 July 2016) www.justsecurity.org/31946/chilcot-report-teaches-national-security-lawyering/; John </w:t>
      </w:r>
      <w:proofErr w:type="spellStart"/>
      <w:r w:rsidRPr="00EA1E99">
        <w:rPr>
          <w:rFonts w:cs="Times New Roman"/>
          <w:sz w:val="20"/>
          <w:szCs w:val="20"/>
        </w:rPr>
        <w:t>Bellinger</w:t>
      </w:r>
      <w:proofErr w:type="spellEnd"/>
      <w:r w:rsidRPr="00EA1E99">
        <w:rPr>
          <w:rFonts w:cs="Times New Roman"/>
          <w:sz w:val="20"/>
          <w:szCs w:val="20"/>
        </w:rPr>
        <w:t xml:space="preserve">, ‘The </w:t>
      </w:r>
      <w:proofErr w:type="spellStart"/>
      <w:r w:rsidRPr="00EA1E99">
        <w:rPr>
          <w:rFonts w:cs="Times New Roman"/>
          <w:sz w:val="20"/>
          <w:szCs w:val="20"/>
        </w:rPr>
        <w:t>Chilcot</w:t>
      </w:r>
      <w:proofErr w:type="spellEnd"/>
      <w:r w:rsidRPr="00EA1E99">
        <w:rPr>
          <w:rFonts w:cs="Times New Roman"/>
          <w:sz w:val="20"/>
          <w:szCs w:val="20"/>
        </w:rPr>
        <w:t xml:space="preserve"> Inquiry and the Legal Basis for the Iraq War’ </w:t>
      </w:r>
      <w:proofErr w:type="spellStart"/>
      <w:r w:rsidRPr="00EA1E99">
        <w:rPr>
          <w:rFonts w:cs="Times New Roman"/>
          <w:i/>
          <w:sz w:val="20"/>
          <w:szCs w:val="20"/>
        </w:rPr>
        <w:t>Lawfare</w:t>
      </w:r>
      <w:proofErr w:type="spellEnd"/>
      <w:r w:rsidRPr="00EA1E99">
        <w:rPr>
          <w:rFonts w:cs="Times New Roman"/>
          <w:sz w:val="20"/>
          <w:szCs w:val="20"/>
        </w:rPr>
        <w:t xml:space="preserve"> (11 July 2016) www.lawfareblog.com/chilcot-inquiry-and-legal-basis-iraq-war; and Marko </w:t>
      </w:r>
      <w:proofErr w:type="spellStart"/>
      <w:r w:rsidRPr="00EA1E99">
        <w:rPr>
          <w:rFonts w:cs="Times New Roman"/>
          <w:sz w:val="20"/>
          <w:szCs w:val="20"/>
        </w:rPr>
        <w:t>Milanovic</w:t>
      </w:r>
      <w:proofErr w:type="spellEnd"/>
      <w:r w:rsidRPr="00EA1E99">
        <w:rPr>
          <w:rFonts w:cs="Times New Roman"/>
          <w:sz w:val="20"/>
          <w:szCs w:val="20"/>
        </w:rPr>
        <w:t xml:space="preserve">, ‘A Rejoinder to John </w:t>
      </w:r>
      <w:proofErr w:type="spellStart"/>
      <w:r w:rsidRPr="00EA1E99">
        <w:rPr>
          <w:rFonts w:cs="Times New Roman"/>
          <w:sz w:val="20"/>
          <w:szCs w:val="20"/>
        </w:rPr>
        <w:t>Bellinger</w:t>
      </w:r>
      <w:proofErr w:type="spellEnd"/>
      <w:r w:rsidRPr="00EA1E99">
        <w:rPr>
          <w:rFonts w:cs="Times New Roman"/>
          <w:sz w:val="20"/>
          <w:szCs w:val="20"/>
        </w:rPr>
        <w:t xml:space="preserve"> on the </w:t>
      </w:r>
      <w:proofErr w:type="spellStart"/>
      <w:r w:rsidRPr="00EA1E99">
        <w:rPr>
          <w:rFonts w:cs="Times New Roman"/>
          <w:sz w:val="20"/>
          <w:szCs w:val="20"/>
        </w:rPr>
        <w:t>Chilcot</w:t>
      </w:r>
      <w:proofErr w:type="spellEnd"/>
      <w:r w:rsidRPr="00EA1E99">
        <w:rPr>
          <w:rFonts w:cs="Times New Roman"/>
          <w:sz w:val="20"/>
          <w:szCs w:val="20"/>
        </w:rPr>
        <w:t xml:space="preserve"> Report’ </w:t>
      </w:r>
      <w:proofErr w:type="spellStart"/>
      <w:r w:rsidRPr="00EA1E99">
        <w:rPr>
          <w:rFonts w:cs="Times New Roman"/>
          <w:i/>
          <w:sz w:val="20"/>
          <w:szCs w:val="20"/>
        </w:rPr>
        <w:t>EJIL:Talk</w:t>
      </w:r>
      <w:proofErr w:type="spellEnd"/>
      <w:r w:rsidRPr="00EA1E99">
        <w:rPr>
          <w:rFonts w:cs="Times New Roman"/>
          <w:i/>
          <w:sz w:val="20"/>
          <w:szCs w:val="20"/>
        </w:rPr>
        <w:t>!</w:t>
      </w:r>
      <w:r w:rsidRPr="00EA1E99">
        <w:rPr>
          <w:rFonts w:cs="Times New Roman"/>
          <w:sz w:val="20"/>
          <w:szCs w:val="20"/>
        </w:rPr>
        <w:t xml:space="preserve"> (13 July 2016) www.ejiltalk.org/a-rejoinder-to-john-bellinger-on-the-chilcot-report/.</w:t>
      </w:r>
    </w:p>
  </w:footnote>
  <w:footnote w:id="13">
    <w:p w14:paraId="37FBB209" w14:textId="65B4DB53"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w:t>
      </w:r>
      <w:r w:rsidRPr="00EA1E99">
        <w:rPr>
          <w:szCs w:val="20"/>
          <w:shd w:val="clear" w:color="auto" w:fill="FFFFFF"/>
        </w:rPr>
        <w:t xml:space="preserve">Charlotte Peevers, </w:t>
      </w:r>
      <w:r w:rsidRPr="00EA1E99">
        <w:rPr>
          <w:i/>
          <w:szCs w:val="20"/>
          <w:shd w:val="clear" w:color="auto" w:fill="FFFFFF"/>
        </w:rPr>
        <w:t>The Politics of Justifying Force: The Suez Crisis, the Iraq War, and International Law</w:t>
      </w:r>
      <w:r w:rsidRPr="00EA1E99">
        <w:rPr>
          <w:szCs w:val="20"/>
          <w:shd w:val="clear" w:color="auto" w:fill="FFFFFF"/>
        </w:rPr>
        <w:t xml:space="preserve"> (Oxford University Press 2013) 196 (‘the </w:t>
      </w:r>
      <w:r w:rsidRPr="00EA1E99">
        <w:rPr>
          <w:color w:val="000000"/>
          <w:szCs w:val="20"/>
          <w:shd w:val="clear" w:color="auto" w:fill="FFFFFF"/>
        </w:rPr>
        <w:t>debate [as to the legality of the use of force in Iraq] still rages over ten years after the invasion…’</w:t>
      </w:r>
      <w:r w:rsidRPr="00EA1E99">
        <w:rPr>
          <w:szCs w:val="20"/>
          <w:shd w:val="clear" w:color="auto" w:fill="FFFFFF"/>
        </w:rPr>
        <w:t xml:space="preserve">).  See, e.g., Dominic </w:t>
      </w:r>
      <w:proofErr w:type="spellStart"/>
      <w:r w:rsidRPr="00EA1E99">
        <w:rPr>
          <w:szCs w:val="20"/>
          <w:shd w:val="clear" w:color="auto" w:fill="FFFFFF"/>
        </w:rPr>
        <w:t>McGoldrick</w:t>
      </w:r>
      <w:proofErr w:type="spellEnd"/>
      <w:r w:rsidRPr="00EA1E99">
        <w:rPr>
          <w:szCs w:val="20"/>
          <w:shd w:val="clear" w:color="auto" w:fill="FFFFFF"/>
        </w:rPr>
        <w:t xml:space="preserve">, </w:t>
      </w:r>
      <w:r w:rsidRPr="00EA1E99">
        <w:rPr>
          <w:i/>
          <w:szCs w:val="20"/>
          <w:shd w:val="clear" w:color="auto" w:fill="FFFFFF"/>
        </w:rPr>
        <w:t>From ‘9-11’ to the Iraq War 2003</w:t>
      </w:r>
      <w:r w:rsidRPr="00EA1E99">
        <w:rPr>
          <w:szCs w:val="20"/>
          <w:shd w:val="clear" w:color="auto" w:fill="FFFFFF"/>
        </w:rPr>
        <w:t xml:space="preserve"> (Hart 2004) 47-86; Lindsay Moir, </w:t>
      </w:r>
      <w:r w:rsidRPr="00EA1E99">
        <w:rPr>
          <w:i/>
          <w:szCs w:val="20"/>
          <w:shd w:val="clear" w:color="auto" w:fill="FFFFFF"/>
        </w:rPr>
        <w:t>Reappraising the Resort to Force: International Law,</w:t>
      </w:r>
      <w:r w:rsidRPr="00EA1E99">
        <w:rPr>
          <w:szCs w:val="20"/>
          <w:shd w:val="clear" w:color="auto" w:fill="FFFFFF"/>
        </w:rPr>
        <w:t xml:space="preserve"> Jus ad Bellum </w:t>
      </w:r>
      <w:r w:rsidRPr="00EA1E99">
        <w:rPr>
          <w:i/>
          <w:szCs w:val="20"/>
          <w:shd w:val="clear" w:color="auto" w:fill="FFFFFF"/>
        </w:rPr>
        <w:t>and the War on Terror</w:t>
      </w:r>
      <w:r w:rsidRPr="00EA1E99">
        <w:rPr>
          <w:szCs w:val="20"/>
          <w:shd w:val="clear" w:color="auto" w:fill="FFFFFF"/>
        </w:rPr>
        <w:t xml:space="preserve"> (Hart 2010) 73-106; and Marc Weller, </w:t>
      </w:r>
      <w:r w:rsidRPr="00EA1E99">
        <w:rPr>
          <w:i/>
          <w:szCs w:val="20"/>
          <w:shd w:val="clear" w:color="auto" w:fill="FFFFFF"/>
        </w:rPr>
        <w:t>Iraq and the Use of Force in International Law</w:t>
      </w:r>
      <w:r w:rsidRPr="00EA1E99">
        <w:rPr>
          <w:szCs w:val="20"/>
          <w:shd w:val="clear" w:color="auto" w:fill="FFFFFF"/>
        </w:rPr>
        <w:t xml:space="preserve"> (Oxford University Press 2010) particularly 132-88</w:t>
      </w:r>
      <w:r w:rsidRPr="00EA1E99">
        <w:rPr>
          <w:szCs w:val="20"/>
        </w:rPr>
        <w:t>.</w:t>
      </w:r>
    </w:p>
  </w:footnote>
  <w:footnote w:id="14">
    <w:p w14:paraId="4DE9DCE2" w14:textId="69512991"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r w:rsidR="00EA1E99" w:rsidRPr="00EA1E99">
        <w:rPr>
          <w:szCs w:val="20"/>
        </w:rPr>
        <w:t>For discussion, see n 13 – n 17 and accompanying text</w:t>
      </w:r>
      <w:r w:rsidRPr="00EA1E99">
        <w:rPr>
          <w:szCs w:val="20"/>
        </w:rPr>
        <w:t>.</w:t>
      </w:r>
    </w:p>
  </w:footnote>
  <w:footnote w:id="15">
    <w:p w14:paraId="71918C29" w14:textId="06C9AE79"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For a short synopsis of legal advice in the UK, see, Stephen Samuel, ‘British Influences on the ‘Ideals’ of International Lawyers’ in Robert </w:t>
      </w:r>
      <w:proofErr w:type="spellStart"/>
      <w:r w:rsidRPr="00EA1E99">
        <w:rPr>
          <w:szCs w:val="20"/>
        </w:rPr>
        <w:t>McCorquodale</w:t>
      </w:r>
      <w:proofErr w:type="spellEnd"/>
      <w:r w:rsidRPr="00EA1E99">
        <w:rPr>
          <w:szCs w:val="20"/>
        </w:rPr>
        <w:t xml:space="preserve"> and Jean-Pierre </w:t>
      </w:r>
      <w:proofErr w:type="spellStart"/>
      <w:r w:rsidRPr="00EA1E99">
        <w:rPr>
          <w:szCs w:val="20"/>
        </w:rPr>
        <w:t>Gauci</w:t>
      </w:r>
      <w:proofErr w:type="spellEnd"/>
      <w:r w:rsidRPr="00EA1E99">
        <w:rPr>
          <w:szCs w:val="20"/>
        </w:rPr>
        <w:t xml:space="preserve"> (</w:t>
      </w:r>
      <w:proofErr w:type="spellStart"/>
      <w:r w:rsidRPr="00EA1E99">
        <w:rPr>
          <w:szCs w:val="20"/>
        </w:rPr>
        <w:t>eds</w:t>
      </w:r>
      <w:proofErr w:type="spellEnd"/>
      <w:r w:rsidRPr="00EA1E99">
        <w:rPr>
          <w:szCs w:val="20"/>
        </w:rPr>
        <w:t xml:space="preserve">), </w:t>
      </w:r>
      <w:r w:rsidRPr="00EA1E99">
        <w:rPr>
          <w:i/>
          <w:szCs w:val="20"/>
        </w:rPr>
        <w:t>British Influences on International Law, 1915-2015</w:t>
      </w:r>
      <w:r w:rsidRPr="00EA1E99">
        <w:rPr>
          <w:szCs w:val="20"/>
        </w:rPr>
        <w:t xml:space="preserve"> (Brill </w:t>
      </w:r>
      <w:proofErr w:type="spellStart"/>
      <w:r w:rsidRPr="00EA1E99">
        <w:rPr>
          <w:szCs w:val="20"/>
        </w:rPr>
        <w:t>Nijhoff</w:t>
      </w:r>
      <w:proofErr w:type="spellEnd"/>
      <w:r w:rsidRPr="00EA1E99">
        <w:rPr>
          <w:szCs w:val="20"/>
        </w:rPr>
        <w:t xml:space="preserve"> 2016).</w:t>
      </w:r>
      <w:r w:rsidRPr="00EA1E99">
        <w:rPr>
          <w:i/>
          <w:szCs w:val="20"/>
        </w:rPr>
        <w:t xml:space="preserve">  </w:t>
      </w:r>
      <w:r w:rsidRPr="00EA1E99">
        <w:rPr>
          <w:szCs w:val="20"/>
        </w:rPr>
        <w:t xml:space="preserve">For more expansive studies in this area, see </w:t>
      </w:r>
      <w:proofErr w:type="spellStart"/>
      <w:r w:rsidRPr="00EA1E99">
        <w:rPr>
          <w:szCs w:val="20"/>
        </w:rPr>
        <w:t>Andraž</w:t>
      </w:r>
      <w:proofErr w:type="spellEnd"/>
      <w:r w:rsidRPr="00EA1E99">
        <w:rPr>
          <w:szCs w:val="20"/>
        </w:rPr>
        <w:t xml:space="preserve"> </w:t>
      </w:r>
      <w:proofErr w:type="spellStart"/>
      <w:r w:rsidRPr="00EA1E99">
        <w:rPr>
          <w:szCs w:val="20"/>
        </w:rPr>
        <w:t>Zidar</w:t>
      </w:r>
      <w:proofErr w:type="spellEnd"/>
      <w:r w:rsidRPr="00EA1E99">
        <w:rPr>
          <w:szCs w:val="20"/>
        </w:rPr>
        <w:t xml:space="preserve"> and Jean-Pierre </w:t>
      </w:r>
      <w:proofErr w:type="spellStart"/>
      <w:r w:rsidRPr="00EA1E99">
        <w:rPr>
          <w:szCs w:val="20"/>
        </w:rPr>
        <w:t>Gauci</w:t>
      </w:r>
      <w:proofErr w:type="spellEnd"/>
      <w:r w:rsidRPr="00EA1E99">
        <w:rPr>
          <w:szCs w:val="20"/>
        </w:rPr>
        <w:t xml:space="preserve"> (</w:t>
      </w:r>
      <w:proofErr w:type="spellStart"/>
      <w:r w:rsidRPr="00EA1E99">
        <w:rPr>
          <w:szCs w:val="20"/>
        </w:rPr>
        <w:t>eds</w:t>
      </w:r>
      <w:proofErr w:type="spellEnd"/>
      <w:r w:rsidRPr="00EA1E99">
        <w:rPr>
          <w:szCs w:val="20"/>
        </w:rPr>
        <w:t xml:space="preserve">), </w:t>
      </w:r>
      <w:r w:rsidRPr="00EA1E99">
        <w:rPr>
          <w:i/>
          <w:szCs w:val="20"/>
        </w:rPr>
        <w:t xml:space="preserve">The Role of Legal Advisers in International Law </w:t>
      </w:r>
      <w:r w:rsidRPr="00EA1E99">
        <w:rPr>
          <w:szCs w:val="20"/>
        </w:rPr>
        <w:t xml:space="preserve">(Brill </w:t>
      </w:r>
      <w:proofErr w:type="spellStart"/>
      <w:r w:rsidRPr="00EA1E99">
        <w:rPr>
          <w:szCs w:val="20"/>
        </w:rPr>
        <w:t>Nijhoff</w:t>
      </w:r>
      <w:proofErr w:type="spellEnd"/>
      <w:r w:rsidRPr="00EA1E99" w:rsidDel="00622F89">
        <w:rPr>
          <w:szCs w:val="20"/>
        </w:rPr>
        <w:t xml:space="preserve"> </w:t>
      </w:r>
      <w:r w:rsidRPr="00EA1E99">
        <w:rPr>
          <w:szCs w:val="20"/>
        </w:rPr>
        <w:t xml:space="preserve">forthcoming 2016); and </w:t>
      </w:r>
      <w:proofErr w:type="spellStart"/>
      <w:r w:rsidRPr="00EA1E99">
        <w:rPr>
          <w:szCs w:val="20"/>
        </w:rPr>
        <w:t>Chanaka</w:t>
      </w:r>
      <w:proofErr w:type="spellEnd"/>
      <w:r w:rsidRPr="00EA1E99">
        <w:rPr>
          <w:szCs w:val="20"/>
        </w:rPr>
        <w:t xml:space="preserve"> </w:t>
      </w:r>
      <w:proofErr w:type="spellStart"/>
      <w:r w:rsidRPr="00EA1E99">
        <w:rPr>
          <w:szCs w:val="20"/>
        </w:rPr>
        <w:t>Wickremasinghe</w:t>
      </w:r>
      <w:proofErr w:type="spellEnd"/>
      <w:r w:rsidRPr="00EA1E99">
        <w:rPr>
          <w:szCs w:val="20"/>
        </w:rPr>
        <w:t xml:space="preserve"> (</w:t>
      </w:r>
      <w:proofErr w:type="spellStart"/>
      <w:r w:rsidRPr="00EA1E99">
        <w:rPr>
          <w:szCs w:val="20"/>
        </w:rPr>
        <w:t>ed</w:t>
      </w:r>
      <w:proofErr w:type="spellEnd"/>
      <w:r w:rsidRPr="00EA1E99">
        <w:rPr>
          <w:szCs w:val="20"/>
        </w:rPr>
        <w:t xml:space="preserve">), </w:t>
      </w:r>
      <w:r w:rsidRPr="00EA1E99">
        <w:rPr>
          <w:i/>
          <w:szCs w:val="20"/>
        </w:rPr>
        <w:t>The International Lawyer As Practitioner</w:t>
      </w:r>
      <w:r w:rsidRPr="00EA1E99">
        <w:rPr>
          <w:szCs w:val="20"/>
        </w:rPr>
        <w:t xml:space="preserve"> (British Institute of International and Comparative Law 2000).</w:t>
      </w:r>
    </w:p>
  </w:footnote>
  <w:footnote w:id="16">
    <w:p w14:paraId="1FCBAD3C" w14:textId="5D1AFECE" w:rsidR="00D85CE2" w:rsidRPr="00EA1E99" w:rsidRDefault="00D85CE2" w:rsidP="00EA1E99">
      <w:pPr>
        <w:rPr>
          <w:rFonts w:cs="Times New Roman"/>
          <w:sz w:val="20"/>
          <w:szCs w:val="20"/>
        </w:rPr>
      </w:pPr>
      <w:r w:rsidRPr="00EA1E99">
        <w:rPr>
          <w:rStyle w:val="FootnoteReference"/>
          <w:rFonts w:cs="Times New Roman"/>
          <w:sz w:val="20"/>
          <w:szCs w:val="20"/>
        </w:rPr>
        <w:footnoteRef/>
      </w:r>
      <w:r w:rsidRPr="00EA1E99">
        <w:rPr>
          <w:rFonts w:cs="Times New Roman"/>
          <w:sz w:val="20"/>
          <w:szCs w:val="20"/>
        </w:rPr>
        <w:t xml:space="preserve"> </w:t>
      </w:r>
      <w:r w:rsidRPr="00EA1E99">
        <w:rPr>
          <w:rFonts w:cs="Times New Roman"/>
          <w:i/>
          <w:sz w:val="20"/>
          <w:szCs w:val="20"/>
        </w:rPr>
        <w:t>Hansard</w:t>
      </w:r>
      <w:r w:rsidR="00DC5BBD" w:rsidRPr="00EA1E99">
        <w:rPr>
          <w:rFonts w:cs="Times New Roman"/>
          <w:sz w:val="20"/>
          <w:szCs w:val="20"/>
        </w:rPr>
        <w:t xml:space="preserve"> (15 June 2009) (n 1</w:t>
      </w:r>
      <w:r w:rsidRPr="00EA1E99">
        <w:rPr>
          <w:rFonts w:cs="Times New Roman"/>
          <w:sz w:val="20"/>
          <w:szCs w:val="20"/>
        </w:rPr>
        <w:t>) col 27.</w:t>
      </w:r>
    </w:p>
  </w:footnote>
  <w:footnote w:id="17">
    <w:p w14:paraId="63C1962F" w14:textId="543D89D1"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Statement by Sir John </w:t>
      </w:r>
      <w:proofErr w:type="spellStart"/>
      <w:r w:rsidRPr="00EA1E99">
        <w:rPr>
          <w:szCs w:val="20"/>
        </w:rPr>
        <w:t>Chilcot</w:t>
      </w:r>
      <w:proofErr w:type="spellEnd"/>
      <w:r w:rsidRPr="00EA1E99">
        <w:rPr>
          <w:szCs w:val="20"/>
        </w:rPr>
        <w:t xml:space="preserve">, Chairman of the Iraq Inquiry, at a news conference on Thursday, 30 July 2009 (30 July 2009) www.iraqinquiry.org.uk/the-inquiry/news-archive/2009/2009-07-30-opening/statement-by-sir-john-chilcot-chairman-of-the-iraq-inquiry-at-a-news-conference-on-thursday-30-july-2009/.  See also Karen N Scott and Natalie Baird, ‘Preface’ (2009) 7 </w:t>
      </w:r>
      <w:r w:rsidRPr="00EA1E99">
        <w:rPr>
          <w:i/>
          <w:szCs w:val="20"/>
        </w:rPr>
        <w:t>New Zealand Yearbook of International Law</w:t>
      </w:r>
      <w:r w:rsidRPr="00EA1E99">
        <w:rPr>
          <w:szCs w:val="20"/>
        </w:rPr>
        <w:t xml:space="preserve"> ix, ix.</w:t>
      </w:r>
    </w:p>
  </w:footnote>
  <w:footnote w:id="18">
    <w:p w14:paraId="14AB7C8B" w14:textId="05FDEBC0"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proofErr w:type="spellStart"/>
      <w:r w:rsidRPr="00EA1E99">
        <w:rPr>
          <w:szCs w:val="20"/>
        </w:rPr>
        <w:t>Chilcot</w:t>
      </w:r>
      <w:proofErr w:type="spellEnd"/>
      <w:r w:rsidRPr="00EA1E99">
        <w:rPr>
          <w:szCs w:val="20"/>
        </w:rPr>
        <w:t xml:space="preserve"> Report (n </w:t>
      </w:r>
      <w:r w:rsidR="00DC5BBD" w:rsidRPr="00EA1E99">
        <w:rPr>
          <w:szCs w:val="20"/>
        </w:rPr>
        <w:t>7</w:t>
      </w:r>
      <w:r w:rsidRPr="00EA1E99">
        <w:rPr>
          <w:szCs w:val="20"/>
        </w:rPr>
        <w:t xml:space="preserve">) introduction [99-100].  See also Statement by Sir John </w:t>
      </w:r>
      <w:proofErr w:type="spellStart"/>
      <w:r w:rsidRPr="00EA1E99">
        <w:rPr>
          <w:szCs w:val="20"/>
        </w:rPr>
        <w:t>Chilcot</w:t>
      </w:r>
      <w:proofErr w:type="spellEnd"/>
      <w:r w:rsidRPr="00EA1E99">
        <w:rPr>
          <w:szCs w:val="20"/>
        </w:rPr>
        <w:t>: 6 July 2016 (6 July 2016) www.iraqinquiry.org.uk/media/247010/2016-09-06-sir-john-chilcots-public-statement.pdf, 4.</w:t>
      </w:r>
    </w:p>
  </w:footnote>
  <w:footnote w:id="19">
    <w:p w14:paraId="11D59074" w14:textId="601A27A0"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Samuel and Green (n </w:t>
      </w:r>
      <w:r w:rsidR="00DC5BBD" w:rsidRPr="00EA1E99">
        <w:rPr>
          <w:szCs w:val="20"/>
        </w:rPr>
        <w:t>3</w:t>
      </w:r>
      <w:r w:rsidRPr="00EA1E99">
        <w:rPr>
          <w:szCs w:val="20"/>
        </w:rPr>
        <w:t>) section V.</w:t>
      </w:r>
    </w:p>
  </w:footnote>
  <w:footnote w:id="20">
    <w:p w14:paraId="49136F35" w14:textId="6272C749" w:rsidR="00D85CE2" w:rsidRPr="00EA1E99" w:rsidRDefault="00D85CE2" w:rsidP="00EA1E99">
      <w:pPr>
        <w:pStyle w:val="FootnoteText"/>
        <w:rPr>
          <w:szCs w:val="20"/>
        </w:rPr>
      </w:pPr>
      <w:r w:rsidRPr="00EA1E99">
        <w:rPr>
          <w:rStyle w:val="FootnoteReference"/>
          <w:rFonts w:eastAsiaTheme="majorEastAsia"/>
          <w:szCs w:val="20"/>
        </w:rPr>
        <w:footnoteRef/>
      </w:r>
      <w:r w:rsidRPr="00EA1E99">
        <w:rPr>
          <w:szCs w:val="20"/>
        </w:rPr>
        <w:t xml:space="preserve"> </w:t>
      </w:r>
      <w:r w:rsidR="00DC5BBD" w:rsidRPr="00EA1E99">
        <w:rPr>
          <w:szCs w:val="20"/>
        </w:rPr>
        <w:t xml:space="preserve">See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introduction [99].  For biographies of the members of the Inquiry, see The Committee, www.iraqinquiry.org.uk/the-inquiry/the-committee/.</w:t>
      </w:r>
    </w:p>
  </w:footnote>
  <w:footnote w:id="21">
    <w:p w14:paraId="099E1F85" w14:textId="7C66639B" w:rsidR="00D85CE2" w:rsidRPr="00EA1E99" w:rsidRDefault="00D85CE2" w:rsidP="00EA1E99">
      <w:pPr>
        <w:pStyle w:val="FootnoteText"/>
        <w:rPr>
          <w:szCs w:val="20"/>
        </w:rPr>
      </w:pPr>
      <w:r w:rsidRPr="00EA1E99">
        <w:rPr>
          <w:rStyle w:val="FootnoteReference"/>
          <w:szCs w:val="20"/>
        </w:rPr>
        <w:footnoteRef/>
      </w:r>
      <w:r w:rsidR="00DC5BBD" w:rsidRPr="00EA1E99">
        <w:rPr>
          <w:szCs w:val="20"/>
        </w:rPr>
        <w:t xml:space="preserve"> See, e.g., </w:t>
      </w:r>
      <w:proofErr w:type="spellStart"/>
      <w:r w:rsidR="00DC5BBD" w:rsidRPr="00EA1E99">
        <w:rPr>
          <w:szCs w:val="20"/>
        </w:rPr>
        <w:t>Doward</w:t>
      </w:r>
      <w:proofErr w:type="spellEnd"/>
      <w:r w:rsidR="00DC5BBD" w:rsidRPr="00EA1E99">
        <w:rPr>
          <w:szCs w:val="20"/>
        </w:rPr>
        <w:t xml:space="preserve"> and Ames (n 9</w:t>
      </w:r>
      <w:r w:rsidRPr="00EA1E99">
        <w:rPr>
          <w:szCs w:val="20"/>
        </w:rPr>
        <w:t>) (referencing criticism in this regard from Professor Phillipe Sands).</w:t>
      </w:r>
    </w:p>
  </w:footnote>
  <w:footnote w:id="22">
    <w:p w14:paraId="122BEDF0" w14:textId="409B007D"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volume 5, section 5 [579-81].</w:t>
      </w:r>
    </w:p>
  </w:footnote>
  <w:footnote w:id="23">
    <w:p w14:paraId="3A53C1A4" w14:textId="4AFB621B"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Samuel and Green (n </w:t>
      </w:r>
      <w:r w:rsidR="00DC5BBD" w:rsidRPr="00EA1E99">
        <w:rPr>
          <w:szCs w:val="20"/>
        </w:rPr>
        <w:t>3</w:t>
      </w:r>
      <w:r w:rsidRPr="00EA1E99">
        <w:rPr>
          <w:szCs w:val="20"/>
        </w:rPr>
        <w:t>).</w:t>
      </w:r>
    </w:p>
  </w:footnote>
  <w:footnote w:id="24">
    <w:p w14:paraId="3A3885EC" w14:textId="0817A870" w:rsidR="00D85CE2" w:rsidRPr="00EA1E99" w:rsidRDefault="00D85CE2" w:rsidP="00EA1E99">
      <w:pPr>
        <w:rPr>
          <w:rFonts w:cs="Times New Roman"/>
          <w:sz w:val="20"/>
          <w:szCs w:val="20"/>
        </w:rPr>
      </w:pPr>
      <w:r w:rsidRPr="00EA1E99">
        <w:rPr>
          <w:rStyle w:val="FootnoteReference"/>
          <w:rFonts w:cs="Times New Roman"/>
          <w:sz w:val="20"/>
          <w:szCs w:val="20"/>
        </w:rPr>
        <w:footnoteRef/>
      </w:r>
      <w:r w:rsidRPr="00EA1E99">
        <w:rPr>
          <w:rFonts w:cs="Times New Roman"/>
          <w:sz w:val="20"/>
          <w:szCs w:val="20"/>
        </w:rPr>
        <w:t xml:space="preserve"> There are various examples of commissions of inquiry – particularly </w:t>
      </w:r>
      <w:r w:rsidRPr="00EA1E99">
        <w:rPr>
          <w:rFonts w:cs="Times New Roman"/>
          <w:i/>
          <w:sz w:val="20"/>
          <w:szCs w:val="20"/>
        </w:rPr>
        <w:t>domestic</w:t>
      </w:r>
      <w:r w:rsidRPr="00EA1E99">
        <w:rPr>
          <w:rFonts w:cs="Times New Roman"/>
          <w:sz w:val="20"/>
          <w:szCs w:val="20"/>
        </w:rPr>
        <w:t xml:space="preserve"> commissions of inquiry – attempting to engage in international legal analysis without possessing the requisite international law expertise: a representative example is the findings of the Malaysian Commission on Immigrants in Sabah (2012-2014) concerning refugee status and on the status of stateless persons, which were wholly unsatisfactory.  See Report of the Commission of Enquiry on Immigrants in Sabah, presented to Seri </w:t>
      </w:r>
      <w:proofErr w:type="spellStart"/>
      <w:r w:rsidRPr="00EA1E99">
        <w:rPr>
          <w:rFonts w:cs="Times New Roman"/>
          <w:sz w:val="20"/>
          <w:szCs w:val="20"/>
        </w:rPr>
        <w:t>Paduka</w:t>
      </w:r>
      <w:proofErr w:type="spellEnd"/>
      <w:r w:rsidRPr="00EA1E99">
        <w:rPr>
          <w:rFonts w:cs="Times New Roman"/>
          <w:sz w:val="20"/>
          <w:szCs w:val="20"/>
        </w:rPr>
        <w:t xml:space="preserve"> </w:t>
      </w:r>
      <w:proofErr w:type="spellStart"/>
      <w:r w:rsidRPr="00EA1E99">
        <w:rPr>
          <w:rFonts w:cs="Times New Roman"/>
          <w:sz w:val="20"/>
          <w:szCs w:val="20"/>
        </w:rPr>
        <w:t>Baginda</w:t>
      </w:r>
      <w:proofErr w:type="spellEnd"/>
      <w:r w:rsidRPr="00EA1E99">
        <w:rPr>
          <w:rFonts w:cs="Times New Roman"/>
          <w:sz w:val="20"/>
          <w:szCs w:val="20"/>
        </w:rPr>
        <w:t xml:space="preserve"> Yang di-</w:t>
      </w:r>
      <w:proofErr w:type="spellStart"/>
      <w:r w:rsidRPr="00EA1E99">
        <w:rPr>
          <w:rFonts w:cs="Times New Roman"/>
          <w:sz w:val="20"/>
          <w:szCs w:val="20"/>
        </w:rPr>
        <w:t>Pertuan</w:t>
      </w:r>
      <w:proofErr w:type="spellEnd"/>
      <w:r w:rsidRPr="00EA1E99">
        <w:rPr>
          <w:rFonts w:cs="Times New Roman"/>
          <w:sz w:val="20"/>
          <w:szCs w:val="20"/>
        </w:rPr>
        <w:t xml:space="preserve"> </w:t>
      </w:r>
      <w:proofErr w:type="spellStart"/>
      <w:r w:rsidRPr="00EA1E99">
        <w:rPr>
          <w:rFonts w:cs="Times New Roman"/>
          <w:sz w:val="20"/>
          <w:szCs w:val="20"/>
        </w:rPr>
        <w:t>Agong</w:t>
      </w:r>
      <w:proofErr w:type="spellEnd"/>
      <w:r w:rsidRPr="00EA1E99">
        <w:rPr>
          <w:rFonts w:cs="Times New Roman"/>
          <w:sz w:val="20"/>
          <w:szCs w:val="20"/>
        </w:rPr>
        <w:t xml:space="preserve"> (3 December 2014) www.sapp.org.my/rci/RCI-Eng.pdf, 227-9.  For further discussion of this and other similar examples, see Samuel and Green </w:t>
      </w:r>
      <w:r w:rsidR="00DC5BBD" w:rsidRPr="00EA1E99">
        <w:rPr>
          <w:rFonts w:cs="Times New Roman"/>
          <w:sz w:val="20"/>
          <w:szCs w:val="20"/>
        </w:rPr>
        <w:t>(n 3</w:t>
      </w:r>
      <w:r w:rsidRPr="00EA1E99">
        <w:rPr>
          <w:rFonts w:cs="Times New Roman"/>
          <w:sz w:val="20"/>
          <w:szCs w:val="20"/>
        </w:rPr>
        <w:t>).</w:t>
      </w:r>
    </w:p>
  </w:footnote>
  <w:footnote w:id="25">
    <w:p w14:paraId="21A226CD" w14:textId="00546694" w:rsidR="00D85CE2" w:rsidRPr="00EA1E99" w:rsidRDefault="00D85CE2" w:rsidP="00EA1E99">
      <w:pPr>
        <w:rPr>
          <w:rFonts w:cs="Times New Roman"/>
          <w:sz w:val="20"/>
          <w:szCs w:val="20"/>
        </w:rPr>
      </w:pPr>
      <w:r w:rsidRPr="00EA1E99">
        <w:rPr>
          <w:rStyle w:val="FootnoteReference"/>
          <w:rFonts w:cs="Times New Roman"/>
          <w:sz w:val="20"/>
          <w:szCs w:val="20"/>
        </w:rPr>
        <w:footnoteRef/>
      </w:r>
      <w:r w:rsidRPr="00EA1E99">
        <w:rPr>
          <w:rFonts w:cs="Times New Roman"/>
          <w:sz w:val="20"/>
          <w:szCs w:val="20"/>
        </w:rPr>
        <w:t xml:space="preserve"> Of course, it is certainly possible for domestic commissions of inquiry to reach credible and informed substantive conclusions of international law.  Indeed, the 2010 independent Dutch Committee of Inquiry on the War in Iraq (</w:t>
      </w:r>
      <w:proofErr w:type="spellStart"/>
      <w:r w:rsidRPr="00EA1E99">
        <w:rPr>
          <w:rFonts w:cs="Times New Roman"/>
          <w:sz w:val="20"/>
          <w:szCs w:val="20"/>
        </w:rPr>
        <w:t>Davids</w:t>
      </w:r>
      <w:proofErr w:type="spellEnd"/>
      <w:r w:rsidRPr="00EA1E99">
        <w:rPr>
          <w:rFonts w:cs="Times New Roman"/>
          <w:sz w:val="20"/>
          <w:szCs w:val="20"/>
        </w:rPr>
        <w:t xml:space="preserve"> Committee) did just this in relation to the Iraq War.  See, e.g., Rapport </w:t>
      </w:r>
      <w:proofErr w:type="spellStart"/>
      <w:r w:rsidRPr="00EA1E99">
        <w:rPr>
          <w:rFonts w:cs="Times New Roman"/>
          <w:sz w:val="20"/>
          <w:szCs w:val="20"/>
        </w:rPr>
        <w:t>Commissie-Davids</w:t>
      </w:r>
      <w:proofErr w:type="spellEnd"/>
      <w:r w:rsidRPr="00EA1E99">
        <w:rPr>
          <w:rFonts w:cs="Times New Roman"/>
          <w:sz w:val="20"/>
          <w:szCs w:val="20"/>
        </w:rPr>
        <w:t xml:space="preserve">, </w:t>
      </w:r>
      <w:proofErr w:type="spellStart"/>
      <w:r w:rsidRPr="00EA1E99">
        <w:rPr>
          <w:rFonts w:cs="Times New Roman"/>
          <w:i/>
          <w:sz w:val="20"/>
          <w:szCs w:val="20"/>
        </w:rPr>
        <w:t>Rijksoverheid</w:t>
      </w:r>
      <w:proofErr w:type="spellEnd"/>
      <w:r w:rsidRPr="00EA1E99">
        <w:rPr>
          <w:rFonts w:cs="Times New Roman"/>
          <w:i/>
          <w:sz w:val="20"/>
          <w:szCs w:val="20"/>
        </w:rPr>
        <w:t xml:space="preserve"> </w:t>
      </w:r>
      <w:r w:rsidRPr="00EA1E99">
        <w:rPr>
          <w:rFonts w:cs="Times New Roman"/>
          <w:sz w:val="20"/>
          <w:szCs w:val="20"/>
        </w:rPr>
        <w:t>(Dutch Government) (12 January 2010) www.rijksoverheid.nl/binaries/rijksoverheid/documenten/rapporten/2010/01/12/rapport-commissie-davids/rapport-commissie-irak.pdf, 530-1 [20].  See also Wilms</w:t>
      </w:r>
      <w:r w:rsidR="00DC5BBD" w:rsidRPr="00EA1E99">
        <w:rPr>
          <w:rFonts w:cs="Times New Roman"/>
          <w:sz w:val="20"/>
          <w:szCs w:val="20"/>
        </w:rPr>
        <w:t>hurst (n 9</w:t>
      </w:r>
      <w:r w:rsidRPr="00EA1E99">
        <w:rPr>
          <w:rFonts w:cs="Times New Roman"/>
          <w:sz w:val="20"/>
          <w:szCs w:val="20"/>
        </w:rPr>
        <w:t>).</w:t>
      </w:r>
    </w:p>
  </w:footnote>
  <w:footnote w:id="26">
    <w:p w14:paraId="2576844E"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Letter Sir John </w:t>
      </w:r>
      <w:proofErr w:type="spellStart"/>
      <w:r w:rsidRPr="00EA1E99">
        <w:rPr>
          <w:szCs w:val="20"/>
        </w:rPr>
        <w:t>Chilcot</w:t>
      </w:r>
      <w:proofErr w:type="spellEnd"/>
      <w:r w:rsidRPr="00EA1E99">
        <w:rPr>
          <w:szCs w:val="20"/>
        </w:rPr>
        <w:t xml:space="preserve"> to Sir Gus O’Donnell (6 January 2011) www.iraqinquiry.org.uk/media/96297/2011-01-06-Letter-Chilcot-to-ODonnell.pdf.</w:t>
      </w:r>
    </w:p>
  </w:footnote>
  <w:footnote w:id="27">
    <w:p w14:paraId="4EBE6872"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Military and International Law Advisers Appointed (13 October 2009) www.iraqinquiry.org.uk/the-inquiry/news-archive/2009/2009-10-13-advisers-appointed/.</w:t>
      </w:r>
    </w:p>
  </w:footnote>
  <w:footnote w:id="28">
    <w:p w14:paraId="79B9BB85"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The Iraq Inquiry Invites Submissions from International Lawyers (2 June 2010) www.iraqinquiry.org.uk/the-inquiry/news-archive/2010/2010-06-02-submissions-from-international-lawyers/.</w:t>
      </w:r>
    </w:p>
  </w:footnote>
  <w:footnote w:id="29">
    <w:p w14:paraId="655BE2E9" w14:textId="4E833756"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International Law Submissions, www.iraqinquiry.org.uk/other-material/submissions-international-law/.</w:t>
      </w:r>
    </w:p>
  </w:footnote>
  <w:footnote w:id="30">
    <w:p w14:paraId="111CFFC1" w14:textId="7DAD4161"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proofErr w:type="spellStart"/>
      <w:r w:rsidRPr="00EA1E99">
        <w:rPr>
          <w:szCs w:val="20"/>
        </w:rPr>
        <w:t>Chilcot</w:t>
      </w:r>
      <w:proofErr w:type="spellEnd"/>
      <w:r w:rsidRPr="00EA1E99">
        <w:rPr>
          <w:szCs w:val="20"/>
        </w:rPr>
        <w:t xml:space="preserve"> </w:t>
      </w:r>
      <w:r w:rsidR="00DC5BBD" w:rsidRPr="00EA1E99">
        <w:rPr>
          <w:szCs w:val="20"/>
        </w:rPr>
        <w:t>Report (n 7</w:t>
      </w:r>
      <w:r w:rsidRPr="00EA1E99">
        <w:rPr>
          <w:szCs w:val="20"/>
        </w:rPr>
        <w:t>) introduction [10].</w:t>
      </w:r>
    </w:p>
  </w:footnote>
  <w:footnote w:id="31">
    <w:p w14:paraId="208C534D"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[98].</w:t>
      </w:r>
    </w:p>
  </w:footnote>
  <w:footnote w:id="32">
    <w:p w14:paraId="42646FB0" w14:textId="0C66AC5F"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This review was conducted on behalf of the authors by </w:t>
      </w:r>
      <w:r w:rsidRPr="00EA1E99">
        <w:rPr>
          <w:color w:val="000000"/>
          <w:szCs w:val="20"/>
        </w:rPr>
        <w:t xml:space="preserve">April </w:t>
      </w:r>
      <w:proofErr w:type="spellStart"/>
      <w:r w:rsidRPr="00EA1E99">
        <w:rPr>
          <w:color w:val="000000"/>
          <w:szCs w:val="20"/>
        </w:rPr>
        <w:t>Longstaffe</w:t>
      </w:r>
      <w:proofErr w:type="spellEnd"/>
      <w:r w:rsidRPr="00EA1E99">
        <w:rPr>
          <w:color w:val="000000"/>
          <w:szCs w:val="20"/>
        </w:rPr>
        <w:t xml:space="preserve">: her research assistance was funded by the </w:t>
      </w:r>
      <w:r w:rsidRPr="00EA1E99">
        <w:rPr>
          <w:szCs w:val="20"/>
        </w:rPr>
        <w:t>ESRC ‘Commissions of Inquiry: Problems and Prospects’ project.  The dataset is on file with the authors.</w:t>
      </w:r>
    </w:p>
  </w:footnote>
  <w:footnote w:id="33">
    <w:p w14:paraId="221D8E0D" w14:textId="77777777" w:rsidR="00D85CE2" w:rsidRPr="00EA1E99" w:rsidRDefault="00D85CE2" w:rsidP="00EA1E99">
      <w:pPr>
        <w:rPr>
          <w:rFonts w:cs="Times New Roman"/>
          <w:sz w:val="20"/>
          <w:szCs w:val="20"/>
        </w:rPr>
      </w:pPr>
      <w:r w:rsidRPr="00EA1E99">
        <w:rPr>
          <w:rStyle w:val="FootnoteReference"/>
          <w:rFonts w:cs="Times New Roman"/>
          <w:sz w:val="20"/>
          <w:szCs w:val="20"/>
        </w:rPr>
        <w:footnoteRef/>
      </w:r>
      <w:r w:rsidRPr="00EA1E99">
        <w:rPr>
          <w:rFonts w:cs="Times New Roman"/>
          <w:sz w:val="20"/>
          <w:szCs w:val="20"/>
        </w:rPr>
        <w:t xml:space="preserve"> See, e.g., Caroline Lucas, ‘</w:t>
      </w:r>
      <w:proofErr w:type="spellStart"/>
      <w:r w:rsidRPr="00EA1E99">
        <w:rPr>
          <w:rFonts w:cs="Times New Roman"/>
          <w:sz w:val="20"/>
          <w:szCs w:val="20"/>
        </w:rPr>
        <w:t>Chilcot</w:t>
      </w:r>
      <w:proofErr w:type="spellEnd"/>
      <w:r w:rsidRPr="00EA1E99">
        <w:rPr>
          <w:rFonts w:cs="Times New Roman"/>
          <w:sz w:val="20"/>
          <w:szCs w:val="20"/>
        </w:rPr>
        <w:t xml:space="preserve"> Report: Evidence of Deception and Illegality’ </w:t>
      </w:r>
      <w:r w:rsidRPr="00EA1E99">
        <w:rPr>
          <w:rFonts w:cs="Times New Roman"/>
          <w:i/>
          <w:sz w:val="20"/>
          <w:szCs w:val="20"/>
        </w:rPr>
        <w:t>Caroline Lucas MP, Blog</w:t>
      </w:r>
      <w:r w:rsidRPr="00EA1E99">
        <w:rPr>
          <w:rFonts w:cs="Times New Roman"/>
          <w:sz w:val="20"/>
          <w:szCs w:val="20"/>
        </w:rPr>
        <w:t xml:space="preserve"> (6 July 2016) www.carolinelucas.com/latest/chilcot-report-evidence-of-deception-and-illegality.</w:t>
      </w:r>
    </w:p>
  </w:footnote>
  <w:footnote w:id="34">
    <w:p w14:paraId="62DF5DC4" w14:textId="77777777" w:rsidR="00D85CE2" w:rsidRPr="00EA1E99" w:rsidRDefault="00D85CE2" w:rsidP="00EA1E99">
      <w:pPr>
        <w:rPr>
          <w:rFonts w:cs="Times New Roman"/>
          <w:sz w:val="20"/>
          <w:szCs w:val="20"/>
        </w:rPr>
      </w:pPr>
      <w:r w:rsidRPr="00EA1E99">
        <w:rPr>
          <w:rStyle w:val="FootnoteReference"/>
          <w:rFonts w:cs="Times New Roman"/>
          <w:sz w:val="20"/>
          <w:szCs w:val="20"/>
        </w:rPr>
        <w:footnoteRef/>
      </w:r>
      <w:r w:rsidRPr="00EA1E99">
        <w:rPr>
          <w:rFonts w:cs="Times New Roman"/>
          <w:sz w:val="20"/>
          <w:szCs w:val="20"/>
        </w:rPr>
        <w:t xml:space="preserve"> John </w:t>
      </w:r>
      <w:proofErr w:type="spellStart"/>
      <w:r w:rsidRPr="00EA1E99">
        <w:rPr>
          <w:rFonts w:cs="Times New Roman"/>
          <w:sz w:val="20"/>
          <w:szCs w:val="20"/>
        </w:rPr>
        <w:t>Rentoul</w:t>
      </w:r>
      <w:proofErr w:type="spellEnd"/>
      <w:r w:rsidRPr="00EA1E99">
        <w:rPr>
          <w:rFonts w:cs="Times New Roman"/>
          <w:sz w:val="20"/>
          <w:szCs w:val="20"/>
        </w:rPr>
        <w:t xml:space="preserve">, ‘Is Sir John </w:t>
      </w:r>
      <w:proofErr w:type="spellStart"/>
      <w:r w:rsidRPr="00EA1E99">
        <w:rPr>
          <w:rFonts w:cs="Times New Roman"/>
          <w:sz w:val="20"/>
          <w:szCs w:val="20"/>
        </w:rPr>
        <w:t>Chilcot</w:t>
      </w:r>
      <w:proofErr w:type="spellEnd"/>
      <w:r w:rsidRPr="00EA1E99">
        <w:rPr>
          <w:rFonts w:cs="Times New Roman"/>
          <w:sz w:val="20"/>
          <w:szCs w:val="20"/>
        </w:rPr>
        <w:t xml:space="preserve"> Really Saying that Tony Blair Should Have Told the Spies He Didn’t Believe Them?’ </w:t>
      </w:r>
      <w:r w:rsidRPr="00EA1E99">
        <w:rPr>
          <w:rFonts w:cs="Times New Roman"/>
          <w:i/>
          <w:sz w:val="20"/>
          <w:szCs w:val="20"/>
        </w:rPr>
        <w:t>The Independent</w:t>
      </w:r>
      <w:r w:rsidRPr="00EA1E99">
        <w:rPr>
          <w:rFonts w:cs="Times New Roman"/>
          <w:sz w:val="20"/>
          <w:szCs w:val="20"/>
        </w:rPr>
        <w:t xml:space="preserve"> (6 July 2016) www.independent.co.uk/voices/chilcot-inquiry-report-iraq-war-tony-blair-should-have-told-spies-he-didnt-believe-them-a7122536.html.</w:t>
      </w:r>
    </w:p>
  </w:footnote>
  <w:footnote w:id="35">
    <w:p w14:paraId="2E1D0843" w14:textId="563F3D56"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proofErr w:type="spellStart"/>
      <w:r w:rsidRPr="00EA1E99">
        <w:rPr>
          <w:szCs w:val="20"/>
        </w:rPr>
        <w:t>Chilcot</w:t>
      </w:r>
      <w:proofErr w:type="spellEnd"/>
      <w:r w:rsidRPr="00EA1E99">
        <w:rPr>
          <w:szCs w:val="20"/>
        </w:rPr>
        <w:t xml:space="preserve"> Report (n </w:t>
      </w:r>
      <w:r w:rsidR="00DC5BBD" w:rsidRPr="00EA1E99">
        <w:rPr>
          <w:szCs w:val="20"/>
        </w:rPr>
        <w:t>7</w:t>
      </w:r>
      <w:r w:rsidRPr="00EA1E99">
        <w:rPr>
          <w:szCs w:val="20"/>
        </w:rPr>
        <w:t>) volume 5, section 5 [208].  See also ibid [219].</w:t>
      </w:r>
    </w:p>
  </w:footnote>
  <w:footnote w:id="36">
    <w:p w14:paraId="2AD2C6EF"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volume 3, section </w:t>
      </w:r>
      <w:r w:rsidRPr="00EA1E99">
        <w:rPr>
          <w:color w:val="000000"/>
          <w:szCs w:val="20"/>
        </w:rPr>
        <w:t>3.4 [531-3].</w:t>
      </w:r>
      <w:r w:rsidRPr="00EA1E99">
        <w:rPr>
          <w:szCs w:val="20"/>
        </w:rPr>
        <w:t xml:space="preserve"> </w:t>
      </w:r>
    </w:p>
  </w:footnote>
  <w:footnote w:id="37">
    <w:p w14:paraId="73269B6F"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volume 5, section 5 [199].</w:t>
      </w:r>
    </w:p>
  </w:footnote>
  <w:footnote w:id="38">
    <w:p w14:paraId="2B25DEA5" w14:textId="77153C9A" w:rsidR="00D85CE2" w:rsidRPr="00EA1E99" w:rsidRDefault="00D85CE2" w:rsidP="00EA1E99">
      <w:pPr>
        <w:pStyle w:val="FootnoteText"/>
        <w:rPr>
          <w:szCs w:val="20"/>
        </w:rPr>
      </w:pPr>
      <w:r w:rsidRPr="00EA1E99">
        <w:rPr>
          <w:rStyle w:val="FootnoteReference"/>
          <w:szCs w:val="20"/>
        </w:rPr>
        <w:footnoteRef/>
      </w:r>
      <w:r w:rsidR="00DC5BBD" w:rsidRPr="00EA1E99">
        <w:rPr>
          <w:szCs w:val="20"/>
        </w:rPr>
        <w:t xml:space="preserve"> See Weller (n 10</w:t>
      </w:r>
      <w:r w:rsidRPr="00EA1E99">
        <w:rPr>
          <w:szCs w:val="20"/>
        </w:rPr>
        <w:t>) 133-44.</w:t>
      </w:r>
    </w:p>
  </w:footnote>
  <w:footnote w:id="39">
    <w:p w14:paraId="66DB3A61" w14:textId="4D0D592F"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volume 5, section 5 [199].</w:t>
      </w:r>
    </w:p>
  </w:footnote>
  <w:footnote w:id="40">
    <w:p w14:paraId="50B0A74D" w14:textId="0FC25FE6"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volume 5, section 6.2 [822-5].</w:t>
      </w:r>
    </w:p>
  </w:footnote>
  <w:footnote w:id="41">
    <w:p w14:paraId="37D41E21" w14:textId="4CCE90D2" w:rsidR="00D85CE2" w:rsidRPr="00EA1E99" w:rsidRDefault="00D85CE2" w:rsidP="00EA1E99">
      <w:pPr>
        <w:pStyle w:val="FootnoteText"/>
        <w:rPr>
          <w:szCs w:val="20"/>
        </w:rPr>
      </w:pPr>
      <w:r w:rsidRPr="00EA1E99">
        <w:rPr>
          <w:rStyle w:val="FootnoteReference"/>
          <w:szCs w:val="20"/>
        </w:rPr>
        <w:footnoteRef/>
      </w:r>
      <w:r w:rsidR="00DC5BBD" w:rsidRPr="00EA1E99">
        <w:rPr>
          <w:szCs w:val="20"/>
        </w:rPr>
        <w:t xml:space="preserve"> See Wilmshurst (n 9</w:t>
      </w:r>
      <w:r w:rsidRPr="00EA1E99">
        <w:rPr>
          <w:szCs w:val="20"/>
        </w:rPr>
        <w:t>).</w:t>
      </w:r>
    </w:p>
  </w:footnote>
  <w:footnote w:id="42">
    <w:p w14:paraId="5F94ADEE" w14:textId="24832DED"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executive summary [439] (emphasis added).</w:t>
      </w:r>
    </w:p>
  </w:footnote>
  <w:footnote w:id="43">
    <w:p w14:paraId="3C819BAC" w14:textId="4166176A"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Although, with regard to dubious alternative lega</w:t>
      </w:r>
      <w:r w:rsidR="00DC5BBD" w:rsidRPr="00EA1E99">
        <w:rPr>
          <w:szCs w:val="20"/>
        </w:rPr>
        <w:t xml:space="preserve">l arguments, see </w:t>
      </w:r>
      <w:proofErr w:type="spellStart"/>
      <w:r w:rsidR="00DC5BBD" w:rsidRPr="00EA1E99">
        <w:rPr>
          <w:szCs w:val="20"/>
        </w:rPr>
        <w:t>McGoldrick</w:t>
      </w:r>
      <w:proofErr w:type="spellEnd"/>
      <w:r w:rsidR="00DC5BBD" w:rsidRPr="00EA1E99">
        <w:rPr>
          <w:szCs w:val="20"/>
        </w:rPr>
        <w:t xml:space="preserve"> (n 10</w:t>
      </w:r>
      <w:r w:rsidRPr="00EA1E99">
        <w:rPr>
          <w:szCs w:val="20"/>
        </w:rPr>
        <w:t>) 67-78.</w:t>
      </w:r>
    </w:p>
  </w:footnote>
  <w:footnote w:id="44">
    <w:p w14:paraId="65E16A69" w14:textId="3CB44A4C" w:rsidR="00D85CE2" w:rsidRPr="00EA1E99" w:rsidRDefault="00D85CE2" w:rsidP="00EA1E99">
      <w:pPr>
        <w:pStyle w:val="Default"/>
        <w:jc w:val="both"/>
        <w:rPr>
          <w:rFonts w:ascii="Times New Roman" w:hAnsi="Times New Roman" w:cs="Times New Roman"/>
          <w:sz w:val="20"/>
          <w:szCs w:val="20"/>
        </w:rPr>
      </w:pPr>
      <w:r w:rsidRPr="00EA1E99">
        <w:rPr>
          <w:rStyle w:val="FootnoteReference"/>
          <w:rFonts w:ascii="Times New Roman" w:hAnsi="Times New Roman" w:cs="Times New Roman"/>
          <w:sz w:val="20"/>
          <w:szCs w:val="20"/>
        </w:rPr>
        <w:footnoteRef/>
      </w:r>
      <w:r w:rsidRPr="00EA1E99">
        <w:rPr>
          <w:rFonts w:ascii="Times New Roman" w:hAnsi="Times New Roman" w:cs="Times New Roman"/>
          <w:sz w:val="20"/>
          <w:szCs w:val="20"/>
        </w:rPr>
        <w:t xml:space="preserve"> It is worth noting that the </w:t>
      </w:r>
      <w:proofErr w:type="spellStart"/>
      <w:r w:rsidRPr="00EA1E99">
        <w:rPr>
          <w:rFonts w:ascii="Times New Roman" w:hAnsi="Times New Roman" w:cs="Times New Roman"/>
          <w:sz w:val="20"/>
          <w:szCs w:val="20"/>
        </w:rPr>
        <w:t>Chilcot</w:t>
      </w:r>
      <w:proofErr w:type="spellEnd"/>
      <w:r w:rsidRPr="00EA1E99">
        <w:rPr>
          <w:rFonts w:ascii="Times New Roman" w:hAnsi="Times New Roman" w:cs="Times New Roman"/>
          <w:sz w:val="20"/>
          <w:szCs w:val="20"/>
        </w:rPr>
        <w:t xml:space="preserve"> Report did not just touch on substantive questions of international law, but also British domestic law.  For example, in sections 15.1 and 15.2, there are a number of reflections upon the common law duty of care owed by various executive departments and bodies to civilian personnel.  See, e.g., </w:t>
      </w:r>
      <w:proofErr w:type="spellStart"/>
      <w:r w:rsidR="00DC5BBD" w:rsidRPr="00EA1E99">
        <w:rPr>
          <w:rFonts w:ascii="Times New Roman" w:hAnsi="Times New Roman" w:cs="Times New Roman"/>
          <w:sz w:val="20"/>
          <w:szCs w:val="20"/>
        </w:rPr>
        <w:t>Chilcot</w:t>
      </w:r>
      <w:proofErr w:type="spellEnd"/>
      <w:r w:rsidR="00DC5BBD" w:rsidRPr="00EA1E99">
        <w:rPr>
          <w:rFonts w:ascii="Times New Roman" w:hAnsi="Times New Roman" w:cs="Times New Roman"/>
          <w:sz w:val="20"/>
          <w:szCs w:val="20"/>
        </w:rPr>
        <w:t xml:space="preserve"> Report (n 7)</w:t>
      </w:r>
      <w:r w:rsidRPr="00EA1E99">
        <w:rPr>
          <w:rFonts w:ascii="Times New Roman" w:hAnsi="Times New Roman" w:cs="Times New Roman"/>
          <w:sz w:val="20"/>
          <w:szCs w:val="20"/>
        </w:rPr>
        <w:t xml:space="preserve"> volume 11, section 15.1 [320-5, 439-44, 833-7]; and section 15.2 [39-59].</w:t>
      </w:r>
    </w:p>
  </w:footnote>
  <w:footnote w:id="45">
    <w:p w14:paraId="13BC2E04" w14:textId="02D776BC"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volume 5, section </w:t>
      </w:r>
      <w:r w:rsidRPr="00EA1E99">
        <w:rPr>
          <w:color w:val="000000"/>
          <w:szCs w:val="20"/>
        </w:rPr>
        <w:t>6.2 [349-50].  See also ibid, volume 12, section 17 [53] (similarly credibly summarising the same key IHL principles, but as applicable to civilian casualties).</w:t>
      </w:r>
    </w:p>
  </w:footnote>
  <w:footnote w:id="46">
    <w:p w14:paraId="7CB22578" w14:textId="1A10E919" w:rsidR="00D85CE2" w:rsidRPr="00EA1E99" w:rsidRDefault="00D85CE2" w:rsidP="00EA1E99">
      <w:pPr>
        <w:rPr>
          <w:rFonts w:cs="Times New Roman"/>
          <w:sz w:val="20"/>
          <w:szCs w:val="20"/>
        </w:rPr>
      </w:pPr>
      <w:r w:rsidRPr="00EA1E99">
        <w:rPr>
          <w:rStyle w:val="FootnoteReference"/>
          <w:rFonts w:cs="Times New Roman"/>
          <w:sz w:val="20"/>
          <w:szCs w:val="20"/>
        </w:rPr>
        <w:footnoteRef/>
      </w:r>
      <w:r w:rsidRPr="00EA1E99">
        <w:rPr>
          <w:rFonts w:cs="Times New Roman"/>
          <w:sz w:val="20"/>
          <w:szCs w:val="20"/>
        </w:rPr>
        <w:t xml:space="preserve"> See generally Ian Henderson, </w:t>
      </w:r>
      <w:r w:rsidRPr="00EA1E99">
        <w:rPr>
          <w:rFonts w:cs="Times New Roman"/>
          <w:i/>
          <w:sz w:val="20"/>
          <w:szCs w:val="20"/>
        </w:rPr>
        <w:t>The Contemporary Law of Targeting: Military Objectives, Proportionality and Precautions in Attack under Additional Protocol I</w:t>
      </w:r>
      <w:r w:rsidRPr="00EA1E99">
        <w:rPr>
          <w:rFonts w:cs="Times New Roman"/>
          <w:sz w:val="20"/>
          <w:szCs w:val="20"/>
        </w:rPr>
        <w:t xml:space="preserve"> (</w:t>
      </w:r>
      <w:proofErr w:type="spellStart"/>
      <w:r w:rsidRPr="00EA1E99">
        <w:rPr>
          <w:rFonts w:cs="Times New Roman"/>
          <w:sz w:val="20"/>
          <w:szCs w:val="20"/>
        </w:rPr>
        <w:t>Martinus</w:t>
      </w:r>
      <w:proofErr w:type="spellEnd"/>
      <w:r w:rsidRPr="00EA1E99">
        <w:rPr>
          <w:rFonts w:cs="Times New Roman"/>
          <w:sz w:val="20"/>
          <w:szCs w:val="20"/>
        </w:rPr>
        <w:t xml:space="preserve"> </w:t>
      </w:r>
      <w:proofErr w:type="spellStart"/>
      <w:r w:rsidRPr="00EA1E99">
        <w:rPr>
          <w:rFonts w:cs="Times New Roman"/>
          <w:sz w:val="20"/>
          <w:szCs w:val="20"/>
        </w:rPr>
        <w:t>Nijhoff</w:t>
      </w:r>
      <w:proofErr w:type="spellEnd"/>
      <w:r w:rsidRPr="00EA1E99">
        <w:rPr>
          <w:rFonts w:cs="Times New Roman"/>
          <w:sz w:val="20"/>
          <w:szCs w:val="20"/>
        </w:rPr>
        <w:t xml:space="preserve"> 2009).</w:t>
      </w:r>
    </w:p>
  </w:footnote>
  <w:footnote w:id="47">
    <w:p w14:paraId="353E0A33" w14:textId="6030B492" w:rsidR="00D85CE2" w:rsidRPr="00EA1E99" w:rsidRDefault="00D85CE2" w:rsidP="00EA1E99">
      <w:pPr>
        <w:rPr>
          <w:rFonts w:cs="Times New Roman"/>
          <w:sz w:val="20"/>
          <w:szCs w:val="20"/>
        </w:rPr>
      </w:pPr>
      <w:r w:rsidRPr="00EA1E99">
        <w:rPr>
          <w:rStyle w:val="FootnoteReference"/>
          <w:rFonts w:cs="Times New Roman"/>
          <w:sz w:val="20"/>
          <w:szCs w:val="20"/>
        </w:rPr>
        <w:footnoteRef/>
      </w:r>
      <w:r w:rsidRPr="00EA1E99">
        <w:rPr>
          <w:rFonts w:cs="Times New Roman"/>
          <w:sz w:val="20"/>
          <w:szCs w:val="20"/>
        </w:rPr>
        <w:t xml:space="preserve"> </w:t>
      </w:r>
      <w:proofErr w:type="spellStart"/>
      <w:r w:rsidR="00DC5BBD" w:rsidRPr="00EA1E99">
        <w:rPr>
          <w:rFonts w:cs="Times New Roman"/>
          <w:sz w:val="20"/>
          <w:szCs w:val="20"/>
        </w:rPr>
        <w:t>Chilcot</w:t>
      </w:r>
      <w:proofErr w:type="spellEnd"/>
      <w:r w:rsidR="00DC5BBD" w:rsidRPr="00EA1E99">
        <w:rPr>
          <w:rFonts w:cs="Times New Roman"/>
          <w:sz w:val="20"/>
          <w:szCs w:val="20"/>
        </w:rPr>
        <w:t xml:space="preserve"> Report (n 7)</w:t>
      </w:r>
      <w:r w:rsidRPr="00EA1E99">
        <w:rPr>
          <w:rFonts w:cs="Times New Roman"/>
          <w:sz w:val="20"/>
          <w:szCs w:val="20"/>
        </w:rPr>
        <w:t xml:space="preserve"> volume 5, section </w:t>
      </w:r>
      <w:r w:rsidRPr="00EA1E99">
        <w:rPr>
          <w:rFonts w:cs="Times New Roman"/>
          <w:color w:val="000000"/>
          <w:sz w:val="20"/>
          <w:szCs w:val="20"/>
        </w:rPr>
        <w:t xml:space="preserve">6.2 [803].  </w:t>
      </w:r>
      <w:r w:rsidRPr="00EA1E99">
        <w:rPr>
          <w:rFonts w:cs="Times New Roman"/>
          <w:sz w:val="20"/>
          <w:szCs w:val="20"/>
        </w:rPr>
        <w:t xml:space="preserve">See generally Roger O’Keefe, </w:t>
      </w:r>
      <w:r w:rsidRPr="00EA1E99">
        <w:rPr>
          <w:rFonts w:cs="Times New Roman"/>
          <w:i/>
          <w:sz w:val="20"/>
          <w:szCs w:val="20"/>
        </w:rPr>
        <w:t>The Protection of Cultural Property in Armed Conflict</w:t>
      </w:r>
      <w:r w:rsidRPr="00EA1E99">
        <w:rPr>
          <w:rFonts w:cs="Times New Roman"/>
          <w:sz w:val="20"/>
          <w:szCs w:val="20"/>
        </w:rPr>
        <w:t xml:space="preserve"> (Cambridge University Press 2006).</w:t>
      </w:r>
    </w:p>
  </w:footnote>
  <w:footnote w:id="48">
    <w:p w14:paraId="281A0997" w14:textId="66A042DD"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volume 5, section </w:t>
      </w:r>
      <w:r w:rsidRPr="00EA1E99">
        <w:rPr>
          <w:color w:val="000000"/>
          <w:szCs w:val="20"/>
        </w:rPr>
        <w:t>5 [534-5].</w:t>
      </w:r>
    </w:p>
  </w:footnote>
  <w:footnote w:id="49">
    <w:p w14:paraId="09EEAF24"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Vienna Convention on the Law of Treaties 1155 UNTS 331 (23 May 1969).</w:t>
      </w:r>
    </w:p>
  </w:footnote>
  <w:footnote w:id="50">
    <w:p w14:paraId="24C19DEB" w14:textId="736701A9"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volume 5, section </w:t>
      </w:r>
      <w:r w:rsidRPr="00EA1E99">
        <w:rPr>
          <w:color w:val="000000"/>
          <w:szCs w:val="20"/>
        </w:rPr>
        <w:t xml:space="preserve">5 [108].  </w:t>
      </w:r>
    </w:p>
  </w:footnote>
  <w:footnote w:id="51">
    <w:p w14:paraId="32D40FCC"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volume 5, section </w:t>
      </w:r>
      <w:r w:rsidRPr="00EA1E99">
        <w:rPr>
          <w:color w:val="000000"/>
          <w:szCs w:val="20"/>
        </w:rPr>
        <w:t xml:space="preserve">5 [574].  </w:t>
      </w:r>
    </w:p>
  </w:footnote>
  <w:footnote w:id="52">
    <w:p w14:paraId="7FA03553" w14:textId="4CE7BAC0" w:rsidR="00D85CE2" w:rsidRPr="00EA1E99" w:rsidRDefault="00D85CE2" w:rsidP="00EA1E99">
      <w:pPr>
        <w:pStyle w:val="FootnoteText"/>
        <w:rPr>
          <w:szCs w:val="20"/>
        </w:rPr>
      </w:pPr>
      <w:r w:rsidRPr="00EA1E99">
        <w:rPr>
          <w:rStyle w:val="FootnoteReference"/>
          <w:szCs w:val="20"/>
        </w:rPr>
        <w:footnoteRef/>
      </w:r>
      <w:r w:rsidR="00DC5BBD" w:rsidRPr="00EA1E99">
        <w:rPr>
          <w:szCs w:val="20"/>
        </w:rPr>
        <w:t xml:space="preserve"> See n 19 – n 22</w:t>
      </w:r>
      <w:r w:rsidRPr="00EA1E99">
        <w:rPr>
          <w:szCs w:val="20"/>
        </w:rPr>
        <w:t xml:space="preserve"> and accompanying text.</w:t>
      </w:r>
    </w:p>
  </w:footnote>
  <w:footnote w:id="53">
    <w:p w14:paraId="0C6ECD45" w14:textId="6A514348" w:rsidR="00D85CE2" w:rsidRPr="00EA1E99" w:rsidRDefault="00D85CE2" w:rsidP="00EA1E99">
      <w:pPr>
        <w:pStyle w:val="FootnoteText"/>
        <w:rPr>
          <w:szCs w:val="20"/>
        </w:rPr>
      </w:pPr>
      <w:r w:rsidRPr="00EA1E99">
        <w:rPr>
          <w:rStyle w:val="FootnoteReference"/>
          <w:rFonts w:eastAsiaTheme="majorEastAsia"/>
          <w:szCs w:val="20"/>
        </w:rPr>
        <w:footnoteRef/>
      </w:r>
      <w:r w:rsidR="00DC5BBD" w:rsidRPr="00EA1E99">
        <w:rPr>
          <w:szCs w:val="20"/>
        </w:rPr>
        <w:t xml:space="preserve"> Peevers (n 10</w:t>
      </w:r>
      <w:r w:rsidRPr="00EA1E99">
        <w:rPr>
          <w:szCs w:val="20"/>
        </w:rPr>
        <w:t>) 55.</w:t>
      </w:r>
    </w:p>
  </w:footnote>
  <w:footnote w:id="54">
    <w:p w14:paraId="1E1AD967" w14:textId="5E1BB3E4" w:rsidR="00D85CE2" w:rsidRPr="00EA1E99" w:rsidRDefault="00D85CE2" w:rsidP="00EA1E99">
      <w:pPr>
        <w:pStyle w:val="FootnoteText"/>
        <w:rPr>
          <w:szCs w:val="20"/>
        </w:rPr>
      </w:pPr>
      <w:r w:rsidRPr="00EA1E99">
        <w:rPr>
          <w:rStyle w:val="FootnoteReference"/>
          <w:szCs w:val="20"/>
        </w:rPr>
        <w:footnoteRef/>
      </w:r>
      <w:r w:rsidR="00DC5BBD" w:rsidRPr="00EA1E99">
        <w:rPr>
          <w:szCs w:val="20"/>
        </w:rPr>
        <w:t xml:space="preserve"> See n 13</w:t>
      </w:r>
      <w:r w:rsidRPr="00EA1E99">
        <w:rPr>
          <w:szCs w:val="20"/>
        </w:rPr>
        <w:t xml:space="preserve"> – n </w:t>
      </w:r>
      <w:r w:rsidR="00DC5BBD" w:rsidRPr="00EA1E99">
        <w:rPr>
          <w:szCs w:val="20"/>
        </w:rPr>
        <w:t>17</w:t>
      </w:r>
      <w:r w:rsidRPr="00EA1E99">
        <w:rPr>
          <w:szCs w:val="20"/>
        </w:rPr>
        <w:t xml:space="preserve"> and accompanying text.</w:t>
      </w:r>
    </w:p>
  </w:footnote>
  <w:footnote w:id="55">
    <w:p w14:paraId="16F214F3" w14:textId="0D6F213C"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volume 5, section 5.</w:t>
      </w:r>
    </w:p>
  </w:footnote>
  <w:footnote w:id="56">
    <w:p w14:paraId="601A730F" w14:textId="00AF3A6E" w:rsidR="00D85CE2" w:rsidRPr="00EA1E99" w:rsidRDefault="00D85CE2" w:rsidP="00EA1E99">
      <w:pPr>
        <w:rPr>
          <w:rFonts w:cs="Times New Roman"/>
          <w:sz w:val="20"/>
          <w:szCs w:val="20"/>
        </w:rPr>
      </w:pPr>
      <w:r w:rsidRPr="00EA1E99">
        <w:rPr>
          <w:rStyle w:val="FootnoteReference"/>
          <w:rFonts w:cs="Times New Roman"/>
          <w:sz w:val="20"/>
          <w:szCs w:val="20"/>
        </w:rPr>
        <w:footnoteRef/>
      </w:r>
      <w:r w:rsidRPr="00EA1E99">
        <w:rPr>
          <w:rFonts w:cs="Times New Roman"/>
          <w:sz w:val="20"/>
          <w:szCs w:val="20"/>
        </w:rPr>
        <w:t xml:space="preserve"> </w:t>
      </w:r>
      <w:r w:rsidRPr="00EA1E99">
        <w:rPr>
          <w:rFonts w:cs="Times New Roman"/>
          <w:color w:val="000000"/>
          <w:sz w:val="20"/>
          <w:szCs w:val="20"/>
        </w:rPr>
        <w:t xml:space="preserve">See, e.g., </w:t>
      </w:r>
      <w:r w:rsidRPr="00EA1E99">
        <w:rPr>
          <w:rFonts w:cs="Times New Roman"/>
          <w:sz w:val="20"/>
          <w:szCs w:val="20"/>
        </w:rPr>
        <w:t xml:space="preserve">ibid, volume 2, section </w:t>
      </w:r>
      <w:r w:rsidRPr="00EA1E99">
        <w:rPr>
          <w:rFonts w:cs="Times New Roman"/>
          <w:color w:val="000000"/>
          <w:sz w:val="20"/>
          <w:szCs w:val="20"/>
        </w:rPr>
        <w:t xml:space="preserve">3.3 [90, 485-502]; volume 5, section </w:t>
      </w:r>
      <w:r w:rsidRPr="00EA1E99">
        <w:rPr>
          <w:rFonts w:cs="Times New Roman"/>
          <w:sz w:val="20"/>
          <w:szCs w:val="20"/>
        </w:rPr>
        <w:t>6.1 [301]; volume 5, section 6.2 [351-75, 713-800]; volume 9, section 10.1 [154-7]; and volume 10, section 11.1 [55].</w:t>
      </w:r>
    </w:p>
  </w:footnote>
  <w:footnote w:id="57">
    <w:p w14:paraId="11C58079" w14:textId="2A59123D" w:rsidR="00D85CE2" w:rsidRPr="00EA1E99" w:rsidRDefault="00D85CE2" w:rsidP="00EA1E99">
      <w:pPr>
        <w:pStyle w:val="FootnoteText"/>
        <w:rPr>
          <w:szCs w:val="20"/>
        </w:rPr>
      </w:pPr>
      <w:r w:rsidRPr="00EA1E99">
        <w:rPr>
          <w:rStyle w:val="FootnoteReference"/>
          <w:rFonts w:eastAsiaTheme="majorEastAsia"/>
          <w:szCs w:val="20"/>
        </w:rPr>
        <w:footnoteRef/>
      </w:r>
      <w:r w:rsidRPr="00EA1E99">
        <w:rPr>
          <w:szCs w:val="20"/>
        </w:rPr>
        <w:t xml:space="preserve"> Scott and Baird (n </w:t>
      </w:r>
      <w:r w:rsidR="00DC5BBD" w:rsidRPr="00EA1E99">
        <w:rPr>
          <w:szCs w:val="20"/>
        </w:rPr>
        <w:t>14</w:t>
      </w:r>
      <w:r w:rsidRPr="00EA1E99">
        <w:rPr>
          <w:szCs w:val="20"/>
        </w:rPr>
        <w:t>) ix.</w:t>
      </w:r>
    </w:p>
  </w:footnote>
  <w:footnote w:id="58">
    <w:p w14:paraId="60DE6278" w14:textId="6C1FE4B5" w:rsidR="00D85CE2" w:rsidRPr="00EA1E99" w:rsidRDefault="00D85CE2" w:rsidP="00EA1E99">
      <w:pPr>
        <w:pStyle w:val="FootnoteText"/>
        <w:rPr>
          <w:szCs w:val="20"/>
        </w:rPr>
      </w:pPr>
      <w:r w:rsidRPr="00EA1E99">
        <w:rPr>
          <w:rStyle w:val="FootnoteReference"/>
          <w:rFonts w:eastAsiaTheme="majorEastAsia"/>
          <w:szCs w:val="20"/>
        </w:rPr>
        <w:footnoteRef/>
      </w:r>
      <w:r w:rsidR="00DC5BBD" w:rsidRPr="00EA1E99">
        <w:rPr>
          <w:szCs w:val="20"/>
        </w:rPr>
        <w:t xml:space="preserve"> See Peevers (n 10</w:t>
      </w:r>
      <w:r w:rsidRPr="00EA1E99">
        <w:rPr>
          <w:szCs w:val="20"/>
        </w:rPr>
        <w:t>) 55.</w:t>
      </w:r>
    </w:p>
  </w:footnote>
  <w:footnote w:id="59">
    <w:p w14:paraId="043FEF25" w14:textId="5B517CDE"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r w:rsidR="00763D5D">
        <w:rPr>
          <w:szCs w:val="20"/>
        </w:rPr>
        <w:t>Were it not for the creation of</w:t>
      </w:r>
      <w:r w:rsidRPr="00EA1E99">
        <w:rPr>
          <w:szCs w:val="20"/>
        </w:rPr>
        <w:t xml:space="preserve"> the </w:t>
      </w:r>
      <w:proofErr w:type="spellStart"/>
      <w:r w:rsidRPr="00EA1E99">
        <w:rPr>
          <w:szCs w:val="20"/>
        </w:rPr>
        <w:t>Chilcot</w:t>
      </w:r>
      <w:proofErr w:type="spellEnd"/>
      <w:r w:rsidRPr="00EA1E99">
        <w:rPr>
          <w:szCs w:val="20"/>
        </w:rPr>
        <w:t xml:space="preserve"> Inquiry, which </w:t>
      </w:r>
      <w:r w:rsidR="00763D5D">
        <w:rPr>
          <w:szCs w:val="20"/>
        </w:rPr>
        <w:t>led to</w:t>
      </w:r>
      <w:r w:rsidRPr="00EA1E99">
        <w:rPr>
          <w:szCs w:val="20"/>
        </w:rPr>
        <w:t xml:space="preserve"> the declassification of many government documents, it would have likely taken decades for the matter to be truly exposed to public scrutiny, given that the 1967 amendment of the Public Records Act 1958 (c.51) imposes a 30-year-rule for declassification.</w:t>
      </w:r>
    </w:p>
  </w:footnote>
  <w:footnote w:id="60">
    <w:p w14:paraId="19EC16B8" w14:textId="2E3DB97A" w:rsidR="00D85CE2" w:rsidRPr="00EA1E99" w:rsidRDefault="00D85CE2" w:rsidP="00EA1E99">
      <w:pPr>
        <w:pStyle w:val="FootnoteText"/>
        <w:rPr>
          <w:szCs w:val="20"/>
        </w:rPr>
      </w:pPr>
      <w:r w:rsidRPr="00EA1E99">
        <w:rPr>
          <w:rStyle w:val="FootnoteReference"/>
          <w:rFonts w:eastAsiaTheme="majorEastAsia"/>
          <w:szCs w:val="20"/>
        </w:rPr>
        <w:footnoteRef/>
      </w:r>
      <w:r w:rsidRPr="00EA1E99">
        <w:rPr>
          <w:szCs w:val="20"/>
        </w:rPr>
        <w:t xml:space="preserve"> See, e.g., Tom Blass, ‘The Iraq Inquiry’ </w:t>
      </w:r>
      <w:r w:rsidRPr="00EA1E99">
        <w:rPr>
          <w:i/>
          <w:szCs w:val="20"/>
        </w:rPr>
        <w:t>International Bar Association</w:t>
      </w:r>
      <w:r w:rsidRPr="00EA1E99">
        <w:rPr>
          <w:szCs w:val="20"/>
        </w:rPr>
        <w:t xml:space="preserve"> (6 January 2011) www.ibanet.org/Article/Detail.aspx?ArticleUid=6c486ccb-6222-428d-88d7-3e2dcbc5c113 (quoting Anne </w:t>
      </w:r>
      <w:proofErr w:type="spellStart"/>
      <w:r w:rsidRPr="00EA1E99">
        <w:rPr>
          <w:szCs w:val="20"/>
        </w:rPr>
        <w:t>Ramberg</w:t>
      </w:r>
      <w:proofErr w:type="spellEnd"/>
      <w:r w:rsidRPr="00EA1E99">
        <w:rPr>
          <w:szCs w:val="20"/>
        </w:rPr>
        <w:t xml:space="preserve">, Secretary General of the Swedish Bar Association and Co-Chair of the IBA’s Rule Of Law Action Group). </w:t>
      </w:r>
    </w:p>
  </w:footnote>
  <w:footnote w:id="61">
    <w:p w14:paraId="4E747E7E" w14:textId="44AC8350"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The features of, and the many difficulties faced by, government legal advisers are a frequent theme in the literature.  See, e.g., ‘Symposium,  Speaking  Law  to  Power:  International  Law  and  Foreign  Policy’ (2005) 23  </w:t>
      </w:r>
      <w:r w:rsidRPr="00EA1E99">
        <w:rPr>
          <w:i/>
          <w:szCs w:val="20"/>
        </w:rPr>
        <w:t>Wisconsin  International  Law Journal</w:t>
      </w:r>
      <w:r w:rsidRPr="00EA1E99">
        <w:rPr>
          <w:szCs w:val="20"/>
        </w:rPr>
        <w:t xml:space="preserve">  1; </w:t>
      </w:r>
      <w:proofErr w:type="spellStart"/>
      <w:r w:rsidRPr="00EA1E99">
        <w:rPr>
          <w:szCs w:val="20"/>
        </w:rPr>
        <w:t>Zidar</w:t>
      </w:r>
      <w:proofErr w:type="spellEnd"/>
      <w:r w:rsidRPr="00EA1E99">
        <w:rPr>
          <w:szCs w:val="20"/>
        </w:rPr>
        <w:t xml:space="preserve"> and </w:t>
      </w:r>
      <w:proofErr w:type="spellStart"/>
      <w:r w:rsidRPr="00EA1E99">
        <w:rPr>
          <w:szCs w:val="20"/>
        </w:rPr>
        <w:t>Gauci</w:t>
      </w:r>
      <w:proofErr w:type="spellEnd"/>
      <w:r w:rsidRPr="00EA1E99">
        <w:rPr>
          <w:szCs w:val="20"/>
        </w:rPr>
        <w:t xml:space="preserve"> (</w:t>
      </w:r>
      <w:proofErr w:type="spellStart"/>
      <w:r w:rsidRPr="00EA1E99">
        <w:rPr>
          <w:szCs w:val="20"/>
        </w:rPr>
        <w:t>eds</w:t>
      </w:r>
      <w:proofErr w:type="spellEnd"/>
      <w:r w:rsidRPr="00EA1E99">
        <w:rPr>
          <w:szCs w:val="20"/>
        </w:rPr>
        <w:t xml:space="preserve">) (n </w:t>
      </w:r>
      <w:r w:rsidR="00DC5BBD" w:rsidRPr="00EA1E99">
        <w:rPr>
          <w:szCs w:val="20"/>
        </w:rPr>
        <w:t>12</w:t>
      </w:r>
      <w:r w:rsidRPr="00EA1E99">
        <w:rPr>
          <w:szCs w:val="20"/>
        </w:rPr>
        <w:t xml:space="preserve">); and </w:t>
      </w:r>
      <w:proofErr w:type="spellStart"/>
      <w:r w:rsidRPr="00EA1E99">
        <w:rPr>
          <w:szCs w:val="20"/>
        </w:rPr>
        <w:t>Wickremasinghe</w:t>
      </w:r>
      <w:proofErr w:type="spellEnd"/>
      <w:r w:rsidRPr="00EA1E99">
        <w:rPr>
          <w:szCs w:val="20"/>
        </w:rPr>
        <w:t xml:space="preserve"> (</w:t>
      </w:r>
      <w:proofErr w:type="spellStart"/>
      <w:r w:rsidRPr="00EA1E99">
        <w:rPr>
          <w:szCs w:val="20"/>
        </w:rPr>
        <w:t>ed</w:t>
      </w:r>
      <w:proofErr w:type="spellEnd"/>
      <w:r w:rsidRPr="00EA1E99">
        <w:rPr>
          <w:szCs w:val="20"/>
        </w:rPr>
        <w:t xml:space="preserve">) (n </w:t>
      </w:r>
      <w:r w:rsidR="00DC5BBD" w:rsidRPr="00EA1E99">
        <w:rPr>
          <w:szCs w:val="20"/>
        </w:rPr>
        <w:t>12</w:t>
      </w:r>
      <w:r w:rsidRPr="00EA1E99">
        <w:rPr>
          <w:szCs w:val="20"/>
        </w:rPr>
        <w:t>).</w:t>
      </w:r>
    </w:p>
  </w:footnote>
  <w:footnote w:id="62">
    <w:p w14:paraId="740F66A7" w14:textId="1E3977A9"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Statement by Sir</w:t>
      </w:r>
      <w:r w:rsidR="00DC5BBD" w:rsidRPr="00EA1E99">
        <w:rPr>
          <w:szCs w:val="20"/>
        </w:rPr>
        <w:t xml:space="preserve"> John </w:t>
      </w:r>
      <w:proofErr w:type="spellStart"/>
      <w:r w:rsidR="00DC5BBD" w:rsidRPr="00EA1E99">
        <w:rPr>
          <w:szCs w:val="20"/>
        </w:rPr>
        <w:t>Chilcot</w:t>
      </w:r>
      <w:proofErr w:type="spellEnd"/>
      <w:r w:rsidR="00DC5BBD" w:rsidRPr="00EA1E99">
        <w:rPr>
          <w:szCs w:val="20"/>
        </w:rPr>
        <w:t xml:space="preserve"> (6 July 2016) (n 15</w:t>
      </w:r>
      <w:r w:rsidRPr="00EA1E99">
        <w:rPr>
          <w:szCs w:val="20"/>
        </w:rPr>
        <w:t>) 4 (emphasis added).</w:t>
      </w:r>
    </w:p>
  </w:footnote>
  <w:footnote w:id="63">
    <w:p w14:paraId="65750F0A" w14:textId="6066AA6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volume 5, section </w:t>
      </w:r>
      <w:r w:rsidRPr="00EA1E99">
        <w:rPr>
          <w:color w:val="000000"/>
          <w:szCs w:val="20"/>
        </w:rPr>
        <w:t xml:space="preserve">5 [159].  </w:t>
      </w:r>
    </w:p>
  </w:footnote>
  <w:footnote w:id="64">
    <w:p w14:paraId="56CEED24" w14:textId="5855C952"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w:t>
      </w:r>
      <w:r w:rsidRPr="00EA1E99">
        <w:rPr>
          <w:color w:val="000000"/>
          <w:szCs w:val="20"/>
        </w:rPr>
        <w:t xml:space="preserve"> [163] (emphasis added).  </w:t>
      </w:r>
    </w:p>
  </w:footnote>
  <w:footnote w:id="65">
    <w:p w14:paraId="28CB180C" w14:textId="65A177D0"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subsection 3.B.</w:t>
      </w:r>
    </w:p>
  </w:footnote>
  <w:footnote w:id="66">
    <w:p w14:paraId="6CAB41FC" w14:textId="7B955A85"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volume 5, section </w:t>
      </w:r>
      <w:r w:rsidRPr="00EA1E99">
        <w:rPr>
          <w:color w:val="000000"/>
          <w:szCs w:val="20"/>
        </w:rPr>
        <w:t>5 [454-6, 908 and 914].</w:t>
      </w:r>
    </w:p>
  </w:footnote>
  <w:footnote w:id="67">
    <w:p w14:paraId="15C9631E" w14:textId="4D67B9EB"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w:t>
      </w:r>
      <w:r w:rsidRPr="00EA1E99">
        <w:rPr>
          <w:color w:val="000000"/>
          <w:szCs w:val="20"/>
        </w:rPr>
        <w:t xml:space="preserve"> </w:t>
      </w:r>
      <w:r w:rsidRPr="00EA1E99">
        <w:rPr>
          <w:szCs w:val="20"/>
        </w:rPr>
        <w:t>[825-85].</w:t>
      </w:r>
    </w:p>
  </w:footnote>
  <w:footnote w:id="68">
    <w:p w14:paraId="176C8150" w14:textId="496A5D81"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ibid</w:t>
      </w:r>
      <w:r w:rsidRPr="00EA1E99">
        <w:rPr>
          <w:color w:val="000000"/>
          <w:szCs w:val="20"/>
        </w:rPr>
        <w:t xml:space="preserve"> [908].</w:t>
      </w:r>
    </w:p>
  </w:footnote>
  <w:footnote w:id="69">
    <w:p w14:paraId="5E20F645" w14:textId="4A1ACE99"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w:t>
      </w:r>
      <w:r w:rsidRPr="00EA1E99">
        <w:rPr>
          <w:color w:val="000000"/>
          <w:szCs w:val="20"/>
        </w:rPr>
        <w:t xml:space="preserve">5 </w:t>
      </w:r>
      <w:r w:rsidRPr="00EA1E99">
        <w:rPr>
          <w:szCs w:val="20"/>
        </w:rPr>
        <w:t xml:space="preserve">[679] (citing Thomas Erskine May, </w:t>
      </w:r>
      <w:r w:rsidRPr="00EA1E99">
        <w:rPr>
          <w:i/>
          <w:szCs w:val="20"/>
        </w:rPr>
        <w:t>Parliamentary Practice</w:t>
      </w:r>
      <w:r w:rsidRPr="00EA1E99">
        <w:rPr>
          <w:szCs w:val="20"/>
        </w:rPr>
        <w:t xml:space="preserve"> (22nd </w:t>
      </w:r>
      <w:proofErr w:type="spellStart"/>
      <w:r w:rsidRPr="00EA1E99">
        <w:rPr>
          <w:szCs w:val="20"/>
        </w:rPr>
        <w:t>edn</w:t>
      </w:r>
      <w:proofErr w:type="spellEnd"/>
      <w:r w:rsidRPr="00EA1E99">
        <w:rPr>
          <w:szCs w:val="20"/>
        </w:rPr>
        <w:t>, Butterworths 2001)).</w:t>
      </w:r>
    </w:p>
  </w:footnote>
  <w:footnote w:id="70">
    <w:p w14:paraId="6E72E5C5" w14:textId="4CCA4CEC"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volume 5, section </w:t>
      </w:r>
      <w:r w:rsidRPr="00EA1E99">
        <w:rPr>
          <w:color w:val="000000"/>
          <w:szCs w:val="20"/>
        </w:rPr>
        <w:t>5 [22].</w:t>
      </w:r>
    </w:p>
  </w:footnote>
  <w:footnote w:id="71">
    <w:p w14:paraId="06E8896B" w14:textId="30BE2B6A"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r w:rsidRPr="00EA1E99">
        <w:rPr>
          <w:i/>
          <w:szCs w:val="20"/>
        </w:rPr>
        <w:t xml:space="preserve">The Cabinet Manual: A Guide to Laws, Conventions and Rules on the Operation of Government </w:t>
      </w:r>
      <w:r w:rsidRPr="00EA1E99">
        <w:rPr>
          <w:szCs w:val="20"/>
        </w:rPr>
        <w:t>(Cabinet Office 2011) [</w:t>
      </w:r>
      <w:r w:rsidRPr="00EA1E99">
        <w:rPr>
          <w:color w:val="000000"/>
          <w:szCs w:val="20"/>
        </w:rPr>
        <w:t xml:space="preserve">5.36-5.38]; and </w:t>
      </w:r>
      <w:r w:rsidRPr="00EA1E99">
        <w:rPr>
          <w:i/>
          <w:szCs w:val="20"/>
        </w:rPr>
        <w:t>Constitutional Arrangements for the Use of Armed Force – Constitution Committee</w:t>
      </w:r>
      <w:r w:rsidRPr="00EA1E99">
        <w:rPr>
          <w:szCs w:val="20"/>
        </w:rPr>
        <w:t>, Chapter 2: Chapter 3: Parliament’s Role (2003) www.publications.parliament.uk/pa/ld201314/ldselect/ldconst/46/4606.htm#a11.</w:t>
      </w:r>
    </w:p>
  </w:footnote>
  <w:footnote w:id="72">
    <w:p w14:paraId="12BDC756" w14:textId="7E520E18"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introduction</w:t>
      </w:r>
      <w:r w:rsidRPr="00EA1E99">
        <w:rPr>
          <w:color w:val="000000"/>
          <w:szCs w:val="20"/>
        </w:rPr>
        <w:t xml:space="preserve"> [73].</w:t>
      </w:r>
    </w:p>
  </w:footnote>
  <w:footnote w:id="73">
    <w:p w14:paraId="3C364B67"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volume 5, section </w:t>
      </w:r>
      <w:r w:rsidRPr="00EA1E99">
        <w:rPr>
          <w:color w:val="000000"/>
          <w:szCs w:val="20"/>
        </w:rPr>
        <w:t>5 [808].</w:t>
      </w:r>
    </w:p>
  </w:footnote>
  <w:footnote w:id="74">
    <w:p w14:paraId="5B6C573E" w14:textId="4C61426F"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w:t>
      </w:r>
      <w:r w:rsidRPr="00EA1E99">
        <w:rPr>
          <w:color w:val="000000"/>
          <w:szCs w:val="20"/>
        </w:rPr>
        <w:t xml:space="preserve"> [957].</w:t>
      </w:r>
    </w:p>
  </w:footnote>
  <w:footnote w:id="75">
    <w:p w14:paraId="56C94FE3" w14:textId="59F1934C"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w:t>
      </w:r>
      <w:r w:rsidRPr="00EA1E99">
        <w:rPr>
          <w:color w:val="000000"/>
          <w:szCs w:val="20"/>
        </w:rPr>
        <w:t xml:space="preserve"> [233].</w:t>
      </w:r>
    </w:p>
  </w:footnote>
  <w:footnote w:id="76">
    <w:p w14:paraId="17AEC952" w14:textId="6FF991C7" w:rsidR="00D85CE2" w:rsidRPr="00EA1E99" w:rsidRDefault="00D85CE2" w:rsidP="00EA1E99">
      <w:pPr>
        <w:rPr>
          <w:rFonts w:cs="Times New Roman"/>
          <w:sz w:val="20"/>
          <w:szCs w:val="20"/>
        </w:rPr>
      </w:pPr>
      <w:r w:rsidRPr="00EA1E99">
        <w:rPr>
          <w:rStyle w:val="FootnoteReference"/>
          <w:rFonts w:cs="Times New Roman"/>
          <w:sz w:val="20"/>
          <w:szCs w:val="20"/>
        </w:rPr>
        <w:footnoteRef/>
      </w:r>
      <w:r w:rsidRPr="00EA1E99">
        <w:rPr>
          <w:rFonts w:cs="Times New Roman"/>
          <w:sz w:val="20"/>
          <w:szCs w:val="20"/>
        </w:rPr>
        <w:t xml:space="preserve"> </w:t>
      </w:r>
      <w:r w:rsidRPr="00EA1E99">
        <w:rPr>
          <w:rFonts w:cs="Times New Roman"/>
          <w:i/>
          <w:sz w:val="20"/>
          <w:szCs w:val="20"/>
        </w:rPr>
        <w:t>Constitutional Arrangements for the Use of Armed Force – Constitution Committee</w:t>
      </w:r>
      <w:r w:rsidRPr="00EA1E99">
        <w:rPr>
          <w:rFonts w:cs="Times New Roman"/>
          <w:sz w:val="20"/>
          <w:szCs w:val="20"/>
        </w:rPr>
        <w:t>, Chapter 2: The Government’s Internal Decision-Making Process (2003) www.publications.parliament.uk/pa/ld201314/ldselect/ldconst/46/4605.htm [23-5].</w:t>
      </w:r>
    </w:p>
  </w:footnote>
  <w:footnote w:id="77">
    <w:p w14:paraId="61A8F4FE" w14:textId="1BDDC1A9"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executive summary [441]; and volume 5, section </w:t>
      </w:r>
      <w:r w:rsidRPr="00EA1E99">
        <w:rPr>
          <w:color w:val="000000"/>
          <w:szCs w:val="20"/>
        </w:rPr>
        <w:t xml:space="preserve">5 [38, 63 and 99]. </w:t>
      </w:r>
    </w:p>
  </w:footnote>
  <w:footnote w:id="78">
    <w:p w14:paraId="4AD4CEF5" w14:textId="3BEE07E6"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w:t>
      </w:r>
      <w:r w:rsidRPr="00EA1E99">
        <w:rPr>
          <w:color w:val="000000"/>
          <w:szCs w:val="20"/>
        </w:rPr>
        <w:t xml:space="preserve"> [16 and 119].</w:t>
      </w:r>
    </w:p>
  </w:footnote>
  <w:footnote w:id="79">
    <w:p w14:paraId="08FD4A26" w14:textId="024152E1"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ibid</w:t>
      </w:r>
      <w:r w:rsidRPr="00EA1E99">
        <w:rPr>
          <w:color w:val="000000"/>
          <w:szCs w:val="20"/>
        </w:rPr>
        <w:t xml:space="preserve"> </w:t>
      </w:r>
      <w:r w:rsidRPr="00EA1E99">
        <w:rPr>
          <w:szCs w:val="20"/>
        </w:rPr>
        <w:t>[127].</w:t>
      </w:r>
    </w:p>
  </w:footnote>
  <w:footnote w:id="80">
    <w:p w14:paraId="594A100C" w14:textId="4A3071C0"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w:t>
      </w:r>
      <w:r w:rsidRPr="00EA1E99">
        <w:rPr>
          <w:color w:val="000000"/>
          <w:szCs w:val="20"/>
        </w:rPr>
        <w:t xml:space="preserve"> </w:t>
      </w:r>
      <w:r w:rsidRPr="00EA1E99">
        <w:rPr>
          <w:szCs w:val="20"/>
        </w:rPr>
        <w:t>[906].</w:t>
      </w:r>
    </w:p>
  </w:footnote>
  <w:footnote w:id="81">
    <w:p w14:paraId="1D9407F3" w14:textId="4DEE6E54"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ibid, executive summary [66-9 and 94].</w:t>
      </w:r>
    </w:p>
  </w:footnote>
  <w:footnote w:id="82">
    <w:p w14:paraId="20545577" w14:textId="5A3ADC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ibid [441-57].</w:t>
      </w:r>
    </w:p>
  </w:footnote>
  <w:footnote w:id="83">
    <w:p w14:paraId="66FA4F26" w14:textId="4CDC00FB"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volume 5, section </w:t>
      </w:r>
      <w:r w:rsidRPr="00EA1E99">
        <w:rPr>
          <w:color w:val="000000"/>
          <w:szCs w:val="20"/>
        </w:rPr>
        <w:t xml:space="preserve">5 </w:t>
      </w:r>
      <w:r w:rsidRPr="00EA1E99">
        <w:rPr>
          <w:szCs w:val="20"/>
        </w:rPr>
        <w:t>[139 and 329].</w:t>
      </w:r>
    </w:p>
  </w:footnote>
  <w:footnote w:id="84">
    <w:p w14:paraId="42BCC8B1" w14:textId="2B35C1D8"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ibid [166-96].</w:t>
      </w:r>
    </w:p>
  </w:footnote>
  <w:footnote w:id="85">
    <w:p w14:paraId="1898C93B" w14:textId="68602E45"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ibid [</w:t>
      </w:r>
      <w:r w:rsidRPr="00EA1E99">
        <w:rPr>
          <w:color w:val="000000"/>
          <w:szCs w:val="20"/>
        </w:rPr>
        <w:t>132-3</w:t>
      </w:r>
      <w:r w:rsidRPr="00EA1E99">
        <w:rPr>
          <w:szCs w:val="20"/>
        </w:rPr>
        <w:t>].</w:t>
      </w:r>
    </w:p>
  </w:footnote>
  <w:footnote w:id="86">
    <w:p w14:paraId="583190AE" w14:textId="04B9D0D9"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ibid [127, 133-4 and 139].</w:t>
      </w:r>
    </w:p>
  </w:footnote>
  <w:footnote w:id="87">
    <w:p w14:paraId="4F09A9CF" w14:textId="463A4A1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[16, 38 and 909].</w:t>
      </w:r>
    </w:p>
  </w:footnote>
  <w:footnote w:id="88">
    <w:p w14:paraId="6B1AFDF7" w14:textId="2B07E5AC"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Philip Alston, ‘</w:t>
      </w:r>
      <w:proofErr w:type="gramStart"/>
      <w:r w:rsidRPr="00EA1E99">
        <w:rPr>
          <w:szCs w:val="20"/>
        </w:rPr>
        <w:t>The</w:t>
      </w:r>
      <w:proofErr w:type="gramEnd"/>
      <w:r w:rsidRPr="00EA1E99">
        <w:rPr>
          <w:szCs w:val="20"/>
        </w:rPr>
        <w:t xml:space="preserve"> Myopia of the Handmaidens: International Lawyers and Globalization’ (1997) 3 </w:t>
      </w:r>
      <w:r w:rsidRPr="00EA1E99">
        <w:rPr>
          <w:i/>
          <w:szCs w:val="20"/>
        </w:rPr>
        <w:t>European Journal of International Law</w:t>
      </w:r>
      <w:r w:rsidRPr="00EA1E99">
        <w:rPr>
          <w:szCs w:val="20"/>
        </w:rPr>
        <w:t xml:space="preserve"> 435; and Martti Koskenniemi, ‘The Fate of International Law: Between Technique and Politics’ (2007) 70 </w:t>
      </w:r>
      <w:r w:rsidRPr="00EA1E99">
        <w:rPr>
          <w:i/>
          <w:szCs w:val="20"/>
        </w:rPr>
        <w:t>Modern Law Review</w:t>
      </w:r>
      <w:r w:rsidRPr="00EA1E99">
        <w:rPr>
          <w:szCs w:val="20"/>
        </w:rPr>
        <w:t xml:space="preserve"> 1.</w:t>
      </w:r>
    </w:p>
  </w:footnote>
  <w:footnote w:id="89">
    <w:p w14:paraId="618020FA" w14:textId="19288291" w:rsidR="00D85CE2" w:rsidRPr="00EA1E99" w:rsidRDefault="00D85CE2" w:rsidP="00EA1E99">
      <w:pPr>
        <w:rPr>
          <w:rFonts w:cs="Times New Roman"/>
          <w:sz w:val="20"/>
          <w:szCs w:val="20"/>
        </w:rPr>
      </w:pPr>
      <w:r w:rsidRPr="00EA1E99">
        <w:rPr>
          <w:rStyle w:val="FootnoteReference"/>
          <w:rFonts w:cs="Times New Roman"/>
          <w:sz w:val="20"/>
          <w:szCs w:val="20"/>
        </w:rPr>
        <w:footnoteRef/>
      </w:r>
      <w:r w:rsidRPr="00EA1E99">
        <w:rPr>
          <w:rFonts w:cs="Times New Roman"/>
          <w:sz w:val="20"/>
          <w:szCs w:val="20"/>
        </w:rPr>
        <w:t xml:space="preserve"> See Charlotte Peevers, ‘Guest Post Part I: The </w:t>
      </w:r>
      <w:proofErr w:type="spellStart"/>
      <w:r w:rsidRPr="00EA1E99">
        <w:rPr>
          <w:rFonts w:cs="Times New Roman"/>
          <w:sz w:val="20"/>
          <w:szCs w:val="20"/>
        </w:rPr>
        <w:t>Chilcot</w:t>
      </w:r>
      <w:proofErr w:type="spellEnd"/>
      <w:r w:rsidRPr="00EA1E99">
        <w:rPr>
          <w:rFonts w:cs="Times New Roman"/>
          <w:sz w:val="20"/>
          <w:szCs w:val="20"/>
        </w:rPr>
        <w:t xml:space="preserve"> Inquiry – The Publication Saga of an Official History’ </w:t>
      </w:r>
      <w:proofErr w:type="spellStart"/>
      <w:r w:rsidRPr="00EA1E99">
        <w:rPr>
          <w:rFonts w:cs="Times New Roman"/>
          <w:i/>
          <w:sz w:val="20"/>
          <w:szCs w:val="20"/>
        </w:rPr>
        <w:t>Opinio</w:t>
      </w:r>
      <w:proofErr w:type="spellEnd"/>
      <w:r w:rsidRPr="00EA1E99">
        <w:rPr>
          <w:rFonts w:cs="Times New Roman"/>
          <w:i/>
          <w:sz w:val="20"/>
          <w:szCs w:val="20"/>
        </w:rPr>
        <w:t xml:space="preserve"> Juris</w:t>
      </w:r>
      <w:r w:rsidRPr="00EA1E99">
        <w:rPr>
          <w:rFonts w:cs="Times New Roman"/>
          <w:sz w:val="20"/>
          <w:szCs w:val="20"/>
        </w:rPr>
        <w:t xml:space="preserve"> (17 February 2015) http://opiniojuris.org/2015/02/17/guest-post-chilcot-inquiry-part-publication-saga-official-history/. </w:t>
      </w:r>
    </w:p>
  </w:footnote>
  <w:footnote w:id="90">
    <w:p w14:paraId="2DAB828A" w14:textId="33C11C17" w:rsidR="00D85CE2" w:rsidRPr="00EA1E99" w:rsidRDefault="00D85CE2" w:rsidP="00EA1E99">
      <w:pPr>
        <w:rPr>
          <w:rFonts w:cs="Times New Roman"/>
          <w:color w:val="000000"/>
          <w:sz w:val="20"/>
          <w:szCs w:val="20"/>
        </w:rPr>
      </w:pPr>
      <w:r w:rsidRPr="00EA1E99">
        <w:rPr>
          <w:rStyle w:val="FootnoteReference"/>
          <w:rFonts w:cs="Times New Roman"/>
          <w:sz w:val="20"/>
          <w:szCs w:val="20"/>
        </w:rPr>
        <w:footnoteRef/>
      </w:r>
      <w:r w:rsidRPr="00EA1E99">
        <w:rPr>
          <w:rFonts w:cs="Times New Roman"/>
          <w:sz w:val="20"/>
          <w:szCs w:val="20"/>
        </w:rPr>
        <w:t xml:space="preserve"> See, e.g., </w:t>
      </w:r>
      <w:proofErr w:type="spellStart"/>
      <w:r w:rsidR="00DC5BBD" w:rsidRPr="00EA1E99">
        <w:rPr>
          <w:rFonts w:cs="Times New Roman"/>
          <w:color w:val="000000"/>
          <w:sz w:val="20"/>
          <w:szCs w:val="20"/>
        </w:rPr>
        <w:t>Chilcot</w:t>
      </w:r>
      <w:proofErr w:type="spellEnd"/>
      <w:r w:rsidR="00DC5BBD" w:rsidRPr="00EA1E99">
        <w:rPr>
          <w:rFonts w:cs="Times New Roman"/>
          <w:color w:val="000000"/>
          <w:sz w:val="20"/>
          <w:szCs w:val="20"/>
        </w:rPr>
        <w:t xml:space="preserve"> Report (n 7)</w:t>
      </w:r>
      <w:r w:rsidRPr="00EA1E99">
        <w:rPr>
          <w:rFonts w:cs="Times New Roman"/>
          <w:color w:val="000000"/>
          <w:sz w:val="20"/>
          <w:szCs w:val="20"/>
        </w:rPr>
        <w:t xml:space="preserve"> volume 2, section 3.3 [485-502] (</w:t>
      </w:r>
      <w:r w:rsidRPr="00EA1E99">
        <w:rPr>
          <w:rFonts w:cs="Times New Roman"/>
          <w:sz w:val="20"/>
          <w:szCs w:val="20"/>
        </w:rPr>
        <w:t>the Inquiry’s apparent implicit acceptance</w:t>
      </w:r>
      <w:r w:rsidRPr="00EA1E99">
        <w:rPr>
          <w:rFonts w:cs="Times New Roman"/>
          <w:color w:val="000000"/>
          <w:sz w:val="20"/>
          <w:szCs w:val="20"/>
        </w:rPr>
        <w:t xml:space="preserve"> of Tony Blair’s claim that the Attorney General’s advice in July 2002 – to the effect a further SC resolution was undoubtedly required before any intervention could possibly be lawful – was welcome and </w:t>
      </w:r>
      <w:r w:rsidRPr="00EA1E99">
        <w:rPr>
          <w:rFonts w:cs="Times New Roman"/>
          <w:i/>
          <w:color w:val="000000"/>
          <w:sz w:val="20"/>
          <w:szCs w:val="20"/>
        </w:rPr>
        <w:t>had a distinct effect on policy</w:t>
      </w:r>
      <w:r w:rsidRPr="00EA1E99">
        <w:rPr>
          <w:rFonts w:cs="Times New Roman"/>
          <w:color w:val="000000"/>
          <w:sz w:val="20"/>
          <w:szCs w:val="20"/>
        </w:rPr>
        <w:t xml:space="preserve">, shaping the attempt to obtain what ultimately became resolution 1441); and volume 5, section 5 </w:t>
      </w:r>
      <w:r w:rsidRPr="00EA1E99">
        <w:rPr>
          <w:rFonts w:cs="Times New Roman"/>
          <w:sz w:val="20"/>
          <w:szCs w:val="20"/>
        </w:rPr>
        <w:t>[140] (Mr Blair’s claim that, had advice from the Attorney General unequivocally been that the use of force was unlawful, then the UK ‘</w:t>
      </w:r>
      <w:r w:rsidRPr="00EA1E99">
        <w:rPr>
          <w:rFonts w:cs="Times New Roman"/>
          <w:color w:val="000000"/>
          <w:sz w:val="20"/>
          <w:szCs w:val="20"/>
        </w:rPr>
        <w:t>would have been unable to take action’).</w:t>
      </w:r>
    </w:p>
  </w:footnote>
  <w:footnote w:id="91">
    <w:p w14:paraId="3BF557B7" w14:textId="4201BF86"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This explains why international lawyers have long been keen on formal separation between law and politics, with some even suggesting a more constitutionalist perspective.  See </w:t>
      </w:r>
      <w:proofErr w:type="spellStart"/>
      <w:r w:rsidRPr="00EA1E99">
        <w:rPr>
          <w:szCs w:val="20"/>
        </w:rPr>
        <w:t>Mattias</w:t>
      </w:r>
      <w:proofErr w:type="spellEnd"/>
      <w:r w:rsidRPr="00EA1E99">
        <w:rPr>
          <w:szCs w:val="20"/>
        </w:rPr>
        <w:t xml:space="preserve"> </w:t>
      </w:r>
      <w:proofErr w:type="spellStart"/>
      <w:r w:rsidRPr="00EA1E99">
        <w:rPr>
          <w:szCs w:val="20"/>
        </w:rPr>
        <w:t>Kumm</w:t>
      </w:r>
      <w:proofErr w:type="spellEnd"/>
      <w:r w:rsidRPr="00EA1E99">
        <w:rPr>
          <w:szCs w:val="20"/>
        </w:rPr>
        <w:t>, ‘</w:t>
      </w:r>
      <w:proofErr w:type="gramStart"/>
      <w:r w:rsidRPr="00EA1E99">
        <w:rPr>
          <w:szCs w:val="20"/>
        </w:rPr>
        <w:t>The</w:t>
      </w:r>
      <w:proofErr w:type="gramEnd"/>
      <w:r w:rsidRPr="00EA1E99">
        <w:rPr>
          <w:szCs w:val="20"/>
        </w:rPr>
        <w:t xml:space="preserve"> Legitimacy of International Law: A Constitutionalist Framework of Analysis’ (2004) 15 </w:t>
      </w:r>
      <w:r w:rsidRPr="00EA1E99">
        <w:rPr>
          <w:i/>
          <w:szCs w:val="20"/>
        </w:rPr>
        <w:t>European Journal of International Law</w:t>
      </w:r>
      <w:r w:rsidRPr="00EA1E99">
        <w:rPr>
          <w:szCs w:val="20"/>
        </w:rPr>
        <w:t xml:space="preserve"> 907.</w:t>
      </w:r>
    </w:p>
  </w:footnote>
  <w:footnote w:id="92">
    <w:p w14:paraId="4B14F831" w14:textId="7367C9C6"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w:t>
      </w:r>
      <w:proofErr w:type="spellStart"/>
      <w:r w:rsidR="00DC5BBD" w:rsidRPr="00EA1E99">
        <w:rPr>
          <w:color w:val="000000"/>
          <w:szCs w:val="20"/>
        </w:rPr>
        <w:t>Chilcot</w:t>
      </w:r>
      <w:proofErr w:type="spellEnd"/>
      <w:r w:rsidR="00DC5BBD" w:rsidRPr="00EA1E99">
        <w:rPr>
          <w:color w:val="000000"/>
          <w:szCs w:val="20"/>
        </w:rPr>
        <w:t xml:space="preserve"> Report (n 7)</w:t>
      </w:r>
      <w:r w:rsidRPr="00EA1E99">
        <w:rPr>
          <w:color w:val="000000"/>
          <w:szCs w:val="20"/>
        </w:rPr>
        <w:t xml:space="preserve"> volume 1, section 2 [164]; volume 2, section 3.4 [34-6].</w:t>
      </w:r>
      <w:r w:rsidRPr="00EA1E99">
        <w:rPr>
          <w:szCs w:val="20"/>
        </w:rPr>
        <w:t xml:space="preserve"> </w:t>
      </w:r>
    </w:p>
  </w:footnote>
  <w:footnote w:id="93">
    <w:p w14:paraId="323D9B41" w14:textId="6E192EB2"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volume 5, section 5 [943].</w:t>
      </w:r>
    </w:p>
  </w:footnote>
  <w:footnote w:id="94">
    <w:p w14:paraId="09FD3526" w14:textId="209EB8EA"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[943].</w:t>
      </w:r>
    </w:p>
  </w:footnote>
  <w:footnote w:id="95">
    <w:p w14:paraId="777924B7" w14:textId="64316736"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[944].</w:t>
      </w:r>
    </w:p>
  </w:footnote>
  <w:footnote w:id="96">
    <w:p w14:paraId="0DA8D91E" w14:textId="54CD05B6"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ibid [394].</w:t>
      </w:r>
    </w:p>
  </w:footnote>
  <w:footnote w:id="97">
    <w:p w14:paraId="122A4F1A" w14:textId="4A7D694E"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w:t>
      </w:r>
      <w:r w:rsidRPr="00EA1E99">
        <w:rPr>
          <w:color w:val="000000"/>
          <w:szCs w:val="20"/>
        </w:rPr>
        <w:t xml:space="preserve"> [952].</w:t>
      </w:r>
    </w:p>
  </w:footnote>
  <w:footnote w:id="98">
    <w:p w14:paraId="0C1CBD90" w14:textId="04D6DA70"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ibid </w:t>
      </w:r>
      <w:r w:rsidRPr="00EA1E99">
        <w:rPr>
          <w:color w:val="000000"/>
          <w:szCs w:val="20"/>
        </w:rPr>
        <w:t>[85, 686, 701, 857-63, 872, 878 and 950].</w:t>
      </w:r>
    </w:p>
  </w:footnote>
  <w:footnote w:id="99">
    <w:p w14:paraId="618E31AB" w14:textId="02EAACF9"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w:t>
      </w:r>
      <w:r w:rsidRPr="00EA1E99">
        <w:rPr>
          <w:color w:val="000000"/>
          <w:szCs w:val="20"/>
        </w:rPr>
        <w:t xml:space="preserve"> [35].</w:t>
      </w:r>
    </w:p>
  </w:footnote>
  <w:footnote w:id="100">
    <w:p w14:paraId="3C6D37A5" w14:textId="57214FAF"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Sir Franklin Berman, ‘The Role of the International Lawyer in the Making of Foreign Policy’ in </w:t>
      </w:r>
      <w:proofErr w:type="spellStart"/>
      <w:r w:rsidRPr="00EA1E99">
        <w:rPr>
          <w:szCs w:val="20"/>
        </w:rPr>
        <w:t>Chanaka</w:t>
      </w:r>
      <w:proofErr w:type="spellEnd"/>
      <w:r w:rsidRPr="00EA1E99">
        <w:rPr>
          <w:szCs w:val="20"/>
        </w:rPr>
        <w:t xml:space="preserve"> </w:t>
      </w:r>
      <w:proofErr w:type="spellStart"/>
      <w:r w:rsidRPr="00EA1E99">
        <w:rPr>
          <w:szCs w:val="20"/>
        </w:rPr>
        <w:t>Wickremasinghe</w:t>
      </w:r>
      <w:proofErr w:type="spellEnd"/>
      <w:r w:rsidRPr="00EA1E99">
        <w:rPr>
          <w:szCs w:val="20"/>
        </w:rPr>
        <w:t xml:space="preserve"> (</w:t>
      </w:r>
      <w:proofErr w:type="spellStart"/>
      <w:r w:rsidRPr="00EA1E99">
        <w:rPr>
          <w:szCs w:val="20"/>
        </w:rPr>
        <w:t>ed</w:t>
      </w:r>
      <w:proofErr w:type="spellEnd"/>
      <w:r w:rsidRPr="00EA1E99">
        <w:rPr>
          <w:szCs w:val="20"/>
        </w:rPr>
        <w:t xml:space="preserve">), </w:t>
      </w:r>
      <w:r w:rsidRPr="00EA1E99">
        <w:rPr>
          <w:i/>
          <w:szCs w:val="20"/>
        </w:rPr>
        <w:t>The International Lawyer As Practitioner</w:t>
      </w:r>
      <w:r w:rsidRPr="00EA1E99">
        <w:rPr>
          <w:szCs w:val="20"/>
        </w:rPr>
        <w:t xml:space="preserve"> (British Institute of International and Comparative Law 2000) (‘It would be a rare case indeed if a Governmental legal adviser were in a position to </w:t>
      </w:r>
      <w:r w:rsidRPr="00EA1E99">
        <w:rPr>
          <w:i/>
          <w:szCs w:val="20"/>
        </w:rPr>
        <w:t>compel</w:t>
      </w:r>
      <w:r w:rsidRPr="00EA1E99">
        <w:rPr>
          <w:szCs w:val="20"/>
        </w:rPr>
        <w:t xml:space="preserve"> the Government he [or she] serves to act in one way or another…when it comes to action the final decision may not be his [or hers]’).</w:t>
      </w:r>
    </w:p>
  </w:footnote>
  <w:footnote w:id="101">
    <w:p w14:paraId="22CFE55C" w14:textId="7FAEF1AE"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volume 5, section 6.1 [418</w:t>
      </w:r>
      <w:r w:rsidRPr="00EA1E99">
        <w:rPr>
          <w:color w:val="000000"/>
          <w:szCs w:val="20"/>
        </w:rPr>
        <w:t xml:space="preserve">].  </w:t>
      </w:r>
    </w:p>
  </w:footnote>
  <w:footnote w:id="102">
    <w:p w14:paraId="1C9EC970" w14:textId="1024DB29"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r w:rsidRPr="00EA1E99">
        <w:rPr>
          <w:color w:val="000000"/>
          <w:szCs w:val="20"/>
        </w:rPr>
        <w:t>ibid volume 1, section 3.2, [11-2 and 106-7].</w:t>
      </w:r>
    </w:p>
  </w:footnote>
  <w:footnote w:id="103">
    <w:p w14:paraId="0B6FC4C1" w14:textId="11EEDAB4"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volume 5, section </w:t>
      </w:r>
      <w:r w:rsidRPr="00EA1E99">
        <w:rPr>
          <w:color w:val="000000"/>
          <w:szCs w:val="20"/>
        </w:rPr>
        <w:t xml:space="preserve">5 </w:t>
      </w:r>
      <w:r w:rsidRPr="00EA1E99">
        <w:rPr>
          <w:szCs w:val="20"/>
        </w:rPr>
        <w:t>[349-54].</w:t>
      </w:r>
    </w:p>
  </w:footnote>
  <w:footnote w:id="104">
    <w:p w14:paraId="60B8B7EF" w14:textId="6DE29916"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w:t>
      </w:r>
      <w:r w:rsidRPr="00EA1E99">
        <w:rPr>
          <w:color w:val="000000"/>
          <w:szCs w:val="20"/>
        </w:rPr>
        <w:t xml:space="preserve"> [344-8].  </w:t>
      </w:r>
      <w:r w:rsidRPr="00EA1E99">
        <w:rPr>
          <w:szCs w:val="20"/>
        </w:rPr>
        <w:t>Indeed, Sir Michael went so far as to state that ‘[t]o use force without Security Council authority would amount to the crime of aggression.’  ibid [348].</w:t>
      </w:r>
    </w:p>
  </w:footnote>
  <w:footnote w:id="105">
    <w:p w14:paraId="1BEBA1FE" w14:textId="108F6154"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w:t>
      </w:r>
      <w:r w:rsidRPr="00EA1E99">
        <w:rPr>
          <w:color w:val="000000"/>
          <w:szCs w:val="20"/>
        </w:rPr>
        <w:t xml:space="preserve">[351].  </w:t>
      </w:r>
    </w:p>
  </w:footnote>
  <w:footnote w:id="106">
    <w:p w14:paraId="74A4A85E" w14:textId="4C3FF53C"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ibid [358].</w:t>
      </w:r>
    </w:p>
  </w:footnote>
  <w:footnote w:id="107">
    <w:p w14:paraId="3E7C4D05" w14:textId="69329709"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w:t>
      </w:r>
      <w:r w:rsidRPr="00EA1E99">
        <w:rPr>
          <w:color w:val="000000"/>
          <w:szCs w:val="20"/>
        </w:rPr>
        <w:t xml:space="preserve"> [197].</w:t>
      </w:r>
    </w:p>
  </w:footnote>
  <w:footnote w:id="108">
    <w:p w14:paraId="5F3FF896" w14:textId="71F3E431"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w:t>
      </w:r>
      <w:r w:rsidRPr="00EA1E99">
        <w:rPr>
          <w:color w:val="000000"/>
          <w:szCs w:val="20"/>
        </w:rPr>
        <w:t xml:space="preserve"> [382].  </w:t>
      </w:r>
    </w:p>
  </w:footnote>
  <w:footnote w:id="109">
    <w:p w14:paraId="79BFEA78" w14:textId="1C192A4F"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[358].</w:t>
      </w:r>
    </w:p>
  </w:footnote>
  <w:footnote w:id="110">
    <w:p w14:paraId="6DF01F05" w14:textId="3BADA382"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This is particularly the case when the authorisation of military action is concerned, as this undoubtedly remains one of the prerogative powers of the crown.  See Nigel D White, </w:t>
      </w:r>
      <w:r w:rsidRPr="00EA1E99">
        <w:rPr>
          <w:i/>
          <w:szCs w:val="20"/>
        </w:rPr>
        <w:t>Democracy Goes to War: British Military Deployments Under International Law</w:t>
      </w:r>
      <w:r w:rsidRPr="00EA1E99">
        <w:rPr>
          <w:szCs w:val="20"/>
        </w:rPr>
        <w:t xml:space="preserve"> (Oxford University </w:t>
      </w:r>
      <w:r w:rsidR="00DC5BBD" w:rsidRPr="00EA1E99">
        <w:rPr>
          <w:szCs w:val="20"/>
        </w:rPr>
        <w:t xml:space="preserve">Press 2009) 19-22.  See also </w:t>
      </w:r>
      <w:proofErr w:type="spellStart"/>
      <w:r w:rsidR="00DC5BBD" w:rsidRPr="00EA1E99">
        <w:rPr>
          <w:szCs w:val="20"/>
        </w:rPr>
        <w:t>n</w:t>
      </w:r>
      <w:proofErr w:type="spellEnd"/>
      <w:r w:rsidR="00DC5BBD" w:rsidRPr="00EA1E99">
        <w:rPr>
          <w:szCs w:val="20"/>
        </w:rPr>
        <w:t xml:space="preserve"> 73</w:t>
      </w:r>
      <w:r w:rsidRPr="00EA1E99">
        <w:rPr>
          <w:szCs w:val="20"/>
        </w:rPr>
        <w:t xml:space="preserve"> and accompanying text.</w:t>
      </w:r>
    </w:p>
  </w:footnote>
  <w:footnote w:id="111">
    <w:p w14:paraId="40BC37E4" w14:textId="7E90BB6C"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executive summary</w:t>
      </w:r>
      <w:r w:rsidRPr="00EA1E99">
        <w:rPr>
          <w:color w:val="000000"/>
          <w:szCs w:val="20"/>
        </w:rPr>
        <w:t xml:space="preserve"> [537].</w:t>
      </w:r>
    </w:p>
  </w:footnote>
  <w:footnote w:id="112">
    <w:p w14:paraId="3028B495"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This matter has, quite rightly, already been engaged within the blogosphere. See, e.g., Richard Moorhead, ‘Independence Play – </w:t>
      </w:r>
      <w:proofErr w:type="spellStart"/>
      <w:r w:rsidRPr="00EA1E99">
        <w:rPr>
          <w:szCs w:val="20"/>
        </w:rPr>
        <w:t>Chilcot</w:t>
      </w:r>
      <w:proofErr w:type="spellEnd"/>
      <w:r w:rsidRPr="00EA1E99">
        <w:rPr>
          <w:szCs w:val="20"/>
        </w:rPr>
        <w:t xml:space="preserve"> on the Legal Process’ </w:t>
      </w:r>
      <w:r w:rsidRPr="00EA1E99">
        <w:rPr>
          <w:i/>
          <w:szCs w:val="20"/>
        </w:rPr>
        <w:t>Lawyer Watch</w:t>
      </w:r>
      <w:r w:rsidRPr="00EA1E99">
        <w:rPr>
          <w:szCs w:val="20"/>
        </w:rPr>
        <w:t xml:space="preserve"> (7 July 2016) www.lawyerwatch.wordpress.com/2016/07/07/independence-play-chilcot-on-the-legal-process/.</w:t>
      </w:r>
    </w:p>
  </w:footnote>
  <w:footnote w:id="113">
    <w:p w14:paraId="07A69E8E" w14:textId="7E694929"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w:t>
      </w:r>
      <w:proofErr w:type="spellStart"/>
      <w:r w:rsidRPr="00EA1E99">
        <w:rPr>
          <w:szCs w:val="20"/>
        </w:rPr>
        <w:t>Chilcot</w:t>
      </w:r>
      <w:proofErr w:type="spellEnd"/>
      <w:r w:rsidRPr="00EA1E99">
        <w:rPr>
          <w:szCs w:val="20"/>
        </w:rPr>
        <w:t xml:space="preserve"> Report, volume 5, section 5 [852].</w:t>
      </w:r>
    </w:p>
  </w:footnote>
  <w:footnote w:id="114">
    <w:p w14:paraId="5647825F" w14:textId="3425C1E1"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ibid [109-128</w:t>
      </w:r>
      <w:r w:rsidRPr="00EA1E99">
        <w:rPr>
          <w:color w:val="000000"/>
          <w:szCs w:val="20"/>
        </w:rPr>
        <w:t>], volume 2, section 3.5 [1004].</w:t>
      </w:r>
    </w:p>
  </w:footnote>
  <w:footnote w:id="115">
    <w:p w14:paraId="10615A3F" w14:textId="54D91899"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volume 5, section 5 [127</w:t>
      </w:r>
      <w:r w:rsidRPr="00EA1E99">
        <w:rPr>
          <w:color w:val="000000"/>
          <w:szCs w:val="20"/>
        </w:rPr>
        <w:t>].</w:t>
      </w:r>
    </w:p>
  </w:footnote>
  <w:footnote w:id="116">
    <w:p w14:paraId="01CFCD4D" w14:textId="4D88DF56"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volume 2, section 3.5 [1064</w:t>
      </w:r>
      <w:r w:rsidRPr="00EA1E99">
        <w:rPr>
          <w:color w:val="000000"/>
          <w:szCs w:val="20"/>
        </w:rPr>
        <w:t>].</w:t>
      </w:r>
    </w:p>
  </w:footnote>
  <w:footnote w:id="117">
    <w:p w14:paraId="255B0637" w14:textId="13C17F82"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Duncan French, ‘Iraq and Climate Change: The Mainstream Lawyer’s Survival Guide’ (2010) 44 </w:t>
      </w:r>
      <w:r w:rsidRPr="00EA1E99">
        <w:rPr>
          <w:i/>
          <w:szCs w:val="20"/>
        </w:rPr>
        <w:t>International Lawyer</w:t>
      </w:r>
      <w:r w:rsidRPr="00EA1E99">
        <w:rPr>
          <w:szCs w:val="20"/>
        </w:rPr>
        <w:t xml:space="preserve"> 1019, 1025.</w:t>
      </w:r>
    </w:p>
  </w:footnote>
  <w:footnote w:id="118">
    <w:p w14:paraId="1C03AF1C" w14:textId="1D133BA3"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Andrew Gilligan, ‘Why Did </w:t>
      </w:r>
      <w:r w:rsidR="00140D46">
        <w:rPr>
          <w:szCs w:val="20"/>
        </w:rPr>
        <w:t>t</w:t>
      </w:r>
      <w:r w:rsidRPr="00EA1E99">
        <w:rPr>
          <w:szCs w:val="20"/>
        </w:rPr>
        <w:t xml:space="preserve">he Attorney General Change His Advice?’ </w:t>
      </w:r>
      <w:r w:rsidRPr="00EA1E99">
        <w:rPr>
          <w:i/>
          <w:szCs w:val="20"/>
        </w:rPr>
        <w:t>The Spectator</w:t>
      </w:r>
      <w:r w:rsidRPr="00EA1E99">
        <w:rPr>
          <w:szCs w:val="20"/>
        </w:rPr>
        <w:t xml:space="preserve"> (6 March 2004) www.spectator.co.uk/2004/03/why-did-the-attorney-general-change-his-advice/.</w:t>
      </w:r>
    </w:p>
  </w:footnote>
  <w:footnote w:id="119">
    <w:p w14:paraId="54617820" w14:textId="05C89E71"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volume 5, section 5 [5].</w:t>
      </w:r>
    </w:p>
  </w:footnote>
  <w:footnote w:id="120">
    <w:p w14:paraId="3A4A41E3"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[20].</w:t>
      </w:r>
    </w:p>
  </w:footnote>
  <w:footnote w:id="121">
    <w:p w14:paraId="4DCE6846"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[176, 184 and 289].</w:t>
      </w:r>
    </w:p>
  </w:footnote>
  <w:footnote w:id="122">
    <w:p w14:paraId="028311DC"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ibid [916 and 922].</w:t>
      </w:r>
    </w:p>
  </w:footnote>
  <w:footnote w:id="123">
    <w:p w14:paraId="7950E2E2"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[460].</w:t>
      </w:r>
    </w:p>
  </w:footnote>
  <w:footnote w:id="124">
    <w:p w14:paraId="2F1D00A0"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[557 and 579].</w:t>
      </w:r>
    </w:p>
  </w:footnote>
  <w:footnote w:id="125">
    <w:p w14:paraId="06ADC2BC"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[933].</w:t>
      </w:r>
    </w:p>
  </w:footnote>
  <w:footnote w:id="126">
    <w:p w14:paraId="40C3C48C" w14:textId="33FAD181"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[687].</w:t>
      </w:r>
    </w:p>
  </w:footnote>
  <w:footnote w:id="127">
    <w:p w14:paraId="53145A25"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[685].</w:t>
      </w:r>
    </w:p>
  </w:footnote>
  <w:footnote w:id="128">
    <w:p w14:paraId="4ED331F4"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[555].</w:t>
      </w:r>
    </w:p>
  </w:footnote>
  <w:footnote w:id="129">
    <w:p w14:paraId="173048CA"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[459].</w:t>
      </w:r>
    </w:p>
  </w:footnote>
  <w:footnote w:id="130">
    <w:p w14:paraId="32653D7B" w14:textId="5D5655D5"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ibid [85, 563 and 708]</w:t>
      </w:r>
    </w:p>
  </w:footnote>
  <w:footnote w:id="131">
    <w:p w14:paraId="70F47830" w14:textId="0FFE0592"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ibid [117 and 127].</w:t>
      </w:r>
    </w:p>
  </w:footnote>
  <w:footnote w:id="132">
    <w:p w14:paraId="6DB3C7D7" w14:textId="71F7BD78"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[686].  See also ibid </w:t>
      </w:r>
      <w:r w:rsidRPr="00EA1E99">
        <w:rPr>
          <w:color w:val="000000"/>
          <w:szCs w:val="20"/>
        </w:rPr>
        <w:t>[85, 701, 857-63, 872, 878 and 950].</w:t>
      </w:r>
    </w:p>
  </w:footnote>
  <w:footnote w:id="133">
    <w:p w14:paraId="54C6A00B" w14:textId="2BEEF1B2"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ibid [736].</w:t>
      </w:r>
    </w:p>
  </w:footnote>
  <w:footnote w:id="134">
    <w:p w14:paraId="25066D6E" w14:textId="50E1A1BB"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[412].</w:t>
      </w:r>
    </w:p>
  </w:footnote>
  <w:footnote w:id="135">
    <w:p w14:paraId="00F60455" w14:textId="78854D98"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[359].</w:t>
      </w:r>
    </w:p>
  </w:footnote>
  <w:footnote w:id="136">
    <w:p w14:paraId="3E66D2DC" w14:textId="27FF2844"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[341-95].</w:t>
      </w:r>
    </w:p>
  </w:footnote>
  <w:footnote w:id="137">
    <w:p w14:paraId="02A0E537" w14:textId="340A2499"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[408]</w:t>
      </w:r>
    </w:p>
  </w:footnote>
  <w:footnote w:id="138">
    <w:p w14:paraId="718610B2" w14:textId="76E9612D"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[449].</w:t>
      </w:r>
    </w:p>
  </w:footnote>
  <w:footnote w:id="139">
    <w:p w14:paraId="3F3B72D4" w14:textId="2FA377F8"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ibid [292].</w:t>
      </w:r>
    </w:p>
  </w:footnote>
  <w:footnote w:id="140">
    <w:p w14:paraId="66B10AA7" w14:textId="67E08774"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ibid [602].</w:t>
      </w:r>
    </w:p>
  </w:footnote>
  <w:footnote w:id="141">
    <w:p w14:paraId="30F28821" w14:textId="4B1F5E69"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[294] (emphasis added).</w:t>
      </w:r>
    </w:p>
  </w:footnote>
  <w:footnote w:id="142">
    <w:p w14:paraId="635D1D32" w14:textId="1B9F2BD5"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w:t>
      </w:r>
      <w:r w:rsidRPr="00EA1E99">
        <w:rPr>
          <w:color w:val="000000"/>
          <w:szCs w:val="20"/>
        </w:rPr>
        <w:t xml:space="preserve"> [357].  </w:t>
      </w:r>
    </w:p>
  </w:footnote>
  <w:footnote w:id="143">
    <w:p w14:paraId="063604BF" w14:textId="455C7828"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w:t>
      </w:r>
      <w:r w:rsidRPr="00EA1E99">
        <w:rPr>
          <w:color w:val="000000"/>
          <w:szCs w:val="20"/>
        </w:rPr>
        <w:t xml:space="preserve"> [357 and 377].  </w:t>
      </w:r>
    </w:p>
  </w:footnote>
  <w:footnote w:id="144">
    <w:p w14:paraId="0C6E1700" w14:textId="5A7A11D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‘Wilmshurst Resignation Letter’ </w:t>
      </w:r>
      <w:r w:rsidRPr="00EA1E99">
        <w:rPr>
          <w:i/>
          <w:szCs w:val="20"/>
        </w:rPr>
        <w:t>BBC News</w:t>
      </w:r>
      <w:r w:rsidRPr="00EA1E99">
        <w:rPr>
          <w:szCs w:val="20"/>
        </w:rPr>
        <w:t xml:space="preserve"> (24 March 2005) http://news.bbc.co.uk/1/hi/uk_politics/4377605.stm.</w:t>
      </w:r>
    </w:p>
  </w:footnote>
  <w:footnote w:id="145">
    <w:p w14:paraId="52AC2F53" w14:textId="64A20EA2"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volume 5, section 5</w:t>
      </w:r>
      <w:r w:rsidRPr="00EA1E99">
        <w:rPr>
          <w:color w:val="000000"/>
          <w:szCs w:val="20"/>
        </w:rPr>
        <w:t xml:space="preserve"> [797].</w:t>
      </w:r>
    </w:p>
  </w:footnote>
  <w:footnote w:id="146">
    <w:p w14:paraId="1BF1151E" w14:textId="61CF9221" w:rsidR="00D85CE2" w:rsidRPr="00EA1E99" w:rsidRDefault="00D85CE2" w:rsidP="00EA1E99">
      <w:pPr>
        <w:pStyle w:val="FootnoteText"/>
        <w:rPr>
          <w:szCs w:val="20"/>
          <w:lang w:val="en-US"/>
        </w:rPr>
      </w:pPr>
      <w:r w:rsidRPr="00EA1E99">
        <w:rPr>
          <w:rStyle w:val="FootnoteReference"/>
          <w:szCs w:val="20"/>
        </w:rPr>
        <w:footnoteRef/>
      </w:r>
      <w:r w:rsidRPr="00EA1E99">
        <w:rPr>
          <w:szCs w:val="20"/>
        </w:rPr>
        <w:t xml:space="preserve"> See Jean </w:t>
      </w:r>
      <w:proofErr w:type="spellStart"/>
      <w:r w:rsidRPr="00EA1E99">
        <w:rPr>
          <w:szCs w:val="20"/>
        </w:rPr>
        <w:t>d’Aspremont</w:t>
      </w:r>
      <w:proofErr w:type="spellEnd"/>
      <w:r w:rsidRPr="00EA1E99">
        <w:rPr>
          <w:szCs w:val="20"/>
        </w:rPr>
        <w:t>, ‘The Multidimensional Process of Interpretation: Content-Determination and Law-Ascertainment Distinguished’ in Andrea Bianchi, ‎Daniel Peat and ‎Matthew Windsor (</w:t>
      </w:r>
      <w:proofErr w:type="spellStart"/>
      <w:proofErr w:type="gramStart"/>
      <w:r w:rsidRPr="00EA1E99">
        <w:rPr>
          <w:szCs w:val="20"/>
        </w:rPr>
        <w:t>eds</w:t>
      </w:r>
      <w:proofErr w:type="spellEnd"/>
      <w:proofErr w:type="gramEnd"/>
      <w:r w:rsidRPr="00EA1E99">
        <w:rPr>
          <w:szCs w:val="20"/>
        </w:rPr>
        <w:t xml:space="preserve">), </w:t>
      </w:r>
      <w:r w:rsidRPr="00EA1E99">
        <w:rPr>
          <w:i/>
          <w:szCs w:val="20"/>
        </w:rPr>
        <w:t>Interpretation in International Law</w:t>
      </w:r>
      <w:r w:rsidRPr="00EA1E99">
        <w:rPr>
          <w:szCs w:val="20"/>
        </w:rPr>
        <w:t xml:space="preserve"> (Oxford University Press 2015).</w:t>
      </w:r>
    </w:p>
  </w:footnote>
  <w:footnote w:id="147">
    <w:p w14:paraId="60C23D42" w14:textId="196077A4"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w:t>
      </w:r>
      <w:proofErr w:type="spellStart"/>
      <w:r w:rsidR="00DC5BBD" w:rsidRPr="00EA1E99">
        <w:rPr>
          <w:szCs w:val="20"/>
        </w:rPr>
        <w:t>Chilcot</w:t>
      </w:r>
      <w:proofErr w:type="spellEnd"/>
      <w:r w:rsidR="00DC5BBD" w:rsidRPr="00EA1E99">
        <w:rPr>
          <w:szCs w:val="20"/>
        </w:rPr>
        <w:t xml:space="preserve"> Report (n 7)</w:t>
      </w:r>
      <w:r w:rsidRPr="00EA1E99">
        <w:rPr>
          <w:szCs w:val="20"/>
        </w:rPr>
        <w:t xml:space="preserve"> executive summary [94].</w:t>
      </w:r>
    </w:p>
  </w:footnote>
  <w:footnote w:id="148">
    <w:p w14:paraId="56FD6572" w14:textId="532ACFD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ibid [439].</w:t>
      </w:r>
    </w:p>
  </w:footnote>
  <w:footnote w:id="149">
    <w:p w14:paraId="44537C9A" w14:textId="7026EEF1" w:rsidR="00D85CE2" w:rsidRPr="00EA1E99" w:rsidRDefault="00D85CE2" w:rsidP="00EA1E99">
      <w:pPr>
        <w:rPr>
          <w:rFonts w:cs="Times New Roman"/>
          <w:sz w:val="20"/>
          <w:szCs w:val="20"/>
        </w:rPr>
      </w:pPr>
      <w:r w:rsidRPr="00EA1E99">
        <w:rPr>
          <w:rStyle w:val="FootnoteReference"/>
          <w:rFonts w:cs="Times New Roman"/>
          <w:sz w:val="20"/>
          <w:szCs w:val="20"/>
        </w:rPr>
        <w:footnoteRef/>
      </w:r>
      <w:r w:rsidRPr="00EA1E99">
        <w:rPr>
          <w:rFonts w:cs="Times New Roman"/>
          <w:sz w:val="20"/>
          <w:szCs w:val="20"/>
        </w:rPr>
        <w:t xml:space="preserve"> See, e.g., Andy Beckett, ‘Revelation or Whitewash – What Can We Expect from the </w:t>
      </w:r>
      <w:proofErr w:type="spellStart"/>
      <w:r w:rsidRPr="00EA1E99">
        <w:rPr>
          <w:rFonts w:cs="Times New Roman"/>
          <w:sz w:val="20"/>
          <w:szCs w:val="20"/>
        </w:rPr>
        <w:t>Chilcot</w:t>
      </w:r>
      <w:proofErr w:type="spellEnd"/>
      <w:r w:rsidRPr="00EA1E99">
        <w:rPr>
          <w:rFonts w:cs="Times New Roman"/>
          <w:sz w:val="20"/>
          <w:szCs w:val="20"/>
        </w:rPr>
        <w:t xml:space="preserve"> Inquiry?’ </w:t>
      </w:r>
      <w:r w:rsidRPr="00EA1E99">
        <w:rPr>
          <w:rFonts w:cs="Times New Roman"/>
          <w:i/>
          <w:sz w:val="20"/>
          <w:szCs w:val="20"/>
        </w:rPr>
        <w:t>The Guardian</w:t>
      </w:r>
      <w:r w:rsidRPr="00EA1E99">
        <w:rPr>
          <w:rFonts w:cs="Times New Roman"/>
          <w:sz w:val="20"/>
          <w:szCs w:val="20"/>
        </w:rPr>
        <w:t xml:space="preserve"> (4 July 2016) www.theguardian.com/uk-news/2016/jul/04/chilcot-inquiry-iraq-war-whitewash.</w:t>
      </w:r>
    </w:p>
  </w:footnote>
  <w:footnote w:id="150">
    <w:p w14:paraId="0D263B36" w14:textId="77777777"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See, e.g., </w:t>
      </w:r>
      <w:r w:rsidRPr="00EA1E99">
        <w:rPr>
          <w:i/>
          <w:szCs w:val="20"/>
        </w:rPr>
        <w:t xml:space="preserve">Ministerial Code </w:t>
      </w:r>
      <w:r w:rsidRPr="00EA1E99">
        <w:rPr>
          <w:szCs w:val="20"/>
        </w:rPr>
        <w:t>(Cabinet Office 2015) (making no reference at all to international law).</w:t>
      </w:r>
    </w:p>
  </w:footnote>
  <w:footnote w:id="151">
    <w:p w14:paraId="520632C0" w14:textId="0D889471" w:rsidR="00D85CE2" w:rsidRPr="00EA1E99" w:rsidRDefault="00D85CE2" w:rsidP="00EA1E99">
      <w:pPr>
        <w:pStyle w:val="FootnoteText"/>
        <w:rPr>
          <w:szCs w:val="20"/>
        </w:rPr>
      </w:pPr>
      <w:r w:rsidRPr="00EA1E99">
        <w:rPr>
          <w:rStyle w:val="FootnoteReference"/>
          <w:szCs w:val="20"/>
        </w:rPr>
        <w:footnoteRef/>
      </w:r>
      <w:r w:rsidRPr="00EA1E99">
        <w:rPr>
          <w:szCs w:val="20"/>
        </w:rPr>
        <w:t xml:space="preserve"> Statement by Sir</w:t>
      </w:r>
      <w:r w:rsidR="00DC5BBD" w:rsidRPr="00EA1E99">
        <w:rPr>
          <w:szCs w:val="20"/>
        </w:rPr>
        <w:t xml:space="preserve"> John </w:t>
      </w:r>
      <w:proofErr w:type="spellStart"/>
      <w:r w:rsidR="00DC5BBD" w:rsidRPr="00EA1E99">
        <w:rPr>
          <w:szCs w:val="20"/>
        </w:rPr>
        <w:t>Chilcot</w:t>
      </w:r>
      <w:proofErr w:type="spellEnd"/>
      <w:r w:rsidR="00DC5BBD" w:rsidRPr="00EA1E99">
        <w:rPr>
          <w:szCs w:val="20"/>
        </w:rPr>
        <w:t xml:space="preserve"> (6 July 2016) (n 15</w:t>
      </w:r>
      <w:r w:rsidRPr="00EA1E99">
        <w:rPr>
          <w:szCs w:val="20"/>
        </w:rPr>
        <w:t>)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A285F" w14:textId="6202EA0E" w:rsidR="00D85CE2" w:rsidRDefault="00D85CE2" w:rsidP="00360DE8">
    <w:pPr>
      <w:pStyle w:val="Header"/>
      <w:jc w:val="center"/>
    </w:pPr>
  </w:p>
  <w:p w14:paraId="760B9AD3" w14:textId="77777777" w:rsidR="00D85CE2" w:rsidRDefault="00D85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6C5B"/>
    <w:multiLevelType w:val="hybridMultilevel"/>
    <w:tmpl w:val="DBBE86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F28A1"/>
    <w:multiLevelType w:val="hybridMultilevel"/>
    <w:tmpl w:val="A5148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A5C21"/>
    <w:multiLevelType w:val="hybridMultilevel"/>
    <w:tmpl w:val="FFD08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E1A20"/>
    <w:multiLevelType w:val="hybridMultilevel"/>
    <w:tmpl w:val="EE44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5154A"/>
    <w:multiLevelType w:val="hybridMultilevel"/>
    <w:tmpl w:val="B528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A223C"/>
    <w:multiLevelType w:val="hybridMultilevel"/>
    <w:tmpl w:val="02EA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414D1"/>
    <w:multiLevelType w:val="hybridMultilevel"/>
    <w:tmpl w:val="9898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F653B"/>
    <w:multiLevelType w:val="hybridMultilevel"/>
    <w:tmpl w:val="96EEC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55CC3"/>
    <w:multiLevelType w:val="hybridMultilevel"/>
    <w:tmpl w:val="C26C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AE7A63"/>
    <w:multiLevelType w:val="hybridMultilevel"/>
    <w:tmpl w:val="E160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86E62"/>
    <w:multiLevelType w:val="hybridMultilevel"/>
    <w:tmpl w:val="7286DB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04E60"/>
    <w:multiLevelType w:val="hybridMultilevel"/>
    <w:tmpl w:val="0CF8C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54FC9"/>
    <w:multiLevelType w:val="hybridMultilevel"/>
    <w:tmpl w:val="0F92B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40C6D"/>
    <w:multiLevelType w:val="hybridMultilevel"/>
    <w:tmpl w:val="C6ECD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14AF1"/>
    <w:multiLevelType w:val="hybridMultilevel"/>
    <w:tmpl w:val="9386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C075C8"/>
    <w:multiLevelType w:val="hybridMultilevel"/>
    <w:tmpl w:val="A0A0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9"/>
  </w:num>
  <w:num w:numId="4">
    <w:abstractNumId w:val="11"/>
  </w:num>
  <w:num w:numId="5">
    <w:abstractNumId w:val="14"/>
  </w:num>
  <w:num w:numId="6">
    <w:abstractNumId w:val="8"/>
  </w:num>
  <w:num w:numId="7">
    <w:abstractNumId w:val="7"/>
  </w:num>
  <w:num w:numId="8">
    <w:abstractNumId w:val="3"/>
  </w:num>
  <w:num w:numId="9">
    <w:abstractNumId w:val="4"/>
  </w:num>
  <w:num w:numId="10">
    <w:abstractNumId w:val="10"/>
  </w:num>
  <w:num w:numId="11">
    <w:abstractNumId w:val="5"/>
  </w:num>
  <w:num w:numId="12">
    <w:abstractNumId w:val="12"/>
  </w:num>
  <w:num w:numId="13">
    <w:abstractNumId w:val="6"/>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A5"/>
    <w:rsid w:val="00000BB1"/>
    <w:rsid w:val="00010BD2"/>
    <w:rsid w:val="00015F59"/>
    <w:rsid w:val="00016053"/>
    <w:rsid w:val="00017B1C"/>
    <w:rsid w:val="00020537"/>
    <w:rsid w:val="00021B94"/>
    <w:rsid w:val="000221A2"/>
    <w:rsid w:val="00024C24"/>
    <w:rsid w:val="0002699C"/>
    <w:rsid w:val="000320C6"/>
    <w:rsid w:val="00042074"/>
    <w:rsid w:val="00042148"/>
    <w:rsid w:val="000432E7"/>
    <w:rsid w:val="00044334"/>
    <w:rsid w:val="00044D33"/>
    <w:rsid w:val="00045F39"/>
    <w:rsid w:val="00046498"/>
    <w:rsid w:val="00046E13"/>
    <w:rsid w:val="00050423"/>
    <w:rsid w:val="00051322"/>
    <w:rsid w:val="00052A8F"/>
    <w:rsid w:val="00052D18"/>
    <w:rsid w:val="000557B6"/>
    <w:rsid w:val="00056454"/>
    <w:rsid w:val="00062820"/>
    <w:rsid w:val="00070FD5"/>
    <w:rsid w:val="00074062"/>
    <w:rsid w:val="000773C2"/>
    <w:rsid w:val="00080EA5"/>
    <w:rsid w:val="000832DB"/>
    <w:rsid w:val="000857C4"/>
    <w:rsid w:val="000A0762"/>
    <w:rsid w:val="000A1C6B"/>
    <w:rsid w:val="000A6E90"/>
    <w:rsid w:val="000B14F7"/>
    <w:rsid w:val="000B285D"/>
    <w:rsid w:val="000B5287"/>
    <w:rsid w:val="000B63FC"/>
    <w:rsid w:val="000C566E"/>
    <w:rsid w:val="000D1AC6"/>
    <w:rsid w:val="000E67A5"/>
    <w:rsid w:val="000F1EEE"/>
    <w:rsid w:val="000F665C"/>
    <w:rsid w:val="00103894"/>
    <w:rsid w:val="00103922"/>
    <w:rsid w:val="00105260"/>
    <w:rsid w:val="0011671D"/>
    <w:rsid w:val="0012205D"/>
    <w:rsid w:val="0013331F"/>
    <w:rsid w:val="001343E9"/>
    <w:rsid w:val="00140D46"/>
    <w:rsid w:val="0014374B"/>
    <w:rsid w:val="0016396E"/>
    <w:rsid w:val="00167FC6"/>
    <w:rsid w:val="0017616C"/>
    <w:rsid w:val="00182279"/>
    <w:rsid w:val="0019375C"/>
    <w:rsid w:val="00197901"/>
    <w:rsid w:val="001A05B6"/>
    <w:rsid w:val="001A30B8"/>
    <w:rsid w:val="001A36FC"/>
    <w:rsid w:val="001B00FC"/>
    <w:rsid w:val="001B0AE0"/>
    <w:rsid w:val="001B1E8D"/>
    <w:rsid w:val="001C2D65"/>
    <w:rsid w:val="001C5706"/>
    <w:rsid w:val="001C5FF0"/>
    <w:rsid w:val="001D0AB4"/>
    <w:rsid w:val="001D5FE4"/>
    <w:rsid w:val="001D6C0A"/>
    <w:rsid w:val="001D7230"/>
    <w:rsid w:val="001D7D71"/>
    <w:rsid w:val="001E206C"/>
    <w:rsid w:val="001E4195"/>
    <w:rsid w:val="001E5029"/>
    <w:rsid w:val="001E625C"/>
    <w:rsid w:val="001E7707"/>
    <w:rsid w:val="001F1962"/>
    <w:rsid w:val="001F3B98"/>
    <w:rsid w:val="00203F0F"/>
    <w:rsid w:val="00205DBB"/>
    <w:rsid w:val="00207F9D"/>
    <w:rsid w:val="0021044B"/>
    <w:rsid w:val="00215011"/>
    <w:rsid w:val="00222E9C"/>
    <w:rsid w:val="00226D04"/>
    <w:rsid w:val="00235121"/>
    <w:rsid w:val="00237FF2"/>
    <w:rsid w:val="00240696"/>
    <w:rsid w:val="00250A79"/>
    <w:rsid w:val="002520A3"/>
    <w:rsid w:val="0026516D"/>
    <w:rsid w:val="00272F95"/>
    <w:rsid w:val="002759AD"/>
    <w:rsid w:val="002853AD"/>
    <w:rsid w:val="00294EF5"/>
    <w:rsid w:val="00296DAB"/>
    <w:rsid w:val="002A4EA9"/>
    <w:rsid w:val="002A7724"/>
    <w:rsid w:val="002A7D4D"/>
    <w:rsid w:val="002B61D7"/>
    <w:rsid w:val="002B7112"/>
    <w:rsid w:val="002B79B1"/>
    <w:rsid w:val="002C61AA"/>
    <w:rsid w:val="002D0784"/>
    <w:rsid w:val="002D2AFF"/>
    <w:rsid w:val="002D426A"/>
    <w:rsid w:val="002D4EB1"/>
    <w:rsid w:val="002E4096"/>
    <w:rsid w:val="002E7CFF"/>
    <w:rsid w:val="002E7D14"/>
    <w:rsid w:val="002F2198"/>
    <w:rsid w:val="002F5EFC"/>
    <w:rsid w:val="003011F3"/>
    <w:rsid w:val="00303660"/>
    <w:rsid w:val="00305018"/>
    <w:rsid w:val="00320042"/>
    <w:rsid w:val="003224BD"/>
    <w:rsid w:val="00323610"/>
    <w:rsid w:val="00326790"/>
    <w:rsid w:val="00330795"/>
    <w:rsid w:val="00331398"/>
    <w:rsid w:val="00332569"/>
    <w:rsid w:val="00340776"/>
    <w:rsid w:val="00347A11"/>
    <w:rsid w:val="00350BE4"/>
    <w:rsid w:val="00351D54"/>
    <w:rsid w:val="0035463E"/>
    <w:rsid w:val="00360DE8"/>
    <w:rsid w:val="003634A4"/>
    <w:rsid w:val="00373E6D"/>
    <w:rsid w:val="00383037"/>
    <w:rsid w:val="00383280"/>
    <w:rsid w:val="00385EF0"/>
    <w:rsid w:val="0039010D"/>
    <w:rsid w:val="003A0B30"/>
    <w:rsid w:val="003A2F77"/>
    <w:rsid w:val="003A31B0"/>
    <w:rsid w:val="003B306C"/>
    <w:rsid w:val="003C5F33"/>
    <w:rsid w:val="003F6809"/>
    <w:rsid w:val="00403902"/>
    <w:rsid w:val="00404812"/>
    <w:rsid w:val="00405E1F"/>
    <w:rsid w:val="0040752F"/>
    <w:rsid w:val="004124F5"/>
    <w:rsid w:val="00416F18"/>
    <w:rsid w:val="0042100A"/>
    <w:rsid w:val="00427D8F"/>
    <w:rsid w:val="004363E4"/>
    <w:rsid w:val="00452024"/>
    <w:rsid w:val="00452877"/>
    <w:rsid w:val="00453757"/>
    <w:rsid w:val="00453B44"/>
    <w:rsid w:val="00454E47"/>
    <w:rsid w:val="00455CF4"/>
    <w:rsid w:val="00462177"/>
    <w:rsid w:val="00465744"/>
    <w:rsid w:val="0047195C"/>
    <w:rsid w:val="0047213A"/>
    <w:rsid w:val="0048045E"/>
    <w:rsid w:val="00490B3A"/>
    <w:rsid w:val="00492D31"/>
    <w:rsid w:val="004940D5"/>
    <w:rsid w:val="004A4211"/>
    <w:rsid w:val="004A560C"/>
    <w:rsid w:val="004A6AD5"/>
    <w:rsid w:val="004A774C"/>
    <w:rsid w:val="004A7955"/>
    <w:rsid w:val="004B0455"/>
    <w:rsid w:val="004B367B"/>
    <w:rsid w:val="004C1DD1"/>
    <w:rsid w:val="004C202A"/>
    <w:rsid w:val="004C3623"/>
    <w:rsid w:val="004C4EF7"/>
    <w:rsid w:val="004E2E41"/>
    <w:rsid w:val="0050375B"/>
    <w:rsid w:val="00505D4A"/>
    <w:rsid w:val="0050664A"/>
    <w:rsid w:val="005115F7"/>
    <w:rsid w:val="0051474A"/>
    <w:rsid w:val="00514A47"/>
    <w:rsid w:val="00526457"/>
    <w:rsid w:val="00531453"/>
    <w:rsid w:val="00533163"/>
    <w:rsid w:val="00536000"/>
    <w:rsid w:val="005460DE"/>
    <w:rsid w:val="00552496"/>
    <w:rsid w:val="0055614D"/>
    <w:rsid w:val="005654CC"/>
    <w:rsid w:val="00566254"/>
    <w:rsid w:val="005768C2"/>
    <w:rsid w:val="00576F02"/>
    <w:rsid w:val="005836CE"/>
    <w:rsid w:val="00584B6A"/>
    <w:rsid w:val="005965CB"/>
    <w:rsid w:val="005A30A1"/>
    <w:rsid w:val="005A6DDD"/>
    <w:rsid w:val="005B20C1"/>
    <w:rsid w:val="005B2592"/>
    <w:rsid w:val="005B3B4E"/>
    <w:rsid w:val="005B71CD"/>
    <w:rsid w:val="005C3C3E"/>
    <w:rsid w:val="005C4CB9"/>
    <w:rsid w:val="005D20A4"/>
    <w:rsid w:val="005D293A"/>
    <w:rsid w:val="005E09C8"/>
    <w:rsid w:val="005F6BAF"/>
    <w:rsid w:val="006023DB"/>
    <w:rsid w:val="00602AE5"/>
    <w:rsid w:val="006033E1"/>
    <w:rsid w:val="00605472"/>
    <w:rsid w:val="006067FE"/>
    <w:rsid w:val="006112BD"/>
    <w:rsid w:val="00620068"/>
    <w:rsid w:val="00623B2E"/>
    <w:rsid w:val="006245C8"/>
    <w:rsid w:val="00630436"/>
    <w:rsid w:val="006325DB"/>
    <w:rsid w:val="00633F77"/>
    <w:rsid w:val="00636528"/>
    <w:rsid w:val="006479B5"/>
    <w:rsid w:val="006547BD"/>
    <w:rsid w:val="00654FE5"/>
    <w:rsid w:val="00672E27"/>
    <w:rsid w:val="00684C8F"/>
    <w:rsid w:val="006A1EFF"/>
    <w:rsid w:val="006B0400"/>
    <w:rsid w:val="006B0F29"/>
    <w:rsid w:val="006C3A9A"/>
    <w:rsid w:val="006D224F"/>
    <w:rsid w:val="006E11E3"/>
    <w:rsid w:val="00706E94"/>
    <w:rsid w:val="00712B7E"/>
    <w:rsid w:val="00720FD7"/>
    <w:rsid w:val="00724586"/>
    <w:rsid w:val="0072593C"/>
    <w:rsid w:val="007259FF"/>
    <w:rsid w:val="00731815"/>
    <w:rsid w:val="00735961"/>
    <w:rsid w:val="00741286"/>
    <w:rsid w:val="00741570"/>
    <w:rsid w:val="00752BDD"/>
    <w:rsid w:val="00763D5D"/>
    <w:rsid w:val="00766F07"/>
    <w:rsid w:val="00776638"/>
    <w:rsid w:val="007774C2"/>
    <w:rsid w:val="007A2CE0"/>
    <w:rsid w:val="007B3795"/>
    <w:rsid w:val="007C2D68"/>
    <w:rsid w:val="007C3773"/>
    <w:rsid w:val="007C413E"/>
    <w:rsid w:val="007C5288"/>
    <w:rsid w:val="007C760F"/>
    <w:rsid w:val="007D242B"/>
    <w:rsid w:val="007D75A7"/>
    <w:rsid w:val="007E6F5C"/>
    <w:rsid w:val="007F0B14"/>
    <w:rsid w:val="00806A6A"/>
    <w:rsid w:val="00810E31"/>
    <w:rsid w:val="008131CE"/>
    <w:rsid w:val="00814B3C"/>
    <w:rsid w:val="00815B4F"/>
    <w:rsid w:val="008233CC"/>
    <w:rsid w:val="00824A35"/>
    <w:rsid w:val="00827F7A"/>
    <w:rsid w:val="00830222"/>
    <w:rsid w:val="00831283"/>
    <w:rsid w:val="008345D5"/>
    <w:rsid w:val="00835D8E"/>
    <w:rsid w:val="00836644"/>
    <w:rsid w:val="008463B1"/>
    <w:rsid w:val="008501D3"/>
    <w:rsid w:val="00852746"/>
    <w:rsid w:val="008529DC"/>
    <w:rsid w:val="0085388A"/>
    <w:rsid w:val="00857520"/>
    <w:rsid w:val="008745A9"/>
    <w:rsid w:val="00876048"/>
    <w:rsid w:val="00876BF4"/>
    <w:rsid w:val="00880CFC"/>
    <w:rsid w:val="00887AE4"/>
    <w:rsid w:val="008A4427"/>
    <w:rsid w:val="008A509A"/>
    <w:rsid w:val="008C274F"/>
    <w:rsid w:val="008C4F38"/>
    <w:rsid w:val="008D4758"/>
    <w:rsid w:val="008D5EE6"/>
    <w:rsid w:val="008D6867"/>
    <w:rsid w:val="008E4043"/>
    <w:rsid w:val="008F2835"/>
    <w:rsid w:val="008F2EF7"/>
    <w:rsid w:val="009013BA"/>
    <w:rsid w:val="00911043"/>
    <w:rsid w:val="009164D2"/>
    <w:rsid w:val="00917EF7"/>
    <w:rsid w:val="009221C1"/>
    <w:rsid w:val="00922408"/>
    <w:rsid w:val="00930448"/>
    <w:rsid w:val="00942F72"/>
    <w:rsid w:val="00947448"/>
    <w:rsid w:val="00951ACA"/>
    <w:rsid w:val="00957863"/>
    <w:rsid w:val="009602E5"/>
    <w:rsid w:val="00963BFA"/>
    <w:rsid w:val="00970716"/>
    <w:rsid w:val="009720E6"/>
    <w:rsid w:val="00972598"/>
    <w:rsid w:val="00972665"/>
    <w:rsid w:val="00976E8A"/>
    <w:rsid w:val="0097713E"/>
    <w:rsid w:val="00981CF4"/>
    <w:rsid w:val="00981FC3"/>
    <w:rsid w:val="00997619"/>
    <w:rsid w:val="009A06F9"/>
    <w:rsid w:val="009A5529"/>
    <w:rsid w:val="009B0A88"/>
    <w:rsid w:val="009C219E"/>
    <w:rsid w:val="009D173E"/>
    <w:rsid w:val="009D1DAB"/>
    <w:rsid w:val="009E5255"/>
    <w:rsid w:val="00A03C74"/>
    <w:rsid w:val="00A063FA"/>
    <w:rsid w:val="00A15E74"/>
    <w:rsid w:val="00A168A5"/>
    <w:rsid w:val="00A22818"/>
    <w:rsid w:val="00A5144E"/>
    <w:rsid w:val="00A527AC"/>
    <w:rsid w:val="00A679B1"/>
    <w:rsid w:val="00A77731"/>
    <w:rsid w:val="00A82D93"/>
    <w:rsid w:val="00A83903"/>
    <w:rsid w:val="00A84502"/>
    <w:rsid w:val="00A87161"/>
    <w:rsid w:val="00A91566"/>
    <w:rsid w:val="00A94A3A"/>
    <w:rsid w:val="00AA0227"/>
    <w:rsid w:val="00AA115F"/>
    <w:rsid w:val="00AB3116"/>
    <w:rsid w:val="00AB39CD"/>
    <w:rsid w:val="00AC0E6F"/>
    <w:rsid w:val="00AD3C2E"/>
    <w:rsid w:val="00AD72DA"/>
    <w:rsid w:val="00AE0293"/>
    <w:rsid w:val="00AE170F"/>
    <w:rsid w:val="00AE335B"/>
    <w:rsid w:val="00AF47C8"/>
    <w:rsid w:val="00B00762"/>
    <w:rsid w:val="00B01447"/>
    <w:rsid w:val="00B017FF"/>
    <w:rsid w:val="00B05CE7"/>
    <w:rsid w:val="00B07A31"/>
    <w:rsid w:val="00B109C4"/>
    <w:rsid w:val="00B12B5F"/>
    <w:rsid w:val="00B15C4B"/>
    <w:rsid w:val="00B22092"/>
    <w:rsid w:val="00B22FFC"/>
    <w:rsid w:val="00B2313B"/>
    <w:rsid w:val="00B24051"/>
    <w:rsid w:val="00B27FF1"/>
    <w:rsid w:val="00B35BDC"/>
    <w:rsid w:val="00B437AA"/>
    <w:rsid w:val="00B4768B"/>
    <w:rsid w:val="00B5032F"/>
    <w:rsid w:val="00B608F0"/>
    <w:rsid w:val="00B66582"/>
    <w:rsid w:val="00B704C6"/>
    <w:rsid w:val="00B710A7"/>
    <w:rsid w:val="00B73480"/>
    <w:rsid w:val="00B77C08"/>
    <w:rsid w:val="00B9387A"/>
    <w:rsid w:val="00BA6352"/>
    <w:rsid w:val="00BA7B3E"/>
    <w:rsid w:val="00BB3DC7"/>
    <w:rsid w:val="00BC6F15"/>
    <w:rsid w:val="00BC7EC7"/>
    <w:rsid w:val="00BD461F"/>
    <w:rsid w:val="00BE0873"/>
    <w:rsid w:val="00BF192A"/>
    <w:rsid w:val="00BF3CB3"/>
    <w:rsid w:val="00BF4CC3"/>
    <w:rsid w:val="00C02753"/>
    <w:rsid w:val="00C05D4F"/>
    <w:rsid w:val="00C3216F"/>
    <w:rsid w:val="00C3256C"/>
    <w:rsid w:val="00C40CC2"/>
    <w:rsid w:val="00C43258"/>
    <w:rsid w:val="00C45694"/>
    <w:rsid w:val="00C516BC"/>
    <w:rsid w:val="00C55A28"/>
    <w:rsid w:val="00C65631"/>
    <w:rsid w:val="00C716C0"/>
    <w:rsid w:val="00C749E5"/>
    <w:rsid w:val="00C829DA"/>
    <w:rsid w:val="00C90A0B"/>
    <w:rsid w:val="00C90D9E"/>
    <w:rsid w:val="00C940B9"/>
    <w:rsid w:val="00C94F0F"/>
    <w:rsid w:val="00C95381"/>
    <w:rsid w:val="00CA0949"/>
    <w:rsid w:val="00CA45AD"/>
    <w:rsid w:val="00CC3197"/>
    <w:rsid w:val="00CD008C"/>
    <w:rsid w:val="00CD0AA6"/>
    <w:rsid w:val="00CD0ACC"/>
    <w:rsid w:val="00CF12D5"/>
    <w:rsid w:val="00CF5609"/>
    <w:rsid w:val="00D00D12"/>
    <w:rsid w:val="00D0508A"/>
    <w:rsid w:val="00D051F7"/>
    <w:rsid w:val="00D058A5"/>
    <w:rsid w:val="00D10BA6"/>
    <w:rsid w:val="00D16DBE"/>
    <w:rsid w:val="00D25A0B"/>
    <w:rsid w:val="00D30156"/>
    <w:rsid w:val="00D4066A"/>
    <w:rsid w:val="00D42436"/>
    <w:rsid w:val="00D514E0"/>
    <w:rsid w:val="00D53954"/>
    <w:rsid w:val="00D615B6"/>
    <w:rsid w:val="00D62011"/>
    <w:rsid w:val="00D64867"/>
    <w:rsid w:val="00D66F43"/>
    <w:rsid w:val="00D70E22"/>
    <w:rsid w:val="00D848FC"/>
    <w:rsid w:val="00D85CE2"/>
    <w:rsid w:val="00D9210B"/>
    <w:rsid w:val="00D92309"/>
    <w:rsid w:val="00D9363A"/>
    <w:rsid w:val="00DB106C"/>
    <w:rsid w:val="00DB20E6"/>
    <w:rsid w:val="00DB7F96"/>
    <w:rsid w:val="00DC4A8D"/>
    <w:rsid w:val="00DC5BBD"/>
    <w:rsid w:val="00DC768D"/>
    <w:rsid w:val="00DD13C9"/>
    <w:rsid w:val="00DF2C71"/>
    <w:rsid w:val="00DF4A1C"/>
    <w:rsid w:val="00DF6667"/>
    <w:rsid w:val="00E06828"/>
    <w:rsid w:val="00E06D19"/>
    <w:rsid w:val="00E125EB"/>
    <w:rsid w:val="00E13384"/>
    <w:rsid w:val="00E15E93"/>
    <w:rsid w:val="00E3708F"/>
    <w:rsid w:val="00E51CFE"/>
    <w:rsid w:val="00E651D5"/>
    <w:rsid w:val="00E715C4"/>
    <w:rsid w:val="00E72DCC"/>
    <w:rsid w:val="00E72E8F"/>
    <w:rsid w:val="00E74877"/>
    <w:rsid w:val="00E7612E"/>
    <w:rsid w:val="00E9280C"/>
    <w:rsid w:val="00E961CA"/>
    <w:rsid w:val="00E97C78"/>
    <w:rsid w:val="00EA1E99"/>
    <w:rsid w:val="00EA2356"/>
    <w:rsid w:val="00EA2ED3"/>
    <w:rsid w:val="00EA5515"/>
    <w:rsid w:val="00EB2247"/>
    <w:rsid w:val="00EB4196"/>
    <w:rsid w:val="00EB56D6"/>
    <w:rsid w:val="00EC32CB"/>
    <w:rsid w:val="00ED2072"/>
    <w:rsid w:val="00EE08AD"/>
    <w:rsid w:val="00EE6CCF"/>
    <w:rsid w:val="00F02778"/>
    <w:rsid w:val="00F04746"/>
    <w:rsid w:val="00F04D62"/>
    <w:rsid w:val="00F05A3A"/>
    <w:rsid w:val="00F160BB"/>
    <w:rsid w:val="00F25693"/>
    <w:rsid w:val="00F2641F"/>
    <w:rsid w:val="00F41344"/>
    <w:rsid w:val="00F46B0C"/>
    <w:rsid w:val="00F47DA6"/>
    <w:rsid w:val="00F6423F"/>
    <w:rsid w:val="00F70EC3"/>
    <w:rsid w:val="00F71A57"/>
    <w:rsid w:val="00F75231"/>
    <w:rsid w:val="00F96820"/>
    <w:rsid w:val="00F97292"/>
    <w:rsid w:val="00FA23B3"/>
    <w:rsid w:val="00FB37EF"/>
    <w:rsid w:val="00FB3821"/>
    <w:rsid w:val="00FC083A"/>
    <w:rsid w:val="00FE45C0"/>
    <w:rsid w:val="00FF3C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478FBD"/>
  <w15:docId w15:val="{60D74795-CFA6-4AAD-B25C-ADCDB3F4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hD Normal"/>
    <w:qFormat/>
    <w:rsid w:val="00D058A5"/>
    <w:pPr>
      <w:jc w:val="both"/>
    </w:pPr>
    <w:rPr>
      <w:rFonts w:eastAsiaTheme="minorEastAsia" w:cstheme="minorBidi"/>
    </w:rPr>
  </w:style>
  <w:style w:type="paragraph" w:styleId="Heading2">
    <w:name w:val="heading 2"/>
    <w:aliases w:val="PhD Heading 2"/>
    <w:basedOn w:val="Normal"/>
    <w:next w:val="Normal"/>
    <w:link w:val="Heading2Char"/>
    <w:autoRedefine/>
    <w:uiPriority w:val="9"/>
    <w:unhideWhenUsed/>
    <w:qFormat/>
    <w:rsid w:val="00C02753"/>
    <w:pPr>
      <w:keepNext/>
      <w:keepLines/>
      <w:spacing w:before="200" w:line="360" w:lineRule="auto"/>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hD Footnote Text"/>
    <w:basedOn w:val="Normal"/>
    <w:link w:val="FootnoteTextChar"/>
    <w:autoRedefine/>
    <w:semiHidden/>
    <w:qFormat/>
    <w:rsid w:val="00D058A5"/>
    <w:rPr>
      <w:rFonts w:eastAsia="Times New Roman" w:cs="Times New Roman"/>
      <w:sz w:val="20"/>
    </w:rPr>
  </w:style>
  <w:style w:type="character" w:customStyle="1" w:styleId="FootnoteTextChar">
    <w:name w:val="Footnote Text Char"/>
    <w:aliases w:val="PhD Footnote Text Char"/>
    <w:basedOn w:val="DefaultParagraphFont"/>
    <w:link w:val="FootnoteText"/>
    <w:semiHidden/>
    <w:rsid w:val="00D058A5"/>
    <w:rPr>
      <w:rFonts w:eastAsia="Times New Roman"/>
      <w:sz w:val="20"/>
    </w:rPr>
  </w:style>
  <w:style w:type="character" w:styleId="FootnoteReference">
    <w:name w:val="footnote reference"/>
    <w:basedOn w:val="DefaultParagraphFont"/>
    <w:unhideWhenUsed/>
    <w:rsid w:val="00D058A5"/>
    <w:rPr>
      <w:vertAlign w:val="superscript"/>
    </w:rPr>
  </w:style>
  <w:style w:type="paragraph" w:styleId="ListParagraph">
    <w:name w:val="List Paragraph"/>
    <w:basedOn w:val="Normal"/>
    <w:uiPriority w:val="34"/>
    <w:qFormat/>
    <w:rsid w:val="00D058A5"/>
    <w:pPr>
      <w:ind w:left="720"/>
      <w:contextualSpacing/>
    </w:pPr>
  </w:style>
  <w:style w:type="character" w:styleId="Hyperlink">
    <w:name w:val="Hyperlink"/>
    <w:basedOn w:val="DefaultParagraphFont"/>
    <w:uiPriority w:val="99"/>
    <w:unhideWhenUsed/>
    <w:rsid w:val="00492D31"/>
    <w:rPr>
      <w:color w:val="0563C1" w:themeColor="hyperlink"/>
      <w:u w:val="single"/>
    </w:rPr>
  </w:style>
  <w:style w:type="character" w:styleId="FollowedHyperlink">
    <w:name w:val="FollowedHyperlink"/>
    <w:basedOn w:val="DefaultParagraphFont"/>
    <w:uiPriority w:val="99"/>
    <w:semiHidden/>
    <w:unhideWhenUsed/>
    <w:rsid w:val="00492D31"/>
    <w:rPr>
      <w:color w:val="954F72" w:themeColor="followedHyperlink"/>
      <w:u w:val="single"/>
    </w:rPr>
  </w:style>
  <w:style w:type="character" w:customStyle="1" w:styleId="Heading2Char">
    <w:name w:val="Heading 2 Char"/>
    <w:aliases w:val="PhD Heading 2 Char"/>
    <w:basedOn w:val="DefaultParagraphFont"/>
    <w:link w:val="Heading2"/>
    <w:uiPriority w:val="9"/>
    <w:rsid w:val="00C02753"/>
    <w:rPr>
      <w:rFonts w:eastAsiaTheme="majorEastAsia" w:cstheme="majorBidi"/>
      <w:b/>
      <w:bCs/>
      <w:sz w:val="26"/>
      <w:szCs w:val="26"/>
    </w:rPr>
  </w:style>
  <w:style w:type="paragraph" w:styleId="Header">
    <w:name w:val="header"/>
    <w:basedOn w:val="Normal"/>
    <w:link w:val="HeaderChar"/>
    <w:uiPriority w:val="99"/>
    <w:unhideWhenUsed/>
    <w:rsid w:val="00360DE8"/>
    <w:pPr>
      <w:tabs>
        <w:tab w:val="center" w:pos="4513"/>
        <w:tab w:val="right" w:pos="9026"/>
      </w:tabs>
    </w:pPr>
  </w:style>
  <w:style w:type="character" w:customStyle="1" w:styleId="HeaderChar">
    <w:name w:val="Header Char"/>
    <w:basedOn w:val="DefaultParagraphFont"/>
    <w:link w:val="Header"/>
    <w:uiPriority w:val="99"/>
    <w:rsid w:val="00360DE8"/>
    <w:rPr>
      <w:rFonts w:eastAsiaTheme="minorEastAsia" w:cstheme="minorBidi"/>
    </w:rPr>
  </w:style>
  <w:style w:type="paragraph" w:styleId="Footer">
    <w:name w:val="footer"/>
    <w:basedOn w:val="Normal"/>
    <w:link w:val="FooterChar"/>
    <w:uiPriority w:val="99"/>
    <w:unhideWhenUsed/>
    <w:rsid w:val="00360DE8"/>
    <w:pPr>
      <w:tabs>
        <w:tab w:val="center" w:pos="4513"/>
        <w:tab w:val="right" w:pos="9026"/>
      </w:tabs>
    </w:pPr>
  </w:style>
  <w:style w:type="character" w:customStyle="1" w:styleId="FooterChar">
    <w:name w:val="Footer Char"/>
    <w:basedOn w:val="DefaultParagraphFont"/>
    <w:link w:val="Footer"/>
    <w:uiPriority w:val="99"/>
    <w:rsid w:val="00360DE8"/>
    <w:rPr>
      <w:rFonts w:eastAsiaTheme="minorEastAsia" w:cstheme="minorBidi"/>
    </w:rPr>
  </w:style>
  <w:style w:type="paragraph" w:customStyle="1" w:styleId="Default">
    <w:name w:val="Default"/>
    <w:rsid w:val="00BC7EC7"/>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9602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02E5"/>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552496"/>
    <w:rPr>
      <w:sz w:val="18"/>
      <w:szCs w:val="18"/>
    </w:rPr>
  </w:style>
  <w:style w:type="paragraph" w:styleId="CommentText">
    <w:name w:val="annotation text"/>
    <w:basedOn w:val="Normal"/>
    <w:link w:val="CommentTextChar"/>
    <w:uiPriority w:val="99"/>
    <w:semiHidden/>
    <w:unhideWhenUsed/>
    <w:rsid w:val="00552496"/>
  </w:style>
  <w:style w:type="character" w:customStyle="1" w:styleId="CommentTextChar">
    <w:name w:val="Comment Text Char"/>
    <w:basedOn w:val="DefaultParagraphFont"/>
    <w:link w:val="CommentText"/>
    <w:uiPriority w:val="99"/>
    <w:semiHidden/>
    <w:rsid w:val="00552496"/>
    <w:rPr>
      <w:rFonts w:eastAsiaTheme="minorEastAsia" w:cstheme="minorBidi"/>
    </w:rPr>
  </w:style>
  <w:style w:type="paragraph" w:styleId="CommentSubject">
    <w:name w:val="annotation subject"/>
    <w:basedOn w:val="CommentText"/>
    <w:next w:val="CommentText"/>
    <w:link w:val="CommentSubjectChar"/>
    <w:uiPriority w:val="99"/>
    <w:semiHidden/>
    <w:unhideWhenUsed/>
    <w:rsid w:val="00552496"/>
    <w:rPr>
      <w:b/>
      <w:bCs/>
      <w:sz w:val="20"/>
      <w:szCs w:val="20"/>
    </w:rPr>
  </w:style>
  <w:style w:type="character" w:customStyle="1" w:styleId="CommentSubjectChar">
    <w:name w:val="Comment Subject Char"/>
    <w:basedOn w:val="CommentTextChar"/>
    <w:link w:val="CommentSubject"/>
    <w:uiPriority w:val="99"/>
    <w:semiHidden/>
    <w:rsid w:val="00552496"/>
    <w:rPr>
      <w:rFonts w:eastAsiaTheme="minorEastAsia" w:cstheme="minorBidi"/>
      <w:b/>
      <w:bCs/>
      <w:sz w:val="20"/>
      <w:szCs w:val="20"/>
    </w:rPr>
  </w:style>
  <w:style w:type="character" w:styleId="HTMLCite">
    <w:name w:val="HTML Cite"/>
    <w:basedOn w:val="DefaultParagraphFont"/>
    <w:uiPriority w:val="99"/>
    <w:semiHidden/>
    <w:unhideWhenUsed/>
    <w:rsid w:val="00C45694"/>
    <w:rPr>
      <w:i/>
      <w:iCs/>
    </w:rPr>
  </w:style>
  <w:style w:type="paragraph" w:styleId="Revision">
    <w:name w:val="Revision"/>
    <w:hidden/>
    <w:uiPriority w:val="99"/>
    <w:semiHidden/>
    <w:rsid w:val="00453B44"/>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076">
      <w:bodyDiv w:val="1"/>
      <w:marLeft w:val="0"/>
      <w:marRight w:val="0"/>
      <w:marTop w:val="0"/>
      <w:marBottom w:val="0"/>
      <w:divBdr>
        <w:top w:val="none" w:sz="0" w:space="0" w:color="auto"/>
        <w:left w:val="none" w:sz="0" w:space="0" w:color="auto"/>
        <w:bottom w:val="none" w:sz="0" w:space="0" w:color="auto"/>
        <w:right w:val="none" w:sz="0" w:space="0" w:color="auto"/>
      </w:divBdr>
    </w:div>
    <w:div w:id="433595436">
      <w:bodyDiv w:val="1"/>
      <w:marLeft w:val="0"/>
      <w:marRight w:val="0"/>
      <w:marTop w:val="0"/>
      <w:marBottom w:val="0"/>
      <w:divBdr>
        <w:top w:val="none" w:sz="0" w:space="0" w:color="auto"/>
        <w:left w:val="none" w:sz="0" w:space="0" w:color="auto"/>
        <w:bottom w:val="none" w:sz="0" w:space="0" w:color="auto"/>
        <w:right w:val="none" w:sz="0" w:space="0" w:color="auto"/>
      </w:divBdr>
    </w:div>
    <w:div w:id="566768051">
      <w:bodyDiv w:val="1"/>
      <w:marLeft w:val="0"/>
      <w:marRight w:val="0"/>
      <w:marTop w:val="0"/>
      <w:marBottom w:val="0"/>
      <w:divBdr>
        <w:top w:val="none" w:sz="0" w:space="0" w:color="auto"/>
        <w:left w:val="none" w:sz="0" w:space="0" w:color="auto"/>
        <w:bottom w:val="none" w:sz="0" w:space="0" w:color="auto"/>
        <w:right w:val="none" w:sz="0" w:space="0" w:color="auto"/>
      </w:divBdr>
    </w:div>
    <w:div w:id="701857092">
      <w:bodyDiv w:val="1"/>
      <w:marLeft w:val="0"/>
      <w:marRight w:val="0"/>
      <w:marTop w:val="0"/>
      <w:marBottom w:val="0"/>
      <w:divBdr>
        <w:top w:val="none" w:sz="0" w:space="0" w:color="auto"/>
        <w:left w:val="none" w:sz="0" w:space="0" w:color="auto"/>
        <w:bottom w:val="none" w:sz="0" w:space="0" w:color="auto"/>
        <w:right w:val="none" w:sz="0" w:space="0" w:color="auto"/>
      </w:divBdr>
    </w:div>
    <w:div w:id="15851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E0077-DE81-4448-B9F8-F8A004663D36}">
  <ds:schemaRefs>
    <ds:schemaRef ds:uri="http://schemas.openxmlformats.org/officeDocument/2006/bibliography"/>
  </ds:schemaRefs>
</ds:datastoreItem>
</file>

<file path=customXml/itemProps2.xml><?xml version="1.0" encoding="utf-8"?>
<ds:datastoreItem xmlns:ds="http://schemas.openxmlformats.org/officeDocument/2006/customXml" ds:itemID="{E10C71E4-DE89-42A4-ADD5-A401B0B3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26</Pages>
  <Words>5999</Words>
  <Characters>34199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40118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Green</dc:creator>
  <cp:lastModifiedBy>James Green</cp:lastModifiedBy>
  <cp:revision>5</cp:revision>
  <dcterms:created xsi:type="dcterms:W3CDTF">2016-07-22T19:34:00Z</dcterms:created>
  <dcterms:modified xsi:type="dcterms:W3CDTF">2016-08-20T09:09:00Z</dcterms:modified>
</cp:coreProperties>
</file>