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6B" w:rsidRDefault="00E4736B" w:rsidP="00E4736B">
      <w:pPr>
        <w:spacing w:line="360" w:lineRule="auto"/>
        <w:jc w:val="center"/>
        <w:rPr>
          <w:b/>
        </w:rPr>
      </w:pPr>
      <w:bookmarkStart w:id="0" w:name="_GoBack"/>
      <w:r w:rsidRPr="005343E5">
        <w:rPr>
          <w:b/>
        </w:rPr>
        <w:t>BOOK REVIEW</w:t>
      </w:r>
    </w:p>
    <w:p w:rsidR="00E4736B" w:rsidRDefault="00E4736B" w:rsidP="00E4736B">
      <w:pPr>
        <w:spacing w:line="360" w:lineRule="auto"/>
        <w:jc w:val="both"/>
        <w:rPr>
          <w:b/>
          <w:i/>
        </w:rPr>
      </w:pPr>
    </w:p>
    <w:p w:rsidR="00BE6058" w:rsidRPr="00EA5A45" w:rsidRDefault="00317CF1" w:rsidP="00E4736B">
      <w:pPr>
        <w:spacing w:line="360" w:lineRule="auto"/>
        <w:rPr>
          <w:b/>
        </w:rPr>
      </w:pPr>
      <w:r w:rsidRPr="00EA5A45">
        <w:rPr>
          <w:b/>
          <w:i/>
        </w:rPr>
        <w:t>Military Assistance on Request and the Use of Force</w:t>
      </w:r>
      <w:r w:rsidR="00EA5A45">
        <w:rPr>
          <w:b/>
        </w:rPr>
        <w:t xml:space="preserve">, by </w:t>
      </w:r>
      <w:r w:rsidR="00EA5A45" w:rsidRPr="00EA5A45">
        <w:rPr>
          <w:b/>
        </w:rPr>
        <w:t>Erika de Wet,</w:t>
      </w:r>
      <w:r w:rsidR="00EA5A45">
        <w:rPr>
          <w:b/>
        </w:rPr>
        <w:t xml:space="preserve"> </w:t>
      </w:r>
      <w:r w:rsidRPr="00EA5A45">
        <w:rPr>
          <w:b/>
        </w:rPr>
        <w:t>Oxford University Press, Oxford</w:t>
      </w:r>
      <w:r w:rsidR="00EA5A45" w:rsidRPr="00EA5A45">
        <w:rPr>
          <w:b/>
        </w:rPr>
        <w:t>,</w:t>
      </w:r>
      <w:r w:rsidRPr="00EA5A45">
        <w:rPr>
          <w:b/>
        </w:rPr>
        <w:t xml:space="preserve"> 2020, xii +2</w:t>
      </w:r>
      <w:r w:rsidR="00EA5A45" w:rsidRPr="00EA5A45">
        <w:rPr>
          <w:b/>
        </w:rPr>
        <w:t>5</w:t>
      </w:r>
      <w:r w:rsidRPr="00EA5A45">
        <w:rPr>
          <w:b/>
        </w:rPr>
        <w:t>8 pp.</w:t>
      </w:r>
      <w:r w:rsidR="00EA5A45" w:rsidRPr="00EA5A45">
        <w:rPr>
          <w:b/>
        </w:rPr>
        <w:t>, £80 [hardback],</w:t>
      </w:r>
      <w:r w:rsidRPr="00EA5A45">
        <w:rPr>
          <w:b/>
        </w:rPr>
        <w:t xml:space="preserve"> ISBN 9780198784401</w:t>
      </w:r>
    </w:p>
    <w:bookmarkEnd w:id="0"/>
    <w:p w:rsidR="001B3280" w:rsidRDefault="001B3280" w:rsidP="00E4736B">
      <w:pPr>
        <w:spacing w:line="360" w:lineRule="auto"/>
        <w:jc w:val="both"/>
      </w:pPr>
    </w:p>
    <w:p w:rsidR="00CB2FDB" w:rsidRDefault="00EA5A45" w:rsidP="00E4736B">
      <w:pPr>
        <w:spacing w:line="360" w:lineRule="auto"/>
        <w:jc w:val="both"/>
      </w:pPr>
      <w:r>
        <w:t xml:space="preserve">The </w:t>
      </w:r>
      <w:r w:rsidR="00254D75">
        <w:t>latest</w:t>
      </w:r>
      <w:r>
        <w:t xml:space="preserve"> book by Professor Erika de Wet</w:t>
      </w:r>
      <w:r w:rsidR="00254D75">
        <w:t xml:space="preserve"> </w:t>
      </w:r>
      <w:r w:rsidR="009A60F8">
        <w:t>examines</w:t>
      </w:r>
      <w:r w:rsidR="001B3280">
        <w:t xml:space="preserve"> the issue o</w:t>
      </w:r>
      <w:r w:rsidR="00C321C2">
        <w:t>f</w:t>
      </w:r>
      <w:r w:rsidR="001B3280">
        <w:t xml:space="preserve"> military assistance on request.</w:t>
      </w:r>
      <w:r w:rsidR="00E4736B">
        <w:rPr>
          <w:rStyle w:val="FootnoteReference"/>
        </w:rPr>
        <w:footnoteReference w:id="1"/>
      </w:r>
      <w:r w:rsidR="001B3280">
        <w:t xml:space="preserve">  </w:t>
      </w:r>
      <w:r w:rsidR="009A60F8">
        <w:t xml:space="preserve">As such, </w:t>
      </w:r>
      <w:r w:rsidR="00ED09AF">
        <w:t xml:space="preserve">and </w:t>
      </w:r>
      <w:r w:rsidR="009A60F8">
        <w:t>presumably not by accident, the book’s</w:t>
      </w:r>
      <w:r w:rsidR="00254D75">
        <w:t xml:space="preserve"> publication</w:t>
      </w:r>
      <w:r>
        <w:t xml:space="preserve"> has </w:t>
      </w:r>
      <w:r w:rsidR="00224ABE">
        <w:t>come</w:t>
      </w:r>
      <w:r w:rsidR="00254D75">
        <w:t xml:space="preserve"> </w:t>
      </w:r>
      <w:r>
        <w:t xml:space="preserve">at the perfect time in terms of catching the academic </w:t>
      </w:r>
      <w:r w:rsidRPr="00254D75">
        <w:rPr>
          <w:i/>
        </w:rPr>
        <w:t>ad bellum</w:t>
      </w:r>
      <w:r>
        <w:t xml:space="preserve"> zeitgeist.</w:t>
      </w:r>
      <w:r w:rsidR="001B3280">
        <w:t xml:space="preserve"> So much so that we are publish</w:t>
      </w:r>
      <w:r w:rsidR="009A60F8">
        <w:t>ing this</w:t>
      </w:r>
      <w:r w:rsidR="001B3280">
        <w:t xml:space="preserve"> review of </w:t>
      </w:r>
      <w:r w:rsidR="009A60F8">
        <w:t xml:space="preserve">de Wet’s </w:t>
      </w:r>
      <w:r w:rsidR="001B3280">
        <w:t xml:space="preserve">contribution </w:t>
      </w:r>
      <w:r w:rsidR="009A60F8">
        <w:t>to the debates on</w:t>
      </w:r>
      <w:r w:rsidR="001B3280">
        <w:t xml:space="preserve"> military assistance on request </w:t>
      </w:r>
      <w:r w:rsidR="009A60F8">
        <w:t>as part of</w:t>
      </w:r>
      <w:r w:rsidR="001B3280">
        <w:t xml:space="preserve"> </w:t>
      </w:r>
      <w:r w:rsidR="00ED09AF">
        <w:t>our</w:t>
      </w:r>
      <w:r w:rsidR="001B3280">
        <w:t xml:space="preserve"> series of especially collated </w:t>
      </w:r>
      <w:r w:rsidR="009A60F8">
        <w:t>work</w:t>
      </w:r>
      <w:r w:rsidR="001B3280">
        <w:t xml:space="preserve"> on the topic</w:t>
      </w:r>
      <w:r w:rsidR="009A60F8">
        <w:t>.  Th</w:t>
      </w:r>
      <w:r w:rsidR="00C321C2">
        <w:t>e</w:t>
      </w:r>
      <w:r w:rsidR="009A60F8">
        <w:t xml:space="preserve"> series, of course, itself,</w:t>
      </w:r>
      <w:r w:rsidR="001B3280">
        <w:t xml:space="preserve"> stem</w:t>
      </w:r>
      <w:r w:rsidR="009A60F8">
        <w:t>s</w:t>
      </w:r>
      <w:r w:rsidR="001B3280">
        <w:t xml:space="preserve"> from the</w:t>
      </w:r>
      <w:r w:rsidR="00ED09AF">
        <w:t xml:space="preserve"> major</w:t>
      </w:r>
      <w:r w:rsidR="001B3280">
        <w:t xml:space="preserve"> </w:t>
      </w:r>
      <w:proofErr w:type="spellStart"/>
      <w:r w:rsidR="00C321C2" w:rsidRPr="00C05F7F">
        <w:rPr>
          <w:i/>
        </w:rPr>
        <w:t>JUFIL</w:t>
      </w:r>
      <w:proofErr w:type="spellEnd"/>
      <w:r w:rsidR="00C321C2" w:rsidRPr="00C05F7F">
        <w:t xml:space="preserve"> </w:t>
      </w:r>
      <w:r w:rsidR="00C321C2">
        <w:t>/</w:t>
      </w:r>
      <w:r w:rsidR="00C321C2" w:rsidRPr="00C05F7F">
        <w:t xml:space="preserve"> </w:t>
      </w:r>
      <w:r w:rsidR="00C321C2" w:rsidRPr="00C05F7F">
        <w:rPr>
          <w:i/>
        </w:rPr>
        <w:t xml:space="preserve">Ghent </w:t>
      </w:r>
      <w:proofErr w:type="spellStart"/>
      <w:r w:rsidR="00C321C2" w:rsidRPr="00C05F7F">
        <w:rPr>
          <w:i/>
        </w:rPr>
        <w:t>Rolin-Jaequemyns</w:t>
      </w:r>
      <w:proofErr w:type="spellEnd"/>
      <w:r w:rsidR="00C321C2" w:rsidRPr="00C05F7F">
        <w:rPr>
          <w:i/>
        </w:rPr>
        <w:t xml:space="preserve"> International Law Institute </w:t>
      </w:r>
      <w:r w:rsidR="00C321C2" w:rsidRPr="0005554F">
        <w:t>(</w:t>
      </w:r>
      <w:proofErr w:type="spellStart"/>
      <w:r w:rsidR="00C321C2" w:rsidRPr="00C05F7F">
        <w:rPr>
          <w:i/>
        </w:rPr>
        <w:t>GRILI</w:t>
      </w:r>
      <w:proofErr w:type="spellEnd"/>
      <w:r w:rsidR="00C321C2" w:rsidRPr="0005554F">
        <w:t>)</w:t>
      </w:r>
      <w:r w:rsidR="00C321C2">
        <w:t xml:space="preserve"> </w:t>
      </w:r>
      <w:r w:rsidR="001B3280">
        <w:t>international conference on the subject h</w:t>
      </w:r>
      <w:r w:rsidR="00412001">
        <w:t xml:space="preserve">eld in Ghent in December 2019. </w:t>
      </w:r>
      <w:r w:rsidR="001B3280">
        <w:t xml:space="preserve">Concurrently, </w:t>
      </w:r>
      <w:r w:rsidR="009A60F8">
        <w:t xml:space="preserve">as </w:t>
      </w:r>
      <w:r w:rsidR="00ED09AF">
        <w:t xml:space="preserve">most </w:t>
      </w:r>
      <w:r w:rsidR="009A60F8">
        <w:t xml:space="preserve">readers </w:t>
      </w:r>
      <w:r w:rsidR="00AB575B">
        <w:t xml:space="preserve">likely </w:t>
      </w:r>
      <w:r w:rsidR="009A60F8">
        <w:t xml:space="preserve">will know, </w:t>
      </w:r>
      <w:r w:rsidR="001B3280">
        <w:t>the International Law Association</w:t>
      </w:r>
      <w:r w:rsidR="009A60F8">
        <w:t>’s Use of Force Committee</w:t>
      </w:r>
      <w:r w:rsidR="001B3280">
        <w:t xml:space="preserve"> is</w:t>
      </w:r>
      <w:r w:rsidR="00C321C2">
        <w:t xml:space="preserve"> also</w:t>
      </w:r>
      <w:r w:rsidR="001B3280">
        <w:t xml:space="preserve"> ramping up its ongoing work on </w:t>
      </w:r>
      <w:r w:rsidR="00C321C2">
        <w:t>military assistance on request</w:t>
      </w:r>
      <w:r w:rsidR="001B3280">
        <w:t>.</w:t>
      </w:r>
      <w:r w:rsidR="00412001">
        <w:rPr>
          <w:rStyle w:val="FootnoteReference"/>
        </w:rPr>
        <w:footnoteReference w:id="2"/>
      </w:r>
      <w:r w:rsidR="00254D75">
        <w:t xml:space="preserve"> </w:t>
      </w:r>
    </w:p>
    <w:p w:rsidR="00EA5A45" w:rsidRPr="00362522" w:rsidRDefault="00412001" w:rsidP="009A60F8">
      <w:pPr>
        <w:spacing w:line="360" w:lineRule="auto"/>
        <w:ind w:firstLine="720"/>
        <w:jc w:val="both"/>
      </w:pPr>
      <w:r>
        <w:t xml:space="preserve">Indeed – </w:t>
      </w:r>
      <w:r w:rsidR="00254D75">
        <w:t xml:space="preserve">after a long period where one might be forgiven for </w:t>
      </w:r>
      <w:r>
        <w:t>(albeit would be wrong in</w:t>
      </w:r>
      <w:r w:rsidR="009A60F8">
        <w:t>)</w:t>
      </w:r>
      <w:r>
        <w:t xml:space="preserve"> thinking </w:t>
      </w:r>
      <w:r w:rsidR="00254D75">
        <w:t xml:space="preserve">that </w:t>
      </w:r>
      <w:r w:rsidR="00ED09AF">
        <w:t xml:space="preserve">the famous </w:t>
      </w:r>
      <w:proofErr w:type="spellStart"/>
      <w:r w:rsidR="00ED09AF" w:rsidRPr="00A44505">
        <w:rPr>
          <w:i/>
        </w:rPr>
        <w:t>Institut</w:t>
      </w:r>
      <w:proofErr w:type="spellEnd"/>
      <w:r w:rsidR="00ED09AF" w:rsidRPr="00A44505">
        <w:rPr>
          <w:i/>
        </w:rPr>
        <w:t xml:space="preserve"> de droit international</w:t>
      </w:r>
      <w:r w:rsidR="00ED09AF">
        <w:t xml:space="preserve"> (</w:t>
      </w:r>
      <w:r w:rsidR="00ED09AF" w:rsidRPr="00C321C2">
        <w:rPr>
          <w:i/>
        </w:rPr>
        <w:t>IDI</w:t>
      </w:r>
      <w:r w:rsidR="00ED09AF">
        <w:t>) resolution from 1975</w:t>
      </w:r>
      <w:r w:rsidR="00ED09AF">
        <w:rPr>
          <w:rStyle w:val="FootnoteReference"/>
        </w:rPr>
        <w:footnoteReference w:id="3"/>
      </w:r>
      <w:r w:rsidR="00ED09AF">
        <w:t xml:space="preserve"> and </w:t>
      </w:r>
      <w:r w:rsidR="00AB575B">
        <w:t xml:space="preserve">Louise </w:t>
      </w:r>
      <w:proofErr w:type="spellStart"/>
      <w:r w:rsidRPr="00412001">
        <w:t>Doswald</w:t>
      </w:r>
      <w:proofErr w:type="spellEnd"/>
      <w:r w:rsidRPr="00412001">
        <w:t>-Beck</w:t>
      </w:r>
      <w:r>
        <w:t xml:space="preserve">’s </w:t>
      </w:r>
      <w:r w:rsidR="00ED09AF">
        <w:t xml:space="preserve">seminal </w:t>
      </w:r>
      <w:r>
        <w:t>1985 article</w:t>
      </w:r>
      <w:r>
        <w:rPr>
          <w:rStyle w:val="FootnoteReference"/>
        </w:rPr>
        <w:footnoteReference w:id="4"/>
      </w:r>
      <w:r w:rsidR="00254D75">
        <w:t xml:space="preserve"> </w:t>
      </w:r>
      <w:r>
        <w:t>represented pretty much</w:t>
      </w:r>
      <w:r w:rsidR="00254D75">
        <w:t xml:space="preserve"> all that international lawyers had to say on </w:t>
      </w:r>
      <w:r w:rsidR="00ED09AF">
        <w:t>military assistance on request</w:t>
      </w:r>
      <w:r w:rsidR="00EB51D9">
        <w:rPr>
          <w:rStyle w:val="FootnoteReference"/>
        </w:rPr>
        <w:footnoteReference w:id="5"/>
      </w:r>
      <w:r>
        <w:t xml:space="preserve"> – there has been a proliferation of work on the </w:t>
      </w:r>
      <w:r w:rsidR="00ED09AF">
        <w:t>subject</w:t>
      </w:r>
      <w:r>
        <w:t xml:space="preserve"> published over the last decade or so.</w:t>
      </w:r>
      <w:r>
        <w:rPr>
          <w:rStyle w:val="FootnoteReference"/>
        </w:rPr>
        <w:footnoteReference w:id="6"/>
      </w:r>
      <w:r w:rsidR="00CB2FDB">
        <w:t xml:space="preserve"> </w:t>
      </w:r>
      <w:r w:rsidR="009A60F8">
        <w:t>M</w:t>
      </w:r>
      <w:r w:rsidR="00254D75">
        <w:t xml:space="preserve">ilitary assistance </w:t>
      </w:r>
      <w:r w:rsidR="00096FB3">
        <w:t xml:space="preserve">on request </w:t>
      </w:r>
      <w:r w:rsidR="00254D75">
        <w:t xml:space="preserve">may be </w:t>
      </w:r>
      <w:r w:rsidR="009A60F8">
        <w:t xml:space="preserve">a </w:t>
      </w:r>
      <w:r w:rsidR="00CB2FDB">
        <w:t>‘</w:t>
      </w:r>
      <w:r w:rsidR="009A60F8">
        <w:t>hot topic</w:t>
      </w:r>
      <w:r w:rsidR="00CB2FDB">
        <w:t>’</w:t>
      </w:r>
      <w:r w:rsidR="00096FB3">
        <w:t xml:space="preserve"> at present</w:t>
      </w:r>
      <w:r w:rsidR="00254D75">
        <w:t xml:space="preserve">, but there </w:t>
      </w:r>
      <w:r w:rsidR="00096FB3">
        <w:t>remains</w:t>
      </w:r>
      <w:r w:rsidR="00254D75">
        <w:t xml:space="preserve"> much work to be done on </w:t>
      </w:r>
      <w:r w:rsidR="00ED09AF">
        <w:t>it</w:t>
      </w:r>
      <w:r w:rsidR="00096FB3">
        <w:t xml:space="preserve">. </w:t>
      </w:r>
      <w:r w:rsidR="00C321C2">
        <w:t>Adding to</w:t>
      </w:r>
      <w:r w:rsidR="00CB2FDB">
        <w:t xml:space="preserve"> th</w:t>
      </w:r>
      <w:r w:rsidR="00ED09AF">
        <w:t>e</w:t>
      </w:r>
      <w:r w:rsidR="00CB2FDB">
        <w:t xml:space="preserve"> </w:t>
      </w:r>
      <w:r w:rsidR="00C321C2">
        <w:t xml:space="preserve">recent </w:t>
      </w:r>
      <w:r w:rsidR="00C321C2">
        <w:lastRenderedPageBreak/>
        <w:t>scholarship</w:t>
      </w:r>
      <w:r w:rsidR="00CB2FDB">
        <w:t xml:space="preserve"> </w:t>
      </w:r>
      <w:r w:rsidR="00C321C2">
        <w:t>is</w:t>
      </w:r>
      <w:r w:rsidR="00CB2FDB">
        <w:t xml:space="preserve"> de Wet’s </w:t>
      </w:r>
      <w:r w:rsidR="00C321C2">
        <w:t xml:space="preserve">monograph, and </w:t>
      </w:r>
      <w:r w:rsidR="00096FB3">
        <w:t>there is no question</w:t>
      </w:r>
      <w:r w:rsidR="00254D75">
        <w:t xml:space="preserve"> </w:t>
      </w:r>
      <w:r w:rsidR="00CB2FDB">
        <w:t xml:space="preserve">that </w:t>
      </w:r>
      <w:r w:rsidR="00254D75">
        <w:t xml:space="preserve">the book </w:t>
      </w:r>
      <w:r w:rsidR="00096FB3">
        <w:t xml:space="preserve">is a </w:t>
      </w:r>
      <w:r w:rsidR="00096FB3" w:rsidRPr="00362522">
        <w:t>hugely important new addition to the burgeoning literature.</w:t>
      </w:r>
      <w:r w:rsidR="00254D75" w:rsidRPr="00362522">
        <w:t xml:space="preserve"> </w:t>
      </w:r>
    </w:p>
    <w:p w:rsidR="00096FB3" w:rsidRDefault="00096FB3" w:rsidP="00CB2FDB">
      <w:pPr>
        <w:spacing w:line="360" w:lineRule="auto"/>
        <w:ind w:firstLine="720"/>
        <w:jc w:val="both"/>
      </w:pPr>
      <w:r w:rsidRPr="00362522">
        <w:t xml:space="preserve">The approach taken in </w:t>
      </w:r>
      <w:r w:rsidRPr="00362522">
        <w:rPr>
          <w:i/>
        </w:rPr>
        <w:t>Military Assistance on Request and the Use of Force</w:t>
      </w:r>
      <w:r w:rsidRPr="00362522">
        <w:t xml:space="preserve"> is one of ‘…analytical desk-based research, relying on the traditional sources of international law to be found in article 38(1) of the International Court of Justice (</w:t>
      </w:r>
      <w:proofErr w:type="spellStart"/>
      <w:r w:rsidRPr="00362522">
        <w:t>ICJ</w:t>
      </w:r>
      <w:proofErr w:type="spellEnd"/>
      <w:r w:rsidRPr="00362522">
        <w:t xml:space="preserve">) Statute’ (13). </w:t>
      </w:r>
      <w:r w:rsidR="00362522" w:rsidRPr="00362522">
        <w:t>Rigorous,</w:t>
      </w:r>
      <w:r w:rsidRPr="00362522">
        <w:t xml:space="preserve"> analytical doctrinal work may have</w:t>
      </w:r>
      <w:r w:rsidR="00362522" w:rsidRPr="00362522">
        <w:t>, in some quarters,</w:t>
      </w:r>
      <w:r w:rsidRPr="00362522">
        <w:t xml:space="preserve"> </w:t>
      </w:r>
      <w:r w:rsidR="0078414B">
        <w:t xml:space="preserve">somewhat </w:t>
      </w:r>
      <w:r w:rsidRPr="00362522">
        <w:t xml:space="preserve">fallen out of fashion in international legal </w:t>
      </w:r>
      <w:r w:rsidR="009A60F8">
        <w:t>academia</w:t>
      </w:r>
      <w:r w:rsidRPr="00362522">
        <w:t xml:space="preserve"> of late</w:t>
      </w:r>
      <w:r w:rsidR="00362522" w:rsidRPr="00362522">
        <w:t>.</w:t>
      </w:r>
      <w:r w:rsidR="0078414B">
        <w:rPr>
          <w:rStyle w:val="FootnoteReference"/>
        </w:rPr>
        <w:footnoteReference w:id="7"/>
      </w:r>
      <w:r w:rsidR="00362522" w:rsidRPr="00362522">
        <w:t xml:space="preserve"> For those who revel in the </w:t>
      </w:r>
      <w:r w:rsidR="0078414B">
        <w:t xml:space="preserve">sheer </w:t>
      </w:r>
      <w:r w:rsidR="00362522" w:rsidRPr="00362522">
        <w:t xml:space="preserve">lawyerliness of such </w:t>
      </w:r>
      <w:r w:rsidR="009A60F8">
        <w:t>scholarship</w:t>
      </w:r>
      <w:r w:rsidR="00362522">
        <w:t>,</w:t>
      </w:r>
      <w:r w:rsidR="00362522" w:rsidRPr="00362522">
        <w:t xml:space="preserve"> however</w:t>
      </w:r>
      <w:r w:rsidR="0078414B">
        <w:t xml:space="preserve"> – at least when </w:t>
      </w:r>
      <w:r w:rsidR="00ED09AF">
        <w:t xml:space="preserve">it is </w:t>
      </w:r>
      <w:r w:rsidR="0078414B">
        <w:t xml:space="preserve">done well – </w:t>
      </w:r>
      <w:r w:rsidR="00362522">
        <w:t xml:space="preserve">and </w:t>
      </w:r>
      <w:r w:rsidR="009A60F8">
        <w:t xml:space="preserve">especially those </w:t>
      </w:r>
      <w:r w:rsidR="00362522">
        <w:t>who have (</w:t>
      </w:r>
      <w:r w:rsidR="009A60F8">
        <w:t xml:space="preserve">perhaps </w:t>
      </w:r>
      <w:r w:rsidR="00362522">
        <w:t>even less fashionably) positivist</w:t>
      </w:r>
      <w:r w:rsidR="009A60F8">
        <w:t>ic</w:t>
      </w:r>
      <w:r w:rsidR="00362522">
        <w:t xml:space="preserve"> leanings, this book will be a joy. </w:t>
      </w:r>
      <w:r w:rsidR="009A60F8">
        <w:t xml:space="preserve">Personally, this reviewer </w:t>
      </w:r>
      <w:r w:rsidRPr="00362522">
        <w:t>value</w:t>
      </w:r>
      <w:r w:rsidR="009A60F8">
        <w:t>s</w:t>
      </w:r>
      <w:r w:rsidRPr="00362522">
        <w:t xml:space="preserve"> </w:t>
      </w:r>
      <w:r w:rsidR="00CB2FDB">
        <w:t xml:space="preserve">quality </w:t>
      </w:r>
      <w:r w:rsidR="00362522" w:rsidRPr="00362522">
        <w:t>doctrinal analysis pretty highly.</w:t>
      </w:r>
      <w:r w:rsidR="009A60F8">
        <w:t xml:space="preserve"> </w:t>
      </w:r>
      <w:r w:rsidR="0078414B">
        <w:t>I</w:t>
      </w:r>
      <w:r w:rsidR="00CB2FDB">
        <w:t>t</w:t>
      </w:r>
      <w:r w:rsidR="009A60F8" w:rsidRPr="00362522">
        <w:t xml:space="preserve"> is </w:t>
      </w:r>
      <w:r w:rsidR="0078414B">
        <w:t xml:space="preserve">always </w:t>
      </w:r>
      <w:r w:rsidR="009A60F8" w:rsidRPr="00362522">
        <w:t xml:space="preserve">worth remembering that states and legal advisors </w:t>
      </w:r>
      <w:r w:rsidR="009A60F8">
        <w:t>do too.</w:t>
      </w:r>
    </w:p>
    <w:p w:rsidR="009A60F8" w:rsidRDefault="00CB2FDB" w:rsidP="00CB2FDB">
      <w:pPr>
        <w:spacing w:line="360" w:lineRule="auto"/>
        <w:ind w:firstLine="720"/>
        <w:jc w:val="both"/>
      </w:pPr>
      <w:r>
        <w:t>Another thing that s</w:t>
      </w:r>
      <w:r w:rsidR="00362522">
        <w:t>tates value</w:t>
      </w:r>
      <w:r w:rsidR="00ED09AF">
        <w:t xml:space="preserve"> highly</w:t>
      </w:r>
      <w:r w:rsidR="00362522">
        <w:t xml:space="preserve"> </w:t>
      </w:r>
      <w:r>
        <w:t xml:space="preserve">is </w:t>
      </w:r>
      <w:r w:rsidR="00ED09AF">
        <w:t xml:space="preserve">their power to give or withhold their </w:t>
      </w:r>
      <w:r w:rsidR="00362522" w:rsidRPr="00362522">
        <w:rPr>
          <w:i/>
        </w:rPr>
        <w:t>consent</w:t>
      </w:r>
      <w:r w:rsidR="00362522">
        <w:t xml:space="preserve">. </w:t>
      </w:r>
      <w:r w:rsidR="009A60F8">
        <w:t>And d</w:t>
      </w:r>
      <w:r w:rsidR="00362522">
        <w:t xml:space="preserve">e Wet </w:t>
      </w:r>
      <w:r w:rsidR="00362522" w:rsidRPr="00D17325">
        <w:t xml:space="preserve">places </w:t>
      </w:r>
      <w:r w:rsidR="00ED09AF">
        <w:t xml:space="preserve">state </w:t>
      </w:r>
      <w:r w:rsidR="00362522" w:rsidRPr="00D17325">
        <w:t xml:space="preserve">consent (and </w:t>
      </w:r>
      <w:r w:rsidR="009A60F8">
        <w:t>the</w:t>
      </w:r>
      <w:r w:rsidR="00362522" w:rsidRPr="00D17325">
        <w:t xml:space="preserve"> validity</w:t>
      </w:r>
      <w:r w:rsidR="009A60F8">
        <w:t xml:space="preserve"> thereof</w:t>
      </w:r>
      <w:r>
        <w:t xml:space="preserve">) </w:t>
      </w:r>
      <w:r w:rsidR="0078414B">
        <w:t xml:space="preserve">right </w:t>
      </w:r>
      <w:r>
        <w:t xml:space="preserve">at the </w:t>
      </w:r>
      <w:r w:rsidR="009A60F8">
        <w:t>heart of</w:t>
      </w:r>
      <w:r w:rsidR="00D17325">
        <w:t xml:space="preserve"> </w:t>
      </w:r>
      <w:r>
        <w:t>this</w:t>
      </w:r>
      <w:r w:rsidR="00D17325">
        <w:t xml:space="preserve"> book.  That may not sound surprising, given that military assistance </w:t>
      </w:r>
      <w:r w:rsidR="00D17325" w:rsidRPr="00CB2FDB">
        <w:rPr>
          <w:i/>
        </w:rPr>
        <w:t>on request</w:t>
      </w:r>
      <w:r w:rsidR="00D17325">
        <w:t xml:space="preserve"> is defined</w:t>
      </w:r>
      <w:r w:rsidR="00ED09AF">
        <w:t>, more than by anything else,</w:t>
      </w:r>
      <w:r w:rsidR="00D17325">
        <w:t xml:space="preserve"> by the</w:t>
      </w:r>
      <w:r w:rsidR="009A60F8">
        <w:t xml:space="preserve"> issuance of</w:t>
      </w:r>
      <w:r>
        <w:t xml:space="preserve"> </w:t>
      </w:r>
      <w:r w:rsidR="00ED09AF">
        <w:t>consent</w:t>
      </w:r>
      <w:r w:rsidR="00D17325">
        <w:t xml:space="preserve">. However, much of the recent work on the </w:t>
      </w:r>
      <w:r w:rsidR="009A60F8">
        <w:t>subject</w:t>
      </w:r>
      <w:r w:rsidR="00D17325">
        <w:t xml:space="preserve"> has considered policy </w:t>
      </w:r>
      <w:r w:rsidR="009A60F8">
        <w:t xml:space="preserve">or ethical </w:t>
      </w:r>
      <w:r w:rsidR="00D17325">
        <w:t>implications</w:t>
      </w:r>
      <w:r w:rsidR="009A60F8">
        <w:t xml:space="preserve">, or has rooted </w:t>
      </w:r>
      <w:r w:rsidR="0078414B">
        <w:t xml:space="preserve">its </w:t>
      </w:r>
      <w:r w:rsidR="009A60F8">
        <w:t xml:space="preserve">inquiry in </w:t>
      </w:r>
      <w:r w:rsidR="005D717C">
        <w:t>critical theory</w:t>
      </w:r>
      <w:r w:rsidR="009A60F8">
        <w:t>.</w:t>
      </w:r>
      <w:r w:rsidR="0078414B">
        <w:rPr>
          <w:rStyle w:val="FootnoteReference"/>
        </w:rPr>
        <w:footnoteReference w:id="8"/>
      </w:r>
      <w:r>
        <w:t xml:space="preserve"> </w:t>
      </w:r>
      <w:r w:rsidR="0078414B">
        <w:t>Without dismissing the value of such work, the</w:t>
      </w:r>
      <w:r w:rsidR="009A60F8">
        <w:t xml:space="preserve"> book</w:t>
      </w:r>
      <w:r w:rsidR="0078414B">
        <w:t xml:space="preserve"> under review</w:t>
      </w:r>
      <w:r w:rsidR="009A60F8">
        <w:t xml:space="preserve"> to some extent recalibrates things to </w:t>
      </w:r>
      <w:r>
        <w:t>focus</w:t>
      </w:r>
      <w:r w:rsidR="0078414B">
        <w:t>, again,</w:t>
      </w:r>
      <w:r>
        <w:t xml:space="preserve"> on</w:t>
      </w:r>
      <w:r w:rsidR="009A60F8">
        <w:t xml:space="preserve"> consent and sovereignty </w:t>
      </w:r>
      <w:r>
        <w:t>as the root of legal authority</w:t>
      </w:r>
      <w:r w:rsidR="0078414B">
        <w:t xml:space="preserve"> in the context of the use of force</w:t>
      </w:r>
      <w:r>
        <w:t xml:space="preserve">. </w:t>
      </w:r>
      <w:r w:rsidR="0078414B">
        <w:t>De Wet</w:t>
      </w:r>
      <w:r>
        <w:t xml:space="preserve"> </w:t>
      </w:r>
      <w:r w:rsidR="009A60F8">
        <w:t xml:space="preserve">makes no </w:t>
      </w:r>
      <w:r w:rsidR="009A60F8" w:rsidRPr="00F401B4">
        <w:t xml:space="preserve">bones about </w:t>
      </w:r>
      <w:r w:rsidR="0078414B">
        <w:t>her</w:t>
      </w:r>
      <w:r w:rsidR="009A60F8" w:rsidRPr="00F401B4">
        <w:t xml:space="preserve"> goal</w:t>
      </w:r>
      <w:r w:rsidR="00F401B4" w:rsidRPr="00F401B4">
        <w:t>s, which are</w:t>
      </w:r>
      <w:r w:rsidR="009A60F8" w:rsidRPr="00F401B4">
        <w:t xml:space="preserve"> ‘aimed at identifying the </w:t>
      </w:r>
      <w:r w:rsidR="009A60F8" w:rsidRPr="00F401B4">
        <w:rPr>
          <w:i/>
        </w:rPr>
        <w:t>legal conditions</w:t>
      </w:r>
      <w:r w:rsidR="009A60F8" w:rsidRPr="00F401B4">
        <w:t xml:space="preserve"> set by the contemporary (post-Cold War) international law for the legal construct of military assistance on request’ (1</w:t>
      </w:r>
      <w:r w:rsidR="00F401B4" w:rsidRPr="00F401B4">
        <w:t>, emphasis added</w:t>
      </w:r>
      <w:r w:rsidR="009A60F8" w:rsidRPr="00F401B4">
        <w:t>).</w:t>
      </w:r>
      <w:r w:rsidR="00ED09AF">
        <w:t xml:space="preserve"> T</w:t>
      </w:r>
      <w:r w:rsidR="00F401B4">
        <w:t xml:space="preserve">here are </w:t>
      </w:r>
      <w:r>
        <w:t xml:space="preserve">certainly </w:t>
      </w:r>
      <w:r w:rsidR="0078414B">
        <w:t xml:space="preserve">important </w:t>
      </w:r>
      <w:r w:rsidR="00F401B4">
        <w:t xml:space="preserve">considerations of policy </w:t>
      </w:r>
      <w:r w:rsidR="00FB14BA">
        <w:t xml:space="preserve">peppered throughout </w:t>
      </w:r>
      <w:r w:rsidR="0078414B">
        <w:t>(e.g.</w:t>
      </w:r>
      <w:r w:rsidR="004C5049">
        <w:t xml:space="preserve"> 123–124</w:t>
      </w:r>
      <w:r w:rsidR="00FB14BA">
        <w:t>, 180</w:t>
      </w:r>
      <w:r w:rsidR="004C5049">
        <w:t>)</w:t>
      </w:r>
      <w:r w:rsidR="00F401B4">
        <w:t>,</w:t>
      </w:r>
      <w:r w:rsidR="00ED09AF">
        <w:t xml:space="preserve"> but,</w:t>
      </w:r>
      <w:r w:rsidR="00F401B4">
        <w:t xml:space="preserve"> first and foremost, this is a book about </w:t>
      </w:r>
      <w:r w:rsidR="00F401B4" w:rsidRPr="00F401B4">
        <w:rPr>
          <w:i/>
        </w:rPr>
        <w:t>what the law is</w:t>
      </w:r>
      <w:r w:rsidR="00F401B4">
        <w:t>.</w:t>
      </w:r>
      <w:r w:rsidR="0078414B">
        <w:t xml:space="preserve"> How much one will value </w:t>
      </w:r>
      <w:r w:rsidR="00ED09AF" w:rsidRPr="00362522">
        <w:rPr>
          <w:i/>
        </w:rPr>
        <w:t>Military Assistance on Request and the Use of Force</w:t>
      </w:r>
      <w:r w:rsidR="00ED09AF">
        <w:t xml:space="preserve"> </w:t>
      </w:r>
      <w:r w:rsidR="0078414B">
        <w:t xml:space="preserve">will thus primarily depend on how much one values the answer to that question, </w:t>
      </w:r>
      <w:r w:rsidR="00ED09AF">
        <w:t xml:space="preserve">to the (comparative) </w:t>
      </w:r>
      <w:proofErr w:type="spellStart"/>
      <w:r w:rsidR="00ED09AF">
        <w:t>minimalisation</w:t>
      </w:r>
      <w:proofErr w:type="spellEnd"/>
      <w:r w:rsidR="00ED09AF">
        <w:t xml:space="preserve"> of</w:t>
      </w:r>
      <w:r w:rsidR="0078414B">
        <w:t xml:space="preserve"> </w:t>
      </w:r>
      <w:r w:rsidR="00ED09AF">
        <w:t>considerations of what</w:t>
      </w:r>
      <w:r w:rsidR="0078414B">
        <w:t xml:space="preserve"> </w:t>
      </w:r>
      <w:r w:rsidR="00ED09AF">
        <w:t>the law</w:t>
      </w:r>
      <w:r w:rsidR="0078414B">
        <w:t xml:space="preserve"> should be.</w:t>
      </w:r>
    </w:p>
    <w:p w:rsidR="0023314D" w:rsidRDefault="00F401B4" w:rsidP="00CB2FDB">
      <w:pPr>
        <w:spacing w:line="360" w:lineRule="auto"/>
        <w:ind w:firstLine="720"/>
        <w:jc w:val="both"/>
      </w:pPr>
      <w:r>
        <w:t xml:space="preserve">After </w:t>
      </w:r>
      <w:r w:rsidR="0078414B">
        <w:t>the</w:t>
      </w:r>
      <w:r>
        <w:t xml:space="preserve"> </w:t>
      </w:r>
      <w:r w:rsidR="0023314D">
        <w:t>I</w:t>
      </w:r>
      <w:r>
        <w:t xml:space="preserve">ntroduction, Chapter 2 (being the first substantive chapter) examines the question of the authority that is entitled to make the request for military assistance.  </w:t>
      </w:r>
      <w:r w:rsidR="0023314D">
        <w:t>On</w:t>
      </w:r>
      <w:r>
        <w:t xml:space="preserve"> one level, the answer reached is </w:t>
      </w:r>
      <w:r w:rsidR="0023314D">
        <w:t xml:space="preserve">both simple, and </w:t>
      </w:r>
      <w:r>
        <w:t xml:space="preserve">orthodox: </w:t>
      </w:r>
      <w:r w:rsidR="0023314D">
        <w:t xml:space="preserve">the </w:t>
      </w:r>
      <w:r>
        <w:t>‘</w:t>
      </w:r>
      <w:r w:rsidRPr="00F401B4">
        <w:rPr>
          <w:i/>
        </w:rPr>
        <w:t>de jure</w:t>
      </w:r>
      <w:r>
        <w:t xml:space="preserve"> government’ (72). De Wet dismisses the idea that</w:t>
      </w:r>
      <w:r w:rsidR="00F938A5">
        <w:t xml:space="preserve"> </w:t>
      </w:r>
      <w:r w:rsidR="00B500BB">
        <w:t xml:space="preserve">external military </w:t>
      </w:r>
      <w:r w:rsidR="00F938A5">
        <w:t xml:space="preserve">support for opposition groups </w:t>
      </w:r>
      <w:r>
        <w:t>can be lawful</w:t>
      </w:r>
      <w:r w:rsidR="00B500BB">
        <w:t>,</w:t>
      </w:r>
      <w:r w:rsidR="00CB6765">
        <w:rPr>
          <w:rStyle w:val="FootnoteReference"/>
        </w:rPr>
        <w:footnoteReference w:id="9"/>
      </w:r>
      <w:r w:rsidR="00B500BB">
        <w:t xml:space="preserve"> at least </w:t>
      </w:r>
      <w:r w:rsidR="00B500BB">
        <w:lastRenderedPageBreak/>
        <w:t>as a prima facie proposition in the vast majority of instances</w:t>
      </w:r>
      <w:r w:rsidR="0023314D">
        <w:t xml:space="preserve"> (24</w:t>
      </w:r>
      <w:r w:rsidR="00F3434D">
        <w:t>–</w:t>
      </w:r>
      <w:r w:rsidR="0023314D">
        <w:t>31). The real thrust of the chapter – and</w:t>
      </w:r>
      <w:r w:rsidR="0078414B">
        <w:t>, of course,</w:t>
      </w:r>
      <w:r w:rsidR="0023314D">
        <w:t xml:space="preserve"> a more pertinent point of contention across the literature</w:t>
      </w:r>
      <w:r w:rsidR="00F3434D">
        <w:rPr>
          <w:rStyle w:val="FootnoteReference"/>
        </w:rPr>
        <w:footnoteReference w:id="10"/>
      </w:r>
      <w:r w:rsidR="0023314D">
        <w:t xml:space="preserve"> – is how one </w:t>
      </w:r>
      <w:r w:rsidR="0023314D" w:rsidRPr="0023314D">
        <w:rPr>
          <w:i/>
        </w:rPr>
        <w:t>identifies</w:t>
      </w:r>
      <w:r w:rsidR="0023314D">
        <w:t xml:space="preserve"> the </w:t>
      </w:r>
      <w:r w:rsidR="0023314D" w:rsidRPr="0023314D">
        <w:rPr>
          <w:i/>
        </w:rPr>
        <w:t>de jure</w:t>
      </w:r>
      <w:r w:rsidR="0023314D">
        <w:t xml:space="preserve"> government. </w:t>
      </w:r>
    </w:p>
    <w:p w:rsidR="00F3434D" w:rsidRDefault="0023314D" w:rsidP="00F3434D">
      <w:pPr>
        <w:spacing w:line="360" w:lineRule="auto"/>
        <w:ind w:firstLine="720"/>
        <w:jc w:val="both"/>
      </w:pPr>
      <w:r>
        <w:t xml:space="preserve">In engaging with this </w:t>
      </w:r>
      <w:r w:rsidRPr="00CB2FDB">
        <w:t xml:space="preserve">question, de Wet undertakes a deep-dive consideration of the practice of states and – more commonly </w:t>
      </w:r>
      <w:r w:rsidR="0078414B">
        <w:t>forgotten</w:t>
      </w:r>
      <w:r w:rsidR="00CB2FDB">
        <w:t xml:space="preserve"> but just as important, especially</w:t>
      </w:r>
      <w:r w:rsidRPr="00CB2FDB">
        <w:t xml:space="preserve"> in </w:t>
      </w:r>
      <w:r w:rsidR="00F3434D">
        <w:t>the use of force on request context</w:t>
      </w:r>
      <w:r w:rsidRPr="00CB2FDB">
        <w:t xml:space="preserve"> – </w:t>
      </w:r>
      <w:r w:rsidR="00CB2FDB">
        <w:t xml:space="preserve">of </w:t>
      </w:r>
      <w:r w:rsidRPr="00CB2FDB">
        <w:t>international organisations.  The rigour</w:t>
      </w:r>
      <w:r>
        <w:t xml:space="preserve"> of the engagement with practice</w:t>
      </w:r>
      <w:r w:rsidR="0078414B">
        <w:t xml:space="preserve"> in </w:t>
      </w:r>
      <w:r w:rsidR="0078414B" w:rsidRPr="00362522">
        <w:rPr>
          <w:i/>
        </w:rPr>
        <w:t>Military Assistance on Request and the Use of Force</w:t>
      </w:r>
      <w:r>
        <w:t xml:space="preserve">, in keeping with </w:t>
      </w:r>
      <w:r w:rsidR="0078414B">
        <w:t>its</w:t>
      </w:r>
      <w:r>
        <w:t xml:space="preserve"> advertised doctrinal approach, is a </w:t>
      </w:r>
      <w:r w:rsidRPr="00CB2FDB">
        <w:rPr>
          <w:i/>
        </w:rPr>
        <w:t>significant</w:t>
      </w:r>
      <w:r>
        <w:t xml:space="preserve"> strength throughout, but it is </w:t>
      </w:r>
      <w:r w:rsidR="0078414B">
        <w:t>most notably</w:t>
      </w:r>
      <w:r w:rsidR="00F3434D">
        <w:t xml:space="preserve"> evident in Chapter 2. The whole chapter, 50-odd pages of it, zeros in on </w:t>
      </w:r>
      <w:r w:rsidR="00F3434D" w:rsidRPr="00F3434D">
        <w:rPr>
          <w:i/>
        </w:rPr>
        <w:t>actual practice</w:t>
      </w:r>
      <w:r w:rsidR="00F3434D">
        <w:t>, albeit with accompanying analytical commentary throughout (21–73)</w:t>
      </w:r>
      <w:r>
        <w:t xml:space="preserve">. </w:t>
      </w:r>
    </w:p>
    <w:p w:rsidR="0023314D" w:rsidRDefault="0023314D" w:rsidP="00F3434D">
      <w:pPr>
        <w:spacing w:line="360" w:lineRule="auto"/>
        <w:ind w:firstLine="720"/>
        <w:jc w:val="both"/>
      </w:pPr>
      <w:r>
        <w:t xml:space="preserve">This approach means </w:t>
      </w:r>
      <w:r w:rsidR="00CB2FDB">
        <w:t xml:space="preserve">that </w:t>
      </w:r>
      <w:r>
        <w:t>the chapter</w:t>
      </w:r>
      <w:r w:rsidR="004C5049">
        <w:t>’</w:t>
      </w:r>
      <w:r>
        <w:t xml:space="preserve">s conclusions </w:t>
      </w:r>
      <w:r w:rsidR="00694E62">
        <w:t>feel</w:t>
      </w:r>
      <w:r>
        <w:t xml:space="preserve"> </w:t>
      </w:r>
      <w:r w:rsidR="00F3434D">
        <w:t xml:space="preserve">pretty </w:t>
      </w:r>
      <w:r w:rsidR="00CB2FDB">
        <w:t>robustly</w:t>
      </w:r>
      <w:r>
        <w:t xml:space="preserve"> buttressed</w:t>
      </w:r>
      <w:r w:rsidR="00694E62">
        <w:t>.</w:t>
      </w:r>
      <w:r>
        <w:t xml:space="preserve"> </w:t>
      </w:r>
      <w:r w:rsidR="00E42E2A">
        <w:t>It is perhaps worth noting that the conclusions in this chapter are also strengthened by the author highlighting where uncertainties in the practice (or</w:t>
      </w:r>
      <w:r w:rsidR="0078414B">
        <w:t>, at times,</w:t>
      </w:r>
      <w:r w:rsidR="00E42E2A">
        <w:t xml:space="preserve"> doctrine) are apparent (e.g. 34)</w:t>
      </w:r>
      <w:r w:rsidR="00CB2FDB">
        <w:t>, rather than skirting past them</w:t>
      </w:r>
      <w:r w:rsidR="0078414B">
        <w:t xml:space="preserve"> as may have been tempting</w:t>
      </w:r>
      <w:r w:rsidR="00E42E2A">
        <w:t xml:space="preserve">. </w:t>
      </w:r>
      <w:r w:rsidR="00694E62">
        <w:t>Th</w:t>
      </w:r>
      <w:r w:rsidR="0078414B">
        <w:t>e chapter’s ultimate</w:t>
      </w:r>
      <w:r w:rsidR="00694E62">
        <w:t xml:space="preserve"> conclusions, in relation to the recognition of governments, include a reiteration of </w:t>
      </w:r>
      <w:r w:rsidR="00CB2FDB">
        <w:t xml:space="preserve">the primacy of </w:t>
      </w:r>
      <w:r w:rsidR="00694E62">
        <w:t>effective control,</w:t>
      </w:r>
      <w:r w:rsidR="0078414B">
        <w:rPr>
          <w:rStyle w:val="FootnoteReference"/>
        </w:rPr>
        <w:footnoteReference w:id="11"/>
      </w:r>
      <w:r w:rsidR="00694E62">
        <w:t xml:space="preserve"> but</w:t>
      </w:r>
      <w:r w:rsidR="00CB2FDB">
        <w:t>,</w:t>
      </w:r>
      <w:r w:rsidR="00694E62">
        <w:t xml:space="preserve"> </w:t>
      </w:r>
      <w:r w:rsidR="00F3434D">
        <w:t xml:space="preserve">perhaps </w:t>
      </w:r>
      <w:r w:rsidR="00694E62">
        <w:t>more interestingly</w:t>
      </w:r>
      <w:r w:rsidR="00CB2FDB">
        <w:t>,</w:t>
      </w:r>
      <w:r w:rsidR="00694E62">
        <w:t xml:space="preserve"> also </w:t>
      </w:r>
      <w:r w:rsidR="00CB2FDB">
        <w:t xml:space="preserve">make </w:t>
      </w:r>
      <w:r w:rsidR="00694E62">
        <w:t xml:space="preserve">a case for the growth </w:t>
      </w:r>
      <w:r w:rsidR="00CB2FDB">
        <w:t>in</w:t>
      </w:r>
      <w:r w:rsidR="00694E62">
        <w:t xml:space="preserve"> importance </w:t>
      </w:r>
      <w:r w:rsidR="00CB2FDB">
        <w:t>of a criterion of</w:t>
      </w:r>
      <w:r w:rsidR="00694E62">
        <w:t xml:space="preserve"> democratic legitimacy,</w:t>
      </w:r>
      <w:r w:rsidR="00BC3866">
        <w:rPr>
          <w:rStyle w:val="FootnoteReference"/>
        </w:rPr>
        <w:footnoteReference w:id="12"/>
      </w:r>
      <w:r w:rsidR="00694E62">
        <w:t xml:space="preserve"> which de Wet argues now </w:t>
      </w:r>
      <w:r w:rsidR="00CB6765">
        <w:t xml:space="preserve">may </w:t>
      </w:r>
      <w:r w:rsidR="00694E62">
        <w:t>play a role</w:t>
      </w:r>
      <w:r w:rsidR="00CB6765">
        <w:t xml:space="preserve">, </w:t>
      </w:r>
      <w:r w:rsidR="00694E62">
        <w:t>albeit not</w:t>
      </w:r>
      <w:r w:rsidR="00CB6765">
        <w:t xml:space="preserve"> necessarily a determinative one and certainly not</w:t>
      </w:r>
      <w:r w:rsidR="00694E62">
        <w:t xml:space="preserve"> to the displacement of effective control as the </w:t>
      </w:r>
      <w:r w:rsidR="00694E62" w:rsidRPr="00694E62">
        <w:rPr>
          <w:i/>
        </w:rPr>
        <w:t>prima facie</w:t>
      </w:r>
      <w:r w:rsidR="00CB6765">
        <w:t xml:space="preserve"> criterion</w:t>
      </w:r>
      <w:r w:rsidR="00694E62">
        <w:t>.</w:t>
      </w:r>
      <w:r w:rsidR="00BC3866">
        <w:rPr>
          <w:rStyle w:val="FootnoteReference"/>
        </w:rPr>
        <w:footnoteReference w:id="13"/>
      </w:r>
    </w:p>
    <w:p w:rsidR="00CB2FDB" w:rsidRDefault="00E42E2A" w:rsidP="00D631A2">
      <w:pPr>
        <w:spacing w:line="360" w:lineRule="auto"/>
        <w:ind w:firstLine="720"/>
        <w:jc w:val="both"/>
      </w:pPr>
      <w:r>
        <w:t xml:space="preserve">Chapter 3 turns to the question of military assistance on request during civil wars.  This is perhaps the most commonly revisited point of divergence amongst commentators on the </w:t>
      </w:r>
      <w:r w:rsidR="00CB2FDB">
        <w:t>subject</w:t>
      </w:r>
      <w:r>
        <w:t>.</w:t>
      </w:r>
      <w:r w:rsidR="004C3A9E">
        <w:t xml:space="preserve"> De Wet starts by laying out the doctrinal debate over the so-called ‘nega</w:t>
      </w:r>
      <w:r w:rsidR="001D2B74">
        <w:t xml:space="preserve">tive equality </w:t>
      </w:r>
      <w:r w:rsidR="004C3A9E">
        <w:t>principle</w:t>
      </w:r>
      <w:r w:rsidR="001D2B74">
        <w:t>’</w:t>
      </w:r>
      <w:r w:rsidR="004C3A9E">
        <w:t>, but does not</w:t>
      </w:r>
      <w:r w:rsidR="001D2B74">
        <w:t>,</w:t>
      </w:r>
      <w:r w:rsidR="004C3A9E">
        <w:t xml:space="preserve"> initially</w:t>
      </w:r>
      <w:r w:rsidR="001D2B74">
        <w:t>,</w:t>
      </w:r>
      <w:r w:rsidR="004C3A9E">
        <w:t xml:space="preserve"> come down on a side. Instead, she concludes that ‘one needs to measure the doctrinal arguments against the state and organisational practice’</w:t>
      </w:r>
      <w:r w:rsidR="00F3434D">
        <w:t xml:space="preserve"> (82).</w:t>
      </w:r>
      <w:r w:rsidR="00692E21">
        <w:t xml:space="preserve">  </w:t>
      </w:r>
      <w:r w:rsidR="00CB2FDB">
        <w:t>T</w:t>
      </w:r>
      <w:r w:rsidR="00692E21">
        <w:t xml:space="preserve">he reader is then, again, treated to an in-depth unpicking of </w:t>
      </w:r>
      <w:r w:rsidR="001D2B74">
        <w:t xml:space="preserve">relevant </w:t>
      </w:r>
      <w:r w:rsidR="00692E21">
        <w:t>practice</w:t>
      </w:r>
      <w:r w:rsidR="00136070">
        <w:t xml:space="preserve">. </w:t>
      </w:r>
      <w:r w:rsidR="001D2B74">
        <w:t xml:space="preserve">This examination </w:t>
      </w:r>
      <w:r w:rsidR="00692E21">
        <w:t>– particular</w:t>
      </w:r>
      <w:r w:rsidR="00CB2FDB">
        <w:t>ly</w:t>
      </w:r>
      <w:r w:rsidR="00692E21">
        <w:t xml:space="preserve"> of </w:t>
      </w:r>
      <w:r w:rsidR="001D2B74">
        <w:t xml:space="preserve">the practice of </w:t>
      </w:r>
      <w:r w:rsidR="00692E21">
        <w:t xml:space="preserve">coalitions/individual states, which have been the main </w:t>
      </w:r>
      <w:r w:rsidR="00692E21">
        <w:lastRenderedPageBreak/>
        <w:t>‘interveners’ in civil wars since the Cold War – le</w:t>
      </w:r>
      <w:r w:rsidR="00CD1BAB">
        <w:t>a</w:t>
      </w:r>
      <w:r w:rsidR="00692E21">
        <w:t xml:space="preserve">ds </w:t>
      </w:r>
      <w:r w:rsidR="00CB2FDB">
        <w:t>d</w:t>
      </w:r>
      <w:r w:rsidR="00692E21">
        <w:t xml:space="preserve">e Wet to conclude that there </w:t>
      </w:r>
      <w:r w:rsidR="00692E21" w:rsidRPr="00CB2FDB">
        <w:rPr>
          <w:i/>
        </w:rPr>
        <w:t>is no</w:t>
      </w:r>
      <w:r w:rsidR="00692E21">
        <w:t xml:space="preserve"> </w:t>
      </w:r>
      <w:r w:rsidR="00CD1BAB">
        <w:t xml:space="preserve">negative equality principle as a matter of general international law </w:t>
      </w:r>
      <w:r w:rsidR="004C5049">
        <w:t>and</w:t>
      </w:r>
      <w:r w:rsidR="00CD1BAB">
        <w:t xml:space="preserve"> that ‘the right of self-determination does not pose any meaningful limitation</w:t>
      </w:r>
      <w:r w:rsidR="004C5049">
        <w:t>’ on a state’s right to request military assistance (or other states’ ability to provide it) (123)</w:t>
      </w:r>
      <w:r w:rsidR="00CD1BAB">
        <w:t>.</w:t>
      </w:r>
      <w:r w:rsidR="004C5049">
        <w:t xml:space="preserve"> </w:t>
      </w:r>
    </w:p>
    <w:p w:rsidR="00B60E08" w:rsidRPr="00A94A8C" w:rsidRDefault="004C5049" w:rsidP="00D631A2">
      <w:pPr>
        <w:spacing w:line="360" w:lineRule="auto"/>
        <w:ind w:firstLine="720"/>
        <w:jc w:val="both"/>
      </w:pPr>
      <w:r>
        <w:t xml:space="preserve">Until </w:t>
      </w:r>
      <w:r w:rsidR="0024351C">
        <w:t xml:space="preserve">fairly </w:t>
      </w:r>
      <w:r>
        <w:t>recently, th</w:t>
      </w:r>
      <w:r w:rsidR="00CB2FDB">
        <w:t>at</w:t>
      </w:r>
      <w:r>
        <w:t xml:space="preserve"> conclusion </w:t>
      </w:r>
      <w:r w:rsidR="00F3434D">
        <w:t>likely would</w:t>
      </w:r>
      <w:r>
        <w:t xml:space="preserve"> have been </w:t>
      </w:r>
      <w:r w:rsidR="0024351C">
        <w:t xml:space="preserve">very </w:t>
      </w:r>
      <w:r>
        <w:t>controversial,</w:t>
      </w:r>
      <w:r w:rsidR="001D2B74">
        <w:rPr>
          <w:rStyle w:val="FootnoteReference"/>
        </w:rPr>
        <w:footnoteReference w:id="14"/>
      </w:r>
      <w:r>
        <w:t xml:space="preserve"> but</w:t>
      </w:r>
      <w:r w:rsidR="001D2B74">
        <w:t xml:space="preserve"> there has been increasing </w:t>
      </w:r>
      <w:r w:rsidR="0024351C">
        <w:t xml:space="preserve">academic </w:t>
      </w:r>
      <w:r w:rsidR="001D2B74">
        <w:t>push</w:t>
      </w:r>
      <w:r>
        <w:t>back on the acceptance of the negative equality principle</w:t>
      </w:r>
      <w:r w:rsidR="0024351C">
        <w:t xml:space="preserve"> since the end of the Cold War, to the point that rejection (or at least scepticism) of it is probably now the majority view</w:t>
      </w:r>
      <w:r w:rsidR="00CB2FDB">
        <w:t>.</w:t>
      </w:r>
      <w:r w:rsidR="001D2B74">
        <w:rPr>
          <w:rStyle w:val="FootnoteReference"/>
        </w:rPr>
        <w:footnoteReference w:id="15"/>
      </w:r>
      <w:r w:rsidR="00CB2FDB">
        <w:t xml:space="preserve"> That </w:t>
      </w:r>
      <w:r w:rsidR="0024351C">
        <w:t>view</w:t>
      </w:r>
      <w:r w:rsidR="00CB2FDB">
        <w:t xml:space="preserve"> </w:t>
      </w:r>
      <w:r w:rsidR="001D2B74">
        <w:t>has</w:t>
      </w:r>
      <w:r>
        <w:t xml:space="preserve"> </w:t>
      </w:r>
      <w:r w:rsidR="00B60E08">
        <w:t xml:space="preserve">largely </w:t>
      </w:r>
      <w:r w:rsidR="0024351C">
        <w:t>developed</w:t>
      </w:r>
      <w:r w:rsidR="001D2B74">
        <w:t xml:space="preserve"> </w:t>
      </w:r>
      <w:r>
        <w:t xml:space="preserve">based on the same </w:t>
      </w:r>
      <w:r w:rsidR="00CB2FDB">
        <w:t>analysis</w:t>
      </w:r>
      <w:r>
        <w:t xml:space="preserve"> that the author here offers</w:t>
      </w:r>
      <w:r w:rsidR="00CB2FDB">
        <w:t xml:space="preserve"> (albeit rarely is it set out in this depth). Simply put</w:t>
      </w:r>
      <w:r>
        <w:t xml:space="preserve">: </w:t>
      </w:r>
      <w:r w:rsidR="00CB2FDB">
        <w:t xml:space="preserve">the </w:t>
      </w:r>
      <w:r w:rsidR="0024351C">
        <w:t>purported</w:t>
      </w:r>
      <w:r w:rsidR="00B60E08">
        <w:t xml:space="preserve"> </w:t>
      </w:r>
      <w:r w:rsidR="00CB2FDB">
        <w:t>principle is not</w:t>
      </w:r>
      <w:r w:rsidR="00F3434D">
        <w:t xml:space="preserve"> sufficiently</w:t>
      </w:r>
      <w:r w:rsidR="00CB2FDB">
        <w:t xml:space="preserve"> reflected in practice.  </w:t>
      </w:r>
      <w:r>
        <w:t xml:space="preserve">That conclusion, in itself, is difficult to refute, especially given </w:t>
      </w:r>
      <w:r w:rsidR="001D2B74">
        <w:t>de Wet’s</w:t>
      </w:r>
      <w:r>
        <w:t xml:space="preserve"> painstaking deployment of relevant instances of intervention to reach it. How far one will </w:t>
      </w:r>
      <w:r w:rsidR="00B60E08">
        <w:t>see</w:t>
      </w:r>
      <w:r>
        <w:t xml:space="preserve"> that conclusion</w:t>
      </w:r>
      <w:r w:rsidR="00B60E08">
        <w:t xml:space="preserve"> as </w:t>
      </w:r>
      <w:r w:rsidR="001D2B74">
        <w:t xml:space="preserve">legally </w:t>
      </w:r>
      <w:r w:rsidR="00B60E08">
        <w:t>determinative</w:t>
      </w:r>
      <w:r>
        <w:t>, though, will depend on one’s wider approach</w:t>
      </w:r>
      <w:r w:rsidR="00B60E08">
        <w:t xml:space="preserve"> to international law in general and military assistance on request in particular.</w:t>
      </w:r>
      <w:r>
        <w:t xml:space="preserve"> De Wet fully acknowledges that there are both policy and </w:t>
      </w:r>
      <w:r w:rsidR="00136070">
        <w:t>doctrinal</w:t>
      </w:r>
      <w:r>
        <w:t xml:space="preserve"> </w:t>
      </w:r>
      <w:r w:rsidR="00B60E08">
        <w:t>reasons</w:t>
      </w:r>
      <w:r>
        <w:t xml:space="preserve"> </w:t>
      </w:r>
      <w:r w:rsidR="001D2B74">
        <w:t>that might steer one to</w:t>
      </w:r>
      <w:r>
        <w:t xml:space="preserve"> support the negative equality </w:t>
      </w:r>
      <w:r w:rsidR="001D2B74">
        <w:t xml:space="preserve">principle. However, again, </w:t>
      </w:r>
      <w:r>
        <w:t xml:space="preserve">the </w:t>
      </w:r>
      <w:r w:rsidR="00D631A2">
        <w:t xml:space="preserve">author is clear about the distinction between </w:t>
      </w:r>
      <w:proofErr w:type="spellStart"/>
      <w:r w:rsidRPr="00136070">
        <w:rPr>
          <w:i/>
        </w:rPr>
        <w:t>lex</w:t>
      </w:r>
      <w:proofErr w:type="spellEnd"/>
      <w:r w:rsidRPr="00136070">
        <w:rPr>
          <w:i/>
        </w:rPr>
        <w:t xml:space="preserve"> </w:t>
      </w:r>
      <w:proofErr w:type="spellStart"/>
      <w:r w:rsidRPr="00A94A8C">
        <w:rPr>
          <w:i/>
        </w:rPr>
        <w:t>lata</w:t>
      </w:r>
      <w:proofErr w:type="spellEnd"/>
      <w:r w:rsidR="00B500BB">
        <w:t xml:space="preserve"> on one hand</w:t>
      </w:r>
      <w:r w:rsidRPr="00A94A8C">
        <w:t xml:space="preserve">, </w:t>
      </w:r>
      <w:r w:rsidR="00D631A2" w:rsidRPr="00A94A8C">
        <w:t>and matter</w:t>
      </w:r>
      <w:r w:rsidR="001D2B74">
        <w:t>s</w:t>
      </w:r>
      <w:r w:rsidR="00D631A2" w:rsidRPr="00A94A8C">
        <w:t xml:space="preserve"> that (may) </w:t>
      </w:r>
      <w:r w:rsidR="00B500BB">
        <w:t>inform</w:t>
      </w:r>
      <w:r w:rsidR="00D631A2" w:rsidRPr="00A94A8C">
        <w:t xml:space="preserve"> </w:t>
      </w:r>
      <w:proofErr w:type="spellStart"/>
      <w:r w:rsidR="00D631A2" w:rsidRPr="00A94A8C">
        <w:rPr>
          <w:i/>
        </w:rPr>
        <w:t>lex</w:t>
      </w:r>
      <w:proofErr w:type="spellEnd"/>
      <w:r w:rsidR="00D631A2" w:rsidRPr="00A94A8C">
        <w:rPr>
          <w:i/>
        </w:rPr>
        <w:t xml:space="preserve"> </w:t>
      </w:r>
      <w:proofErr w:type="spellStart"/>
      <w:r w:rsidR="00D631A2" w:rsidRPr="00A94A8C">
        <w:rPr>
          <w:i/>
        </w:rPr>
        <w:t>ferenda</w:t>
      </w:r>
      <w:proofErr w:type="spellEnd"/>
      <w:r w:rsidR="00B500BB">
        <w:rPr>
          <w:i/>
        </w:rPr>
        <w:t xml:space="preserve"> </w:t>
      </w:r>
      <w:r w:rsidR="00B500BB" w:rsidRPr="00B500BB">
        <w:t>on the other</w:t>
      </w:r>
      <w:r w:rsidR="00D631A2" w:rsidRPr="00A94A8C">
        <w:t>.</w:t>
      </w:r>
    </w:p>
    <w:p w:rsidR="004B1E7F" w:rsidRDefault="004B1E7F" w:rsidP="004B1E7F">
      <w:pPr>
        <w:spacing w:line="360" w:lineRule="auto"/>
        <w:ind w:firstLine="720"/>
        <w:jc w:val="both"/>
        <w:rPr>
          <w:i/>
        </w:rPr>
      </w:pPr>
      <w:r w:rsidRPr="00A94A8C">
        <w:t>In c</w:t>
      </w:r>
      <w:r w:rsidR="00B60E08" w:rsidRPr="00A94A8C">
        <w:t>hapter 4</w:t>
      </w:r>
      <w:r w:rsidRPr="00A94A8C">
        <w:t xml:space="preserve">, de Wet </w:t>
      </w:r>
      <w:r w:rsidR="001D2B74">
        <w:t>directly</w:t>
      </w:r>
      <w:r w:rsidRPr="00A94A8C">
        <w:t xml:space="preserve"> engages with Article 3 of the 2011 resolution of the </w:t>
      </w:r>
      <w:r w:rsidR="00C321C2">
        <w:rPr>
          <w:i/>
        </w:rPr>
        <w:t>IDI</w:t>
      </w:r>
      <w:r w:rsidRPr="004B1E7F">
        <w:t xml:space="preserve">, which </w:t>
      </w:r>
      <w:r>
        <w:rPr>
          <w:i/>
        </w:rPr>
        <w:t xml:space="preserve">inter alia </w:t>
      </w:r>
      <w:r w:rsidR="00A94A8C">
        <w:t>asserts:</w:t>
      </w:r>
      <w:r>
        <w:rPr>
          <w:i/>
        </w:rPr>
        <w:t xml:space="preserve"> </w:t>
      </w:r>
    </w:p>
    <w:p w:rsidR="004B1E7F" w:rsidRDefault="004B1E7F" w:rsidP="004B1E7F">
      <w:pPr>
        <w:spacing w:line="360" w:lineRule="auto"/>
        <w:ind w:firstLine="720"/>
        <w:jc w:val="both"/>
        <w:rPr>
          <w:i/>
        </w:rPr>
      </w:pPr>
    </w:p>
    <w:p w:rsidR="00B60E08" w:rsidRDefault="004B1E7F" w:rsidP="004B1E7F">
      <w:pPr>
        <w:spacing w:line="360" w:lineRule="auto"/>
        <w:ind w:left="720"/>
        <w:jc w:val="both"/>
      </w:pPr>
      <w:r w:rsidRPr="004B1E7F">
        <w:t>Military assistance is prohibited when it is exercised in violation of … generally accepted standards of human rights and in particular when its object is to support an established government against its own population.</w:t>
      </w:r>
    </w:p>
    <w:p w:rsidR="001D2B74" w:rsidRPr="004B1E7F" w:rsidRDefault="001D2B74" w:rsidP="004B1E7F">
      <w:pPr>
        <w:spacing w:line="360" w:lineRule="auto"/>
        <w:ind w:left="720"/>
        <w:jc w:val="both"/>
      </w:pPr>
    </w:p>
    <w:p w:rsidR="004B1E7F" w:rsidRDefault="004B1E7F" w:rsidP="004B1E7F">
      <w:pPr>
        <w:spacing w:line="360" w:lineRule="auto"/>
        <w:jc w:val="both"/>
      </w:pPr>
      <w:r>
        <w:t xml:space="preserve">In response, </w:t>
      </w:r>
      <w:r w:rsidR="00224ABE">
        <w:t xml:space="preserve">de Wet argues that is difficult to identify such a prohibition as extending to military support that </w:t>
      </w:r>
      <w:r w:rsidR="00915843">
        <w:t>‘</w:t>
      </w:r>
      <w:r w:rsidR="00915843" w:rsidRPr="00915843">
        <w:t>aids or assists</w:t>
      </w:r>
      <w:r w:rsidR="00915843">
        <w:t>’</w:t>
      </w:r>
      <w:r w:rsidR="00224ABE">
        <w:t xml:space="preserve"> such violations by the requesting government. This argument is based on, again, analysis of practice, but also a close reading of Article 16 of the Articles on </w:t>
      </w:r>
      <w:r w:rsidR="00224ABE">
        <w:lastRenderedPageBreak/>
        <w:t>State Responsibility (and commentaries),</w:t>
      </w:r>
      <w:r w:rsidR="00224ABE">
        <w:rPr>
          <w:rStyle w:val="FootnoteReference"/>
        </w:rPr>
        <w:footnoteReference w:id="16"/>
      </w:r>
      <w:r w:rsidR="00224ABE">
        <w:t xml:space="preserve"> and </w:t>
      </w:r>
      <w:r w:rsidR="00915843">
        <w:t>the  application of the</w:t>
      </w:r>
      <w:r w:rsidR="00224ABE">
        <w:t xml:space="preserve"> high threshold</w:t>
      </w:r>
      <w:r w:rsidR="00915843">
        <w:t xml:space="preserve"> that the  law of state responsibility sets in this regard</w:t>
      </w:r>
      <w:r w:rsidR="00224ABE">
        <w:t xml:space="preserve">. It is worth noting that, while well developed, this conclusion is </w:t>
      </w:r>
      <w:r w:rsidR="0010293D">
        <w:t>certainly</w:t>
      </w:r>
      <w:r w:rsidR="00224ABE">
        <w:t xml:space="preserve"> not straightforward – particularly in relation to the ongoing debate over the extent to which </w:t>
      </w:r>
      <w:r w:rsidR="0010293D">
        <w:t xml:space="preserve">true </w:t>
      </w:r>
      <w:r w:rsidR="00224ABE" w:rsidRPr="0010293D">
        <w:rPr>
          <w:i/>
        </w:rPr>
        <w:t>intent</w:t>
      </w:r>
      <w:r w:rsidR="00224ABE">
        <w:t xml:space="preserve"> is/may be required</w:t>
      </w:r>
      <w:r w:rsidR="0010293D">
        <w:t xml:space="preserve"> to </w:t>
      </w:r>
      <w:r w:rsidR="00915843">
        <w:t>establish</w:t>
      </w:r>
      <w:r w:rsidR="0010293D">
        <w:t xml:space="preserve"> responsibility</w:t>
      </w:r>
      <w:r w:rsidR="00224ABE">
        <w:t>.</w:t>
      </w:r>
      <w:r w:rsidR="0010293D">
        <w:rPr>
          <w:rStyle w:val="FootnoteReference"/>
        </w:rPr>
        <w:footnoteReference w:id="17"/>
      </w:r>
    </w:p>
    <w:p w:rsidR="00915843" w:rsidRDefault="00D631A2" w:rsidP="00237CA8">
      <w:pPr>
        <w:spacing w:line="360" w:lineRule="auto"/>
        <w:ind w:firstLine="720"/>
        <w:jc w:val="both"/>
      </w:pPr>
      <w:r>
        <w:t>The book’s fifth chapter is focused</w:t>
      </w:r>
      <w:r w:rsidR="00FB2FDC">
        <w:t xml:space="preserve"> </w:t>
      </w:r>
      <w:r>
        <w:t xml:space="preserve">on the formal requirements for valid consent. </w:t>
      </w:r>
      <w:r w:rsidR="00FB2FDC">
        <w:t>For example, de Wet considers the</w:t>
      </w:r>
      <w:r>
        <w:t xml:space="preserve"> organs </w:t>
      </w:r>
      <w:r w:rsidR="00B60E08">
        <w:t xml:space="preserve">that </w:t>
      </w:r>
      <w:r w:rsidR="00915843">
        <w:t xml:space="preserve">are </w:t>
      </w:r>
      <w:r>
        <w:t>competent to consent</w:t>
      </w:r>
      <w:r w:rsidR="00FB2FDC">
        <w:t xml:space="preserve">, and fairly </w:t>
      </w:r>
      <w:proofErr w:type="spellStart"/>
      <w:r w:rsidR="00B60E08">
        <w:t>uncontroversially</w:t>
      </w:r>
      <w:proofErr w:type="spellEnd"/>
      <w:r w:rsidR="00FB2FDC">
        <w:t xml:space="preserve"> identif</w:t>
      </w:r>
      <w:r w:rsidR="00FB14BA">
        <w:t>ies those who</w:t>
      </w:r>
      <w:r w:rsidR="00B60E08">
        <w:t>,</w:t>
      </w:r>
      <w:r w:rsidR="00FB14BA">
        <w:t xml:space="preserve"> by their function</w:t>
      </w:r>
      <w:r w:rsidR="00B60E08">
        <w:t>,</w:t>
      </w:r>
      <w:r w:rsidR="00FB2FDC">
        <w:t xml:space="preserve"> would be expected to </w:t>
      </w:r>
      <w:r w:rsidR="00B60E08">
        <w:t xml:space="preserve">be able </w:t>
      </w:r>
      <w:r w:rsidR="00FB2FDC">
        <w:t>so</w:t>
      </w:r>
      <w:r w:rsidR="00B60E08">
        <w:t xml:space="preserve"> to</w:t>
      </w:r>
      <w:r w:rsidR="00FB2FDC">
        <w:t xml:space="preserve"> authorise</w:t>
      </w:r>
      <w:r w:rsidR="00FB14BA">
        <w:t>: heads of state</w:t>
      </w:r>
      <w:r w:rsidR="00B60E08">
        <w:t xml:space="preserve"> </w:t>
      </w:r>
      <w:r w:rsidR="00B60E08" w:rsidRPr="00B60E08">
        <w:rPr>
          <w:i/>
        </w:rPr>
        <w:t>et al</w:t>
      </w:r>
      <w:r w:rsidR="00FB2FDC">
        <w:t>.</w:t>
      </w:r>
      <w:r w:rsidR="001D2B74">
        <w:rPr>
          <w:rStyle w:val="FootnoteReference"/>
        </w:rPr>
        <w:footnoteReference w:id="18"/>
      </w:r>
      <w:r w:rsidR="00FB2FDC">
        <w:t xml:space="preserve"> </w:t>
      </w:r>
      <w:r w:rsidR="00915843">
        <w:t>T</w:t>
      </w:r>
      <w:r w:rsidR="00FB2FDC">
        <w:t xml:space="preserve">he author’s view of </w:t>
      </w:r>
      <w:r w:rsidR="00B60E08">
        <w:t xml:space="preserve">the need for </w:t>
      </w:r>
      <w:r>
        <w:t>the free (</w:t>
      </w:r>
      <w:r w:rsidR="00CA72AE">
        <w:t>i.e.</w:t>
      </w:r>
      <w:r w:rsidR="00B60E08">
        <w:t xml:space="preserve"> </w:t>
      </w:r>
      <w:r>
        <w:t xml:space="preserve">non-coerced) nature of the </w:t>
      </w:r>
      <w:r w:rsidR="00FB2FDC">
        <w:t>request</w:t>
      </w:r>
      <w:r w:rsidR="00915843">
        <w:t xml:space="preserve"> is perhaps more a point of distinction from orthodox writings on the subject</w:t>
      </w:r>
      <w:r>
        <w:t>.</w:t>
      </w:r>
      <w:r w:rsidR="00CA72AE">
        <w:rPr>
          <w:rStyle w:val="FootnoteReference"/>
        </w:rPr>
        <w:footnoteReference w:id="19"/>
      </w:r>
      <w:r w:rsidR="00CA72AE">
        <w:t xml:space="preserve"> </w:t>
      </w:r>
      <w:r w:rsidR="00FB2FDC">
        <w:t xml:space="preserve">She concludes that </w:t>
      </w:r>
    </w:p>
    <w:p w:rsidR="00915843" w:rsidRDefault="00915843" w:rsidP="00237CA8">
      <w:pPr>
        <w:spacing w:line="360" w:lineRule="auto"/>
        <w:ind w:firstLine="720"/>
        <w:jc w:val="both"/>
      </w:pPr>
    </w:p>
    <w:p w:rsidR="00915843" w:rsidRDefault="00FB2FDC" w:rsidP="00915843">
      <w:pPr>
        <w:spacing w:line="360" w:lineRule="auto"/>
        <w:ind w:left="720"/>
        <w:jc w:val="both"/>
      </w:pPr>
      <w:r>
        <w:t xml:space="preserve">there is nothing in current state </w:t>
      </w:r>
      <w:r w:rsidR="00FB14BA">
        <w:t>practice</w:t>
      </w:r>
      <w:r>
        <w:t xml:space="preserve"> to suggest that the requirements pertaining to </w:t>
      </w:r>
      <w:r w:rsidR="00FB14BA">
        <w:t>coercion</w:t>
      </w:r>
      <w:r>
        <w:t xml:space="preserve"> in the context of </w:t>
      </w:r>
      <w:r w:rsidR="00FB14BA">
        <w:t>military</w:t>
      </w:r>
      <w:r>
        <w:t xml:space="preserve"> </w:t>
      </w:r>
      <w:r w:rsidR="00FB14BA">
        <w:t>assistance</w:t>
      </w:r>
      <w:r>
        <w:t xml:space="preserve"> on request would deviate from those generally applicable in accordance w</w:t>
      </w:r>
      <w:r w:rsidR="00FB14BA">
        <w:t xml:space="preserve">ith customary international law (160). </w:t>
      </w:r>
    </w:p>
    <w:p w:rsidR="00915843" w:rsidRDefault="00915843" w:rsidP="00915843">
      <w:pPr>
        <w:spacing w:line="360" w:lineRule="auto"/>
        <w:jc w:val="both"/>
      </w:pPr>
    </w:p>
    <w:p w:rsidR="006248E8" w:rsidRDefault="00915843" w:rsidP="00915843">
      <w:pPr>
        <w:spacing w:line="360" w:lineRule="auto"/>
        <w:jc w:val="both"/>
      </w:pPr>
      <w:r>
        <w:t>W</w:t>
      </w:r>
      <w:r w:rsidR="00FB14BA">
        <w:t>hether framing</w:t>
      </w:r>
      <w:r>
        <w:t xml:space="preserve"> things that way</w:t>
      </w:r>
      <w:r w:rsidR="00FB14BA">
        <w:t xml:space="preserve"> offers clarity or not is debatable. De Wet is </w:t>
      </w:r>
      <w:r w:rsidR="00B60E08">
        <w:t xml:space="preserve">certainly </w:t>
      </w:r>
      <w:r w:rsidR="00FB14BA">
        <w:t xml:space="preserve">not saying that </w:t>
      </w:r>
      <w:r w:rsidR="00B60E08">
        <w:t xml:space="preserve">truly </w:t>
      </w:r>
      <w:r w:rsidR="00FB14BA">
        <w:t xml:space="preserve">coerced </w:t>
      </w:r>
      <w:r>
        <w:t>‘</w:t>
      </w:r>
      <w:r w:rsidR="00FB14BA">
        <w:t>consent</w:t>
      </w:r>
      <w:r>
        <w:t>’</w:t>
      </w:r>
      <w:r w:rsidR="00FB14BA">
        <w:t xml:space="preserve"> can form the basis of a </w:t>
      </w:r>
      <w:r w:rsidR="00B60E08">
        <w:t xml:space="preserve">lawful </w:t>
      </w:r>
      <w:r w:rsidR="00FB14BA">
        <w:t xml:space="preserve">military intervention, only that the standard of what </w:t>
      </w:r>
      <w:r w:rsidR="00FB14BA" w:rsidRPr="00FB14BA">
        <w:rPr>
          <w:i/>
        </w:rPr>
        <w:t>amounts to</w:t>
      </w:r>
      <w:r w:rsidR="00FB14BA">
        <w:t xml:space="preserve"> coercion </w:t>
      </w:r>
      <w:r w:rsidR="00B60E08">
        <w:t>remains</w:t>
      </w:r>
      <w:r w:rsidR="00FB14BA">
        <w:t xml:space="preserve"> </w:t>
      </w:r>
      <w:r w:rsidR="00B60E08">
        <w:t>narrow</w:t>
      </w:r>
      <w:r w:rsidR="00CA72AE">
        <w:t>,</w:t>
      </w:r>
      <w:r w:rsidR="00B60E08">
        <w:t xml:space="preserve"> and </w:t>
      </w:r>
      <w:r w:rsidR="00FB14BA">
        <w:t xml:space="preserve">no broader </w:t>
      </w:r>
      <w:r w:rsidR="00B60E08">
        <w:t xml:space="preserve">in regard to military assistance </w:t>
      </w:r>
      <w:r w:rsidR="00FB14BA">
        <w:t xml:space="preserve">than </w:t>
      </w:r>
      <w:r w:rsidR="00B60E08">
        <w:t>it is</w:t>
      </w:r>
      <w:r w:rsidR="00CA72AE">
        <w:t xml:space="preserve"> when found</w:t>
      </w:r>
      <w:r w:rsidR="00B60E08">
        <w:t xml:space="preserve"> </w:t>
      </w:r>
      <w:r w:rsidR="00FB14BA">
        <w:t>elsewhere in general international law. This, based on state practice, is likely correc</w:t>
      </w:r>
      <w:r w:rsidR="00B60E08">
        <w:t xml:space="preserve">t. However, </w:t>
      </w:r>
      <w:r w:rsidR="00FB14BA">
        <w:t xml:space="preserve">as a matter of perception, </w:t>
      </w:r>
      <w:r w:rsidR="00B60E08">
        <w:t xml:space="preserve">framed this way </w:t>
      </w:r>
      <w:r w:rsidR="00FB14BA">
        <w:t xml:space="preserve">it could act to </w:t>
      </w:r>
      <w:r w:rsidR="00B60E08">
        <w:t>obscure</w:t>
      </w:r>
      <w:r w:rsidR="00FB14BA">
        <w:t xml:space="preserve"> the criterion of non-</w:t>
      </w:r>
      <w:r w:rsidR="006248E8">
        <w:t>coercion</w:t>
      </w:r>
      <w:r w:rsidR="00FB14BA">
        <w:t xml:space="preserve"> from the list of ‘</w:t>
      </w:r>
      <w:r w:rsidR="006248E8">
        <w:t>formal</w:t>
      </w:r>
      <w:r w:rsidR="00FB14BA">
        <w:t xml:space="preserve"> requirements’, when instead </w:t>
      </w:r>
      <w:r w:rsidR="00CA72AE">
        <w:t xml:space="preserve">there is such a criterion: </w:t>
      </w:r>
      <w:r w:rsidR="00FB14BA">
        <w:t xml:space="preserve">what is </w:t>
      </w:r>
      <w:r w:rsidR="006248E8">
        <w:t>excluded</w:t>
      </w:r>
      <w:r w:rsidR="00FB14BA">
        <w:t xml:space="preserve"> is a </w:t>
      </w:r>
      <w:r w:rsidR="00FB14BA" w:rsidRPr="00FB14BA">
        <w:rPr>
          <w:i/>
        </w:rPr>
        <w:t>unique</w:t>
      </w:r>
      <w:r w:rsidR="00FB14BA">
        <w:t xml:space="preserve"> </w:t>
      </w:r>
      <w:r w:rsidR="00B60E08">
        <w:t xml:space="preserve">or bespoke </w:t>
      </w:r>
      <w:r w:rsidR="00FB14BA">
        <w:t>requirement of non-coercion.</w:t>
      </w:r>
      <w:r w:rsidR="00B60E08">
        <w:t xml:space="preserve"> </w:t>
      </w:r>
    </w:p>
    <w:p w:rsidR="00D631A2" w:rsidRDefault="00CA72AE" w:rsidP="006248E8">
      <w:pPr>
        <w:spacing w:line="360" w:lineRule="auto"/>
        <w:ind w:firstLine="720"/>
        <w:jc w:val="both"/>
      </w:pPr>
      <w:r>
        <w:t>C</w:t>
      </w:r>
      <w:r w:rsidR="003C3D94">
        <w:t xml:space="preserve">hapter </w:t>
      </w:r>
      <w:r>
        <w:t>5</w:t>
      </w:r>
      <w:r w:rsidR="00B500BB">
        <w:t xml:space="preserve"> </w:t>
      </w:r>
      <w:r w:rsidR="003C3D94">
        <w:t xml:space="preserve">gets </w:t>
      </w:r>
      <w:r w:rsidR="006248E8">
        <w:t xml:space="preserve">even </w:t>
      </w:r>
      <w:r w:rsidR="003C3D94">
        <w:t xml:space="preserve">more interesting when the author examines the </w:t>
      </w:r>
      <w:r w:rsidR="003C3D94" w:rsidRPr="00B60E08">
        <w:t>timing</w:t>
      </w:r>
      <w:r w:rsidR="003C3D94">
        <w:t xml:space="preserve"> of consent.</w:t>
      </w:r>
      <w:r w:rsidR="00D631A2">
        <w:t xml:space="preserve"> </w:t>
      </w:r>
      <w:r w:rsidR="00FB2FDC">
        <w:t xml:space="preserve"> </w:t>
      </w:r>
      <w:r w:rsidR="00B60E08" w:rsidRPr="00B60E08">
        <w:rPr>
          <w:i/>
        </w:rPr>
        <w:t>E</w:t>
      </w:r>
      <w:r w:rsidR="00FB2FDC" w:rsidRPr="006248E8">
        <w:rPr>
          <w:i/>
        </w:rPr>
        <w:t>x ante</w:t>
      </w:r>
      <w:r w:rsidR="00FB2FDC">
        <w:t xml:space="preserve"> consent </w:t>
      </w:r>
      <w:r w:rsidR="006248E8">
        <w:t>is</w:t>
      </w:r>
      <w:r w:rsidR="00FB2FDC">
        <w:t xml:space="preserve"> </w:t>
      </w:r>
      <w:r w:rsidR="00B60E08">
        <w:t xml:space="preserve">examined though the lens of </w:t>
      </w:r>
      <w:r w:rsidR="00FB2FDC">
        <w:t xml:space="preserve">the AU </w:t>
      </w:r>
      <w:r w:rsidR="006248E8">
        <w:t xml:space="preserve">and the ECOWAS frameworks (and its absence from the SADC framework). </w:t>
      </w:r>
      <w:r w:rsidR="00B60E08">
        <w:t>The author</w:t>
      </w:r>
      <w:r w:rsidR="006248E8">
        <w:t xml:space="preserve"> highlights a notable reluctance on the part of states in these contexts to rely on </w:t>
      </w:r>
      <w:r w:rsidR="006248E8" w:rsidRPr="006248E8">
        <w:rPr>
          <w:i/>
        </w:rPr>
        <w:t>ex ante</w:t>
      </w:r>
      <w:r w:rsidR="006248E8">
        <w:t xml:space="preserve"> consent clauses without </w:t>
      </w:r>
      <w:r>
        <w:t xml:space="preserve">also </w:t>
      </w:r>
      <w:r w:rsidR="006248E8">
        <w:t>reinforcing those</w:t>
      </w:r>
      <w:r>
        <w:t xml:space="preserve"> clauses</w:t>
      </w:r>
      <w:r w:rsidR="006248E8">
        <w:t xml:space="preserve"> with ad hoc consent</w:t>
      </w:r>
      <w:r>
        <w:t xml:space="preserve"> in each case</w:t>
      </w:r>
      <w:r w:rsidR="006248E8">
        <w:t xml:space="preserve">.  Here, one might take the view that (in arguably a rare </w:t>
      </w:r>
      <w:r w:rsidR="006248E8">
        <w:lastRenderedPageBreak/>
        <w:t>overstep) – the author’s ultimate conclusion that there is a customary international law ‘</w:t>
      </w:r>
      <w:r w:rsidR="006248E8" w:rsidRPr="006248E8">
        <w:rPr>
          <w:i/>
        </w:rPr>
        <w:t>requirement</w:t>
      </w:r>
      <w:r w:rsidR="006248E8">
        <w:t xml:space="preserve"> that </w:t>
      </w:r>
      <w:r w:rsidR="006248E8" w:rsidRPr="00CA72AE">
        <w:rPr>
          <w:i/>
        </w:rPr>
        <w:t>ex ante</w:t>
      </w:r>
      <w:r w:rsidR="006248E8">
        <w:t xml:space="preserve"> consent… </w:t>
      </w:r>
      <w:r w:rsidR="006248E8" w:rsidRPr="006248E8">
        <w:rPr>
          <w:i/>
        </w:rPr>
        <w:t>must</w:t>
      </w:r>
      <w:r w:rsidR="006248E8">
        <w:t xml:space="preserve"> be accompanied be ad hoc consent at the time of forcible measures’ (179</w:t>
      </w:r>
      <w:r w:rsidR="00915843">
        <w:t>,</w:t>
      </w:r>
      <w:r w:rsidR="00F3525A">
        <w:t xml:space="preserve"> emphasis added</w:t>
      </w:r>
      <w:r w:rsidR="006248E8">
        <w:t>)</w:t>
      </w:r>
      <w:r w:rsidR="00F3525A">
        <w:t xml:space="preserve"> – goes further than what the practice she deploys to support it can confirm. There is certainly evidence </w:t>
      </w:r>
      <w:r>
        <w:t>that</w:t>
      </w:r>
      <w:r w:rsidR="00F3525A">
        <w:t xml:space="preserve"> </w:t>
      </w:r>
      <w:r w:rsidR="00915843">
        <w:t xml:space="preserve">additional </w:t>
      </w:r>
      <w:r w:rsidR="00F3525A">
        <w:t xml:space="preserve">ad hoc consent </w:t>
      </w:r>
      <w:r>
        <w:t>i</w:t>
      </w:r>
      <w:r w:rsidR="00F3525A">
        <w:t xml:space="preserve">s common in practice, and </w:t>
      </w:r>
      <w:r w:rsidR="000D2D01">
        <w:t xml:space="preserve">the conclusion reached </w:t>
      </w:r>
      <w:r w:rsidR="00F3525A">
        <w:t xml:space="preserve">tallies with the </w:t>
      </w:r>
      <w:r w:rsidR="00B60E08">
        <w:t>oft-</w:t>
      </w:r>
      <w:r>
        <w:t>raised</w:t>
      </w:r>
      <w:r w:rsidR="000D2D01">
        <w:t xml:space="preserve"> </w:t>
      </w:r>
      <w:r w:rsidR="004234F8">
        <w:t xml:space="preserve">policy </w:t>
      </w:r>
      <w:r>
        <w:t>objection to</w:t>
      </w:r>
      <w:r w:rsidR="00F3525A">
        <w:t xml:space="preserve"> </w:t>
      </w:r>
      <w:r>
        <w:t xml:space="preserve">such </w:t>
      </w:r>
      <w:r w:rsidR="00F3525A">
        <w:t>blanket ‘permissions’ to use</w:t>
      </w:r>
      <w:r>
        <w:t>s</w:t>
      </w:r>
      <w:r w:rsidR="00F3525A">
        <w:t xml:space="preserve"> force absent of context</w:t>
      </w:r>
      <w:r w:rsidR="004B0260">
        <w:t>, which is that they are open to abuse (in perpetuity)</w:t>
      </w:r>
      <w:r w:rsidR="00F3525A">
        <w:t>.</w:t>
      </w:r>
      <w:r w:rsidR="00F3525A">
        <w:rPr>
          <w:rStyle w:val="FootnoteReference"/>
        </w:rPr>
        <w:footnoteReference w:id="20"/>
      </w:r>
      <w:r w:rsidR="00F3525A">
        <w:t xml:space="preserve"> But whether there is sufficient </w:t>
      </w:r>
      <w:proofErr w:type="spellStart"/>
      <w:r w:rsidR="00F3525A" w:rsidRPr="00F3525A">
        <w:rPr>
          <w:i/>
        </w:rPr>
        <w:t>opinio</w:t>
      </w:r>
      <w:proofErr w:type="spellEnd"/>
      <w:r w:rsidR="00F3525A" w:rsidRPr="00F3525A">
        <w:rPr>
          <w:i/>
        </w:rPr>
        <w:t xml:space="preserve"> juris</w:t>
      </w:r>
      <w:r w:rsidR="00F3525A">
        <w:t xml:space="preserve"> to identify a </w:t>
      </w:r>
      <w:r w:rsidR="00F3525A" w:rsidRPr="000D2D01">
        <w:t>binding requirement</w:t>
      </w:r>
      <w:r w:rsidR="00F3525A">
        <w:t xml:space="preserve"> of additional ad hoc consent </w:t>
      </w:r>
      <w:r w:rsidR="000D2D01">
        <w:t>amongst</w:t>
      </w:r>
      <w:r w:rsidR="00F3525A">
        <w:t xml:space="preserve"> the (notably limited</w:t>
      </w:r>
      <w:r>
        <w:t>, as de Wet concedes</w:t>
      </w:r>
      <w:r w:rsidR="00F3525A">
        <w:t>) practice</w:t>
      </w:r>
      <w:r w:rsidR="00B60E08">
        <w:t xml:space="preserve">, remains – this reviewer would contend – at least </w:t>
      </w:r>
      <w:r w:rsidR="00F3525A">
        <w:t>open to debate.</w:t>
      </w:r>
    </w:p>
    <w:p w:rsidR="00A94A8C" w:rsidRDefault="00C25E8A" w:rsidP="000D2D01">
      <w:pPr>
        <w:spacing w:line="360" w:lineRule="auto"/>
        <w:ind w:firstLine="720"/>
        <w:jc w:val="both"/>
      </w:pPr>
      <w:r>
        <w:t>The final substantive chapter, Chapter 6, sets out to examine the relationship between military assistance on request and the right of self-defence. Unfortunately, this reviewer found the chapter somewhat disappointing, at least when compared to the rest of the book.</w:t>
      </w:r>
      <w:r w:rsidR="000D2D01">
        <w:t xml:space="preserve"> </w:t>
      </w:r>
      <w:r>
        <w:t xml:space="preserve">Perhaps that disappointment in part stems from the fact that there </w:t>
      </w:r>
      <w:r w:rsidR="000D2D01">
        <w:t>remains</w:t>
      </w:r>
      <w:r>
        <w:t xml:space="preserve"> a need for significant work still to be done on the relationship between military assistance on request and collective self-defence,</w:t>
      </w:r>
      <w:r w:rsidR="000D2D01">
        <w:rPr>
          <w:rStyle w:val="FootnoteReference"/>
        </w:rPr>
        <w:footnoteReference w:id="21"/>
      </w:r>
      <w:r>
        <w:t xml:space="preserve"> which have </w:t>
      </w:r>
      <w:r w:rsidR="007F6305">
        <w:t xml:space="preserve">been </w:t>
      </w:r>
      <w:r>
        <w:t xml:space="preserve">unhelpfully </w:t>
      </w:r>
      <w:r w:rsidR="007F6305">
        <w:t>blended</w:t>
      </w:r>
      <w:r>
        <w:t xml:space="preserve"> into each other in both theory and practice.  As such, and given the </w:t>
      </w:r>
      <w:r w:rsidR="00CA72AE">
        <w:t>excellent</w:t>
      </w:r>
      <w:r>
        <w:t xml:space="preserve"> quality of this book as a whole, expectations were high for a careful unpicking of that confusion.  </w:t>
      </w:r>
    </w:p>
    <w:p w:rsidR="003A2F4B" w:rsidRDefault="000D2D01" w:rsidP="000D2D01">
      <w:pPr>
        <w:spacing w:line="360" w:lineRule="auto"/>
        <w:ind w:firstLine="720"/>
        <w:jc w:val="both"/>
      </w:pPr>
      <w:r>
        <w:t xml:space="preserve">It is, of course, rather unfair to </w:t>
      </w:r>
      <w:r w:rsidR="007F6305">
        <w:t>criticise</w:t>
      </w:r>
      <w:r>
        <w:t xml:space="preserve"> a book (or in this case, a chapter within </w:t>
      </w:r>
      <w:r w:rsidR="007F6305">
        <w:t>a book</w:t>
      </w:r>
      <w:r>
        <w:t xml:space="preserve">) for what is does </w:t>
      </w:r>
      <w:r w:rsidRPr="000D2D01">
        <w:rPr>
          <w:i/>
        </w:rPr>
        <w:t>not do</w:t>
      </w:r>
      <w:r>
        <w:t xml:space="preserve">.  So, it is important to note that </w:t>
      </w:r>
      <w:r w:rsidR="007F6305">
        <w:t>the chapter</w:t>
      </w:r>
      <w:r>
        <w:t xml:space="preserve"> is relatively successful in exploring an aspect of the relationship between self-defence and military assistance on</w:t>
      </w:r>
      <w:r w:rsidR="00CA72AE">
        <w:t xml:space="preserve"> request, which is whether the purported</w:t>
      </w:r>
      <w:r>
        <w:t xml:space="preserve"> expansion of self-defence to allow </w:t>
      </w:r>
      <w:r w:rsidR="00CA72AE">
        <w:t xml:space="preserve">more flexibly </w:t>
      </w:r>
      <w:r>
        <w:t>for forcible responses to attacks perpetrated by non-state actors</w:t>
      </w:r>
      <w:r w:rsidR="00CA72AE">
        <w:t>,</w:t>
      </w:r>
      <w:r w:rsidR="007F6305">
        <w:t xml:space="preserve"> may reduce the </w:t>
      </w:r>
      <w:r w:rsidR="00CA72AE" w:rsidRPr="00CA72AE">
        <w:rPr>
          <w:i/>
        </w:rPr>
        <w:t>ad bellum</w:t>
      </w:r>
      <w:r w:rsidR="00CA72AE">
        <w:t xml:space="preserve"> </w:t>
      </w:r>
      <w:r w:rsidR="007F6305">
        <w:t xml:space="preserve">role </w:t>
      </w:r>
      <w:r w:rsidR="00CA72AE">
        <w:t>of</w:t>
      </w:r>
      <w:r w:rsidR="007F6305">
        <w:t xml:space="preserve"> consent. </w:t>
      </w:r>
      <w:r w:rsidR="00CA72AE">
        <w:t>In other words, d</w:t>
      </w:r>
      <w:r w:rsidR="007F6305">
        <w:t xml:space="preserve">e Wet effectively asks whether self-defence is </w:t>
      </w:r>
      <w:r w:rsidR="00CA72AE">
        <w:t>now ‘</w:t>
      </w:r>
      <w:r w:rsidR="007F6305">
        <w:t>intervening in the territory</w:t>
      </w:r>
      <w:r w:rsidR="00CA72AE">
        <w:t>’</w:t>
      </w:r>
      <w:r w:rsidR="007F6305">
        <w:t xml:space="preserve">, as it were, of military assistance on request.  </w:t>
      </w:r>
    </w:p>
    <w:p w:rsidR="000D2D01" w:rsidRDefault="007F6305" w:rsidP="000D2D01">
      <w:pPr>
        <w:spacing w:line="360" w:lineRule="auto"/>
        <w:ind w:firstLine="720"/>
        <w:jc w:val="both"/>
      </w:pPr>
      <w:r>
        <w:t xml:space="preserve">This is an interesting line of </w:t>
      </w:r>
      <w:r w:rsidR="00CA72AE">
        <w:t>inquiry</w:t>
      </w:r>
      <w:r>
        <w:t xml:space="preserve">, but it only </w:t>
      </w:r>
      <w:r w:rsidR="00A94A8C">
        <w:t>engages</w:t>
      </w:r>
      <w:r>
        <w:t xml:space="preserve"> one aspect of the relationship between self-defence and military assistance on request. The chapter never convincingly distinguishes the</w:t>
      </w:r>
      <w:r w:rsidR="003A2F4B">
        <w:t>se two bases for the use of force,</w:t>
      </w:r>
      <w:r>
        <w:t xml:space="preserve"> or fully maps their </w:t>
      </w:r>
      <w:r w:rsidR="00A94A8C">
        <w:t>(</w:t>
      </w:r>
      <w:r>
        <w:t xml:space="preserve">inter)relationship.  It is also disappointing that the chapter’s ultimate conclusion effectively is that it is too early to tell: ‘it would be premature to </w:t>
      </w:r>
      <w:r w:rsidR="00A94A8C">
        <w:t>conclude</w:t>
      </w:r>
      <w:r>
        <w:t xml:space="preserve"> that the legal construct of </w:t>
      </w:r>
      <w:r w:rsidR="00A94A8C">
        <w:t>military</w:t>
      </w:r>
      <w:r>
        <w:t xml:space="preserve"> assistance on request is </w:t>
      </w:r>
      <w:r>
        <w:lastRenderedPageBreak/>
        <w:t>likely to be displaced or eclipsed by the right to individual or collective self-defence in the near future’</w:t>
      </w:r>
      <w:r w:rsidR="00CA72AE">
        <w:t xml:space="preserve"> (217).</w:t>
      </w:r>
      <w:r>
        <w:t xml:space="preserve"> </w:t>
      </w:r>
    </w:p>
    <w:p w:rsidR="00F55BCA" w:rsidRDefault="007F6305" w:rsidP="00FD4E44">
      <w:pPr>
        <w:spacing w:line="360" w:lineRule="auto"/>
        <w:ind w:firstLine="720"/>
        <w:jc w:val="both"/>
      </w:pPr>
      <w:r>
        <w:t xml:space="preserve">This reviewer hungered </w:t>
      </w:r>
      <w:r w:rsidR="003A2F4B">
        <w:t>for a more comparative analysis in the chapter. F</w:t>
      </w:r>
      <w:r w:rsidR="00CA72AE">
        <w:t>or example, a deconstruction of the requirement</w:t>
      </w:r>
      <w:r>
        <w:t xml:space="preserve"> of </w:t>
      </w:r>
      <w:r w:rsidR="003A2F4B">
        <w:t>‘</w:t>
      </w:r>
      <w:r>
        <w:t>request</w:t>
      </w:r>
      <w:r w:rsidR="003A2F4B">
        <w:t>’</w:t>
      </w:r>
      <w:r w:rsidR="00CA72AE">
        <w:t xml:space="preserve"> in practice, for example (</w:t>
      </w:r>
      <w:r>
        <w:t>a fundamental feature</w:t>
      </w:r>
      <w:r w:rsidR="00CA72AE">
        <w:t xml:space="preserve"> both</w:t>
      </w:r>
      <w:r>
        <w:t xml:space="preserve"> of collective self-defence an</w:t>
      </w:r>
      <w:r w:rsidR="00CA72AE">
        <w:t>d military assistance on request)</w:t>
      </w:r>
      <w:r>
        <w:t xml:space="preserve">.  Or, perhaps, a more robust defence of the distinction </w:t>
      </w:r>
      <w:r w:rsidR="00CA72AE">
        <w:t xml:space="preserve">between the two justifications, which is </w:t>
      </w:r>
      <w:r w:rsidR="004220E0">
        <w:t xml:space="preserve">said by de Wet to be </w:t>
      </w:r>
      <w:r>
        <w:t>based primar</w:t>
      </w:r>
      <w:r w:rsidR="00CA72AE">
        <w:t>il</w:t>
      </w:r>
      <w:r>
        <w:t>y on the respective territories on which the milit</w:t>
      </w:r>
      <w:r w:rsidR="004234F8">
        <w:t>ary action is undertaken (214)</w:t>
      </w:r>
      <w:r w:rsidR="004220E0">
        <w:t>,</w:t>
      </w:r>
      <w:r w:rsidR="004234F8">
        <w:rPr>
          <w:rStyle w:val="FootnoteReference"/>
        </w:rPr>
        <w:footnoteReference w:id="22"/>
      </w:r>
      <w:r w:rsidR="004220E0">
        <w:t xml:space="preserve"> </w:t>
      </w:r>
      <w:r w:rsidR="004234F8">
        <w:t xml:space="preserve">a means of distinction </w:t>
      </w:r>
      <w:r w:rsidR="00CA72AE">
        <w:t xml:space="preserve">that </w:t>
      </w:r>
      <w:r w:rsidR="004234F8">
        <w:t>can</w:t>
      </w:r>
      <w:r w:rsidR="00CA72AE">
        <w:t xml:space="preserve"> be </w:t>
      </w:r>
      <w:r>
        <w:t>questioned.</w:t>
      </w:r>
      <w:r w:rsidR="00CA72AE">
        <w:rPr>
          <w:rStyle w:val="FootnoteReference"/>
        </w:rPr>
        <w:footnoteReference w:id="23"/>
      </w:r>
      <w:r>
        <w:t xml:space="preserve">  </w:t>
      </w:r>
    </w:p>
    <w:p w:rsidR="00C25E8A" w:rsidRDefault="007F6305" w:rsidP="00FD4E44">
      <w:pPr>
        <w:spacing w:line="360" w:lineRule="auto"/>
        <w:ind w:firstLine="720"/>
        <w:jc w:val="both"/>
      </w:pPr>
      <w:r>
        <w:t>Instead, much of the chapter was given over to exploring the current ‘unwilling or unable’ debate in relation to self-defence. It did so perfectly well, but there is much work on this elsewhere,</w:t>
      </w:r>
      <w:r w:rsidR="003A2F4B">
        <w:rPr>
          <w:rStyle w:val="FootnoteReference"/>
        </w:rPr>
        <w:footnoteReference w:id="24"/>
      </w:r>
      <w:r>
        <w:t xml:space="preserve"> and it </w:t>
      </w:r>
      <w:r w:rsidR="00F55BCA">
        <w:t xml:space="preserve">was neither clear how much this discussion added to that larger debate, </w:t>
      </w:r>
      <w:r w:rsidR="007E7AB0">
        <w:t>n</w:t>
      </w:r>
      <w:r w:rsidR="00F55BCA">
        <w:t xml:space="preserve">or to the </w:t>
      </w:r>
      <w:r w:rsidR="007E7AB0">
        <w:t>debates on</w:t>
      </w:r>
      <w:r w:rsidR="00F55BCA">
        <w:t xml:space="preserve"> military assistance on request.</w:t>
      </w:r>
      <w:r>
        <w:t xml:space="preserve"> This point of analysis – the possible implications of debatable shifts in the right of self-defence for military assistance on request – also meant a focus on the r</w:t>
      </w:r>
      <w:r w:rsidR="00F55BCA">
        <w:t>ight of self-defence as a whole,</w:t>
      </w:r>
      <w:r>
        <w:t xml:space="preserve"> </w:t>
      </w:r>
      <w:r w:rsidR="00FD4E44">
        <w:t>rather than</w:t>
      </w:r>
      <w:r>
        <w:t xml:space="preserve"> zeroing in </w:t>
      </w:r>
      <w:r w:rsidR="00FD4E44">
        <w:t xml:space="preserve">on collective self-defence. This acted </w:t>
      </w:r>
      <w:r w:rsidR="00F55BCA">
        <w:t>to dilute the core issue that,</w:t>
      </w:r>
      <w:r w:rsidR="00C25E8A">
        <w:t xml:space="preserve"> this reviewer at least felt</w:t>
      </w:r>
      <w:r w:rsidR="00F55BCA">
        <w:t>,</w:t>
      </w:r>
      <w:r w:rsidR="00C25E8A">
        <w:t xml:space="preserve"> should </w:t>
      </w:r>
      <w:r w:rsidR="00F55BCA">
        <w:t>have been</w:t>
      </w:r>
      <w:r w:rsidR="00C25E8A">
        <w:t xml:space="preserve"> at the heart of the chapter.</w:t>
      </w:r>
      <w:r w:rsidR="00FD4E44">
        <w:t xml:space="preserve"> Again, it is somewhat unfair to criticise a work for not doing something you hoped it would, but it nonetheless was the case that this reviewer saw the final substantive chapter as the book’s weakest.</w:t>
      </w:r>
    </w:p>
    <w:p w:rsidR="006B4C3E" w:rsidRDefault="00FD4E44" w:rsidP="00FD4E44">
      <w:pPr>
        <w:spacing w:line="360" w:lineRule="auto"/>
        <w:ind w:firstLine="720"/>
        <w:jc w:val="both"/>
      </w:pPr>
      <w:r w:rsidRPr="00FD4E44">
        <w:t>Th</w:t>
      </w:r>
      <w:r w:rsidR="006B4C3E">
        <w:t>at</w:t>
      </w:r>
      <w:r w:rsidRPr="00FD4E44">
        <w:t xml:space="preserve"> </w:t>
      </w:r>
      <w:r w:rsidR="00F55BCA">
        <w:t>view should not</w:t>
      </w:r>
      <w:r w:rsidRPr="00FD4E44">
        <w:t xml:space="preserve"> detract from the fact that, overall, </w:t>
      </w:r>
      <w:r w:rsidRPr="00FD4E44">
        <w:rPr>
          <w:i/>
        </w:rPr>
        <w:t xml:space="preserve">Military Assistance on Request and the Use of Force </w:t>
      </w:r>
      <w:r w:rsidRPr="006B4C3E">
        <w:t>is an extremely impressive</w:t>
      </w:r>
      <w:r w:rsidR="006B4C3E">
        <w:t xml:space="preserve"> </w:t>
      </w:r>
      <w:r w:rsidRPr="006B4C3E">
        <w:t xml:space="preserve">addition to the literature. </w:t>
      </w:r>
      <w:r w:rsidR="006B4C3E">
        <w:t>I</w:t>
      </w:r>
      <w:r w:rsidRPr="006B4C3E">
        <w:t>ts key strength</w:t>
      </w:r>
      <w:r w:rsidRPr="00FD4E44">
        <w:rPr>
          <w:i/>
        </w:rPr>
        <w:t xml:space="preserve"> </w:t>
      </w:r>
      <w:r w:rsidRPr="00FD4E44">
        <w:t>lies i</w:t>
      </w:r>
      <w:r w:rsidR="00F55BCA">
        <w:t>n its</w:t>
      </w:r>
      <w:r w:rsidRPr="00FD4E44">
        <w:t xml:space="preserve"> meticulous </w:t>
      </w:r>
      <w:r w:rsidR="006B4C3E">
        <w:t xml:space="preserve">consideration of practice. </w:t>
      </w:r>
      <w:r w:rsidRPr="00FD4E44">
        <w:t>All five of its substantive chapter</w:t>
      </w:r>
      <w:r w:rsidR="007E7AB0">
        <w:t>s</w:t>
      </w:r>
      <w:r w:rsidRPr="00FD4E44">
        <w:t xml:space="preserve"> engage meaningfully with a wide range of state </w:t>
      </w:r>
      <w:r w:rsidR="00F55BCA">
        <w:t xml:space="preserve">and organisational </w:t>
      </w:r>
      <w:r w:rsidR="007E7AB0">
        <w:t>practice examples, and</w:t>
      </w:r>
      <w:r w:rsidRPr="00FD4E44">
        <w:t xml:space="preserve"> not just as illustrations, but as the bedrocks of the arguments that each chapter advance</w:t>
      </w:r>
      <w:r w:rsidR="00F55BCA">
        <w:t>s</w:t>
      </w:r>
      <w:r w:rsidRPr="00FD4E44">
        <w:t>.</w:t>
      </w:r>
      <w:r w:rsidR="00F55BCA">
        <w:t xml:space="preserve">  As such, it is compelling.</w:t>
      </w:r>
      <w:r w:rsidRPr="00FD4E44">
        <w:t xml:space="preserve"> </w:t>
      </w:r>
      <w:r w:rsidR="006B4C3E">
        <w:t xml:space="preserve"> </w:t>
      </w:r>
    </w:p>
    <w:p w:rsidR="00FD4E44" w:rsidRDefault="00F55BCA" w:rsidP="00FD4E44">
      <w:pPr>
        <w:spacing w:line="360" w:lineRule="auto"/>
        <w:ind w:firstLine="720"/>
        <w:jc w:val="both"/>
      </w:pPr>
      <w:r w:rsidRPr="00FD4E44">
        <w:rPr>
          <w:i/>
        </w:rPr>
        <w:t>Military Assistance on Request and the Use of Force</w:t>
      </w:r>
      <w:r w:rsidR="00FD4E44">
        <w:t xml:space="preserve"> is a supreme example of doctrinal </w:t>
      </w:r>
      <w:r w:rsidR="00FD4E44" w:rsidRPr="00FD4E44">
        <w:rPr>
          <w:i/>
        </w:rPr>
        <w:t>ad bellum</w:t>
      </w:r>
      <w:r w:rsidR="00FD4E44">
        <w:t xml:space="preserve"> research. It is a must-read for anyone interested in the </w:t>
      </w:r>
      <w:r w:rsidR="00FD4E44" w:rsidRPr="006B4C3E">
        <w:rPr>
          <w:i/>
        </w:rPr>
        <w:t>jus ad bellum</w:t>
      </w:r>
      <w:r w:rsidR="00FD4E44">
        <w:t xml:space="preserve">, and </w:t>
      </w:r>
      <w:r>
        <w:t>i</w:t>
      </w:r>
      <w:r w:rsidR="00FD4E44">
        <w:t xml:space="preserve">s undoubtedly </w:t>
      </w:r>
      <w:r>
        <w:t xml:space="preserve">now one of </w:t>
      </w:r>
      <w:r w:rsidR="00FD4E44">
        <w:t xml:space="preserve">the leading works </w:t>
      </w:r>
      <w:r>
        <w:t>on military assistance on request.</w:t>
      </w:r>
    </w:p>
    <w:p w:rsidR="00E4736B" w:rsidRDefault="00E4736B" w:rsidP="00E4736B">
      <w:pPr>
        <w:spacing w:line="360" w:lineRule="auto"/>
      </w:pPr>
    </w:p>
    <w:p w:rsidR="00E4736B" w:rsidRPr="002C34FB" w:rsidRDefault="00E4736B" w:rsidP="00E4736B">
      <w:pPr>
        <w:spacing w:line="360" w:lineRule="auto"/>
        <w:jc w:val="right"/>
      </w:pPr>
      <w:r w:rsidRPr="002C34FB">
        <w:lastRenderedPageBreak/>
        <w:t>James A Green</w:t>
      </w:r>
    </w:p>
    <w:p w:rsidR="00E4736B" w:rsidRPr="002C34FB" w:rsidRDefault="00E4736B" w:rsidP="00E4736B">
      <w:pPr>
        <w:spacing w:line="360" w:lineRule="auto"/>
        <w:jc w:val="right"/>
        <w:rPr>
          <w:i/>
        </w:rPr>
      </w:pPr>
      <w:r w:rsidRPr="002C34FB">
        <w:rPr>
          <w:i/>
        </w:rPr>
        <w:t>Co-editor-in-chief</w:t>
      </w:r>
    </w:p>
    <w:p w:rsidR="00E4736B" w:rsidRDefault="00E4736B" w:rsidP="00E4736B">
      <w:pPr>
        <w:spacing w:line="360" w:lineRule="auto"/>
        <w:jc w:val="right"/>
        <w:rPr>
          <w:i/>
        </w:rPr>
      </w:pPr>
      <w:r>
        <w:rPr>
          <w:i/>
        </w:rPr>
        <w:t>Professor of Public International Law</w:t>
      </w:r>
    </w:p>
    <w:p w:rsidR="00E4736B" w:rsidRPr="002C34FB" w:rsidRDefault="00E4736B" w:rsidP="00E4736B">
      <w:pPr>
        <w:spacing w:line="360" w:lineRule="auto"/>
        <w:jc w:val="right"/>
        <w:rPr>
          <w:i/>
        </w:rPr>
      </w:pPr>
      <w:r w:rsidRPr="002C34FB">
        <w:rPr>
          <w:i/>
        </w:rPr>
        <w:t>University of Reading</w:t>
      </w:r>
      <w:r>
        <w:rPr>
          <w:i/>
        </w:rPr>
        <w:t>, UK</w:t>
      </w:r>
    </w:p>
    <w:p w:rsidR="00E4736B" w:rsidRPr="002C34FB" w:rsidRDefault="00E4736B" w:rsidP="00E4736B">
      <w:pPr>
        <w:spacing w:line="360" w:lineRule="auto"/>
        <w:jc w:val="right"/>
        <w:rPr>
          <w:i/>
        </w:rPr>
      </w:pPr>
      <w:r w:rsidRPr="002C34FB">
        <w:rPr>
          <w:i/>
        </w:rPr>
        <w:t xml:space="preserve">Email: </w:t>
      </w:r>
      <w:hyperlink r:id="rId7" w:history="1">
        <w:r w:rsidRPr="002C34FB">
          <w:rPr>
            <w:rStyle w:val="Hyperlink"/>
            <w:i/>
          </w:rPr>
          <w:t>j.a.green@reading.ac.uk</w:t>
        </w:r>
      </w:hyperlink>
      <w:r w:rsidRPr="002C34FB">
        <w:rPr>
          <w:i/>
        </w:rPr>
        <w:t xml:space="preserve"> </w:t>
      </w:r>
    </w:p>
    <w:p w:rsidR="00E4736B" w:rsidRDefault="00E4736B" w:rsidP="00E4736B">
      <w:pPr>
        <w:spacing w:line="360" w:lineRule="auto"/>
      </w:pPr>
    </w:p>
    <w:sectPr w:rsidR="00E4736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9D" w:rsidRDefault="00721B9D" w:rsidP="00E4736B">
      <w:r>
        <w:separator/>
      </w:r>
    </w:p>
  </w:endnote>
  <w:endnote w:type="continuationSeparator" w:id="0">
    <w:p w:rsidR="00721B9D" w:rsidRDefault="00721B9D" w:rsidP="00E4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827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D94" w:rsidRDefault="003C3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D94" w:rsidRDefault="003C3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9D" w:rsidRDefault="00721B9D" w:rsidP="00E4736B">
      <w:r>
        <w:separator/>
      </w:r>
    </w:p>
  </w:footnote>
  <w:footnote w:type="continuationSeparator" w:id="0">
    <w:p w:rsidR="00721B9D" w:rsidRDefault="00721B9D" w:rsidP="00E4736B">
      <w:r>
        <w:continuationSeparator/>
      </w:r>
    </w:p>
  </w:footnote>
  <w:footnote w:id="1">
    <w:p w:rsidR="003C3D94" w:rsidRPr="0010293D" w:rsidRDefault="003C3D94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In writings on th</w:t>
      </w:r>
      <w:r w:rsidR="00C321C2" w:rsidRPr="0010293D">
        <w:t>is</w:t>
      </w:r>
      <w:r w:rsidRPr="0010293D">
        <w:t xml:space="preserve"> topic, the term ‘intervention by invitation’ has been perhaps more traditionally used than ‘military assistance on request’.  However, </w:t>
      </w:r>
      <w:r w:rsidR="00C321C2" w:rsidRPr="0010293D">
        <w:t>in recent years</w:t>
      </w:r>
      <w:r w:rsidRPr="0010293D">
        <w:t xml:space="preserve">, there has been an increasing preference for the latter, because ‘intervention by invitation’ is viewed by </w:t>
      </w:r>
      <w:r w:rsidR="00ED09AF">
        <w:t>some</w:t>
      </w:r>
      <w:r w:rsidRPr="0010293D">
        <w:t xml:space="preserve"> as a contradiction-in-terms: if the state has been invited then it is not</w:t>
      </w:r>
      <w:r w:rsidR="00ED09AF">
        <w:t>, in fact,</w:t>
      </w:r>
      <w:r w:rsidRPr="0010293D">
        <w:t xml:space="preserve"> intervening. See Gerhard Hafner, ‘Present Problems of the Use of Force in International Law Sub-group: Intervention by Invitation’ (2009) 73 </w:t>
      </w:r>
      <w:proofErr w:type="spellStart"/>
      <w:r w:rsidRPr="0010293D">
        <w:rPr>
          <w:i/>
        </w:rPr>
        <w:t>Annuaire</w:t>
      </w:r>
      <w:proofErr w:type="spellEnd"/>
      <w:r w:rsidRPr="0010293D">
        <w:rPr>
          <w:i/>
        </w:rPr>
        <w:t xml:space="preserve"> de </w:t>
      </w:r>
      <w:proofErr w:type="spellStart"/>
      <w:r w:rsidRPr="0010293D">
        <w:rPr>
          <w:i/>
        </w:rPr>
        <w:t>l’Institut</w:t>
      </w:r>
      <w:proofErr w:type="spellEnd"/>
      <w:r w:rsidRPr="0010293D">
        <w:rPr>
          <w:i/>
        </w:rPr>
        <w:t xml:space="preserve"> de droit international </w:t>
      </w:r>
      <w:r w:rsidRPr="0010293D">
        <w:t xml:space="preserve">299, 309–11. For her part, de Wet makes the same point in relation to her own choice of terminology, although </w:t>
      </w:r>
      <w:r w:rsidR="00ED09AF">
        <w:t>additionally</w:t>
      </w:r>
      <w:r w:rsidRPr="0010293D">
        <w:t xml:space="preserve"> </w:t>
      </w:r>
      <w:r w:rsidR="00C321C2" w:rsidRPr="0010293D">
        <w:t>notes</w:t>
      </w:r>
      <w:r w:rsidRPr="0010293D">
        <w:t xml:space="preserve"> the fact that ‘intervention’ could be seen as a wider concept than ‘military assistance’, potentially opening up doors beyond the scope of the book (16).</w:t>
      </w:r>
    </w:p>
  </w:footnote>
  <w:footnote w:id="2">
    <w:p w:rsidR="003C3D94" w:rsidRPr="0010293D" w:rsidRDefault="003C3D94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</w:t>
      </w:r>
      <w:r w:rsidRPr="0010293D">
        <w:rPr>
          <w:lang w:val="en-US"/>
        </w:rPr>
        <w:t xml:space="preserve">International Law Association, </w:t>
      </w:r>
      <w:r w:rsidRPr="0010293D">
        <w:rPr>
          <w:i/>
          <w:lang w:val="en-US"/>
        </w:rPr>
        <w:t>Use of Force – Military Assistance on Request</w:t>
      </w:r>
      <w:r w:rsidRPr="0010293D">
        <w:rPr>
          <w:lang w:val="en-US"/>
        </w:rPr>
        <w:t xml:space="preserve">, </w:t>
      </w:r>
      <w:hyperlink r:id="rId1" w:history="1">
        <w:r w:rsidRPr="0010293D">
          <w:rPr>
            <w:rStyle w:val="Hyperlink"/>
            <w:lang w:val="en-US"/>
          </w:rPr>
          <w:t>www.ila-hq.org/index.php/committees</w:t>
        </w:r>
      </w:hyperlink>
      <w:r w:rsidRPr="0010293D">
        <w:rPr>
          <w:lang w:val="en-US"/>
        </w:rPr>
        <w:t xml:space="preserve"> (accessed 7 December 2020).</w:t>
      </w:r>
    </w:p>
  </w:footnote>
  <w:footnote w:id="3">
    <w:p w:rsidR="00ED09AF" w:rsidRPr="0010293D" w:rsidRDefault="00ED09AF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‘The Principle of Non-Intervention in Civil Wars’, </w:t>
      </w:r>
      <w:proofErr w:type="spellStart"/>
      <w:r w:rsidRPr="0010293D">
        <w:rPr>
          <w:i/>
        </w:rPr>
        <w:t>Institut</w:t>
      </w:r>
      <w:proofErr w:type="spellEnd"/>
      <w:r w:rsidRPr="0010293D">
        <w:rPr>
          <w:i/>
        </w:rPr>
        <w:t xml:space="preserve"> de droit international</w:t>
      </w:r>
      <w:r w:rsidRPr="0010293D">
        <w:t>, Session of Wiesbaden, Resolution (1975).</w:t>
      </w:r>
    </w:p>
  </w:footnote>
  <w:footnote w:id="4">
    <w:p w:rsidR="003C3D94" w:rsidRPr="0010293D" w:rsidRDefault="003C3D94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</w:t>
      </w:r>
      <w:proofErr w:type="spellStart"/>
      <w:r w:rsidRPr="0010293D">
        <w:rPr>
          <w:lang w:val="en-US"/>
        </w:rPr>
        <w:t>Lousie</w:t>
      </w:r>
      <w:proofErr w:type="spellEnd"/>
      <w:r w:rsidRPr="0010293D">
        <w:rPr>
          <w:lang w:val="en-US"/>
        </w:rPr>
        <w:t xml:space="preserve"> </w:t>
      </w:r>
      <w:proofErr w:type="spellStart"/>
      <w:r w:rsidRPr="0010293D">
        <w:rPr>
          <w:lang w:val="en-US"/>
        </w:rPr>
        <w:t>Doswald</w:t>
      </w:r>
      <w:proofErr w:type="spellEnd"/>
      <w:r w:rsidRPr="0010293D">
        <w:rPr>
          <w:lang w:val="en-US"/>
        </w:rPr>
        <w:t xml:space="preserve">-Beck, ‘The Legal Validity of Military Intervention by Invitation of the Government’ (1985) 56 </w:t>
      </w:r>
      <w:r w:rsidRPr="0010293D">
        <w:rPr>
          <w:i/>
          <w:iCs/>
          <w:lang w:val="en-US"/>
        </w:rPr>
        <w:t xml:space="preserve">British Yearbook of International Law </w:t>
      </w:r>
      <w:r w:rsidRPr="0010293D">
        <w:rPr>
          <w:lang w:val="en-US"/>
        </w:rPr>
        <w:t>189.</w:t>
      </w:r>
    </w:p>
  </w:footnote>
  <w:footnote w:id="5">
    <w:p w:rsidR="00EB51D9" w:rsidRPr="0010293D" w:rsidRDefault="00EB51D9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Writing a decade ago, </w:t>
      </w:r>
      <w:proofErr w:type="spellStart"/>
      <w:r w:rsidRPr="0010293D">
        <w:t>Corten</w:t>
      </w:r>
      <w:proofErr w:type="spellEnd"/>
      <w:r w:rsidRPr="0010293D">
        <w:t xml:space="preserve"> noted that ‘[d]</w:t>
      </w:r>
      <w:proofErr w:type="spellStart"/>
      <w:r w:rsidRPr="0010293D">
        <w:t>octrine</w:t>
      </w:r>
      <w:proofErr w:type="spellEnd"/>
      <w:r w:rsidRPr="0010293D">
        <w:t xml:space="preserve"> is comparatively underdeveloped on this topic with only a few books and studies dealing specifically with it.’ See </w:t>
      </w:r>
      <w:r w:rsidR="007A1E81" w:rsidRPr="0010293D">
        <w:t xml:space="preserve">Olivier </w:t>
      </w:r>
      <w:proofErr w:type="spellStart"/>
      <w:r w:rsidR="007A1E81" w:rsidRPr="0010293D">
        <w:t>Corten</w:t>
      </w:r>
      <w:proofErr w:type="spellEnd"/>
      <w:r w:rsidR="007A1E81" w:rsidRPr="0010293D">
        <w:t xml:space="preserve">, </w:t>
      </w:r>
      <w:proofErr w:type="gramStart"/>
      <w:r w:rsidR="007A1E81" w:rsidRPr="0010293D">
        <w:rPr>
          <w:i/>
        </w:rPr>
        <w:t>The</w:t>
      </w:r>
      <w:proofErr w:type="gramEnd"/>
      <w:r w:rsidR="007A1E81" w:rsidRPr="0010293D">
        <w:rPr>
          <w:i/>
        </w:rPr>
        <w:t xml:space="preserve"> Law Against War: The Prohibition on the Use of Force in Contemporary International Law</w:t>
      </w:r>
      <w:r w:rsidR="007A1E81" w:rsidRPr="0010293D">
        <w:t xml:space="preserve"> (Hart Publishing, 2010) </w:t>
      </w:r>
      <w:r w:rsidRPr="0010293D">
        <w:t>249.</w:t>
      </w:r>
    </w:p>
  </w:footnote>
  <w:footnote w:id="6">
    <w:p w:rsidR="003C3D94" w:rsidRPr="0010293D" w:rsidRDefault="003C3D94" w:rsidP="003A2F4B">
      <w:pPr>
        <w:jc w:val="both"/>
        <w:rPr>
          <w:sz w:val="20"/>
          <w:szCs w:val="20"/>
        </w:rPr>
      </w:pPr>
      <w:r w:rsidRPr="0010293D">
        <w:rPr>
          <w:rStyle w:val="FootnoteReference"/>
          <w:sz w:val="20"/>
          <w:szCs w:val="20"/>
        </w:rPr>
        <w:footnoteRef/>
      </w:r>
      <w:r w:rsidRPr="0010293D">
        <w:rPr>
          <w:sz w:val="20"/>
          <w:szCs w:val="20"/>
        </w:rPr>
        <w:t xml:space="preserve"> </w:t>
      </w:r>
      <w:r w:rsidR="007D7C02">
        <w:rPr>
          <w:sz w:val="20"/>
          <w:szCs w:val="20"/>
        </w:rPr>
        <w:t>To give just</w:t>
      </w:r>
      <w:r w:rsidRPr="0010293D">
        <w:rPr>
          <w:sz w:val="20"/>
          <w:szCs w:val="20"/>
        </w:rPr>
        <w:t xml:space="preserve"> a few key </w:t>
      </w:r>
      <w:r w:rsidR="005D717C" w:rsidRPr="0010293D">
        <w:rPr>
          <w:sz w:val="20"/>
          <w:szCs w:val="20"/>
        </w:rPr>
        <w:t>contributions</w:t>
      </w:r>
      <w:r w:rsidRPr="0010293D">
        <w:rPr>
          <w:sz w:val="20"/>
          <w:szCs w:val="20"/>
        </w:rPr>
        <w:t xml:space="preserve">: </w:t>
      </w:r>
      <w:r w:rsidR="00CB2FDB" w:rsidRPr="0010293D">
        <w:rPr>
          <w:sz w:val="20"/>
          <w:szCs w:val="20"/>
        </w:rPr>
        <w:t xml:space="preserve">‘Present Problems of the Use of Force in International Law: Military Assistance on Request’, </w:t>
      </w:r>
      <w:proofErr w:type="spellStart"/>
      <w:r w:rsidR="00CB2FDB" w:rsidRPr="0010293D">
        <w:rPr>
          <w:i/>
          <w:sz w:val="20"/>
          <w:szCs w:val="20"/>
        </w:rPr>
        <w:t>Institut</w:t>
      </w:r>
      <w:proofErr w:type="spellEnd"/>
      <w:r w:rsidR="00CB2FDB" w:rsidRPr="0010293D">
        <w:rPr>
          <w:i/>
          <w:sz w:val="20"/>
          <w:szCs w:val="20"/>
        </w:rPr>
        <w:t xml:space="preserve"> de droit international</w:t>
      </w:r>
      <w:r w:rsidR="00CB2FDB" w:rsidRPr="0010293D">
        <w:rPr>
          <w:sz w:val="20"/>
          <w:szCs w:val="20"/>
        </w:rPr>
        <w:t xml:space="preserve">, Session of Rhodes, Resolution (2011); </w:t>
      </w:r>
      <w:r w:rsidRPr="0010293D">
        <w:rPr>
          <w:sz w:val="20"/>
          <w:szCs w:val="20"/>
          <w:lang w:val="en-US"/>
        </w:rPr>
        <w:t xml:space="preserve">Eliav Lieblich, </w:t>
      </w:r>
      <w:r w:rsidRPr="0010293D">
        <w:rPr>
          <w:i/>
          <w:sz w:val="20"/>
          <w:szCs w:val="20"/>
          <w:lang w:val="en-US"/>
        </w:rPr>
        <w:t>International Law and Civil Wars: Intervention and Consent</w:t>
      </w:r>
      <w:r w:rsidRPr="0010293D">
        <w:rPr>
          <w:sz w:val="20"/>
          <w:szCs w:val="20"/>
          <w:lang w:val="en-US"/>
        </w:rPr>
        <w:t xml:space="preserve"> (Routledge, 2013)</w:t>
      </w:r>
      <w:r w:rsidR="00EB51D9" w:rsidRPr="0010293D">
        <w:rPr>
          <w:sz w:val="20"/>
          <w:szCs w:val="20"/>
        </w:rPr>
        <w:t xml:space="preserve">; Karine Bannelier-Christakis, ‘Military Interventions against ISIL in Iraq, Syria and Libya, and the Legal Basis of Consent’ (2016) 29(3) </w:t>
      </w:r>
      <w:r w:rsidR="00EB51D9" w:rsidRPr="0010293D">
        <w:rPr>
          <w:i/>
          <w:iCs/>
          <w:sz w:val="20"/>
          <w:szCs w:val="20"/>
        </w:rPr>
        <w:t>Leiden Journal of International Law</w:t>
      </w:r>
      <w:r w:rsidR="00EB51D9" w:rsidRPr="0010293D">
        <w:rPr>
          <w:sz w:val="20"/>
          <w:szCs w:val="20"/>
        </w:rPr>
        <w:t xml:space="preserve"> 743.</w:t>
      </w:r>
    </w:p>
  </w:footnote>
  <w:footnote w:id="7">
    <w:p w:rsidR="0078414B" w:rsidRPr="0010293D" w:rsidRDefault="0078414B" w:rsidP="003A2F4B">
      <w:pPr>
        <w:jc w:val="both"/>
        <w:rPr>
          <w:sz w:val="20"/>
          <w:szCs w:val="20"/>
        </w:rPr>
      </w:pPr>
      <w:r w:rsidRPr="0010293D">
        <w:rPr>
          <w:rStyle w:val="FootnoteReference"/>
          <w:sz w:val="20"/>
          <w:szCs w:val="20"/>
        </w:rPr>
        <w:footnoteRef/>
      </w:r>
      <w:r w:rsidRPr="0010293D">
        <w:rPr>
          <w:sz w:val="20"/>
          <w:szCs w:val="20"/>
        </w:rPr>
        <w:t xml:space="preserve"> See, e.g. Adriana Sinclair, ‘Why We Should See International Law as a Structure: Unpicking International Law’s Ontology and Agency’ (2020) </w:t>
      </w:r>
      <w:r w:rsidRPr="0010293D">
        <w:rPr>
          <w:i/>
          <w:sz w:val="20"/>
          <w:szCs w:val="20"/>
        </w:rPr>
        <w:t>International Relations</w:t>
      </w:r>
      <w:r w:rsidRPr="0010293D">
        <w:rPr>
          <w:sz w:val="20"/>
          <w:szCs w:val="20"/>
        </w:rPr>
        <w:t xml:space="preserve"> 1.</w:t>
      </w:r>
    </w:p>
  </w:footnote>
  <w:footnote w:id="8">
    <w:p w:rsidR="0078414B" w:rsidRPr="0010293D" w:rsidRDefault="0078414B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</w:t>
      </w:r>
      <w:r w:rsidR="005D717C" w:rsidRPr="0010293D">
        <w:t xml:space="preserve">For an exploration </w:t>
      </w:r>
      <w:r w:rsidR="004220E0" w:rsidRPr="0010293D">
        <w:t xml:space="preserve">some </w:t>
      </w:r>
      <w:r w:rsidR="005D717C" w:rsidRPr="0010293D">
        <w:t xml:space="preserve">of these differing approaches, and </w:t>
      </w:r>
      <w:r w:rsidR="004220E0" w:rsidRPr="0010293D">
        <w:t xml:space="preserve">of </w:t>
      </w:r>
      <w:r w:rsidR="005D717C" w:rsidRPr="0010293D">
        <w:t>the problems arising from the their (in</w:t>
      </w:r>
      <w:proofErr w:type="gramStart"/>
      <w:r w:rsidR="005D717C" w:rsidRPr="0010293D">
        <w:t>)compatibility</w:t>
      </w:r>
      <w:proofErr w:type="gramEnd"/>
      <w:r w:rsidR="005D717C" w:rsidRPr="0010293D">
        <w:t xml:space="preserve">, see </w:t>
      </w:r>
      <w:r w:rsidR="004220E0" w:rsidRPr="0010293D">
        <w:t xml:space="preserve">Eliav Lieblich, ‘Why </w:t>
      </w:r>
      <w:r w:rsidR="00224ABE" w:rsidRPr="0010293D">
        <w:t xml:space="preserve">Can’t We Agree </w:t>
      </w:r>
      <w:r w:rsidR="004220E0" w:rsidRPr="0010293D">
        <w:t xml:space="preserve">on </w:t>
      </w:r>
      <w:r w:rsidR="00224ABE" w:rsidRPr="0010293D">
        <w:t xml:space="preserve">When Governments </w:t>
      </w:r>
      <w:r w:rsidR="004220E0" w:rsidRPr="0010293D">
        <w:t xml:space="preserve">can </w:t>
      </w:r>
      <w:r w:rsidR="00224ABE" w:rsidRPr="0010293D">
        <w:t xml:space="preserve">Consent </w:t>
      </w:r>
      <w:r w:rsidR="004220E0" w:rsidRPr="0010293D">
        <w:t xml:space="preserve">to </w:t>
      </w:r>
      <w:r w:rsidR="00224ABE" w:rsidRPr="0010293D">
        <w:t>External Intervention</w:t>
      </w:r>
      <w:r w:rsidR="004220E0" w:rsidRPr="0010293D">
        <w:t xml:space="preserve">? A </w:t>
      </w:r>
      <w:r w:rsidR="00224ABE" w:rsidRPr="0010293D">
        <w:t xml:space="preserve">Theoretical Inquiry’ </w:t>
      </w:r>
      <w:r w:rsidR="004220E0" w:rsidRPr="0010293D">
        <w:rPr>
          <w:noProof/>
        </w:rPr>
        <w:t xml:space="preserve">(2020) 7(1) </w:t>
      </w:r>
      <w:r w:rsidR="004220E0" w:rsidRPr="0010293D">
        <w:rPr>
          <w:i/>
          <w:noProof/>
        </w:rPr>
        <w:t>Journal on the Use of Force and International Law</w:t>
      </w:r>
      <w:r w:rsidR="004220E0" w:rsidRPr="0010293D">
        <w:t xml:space="preserve"> 5.</w:t>
      </w:r>
    </w:p>
  </w:footnote>
  <w:footnote w:id="9">
    <w:p w:rsidR="00CB6765" w:rsidRPr="0010293D" w:rsidRDefault="00CB6765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See </w:t>
      </w:r>
      <w:r w:rsidRPr="0010293D">
        <w:rPr>
          <w:i/>
        </w:rPr>
        <w:t>Military and Paramilitary Activities in and Against Nicaragua</w:t>
      </w:r>
      <w:r w:rsidRPr="0010293D">
        <w:t xml:space="preserve"> (</w:t>
      </w:r>
      <w:r w:rsidRPr="0010293D">
        <w:rPr>
          <w:i/>
        </w:rPr>
        <w:t>Nicaragua v United States of America</w:t>
      </w:r>
      <w:r w:rsidRPr="0010293D">
        <w:t xml:space="preserve">) (merits) [1986] </w:t>
      </w:r>
      <w:proofErr w:type="spellStart"/>
      <w:r w:rsidRPr="0010293D">
        <w:t>ICJ</w:t>
      </w:r>
      <w:proofErr w:type="spellEnd"/>
      <w:r w:rsidRPr="0010293D">
        <w:t xml:space="preserve"> Reports 14, </w:t>
      </w:r>
      <w:r w:rsidRPr="0010293D">
        <w:rPr>
          <w:rFonts w:eastAsia="Calibri"/>
        </w:rPr>
        <w:t>para 246 (being the ‘classic’ dismissal of any such notion).</w:t>
      </w:r>
    </w:p>
  </w:footnote>
  <w:footnote w:id="10">
    <w:p w:rsidR="00F3434D" w:rsidRPr="0010293D" w:rsidRDefault="00F3434D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See Max Byrne, ‘Consent and the Use of Force: An Examination of “Intervention by Invitation” as a Basis for US Drone Strikes in Pakistan, Somalia and Yemen’ (2016) 3(1)</w:t>
      </w:r>
      <w:r w:rsidRPr="0010293D">
        <w:rPr>
          <w:i/>
        </w:rPr>
        <w:t xml:space="preserve"> Journal on the Use of Force and International Law</w:t>
      </w:r>
      <w:r w:rsidRPr="0010293D">
        <w:t xml:space="preserve"> 97, 100 (‘[</w:t>
      </w:r>
      <w:proofErr w:type="spellStart"/>
      <w:r w:rsidRPr="0010293D">
        <w:t>i</w:t>
      </w:r>
      <w:proofErr w:type="spellEnd"/>
      <w:r w:rsidRPr="0010293D">
        <w:t>]t is crucial that a consenting government is legitimate (and that, in turn, consent is given by a requisite official), because it is, in the eyes of international law, the voice of the state’).</w:t>
      </w:r>
    </w:p>
  </w:footnote>
  <w:footnote w:id="11">
    <w:p w:rsidR="0078414B" w:rsidRPr="0010293D" w:rsidRDefault="0078414B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</w:t>
      </w:r>
      <w:r w:rsidR="00726306" w:rsidRPr="0010293D">
        <w:t xml:space="preserve">See, e.g. Stefan </w:t>
      </w:r>
      <w:proofErr w:type="spellStart"/>
      <w:r w:rsidR="00726306" w:rsidRPr="0010293D">
        <w:t>Talmon</w:t>
      </w:r>
      <w:proofErr w:type="spellEnd"/>
      <w:r w:rsidR="00726306" w:rsidRPr="0010293D">
        <w:t xml:space="preserve">, ‘Recognition of Opposition Groups as the Legitimate Representative of a People’ (2013) 12 </w:t>
      </w:r>
      <w:r w:rsidR="00726306" w:rsidRPr="0010293D">
        <w:rPr>
          <w:i/>
        </w:rPr>
        <w:t>Chinese Journal of International Law</w:t>
      </w:r>
      <w:r w:rsidR="00726306" w:rsidRPr="0010293D">
        <w:t xml:space="preserve"> 219, 232 (‘The </w:t>
      </w:r>
      <w:r w:rsidR="00726306" w:rsidRPr="0010293D">
        <w:rPr>
          <w:i/>
        </w:rPr>
        <w:t>main criterion</w:t>
      </w:r>
      <w:r w:rsidR="00726306" w:rsidRPr="0010293D">
        <w:t xml:space="preserve"> in international law for government status is that the individual or group of individuals claiming to be the government of a State exercise effective control over the State’s territory’, emphasis added).</w:t>
      </w:r>
    </w:p>
  </w:footnote>
  <w:footnote w:id="12">
    <w:p w:rsidR="00BC3866" w:rsidRPr="0010293D" w:rsidRDefault="00BC3866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</w:t>
      </w:r>
      <w:r w:rsidR="00CB6765" w:rsidRPr="0010293D">
        <w:t xml:space="preserve">See, generally Brad R Roth, </w:t>
      </w:r>
      <w:r w:rsidR="00CB6765" w:rsidRPr="0010293D">
        <w:rPr>
          <w:i/>
        </w:rPr>
        <w:t>Governmental Illegitimacy in International Law</w:t>
      </w:r>
      <w:r w:rsidR="00CB6765" w:rsidRPr="0010293D">
        <w:t xml:space="preserve"> </w:t>
      </w:r>
      <w:r w:rsidR="0078203C" w:rsidRPr="0010293D">
        <w:t>(Oxford University Press, 2000).</w:t>
      </w:r>
    </w:p>
  </w:footnote>
  <w:footnote w:id="13">
    <w:p w:rsidR="00BC3866" w:rsidRPr="0010293D" w:rsidRDefault="00BC3866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See also Erika de Wet, ‘The Role of Democratic Legitimacy in the Recognition of Governments in Africa since the End of the Cold War’ (2019) 17 </w:t>
      </w:r>
      <w:r w:rsidRPr="0010293D">
        <w:rPr>
          <w:i/>
        </w:rPr>
        <w:t>International Journal of Constitutional Law</w:t>
      </w:r>
      <w:r w:rsidRPr="0010293D">
        <w:t xml:space="preserve"> 470.</w:t>
      </w:r>
    </w:p>
  </w:footnote>
  <w:footnote w:id="14">
    <w:p w:rsidR="001D2B74" w:rsidRPr="0010293D" w:rsidRDefault="001D2B74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</w:t>
      </w:r>
      <w:r w:rsidR="0024351C" w:rsidRPr="0010293D">
        <w:t xml:space="preserve">See Christine </w:t>
      </w:r>
      <w:proofErr w:type="spellStart"/>
      <w:r w:rsidR="0024351C" w:rsidRPr="0010293D">
        <w:t>Gray</w:t>
      </w:r>
      <w:proofErr w:type="spellEnd"/>
      <w:r w:rsidR="0024351C" w:rsidRPr="0010293D">
        <w:t xml:space="preserve">, </w:t>
      </w:r>
      <w:r w:rsidR="0024351C" w:rsidRPr="0010293D">
        <w:rPr>
          <w:i/>
          <w:iCs/>
        </w:rPr>
        <w:t>International Law and the Use of Force</w:t>
      </w:r>
      <w:r w:rsidR="0024351C" w:rsidRPr="0010293D">
        <w:t xml:space="preserve"> (Oxford University Press, 4th </w:t>
      </w:r>
      <w:proofErr w:type="spellStart"/>
      <w:r w:rsidR="0024351C" w:rsidRPr="0010293D">
        <w:t>edn</w:t>
      </w:r>
      <w:proofErr w:type="spellEnd"/>
      <w:r w:rsidR="0024351C" w:rsidRPr="0010293D">
        <w:t xml:space="preserve"> 2018) 85 (referring to the negative equality principle as the ‘generally accepted position during the Cold War’).</w:t>
      </w:r>
    </w:p>
  </w:footnote>
  <w:footnote w:id="15">
    <w:p w:rsidR="001D2B74" w:rsidRPr="0010293D" w:rsidRDefault="001D2B74" w:rsidP="003A2F4B">
      <w:pPr>
        <w:jc w:val="both"/>
        <w:rPr>
          <w:sz w:val="20"/>
          <w:szCs w:val="20"/>
        </w:rPr>
      </w:pPr>
      <w:r w:rsidRPr="0010293D">
        <w:rPr>
          <w:rStyle w:val="FootnoteReference"/>
          <w:sz w:val="20"/>
          <w:szCs w:val="20"/>
        </w:rPr>
        <w:footnoteRef/>
      </w:r>
      <w:r w:rsidRPr="0010293D">
        <w:rPr>
          <w:sz w:val="20"/>
          <w:szCs w:val="20"/>
        </w:rPr>
        <w:t xml:space="preserve"> </w:t>
      </w:r>
      <w:r w:rsidR="005D717C" w:rsidRPr="0010293D">
        <w:rPr>
          <w:sz w:val="20"/>
          <w:szCs w:val="20"/>
        </w:rPr>
        <w:t xml:space="preserve">See, e.g. </w:t>
      </w:r>
      <w:r w:rsidR="00CB6765" w:rsidRPr="0010293D">
        <w:rPr>
          <w:sz w:val="20"/>
          <w:szCs w:val="20"/>
        </w:rPr>
        <w:t>Gregory H Fox, ‘Intervention by Invitation’, in Marc Weller (</w:t>
      </w:r>
      <w:proofErr w:type="spellStart"/>
      <w:r w:rsidR="00CB6765" w:rsidRPr="0010293D">
        <w:rPr>
          <w:sz w:val="20"/>
          <w:szCs w:val="20"/>
        </w:rPr>
        <w:t>ed</w:t>
      </w:r>
      <w:proofErr w:type="spellEnd"/>
      <w:r w:rsidR="00CB6765" w:rsidRPr="0010293D">
        <w:rPr>
          <w:sz w:val="20"/>
          <w:szCs w:val="20"/>
        </w:rPr>
        <w:t xml:space="preserve">), </w:t>
      </w:r>
      <w:r w:rsidR="00CB6765" w:rsidRPr="0010293D">
        <w:rPr>
          <w:i/>
          <w:sz w:val="20"/>
          <w:szCs w:val="20"/>
        </w:rPr>
        <w:t>The Oxford Handbook of the Use of Force in International Law</w:t>
      </w:r>
      <w:r w:rsidR="00CB6765" w:rsidRPr="0010293D">
        <w:rPr>
          <w:sz w:val="20"/>
          <w:szCs w:val="20"/>
        </w:rPr>
        <w:t xml:space="preserve"> (Oxford University Press, 2015) 816</w:t>
      </w:r>
      <w:r w:rsidR="005D717C" w:rsidRPr="0010293D">
        <w:rPr>
          <w:sz w:val="20"/>
          <w:szCs w:val="20"/>
        </w:rPr>
        <w:t xml:space="preserve">; Dapo Akande and Zachary Vermeer, ‘The Airstrikes against Islamic State in Iraq and the Alleged Prohibition on Military Assistance to Governments in Civil Wars’, </w:t>
      </w:r>
      <w:proofErr w:type="spellStart"/>
      <w:r w:rsidR="005D717C" w:rsidRPr="0010293D">
        <w:rPr>
          <w:i/>
          <w:iCs/>
          <w:sz w:val="20"/>
          <w:szCs w:val="20"/>
        </w:rPr>
        <w:t>EJIL</w:t>
      </w:r>
      <w:proofErr w:type="spellEnd"/>
      <w:r w:rsidR="005D717C" w:rsidRPr="0010293D">
        <w:rPr>
          <w:i/>
          <w:iCs/>
          <w:sz w:val="20"/>
          <w:szCs w:val="20"/>
        </w:rPr>
        <w:t>: Talk!</w:t>
      </w:r>
      <w:r w:rsidR="005D717C" w:rsidRPr="0010293D">
        <w:rPr>
          <w:sz w:val="20"/>
          <w:szCs w:val="20"/>
        </w:rPr>
        <w:t xml:space="preserve"> (2 February 2015) </w:t>
      </w:r>
      <w:hyperlink r:id="rId2" w:history="1">
        <w:r w:rsidR="005D717C" w:rsidRPr="0010293D">
          <w:rPr>
            <w:rStyle w:val="Hyperlink"/>
            <w:sz w:val="20"/>
            <w:szCs w:val="20"/>
          </w:rPr>
          <w:t>www.ejiltalk.org/the-airstrikes-against-islamic-state-in-iraq-and-the-alleged-prohibition-on-military-assistance-to-governments-in-civil-wars/</w:t>
        </w:r>
      </w:hyperlink>
      <w:r w:rsidR="005D717C" w:rsidRPr="0010293D">
        <w:rPr>
          <w:sz w:val="20"/>
          <w:szCs w:val="20"/>
        </w:rPr>
        <w:t xml:space="preserve">; </w:t>
      </w:r>
      <w:proofErr w:type="spellStart"/>
      <w:r w:rsidR="00B500BB" w:rsidRPr="0010293D">
        <w:rPr>
          <w:sz w:val="20"/>
          <w:szCs w:val="20"/>
        </w:rPr>
        <w:t>Yoram</w:t>
      </w:r>
      <w:proofErr w:type="spellEnd"/>
      <w:r w:rsidR="00B500BB" w:rsidRPr="0010293D">
        <w:rPr>
          <w:sz w:val="20"/>
          <w:szCs w:val="20"/>
        </w:rPr>
        <w:t xml:space="preserve"> </w:t>
      </w:r>
      <w:proofErr w:type="spellStart"/>
      <w:r w:rsidR="00B500BB" w:rsidRPr="0010293D">
        <w:rPr>
          <w:sz w:val="20"/>
          <w:szCs w:val="20"/>
        </w:rPr>
        <w:t>Dinstein</w:t>
      </w:r>
      <w:proofErr w:type="spellEnd"/>
      <w:r w:rsidR="00B500BB" w:rsidRPr="0010293D">
        <w:rPr>
          <w:sz w:val="20"/>
          <w:szCs w:val="20"/>
        </w:rPr>
        <w:t xml:space="preserve">, </w:t>
      </w:r>
      <w:r w:rsidR="00B500BB" w:rsidRPr="0010293D">
        <w:rPr>
          <w:i/>
          <w:sz w:val="20"/>
          <w:szCs w:val="20"/>
        </w:rPr>
        <w:t>War, Aggression, and Self Defence</w:t>
      </w:r>
      <w:r w:rsidR="00B500BB" w:rsidRPr="0010293D">
        <w:rPr>
          <w:sz w:val="20"/>
          <w:szCs w:val="20"/>
        </w:rPr>
        <w:t xml:space="preserve"> (Cambridge University Press, 6th </w:t>
      </w:r>
      <w:proofErr w:type="spellStart"/>
      <w:r w:rsidR="00B500BB" w:rsidRPr="0010293D">
        <w:rPr>
          <w:sz w:val="20"/>
          <w:szCs w:val="20"/>
        </w:rPr>
        <w:t>edn</w:t>
      </w:r>
      <w:proofErr w:type="spellEnd"/>
      <w:r w:rsidR="00B500BB" w:rsidRPr="0010293D">
        <w:rPr>
          <w:sz w:val="20"/>
          <w:szCs w:val="20"/>
        </w:rPr>
        <w:t xml:space="preserve"> 2017) </w:t>
      </w:r>
      <w:r w:rsidR="005D717C" w:rsidRPr="0010293D">
        <w:rPr>
          <w:sz w:val="20"/>
          <w:szCs w:val="20"/>
        </w:rPr>
        <w:t>1</w:t>
      </w:r>
      <w:r w:rsidR="0078203C" w:rsidRPr="0010293D">
        <w:rPr>
          <w:sz w:val="20"/>
          <w:szCs w:val="20"/>
        </w:rPr>
        <w:t>25</w:t>
      </w:r>
      <w:r w:rsidR="00B500BB" w:rsidRPr="0010293D">
        <w:rPr>
          <w:sz w:val="20"/>
          <w:szCs w:val="20"/>
        </w:rPr>
        <w:t>–7</w:t>
      </w:r>
      <w:r w:rsidR="005D717C" w:rsidRPr="0010293D">
        <w:rPr>
          <w:sz w:val="20"/>
          <w:szCs w:val="20"/>
        </w:rPr>
        <w:t>.</w:t>
      </w:r>
    </w:p>
  </w:footnote>
  <w:footnote w:id="16">
    <w:p w:rsidR="00224ABE" w:rsidRPr="0010293D" w:rsidRDefault="00224ABE" w:rsidP="003A2F4B">
      <w:pPr>
        <w:pStyle w:val="FootnoteText"/>
        <w:jc w:val="both"/>
      </w:pPr>
      <w:r w:rsidRPr="00915843">
        <w:rPr>
          <w:rStyle w:val="FootnoteReference"/>
        </w:rPr>
        <w:footnoteRef/>
      </w:r>
      <w:r w:rsidRPr="00915843">
        <w:t xml:space="preserve"> </w:t>
      </w:r>
      <w:r w:rsidR="00915843" w:rsidRPr="00915843">
        <w:rPr>
          <w:i/>
        </w:rPr>
        <w:t>Text of the Draft Articles on Responsibility of States for Internationally Wrongful Acts, with commentaries</w:t>
      </w:r>
      <w:r w:rsidR="00915843" w:rsidRPr="00915843">
        <w:t>, Report of the International Law Commission, 53rd sess</w:t>
      </w:r>
      <w:r w:rsidR="00915843">
        <w:t>ion</w:t>
      </w:r>
      <w:r w:rsidR="00915843" w:rsidRPr="00915843">
        <w:t>, U</w:t>
      </w:r>
      <w:r w:rsidR="00915843">
        <w:t>N</w:t>
      </w:r>
      <w:r w:rsidR="00915843" w:rsidRPr="00915843">
        <w:t xml:space="preserve"> Doc A/56/10 (2001)</w:t>
      </w:r>
      <w:r w:rsidR="00915843">
        <w:t>.</w:t>
      </w:r>
    </w:p>
  </w:footnote>
  <w:footnote w:id="17">
    <w:p w:rsidR="0010293D" w:rsidRPr="0010293D" w:rsidRDefault="0010293D" w:rsidP="003A2F4B">
      <w:pPr>
        <w:jc w:val="both"/>
        <w:rPr>
          <w:sz w:val="20"/>
          <w:szCs w:val="20"/>
        </w:rPr>
      </w:pPr>
      <w:r w:rsidRPr="0010293D">
        <w:rPr>
          <w:rStyle w:val="FootnoteReference"/>
          <w:sz w:val="20"/>
          <w:szCs w:val="20"/>
        </w:rPr>
        <w:footnoteRef/>
      </w:r>
      <w:r w:rsidRPr="0010293D">
        <w:rPr>
          <w:sz w:val="20"/>
          <w:szCs w:val="20"/>
        </w:rPr>
        <w:t xml:space="preserve"> See, e.g. John Hursh, ‘International Humanitarian Law Violations, Legal Responsibility, and US Military Support to the Saudi Coalition in Yemen: A Cautionary Tale’ </w:t>
      </w:r>
      <w:r w:rsidRPr="0010293D">
        <w:rPr>
          <w:noProof/>
          <w:sz w:val="20"/>
          <w:szCs w:val="20"/>
        </w:rPr>
        <w:t xml:space="preserve">(2020) 7(1) </w:t>
      </w:r>
      <w:r w:rsidRPr="0010293D">
        <w:rPr>
          <w:i/>
          <w:noProof/>
          <w:sz w:val="20"/>
          <w:szCs w:val="20"/>
        </w:rPr>
        <w:t>Journal on the Use of Force and International Law</w:t>
      </w:r>
      <w:r w:rsidRPr="0010293D">
        <w:rPr>
          <w:sz w:val="20"/>
          <w:szCs w:val="20"/>
        </w:rPr>
        <w:t xml:space="preserve"> 122, 142–5; Ryan Goodman, ‘Legal Limits on Military Assistance to Proxy Forces: Pathways for State and Official Responsibility’, </w:t>
      </w:r>
      <w:r w:rsidRPr="0010293D">
        <w:rPr>
          <w:i/>
          <w:sz w:val="20"/>
          <w:szCs w:val="20"/>
        </w:rPr>
        <w:t>Just Security</w:t>
      </w:r>
      <w:r w:rsidRPr="0010293D">
        <w:rPr>
          <w:sz w:val="20"/>
          <w:szCs w:val="20"/>
        </w:rPr>
        <w:t xml:space="preserve"> (14 May 2018) </w:t>
      </w:r>
      <w:hyperlink r:id="rId3" w:history="1">
        <w:r w:rsidRPr="0010293D">
          <w:rPr>
            <w:rStyle w:val="Hyperlink"/>
            <w:sz w:val="20"/>
            <w:szCs w:val="20"/>
          </w:rPr>
          <w:t>www.justsecurity.org/56272/legal-limits-military-assistance-proxy-forces-pathways-state-official-responsibility/</w:t>
        </w:r>
      </w:hyperlink>
      <w:r w:rsidRPr="0010293D">
        <w:rPr>
          <w:sz w:val="20"/>
          <w:szCs w:val="20"/>
        </w:rPr>
        <w:t>.</w:t>
      </w:r>
    </w:p>
  </w:footnote>
  <w:footnote w:id="18">
    <w:p w:rsidR="001D2B74" w:rsidRPr="0010293D" w:rsidRDefault="001D2B74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</w:t>
      </w:r>
      <w:r w:rsidR="00EB51D9" w:rsidRPr="0010293D">
        <w:t xml:space="preserve">See Isabella Wong, ‘Authority to Consent to the Use of Force in Contemporary International Law: The Crimean and Yemeni Conflicts’ (2019) 6(1) </w:t>
      </w:r>
      <w:r w:rsidR="00EB51D9" w:rsidRPr="0010293D">
        <w:rPr>
          <w:i/>
        </w:rPr>
        <w:t>Journal on the Use of Force and International Law</w:t>
      </w:r>
      <w:r w:rsidR="00EB51D9" w:rsidRPr="0010293D">
        <w:t xml:space="preserve"> 52</w:t>
      </w:r>
      <w:r w:rsidR="007A1E81" w:rsidRPr="0010293D">
        <w:t>, 57.</w:t>
      </w:r>
    </w:p>
  </w:footnote>
  <w:footnote w:id="19">
    <w:p w:rsidR="00CA72AE" w:rsidRPr="0010293D" w:rsidRDefault="00CA72AE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</w:t>
      </w:r>
      <w:r w:rsidR="004220E0" w:rsidRPr="0010293D">
        <w:t xml:space="preserve">See Stuart Casey-Maslen, </w:t>
      </w:r>
      <w:r w:rsidR="004220E0" w:rsidRPr="0010293D">
        <w:rPr>
          <w:i/>
        </w:rPr>
        <w:t>Jus ad Bellum</w:t>
      </w:r>
      <w:r w:rsidR="004220E0" w:rsidRPr="0010293D">
        <w:t xml:space="preserve"> (Hart Publishing, 2020) 51–2.</w:t>
      </w:r>
    </w:p>
  </w:footnote>
  <w:footnote w:id="20">
    <w:p w:rsidR="00F3525A" w:rsidRPr="0010293D" w:rsidRDefault="00F3525A" w:rsidP="003A2F4B">
      <w:pPr>
        <w:pStyle w:val="FootnoteText"/>
        <w:jc w:val="both"/>
        <w:rPr>
          <w:noProof/>
        </w:rPr>
      </w:pPr>
      <w:r w:rsidRPr="0010293D">
        <w:rPr>
          <w:rStyle w:val="FootnoteReference"/>
        </w:rPr>
        <w:footnoteRef/>
      </w:r>
      <w:r w:rsidRPr="0010293D">
        <w:t xml:space="preserve"> </w:t>
      </w:r>
      <w:r w:rsidRPr="0010293D">
        <w:rPr>
          <w:noProof/>
        </w:rPr>
        <w:t xml:space="preserve">David Wippman, ‘Treaty-Based Intervention: Who Can Say No?’ (1995) 62 </w:t>
      </w:r>
      <w:r w:rsidRPr="0010293D">
        <w:rPr>
          <w:i/>
          <w:iCs/>
          <w:noProof/>
        </w:rPr>
        <w:t>The University of Chicago Law Review</w:t>
      </w:r>
      <w:r w:rsidRPr="0010293D">
        <w:rPr>
          <w:noProof/>
        </w:rPr>
        <w:t xml:space="preserve"> 607, 615</w:t>
      </w:r>
      <w:r w:rsidR="004234F8" w:rsidRPr="0010293D">
        <w:rPr>
          <w:noProof/>
        </w:rPr>
        <w:t>;</w:t>
      </w:r>
      <w:r w:rsidR="00CA72AE" w:rsidRPr="0010293D">
        <w:rPr>
          <w:noProof/>
        </w:rPr>
        <w:t xml:space="preserve"> </w:t>
      </w:r>
      <w:r w:rsidR="004234F8" w:rsidRPr="0010293D">
        <w:rPr>
          <w:noProof/>
        </w:rPr>
        <w:t xml:space="preserve">Agata Kleczkowska, ‘The Meaning of Treaty Authorisation and Ad Hoc Consent for the Legality of Military Assistance on Request’ (2020) 7(2) </w:t>
      </w:r>
      <w:r w:rsidR="004234F8" w:rsidRPr="0010293D">
        <w:rPr>
          <w:i/>
          <w:noProof/>
        </w:rPr>
        <w:t>Journal on the Use of Force and International Law</w:t>
      </w:r>
      <w:r w:rsidR="004234F8" w:rsidRPr="0010293D">
        <w:rPr>
          <w:noProof/>
        </w:rPr>
        <w:t xml:space="preserve"> 270.</w:t>
      </w:r>
    </w:p>
  </w:footnote>
  <w:footnote w:id="21">
    <w:p w:rsidR="000D2D01" w:rsidRPr="0010293D" w:rsidRDefault="000D2D01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Although see </w:t>
      </w:r>
      <w:r w:rsidR="004220E0" w:rsidRPr="0010293D">
        <w:t>Laura Visser, ‘Intervention by Invitation and Collective Self-Defence: Two Sides of the Same Coin?’</w:t>
      </w:r>
      <w:r w:rsidR="004220E0" w:rsidRPr="0010293D">
        <w:rPr>
          <w:noProof/>
        </w:rPr>
        <w:t xml:space="preserve"> (2020) 7(2) </w:t>
      </w:r>
      <w:r w:rsidR="004220E0" w:rsidRPr="0010293D">
        <w:rPr>
          <w:i/>
          <w:noProof/>
        </w:rPr>
        <w:t>Journal on the Use of Force and International Law</w:t>
      </w:r>
      <w:r w:rsidR="004220E0" w:rsidRPr="0010293D">
        <w:t xml:space="preserve"> 292.</w:t>
      </w:r>
    </w:p>
  </w:footnote>
  <w:footnote w:id="22">
    <w:p w:rsidR="004234F8" w:rsidRPr="0010293D" w:rsidRDefault="004234F8" w:rsidP="003A2F4B">
      <w:pPr>
        <w:pStyle w:val="FootnoteText"/>
        <w:jc w:val="both"/>
      </w:pPr>
      <w:r w:rsidRPr="0010293D">
        <w:rPr>
          <w:rStyle w:val="FootnoteReference"/>
        </w:rPr>
        <w:footnoteRef/>
      </w:r>
      <w:r w:rsidRPr="0010293D">
        <w:t xml:space="preserve"> See also </w:t>
      </w:r>
      <w:r w:rsidRPr="0010293D">
        <w:rPr>
          <w:i/>
        </w:rPr>
        <w:t>ibid</w:t>
      </w:r>
      <w:r w:rsidRPr="0010293D">
        <w:t>.</w:t>
      </w:r>
    </w:p>
  </w:footnote>
  <w:footnote w:id="23">
    <w:p w:rsidR="00CA72AE" w:rsidRPr="0010293D" w:rsidRDefault="00CA72AE" w:rsidP="003A2F4B">
      <w:pPr>
        <w:jc w:val="both"/>
        <w:rPr>
          <w:sz w:val="20"/>
          <w:szCs w:val="20"/>
        </w:rPr>
      </w:pPr>
      <w:r w:rsidRPr="0010293D">
        <w:rPr>
          <w:rStyle w:val="FootnoteReference"/>
          <w:sz w:val="20"/>
          <w:szCs w:val="20"/>
        </w:rPr>
        <w:footnoteRef/>
      </w:r>
      <w:r w:rsidRPr="0010293D">
        <w:rPr>
          <w:sz w:val="20"/>
          <w:szCs w:val="20"/>
        </w:rPr>
        <w:t xml:space="preserve"> </w:t>
      </w:r>
      <w:r w:rsidR="00900D05" w:rsidRPr="0010293D">
        <w:rPr>
          <w:sz w:val="20"/>
          <w:szCs w:val="20"/>
        </w:rPr>
        <w:t xml:space="preserve">See, e.g. Claus </w:t>
      </w:r>
      <w:proofErr w:type="spellStart"/>
      <w:r w:rsidR="00900D05" w:rsidRPr="0010293D">
        <w:rPr>
          <w:sz w:val="20"/>
          <w:szCs w:val="20"/>
        </w:rPr>
        <w:t>Kre</w:t>
      </w:r>
      <w:r w:rsidR="004234F8" w:rsidRPr="0010293D">
        <w:rPr>
          <w:sz w:val="20"/>
          <w:szCs w:val="20"/>
        </w:rPr>
        <w:t>ß</w:t>
      </w:r>
      <w:proofErr w:type="spellEnd"/>
      <w:r w:rsidR="00900D05" w:rsidRPr="0010293D">
        <w:rPr>
          <w:sz w:val="20"/>
          <w:szCs w:val="20"/>
        </w:rPr>
        <w:t>, ‘The Fine Line between Collective Self-</w:t>
      </w:r>
      <w:proofErr w:type="spellStart"/>
      <w:r w:rsidR="00900D05" w:rsidRPr="0010293D">
        <w:rPr>
          <w:sz w:val="20"/>
          <w:szCs w:val="20"/>
        </w:rPr>
        <w:t>Defense</w:t>
      </w:r>
      <w:proofErr w:type="spellEnd"/>
      <w:r w:rsidR="00900D05" w:rsidRPr="0010293D">
        <w:rPr>
          <w:sz w:val="20"/>
          <w:szCs w:val="20"/>
        </w:rPr>
        <w:t xml:space="preserve"> and Intervention by Invitation: Reflections on the Use of Force against “IS” is Syria’, </w:t>
      </w:r>
      <w:r w:rsidR="00900D05" w:rsidRPr="0010293D">
        <w:rPr>
          <w:i/>
          <w:sz w:val="20"/>
          <w:szCs w:val="20"/>
        </w:rPr>
        <w:t>Just Security</w:t>
      </w:r>
      <w:r w:rsidR="00900D05" w:rsidRPr="0010293D">
        <w:rPr>
          <w:sz w:val="20"/>
          <w:szCs w:val="20"/>
        </w:rPr>
        <w:t xml:space="preserve"> (17 February 2015) </w:t>
      </w:r>
      <w:hyperlink r:id="rId4" w:history="1">
        <w:r w:rsidR="00900D05" w:rsidRPr="0010293D">
          <w:rPr>
            <w:rStyle w:val="Hyperlink"/>
            <w:sz w:val="20"/>
            <w:szCs w:val="20"/>
          </w:rPr>
          <w:t>www.justsecurity.org/20118/claus-kreb-force-isil-syria/</w:t>
        </w:r>
      </w:hyperlink>
      <w:r w:rsidR="004220E0" w:rsidRPr="0010293D">
        <w:rPr>
          <w:sz w:val="20"/>
          <w:szCs w:val="20"/>
        </w:rPr>
        <w:t xml:space="preserve"> (exploring more contextual distinctions than simply territorial location).</w:t>
      </w:r>
    </w:p>
  </w:footnote>
  <w:footnote w:id="24">
    <w:p w:rsidR="003A2F4B" w:rsidRDefault="003A2F4B" w:rsidP="003A2F4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See, e.g. Ashley S </w:t>
      </w:r>
      <w:proofErr w:type="spellStart"/>
      <w:r>
        <w:t>Deeks</w:t>
      </w:r>
      <w:proofErr w:type="spellEnd"/>
      <w:r>
        <w:t>, ‘“Unwilling or Unable”: Toward a Normative Framework for Extraterritorial Self-</w:t>
      </w:r>
      <w:proofErr w:type="spellStart"/>
      <w:r>
        <w:t>Defense</w:t>
      </w:r>
      <w:proofErr w:type="spellEnd"/>
      <w:r>
        <w:t xml:space="preserve">’ (2012) 52 </w:t>
      </w:r>
      <w:r w:rsidRPr="003A2F4B">
        <w:rPr>
          <w:i/>
        </w:rPr>
        <w:t>Virginia Journal of International Law</w:t>
      </w:r>
      <w:r>
        <w:t xml:space="preserve"> 483; Craig Martin, ‘Challenging and Refining the “Unwilling or Unable” Doctrine’ (2019) 52 </w:t>
      </w:r>
      <w:r w:rsidRPr="003A2F4B">
        <w:rPr>
          <w:i/>
        </w:rPr>
        <w:t>Vanderbilt Journal of Transnational Law</w:t>
      </w:r>
      <w:r>
        <w:t xml:space="preserve"> 387.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1"/>
    <w:rsid w:val="00096FB3"/>
    <w:rsid w:val="000D2D01"/>
    <w:rsid w:val="0010293D"/>
    <w:rsid w:val="00136070"/>
    <w:rsid w:val="001B2D80"/>
    <w:rsid w:val="001B3280"/>
    <w:rsid w:val="001D2B74"/>
    <w:rsid w:val="00224ABE"/>
    <w:rsid w:val="0023314D"/>
    <w:rsid w:val="00237CA8"/>
    <w:rsid w:val="0024351C"/>
    <w:rsid w:val="00254D75"/>
    <w:rsid w:val="00317CF1"/>
    <w:rsid w:val="00362522"/>
    <w:rsid w:val="003A2F4B"/>
    <w:rsid w:val="003C3D94"/>
    <w:rsid w:val="00412001"/>
    <w:rsid w:val="004220E0"/>
    <w:rsid w:val="004234F8"/>
    <w:rsid w:val="004B0260"/>
    <w:rsid w:val="004B1E7F"/>
    <w:rsid w:val="004C3A9E"/>
    <w:rsid w:val="004C5049"/>
    <w:rsid w:val="005C0A83"/>
    <w:rsid w:val="005D717C"/>
    <w:rsid w:val="006248E8"/>
    <w:rsid w:val="0065259E"/>
    <w:rsid w:val="00692E21"/>
    <w:rsid w:val="00694E62"/>
    <w:rsid w:val="006B4C3E"/>
    <w:rsid w:val="00721B9D"/>
    <w:rsid w:val="00726306"/>
    <w:rsid w:val="0078203C"/>
    <w:rsid w:val="0078414B"/>
    <w:rsid w:val="007A1E81"/>
    <w:rsid w:val="007D7C02"/>
    <w:rsid w:val="007E7AB0"/>
    <w:rsid w:val="007F6305"/>
    <w:rsid w:val="008D7775"/>
    <w:rsid w:val="008F7282"/>
    <w:rsid w:val="00900D05"/>
    <w:rsid w:val="00915843"/>
    <w:rsid w:val="009A60F8"/>
    <w:rsid w:val="009F0B23"/>
    <w:rsid w:val="00A94A8C"/>
    <w:rsid w:val="00AB575B"/>
    <w:rsid w:val="00B500BB"/>
    <w:rsid w:val="00B60E08"/>
    <w:rsid w:val="00B773FB"/>
    <w:rsid w:val="00BC3866"/>
    <w:rsid w:val="00BE6058"/>
    <w:rsid w:val="00BF3BFC"/>
    <w:rsid w:val="00C25E8A"/>
    <w:rsid w:val="00C300CB"/>
    <w:rsid w:val="00C321C2"/>
    <w:rsid w:val="00CA72AE"/>
    <w:rsid w:val="00CB2FDB"/>
    <w:rsid w:val="00CB6765"/>
    <w:rsid w:val="00CD1BAB"/>
    <w:rsid w:val="00D17325"/>
    <w:rsid w:val="00D631A2"/>
    <w:rsid w:val="00D97F7F"/>
    <w:rsid w:val="00E42E2A"/>
    <w:rsid w:val="00E4736B"/>
    <w:rsid w:val="00EA5A45"/>
    <w:rsid w:val="00EB51D9"/>
    <w:rsid w:val="00ED09AF"/>
    <w:rsid w:val="00F3434D"/>
    <w:rsid w:val="00F3525A"/>
    <w:rsid w:val="00F401B4"/>
    <w:rsid w:val="00F55BCA"/>
    <w:rsid w:val="00F74A73"/>
    <w:rsid w:val="00F938A5"/>
    <w:rsid w:val="00FB14BA"/>
    <w:rsid w:val="00FB2FDC"/>
    <w:rsid w:val="00FD4E44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239FE-A0AF-40B5-AB1E-4EE66684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36B"/>
    <w:rPr>
      <w:color w:val="00B0F0"/>
      <w:u w:val="none"/>
    </w:rPr>
  </w:style>
  <w:style w:type="paragraph" w:styleId="Header">
    <w:name w:val="header"/>
    <w:basedOn w:val="Normal"/>
    <w:link w:val="HeaderChar"/>
    <w:uiPriority w:val="99"/>
    <w:unhideWhenUsed/>
    <w:rsid w:val="00E47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6B"/>
  </w:style>
  <w:style w:type="paragraph" w:styleId="Footer">
    <w:name w:val="footer"/>
    <w:basedOn w:val="Normal"/>
    <w:link w:val="FooterChar"/>
    <w:uiPriority w:val="99"/>
    <w:unhideWhenUsed/>
    <w:rsid w:val="00E47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6B"/>
  </w:style>
  <w:style w:type="paragraph" w:styleId="FootnoteText">
    <w:name w:val="footnote text"/>
    <w:basedOn w:val="Normal"/>
    <w:link w:val="FootnoteTextChar"/>
    <w:uiPriority w:val="99"/>
    <w:unhideWhenUsed/>
    <w:rsid w:val="00E47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73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7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a.green@reading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security.org/56272/legal-limits-military-assistance-proxy-forces-pathways-state-official-responsibility/" TargetMode="External"/><Relationship Id="rId2" Type="http://schemas.openxmlformats.org/officeDocument/2006/relationships/hyperlink" Target="http://www.ejiltalk.org/the-airstrikes-against-islamic-state-in-iraq-and-the-alleged-prohibition-on-military-assistance-to-governments-in-civil-wars/" TargetMode="External"/><Relationship Id="rId1" Type="http://schemas.openxmlformats.org/officeDocument/2006/relationships/hyperlink" Target="http://www.ila-hq.org/index.php/committees" TargetMode="External"/><Relationship Id="rId4" Type="http://schemas.openxmlformats.org/officeDocument/2006/relationships/hyperlink" Target="http://www.justsecurity.org/20118/claus-kreb-force-isil-sy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FF6C-1C68-4630-93EB-FF297E9F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2530</Words>
  <Characters>13210</Characters>
  <Application>Microsoft Office Word</Application>
  <DocSecurity>0</DocSecurity>
  <Lines>194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Green</dc:creator>
  <cp:keywords/>
  <dc:description/>
  <cp:lastModifiedBy>James Green</cp:lastModifiedBy>
  <cp:revision>27</cp:revision>
  <dcterms:created xsi:type="dcterms:W3CDTF">2020-11-11T18:30:00Z</dcterms:created>
  <dcterms:modified xsi:type="dcterms:W3CDTF">2020-12-11T16:43:00Z</dcterms:modified>
</cp:coreProperties>
</file>