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FC73" w14:textId="1C393A70" w:rsidR="007877A3" w:rsidRPr="007877A3" w:rsidRDefault="007877A3" w:rsidP="007877A3">
      <w:pPr>
        <w:spacing w:line="360" w:lineRule="auto"/>
        <w:jc w:val="center"/>
        <w:rPr>
          <w:b/>
          <w:sz w:val="28"/>
          <w:szCs w:val="28"/>
        </w:rPr>
      </w:pPr>
      <w:r w:rsidRPr="007877A3">
        <w:rPr>
          <w:b/>
          <w:sz w:val="28"/>
          <w:szCs w:val="28"/>
        </w:rPr>
        <w:t>Mortality in Adolescent Trauma – A Comparison of Children’s, Mixed and Adult Major Trauma Centres</w:t>
      </w:r>
    </w:p>
    <w:p w14:paraId="5A83A444" w14:textId="77777777" w:rsidR="007877A3" w:rsidRPr="007877A3" w:rsidRDefault="007877A3" w:rsidP="007877A3">
      <w:pPr>
        <w:spacing w:line="360" w:lineRule="auto"/>
        <w:jc w:val="center"/>
        <w:rPr>
          <w:b/>
          <w:sz w:val="28"/>
          <w:szCs w:val="28"/>
        </w:rPr>
      </w:pPr>
    </w:p>
    <w:p w14:paraId="24F58525" w14:textId="77777777" w:rsidR="007877A3" w:rsidRPr="007877A3" w:rsidRDefault="007877A3" w:rsidP="007877A3">
      <w:pPr>
        <w:spacing w:line="360" w:lineRule="auto"/>
        <w:jc w:val="center"/>
      </w:pPr>
      <w:r w:rsidRPr="007877A3">
        <w:t>Evans J</w:t>
      </w:r>
      <w:r w:rsidRPr="007877A3">
        <w:rPr>
          <w:vertAlign w:val="superscript"/>
        </w:rPr>
        <w:t>1</w:t>
      </w:r>
      <w:r w:rsidRPr="007877A3">
        <w:t>, Murch H</w:t>
      </w:r>
      <w:r w:rsidRPr="007877A3">
        <w:rPr>
          <w:vertAlign w:val="superscript"/>
        </w:rPr>
        <w:t>1</w:t>
      </w:r>
      <w:r w:rsidRPr="007877A3">
        <w:t>, Begley R</w:t>
      </w:r>
      <w:r w:rsidRPr="007877A3">
        <w:rPr>
          <w:vertAlign w:val="superscript"/>
        </w:rPr>
        <w:t>2</w:t>
      </w:r>
      <w:r w:rsidRPr="007877A3">
        <w:t>, Roland D</w:t>
      </w:r>
      <w:r w:rsidRPr="007877A3">
        <w:rPr>
          <w:vertAlign w:val="superscript"/>
        </w:rPr>
        <w:t>3,4</w:t>
      </w:r>
      <w:r w:rsidRPr="007877A3">
        <w:t>, Lyttle MD</w:t>
      </w:r>
      <w:r w:rsidRPr="007877A3">
        <w:rPr>
          <w:vertAlign w:val="superscript"/>
        </w:rPr>
        <w:t>2,5</w:t>
      </w:r>
      <w:r w:rsidRPr="007877A3">
        <w:t>, Bouamra O</w:t>
      </w:r>
      <w:r w:rsidRPr="007877A3">
        <w:rPr>
          <w:vertAlign w:val="superscript"/>
        </w:rPr>
        <w:t>6</w:t>
      </w:r>
      <w:r w:rsidRPr="007877A3">
        <w:t>, Mullen S</w:t>
      </w:r>
      <w:r w:rsidRPr="007877A3">
        <w:rPr>
          <w:vertAlign w:val="superscript"/>
        </w:rPr>
        <w:t>7</w:t>
      </w:r>
      <w:r w:rsidRPr="007877A3">
        <w:t xml:space="preserve"> </w:t>
      </w:r>
    </w:p>
    <w:p w14:paraId="7A01AD36" w14:textId="0741ACC8" w:rsidR="007877A3" w:rsidRPr="007877A3" w:rsidRDefault="007877A3" w:rsidP="007877A3">
      <w:pPr>
        <w:spacing w:line="360" w:lineRule="auto"/>
        <w:jc w:val="center"/>
      </w:pPr>
      <w:r w:rsidRPr="007877A3">
        <w:t xml:space="preserve"> on behalf of PERUKI</w:t>
      </w:r>
    </w:p>
    <w:p w14:paraId="7D8E3398" w14:textId="77777777" w:rsidR="007877A3" w:rsidRPr="007877A3" w:rsidRDefault="007877A3" w:rsidP="007877A3">
      <w:pPr>
        <w:spacing w:line="360" w:lineRule="auto"/>
        <w:jc w:val="center"/>
      </w:pPr>
    </w:p>
    <w:p w14:paraId="2D5EE97A"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Paediatric Emergency Department, University Hospital of Wales, Cardiff, UK</w:t>
      </w:r>
    </w:p>
    <w:p w14:paraId="2D2FC6B6"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 xml:space="preserve">Emergency Department, Bristol Royal Hospital for Children, Bristol, UK </w:t>
      </w:r>
    </w:p>
    <w:p w14:paraId="1CE70258"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Paediatric Emergency Medicine Leicester Academic (PEMLA) group, Leicester Royal Infirmary, Leicester, UK</w:t>
      </w:r>
    </w:p>
    <w:p w14:paraId="6551B5B8"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SAPPHIRE group, Health Sciences, Leicester University, Leicester, UK</w:t>
      </w:r>
    </w:p>
    <w:p w14:paraId="0AB54630"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Faculty of Health and Applied Sciences, University of the West of England, Bristol, UK</w:t>
      </w:r>
    </w:p>
    <w:p w14:paraId="675259F4"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The Trauma Audit &amp; Research Network, The University of Manchester, Manchester, UK</w:t>
      </w:r>
    </w:p>
    <w:p w14:paraId="5D51E086" w14:textId="77777777" w:rsidR="007877A3" w:rsidRPr="007877A3" w:rsidRDefault="007877A3" w:rsidP="007877A3">
      <w:pPr>
        <w:pStyle w:val="ListParagraph"/>
        <w:numPr>
          <w:ilvl w:val="0"/>
          <w:numId w:val="2"/>
        </w:numPr>
        <w:spacing w:line="360" w:lineRule="auto"/>
        <w:rPr>
          <w:rFonts w:ascii="Times New Roman" w:hAnsi="Times New Roman" w:cs="Times New Roman"/>
          <w:sz w:val="18"/>
          <w:szCs w:val="18"/>
        </w:rPr>
      </w:pPr>
      <w:r w:rsidRPr="007877A3">
        <w:rPr>
          <w:rFonts w:ascii="Times New Roman" w:hAnsi="Times New Roman" w:cs="Times New Roman"/>
          <w:sz w:val="18"/>
          <w:szCs w:val="18"/>
        </w:rPr>
        <w:t>Paediatric Emergency Department, Royal Belfast Hospital for Sick Children, Belfast, UK</w:t>
      </w:r>
    </w:p>
    <w:p w14:paraId="291F4A53" w14:textId="77777777" w:rsidR="007877A3" w:rsidRPr="007877A3" w:rsidRDefault="007877A3" w:rsidP="007877A3">
      <w:pPr>
        <w:spacing w:line="360" w:lineRule="auto"/>
        <w:jc w:val="center"/>
        <w:rPr>
          <w:i/>
        </w:rPr>
      </w:pPr>
    </w:p>
    <w:p w14:paraId="30731D3B" w14:textId="09823F07" w:rsidR="007877A3" w:rsidRPr="007877A3" w:rsidRDefault="007877A3" w:rsidP="007877A3">
      <w:pPr>
        <w:spacing w:line="360" w:lineRule="auto"/>
        <w:jc w:val="center"/>
        <w:rPr>
          <w:i/>
        </w:rPr>
      </w:pPr>
      <w:r w:rsidRPr="007877A3">
        <w:rPr>
          <w:i/>
        </w:rPr>
        <w:t xml:space="preserve">Word count: </w:t>
      </w:r>
      <w:r w:rsidR="00523CDB" w:rsidRPr="008728BA">
        <w:rPr>
          <w:i/>
        </w:rPr>
        <w:t>3</w:t>
      </w:r>
      <w:r w:rsidR="008728BA" w:rsidRPr="008728BA">
        <w:rPr>
          <w:i/>
        </w:rPr>
        <w:t>2</w:t>
      </w:r>
      <w:r w:rsidR="003634C6">
        <w:rPr>
          <w:i/>
        </w:rPr>
        <w:t>7</w:t>
      </w:r>
      <w:r w:rsidR="008728BA">
        <w:rPr>
          <w:i/>
        </w:rPr>
        <w:t>1</w:t>
      </w:r>
      <w:r w:rsidRPr="007877A3">
        <w:rPr>
          <w:i/>
        </w:rPr>
        <w:t xml:space="preserve"> (excluding abstract &amp; references)</w:t>
      </w:r>
    </w:p>
    <w:p w14:paraId="4B353A6C" w14:textId="77777777" w:rsidR="007877A3" w:rsidRPr="007877A3" w:rsidRDefault="007877A3" w:rsidP="007877A3">
      <w:pPr>
        <w:spacing w:line="360" w:lineRule="auto"/>
        <w:jc w:val="center"/>
        <w:rPr>
          <w:i/>
        </w:rPr>
      </w:pPr>
      <w:r w:rsidRPr="007877A3">
        <w:rPr>
          <w:i/>
        </w:rPr>
        <w:t>Keywords: Adolescent; Adolescence; Paediatric; Trauma; Mortality</w:t>
      </w:r>
    </w:p>
    <w:p w14:paraId="540F20D8" w14:textId="77777777" w:rsidR="007877A3" w:rsidRPr="007877A3" w:rsidRDefault="007877A3" w:rsidP="007877A3">
      <w:pPr>
        <w:spacing w:line="360" w:lineRule="auto"/>
        <w:rPr>
          <w:i/>
          <w:sz w:val="20"/>
          <w:szCs w:val="20"/>
        </w:rPr>
      </w:pPr>
    </w:p>
    <w:p w14:paraId="636BCF9D" w14:textId="456D3080" w:rsidR="007877A3" w:rsidRDefault="007877A3" w:rsidP="007877A3">
      <w:pPr>
        <w:spacing w:line="360" w:lineRule="auto"/>
        <w:rPr>
          <w:sz w:val="20"/>
          <w:szCs w:val="20"/>
        </w:rPr>
      </w:pPr>
      <w:r w:rsidRPr="007877A3">
        <w:rPr>
          <w:b/>
          <w:bCs/>
          <w:i/>
          <w:sz w:val="20"/>
          <w:szCs w:val="20"/>
        </w:rPr>
        <w:t>Conflicts of interest:</w:t>
      </w:r>
      <w:r w:rsidRPr="007877A3">
        <w:rPr>
          <w:i/>
          <w:sz w:val="20"/>
          <w:szCs w:val="20"/>
        </w:rPr>
        <w:t xml:space="preserve">  </w:t>
      </w:r>
      <w:r w:rsidRPr="007877A3">
        <w:rPr>
          <w:sz w:val="20"/>
          <w:szCs w:val="20"/>
        </w:rPr>
        <w:t xml:space="preserve">DR is a member of TARNLet (the paediatric working group on behalf of TARN). OB is employed as a Medical Statistician for TARN. All other authors have no conflict of interest to declare.  </w:t>
      </w:r>
    </w:p>
    <w:p w14:paraId="08EA7BA4" w14:textId="77777777" w:rsidR="007877A3" w:rsidRPr="007877A3" w:rsidRDefault="007877A3" w:rsidP="007877A3">
      <w:pPr>
        <w:spacing w:line="360" w:lineRule="auto"/>
        <w:rPr>
          <w:i/>
          <w:sz w:val="20"/>
          <w:szCs w:val="20"/>
        </w:rPr>
      </w:pPr>
    </w:p>
    <w:p w14:paraId="3A08AF60" w14:textId="79ACC806" w:rsidR="007877A3" w:rsidRDefault="007877A3" w:rsidP="007877A3">
      <w:pPr>
        <w:spacing w:line="360" w:lineRule="auto"/>
        <w:rPr>
          <w:sz w:val="20"/>
          <w:szCs w:val="20"/>
          <w:shd w:val="clear" w:color="auto" w:fill="FFFFFF"/>
        </w:rPr>
      </w:pPr>
      <w:r w:rsidRPr="000461A1">
        <w:rPr>
          <w:b/>
          <w:bCs/>
          <w:i/>
          <w:iCs/>
          <w:sz w:val="20"/>
          <w:szCs w:val="20"/>
        </w:rPr>
        <w:t>Author contributions</w:t>
      </w:r>
      <w:r w:rsidRPr="000461A1">
        <w:rPr>
          <w:i/>
          <w:iCs/>
          <w:sz w:val="20"/>
          <w:szCs w:val="20"/>
        </w:rPr>
        <w:t xml:space="preserve">:  </w:t>
      </w:r>
      <w:r w:rsidRPr="000461A1">
        <w:rPr>
          <w:sz w:val="20"/>
          <w:szCs w:val="20"/>
        </w:rPr>
        <w:t xml:space="preserve">SM </w:t>
      </w:r>
      <w:r w:rsidRPr="000461A1">
        <w:rPr>
          <w:sz w:val="20"/>
          <w:szCs w:val="20"/>
          <w:shd w:val="clear" w:color="auto" w:fill="FFFFFF"/>
        </w:rPr>
        <w:t>conceived the study.  SM and OB undertook the data collection.   OB performed the statistical analysis of the data.  JE, HM, RB and SM interpreted the data and drafted the manuscript.  All authors contributed substantially</w:t>
      </w:r>
      <w:r w:rsidR="00D156D6">
        <w:rPr>
          <w:sz w:val="20"/>
          <w:szCs w:val="20"/>
          <w:shd w:val="clear" w:color="auto" w:fill="FFFFFF"/>
        </w:rPr>
        <w:t xml:space="preserve"> the study design and</w:t>
      </w:r>
      <w:r w:rsidRPr="000461A1">
        <w:rPr>
          <w:sz w:val="20"/>
          <w:szCs w:val="20"/>
          <w:shd w:val="clear" w:color="auto" w:fill="FFFFFF"/>
        </w:rPr>
        <w:t xml:space="preserve"> </w:t>
      </w:r>
      <w:r w:rsidR="00D156D6">
        <w:rPr>
          <w:sz w:val="20"/>
          <w:szCs w:val="20"/>
          <w:shd w:val="clear" w:color="auto" w:fill="FFFFFF"/>
        </w:rPr>
        <w:t>revision of the manuscript</w:t>
      </w:r>
      <w:r w:rsidRPr="000461A1">
        <w:rPr>
          <w:sz w:val="20"/>
          <w:szCs w:val="20"/>
          <w:shd w:val="clear" w:color="auto" w:fill="FFFFFF"/>
        </w:rPr>
        <w:t xml:space="preserve"> with supervision from DR, ML and SM. </w:t>
      </w:r>
      <w:r w:rsidR="00D156D6">
        <w:rPr>
          <w:sz w:val="20"/>
          <w:szCs w:val="20"/>
          <w:shd w:val="clear" w:color="auto" w:fill="FFFFFF"/>
        </w:rPr>
        <w:t xml:space="preserve">All authors have approved the manuscript and agree to be accountable for the work. </w:t>
      </w:r>
    </w:p>
    <w:p w14:paraId="0F548A85" w14:textId="77777777" w:rsidR="006A331D" w:rsidRDefault="006A331D" w:rsidP="007877A3">
      <w:pPr>
        <w:spacing w:line="360" w:lineRule="auto"/>
        <w:rPr>
          <w:b/>
          <w:bCs/>
          <w:i/>
          <w:iCs/>
          <w:sz w:val="20"/>
          <w:szCs w:val="20"/>
          <w:shd w:val="clear" w:color="auto" w:fill="FFFFFF"/>
        </w:rPr>
      </w:pPr>
    </w:p>
    <w:p w14:paraId="748278BA" w14:textId="1A5D7B6B" w:rsidR="00D156D6" w:rsidRPr="006A331D" w:rsidRDefault="00110D14" w:rsidP="007877A3">
      <w:pPr>
        <w:spacing w:line="360" w:lineRule="auto"/>
        <w:rPr>
          <w:sz w:val="20"/>
          <w:szCs w:val="20"/>
          <w:shd w:val="clear" w:color="auto" w:fill="FFFFFF"/>
        </w:rPr>
      </w:pPr>
      <w:r w:rsidRPr="00110D14">
        <w:rPr>
          <w:b/>
          <w:bCs/>
          <w:i/>
          <w:iCs/>
          <w:sz w:val="20"/>
          <w:szCs w:val="20"/>
          <w:shd w:val="clear" w:color="auto" w:fill="FFFFFF"/>
        </w:rPr>
        <w:t>Funding</w:t>
      </w:r>
      <w:r w:rsidR="006A331D">
        <w:rPr>
          <w:b/>
          <w:bCs/>
          <w:i/>
          <w:iCs/>
          <w:sz w:val="20"/>
          <w:szCs w:val="20"/>
          <w:shd w:val="clear" w:color="auto" w:fill="FFFFFF"/>
        </w:rPr>
        <w:t xml:space="preserve">: </w:t>
      </w:r>
      <w:r w:rsidR="006A331D">
        <w:rPr>
          <w:sz w:val="20"/>
          <w:szCs w:val="20"/>
          <w:shd w:val="clear" w:color="auto" w:fill="FFFFFF"/>
        </w:rPr>
        <w:t>None</w:t>
      </w:r>
    </w:p>
    <w:p w14:paraId="3707260F" w14:textId="3952D134" w:rsidR="00110D14" w:rsidRPr="00110D14" w:rsidRDefault="00110D14" w:rsidP="007877A3">
      <w:pPr>
        <w:spacing w:line="360" w:lineRule="auto"/>
        <w:rPr>
          <w:b/>
          <w:bCs/>
          <w:i/>
          <w:iCs/>
          <w:sz w:val="20"/>
          <w:szCs w:val="20"/>
          <w:shd w:val="clear" w:color="auto" w:fill="FFFFFF"/>
        </w:rPr>
      </w:pPr>
      <w:r>
        <w:rPr>
          <w:b/>
          <w:bCs/>
          <w:i/>
          <w:iCs/>
          <w:sz w:val="20"/>
          <w:szCs w:val="20"/>
          <w:shd w:val="clear" w:color="auto" w:fill="FFFFFF"/>
        </w:rPr>
        <w:t>Data Availability</w:t>
      </w:r>
      <w:r w:rsidR="005F4A20">
        <w:rPr>
          <w:b/>
          <w:bCs/>
          <w:i/>
          <w:iCs/>
          <w:sz w:val="20"/>
          <w:szCs w:val="20"/>
          <w:shd w:val="clear" w:color="auto" w:fill="FFFFFF"/>
        </w:rPr>
        <w:t xml:space="preserve">: </w:t>
      </w:r>
      <w:r w:rsidR="005F4A20" w:rsidRPr="005F4A20">
        <w:rPr>
          <w:sz w:val="20"/>
          <w:szCs w:val="20"/>
          <w:shd w:val="clear" w:color="auto" w:fill="FFFFFF"/>
        </w:rPr>
        <w:t>Data are available upon reasonable request to the corresponding author.</w:t>
      </w:r>
    </w:p>
    <w:p w14:paraId="7A3CBA95" w14:textId="77777777" w:rsidR="007877A3" w:rsidRPr="007877A3" w:rsidRDefault="007877A3" w:rsidP="007877A3">
      <w:pPr>
        <w:spacing w:line="360" w:lineRule="auto"/>
        <w:rPr>
          <w:i/>
          <w:iCs/>
          <w:sz w:val="20"/>
          <w:szCs w:val="20"/>
        </w:rPr>
      </w:pPr>
    </w:p>
    <w:p w14:paraId="06CED5A0" w14:textId="77777777" w:rsidR="007877A3" w:rsidRPr="007877A3" w:rsidRDefault="007877A3" w:rsidP="007877A3">
      <w:pPr>
        <w:rPr>
          <w:b/>
          <w:bCs/>
          <w:i/>
        </w:rPr>
      </w:pPr>
      <w:r w:rsidRPr="007877A3">
        <w:rPr>
          <w:b/>
          <w:bCs/>
          <w:i/>
        </w:rPr>
        <w:t>Corresponding author</w:t>
      </w:r>
    </w:p>
    <w:p w14:paraId="47E61964" w14:textId="77777777" w:rsidR="007877A3" w:rsidRPr="007877A3" w:rsidRDefault="007877A3" w:rsidP="007877A3">
      <w:r w:rsidRPr="007877A3">
        <w:t>Stephen Mullen</w:t>
      </w:r>
    </w:p>
    <w:p w14:paraId="6168E8FE" w14:textId="77777777" w:rsidR="007877A3" w:rsidRPr="007877A3" w:rsidRDefault="007877A3" w:rsidP="007877A3">
      <w:r w:rsidRPr="007877A3">
        <w:t>Paediatric Emergency Department</w:t>
      </w:r>
    </w:p>
    <w:p w14:paraId="10BF460C" w14:textId="77777777" w:rsidR="007877A3" w:rsidRPr="007877A3" w:rsidRDefault="007877A3" w:rsidP="007877A3">
      <w:r w:rsidRPr="007877A3">
        <w:t>Royal Belfast Hospital for Sick Children</w:t>
      </w:r>
    </w:p>
    <w:p w14:paraId="14EEF1CF" w14:textId="77777777" w:rsidR="007877A3" w:rsidRPr="007877A3" w:rsidRDefault="007877A3" w:rsidP="007877A3">
      <w:r w:rsidRPr="007877A3">
        <w:t>Belfast, UK</w:t>
      </w:r>
    </w:p>
    <w:p w14:paraId="2DBF5590" w14:textId="4BEAE1A8" w:rsidR="007877A3" w:rsidRPr="007877A3" w:rsidRDefault="007877A3" w:rsidP="007877A3">
      <w:r w:rsidRPr="007877A3">
        <w:t>Email: smullen001@g</w:t>
      </w:r>
      <w:r w:rsidR="007F43C6">
        <w:t>oogle</w:t>
      </w:r>
      <w:r w:rsidRPr="007877A3">
        <w:t>mail.com</w:t>
      </w:r>
    </w:p>
    <w:p w14:paraId="2042341B" w14:textId="77777777" w:rsidR="007877A3" w:rsidRPr="007877A3" w:rsidRDefault="007877A3" w:rsidP="007877A3">
      <w:r w:rsidRPr="007877A3">
        <w:t xml:space="preserve">Phone: </w:t>
      </w:r>
      <w:r w:rsidRPr="007877A3">
        <w:rPr>
          <w:color w:val="222222"/>
          <w:shd w:val="clear" w:color="auto" w:fill="FFFFFF"/>
        </w:rPr>
        <w:t>028 9024 0503</w:t>
      </w:r>
    </w:p>
    <w:p w14:paraId="1D8A822A" w14:textId="77777777" w:rsidR="00A934FA" w:rsidRPr="007877A3" w:rsidRDefault="00A934FA" w:rsidP="0052129F">
      <w:pPr>
        <w:rPr>
          <w:b/>
        </w:rPr>
      </w:pPr>
    </w:p>
    <w:p w14:paraId="0940B67C" w14:textId="28832535" w:rsidR="00A934FA" w:rsidRDefault="00A934FA" w:rsidP="0052129F">
      <w:pPr>
        <w:rPr>
          <w:rStyle w:val="Strong"/>
          <w:color w:val="000000"/>
          <w:bdr w:val="none" w:sz="0" w:space="0" w:color="auto" w:frame="1"/>
        </w:rPr>
      </w:pPr>
    </w:p>
    <w:p w14:paraId="24DF9C74" w14:textId="3181DBB1" w:rsidR="007877A3" w:rsidRDefault="007877A3" w:rsidP="0052129F">
      <w:pPr>
        <w:rPr>
          <w:b/>
        </w:rPr>
      </w:pPr>
    </w:p>
    <w:p w14:paraId="5DD5EF10" w14:textId="734129E0" w:rsidR="007877A3" w:rsidRDefault="007877A3" w:rsidP="0052129F">
      <w:pPr>
        <w:rPr>
          <w:b/>
        </w:rPr>
      </w:pPr>
    </w:p>
    <w:p w14:paraId="60C8775F" w14:textId="7CF96E89" w:rsidR="007877A3" w:rsidRDefault="007877A3" w:rsidP="0052129F">
      <w:pPr>
        <w:rPr>
          <w:b/>
        </w:rPr>
      </w:pPr>
    </w:p>
    <w:p w14:paraId="1FEC4AA8" w14:textId="7D4B541B" w:rsidR="008A4D99" w:rsidRPr="001C26A4" w:rsidRDefault="008A4D99" w:rsidP="0052129F">
      <w:r w:rsidRPr="001C26A4">
        <w:rPr>
          <w:b/>
        </w:rPr>
        <w:lastRenderedPageBreak/>
        <w:t>ABSTRACT</w:t>
      </w:r>
    </w:p>
    <w:p w14:paraId="05BAD5C6" w14:textId="77777777" w:rsidR="0052129F" w:rsidRPr="001C26A4" w:rsidRDefault="0052129F" w:rsidP="0052129F"/>
    <w:p w14:paraId="58C0B7C4" w14:textId="674C9BE2" w:rsidR="000461A1" w:rsidRDefault="008A4D99" w:rsidP="0052129F">
      <w:pPr>
        <w:spacing w:line="360" w:lineRule="auto"/>
        <w:rPr>
          <w:color w:val="222222"/>
          <w:shd w:val="clear" w:color="auto" w:fill="FFFFFF"/>
        </w:rPr>
      </w:pPr>
      <w:r w:rsidRPr="001C26A4">
        <w:rPr>
          <w:b/>
          <w:bCs/>
        </w:rPr>
        <w:t>Objective</w:t>
      </w:r>
      <w:r w:rsidR="008656D1" w:rsidRPr="001C26A4">
        <w:rPr>
          <w:b/>
          <w:bCs/>
        </w:rPr>
        <w:t>:</w:t>
      </w:r>
      <w:r w:rsidRPr="001C26A4">
        <w:rPr>
          <w:b/>
          <w:bCs/>
        </w:rPr>
        <w:t xml:space="preserve"> </w:t>
      </w:r>
      <w:r w:rsidRPr="001C26A4">
        <w:t xml:space="preserve"> </w:t>
      </w:r>
      <w:r w:rsidRPr="001C26A4">
        <w:rPr>
          <w:color w:val="222222"/>
          <w:shd w:val="clear" w:color="auto" w:fill="FFFFFF"/>
        </w:rPr>
        <w:t xml:space="preserve">We aimed to compare </w:t>
      </w:r>
      <w:r w:rsidR="00AF1FB3" w:rsidRPr="001C26A4">
        <w:rPr>
          <w:color w:val="222222"/>
          <w:shd w:val="clear" w:color="auto" w:fill="FFFFFF"/>
        </w:rPr>
        <w:t xml:space="preserve">adolescent </w:t>
      </w:r>
      <w:r w:rsidRPr="001C26A4">
        <w:rPr>
          <w:color w:val="222222"/>
          <w:shd w:val="clear" w:color="auto" w:fill="FFFFFF"/>
        </w:rPr>
        <w:t>mortality rates between different types of major trauma centre (MTC</w:t>
      </w:r>
      <w:r w:rsidR="00A40E1D" w:rsidRPr="001C26A4">
        <w:rPr>
          <w:color w:val="222222"/>
          <w:shd w:val="clear" w:color="auto" w:fill="FFFFFF"/>
        </w:rPr>
        <w:t xml:space="preserve"> or Level 1</w:t>
      </w:r>
      <w:r w:rsidRPr="001C26A4">
        <w:rPr>
          <w:color w:val="222222"/>
          <w:shd w:val="clear" w:color="auto" w:fill="FFFFFF"/>
        </w:rPr>
        <w:t>; adult, children’s and mixed).</w:t>
      </w:r>
    </w:p>
    <w:p w14:paraId="01052511" w14:textId="77777777" w:rsidR="000461A1" w:rsidRPr="000461A1" w:rsidRDefault="000461A1" w:rsidP="0052129F">
      <w:pPr>
        <w:spacing w:line="360" w:lineRule="auto"/>
        <w:rPr>
          <w:color w:val="222222"/>
          <w:shd w:val="clear" w:color="auto" w:fill="FFFFFF"/>
        </w:rPr>
      </w:pPr>
    </w:p>
    <w:p w14:paraId="1E4D587D" w14:textId="48681F29" w:rsidR="008A4D99" w:rsidRDefault="008A4D99" w:rsidP="0052129F">
      <w:pPr>
        <w:spacing w:line="360" w:lineRule="auto"/>
        <w:rPr>
          <w:rFonts w:eastAsia="Arial"/>
        </w:rPr>
      </w:pPr>
      <w:r w:rsidRPr="001C26A4">
        <w:rPr>
          <w:b/>
          <w:bCs/>
        </w:rPr>
        <w:t>Methods</w:t>
      </w:r>
      <w:r w:rsidR="008656D1" w:rsidRPr="001C26A4">
        <w:rPr>
          <w:b/>
          <w:bCs/>
        </w:rPr>
        <w:t>:</w:t>
      </w:r>
      <w:r w:rsidRPr="001C26A4">
        <w:rPr>
          <w:b/>
          <w:bCs/>
        </w:rPr>
        <w:t xml:space="preserve"> </w:t>
      </w:r>
      <w:r w:rsidR="00DB47A3" w:rsidRPr="001C26A4">
        <w:t xml:space="preserve">Data were obtained from TARN (Trauma Audit Research Network) from English sites </w:t>
      </w:r>
      <w:r w:rsidR="00DB47A3" w:rsidRPr="003E6A70">
        <w:t>over a 6-year period (2012-</w:t>
      </w:r>
      <w:r w:rsidR="00DB47A3" w:rsidRPr="00480571">
        <w:t>201</w:t>
      </w:r>
      <w:r w:rsidR="000841F1" w:rsidRPr="00480571">
        <w:t>8</w:t>
      </w:r>
      <w:r w:rsidRPr="003E6A70">
        <w:t>), with</w:t>
      </w:r>
      <w:r w:rsidRPr="001C26A4">
        <w:t xml:space="preserve"> adolescence defined as 10-24</w:t>
      </w:r>
      <w:r w:rsidR="00B228C1">
        <w:t>.99</w:t>
      </w:r>
      <w:r w:rsidRPr="001C26A4">
        <w:t xml:space="preserve"> years. Results are presented using descriptive statistics. </w:t>
      </w:r>
      <w:r w:rsidRPr="001C26A4">
        <w:rPr>
          <w:rFonts w:eastAsia="Arial"/>
        </w:rPr>
        <w:t xml:space="preserve">Patient characteristics were compared using the Kruskal-Wallis test with Dunn’s post-hoc analysis for pairwise comparison and chi-square test for categorical variables.  </w:t>
      </w:r>
    </w:p>
    <w:p w14:paraId="4CDA21B9" w14:textId="77777777" w:rsidR="000461A1" w:rsidRPr="001C26A4" w:rsidRDefault="000461A1" w:rsidP="0052129F">
      <w:pPr>
        <w:spacing w:line="360" w:lineRule="auto"/>
      </w:pPr>
    </w:p>
    <w:p w14:paraId="059D5C22" w14:textId="627F9CB5" w:rsidR="000461A1" w:rsidRDefault="008A4D99" w:rsidP="0052129F">
      <w:pPr>
        <w:spacing w:after="240" w:line="360" w:lineRule="auto"/>
      </w:pPr>
      <w:r w:rsidRPr="001C26A4">
        <w:rPr>
          <w:b/>
          <w:bCs/>
        </w:rPr>
        <w:t>Results</w:t>
      </w:r>
      <w:r w:rsidR="008656D1" w:rsidRPr="001C26A4">
        <w:rPr>
          <w:b/>
          <w:bCs/>
        </w:rPr>
        <w:t>:</w:t>
      </w:r>
      <w:r w:rsidRPr="001C26A4">
        <w:rPr>
          <w:b/>
          <w:bCs/>
        </w:rPr>
        <w:t xml:space="preserve"> </w:t>
      </w:r>
      <w:r w:rsidRPr="001C26A4">
        <w:t>2</w:t>
      </w:r>
      <w:r w:rsidR="00065BB1">
        <w:t>1</w:t>
      </w:r>
      <w:r w:rsidRPr="001C26A4">
        <w:t>,</w:t>
      </w:r>
      <w:r w:rsidR="00065BB1">
        <w:t>033</w:t>
      </w:r>
      <w:r w:rsidRPr="001C26A4">
        <w:t xml:space="preserve"> cases met inclusion criteria. </w:t>
      </w:r>
      <w:r w:rsidR="00616C4B" w:rsidRPr="001C26A4">
        <w:t>Trauma-</w:t>
      </w:r>
      <w:r w:rsidR="00BA226D" w:rsidRPr="001C26A4">
        <w:t xml:space="preserve">related </w:t>
      </w:r>
      <w:r w:rsidR="004B68B5" w:rsidRPr="001C26A4">
        <w:t>30-day</w:t>
      </w:r>
      <w:r w:rsidR="00BB5AEE" w:rsidRPr="001C26A4">
        <w:t xml:space="preserve"> </w:t>
      </w:r>
      <w:r w:rsidR="00BA226D" w:rsidRPr="001C26A4">
        <w:t>c</w:t>
      </w:r>
      <w:r w:rsidRPr="001C26A4">
        <w:t>rude mortality rates by MTC type were 2.5% (</w:t>
      </w:r>
      <w:r w:rsidR="00AF1FB3" w:rsidRPr="001C26A4">
        <w:t>C</w:t>
      </w:r>
      <w:r w:rsidRPr="001C26A4">
        <w:t>hildren’s), 4.</w:t>
      </w:r>
      <w:r w:rsidR="00065BB1">
        <w:t>4</w:t>
      </w:r>
      <w:r w:rsidRPr="001C26A4">
        <w:t>% (</w:t>
      </w:r>
      <w:r w:rsidR="00AF1FB3" w:rsidRPr="001C26A4">
        <w:t>M</w:t>
      </w:r>
      <w:r w:rsidRPr="001C26A4">
        <w:t>ixed), and 4.</w:t>
      </w:r>
      <w:r w:rsidR="00065BB1">
        <w:t>9</w:t>
      </w:r>
      <w:r w:rsidRPr="001C26A4">
        <w:t>% (</w:t>
      </w:r>
      <w:r w:rsidR="00AF1FB3" w:rsidRPr="001C26A4">
        <w:t>A</w:t>
      </w:r>
      <w:r w:rsidRPr="001C26A4">
        <w:t>dult). Logistic regression accounting for injury severity, mechanism of injury, physiological parameters, and "hospital ID", resulted in adjusted odds of mortality of 2.</w:t>
      </w:r>
      <w:r w:rsidR="00065BB1">
        <w:t xml:space="preserve">41 </w:t>
      </w:r>
      <w:r w:rsidRPr="001C26A4">
        <w:t>(95% CI 1.3</w:t>
      </w:r>
      <w:r w:rsidR="00065BB1">
        <w:t>1</w:t>
      </w:r>
      <w:r w:rsidRPr="001C26A4">
        <w:t>-</w:t>
      </w:r>
      <w:r w:rsidR="00065BB1">
        <w:t>4.43</w:t>
      </w:r>
      <w:r w:rsidRPr="001C26A4">
        <w:t>; p=0.00</w:t>
      </w:r>
      <w:r w:rsidR="00065BB1">
        <w:t>5</w:t>
      </w:r>
      <w:r w:rsidRPr="001C26A4">
        <w:t>) and 1.</w:t>
      </w:r>
      <w:r w:rsidR="00065BB1">
        <w:t>85</w:t>
      </w:r>
      <w:r w:rsidRPr="001C26A4">
        <w:t xml:space="preserve"> (95% CI 1.</w:t>
      </w:r>
      <w:r w:rsidR="00065BB1">
        <w:t>03</w:t>
      </w:r>
      <w:r w:rsidRPr="001C26A4">
        <w:t>-</w:t>
      </w:r>
      <w:r w:rsidR="00065BB1">
        <w:t>3.35</w:t>
      </w:r>
      <w:r w:rsidRPr="001C26A4">
        <w:t>; p=0.0</w:t>
      </w:r>
      <w:r w:rsidR="00065BB1">
        <w:t>4</w:t>
      </w:r>
      <w:r w:rsidRPr="001C26A4">
        <w:t xml:space="preserve">1) in </w:t>
      </w:r>
      <w:r w:rsidR="0010473A" w:rsidRPr="001C26A4">
        <w:t>a</w:t>
      </w:r>
      <w:r w:rsidRPr="001C26A4">
        <w:t xml:space="preserve">dult and </w:t>
      </w:r>
      <w:r w:rsidR="0010473A" w:rsidRPr="001C26A4">
        <w:t>m</w:t>
      </w:r>
      <w:r w:rsidRPr="001C26A4">
        <w:t xml:space="preserve">ixed MTCs respectively when compared to </w:t>
      </w:r>
      <w:r w:rsidR="0010473A" w:rsidRPr="001C26A4">
        <w:t>c</w:t>
      </w:r>
      <w:r w:rsidRPr="001C26A4">
        <w:t xml:space="preserve">hildren’s MTCs. In </w:t>
      </w:r>
      <w:r w:rsidR="00065BB1">
        <w:t>three</w:t>
      </w:r>
      <w:r w:rsidRPr="001C26A4">
        <w:t xml:space="preserve"> sub-group</w:t>
      </w:r>
      <w:r w:rsidR="00946EEF" w:rsidRPr="001C26A4">
        <w:t xml:space="preserve"> analyses</w:t>
      </w:r>
      <w:r w:rsidRPr="001C26A4">
        <w:t xml:space="preserve"> the same trend was noted.</w:t>
      </w:r>
      <w:r w:rsidR="00946EEF" w:rsidRPr="001C26A4">
        <w:t xml:space="preserve">  In adolescents aged 14 to 17.99 years old, those managed in a children’s MTC had the lowest mortality rate</w:t>
      </w:r>
      <w:r w:rsidR="000B2DDD" w:rsidRPr="001C26A4">
        <w:t xml:space="preserve"> at </w:t>
      </w:r>
      <w:r w:rsidR="00946EEF" w:rsidRPr="001C26A4">
        <w:t>2.</w:t>
      </w:r>
      <w:r w:rsidR="00065BB1">
        <w:t>5</w:t>
      </w:r>
      <w:r w:rsidR="00946EEF" w:rsidRPr="001C26A4">
        <w:t>%, compared to 4.</w:t>
      </w:r>
      <w:r w:rsidR="00065BB1">
        <w:t>9</w:t>
      </w:r>
      <w:r w:rsidR="00946EEF" w:rsidRPr="001C26A4">
        <w:t>% in adult MTCs and 4.</w:t>
      </w:r>
      <w:r w:rsidR="00065BB1">
        <w:t>4</w:t>
      </w:r>
      <w:r w:rsidR="00946EEF" w:rsidRPr="001C26A4">
        <w:t>% in mixed MTCs</w:t>
      </w:r>
      <w:r w:rsidR="00900D66">
        <w:t xml:space="preserve"> </w:t>
      </w:r>
      <w:r w:rsidR="00900D66" w:rsidRPr="00480571">
        <w:t>(no statistical difference between children’s and mixed)</w:t>
      </w:r>
      <w:r w:rsidR="00946EEF" w:rsidRPr="001C26A4">
        <w:t xml:space="preserve">.  </w:t>
      </w:r>
      <w:r w:rsidR="005719D3" w:rsidRPr="001C26A4">
        <w:t>In cases of m</w:t>
      </w:r>
      <w:r w:rsidR="00946EEF" w:rsidRPr="001C26A4">
        <w:t>ajor trauma (ISS &gt; 15)</w:t>
      </w:r>
      <w:r w:rsidR="005719D3" w:rsidRPr="001C26A4">
        <w:t xml:space="preserve"> th</w:t>
      </w:r>
      <w:r w:rsidR="00946EEF" w:rsidRPr="001C26A4">
        <w:t xml:space="preserve">e adjusted odds of mortality </w:t>
      </w:r>
      <w:r w:rsidR="005719D3" w:rsidRPr="001C26A4">
        <w:t>were also</w:t>
      </w:r>
      <w:r w:rsidR="00946EEF" w:rsidRPr="001C26A4">
        <w:t xml:space="preserve"> greater in the mixed and adult MTC groups when compared to the children’s MTC.</w:t>
      </w:r>
      <w:r w:rsidR="00946EEF" w:rsidRPr="002C1BEF">
        <w:t xml:space="preserve">  </w:t>
      </w:r>
      <w:r w:rsidR="001C26A4" w:rsidRPr="002C1BEF">
        <w:rPr>
          <w:iCs/>
        </w:rPr>
        <w:t xml:space="preserve">Median </w:t>
      </w:r>
      <w:r w:rsidR="00114BE3">
        <w:rPr>
          <w:iCs/>
        </w:rPr>
        <w:t>length of stay (L</w:t>
      </w:r>
      <w:r w:rsidR="001C26A4" w:rsidRPr="002C1BEF">
        <w:rPr>
          <w:iCs/>
        </w:rPr>
        <w:t>oS</w:t>
      </w:r>
      <w:r w:rsidR="00114BE3">
        <w:rPr>
          <w:iCs/>
        </w:rPr>
        <w:t>)</w:t>
      </w:r>
      <w:r w:rsidR="001C26A4" w:rsidRPr="002C1BEF">
        <w:rPr>
          <w:iCs/>
        </w:rPr>
        <w:t xml:space="preserve"> and ICU LoS were comparable for all MTC types. </w:t>
      </w:r>
      <w:r w:rsidR="001C26A4" w:rsidRPr="002C1BEF">
        <w:t>Patients managed in children’s MTCs were less likely to have a CT scan (4</w:t>
      </w:r>
      <w:r w:rsidR="00E4282B">
        <w:t>6</w:t>
      </w:r>
      <w:r w:rsidR="001C26A4" w:rsidRPr="002C1BEF">
        <w:t>.</w:t>
      </w:r>
      <w:r w:rsidR="00E4282B">
        <w:t>2</w:t>
      </w:r>
      <w:r w:rsidR="001C26A4" w:rsidRPr="002C1BEF">
        <w:t xml:space="preserve">% </w:t>
      </w:r>
      <w:r w:rsidR="008F0DD1" w:rsidRPr="002C1BEF">
        <w:t>vs</w:t>
      </w:r>
      <w:r w:rsidR="001C26A4" w:rsidRPr="002C1BEF">
        <w:t xml:space="preserve"> 6</w:t>
      </w:r>
      <w:r w:rsidR="00E4282B">
        <w:t>2.8</w:t>
      </w:r>
      <w:r w:rsidR="001C26A4" w:rsidRPr="002C1BEF">
        <w:t>% Mixed</w:t>
      </w:r>
      <w:r w:rsidR="008F0DD1" w:rsidRPr="002C1BEF">
        <w:t xml:space="preserve"> vs</w:t>
      </w:r>
      <w:r w:rsidR="001C26A4" w:rsidRPr="002C1BEF">
        <w:t xml:space="preserve"> 6</w:t>
      </w:r>
      <w:r w:rsidR="00E4282B">
        <w:t>4</w:t>
      </w:r>
      <w:r w:rsidR="001C26A4" w:rsidRPr="002C1BEF">
        <w:t>% Adult).</w:t>
      </w:r>
    </w:p>
    <w:p w14:paraId="6786BEB6" w14:textId="3EC86A2C" w:rsidR="008A4D99" w:rsidRPr="000461A1" w:rsidRDefault="008A4D99" w:rsidP="0052129F">
      <w:pPr>
        <w:spacing w:after="240" w:line="360" w:lineRule="auto"/>
      </w:pPr>
      <w:r w:rsidRPr="001C26A4">
        <w:rPr>
          <w:b/>
          <w:bCs/>
        </w:rPr>
        <w:t>Conclusions</w:t>
      </w:r>
      <w:r w:rsidR="008656D1" w:rsidRPr="001C26A4">
        <w:rPr>
          <w:b/>
          <w:bCs/>
        </w:rPr>
        <w:t>:</w:t>
      </w:r>
      <w:r w:rsidRPr="001C26A4">
        <w:rPr>
          <w:b/>
          <w:bCs/>
        </w:rPr>
        <w:t xml:space="preserve"> </w:t>
      </w:r>
      <w:r w:rsidRPr="001C26A4">
        <w:t xml:space="preserve">Children’s MTC have lower crude and adjusted </w:t>
      </w:r>
      <w:r w:rsidR="00D071BF" w:rsidRPr="001C26A4">
        <w:t>30-day</w:t>
      </w:r>
      <w:r w:rsidR="00BB5AEE" w:rsidRPr="001C26A4">
        <w:t xml:space="preserve"> </w:t>
      </w:r>
      <w:r w:rsidRPr="001C26A4">
        <w:t xml:space="preserve">mortality rates for adolescent trauma. Further research is required in this field to identify the factors that may </w:t>
      </w:r>
      <w:r w:rsidR="00BB0D14">
        <w:t xml:space="preserve">have </w:t>
      </w:r>
      <w:r w:rsidRPr="001C26A4">
        <w:t>influence</w:t>
      </w:r>
      <w:r w:rsidR="00BB0D14">
        <w:t>d</w:t>
      </w:r>
      <w:r w:rsidRPr="001C26A4">
        <w:t xml:space="preserve"> these </w:t>
      </w:r>
      <w:r w:rsidR="000B1413">
        <w:t>findings</w:t>
      </w:r>
      <w:r w:rsidRPr="001C26A4">
        <w:t xml:space="preserve">. </w:t>
      </w:r>
    </w:p>
    <w:p w14:paraId="6D418C2D" w14:textId="77777777" w:rsidR="006E503D" w:rsidRPr="001C26A4" w:rsidRDefault="006E503D" w:rsidP="00C74F26">
      <w:pPr>
        <w:spacing w:after="240" w:line="360" w:lineRule="auto"/>
        <w:rPr>
          <w:b/>
          <w:iCs/>
        </w:rPr>
      </w:pPr>
    </w:p>
    <w:p w14:paraId="54329D66" w14:textId="71809E28" w:rsidR="004362FE" w:rsidRDefault="004362FE" w:rsidP="00C74F26">
      <w:pPr>
        <w:spacing w:after="240" w:line="360" w:lineRule="auto"/>
        <w:rPr>
          <w:b/>
          <w:iCs/>
        </w:rPr>
      </w:pPr>
    </w:p>
    <w:p w14:paraId="6E405A3E" w14:textId="35D2E426" w:rsidR="00820D43" w:rsidRDefault="00820D43" w:rsidP="00C74F26">
      <w:pPr>
        <w:spacing w:after="240" w:line="360" w:lineRule="auto"/>
        <w:rPr>
          <w:b/>
          <w:iCs/>
        </w:rPr>
      </w:pPr>
    </w:p>
    <w:p w14:paraId="2FB16E54" w14:textId="40475CE4" w:rsidR="002540DC" w:rsidRDefault="002540DC" w:rsidP="00C74F26">
      <w:pPr>
        <w:spacing w:after="240" w:line="360" w:lineRule="auto"/>
        <w:rPr>
          <w:b/>
          <w:iCs/>
        </w:rPr>
      </w:pPr>
    </w:p>
    <w:p w14:paraId="0CC37E28" w14:textId="77777777" w:rsidR="00152DF6" w:rsidRDefault="00152DF6" w:rsidP="00C74F26">
      <w:pPr>
        <w:spacing w:after="240" w:line="360" w:lineRule="auto"/>
        <w:rPr>
          <w:b/>
          <w:iCs/>
        </w:rPr>
      </w:pPr>
    </w:p>
    <w:tbl>
      <w:tblPr>
        <w:tblStyle w:val="TableGrid"/>
        <w:tblW w:w="0" w:type="auto"/>
        <w:tblLook w:val="04A0" w:firstRow="1" w:lastRow="0" w:firstColumn="1" w:lastColumn="0" w:noHBand="0" w:noVBand="1"/>
      </w:tblPr>
      <w:tblGrid>
        <w:gridCol w:w="9016"/>
      </w:tblGrid>
      <w:tr w:rsidR="002540DC" w14:paraId="76D05A18" w14:textId="77777777" w:rsidTr="002540DC">
        <w:tc>
          <w:tcPr>
            <w:tcW w:w="9016" w:type="dxa"/>
            <w:tcBorders>
              <w:top w:val="single" w:sz="4" w:space="0" w:color="auto"/>
              <w:left w:val="single" w:sz="4" w:space="0" w:color="auto"/>
              <w:bottom w:val="single" w:sz="4" w:space="0" w:color="auto"/>
              <w:right w:val="single" w:sz="4" w:space="0" w:color="auto"/>
            </w:tcBorders>
          </w:tcPr>
          <w:p w14:paraId="693CA296" w14:textId="3A298850" w:rsidR="002540DC" w:rsidRDefault="002540DC">
            <w:pPr>
              <w:rPr>
                <w:b/>
                <w:bCs/>
              </w:rPr>
            </w:pPr>
            <w:r>
              <w:rPr>
                <w:b/>
                <w:bCs/>
              </w:rPr>
              <w:t xml:space="preserve">What is already known on this </w:t>
            </w:r>
            <w:r w:rsidR="007033E0">
              <w:rPr>
                <w:b/>
                <w:bCs/>
              </w:rPr>
              <w:t>subject</w:t>
            </w:r>
          </w:p>
          <w:p w14:paraId="3535D88E" w14:textId="77777777" w:rsidR="000E1B9F" w:rsidRDefault="000E1B9F">
            <w:pPr>
              <w:rPr>
                <w:b/>
                <w:bCs/>
                <w:sz w:val="22"/>
                <w:szCs w:val="22"/>
              </w:rPr>
            </w:pPr>
          </w:p>
          <w:p w14:paraId="5636391F" w14:textId="77777777" w:rsidR="002540DC" w:rsidRDefault="002540DC" w:rsidP="002540DC">
            <w:pPr>
              <w:pStyle w:val="ListParagraph"/>
              <w:numPr>
                <w:ilvl w:val="0"/>
                <w:numId w:val="20"/>
              </w:numPr>
              <w:spacing w:after="0" w:line="240" w:lineRule="auto"/>
            </w:pPr>
            <w:r>
              <w:t>Trauma is a leading cause of mortality and morbidity in adolescence</w:t>
            </w:r>
          </w:p>
          <w:p w14:paraId="793A31ED" w14:textId="77777777" w:rsidR="002540DC" w:rsidRDefault="002540DC" w:rsidP="002540DC">
            <w:pPr>
              <w:pStyle w:val="ListParagraph"/>
              <w:numPr>
                <w:ilvl w:val="0"/>
                <w:numId w:val="20"/>
              </w:numPr>
              <w:spacing w:after="0" w:line="240" w:lineRule="auto"/>
            </w:pPr>
            <w:r>
              <w:t>Adolescent trauma patients may be managed in either a children’s, mixed or adult trauma centre</w:t>
            </w:r>
          </w:p>
          <w:p w14:paraId="489A3EDE" w14:textId="77777777" w:rsidR="002540DC" w:rsidRDefault="002540DC" w:rsidP="002540DC">
            <w:pPr>
              <w:pStyle w:val="ListParagraph"/>
              <w:numPr>
                <w:ilvl w:val="0"/>
                <w:numId w:val="20"/>
              </w:numPr>
              <w:spacing w:after="0" w:line="240" w:lineRule="auto"/>
            </w:pPr>
            <w:r>
              <w:t>The current evidence base on outcomes by centre type is inconsistent.  Some report a higher mortality in adolescent trauma patients managed in an adult and mixed MTCs when compared to children’s, whilst others have reported no difference</w:t>
            </w:r>
          </w:p>
          <w:p w14:paraId="606AA888" w14:textId="77777777" w:rsidR="002540DC" w:rsidRDefault="002540DC"/>
        </w:tc>
      </w:tr>
      <w:tr w:rsidR="002540DC" w14:paraId="4AE18FE0" w14:textId="77777777" w:rsidTr="002540DC">
        <w:tc>
          <w:tcPr>
            <w:tcW w:w="9016" w:type="dxa"/>
            <w:tcBorders>
              <w:top w:val="single" w:sz="4" w:space="0" w:color="auto"/>
              <w:left w:val="single" w:sz="4" w:space="0" w:color="auto"/>
              <w:bottom w:val="single" w:sz="4" w:space="0" w:color="auto"/>
              <w:right w:val="single" w:sz="4" w:space="0" w:color="auto"/>
            </w:tcBorders>
          </w:tcPr>
          <w:p w14:paraId="321D521E" w14:textId="5AC59116" w:rsidR="002540DC" w:rsidRDefault="002540DC">
            <w:pPr>
              <w:rPr>
                <w:b/>
                <w:bCs/>
              </w:rPr>
            </w:pPr>
            <w:r>
              <w:rPr>
                <w:b/>
                <w:bCs/>
              </w:rPr>
              <w:t>What this study adds</w:t>
            </w:r>
          </w:p>
          <w:p w14:paraId="685BD4DA" w14:textId="77777777" w:rsidR="000E1B9F" w:rsidRDefault="000E1B9F">
            <w:pPr>
              <w:rPr>
                <w:b/>
                <w:bCs/>
              </w:rPr>
            </w:pPr>
          </w:p>
          <w:p w14:paraId="29E40511" w14:textId="77777777" w:rsidR="002540DC" w:rsidRDefault="002540DC" w:rsidP="002540DC">
            <w:pPr>
              <w:pStyle w:val="ListParagraph"/>
              <w:numPr>
                <w:ilvl w:val="0"/>
                <w:numId w:val="21"/>
              </w:numPr>
              <w:spacing w:after="0" w:line="240" w:lineRule="auto"/>
            </w:pPr>
            <w:r>
              <w:t>TARN data from English MTCs demonstrates lower crude and adjusted mortality rates for adolescent trauma patients attending a children’s MTC</w:t>
            </w:r>
          </w:p>
          <w:p w14:paraId="2BA3318C" w14:textId="77777777" w:rsidR="002540DC" w:rsidRDefault="002540DC" w:rsidP="002540DC">
            <w:pPr>
              <w:pStyle w:val="ListParagraph"/>
              <w:numPr>
                <w:ilvl w:val="0"/>
                <w:numId w:val="21"/>
              </w:numPr>
              <w:spacing w:after="0" w:line="240" w:lineRule="auto"/>
            </w:pPr>
            <w:r>
              <w:t>This association persists in cases of severe trauma (Injury Severity Score &gt;15)</w:t>
            </w:r>
          </w:p>
          <w:p w14:paraId="2EB08F91" w14:textId="77777777" w:rsidR="002540DC" w:rsidRDefault="002540DC" w:rsidP="002540DC">
            <w:pPr>
              <w:pStyle w:val="ListParagraph"/>
              <w:numPr>
                <w:ilvl w:val="0"/>
                <w:numId w:val="21"/>
              </w:numPr>
              <w:spacing w:after="0" w:line="240" w:lineRule="auto"/>
            </w:pPr>
            <w:r>
              <w:t>There was no difference in length of stay between MTC types (children’s, mixed or adult), although variation existed in CT rates and time from arrival to CT</w:t>
            </w:r>
          </w:p>
          <w:p w14:paraId="468080FF" w14:textId="77777777" w:rsidR="002540DC" w:rsidRDefault="002540DC"/>
        </w:tc>
      </w:tr>
    </w:tbl>
    <w:p w14:paraId="38FCAB15" w14:textId="200039C5" w:rsidR="002540DC" w:rsidRDefault="002540DC" w:rsidP="00C74F26">
      <w:pPr>
        <w:spacing w:after="240" w:line="360" w:lineRule="auto"/>
        <w:rPr>
          <w:b/>
          <w:iCs/>
        </w:rPr>
      </w:pPr>
    </w:p>
    <w:p w14:paraId="43B50379" w14:textId="125308AF" w:rsidR="002540DC" w:rsidRDefault="002540DC" w:rsidP="00C74F26">
      <w:pPr>
        <w:spacing w:after="240" w:line="360" w:lineRule="auto"/>
        <w:rPr>
          <w:b/>
          <w:iCs/>
        </w:rPr>
      </w:pPr>
    </w:p>
    <w:p w14:paraId="1680DF3E" w14:textId="690113CE" w:rsidR="002540DC" w:rsidRDefault="002540DC" w:rsidP="00C74F26">
      <w:pPr>
        <w:spacing w:after="240" w:line="360" w:lineRule="auto"/>
        <w:rPr>
          <w:b/>
          <w:iCs/>
        </w:rPr>
      </w:pPr>
    </w:p>
    <w:p w14:paraId="6961AE35" w14:textId="6365286E" w:rsidR="002540DC" w:rsidRDefault="002540DC" w:rsidP="00C74F26">
      <w:pPr>
        <w:spacing w:after="240" w:line="360" w:lineRule="auto"/>
        <w:rPr>
          <w:b/>
          <w:iCs/>
        </w:rPr>
      </w:pPr>
    </w:p>
    <w:p w14:paraId="3ACCE37F" w14:textId="61404950" w:rsidR="002540DC" w:rsidRDefault="002540DC" w:rsidP="00C74F26">
      <w:pPr>
        <w:spacing w:after="240" w:line="360" w:lineRule="auto"/>
        <w:rPr>
          <w:b/>
          <w:iCs/>
        </w:rPr>
      </w:pPr>
    </w:p>
    <w:p w14:paraId="7A497B85" w14:textId="70148803" w:rsidR="002540DC" w:rsidRDefault="002540DC" w:rsidP="00C74F26">
      <w:pPr>
        <w:spacing w:after="240" w:line="360" w:lineRule="auto"/>
        <w:rPr>
          <w:b/>
          <w:iCs/>
        </w:rPr>
      </w:pPr>
    </w:p>
    <w:p w14:paraId="5EB2CE1A" w14:textId="0C99B4C2" w:rsidR="002540DC" w:rsidRDefault="002540DC" w:rsidP="00C74F26">
      <w:pPr>
        <w:spacing w:after="240" w:line="360" w:lineRule="auto"/>
        <w:rPr>
          <w:b/>
          <w:iCs/>
        </w:rPr>
      </w:pPr>
    </w:p>
    <w:p w14:paraId="7FB82CDF" w14:textId="579E6245" w:rsidR="002540DC" w:rsidRDefault="002540DC" w:rsidP="00C74F26">
      <w:pPr>
        <w:spacing w:after="240" w:line="360" w:lineRule="auto"/>
        <w:rPr>
          <w:b/>
          <w:iCs/>
        </w:rPr>
      </w:pPr>
    </w:p>
    <w:p w14:paraId="722CC343" w14:textId="3A4BC525" w:rsidR="002540DC" w:rsidRDefault="002540DC" w:rsidP="00C74F26">
      <w:pPr>
        <w:spacing w:after="240" w:line="360" w:lineRule="auto"/>
        <w:rPr>
          <w:b/>
          <w:iCs/>
        </w:rPr>
      </w:pPr>
    </w:p>
    <w:p w14:paraId="07D6F430" w14:textId="5C627D73" w:rsidR="002540DC" w:rsidRDefault="002540DC" w:rsidP="00C74F26">
      <w:pPr>
        <w:spacing w:after="240" w:line="360" w:lineRule="auto"/>
        <w:rPr>
          <w:b/>
          <w:iCs/>
        </w:rPr>
      </w:pPr>
    </w:p>
    <w:p w14:paraId="49737E77" w14:textId="6EC78554" w:rsidR="002540DC" w:rsidRDefault="002540DC" w:rsidP="00C74F26">
      <w:pPr>
        <w:spacing w:after="240" w:line="360" w:lineRule="auto"/>
        <w:rPr>
          <w:b/>
          <w:iCs/>
        </w:rPr>
      </w:pPr>
    </w:p>
    <w:p w14:paraId="7752C925" w14:textId="3DFB845B" w:rsidR="002540DC" w:rsidRDefault="002540DC" w:rsidP="00C74F26">
      <w:pPr>
        <w:spacing w:after="240" w:line="360" w:lineRule="auto"/>
        <w:rPr>
          <w:b/>
          <w:iCs/>
        </w:rPr>
      </w:pPr>
    </w:p>
    <w:p w14:paraId="6B857CD1" w14:textId="77777777" w:rsidR="008728BA" w:rsidRDefault="008728BA" w:rsidP="00C74F26">
      <w:pPr>
        <w:spacing w:after="240" w:line="360" w:lineRule="auto"/>
        <w:rPr>
          <w:b/>
          <w:iCs/>
        </w:rPr>
      </w:pPr>
    </w:p>
    <w:p w14:paraId="1D619F81" w14:textId="2040A84E" w:rsidR="008A4D99" w:rsidRPr="002C1BEF" w:rsidRDefault="008A4D99" w:rsidP="00C74F26">
      <w:pPr>
        <w:spacing w:after="240" w:line="360" w:lineRule="auto"/>
        <w:rPr>
          <w:rFonts w:eastAsia="Arial Unicode MS"/>
          <w:b/>
          <w:iCs/>
          <w:u w:color="365F91"/>
          <w:bdr w:val="nil"/>
          <w:lang w:val="en-US"/>
        </w:rPr>
      </w:pPr>
      <w:r w:rsidRPr="002C1BEF">
        <w:rPr>
          <w:b/>
          <w:iCs/>
        </w:rPr>
        <w:lastRenderedPageBreak/>
        <w:t>I</w:t>
      </w:r>
      <w:r w:rsidR="00E3186E" w:rsidRPr="002C1BEF">
        <w:rPr>
          <w:b/>
          <w:iCs/>
        </w:rPr>
        <w:t>NTRODUCTION</w:t>
      </w:r>
    </w:p>
    <w:p w14:paraId="04A17B7D" w14:textId="747B0BA4" w:rsidR="00C56AC3" w:rsidRDefault="008A4D99" w:rsidP="00C56AC3">
      <w:pPr>
        <w:spacing w:line="360" w:lineRule="auto"/>
      </w:pPr>
      <w:r w:rsidRPr="002C1BEF">
        <w:t xml:space="preserve">In the </w:t>
      </w:r>
      <w:r w:rsidR="00FC4A27" w:rsidRPr="002C1BEF">
        <w:t>U</w:t>
      </w:r>
      <w:r w:rsidR="00127B8A" w:rsidRPr="002C1BEF">
        <w:t>K</w:t>
      </w:r>
      <w:r w:rsidR="007357F0" w:rsidRPr="002C1BEF">
        <w:t>,</w:t>
      </w:r>
      <w:r w:rsidRPr="002C1BEF">
        <w:t xml:space="preserve"> trauma accounts for six million ED attendances, 720,000 admissions and 17,000 deaths a year.</w:t>
      </w:r>
      <w:r w:rsidR="00720BC7" w:rsidRPr="002C1BEF">
        <w:t xml:space="preserve"> [1]</w:t>
      </w:r>
      <w:r w:rsidRPr="002C1BEF">
        <w:t xml:space="preserve"> </w:t>
      </w:r>
      <w:r w:rsidR="00A308D0" w:rsidRPr="002C1BEF">
        <w:t>Worldwide, approximately</w:t>
      </w:r>
      <w:r w:rsidR="00A308D0" w:rsidRPr="002C1BEF">
        <w:rPr>
          <w:shd w:val="clear" w:color="auto" w:fill="FFFFFF"/>
        </w:rPr>
        <w:t xml:space="preserve"> 5.8 million people die each year as a result of </w:t>
      </w:r>
      <w:r w:rsidR="007357F0" w:rsidRPr="002C1BEF">
        <w:rPr>
          <w:shd w:val="clear" w:color="auto" w:fill="FFFFFF"/>
        </w:rPr>
        <w:t>trauma</w:t>
      </w:r>
      <w:r w:rsidR="00A308D0" w:rsidRPr="002C1BEF">
        <w:rPr>
          <w:shd w:val="clear" w:color="auto" w:fill="FFFFFF"/>
        </w:rPr>
        <w:t>, accounting for 10% of the world's deaths</w:t>
      </w:r>
      <w:r w:rsidR="0048384B" w:rsidRPr="002C1BEF">
        <w:rPr>
          <w:shd w:val="clear" w:color="auto" w:fill="FFFFFF"/>
        </w:rPr>
        <w:t xml:space="preserve"> [2]</w:t>
      </w:r>
      <w:r w:rsidR="00A308D0" w:rsidRPr="002C1BEF">
        <w:rPr>
          <w:shd w:val="clear" w:color="auto" w:fill="FFFFFF"/>
        </w:rPr>
        <w:t>.</w:t>
      </w:r>
      <w:r w:rsidR="00A308D0" w:rsidRPr="002C1BEF">
        <w:rPr>
          <w:b/>
          <w:bCs/>
          <w:shd w:val="clear" w:color="auto" w:fill="FFFFFF"/>
        </w:rPr>
        <w:t xml:space="preserve"> </w:t>
      </w:r>
      <w:r w:rsidR="007357F0" w:rsidRPr="002C1BEF">
        <w:t>Trauma</w:t>
      </w:r>
      <w:r w:rsidRPr="002C1BEF">
        <w:t xml:space="preserve"> is the leading cause of death and acquired disability in adolescents, with road traffic collision the </w:t>
      </w:r>
      <w:r w:rsidR="000E738E" w:rsidRPr="002C1BEF">
        <w:t xml:space="preserve">most common mechanism. </w:t>
      </w:r>
      <w:r w:rsidR="00720BC7" w:rsidRPr="002C1BEF">
        <w:t>[</w:t>
      </w:r>
      <w:r w:rsidR="0048384B" w:rsidRPr="002C1BEF">
        <w:t>3</w:t>
      </w:r>
      <w:r w:rsidR="00720BC7" w:rsidRPr="002C1BEF">
        <w:t>]</w:t>
      </w:r>
      <w:r w:rsidRPr="002C1BEF">
        <w:t xml:space="preserve"> </w:t>
      </w:r>
      <w:r w:rsidR="000E738E" w:rsidRPr="002C1BEF">
        <w:t xml:space="preserve">Regional major trauma networks, </w:t>
      </w:r>
      <w:r w:rsidR="00CC2AFF" w:rsidRPr="002C1BEF">
        <w:t xml:space="preserve">established </w:t>
      </w:r>
      <w:r w:rsidR="000E738E" w:rsidRPr="002C1BEF">
        <w:t xml:space="preserve">in England in </w:t>
      </w:r>
      <w:r w:rsidR="000D57B1" w:rsidRPr="002C1BEF">
        <w:t>201</w:t>
      </w:r>
      <w:r w:rsidR="00F539D6">
        <w:t>2</w:t>
      </w:r>
      <w:r w:rsidR="000E738E" w:rsidRPr="002C1BEF">
        <w:t xml:space="preserve"> consist of </w:t>
      </w:r>
      <w:r w:rsidR="000F27DE" w:rsidRPr="002C1BEF">
        <w:t>Major Trauma Centres (MTC</w:t>
      </w:r>
      <w:r w:rsidR="000B1413" w:rsidRPr="002C1BEF">
        <w:t>;</w:t>
      </w:r>
      <w:r w:rsidR="00044EA1" w:rsidRPr="00141F11">
        <w:t xml:space="preserve"> equivalent </w:t>
      </w:r>
      <w:r w:rsidR="000B1413" w:rsidRPr="00141F11">
        <w:t>to</w:t>
      </w:r>
      <w:r w:rsidR="00044EA1" w:rsidRPr="00141F11">
        <w:t xml:space="preserve"> Level 1 trauma centres</w:t>
      </w:r>
      <w:r w:rsidR="000D57B1" w:rsidRPr="00141F11">
        <w:t>)</w:t>
      </w:r>
      <w:r w:rsidR="000E738E" w:rsidRPr="00141F11">
        <w:t xml:space="preserve"> and linked</w:t>
      </w:r>
      <w:r w:rsidR="000F27DE" w:rsidRPr="00141F11">
        <w:t xml:space="preserve"> T</w:t>
      </w:r>
      <w:r w:rsidR="00CC2AFF" w:rsidRPr="00141F11">
        <w:t>rauma unit</w:t>
      </w:r>
      <w:r w:rsidR="000F27DE" w:rsidRPr="00141F11">
        <w:t>s</w:t>
      </w:r>
      <w:r w:rsidR="000D57B1" w:rsidRPr="00141F11">
        <w:t xml:space="preserve"> (TU</w:t>
      </w:r>
      <w:r w:rsidR="00044EA1" w:rsidRPr="00141F11">
        <w:t xml:space="preserve">; equivalent </w:t>
      </w:r>
      <w:r w:rsidR="000B1413" w:rsidRPr="00141F11">
        <w:t>to</w:t>
      </w:r>
      <w:r w:rsidR="00044EA1" w:rsidRPr="00141F11">
        <w:t xml:space="preserve"> Level 2/3 trauma centres</w:t>
      </w:r>
      <w:r w:rsidR="000D57B1" w:rsidRPr="00141F11">
        <w:t>)</w:t>
      </w:r>
      <w:r w:rsidR="000F27DE" w:rsidRPr="00141F11">
        <w:t xml:space="preserve">. </w:t>
      </w:r>
      <w:r w:rsidR="000E738E" w:rsidRPr="00141F11">
        <w:t>In the current system configuration, the 27 MTCs</w:t>
      </w:r>
      <w:r w:rsidR="00FC4A27" w:rsidRPr="00141F11">
        <w:t xml:space="preserve">, which receive the most seriously injured patients, </w:t>
      </w:r>
      <w:r w:rsidR="000E738E" w:rsidRPr="00141F11">
        <w:t xml:space="preserve">are classified as adult (n=11; patients aged ≥16 years), children’s (n=5; </w:t>
      </w:r>
      <w:r w:rsidR="00FC4A27" w:rsidRPr="00141F11">
        <w:t xml:space="preserve">patients </w:t>
      </w:r>
      <w:r w:rsidR="000E738E" w:rsidRPr="00141F11">
        <w:t>&lt;16 years), or mixed (n=11).</w:t>
      </w:r>
    </w:p>
    <w:p w14:paraId="410D4D8C" w14:textId="77777777" w:rsidR="00C56AC3" w:rsidRDefault="00C56AC3" w:rsidP="00C56AC3">
      <w:pPr>
        <w:spacing w:line="360" w:lineRule="auto"/>
      </w:pPr>
    </w:p>
    <w:p w14:paraId="3B8505BB" w14:textId="52D09103" w:rsidR="009D097D" w:rsidRDefault="00C56AC3" w:rsidP="00C56AC3">
      <w:pPr>
        <w:spacing w:line="360" w:lineRule="auto"/>
      </w:pPr>
      <w:r>
        <w:t>T</w:t>
      </w:r>
      <w:r w:rsidR="009D097D" w:rsidRPr="001C26A4">
        <w:t>he WHO and UNICEF</w:t>
      </w:r>
      <w:r w:rsidR="009C15C9" w:rsidRPr="001C26A4">
        <w:t xml:space="preserve"> </w:t>
      </w:r>
      <w:r w:rsidR="009D097D" w:rsidRPr="001C26A4">
        <w:t>define adolescen</w:t>
      </w:r>
      <w:r w:rsidR="009C15C9" w:rsidRPr="001C26A4">
        <w:t>ce</w:t>
      </w:r>
      <w:r w:rsidR="009D097D" w:rsidRPr="001C26A4">
        <w:t xml:space="preserve"> </w:t>
      </w:r>
      <w:r w:rsidR="00DD49B2" w:rsidRPr="001C26A4">
        <w:t xml:space="preserve">as the age range </w:t>
      </w:r>
      <w:r w:rsidR="009D097D" w:rsidRPr="001C26A4">
        <w:t>10-19</w:t>
      </w:r>
      <w:r w:rsidR="009C15C9" w:rsidRPr="001C26A4">
        <w:t xml:space="preserve"> years</w:t>
      </w:r>
      <w:r w:rsidR="009D097D" w:rsidRPr="001C26A4">
        <w:t xml:space="preserve">, with </w:t>
      </w:r>
      <w:r w:rsidR="009C15C9" w:rsidRPr="001C26A4">
        <w:t>‘</w:t>
      </w:r>
      <w:r w:rsidR="009D097D" w:rsidRPr="001C26A4">
        <w:t>young people</w:t>
      </w:r>
      <w:r w:rsidR="009C15C9" w:rsidRPr="001C26A4">
        <w:t>’</w:t>
      </w:r>
      <w:r w:rsidR="009D097D" w:rsidRPr="001C26A4">
        <w:t xml:space="preserve"> </w:t>
      </w:r>
      <w:r w:rsidR="00DD49B2" w:rsidRPr="001C26A4">
        <w:t xml:space="preserve">classified as those aged </w:t>
      </w:r>
      <w:r w:rsidR="009D097D" w:rsidRPr="001C26A4">
        <w:t>10-24</w:t>
      </w:r>
      <w:r w:rsidR="00DD49B2" w:rsidRPr="001C26A4">
        <w:t xml:space="preserve"> years</w:t>
      </w:r>
      <w:r w:rsidR="009C15C9" w:rsidRPr="001C26A4">
        <w:t>.</w:t>
      </w:r>
      <w:r w:rsidR="00720BC7" w:rsidRPr="001C26A4">
        <w:t>[</w:t>
      </w:r>
      <w:r w:rsidR="0048384B" w:rsidRPr="001C26A4">
        <w:t>4</w:t>
      </w:r>
      <w:r w:rsidR="00720BC7" w:rsidRPr="001C26A4">
        <w:t>,</w:t>
      </w:r>
      <w:r w:rsidR="0048384B" w:rsidRPr="001C26A4">
        <w:t>5</w:t>
      </w:r>
      <w:r w:rsidR="00720BC7" w:rsidRPr="001C26A4">
        <w:t>]</w:t>
      </w:r>
      <w:r w:rsidR="00720BC7" w:rsidRPr="001C26A4">
        <w:rPr>
          <w:vertAlign w:val="superscript"/>
        </w:rPr>
        <w:t xml:space="preserve"> </w:t>
      </w:r>
      <w:r w:rsidR="009C15C9" w:rsidRPr="001C26A4">
        <w:t xml:space="preserve"> </w:t>
      </w:r>
      <w:r w:rsidR="00FC4A27" w:rsidRPr="001C26A4">
        <w:t>Recent recommendations</w:t>
      </w:r>
      <w:r w:rsidR="00DD49B2" w:rsidRPr="001C26A4">
        <w:t xml:space="preserve"> on the age range for adolescence</w:t>
      </w:r>
      <w:r w:rsidR="00FC4A27" w:rsidRPr="001C26A4">
        <w:t xml:space="preserve"> state </w:t>
      </w:r>
      <w:r w:rsidR="009D097D" w:rsidRPr="001C26A4">
        <w:t>th</w:t>
      </w:r>
      <w:r w:rsidR="00DD49B2" w:rsidRPr="001C26A4">
        <w:t>is</w:t>
      </w:r>
      <w:r w:rsidR="009D097D" w:rsidRPr="001C26A4">
        <w:t xml:space="preserve"> </w:t>
      </w:r>
      <w:r w:rsidR="00FC4A27" w:rsidRPr="001C26A4">
        <w:t xml:space="preserve">should </w:t>
      </w:r>
      <w:r w:rsidR="009D097D" w:rsidRPr="001C26A4">
        <w:t xml:space="preserve">include </w:t>
      </w:r>
      <w:r w:rsidR="00DD49B2" w:rsidRPr="001C26A4">
        <w:t xml:space="preserve">those aged </w:t>
      </w:r>
      <w:r w:rsidR="009D097D" w:rsidRPr="001C26A4">
        <w:t>10 to 24 years to better acknowledge ‘</w:t>
      </w:r>
      <w:r w:rsidR="009D097D" w:rsidRPr="001C26A4">
        <w:rPr>
          <w:i/>
          <w:iCs/>
        </w:rPr>
        <w:t>recognised shifts in events of biological growth and social role transitions</w:t>
      </w:r>
      <w:r w:rsidR="009D097D" w:rsidRPr="001C26A4">
        <w:t>’</w:t>
      </w:r>
      <w:r w:rsidR="00DD49B2" w:rsidRPr="001C26A4">
        <w:t xml:space="preserve">, </w:t>
      </w:r>
      <w:r w:rsidR="00720BC7" w:rsidRPr="001C26A4">
        <w:t>[</w:t>
      </w:r>
      <w:r w:rsidR="00605B34" w:rsidRPr="001C26A4">
        <w:t>6</w:t>
      </w:r>
      <w:r w:rsidR="00720BC7" w:rsidRPr="001C26A4">
        <w:t>]</w:t>
      </w:r>
      <w:r w:rsidR="007C6108" w:rsidRPr="001C26A4">
        <w:t xml:space="preserve"> </w:t>
      </w:r>
      <w:r w:rsidR="00DD49B2" w:rsidRPr="001C26A4">
        <w:t>a</w:t>
      </w:r>
      <w:r w:rsidR="009D097D" w:rsidRPr="001C26A4">
        <w:t xml:space="preserve"> </w:t>
      </w:r>
      <w:r w:rsidR="00FC4A27" w:rsidRPr="001C26A4">
        <w:t xml:space="preserve">stance </w:t>
      </w:r>
      <w:r w:rsidR="007C6108" w:rsidRPr="001C26A4">
        <w:t>supported</w:t>
      </w:r>
      <w:r w:rsidR="009D097D" w:rsidRPr="001C26A4">
        <w:t xml:space="preserve"> </w:t>
      </w:r>
      <w:r w:rsidR="007C6108" w:rsidRPr="001C26A4">
        <w:t>in the UK by</w:t>
      </w:r>
      <w:r w:rsidR="009D097D" w:rsidRPr="001C26A4">
        <w:t xml:space="preserve"> the </w:t>
      </w:r>
      <w:r w:rsidR="009D097D" w:rsidRPr="002C1BEF">
        <w:t>RCPCH</w:t>
      </w:r>
      <w:r w:rsidR="008B2D21">
        <w:t xml:space="preserve">. </w:t>
      </w:r>
      <w:r w:rsidR="00720BC7" w:rsidRPr="002C1BEF">
        <w:t>[</w:t>
      </w:r>
      <w:r w:rsidR="0048384B" w:rsidRPr="002C1BEF">
        <w:t>7</w:t>
      </w:r>
      <w:r w:rsidR="00720BC7" w:rsidRPr="002C1BEF">
        <w:t>]</w:t>
      </w:r>
      <w:r w:rsidR="00A308D0" w:rsidRPr="002C1BEF">
        <w:t xml:space="preserve"> </w:t>
      </w:r>
      <w:r w:rsidR="008B2D21">
        <w:t>In t</w:t>
      </w:r>
      <w:r w:rsidR="00A308D0" w:rsidRPr="002C1BEF">
        <w:t>he US</w:t>
      </w:r>
      <w:r w:rsidR="008B2D21">
        <w:t>,</w:t>
      </w:r>
      <w:r w:rsidR="00A308D0" w:rsidRPr="002C1BEF">
        <w:t xml:space="preserve"> youth violence prevention strategies are targeted </w:t>
      </w:r>
      <w:r w:rsidR="008B2D21">
        <w:t>to</w:t>
      </w:r>
      <w:r w:rsidR="00A308D0" w:rsidRPr="002C1BEF">
        <w:t xml:space="preserve"> the 10-24</w:t>
      </w:r>
      <w:r w:rsidR="008B2D21">
        <w:t xml:space="preserve"> years</w:t>
      </w:r>
      <w:r w:rsidR="00A308D0" w:rsidRPr="002C1BEF">
        <w:t xml:space="preserve"> age bracket</w:t>
      </w:r>
      <w:r w:rsidR="008B2D21">
        <w:t>.</w:t>
      </w:r>
      <w:r w:rsidR="0048384B" w:rsidRPr="002C1BEF">
        <w:rPr>
          <w:vertAlign w:val="superscript"/>
        </w:rPr>
        <w:t xml:space="preserve"> </w:t>
      </w:r>
      <w:r w:rsidR="0048384B" w:rsidRPr="002C1BEF">
        <w:t>[8]</w:t>
      </w:r>
    </w:p>
    <w:p w14:paraId="25EDE65C" w14:textId="77777777" w:rsidR="008B2D21" w:rsidRPr="00C56AC3" w:rsidRDefault="008B2D21" w:rsidP="00C56AC3">
      <w:pPr>
        <w:spacing w:line="360" w:lineRule="auto"/>
      </w:pPr>
    </w:p>
    <w:p w14:paraId="7E935C24" w14:textId="6C7AC112" w:rsidR="008A4D99" w:rsidRPr="001C26A4" w:rsidRDefault="0023573A" w:rsidP="008A4D99">
      <w:pPr>
        <w:spacing w:after="240" w:line="360" w:lineRule="auto"/>
      </w:pPr>
      <w:r w:rsidRPr="00480571">
        <w:t>Adolescents are a unique cohort in that, dependent on age, they may be managed in either paediatric</w:t>
      </w:r>
      <w:r w:rsidR="00701F13" w:rsidRPr="00480571">
        <w:t xml:space="preserve">, </w:t>
      </w:r>
      <w:r w:rsidRPr="00480571">
        <w:t xml:space="preserve">adult </w:t>
      </w:r>
      <w:r w:rsidR="00701F13" w:rsidRPr="00480571">
        <w:t xml:space="preserve">or mixed </w:t>
      </w:r>
      <w:r w:rsidRPr="00480571">
        <w:t xml:space="preserve">trauma services. In England, ambulance services triage and convey patients under 16 years to a Children’s MTC and those over 16 years to an Adult MTC. </w:t>
      </w:r>
      <w:r w:rsidR="00701F13" w:rsidRPr="00480571">
        <w:t xml:space="preserve">A mixed MTC accepts patients of all ages. </w:t>
      </w:r>
      <w:r w:rsidRPr="00480571">
        <w:t>In rare circumstances, the age of an unconscious adolescent may be unclear and the patient may be conveyed to the incorrect trauma centre for their age by the ambulance service.</w:t>
      </w:r>
      <w:r>
        <w:t xml:space="preserve"> </w:t>
      </w:r>
      <w:r w:rsidR="008A4D99" w:rsidRPr="001C26A4">
        <w:t>While the principles of trauma management overlap between paediatric and adult guidelines, there exist subtle but important differences</w:t>
      </w:r>
      <w:r w:rsidR="00FC4A27" w:rsidRPr="001C26A4">
        <w:t>,</w:t>
      </w:r>
      <w:r w:rsidR="008A4D99" w:rsidRPr="001C26A4">
        <w:t xml:space="preserve"> including imaging strategies, the role of permissive hypotension, and conservative management of abdominal organ injuries</w:t>
      </w:r>
      <w:r w:rsidR="00720BC7" w:rsidRPr="001C26A4">
        <w:t>.[</w:t>
      </w:r>
      <w:r w:rsidR="0048384B" w:rsidRPr="001C26A4">
        <w:t>9</w:t>
      </w:r>
      <w:r w:rsidR="00720BC7" w:rsidRPr="001C26A4">
        <w:t>,</w:t>
      </w:r>
      <w:r w:rsidR="0048384B" w:rsidRPr="001C26A4">
        <w:t>10</w:t>
      </w:r>
      <w:r w:rsidR="00720BC7" w:rsidRPr="001C26A4">
        <w:t>]</w:t>
      </w:r>
      <w:r w:rsidR="00720BC7" w:rsidRPr="001C26A4">
        <w:rPr>
          <w:vertAlign w:val="superscript"/>
        </w:rPr>
        <w:t xml:space="preserve"> </w:t>
      </w:r>
      <w:r w:rsidR="00720BC7" w:rsidRPr="001C26A4">
        <w:t xml:space="preserve"> </w:t>
      </w:r>
    </w:p>
    <w:p w14:paraId="7642CFB4" w14:textId="6207044D" w:rsidR="008A4D99" w:rsidRPr="001C26A4" w:rsidRDefault="00FC4A27" w:rsidP="008A4D99">
      <w:pPr>
        <w:spacing w:after="240" w:line="360" w:lineRule="auto"/>
      </w:pPr>
      <w:r w:rsidRPr="001C26A4">
        <w:t xml:space="preserve">It is not known whether these differing strategies impact outcomes in this cohort, or in what age groups differences may exist. </w:t>
      </w:r>
      <w:r w:rsidR="008A4D99" w:rsidRPr="001C26A4">
        <w:t xml:space="preserve">There are no </w:t>
      </w:r>
      <w:r w:rsidR="00CE621B" w:rsidRPr="001C26A4">
        <w:t xml:space="preserve">national </w:t>
      </w:r>
      <w:r w:rsidR="008A4D99" w:rsidRPr="001C26A4">
        <w:t xml:space="preserve">published data </w:t>
      </w:r>
      <w:r w:rsidR="00DD49B2" w:rsidRPr="001C26A4">
        <w:t>c</w:t>
      </w:r>
      <w:r w:rsidR="008A4D99" w:rsidRPr="001C26A4">
        <w:t>ompar</w:t>
      </w:r>
      <w:r w:rsidR="00DD49B2" w:rsidRPr="001C26A4">
        <w:t>ing</w:t>
      </w:r>
      <w:r w:rsidR="008A4D99" w:rsidRPr="001C26A4">
        <w:t xml:space="preserve"> outcomes in this configuration for adolescent trauma between </w:t>
      </w:r>
      <w:r w:rsidR="00DD49B2" w:rsidRPr="001C26A4">
        <w:t xml:space="preserve">MTC </w:t>
      </w:r>
      <w:r w:rsidR="008A4D99" w:rsidRPr="001C26A4">
        <w:t>types</w:t>
      </w:r>
      <w:r w:rsidRPr="001C26A4">
        <w:t>, and t</w:t>
      </w:r>
      <w:r w:rsidR="008A4D99" w:rsidRPr="001C26A4">
        <w:t>here are limited international studies</w:t>
      </w:r>
      <w:r w:rsidRPr="001C26A4">
        <w:t>. The majority come</w:t>
      </w:r>
      <w:r w:rsidR="008A4D99" w:rsidRPr="001C26A4">
        <w:t xml:space="preserve"> from the U</w:t>
      </w:r>
      <w:r w:rsidR="00DD49B2" w:rsidRPr="001C26A4">
        <w:t>S</w:t>
      </w:r>
      <w:r w:rsidRPr="001C26A4">
        <w:t>,</w:t>
      </w:r>
      <w:r w:rsidR="008A4D99" w:rsidRPr="001C26A4">
        <w:t xml:space="preserve"> a comparable trauma system to the </w:t>
      </w:r>
      <w:r w:rsidR="008A4D99" w:rsidRPr="001C26A4">
        <w:lastRenderedPageBreak/>
        <w:t>UK</w:t>
      </w:r>
      <w:r w:rsidRPr="001C26A4">
        <w:t xml:space="preserve">, but </w:t>
      </w:r>
      <w:r w:rsidR="008A4D99" w:rsidRPr="001C26A4">
        <w:t>findings are inconsistent</w:t>
      </w:r>
      <w:r w:rsidRPr="001C26A4">
        <w:t>. S</w:t>
      </w:r>
      <w:r w:rsidR="008A4D99" w:rsidRPr="001C26A4">
        <w:t xml:space="preserve">ome report higher mortality in </w:t>
      </w:r>
      <w:r w:rsidR="00E01932" w:rsidRPr="001C26A4">
        <w:t>a</w:t>
      </w:r>
      <w:r w:rsidR="008A4D99" w:rsidRPr="001C26A4">
        <w:t xml:space="preserve">dult and </w:t>
      </w:r>
      <w:r w:rsidR="00E01932" w:rsidRPr="001C26A4">
        <w:t>m</w:t>
      </w:r>
      <w:r w:rsidR="008A4D99" w:rsidRPr="001C26A4">
        <w:t>ixed MTCs</w:t>
      </w:r>
      <w:r w:rsidR="008A4D99" w:rsidRPr="001C26A4">
        <w:rPr>
          <w:color w:val="000000"/>
          <w:shd w:val="clear" w:color="auto" w:fill="FFFFFF"/>
        </w:rPr>
        <w:t xml:space="preserve"> compared to </w:t>
      </w:r>
      <w:r w:rsidR="00E01932" w:rsidRPr="001C26A4">
        <w:t>c</w:t>
      </w:r>
      <w:r w:rsidR="008A4D99" w:rsidRPr="001C26A4">
        <w:t>hildren’s</w:t>
      </w:r>
      <w:r w:rsidR="008A4D99" w:rsidRPr="001C26A4">
        <w:rPr>
          <w:color w:val="000000"/>
          <w:shd w:val="clear" w:color="auto" w:fill="FFFFFF"/>
        </w:rPr>
        <w:t xml:space="preserve"> MTCs, while others rep</w:t>
      </w:r>
      <w:r w:rsidR="008A4D99" w:rsidRPr="001C26A4">
        <w:rPr>
          <w:shd w:val="clear" w:color="auto" w:fill="FFFFFF"/>
        </w:rPr>
        <w:t>ort</w:t>
      </w:r>
      <w:r w:rsidR="008A4D99" w:rsidRPr="001C26A4">
        <w:t xml:space="preserve"> no association</w:t>
      </w:r>
      <w:r w:rsidR="00720BC7" w:rsidRPr="001C26A4">
        <w:t>.[</w:t>
      </w:r>
      <w:r w:rsidR="0048384B" w:rsidRPr="001C26A4">
        <w:t>11</w:t>
      </w:r>
      <w:r w:rsidR="00720BC7" w:rsidRPr="001C26A4">
        <w:t>-1</w:t>
      </w:r>
      <w:r w:rsidR="0048384B" w:rsidRPr="001C26A4">
        <w:t>3</w:t>
      </w:r>
      <w:r w:rsidR="00720BC7" w:rsidRPr="001C26A4">
        <w:t>]</w:t>
      </w:r>
    </w:p>
    <w:p w14:paraId="7C272BB1" w14:textId="5F58B374" w:rsidR="008A4D99" w:rsidRPr="001C26A4" w:rsidRDefault="008A4D99" w:rsidP="008A4D99">
      <w:pPr>
        <w:spacing w:after="240" w:line="360" w:lineRule="auto"/>
      </w:pPr>
      <w:r w:rsidRPr="001C26A4">
        <w:t xml:space="preserve">The primary aim of this study </w:t>
      </w:r>
      <w:r w:rsidR="00321D60">
        <w:t>was</w:t>
      </w:r>
      <w:r w:rsidRPr="001C26A4">
        <w:t xml:space="preserve"> to identify mortality rates for </w:t>
      </w:r>
      <w:r w:rsidR="00DD49B2" w:rsidRPr="001C26A4">
        <w:t xml:space="preserve">severely injured </w:t>
      </w:r>
      <w:r w:rsidRPr="001C26A4">
        <w:t>adolescent</w:t>
      </w:r>
      <w:r w:rsidR="00DD49B2" w:rsidRPr="001C26A4">
        <w:t xml:space="preserve">s </w:t>
      </w:r>
      <w:r w:rsidRPr="001C26A4">
        <w:t>in</w:t>
      </w:r>
      <w:r w:rsidR="000D57B1" w:rsidRPr="001C26A4">
        <w:t xml:space="preserve"> England</w:t>
      </w:r>
      <w:r w:rsidRPr="001C26A4">
        <w:t xml:space="preserve"> </w:t>
      </w:r>
      <w:r w:rsidR="00DD49B2" w:rsidRPr="001C26A4">
        <w:t xml:space="preserve">in different </w:t>
      </w:r>
      <w:r w:rsidRPr="001C26A4">
        <w:t>MTC</w:t>
      </w:r>
      <w:r w:rsidR="00DD49B2" w:rsidRPr="001C26A4">
        <w:t xml:space="preserve"> types</w:t>
      </w:r>
      <w:r w:rsidRPr="001C26A4">
        <w:t xml:space="preserve">. The secondary aims </w:t>
      </w:r>
      <w:r w:rsidR="00321D60">
        <w:t>were</w:t>
      </w:r>
      <w:r w:rsidRPr="001C26A4">
        <w:t xml:space="preserve"> to describe length of stay (LoS), number of critical care days</w:t>
      </w:r>
      <w:r w:rsidR="00C60FF2" w:rsidRPr="001C26A4">
        <w:t xml:space="preserve"> (ICU LoS)</w:t>
      </w:r>
      <w:r w:rsidRPr="001C26A4">
        <w:t>, time to CT, and the most senior clinician present at</w:t>
      </w:r>
      <w:r w:rsidR="00F80C5C" w:rsidRPr="001C26A4">
        <w:t xml:space="preserve"> the</w:t>
      </w:r>
      <w:r w:rsidRPr="001C26A4">
        <w:t xml:space="preserve"> initial resuscitation in</w:t>
      </w:r>
      <w:r w:rsidR="00F80C5C" w:rsidRPr="001C26A4">
        <w:t xml:space="preserve"> </w:t>
      </w:r>
      <w:r w:rsidRPr="001C26A4">
        <w:t>MTC</w:t>
      </w:r>
      <w:r w:rsidR="00DD49B2" w:rsidRPr="001C26A4">
        <w:t xml:space="preserve"> types</w:t>
      </w:r>
      <w:r w:rsidR="00692264">
        <w:t>.</w:t>
      </w:r>
      <w:r w:rsidRPr="001C26A4">
        <w:t xml:space="preserve"> </w:t>
      </w:r>
    </w:p>
    <w:p w14:paraId="5B659935" w14:textId="77777777" w:rsidR="00FB3FCB" w:rsidRPr="001C26A4" w:rsidRDefault="00FB3FCB" w:rsidP="00F2624D">
      <w:pPr>
        <w:spacing w:after="240" w:line="360" w:lineRule="auto"/>
      </w:pPr>
    </w:p>
    <w:p w14:paraId="4EA0B17A" w14:textId="0FA34B27" w:rsidR="008A4D99" w:rsidRPr="001C26A4" w:rsidRDefault="008A4D99" w:rsidP="008A4D99">
      <w:pPr>
        <w:pStyle w:val="Heading2"/>
        <w:spacing w:after="240" w:line="360" w:lineRule="auto"/>
        <w:jc w:val="both"/>
        <w:rPr>
          <w:rFonts w:ascii="Times New Roman" w:hAnsi="Times New Roman" w:cs="Times New Roman"/>
          <w:b/>
          <w:iCs/>
          <w:sz w:val="24"/>
          <w:szCs w:val="24"/>
        </w:rPr>
      </w:pPr>
      <w:r w:rsidRPr="001C26A4">
        <w:rPr>
          <w:rFonts w:ascii="Times New Roman" w:hAnsi="Times New Roman" w:cs="Times New Roman"/>
          <w:b/>
          <w:iCs/>
          <w:color w:val="auto"/>
          <w:sz w:val="24"/>
          <w:szCs w:val="24"/>
        </w:rPr>
        <w:t>M</w:t>
      </w:r>
      <w:r w:rsidR="00E3186E" w:rsidRPr="001C26A4">
        <w:rPr>
          <w:rFonts w:ascii="Times New Roman" w:hAnsi="Times New Roman" w:cs="Times New Roman"/>
          <w:b/>
          <w:iCs/>
          <w:color w:val="auto"/>
          <w:sz w:val="24"/>
          <w:szCs w:val="24"/>
        </w:rPr>
        <w:t>ETHODS</w:t>
      </w:r>
      <w:r w:rsidRPr="001C26A4">
        <w:rPr>
          <w:rFonts w:ascii="Times New Roman" w:hAnsi="Times New Roman" w:cs="Times New Roman"/>
          <w:b/>
          <w:iCs/>
          <w:sz w:val="24"/>
          <w:szCs w:val="24"/>
        </w:rPr>
        <w:t xml:space="preserve"> </w:t>
      </w:r>
    </w:p>
    <w:p w14:paraId="39DAC714" w14:textId="4D7D6493" w:rsidR="00DB47A3" w:rsidRPr="001C26A4" w:rsidRDefault="00127B8A" w:rsidP="00DB47A3">
      <w:pPr>
        <w:pStyle w:val="BodyBA"/>
        <w:spacing w:after="240" w:line="360" w:lineRule="auto"/>
        <w:jc w:val="both"/>
      </w:pPr>
      <w:r w:rsidRPr="001C26A4">
        <w:rPr>
          <w:b/>
          <w:bCs/>
        </w:rPr>
        <w:t>Study design and setting:</w:t>
      </w:r>
      <w:r w:rsidRPr="001C26A4">
        <w:t xml:space="preserve"> </w:t>
      </w:r>
      <w:r w:rsidR="00DB47A3" w:rsidRPr="001C26A4">
        <w:t xml:space="preserve">In this cross sectional study we analysed data collected in the national Trauma and Audit Research Network (TARN) database over a </w:t>
      </w:r>
      <w:r w:rsidR="00DB47A3" w:rsidRPr="00EF0E7B">
        <w:t>six-year</w:t>
      </w:r>
      <w:r w:rsidR="008B2D21" w:rsidRPr="00EF0E7B">
        <w:t xml:space="preserve"> and nine-month</w:t>
      </w:r>
      <w:r w:rsidR="00DB47A3" w:rsidRPr="00EF0E7B">
        <w:t xml:space="preserve"> period (1</w:t>
      </w:r>
      <w:r w:rsidR="00DB47A3" w:rsidRPr="00EF0E7B">
        <w:rPr>
          <w:vertAlign w:val="superscript"/>
        </w:rPr>
        <w:t>st</w:t>
      </w:r>
      <w:r w:rsidR="00DB47A3" w:rsidRPr="00EF0E7B">
        <w:t xml:space="preserve"> April 2012-31</w:t>
      </w:r>
      <w:r w:rsidR="00DB47A3" w:rsidRPr="00EF0E7B">
        <w:rPr>
          <w:vertAlign w:val="superscript"/>
        </w:rPr>
        <w:t>st</w:t>
      </w:r>
      <w:r w:rsidR="00DB47A3" w:rsidRPr="00EF0E7B">
        <w:t xml:space="preserve"> December 2018)</w:t>
      </w:r>
      <w:r w:rsidR="008B2D21">
        <w:t>, with the commencement date selected to coincide with the implementation of trauma networks in England</w:t>
      </w:r>
      <w:r w:rsidR="00DB47A3" w:rsidRPr="001C26A4">
        <w:t xml:space="preserve">.[14] The study was limited to English sites as there were no MTCs in Wales or Northern Ireland during the study period, and Scottish trauma data are captured elsewhere (STAG; Scottish Trauma Audit Group). </w:t>
      </w:r>
    </w:p>
    <w:p w14:paraId="00498076" w14:textId="1E1139AD" w:rsidR="008A4D99" w:rsidRPr="001C26A4" w:rsidRDefault="00127B8A" w:rsidP="00DB47A3">
      <w:pPr>
        <w:pStyle w:val="BodyBA"/>
        <w:spacing w:after="240" w:line="360" w:lineRule="auto"/>
        <w:jc w:val="both"/>
      </w:pPr>
      <w:r w:rsidRPr="001C26A4">
        <w:rPr>
          <w:b/>
          <w:bCs/>
        </w:rPr>
        <w:t>S</w:t>
      </w:r>
      <w:r w:rsidR="003A16CC">
        <w:rPr>
          <w:b/>
          <w:bCs/>
        </w:rPr>
        <w:t>tudy Population</w:t>
      </w:r>
      <w:r w:rsidRPr="001C26A4">
        <w:rPr>
          <w:b/>
          <w:bCs/>
        </w:rPr>
        <w:t>:</w:t>
      </w:r>
      <w:r w:rsidRPr="001C26A4">
        <w:t xml:space="preserve"> </w:t>
      </w:r>
      <w:r w:rsidR="008A4D99" w:rsidRPr="001C26A4">
        <w:t xml:space="preserve">The TARN database includes patients of any age who sustain injury resulting in hospital admission </w:t>
      </w:r>
      <w:r w:rsidR="00F539D6">
        <w:t xml:space="preserve">for </w:t>
      </w:r>
      <w:r w:rsidR="008A4D99" w:rsidRPr="001C26A4">
        <w:t>3 days</w:t>
      </w:r>
      <w:r w:rsidR="00F539D6">
        <w:t xml:space="preserve"> or greater</w:t>
      </w:r>
      <w:r w:rsidR="008A4D99" w:rsidRPr="001C26A4">
        <w:t xml:space="preserve">, </w:t>
      </w:r>
      <w:r w:rsidR="00F80C5C" w:rsidRPr="001C26A4">
        <w:t>critical</w:t>
      </w:r>
      <w:r w:rsidR="008A4D99" w:rsidRPr="001C26A4">
        <w:t xml:space="preserve"> care admission, transfer to a tertiary/specialist centre</w:t>
      </w:r>
      <w:r w:rsidR="008B2D21">
        <w:t>,</w:t>
      </w:r>
      <w:r w:rsidR="008A4D99" w:rsidRPr="001C26A4">
        <w:t xml:space="preserve"> or in-hospital death within 30 days. </w:t>
      </w:r>
      <w:r w:rsidR="003928B7" w:rsidRPr="001C26A4">
        <w:rPr>
          <w:shd w:val="clear" w:color="auto" w:fill="FFFFFF"/>
        </w:rPr>
        <w:t>I</w:t>
      </w:r>
      <w:r w:rsidR="008A4D99" w:rsidRPr="001C26A4">
        <w:rPr>
          <w:shd w:val="clear" w:color="auto" w:fill="FFFFFF"/>
        </w:rPr>
        <w:t xml:space="preserve">njuries </w:t>
      </w:r>
      <w:r w:rsidR="003928B7" w:rsidRPr="001C26A4">
        <w:rPr>
          <w:shd w:val="clear" w:color="auto" w:fill="FFFFFF"/>
        </w:rPr>
        <w:t xml:space="preserve">are assigned </w:t>
      </w:r>
      <w:r w:rsidR="008A4D99" w:rsidRPr="001C26A4">
        <w:rPr>
          <w:shd w:val="clear" w:color="auto" w:fill="FFFFFF"/>
        </w:rPr>
        <w:t>an Abbreviated Injury Scale (AIS) score</w:t>
      </w:r>
      <w:r w:rsidR="003928B7" w:rsidRPr="001C26A4">
        <w:rPr>
          <w:shd w:val="clear" w:color="auto" w:fill="FFFFFF"/>
        </w:rPr>
        <w:t xml:space="preserve">, ranging </w:t>
      </w:r>
      <w:r w:rsidR="008A4D99" w:rsidRPr="001C26A4">
        <w:rPr>
          <w:shd w:val="clear" w:color="auto" w:fill="FFFFFF"/>
        </w:rPr>
        <w:t>from 1 (minor injury) to 6 (an injury that is thought to be ‘incompatible with life’)</w:t>
      </w:r>
      <w:r w:rsidR="0048384B" w:rsidRPr="001C26A4">
        <w:rPr>
          <w:shd w:val="clear" w:color="auto" w:fill="FFFFFF"/>
        </w:rPr>
        <w:t xml:space="preserve"> [15]</w:t>
      </w:r>
      <w:r w:rsidR="008A4D99" w:rsidRPr="001C26A4">
        <w:rPr>
          <w:shd w:val="clear" w:color="auto" w:fill="FFFFFF"/>
        </w:rPr>
        <w:t xml:space="preserve">. </w:t>
      </w:r>
      <w:r w:rsidR="003928B7" w:rsidRPr="001C26A4">
        <w:rPr>
          <w:shd w:val="clear" w:color="auto" w:fill="FFFFFF"/>
        </w:rPr>
        <w:t xml:space="preserve">The Injury Severity Score (ISS), derived </w:t>
      </w:r>
      <w:r w:rsidR="008A4D99" w:rsidRPr="001C26A4">
        <w:rPr>
          <w:shd w:val="clear" w:color="auto" w:fill="FFFFFF"/>
        </w:rPr>
        <w:t xml:space="preserve">by adding the squares of the three highest </w:t>
      </w:r>
      <w:r w:rsidR="003928B7" w:rsidRPr="001C26A4">
        <w:rPr>
          <w:shd w:val="clear" w:color="auto" w:fill="FFFFFF"/>
        </w:rPr>
        <w:t xml:space="preserve">scoring </w:t>
      </w:r>
      <w:r w:rsidR="008A4D99" w:rsidRPr="001C26A4">
        <w:rPr>
          <w:shd w:val="clear" w:color="auto" w:fill="FFFFFF"/>
        </w:rPr>
        <w:t>body region</w:t>
      </w:r>
      <w:r w:rsidR="003928B7" w:rsidRPr="001C26A4">
        <w:rPr>
          <w:shd w:val="clear" w:color="auto" w:fill="FFFFFF"/>
        </w:rPr>
        <w:t xml:space="preserve">s, </w:t>
      </w:r>
      <w:r w:rsidR="008A4D99" w:rsidRPr="001C26A4">
        <w:rPr>
          <w:shd w:val="clear" w:color="auto" w:fill="FFFFFF"/>
        </w:rPr>
        <w:t>range</w:t>
      </w:r>
      <w:r w:rsidR="003928B7" w:rsidRPr="001C26A4">
        <w:rPr>
          <w:shd w:val="clear" w:color="auto" w:fill="FFFFFF"/>
        </w:rPr>
        <w:t>s</w:t>
      </w:r>
      <w:r w:rsidR="008A4D99" w:rsidRPr="001C26A4">
        <w:rPr>
          <w:shd w:val="clear" w:color="auto" w:fill="FFFFFF"/>
        </w:rPr>
        <w:t xml:space="preserve"> from 1 to 75, with major trauma defined as ISS&gt;15</w:t>
      </w:r>
      <w:r w:rsidR="00F80C5C" w:rsidRPr="001C26A4">
        <w:rPr>
          <w:shd w:val="clear" w:color="auto" w:fill="FFFFFF"/>
        </w:rPr>
        <w:t>.</w:t>
      </w:r>
      <w:r w:rsidR="00720BC7" w:rsidRPr="001C26A4">
        <w:rPr>
          <w:shd w:val="clear" w:color="auto" w:fill="FFFFFF"/>
        </w:rPr>
        <w:t>[1</w:t>
      </w:r>
      <w:r w:rsidR="0048384B" w:rsidRPr="001C26A4">
        <w:rPr>
          <w:shd w:val="clear" w:color="auto" w:fill="FFFFFF"/>
        </w:rPr>
        <w:t>4</w:t>
      </w:r>
      <w:r w:rsidR="00720BC7" w:rsidRPr="001C26A4">
        <w:rPr>
          <w:shd w:val="clear" w:color="auto" w:fill="FFFFFF"/>
        </w:rPr>
        <w:t xml:space="preserve">] </w:t>
      </w:r>
      <w:r w:rsidR="008A4D99" w:rsidRPr="001C26A4">
        <w:t xml:space="preserve">Data are entered into the TARN database by local </w:t>
      </w:r>
      <w:r w:rsidR="003928B7" w:rsidRPr="001C26A4">
        <w:t>c</w:t>
      </w:r>
      <w:r w:rsidR="008A4D99" w:rsidRPr="001C26A4">
        <w:t xml:space="preserve">oordinators, utilising retrospective chart review methodology. </w:t>
      </w:r>
    </w:p>
    <w:p w14:paraId="1ED1E26C" w14:textId="3B65D790" w:rsidR="008A4D99" w:rsidRPr="001C26A4" w:rsidRDefault="008A4D99" w:rsidP="008A4D99">
      <w:pPr>
        <w:pStyle w:val="BodyBA"/>
        <w:spacing w:after="240" w:line="360" w:lineRule="auto"/>
        <w:jc w:val="both"/>
      </w:pPr>
      <w:r w:rsidRPr="001C26A4">
        <w:t xml:space="preserve">Datasets were included for all adolescent trauma episodes recorded </w:t>
      </w:r>
      <w:r w:rsidR="003928B7" w:rsidRPr="001C26A4">
        <w:t xml:space="preserve">in </w:t>
      </w:r>
      <w:r w:rsidRPr="001C26A4">
        <w:t>TARN w</w:t>
      </w:r>
      <w:r w:rsidR="003928B7" w:rsidRPr="001C26A4">
        <w:t xml:space="preserve">ith </w:t>
      </w:r>
      <w:r w:rsidRPr="001C26A4">
        <w:t>initial presentation</w:t>
      </w:r>
      <w:r w:rsidR="003928B7" w:rsidRPr="001C26A4">
        <w:t>s</w:t>
      </w:r>
      <w:r w:rsidRPr="001C26A4">
        <w:t xml:space="preserve"> to any MTC.</w:t>
      </w:r>
      <w:r w:rsidR="00C473D3" w:rsidRPr="001C26A4">
        <w:t xml:space="preserve"> </w:t>
      </w:r>
      <w:r w:rsidRPr="001C26A4">
        <w:t>Adolescence was defined as 10-24</w:t>
      </w:r>
      <w:r w:rsidR="001A1E40">
        <w:t>.99</w:t>
      </w:r>
      <w:r w:rsidRPr="001C26A4">
        <w:t xml:space="preserve"> years in line with international guidance</w:t>
      </w:r>
      <w:r w:rsidR="001C0481" w:rsidRPr="001C26A4">
        <w:t>.</w:t>
      </w:r>
      <w:r w:rsidR="00720BC7" w:rsidRPr="001C26A4">
        <w:t>[2,1</w:t>
      </w:r>
      <w:r w:rsidR="0048384B" w:rsidRPr="001C26A4">
        <w:t>6</w:t>
      </w:r>
      <w:r w:rsidR="00720BC7" w:rsidRPr="001C26A4">
        <w:t xml:space="preserve">] </w:t>
      </w:r>
      <w:r w:rsidRPr="001C26A4">
        <w:t xml:space="preserve">Pre-hospital deaths are not </w:t>
      </w:r>
      <w:r w:rsidR="001C0481" w:rsidRPr="001C26A4">
        <w:t>recorded</w:t>
      </w:r>
      <w:r w:rsidRPr="001C26A4">
        <w:t xml:space="preserve"> by TARN</w:t>
      </w:r>
      <w:r w:rsidR="00BE3BFA" w:rsidRPr="001C26A4">
        <w:t>.</w:t>
      </w:r>
      <w:r w:rsidRPr="001C26A4">
        <w:t xml:space="preserve"> </w:t>
      </w:r>
      <w:r w:rsidR="00063A7D" w:rsidRPr="001C26A4">
        <w:t>C</w:t>
      </w:r>
      <w:r w:rsidRPr="001C26A4">
        <w:t xml:space="preserve">ases that initially presented to </w:t>
      </w:r>
      <w:r w:rsidR="003928B7" w:rsidRPr="001C26A4">
        <w:t>TUs</w:t>
      </w:r>
      <w:r w:rsidRPr="001C26A4">
        <w:t xml:space="preserve"> were excluded to reduce confounding from wider heterogeneity in initial management. </w:t>
      </w:r>
    </w:p>
    <w:p w14:paraId="74E7FB83" w14:textId="4B27C8A7" w:rsidR="008A4D99" w:rsidRPr="001C26A4" w:rsidRDefault="00127B8A" w:rsidP="008A4D99">
      <w:pPr>
        <w:pStyle w:val="BodyBA"/>
        <w:spacing w:after="240" w:line="360" w:lineRule="auto"/>
        <w:rPr>
          <w:rFonts w:eastAsia="Arial"/>
          <w:b/>
          <w:bCs/>
        </w:rPr>
      </w:pPr>
      <w:r w:rsidRPr="001C26A4">
        <w:rPr>
          <w:rFonts w:eastAsia="Arial"/>
          <w:b/>
          <w:bCs/>
        </w:rPr>
        <w:t>Outcomes</w:t>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r>
      <w:r w:rsidRPr="001C26A4">
        <w:rPr>
          <w:rFonts w:eastAsia="Arial"/>
          <w:b/>
          <w:bCs/>
        </w:rPr>
        <w:tab/>
        <w:t xml:space="preserve">    </w:t>
      </w:r>
      <w:r w:rsidR="008A4D99" w:rsidRPr="001C26A4">
        <w:rPr>
          <w:rFonts w:eastAsia="Arial"/>
        </w:rPr>
        <w:t xml:space="preserve">The primary outcome measure was mortality within 30 days of traumatic event, with </w:t>
      </w:r>
      <w:r w:rsidR="008A4D99" w:rsidRPr="001C26A4">
        <w:rPr>
          <w:rFonts w:eastAsia="Arial"/>
        </w:rPr>
        <w:lastRenderedPageBreak/>
        <w:t xml:space="preserve">comparison between </w:t>
      </w:r>
      <w:r w:rsidR="008A4D99" w:rsidRPr="001C26A4">
        <w:t>children’s</w:t>
      </w:r>
      <w:r w:rsidR="008A4D99" w:rsidRPr="001C26A4">
        <w:rPr>
          <w:rFonts w:eastAsia="Arial"/>
        </w:rPr>
        <w:t xml:space="preserve">, adult, and mixed MTCs. Secondary outcomes selected as measures of morbidity included length of stay and number of </w:t>
      </w:r>
      <w:r w:rsidR="00C60FF2" w:rsidRPr="001C26A4">
        <w:rPr>
          <w:rFonts w:eastAsia="Arial"/>
        </w:rPr>
        <w:t>intensive</w:t>
      </w:r>
      <w:r w:rsidR="008A4D99" w:rsidRPr="001C26A4">
        <w:rPr>
          <w:rFonts w:eastAsia="Arial"/>
        </w:rPr>
        <w:t xml:space="preserve"> care bed days. Inter-centre comparison was undertaken for seniority of clinician managing initial management, and time taken for CT scanning where relevant.</w:t>
      </w:r>
      <w:r w:rsidR="00117276" w:rsidRPr="001C26A4">
        <w:rPr>
          <w:rFonts w:eastAsia="Arial"/>
        </w:rPr>
        <w:t xml:space="preserve"> </w:t>
      </w:r>
    </w:p>
    <w:p w14:paraId="1D179ED8" w14:textId="5229941B" w:rsidR="008A4D99" w:rsidRPr="001C26A4" w:rsidRDefault="008A4D99" w:rsidP="00127B8A">
      <w:pPr>
        <w:pStyle w:val="NormalWeb"/>
        <w:spacing w:after="240" w:afterAutospacing="0" w:line="360" w:lineRule="auto"/>
        <w:rPr>
          <w:rFonts w:eastAsia="Arial"/>
        </w:rPr>
      </w:pPr>
      <w:r w:rsidRPr="001C26A4">
        <w:rPr>
          <w:b/>
          <w:bCs/>
          <w:color w:val="000000"/>
        </w:rPr>
        <w:t>Statistical analysis</w:t>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r>
      <w:r w:rsidR="00127B8A" w:rsidRPr="001C26A4">
        <w:rPr>
          <w:b/>
          <w:bCs/>
          <w:color w:val="000000"/>
        </w:rPr>
        <w:tab/>
        <w:t xml:space="preserve">     </w:t>
      </w:r>
      <w:r w:rsidRPr="001C26A4">
        <w:rPr>
          <w:rFonts w:eastAsia="Arial"/>
        </w:rPr>
        <w:t xml:space="preserve">In this analysis, the </w:t>
      </w:r>
      <w:r w:rsidR="009904D5" w:rsidRPr="001C26A4">
        <w:rPr>
          <w:rFonts w:eastAsia="Arial"/>
        </w:rPr>
        <w:t>n</w:t>
      </w:r>
      <w:r w:rsidRPr="001C26A4">
        <w:rPr>
          <w:rFonts w:eastAsia="Arial"/>
        </w:rPr>
        <w:t>ull hypothesis was that there was no difference in mortality rates between MTC types. Patient characteristics, when continuous, were compared using the Kruskal-Wallis test with Dunn’s post-hoc analysis for pairwise comparison and chi-square test for categorical variables.  To allow for variation between sites, a logistic mixed effect (random intercept) regression was used. The logistic regression adjusted for mechanism of injury, Glasgow Coma Scale (GCS), ISS, systolic blood pressure</w:t>
      </w:r>
      <w:r w:rsidR="002D2F4E" w:rsidRPr="001C26A4">
        <w:rPr>
          <w:rFonts w:eastAsia="Arial"/>
        </w:rPr>
        <w:t xml:space="preserve"> (SBP)</w:t>
      </w:r>
      <w:r w:rsidRPr="001C26A4">
        <w:rPr>
          <w:rFonts w:eastAsia="Arial"/>
        </w:rPr>
        <w:t>, pulse rate, comorbidities, and site institution</w:t>
      </w:r>
      <w:r w:rsidR="00400B8E" w:rsidRPr="001C26A4">
        <w:rPr>
          <w:rFonts w:eastAsia="Arial"/>
        </w:rPr>
        <w:t xml:space="preserve"> with the inclusion of ‘Hospital ID’.  This is necessary</w:t>
      </w:r>
      <w:r w:rsidR="00400B8E" w:rsidRPr="001C26A4">
        <w:rPr>
          <w:rFonts w:eastAsia="Arial"/>
          <w:sz w:val="28"/>
          <w:szCs w:val="28"/>
        </w:rPr>
        <w:t xml:space="preserve"> </w:t>
      </w:r>
      <w:r w:rsidR="00400B8E" w:rsidRPr="001C26A4">
        <w:rPr>
          <w:shd w:val="clear" w:color="auto" w:fill="FFFFFF"/>
        </w:rPr>
        <w:t>to take into account the clustering of patients within each hospital to enable analysis of not only unexplained variance between patients but also between hospitals.</w:t>
      </w:r>
      <w:r w:rsidR="00400B8E" w:rsidRPr="001C26A4">
        <w:rPr>
          <w:rFonts w:eastAsia="Arial"/>
        </w:rPr>
        <w:t xml:space="preserve">  </w:t>
      </w:r>
      <w:r w:rsidRPr="001C26A4">
        <w:rPr>
          <w:rFonts w:eastAsia="Arial"/>
        </w:rPr>
        <w:t xml:space="preserve">Hosmer and Lemeshow (H-L) was used to test for goodness-of-fit and the C statistic by means of the area under the receiver operating curve (AROC) to assess the discriminating power of the statistical model.  </w:t>
      </w:r>
      <w:r w:rsidR="006F5498" w:rsidRPr="001C26A4">
        <w:rPr>
          <w:rFonts w:eastAsia="Arial"/>
        </w:rPr>
        <w:t xml:space="preserve">As TARN data </w:t>
      </w:r>
      <w:r w:rsidR="003928B7" w:rsidRPr="001C26A4">
        <w:rPr>
          <w:rFonts w:eastAsia="Arial"/>
        </w:rPr>
        <w:t>are</w:t>
      </w:r>
      <w:r w:rsidR="006F5498" w:rsidRPr="001C26A4">
        <w:rPr>
          <w:rFonts w:eastAsia="Arial"/>
        </w:rPr>
        <w:t xml:space="preserve"> inputted retrospectively, required fields may not be recorded in the clinical notes. </w:t>
      </w:r>
      <w:r w:rsidRPr="001C26A4">
        <w:rPr>
          <w:rFonts w:eastAsia="Arial"/>
        </w:rPr>
        <w:t>Missing data from the covariates were imputed using multiple imputation under the assumption of missingness at random mechanism (MAR) and applying Rubin’s rule on the 10 imputed sets.  The same statistical analysis was undertaken for all sub-analyses.  All the analyses were performed using Stata 14 software (</w:t>
      </w:r>
      <w:r w:rsidRPr="001C26A4">
        <w:t xml:space="preserve">StataCorp. 2015. </w:t>
      </w:r>
      <w:r w:rsidRPr="001C26A4">
        <w:rPr>
          <w:i/>
          <w:iCs/>
        </w:rPr>
        <w:t>Stata Statistical Software: Release 14</w:t>
      </w:r>
      <w:r w:rsidRPr="001C26A4">
        <w:t>. College Station, TX)</w:t>
      </w:r>
      <w:r w:rsidR="005814BD">
        <w:t>.</w:t>
      </w:r>
    </w:p>
    <w:p w14:paraId="2E3582AA" w14:textId="740EACAE" w:rsidR="008A4D99" w:rsidRPr="001C26A4" w:rsidRDefault="00DB47A3" w:rsidP="00F539D6">
      <w:pPr>
        <w:spacing w:after="240" w:line="360" w:lineRule="auto"/>
      </w:pPr>
      <w:r w:rsidRPr="00EF0E7B">
        <w:t>We sub-categorised the study cohort for three planned sub-analyses</w:t>
      </w:r>
      <w:r w:rsidR="003D01FD" w:rsidRPr="00EF0E7B">
        <w:t xml:space="preserve"> for which we assessed crude and </w:t>
      </w:r>
      <w:r w:rsidR="003D01FD" w:rsidRPr="003E6A70">
        <w:t>adjusted mortality comparing outcomes based on MTC centre type (children’s, mixed and adult).</w:t>
      </w:r>
      <w:r w:rsidRPr="003E6A70">
        <w:t xml:space="preserve"> </w:t>
      </w:r>
      <w:r w:rsidR="003D01FD" w:rsidRPr="003E6A70">
        <w:t xml:space="preserve"> </w:t>
      </w:r>
      <w:r w:rsidRPr="003E6A70">
        <w:t xml:space="preserve">In the first sub-group analysis, the cohort </w:t>
      </w:r>
      <w:r w:rsidR="00E95C11" w:rsidRPr="003E6A70">
        <w:t>was</w:t>
      </w:r>
      <w:r w:rsidRPr="003E6A70">
        <w:t xml:space="preserve"> split into two age ranges</w:t>
      </w:r>
      <w:r w:rsidR="00CA57B0" w:rsidRPr="003E6A70">
        <w:t xml:space="preserve">, </w:t>
      </w:r>
      <w:r w:rsidRPr="003E6A70">
        <w:t>10-15.99 years and 16-2</w:t>
      </w:r>
      <w:r w:rsidR="00E95C11" w:rsidRPr="003E6A70">
        <w:t>4</w:t>
      </w:r>
      <w:r w:rsidRPr="003E6A70">
        <w:t>.99 years.</w:t>
      </w:r>
      <w:r w:rsidR="003D01FD" w:rsidRPr="003E6A70">
        <w:t xml:space="preserve">  </w:t>
      </w:r>
      <w:r w:rsidR="00B21E4F" w:rsidRPr="003E6A70">
        <w:t>In assessing trauma outcomes for the brea</w:t>
      </w:r>
      <w:r w:rsidR="00047A5A" w:rsidRPr="003E6A70">
        <w:t>d</w:t>
      </w:r>
      <w:r w:rsidR="00B21E4F" w:rsidRPr="003E6A70">
        <w:t>th of adolescen</w:t>
      </w:r>
      <w:r w:rsidR="007357F0" w:rsidRPr="003E6A70">
        <w:t>ces</w:t>
      </w:r>
      <w:r w:rsidR="00B21E4F" w:rsidRPr="003E6A70">
        <w:t xml:space="preserve">, </w:t>
      </w:r>
      <w:r w:rsidR="00CA57B0" w:rsidRPr="003E6A70">
        <w:t xml:space="preserve">from 10-24 years, </w:t>
      </w:r>
      <w:r w:rsidR="00B21E4F" w:rsidRPr="003E6A70">
        <w:t xml:space="preserve">concerns may be expressed about the validity of comparing trauma in a </w:t>
      </w:r>
      <w:r w:rsidR="00EF0E7B" w:rsidRPr="003E6A70">
        <w:t>10-year-old</w:t>
      </w:r>
      <w:r w:rsidR="00B21E4F" w:rsidRPr="003E6A70">
        <w:t xml:space="preserve"> to a 24</w:t>
      </w:r>
      <w:r w:rsidR="00EF0E7B" w:rsidRPr="003E6A70">
        <w:t>-</w:t>
      </w:r>
      <w:r w:rsidR="00B21E4F" w:rsidRPr="003E6A70">
        <w:t>year</w:t>
      </w:r>
      <w:r w:rsidR="00EF0E7B" w:rsidRPr="003E6A70">
        <w:t>-</w:t>
      </w:r>
      <w:r w:rsidR="00B21E4F" w:rsidRPr="003E6A70">
        <w:t>old due to potential difference</w:t>
      </w:r>
      <w:r w:rsidR="00835BD8" w:rsidRPr="003E6A70">
        <w:t>s</w:t>
      </w:r>
      <w:r w:rsidR="00B21E4F" w:rsidRPr="003E6A70">
        <w:t xml:space="preserve"> in physiology and mechanism of injury. In restricting the age range, a more homogenous population may be assessed</w:t>
      </w:r>
      <w:r w:rsidR="0038158B" w:rsidRPr="003E6A70">
        <w:t>.</w:t>
      </w:r>
      <w:r w:rsidR="00C248B4">
        <w:t xml:space="preserve">  </w:t>
      </w:r>
      <w:r w:rsidR="00C248B4" w:rsidRPr="00480571">
        <w:t>These age boundaries were selected to account for the cut-off age of 16 years for children’s versus adult MTCs.</w:t>
      </w:r>
      <w:r w:rsidR="0038158B">
        <w:t xml:space="preserve">  </w:t>
      </w:r>
      <w:r w:rsidR="003D01FD" w:rsidRPr="001C26A4">
        <w:t xml:space="preserve">The </w:t>
      </w:r>
      <w:r w:rsidR="003D01FD">
        <w:t>second</w:t>
      </w:r>
      <w:r w:rsidR="003D01FD" w:rsidRPr="001C26A4">
        <w:t xml:space="preserve"> </w:t>
      </w:r>
      <w:r w:rsidR="003D01FD">
        <w:t xml:space="preserve">sub-analysis </w:t>
      </w:r>
      <w:r w:rsidR="003D01FD" w:rsidRPr="001C26A4">
        <w:t>focused on all adolescent trauma patients within the age group 14-17.99 ye</w:t>
      </w:r>
      <w:r w:rsidR="003D01FD">
        <w:t>ars</w:t>
      </w:r>
      <w:r w:rsidR="00C00292">
        <w:t>. T</w:t>
      </w:r>
      <w:r w:rsidR="003D01FD">
        <w:t>his age range was selected</w:t>
      </w:r>
      <w:r w:rsidR="003D01FD" w:rsidRPr="001C26A4">
        <w:t xml:space="preserve"> </w:t>
      </w:r>
      <w:r w:rsidR="008A4D99" w:rsidRPr="001C26A4">
        <w:t xml:space="preserve">pragmatically by </w:t>
      </w:r>
      <w:r w:rsidR="008A4D99" w:rsidRPr="001C26A4">
        <w:lastRenderedPageBreak/>
        <w:t xml:space="preserve">consensus of the study team, </w:t>
      </w:r>
      <w:r w:rsidR="00C00292">
        <w:t xml:space="preserve">to represent </w:t>
      </w:r>
      <w:r w:rsidR="008A4D99" w:rsidRPr="001C26A4">
        <w:t>upper and lower boundaries that paediatric and adult services respectively may feel comfortable accepting</w:t>
      </w:r>
      <w:r w:rsidR="00C00292">
        <w:t>, and reflect reasonable presumed age deviations for those making decisions pre-hospital</w:t>
      </w:r>
      <w:r w:rsidR="008A4D99" w:rsidRPr="001C26A4">
        <w:t>.</w:t>
      </w:r>
      <w:r w:rsidR="00E548B1" w:rsidRPr="001C26A4">
        <w:t xml:space="preserve"> </w:t>
      </w:r>
      <w:r w:rsidR="008A4D99" w:rsidRPr="001C26A4">
        <w:t xml:space="preserve"> A further planned sub-analysis assessed patients </w:t>
      </w:r>
      <w:r w:rsidR="003D01FD">
        <w:t xml:space="preserve">specifically </w:t>
      </w:r>
      <w:r w:rsidR="0016782A" w:rsidRPr="001C26A4">
        <w:t xml:space="preserve">with major </w:t>
      </w:r>
      <w:r w:rsidR="008A4D99" w:rsidRPr="001C26A4">
        <w:t>trauma (ISS&gt;15)</w:t>
      </w:r>
      <w:r w:rsidR="003D01FD">
        <w:t xml:space="preserve"> for the full cohort (age 10 years – 24 years) </w:t>
      </w:r>
      <w:r w:rsidR="008A4D99" w:rsidRPr="001C26A4">
        <w:t xml:space="preserve">and </w:t>
      </w:r>
      <w:r w:rsidR="00E548B1" w:rsidRPr="001C26A4">
        <w:t>those aged</w:t>
      </w:r>
      <w:r w:rsidR="008A4D99" w:rsidRPr="001C26A4">
        <w:t xml:space="preserve"> 14-17.99 years.</w:t>
      </w:r>
      <w:r w:rsidR="00B21E4F" w:rsidRPr="001C26A4">
        <w:t xml:space="preserve"> The same statistical analys</w:t>
      </w:r>
      <w:r w:rsidR="00F539D6">
        <w:t>es</w:t>
      </w:r>
      <w:r w:rsidR="00B21E4F" w:rsidRPr="001C26A4">
        <w:t xml:space="preserve"> were performed on these sub-groups to adjust for potential co</w:t>
      </w:r>
      <w:r w:rsidR="000942AE">
        <w:t>n</w:t>
      </w:r>
      <w:r w:rsidR="00B21E4F" w:rsidRPr="001C26A4">
        <w:t xml:space="preserve">founders.  </w:t>
      </w:r>
    </w:p>
    <w:p w14:paraId="6BB3028B" w14:textId="74BBA4DF" w:rsidR="008A4D99" w:rsidRPr="001C26A4" w:rsidRDefault="008A4D99" w:rsidP="008A4D99">
      <w:pPr>
        <w:pStyle w:val="BodyB"/>
        <w:spacing w:after="240" w:line="360" w:lineRule="auto"/>
        <w:rPr>
          <w:rFonts w:eastAsia="Arial"/>
          <w:b/>
          <w:bCs/>
        </w:rPr>
      </w:pPr>
      <w:r w:rsidRPr="001C26A4">
        <w:rPr>
          <w:rFonts w:eastAsia="Arial"/>
          <w:b/>
          <w:bCs/>
        </w:rPr>
        <w:t xml:space="preserve">Ethical approval </w:t>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r>
      <w:r w:rsidR="00CC43CE" w:rsidRPr="001C26A4">
        <w:rPr>
          <w:rFonts w:eastAsia="Arial"/>
          <w:b/>
          <w:bCs/>
        </w:rPr>
        <w:tab/>
        <w:t xml:space="preserve">             </w:t>
      </w:r>
      <w:r w:rsidRPr="001C26A4">
        <w:rPr>
          <w:rFonts w:eastAsia="Arial"/>
        </w:rPr>
        <w:t>TARN has ethical approval (PIAG section 60) for research on the anonymised data that are stored securely on the University of Manchester server.</w:t>
      </w:r>
    </w:p>
    <w:p w14:paraId="5E164ABB" w14:textId="7114E5B0" w:rsidR="00883BA6" w:rsidRPr="007B5802" w:rsidRDefault="00883BA6" w:rsidP="000942AE">
      <w:pPr>
        <w:spacing w:line="360" w:lineRule="auto"/>
      </w:pPr>
      <w:r w:rsidRPr="007B5802">
        <w:rPr>
          <w:b/>
          <w:bCs/>
        </w:rPr>
        <w:t>Patient and public involvement</w:t>
      </w:r>
      <w:r>
        <w:t>:  P</w:t>
      </w:r>
      <w:r w:rsidRPr="007B5802">
        <w:t xml:space="preserve">atients or the public were not involved in the design, conduct, </w:t>
      </w:r>
      <w:r>
        <w:t>r</w:t>
      </w:r>
      <w:r w:rsidRPr="007B5802">
        <w:t xml:space="preserve">eporting, or dissemination plans of </w:t>
      </w:r>
      <w:r>
        <w:t>this study</w:t>
      </w:r>
      <w:r w:rsidRPr="007B5802">
        <w:t>.</w:t>
      </w:r>
    </w:p>
    <w:p w14:paraId="4D756CC1" w14:textId="77777777" w:rsidR="008A4D99" w:rsidRPr="001C26A4" w:rsidRDefault="008A4D99" w:rsidP="008A4D99">
      <w:pPr>
        <w:rPr>
          <w:b/>
        </w:rPr>
      </w:pPr>
    </w:p>
    <w:p w14:paraId="42F4B868" w14:textId="77777777" w:rsidR="00883BA6" w:rsidRDefault="00883BA6" w:rsidP="008A4D99">
      <w:pPr>
        <w:spacing w:after="240" w:line="360" w:lineRule="auto"/>
        <w:rPr>
          <w:b/>
        </w:rPr>
      </w:pPr>
    </w:p>
    <w:p w14:paraId="0AD1246E" w14:textId="16F2E422" w:rsidR="00D45C1B" w:rsidRPr="001C26A4" w:rsidRDefault="00D45C1B" w:rsidP="00D45C1B">
      <w:pPr>
        <w:spacing w:after="240" w:line="360" w:lineRule="auto"/>
        <w:rPr>
          <w:b/>
        </w:rPr>
      </w:pPr>
      <w:r w:rsidRPr="001C26A4">
        <w:rPr>
          <w:b/>
        </w:rPr>
        <w:t>RESULTS</w:t>
      </w:r>
    </w:p>
    <w:p w14:paraId="146F531A" w14:textId="77777777" w:rsidR="00D45C1B" w:rsidRPr="001C26A4" w:rsidRDefault="00D45C1B" w:rsidP="00D45C1B">
      <w:pPr>
        <w:spacing w:after="240" w:line="360" w:lineRule="auto"/>
        <w:rPr>
          <w:b/>
        </w:rPr>
      </w:pPr>
      <w:r w:rsidRPr="001C26A4">
        <w:rPr>
          <w:b/>
        </w:rPr>
        <w:t>Demographic and injury pattern data</w:t>
      </w:r>
      <w:r w:rsidRPr="001C26A4">
        <w:rPr>
          <w:b/>
        </w:rPr>
        <w:tab/>
      </w:r>
      <w:r w:rsidRPr="001C26A4">
        <w:rPr>
          <w:b/>
        </w:rPr>
        <w:tab/>
      </w:r>
      <w:r w:rsidRPr="001C26A4">
        <w:rPr>
          <w:b/>
        </w:rPr>
        <w:tab/>
      </w:r>
      <w:r w:rsidRPr="001C26A4">
        <w:rPr>
          <w:b/>
        </w:rPr>
        <w:tab/>
      </w:r>
      <w:r w:rsidRPr="001C26A4">
        <w:rPr>
          <w:b/>
        </w:rPr>
        <w:tab/>
      </w:r>
    </w:p>
    <w:p w14:paraId="0DD3B655" w14:textId="1429503E" w:rsidR="00D45C1B" w:rsidRPr="00B95C4D" w:rsidRDefault="00D45C1B" w:rsidP="00D45C1B">
      <w:pPr>
        <w:spacing w:after="240" w:line="360" w:lineRule="auto"/>
      </w:pPr>
      <w:r w:rsidRPr="009D48AE">
        <w:t xml:space="preserve">A total of </w:t>
      </w:r>
      <w:r w:rsidRPr="00B95C4D">
        <w:t xml:space="preserve">30,321 </w:t>
      </w:r>
      <w:r w:rsidRPr="009D48AE">
        <w:t xml:space="preserve">adolescent trauma cases were identified of which </w:t>
      </w:r>
      <w:r w:rsidRPr="00B95C4D">
        <w:t xml:space="preserve">21,033 </w:t>
      </w:r>
      <w:r w:rsidRPr="009D48AE">
        <w:t>fulfilled eligibility criteria for this analysis</w:t>
      </w:r>
      <w:r w:rsidRPr="00B95C4D">
        <w:t xml:space="preserve">. Of these, 11,319 </w:t>
      </w:r>
      <w:r w:rsidRPr="009D48AE">
        <w:t>(</w:t>
      </w:r>
      <w:r w:rsidRPr="00B95C4D">
        <w:t>54%</w:t>
      </w:r>
      <w:r w:rsidRPr="009D48AE">
        <w:t xml:space="preserve">) </w:t>
      </w:r>
      <w:r w:rsidRPr="00B95C4D">
        <w:t xml:space="preserve">presented to a mixed MTC, 7,937 </w:t>
      </w:r>
      <w:r w:rsidRPr="009D48AE">
        <w:t>(</w:t>
      </w:r>
      <w:r w:rsidRPr="00B95C4D">
        <w:t>38%</w:t>
      </w:r>
      <w:r w:rsidRPr="009D48AE">
        <w:t xml:space="preserve">) </w:t>
      </w:r>
      <w:r w:rsidRPr="00B95C4D">
        <w:t xml:space="preserve">to an adult MTC and 1,777 </w:t>
      </w:r>
      <w:r w:rsidRPr="009D48AE">
        <w:t>(</w:t>
      </w:r>
      <w:r w:rsidRPr="00B95C4D">
        <w:t>8%</w:t>
      </w:r>
      <w:r w:rsidRPr="009D48AE">
        <w:t xml:space="preserve">) </w:t>
      </w:r>
      <w:r w:rsidRPr="00B95C4D">
        <w:t>to a children’s MTC</w:t>
      </w:r>
      <w:r>
        <w:t xml:space="preserve"> </w:t>
      </w:r>
      <w:r w:rsidRPr="009D48AE">
        <w:t>(</w:t>
      </w:r>
      <w:r w:rsidRPr="00B95C4D">
        <w:rPr>
          <w:b/>
          <w:bCs/>
        </w:rPr>
        <w:t>Figure 1</w:t>
      </w:r>
      <w:r w:rsidRPr="00B95C4D">
        <w:t xml:space="preserve">).  2,569 (12.2 %) </w:t>
      </w:r>
      <w:r w:rsidRPr="009D48AE">
        <w:t xml:space="preserve">were aged </w:t>
      </w:r>
      <w:r w:rsidRPr="00B95C4D">
        <w:t xml:space="preserve">10 -13.99 years, 4,471 (21.3%) </w:t>
      </w:r>
      <w:r w:rsidR="003A5D4C">
        <w:t xml:space="preserve">aged </w:t>
      </w:r>
      <w:r w:rsidRPr="009D48AE">
        <w:t>14 – 17.9</w:t>
      </w:r>
      <w:r w:rsidRPr="00B95C4D">
        <w:t>9 years and 13,993 (66.5%</w:t>
      </w:r>
      <w:r w:rsidRPr="009D48AE">
        <w:t>) aged 18 – 24.9</w:t>
      </w:r>
      <w:r w:rsidRPr="00B95C4D">
        <w:t>9 years. Patients were predominantly male (77.9%</w:t>
      </w:r>
      <w:r w:rsidRPr="009D48AE">
        <w:t>) (</w:t>
      </w:r>
      <w:r w:rsidRPr="00B95C4D">
        <w:rPr>
          <w:b/>
        </w:rPr>
        <w:t>Table 1</w:t>
      </w:r>
      <w:r w:rsidRPr="00B95C4D">
        <w:t>).</w:t>
      </w:r>
    </w:p>
    <w:p w14:paraId="0E06A2F7" w14:textId="77777777" w:rsidR="00D45C1B" w:rsidRPr="00B95C4D" w:rsidRDefault="00D45C1B" w:rsidP="00D45C1B">
      <w:pPr>
        <w:spacing w:line="360" w:lineRule="auto"/>
      </w:pPr>
      <w:r w:rsidRPr="00A74AAA">
        <w:t xml:space="preserve">The initial physiological parameters were similar between groups </w:t>
      </w:r>
      <w:r w:rsidRPr="0043576E">
        <w:t xml:space="preserve">but did demonstrate statistically significant differences between MTC cohorts.  These differences were </w:t>
      </w:r>
      <w:r>
        <w:t>unlikely to be</w:t>
      </w:r>
      <w:r w:rsidRPr="0043576E">
        <w:t xml:space="preserve"> clinically significant</w:t>
      </w:r>
      <w:r w:rsidRPr="00A74AAA">
        <w:t>. (</w:t>
      </w:r>
      <w:r w:rsidRPr="00A74AAA">
        <w:rPr>
          <w:b/>
        </w:rPr>
        <w:t>Table 1</w:t>
      </w:r>
      <w:r w:rsidRPr="00A74AAA">
        <w:t>).  Overall</w:t>
      </w:r>
      <w:r w:rsidRPr="0015792E">
        <w:t>, across all three types of MTC,</w:t>
      </w:r>
      <w:r w:rsidRPr="00B95C4D">
        <w:t xml:space="preserve"> the most common comorbidities were </w:t>
      </w:r>
      <w:r w:rsidRPr="0043576E">
        <w:t>asthma, mental health conditions, alcohol / drug abuse and epilepsy</w:t>
      </w:r>
      <w:r w:rsidRPr="00A74AAA">
        <w:t xml:space="preserve">.  In </w:t>
      </w:r>
      <w:r w:rsidRPr="0043576E">
        <w:t>80%</w:t>
      </w:r>
      <w:r w:rsidRPr="00A74AAA">
        <w:t xml:space="preserve"> (</w:t>
      </w:r>
      <w:r w:rsidRPr="0043576E">
        <w:t>16,883</w:t>
      </w:r>
      <w:r w:rsidRPr="00A74AAA">
        <w:t xml:space="preserve">) of the total cohort, </w:t>
      </w:r>
      <w:r w:rsidRPr="0015792E">
        <w:t>the patient had no comorbidities.</w:t>
      </w:r>
      <w:r w:rsidRPr="00B95C4D">
        <w:t xml:space="preserve">  Patients presenting to children’s MTCs had fewer co-morbidities. </w:t>
      </w:r>
    </w:p>
    <w:p w14:paraId="2FA6872B" w14:textId="77777777" w:rsidR="00D45C1B" w:rsidRPr="001C26A4" w:rsidRDefault="00D45C1B" w:rsidP="00D45C1B"/>
    <w:p w14:paraId="229C4142" w14:textId="589809EC" w:rsidR="00D45C1B" w:rsidRPr="00B95C4D" w:rsidRDefault="00D45C1B" w:rsidP="00D45C1B">
      <w:pPr>
        <w:spacing w:after="240" w:line="360" w:lineRule="auto"/>
      </w:pPr>
      <w:r w:rsidRPr="00A74AAA">
        <w:t xml:space="preserve">The most common mechanism of injury was road traffic </w:t>
      </w:r>
      <w:r w:rsidRPr="0015792E">
        <w:t>collision (RTC</w:t>
      </w:r>
      <w:r w:rsidRPr="00B95C4D">
        <w:t xml:space="preserve">; </w:t>
      </w:r>
      <w:r w:rsidRPr="0043576E">
        <w:t>52.6%</w:t>
      </w:r>
      <w:r w:rsidRPr="00A74AAA">
        <w:t>, n=</w:t>
      </w:r>
      <w:r w:rsidRPr="0043576E">
        <w:t>11,058</w:t>
      </w:r>
      <w:r w:rsidRPr="00A74AAA">
        <w:t xml:space="preserve">), with falls of any height accounting for </w:t>
      </w:r>
      <w:r w:rsidRPr="0043576E">
        <w:t xml:space="preserve">22.2% </w:t>
      </w:r>
      <w:r w:rsidRPr="00A74AAA">
        <w:t>(</w:t>
      </w:r>
      <w:r w:rsidRPr="0043576E">
        <w:t>4,657</w:t>
      </w:r>
      <w:r w:rsidRPr="00A74AAA">
        <w:t>). Falls &lt;2m height accounted for a larger proportion of children’s MTC cases (</w:t>
      </w:r>
      <w:r w:rsidRPr="0043576E">
        <w:t>20.5</w:t>
      </w:r>
      <w:r w:rsidRPr="00A74AAA">
        <w:t>%) compared to mixed (</w:t>
      </w:r>
      <w:r w:rsidRPr="0043576E">
        <w:t>10</w:t>
      </w:r>
      <w:r w:rsidRPr="00A74AAA">
        <w:t>%) and adult (</w:t>
      </w:r>
      <w:r w:rsidRPr="0043576E">
        <w:t>9.5</w:t>
      </w:r>
      <w:r w:rsidRPr="00A74AAA">
        <w:t>%) MTCs. Stabbings and shootings were less common in children’s MTCs (</w:t>
      </w:r>
      <w:r w:rsidRPr="0043576E">
        <w:t>2.8</w:t>
      </w:r>
      <w:r w:rsidRPr="00A74AAA">
        <w:t xml:space="preserve">%) and </w:t>
      </w:r>
      <w:r w:rsidRPr="00A74AAA">
        <w:lastRenderedPageBreak/>
        <w:t>highest in mixed MTCs (</w:t>
      </w:r>
      <w:r w:rsidRPr="0043576E">
        <w:t>14.5</w:t>
      </w:r>
      <w:r w:rsidRPr="00A74AAA">
        <w:t>%)</w:t>
      </w:r>
      <w:r w:rsidRPr="00A74AAA">
        <w:rPr>
          <w:b/>
        </w:rPr>
        <w:t xml:space="preserve"> </w:t>
      </w:r>
      <w:r w:rsidRPr="00A74AAA">
        <w:t>(</w:t>
      </w:r>
      <w:r w:rsidRPr="00A74AAA">
        <w:rPr>
          <w:b/>
        </w:rPr>
        <w:t>Table 2</w:t>
      </w:r>
      <w:r w:rsidRPr="00A74AAA">
        <w:t>)</w:t>
      </w:r>
      <w:r>
        <w:t>.</w:t>
      </w:r>
      <w:r w:rsidRPr="0015792E">
        <w:t xml:space="preserve"> Patients managed </w:t>
      </w:r>
      <w:r w:rsidRPr="00B95C4D">
        <w:t xml:space="preserve">in children’s MTCs had a median ISS of </w:t>
      </w:r>
      <w:r w:rsidRPr="0043576E">
        <w:t>10</w:t>
      </w:r>
      <w:r w:rsidRPr="00A74AAA">
        <w:t xml:space="preserve">, whereas those managed in mixed or adult MTCs had a median ISS of </w:t>
      </w:r>
      <w:r w:rsidRPr="0043576E">
        <w:t>14</w:t>
      </w:r>
      <w:r w:rsidRPr="00A74AAA">
        <w:t xml:space="preserve"> and </w:t>
      </w:r>
      <w:r w:rsidRPr="0043576E">
        <w:t>16</w:t>
      </w:r>
      <w:r w:rsidRPr="00A74AAA">
        <w:t xml:space="preserve"> respectively (</w:t>
      </w:r>
      <w:r w:rsidRPr="0043576E">
        <w:t>p&lt;0.001</w:t>
      </w:r>
      <w:r w:rsidRPr="00A74AAA">
        <w:t>) (</w:t>
      </w:r>
      <w:r w:rsidRPr="00A74AAA">
        <w:rPr>
          <w:b/>
          <w:bCs/>
        </w:rPr>
        <w:t>Table 1</w:t>
      </w:r>
      <w:r w:rsidRPr="00A74AAA">
        <w:t xml:space="preserve">). </w:t>
      </w:r>
      <w:r w:rsidRPr="0043576E">
        <w:t xml:space="preserve">Anatomical regions with significant differences in median highest AIS between MTC types were the face, abdomen, pelvis, and limbs </w:t>
      </w:r>
      <w:r w:rsidRPr="00A74AAA">
        <w:t>(</w:t>
      </w:r>
      <w:r w:rsidRPr="00A74AAA">
        <w:rPr>
          <w:b/>
        </w:rPr>
        <w:t>Table 2</w:t>
      </w:r>
      <w:r w:rsidRPr="00B95C4D">
        <w:t xml:space="preserve">).  </w:t>
      </w:r>
    </w:p>
    <w:p w14:paraId="5F804323" w14:textId="77777777" w:rsidR="00D45C1B" w:rsidRPr="001C26A4" w:rsidRDefault="00D45C1B" w:rsidP="00D45C1B">
      <w:pPr>
        <w:tabs>
          <w:tab w:val="left" w:pos="3343"/>
        </w:tabs>
        <w:spacing w:line="360" w:lineRule="auto"/>
        <w:rPr>
          <w:b/>
          <w:bCs/>
          <w:iCs/>
        </w:rPr>
      </w:pPr>
      <w:r w:rsidRPr="001C26A4">
        <w:rPr>
          <w:b/>
          <w:bCs/>
          <w:iCs/>
        </w:rPr>
        <w:t>Seniority leading resuscitation, L</w:t>
      </w:r>
      <w:r>
        <w:rPr>
          <w:b/>
          <w:bCs/>
          <w:iCs/>
        </w:rPr>
        <w:t>o</w:t>
      </w:r>
      <w:r w:rsidRPr="001C26A4">
        <w:rPr>
          <w:b/>
          <w:bCs/>
          <w:iCs/>
        </w:rPr>
        <w:t xml:space="preserve">S and time to CT </w:t>
      </w:r>
      <w:r w:rsidRPr="001C26A4">
        <w:rPr>
          <w:b/>
          <w:bCs/>
          <w:iCs/>
        </w:rPr>
        <w:tab/>
      </w:r>
      <w:r w:rsidRPr="001C26A4">
        <w:rPr>
          <w:b/>
          <w:bCs/>
          <w:iCs/>
        </w:rPr>
        <w:tab/>
      </w:r>
      <w:r w:rsidRPr="001C26A4">
        <w:rPr>
          <w:b/>
          <w:bCs/>
          <w:iCs/>
        </w:rPr>
        <w:tab/>
      </w:r>
    </w:p>
    <w:p w14:paraId="569C7E77" w14:textId="77777777" w:rsidR="00D45C1B" w:rsidRPr="00A74AAA" w:rsidRDefault="00D45C1B" w:rsidP="00D45C1B">
      <w:pPr>
        <w:tabs>
          <w:tab w:val="left" w:pos="3343"/>
        </w:tabs>
        <w:spacing w:after="240" w:line="360" w:lineRule="auto"/>
        <w:rPr>
          <w:b/>
          <w:bCs/>
          <w:iCs/>
        </w:rPr>
      </w:pPr>
      <w:r w:rsidRPr="00A74AAA">
        <w:t>In most cases a consultant was present as the most senior clinician (</w:t>
      </w:r>
      <w:r w:rsidRPr="00A74AAA">
        <w:rPr>
          <w:b/>
        </w:rPr>
        <w:t>Table 1</w:t>
      </w:r>
      <w:r w:rsidRPr="00A74AAA">
        <w:t xml:space="preserve">). </w:t>
      </w:r>
      <w:r w:rsidRPr="0015792E">
        <w:t xml:space="preserve">Physicians in their first four years of training </w:t>
      </w:r>
      <w:r w:rsidRPr="00A74AAA">
        <w:t xml:space="preserve">were the most senior clinician present in only a small proportion </w:t>
      </w:r>
      <w:r w:rsidRPr="0043576E">
        <w:t xml:space="preserve">(&lt;5%) </w:t>
      </w:r>
      <w:r w:rsidRPr="00A74AAA">
        <w:t>of cases, but this was most common in a</w:t>
      </w:r>
      <w:r w:rsidRPr="0015792E">
        <w:t>dult MTCs.</w:t>
      </w:r>
      <w:r w:rsidRPr="0015792E">
        <w:rPr>
          <w:iCs/>
        </w:rPr>
        <w:t xml:space="preserve">  </w:t>
      </w:r>
      <w:r w:rsidRPr="0043576E">
        <w:rPr>
          <w:iCs/>
        </w:rPr>
        <w:t>Median LoS and ICU LoS were comparable for all MTC types</w:t>
      </w:r>
      <w:r w:rsidRPr="00A74AAA">
        <w:rPr>
          <w:iCs/>
        </w:rPr>
        <w:t xml:space="preserve"> although </w:t>
      </w:r>
      <w:r>
        <w:rPr>
          <w:iCs/>
        </w:rPr>
        <w:t xml:space="preserve">differences met </w:t>
      </w:r>
      <w:r w:rsidRPr="00A74AAA">
        <w:rPr>
          <w:iCs/>
        </w:rPr>
        <w:t>statistical significan</w:t>
      </w:r>
      <w:r>
        <w:rPr>
          <w:iCs/>
        </w:rPr>
        <w:t xml:space="preserve">ce </w:t>
      </w:r>
      <w:r w:rsidRPr="00A74AAA">
        <w:rPr>
          <w:iCs/>
        </w:rPr>
        <w:t>(</w:t>
      </w:r>
      <w:r w:rsidRPr="00A74AAA">
        <w:rPr>
          <w:b/>
          <w:iCs/>
        </w:rPr>
        <w:t>Table 1</w:t>
      </w:r>
      <w:r w:rsidRPr="00A74AAA">
        <w:rPr>
          <w:iCs/>
        </w:rPr>
        <w:t xml:space="preserve">).  </w:t>
      </w:r>
    </w:p>
    <w:p w14:paraId="4CAC7285" w14:textId="77777777" w:rsidR="00D45C1B" w:rsidRPr="001C26A4" w:rsidRDefault="00D45C1B" w:rsidP="00D45C1B">
      <w:pPr>
        <w:spacing w:after="240" w:line="360" w:lineRule="auto"/>
      </w:pPr>
      <w:r w:rsidRPr="001C26A4">
        <w:t xml:space="preserve">Patients managed in children’s MTCs were less likely to have a CT scan, though the time taken to perform a CT was significantly longer in children’s MTCs than other MTC types </w:t>
      </w:r>
      <w:r w:rsidRPr="00253909">
        <w:rPr>
          <w:b/>
          <w:bCs/>
        </w:rPr>
        <w:t>(Table 1)</w:t>
      </w:r>
      <w:r w:rsidRPr="00253909">
        <w:t>.</w:t>
      </w:r>
      <w:r w:rsidRPr="001C26A4">
        <w:t xml:space="preserve"> </w:t>
      </w:r>
    </w:p>
    <w:p w14:paraId="0EB2499C" w14:textId="77777777" w:rsidR="00D45C1B" w:rsidRDefault="00D45C1B" w:rsidP="00D45C1B">
      <w:pPr>
        <w:spacing w:after="240" w:line="360" w:lineRule="auto"/>
      </w:pPr>
      <w:r w:rsidRPr="0015792E">
        <w:rPr>
          <w:b/>
        </w:rPr>
        <w:t>Mortality</w:t>
      </w:r>
      <w:r w:rsidRPr="0015792E">
        <w:rPr>
          <w:b/>
        </w:rPr>
        <w:tab/>
      </w:r>
      <w:r w:rsidRPr="0015792E">
        <w:rPr>
          <w:b/>
        </w:rPr>
        <w:tab/>
      </w:r>
      <w:r w:rsidRPr="0015792E">
        <w:rPr>
          <w:b/>
        </w:rPr>
        <w:tab/>
      </w:r>
      <w:r w:rsidRPr="0015792E">
        <w:rPr>
          <w:b/>
        </w:rPr>
        <w:tab/>
      </w:r>
      <w:r w:rsidRPr="0015792E">
        <w:rPr>
          <w:b/>
        </w:rPr>
        <w:tab/>
      </w:r>
      <w:r w:rsidRPr="0015792E">
        <w:rPr>
          <w:b/>
        </w:rPr>
        <w:tab/>
      </w:r>
      <w:r w:rsidRPr="0015792E">
        <w:rPr>
          <w:b/>
        </w:rPr>
        <w:tab/>
      </w:r>
      <w:r w:rsidRPr="0015792E">
        <w:rPr>
          <w:b/>
        </w:rPr>
        <w:tab/>
      </w:r>
      <w:r w:rsidRPr="0015792E">
        <w:rPr>
          <w:b/>
        </w:rPr>
        <w:tab/>
      </w:r>
      <w:r w:rsidRPr="0015792E">
        <w:rPr>
          <w:b/>
        </w:rPr>
        <w:tab/>
        <w:t xml:space="preserve">               </w:t>
      </w:r>
      <w:r w:rsidRPr="0015792E">
        <w:rPr>
          <w:bCs/>
        </w:rPr>
        <w:t>Overall</w:t>
      </w:r>
      <w:r w:rsidRPr="00A74AAA">
        <w:rPr>
          <w:bCs/>
        </w:rPr>
        <w:t xml:space="preserve"> trauma-related crude 30-day mortality was </w:t>
      </w:r>
      <w:r w:rsidRPr="0043576E">
        <w:rPr>
          <w:bCs/>
        </w:rPr>
        <w:t xml:space="preserve">4.4%, </w:t>
      </w:r>
      <w:r w:rsidRPr="0015792E">
        <w:rPr>
          <w:bCs/>
        </w:rPr>
        <w:t xml:space="preserve">with significant differences in mortality rates between MTC types (Children’s </w:t>
      </w:r>
      <w:r w:rsidRPr="0043576E">
        <w:rPr>
          <w:bCs/>
        </w:rPr>
        <w:t xml:space="preserve">2.5%; </w:t>
      </w:r>
      <w:r w:rsidRPr="0015792E">
        <w:rPr>
          <w:bCs/>
        </w:rPr>
        <w:t xml:space="preserve">Mixed </w:t>
      </w:r>
      <w:r w:rsidRPr="0043576E">
        <w:rPr>
          <w:bCs/>
        </w:rPr>
        <w:t xml:space="preserve">4.4%; </w:t>
      </w:r>
      <w:r w:rsidRPr="0015792E">
        <w:rPr>
          <w:bCs/>
        </w:rPr>
        <w:t xml:space="preserve">Adult </w:t>
      </w:r>
      <w:r w:rsidRPr="0043576E">
        <w:rPr>
          <w:bCs/>
        </w:rPr>
        <w:t>4.9%</w:t>
      </w:r>
      <w:r w:rsidRPr="0015792E">
        <w:rPr>
          <w:bCs/>
        </w:rPr>
        <w:t xml:space="preserve">; p&lt; 0.0001; </w:t>
      </w:r>
      <w:r w:rsidRPr="0015792E">
        <w:rPr>
          <w:b/>
          <w:bCs/>
        </w:rPr>
        <w:t>Table 1</w:t>
      </w:r>
      <w:r w:rsidRPr="00A74AAA">
        <w:rPr>
          <w:bCs/>
        </w:rPr>
        <w:t>). When adjustments</w:t>
      </w:r>
      <w:r w:rsidRPr="0015792E">
        <w:rPr>
          <w:bCs/>
        </w:rPr>
        <w:t xml:space="preserve"> were made using </w:t>
      </w:r>
      <w:r w:rsidRPr="0015792E">
        <w:t>logistic regression accounting for ISS, MOI, GCS, SBP, pulse rate, comorbidity, pupil react</w:t>
      </w:r>
      <w:r w:rsidRPr="00A74AAA">
        <w:t xml:space="preserve">ivity and the random effect "hospital ID", odds of mortality </w:t>
      </w:r>
      <w:r w:rsidRPr="00E81693">
        <w:t xml:space="preserve">compared to children’s MTCs </w:t>
      </w:r>
      <w:r w:rsidRPr="00A74AAA">
        <w:t xml:space="preserve">were </w:t>
      </w:r>
      <w:r w:rsidRPr="0043576E">
        <w:t xml:space="preserve">2.41 </w:t>
      </w:r>
      <w:r w:rsidRPr="0015792E">
        <w:t xml:space="preserve">(95% CI </w:t>
      </w:r>
      <w:r w:rsidRPr="0043576E">
        <w:t>1.31-4.43</w:t>
      </w:r>
      <w:r w:rsidRPr="0015792E">
        <w:t>; p=</w:t>
      </w:r>
      <w:r w:rsidRPr="0043576E">
        <w:t>0.005</w:t>
      </w:r>
      <w:r w:rsidRPr="0015792E">
        <w:t xml:space="preserve">) and </w:t>
      </w:r>
      <w:r w:rsidRPr="0043576E">
        <w:t xml:space="preserve">1.85 </w:t>
      </w:r>
      <w:r w:rsidRPr="0015792E">
        <w:t xml:space="preserve">(95% CI </w:t>
      </w:r>
      <w:r w:rsidRPr="0043576E">
        <w:t>1.03-3.35</w:t>
      </w:r>
      <w:r w:rsidRPr="0015792E">
        <w:t>; p=</w:t>
      </w:r>
      <w:r w:rsidRPr="0043576E">
        <w:t>0.041</w:t>
      </w:r>
      <w:r w:rsidRPr="0015792E">
        <w:t xml:space="preserve">) in </w:t>
      </w:r>
      <w:r w:rsidRPr="00A74AAA">
        <w:t xml:space="preserve">adult and mixed MTCs </w:t>
      </w:r>
      <w:r>
        <w:t xml:space="preserve">respectively </w:t>
      </w:r>
      <w:r w:rsidRPr="00A74AAA">
        <w:t>(</w:t>
      </w:r>
      <w:r w:rsidRPr="00A74AAA">
        <w:rPr>
          <w:b/>
        </w:rPr>
        <w:t>Table 3</w:t>
      </w:r>
      <w:r w:rsidRPr="00A74AAA">
        <w:t xml:space="preserve">).  The model showed a good C statistic (area under ROC curve) of </w:t>
      </w:r>
      <w:r w:rsidRPr="0043576E">
        <w:t xml:space="preserve">0.980 (95% CI 0.977 - 0.984) </w:t>
      </w:r>
      <w:r w:rsidRPr="0015792E">
        <w:t xml:space="preserve">and the goodness of fit showed a non-significant </w:t>
      </w:r>
      <w:r w:rsidRPr="0043576E">
        <w:t>H-L test (p=0.55</w:t>
      </w:r>
      <w:r w:rsidRPr="0015792E">
        <w:t>), demonstrating that the model fits the data well.</w:t>
      </w:r>
    </w:p>
    <w:p w14:paraId="68BEB1B9" w14:textId="77777777" w:rsidR="00D45C1B" w:rsidRPr="003E6A70" w:rsidRDefault="00D45C1B" w:rsidP="00D45C1B">
      <w:pPr>
        <w:spacing w:after="240" w:line="360" w:lineRule="auto"/>
        <w:rPr>
          <w:b/>
          <w:bCs/>
        </w:rPr>
      </w:pPr>
      <w:r w:rsidRPr="003E6A70">
        <w:rPr>
          <w:b/>
          <w:bCs/>
        </w:rPr>
        <w:t>Sub-group analysis: 10 to 15.99 years</w:t>
      </w:r>
    </w:p>
    <w:p w14:paraId="76B4EE0E" w14:textId="715EC92F" w:rsidR="00D45C1B" w:rsidRPr="003E6A70" w:rsidRDefault="00D45C1B" w:rsidP="00D45C1B">
      <w:pPr>
        <w:spacing w:after="240" w:line="360" w:lineRule="auto"/>
      </w:pPr>
      <w:r w:rsidRPr="003E6A70">
        <w:t>In the subgroup analysis of the 10 to 15.99 years old, those managed in a children’s MTC had the lowest mortality rate at</w:t>
      </w:r>
      <w:r w:rsidR="009B36B3" w:rsidRPr="003E6A70">
        <w:t xml:space="preserve"> 2.3</w:t>
      </w:r>
      <w:r w:rsidRPr="003E6A70">
        <w:rPr>
          <w:b/>
          <w:bCs/>
        </w:rPr>
        <w:t>%,</w:t>
      </w:r>
      <w:r w:rsidRPr="003E6A70">
        <w:t xml:space="preserve"> compared to </w:t>
      </w:r>
      <w:r w:rsidR="009B36B3" w:rsidRPr="003E6A70">
        <w:t>3.5</w:t>
      </w:r>
      <w:r w:rsidRPr="003E6A70">
        <w:rPr>
          <w:b/>
          <w:bCs/>
        </w:rPr>
        <w:t>%</w:t>
      </w:r>
      <w:r w:rsidRPr="003E6A70">
        <w:t xml:space="preserve"> in adult MTCs and </w:t>
      </w:r>
      <w:r w:rsidR="009B36B3" w:rsidRPr="003E6A70">
        <w:t>3.8</w:t>
      </w:r>
      <w:r w:rsidRPr="003E6A70">
        <w:rPr>
          <w:b/>
          <w:bCs/>
        </w:rPr>
        <w:t>%</w:t>
      </w:r>
      <w:r w:rsidRPr="003E6A70">
        <w:t xml:space="preserve"> in mixed MTCs.  In the adjusted analysis, the odds ratio for mortality was higher in the mixed</w:t>
      </w:r>
      <w:r w:rsidR="00E95C11" w:rsidRPr="003E6A70">
        <w:t xml:space="preserve"> and adult</w:t>
      </w:r>
      <w:r w:rsidRPr="003E6A70">
        <w:t xml:space="preserve"> MTCs in comparison to children’s MTCs</w:t>
      </w:r>
      <w:r w:rsidR="00E95C11" w:rsidRPr="003E6A70">
        <w:t xml:space="preserve"> (</w:t>
      </w:r>
      <w:r w:rsidR="00B6701F" w:rsidRPr="00480571">
        <w:t>statistically</w:t>
      </w:r>
      <w:r w:rsidR="00E95C11" w:rsidRPr="003E6A70">
        <w:t xml:space="preserve"> significant for mixed only)</w:t>
      </w:r>
      <w:r w:rsidRPr="003E6A70">
        <w:t>.  (</w:t>
      </w:r>
      <w:r w:rsidRPr="003E6A70">
        <w:rPr>
          <w:b/>
        </w:rPr>
        <w:t>Table 3</w:t>
      </w:r>
      <w:r w:rsidRPr="003E6A70">
        <w:t xml:space="preserve">). </w:t>
      </w:r>
    </w:p>
    <w:p w14:paraId="2AA4C90D" w14:textId="77777777" w:rsidR="009B36B3" w:rsidRPr="003E6A70" w:rsidRDefault="009B36B3" w:rsidP="00D45C1B">
      <w:pPr>
        <w:spacing w:after="240" w:line="360" w:lineRule="auto"/>
        <w:rPr>
          <w:b/>
          <w:bCs/>
        </w:rPr>
      </w:pPr>
    </w:p>
    <w:p w14:paraId="161D85DA" w14:textId="49B7C8F2" w:rsidR="00D45C1B" w:rsidRPr="003E6A70" w:rsidRDefault="00D45C1B" w:rsidP="00D45C1B">
      <w:pPr>
        <w:spacing w:after="240" w:line="360" w:lineRule="auto"/>
        <w:rPr>
          <w:b/>
          <w:bCs/>
        </w:rPr>
      </w:pPr>
      <w:r w:rsidRPr="003E6A70">
        <w:rPr>
          <w:b/>
          <w:bCs/>
        </w:rPr>
        <w:t>Sub-group analysis: 16 to 24.99 years</w:t>
      </w:r>
    </w:p>
    <w:p w14:paraId="29C7278C" w14:textId="234EAD7A" w:rsidR="00DB47A3" w:rsidRPr="00311F19" w:rsidRDefault="00DB47A3" w:rsidP="00DB47A3">
      <w:pPr>
        <w:spacing w:after="240" w:line="360" w:lineRule="auto"/>
      </w:pPr>
      <w:r w:rsidRPr="003E6A70">
        <w:t>In the subgroup analysis of the 16 to 24.99 years old cohort, there w</w:t>
      </w:r>
      <w:r w:rsidR="00F539D6" w:rsidRPr="003E6A70">
        <w:t>as</w:t>
      </w:r>
      <w:r w:rsidRPr="003E6A70">
        <w:t xml:space="preserve"> significant variation in participants number between MTC’s (children</w:t>
      </w:r>
      <w:r w:rsidR="00CA57B0" w:rsidRPr="003E6A70">
        <w:t>’s</w:t>
      </w:r>
      <w:r w:rsidRPr="003E6A70">
        <w:t xml:space="preserve"> MTC </w:t>
      </w:r>
      <w:r w:rsidR="00CA57B0" w:rsidRPr="003E6A70">
        <w:t xml:space="preserve">n = </w:t>
      </w:r>
      <w:r w:rsidRPr="003E6A70">
        <w:t xml:space="preserve">17, mixed MTC </w:t>
      </w:r>
      <w:r w:rsidR="00CA57B0" w:rsidRPr="003E6A70">
        <w:t xml:space="preserve">n = </w:t>
      </w:r>
      <w:r w:rsidRPr="003E6A70">
        <w:t>9</w:t>
      </w:r>
      <w:r w:rsidR="00CA57B0" w:rsidRPr="003E6A70">
        <w:t>,</w:t>
      </w:r>
      <w:r w:rsidRPr="003E6A70">
        <w:t xml:space="preserve">153 and adult MTC </w:t>
      </w:r>
      <w:r w:rsidR="00F32DC2" w:rsidRPr="003E6A70">
        <w:t>n=</w:t>
      </w:r>
      <w:r w:rsidRPr="003E6A70">
        <w:t>7</w:t>
      </w:r>
      <w:r w:rsidR="00F32DC2" w:rsidRPr="003E6A70">
        <w:t>,</w:t>
      </w:r>
      <w:r w:rsidRPr="003E6A70">
        <w:t>507</w:t>
      </w:r>
      <w:r w:rsidR="0079237F" w:rsidRPr="003E6A70">
        <w:t>.</w:t>
      </w:r>
      <w:r w:rsidRPr="003E6A70">
        <w:t xml:space="preserve"> </w:t>
      </w:r>
      <w:r w:rsidRPr="003E6A70">
        <w:rPr>
          <w:b/>
          <w:bCs/>
        </w:rPr>
        <w:t>Table</w:t>
      </w:r>
      <w:r w:rsidR="0079237F" w:rsidRPr="003E6A70">
        <w:rPr>
          <w:b/>
          <w:bCs/>
        </w:rPr>
        <w:t xml:space="preserve"> 5</w:t>
      </w:r>
      <w:r w:rsidRPr="003E6A70">
        <w:t xml:space="preserve">). Those managed in a children’s MTC had the highest mortality rate at 17.7%, compared to 5% in adult MTCs and 4.6% in mixed MTCs.  In the adjusted analysis, the odds ratio for mortality was higher in adult </w:t>
      </w:r>
      <w:r w:rsidR="00FD42D2">
        <w:t xml:space="preserve">and mixed </w:t>
      </w:r>
      <w:r w:rsidRPr="003E6A70">
        <w:t>MTC’s compared to children’s MTCs</w:t>
      </w:r>
      <w:r w:rsidR="00FD42D2">
        <w:t>, but this</w:t>
      </w:r>
      <w:r w:rsidRPr="003E6A70">
        <w:t xml:space="preserve"> did not meet statistical significance. (</w:t>
      </w:r>
      <w:r w:rsidRPr="003E6A70">
        <w:rPr>
          <w:b/>
        </w:rPr>
        <w:t>Table 3</w:t>
      </w:r>
      <w:r w:rsidRPr="003E6A70">
        <w:t>).</w:t>
      </w:r>
      <w:r w:rsidRPr="00E81693">
        <w:t xml:space="preserve"> </w:t>
      </w:r>
    </w:p>
    <w:p w14:paraId="196471A0" w14:textId="66639864" w:rsidR="00D45C1B" w:rsidRDefault="00D45C1B" w:rsidP="00D45C1B">
      <w:pPr>
        <w:spacing w:after="240" w:line="360" w:lineRule="auto"/>
      </w:pPr>
      <w:r w:rsidRPr="0043576E">
        <w:rPr>
          <w:b/>
          <w:bCs/>
        </w:rPr>
        <w:t>Sub-group analysis: 14 to 17.99 years</w:t>
      </w:r>
      <w:r w:rsidRPr="0043576E">
        <w:rPr>
          <w:b/>
          <w:bCs/>
        </w:rPr>
        <w:tab/>
      </w:r>
      <w:r w:rsidRPr="0043576E">
        <w:rPr>
          <w:b/>
          <w:bCs/>
        </w:rPr>
        <w:tab/>
      </w:r>
      <w:r w:rsidRPr="0043576E">
        <w:rPr>
          <w:b/>
          <w:bCs/>
        </w:rPr>
        <w:tab/>
      </w:r>
      <w:r w:rsidRPr="0043576E">
        <w:rPr>
          <w:b/>
          <w:bCs/>
        </w:rPr>
        <w:tab/>
      </w:r>
      <w:r w:rsidRPr="0043576E">
        <w:rPr>
          <w:b/>
          <w:bCs/>
        </w:rPr>
        <w:tab/>
      </w:r>
      <w:r w:rsidRPr="0043576E">
        <w:rPr>
          <w:b/>
          <w:bCs/>
        </w:rPr>
        <w:tab/>
      </w:r>
      <w:r w:rsidRPr="0043576E">
        <w:rPr>
          <w:b/>
          <w:bCs/>
        </w:rPr>
        <w:tab/>
        <w:t xml:space="preserve">                    </w:t>
      </w:r>
      <w:r w:rsidRPr="0043576E">
        <w:t xml:space="preserve">In the subgroup analysis of the 14 to 17.99 years old, those managed in a children’s MTC had the lowest mortality rate </w:t>
      </w:r>
      <w:r>
        <w:t xml:space="preserve">at </w:t>
      </w:r>
      <w:r w:rsidRPr="0043576E">
        <w:t>2.5%, compared to 4.9% in adult MTCs and 4.4% in mixed MTCs.  In the adjusted analysis, the odds ratio for mortality was significantly higher in adult  MTCs in comparison to children’s MTCs.</w:t>
      </w:r>
      <w:r w:rsidR="00E318BD">
        <w:t xml:space="preserve">  </w:t>
      </w:r>
      <w:r w:rsidR="00E318BD" w:rsidRPr="00480571">
        <w:t>There was no statistically significant difference between mixed MTCs in comparison to children’s MTCs</w:t>
      </w:r>
      <w:r w:rsidR="00E318BD">
        <w:t xml:space="preserve"> </w:t>
      </w:r>
      <w:r w:rsidRPr="0043576E">
        <w:t>(</w:t>
      </w:r>
      <w:r w:rsidRPr="0043576E">
        <w:rPr>
          <w:b/>
        </w:rPr>
        <w:t>Table 3</w:t>
      </w:r>
      <w:r w:rsidRPr="0043576E">
        <w:t xml:space="preserve">). </w:t>
      </w:r>
    </w:p>
    <w:p w14:paraId="3D67C863" w14:textId="77777777" w:rsidR="00D45C1B" w:rsidRPr="001C26A4" w:rsidRDefault="00D45C1B" w:rsidP="00D45C1B">
      <w:pPr>
        <w:spacing w:after="240" w:line="360" w:lineRule="auto"/>
      </w:pPr>
      <w:r w:rsidRPr="001C26A4">
        <w:rPr>
          <w:b/>
          <w:bCs/>
        </w:rPr>
        <w:t>Sub-group analysis: ISS&gt;15 (Major Trauma) in adolescents (10-24</w:t>
      </w:r>
      <w:r>
        <w:rPr>
          <w:b/>
          <w:bCs/>
        </w:rPr>
        <w:t>.99</w:t>
      </w:r>
      <w:r w:rsidRPr="001C26A4">
        <w:rPr>
          <w:b/>
          <w:bCs/>
        </w:rPr>
        <w:t xml:space="preserve"> years)</w:t>
      </w:r>
      <w:r w:rsidRPr="001C26A4">
        <w:tab/>
      </w:r>
      <w:r w:rsidRPr="001C26A4">
        <w:tab/>
        <w:t xml:space="preserve">                              Table 4</w:t>
      </w:r>
      <w:r w:rsidRPr="001C26A4">
        <w:rPr>
          <w:color w:val="FF0000"/>
        </w:rPr>
        <w:t xml:space="preserve"> </w:t>
      </w:r>
      <w:r w:rsidRPr="001C26A4">
        <w:t xml:space="preserve">displays the 30-day crude and adjusted odds of mortality for major trauma (ISS &gt; 15).  The adjusted odds of mortality are greater in the mixed and adult MTC groups when compared to the children’s MTC.  </w:t>
      </w:r>
      <w:r w:rsidRPr="00711EAA">
        <w:t>This association is replicated in the 14 to 17.99 years subgroup for major trauma (</w:t>
      </w:r>
      <w:r w:rsidRPr="00711EAA">
        <w:rPr>
          <w:b/>
        </w:rPr>
        <w:t>Table 4</w:t>
      </w:r>
      <w:r w:rsidRPr="00711EAA">
        <w:t>).</w:t>
      </w:r>
      <w:r w:rsidRPr="001C26A4">
        <w:t xml:space="preserve"> </w:t>
      </w:r>
    </w:p>
    <w:p w14:paraId="752A6BC8" w14:textId="77777777" w:rsidR="00526F14" w:rsidRDefault="00526F14" w:rsidP="00526F14">
      <w:pPr>
        <w:spacing w:after="240" w:line="360" w:lineRule="auto"/>
        <w:rPr>
          <w:b/>
          <w:bCs/>
        </w:rPr>
      </w:pPr>
    </w:p>
    <w:p w14:paraId="0FC7DB36" w14:textId="76F37708" w:rsidR="00526F14" w:rsidRPr="001C26A4" w:rsidRDefault="00526F14" w:rsidP="00526F14">
      <w:pPr>
        <w:spacing w:after="240" w:line="360" w:lineRule="auto"/>
        <w:rPr>
          <w:rFonts w:eastAsia="Arial"/>
          <w:b/>
          <w:bCs/>
        </w:rPr>
      </w:pPr>
      <w:r w:rsidRPr="001C26A4">
        <w:rPr>
          <w:b/>
          <w:bCs/>
        </w:rPr>
        <w:t>DISCUSSION</w:t>
      </w:r>
    </w:p>
    <w:p w14:paraId="013166FC" w14:textId="3F13BAC4" w:rsidR="00526F14" w:rsidRDefault="00526F14" w:rsidP="00526F14">
      <w:pPr>
        <w:spacing w:after="240" w:line="360" w:lineRule="auto"/>
      </w:pPr>
      <w:r w:rsidRPr="001C26A4">
        <w:t>Using English trauma registry data, we have demonstrated lower 30-day crude mortality rates for adolescent trauma patients</w:t>
      </w:r>
      <w:r w:rsidR="009C6E18">
        <w:t xml:space="preserve"> </w:t>
      </w:r>
      <w:r w:rsidR="009C6E18" w:rsidRPr="00480571">
        <w:t>(10-24.99 years)</w:t>
      </w:r>
      <w:r w:rsidRPr="00480571">
        <w:t xml:space="preserve"> attending</w:t>
      </w:r>
      <w:r w:rsidRPr="001C26A4">
        <w:t xml:space="preserve"> children’s MTCs in comparison to adult or mixed MTCs. This association persisted after adjustment for potential confounding factors, and in sub-group analyses comparing outcomes for those with major trauma (ISS&gt;15) and those aged 14-17.99 years (with or without major trauma).  </w:t>
      </w:r>
    </w:p>
    <w:p w14:paraId="598205D4" w14:textId="1AD813B8" w:rsidR="00EA3E7D" w:rsidRPr="003E6A70" w:rsidRDefault="00EA3E7D" w:rsidP="00EA3E7D">
      <w:pPr>
        <w:shd w:val="clear" w:color="auto" w:fill="FFFFFF"/>
        <w:spacing w:line="360" w:lineRule="auto"/>
        <w:rPr>
          <w:shd w:val="clear" w:color="auto" w:fill="FFFFFF"/>
        </w:rPr>
      </w:pPr>
      <w:r w:rsidRPr="003E6A70">
        <w:rPr>
          <w:shd w:val="clear" w:color="auto" w:fill="FFFFFF"/>
        </w:rPr>
        <w:t>When the cohort was divided into young (10-15.99 years) and older adolescence (16-24.99</w:t>
      </w:r>
      <w:r w:rsidR="0024256B">
        <w:rPr>
          <w:shd w:val="clear" w:color="auto" w:fill="FFFFFF"/>
        </w:rPr>
        <w:t xml:space="preserve"> years</w:t>
      </w:r>
      <w:r w:rsidRPr="003E6A70">
        <w:rPr>
          <w:shd w:val="clear" w:color="auto" w:fill="FFFFFF"/>
        </w:rPr>
        <w:t>), the trend for an</w:t>
      </w:r>
      <w:r w:rsidR="00AC71F8">
        <w:rPr>
          <w:shd w:val="clear" w:color="auto" w:fill="FFFFFF"/>
        </w:rPr>
        <w:t xml:space="preserve"> adjusted</w:t>
      </w:r>
      <w:r w:rsidRPr="003E6A70">
        <w:rPr>
          <w:shd w:val="clear" w:color="auto" w:fill="FFFFFF"/>
        </w:rPr>
        <w:t xml:space="preserve"> improved mortality rate in those attending children’s MTC</w:t>
      </w:r>
      <w:r w:rsidR="0077242B" w:rsidRPr="003E6A70">
        <w:rPr>
          <w:shd w:val="clear" w:color="auto" w:fill="FFFFFF"/>
        </w:rPr>
        <w:t>s</w:t>
      </w:r>
      <w:r w:rsidR="00AC71F8">
        <w:rPr>
          <w:shd w:val="clear" w:color="auto" w:fill="FFFFFF"/>
        </w:rPr>
        <w:t xml:space="preserve"> remained.</w:t>
      </w:r>
      <w:r w:rsidR="0024256B">
        <w:rPr>
          <w:shd w:val="clear" w:color="auto" w:fill="FFFFFF"/>
        </w:rPr>
        <w:t xml:space="preserve"> </w:t>
      </w:r>
      <w:r w:rsidR="00AC71F8" w:rsidRPr="00480571">
        <w:rPr>
          <w:shd w:val="clear" w:color="auto" w:fill="FFFFFF"/>
        </w:rPr>
        <w:t>In</w:t>
      </w:r>
      <w:r w:rsidR="0024256B" w:rsidRPr="00480571">
        <w:rPr>
          <w:shd w:val="clear" w:color="auto" w:fill="FFFFFF"/>
        </w:rPr>
        <w:t xml:space="preserve"> the young adolescent group (10-15.99 years)</w:t>
      </w:r>
      <w:r w:rsidR="00AC71F8" w:rsidRPr="00480571">
        <w:rPr>
          <w:shd w:val="clear" w:color="auto" w:fill="FFFFFF"/>
        </w:rPr>
        <w:t>,</w:t>
      </w:r>
      <w:r w:rsidR="00662174" w:rsidRPr="00480571">
        <w:rPr>
          <w:shd w:val="clear" w:color="auto" w:fill="FFFFFF"/>
        </w:rPr>
        <w:t xml:space="preserve"> </w:t>
      </w:r>
      <w:r w:rsidRPr="00480571">
        <w:rPr>
          <w:shd w:val="clear" w:color="auto" w:fill="FFFFFF"/>
        </w:rPr>
        <w:t>the</w:t>
      </w:r>
      <w:r w:rsidRPr="003E6A70">
        <w:rPr>
          <w:shd w:val="clear" w:color="auto" w:fill="FFFFFF"/>
        </w:rPr>
        <w:t xml:space="preserve"> adjusted odds of mortality </w:t>
      </w:r>
      <w:r w:rsidRPr="003E6A70">
        <w:rPr>
          <w:shd w:val="clear" w:color="auto" w:fill="FFFFFF"/>
        </w:rPr>
        <w:lastRenderedPageBreak/>
        <w:t>were 2.2 times higher for those who attended a mixed MTC compared to a children’s MTC</w:t>
      </w:r>
      <w:r w:rsidR="00E77FEA" w:rsidRPr="003E6A70">
        <w:rPr>
          <w:shd w:val="clear" w:color="auto" w:fill="FFFFFF"/>
        </w:rPr>
        <w:t>, which was statically significant</w:t>
      </w:r>
      <w:r w:rsidRPr="003E6A70">
        <w:rPr>
          <w:shd w:val="clear" w:color="auto" w:fill="FFFFFF"/>
        </w:rPr>
        <w:t xml:space="preserve">. In the comparison </w:t>
      </w:r>
      <w:r w:rsidR="00900D66">
        <w:rPr>
          <w:shd w:val="clear" w:color="auto" w:fill="FFFFFF"/>
        </w:rPr>
        <w:t xml:space="preserve">of </w:t>
      </w:r>
      <w:r w:rsidRPr="003E6A70">
        <w:rPr>
          <w:shd w:val="clear" w:color="auto" w:fill="FFFFFF"/>
        </w:rPr>
        <w:t>adult MTC</w:t>
      </w:r>
      <w:r w:rsidR="00900D66">
        <w:rPr>
          <w:shd w:val="clear" w:color="auto" w:fill="FFFFFF"/>
        </w:rPr>
        <w:t>s to children’s MTCs for the 10-15.99 years age group</w:t>
      </w:r>
      <w:r w:rsidRPr="003E6A70">
        <w:rPr>
          <w:shd w:val="clear" w:color="auto" w:fill="FFFFFF"/>
        </w:rPr>
        <w:t xml:space="preserve">, the adjusted odds of mortality was 2.9, although this was not statically significant. </w:t>
      </w:r>
    </w:p>
    <w:p w14:paraId="6C268282" w14:textId="77777777" w:rsidR="00EA3E7D" w:rsidRPr="003E6A70" w:rsidRDefault="00EA3E7D" w:rsidP="00EA3E7D">
      <w:pPr>
        <w:shd w:val="clear" w:color="auto" w:fill="FFFFFF"/>
        <w:spacing w:line="360" w:lineRule="auto"/>
        <w:rPr>
          <w:shd w:val="clear" w:color="auto" w:fill="FFFFFF"/>
        </w:rPr>
      </w:pPr>
    </w:p>
    <w:p w14:paraId="1A01E1BE" w14:textId="4AB3C0E3" w:rsidR="006C2465" w:rsidRPr="00480571" w:rsidRDefault="00EA3E7D" w:rsidP="006C2465">
      <w:pPr>
        <w:spacing w:after="240" w:line="360" w:lineRule="auto"/>
      </w:pPr>
      <w:r w:rsidRPr="00480571">
        <w:rPr>
          <w:shd w:val="clear" w:color="auto" w:fill="FFFFFF"/>
        </w:rPr>
        <w:t>For the older adolescent cohort</w:t>
      </w:r>
      <w:r w:rsidR="006C2465" w:rsidRPr="00480571">
        <w:rPr>
          <w:shd w:val="clear" w:color="auto" w:fill="FFFFFF"/>
        </w:rPr>
        <w:t xml:space="preserve"> (16-24.99 years)</w:t>
      </w:r>
      <w:r w:rsidRPr="00480571">
        <w:rPr>
          <w:shd w:val="clear" w:color="auto" w:fill="FFFFFF"/>
        </w:rPr>
        <w:t xml:space="preserve"> </w:t>
      </w:r>
      <w:r w:rsidR="006C2465" w:rsidRPr="00480571">
        <w:t>those managed in a children’s MTC had the highest mortality rate at 17.7%, compared to 5% in adult MTCs and 4.6% in mixed MTCs.  T</w:t>
      </w:r>
      <w:r w:rsidRPr="00480571">
        <w:rPr>
          <w:color w:val="000000"/>
          <w:shd w:val="clear" w:color="auto" w:fill="FFFFFF"/>
        </w:rPr>
        <w:t xml:space="preserve">he adjusted odds of mortality </w:t>
      </w:r>
      <w:r w:rsidR="006C2465" w:rsidRPr="00480571">
        <w:rPr>
          <w:color w:val="000000"/>
          <w:shd w:val="clear" w:color="auto" w:fill="FFFFFF"/>
        </w:rPr>
        <w:t xml:space="preserve">however continue to </w:t>
      </w:r>
      <w:r w:rsidRPr="00480571">
        <w:rPr>
          <w:color w:val="000000"/>
          <w:shd w:val="clear" w:color="auto" w:fill="FFFFFF"/>
        </w:rPr>
        <w:t>favour children’s MTC</w:t>
      </w:r>
      <w:r w:rsidR="00662174" w:rsidRPr="00480571">
        <w:rPr>
          <w:color w:val="000000"/>
          <w:shd w:val="clear" w:color="auto" w:fill="FFFFFF"/>
        </w:rPr>
        <w:t xml:space="preserve">s </w:t>
      </w:r>
      <w:r w:rsidR="006C2465" w:rsidRPr="00480571">
        <w:rPr>
          <w:color w:val="000000"/>
          <w:shd w:val="clear" w:color="auto" w:fill="FFFFFF"/>
        </w:rPr>
        <w:t xml:space="preserve">although </w:t>
      </w:r>
      <w:r w:rsidR="00662174" w:rsidRPr="00480571">
        <w:rPr>
          <w:color w:val="000000"/>
          <w:shd w:val="clear" w:color="auto" w:fill="FFFFFF"/>
        </w:rPr>
        <w:t>this did not meet statistical significance</w:t>
      </w:r>
      <w:r w:rsidR="00AC71F8" w:rsidRPr="00480571">
        <w:rPr>
          <w:color w:val="000000"/>
          <w:shd w:val="clear" w:color="auto" w:fill="FFFFFF"/>
        </w:rPr>
        <w:t>. T</w:t>
      </w:r>
      <w:r w:rsidRPr="00480571">
        <w:rPr>
          <w:color w:val="000000"/>
          <w:shd w:val="clear" w:color="auto" w:fill="FFFFFF"/>
        </w:rPr>
        <w:t>hese data should be interpreted with cautio</w:t>
      </w:r>
      <w:r w:rsidR="00E77FEA" w:rsidRPr="00480571">
        <w:rPr>
          <w:color w:val="000000"/>
          <w:shd w:val="clear" w:color="auto" w:fill="FFFFFF"/>
        </w:rPr>
        <w:t xml:space="preserve">n due the </w:t>
      </w:r>
      <w:r w:rsidR="00AC71F8" w:rsidRPr="00480571">
        <w:rPr>
          <w:color w:val="000000"/>
          <w:shd w:val="clear" w:color="auto" w:fill="FFFFFF"/>
        </w:rPr>
        <w:t>variation in case numbers attending each</w:t>
      </w:r>
      <w:r w:rsidR="00E77FEA" w:rsidRPr="00480571">
        <w:rPr>
          <w:color w:val="000000"/>
          <w:shd w:val="clear" w:color="auto" w:fill="FFFFFF"/>
        </w:rPr>
        <w:t xml:space="preserve"> MTC types</w:t>
      </w:r>
      <w:r w:rsidR="006C2465" w:rsidRPr="00480571">
        <w:rPr>
          <w:color w:val="000000"/>
          <w:shd w:val="clear" w:color="auto" w:fill="FFFFFF"/>
        </w:rPr>
        <w:t xml:space="preserve"> </w:t>
      </w:r>
      <w:r w:rsidR="006C2465" w:rsidRPr="00480571">
        <w:t xml:space="preserve">(children’s MTC n = 17, mixed MTC n = 9,153 and adult MTC n=7,507). </w:t>
      </w:r>
    </w:p>
    <w:p w14:paraId="1C69B608" w14:textId="68E6BDBB" w:rsidR="00EA3E7D" w:rsidRPr="00C010A6" w:rsidRDefault="00BE1BFA" w:rsidP="00EA3E7D">
      <w:pPr>
        <w:shd w:val="clear" w:color="auto" w:fill="FFFFFF"/>
        <w:spacing w:line="360" w:lineRule="auto"/>
        <w:rPr>
          <w:shd w:val="clear" w:color="auto" w:fill="FFFFFF"/>
        </w:rPr>
      </w:pPr>
      <w:r w:rsidRPr="00BE1BFA">
        <w:rPr>
          <w:shd w:val="clear" w:color="auto" w:fill="FFFFFF"/>
        </w:rPr>
        <w:t>Some young adolescents (10-15.99) and some old adolescents (16-24.99) presented to non-designated centres (in accordance to English hospital set up of adult and children's MTCs)</w:t>
      </w:r>
      <w:r w:rsidR="00EA3E7D" w:rsidRPr="00480571">
        <w:rPr>
          <w:shd w:val="clear" w:color="auto" w:fill="FFFFFF"/>
        </w:rPr>
        <w:t xml:space="preserve">, with </w:t>
      </w:r>
      <w:r w:rsidR="00EA3E7D" w:rsidRPr="00480571">
        <w:t>430 patients under 16 years of age treated in adult MTCs (9.9% of all aged &lt;16</w:t>
      </w:r>
      <w:r w:rsidR="000E6AEC" w:rsidRPr="00480571">
        <w:t xml:space="preserve"> years</w:t>
      </w:r>
      <w:r w:rsidR="00EA3E7D" w:rsidRPr="00480571">
        <w:t xml:space="preserve">) and 17 patients over 16 </w:t>
      </w:r>
      <w:r w:rsidR="00A824F4" w:rsidRPr="00480571">
        <w:t xml:space="preserve">years </w:t>
      </w:r>
      <w:r w:rsidR="00EA3E7D" w:rsidRPr="00480571">
        <w:t>attending a children’s MTC (0.1% of all aged 16-24</w:t>
      </w:r>
      <w:r w:rsidR="00F65581" w:rsidRPr="00480571">
        <w:t>.99</w:t>
      </w:r>
      <w:r w:rsidR="000E6AEC" w:rsidRPr="00480571">
        <w:t xml:space="preserve"> years</w:t>
      </w:r>
      <w:r w:rsidR="00EA3E7D" w:rsidRPr="00480571">
        <w:t>)</w:t>
      </w:r>
      <w:r w:rsidR="00EA3E7D" w:rsidRPr="00480571">
        <w:rPr>
          <w:shd w:val="clear" w:color="auto" w:fill="FFFFFF"/>
        </w:rPr>
        <w:t xml:space="preserve">. </w:t>
      </w:r>
      <w:r w:rsidR="00151680" w:rsidRPr="00480571">
        <w:rPr>
          <w:shd w:val="clear" w:color="auto" w:fill="FFFFFF"/>
        </w:rPr>
        <w:t xml:space="preserve">We hypothesis that this variation in protocol is multi-factorial, including </w:t>
      </w:r>
      <w:r w:rsidR="00C010A6" w:rsidRPr="00480571">
        <w:rPr>
          <w:shd w:val="clear" w:color="auto" w:fill="FFFFFF"/>
        </w:rPr>
        <w:t xml:space="preserve">errors in estimating </w:t>
      </w:r>
      <w:r w:rsidR="0009403E" w:rsidRPr="00480571">
        <w:rPr>
          <w:shd w:val="clear" w:color="auto" w:fill="FFFFFF"/>
        </w:rPr>
        <w:t xml:space="preserve">the </w:t>
      </w:r>
      <w:r w:rsidR="00C010A6" w:rsidRPr="00480571">
        <w:rPr>
          <w:shd w:val="clear" w:color="auto" w:fill="FFFFFF"/>
        </w:rPr>
        <w:t>age</w:t>
      </w:r>
      <w:r w:rsidR="0009403E" w:rsidRPr="00480571">
        <w:rPr>
          <w:shd w:val="clear" w:color="auto" w:fill="FFFFFF"/>
        </w:rPr>
        <w:t xml:space="preserve"> in the prehospital setting</w:t>
      </w:r>
      <w:r w:rsidR="008E6605" w:rsidRPr="00480571">
        <w:rPr>
          <w:shd w:val="clear" w:color="auto" w:fill="FFFFFF"/>
        </w:rPr>
        <w:t xml:space="preserve">. </w:t>
      </w:r>
      <w:r w:rsidR="00151680" w:rsidRPr="00480571">
        <w:rPr>
          <w:shd w:val="clear" w:color="auto" w:fill="FFFFFF"/>
        </w:rPr>
        <w:t xml:space="preserve">In some instances, including in cases of extremis, pre-hospital teams may divert from protocol to the nearest unit for life saving interventions. </w:t>
      </w:r>
      <w:r w:rsidR="00C010A6" w:rsidRPr="00480571">
        <w:rPr>
          <w:shd w:val="clear" w:color="auto" w:fill="FFFFFF"/>
        </w:rPr>
        <w:t xml:space="preserve"> </w:t>
      </w:r>
      <w:r w:rsidR="00151680" w:rsidRPr="00480571">
        <w:rPr>
          <w:shd w:val="clear" w:color="auto" w:fill="FFFFFF"/>
        </w:rPr>
        <w:t xml:space="preserve">In those </w:t>
      </w:r>
      <w:r w:rsidR="0009403E" w:rsidRPr="00480571">
        <w:rPr>
          <w:shd w:val="clear" w:color="auto" w:fill="FFFFFF"/>
        </w:rPr>
        <w:t>under</w:t>
      </w:r>
      <w:r w:rsidR="00C010A6" w:rsidRPr="00480571">
        <w:rPr>
          <w:shd w:val="clear" w:color="auto" w:fill="FFFFFF"/>
        </w:rPr>
        <w:t xml:space="preserve"> 16 years </w:t>
      </w:r>
      <w:r w:rsidR="00151680" w:rsidRPr="00480571">
        <w:rPr>
          <w:shd w:val="clear" w:color="auto" w:fill="FFFFFF"/>
        </w:rPr>
        <w:t>deemed</w:t>
      </w:r>
      <w:r w:rsidR="00AD3745" w:rsidRPr="00480571">
        <w:rPr>
          <w:shd w:val="clear" w:color="auto" w:fill="FFFFFF"/>
        </w:rPr>
        <w:t xml:space="preserve"> </w:t>
      </w:r>
      <w:r w:rsidR="00C010A6" w:rsidRPr="00480571">
        <w:rPr>
          <w:shd w:val="clear" w:color="auto" w:fill="FFFFFF"/>
        </w:rPr>
        <w:t>too un</w:t>
      </w:r>
      <w:r w:rsidR="00AD3745" w:rsidRPr="00480571">
        <w:rPr>
          <w:shd w:val="clear" w:color="auto" w:fill="FFFFFF"/>
        </w:rPr>
        <w:t>stab</w:t>
      </w:r>
      <w:r w:rsidR="00C010A6" w:rsidRPr="00480571">
        <w:rPr>
          <w:shd w:val="clear" w:color="auto" w:fill="FFFFFF"/>
        </w:rPr>
        <w:t>l</w:t>
      </w:r>
      <w:r w:rsidR="00AD3745" w:rsidRPr="00480571">
        <w:rPr>
          <w:shd w:val="clear" w:color="auto" w:fill="FFFFFF"/>
        </w:rPr>
        <w:t>e</w:t>
      </w:r>
      <w:r w:rsidR="00C010A6" w:rsidRPr="00480571">
        <w:rPr>
          <w:shd w:val="clear" w:color="auto" w:fill="FFFFFF"/>
        </w:rPr>
        <w:t xml:space="preserve"> for</w:t>
      </w:r>
      <w:r w:rsidR="00151680" w:rsidRPr="00480571">
        <w:rPr>
          <w:shd w:val="clear" w:color="auto" w:fill="FFFFFF"/>
        </w:rPr>
        <w:t xml:space="preserve"> safe</w:t>
      </w:r>
      <w:r w:rsidR="00C010A6" w:rsidRPr="00480571">
        <w:rPr>
          <w:shd w:val="clear" w:color="auto" w:fill="FFFFFF"/>
        </w:rPr>
        <w:t xml:space="preserve"> transfer </w:t>
      </w:r>
      <w:r w:rsidR="00AD3745" w:rsidRPr="00480571">
        <w:rPr>
          <w:shd w:val="clear" w:color="auto" w:fill="FFFFFF"/>
        </w:rPr>
        <w:t>the prehospital team</w:t>
      </w:r>
      <w:r w:rsidR="00151680" w:rsidRPr="00480571">
        <w:rPr>
          <w:shd w:val="clear" w:color="auto" w:fill="FFFFFF"/>
        </w:rPr>
        <w:t xml:space="preserve"> may attend</w:t>
      </w:r>
      <w:r w:rsidR="00AD3745" w:rsidRPr="00480571">
        <w:rPr>
          <w:shd w:val="clear" w:color="auto" w:fill="FFFFFF"/>
        </w:rPr>
        <w:t xml:space="preserve"> </w:t>
      </w:r>
      <w:r w:rsidR="00C010A6" w:rsidRPr="00480571">
        <w:rPr>
          <w:shd w:val="clear" w:color="auto" w:fill="FFFFFF"/>
        </w:rPr>
        <w:t>the nearest</w:t>
      </w:r>
      <w:r w:rsidR="0009403E" w:rsidRPr="00480571">
        <w:rPr>
          <w:shd w:val="clear" w:color="auto" w:fill="FFFFFF"/>
        </w:rPr>
        <w:t xml:space="preserve"> c</w:t>
      </w:r>
      <w:r w:rsidR="00C010A6" w:rsidRPr="00480571">
        <w:rPr>
          <w:shd w:val="clear" w:color="auto" w:fill="FFFFFF"/>
        </w:rPr>
        <w:t xml:space="preserve">hildren’s TU (which may also be an </w:t>
      </w:r>
      <w:r w:rsidR="0009403E" w:rsidRPr="00480571">
        <w:rPr>
          <w:shd w:val="clear" w:color="auto" w:fill="FFFFFF"/>
        </w:rPr>
        <w:t>a</w:t>
      </w:r>
      <w:r w:rsidR="00C010A6" w:rsidRPr="00480571">
        <w:rPr>
          <w:shd w:val="clear" w:color="auto" w:fill="FFFFFF"/>
        </w:rPr>
        <w:t>dult MTC)</w:t>
      </w:r>
      <w:r w:rsidR="00AD3745" w:rsidRPr="00480571">
        <w:rPr>
          <w:shd w:val="clear" w:color="auto" w:fill="FFFFFF"/>
        </w:rPr>
        <w:t xml:space="preserve">.  </w:t>
      </w:r>
    </w:p>
    <w:p w14:paraId="3467132C" w14:textId="77777777" w:rsidR="00270BDF" w:rsidRPr="00270BDF" w:rsidRDefault="00270BDF" w:rsidP="00270BDF">
      <w:pPr>
        <w:shd w:val="clear" w:color="auto" w:fill="FFFFFF"/>
        <w:spacing w:line="360" w:lineRule="auto"/>
        <w:rPr>
          <w:color w:val="000000"/>
          <w:shd w:val="clear" w:color="auto" w:fill="FFFFFF"/>
        </w:rPr>
      </w:pPr>
    </w:p>
    <w:p w14:paraId="5F488625" w14:textId="64D0ACD1" w:rsidR="00526F14" w:rsidRPr="001C26A4" w:rsidRDefault="00526F14" w:rsidP="00526F14">
      <w:pPr>
        <w:spacing w:after="240" w:line="360" w:lineRule="auto"/>
      </w:pPr>
      <w:r w:rsidRPr="001C26A4">
        <w:t xml:space="preserve">Existing literature describing adolescent mortality secondary to trauma is predominantly from the US, </w:t>
      </w:r>
      <w:r w:rsidR="00086D7C">
        <w:t xml:space="preserve">and </w:t>
      </w:r>
      <w:r w:rsidRPr="001C26A4">
        <w:t>outcomes appear contradictory across studies. A 2016 study which accessed the US National Trauma Data Bank described higher a</w:t>
      </w:r>
      <w:r w:rsidRPr="001C26A4">
        <w:rPr>
          <w:shd w:val="clear" w:color="auto" w:fill="FFFFFF"/>
        </w:rPr>
        <w:t>djusted odds of mortality in adult MTCs (</w:t>
      </w:r>
      <w:r w:rsidRPr="002C1BEF">
        <w:rPr>
          <w:shd w:val="clear" w:color="auto" w:fill="FFFFFF"/>
        </w:rPr>
        <w:t xml:space="preserve">odds ratio, 4.19; 95% CI, 1.30-13.51) and mixed MTCs (odds ratio, 6.68; 95% CI, 2.03-21.99) compared with </w:t>
      </w:r>
      <w:r w:rsidRPr="00141F11">
        <w:t>children’s</w:t>
      </w:r>
      <w:r w:rsidRPr="00141F11">
        <w:rPr>
          <w:shd w:val="clear" w:color="auto" w:fill="FFFFFF"/>
        </w:rPr>
        <w:t xml:space="preserve"> MTCs.[4]  </w:t>
      </w:r>
      <w:r w:rsidRPr="002C1BEF">
        <w:t>Other studies have reported no difference in mortality between centres for either penetrating or blunt trauma [13], lower crude mortality (but not adjusted mortality) in a children’s trauma centre compared to an adult trauma centre [17], and no difference in mortality by centre but a reduction in imaging, invasive procedures, and ICU LoS, and improved discharge to home in children’s trauma centres. [18]</w:t>
      </w:r>
      <w:r w:rsidRPr="002C1BEF">
        <w:rPr>
          <w:vertAlign w:val="superscript"/>
        </w:rPr>
        <w:t xml:space="preserve"> </w:t>
      </w:r>
      <w:r w:rsidRPr="002C1BEF">
        <w:t xml:space="preserve"> One further study of patients with penetrating injuries (predominantly stabbing and gunshot wounds) performed a sub-group analysis on adolescents (defined as &gt;12 years), finding no difference </w:t>
      </w:r>
      <w:r w:rsidRPr="002C1BEF">
        <w:lastRenderedPageBreak/>
        <w:t xml:space="preserve">in mortality. This same study reported those  &lt;5 years old may have superior functional outcomes when treated at a paediatric trauma centre.[19] </w:t>
      </w:r>
    </w:p>
    <w:p w14:paraId="7C4F26E9" w14:textId="36EEF756" w:rsidR="00526F14" w:rsidRPr="001C26A4" w:rsidRDefault="00526F14" w:rsidP="00526F14">
      <w:pPr>
        <w:spacing w:after="240" w:line="360" w:lineRule="auto"/>
        <w:rPr>
          <w:color w:val="FF0000"/>
        </w:rPr>
      </w:pPr>
      <w:r w:rsidRPr="00480571">
        <w:t xml:space="preserve">Adolescents </w:t>
      </w:r>
      <w:r w:rsidR="007B0851" w:rsidRPr="00480571">
        <w:t>(10-24.99 years)</w:t>
      </w:r>
      <w:r w:rsidR="007B0851">
        <w:t xml:space="preserve"> </w:t>
      </w:r>
      <w:r w:rsidRPr="001C26A4">
        <w:t>who presented to a children’s MTC had a lower ISS compared to adult and mixed MTCs. Previous trauma studies report a correlation between an increasing ISS and higher mortality.[2</w:t>
      </w:r>
      <w:r>
        <w:t>0</w:t>
      </w:r>
      <w:r w:rsidRPr="001C26A4">
        <w:t xml:space="preserve">] In acknowledgement of this, we undertook statistical adjustments to account </w:t>
      </w:r>
      <w:r w:rsidRPr="00141F11">
        <w:t>for the variation in ISS and also performed a sub-group analysis for those with major trauma (ISS&gt;15). In both, the trend for a lower mortality rate in the children’s MTC remained, supporting the view that children’s MTCs manage adolescent trauma with good outcomes despite seeing a lower volume of cases. This is in contrast to evidence suggesting improved trauma outcomes in institutions with higher case volumes.[2</w:t>
      </w:r>
      <w:r>
        <w:t>1</w:t>
      </w:r>
      <w:r w:rsidRPr="00141F11">
        <w:t>,2</w:t>
      </w:r>
      <w:r>
        <w:t>2</w:t>
      </w:r>
      <w:r w:rsidRPr="00141F11">
        <w:t xml:space="preserve">] </w:t>
      </w:r>
    </w:p>
    <w:p w14:paraId="17531A47" w14:textId="7A6724F0" w:rsidR="00526F14" w:rsidRPr="00270BDF" w:rsidRDefault="00526F14" w:rsidP="00270BDF">
      <w:pPr>
        <w:spacing w:after="240" w:line="360" w:lineRule="auto"/>
      </w:pPr>
      <w:r w:rsidRPr="001C26A4">
        <w:t>Between groups, there were statistically significant differences in baseline physiological observations. However, there was no clinical significance to these differences, and this finding likely represents the slight variations in normal values that one would expect over the age range of this cohort.</w:t>
      </w:r>
    </w:p>
    <w:p w14:paraId="6A23C811" w14:textId="3090B63D" w:rsidR="00526F14" w:rsidRPr="00141F11" w:rsidRDefault="00526F14" w:rsidP="00526F14">
      <w:pPr>
        <w:shd w:val="clear" w:color="auto" w:fill="FFFFFF"/>
        <w:spacing w:line="360" w:lineRule="auto"/>
      </w:pPr>
      <w:r w:rsidRPr="001C26A4">
        <w:t>There was some variation in practice between trauma centres. Those that attended a children’s MTC were less likely to have a consultant present. We hypothes</w:t>
      </w:r>
      <w:r>
        <w:t xml:space="preserve">ise </w:t>
      </w:r>
      <w:r w:rsidRPr="001C26A4">
        <w:t xml:space="preserve">that this variation </w:t>
      </w:r>
      <w:r>
        <w:t>may be a</w:t>
      </w:r>
      <w:r w:rsidRPr="001C26A4">
        <w:t xml:space="preserve"> consequence of</w:t>
      </w:r>
      <w:r>
        <w:t xml:space="preserve"> differing patterns of conveyance</w:t>
      </w:r>
      <w:r w:rsidRPr="001C26A4">
        <w:t xml:space="preserve"> to children’s MTC</w:t>
      </w:r>
      <w:r>
        <w:t>s</w:t>
      </w:r>
      <w:r w:rsidRPr="001C26A4">
        <w:t xml:space="preserve"> rather than system configuration. Up to a third of major paediatric trauma cases are more likely to ‘self-present’ via parental transport rather than via ambulance, removing the pre-alert trauma call [2</w:t>
      </w:r>
      <w:r>
        <w:t>3</w:t>
      </w:r>
      <w:r w:rsidRPr="001C26A4">
        <w:t xml:space="preserve">]. </w:t>
      </w:r>
      <w:r w:rsidRPr="00DC6C80">
        <w:t>Regarding imaging, trauma cases were less likely to have a CT if they presented to a children’s MTC</w:t>
      </w:r>
      <w:r w:rsidR="00086D7C">
        <w:t>,</w:t>
      </w:r>
      <w:r w:rsidRPr="00DC6C80">
        <w:t xml:space="preserve"> and if they ha</w:t>
      </w:r>
      <w:r w:rsidR="00086D7C">
        <w:t>d</w:t>
      </w:r>
      <w:r w:rsidRPr="00DC6C80">
        <w:t xml:space="preserve"> a CT, it took longer to perform when compared to other MTC</w:t>
      </w:r>
      <w:r w:rsidR="00FA0FA2">
        <w:t xml:space="preserve"> type</w:t>
      </w:r>
      <w:r w:rsidRPr="00DC6C80">
        <w:t xml:space="preserve">s.  This reduction in </w:t>
      </w:r>
      <w:r w:rsidRPr="00141F11">
        <w:t>imaging is in keeping with other studies</w:t>
      </w:r>
      <w:r w:rsidR="00FA0FA2">
        <w:t>,</w:t>
      </w:r>
      <w:r w:rsidRPr="00141F11">
        <w:t xml:space="preserve"> with an assumption that the difference is a </w:t>
      </w:r>
      <w:r>
        <w:t>result</w:t>
      </w:r>
      <w:r w:rsidRPr="00141F11">
        <w:t xml:space="preserve"> of adherence to adult imaging principles.[8,11] Studies have noted no difference in mortality when targeted imaging is undertaken when compared to whole body CT.[2</w:t>
      </w:r>
      <w:r>
        <w:t>4</w:t>
      </w:r>
      <w:r w:rsidRPr="00141F11">
        <w:t xml:space="preserve">] One would assume that these secondary outcomes would potentially increase mortality in children’s MTCs and are unlikely to explain the variation in mortality outcomes that we noted. </w:t>
      </w:r>
    </w:p>
    <w:p w14:paraId="79BF2FCE" w14:textId="77777777" w:rsidR="00526F14" w:rsidRPr="00141F11" w:rsidRDefault="00526F14" w:rsidP="00526F14">
      <w:pPr>
        <w:shd w:val="clear" w:color="auto" w:fill="FFFFFF"/>
        <w:spacing w:line="360" w:lineRule="auto"/>
      </w:pPr>
    </w:p>
    <w:p w14:paraId="3699E6CD" w14:textId="2340E674" w:rsidR="00526F14" w:rsidRPr="00141F11" w:rsidRDefault="00526F14" w:rsidP="00526F14">
      <w:pPr>
        <w:shd w:val="clear" w:color="auto" w:fill="FFFFFF"/>
        <w:spacing w:line="360" w:lineRule="auto"/>
      </w:pPr>
      <w:r w:rsidRPr="00141F11">
        <w:t xml:space="preserve">There were some limitations to this study. TARN is the national trauma registry for the UK, with any analysis limited to prespecified fields. Adolescent trauma cases that do not meet TARN inclusion criteria but may have significant injuries were not captured for this analysis, </w:t>
      </w:r>
      <w:r w:rsidRPr="00141F11">
        <w:lastRenderedPageBreak/>
        <w:t>potentially creating a skewed data set. The decision to exclude TU</w:t>
      </w:r>
      <w:r w:rsidR="00A371F2">
        <w:t>s</w:t>
      </w:r>
      <w:r w:rsidRPr="00141F11">
        <w:t xml:space="preserve"> and transfers from a TU to a MTC was taken pragmatically as the authors felt this question would be more appropriately explored separately, and because the accuracy and completeness of data may be lower than that submitted from MTCs. Thus a considerable proportion of trauma cases were not included</w:t>
      </w:r>
      <w:r w:rsidR="00A371F2">
        <w:t>,</w:t>
      </w:r>
      <w:r w:rsidRPr="00141F11">
        <w:t xml:space="preserve"> and although it is assumed that MTCs would have better outcomes, it is not inconceivable that TUs may have the lowest mortality. There was considerable variation in the number of cases that attended each centre type, with the lowest volume in the children’s MTCs.  Although this variation was accounted for in the analysis it may have impacted on the results. The chosen age range of 10-24 years is consistent with the current adolescent literature, though comparisons of trauma between a 10-year-old and a 24-year-old may be challenging given variations in mechanism of injury and physiology. To address this, we undertook adjusted and sub-group analysis with a smaller age range (14-17.99-years) but there is the potential that other variables have not been considered that may have impacted our findings. </w:t>
      </w:r>
    </w:p>
    <w:p w14:paraId="49380EC7" w14:textId="77777777" w:rsidR="00526F14" w:rsidRPr="00141F11" w:rsidRDefault="00526F14" w:rsidP="00526F14">
      <w:pPr>
        <w:shd w:val="clear" w:color="auto" w:fill="FFFFFF"/>
        <w:spacing w:line="360" w:lineRule="auto"/>
      </w:pPr>
    </w:p>
    <w:p w14:paraId="069BCD00" w14:textId="77777777" w:rsidR="00526F14" w:rsidRPr="00141F11" w:rsidRDefault="00526F14" w:rsidP="00526F14">
      <w:pPr>
        <w:shd w:val="clear" w:color="auto" w:fill="FFFFFF"/>
        <w:spacing w:line="360" w:lineRule="auto"/>
      </w:pPr>
      <w:r w:rsidRPr="00141F11">
        <w:t xml:space="preserve">Further research is required in this field to identify the factors that may have influenced these results. These should be explored qualitatively through engagement with clinicians and adolescent representatives, and quantitatively with richer interrogation of existing data on the contribution of factors such as type of injury and resulting interventions. There may also be benefit in a larger prospective study, in which all adolescent trauma cases attending EDs (not just MTCs) are collated to facilitate more comprehensive analysis. </w:t>
      </w:r>
    </w:p>
    <w:p w14:paraId="22143146" w14:textId="77777777" w:rsidR="00526F14" w:rsidRPr="00141F11" w:rsidRDefault="00526F14" w:rsidP="00526F14">
      <w:pPr>
        <w:shd w:val="clear" w:color="auto" w:fill="FFFFFF"/>
        <w:spacing w:line="360" w:lineRule="auto"/>
      </w:pPr>
    </w:p>
    <w:p w14:paraId="517F5FD2" w14:textId="7732B938" w:rsidR="00D45C1B" w:rsidRDefault="00526F14" w:rsidP="00526F14">
      <w:pPr>
        <w:spacing w:after="240" w:line="360" w:lineRule="auto"/>
      </w:pPr>
      <w:r w:rsidRPr="00141F11">
        <w:t xml:space="preserve">In summary we have demonstrated that in England, children’s MTCs have lower 30-day mortality rates for adolescent trauma than adult or mixed MTCs, and that this association </w:t>
      </w:r>
      <w:r w:rsidRPr="001C26A4">
        <w:t>remains following adjustment for potential confounding variables including severity of injury.  Further research is required to understand factors influencing disparities in trauma-related mortality among adolescents who are cared for in non-children's MTCs.  We hope that the results of this study will play a part to highlight where adolescent trauma patients are best managed, inspire further work in this field and therefore impact on future health policy for this frequently overlooked demographic group.</w:t>
      </w:r>
    </w:p>
    <w:p w14:paraId="6FF8A382" w14:textId="30A5B055" w:rsidR="00AA382A" w:rsidRDefault="00AA382A" w:rsidP="00526F14">
      <w:pPr>
        <w:spacing w:after="240" w:line="360" w:lineRule="auto"/>
      </w:pPr>
    </w:p>
    <w:p w14:paraId="5F6A7B54" w14:textId="130A262D" w:rsidR="00AA382A" w:rsidRDefault="00AA382A" w:rsidP="00526F14">
      <w:pPr>
        <w:spacing w:after="240" w:line="360" w:lineRule="auto"/>
      </w:pPr>
    </w:p>
    <w:p w14:paraId="4F49B0B7" w14:textId="0094DE82" w:rsidR="00D45C1B" w:rsidRDefault="00D45C1B" w:rsidP="00D45C1B">
      <w:pPr>
        <w:spacing w:after="160" w:line="259" w:lineRule="auto"/>
      </w:pPr>
    </w:p>
    <w:p w14:paraId="2F02EC12" w14:textId="77777777" w:rsidR="0061578A" w:rsidRDefault="0061578A" w:rsidP="0061578A">
      <w:pPr>
        <w:spacing w:after="160" w:line="259" w:lineRule="auto"/>
        <w:rPr>
          <w:rFonts w:eastAsia="Arial"/>
          <w:b/>
          <w:bCs/>
          <w:sz w:val="22"/>
          <w:szCs w:val="22"/>
          <w:u w:color="365F91"/>
          <w:bdr w:val="nil"/>
          <w:lang w:val="en-US" w:eastAsia="en-US"/>
        </w:rPr>
      </w:pPr>
    </w:p>
    <w:p w14:paraId="1E274648" w14:textId="77777777" w:rsidR="0061578A" w:rsidRDefault="0061578A" w:rsidP="0061578A">
      <w:pPr>
        <w:pStyle w:val="Heading2"/>
        <w:pBdr>
          <w:top w:val="none" w:sz="0" w:space="0" w:color="auto"/>
          <w:left w:val="none" w:sz="0" w:space="0" w:color="auto"/>
          <w:bottom w:val="none" w:sz="0" w:space="0" w:color="auto"/>
          <w:right w:val="none" w:sz="0" w:space="0" w:color="auto"/>
        </w:pBdr>
        <w:spacing w:line="360" w:lineRule="auto"/>
        <w:rPr>
          <w:rFonts w:ascii="Times New Roman" w:eastAsia="Arial" w:hAnsi="Times New Roman" w:cs="Times New Roman"/>
          <w:bCs/>
          <w:color w:val="auto"/>
          <w:sz w:val="22"/>
          <w:szCs w:val="22"/>
        </w:rPr>
      </w:pPr>
      <w:r w:rsidRPr="001C26A4">
        <w:rPr>
          <w:rFonts w:ascii="Times New Roman" w:eastAsia="Arial" w:hAnsi="Times New Roman" w:cs="Times New Roman"/>
          <w:b/>
          <w:bCs/>
          <w:color w:val="auto"/>
          <w:sz w:val="22"/>
          <w:szCs w:val="22"/>
        </w:rPr>
        <w:t>Table 1.</w:t>
      </w:r>
      <w:r w:rsidRPr="001C26A4">
        <w:rPr>
          <w:rFonts w:ascii="Times New Roman" w:eastAsia="Arial" w:hAnsi="Times New Roman" w:cs="Times New Roman"/>
          <w:bCs/>
          <w:color w:val="auto"/>
          <w:sz w:val="22"/>
          <w:szCs w:val="22"/>
        </w:rPr>
        <w:t xml:space="preserve"> Demographic and outcome data for adolescent trauma cases coded by TARN </w:t>
      </w:r>
    </w:p>
    <w:p w14:paraId="63C00688" w14:textId="77777777" w:rsidR="0061578A" w:rsidRPr="001C26A4" w:rsidRDefault="0061578A" w:rsidP="0061578A">
      <w:pPr>
        <w:pStyle w:val="Heading2"/>
        <w:pBdr>
          <w:top w:val="none" w:sz="0" w:space="0" w:color="auto"/>
          <w:left w:val="none" w:sz="0" w:space="0" w:color="auto"/>
          <w:bottom w:val="none" w:sz="0" w:space="0" w:color="auto"/>
          <w:right w:val="none" w:sz="0" w:space="0" w:color="auto"/>
        </w:pBdr>
        <w:spacing w:line="360" w:lineRule="auto"/>
        <w:rPr>
          <w:rFonts w:ascii="Times New Roman" w:eastAsia="Arial" w:hAnsi="Times New Roman" w:cs="Times New Roman"/>
          <w:bCs/>
          <w:color w:val="auto"/>
          <w:sz w:val="22"/>
          <w:szCs w:val="22"/>
        </w:rPr>
      </w:pPr>
      <w:r w:rsidRPr="00DC6C80">
        <w:rPr>
          <w:rFonts w:ascii="Times New Roman" w:eastAsia="Arial" w:hAnsi="Times New Roman" w:cs="Times New Roman"/>
          <w:bCs/>
          <w:color w:val="auto"/>
          <w:sz w:val="22"/>
          <w:szCs w:val="22"/>
        </w:rPr>
        <w:t>sub</w:t>
      </w:r>
      <w:r>
        <w:rPr>
          <w:rFonts w:ascii="Times New Roman" w:eastAsia="Arial" w:hAnsi="Times New Roman" w:cs="Times New Roman"/>
          <w:bCs/>
          <w:color w:val="auto"/>
          <w:sz w:val="22"/>
          <w:szCs w:val="22"/>
        </w:rPr>
        <w:t>-</w:t>
      </w:r>
      <w:r w:rsidRPr="00DC6C80">
        <w:rPr>
          <w:rFonts w:ascii="Times New Roman" w:eastAsia="Arial" w:hAnsi="Times New Roman" w:cs="Times New Roman"/>
          <w:bCs/>
          <w:color w:val="auto"/>
          <w:sz w:val="22"/>
          <w:szCs w:val="22"/>
        </w:rPr>
        <w:t xml:space="preserve">categorised by MTC type.    </w:t>
      </w:r>
    </w:p>
    <w:p w14:paraId="58C76918" w14:textId="77777777" w:rsidR="0061578A" w:rsidRPr="001C26A4" w:rsidRDefault="0061578A" w:rsidP="0061578A">
      <w:pPr>
        <w:pStyle w:val="BodyB"/>
        <w:pBdr>
          <w:top w:val="none" w:sz="0" w:space="0" w:color="auto"/>
          <w:left w:val="none" w:sz="0" w:space="0" w:color="auto"/>
          <w:bottom w:val="none" w:sz="0" w:space="0" w:color="auto"/>
          <w:right w:val="none" w:sz="0" w:space="0" w:color="auto"/>
        </w:pBdr>
        <w:rPr>
          <w:rFonts w:eastAsia="Arial"/>
        </w:rPr>
      </w:pPr>
    </w:p>
    <w:tbl>
      <w:tblPr>
        <w:tblStyle w:val="TableGrid"/>
        <w:tblpPr w:leftFromText="180" w:rightFromText="180" w:vertAnchor="page" w:horzAnchor="margin" w:tblpY="2744"/>
        <w:tblW w:w="5186" w:type="pct"/>
        <w:tblLayout w:type="fixed"/>
        <w:tblLook w:val="04A0" w:firstRow="1" w:lastRow="0" w:firstColumn="1" w:lastColumn="0" w:noHBand="0" w:noVBand="1"/>
      </w:tblPr>
      <w:tblGrid>
        <w:gridCol w:w="2259"/>
        <w:gridCol w:w="1418"/>
        <w:gridCol w:w="1418"/>
        <w:gridCol w:w="1560"/>
        <w:gridCol w:w="1563"/>
        <w:gridCol w:w="1133"/>
      </w:tblGrid>
      <w:tr w:rsidR="0061578A" w:rsidRPr="001C26A4" w14:paraId="52CA9DF7" w14:textId="77777777" w:rsidTr="00B5012D">
        <w:tc>
          <w:tcPr>
            <w:tcW w:w="1208" w:type="pct"/>
            <w:shd w:val="clear" w:color="auto" w:fill="auto"/>
            <w:vAlign w:val="center"/>
          </w:tcPr>
          <w:p w14:paraId="7517A7D0" w14:textId="77777777" w:rsidR="0061578A" w:rsidRPr="001C26A4" w:rsidRDefault="0061578A" w:rsidP="0014192C">
            <w:pPr>
              <w:jc w:val="center"/>
              <w:rPr>
                <w:sz w:val="22"/>
                <w:szCs w:val="22"/>
              </w:rPr>
            </w:pPr>
          </w:p>
        </w:tc>
        <w:tc>
          <w:tcPr>
            <w:tcW w:w="758" w:type="pct"/>
            <w:shd w:val="clear" w:color="auto" w:fill="auto"/>
            <w:vAlign w:val="center"/>
          </w:tcPr>
          <w:p w14:paraId="278DDE8F" w14:textId="77777777" w:rsidR="0061578A" w:rsidRPr="001C26A4" w:rsidRDefault="0061578A" w:rsidP="0014192C">
            <w:pPr>
              <w:jc w:val="center"/>
              <w:rPr>
                <w:b/>
                <w:bCs/>
                <w:sz w:val="22"/>
                <w:szCs w:val="22"/>
              </w:rPr>
            </w:pPr>
            <w:r w:rsidRPr="001C26A4">
              <w:rPr>
                <w:b/>
                <w:bCs/>
                <w:sz w:val="22"/>
                <w:szCs w:val="22"/>
              </w:rPr>
              <w:t>Children’s MTC</w:t>
            </w:r>
          </w:p>
        </w:tc>
        <w:tc>
          <w:tcPr>
            <w:tcW w:w="758" w:type="pct"/>
            <w:shd w:val="clear" w:color="auto" w:fill="auto"/>
            <w:vAlign w:val="center"/>
          </w:tcPr>
          <w:p w14:paraId="089FE181" w14:textId="77777777" w:rsidR="0061578A" w:rsidRPr="001C26A4" w:rsidRDefault="0061578A" w:rsidP="0014192C">
            <w:pPr>
              <w:jc w:val="center"/>
              <w:rPr>
                <w:b/>
                <w:bCs/>
                <w:sz w:val="22"/>
                <w:szCs w:val="22"/>
              </w:rPr>
            </w:pPr>
            <w:r w:rsidRPr="001C26A4">
              <w:rPr>
                <w:b/>
                <w:bCs/>
                <w:sz w:val="22"/>
                <w:szCs w:val="22"/>
              </w:rPr>
              <w:t>Mixed MTC</w:t>
            </w:r>
          </w:p>
        </w:tc>
        <w:tc>
          <w:tcPr>
            <w:tcW w:w="834" w:type="pct"/>
            <w:shd w:val="clear" w:color="auto" w:fill="auto"/>
            <w:vAlign w:val="center"/>
          </w:tcPr>
          <w:p w14:paraId="789AC543" w14:textId="77777777" w:rsidR="0061578A" w:rsidRPr="001C26A4" w:rsidRDefault="0061578A" w:rsidP="0014192C">
            <w:pPr>
              <w:jc w:val="center"/>
              <w:rPr>
                <w:b/>
                <w:bCs/>
                <w:sz w:val="22"/>
                <w:szCs w:val="22"/>
              </w:rPr>
            </w:pPr>
            <w:r w:rsidRPr="001C26A4">
              <w:rPr>
                <w:b/>
                <w:bCs/>
                <w:sz w:val="22"/>
                <w:szCs w:val="22"/>
              </w:rPr>
              <w:t>Adult MTC</w:t>
            </w:r>
          </w:p>
        </w:tc>
        <w:tc>
          <w:tcPr>
            <w:tcW w:w="836" w:type="pct"/>
            <w:shd w:val="clear" w:color="auto" w:fill="auto"/>
            <w:vAlign w:val="center"/>
          </w:tcPr>
          <w:p w14:paraId="648E8C68" w14:textId="77777777" w:rsidR="0061578A" w:rsidRPr="001C26A4" w:rsidRDefault="0061578A" w:rsidP="0014192C">
            <w:pPr>
              <w:jc w:val="center"/>
              <w:rPr>
                <w:b/>
                <w:bCs/>
                <w:sz w:val="22"/>
                <w:szCs w:val="22"/>
              </w:rPr>
            </w:pPr>
            <w:r w:rsidRPr="001C26A4">
              <w:rPr>
                <w:b/>
                <w:bCs/>
                <w:sz w:val="22"/>
                <w:szCs w:val="22"/>
              </w:rPr>
              <w:t>Total</w:t>
            </w:r>
          </w:p>
        </w:tc>
        <w:tc>
          <w:tcPr>
            <w:tcW w:w="606" w:type="pct"/>
          </w:tcPr>
          <w:p w14:paraId="4BAD4F5E" w14:textId="0A30599B" w:rsidR="0061578A" w:rsidRPr="001C26A4" w:rsidRDefault="009E2C0B" w:rsidP="0014192C">
            <w:pPr>
              <w:jc w:val="center"/>
              <w:rPr>
                <w:b/>
                <w:bCs/>
                <w:sz w:val="22"/>
                <w:szCs w:val="22"/>
              </w:rPr>
            </w:pPr>
            <w:r w:rsidRPr="00480571">
              <w:rPr>
                <w:b/>
                <w:bCs/>
                <w:sz w:val="22"/>
                <w:szCs w:val="22"/>
              </w:rPr>
              <w:t>p</w:t>
            </w:r>
            <w:r w:rsidR="00A54653" w:rsidRPr="00480571">
              <w:rPr>
                <w:b/>
                <w:bCs/>
                <w:sz w:val="22"/>
                <w:szCs w:val="22"/>
              </w:rPr>
              <w:t>-v</w:t>
            </w:r>
            <w:r w:rsidRPr="00480571">
              <w:rPr>
                <w:b/>
                <w:bCs/>
                <w:sz w:val="22"/>
                <w:szCs w:val="22"/>
              </w:rPr>
              <w:t>alue</w:t>
            </w:r>
          </w:p>
        </w:tc>
      </w:tr>
      <w:tr w:rsidR="0061578A" w:rsidRPr="001C26A4" w14:paraId="0B415D51" w14:textId="77777777" w:rsidTr="00B5012D">
        <w:tc>
          <w:tcPr>
            <w:tcW w:w="1208" w:type="pct"/>
            <w:shd w:val="clear" w:color="auto" w:fill="auto"/>
            <w:vAlign w:val="center"/>
          </w:tcPr>
          <w:p w14:paraId="421AFE3F" w14:textId="77777777" w:rsidR="0061578A" w:rsidRPr="001C26A4" w:rsidRDefault="0061578A" w:rsidP="0014192C">
            <w:pPr>
              <w:rPr>
                <w:b/>
                <w:bCs/>
                <w:sz w:val="22"/>
                <w:szCs w:val="22"/>
              </w:rPr>
            </w:pPr>
            <w:r w:rsidRPr="001C26A4">
              <w:rPr>
                <w:b/>
                <w:bCs/>
                <w:sz w:val="22"/>
                <w:szCs w:val="22"/>
              </w:rPr>
              <w:t>Total number (%)</w:t>
            </w:r>
          </w:p>
        </w:tc>
        <w:tc>
          <w:tcPr>
            <w:tcW w:w="758" w:type="pct"/>
            <w:shd w:val="clear" w:color="auto" w:fill="auto"/>
            <w:vAlign w:val="center"/>
          </w:tcPr>
          <w:p w14:paraId="209897D9" w14:textId="77777777" w:rsidR="0061578A" w:rsidRPr="00E96214" w:rsidRDefault="0061578A" w:rsidP="0014192C">
            <w:pPr>
              <w:jc w:val="center"/>
              <w:rPr>
                <w:sz w:val="20"/>
                <w:szCs w:val="20"/>
              </w:rPr>
            </w:pPr>
            <w:r w:rsidRPr="00E96214">
              <w:rPr>
                <w:sz w:val="20"/>
                <w:szCs w:val="20"/>
              </w:rPr>
              <w:t>1777 (8.4%)</w:t>
            </w:r>
          </w:p>
        </w:tc>
        <w:tc>
          <w:tcPr>
            <w:tcW w:w="758" w:type="pct"/>
            <w:shd w:val="clear" w:color="auto" w:fill="auto"/>
            <w:vAlign w:val="center"/>
          </w:tcPr>
          <w:p w14:paraId="190614F5" w14:textId="77777777" w:rsidR="0061578A" w:rsidRPr="00E96214" w:rsidRDefault="0061578A" w:rsidP="0014192C">
            <w:pPr>
              <w:jc w:val="center"/>
              <w:rPr>
                <w:sz w:val="20"/>
                <w:szCs w:val="20"/>
              </w:rPr>
            </w:pPr>
            <w:r w:rsidRPr="00E96214">
              <w:rPr>
                <w:sz w:val="20"/>
                <w:szCs w:val="20"/>
              </w:rPr>
              <w:t>11319 (53.8%)</w:t>
            </w:r>
          </w:p>
        </w:tc>
        <w:tc>
          <w:tcPr>
            <w:tcW w:w="834" w:type="pct"/>
            <w:shd w:val="clear" w:color="auto" w:fill="auto"/>
            <w:vAlign w:val="center"/>
          </w:tcPr>
          <w:p w14:paraId="195ECC87" w14:textId="77777777" w:rsidR="0061578A" w:rsidRPr="00E96214" w:rsidRDefault="0061578A" w:rsidP="0014192C">
            <w:pPr>
              <w:jc w:val="center"/>
              <w:rPr>
                <w:sz w:val="20"/>
                <w:szCs w:val="20"/>
              </w:rPr>
            </w:pPr>
            <w:r w:rsidRPr="00E96214">
              <w:rPr>
                <w:sz w:val="20"/>
                <w:szCs w:val="20"/>
              </w:rPr>
              <w:t>7937 (37.7%)</w:t>
            </w:r>
          </w:p>
        </w:tc>
        <w:tc>
          <w:tcPr>
            <w:tcW w:w="836" w:type="pct"/>
            <w:shd w:val="clear" w:color="auto" w:fill="auto"/>
            <w:vAlign w:val="center"/>
          </w:tcPr>
          <w:p w14:paraId="64D9227E" w14:textId="77777777" w:rsidR="0061578A" w:rsidRPr="00E96214" w:rsidRDefault="0061578A" w:rsidP="0014192C">
            <w:pPr>
              <w:jc w:val="center"/>
              <w:rPr>
                <w:sz w:val="20"/>
                <w:szCs w:val="20"/>
              </w:rPr>
            </w:pPr>
            <w:r w:rsidRPr="00E96214">
              <w:rPr>
                <w:sz w:val="20"/>
                <w:szCs w:val="20"/>
              </w:rPr>
              <w:t>21033</w:t>
            </w:r>
          </w:p>
        </w:tc>
        <w:tc>
          <w:tcPr>
            <w:tcW w:w="606" w:type="pct"/>
          </w:tcPr>
          <w:p w14:paraId="790D389A" w14:textId="77777777" w:rsidR="0061578A" w:rsidRPr="00E96214" w:rsidRDefault="0061578A" w:rsidP="0014192C">
            <w:pPr>
              <w:jc w:val="center"/>
              <w:rPr>
                <w:sz w:val="20"/>
                <w:szCs w:val="20"/>
              </w:rPr>
            </w:pPr>
          </w:p>
        </w:tc>
      </w:tr>
      <w:tr w:rsidR="0061578A" w:rsidRPr="001C26A4" w14:paraId="50C3BF66" w14:textId="77777777" w:rsidTr="00B5012D">
        <w:tc>
          <w:tcPr>
            <w:tcW w:w="1208" w:type="pct"/>
            <w:shd w:val="clear" w:color="auto" w:fill="auto"/>
            <w:vAlign w:val="center"/>
          </w:tcPr>
          <w:p w14:paraId="65A59928" w14:textId="77777777" w:rsidR="0061578A" w:rsidRPr="001C26A4" w:rsidRDefault="0061578A" w:rsidP="0014192C">
            <w:pPr>
              <w:rPr>
                <w:sz w:val="22"/>
                <w:szCs w:val="22"/>
              </w:rPr>
            </w:pPr>
            <w:r w:rsidRPr="001C26A4">
              <w:rPr>
                <w:b/>
                <w:bCs/>
                <w:sz w:val="22"/>
                <w:szCs w:val="22"/>
              </w:rPr>
              <w:t xml:space="preserve">Age </w:t>
            </w:r>
            <w:r w:rsidRPr="001C26A4">
              <w:rPr>
                <w:bCs/>
                <w:sz w:val="22"/>
                <w:szCs w:val="22"/>
              </w:rPr>
              <w:t xml:space="preserve">in </w:t>
            </w:r>
            <w:r w:rsidRPr="001C26A4">
              <w:rPr>
                <w:sz w:val="22"/>
                <w:szCs w:val="22"/>
              </w:rPr>
              <w:t>Years</w:t>
            </w:r>
          </w:p>
          <w:p w14:paraId="1CF17E3B" w14:textId="77777777" w:rsidR="0061578A" w:rsidRPr="001C26A4" w:rsidRDefault="0061578A" w:rsidP="0014192C">
            <w:pPr>
              <w:rPr>
                <w:i/>
                <w:sz w:val="22"/>
                <w:szCs w:val="22"/>
              </w:rPr>
            </w:pPr>
            <w:r w:rsidRPr="001C26A4">
              <w:rPr>
                <w:i/>
                <w:sz w:val="22"/>
                <w:szCs w:val="22"/>
              </w:rPr>
              <w:t>Median (IQR)</w:t>
            </w:r>
          </w:p>
        </w:tc>
        <w:tc>
          <w:tcPr>
            <w:tcW w:w="758" w:type="pct"/>
            <w:shd w:val="clear" w:color="auto" w:fill="auto"/>
            <w:vAlign w:val="center"/>
          </w:tcPr>
          <w:p w14:paraId="77846A15" w14:textId="77777777" w:rsidR="0061578A" w:rsidRPr="00E96214" w:rsidRDefault="0061578A" w:rsidP="0014192C">
            <w:pPr>
              <w:jc w:val="center"/>
              <w:rPr>
                <w:sz w:val="20"/>
                <w:szCs w:val="20"/>
              </w:rPr>
            </w:pPr>
            <w:r w:rsidRPr="00E96214">
              <w:rPr>
                <w:sz w:val="20"/>
                <w:szCs w:val="20"/>
              </w:rPr>
              <w:t xml:space="preserve">13.3 </w:t>
            </w:r>
          </w:p>
          <w:p w14:paraId="2DE6A0DD" w14:textId="77777777" w:rsidR="0061578A" w:rsidRPr="00E96214" w:rsidRDefault="0061578A" w:rsidP="0014192C">
            <w:pPr>
              <w:jc w:val="center"/>
              <w:rPr>
                <w:sz w:val="20"/>
                <w:szCs w:val="20"/>
              </w:rPr>
            </w:pPr>
            <w:r w:rsidRPr="00E96214">
              <w:rPr>
                <w:sz w:val="20"/>
                <w:szCs w:val="20"/>
              </w:rPr>
              <w:t>(11.8-14.8)</w:t>
            </w:r>
          </w:p>
        </w:tc>
        <w:tc>
          <w:tcPr>
            <w:tcW w:w="758" w:type="pct"/>
            <w:shd w:val="clear" w:color="auto" w:fill="auto"/>
            <w:vAlign w:val="center"/>
          </w:tcPr>
          <w:p w14:paraId="03B6143B" w14:textId="77777777" w:rsidR="0061578A" w:rsidRPr="00E96214" w:rsidRDefault="0061578A" w:rsidP="0014192C">
            <w:pPr>
              <w:jc w:val="center"/>
              <w:rPr>
                <w:sz w:val="20"/>
                <w:szCs w:val="20"/>
              </w:rPr>
            </w:pPr>
            <w:r w:rsidRPr="00E96214">
              <w:rPr>
                <w:sz w:val="20"/>
                <w:szCs w:val="20"/>
              </w:rPr>
              <w:t xml:space="preserve">19.8 </w:t>
            </w:r>
          </w:p>
          <w:p w14:paraId="7B32DC05" w14:textId="77777777" w:rsidR="0061578A" w:rsidRPr="00E96214" w:rsidRDefault="0061578A" w:rsidP="0014192C">
            <w:pPr>
              <w:jc w:val="center"/>
              <w:rPr>
                <w:sz w:val="20"/>
                <w:szCs w:val="20"/>
              </w:rPr>
            </w:pPr>
            <w:r w:rsidRPr="00E96214">
              <w:rPr>
                <w:sz w:val="20"/>
                <w:szCs w:val="20"/>
              </w:rPr>
              <w:t>(16.9-22.3)</w:t>
            </w:r>
          </w:p>
        </w:tc>
        <w:tc>
          <w:tcPr>
            <w:tcW w:w="834" w:type="pct"/>
            <w:shd w:val="clear" w:color="auto" w:fill="auto"/>
            <w:vAlign w:val="center"/>
          </w:tcPr>
          <w:p w14:paraId="692F9BAF" w14:textId="77777777" w:rsidR="0061578A" w:rsidRPr="00E96214" w:rsidRDefault="0061578A" w:rsidP="0014192C">
            <w:pPr>
              <w:jc w:val="center"/>
              <w:rPr>
                <w:sz w:val="20"/>
                <w:szCs w:val="20"/>
              </w:rPr>
            </w:pPr>
            <w:r w:rsidRPr="00E96214">
              <w:rPr>
                <w:sz w:val="20"/>
                <w:szCs w:val="20"/>
              </w:rPr>
              <w:t xml:space="preserve">20.7 </w:t>
            </w:r>
          </w:p>
          <w:p w14:paraId="627469C1" w14:textId="77777777" w:rsidR="0061578A" w:rsidRPr="00E96214" w:rsidRDefault="0061578A" w:rsidP="0014192C">
            <w:pPr>
              <w:jc w:val="center"/>
              <w:rPr>
                <w:sz w:val="20"/>
                <w:szCs w:val="20"/>
              </w:rPr>
            </w:pPr>
            <w:r w:rsidRPr="00E96214">
              <w:rPr>
                <w:sz w:val="20"/>
                <w:szCs w:val="20"/>
              </w:rPr>
              <w:t>(18.8-22.8)</w:t>
            </w:r>
          </w:p>
        </w:tc>
        <w:tc>
          <w:tcPr>
            <w:tcW w:w="836" w:type="pct"/>
            <w:shd w:val="clear" w:color="auto" w:fill="auto"/>
            <w:vAlign w:val="center"/>
          </w:tcPr>
          <w:p w14:paraId="270A0182" w14:textId="77777777" w:rsidR="0061578A" w:rsidRPr="00E96214" w:rsidRDefault="0061578A" w:rsidP="0014192C">
            <w:pPr>
              <w:jc w:val="center"/>
              <w:rPr>
                <w:sz w:val="20"/>
                <w:szCs w:val="20"/>
              </w:rPr>
            </w:pPr>
            <w:r w:rsidRPr="00E96214">
              <w:rPr>
                <w:sz w:val="20"/>
                <w:szCs w:val="20"/>
              </w:rPr>
              <w:t xml:space="preserve">19.8 </w:t>
            </w:r>
          </w:p>
          <w:p w14:paraId="45E89D63" w14:textId="77777777" w:rsidR="0061578A" w:rsidRPr="00E96214" w:rsidRDefault="0061578A" w:rsidP="0014192C">
            <w:pPr>
              <w:jc w:val="center"/>
              <w:rPr>
                <w:sz w:val="20"/>
                <w:szCs w:val="20"/>
              </w:rPr>
            </w:pPr>
            <w:r w:rsidRPr="00E96214">
              <w:rPr>
                <w:sz w:val="20"/>
                <w:szCs w:val="20"/>
              </w:rPr>
              <w:t>(16.7-22.3)</w:t>
            </w:r>
          </w:p>
        </w:tc>
        <w:tc>
          <w:tcPr>
            <w:tcW w:w="606" w:type="pct"/>
            <w:vAlign w:val="center"/>
          </w:tcPr>
          <w:p w14:paraId="07EAAB8C" w14:textId="77777777" w:rsidR="0061578A" w:rsidRPr="00E96214" w:rsidRDefault="0061578A" w:rsidP="0014192C">
            <w:pPr>
              <w:jc w:val="center"/>
              <w:rPr>
                <w:sz w:val="20"/>
                <w:szCs w:val="20"/>
              </w:rPr>
            </w:pPr>
            <w:r w:rsidRPr="00E96214">
              <w:rPr>
                <w:sz w:val="20"/>
                <w:szCs w:val="20"/>
              </w:rPr>
              <w:t>&lt;0.0001</w:t>
            </w:r>
          </w:p>
        </w:tc>
      </w:tr>
      <w:tr w:rsidR="0061578A" w:rsidRPr="001C26A4" w14:paraId="3F5F37D5" w14:textId="77777777" w:rsidTr="00B5012D">
        <w:tc>
          <w:tcPr>
            <w:tcW w:w="1208" w:type="pct"/>
            <w:shd w:val="clear" w:color="auto" w:fill="auto"/>
            <w:vAlign w:val="center"/>
          </w:tcPr>
          <w:p w14:paraId="009285F9" w14:textId="77777777" w:rsidR="0061578A" w:rsidRPr="001C26A4" w:rsidRDefault="0061578A" w:rsidP="0014192C">
            <w:pPr>
              <w:rPr>
                <w:i/>
                <w:iCs/>
                <w:sz w:val="22"/>
                <w:szCs w:val="22"/>
              </w:rPr>
            </w:pPr>
            <w:r w:rsidRPr="001C26A4">
              <w:rPr>
                <w:b/>
                <w:bCs/>
                <w:sz w:val="22"/>
                <w:szCs w:val="22"/>
              </w:rPr>
              <w:t xml:space="preserve">Male </w:t>
            </w:r>
            <w:r w:rsidRPr="001C26A4">
              <w:rPr>
                <w:bCs/>
                <w:i/>
                <w:sz w:val="22"/>
                <w:szCs w:val="22"/>
              </w:rPr>
              <w:t>n (%)</w:t>
            </w:r>
          </w:p>
        </w:tc>
        <w:tc>
          <w:tcPr>
            <w:tcW w:w="758" w:type="pct"/>
            <w:shd w:val="clear" w:color="auto" w:fill="auto"/>
            <w:vAlign w:val="center"/>
          </w:tcPr>
          <w:p w14:paraId="102A53BD" w14:textId="77777777" w:rsidR="0061578A" w:rsidRPr="00E96214" w:rsidRDefault="0061578A" w:rsidP="0014192C">
            <w:pPr>
              <w:jc w:val="center"/>
              <w:rPr>
                <w:sz w:val="20"/>
                <w:szCs w:val="20"/>
              </w:rPr>
            </w:pPr>
            <w:r w:rsidRPr="00E96214">
              <w:rPr>
                <w:sz w:val="20"/>
                <w:szCs w:val="20"/>
              </w:rPr>
              <w:t>1260 (70.9)</w:t>
            </w:r>
          </w:p>
        </w:tc>
        <w:tc>
          <w:tcPr>
            <w:tcW w:w="758" w:type="pct"/>
            <w:shd w:val="clear" w:color="auto" w:fill="auto"/>
            <w:vAlign w:val="center"/>
          </w:tcPr>
          <w:p w14:paraId="42DB2891" w14:textId="77777777" w:rsidR="0061578A" w:rsidRPr="00E96214" w:rsidRDefault="0061578A" w:rsidP="0014192C">
            <w:pPr>
              <w:jc w:val="center"/>
              <w:rPr>
                <w:sz w:val="20"/>
                <w:szCs w:val="20"/>
              </w:rPr>
            </w:pPr>
            <w:r w:rsidRPr="00E96214">
              <w:rPr>
                <w:sz w:val="20"/>
                <w:szCs w:val="20"/>
              </w:rPr>
              <w:t>8885 (78.5)</w:t>
            </w:r>
          </w:p>
        </w:tc>
        <w:tc>
          <w:tcPr>
            <w:tcW w:w="834" w:type="pct"/>
            <w:shd w:val="clear" w:color="auto" w:fill="auto"/>
            <w:vAlign w:val="center"/>
          </w:tcPr>
          <w:p w14:paraId="6CB01CC6" w14:textId="77777777" w:rsidR="0061578A" w:rsidRPr="00E96214" w:rsidRDefault="0061578A" w:rsidP="0014192C">
            <w:pPr>
              <w:jc w:val="center"/>
              <w:rPr>
                <w:sz w:val="20"/>
                <w:szCs w:val="20"/>
              </w:rPr>
            </w:pPr>
            <w:r w:rsidRPr="00E96214">
              <w:rPr>
                <w:sz w:val="20"/>
                <w:szCs w:val="20"/>
              </w:rPr>
              <w:t>6247 (78.7)</w:t>
            </w:r>
          </w:p>
        </w:tc>
        <w:tc>
          <w:tcPr>
            <w:tcW w:w="836" w:type="pct"/>
            <w:shd w:val="clear" w:color="auto" w:fill="auto"/>
            <w:vAlign w:val="center"/>
          </w:tcPr>
          <w:p w14:paraId="3B4CD536" w14:textId="77777777" w:rsidR="0061578A" w:rsidRPr="00E96214" w:rsidRDefault="0061578A" w:rsidP="0014192C">
            <w:pPr>
              <w:jc w:val="center"/>
              <w:rPr>
                <w:sz w:val="20"/>
                <w:szCs w:val="20"/>
              </w:rPr>
            </w:pPr>
            <w:r w:rsidRPr="00E96214">
              <w:rPr>
                <w:sz w:val="20"/>
                <w:szCs w:val="20"/>
              </w:rPr>
              <w:t>16392 (77.9)</w:t>
            </w:r>
          </w:p>
        </w:tc>
        <w:tc>
          <w:tcPr>
            <w:tcW w:w="606" w:type="pct"/>
            <w:vMerge w:val="restart"/>
            <w:vAlign w:val="center"/>
          </w:tcPr>
          <w:p w14:paraId="0D9C4712" w14:textId="77777777" w:rsidR="0061578A" w:rsidRPr="00E96214" w:rsidRDefault="0061578A" w:rsidP="0014192C">
            <w:pPr>
              <w:jc w:val="center"/>
              <w:rPr>
                <w:sz w:val="20"/>
                <w:szCs w:val="20"/>
              </w:rPr>
            </w:pPr>
            <w:r w:rsidRPr="00E96214">
              <w:rPr>
                <w:sz w:val="20"/>
                <w:szCs w:val="20"/>
              </w:rPr>
              <w:t>&lt;0.0001</w:t>
            </w:r>
          </w:p>
        </w:tc>
      </w:tr>
      <w:tr w:rsidR="0061578A" w:rsidRPr="001C26A4" w14:paraId="4171E6BD" w14:textId="77777777" w:rsidTr="00B5012D">
        <w:tc>
          <w:tcPr>
            <w:tcW w:w="1208" w:type="pct"/>
            <w:shd w:val="clear" w:color="auto" w:fill="auto"/>
            <w:vAlign w:val="center"/>
          </w:tcPr>
          <w:p w14:paraId="42EDCC5B" w14:textId="77777777" w:rsidR="0061578A" w:rsidRPr="001C26A4" w:rsidRDefault="0061578A" w:rsidP="0014192C">
            <w:pPr>
              <w:rPr>
                <w:i/>
                <w:iCs/>
                <w:sz w:val="22"/>
                <w:szCs w:val="22"/>
              </w:rPr>
            </w:pPr>
            <w:r w:rsidRPr="001C26A4">
              <w:rPr>
                <w:b/>
                <w:bCs/>
                <w:sz w:val="22"/>
                <w:szCs w:val="22"/>
              </w:rPr>
              <w:t>Female</w:t>
            </w:r>
            <w:r w:rsidRPr="001C26A4">
              <w:rPr>
                <w:i/>
                <w:iCs/>
                <w:sz w:val="22"/>
                <w:szCs w:val="22"/>
              </w:rPr>
              <w:t xml:space="preserve"> n (%)</w:t>
            </w:r>
          </w:p>
        </w:tc>
        <w:tc>
          <w:tcPr>
            <w:tcW w:w="758" w:type="pct"/>
            <w:shd w:val="clear" w:color="auto" w:fill="auto"/>
            <w:vAlign w:val="center"/>
          </w:tcPr>
          <w:p w14:paraId="37C5A111" w14:textId="77777777" w:rsidR="0061578A" w:rsidRPr="00E96214" w:rsidRDefault="0061578A" w:rsidP="0014192C">
            <w:pPr>
              <w:jc w:val="center"/>
              <w:rPr>
                <w:sz w:val="20"/>
                <w:szCs w:val="20"/>
              </w:rPr>
            </w:pPr>
            <w:r w:rsidRPr="00E96214">
              <w:rPr>
                <w:sz w:val="20"/>
                <w:szCs w:val="20"/>
              </w:rPr>
              <w:t>517 (29.1)</w:t>
            </w:r>
          </w:p>
        </w:tc>
        <w:tc>
          <w:tcPr>
            <w:tcW w:w="758" w:type="pct"/>
            <w:shd w:val="clear" w:color="auto" w:fill="auto"/>
            <w:vAlign w:val="center"/>
          </w:tcPr>
          <w:p w14:paraId="33C0D322" w14:textId="77777777" w:rsidR="0061578A" w:rsidRPr="00E96214" w:rsidRDefault="0061578A" w:rsidP="0014192C">
            <w:pPr>
              <w:jc w:val="center"/>
              <w:rPr>
                <w:sz w:val="20"/>
                <w:szCs w:val="20"/>
              </w:rPr>
            </w:pPr>
            <w:r w:rsidRPr="00E96214">
              <w:rPr>
                <w:sz w:val="20"/>
                <w:szCs w:val="20"/>
              </w:rPr>
              <w:t>2434 (21.5)</w:t>
            </w:r>
          </w:p>
        </w:tc>
        <w:tc>
          <w:tcPr>
            <w:tcW w:w="834" w:type="pct"/>
            <w:shd w:val="clear" w:color="auto" w:fill="auto"/>
            <w:vAlign w:val="center"/>
          </w:tcPr>
          <w:p w14:paraId="07707D8C" w14:textId="77777777" w:rsidR="0061578A" w:rsidRPr="00E96214" w:rsidRDefault="0061578A" w:rsidP="0014192C">
            <w:pPr>
              <w:jc w:val="center"/>
              <w:rPr>
                <w:sz w:val="20"/>
                <w:szCs w:val="20"/>
              </w:rPr>
            </w:pPr>
            <w:r w:rsidRPr="00E96214">
              <w:rPr>
                <w:sz w:val="20"/>
                <w:szCs w:val="20"/>
              </w:rPr>
              <w:t>1690 (21.3)</w:t>
            </w:r>
          </w:p>
        </w:tc>
        <w:tc>
          <w:tcPr>
            <w:tcW w:w="836" w:type="pct"/>
            <w:shd w:val="clear" w:color="auto" w:fill="auto"/>
            <w:vAlign w:val="center"/>
          </w:tcPr>
          <w:p w14:paraId="018D0E33" w14:textId="77777777" w:rsidR="0061578A" w:rsidRPr="00E96214" w:rsidRDefault="0061578A" w:rsidP="0014192C">
            <w:pPr>
              <w:jc w:val="center"/>
              <w:rPr>
                <w:sz w:val="20"/>
                <w:szCs w:val="20"/>
              </w:rPr>
            </w:pPr>
            <w:r w:rsidRPr="00E96214">
              <w:rPr>
                <w:sz w:val="20"/>
                <w:szCs w:val="20"/>
              </w:rPr>
              <w:t>4641 (22.1)</w:t>
            </w:r>
          </w:p>
        </w:tc>
        <w:tc>
          <w:tcPr>
            <w:tcW w:w="606" w:type="pct"/>
            <w:vMerge/>
            <w:vAlign w:val="center"/>
          </w:tcPr>
          <w:p w14:paraId="1B665FB2" w14:textId="77777777" w:rsidR="0061578A" w:rsidRPr="00E96214" w:rsidRDefault="0061578A" w:rsidP="0014192C">
            <w:pPr>
              <w:jc w:val="center"/>
              <w:rPr>
                <w:sz w:val="20"/>
                <w:szCs w:val="20"/>
              </w:rPr>
            </w:pPr>
          </w:p>
        </w:tc>
      </w:tr>
      <w:tr w:rsidR="0061578A" w:rsidRPr="001C26A4" w14:paraId="3B0CE351" w14:textId="77777777" w:rsidTr="004D7BD2">
        <w:tc>
          <w:tcPr>
            <w:tcW w:w="4394" w:type="pct"/>
            <w:gridSpan w:val="5"/>
            <w:shd w:val="clear" w:color="auto" w:fill="auto"/>
            <w:vAlign w:val="center"/>
          </w:tcPr>
          <w:p w14:paraId="49ADB30B" w14:textId="77777777" w:rsidR="0061578A" w:rsidRPr="00E96214" w:rsidRDefault="0061578A" w:rsidP="0014192C">
            <w:pPr>
              <w:rPr>
                <w:b/>
                <w:bCs/>
                <w:sz w:val="22"/>
                <w:szCs w:val="22"/>
              </w:rPr>
            </w:pPr>
            <w:r w:rsidRPr="00E96214">
              <w:rPr>
                <w:b/>
                <w:bCs/>
                <w:sz w:val="22"/>
                <w:szCs w:val="22"/>
              </w:rPr>
              <w:t xml:space="preserve">Physiological parameters at presentation  </w:t>
            </w:r>
            <w:r w:rsidRPr="00E96214">
              <w:rPr>
                <w:i/>
                <w:iCs/>
                <w:sz w:val="22"/>
                <w:szCs w:val="22"/>
              </w:rPr>
              <w:t xml:space="preserve"> Median (IQR)</w:t>
            </w:r>
          </w:p>
        </w:tc>
        <w:tc>
          <w:tcPr>
            <w:tcW w:w="606" w:type="pct"/>
            <w:vAlign w:val="center"/>
          </w:tcPr>
          <w:p w14:paraId="27BA8F01" w14:textId="77777777" w:rsidR="0061578A" w:rsidRPr="00E96214" w:rsidRDefault="0061578A" w:rsidP="0014192C">
            <w:pPr>
              <w:rPr>
                <w:b/>
                <w:bCs/>
                <w:sz w:val="22"/>
                <w:szCs w:val="22"/>
              </w:rPr>
            </w:pPr>
          </w:p>
        </w:tc>
      </w:tr>
      <w:tr w:rsidR="0061578A" w:rsidRPr="001C26A4" w14:paraId="7CB5B036" w14:textId="77777777" w:rsidTr="00B5012D">
        <w:tc>
          <w:tcPr>
            <w:tcW w:w="1208" w:type="pct"/>
            <w:shd w:val="clear" w:color="auto" w:fill="auto"/>
            <w:vAlign w:val="center"/>
          </w:tcPr>
          <w:p w14:paraId="78797EFA" w14:textId="77777777" w:rsidR="0061578A" w:rsidRPr="001C26A4" w:rsidRDefault="0061578A" w:rsidP="0014192C">
            <w:pPr>
              <w:rPr>
                <w:i/>
                <w:iCs/>
                <w:sz w:val="22"/>
                <w:szCs w:val="22"/>
              </w:rPr>
            </w:pPr>
            <w:r w:rsidRPr="001C26A4">
              <w:rPr>
                <w:b/>
                <w:bCs/>
                <w:color w:val="000000"/>
                <w:sz w:val="22"/>
                <w:szCs w:val="22"/>
              </w:rPr>
              <w:t xml:space="preserve">GCS </w:t>
            </w:r>
            <w:r w:rsidRPr="001C26A4">
              <w:rPr>
                <w:i/>
                <w:iCs/>
                <w:sz w:val="22"/>
                <w:szCs w:val="22"/>
              </w:rPr>
              <w:t xml:space="preserve"> *</w:t>
            </w:r>
          </w:p>
        </w:tc>
        <w:tc>
          <w:tcPr>
            <w:tcW w:w="758" w:type="pct"/>
            <w:shd w:val="clear" w:color="auto" w:fill="auto"/>
            <w:vAlign w:val="center"/>
          </w:tcPr>
          <w:p w14:paraId="680933E1" w14:textId="77777777" w:rsidR="0061578A" w:rsidRPr="00E96214" w:rsidRDefault="0061578A" w:rsidP="0014192C">
            <w:pPr>
              <w:jc w:val="center"/>
              <w:rPr>
                <w:sz w:val="20"/>
                <w:szCs w:val="20"/>
              </w:rPr>
            </w:pPr>
            <w:r w:rsidRPr="00E96214">
              <w:rPr>
                <w:sz w:val="20"/>
                <w:szCs w:val="20"/>
              </w:rPr>
              <w:t>15 (14-15)</w:t>
            </w:r>
          </w:p>
        </w:tc>
        <w:tc>
          <w:tcPr>
            <w:tcW w:w="758" w:type="pct"/>
            <w:shd w:val="clear" w:color="auto" w:fill="auto"/>
            <w:vAlign w:val="center"/>
          </w:tcPr>
          <w:p w14:paraId="441830B4" w14:textId="77777777" w:rsidR="0061578A" w:rsidRPr="00E96214" w:rsidRDefault="0061578A" w:rsidP="0014192C">
            <w:pPr>
              <w:jc w:val="center"/>
              <w:rPr>
                <w:sz w:val="20"/>
                <w:szCs w:val="20"/>
              </w:rPr>
            </w:pPr>
            <w:r w:rsidRPr="00E96214">
              <w:rPr>
                <w:sz w:val="20"/>
                <w:szCs w:val="20"/>
              </w:rPr>
              <w:t>15 (14-15)</w:t>
            </w:r>
          </w:p>
        </w:tc>
        <w:tc>
          <w:tcPr>
            <w:tcW w:w="834" w:type="pct"/>
            <w:shd w:val="clear" w:color="auto" w:fill="auto"/>
            <w:vAlign w:val="center"/>
          </w:tcPr>
          <w:p w14:paraId="6F114DCB" w14:textId="77777777" w:rsidR="0061578A" w:rsidRPr="00E96214" w:rsidRDefault="0061578A" w:rsidP="0014192C">
            <w:pPr>
              <w:jc w:val="center"/>
              <w:rPr>
                <w:sz w:val="20"/>
                <w:szCs w:val="20"/>
              </w:rPr>
            </w:pPr>
            <w:r w:rsidRPr="00E96214">
              <w:rPr>
                <w:sz w:val="20"/>
                <w:szCs w:val="20"/>
              </w:rPr>
              <w:t>15 (14-15)</w:t>
            </w:r>
          </w:p>
        </w:tc>
        <w:tc>
          <w:tcPr>
            <w:tcW w:w="836" w:type="pct"/>
            <w:shd w:val="clear" w:color="auto" w:fill="auto"/>
            <w:vAlign w:val="center"/>
          </w:tcPr>
          <w:p w14:paraId="05E24DE0" w14:textId="77777777" w:rsidR="0061578A" w:rsidRPr="00E96214" w:rsidRDefault="0061578A" w:rsidP="0014192C">
            <w:pPr>
              <w:jc w:val="center"/>
              <w:rPr>
                <w:sz w:val="20"/>
                <w:szCs w:val="20"/>
              </w:rPr>
            </w:pPr>
            <w:r w:rsidRPr="00E96214">
              <w:rPr>
                <w:sz w:val="20"/>
                <w:szCs w:val="20"/>
              </w:rPr>
              <w:t>15 (14-15)</w:t>
            </w:r>
          </w:p>
        </w:tc>
        <w:tc>
          <w:tcPr>
            <w:tcW w:w="606" w:type="pct"/>
            <w:vAlign w:val="center"/>
          </w:tcPr>
          <w:p w14:paraId="55D237DB" w14:textId="77777777" w:rsidR="0061578A" w:rsidRPr="00E96214" w:rsidRDefault="0061578A" w:rsidP="0014192C">
            <w:pPr>
              <w:jc w:val="center"/>
              <w:rPr>
                <w:sz w:val="20"/>
                <w:szCs w:val="20"/>
              </w:rPr>
            </w:pPr>
            <w:r w:rsidRPr="00E96214">
              <w:rPr>
                <w:sz w:val="20"/>
                <w:szCs w:val="20"/>
              </w:rPr>
              <w:t>0.999</w:t>
            </w:r>
          </w:p>
        </w:tc>
      </w:tr>
      <w:tr w:rsidR="0061578A" w:rsidRPr="001C26A4" w14:paraId="5D9C0D9B" w14:textId="77777777" w:rsidTr="00B5012D">
        <w:tc>
          <w:tcPr>
            <w:tcW w:w="1208" w:type="pct"/>
            <w:shd w:val="clear" w:color="auto" w:fill="auto"/>
            <w:vAlign w:val="center"/>
          </w:tcPr>
          <w:p w14:paraId="6135F7C8" w14:textId="77777777" w:rsidR="0061578A" w:rsidRPr="001C26A4" w:rsidRDefault="0061578A" w:rsidP="0014192C">
            <w:pPr>
              <w:rPr>
                <w:b/>
                <w:bCs/>
                <w:color w:val="000000"/>
                <w:sz w:val="22"/>
                <w:szCs w:val="22"/>
              </w:rPr>
            </w:pPr>
            <w:r w:rsidRPr="001C26A4">
              <w:rPr>
                <w:b/>
                <w:bCs/>
                <w:color w:val="000000"/>
                <w:sz w:val="22"/>
                <w:szCs w:val="22"/>
              </w:rPr>
              <w:t>Pulse</w:t>
            </w:r>
          </w:p>
        </w:tc>
        <w:tc>
          <w:tcPr>
            <w:tcW w:w="758" w:type="pct"/>
            <w:shd w:val="clear" w:color="auto" w:fill="auto"/>
            <w:vAlign w:val="center"/>
          </w:tcPr>
          <w:p w14:paraId="6E6FB0B6" w14:textId="77777777" w:rsidR="0061578A" w:rsidRPr="00E96214" w:rsidRDefault="0061578A" w:rsidP="0014192C">
            <w:pPr>
              <w:jc w:val="center"/>
              <w:rPr>
                <w:sz w:val="20"/>
                <w:szCs w:val="20"/>
              </w:rPr>
            </w:pPr>
            <w:r w:rsidRPr="00E96214">
              <w:rPr>
                <w:sz w:val="20"/>
                <w:szCs w:val="20"/>
              </w:rPr>
              <w:t>90 (79-106)</w:t>
            </w:r>
          </w:p>
        </w:tc>
        <w:tc>
          <w:tcPr>
            <w:tcW w:w="758" w:type="pct"/>
            <w:shd w:val="clear" w:color="auto" w:fill="auto"/>
            <w:vAlign w:val="center"/>
          </w:tcPr>
          <w:p w14:paraId="4DDB1606" w14:textId="77777777" w:rsidR="0061578A" w:rsidRPr="00E96214" w:rsidRDefault="0061578A" w:rsidP="0014192C">
            <w:pPr>
              <w:jc w:val="center"/>
              <w:rPr>
                <w:sz w:val="20"/>
                <w:szCs w:val="20"/>
              </w:rPr>
            </w:pPr>
            <w:r w:rsidRPr="00E96214">
              <w:rPr>
                <w:sz w:val="20"/>
                <w:szCs w:val="20"/>
              </w:rPr>
              <w:t>88 (75-102)</w:t>
            </w:r>
          </w:p>
        </w:tc>
        <w:tc>
          <w:tcPr>
            <w:tcW w:w="834" w:type="pct"/>
            <w:shd w:val="clear" w:color="auto" w:fill="auto"/>
            <w:vAlign w:val="center"/>
          </w:tcPr>
          <w:p w14:paraId="68E8D133" w14:textId="77777777" w:rsidR="0061578A" w:rsidRPr="00E96214" w:rsidRDefault="0061578A" w:rsidP="0014192C">
            <w:pPr>
              <w:jc w:val="center"/>
              <w:rPr>
                <w:sz w:val="20"/>
                <w:szCs w:val="20"/>
              </w:rPr>
            </w:pPr>
            <w:r w:rsidRPr="00E96214">
              <w:rPr>
                <w:sz w:val="20"/>
                <w:szCs w:val="20"/>
              </w:rPr>
              <w:t>88 (75-103)</w:t>
            </w:r>
          </w:p>
        </w:tc>
        <w:tc>
          <w:tcPr>
            <w:tcW w:w="836" w:type="pct"/>
            <w:shd w:val="clear" w:color="auto" w:fill="auto"/>
            <w:vAlign w:val="center"/>
          </w:tcPr>
          <w:p w14:paraId="46AE7661" w14:textId="77777777" w:rsidR="0061578A" w:rsidRPr="00E96214" w:rsidRDefault="0061578A" w:rsidP="0014192C">
            <w:pPr>
              <w:jc w:val="center"/>
              <w:rPr>
                <w:sz w:val="20"/>
                <w:szCs w:val="20"/>
              </w:rPr>
            </w:pPr>
            <w:r w:rsidRPr="00E96214">
              <w:rPr>
                <w:sz w:val="20"/>
                <w:szCs w:val="20"/>
              </w:rPr>
              <w:t>88 (75-103)</w:t>
            </w:r>
          </w:p>
        </w:tc>
        <w:tc>
          <w:tcPr>
            <w:tcW w:w="606" w:type="pct"/>
            <w:vAlign w:val="center"/>
          </w:tcPr>
          <w:p w14:paraId="2E0053D0" w14:textId="77777777" w:rsidR="0061578A" w:rsidRPr="00E96214" w:rsidRDefault="0061578A" w:rsidP="0014192C">
            <w:pPr>
              <w:jc w:val="center"/>
              <w:rPr>
                <w:sz w:val="20"/>
                <w:szCs w:val="20"/>
              </w:rPr>
            </w:pPr>
            <w:r w:rsidRPr="00E96214">
              <w:rPr>
                <w:sz w:val="20"/>
                <w:szCs w:val="20"/>
              </w:rPr>
              <w:t>&lt;0.0001</w:t>
            </w:r>
          </w:p>
        </w:tc>
      </w:tr>
      <w:tr w:rsidR="0061578A" w:rsidRPr="001C26A4" w14:paraId="69C8FB75" w14:textId="77777777" w:rsidTr="00B5012D">
        <w:tc>
          <w:tcPr>
            <w:tcW w:w="1208" w:type="pct"/>
            <w:shd w:val="clear" w:color="auto" w:fill="auto"/>
            <w:vAlign w:val="center"/>
          </w:tcPr>
          <w:p w14:paraId="46C2D23E" w14:textId="77777777" w:rsidR="0061578A" w:rsidRPr="001C26A4" w:rsidRDefault="0061578A" w:rsidP="0014192C">
            <w:pPr>
              <w:rPr>
                <w:sz w:val="22"/>
                <w:szCs w:val="22"/>
              </w:rPr>
            </w:pPr>
            <w:r w:rsidRPr="001C26A4">
              <w:rPr>
                <w:b/>
                <w:bCs/>
                <w:sz w:val="22"/>
                <w:szCs w:val="22"/>
              </w:rPr>
              <w:t xml:space="preserve">SBP </w:t>
            </w:r>
            <w:r w:rsidRPr="001C26A4">
              <w:rPr>
                <w:sz w:val="22"/>
                <w:szCs w:val="22"/>
              </w:rPr>
              <w:t xml:space="preserve">mmHg  </w:t>
            </w:r>
          </w:p>
        </w:tc>
        <w:tc>
          <w:tcPr>
            <w:tcW w:w="758" w:type="pct"/>
            <w:shd w:val="clear" w:color="auto" w:fill="auto"/>
            <w:vAlign w:val="center"/>
          </w:tcPr>
          <w:p w14:paraId="3B0873AF" w14:textId="77777777" w:rsidR="0061578A" w:rsidRPr="00E96214" w:rsidRDefault="0061578A" w:rsidP="0014192C">
            <w:pPr>
              <w:jc w:val="center"/>
              <w:rPr>
                <w:sz w:val="20"/>
                <w:szCs w:val="20"/>
              </w:rPr>
            </w:pPr>
            <w:r w:rsidRPr="00E96214">
              <w:rPr>
                <w:sz w:val="20"/>
                <w:szCs w:val="20"/>
              </w:rPr>
              <w:t>118 (109-127)</w:t>
            </w:r>
          </w:p>
        </w:tc>
        <w:tc>
          <w:tcPr>
            <w:tcW w:w="758" w:type="pct"/>
            <w:shd w:val="clear" w:color="auto" w:fill="auto"/>
            <w:vAlign w:val="center"/>
          </w:tcPr>
          <w:p w14:paraId="4E4ACE46" w14:textId="77777777" w:rsidR="0061578A" w:rsidRPr="00E96214" w:rsidRDefault="0061578A" w:rsidP="0014192C">
            <w:pPr>
              <w:jc w:val="center"/>
              <w:rPr>
                <w:sz w:val="20"/>
                <w:szCs w:val="20"/>
              </w:rPr>
            </w:pPr>
            <w:r w:rsidRPr="00E96214">
              <w:rPr>
                <w:sz w:val="20"/>
                <w:szCs w:val="20"/>
              </w:rPr>
              <w:t>126 (114-139)</w:t>
            </w:r>
          </w:p>
        </w:tc>
        <w:tc>
          <w:tcPr>
            <w:tcW w:w="834" w:type="pct"/>
            <w:shd w:val="clear" w:color="auto" w:fill="auto"/>
            <w:vAlign w:val="center"/>
          </w:tcPr>
          <w:p w14:paraId="26D83B22" w14:textId="77777777" w:rsidR="0061578A" w:rsidRPr="00E96214" w:rsidRDefault="0061578A" w:rsidP="0014192C">
            <w:pPr>
              <w:jc w:val="center"/>
              <w:rPr>
                <w:sz w:val="20"/>
                <w:szCs w:val="20"/>
              </w:rPr>
            </w:pPr>
            <w:r w:rsidRPr="00E96214">
              <w:rPr>
                <w:sz w:val="20"/>
                <w:szCs w:val="20"/>
              </w:rPr>
              <w:t>129 (116 – 142)</w:t>
            </w:r>
          </w:p>
        </w:tc>
        <w:tc>
          <w:tcPr>
            <w:tcW w:w="836" w:type="pct"/>
            <w:shd w:val="clear" w:color="auto" w:fill="auto"/>
            <w:vAlign w:val="center"/>
          </w:tcPr>
          <w:p w14:paraId="506149D0" w14:textId="77777777" w:rsidR="0061578A" w:rsidRPr="00E96214" w:rsidRDefault="0061578A" w:rsidP="0014192C">
            <w:pPr>
              <w:jc w:val="center"/>
              <w:rPr>
                <w:sz w:val="20"/>
                <w:szCs w:val="20"/>
              </w:rPr>
            </w:pPr>
            <w:r w:rsidRPr="00E96214">
              <w:rPr>
                <w:sz w:val="20"/>
                <w:szCs w:val="20"/>
              </w:rPr>
              <w:t>126 (114 – 139)</w:t>
            </w:r>
          </w:p>
        </w:tc>
        <w:tc>
          <w:tcPr>
            <w:tcW w:w="606" w:type="pct"/>
            <w:vAlign w:val="center"/>
          </w:tcPr>
          <w:p w14:paraId="3F598ED3" w14:textId="77777777" w:rsidR="0061578A" w:rsidRPr="00E96214" w:rsidRDefault="0061578A" w:rsidP="0014192C">
            <w:pPr>
              <w:jc w:val="center"/>
              <w:rPr>
                <w:sz w:val="20"/>
                <w:szCs w:val="20"/>
              </w:rPr>
            </w:pPr>
            <w:r w:rsidRPr="00E96214">
              <w:rPr>
                <w:sz w:val="20"/>
                <w:szCs w:val="20"/>
              </w:rPr>
              <w:t>&lt;0.0001</w:t>
            </w:r>
          </w:p>
        </w:tc>
      </w:tr>
      <w:tr w:rsidR="0061578A" w:rsidRPr="001C26A4" w14:paraId="0E8F6090" w14:textId="77777777" w:rsidTr="004D7BD2">
        <w:tc>
          <w:tcPr>
            <w:tcW w:w="4394" w:type="pct"/>
            <w:gridSpan w:val="5"/>
            <w:shd w:val="clear" w:color="auto" w:fill="auto"/>
            <w:vAlign w:val="center"/>
          </w:tcPr>
          <w:p w14:paraId="5E63AA4B" w14:textId="77777777" w:rsidR="0061578A" w:rsidRPr="00E96214" w:rsidRDefault="0061578A" w:rsidP="0014192C">
            <w:pPr>
              <w:rPr>
                <w:b/>
                <w:bCs/>
                <w:sz w:val="22"/>
                <w:szCs w:val="22"/>
              </w:rPr>
            </w:pPr>
            <w:r w:rsidRPr="00E96214">
              <w:rPr>
                <w:b/>
                <w:bCs/>
                <w:sz w:val="22"/>
                <w:szCs w:val="22"/>
              </w:rPr>
              <w:t xml:space="preserve">Comorbidity </w:t>
            </w:r>
            <w:r w:rsidRPr="00E96214">
              <w:rPr>
                <w:sz w:val="22"/>
                <w:szCs w:val="22"/>
              </w:rPr>
              <w:t xml:space="preserve">(Charlson Index) </w:t>
            </w:r>
            <w:r w:rsidRPr="00E96214">
              <w:rPr>
                <w:i/>
                <w:iCs/>
                <w:sz w:val="22"/>
                <w:szCs w:val="22"/>
              </w:rPr>
              <w:t>n (%)</w:t>
            </w:r>
          </w:p>
        </w:tc>
        <w:tc>
          <w:tcPr>
            <w:tcW w:w="606" w:type="pct"/>
            <w:vAlign w:val="center"/>
          </w:tcPr>
          <w:p w14:paraId="3088E394" w14:textId="77777777" w:rsidR="0061578A" w:rsidRPr="00E96214" w:rsidRDefault="0061578A" w:rsidP="0014192C">
            <w:pPr>
              <w:rPr>
                <w:b/>
                <w:bCs/>
                <w:sz w:val="22"/>
                <w:szCs w:val="22"/>
              </w:rPr>
            </w:pPr>
          </w:p>
        </w:tc>
      </w:tr>
      <w:tr w:rsidR="0061578A" w:rsidRPr="001C26A4" w14:paraId="6405D728" w14:textId="77777777" w:rsidTr="00B5012D">
        <w:tc>
          <w:tcPr>
            <w:tcW w:w="1208" w:type="pct"/>
            <w:shd w:val="clear" w:color="auto" w:fill="auto"/>
          </w:tcPr>
          <w:p w14:paraId="2D7825D7" w14:textId="77777777" w:rsidR="0061578A" w:rsidRPr="001C26A4" w:rsidRDefault="0061578A" w:rsidP="0014192C">
            <w:pPr>
              <w:rPr>
                <w:i/>
                <w:iCs/>
                <w:sz w:val="22"/>
                <w:szCs w:val="22"/>
              </w:rPr>
            </w:pPr>
            <w:r w:rsidRPr="001C26A4">
              <w:rPr>
                <w:sz w:val="22"/>
                <w:szCs w:val="22"/>
              </w:rPr>
              <w:t>0</w:t>
            </w:r>
          </w:p>
        </w:tc>
        <w:tc>
          <w:tcPr>
            <w:tcW w:w="758" w:type="pct"/>
            <w:shd w:val="clear" w:color="auto" w:fill="auto"/>
          </w:tcPr>
          <w:p w14:paraId="7550856A" w14:textId="77777777" w:rsidR="0061578A" w:rsidRPr="00E96214" w:rsidRDefault="0061578A" w:rsidP="0014192C">
            <w:pPr>
              <w:jc w:val="center"/>
              <w:rPr>
                <w:sz w:val="20"/>
                <w:szCs w:val="20"/>
              </w:rPr>
            </w:pPr>
            <w:r w:rsidRPr="00E96214">
              <w:rPr>
                <w:sz w:val="20"/>
                <w:szCs w:val="20"/>
              </w:rPr>
              <w:t>1572 (88.5)</w:t>
            </w:r>
          </w:p>
        </w:tc>
        <w:tc>
          <w:tcPr>
            <w:tcW w:w="758" w:type="pct"/>
            <w:shd w:val="clear" w:color="auto" w:fill="auto"/>
          </w:tcPr>
          <w:p w14:paraId="2D1B2B52" w14:textId="77777777" w:rsidR="0061578A" w:rsidRPr="00E96214" w:rsidRDefault="0061578A" w:rsidP="0014192C">
            <w:pPr>
              <w:jc w:val="center"/>
              <w:rPr>
                <w:sz w:val="20"/>
                <w:szCs w:val="20"/>
              </w:rPr>
            </w:pPr>
            <w:r w:rsidRPr="00E96214">
              <w:rPr>
                <w:sz w:val="20"/>
                <w:szCs w:val="20"/>
              </w:rPr>
              <w:t>8929 (78.9)</w:t>
            </w:r>
          </w:p>
        </w:tc>
        <w:tc>
          <w:tcPr>
            <w:tcW w:w="834" w:type="pct"/>
            <w:shd w:val="clear" w:color="auto" w:fill="auto"/>
          </w:tcPr>
          <w:p w14:paraId="0659AD5A" w14:textId="77777777" w:rsidR="0061578A" w:rsidRPr="00E96214" w:rsidRDefault="0061578A" w:rsidP="0014192C">
            <w:pPr>
              <w:jc w:val="center"/>
              <w:rPr>
                <w:sz w:val="20"/>
                <w:szCs w:val="20"/>
              </w:rPr>
            </w:pPr>
            <w:r w:rsidRPr="00E96214">
              <w:rPr>
                <w:sz w:val="20"/>
                <w:szCs w:val="20"/>
              </w:rPr>
              <w:t>6382 (80.4)</w:t>
            </w:r>
          </w:p>
        </w:tc>
        <w:tc>
          <w:tcPr>
            <w:tcW w:w="836" w:type="pct"/>
            <w:shd w:val="clear" w:color="auto" w:fill="auto"/>
          </w:tcPr>
          <w:p w14:paraId="395C10E4" w14:textId="77777777" w:rsidR="0061578A" w:rsidRPr="00E96214" w:rsidRDefault="0061578A" w:rsidP="0014192C">
            <w:pPr>
              <w:jc w:val="center"/>
              <w:rPr>
                <w:sz w:val="20"/>
                <w:szCs w:val="20"/>
              </w:rPr>
            </w:pPr>
            <w:r w:rsidRPr="00E96214">
              <w:rPr>
                <w:sz w:val="20"/>
                <w:szCs w:val="20"/>
              </w:rPr>
              <w:t>16883 (80.3)</w:t>
            </w:r>
          </w:p>
        </w:tc>
        <w:tc>
          <w:tcPr>
            <w:tcW w:w="606" w:type="pct"/>
            <w:vMerge w:val="restart"/>
            <w:vAlign w:val="center"/>
          </w:tcPr>
          <w:p w14:paraId="1C00C157" w14:textId="77777777" w:rsidR="0061578A" w:rsidRPr="00E96214" w:rsidRDefault="0061578A" w:rsidP="0014192C">
            <w:pPr>
              <w:jc w:val="center"/>
              <w:rPr>
                <w:sz w:val="20"/>
                <w:szCs w:val="20"/>
              </w:rPr>
            </w:pPr>
            <w:r w:rsidRPr="00E96214">
              <w:rPr>
                <w:sz w:val="20"/>
                <w:szCs w:val="20"/>
              </w:rPr>
              <w:t>&lt;0.0001</w:t>
            </w:r>
          </w:p>
        </w:tc>
      </w:tr>
      <w:tr w:rsidR="0061578A" w:rsidRPr="001C26A4" w14:paraId="13453090" w14:textId="77777777" w:rsidTr="00B5012D">
        <w:tc>
          <w:tcPr>
            <w:tcW w:w="1208" w:type="pct"/>
            <w:shd w:val="clear" w:color="auto" w:fill="auto"/>
          </w:tcPr>
          <w:p w14:paraId="4F1C0E58" w14:textId="77777777" w:rsidR="0061578A" w:rsidRPr="001C26A4" w:rsidRDefault="0061578A" w:rsidP="0014192C">
            <w:pPr>
              <w:rPr>
                <w:i/>
                <w:iCs/>
                <w:sz w:val="22"/>
                <w:szCs w:val="22"/>
              </w:rPr>
            </w:pPr>
            <w:r w:rsidRPr="001C26A4">
              <w:rPr>
                <w:sz w:val="22"/>
                <w:szCs w:val="22"/>
              </w:rPr>
              <w:t>1-5</w:t>
            </w:r>
          </w:p>
        </w:tc>
        <w:tc>
          <w:tcPr>
            <w:tcW w:w="758" w:type="pct"/>
            <w:shd w:val="clear" w:color="auto" w:fill="auto"/>
          </w:tcPr>
          <w:p w14:paraId="025F26A1" w14:textId="77777777" w:rsidR="0061578A" w:rsidRPr="00E96214" w:rsidRDefault="0061578A" w:rsidP="0014192C">
            <w:pPr>
              <w:jc w:val="center"/>
              <w:rPr>
                <w:sz w:val="20"/>
                <w:szCs w:val="20"/>
              </w:rPr>
            </w:pPr>
            <w:r w:rsidRPr="00E96214">
              <w:rPr>
                <w:sz w:val="20"/>
                <w:szCs w:val="20"/>
              </w:rPr>
              <w:t>113 (6.4)</w:t>
            </w:r>
          </w:p>
        </w:tc>
        <w:tc>
          <w:tcPr>
            <w:tcW w:w="758" w:type="pct"/>
            <w:shd w:val="clear" w:color="auto" w:fill="auto"/>
          </w:tcPr>
          <w:p w14:paraId="1759AE1B" w14:textId="77777777" w:rsidR="0061578A" w:rsidRPr="00E96214" w:rsidRDefault="0061578A" w:rsidP="0014192C">
            <w:pPr>
              <w:jc w:val="center"/>
              <w:rPr>
                <w:sz w:val="20"/>
                <w:szCs w:val="20"/>
              </w:rPr>
            </w:pPr>
            <w:r w:rsidRPr="00E96214">
              <w:rPr>
                <w:sz w:val="20"/>
                <w:szCs w:val="20"/>
              </w:rPr>
              <w:t>1233 (10.9)</w:t>
            </w:r>
          </w:p>
        </w:tc>
        <w:tc>
          <w:tcPr>
            <w:tcW w:w="834" w:type="pct"/>
            <w:shd w:val="clear" w:color="auto" w:fill="auto"/>
          </w:tcPr>
          <w:p w14:paraId="6678FD74" w14:textId="77777777" w:rsidR="0061578A" w:rsidRPr="00E96214" w:rsidRDefault="0061578A" w:rsidP="0014192C">
            <w:pPr>
              <w:jc w:val="center"/>
              <w:rPr>
                <w:sz w:val="20"/>
                <w:szCs w:val="20"/>
              </w:rPr>
            </w:pPr>
            <w:r w:rsidRPr="00E96214">
              <w:rPr>
                <w:sz w:val="20"/>
                <w:szCs w:val="20"/>
              </w:rPr>
              <w:t>1024 (12.9)</w:t>
            </w:r>
          </w:p>
        </w:tc>
        <w:tc>
          <w:tcPr>
            <w:tcW w:w="836" w:type="pct"/>
            <w:shd w:val="clear" w:color="auto" w:fill="auto"/>
          </w:tcPr>
          <w:p w14:paraId="4AA02C19" w14:textId="77777777" w:rsidR="0061578A" w:rsidRPr="00E96214" w:rsidRDefault="0061578A" w:rsidP="0014192C">
            <w:pPr>
              <w:jc w:val="center"/>
              <w:rPr>
                <w:sz w:val="20"/>
                <w:szCs w:val="20"/>
              </w:rPr>
            </w:pPr>
            <w:r w:rsidRPr="00E96214">
              <w:rPr>
                <w:sz w:val="20"/>
                <w:szCs w:val="20"/>
              </w:rPr>
              <w:t>2370 (11.3)</w:t>
            </w:r>
          </w:p>
        </w:tc>
        <w:tc>
          <w:tcPr>
            <w:tcW w:w="606" w:type="pct"/>
            <w:vMerge/>
            <w:vAlign w:val="center"/>
          </w:tcPr>
          <w:p w14:paraId="7DC89691" w14:textId="77777777" w:rsidR="0061578A" w:rsidRPr="00E96214" w:rsidRDefault="0061578A" w:rsidP="0014192C">
            <w:pPr>
              <w:jc w:val="center"/>
              <w:rPr>
                <w:sz w:val="20"/>
                <w:szCs w:val="20"/>
              </w:rPr>
            </w:pPr>
          </w:p>
        </w:tc>
      </w:tr>
      <w:tr w:rsidR="0061578A" w:rsidRPr="001C26A4" w14:paraId="38E22C58" w14:textId="77777777" w:rsidTr="00B5012D">
        <w:tc>
          <w:tcPr>
            <w:tcW w:w="1208" w:type="pct"/>
            <w:shd w:val="clear" w:color="auto" w:fill="auto"/>
          </w:tcPr>
          <w:p w14:paraId="6064CFC3" w14:textId="77777777" w:rsidR="0061578A" w:rsidRPr="001C26A4" w:rsidRDefault="0061578A" w:rsidP="0014192C">
            <w:pPr>
              <w:rPr>
                <w:i/>
                <w:iCs/>
                <w:sz w:val="22"/>
                <w:szCs w:val="22"/>
              </w:rPr>
            </w:pPr>
            <w:r w:rsidRPr="001C26A4">
              <w:rPr>
                <w:sz w:val="22"/>
                <w:szCs w:val="22"/>
              </w:rPr>
              <w:t>6-10</w:t>
            </w:r>
          </w:p>
        </w:tc>
        <w:tc>
          <w:tcPr>
            <w:tcW w:w="758" w:type="pct"/>
            <w:shd w:val="clear" w:color="auto" w:fill="auto"/>
          </w:tcPr>
          <w:p w14:paraId="168368AC" w14:textId="77777777" w:rsidR="0061578A" w:rsidRPr="00E96214" w:rsidRDefault="0061578A" w:rsidP="0014192C">
            <w:pPr>
              <w:jc w:val="center"/>
              <w:rPr>
                <w:sz w:val="20"/>
                <w:szCs w:val="20"/>
              </w:rPr>
            </w:pPr>
            <w:r w:rsidRPr="00E96214">
              <w:rPr>
                <w:sz w:val="20"/>
                <w:szCs w:val="20"/>
              </w:rPr>
              <w:t>2 (0.1)</w:t>
            </w:r>
          </w:p>
        </w:tc>
        <w:tc>
          <w:tcPr>
            <w:tcW w:w="758" w:type="pct"/>
            <w:shd w:val="clear" w:color="auto" w:fill="auto"/>
          </w:tcPr>
          <w:p w14:paraId="4A53597D" w14:textId="77777777" w:rsidR="0061578A" w:rsidRPr="00E96214" w:rsidRDefault="0061578A" w:rsidP="0014192C">
            <w:pPr>
              <w:jc w:val="center"/>
              <w:rPr>
                <w:sz w:val="20"/>
                <w:szCs w:val="20"/>
              </w:rPr>
            </w:pPr>
            <w:r w:rsidRPr="00E96214">
              <w:rPr>
                <w:sz w:val="20"/>
                <w:szCs w:val="20"/>
              </w:rPr>
              <w:t>26 (0.2)</w:t>
            </w:r>
          </w:p>
        </w:tc>
        <w:tc>
          <w:tcPr>
            <w:tcW w:w="834" w:type="pct"/>
            <w:shd w:val="clear" w:color="auto" w:fill="auto"/>
          </w:tcPr>
          <w:p w14:paraId="7A9CE36D" w14:textId="77777777" w:rsidR="0061578A" w:rsidRPr="00E96214" w:rsidRDefault="0061578A" w:rsidP="0014192C">
            <w:pPr>
              <w:jc w:val="center"/>
              <w:rPr>
                <w:sz w:val="20"/>
                <w:szCs w:val="20"/>
              </w:rPr>
            </w:pPr>
            <w:r w:rsidRPr="00E96214">
              <w:rPr>
                <w:sz w:val="20"/>
                <w:szCs w:val="20"/>
              </w:rPr>
              <w:t>14 (0.2)</w:t>
            </w:r>
          </w:p>
        </w:tc>
        <w:tc>
          <w:tcPr>
            <w:tcW w:w="836" w:type="pct"/>
            <w:shd w:val="clear" w:color="auto" w:fill="auto"/>
          </w:tcPr>
          <w:p w14:paraId="6FCDD6B0" w14:textId="77777777" w:rsidR="0061578A" w:rsidRPr="00E96214" w:rsidRDefault="0061578A" w:rsidP="0014192C">
            <w:pPr>
              <w:jc w:val="center"/>
              <w:rPr>
                <w:sz w:val="20"/>
                <w:szCs w:val="20"/>
              </w:rPr>
            </w:pPr>
            <w:r w:rsidRPr="00E96214">
              <w:rPr>
                <w:sz w:val="20"/>
                <w:szCs w:val="20"/>
              </w:rPr>
              <w:t>42 (0.2)</w:t>
            </w:r>
          </w:p>
        </w:tc>
        <w:tc>
          <w:tcPr>
            <w:tcW w:w="606" w:type="pct"/>
            <w:vMerge/>
            <w:vAlign w:val="center"/>
          </w:tcPr>
          <w:p w14:paraId="46B21526" w14:textId="77777777" w:rsidR="0061578A" w:rsidRPr="00E96214" w:rsidRDefault="0061578A" w:rsidP="0014192C">
            <w:pPr>
              <w:jc w:val="center"/>
              <w:rPr>
                <w:sz w:val="20"/>
                <w:szCs w:val="20"/>
              </w:rPr>
            </w:pPr>
          </w:p>
        </w:tc>
      </w:tr>
      <w:tr w:rsidR="0061578A" w:rsidRPr="001C26A4" w14:paraId="63860E3F" w14:textId="77777777" w:rsidTr="00B5012D">
        <w:tc>
          <w:tcPr>
            <w:tcW w:w="1208" w:type="pct"/>
            <w:shd w:val="clear" w:color="auto" w:fill="auto"/>
          </w:tcPr>
          <w:p w14:paraId="57CC0821" w14:textId="77777777" w:rsidR="0061578A" w:rsidRPr="001C26A4" w:rsidRDefault="0061578A" w:rsidP="0014192C">
            <w:pPr>
              <w:rPr>
                <w:i/>
                <w:iCs/>
                <w:sz w:val="22"/>
                <w:szCs w:val="22"/>
              </w:rPr>
            </w:pPr>
            <w:r w:rsidRPr="001C26A4">
              <w:rPr>
                <w:sz w:val="22"/>
                <w:szCs w:val="22"/>
              </w:rPr>
              <w:t>&gt;10</w:t>
            </w:r>
          </w:p>
        </w:tc>
        <w:tc>
          <w:tcPr>
            <w:tcW w:w="758" w:type="pct"/>
            <w:shd w:val="clear" w:color="auto" w:fill="auto"/>
          </w:tcPr>
          <w:p w14:paraId="4960C3DD" w14:textId="77777777" w:rsidR="0061578A" w:rsidRPr="00E96214" w:rsidRDefault="0061578A" w:rsidP="0014192C">
            <w:pPr>
              <w:jc w:val="center"/>
              <w:rPr>
                <w:sz w:val="20"/>
                <w:szCs w:val="20"/>
              </w:rPr>
            </w:pPr>
            <w:r w:rsidRPr="00E96214">
              <w:rPr>
                <w:sz w:val="20"/>
                <w:szCs w:val="20"/>
              </w:rPr>
              <w:t>1 (0.06)</w:t>
            </w:r>
          </w:p>
        </w:tc>
        <w:tc>
          <w:tcPr>
            <w:tcW w:w="758" w:type="pct"/>
            <w:shd w:val="clear" w:color="auto" w:fill="auto"/>
          </w:tcPr>
          <w:p w14:paraId="2046C204" w14:textId="77777777" w:rsidR="0061578A" w:rsidRPr="00E96214" w:rsidRDefault="0061578A" w:rsidP="0014192C">
            <w:pPr>
              <w:jc w:val="center"/>
              <w:rPr>
                <w:sz w:val="20"/>
                <w:szCs w:val="20"/>
              </w:rPr>
            </w:pPr>
            <w:r w:rsidRPr="00E96214">
              <w:rPr>
                <w:sz w:val="20"/>
                <w:szCs w:val="20"/>
              </w:rPr>
              <w:t>3 (0.03)</w:t>
            </w:r>
          </w:p>
        </w:tc>
        <w:tc>
          <w:tcPr>
            <w:tcW w:w="834" w:type="pct"/>
            <w:shd w:val="clear" w:color="auto" w:fill="auto"/>
          </w:tcPr>
          <w:p w14:paraId="558DC6EE" w14:textId="77777777" w:rsidR="0061578A" w:rsidRPr="00E96214" w:rsidRDefault="0061578A" w:rsidP="0014192C">
            <w:pPr>
              <w:jc w:val="center"/>
              <w:rPr>
                <w:sz w:val="20"/>
                <w:szCs w:val="20"/>
              </w:rPr>
            </w:pPr>
            <w:r w:rsidRPr="00E96214">
              <w:rPr>
                <w:sz w:val="20"/>
                <w:szCs w:val="20"/>
              </w:rPr>
              <w:t>3 (0.04)</w:t>
            </w:r>
          </w:p>
        </w:tc>
        <w:tc>
          <w:tcPr>
            <w:tcW w:w="836" w:type="pct"/>
            <w:shd w:val="clear" w:color="auto" w:fill="auto"/>
          </w:tcPr>
          <w:p w14:paraId="3B156A22" w14:textId="77777777" w:rsidR="0061578A" w:rsidRPr="00E96214" w:rsidRDefault="0061578A" w:rsidP="0014192C">
            <w:pPr>
              <w:jc w:val="center"/>
              <w:rPr>
                <w:sz w:val="20"/>
                <w:szCs w:val="20"/>
              </w:rPr>
            </w:pPr>
            <w:r w:rsidRPr="00E96214">
              <w:rPr>
                <w:sz w:val="20"/>
                <w:szCs w:val="20"/>
              </w:rPr>
              <w:t>7 (0.03)</w:t>
            </w:r>
          </w:p>
        </w:tc>
        <w:tc>
          <w:tcPr>
            <w:tcW w:w="606" w:type="pct"/>
            <w:vMerge/>
            <w:vAlign w:val="center"/>
          </w:tcPr>
          <w:p w14:paraId="3F9573BE" w14:textId="77777777" w:rsidR="0061578A" w:rsidRPr="00E96214" w:rsidRDefault="0061578A" w:rsidP="0014192C">
            <w:pPr>
              <w:jc w:val="center"/>
              <w:rPr>
                <w:sz w:val="20"/>
                <w:szCs w:val="20"/>
              </w:rPr>
            </w:pPr>
          </w:p>
        </w:tc>
      </w:tr>
      <w:tr w:rsidR="0061578A" w:rsidRPr="001C26A4" w14:paraId="39F2D57D" w14:textId="77777777" w:rsidTr="004D7BD2">
        <w:tc>
          <w:tcPr>
            <w:tcW w:w="4394" w:type="pct"/>
            <w:gridSpan w:val="5"/>
            <w:shd w:val="clear" w:color="auto" w:fill="auto"/>
            <w:vAlign w:val="center"/>
          </w:tcPr>
          <w:p w14:paraId="28DD7901" w14:textId="77777777" w:rsidR="0061578A" w:rsidRPr="00E96214" w:rsidRDefault="0061578A" w:rsidP="0014192C">
            <w:pPr>
              <w:rPr>
                <w:b/>
                <w:bCs/>
                <w:sz w:val="22"/>
                <w:szCs w:val="22"/>
              </w:rPr>
            </w:pPr>
            <w:r w:rsidRPr="00E96214">
              <w:rPr>
                <w:b/>
                <w:bCs/>
                <w:sz w:val="22"/>
                <w:szCs w:val="22"/>
              </w:rPr>
              <w:t xml:space="preserve">Most Senior Clinician  </w:t>
            </w:r>
            <w:r w:rsidRPr="00E96214">
              <w:rPr>
                <w:i/>
                <w:iCs/>
                <w:sz w:val="22"/>
                <w:szCs w:val="22"/>
              </w:rPr>
              <w:t>n (%)</w:t>
            </w:r>
          </w:p>
        </w:tc>
        <w:tc>
          <w:tcPr>
            <w:tcW w:w="606" w:type="pct"/>
            <w:vAlign w:val="center"/>
          </w:tcPr>
          <w:p w14:paraId="5377E757" w14:textId="77777777" w:rsidR="0061578A" w:rsidRPr="00E96214" w:rsidRDefault="0061578A" w:rsidP="0014192C">
            <w:pPr>
              <w:rPr>
                <w:b/>
                <w:bCs/>
                <w:sz w:val="22"/>
                <w:szCs w:val="22"/>
              </w:rPr>
            </w:pPr>
          </w:p>
        </w:tc>
      </w:tr>
      <w:tr w:rsidR="0061578A" w:rsidRPr="001C26A4" w14:paraId="1351C988" w14:textId="77777777" w:rsidTr="00B5012D">
        <w:tc>
          <w:tcPr>
            <w:tcW w:w="1208" w:type="pct"/>
            <w:shd w:val="clear" w:color="auto" w:fill="auto"/>
            <w:vAlign w:val="center"/>
          </w:tcPr>
          <w:p w14:paraId="33F4F0EE" w14:textId="77777777" w:rsidR="0061578A" w:rsidRPr="001C26A4" w:rsidRDefault="0061578A" w:rsidP="0014192C">
            <w:pPr>
              <w:rPr>
                <w:i/>
                <w:iCs/>
                <w:sz w:val="22"/>
                <w:szCs w:val="22"/>
              </w:rPr>
            </w:pPr>
            <w:r w:rsidRPr="001C26A4">
              <w:rPr>
                <w:i/>
                <w:iCs/>
                <w:sz w:val="22"/>
                <w:szCs w:val="22"/>
              </w:rPr>
              <w:t>Consultant</w:t>
            </w:r>
          </w:p>
        </w:tc>
        <w:tc>
          <w:tcPr>
            <w:tcW w:w="758" w:type="pct"/>
            <w:shd w:val="clear" w:color="auto" w:fill="auto"/>
          </w:tcPr>
          <w:p w14:paraId="56CBB01A" w14:textId="77777777" w:rsidR="0061578A" w:rsidRPr="00E96214" w:rsidRDefault="0061578A" w:rsidP="0014192C">
            <w:pPr>
              <w:jc w:val="center"/>
              <w:rPr>
                <w:sz w:val="20"/>
                <w:szCs w:val="20"/>
              </w:rPr>
            </w:pPr>
            <w:r w:rsidRPr="00E96214">
              <w:rPr>
                <w:sz w:val="20"/>
                <w:szCs w:val="20"/>
              </w:rPr>
              <w:t>1207 (67.9)</w:t>
            </w:r>
          </w:p>
        </w:tc>
        <w:tc>
          <w:tcPr>
            <w:tcW w:w="758" w:type="pct"/>
            <w:shd w:val="clear" w:color="auto" w:fill="auto"/>
          </w:tcPr>
          <w:p w14:paraId="5F2FC6E3" w14:textId="77777777" w:rsidR="0061578A" w:rsidRPr="00E96214" w:rsidRDefault="0061578A" w:rsidP="0014192C">
            <w:pPr>
              <w:jc w:val="center"/>
              <w:rPr>
                <w:sz w:val="20"/>
                <w:szCs w:val="20"/>
              </w:rPr>
            </w:pPr>
            <w:r w:rsidRPr="00E96214">
              <w:rPr>
                <w:sz w:val="20"/>
                <w:szCs w:val="20"/>
              </w:rPr>
              <w:t>9214 (81.4)</w:t>
            </w:r>
          </w:p>
        </w:tc>
        <w:tc>
          <w:tcPr>
            <w:tcW w:w="834" w:type="pct"/>
            <w:shd w:val="clear" w:color="auto" w:fill="auto"/>
          </w:tcPr>
          <w:p w14:paraId="46EDCC74" w14:textId="77777777" w:rsidR="0061578A" w:rsidRPr="00E96214" w:rsidRDefault="0061578A" w:rsidP="0014192C">
            <w:pPr>
              <w:jc w:val="center"/>
              <w:rPr>
                <w:sz w:val="20"/>
                <w:szCs w:val="20"/>
              </w:rPr>
            </w:pPr>
            <w:r w:rsidRPr="00E96214">
              <w:rPr>
                <w:sz w:val="20"/>
                <w:szCs w:val="20"/>
              </w:rPr>
              <w:t>5858 (73.8)</w:t>
            </w:r>
          </w:p>
        </w:tc>
        <w:tc>
          <w:tcPr>
            <w:tcW w:w="836" w:type="pct"/>
            <w:shd w:val="clear" w:color="auto" w:fill="auto"/>
          </w:tcPr>
          <w:p w14:paraId="2BC95DC0" w14:textId="77777777" w:rsidR="0061578A" w:rsidRPr="00E96214" w:rsidRDefault="0061578A" w:rsidP="0014192C">
            <w:pPr>
              <w:jc w:val="center"/>
              <w:rPr>
                <w:sz w:val="20"/>
                <w:szCs w:val="20"/>
              </w:rPr>
            </w:pPr>
            <w:r w:rsidRPr="00E96214">
              <w:rPr>
                <w:sz w:val="20"/>
                <w:szCs w:val="20"/>
              </w:rPr>
              <w:t>16279 (77.4)</w:t>
            </w:r>
          </w:p>
        </w:tc>
        <w:tc>
          <w:tcPr>
            <w:tcW w:w="606" w:type="pct"/>
            <w:vMerge w:val="restart"/>
            <w:vAlign w:val="center"/>
          </w:tcPr>
          <w:p w14:paraId="671E5FE5" w14:textId="77777777" w:rsidR="0061578A" w:rsidRPr="00E96214" w:rsidRDefault="0061578A" w:rsidP="0014192C">
            <w:pPr>
              <w:jc w:val="center"/>
              <w:rPr>
                <w:sz w:val="20"/>
                <w:szCs w:val="20"/>
              </w:rPr>
            </w:pPr>
            <w:r w:rsidRPr="00E96214">
              <w:rPr>
                <w:sz w:val="20"/>
                <w:szCs w:val="20"/>
              </w:rPr>
              <w:t>&lt;0.0001</w:t>
            </w:r>
          </w:p>
        </w:tc>
      </w:tr>
      <w:tr w:rsidR="0061578A" w:rsidRPr="001C26A4" w14:paraId="0BD0D2D8" w14:textId="77777777" w:rsidTr="00B5012D">
        <w:tc>
          <w:tcPr>
            <w:tcW w:w="1208" w:type="pct"/>
            <w:shd w:val="clear" w:color="auto" w:fill="auto"/>
            <w:vAlign w:val="center"/>
          </w:tcPr>
          <w:p w14:paraId="43AD2B1E" w14:textId="77777777" w:rsidR="0061578A" w:rsidRPr="001C26A4" w:rsidRDefault="0061578A" w:rsidP="0014192C">
            <w:pPr>
              <w:rPr>
                <w:i/>
                <w:iCs/>
                <w:sz w:val="22"/>
                <w:szCs w:val="22"/>
              </w:rPr>
            </w:pPr>
            <w:r w:rsidRPr="001C26A4">
              <w:rPr>
                <w:i/>
                <w:iCs/>
                <w:sz w:val="22"/>
                <w:szCs w:val="22"/>
              </w:rPr>
              <w:t>Associate Spec.</w:t>
            </w:r>
          </w:p>
        </w:tc>
        <w:tc>
          <w:tcPr>
            <w:tcW w:w="758" w:type="pct"/>
            <w:shd w:val="clear" w:color="auto" w:fill="auto"/>
          </w:tcPr>
          <w:p w14:paraId="655BE707" w14:textId="77777777" w:rsidR="0061578A" w:rsidRPr="00E96214" w:rsidRDefault="0061578A" w:rsidP="0014192C">
            <w:pPr>
              <w:jc w:val="center"/>
              <w:rPr>
                <w:sz w:val="20"/>
                <w:szCs w:val="20"/>
              </w:rPr>
            </w:pPr>
            <w:r w:rsidRPr="00E96214">
              <w:rPr>
                <w:sz w:val="20"/>
                <w:szCs w:val="20"/>
              </w:rPr>
              <w:t>24 (1.4)</w:t>
            </w:r>
          </w:p>
        </w:tc>
        <w:tc>
          <w:tcPr>
            <w:tcW w:w="758" w:type="pct"/>
            <w:shd w:val="clear" w:color="auto" w:fill="auto"/>
          </w:tcPr>
          <w:p w14:paraId="11BADC2D" w14:textId="77777777" w:rsidR="0061578A" w:rsidRPr="00E96214" w:rsidRDefault="0061578A" w:rsidP="0014192C">
            <w:pPr>
              <w:jc w:val="center"/>
              <w:rPr>
                <w:sz w:val="20"/>
                <w:szCs w:val="20"/>
              </w:rPr>
            </w:pPr>
            <w:r w:rsidRPr="00E96214">
              <w:rPr>
                <w:sz w:val="20"/>
                <w:szCs w:val="20"/>
              </w:rPr>
              <w:t>51 (0.5)</w:t>
            </w:r>
          </w:p>
        </w:tc>
        <w:tc>
          <w:tcPr>
            <w:tcW w:w="834" w:type="pct"/>
            <w:shd w:val="clear" w:color="auto" w:fill="auto"/>
          </w:tcPr>
          <w:p w14:paraId="489D5BA6" w14:textId="77777777" w:rsidR="0061578A" w:rsidRPr="00E96214" w:rsidRDefault="0061578A" w:rsidP="0014192C">
            <w:pPr>
              <w:jc w:val="center"/>
              <w:rPr>
                <w:sz w:val="20"/>
                <w:szCs w:val="20"/>
              </w:rPr>
            </w:pPr>
            <w:r w:rsidRPr="00E96214">
              <w:rPr>
                <w:sz w:val="20"/>
                <w:szCs w:val="20"/>
              </w:rPr>
              <w:t>140 (1.8)</w:t>
            </w:r>
          </w:p>
        </w:tc>
        <w:tc>
          <w:tcPr>
            <w:tcW w:w="836" w:type="pct"/>
            <w:shd w:val="clear" w:color="auto" w:fill="auto"/>
          </w:tcPr>
          <w:p w14:paraId="57D1DD13" w14:textId="77777777" w:rsidR="0061578A" w:rsidRPr="00E96214" w:rsidRDefault="0061578A" w:rsidP="0014192C">
            <w:pPr>
              <w:jc w:val="center"/>
              <w:rPr>
                <w:sz w:val="20"/>
                <w:szCs w:val="20"/>
              </w:rPr>
            </w:pPr>
            <w:r w:rsidRPr="00E96214">
              <w:rPr>
                <w:sz w:val="20"/>
                <w:szCs w:val="20"/>
              </w:rPr>
              <w:t>215 (1.0)</w:t>
            </w:r>
          </w:p>
        </w:tc>
        <w:tc>
          <w:tcPr>
            <w:tcW w:w="606" w:type="pct"/>
            <w:vMerge/>
            <w:vAlign w:val="center"/>
          </w:tcPr>
          <w:p w14:paraId="291AFFB7" w14:textId="77777777" w:rsidR="0061578A" w:rsidRPr="00E96214" w:rsidRDefault="0061578A" w:rsidP="0014192C">
            <w:pPr>
              <w:jc w:val="center"/>
              <w:rPr>
                <w:sz w:val="20"/>
                <w:szCs w:val="20"/>
              </w:rPr>
            </w:pPr>
          </w:p>
        </w:tc>
      </w:tr>
      <w:tr w:rsidR="0061578A" w:rsidRPr="001C26A4" w14:paraId="1EB4FA34" w14:textId="77777777" w:rsidTr="00B5012D">
        <w:tc>
          <w:tcPr>
            <w:tcW w:w="1208" w:type="pct"/>
            <w:shd w:val="clear" w:color="auto" w:fill="auto"/>
            <w:vAlign w:val="center"/>
          </w:tcPr>
          <w:p w14:paraId="65356742" w14:textId="77777777" w:rsidR="0061578A" w:rsidRPr="001C26A4" w:rsidRDefault="0061578A" w:rsidP="0014192C">
            <w:pPr>
              <w:rPr>
                <w:i/>
                <w:iCs/>
                <w:sz w:val="22"/>
                <w:szCs w:val="22"/>
              </w:rPr>
            </w:pPr>
            <w:r w:rsidRPr="001C26A4">
              <w:rPr>
                <w:i/>
                <w:iCs/>
                <w:sz w:val="22"/>
                <w:szCs w:val="22"/>
              </w:rPr>
              <w:t>ST3 +</w:t>
            </w:r>
          </w:p>
        </w:tc>
        <w:tc>
          <w:tcPr>
            <w:tcW w:w="758" w:type="pct"/>
            <w:shd w:val="clear" w:color="auto" w:fill="auto"/>
          </w:tcPr>
          <w:p w14:paraId="4CC7310F" w14:textId="77777777" w:rsidR="0061578A" w:rsidRPr="00E96214" w:rsidRDefault="0061578A" w:rsidP="0014192C">
            <w:pPr>
              <w:jc w:val="center"/>
              <w:rPr>
                <w:sz w:val="20"/>
                <w:szCs w:val="20"/>
              </w:rPr>
            </w:pPr>
            <w:r w:rsidRPr="00E96214">
              <w:rPr>
                <w:sz w:val="20"/>
                <w:szCs w:val="20"/>
              </w:rPr>
              <w:t>238 (13.4)</w:t>
            </w:r>
          </w:p>
        </w:tc>
        <w:tc>
          <w:tcPr>
            <w:tcW w:w="758" w:type="pct"/>
            <w:shd w:val="clear" w:color="auto" w:fill="auto"/>
          </w:tcPr>
          <w:p w14:paraId="10B1DD60" w14:textId="77777777" w:rsidR="0061578A" w:rsidRPr="00E96214" w:rsidRDefault="0061578A" w:rsidP="0014192C">
            <w:pPr>
              <w:jc w:val="center"/>
              <w:rPr>
                <w:sz w:val="20"/>
                <w:szCs w:val="20"/>
              </w:rPr>
            </w:pPr>
            <w:r w:rsidRPr="00E96214">
              <w:rPr>
                <w:sz w:val="20"/>
                <w:szCs w:val="20"/>
              </w:rPr>
              <w:t>535 (4.7)</w:t>
            </w:r>
          </w:p>
        </w:tc>
        <w:tc>
          <w:tcPr>
            <w:tcW w:w="834" w:type="pct"/>
            <w:shd w:val="clear" w:color="auto" w:fill="auto"/>
          </w:tcPr>
          <w:p w14:paraId="128665F3" w14:textId="77777777" w:rsidR="0061578A" w:rsidRPr="00E96214" w:rsidRDefault="0061578A" w:rsidP="0014192C">
            <w:pPr>
              <w:jc w:val="center"/>
              <w:rPr>
                <w:sz w:val="20"/>
                <w:szCs w:val="20"/>
              </w:rPr>
            </w:pPr>
            <w:r w:rsidRPr="00E96214">
              <w:rPr>
                <w:sz w:val="20"/>
                <w:szCs w:val="20"/>
              </w:rPr>
              <w:t>655 (8.3)</w:t>
            </w:r>
          </w:p>
        </w:tc>
        <w:tc>
          <w:tcPr>
            <w:tcW w:w="836" w:type="pct"/>
            <w:shd w:val="clear" w:color="auto" w:fill="auto"/>
          </w:tcPr>
          <w:p w14:paraId="4901C5FC" w14:textId="77777777" w:rsidR="0061578A" w:rsidRPr="00E96214" w:rsidRDefault="0061578A" w:rsidP="0014192C">
            <w:pPr>
              <w:jc w:val="center"/>
              <w:rPr>
                <w:sz w:val="20"/>
                <w:szCs w:val="20"/>
              </w:rPr>
            </w:pPr>
            <w:r w:rsidRPr="00E96214">
              <w:rPr>
                <w:sz w:val="20"/>
                <w:szCs w:val="20"/>
              </w:rPr>
              <w:t>1428 (6.8)</w:t>
            </w:r>
          </w:p>
        </w:tc>
        <w:tc>
          <w:tcPr>
            <w:tcW w:w="606" w:type="pct"/>
            <w:vMerge/>
            <w:vAlign w:val="center"/>
          </w:tcPr>
          <w:p w14:paraId="641542EA" w14:textId="77777777" w:rsidR="0061578A" w:rsidRPr="00E96214" w:rsidRDefault="0061578A" w:rsidP="0014192C">
            <w:pPr>
              <w:jc w:val="center"/>
              <w:rPr>
                <w:sz w:val="20"/>
                <w:szCs w:val="20"/>
              </w:rPr>
            </w:pPr>
          </w:p>
        </w:tc>
      </w:tr>
      <w:tr w:rsidR="0061578A" w:rsidRPr="001C26A4" w14:paraId="6F596D4A" w14:textId="77777777" w:rsidTr="00B5012D">
        <w:tc>
          <w:tcPr>
            <w:tcW w:w="1208" w:type="pct"/>
            <w:shd w:val="clear" w:color="auto" w:fill="auto"/>
            <w:vAlign w:val="center"/>
          </w:tcPr>
          <w:p w14:paraId="1FEF65A6" w14:textId="77777777" w:rsidR="0061578A" w:rsidRPr="001C26A4" w:rsidRDefault="0061578A" w:rsidP="0014192C">
            <w:pPr>
              <w:rPr>
                <w:i/>
                <w:iCs/>
                <w:sz w:val="22"/>
                <w:szCs w:val="22"/>
              </w:rPr>
            </w:pPr>
            <w:r w:rsidRPr="001C26A4">
              <w:rPr>
                <w:i/>
                <w:iCs/>
                <w:sz w:val="22"/>
                <w:szCs w:val="22"/>
              </w:rPr>
              <w:t>FP / ST 1-2</w:t>
            </w:r>
          </w:p>
        </w:tc>
        <w:tc>
          <w:tcPr>
            <w:tcW w:w="758" w:type="pct"/>
            <w:shd w:val="clear" w:color="auto" w:fill="auto"/>
          </w:tcPr>
          <w:p w14:paraId="3E1B5318" w14:textId="77777777" w:rsidR="0061578A" w:rsidRPr="00E96214" w:rsidRDefault="0061578A" w:rsidP="0014192C">
            <w:pPr>
              <w:tabs>
                <w:tab w:val="left" w:pos="570"/>
                <w:tab w:val="center" w:pos="787"/>
              </w:tabs>
              <w:jc w:val="center"/>
              <w:rPr>
                <w:sz w:val="20"/>
                <w:szCs w:val="20"/>
              </w:rPr>
            </w:pPr>
            <w:r w:rsidRPr="00E96214">
              <w:rPr>
                <w:sz w:val="20"/>
                <w:szCs w:val="20"/>
              </w:rPr>
              <w:t>48 (2.7)</w:t>
            </w:r>
          </w:p>
        </w:tc>
        <w:tc>
          <w:tcPr>
            <w:tcW w:w="758" w:type="pct"/>
            <w:shd w:val="clear" w:color="auto" w:fill="auto"/>
          </w:tcPr>
          <w:p w14:paraId="394F85A1" w14:textId="77777777" w:rsidR="0061578A" w:rsidRPr="00E96214" w:rsidRDefault="0061578A" w:rsidP="0014192C">
            <w:pPr>
              <w:jc w:val="center"/>
              <w:rPr>
                <w:sz w:val="20"/>
                <w:szCs w:val="20"/>
              </w:rPr>
            </w:pPr>
            <w:r w:rsidRPr="00E96214">
              <w:rPr>
                <w:sz w:val="20"/>
                <w:szCs w:val="20"/>
              </w:rPr>
              <w:t>295 (2.6)</w:t>
            </w:r>
          </w:p>
        </w:tc>
        <w:tc>
          <w:tcPr>
            <w:tcW w:w="834" w:type="pct"/>
            <w:shd w:val="clear" w:color="auto" w:fill="auto"/>
          </w:tcPr>
          <w:p w14:paraId="3AC63706" w14:textId="77777777" w:rsidR="0061578A" w:rsidRPr="00E96214" w:rsidRDefault="0061578A" w:rsidP="0014192C">
            <w:pPr>
              <w:tabs>
                <w:tab w:val="left" w:pos="600"/>
                <w:tab w:val="center" w:pos="787"/>
              </w:tabs>
              <w:jc w:val="center"/>
              <w:rPr>
                <w:sz w:val="20"/>
                <w:szCs w:val="20"/>
              </w:rPr>
            </w:pPr>
            <w:r w:rsidRPr="00E96214">
              <w:rPr>
                <w:sz w:val="20"/>
                <w:szCs w:val="20"/>
              </w:rPr>
              <w:t>343 (4.3)</w:t>
            </w:r>
          </w:p>
        </w:tc>
        <w:tc>
          <w:tcPr>
            <w:tcW w:w="836" w:type="pct"/>
            <w:shd w:val="clear" w:color="auto" w:fill="auto"/>
          </w:tcPr>
          <w:p w14:paraId="6139AA3C" w14:textId="77777777" w:rsidR="0061578A" w:rsidRPr="00E96214" w:rsidRDefault="0061578A" w:rsidP="0014192C">
            <w:pPr>
              <w:jc w:val="center"/>
              <w:rPr>
                <w:sz w:val="20"/>
                <w:szCs w:val="20"/>
              </w:rPr>
            </w:pPr>
            <w:r w:rsidRPr="00E96214">
              <w:rPr>
                <w:sz w:val="20"/>
                <w:szCs w:val="20"/>
              </w:rPr>
              <w:t>686 (3.3)</w:t>
            </w:r>
          </w:p>
        </w:tc>
        <w:tc>
          <w:tcPr>
            <w:tcW w:w="606" w:type="pct"/>
            <w:vMerge/>
            <w:vAlign w:val="center"/>
          </w:tcPr>
          <w:p w14:paraId="7C449D74" w14:textId="77777777" w:rsidR="0061578A" w:rsidRPr="00E96214" w:rsidRDefault="0061578A" w:rsidP="0014192C">
            <w:pPr>
              <w:jc w:val="center"/>
              <w:rPr>
                <w:sz w:val="20"/>
                <w:szCs w:val="20"/>
              </w:rPr>
            </w:pPr>
          </w:p>
        </w:tc>
      </w:tr>
      <w:tr w:rsidR="0061578A" w:rsidRPr="001C26A4" w14:paraId="3B7E766E" w14:textId="77777777" w:rsidTr="00B5012D">
        <w:tc>
          <w:tcPr>
            <w:tcW w:w="1208" w:type="pct"/>
            <w:shd w:val="clear" w:color="auto" w:fill="auto"/>
            <w:vAlign w:val="center"/>
          </w:tcPr>
          <w:p w14:paraId="54C29D5A" w14:textId="77777777" w:rsidR="0061578A" w:rsidRPr="001C26A4" w:rsidRDefault="0061578A" w:rsidP="0014192C">
            <w:pPr>
              <w:rPr>
                <w:i/>
                <w:iCs/>
                <w:sz w:val="22"/>
                <w:szCs w:val="22"/>
              </w:rPr>
            </w:pPr>
            <w:r w:rsidRPr="001C26A4">
              <w:rPr>
                <w:i/>
                <w:iCs/>
                <w:sz w:val="22"/>
                <w:szCs w:val="22"/>
              </w:rPr>
              <w:t>Other</w:t>
            </w:r>
          </w:p>
        </w:tc>
        <w:tc>
          <w:tcPr>
            <w:tcW w:w="758" w:type="pct"/>
            <w:shd w:val="clear" w:color="auto" w:fill="auto"/>
          </w:tcPr>
          <w:p w14:paraId="491B6E12" w14:textId="77777777" w:rsidR="0061578A" w:rsidRPr="00E96214" w:rsidRDefault="0061578A" w:rsidP="0014192C">
            <w:pPr>
              <w:jc w:val="center"/>
              <w:rPr>
                <w:sz w:val="20"/>
                <w:szCs w:val="20"/>
              </w:rPr>
            </w:pPr>
            <w:r w:rsidRPr="00E96214">
              <w:rPr>
                <w:sz w:val="20"/>
                <w:szCs w:val="20"/>
              </w:rPr>
              <w:t>260 (14.6)</w:t>
            </w:r>
          </w:p>
        </w:tc>
        <w:tc>
          <w:tcPr>
            <w:tcW w:w="758" w:type="pct"/>
            <w:shd w:val="clear" w:color="auto" w:fill="auto"/>
          </w:tcPr>
          <w:p w14:paraId="3C5A835A" w14:textId="77777777" w:rsidR="0061578A" w:rsidRPr="00E96214" w:rsidRDefault="0061578A" w:rsidP="0014192C">
            <w:pPr>
              <w:jc w:val="center"/>
              <w:rPr>
                <w:sz w:val="20"/>
                <w:szCs w:val="20"/>
              </w:rPr>
            </w:pPr>
            <w:r w:rsidRPr="00E96214">
              <w:rPr>
                <w:sz w:val="20"/>
                <w:szCs w:val="20"/>
              </w:rPr>
              <w:t>1224 (10.8)</w:t>
            </w:r>
          </w:p>
        </w:tc>
        <w:tc>
          <w:tcPr>
            <w:tcW w:w="834" w:type="pct"/>
            <w:shd w:val="clear" w:color="auto" w:fill="auto"/>
          </w:tcPr>
          <w:p w14:paraId="776DF33A" w14:textId="77777777" w:rsidR="0061578A" w:rsidRPr="00E96214" w:rsidRDefault="0061578A" w:rsidP="0014192C">
            <w:pPr>
              <w:jc w:val="center"/>
              <w:rPr>
                <w:sz w:val="20"/>
                <w:szCs w:val="20"/>
              </w:rPr>
            </w:pPr>
            <w:r w:rsidRPr="00E96214">
              <w:rPr>
                <w:sz w:val="20"/>
                <w:szCs w:val="20"/>
              </w:rPr>
              <w:t>941 (11.9)</w:t>
            </w:r>
          </w:p>
        </w:tc>
        <w:tc>
          <w:tcPr>
            <w:tcW w:w="836" w:type="pct"/>
            <w:shd w:val="clear" w:color="auto" w:fill="auto"/>
          </w:tcPr>
          <w:p w14:paraId="5018E89D" w14:textId="77777777" w:rsidR="0061578A" w:rsidRPr="00E96214" w:rsidRDefault="0061578A" w:rsidP="0014192C">
            <w:pPr>
              <w:jc w:val="center"/>
              <w:rPr>
                <w:sz w:val="20"/>
                <w:szCs w:val="20"/>
              </w:rPr>
            </w:pPr>
            <w:r w:rsidRPr="00E96214">
              <w:rPr>
                <w:sz w:val="20"/>
                <w:szCs w:val="20"/>
              </w:rPr>
              <w:t>2425 (11.5)</w:t>
            </w:r>
          </w:p>
        </w:tc>
        <w:tc>
          <w:tcPr>
            <w:tcW w:w="606" w:type="pct"/>
            <w:vMerge/>
            <w:vAlign w:val="center"/>
          </w:tcPr>
          <w:p w14:paraId="66A0A247" w14:textId="77777777" w:rsidR="0061578A" w:rsidRPr="00E96214" w:rsidRDefault="0061578A" w:rsidP="0014192C">
            <w:pPr>
              <w:jc w:val="center"/>
              <w:rPr>
                <w:sz w:val="20"/>
                <w:szCs w:val="20"/>
              </w:rPr>
            </w:pPr>
          </w:p>
        </w:tc>
      </w:tr>
      <w:tr w:rsidR="0061578A" w:rsidRPr="001C26A4" w14:paraId="5226451A" w14:textId="77777777" w:rsidTr="004D7BD2">
        <w:tc>
          <w:tcPr>
            <w:tcW w:w="4394" w:type="pct"/>
            <w:gridSpan w:val="5"/>
            <w:shd w:val="clear" w:color="auto" w:fill="auto"/>
            <w:vAlign w:val="center"/>
          </w:tcPr>
          <w:p w14:paraId="7D921E5E" w14:textId="77777777" w:rsidR="0061578A" w:rsidRPr="00E96214" w:rsidRDefault="0061578A" w:rsidP="0014192C">
            <w:pPr>
              <w:jc w:val="center"/>
              <w:rPr>
                <w:sz w:val="22"/>
                <w:szCs w:val="22"/>
              </w:rPr>
            </w:pPr>
          </w:p>
        </w:tc>
        <w:tc>
          <w:tcPr>
            <w:tcW w:w="606" w:type="pct"/>
            <w:vAlign w:val="center"/>
          </w:tcPr>
          <w:p w14:paraId="69A3F621" w14:textId="77777777" w:rsidR="0061578A" w:rsidRPr="00E96214" w:rsidRDefault="0061578A" w:rsidP="0014192C">
            <w:pPr>
              <w:jc w:val="center"/>
              <w:rPr>
                <w:sz w:val="22"/>
                <w:szCs w:val="22"/>
              </w:rPr>
            </w:pPr>
          </w:p>
        </w:tc>
      </w:tr>
      <w:tr w:rsidR="0061578A" w:rsidRPr="001C26A4" w14:paraId="7649A78B" w14:textId="77777777" w:rsidTr="00B5012D">
        <w:tc>
          <w:tcPr>
            <w:tcW w:w="1208" w:type="pct"/>
            <w:shd w:val="clear" w:color="auto" w:fill="auto"/>
            <w:vAlign w:val="center"/>
          </w:tcPr>
          <w:p w14:paraId="2135CC9D" w14:textId="77777777" w:rsidR="0061578A" w:rsidRPr="001C26A4" w:rsidRDefault="0061578A" w:rsidP="0014192C">
            <w:pPr>
              <w:rPr>
                <w:b/>
                <w:bCs/>
                <w:sz w:val="22"/>
                <w:szCs w:val="22"/>
              </w:rPr>
            </w:pPr>
            <w:r w:rsidRPr="001C26A4">
              <w:rPr>
                <w:b/>
                <w:bCs/>
                <w:sz w:val="22"/>
                <w:szCs w:val="22"/>
              </w:rPr>
              <w:t xml:space="preserve">Mortality </w:t>
            </w:r>
            <w:r w:rsidRPr="001C26A4">
              <w:rPr>
                <w:i/>
                <w:iCs/>
                <w:sz w:val="22"/>
                <w:szCs w:val="22"/>
              </w:rPr>
              <w:t>n</w:t>
            </w:r>
            <w:r>
              <w:rPr>
                <w:i/>
                <w:iCs/>
                <w:sz w:val="22"/>
                <w:szCs w:val="22"/>
              </w:rPr>
              <w:t xml:space="preserve"> </w:t>
            </w:r>
            <w:r w:rsidRPr="001C26A4">
              <w:rPr>
                <w:i/>
                <w:iCs/>
                <w:sz w:val="22"/>
                <w:szCs w:val="22"/>
              </w:rPr>
              <w:t>(%)</w:t>
            </w:r>
          </w:p>
        </w:tc>
        <w:tc>
          <w:tcPr>
            <w:tcW w:w="758" w:type="pct"/>
            <w:shd w:val="clear" w:color="auto" w:fill="auto"/>
          </w:tcPr>
          <w:p w14:paraId="27F77888" w14:textId="77777777" w:rsidR="0061578A" w:rsidRPr="00E96214" w:rsidRDefault="0061578A" w:rsidP="0014192C">
            <w:pPr>
              <w:jc w:val="center"/>
              <w:rPr>
                <w:sz w:val="20"/>
                <w:szCs w:val="20"/>
              </w:rPr>
            </w:pPr>
            <w:r w:rsidRPr="00E96214">
              <w:rPr>
                <w:sz w:val="20"/>
                <w:szCs w:val="20"/>
              </w:rPr>
              <w:t>44 (2.5%)</w:t>
            </w:r>
          </w:p>
        </w:tc>
        <w:tc>
          <w:tcPr>
            <w:tcW w:w="758" w:type="pct"/>
            <w:shd w:val="clear" w:color="auto" w:fill="auto"/>
          </w:tcPr>
          <w:p w14:paraId="5BD7B68C" w14:textId="77777777" w:rsidR="0061578A" w:rsidRPr="00E96214" w:rsidRDefault="0061578A" w:rsidP="0014192C">
            <w:pPr>
              <w:jc w:val="center"/>
              <w:rPr>
                <w:sz w:val="20"/>
                <w:szCs w:val="20"/>
              </w:rPr>
            </w:pPr>
            <w:r w:rsidRPr="00E96214">
              <w:rPr>
                <w:sz w:val="20"/>
                <w:szCs w:val="20"/>
              </w:rPr>
              <w:t>501 (4.4%)</w:t>
            </w:r>
          </w:p>
        </w:tc>
        <w:tc>
          <w:tcPr>
            <w:tcW w:w="834" w:type="pct"/>
            <w:shd w:val="clear" w:color="auto" w:fill="auto"/>
          </w:tcPr>
          <w:p w14:paraId="7D82FB16" w14:textId="77777777" w:rsidR="0061578A" w:rsidRPr="00E96214" w:rsidRDefault="0061578A" w:rsidP="0014192C">
            <w:pPr>
              <w:jc w:val="center"/>
              <w:rPr>
                <w:sz w:val="20"/>
                <w:szCs w:val="20"/>
              </w:rPr>
            </w:pPr>
            <w:r w:rsidRPr="00E96214">
              <w:rPr>
                <w:sz w:val="20"/>
                <w:szCs w:val="20"/>
              </w:rPr>
              <w:t>387 (4.9%)</w:t>
            </w:r>
          </w:p>
        </w:tc>
        <w:tc>
          <w:tcPr>
            <w:tcW w:w="836" w:type="pct"/>
            <w:shd w:val="clear" w:color="auto" w:fill="auto"/>
          </w:tcPr>
          <w:p w14:paraId="24E78037" w14:textId="77777777" w:rsidR="0061578A" w:rsidRPr="00E96214" w:rsidRDefault="0061578A" w:rsidP="0014192C">
            <w:pPr>
              <w:jc w:val="center"/>
              <w:rPr>
                <w:sz w:val="20"/>
                <w:szCs w:val="20"/>
              </w:rPr>
            </w:pPr>
            <w:r w:rsidRPr="00E96214">
              <w:rPr>
                <w:sz w:val="20"/>
                <w:szCs w:val="20"/>
              </w:rPr>
              <w:t>932 (4.4%)</w:t>
            </w:r>
          </w:p>
        </w:tc>
        <w:tc>
          <w:tcPr>
            <w:tcW w:w="606" w:type="pct"/>
            <w:vAlign w:val="center"/>
          </w:tcPr>
          <w:p w14:paraId="602E9652" w14:textId="77777777" w:rsidR="0061578A" w:rsidRPr="00E96214" w:rsidRDefault="0061578A" w:rsidP="0014192C">
            <w:pPr>
              <w:jc w:val="center"/>
              <w:rPr>
                <w:sz w:val="20"/>
                <w:szCs w:val="20"/>
              </w:rPr>
            </w:pPr>
            <w:r w:rsidRPr="00E96214">
              <w:rPr>
                <w:sz w:val="20"/>
                <w:szCs w:val="20"/>
              </w:rPr>
              <w:t>&lt;0.0001</w:t>
            </w:r>
          </w:p>
        </w:tc>
      </w:tr>
      <w:tr w:rsidR="0061578A" w:rsidRPr="001C26A4" w14:paraId="7425CBA2" w14:textId="77777777" w:rsidTr="004D7BD2">
        <w:tc>
          <w:tcPr>
            <w:tcW w:w="4394" w:type="pct"/>
            <w:gridSpan w:val="5"/>
            <w:shd w:val="clear" w:color="auto" w:fill="auto"/>
            <w:vAlign w:val="center"/>
          </w:tcPr>
          <w:p w14:paraId="02AD84F3" w14:textId="77777777" w:rsidR="0061578A" w:rsidRPr="00E96214" w:rsidRDefault="0061578A" w:rsidP="0014192C">
            <w:pPr>
              <w:jc w:val="center"/>
              <w:rPr>
                <w:sz w:val="20"/>
                <w:szCs w:val="20"/>
              </w:rPr>
            </w:pPr>
          </w:p>
        </w:tc>
        <w:tc>
          <w:tcPr>
            <w:tcW w:w="606" w:type="pct"/>
            <w:vAlign w:val="center"/>
          </w:tcPr>
          <w:p w14:paraId="55D1FEB8" w14:textId="77777777" w:rsidR="0061578A" w:rsidRPr="00E96214" w:rsidRDefault="0061578A" w:rsidP="0014192C">
            <w:pPr>
              <w:jc w:val="center"/>
              <w:rPr>
                <w:sz w:val="20"/>
                <w:szCs w:val="20"/>
              </w:rPr>
            </w:pPr>
          </w:p>
        </w:tc>
      </w:tr>
      <w:tr w:rsidR="0061578A" w:rsidRPr="001C26A4" w14:paraId="117A80B8" w14:textId="77777777" w:rsidTr="004D7BD2">
        <w:tc>
          <w:tcPr>
            <w:tcW w:w="4394" w:type="pct"/>
            <w:gridSpan w:val="5"/>
            <w:shd w:val="clear" w:color="auto" w:fill="auto"/>
            <w:vAlign w:val="center"/>
          </w:tcPr>
          <w:p w14:paraId="6902012E" w14:textId="77777777" w:rsidR="0061578A" w:rsidRPr="00E96214" w:rsidRDefault="0061578A" w:rsidP="0014192C">
            <w:pPr>
              <w:rPr>
                <w:b/>
                <w:iCs/>
                <w:sz w:val="22"/>
                <w:szCs w:val="22"/>
              </w:rPr>
            </w:pPr>
            <w:r w:rsidRPr="00E96214">
              <w:rPr>
                <w:b/>
                <w:iCs/>
                <w:sz w:val="22"/>
                <w:szCs w:val="22"/>
              </w:rPr>
              <w:t>Length of Stay</w:t>
            </w:r>
          </w:p>
        </w:tc>
        <w:tc>
          <w:tcPr>
            <w:tcW w:w="606" w:type="pct"/>
            <w:vAlign w:val="center"/>
          </w:tcPr>
          <w:p w14:paraId="0CF44151" w14:textId="77777777" w:rsidR="0061578A" w:rsidRPr="00E96214" w:rsidRDefault="0061578A" w:rsidP="0014192C">
            <w:pPr>
              <w:rPr>
                <w:b/>
                <w:iCs/>
                <w:sz w:val="22"/>
                <w:szCs w:val="22"/>
              </w:rPr>
            </w:pPr>
          </w:p>
        </w:tc>
      </w:tr>
      <w:tr w:rsidR="0061578A" w:rsidRPr="001C26A4" w14:paraId="48351021" w14:textId="77777777" w:rsidTr="00B5012D">
        <w:tc>
          <w:tcPr>
            <w:tcW w:w="1208" w:type="pct"/>
            <w:shd w:val="clear" w:color="auto" w:fill="auto"/>
            <w:vAlign w:val="center"/>
          </w:tcPr>
          <w:p w14:paraId="23A8C07A" w14:textId="77777777" w:rsidR="0061578A" w:rsidRPr="001C26A4" w:rsidRDefault="0061578A" w:rsidP="0014192C">
            <w:pPr>
              <w:rPr>
                <w:color w:val="000000"/>
                <w:sz w:val="22"/>
                <w:szCs w:val="22"/>
              </w:rPr>
            </w:pPr>
            <w:r w:rsidRPr="001C26A4">
              <w:rPr>
                <w:b/>
                <w:bCs/>
                <w:color w:val="000000"/>
                <w:sz w:val="22"/>
                <w:szCs w:val="22"/>
              </w:rPr>
              <w:t xml:space="preserve">LoS </w:t>
            </w:r>
            <w:r w:rsidRPr="001C26A4">
              <w:rPr>
                <w:bCs/>
                <w:color w:val="000000"/>
                <w:sz w:val="22"/>
                <w:szCs w:val="22"/>
              </w:rPr>
              <w:t>in</w:t>
            </w:r>
            <w:r w:rsidRPr="001C26A4">
              <w:rPr>
                <w:color w:val="000000"/>
                <w:sz w:val="22"/>
                <w:szCs w:val="22"/>
              </w:rPr>
              <w:t xml:space="preserve"> days</w:t>
            </w:r>
          </w:p>
          <w:p w14:paraId="1BECD38D" w14:textId="77777777" w:rsidR="0061578A" w:rsidRPr="001C26A4" w:rsidRDefault="0061578A" w:rsidP="0014192C">
            <w:pPr>
              <w:rPr>
                <w:i/>
                <w:iCs/>
                <w:sz w:val="22"/>
                <w:szCs w:val="22"/>
              </w:rPr>
            </w:pPr>
            <w:r w:rsidRPr="001C26A4">
              <w:rPr>
                <w:i/>
                <w:iCs/>
                <w:sz w:val="22"/>
                <w:szCs w:val="22"/>
              </w:rPr>
              <w:t>Median (IQR)</w:t>
            </w:r>
          </w:p>
        </w:tc>
        <w:tc>
          <w:tcPr>
            <w:tcW w:w="758" w:type="pct"/>
            <w:shd w:val="clear" w:color="auto" w:fill="auto"/>
          </w:tcPr>
          <w:p w14:paraId="677C89C8" w14:textId="77777777" w:rsidR="0061578A" w:rsidRPr="00E96214" w:rsidRDefault="0061578A" w:rsidP="0014192C">
            <w:pPr>
              <w:jc w:val="center"/>
              <w:rPr>
                <w:sz w:val="20"/>
                <w:szCs w:val="20"/>
              </w:rPr>
            </w:pPr>
            <w:r w:rsidRPr="00E96214">
              <w:rPr>
                <w:sz w:val="20"/>
                <w:szCs w:val="20"/>
              </w:rPr>
              <w:t>6 (4-11)</w:t>
            </w:r>
          </w:p>
        </w:tc>
        <w:tc>
          <w:tcPr>
            <w:tcW w:w="758" w:type="pct"/>
            <w:shd w:val="clear" w:color="auto" w:fill="auto"/>
          </w:tcPr>
          <w:p w14:paraId="2FBEBB63" w14:textId="77777777" w:rsidR="0061578A" w:rsidRPr="00E96214" w:rsidRDefault="0061578A" w:rsidP="0014192C">
            <w:pPr>
              <w:jc w:val="center"/>
              <w:rPr>
                <w:sz w:val="20"/>
                <w:szCs w:val="20"/>
              </w:rPr>
            </w:pPr>
            <w:r w:rsidRPr="00E96214">
              <w:rPr>
                <w:sz w:val="20"/>
                <w:szCs w:val="20"/>
              </w:rPr>
              <w:t>6 (4-12)</w:t>
            </w:r>
          </w:p>
        </w:tc>
        <w:tc>
          <w:tcPr>
            <w:tcW w:w="834" w:type="pct"/>
            <w:shd w:val="clear" w:color="auto" w:fill="auto"/>
          </w:tcPr>
          <w:p w14:paraId="432796DD" w14:textId="77777777" w:rsidR="0061578A" w:rsidRPr="00E96214" w:rsidRDefault="0061578A" w:rsidP="0014192C">
            <w:pPr>
              <w:jc w:val="center"/>
              <w:rPr>
                <w:sz w:val="20"/>
                <w:szCs w:val="20"/>
              </w:rPr>
            </w:pPr>
            <w:r w:rsidRPr="00E96214">
              <w:rPr>
                <w:sz w:val="20"/>
                <w:szCs w:val="20"/>
              </w:rPr>
              <w:t>7 (4-12)</w:t>
            </w:r>
          </w:p>
        </w:tc>
        <w:tc>
          <w:tcPr>
            <w:tcW w:w="836" w:type="pct"/>
            <w:shd w:val="clear" w:color="auto" w:fill="auto"/>
          </w:tcPr>
          <w:p w14:paraId="60D36437" w14:textId="77777777" w:rsidR="0061578A" w:rsidRPr="00E96214" w:rsidRDefault="0061578A" w:rsidP="0014192C">
            <w:pPr>
              <w:jc w:val="center"/>
              <w:rPr>
                <w:sz w:val="20"/>
                <w:szCs w:val="20"/>
              </w:rPr>
            </w:pPr>
            <w:r w:rsidRPr="00E96214">
              <w:rPr>
                <w:sz w:val="20"/>
                <w:szCs w:val="20"/>
              </w:rPr>
              <w:t>6 (4-12)</w:t>
            </w:r>
          </w:p>
        </w:tc>
        <w:tc>
          <w:tcPr>
            <w:tcW w:w="606" w:type="pct"/>
            <w:vAlign w:val="center"/>
          </w:tcPr>
          <w:p w14:paraId="28B87A35" w14:textId="77777777" w:rsidR="0061578A" w:rsidRPr="00E96214" w:rsidRDefault="0061578A" w:rsidP="0014192C">
            <w:pPr>
              <w:jc w:val="center"/>
              <w:rPr>
                <w:sz w:val="20"/>
                <w:szCs w:val="20"/>
              </w:rPr>
            </w:pPr>
            <w:r w:rsidRPr="00E96214">
              <w:rPr>
                <w:sz w:val="20"/>
                <w:szCs w:val="20"/>
              </w:rPr>
              <w:t>0</w:t>
            </w:r>
            <w:r>
              <w:rPr>
                <w:sz w:val="20"/>
                <w:szCs w:val="20"/>
              </w:rPr>
              <w:t>.</w:t>
            </w:r>
            <w:r w:rsidRPr="00E96214">
              <w:rPr>
                <w:sz w:val="20"/>
                <w:szCs w:val="20"/>
              </w:rPr>
              <w:t>0003</w:t>
            </w:r>
          </w:p>
        </w:tc>
      </w:tr>
      <w:tr w:rsidR="0061578A" w:rsidRPr="001C26A4" w14:paraId="368F0592" w14:textId="77777777" w:rsidTr="00B5012D">
        <w:tc>
          <w:tcPr>
            <w:tcW w:w="1208" w:type="pct"/>
            <w:shd w:val="clear" w:color="auto" w:fill="auto"/>
            <w:vAlign w:val="center"/>
          </w:tcPr>
          <w:p w14:paraId="36B8A9C4" w14:textId="77777777" w:rsidR="0061578A" w:rsidRPr="001C26A4" w:rsidRDefault="0061578A" w:rsidP="0014192C">
            <w:pPr>
              <w:rPr>
                <w:color w:val="000000"/>
                <w:sz w:val="22"/>
                <w:szCs w:val="22"/>
              </w:rPr>
            </w:pPr>
            <w:r w:rsidRPr="001C26A4">
              <w:rPr>
                <w:b/>
                <w:bCs/>
                <w:color w:val="000000"/>
                <w:sz w:val="22"/>
                <w:szCs w:val="22"/>
              </w:rPr>
              <w:t>ICU LoS</w:t>
            </w:r>
            <w:r w:rsidRPr="001C26A4">
              <w:rPr>
                <w:color w:val="000000"/>
                <w:sz w:val="22"/>
                <w:szCs w:val="22"/>
              </w:rPr>
              <w:t xml:space="preserve"> in days</w:t>
            </w:r>
          </w:p>
          <w:p w14:paraId="65558DA2" w14:textId="77777777" w:rsidR="0061578A" w:rsidRPr="001C26A4" w:rsidRDefault="0061578A" w:rsidP="0014192C">
            <w:pPr>
              <w:rPr>
                <w:i/>
                <w:iCs/>
                <w:sz w:val="22"/>
                <w:szCs w:val="22"/>
              </w:rPr>
            </w:pPr>
            <w:r w:rsidRPr="001C26A4">
              <w:rPr>
                <w:i/>
                <w:iCs/>
                <w:sz w:val="22"/>
                <w:szCs w:val="22"/>
              </w:rPr>
              <w:t>Median (IQR)</w:t>
            </w:r>
          </w:p>
        </w:tc>
        <w:tc>
          <w:tcPr>
            <w:tcW w:w="758" w:type="pct"/>
            <w:shd w:val="clear" w:color="auto" w:fill="auto"/>
          </w:tcPr>
          <w:p w14:paraId="1E2759FE" w14:textId="77777777" w:rsidR="0061578A" w:rsidRPr="00E96214" w:rsidRDefault="0061578A" w:rsidP="0014192C">
            <w:pPr>
              <w:jc w:val="center"/>
              <w:rPr>
                <w:sz w:val="20"/>
                <w:szCs w:val="20"/>
              </w:rPr>
            </w:pPr>
            <w:r w:rsidRPr="00E96214">
              <w:rPr>
                <w:sz w:val="20"/>
                <w:szCs w:val="20"/>
              </w:rPr>
              <w:t>2 (1-5)</w:t>
            </w:r>
          </w:p>
        </w:tc>
        <w:tc>
          <w:tcPr>
            <w:tcW w:w="758" w:type="pct"/>
            <w:shd w:val="clear" w:color="auto" w:fill="auto"/>
          </w:tcPr>
          <w:p w14:paraId="66B42C74" w14:textId="77777777" w:rsidR="0061578A" w:rsidRPr="00E96214" w:rsidRDefault="0061578A" w:rsidP="0014192C">
            <w:pPr>
              <w:jc w:val="center"/>
              <w:rPr>
                <w:sz w:val="20"/>
                <w:szCs w:val="20"/>
              </w:rPr>
            </w:pPr>
            <w:r w:rsidRPr="00E96214">
              <w:rPr>
                <w:sz w:val="20"/>
                <w:szCs w:val="20"/>
              </w:rPr>
              <w:t>2 (1-6)</w:t>
            </w:r>
          </w:p>
        </w:tc>
        <w:tc>
          <w:tcPr>
            <w:tcW w:w="834" w:type="pct"/>
            <w:shd w:val="clear" w:color="auto" w:fill="auto"/>
          </w:tcPr>
          <w:p w14:paraId="291A4D69" w14:textId="77777777" w:rsidR="0061578A" w:rsidRPr="00E96214" w:rsidRDefault="0061578A" w:rsidP="0014192C">
            <w:pPr>
              <w:jc w:val="center"/>
              <w:rPr>
                <w:sz w:val="20"/>
                <w:szCs w:val="20"/>
              </w:rPr>
            </w:pPr>
            <w:r w:rsidRPr="00E96214">
              <w:rPr>
                <w:sz w:val="20"/>
                <w:szCs w:val="20"/>
              </w:rPr>
              <w:t>3(1-8)</w:t>
            </w:r>
          </w:p>
        </w:tc>
        <w:tc>
          <w:tcPr>
            <w:tcW w:w="836" w:type="pct"/>
            <w:shd w:val="clear" w:color="auto" w:fill="auto"/>
          </w:tcPr>
          <w:p w14:paraId="711884DE" w14:textId="77777777" w:rsidR="0061578A" w:rsidRPr="00E96214" w:rsidRDefault="0061578A" w:rsidP="0014192C">
            <w:pPr>
              <w:jc w:val="center"/>
              <w:rPr>
                <w:sz w:val="20"/>
                <w:szCs w:val="20"/>
              </w:rPr>
            </w:pPr>
            <w:r w:rsidRPr="00E96214">
              <w:rPr>
                <w:sz w:val="20"/>
                <w:szCs w:val="20"/>
              </w:rPr>
              <w:t>2 (1-6)</w:t>
            </w:r>
          </w:p>
        </w:tc>
        <w:tc>
          <w:tcPr>
            <w:tcW w:w="606" w:type="pct"/>
            <w:vAlign w:val="center"/>
          </w:tcPr>
          <w:p w14:paraId="54AE1CAD" w14:textId="77777777" w:rsidR="0061578A" w:rsidRPr="00E96214" w:rsidRDefault="0061578A" w:rsidP="0014192C">
            <w:pPr>
              <w:jc w:val="center"/>
              <w:rPr>
                <w:sz w:val="20"/>
                <w:szCs w:val="20"/>
              </w:rPr>
            </w:pPr>
            <w:r w:rsidRPr="00E96214">
              <w:rPr>
                <w:sz w:val="20"/>
                <w:szCs w:val="20"/>
              </w:rPr>
              <w:t>&lt;0.0001</w:t>
            </w:r>
          </w:p>
        </w:tc>
      </w:tr>
      <w:tr w:rsidR="0061578A" w:rsidRPr="001C26A4" w14:paraId="1AC06C23" w14:textId="77777777" w:rsidTr="004D7BD2">
        <w:tc>
          <w:tcPr>
            <w:tcW w:w="4394" w:type="pct"/>
            <w:gridSpan w:val="5"/>
            <w:shd w:val="clear" w:color="auto" w:fill="auto"/>
            <w:vAlign w:val="center"/>
          </w:tcPr>
          <w:p w14:paraId="27D57B05" w14:textId="77777777" w:rsidR="0061578A" w:rsidRPr="00E96214" w:rsidRDefault="0061578A" w:rsidP="0014192C">
            <w:pPr>
              <w:rPr>
                <w:b/>
                <w:bCs/>
                <w:sz w:val="22"/>
                <w:szCs w:val="22"/>
              </w:rPr>
            </w:pPr>
            <w:r w:rsidRPr="00E96214">
              <w:rPr>
                <w:b/>
                <w:bCs/>
                <w:sz w:val="22"/>
                <w:szCs w:val="22"/>
              </w:rPr>
              <w:t>CT</w:t>
            </w:r>
          </w:p>
        </w:tc>
        <w:tc>
          <w:tcPr>
            <w:tcW w:w="606" w:type="pct"/>
            <w:vAlign w:val="center"/>
          </w:tcPr>
          <w:p w14:paraId="43DD4582" w14:textId="77777777" w:rsidR="0061578A" w:rsidRPr="00E96214" w:rsidRDefault="0061578A" w:rsidP="0014192C">
            <w:pPr>
              <w:rPr>
                <w:b/>
                <w:bCs/>
                <w:sz w:val="22"/>
                <w:szCs w:val="22"/>
              </w:rPr>
            </w:pPr>
          </w:p>
        </w:tc>
      </w:tr>
      <w:tr w:rsidR="0061578A" w:rsidRPr="001C26A4" w14:paraId="6CAD8292" w14:textId="77777777" w:rsidTr="00B5012D">
        <w:tc>
          <w:tcPr>
            <w:tcW w:w="1208" w:type="pct"/>
            <w:shd w:val="clear" w:color="auto" w:fill="auto"/>
            <w:vAlign w:val="center"/>
          </w:tcPr>
          <w:p w14:paraId="6301415F" w14:textId="77777777" w:rsidR="0061578A" w:rsidRPr="001C26A4" w:rsidRDefault="0061578A" w:rsidP="0014192C">
            <w:pPr>
              <w:rPr>
                <w:bCs/>
                <w:sz w:val="22"/>
                <w:szCs w:val="22"/>
              </w:rPr>
            </w:pPr>
            <w:r w:rsidRPr="001C26A4">
              <w:rPr>
                <w:b/>
                <w:bCs/>
                <w:sz w:val="22"/>
                <w:szCs w:val="22"/>
              </w:rPr>
              <w:t>CT</w:t>
            </w:r>
            <w:r>
              <w:rPr>
                <w:b/>
                <w:bCs/>
                <w:sz w:val="22"/>
                <w:szCs w:val="22"/>
              </w:rPr>
              <w:t xml:space="preserve"> performed </w:t>
            </w:r>
            <w:r w:rsidRPr="0008750C">
              <w:rPr>
                <w:i/>
                <w:iCs/>
                <w:sz w:val="22"/>
                <w:szCs w:val="22"/>
              </w:rPr>
              <w:t>n</w:t>
            </w:r>
            <w:r w:rsidRPr="001C26A4">
              <w:rPr>
                <w:b/>
                <w:bCs/>
                <w:sz w:val="22"/>
                <w:szCs w:val="22"/>
              </w:rPr>
              <w:t xml:space="preserve"> </w:t>
            </w:r>
            <w:r w:rsidRPr="001C26A4">
              <w:rPr>
                <w:bCs/>
                <w:sz w:val="22"/>
                <w:szCs w:val="22"/>
              </w:rPr>
              <w:t>(</w:t>
            </w:r>
            <w:r>
              <w:rPr>
                <w:bCs/>
                <w:sz w:val="22"/>
                <w:szCs w:val="22"/>
              </w:rPr>
              <w:t>%</w:t>
            </w:r>
            <w:r w:rsidRPr="001C26A4">
              <w:rPr>
                <w:bCs/>
                <w:sz w:val="22"/>
                <w:szCs w:val="22"/>
              </w:rPr>
              <w:t>)</w:t>
            </w:r>
          </w:p>
        </w:tc>
        <w:tc>
          <w:tcPr>
            <w:tcW w:w="758" w:type="pct"/>
            <w:shd w:val="clear" w:color="auto" w:fill="auto"/>
          </w:tcPr>
          <w:p w14:paraId="4235BE5E" w14:textId="77777777" w:rsidR="0061578A" w:rsidRPr="00E96214" w:rsidRDefault="0061578A" w:rsidP="0014192C">
            <w:pPr>
              <w:jc w:val="center"/>
              <w:rPr>
                <w:sz w:val="20"/>
                <w:szCs w:val="20"/>
              </w:rPr>
            </w:pPr>
            <w:r w:rsidRPr="00E96214">
              <w:rPr>
                <w:sz w:val="20"/>
                <w:szCs w:val="20"/>
              </w:rPr>
              <w:t>821 (46.2)</w:t>
            </w:r>
          </w:p>
        </w:tc>
        <w:tc>
          <w:tcPr>
            <w:tcW w:w="758" w:type="pct"/>
            <w:shd w:val="clear" w:color="auto" w:fill="auto"/>
          </w:tcPr>
          <w:p w14:paraId="22D4E25C" w14:textId="77777777" w:rsidR="0061578A" w:rsidRPr="00E96214" w:rsidRDefault="0061578A" w:rsidP="0014192C">
            <w:pPr>
              <w:jc w:val="center"/>
              <w:rPr>
                <w:sz w:val="20"/>
                <w:szCs w:val="20"/>
              </w:rPr>
            </w:pPr>
            <w:r w:rsidRPr="00E96214">
              <w:rPr>
                <w:sz w:val="20"/>
                <w:szCs w:val="20"/>
              </w:rPr>
              <w:t>7105 (62.8)</w:t>
            </w:r>
          </w:p>
        </w:tc>
        <w:tc>
          <w:tcPr>
            <w:tcW w:w="834" w:type="pct"/>
            <w:shd w:val="clear" w:color="auto" w:fill="auto"/>
          </w:tcPr>
          <w:p w14:paraId="5BFC9E77" w14:textId="77777777" w:rsidR="0061578A" w:rsidRPr="00E96214" w:rsidRDefault="0061578A" w:rsidP="0014192C">
            <w:pPr>
              <w:jc w:val="center"/>
              <w:rPr>
                <w:sz w:val="20"/>
                <w:szCs w:val="20"/>
              </w:rPr>
            </w:pPr>
            <w:r w:rsidRPr="00E96214">
              <w:rPr>
                <w:sz w:val="20"/>
                <w:szCs w:val="20"/>
              </w:rPr>
              <w:t>5080 (64)</w:t>
            </w:r>
          </w:p>
        </w:tc>
        <w:tc>
          <w:tcPr>
            <w:tcW w:w="836" w:type="pct"/>
            <w:shd w:val="clear" w:color="auto" w:fill="auto"/>
          </w:tcPr>
          <w:p w14:paraId="05581A2B" w14:textId="77777777" w:rsidR="0061578A" w:rsidRPr="00E96214" w:rsidRDefault="0061578A" w:rsidP="0014192C">
            <w:pPr>
              <w:jc w:val="center"/>
              <w:rPr>
                <w:sz w:val="20"/>
                <w:szCs w:val="20"/>
              </w:rPr>
            </w:pPr>
            <w:r w:rsidRPr="00E96214">
              <w:rPr>
                <w:sz w:val="20"/>
                <w:szCs w:val="20"/>
              </w:rPr>
              <w:t>13006 (61.8)</w:t>
            </w:r>
          </w:p>
        </w:tc>
        <w:tc>
          <w:tcPr>
            <w:tcW w:w="606" w:type="pct"/>
            <w:vAlign w:val="center"/>
          </w:tcPr>
          <w:p w14:paraId="1FF09C6B" w14:textId="77777777" w:rsidR="0061578A" w:rsidRPr="00E96214" w:rsidRDefault="0061578A" w:rsidP="0014192C">
            <w:pPr>
              <w:jc w:val="center"/>
              <w:rPr>
                <w:sz w:val="20"/>
                <w:szCs w:val="20"/>
              </w:rPr>
            </w:pPr>
            <w:r w:rsidRPr="00E96214">
              <w:rPr>
                <w:sz w:val="20"/>
                <w:szCs w:val="20"/>
              </w:rPr>
              <w:t>&lt;0.0001</w:t>
            </w:r>
          </w:p>
        </w:tc>
      </w:tr>
      <w:tr w:rsidR="0061578A" w:rsidRPr="001C26A4" w14:paraId="0F1ADE91" w14:textId="77777777" w:rsidTr="00B5012D">
        <w:tc>
          <w:tcPr>
            <w:tcW w:w="1208" w:type="pct"/>
            <w:shd w:val="clear" w:color="auto" w:fill="auto"/>
            <w:vAlign w:val="center"/>
          </w:tcPr>
          <w:p w14:paraId="577702BD" w14:textId="77777777" w:rsidR="0061578A" w:rsidRPr="001C26A4" w:rsidRDefault="0061578A" w:rsidP="0014192C">
            <w:pPr>
              <w:rPr>
                <w:sz w:val="22"/>
                <w:szCs w:val="22"/>
              </w:rPr>
            </w:pPr>
            <w:r w:rsidRPr="001C26A4">
              <w:rPr>
                <w:b/>
                <w:bCs/>
                <w:sz w:val="22"/>
                <w:szCs w:val="22"/>
              </w:rPr>
              <w:t xml:space="preserve">Time to CT </w:t>
            </w:r>
            <w:r w:rsidRPr="001C26A4">
              <w:rPr>
                <w:sz w:val="22"/>
                <w:szCs w:val="22"/>
              </w:rPr>
              <w:t>Minutes</w:t>
            </w:r>
          </w:p>
          <w:p w14:paraId="0BB0F57D" w14:textId="77777777" w:rsidR="0061578A" w:rsidRPr="001C26A4" w:rsidRDefault="0061578A" w:rsidP="0014192C">
            <w:pPr>
              <w:rPr>
                <w:b/>
                <w:bCs/>
                <w:sz w:val="22"/>
                <w:szCs w:val="22"/>
              </w:rPr>
            </w:pPr>
            <w:r w:rsidRPr="001C26A4">
              <w:rPr>
                <w:i/>
                <w:iCs/>
                <w:sz w:val="22"/>
                <w:szCs w:val="22"/>
              </w:rPr>
              <w:t>Median (IQR)</w:t>
            </w:r>
          </w:p>
        </w:tc>
        <w:tc>
          <w:tcPr>
            <w:tcW w:w="758" w:type="pct"/>
            <w:shd w:val="clear" w:color="auto" w:fill="auto"/>
          </w:tcPr>
          <w:p w14:paraId="1EC6744F" w14:textId="77777777" w:rsidR="0061578A" w:rsidRPr="00E96214" w:rsidRDefault="0061578A" w:rsidP="0014192C">
            <w:pPr>
              <w:jc w:val="center"/>
              <w:rPr>
                <w:sz w:val="20"/>
                <w:szCs w:val="20"/>
              </w:rPr>
            </w:pPr>
          </w:p>
          <w:p w14:paraId="3E68C182" w14:textId="77777777" w:rsidR="0061578A" w:rsidRPr="00E96214" w:rsidRDefault="0061578A" w:rsidP="0014192C">
            <w:pPr>
              <w:jc w:val="center"/>
              <w:rPr>
                <w:sz w:val="20"/>
                <w:szCs w:val="20"/>
              </w:rPr>
            </w:pPr>
            <w:r w:rsidRPr="00E96214">
              <w:rPr>
                <w:sz w:val="20"/>
                <w:szCs w:val="20"/>
              </w:rPr>
              <w:t>40 (26-55)</w:t>
            </w:r>
          </w:p>
        </w:tc>
        <w:tc>
          <w:tcPr>
            <w:tcW w:w="758" w:type="pct"/>
            <w:shd w:val="clear" w:color="auto" w:fill="auto"/>
          </w:tcPr>
          <w:p w14:paraId="53D464A7" w14:textId="77777777" w:rsidR="0061578A" w:rsidRPr="00E96214" w:rsidRDefault="0061578A" w:rsidP="0014192C">
            <w:pPr>
              <w:jc w:val="center"/>
              <w:rPr>
                <w:sz w:val="20"/>
                <w:szCs w:val="20"/>
              </w:rPr>
            </w:pPr>
          </w:p>
          <w:p w14:paraId="16263F00" w14:textId="77777777" w:rsidR="0061578A" w:rsidRPr="00E96214" w:rsidRDefault="0061578A" w:rsidP="0014192C">
            <w:pPr>
              <w:jc w:val="center"/>
              <w:rPr>
                <w:sz w:val="20"/>
                <w:szCs w:val="20"/>
              </w:rPr>
            </w:pPr>
            <w:r w:rsidRPr="00E96214">
              <w:rPr>
                <w:sz w:val="20"/>
                <w:szCs w:val="20"/>
              </w:rPr>
              <w:t>28 (19-44)</w:t>
            </w:r>
          </w:p>
        </w:tc>
        <w:tc>
          <w:tcPr>
            <w:tcW w:w="834" w:type="pct"/>
            <w:shd w:val="clear" w:color="auto" w:fill="auto"/>
          </w:tcPr>
          <w:p w14:paraId="544B9ECB" w14:textId="77777777" w:rsidR="0061578A" w:rsidRPr="00E96214" w:rsidRDefault="0061578A" w:rsidP="0014192C">
            <w:pPr>
              <w:jc w:val="center"/>
              <w:rPr>
                <w:sz w:val="20"/>
                <w:szCs w:val="20"/>
              </w:rPr>
            </w:pPr>
          </w:p>
          <w:p w14:paraId="7417A9A2" w14:textId="77777777" w:rsidR="0061578A" w:rsidRPr="00E96214" w:rsidRDefault="0061578A" w:rsidP="0014192C">
            <w:pPr>
              <w:jc w:val="center"/>
              <w:rPr>
                <w:sz w:val="20"/>
                <w:szCs w:val="20"/>
              </w:rPr>
            </w:pPr>
            <w:r w:rsidRPr="00E96214">
              <w:rPr>
                <w:sz w:val="20"/>
                <w:szCs w:val="20"/>
              </w:rPr>
              <w:t>23 (14-36)</w:t>
            </w:r>
          </w:p>
        </w:tc>
        <w:tc>
          <w:tcPr>
            <w:tcW w:w="836" w:type="pct"/>
            <w:shd w:val="clear" w:color="auto" w:fill="auto"/>
          </w:tcPr>
          <w:p w14:paraId="4AD3AE87" w14:textId="77777777" w:rsidR="0061578A" w:rsidRPr="00E96214" w:rsidRDefault="0061578A" w:rsidP="0014192C">
            <w:pPr>
              <w:jc w:val="center"/>
              <w:rPr>
                <w:sz w:val="20"/>
                <w:szCs w:val="20"/>
              </w:rPr>
            </w:pPr>
          </w:p>
          <w:p w14:paraId="35DB427E" w14:textId="77777777" w:rsidR="0061578A" w:rsidRPr="00E96214" w:rsidRDefault="0061578A" w:rsidP="0014192C">
            <w:pPr>
              <w:jc w:val="center"/>
              <w:rPr>
                <w:sz w:val="20"/>
                <w:szCs w:val="20"/>
              </w:rPr>
            </w:pPr>
            <w:r w:rsidRPr="00E96214">
              <w:rPr>
                <w:sz w:val="20"/>
                <w:szCs w:val="20"/>
              </w:rPr>
              <w:t>27 (17-42)</w:t>
            </w:r>
          </w:p>
        </w:tc>
        <w:tc>
          <w:tcPr>
            <w:tcW w:w="606" w:type="pct"/>
            <w:vAlign w:val="center"/>
          </w:tcPr>
          <w:p w14:paraId="3792A042" w14:textId="77777777" w:rsidR="0061578A" w:rsidRPr="00E96214" w:rsidRDefault="0061578A" w:rsidP="0014192C">
            <w:pPr>
              <w:jc w:val="center"/>
              <w:rPr>
                <w:sz w:val="20"/>
                <w:szCs w:val="20"/>
              </w:rPr>
            </w:pPr>
            <w:r w:rsidRPr="00E96214">
              <w:rPr>
                <w:sz w:val="20"/>
                <w:szCs w:val="20"/>
              </w:rPr>
              <w:t>&lt;0.0001</w:t>
            </w:r>
          </w:p>
        </w:tc>
      </w:tr>
    </w:tbl>
    <w:p w14:paraId="14D92B4F" w14:textId="77777777" w:rsidR="0061578A" w:rsidRPr="001C26A4" w:rsidRDefault="0061578A" w:rsidP="0061578A">
      <w:pPr>
        <w:spacing w:after="240" w:line="360" w:lineRule="auto"/>
      </w:pPr>
    </w:p>
    <w:p w14:paraId="6A5F25E0" w14:textId="77777777" w:rsidR="0061578A" w:rsidRPr="001C26A4" w:rsidRDefault="0061578A" w:rsidP="0061578A">
      <w:pPr>
        <w:pStyle w:val="Heading2"/>
        <w:pBdr>
          <w:top w:val="none" w:sz="0" w:space="0" w:color="auto"/>
          <w:left w:val="none" w:sz="0" w:space="0" w:color="auto"/>
          <w:bottom w:val="none" w:sz="0" w:space="0" w:color="auto"/>
          <w:right w:val="none" w:sz="0" w:space="0" w:color="auto"/>
        </w:pBdr>
        <w:spacing w:line="360" w:lineRule="auto"/>
        <w:rPr>
          <w:rFonts w:ascii="Times New Roman" w:eastAsia="Arial" w:hAnsi="Times New Roman" w:cs="Times New Roman"/>
          <w:bCs/>
          <w:color w:val="auto"/>
          <w:sz w:val="22"/>
          <w:szCs w:val="22"/>
        </w:rPr>
      </w:pPr>
      <w:r w:rsidRPr="001C26A4">
        <w:rPr>
          <w:rFonts w:ascii="Times New Roman" w:eastAsia="Arial" w:hAnsi="Times New Roman" w:cs="Times New Roman"/>
          <w:bCs/>
          <w:color w:val="auto"/>
          <w:sz w:val="22"/>
          <w:szCs w:val="22"/>
        </w:rPr>
        <w:t xml:space="preserve">*Denotes no statistical difference between sub-categorisation of MTC (only applicable to GCS). </w:t>
      </w:r>
    </w:p>
    <w:p w14:paraId="5F3CFAB5" w14:textId="77777777" w:rsidR="0061578A" w:rsidRPr="001C26A4" w:rsidRDefault="0061578A" w:rsidP="0061578A">
      <w:pPr>
        <w:pStyle w:val="Heading2"/>
        <w:pBdr>
          <w:top w:val="none" w:sz="0" w:space="0" w:color="auto"/>
          <w:left w:val="none" w:sz="0" w:space="0" w:color="auto"/>
          <w:bottom w:val="none" w:sz="0" w:space="0" w:color="auto"/>
          <w:right w:val="none" w:sz="0" w:space="0" w:color="auto"/>
        </w:pBdr>
        <w:spacing w:line="360" w:lineRule="auto"/>
        <w:rPr>
          <w:rFonts w:ascii="Times New Roman" w:eastAsia="Arial" w:hAnsi="Times New Roman" w:cs="Times New Roman"/>
          <w:bCs/>
          <w:i/>
          <w:color w:val="auto"/>
          <w:sz w:val="22"/>
          <w:szCs w:val="22"/>
        </w:rPr>
      </w:pPr>
      <w:r w:rsidRPr="001C26A4">
        <w:rPr>
          <w:rFonts w:ascii="Times New Roman" w:eastAsia="Arial" w:hAnsi="Times New Roman" w:cs="Times New Roman"/>
          <w:bCs/>
          <w:i/>
          <w:color w:val="auto"/>
          <w:sz w:val="22"/>
          <w:szCs w:val="22"/>
        </w:rPr>
        <w:t>FP= Foundation Programme trainee, ST = Specialty Trainee, GCS =Glasgow Coma Scale; SBP =Systolic Blood Pressure; LoS =Length of Stay</w:t>
      </w:r>
    </w:p>
    <w:p w14:paraId="416AE704" w14:textId="77777777" w:rsidR="0061578A" w:rsidRDefault="0061578A" w:rsidP="0061578A">
      <w:pPr>
        <w:spacing w:after="240" w:line="360" w:lineRule="auto"/>
      </w:pPr>
    </w:p>
    <w:p w14:paraId="3D2D688F" w14:textId="77777777" w:rsidR="0061578A" w:rsidRDefault="0061578A" w:rsidP="0061578A">
      <w:pPr>
        <w:spacing w:after="240" w:line="360" w:lineRule="auto"/>
      </w:pPr>
    </w:p>
    <w:p w14:paraId="12110334" w14:textId="77777777" w:rsidR="0061578A" w:rsidRPr="001C26A4" w:rsidRDefault="0061578A" w:rsidP="0061578A">
      <w:pPr>
        <w:spacing w:after="240" w:line="360" w:lineRule="auto"/>
      </w:pPr>
    </w:p>
    <w:p w14:paraId="31B49FC8" w14:textId="77777777" w:rsidR="0061578A" w:rsidRPr="001C26A4" w:rsidRDefault="0061578A" w:rsidP="0061578A">
      <w:pPr>
        <w:spacing w:line="360" w:lineRule="auto"/>
        <w:rPr>
          <w:sz w:val="22"/>
          <w:szCs w:val="22"/>
        </w:rPr>
      </w:pPr>
      <w:r w:rsidRPr="001C26A4">
        <w:rPr>
          <w:b/>
          <w:sz w:val="22"/>
          <w:szCs w:val="22"/>
        </w:rPr>
        <w:t>Table 2.</w:t>
      </w:r>
      <w:r w:rsidRPr="001C26A4">
        <w:rPr>
          <w:sz w:val="22"/>
          <w:szCs w:val="22"/>
        </w:rPr>
        <w:t xml:space="preserve"> Mechanism of injury, ISS and AIS for adolescent patients coded by TARN sub-categorised by MTC type.    </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1293"/>
        <w:gridCol w:w="1100"/>
        <w:gridCol w:w="1125"/>
        <w:gridCol w:w="1397"/>
        <w:gridCol w:w="1396"/>
      </w:tblGrid>
      <w:tr w:rsidR="0061578A" w:rsidRPr="001C26A4" w14:paraId="542E1C3E" w14:textId="77777777" w:rsidTr="00C768F6">
        <w:trPr>
          <w:trHeight w:val="300"/>
        </w:trPr>
        <w:tc>
          <w:tcPr>
            <w:tcW w:w="1500" w:type="pct"/>
            <w:shd w:val="clear" w:color="000000" w:fill="FFFFFF"/>
            <w:hideMark/>
          </w:tcPr>
          <w:p w14:paraId="796296D7" w14:textId="77777777" w:rsidR="0061578A" w:rsidRPr="001C26A4" w:rsidRDefault="0061578A" w:rsidP="0014192C">
            <w:pPr>
              <w:rPr>
                <w:color w:val="000000"/>
                <w:sz w:val="22"/>
                <w:szCs w:val="22"/>
              </w:rPr>
            </w:pPr>
          </w:p>
        </w:tc>
        <w:tc>
          <w:tcPr>
            <w:tcW w:w="717" w:type="pct"/>
            <w:shd w:val="clear" w:color="auto" w:fill="FFFFFF" w:themeFill="background1"/>
          </w:tcPr>
          <w:p w14:paraId="5641B87B" w14:textId="77777777" w:rsidR="0061578A" w:rsidRPr="001C26A4" w:rsidRDefault="0061578A" w:rsidP="0014192C">
            <w:pPr>
              <w:jc w:val="center"/>
              <w:rPr>
                <w:b/>
                <w:bCs/>
                <w:color w:val="000000"/>
                <w:sz w:val="22"/>
                <w:szCs w:val="22"/>
              </w:rPr>
            </w:pPr>
            <w:r w:rsidRPr="001C26A4">
              <w:rPr>
                <w:b/>
                <w:bCs/>
                <w:color w:val="000000"/>
                <w:sz w:val="22"/>
                <w:szCs w:val="22"/>
              </w:rPr>
              <w:t>Children’s</w:t>
            </w:r>
          </w:p>
          <w:p w14:paraId="324F229F" w14:textId="77777777" w:rsidR="0061578A" w:rsidRPr="001C26A4" w:rsidRDefault="0061578A" w:rsidP="0014192C">
            <w:pPr>
              <w:jc w:val="center"/>
              <w:rPr>
                <w:b/>
                <w:bCs/>
                <w:color w:val="000000"/>
                <w:sz w:val="22"/>
                <w:szCs w:val="22"/>
              </w:rPr>
            </w:pPr>
            <w:r w:rsidRPr="001C26A4">
              <w:rPr>
                <w:b/>
                <w:bCs/>
                <w:color w:val="000000"/>
                <w:sz w:val="22"/>
                <w:szCs w:val="22"/>
              </w:rPr>
              <w:t>MTC</w:t>
            </w:r>
          </w:p>
        </w:tc>
        <w:tc>
          <w:tcPr>
            <w:tcW w:w="610" w:type="pct"/>
            <w:shd w:val="clear" w:color="auto" w:fill="FFFFFF" w:themeFill="background1"/>
          </w:tcPr>
          <w:p w14:paraId="20F002BC" w14:textId="77777777" w:rsidR="0061578A" w:rsidRPr="001C26A4" w:rsidRDefault="0061578A" w:rsidP="0014192C">
            <w:pPr>
              <w:jc w:val="center"/>
              <w:rPr>
                <w:b/>
                <w:bCs/>
                <w:color w:val="000000"/>
                <w:sz w:val="22"/>
                <w:szCs w:val="22"/>
              </w:rPr>
            </w:pPr>
            <w:r w:rsidRPr="001C26A4">
              <w:rPr>
                <w:b/>
                <w:bCs/>
                <w:color w:val="000000"/>
                <w:sz w:val="22"/>
                <w:szCs w:val="22"/>
              </w:rPr>
              <w:t>Mixed</w:t>
            </w:r>
          </w:p>
          <w:p w14:paraId="32A59906" w14:textId="77777777" w:rsidR="0061578A" w:rsidRPr="001C26A4" w:rsidRDefault="0061578A" w:rsidP="0014192C">
            <w:pPr>
              <w:jc w:val="center"/>
              <w:rPr>
                <w:b/>
                <w:bCs/>
                <w:color w:val="000000"/>
                <w:sz w:val="22"/>
                <w:szCs w:val="22"/>
              </w:rPr>
            </w:pPr>
            <w:r w:rsidRPr="001C26A4">
              <w:rPr>
                <w:b/>
                <w:bCs/>
                <w:color w:val="000000"/>
                <w:sz w:val="22"/>
                <w:szCs w:val="22"/>
              </w:rPr>
              <w:t>MTC</w:t>
            </w:r>
          </w:p>
        </w:tc>
        <w:tc>
          <w:tcPr>
            <w:tcW w:w="624" w:type="pct"/>
            <w:shd w:val="clear" w:color="auto" w:fill="FFFFFF" w:themeFill="background1"/>
            <w:noWrap/>
            <w:hideMark/>
          </w:tcPr>
          <w:p w14:paraId="15EC53E6" w14:textId="77777777" w:rsidR="0061578A" w:rsidRPr="001C26A4" w:rsidRDefault="0061578A" w:rsidP="0014192C">
            <w:pPr>
              <w:jc w:val="center"/>
              <w:rPr>
                <w:b/>
                <w:bCs/>
                <w:color w:val="000000"/>
                <w:sz w:val="22"/>
                <w:szCs w:val="22"/>
              </w:rPr>
            </w:pPr>
            <w:r w:rsidRPr="001C26A4">
              <w:rPr>
                <w:b/>
                <w:bCs/>
                <w:color w:val="000000"/>
                <w:sz w:val="22"/>
                <w:szCs w:val="22"/>
              </w:rPr>
              <w:t>Adult</w:t>
            </w:r>
          </w:p>
          <w:p w14:paraId="265B546E" w14:textId="77777777" w:rsidR="0061578A" w:rsidRPr="001C26A4" w:rsidRDefault="0061578A" w:rsidP="0014192C">
            <w:pPr>
              <w:jc w:val="center"/>
              <w:rPr>
                <w:b/>
                <w:bCs/>
                <w:color w:val="000000"/>
                <w:sz w:val="22"/>
                <w:szCs w:val="22"/>
              </w:rPr>
            </w:pPr>
            <w:r w:rsidRPr="001C26A4">
              <w:rPr>
                <w:b/>
                <w:bCs/>
                <w:color w:val="000000"/>
                <w:sz w:val="22"/>
                <w:szCs w:val="22"/>
              </w:rPr>
              <w:t>MTC</w:t>
            </w:r>
          </w:p>
        </w:tc>
        <w:tc>
          <w:tcPr>
            <w:tcW w:w="775" w:type="pct"/>
            <w:shd w:val="clear" w:color="000000" w:fill="FFFFFF"/>
          </w:tcPr>
          <w:p w14:paraId="18C2CA71" w14:textId="77777777" w:rsidR="0061578A" w:rsidRPr="001C26A4" w:rsidRDefault="0061578A" w:rsidP="0014192C">
            <w:pPr>
              <w:jc w:val="center"/>
              <w:rPr>
                <w:b/>
                <w:color w:val="000000"/>
                <w:sz w:val="22"/>
                <w:szCs w:val="22"/>
              </w:rPr>
            </w:pPr>
            <w:r w:rsidRPr="001C26A4">
              <w:rPr>
                <w:b/>
                <w:color w:val="000000"/>
                <w:sz w:val="22"/>
                <w:szCs w:val="22"/>
              </w:rPr>
              <w:t>Total</w:t>
            </w:r>
          </w:p>
        </w:tc>
        <w:tc>
          <w:tcPr>
            <w:tcW w:w="774" w:type="pct"/>
            <w:shd w:val="clear" w:color="000000" w:fill="FFFFFF"/>
          </w:tcPr>
          <w:p w14:paraId="03DD19A9" w14:textId="5185FE32" w:rsidR="0061578A" w:rsidRPr="001C26A4" w:rsidRDefault="00636BFA" w:rsidP="0014192C">
            <w:pPr>
              <w:jc w:val="center"/>
              <w:rPr>
                <w:b/>
                <w:color w:val="000000"/>
                <w:sz w:val="22"/>
                <w:szCs w:val="22"/>
              </w:rPr>
            </w:pPr>
            <w:r w:rsidRPr="00480571">
              <w:rPr>
                <w:b/>
                <w:color w:val="000000"/>
                <w:sz w:val="22"/>
                <w:szCs w:val="22"/>
              </w:rPr>
              <w:t>p</w:t>
            </w:r>
            <w:r w:rsidR="00A54653" w:rsidRPr="00480571">
              <w:rPr>
                <w:b/>
                <w:color w:val="000000"/>
                <w:sz w:val="22"/>
                <w:szCs w:val="22"/>
              </w:rPr>
              <w:t>-v</w:t>
            </w:r>
            <w:r w:rsidR="0061578A" w:rsidRPr="00480571">
              <w:rPr>
                <w:b/>
                <w:color w:val="000000"/>
                <w:sz w:val="22"/>
                <w:szCs w:val="22"/>
              </w:rPr>
              <w:t>alue</w:t>
            </w:r>
          </w:p>
        </w:tc>
      </w:tr>
      <w:tr w:rsidR="0061578A" w:rsidRPr="001C26A4" w14:paraId="7E248FF7" w14:textId="77777777" w:rsidTr="00653FE9">
        <w:trPr>
          <w:trHeight w:val="300"/>
        </w:trPr>
        <w:tc>
          <w:tcPr>
            <w:tcW w:w="4226" w:type="pct"/>
            <w:gridSpan w:val="5"/>
            <w:shd w:val="clear" w:color="auto" w:fill="FFFFFF" w:themeFill="background1"/>
          </w:tcPr>
          <w:p w14:paraId="07FE6B0A" w14:textId="77777777" w:rsidR="0061578A" w:rsidRPr="001C26A4" w:rsidRDefault="0061578A" w:rsidP="0014192C">
            <w:pPr>
              <w:rPr>
                <w:sz w:val="22"/>
                <w:szCs w:val="22"/>
              </w:rPr>
            </w:pPr>
            <w:r w:rsidRPr="001C26A4">
              <w:rPr>
                <w:b/>
                <w:bCs/>
                <w:color w:val="000000"/>
                <w:sz w:val="22"/>
                <w:szCs w:val="22"/>
              </w:rPr>
              <w:t xml:space="preserve">Mechanism of Injury (MOI) </w:t>
            </w:r>
            <w:r w:rsidRPr="001C26A4">
              <w:rPr>
                <w:bCs/>
                <w:color w:val="000000"/>
                <w:sz w:val="22"/>
                <w:szCs w:val="22"/>
              </w:rPr>
              <w:t>n (%)</w:t>
            </w:r>
          </w:p>
        </w:tc>
        <w:tc>
          <w:tcPr>
            <w:tcW w:w="774" w:type="pct"/>
            <w:shd w:val="clear" w:color="auto" w:fill="FFFFFF" w:themeFill="background1"/>
          </w:tcPr>
          <w:p w14:paraId="465D236B" w14:textId="77777777" w:rsidR="0061578A" w:rsidRPr="001C26A4" w:rsidRDefault="0061578A" w:rsidP="0014192C">
            <w:pPr>
              <w:rPr>
                <w:b/>
                <w:bCs/>
                <w:color w:val="000000"/>
                <w:sz w:val="22"/>
                <w:szCs w:val="22"/>
              </w:rPr>
            </w:pPr>
          </w:p>
        </w:tc>
      </w:tr>
      <w:tr w:rsidR="0061578A" w:rsidRPr="001C26A4" w14:paraId="5FAF2190" w14:textId="77777777" w:rsidTr="00C768F6">
        <w:trPr>
          <w:trHeight w:val="300"/>
        </w:trPr>
        <w:tc>
          <w:tcPr>
            <w:tcW w:w="1500" w:type="pct"/>
            <w:shd w:val="clear" w:color="000000" w:fill="FFFFFF"/>
            <w:hideMark/>
          </w:tcPr>
          <w:p w14:paraId="5BB3FD9A" w14:textId="77777777" w:rsidR="0061578A" w:rsidRPr="001C26A4" w:rsidRDefault="0061578A" w:rsidP="0014192C">
            <w:pPr>
              <w:rPr>
                <w:color w:val="000000"/>
                <w:sz w:val="22"/>
                <w:szCs w:val="22"/>
              </w:rPr>
            </w:pPr>
            <w:r w:rsidRPr="001C26A4">
              <w:rPr>
                <w:color w:val="000000"/>
                <w:sz w:val="22"/>
                <w:szCs w:val="22"/>
              </w:rPr>
              <w:t>RTC</w:t>
            </w:r>
          </w:p>
        </w:tc>
        <w:tc>
          <w:tcPr>
            <w:tcW w:w="717" w:type="pct"/>
            <w:shd w:val="clear" w:color="auto" w:fill="FFFFFF" w:themeFill="background1"/>
          </w:tcPr>
          <w:p w14:paraId="2314D4FD" w14:textId="77777777" w:rsidR="0061578A" w:rsidRPr="00E96214" w:rsidRDefault="0061578A" w:rsidP="0014192C">
            <w:pPr>
              <w:jc w:val="center"/>
              <w:rPr>
                <w:sz w:val="22"/>
                <w:szCs w:val="22"/>
              </w:rPr>
            </w:pPr>
            <w:r w:rsidRPr="00E96214">
              <w:rPr>
                <w:sz w:val="22"/>
                <w:szCs w:val="22"/>
              </w:rPr>
              <w:t xml:space="preserve">931 </w:t>
            </w:r>
          </w:p>
          <w:p w14:paraId="713BB1CB" w14:textId="77777777" w:rsidR="0061578A" w:rsidRPr="00E96214" w:rsidRDefault="0061578A" w:rsidP="0014192C">
            <w:pPr>
              <w:jc w:val="center"/>
              <w:rPr>
                <w:sz w:val="22"/>
                <w:szCs w:val="22"/>
              </w:rPr>
            </w:pPr>
            <w:r w:rsidRPr="00E96214">
              <w:rPr>
                <w:sz w:val="22"/>
                <w:szCs w:val="22"/>
              </w:rPr>
              <w:t>(52.4)</w:t>
            </w:r>
          </w:p>
        </w:tc>
        <w:tc>
          <w:tcPr>
            <w:tcW w:w="610" w:type="pct"/>
            <w:shd w:val="clear" w:color="auto" w:fill="FFFFFF" w:themeFill="background1"/>
          </w:tcPr>
          <w:p w14:paraId="1A20A851" w14:textId="77777777" w:rsidR="0061578A" w:rsidRPr="00E96214" w:rsidRDefault="0061578A" w:rsidP="0014192C">
            <w:pPr>
              <w:jc w:val="center"/>
              <w:rPr>
                <w:sz w:val="22"/>
                <w:szCs w:val="22"/>
              </w:rPr>
            </w:pPr>
            <w:r w:rsidRPr="00E96214">
              <w:rPr>
                <w:sz w:val="22"/>
                <w:szCs w:val="22"/>
              </w:rPr>
              <w:t xml:space="preserve">5809 </w:t>
            </w:r>
          </w:p>
          <w:p w14:paraId="71E5F0BB" w14:textId="77777777" w:rsidR="0061578A" w:rsidRPr="00E96214" w:rsidRDefault="0061578A" w:rsidP="0014192C">
            <w:pPr>
              <w:jc w:val="center"/>
              <w:rPr>
                <w:sz w:val="22"/>
                <w:szCs w:val="22"/>
              </w:rPr>
            </w:pPr>
            <w:r w:rsidRPr="00E96214">
              <w:rPr>
                <w:sz w:val="22"/>
                <w:szCs w:val="22"/>
              </w:rPr>
              <w:t>(51.3)</w:t>
            </w:r>
          </w:p>
        </w:tc>
        <w:tc>
          <w:tcPr>
            <w:tcW w:w="624" w:type="pct"/>
            <w:shd w:val="clear" w:color="auto" w:fill="FFFFFF" w:themeFill="background1"/>
            <w:noWrap/>
            <w:hideMark/>
          </w:tcPr>
          <w:p w14:paraId="1D5136D0" w14:textId="77777777" w:rsidR="0061578A" w:rsidRPr="00E96214" w:rsidRDefault="0061578A" w:rsidP="0014192C">
            <w:pPr>
              <w:jc w:val="center"/>
              <w:rPr>
                <w:sz w:val="22"/>
                <w:szCs w:val="22"/>
              </w:rPr>
            </w:pPr>
            <w:r w:rsidRPr="00E96214">
              <w:rPr>
                <w:sz w:val="22"/>
                <w:szCs w:val="22"/>
              </w:rPr>
              <w:t xml:space="preserve">4318 </w:t>
            </w:r>
          </w:p>
          <w:p w14:paraId="4FB08D39" w14:textId="77777777" w:rsidR="0061578A" w:rsidRPr="00E96214" w:rsidRDefault="0061578A" w:rsidP="0014192C">
            <w:pPr>
              <w:jc w:val="center"/>
              <w:rPr>
                <w:sz w:val="22"/>
                <w:szCs w:val="22"/>
              </w:rPr>
            </w:pPr>
            <w:r w:rsidRPr="00E96214">
              <w:rPr>
                <w:sz w:val="22"/>
                <w:szCs w:val="22"/>
              </w:rPr>
              <w:t>(54.4)</w:t>
            </w:r>
          </w:p>
        </w:tc>
        <w:tc>
          <w:tcPr>
            <w:tcW w:w="775" w:type="pct"/>
            <w:shd w:val="clear" w:color="000000" w:fill="FFFFFF"/>
          </w:tcPr>
          <w:p w14:paraId="43269E5F" w14:textId="77777777" w:rsidR="0061578A" w:rsidRPr="00E96214" w:rsidRDefault="0061578A" w:rsidP="0014192C">
            <w:pPr>
              <w:jc w:val="center"/>
              <w:rPr>
                <w:sz w:val="22"/>
                <w:szCs w:val="22"/>
              </w:rPr>
            </w:pPr>
            <w:r w:rsidRPr="00E96214">
              <w:rPr>
                <w:sz w:val="22"/>
                <w:szCs w:val="22"/>
              </w:rPr>
              <w:t>11058</w:t>
            </w:r>
          </w:p>
          <w:p w14:paraId="3B96741C" w14:textId="77777777" w:rsidR="0061578A" w:rsidRPr="00E96214" w:rsidRDefault="0061578A" w:rsidP="0014192C">
            <w:pPr>
              <w:jc w:val="center"/>
              <w:rPr>
                <w:sz w:val="22"/>
                <w:szCs w:val="22"/>
              </w:rPr>
            </w:pPr>
            <w:r w:rsidRPr="00E96214">
              <w:rPr>
                <w:sz w:val="22"/>
                <w:szCs w:val="22"/>
              </w:rPr>
              <w:t>(52.6)</w:t>
            </w:r>
          </w:p>
        </w:tc>
        <w:tc>
          <w:tcPr>
            <w:tcW w:w="774" w:type="pct"/>
            <w:shd w:val="clear" w:color="000000" w:fill="FFFFFF"/>
          </w:tcPr>
          <w:p w14:paraId="15F12899" w14:textId="77777777" w:rsidR="0061578A" w:rsidRPr="00E96214" w:rsidRDefault="0061578A" w:rsidP="0014192C">
            <w:pPr>
              <w:jc w:val="center"/>
              <w:rPr>
                <w:sz w:val="22"/>
                <w:szCs w:val="22"/>
              </w:rPr>
            </w:pPr>
            <w:r w:rsidRPr="00E96214">
              <w:rPr>
                <w:sz w:val="22"/>
                <w:szCs w:val="22"/>
              </w:rPr>
              <w:t>&lt;0.0001</w:t>
            </w:r>
          </w:p>
        </w:tc>
      </w:tr>
      <w:tr w:rsidR="0061578A" w:rsidRPr="001C26A4" w14:paraId="212DEB89" w14:textId="77777777" w:rsidTr="00C768F6">
        <w:trPr>
          <w:trHeight w:val="300"/>
        </w:trPr>
        <w:tc>
          <w:tcPr>
            <w:tcW w:w="1500" w:type="pct"/>
            <w:shd w:val="clear" w:color="000000" w:fill="FFFFFF"/>
            <w:hideMark/>
          </w:tcPr>
          <w:p w14:paraId="5CA7830D" w14:textId="77777777" w:rsidR="0061578A" w:rsidRPr="001C26A4" w:rsidRDefault="0061578A" w:rsidP="0014192C">
            <w:pPr>
              <w:rPr>
                <w:color w:val="000000"/>
                <w:sz w:val="22"/>
                <w:szCs w:val="22"/>
              </w:rPr>
            </w:pPr>
            <w:r w:rsidRPr="001C26A4">
              <w:rPr>
                <w:color w:val="000000"/>
                <w:sz w:val="22"/>
                <w:szCs w:val="22"/>
              </w:rPr>
              <w:t>Fall&gt;2m*</w:t>
            </w:r>
          </w:p>
        </w:tc>
        <w:tc>
          <w:tcPr>
            <w:tcW w:w="717" w:type="pct"/>
            <w:shd w:val="clear" w:color="auto" w:fill="FFFFFF" w:themeFill="background1"/>
          </w:tcPr>
          <w:p w14:paraId="215B7F96" w14:textId="77777777" w:rsidR="0061578A" w:rsidRPr="00E96214" w:rsidRDefault="0061578A" w:rsidP="0014192C">
            <w:pPr>
              <w:jc w:val="center"/>
              <w:rPr>
                <w:sz w:val="22"/>
                <w:szCs w:val="22"/>
              </w:rPr>
            </w:pPr>
            <w:r w:rsidRPr="00E96214">
              <w:rPr>
                <w:sz w:val="22"/>
                <w:szCs w:val="22"/>
              </w:rPr>
              <w:t xml:space="preserve">191 </w:t>
            </w:r>
          </w:p>
          <w:p w14:paraId="4E3A6C9E" w14:textId="77777777" w:rsidR="0061578A" w:rsidRPr="00E96214" w:rsidRDefault="0061578A" w:rsidP="0014192C">
            <w:pPr>
              <w:jc w:val="center"/>
              <w:rPr>
                <w:sz w:val="22"/>
                <w:szCs w:val="22"/>
              </w:rPr>
            </w:pPr>
            <w:r w:rsidRPr="00E96214">
              <w:rPr>
                <w:sz w:val="22"/>
                <w:szCs w:val="22"/>
              </w:rPr>
              <w:t>(10.7)</w:t>
            </w:r>
          </w:p>
        </w:tc>
        <w:tc>
          <w:tcPr>
            <w:tcW w:w="610" w:type="pct"/>
            <w:shd w:val="clear" w:color="auto" w:fill="FFFFFF" w:themeFill="background1"/>
          </w:tcPr>
          <w:p w14:paraId="3265BC0C" w14:textId="77777777" w:rsidR="0061578A" w:rsidRPr="00E96214" w:rsidRDefault="0061578A" w:rsidP="0014192C">
            <w:pPr>
              <w:jc w:val="center"/>
              <w:rPr>
                <w:sz w:val="22"/>
                <w:szCs w:val="22"/>
              </w:rPr>
            </w:pPr>
            <w:r w:rsidRPr="00E96214">
              <w:rPr>
                <w:sz w:val="22"/>
                <w:szCs w:val="22"/>
              </w:rPr>
              <w:t xml:space="preserve">1335 </w:t>
            </w:r>
          </w:p>
          <w:p w14:paraId="03EBD940" w14:textId="77777777" w:rsidR="0061578A" w:rsidRPr="00E96214" w:rsidRDefault="0061578A" w:rsidP="0014192C">
            <w:pPr>
              <w:jc w:val="center"/>
              <w:rPr>
                <w:sz w:val="22"/>
                <w:szCs w:val="22"/>
              </w:rPr>
            </w:pPr>
            <w:r w:rsidRPr="00E96214">
              <w:rPr>
                <w:sz w:val="22"/>
                <w:szCs w:val="22"/>
              </w:rPr>
              <w:t>(11.8)</w:t>
            </w:r>
          </w:p>
        </w:tc>
        <w:tc>
          <w:tcPr>
            <w:tcW w:w="624" w:type="pct"/>
            <w:shd w:val="clear" w:color="auto" w:fill="FFFFFF" w:themeFill="background1"/>
            <w:noWrap/>
            <w:hideMark/>
          </w:tcPr>
          <w:p w14:paraId="09FA2B45" w14:textId="77777777" w:rsidR="0061578A" w:rsidRPr="00E96214" w:rsidRDefault="0061578A" w:rsidP="0014192C">
            <w:pPr>
              <w:jc w:val="center"/>
              <w:rPr>
                <w:sz w:val="22"/>
                <w:szCs w:val="22"/>
              </w:rPr>
            </w:pPr>
            <w:r w:rsidRPr="00E96214">
              <w:rPr>
                <w:sz w:val="22"/>
                <w:szCs w:val="22"/>
              </w:rPr>
              <w:t>883</w:t>
            </w:r>
          </w:p>
          <w:p w14:paraId="5D5AA053" w14:textId="77777777" w:rsidR="0061578A" w:rsidRPr="00E96214" w:rsidRDefault="0061578A" w:rsidP="0014192C">
            <w:pPr>
              <w:jc w:val="center"/>
              <w:rPr>
                <w:sz w:val="22"/>
                <w:szCs w:val="22"/>
              </w:rPr>
            </w:pPr>
            <w:r w:rsidRPr="00E96214">
              <w:rPr>
                <w:sz w:val="22"/>
                <w:szCs w:val="22"/>
              </w:rPr>
              <w:t>(11.1)</w:t>
            </w:r>
          </w:p>
        </w:tc>
        <w:tc>
          <w:tcPr>
            <w:tcW w:w="775" w:type="pct"/>
            <w:shd w:val="clear" w:color="000000" w:fill="FFFFFF"/>
          </w:tcPr>
          <w:p w14:paraId="78C57B12" w14:textId="77777777" w:rsidR="0061578A" w:rsidRPr="00E96214" w:rsidRDefault="0061578A" w:rsidP="0014192C">
            <w:pPr>
              <w:jc w:val="center"/>
              <w:rPr>
                <w:sz w:val="22"/>
                <w:szCs w:val="22"/>
              </w:rPr>
            </w:pPr>
            <w:r w:rsidRPr="00E96214">
              <w:rPr>
                <w:sz w:val="22"/>
                <w:szCs w:val="22"/>
              </w:rPr>
              <w:t xml:space="preserve">2409 </w:t>
            </w:r>
          </w:p>
          <w:p w14:paraId="4B0F6975" w14:textId="77777777" w:rsidR="0061578A" w:rsidRPr="00E96214" w:rsidRDefault="0061578A" w:rsidP="0014192C">
            <w:pPr>
              <w:jc w:val="center"/>
              <w:rPr>
                <w:sz w:val="22"/>
                <w:szCs w:val="22"/>
              </w:rPr>
            </w:pPr>
            <w:r w:rsidRPr="00E96214">
              <w:rPr>
                <w:sz w:val="22"/>
                <w:szCs w:val="22"/>
              </w:rPr>
              <w:t>(11.5)</w:t>
            </w:r>
          </w:p>
        </w:tc>
        <w:tc>
          <w:tcPr>
            <w:tcW w:w="774" w:type="pct"/>
            <w:shd w:val="clear" w:color="000000" w:fill="FFFFFF"/>
          </w:tcPr>
          <w:p w14:paraId="294D9A87" w14:textId="77777777" w:rsidR="0061578A" w:rsidRPr="00E96214" w:rsidRDefault="0061578A" w:rsidP="0014192C">
            <w:pPr>
              <w:jc w:val="center"/>
              <w:rPr>
                <w:sz w:val="22"/>
                <w:szCs w:val="22"/>
              </w:rPr>
            </w:pPr>
            <w:r w:rsidRPr="00E96214">
              <w:rPr>
                <w:sz w:val="22"/>
                <w:szCs w:val="22"/>
              </w:rPr>
              <w:t>0.222</w:t>
            </w:r>
          </w:p>
        </w:tc>
      </w:tr>
      <w:tr w:rsidR="0061578A" w:rsidRPr="001C26A4" w14:paraId="1BAD23E6" w14:textId="77777777" w:rsidTr="00C768F6">
        <w:trPr>
          <w:trHeight w:val="300"/>
        </w:trPr>
        <w:tc>
          <w:tcPr>
            <w:tcW w:w="1500" w:type="pct"/>
            <w:shd w:val="clear" w:color="000000" w:fill="FFFFFF"/>
            <w:hideMark/>
          </w:tcPr>
          <w:p w14:paraId="79B1ACF9" w14:textId="77777777" w:rsidR="0061578A" w:rsidRPr="001C26A4" w:rsidRDefault="0061578A" w:rsidP="0014192C">
            <w:pPr>
              <w:rPr>
                <w:color w:val="000000"/>
                <w:sz w:val="22"/>
                <w:szCs w:val="22"/>
              </w:rPr>
            </w:pPr>
            <w:r w:rsidRPr="001C26A4">
              <w:rPr>
                <w:color w:val="000000"/>
                <w:sz w:val="22"/>
                <w:szCs w:val="22"/>
              </w:rPr>
              <w:t>Fall&lt;2m</w:t>
            </w:r>
          </w:p>
        </w:tc>
        <w:tc>
          <w:tcPr>
            <w:tcW w:w="717" w:type="pct"/>
            <w:shd w:val="clear" w:color="auto" w:fill="FFFFFF" w:themeFill="background1"/>
          </w:tcPr>
          <w:p w14:paraId="3045D43A" w14:textId="77777777" w:rsidR="0061578A" w:rsidRPr="00E96214" w:rsidRDefault="0061578A" w:rsidP="0014192C">
            <w:pPr>
              <w:jc w:val="center"/>
              <w:rPr>
                <w:sz w:val="22"/>
                <w:szCs w:val="22"/>
              </w:rPr>
            </w:pPr>
            <w:r w:rsidRPr="00E96214">
              <w:rPr>
                <w:sz w:val="22"/>
                <w:szCs w:val="22"/>
              </w:rPr>
              <w:t xml:space="preserve">364 </w:t>
            </w:r>
          </w:p>
          <w:p w14:paraId="01EB9402" w14:textId="77777777" w:rsidR="0061578A" w:rsidRPr="00E96214" w:rsidRDefault="0061578A" w:rsidP="0014192C">
            <w:pPr>
              <w:jc w:val="center"/>
              <w:rPr>
                <w:sz w:val="22"/>
                <w:szCs w:val="22"/>
              </w:rPr>
            </w:pPr>
            <w:r w:rsidRPr="00E96214">
              <w:rPr>
                <w:sz w:val="22"/>
                <w:szCs w:val="22"/>
              </w:rPr>
              <w:t>(20.5)</w:t>
            </w:r>
          </w:p>
        </w:tc>
        <w:tc>
          <w:tcPr>
            <w:tcW w:w="610" w:type="pct"/>
            <w:shd w:val="clear" w:color="auto" w:fill="FFFFFF" w:themeFill="background1"/>
          </w:tcPr>
          <w:p w14:paraId="4599C986" w14:textId="77777777" w:rsidR="0061578A" w:rsidRPr="00E96214" w:rsidRDefault="0061578A" w:rsidP="0014192C">
            <w:pPr>
              <w:jc w:val="center"/>
              <w:rPr>
                <w:sz w:val="22"/>
                <w:szCs w:val="22"/>
              </w:rPr>
            </w:pPr>
            <w:r w:rsidRPr="00E96214">
              <w:rPr>
                <w:sz w:val="22"/>
                <w:szCs w:val="22"/>
              </w:rPr>
              <w:t xml:space="preserve">1130 </w:t>
            </w:r>
          </w:p>
          <w:p w14:paraId="37D4E762" w14:textId="77777777" w:rsidR="0061578A" w:rsidRPr="00E96214" w:rsidRDefault="0061578A" w:rsidP="0014192C">
            <w:pPr>
              <w:jc w:val="center"/>
              <w:rPr>
                <w:sz w:val="22"/>
                <w:szCs w:val="22"/>
              </w:rPr>
            </w:pPr>
            <w:r w:rsidRPr="00E96214">
              <w:rPr>
                <w:sz w:val="22"/>
                <w:szCs w:val="22"/>
              </w:rPr>
              <w:t>(10.0)</w:t>
            </w:r>
          </w:p>
        </w:tc>
        <w:tc>
          <w:tcPr>
            <w:tcW w:w="624" w:type="pct"/>
            <w:shd w:val="clear" w:color="auto" w:fill="FFFFFF" w:themeFill="background1"/>
            <w:noWrap/>
            <w:hideMark/>
          </w:tcPr>
          <w:p w14:paraId="7DBD72F0" w14:textId="77777777" w:rsidR="0061578A" w:rsidRPr="00E96214" w:rsidRDefault="0061578A" w:rsidP="0014192C">
            <w:pPr>
              <w:jc w:val="center"/>
              <w:rPr>
                <w:sz w:val="22"/>
                <w:szCs w:val="22"/>
              </w:rPr>
            </w:pPr>
            <w:r w:rsidRPr="00E96214">
              <w:rPr>
                <w:sz w:val="22"/>
                <w:szCs w:val="22"/>
              </w:rPr>
              <w:t>754</w:t>
            </w:r>
          </w:p>
          <w:p w14:paraId="67EF674F" w14:textId="77777777" w:rsidR="0061578A" w:rsidRPr="00E96214" w:rsidRDefault="0061578A" w:rsidP="0014192C">
            <w:pPr>
              <w:jc w:val="center"/>
              <w:rPr>
                <w:sz w:val="22"/>
                <w:szCs w:val="22"/>
              </w:rPr>
            </w:pPr>
            <w:r w:rsidRPr="00E96214">
              <w:rPr>
                <w:sz w:val="22"/>
                <w:szCs w:val="22"/>
              </w:rPr>
              <w:t xml:space="preserve"> (9.5)</w:t>
            </w:r>
          </w:p>
        </w:tc>
        <w:tc>
          <w:tcPr>
            <w:tcW w:w="775" w:type="pct"/>
            <w:shd w:val="clear" w:color="000000" w:fill="FFFFFF"/>
          </w:tcPr>
          <w:p w14:paraId="665B20EE" w14:textId="77777777" w:rsidR="0061578A" w:rsidRPr="00E96214" w:rsidRDefault="0061578A" w:rsidP="0014192C">
            <w:pPr>
              <w:jc w:val="center"/>
              <w:rPr>
                <w:sz w:val="22"/>
                <w:szCs w:val="22"/>
              </w:rPr>
            </w:pPr>
            <w:r w:rsidRPr="00E96214">
              <w:rPr>
                <w:sz w:val="22"/>
                <w:szCs w:val="22"/>
              </w:rPr>
              <w:t xml:space="preserve">2248 </w:t>
            </w:r>
          </w:p>
          <w:p w14:paraId="510B457E" w14:textId="77777777" w:rsidR="0061578A" w:rsidRPr="00E96214" w:rsidRDefault="0061578A" w:rsidP="0014192C">
            <w:pPr>
              <w:jc w:val="center"/>
              <w:rPr>
                <w:sz w:val="22"/>
                <w:szCs w:val="22"/>
              </w:rPr>
            </w:pPr>
            <w:r w:rsidRPr="00E96214">
              <w:rPr>
                <w:sz w:val="22"/>
                <w:szCs w:val="22"/>
              </w:rPr>
              <w:t>(10.7)</w:t>
            </w:r>
          </w:p>
        </w:tc>
        <w:tc>
          <w:tcPr>
            <w:tcW w:w="774" w:type="pct"/>
            <w:shd w:val="clear" w:color="000000" w:fill="FFFFFF"/>
          </w:tcPr>
          <w:p w14:paraId="3875D65B" w14:textId="77777777" w:rsidR="0061578A" w:rsidRPr="00E96214" w:rsidRDefault="0061578A" w:rsidP="0014192C">
            <w:pPr>
              <w:jc w:val="center"/>
              <w:rPr>
                <w:sz w:val="22"/>
                <w:szCs w:val="22"/>
              </w:rPr>
            </w:pPr>
            <w:r w:rsidRPr="00E96214">
              <w:rPr>
                <w:sz w:val="22"/>
                <w:szCs w:val="22"/>
              </w:rPr>
              <w:t>&lt;0.0001</w:t>
            </w:r>
          </w:p>
        </w:tc>
      </w:tr>
      <w:tr w:rsidR="0061578A" w:rsidRPr="001C26A4" w14:paraId="416BC457" w14:textId="77777777" w:rsidTr="00C768F6">
        <w:trPr>
          <w:trHeight w:val="300"/>
        </w:trPr>
        <w:tc>
          <w:tcPr>
            <w:tcW w:w="1500" w:type="pct"/>
            <w:shd w:val="clear" w:color="000000" w:fill="FFFFFF"/>
            <w:hideMark/>
          </w:tcPr>
          <w:p w14:paraId="5C46E2EE" w14:textId="77777777" w:rsidR="0061578A" w:rsidRPr="001C26A4" w:rsidRDefault="0061578A" w:rsidP="0014192C">
            <w:pPr>
              <w:rPr>
                <w:color w:val="000000"/>
                <w:sz w:val="22"/>
                <w:szCs w:val="22"/>
              </w:rPr>
            </w:pPr>
            <w:r w:rsidRPr="001C26A4">
              <w:rPr>
                <w:color w:val="000000"/>
                <w:sz w:val="22"/>
                <w:szCs w:val="22"/>
              </w:rPr>
              <w:t>Shooting/Stabbing</w:t>
            </w:r>
          </w:p>
        </w:tc>
        <w:tc>
          <w:tcPr>
            <w:tcW w:w="717" w:type="pct"/>
            <w:shd w:val="clear" w:color="auto" w:fill="FFFFFF" w:themeFill="background1"/>
          </w:tcPr>
          <w:p w14:paraId="267C9D07" w14:textId="77777777" w:rsidR="0061578A" w:rsidRPr="00E96214" w:rsidRDefault="0061578A" w:rsidP="0014192C">
            <w:pPr>
              <w:jc w:val="center"/>
              <w:rPr>
                <w:sz w:val="22"/>
                <w:szCs w:val="22"/>
              </w:rPr>
            </w:pPr>
            <w:r w:rsidRPr="00E96214">
              <w:rPr>
                <w:sz w:val="22"/>
                <w:szCs w:val="22"/>
              </w:rPr>
              <w:t>50</w:t>
            </w:r>
          </w:p>
          <w:p w14:paraId="15A0E3D9" w14:textId="77777777" w:rsidR="0061578A" w:rsidRPr="00E96214" w:rsidRDefault="0061578A" w:rsidP="0014192C">
            <w:pPr>
              <w:jc w:val="center"/>
              <w:rPr>
                <w:sz w:val="22"/>
                <w:szCs w:val="22"/>
              </w:rPr>
            </w:pPr>
            <w:r w:rsidRPr="00E96214">
              <w:rPr>
                <w:sz w:val="22"/>
                <w:szCs w:val="22"/>
              </w:rPr>
              <w:t xml:space="preserve"> (2.8)</w:t>
            </w:r>
          </w:p>
        </w:tc>
        <w:tc>
          <w:tcPr>
            <w:tcW w:w="610" w:type="pct"/>
            <w:shd w:val="clear" w:color="auto" w:fill="FFFFFF" w:themeFill="background1"/>
          </w:tcPr>
          <w:p w14:paraId="5851A830" w14:textId="77777777" w:rsidR="0061578A" w:rsidRPr="00E96214" w:rsidRDefault="0061578A" w:rsidP="0014192C">
            <w:pPr>
              <w:jc w:val="center"/>
              <w:rPr>
                <w:sz w:val="22"/>
                <w:szCs w:val="22"/>
              </w:rPr>
            </w:pPr>
            <w:r w:rsidRPr="00E96214">
              <w:rPr>
                <w:sz w:val="22"/>
                <w:szCs w:val="22"/>
              </w:rPr>
              <w:t>1638</w:t>
            </w:r>
          </w:p>
          <w:p w14:paraId="4FAE27A8" w14:textId="77777777" w:rsidR="0061578A" w:rsidRPr="00E96214" w:rsidRDefault="0061578A" w:rsidP="0014192C">
            <w:pPr>
              <w:jc w:val="center"/>
              <w:rPr>
                <w:sz w:val="22"/>
                <w:szCs w:val="22"/>
              </w:rPr>
            </w:pPr>
            <w:r w:rsidRPr="00E96214">
              <w:rPr>
                <w:sz w:val="22"/>
                <w:szCs w:val="22"/>
              </w:rPr>
              <w:t>(14.5)</w:t>
            </w:r>
          </w:p>
        </w:tc>
        <w:tc>
          <w:tcPr>
            <w:tcW w:w="624" w:type="pct"/>
            <w:shd w:val="clear" w:color="auto" w:fill="FFFFFF" w:themeFill="background1"/>
            <w:noWrap/>
            <w:hideMark/>
          </w:tcPr>
          <w:p w14:paraId="67343949" w14:textId="77777777" w:rsidR="0061578A" w:rsidRPr="00E96214" w:rsidRDefault="0061578A" w:rsidP="0014192C">
            <w:pPr>
              <w:jc w:val="center"/>
              <w:rPr>
                <w:sz w:val="22"/>
                <w:szCs w:val="22"/>
              </w:rPr>
            </w:pPr>
            <w:r w:rsidRPr="00E96214">
              <w:rPr>
                <w:sz w:val="22"/>
                <w:szCs w:val="22"/>
              </w:rPr>
              <w:t>689</w:t>
            </w:r>
          </w:p>
          <w:p w14:paraId="59869CE1" w14:textId="77777777" w:rsidR="0061578A" w:rsidRPr="00E96214" w:rsidRDefault="0061578A" w:rsidP="0014192C">
            <w:pPr>
              <w:jc w:val="center"/>
              <w:rPr>
                <w:sz w:val="22"/>
                <w:szCs w:val="22"/>
              </w:rPr>
            </w:pPr>
            <w:r w:rsidRPr="00E96214">
              <w:rPr>
                <w:sz w:val="22"/>
                <w:szCs w:val="22"/>
              </w:rPr>
              <w:t>(8.7)</w:t>
            </w:r>
          </w:p>
        </w:tc>
        <w:tc>
          <w:tcPr>
            <w:tcW w:w="775" w:type="pct"/>
            <w:shd w:val="clear" w:color="000000" w:fill="FFFFFF"/>
          </w:tcPr>
          <w:p w14:paraId="1C3D4B24" w14:textId="77777777" w:rsidR="0061578A" w:rsidRPr="00E96214" w:rsidRDefault="0061578A" w:rsidP="0014192C">
            <w:pPr>
              <w:jc w:val="center"/>
              <w:rPr>
                <w:sz w:val="22"/>
                <w:szCs w:val="22"/>
              </w:rPr>
            </w:pPr>
            <w:r w:rsidRPr="00E96214">
              <w:rPr>
                <w:sz w:val="22"/>
                <w:szCs w:val="22"/>
              </w:rPr>
              <w:t>2377</w:t>
            </w:r>
          </w:p>
          <w:p w14:paraId="76787107" w14:textId="77777777" w:rsidR="0061578A" w:rsidRPr="00E96214" w:rsidRDefault="0061578A" w:rsidP="0014192C">
            <w:pPr>
              <w:jc w:val="center"/>
              <w:rPr>
                <w:sz w:val="22"/>
                <w:szCs w:val="22"/>
              </w:rPr>
            </w:pPr>
            <w:r w:rsidRPr="00E96214">
              <w:rPr>
                <w:sz w:val="22"/>
                <w:szCs w:val="22"/>
              </w:rPr>
              <w:t xml:space="preserve"> (11.3)</w:t>
            </w:r>
          </w:p>
        </w:tc>
        <w:tc>
          <w:tcPr>
            <w:tcW w:w="774" w:type="pct"/>
            <w:shd w:val="clear" w:color="000000" w:fill="FFFFFF"/>
          </w:tcPr>
          <w:p w14:paraId="0595084A" w14:textId="77777777" w:rsidR="0061578A" w:rsidRPr="00E96214" w:rsidRDefault="0061578A" w:rsidP="0014192C">
            <w:pPr>
              <w:jc w:val="center"/>
              <w:rPr>
                <w:sz w:val="22"/>
                <w:szCs w:val="22"/>
              </w:rPr>
            </w:pPr>
            <w:r w:rsidRPr="00E96214">
              <w:rPr>
                <w:sz w:val="22"/>
                <w:szCs w:val="22"/>
              </w:rPr>
              <w:t>&lt;0.0001</w:t>
            </w:r>
          </w:p>
        </w:tc>
      </w:tr>
      <w:tr w:rsidR="0061578A" w:rsidRPr="001C26A4" w14:paraId="7CC0125C" w14:textId="77777777" w:rsidTr="00C768F6">
        <w:trPr>
          <w:trHeight w:val="300"/>
        </w:trPr>
        <w:tc>
          <w:tcPr>
            <w:tcW w:w="1500" w:type="pct"/>
            <w:shd w:val="clear" w:color="000000" w:fill="FFFFFF"/>
            <w:hideMark/>
          </w:tcPr>
          <w:p w14:paraId="5E58260E" w14:textId="77777777" w:rsidR="0061578A" w:rsidRPr="001C26A4" w:rsidRDefault="0061578A" w:rsidP="0014192C">
            <w:pPr>
              <w:rPr>
                <w:color w:val="000000"/>
                <w:sz w:val="22"/>
                <w:szCs w:val="22"/>
              </w:rPr>
            </w:pPr>
            <w:r w:rsidRPr="001C26A4">
              <w:rPr>
                <w:color w:val="000000"/>
                <w:sz w:val="22"/>
                <w:szCs w:val="22"/>
              </w:rPr>
              <w:t>Blast/Blow(s)</w:t>
            </w:r>
          </w:p>
        </w:tc>
        <w:tc>
          <w:tcPr>
            <w:tcW w:w="717" w:type="pct"/>
            <w:shd w:val="clear" w:color="auto" w:fill="FFFFFF" w:themeFill="background1"/>
          </w:tcPr>
          <w:p w14:paraId="76B8C8DD" w14:textId="77777777" w:rsidR="0061578A" w:rsidRPr="00E96214" w:rsidRDefault="0061578A" w:rsidP="0014192C">
            <w:pPr>
              <w:jc w:val="center"/>
              <w:rPr>
                <w:sz w:val="22"/>
                <w:szCs w:val="22"/>
              </w:rPr>
            </w:pPr>
            <w:r w:rsidRPr="00E96214">
              <w:rPr>
                <w:sz w:val="22"/>
                <w:szCs w:val="22"/>
              </w:rPr>
              <w:t xml:space="preserve">170 </w:t>
            </w:r>
          </w:p>
          <w:p w14:paraId="29FEC810" w14:textId="77777777" w:rsidR="0061578A" w:rsidRPr="00E96214" w:rsidRDefault="0061578A" w:rsidP="0014192C">
            <w:pPr>
              <w:jc w:val="center"/>
              <w:rPr>
                <w:sz w:val="22"/>
                <w:szCs w:val="22"/>
              </w:rPr>
            </w:pPr>
            <w:r w:rsidRPr="00E96214">
              <w:rPr>
                <w:sz w:val="22"/>
                <w:szCs w:val="22"/>
              </w:rPr>
              <w:t>(9.6)</w:t>
            </w:r>
          </w:p>
        </w:tc>
        <w:tc>
          <w:tcPr>
            <w:tcW w:w="610" w:type="pct"/>
            <w:shd w:val="clear" w:color="auto" w:fill="FFFFFF" w:themeFill="background1"/>
          </w:tcPr>
          <w:p w14:paraId="2E4DD85E" w14:textId="77777777" w:rsidR="0061578A" w:rsidRPr="00E96214" w:rsidRDefault="0061578A" w:rsidP="0014192C">
            <w:pPr>
              <w:jc w:val="center"/>
              <w:rPr>
                <w:sz w:val="22"/>
                <w:szCs w:val="22"/>
              </w:rPr>
            </w:pPr>
            <w:r w:rsidRPr="00E96214">
              <w:rPr>
                <w:sz w:val="22"/>
                <w:szCs w:val="22"/>
              </w:rPr>
              <w:t xml:space="preserve">1091 </w:t>
            </w:r>
          </w:p>
          <w:p w14:paraId="7B725DB8" w14:textId="77777777" w:rsidR="0061578A" w:rsidRPr="00E96214" w:rsidRDefault="0061578A" w:rsidP="0014192C">
            <w:pPr>
              <w:jc w:val="center"/>
              <w:rPr>
                <w:sz w:val="22"/>
                <w:szCs w:val="22"/>
              </w:rPr>
            </w:pPr>
            <w:r w:rsidRPr="00E96214">
              <w:rPr>
                <w:sz w:val="22"/>
                <w:szCs w:val="22"/>
              </w:rPr>
              <w:t>(9.6)</w:t>
            </w:r>
          </w:p>
        </w:tc>
        <w:tc>
          <w:tcPr>
            <w:tcW w:w="624" w:type="pct"/>
            <w:shd w:val="clear" w:color="auto" w:fill="FFFFFF" w:themeFill="background1"/>
            <w:noWrap/>
            <w:hideMark/>
          </w:tcPr>
          <w:p w14:paraId="6D82584C" w14:textId="77777777" w:rsidR="0061578A" w:rsidRPr="00E96214" w:rsidRDefault="0061578A" w:rsidP="0014192C">
            <w:pPr>
              <w:jc w:val="center"/>
              <w:rPr>
                <w:sz w:val="22"/>
                <w:szCs w:val="22"/>
              </w:rPr>
            </w:pPr>
            <w:r w:rsidRPr="00E96214">
              <w:rPr>
                <w:sz w:val="22"/>
                <w:szCs w:val="22"/>
              </w:rPr>
              <w:t xml:space="preserve">1066 </w:t>
            </w:r>
          </w:p>
          <w:p w14:paraId="3C825093" w14:textId="77777777" w:rsidR="0061578A" w:rsidRPr="00E96214" w:rsidRDefault="0061578A" w:rsidP="0014192C">
            <w:pPr>
              <w:jc w:val="center"/>
              <w:rPr>
                <w:sz w:val="22"/>
                <w:szCs w:val="22"/>
              </w:rPr>
            </w:pPr>
            <w:r w:rsidRPr="00E96214">
              <w:rPr>
                <w:sz w:val="22"/>
                <w:szCs w:val="22"/>
              </w:rPr>
              <w:t>(13.4)</w:t>
            </w:r>
          </w:p>
        </w:tc>
        <w:tc>
          <w:tcPr>
            <w:tcW w:w="775" w:type="pct"/>
            <w:shd w:val="clear" w:color="000000" w:fill="FFFFFF"/>
          </w:tcPr>
          <w:p w14:paraId="6E59DFB5" w14:textId="77777777" w:rsidR="0061578A" w:rsidRPr="00E96214" w:rsidRDefault="0061578A" w:rsidP="0014192C">
            <w:pPr>
              <w:jc w:val="center"/>
              <w:rPr>
                <w:sz w:val="22"/>
                <w:szCs w:val="22"/>
              </w:rPr>
            </w:pPr>
            <w:r w:rsidRPr="00E96214">
              <w:rPr>
                <w:sz w:val="22"/>
                <w:szCs w:val="22"/>
              </w:rPr>
              <w:t xml:space="preserve">2327 </w:t>
            </w:r>
          </w:p>
          <w:p w14:paraId="08E80776" w14:textId="77777777" w:rsidR="0061578A" w:rsidRPr="00E96214" w:rsidRDefault="0061578A" w:rsidP="0014192C">
            <w:pPr>
              <w:jc w:val="center"/>
              <w:rPr>
                <w:sz w:val="22"/>
                <w:szCs w:val="22"/>
              </w:rPr>
            </w:pPr>
            <w:r w:rsidRPr="00E96214">
              <w:rPr>
                <w:sz w:val="22"/>
                <w:szCs w:val="22"/>
              </w:rPr>
              <w:t>(11.1)</w:t>
            </w:r>
          </w:p>
        </w:tc>
        <w:tc>
          <w:tcPr>
            <w:tcW w:w="774" w:type="pct"/>
            <w:shd w:val="clear" w:color="000000" w:fill="FFFFFF"/>
          </w:tcPr>
          <w:p w14:paraId="4872F223" w14:textId="77777777" w:rsidR="0061578A" w:rsidRPr="00E96214" w:rsidRDefault="0061578A" w:rsidP="0014192C">
            <w:pPr>
              <w:jc w:val="center"/>
              <w:rPr>
                <w:sz w:val="22"/>
                <w:szCs w:val="22"/>
              </w:rPr>
            </w:pPr>
            <w:r w:rsidRPr="00E96214">
              <w:rPr>
                <w:sz w:val="22"/>
                <w:szCs w:val="22"/>
              </w:rPr>
              <w:t>&lt;0.0001</w:t>
            </w:r>
          </w:p>
        </w:tc>
      </w:tr>
      <w:tr w:rsidR="0061578A" w:rsidRPr="001C26A4" w14:paraId="68D65417" w14:textId="77777777" w:rsidTr="00C768F6">
        <w:trPr>
          <w:trHeight w:val="300"/>
        </w:trPr>
        <w:tc>
          <w:tcPr>
            <w:tcW w:w="1500" w:type="pct"/>
            <w:shd w:val="clear" w:color="000000" w:fill="FFFFFF"/>
            <w:hideMark/>
          </w:tcPr>
          <w:p w14:paraId="6F8D57F8" w14:textId="77777777" w:rsidR="0061578A" w:rsidRPr="001C26A4" w:rsidRDefault="0061578A" w:rsidP="0014192C">
            <w:pPr>
              <w:rPr>
                <w:color w:val="000000"/>
                <w:sz w:val="22"/>
                <w:szCs w:val="22"/>
              </w:rPr>
            </w:pPr>
            <w:r w:rsidRPr="001C26A4">
              <w:rPr>
                <w:color w:val="000000"/>
                <w:sz w:val="22"/>
                <w:szCs w:val="22"/>
              </w:rPr>
              <w:t>Other</w:t>
            </w:r>
          </w:p>
        </w:tc>
        <w:tc>
          <w:tcPr>
            <w:tcW w:w="717" w:type="pct"/>
            <w:shd w:val="clear" w:color="auto" w:fill="FFFFFF" w:themeFill="background1"/>
          </w:tcPr>
          <w:p w14:paraId="1C74AB60" w14:textId="77777777" w:rsidR="0061578A" w:rsidRPr="00E96214" w:rsidRDefault="0061578A" w:rsidP="0014192C">
            <w:pPr>
              <w:jc w:val="center"/>
              <w:rPr>
                <w:sz w:val="22"/>
                <w:szCs w:val="22"/>
              </w:rPr>
            </w:pPr>
            <w:r w:rsidRPr="00E96214">
              <w:rPr>
                <w:sz w:val="22"/>
                <w:szCs w:val="22"/>
              </w:rPr>
              <w:t>71</w:t>
            </w:r>
          </w:p>
          <w:p w14:paraId="42DF331A" w14:textId="77777777" w:rsidR="0061578A" w:rsidRPr="00E96214" w:rsidRDefault="0061578A" w:rsidP="0014192C">
            <w:pPr>
              <w:jc w:val="center"/>
              <w:rPr>
                <w:sz w:val="22"/>
                <w:szCs w:val="22"/>
              </w:rPr>
            </w:pPr>
            <w:r w:rsidRPr="00E96214">
              <w:rPr>
                <w:sz w:val="22"/>
                <w:szCs w:val="22"/>
              </w:rPr>
              <w:t>(4.0)</w:t>
            </w:r>
          </w:p>
        </w:tc>
        <w:tc>
          <w:tcPr>
            <w:tcW w:w="610" w:type="pct"/>
            <w:shd w:val="clear" w:color="auto" w:fill="FFFFFF" w:themeFill="background1"/>
          </w:tcPr>
          <w:p w14:paraId="07B85340" w14:textId="77777777" w:rsidR="0061578A" w:rsidRPr="00E96214" w:rsidRDefault="0061578A" w:rsidP="0014192C">
            <w:pPr>
              <w:jc w:val="center"/>
              <w:rPr>
                <w:sz w:val="22"/>
                <w:szCs w:val="22"/>
              </w:rPr>
            </w:pPr>
            <w:r w:rsidRPr="00E96214">
              <w:rPr>
                <w:sz w:val="22"/>
                <w:szCs w:val="22"/>
              </w:rPr>
              <w:t xml:space="preserve">316 </w:t>
            </w:r>
          </w:p>
          <w:p w14:paraId="455E79D1" w14:textId="77777777" w:rsidR="0061578A" w:rsidRPr="00E96214" w:rsidRDefault="0061578A" w:rsidP="0014192C">
            <w:pPr>
              <w:jc w:val="center"/>
              <w:rPr>
                <w:sz w:val="22"/>
                <w:szCs w:val="22"/>
              </w:rPr>
            </w:pPr>
            <w:r w:rsidRPr="00E96214">
              <w:rPr>
                <w:sz w:val="22"/>
                <w:szCs w:val="22"/>
              </w:rPr>
              <w:t>(2.8)</w:t>
            </w:r>
          </w:p>
        </w:tc>
        <w:tc>
          <w:tcPr>
            <w:tcW w:w="624" w:type="pct"/>
            <w:shd w:val="clear" w:color="auto" w:fill="FFFFFF" w:themeFill="background1"/>
            <w:noWrap/>
            <w:hideMark/>
          </w:tcPr>
          <w:p w14:paraId="54743046" w14:textId="77777777" w:rsidR="0061578A" w:rsidRPr="00E96214" w:rsidRDefault="0061578A" w:rsidP="0014192C">
            <w:pPr>
              <w:jc w:val="center"/>
              <w:rPr>
                <w:sz w:val="22"/>
                <w:szCs w:val="22"/>
              </w:rPr>
            </w:pPr>
            <w:r w:rsidRPr="00E96214">
              <w:rPr>
                <w:sz w:val="22"/>
                <w:szCs w:val="22"/>
              </w:rPr>
              <w:t xml:space="preserve">227 </w:t>
            </w:r>
          </w:p>
          <w:p w14:paraId="086CD61C" w14:textId="77777777" w:rsidR="0061578A" w:rsidRPr="00E96214" w:rsidRDefault="0061578A" w:rsidP="0014192C">
            <w:pPr>
              <w:jc w:val="center"/>
              <w:rPr>
                <w:sz w:val="22"/>
                <w:szCs w:val="22"/>
              </w:rPr>
            </w:pPr>
            <w:r w:rsidRPr="00E96214">
              <w:rPr>
                <w:sz w:val="22"/>
                <w:szCs w:val="22"/>
              </w:rPr>
              <w:t>(2.9)</w:t>
            </w:r>
          </w:p>
        </w:tc>
        <w:tc>
          <w:tcPr>
            <w:tcW w:w="775" w:type="pct"/>
            <w:shd w:val="clear" w:color="000000" w:fill="FFFFFF"/>
          </w:tcPr>
          <w:p w14:paraId="525E9A22" w14:textId="77777777" w:rsidR="0061578A" w:rsidRPr="00E96214" w:rsidRDefault="0061578A" w:rsidP="0014192C">
            <w:pPr>
              <w:jc w:val="center"/>
              <w:rPr>
                <w:sz w:val="22"/>
                <w:szCs w:val="22"/>
              </w:rPr>
            </w:pPr>
            <w:r w:rsidRPr="00E96214">
              <w:rPr>
                <w:sz w:val="22"/>
                <w:szCs w:val="22"/>
              </w:rPr>
              <w:t xml:space="preserve">614 </w:t>
            </w:r>
          </w:p>
          <w:p w14:paraId="124BD967" w14:textId="77777777" w:rsidR="0061578A" w:rsidRPr="00E96214" w:rsidRDefault="0061578A" w:rsidP="0014192C">
            <w:pPr>
              <w:jc w:val="center"/>
              <w:rPr>
                <w:sz w:val="22"/>
                <w:szCs w:val="22"/>
              </w:rPr>
            </w:pPr>
            <w:r w:rsidRPr="00E96214">
              <w:rPr>
                <w:sz w:val="22"/>
                <w:szCs w:val="22"/>
              </w:rPr>
              <w:t>(2.9)</w:t>
            </w:r>
          </w:p>
        </w:tc>
        <w:tc>
          <w:tcPr>
            <w:tcW w:w="774" w:type="pct"/>
            <w:shd w:val="clear" w:color="000000" w:fill="FFFFFF"/>
          </w:tcPr>
          <w:p w14:paraId="02E01019" w14:textId="77777777" w:rsidR="0061578A" w:rsidRPr="00E96214" w:rsidRDefault="0061578A" w:rsidP="0014192C">
            <w:pPr>
              <w:jc w:val="center"/>
              <w:rPr>
                <w:sz w:val="22"/>
                <w:szCs w:val="22"/>
              </w:rPr>
            </w:pPr>
            <w:r w:rsidRPr="00E96214">
              <w:rPr>
                <w:sz w:val="22"/>
                <w:szCs w:val="22"/>
              </w:rPr>
              <w:t>0.018</w:t>
            </w:r>
          </w:p>
        </w:tc>
      </w:tr>
      <w:tr w:rsidR="0061578A" w:rsidRPr="001C26A4" w14:paraId="5D6D0823" w14:textId="77777777" w:rsidTr="00653FE9">
        <w:trPr>
          <w:trHeight w:val="240"/>
        </w:trPr>
        <w:tc>
          <w:tcPr>
            <w:tcW w:w="4226" w:type="pct"/>
            <w:gridSpan w:val="5"/>
            <w:shd w:val="clear" w:color="auto" w:fill="FFFFFF" w:themeFill="background1"/>
            <w:vAlign w:val="center"/>
          </w:tcPr>
          <w:p w14:paraId="0164DB5E" w14:textId="77777777" w:rsidR="0061578A" w:rsidRPr="00E96214" w:rsidRDefault="0061578A" w:rsidP="0014192C">
            <w:pPr>
              <w:rPr>
                <w:sz w:val="22"/>
                <w:szCs w:val="22"/>
              </w:rPr>
            </w:pPr>
            <w:r w:rsidRPr="00E96214">
              <w:rPr>
                <w:b/>
                <w:bCs/>
                <w:sz w:val="22"/>
                <w:szCs w:val="22"/>
              </w:rPr>
              <w:t>Injury Severity Score (ISS)</w:t>
            </w:r>
          </w:p>
        </w:tc>
        <w:tc>
          <w:tcPr>
            <w:tcW w:w="774" w:type="pct"/>
            <w:shd w:val="clear" w:color="auto" w:fill="FFFFFF" w:themeFill="background1"/>
          </w:tcPr>
          <w:p w14:paraId="15404393" w14:textId="77777777" w:rsidR="0061578A" w:rsidRPr="00E96214" w:rsidRDefault="0061578A" w:rsidP="0014192C">
            <w:pPr>
              <w:rPr>
                <w:b/>
                <w:bCs/>
                <w:sz w:val="22"/>
                <w:szCs w:val="22"/>
              </w:rPr>
            </w:pPr>
          </w:p>
        </w:tc>
      </w:tr>
      <w:tr w:rsidR="0061578A" w:rsidRPr="001C26A4" w14:paraId="33FBAA52" w14:textId="77777777" w:rsidTr="00C768F6">
        <w:trPr>
          <w:trHeight w:val="240"/>
        </w:trPr>
        <w:tc>
          <w:tcPr>
            <w:tcW w:w="1500" w:type="pct"/>
            <w:vAlign w:val="center"/>
          </w:tcPr>
          <w:p w14:paraId="3ADE12BA" w14:textId="77777777" w:rsidR="0061578A" w:rsidRPr="001C26A4" w:rsidRDefault="0061578A" w:rsidP="0014192C">
            <w:pPr>
              <w:rPr>
                <w:color w:val="000000"/>
                <w:sz w:val="22"/>
                <w:szCs w:val="22"/>
              </w:rPr>
            </w:pPr>
            <w:r w:rsidRPr="001C26A4">
              <w:rPr>
                <w:color w:val="000000"/>
                <w:sz w:val="22"/>
                <w:szCs w:val="22"/>
              </w:rPr>
              <w:t>Median (IQR)</w:t>
            </w:r>
          </w:p>
        </w:tc>
        <w:tc>
          <w:tcPr>
            <w:tcW w:w="717" w:type="pct"/>
            <w:shd w:val="clear" w:color="auto" w:fill="FFFFFF" w:themeFill="background1"/>
            <w:vAlign w:val="center"/>
          </w:tcPr>
          <w:p w14:paraId="748129DB" w14:textId="77777777" w:rsidR="0061578A" w:rsidRPr="00E96214" w:rsidRDefault="0061578A" w:rsidP="0014192C">
            <w:pPr>
              <w:jc w:val="center"/>
              <w:rPr>
                <w:sz w:val="22"/>
                <w:szCs w:val="22"/>
              </w:rPr>
            </w:pPr>
            <w:r w:rsidRPr="00E96214">
              <w:rPr>
                <w:sz w:val="22"/>
                <w:szCs w:val="22"/>
              </w:rPr>
              <w:t>10 (9-20)</w:t>
            </w:r>
          </w:p>
        </w:tc>
        <w:tc>
          <w:tcPr>
            <w:tcW w:w="610" w:type="pct"/>
            <w:shd w:val="clear" w:color="auto" w:fill="FFFFFF" w:themeFill="background1"/>
          </w:tcPr>
          <w:p w14:paraId="1A2FB0EB" w14:textId="77777777" w:rsidR="0061578A" w:rsidRPr="00E96214" w:rsidRDefault="0061578A" w:rsidP="0014192C">
            <w:pPr>
              <w:jc w:val="center"/>
              <w:rPr>
                <w:sz w:val="22"/>
                <w:szCs w:val="22"/>
              </w:rPr>
            </w:pPr>
            <w:r w:rsidRPr="00E96214">
              <w:rPr>
                <w:sz w:val="22"/>
                <w:szCs w:val="22"/>
              </w:rPr>
              <w:t>14 (9-25)</w:t>
            </w:r>
          </w:p>
        </w:tc>
        <w:tc>
          <w:tcPr>
            <w:tcW w:w="624" w:type="pct"/>
            <w:shd w:val="clear" w:color="auto" w:fill="FFFFFF" w:themeFill="background1"/>
            <w:noWrap/>
            <w:vAlign w:val="center"/>
          </w:tcPr>
          <w:p w14:paraId="32A2F2AD" w14:textId="77777777" w:rsidR="0061578A" w:rsidRPr="00E96214" w:rsidRDefault="0061578A" w:rsidP="0014192C">
            <w:pPr>
              <w:jc w:val="center"/>
              <w:rPr>
                <w:sz w:val="22"/>
                <w:szCs w:val="22"/>
              </w:rPr>
            </w:pPr>
            <w:r w:rsidRPr="00E96214">
              <w:rPr>
                <w:sz w:val="22"/>
                <w:szCs w:val="22"/>
              </w:rPr>
              <w:t>16 (9-25)</w:t>
            </w:r>
          </w:p>
        </w:tc>
        <w:tc>
          <w:tcPr>
            <w:tcW w:w="775" w:type="pct"/>
          </w:tcPr>
          <w:p w14:paraId="30449F61" w14:textId="77777777" w:rsidR="0061578A" w:rsidRPr="00E96214" w:rsidRDefault="0061578A" w:rsidP="0014192C">
            <w:pPr>
              <w:jc w:val="center"/>
              <w:rPr>
                <w:sz w:val="22"/>
                <w:szCs w:val="22"/>
              </w:rPr>
            </w:pPr>
            <w:r w:rsidRPr="00E96214">
              <w:rPr>
                <w:sz w:val="22"/>
                <w:szCs w:val="22"/>
              </w:rPr>
              <w:t>14 (9-25)</w:t>
            </w:r>
          </w:p>
        </w:tc>
        <w:tc>
          <w:tcPr>
            <w:tcW w:w="774" w:type="pct"/>
          </w:tcPr>
          <w:p w14:paraId="53A31F7C" w14:textId="77777777" w:rsidR="0061578A" w:rsidRPr="00E96214" w:rsidRDefault="0061578A" w:rsidP="0014192C">
            <w:pPr>
              <w:jc w:val="center"/>
              <w:rPr>
                <w:sz w:val="22"/>
                <w:szCs w:val="22"/>
              </w:rPr>
            </w:pPr>
            <w:r w:rsidRPr="00E96214">
              <w:rPr>
                <w:sz w:val="22"/>
                <w:szCs w:val="22"/>
              </w:rPr>
              <w:t>&lt;0.0001</w:t>
            </w:r>
          </w:p>
        </w:tc>
      </w:tr>
      <w:tr w:rsidR="0061578A" w:rsidRPr="001C26A4" w14:paraId="720E688D" w14:textId="77777777" w:rsidTr="00653FE9">
        <w:trPr>
          <w:trHeight w:val="240"/>
        </w:trPr>
        <w:tc>
          <w:tcPr>
            <w:tcW w:w="4226" w:type="pct"/>
            <w:gridSpan w:val="5"/>
            <w:shd w:val="clear" w:color="auto" w:fill="FFFFFF" w:themeFill="background1"/>
            <w:vAlign w:val="center"/>
          </w:tcPr>
          <w:p w14:paraId="58C1D033" w14:textId="77777777" w:rsidR="0061578A" w:rsidRPr="00E96214" w:rsidRDefault="0061578A" w:rsidP="0014192C">
            <w:pPr>
              <w:rPr>
                <w:sz w:val="22"/>
                <w:szCs w:val="22"/>
              </w:rPr>
            </w:pPr>
            <w:r w:rsidRPr="00E96214">
              <w:rPr>
                <w:b/>
                <w:bCs/>
                <w:sz w:val="22"/>
                <w:szCs w:val="22"/>
              </w:rPr>
              <w:t>Abbreviated Injury Scale (AIS) – Median (IQR) for highest AIS in anatomical regions</w:t>
            </w:r>
          </w:p>
        </w:tc>
        <w:tc>
          <w:tcPr>
            <w:tcW w:w="774" w:type="pct"/>
            <w:shd w:val="clear" w:color="auto" w:fill="FFFFFF" w:themeFill="background1"/>
          </w:tcPr>
          <w:p w14:paraId="1E5D0826" w14:textId="77777777" w:rsidR="0061578A" w:rsidRPr="00E96214" w:rsidRDefault="0061578A" w:rsidP="0014192C">
            <w:pPr>
              <w:rPr>
                <w:b/>
                <w:bCs/>
                <w:sz w:val="22"/>
                <w:szCs w:val="22"/>
              </w:rPr>
            </w:pPr>
          </w:p>
        </w:tc>
      </w:tr>
      <w:tr w:rsidR="0061578A" w:rsidRPr="001C26A4" w14:paraId="04528C07" w14:textId="77777777" w:rsidTr="00C768F6">
        <w:trPr>
          <w:trHeight w:val="240"/>
        </w:trPr>
        <w:tc>
          <w:tcPr>
            <w:tcW w:w="1500" w:type="pct"/>
          </w:tcPr>
          <w:p w14:paraId="2DCDE5C1" w14:textId="77777777" w:rsidR="0061578A" w:rsidRPr="00E96214" w:rsidRDefault="0061578A" w:rsidP="0014192C">
            <w:pPr>
              <w:rPr>
                <w:sz w:val="22"/>
                <w:szCs w:val="22"/>
              </w:rPr>
            </w:pPr>
            <w:r w:rsidRPr="00E96214">
              <w:rPr>
                <w:sz w:val="22"/>
                <w:szCs w:val="22"/>
              </w:rPr>
              <w:t>Head*</w:t>
            </w:r>
          </w:p>
        </w:tc>
        <w:tc>
          <w:tcPr>
            <w:tcW w:w="717" w:type="pct"/>
            <w:shd w:val="clear" w:color="auto" w:fill="FFFFFF" w:themeFill="background1"/>
          </w:tcPr>
          <w:p w14:paraId="4EF3F2C1" w14:textId="77777777" w:rsidR="0061578A" w:rsidRPr="00E96214" w:rsidRDefault="0061578A" w:rsidP="0014192C">
            <w:pPr>
              <w:jc w:val="center"/>
              <w:rPr>
                <w:sz w:val="22"/>
                <w:szCs w:val="22"/>
              </w:rPr>
            </w:pPr>
            <w:r w:rsidRPr="00E96214">
              <w:rPr>
                <w:sz w:val="22"/>
                <w:szCs w:val="22"/>
              </w:rPr>
              <w:t>4 (3-5)</w:t>
            </w:r>
          </w:p>
        </w:tc>
        <w:tc>
          <w:tcPr>
            <w:tcW w:w="610" w:type="pct"/>
            <w:shd w:val="clear" w:color="auto" w:fill="FFFFFF" w:themeFill="background1"/>
          </w:tcPr>
          <w:p w14:paraId="7FB4C78D" w14:textId="77777777" w:rsidR="0061578A" w:rsidRPr="00E96214" w:rsidRDefault="0061578A" w:rsidP="0014192C">
            <w:pPr>
              <w:jc w:val="center"/>
              <w:rPr>
                <w:sz w:val="22"/>
                <w:szCs w:val="22"/>
              </w:rPr>
            </w:pPr>
            <w:r w:rsidRPr="00E96214">
              <w:rPr>
                <w:sz w:val="22"/>
                <w:szCs w:val="22"/>
              </w:rPr>
              <w:t>4 (3-5)</w:t>
            </w:r>
          </w:p>
        </w:tc>
        <w:tc>
          <w:tcPr>
            <w:tcW w:w="624" w:type="pct"/>
            <w:shd w:val="clear" w:color="auto" w:fill="FFFFFF" w:themeFill="background1"/>
            <w:noWrap/>
          </w:tcPr>
          <w:p w14:paraId="55586C93" w14:textId="77777777" w:rsidR="0061578A" w:rsidRPr="00E96214" w:rsidRDefault="0061578A" w:rsidP="0014192C">
            <w:pPr>
              <w:jc w:val="center"/>
              <w:rPr>
                <w:sz w:val="22"/>
                <w:szCs w:val="22"/>
              </w:rPr>
            </w:pPr>
            <w:r w:rsidRPr="00E96214">
              <w:rPr>
                <w:sz w:val="22"/>
                <w:szCs w:val="22"/>
              </w:rPr>
              <w:t>4 (3-5)</w:t>
            </w:r>
          </w:p>
        </w:tc>
        <w:tc>
          <w:tcPr>
            <w:tcW w:w="775" w:type="pct"/>
          </w:tcPr>
          <w:p w14:paraId="3C4A2316" w14:textId="77777777" w:rsidR="0061578A" w:rsidRPr="00E96214" w:rsidRDefault="0061578A" w:rsidP="0014192C">
            <w:pPr>
              <w:jc w:val="center"/>
              <w:rPr>
                <w:sz w:val="22"/>
                <w:szCs w:val="22"/>
              </w:rPr>
            </w:pPr>
            <w:r w:rsidRPr="00E96214">
              <w:rPr>
                <w:sz w:val="22"/>
                <w:szCs w:val="22"/>
              </w:rPr>
              <w:t>4 (3-5)</w:t>
            </w:r>
          </w:p>
        </w:tc>
        <w:tc>
          <w:tcPr>
            <w:tcW w:w="774" w:type="pct"/>
          </w:tcPr>
          <w:p w14:paraId="0330DB1D" w14:textId="77777777" w:rsidR="0061578A" w:rsidRPr="00E96214" w:rsidRDefault="0061578A" w:rsidP="0014192C">
            <w:pPr>
              <w:jc w:val="center"/>
              <w:rPr>
                <w:sz w:val="22"/>
                <w:szCs w:val="22"/>
              </w:rPr>
            </w:pPr>
            <w:r w:rsidRPr="00E96214">
              <w:rPr>
                <w:sz w:val="22"/>
                <w:szCs w:val="22"/>
              </w:rPr>
              <w:t>0.126</w:t>
            </w:r>
          </w:p>
        </w:tc>
      </w:tr>
      <w:tr w:rsidR="0061578A" w:rsidRPr="001C26A4" w14:paraId="1F288B12" w14:textId="77777777" w:rsidTr="00C768F6">
        <w:trPr>
          <w:trHeight w:val="240"/>
        </w:trPr>
        <w:tc>
          <w:tcPr>
            <w:tcW w:w="1500" w:type="pct"/>
          </w:tcPr>
          <w:p w14:paraId="6DD2ADA0" w14:textId="77777777" w:rsidR="0061578A" w:rsidRPr="00E96214" w:rsidRDefault="0061578A" w:rsidP="0014192C">
            <w:pPr>
              <w:rPr>
                <w:sz w:val="22"/>
                <w:szCs w:val="22"/>
              </w:rPr>
            </w:pPr>
            <w:r w:rsidRPr="00E96214">
              <w:rPr>
                <w:sz w:val="22"/>
                <w:szCs w:val="22"/>
              </w:rPr>
              <w:t>Face</w:t>
            </w:r>
          </w:p>
        </w:tc>
        <w:tc>
          <w:tcPr>
            <w:tcW w:w="717" w:type="pct"/>
            <w:shd w:val="clear" w:color="auto" w:fill="FFFFFF" w:themeFill="background1"/>
          </w:tcPr>
          <w:p w14:paraId="465BD617" w14:textId="77777777" w:rsidR="0061578A" w:rsidRPr="00E96214" w:rsidRDefault="0061578A" w:rsidP="0014192C">
            <w:pPr>
              <w:jc w:val="center"/>
              <w:rPr>
                <w:sz w:val="22"/>
                <w:szCs w:val="22"/>
              </w:rPr>
            </w:pPr>
            <w:r w:rsidRPr="00E96214">
              <w:rPr>
                <w:sz w:val="22"/>
                <w:szCs w:val="22"/>
              </w:rPr>
              <w:t>2 (1-2)</w:t>
            </w:r>
          </w:p>
        </w:tc>
        <w:tc>
          <w:tcPr>
            <w:tcW w:w="610" w:type="pct"/>
            <w:shd w:val="clear" w:color="auto" w:fill="FFFFFF" w:themeFill="background1"/>
          </w:tcPr>
          <w:p w14:paraId="4C310E8A" w14:textId="77777777" w:rsidR="0061578A" w:rsidRPr="00E96214" w:rsidRDefault="0061578A" w:rsidP="0014192C">
            <w:pPr>
              <w:jc w:val="center"/>
              <w:rPr>
                <w:sz w:val="22"/>
                <w:szCs w:val="22"/>
              </w:rPr>
            </w:pPr>
            <w:r w:rsidRPr="00E96214">
              <w:rPr>
                <w:sz w:val="22"/>
                <w:szCs w:val="22"/>
              </w:rPr>
              <w:t>2 (1-2)</w:t>
            </w:r>
          </w:p>
        </w:tc>
        <w:tc>
          <w:tcPr>
            <w:tcW w:w="624" w:type="pct"/>
            <w:shd w:val="clear" w:color="auto" w:fill="FFFFFF" w:themeFill="background1"/>
            <w:noWrap/>
          </w:tcPr>
          <w:p w14:paraId="1107AA57" w14:textId="77777777" w:rsidR="0061578A" w:rsidRPr="00E96214" w:rsidRDefault="0061578A" w:rsidP="0014192C">
            <w:pPr>
              <w:jc w:val="center"/>
              <w:rPr>
                <w:sz w:val="22"/>
                <w:szCs w:val="22"/>
              </w:rPr>
            </w:pPr>
            <w:r w:rsidRPr="00E96214">
              <w:rPr>
                <w:sz w:val="22"/>
                <w:szCs w:val="22"/>
              </w:rPr>
              <w:t>2 (1-2)</w:t>
            </w:r>
          </w:p>
        </w:tc>
        <w:tc>
          <w:tcPr>
            <w:tcW w:w="775" w:type="pct"/>
          </w:tcPr>
          <w:p w14:paraId="6E1E75CA" w14:textId="77777777" w:rsidR="0061578A" w:rsidRPr="00E96214" w:rsidRDefault="0061578A" w:rsidP="0014192C">
            <w:pPr>
              <w:jc w:val="center"/>
              <w:rPr>
                <w:sz w:val="22"/>
                <w:szCs w:val="22"/>
              </w:rPr>
            </w:pPr>
            <w:r w:rsidRPr="00E96214">
              <w:rPr>
                <w:sz w:val="22"/>
                <w:szCs w:val="22"/>
              </w:rPr>
              <w:t>2 (1-2)</w:t>
            </w:r>
          </w:p>
        </w:tc>
        <w:tc>
          <w:tcPr>
            <w:tcW w:w="774" w:type="pct"/>
          </w:tcPr>
          <w:p w14:paraId="2199AA57" w14:textId="77777777" w:rsidR="0061578A" w:rsidRPr="00E96214" w:rsidRDefault="0061578A" w:rsidP="0014192C">
            <w:pPr>
              <w:jc w:val="center"/>
              <w:rPr>
                <w:sz w:val="22"/>
                <w:szCs w:val="22"/>
              </w:rPr>
            </w:pPr>
            <w:r w:rsidRPr="00E96214">
              <w:rPr>
                <w:sz w:val="22"/>
                <w:szCs w:val="22"/>
              </w:rPr>
              <w:t>&lt;0.0001</w:t>
            </w:r>
          </w:p>
        </w:tc>
      </w:tr>
      <w:tr w:rsidR="0061578A" w:rsidRPr="001C26A4" w14:paraId="3F670032" w14:textId="77777777" w:rsidTr="00C768F6">
        <w:trPr>
          <w:trHeight w:val="240"/>
        </w:trPr>
        <w:tc>
          <w:tcPr>
            <w:tcW w:w="1500" w:type="pct"/>
          </w:tcPr>
          <w:p w14:paraId="716C059B" w14:textId="77777777" w:rsidR="0061578A" w:rsidRPr="00E96214" w:rsidRDefault="0061578A" w:rsidP="0014192C">
            <w:pPr>
              <w:rPr>
                <w:sz w:val="22"/>
                <w:szCs w:val="22"/>
              </w:rPr>
            </w:pPr>
            <w:r w:rsidRPr="00E96214">
              <w:rPr>
                <w:sz w:val="22"/>
                <w:szCs w:val="22"/>
              </w:rPr>
              <w:t>Thorax*</w:t>
            </w:r>
          </w:p>
        </w:tc>
        <w:tc>
          <w:tcPr>
            <w:tcW w:w="717" w:type="pct"/>
            <w:shd w:val="clear" w:color="auto" w:fill="FFFFFF" w:themeFill="background1"/>
          </w:tcPr>
          <w:p w14:paraId="582003DE" w14:textId="77777777" w:rsidR="0061578A" w:rsidRPr="00E96214" w:rsidRDefault="0061578A" w:rsidP="0014192C">
            <w:pPr>
              <w:jc w:val="center"/>
              <w:rPr>
                <w:sz w:val="22"/>
                <w:szCs w:val="22"/>
              </w:rPr>
            </w:pPr>
            <w:r w:rsidRPr="00E96214">
              <w:rPr>
                <w:sz w:val="22"/>
                <w:szCs w:val="22"/>
              </w:rPr>
              <w:t>3 (3-4)</w:t>
            </w:r>
          </w:p>
        </w:tc>
        <w:tc>
          <w:tcPr>
            <w:tcW w:w="610" w:type="pct"/>
            <w:shd w:val="clear" w:color="auto" w:fill="FFFFFF" w:themeFill="background1"/>
          </w:tcPr>
          <w:p w14:paraId="5F413F87" w14:textId="77777777" w:rsidR="0061578A" w:rsidRPr="00E96214" w:rsidRDefault="0061578A" w:rsidP="0014192C">
            <w:pPr>
              <w:jc w:val="center"/>
              <w:rPr>
                <w:sz w:val="22"/>
                <w:szCs w:val="22"/>
              </w:rPr>
            </w:pPr>
            <w:r w:rsidRPr="00E96214">
              <w:rPr>
                <w:sz w:val="22"/>
                <w:szCs w:val="22"/>
              </w:rPr>
              <w:t>3 (3-4)</w:t>
            </w:r>
          </w:p>
        </w:tc>
        <w:tc>
          <w:tcPr>
            <w:tcW w:w="624" w:type="pct"/>
            <w:shd w:val="clear" w:color="auto" w:fill="FFFFFF" w:themeFill="background1"/>
            <w:noWrap/>
          </w:tcPr>
          <w:p w14:paraId="652EFCC0" w14:textId="77777777" w:rsidR="0061578A" w:rsidRPr="00E96214" w:rsidRDefault="0061578A" w:rsidP="0014192C">
            <w:pPr>
              <w:jc w:val="center"/>
              <w:rPr>
                <w:sz w:val="22"/>
                <w:szCs w:val="22"/>
              </w:rPr>
            </w:pPr>
            <w:r w:rsidRPr="00E96214">
              <w:rPr>
                <w:sz w:val="22"/>
                <w:szCs w:val="22"/>
              </w:rPr>
              <w:t>3 (3-4)</w:t>
            </w:r>
          </w:p>
        </w:tc>
        <w:tc>
          <w:tcPr>
            <w:tcW w:w="775" w:type="pct"/>
          </w:tcPr>
          <w:p w14:paraId="56A3425E" w14:textId="77777777" w:rsidR="0061578A" w:rsidRPr="00E96214" w:rsidRDefault="0061578A" w:rsidP="0014192C">
            <w:pPr>
              <w:jc w:val="center"/>
              <w:rPr>
                <w:sz w:val="22"/>
                <w:szCs w:val="22"/>
              </w:rPr>
            </w:pPr>
            <w:r w:rsidRPr="00E96214">
              <w:rPr>
                <w:sz w:val="22"/>
                <w:szCs w:val="22"/>
              </w:rPr>
              <w:t>3 (3-4)</w:t>
            </w:r>
          </w:p>
        </w:tc>
        <w:tc>
          <w:tcPr>
            <w:tcW w:w="774" w:type="pct"/>
          </w:tcPr>
          <w:p w14:paraId="5035EA36" w14:textId="77777777" w:rsidR="0061578A" w:rsidRPr="00E96214" w:rsidRDefault="0061578A" w:rsidP="0014192C">
            <w:pPr>
              <w:jc w:val="center"/>
              <w:rPr>
                <w:sz w:val="22"/>
                <w:szCs w:val="22"/>
              </w:rPr>
            </w:pPr>
            <w:r w:rsidRPr="00E96214">
              <w:rPr>
                <w:sz w:val="22"/>
                <w:szCs w:val="22"/>
              </w:rPr>
              <w:t>0.069</w:t>
            </w:r>
          </w:p>
        </w:tc>
      </w:tr>
      <w:tr w:rsidR="0061578A" w:rsidRPr="001C26A4" w14:paraId="290CED4D" w14:textId="77777777" w:rsidTr="00C768F6">
        <w:trPr>
          <w:trHeight w:val="240"/>
        </w:trPr>
        <w:tc>
          <w:tcPr>
            <w:tcW w:w="1500" w:type="pct"/>
          </w:tcPr>
          <w:p w14:paraId="6D7F4B30" w14:textId="77777777" w:rsidR="0061578A" w:rsidRPr="00E96214" w:rsidRDefault="0061578A" w:rsidP="0014192C">
            <w:pPr>
              <w:rPr>
                <w:sz w:val="22"/>
                <w:szCs w:val="22"/>
              </w:rPr>
            </w:pPr>
            <w:r w:rsidRPr="00E96214">
              <w:rPr>
                <w:sz w:val="22"/>
                <w:szCs w:val="22"/>
              </w:rPr>
              <w:t>Abdomen</w:t>
            </w:r>
          </w:p>
        </w:tc>
        <w:tc>
          <w:tcPr>
            <w:tcW w:w="717" w:type="pct"/>
            <w:shd w:val="clear" w:color="auto" w:fill="FFFFFF" w:themeFill="background1"/>
          </w:tcPr>
          <w:p w14:paraId="47746626" w14:textId="77777777" w:rsidR="0061578A" w:rsidRPr="00E96214" w:rsidRDefault="0061578A" w:rsidP="0014192C">
            <w:pPr>
              <w:jc w:val="center"/>
              <w:rPr>
                <w:sz w:val="22"/>
                <w:szCs w:val="22"/>
              </w:rPr>
            </w:pPr>
            <w:r w:rsidRPr="00E96214">
              <w:rPr>
                <w:sz w:val="22"/>
                <w:szCs w:val="22"/>
              </w:rPr>
              <w:t>3 (2-4)</w:t>
            </w:r>
          </w:p>
        </w:tc>
        <w:tc>
          <w:tcPr>
            <w:tcW w:w="610" w:type="pct"/>
            <w:shd w:val="clear" w:color="auto" w:fill="FFFFFF" w:themeFill="background1"/>
          </w:tcPr>
          <w:p w14:paraId="577FA76E" w14:textId="77777777" w:rsidR="0061578A" w:rsidRPr="00E96214" w:rsidRDefault="0061578A" w:rsidP="0014192C">
            <w:pPr>
              <w:jc w:val="center"/>
              <w:rPr>
                <w:sz w:val="22"/>
                <w:szCs w:val="22"/>
              </w:rPr>
            </w:pPr>
            <w:r w:rsidRPr="00E96214">
              <w:rPr>
                <w:sz w:val="22"/>
                <w:szCs w:val="22"/>
              </w:rPr>
              <w:t>3 (2-4)</w:t>
            </w:r>
          </w:p>
        </w:tc>
        <w:tc>
          <w:tcPr>
            <w:tcW w:w="624" w:type="pct"/>
            <w:shd w:val="clear" w:color="auto" w:fill="FFFFFF" w:themeFill="background1"/>
            <w:noWrap/>
          </w:tcPr>
          <w:p w14:paraId="574708D1" w14:textId="77777777" w:rsidR="0061578A" w:rsidRPr="00E96214" w:rsidRDefault="0061578A" w:rsidP="0014192C">
            <w:pPr>
              <w:jc w:val="center"/>
              <w:rPr>
                <w:sz w:val="22"/>
                <w:szCs w:val="22"/>
              </w:rPr>
            </w:pPr>
            <w:r w:rsidRPr="00E96214">
              <w:rPr>
                <w:sz w:val="22"/>
                <w:szCs w:val="22"/>
              </w:rPr>
              <w:t>3 (2-3)</w:t>
            </w:r>
          </w:p>
        </w:tc>
        <w:tc>
          <w:tcPr>
            <w:tcW w:w="775" w:type="pct"/>
          </w:tcPr>
          <w:p w14:paraId="5B2A1C4E" w14:textId="77777777" w:rsidR="0061578A" w:rsidRPr="00E96214" w:rsidRDefault="0061578A" w:rsidP="0014192C">
            <w:pPr>
              <w:jc w:val="center"/>
              <w:rPr>
                <w:sz w:val="22"/>
                <w:szCs w:val="22"/>
              </w:rPr>
            </w:pPr>
            <w:r w:rsidRPr="00E96214">
              <w:rPr>
                <w:sz w:val="22"/>
                <w:szCs w:val="22"/>
              </w:rPr>
              <w:t>3 (2-4)</w:t>
            </w:r>
          </w:p>
        </w:tc>
        <w:tc>
          <w:tcPr>
            <w:tcW w:w="774" w:type="pct"/>
          </w:tcPr>
          <w:p w14:paraId="798CC921" w14:textId="77777777" w:rsidR="0061578A" w:rsidRPr="00E96214" w:rsidRDefault="0061578A" w:rsidP="0014192C">
            <w:pPr>
              <w:jc w:val="center"/>
              <w:rPr>
                <w:sz w:val="22"/>
                <w:szCs w:val="22"/>
              </w:rPr>
            </w:pPr>
            <w:r w:rsidRPr="00E96214">
              <w:rPr>
                <w:sz w:val="22"/>
                <w:szCs w:val="22"/>
              </w:rPr>
              <w:t>0.017</w:t>
            </w:r>
          </w:p>
        </w:tc>
      </w:tr>
      <w:tr w:rsidR="0061578A" w:rsidRPr="001C26A4" w14:paraId="7E09D877" w14:textId="77777777" w:rsidTr="00C768F6">
        <w:trPr>
          <w:trHeight w:val="240"/>
        </w:trPr>
        <w:tc>
          <w:tcPr>
            <w:tcW w:w="1500" w:type="pct"/>
          </w:tcPr>
          <w:p w14:paraId="6FF8759E" w14:textId="77777777" w:rsidR="0061578A" w:rsidRPr="00E96214" w:rsidRDefault="0061578A" w:rsidP="0014192C">
            <w:pPr>
              <w:rPr>
                <w:sz w:val="22"/>
                <w:szCs w:val="22"/>
              </w:rPr>
            </w:pPr>
            <w:r w:rsidRPr="00E96214">
              <w:rPr>
                <w:sz w:val="22"/>
                <w:szCs w:val="22"/>
              </w:rPr>
              <w:t>Spine*</w:t>
            </w:r>
          </w:p>
        </w:tc>
        <w:tc>
          <w:tcPr>
            <w:tcW w:w="717" w:type="pct"/>
            <w:shd w:val="clear" w:color="auto" w:fill="FFFFFF" w:themeFill="background1"/>
          </w:tcPr>
          <w:p w14:paraId="29C515A7" w14:textId="77777777" w:rsidR="0061578A" w:rsidRPr="00E96214" w:rsidRDefault="0061578A" w:rsidP="0014192C">
            <w:pPr>
              <w:jc w:val="center"/>
              <w:rPr>
                <w:sz w:val="22"/>
                <w:szCs w:val="22"/>
              </w:rPr>
            </w:pPr>
            <w:r w:rsidRPr="00E96214">
              <w:rPr>
                <w:sz w:val="22"/>
                <w:szCs w:val="22"/>
              </w:rPr>
              <w:t>2 (2-3)</w:t>
            </w:r>
          </w:p>
        </w:tc>
        <w:tc>
          <w:tcPr>
            <w:tcW w:w="610" w:type="pct"/>
            <w:shd w:val="clear" w:color="auto" w:fill="FFFFFF" w:themeFill="background1"/>
          </w:tcPr>
          <w:p w14:paraId="08DC66D6" w14:textId="77777777" w:rsidR="0061578A" w:rsidRPr="00E96214" w:rsidRDefault="0061578A" w:rsidP="0014192C">
            <w:pPr>
              <w:jc w:val="center"/>
              <w:rPr>
                <w:sz w:val="22"/>
                <w:szCs w:val="22"/>
              </w:rPr>
            </w:pPr>
            <w:r w:rsidRPr="00E96214">
              <w:rPr>
                <w:sz w:val="22"/>
                <w:szCs w:val="22"/>
              </w:rPr>
              <w:t>2 (2-3)</w:t>
            </w:r>
          </w:p>
        </w:tc>
        <w:tc>
          <w:tcPr>
            <w:tcW w:w="624" w:type="pct"/>
            <w:shd w:val="clear" w:color="auto" w:fill="FFFFFF" w:themeFill="background1"/>
            <w:noWrap/>
          </w:tcPr>
          <w:p w14:paraId="0A61D7F1" w14:textId="77777777" w:rsidR="0061578A" w:rsidRPr="00E96214" w:rsidRDefault="0061578A" w:rsidP="0014192C">
            <w:pPr>
              <w:jc w:val="center"/>
              <w:rPr>
                <w:sz w:val="22"/>
                <w:szCs w:val="22"/>
              </w:rPr>
            </w:pPr>
            <w:r w:rsidRPr="00E96214">
              <w:rPr>
                <w:sz w:val="22"/>
                <w:szCs w:val="22"/>
              </w:rPr>
              <w:t>2 (2-3)</w:t>
            </w:r>
          </w:p>
        </w:tc>
        <w:tc>
          <w:tcPr>
            <w:tcW w:w="775" w:type="pct"/>
          </w:tcPr>
          <w:p w14:paraId="66A5F4DE" w14:textId="77777777" w:rsidR="0061578A" w:rsidRPr="00E96214" w:rsidRDefault="0061578A" w:rsidP="0014192C">
            <w:pPr>
              <w:jc w:val="center"/>
              <w:rPr>
                <w:sz w:val="22"/>
                <w:szCs w:val="22"/>
              </w:rPr>
            </w:pPr>
            <w:r w:rsidRPr="00E96214">
              <w:rPr>
                <w:sz w:val="22"/>
                <w:szCs w:val="22"/>
              </w:rPr>
              <w:t>2 (2-3)</w:t>
            </w:r>
          </w:p>
        </w:tc>
        <w:tc>
          <w:tcPr>
            <w:tcW w:w="774" w:type="pct"/>
          </w:tcPr>
          <w:p w14:paraId="07AFCAF5" w14:textId="77777777" w:rsidR="0061578A" w:rsidRPr="00E96214" w:rsidRDefault="0061578A" w:rsidP="0014192C">
            <w:pPr>
              <w:jc w:val="center"/>
              <w:rPr>
                <w:sz w:val="22"/>
                <w:szCs w:val="22"/>
              </w:rPr>
            </w:pPr>
            <w:r w:rsidRPr="00E96214">
              <w:rPr>
                <w:sz w:val="22"/>
                <w:szCs w:val="22"/>
              </w:rPr>
              <w:t>0.801</w:t>
            </w:r>
          </w:p>
        </w:tc>
      </w:tr>
      <w:tr w:rsidR="0061578A" w:rsidRPr="001C26A4" w14:paraId="21F08202" w14:textId="77777777" w:rsidTr="00C768F6">
        <w:trPr>
          <w:trHeight w:val="240"/>
        </w:trPr>
        <w:tc>
          <w:tcPr>
            <w:tcW w:w="1500" w:type="pct"/>
          </w:tcPr>
          <w:p w14:paraId="5AC247A9" w14:textId="77777777" w:rsidR="0061578A" w:rsidRPr="00E96214" w:rsidRDefault="0061578A" w:rsidP="0014192C">
            <w:pPr>
              <w:rPr>
                <w:sz w:val="22"/>
                <w:szCs w:val="22"/>
              </w:rPr>
            </w:pPr>
            <w:r w:rsidRPr="00E96214">
              <w:rPr>
                <w:sz w:val="22"/>
                <w:szCs w:val="22"/>
              </w:rPr>
              <w:t>Pelvic</w:t>
            </w:r>
          </w:p>
        </w:tc>
        <w:tc>
          <w:tcPr>
            <w:tcW w:w="717" w:type="pct"/>
            <w:shd w:val="clear" w:color="auto" w:fill="FFFFFF" w:themeFill="background1"/>
          </w:tcPr>
          <w:p w14:paraId="6A44171A" w14:textId="77777777" w:rsidR="0061578A" w:rsidRPr="00E96214" w:rsidRDefault="0061578A" w:rsidP="0014192C">
            <w:pPr>
              <w:jc w:val="center"/>
              <w:rPr>
                <w:sz w:val="22"/>
                <w:szCs w:val="22"/>
              </w:rPr>
            </w:pPr>
            <w:r w:rsidRPr="00E96214">
              <w:rPr>
                <w:sz w:val="22"/>
                <w:szCs w:val="22"/>
              </w:rPr>
              <w:t>2 (2-2)</w:t>
            </w:r>
          </w:p>
        </w:tc>
        <w:tc>
          <w:tcPr>
            <w:tcW w:w="610" w:type="pct"/>
            <w:shd w:val="clear" w:color="auto" w:fill="FFFFFF" w:themeFill="background1"/>
          </w:tcPr>
          <w:p w14:paraId="51373230" w14:textId="77777777" w:rsidR="0061578A" w:rsidRPr="00E96214" w:rsidRDefault="0061578A" w:rsidP="0014192C">
            <w:pPr>
              <w:jc w:val="center"/>
              <w:rPr>
                <w:sz w:val="22"/>
                <w:szCs w:val="22"/>
              </w:rPr>
            </w:pPr>
            <w:r w:rsidRPr="00E96214">
              <w:rPr>
                <w:sz w:val="22"/>
                <w:szCs w:val="22"/>
              </w:rPr>
              <w:t>2 (2-4)</w:t>
            </w:r>
          </w:p>
        </w:tc>
        <w:tc>
          <w:tcPr>
            <w:tcW w:w="624" w:type="pct"/>
            <w:shd w:val="clear" w:color="auto" w:fill="FFFFFF" w:themeFill="background1"/>
            <w:noWrap/>
          </w:tcPr>
          <w:p w14:paraId="4D8D2AF0" w14:textId="77777777" w:rsidR="0061578A" w:rsidRPr="00E96214" w:rsidRDefault="0061578A" w:rsidP="0014192C">
            <w:pPr>
              <w:jc w:val="center"/>
              <w:rPr>
                <w:sz w:val="22"/>
                <w:szCs w:val="22"/>
              </w:rPr>
            </w:pPr>
            <w:r w:rsidRPr="00E96214">
              <w:rPr>
                <w:sz w:val="22"/>
                <w:szCs w:val="22"/>
              </w:rPr>
              <w:t>2 (2-4)</w:t>
            </w:r>
          </w:p>
        </w:tc>
        <w:tc>
          <w:tcPr>
            <w:tcW w:w="775" w:type="pct"/>
          </w:tcPr>
          <w:p w14:paraId="3BB50850" w14:textId="77777777" w:rsidR="0061578A" w:rsidRPr="00E96214" w:rsidRDefault="0061578A" w:rsidP="0014192C">
            <w:pPr>
              <w:jc w:val="center"/>
              <w:rPr>
                <w:sz w:val="22"/>
                <w:szCs w:val="22"/>
              </w:rPr>
            </w:pPr>
            <w:r w:rsidRPr="00E96214">
              <w:rPr>
                <w:sz w:val="22"/>
                <w:szCs w:val="22"/>
              </w:rPr>
              <w:t>2 (2-4)</w:t>
            </w:r>
          </w:p>
        </w:tc>
        <w:tc>
          <w:tcPr>
            <w:tcW w:w="774" w:type="pct"/>
          </w:tcPr>
          <w:p w14:paraId="2B0CB7B6" w14:textId="77777777" w:rsidR="0061578A" w:rsidRPr="00E96214" w:rsidRDefault="0061578A" w:rsidP="0014192C">
            <w:pPr>
              <w:jc w:val="center"/>
              <w:rPr>
                <w:sz w:val="22"/>
                <w:szCs w:val="22"/>
              </w:rPr>
            </w:pPr>
            <w:r w:rsidRPr="00E96214">
              <w:rPr>
                <w:sz w:val="22"/>
                <w:szCs w:val="22"/>
              </w:rPr>
              <w:t>0.0003</w:t>
            </w:r>
          </w:p>
        </w:tc>
      </w:tr>
      <w:tr w:rsidR="0061578A" w:rsidRPr="001C26A4" w14:paraId="769A8F1B" w14:textId="77777777" w:rsidTr="00C768F6">
        <w:trPr>
          <w:trHeight w:val="240"/>
        </w:trPr>
        <w:tc>
          <w:tcPr>
            <w:tcW w:w="1500" w:type="pct"/>
          </w:tcPr>
          <w:p w14:paraId="22B845BE" w14:textId="77777777" w:rsidR="0061578A" w:rsidRPr="00E96214" w:rsidRDefault="0061578A" w:rsidP="0014192C">
            <w:pPr>
              <w:rPr>
                <w:sz w:val="22"/>
                <w:szCs w:val="22"/>
              </w:rPr>
            </w:pPr>
            <w:r w:rsidRPr="00E96214">
              <w:rPr>
                <w:sz w:val="22"/>
                <w:szCs w:val="22"/>
              </w:rPr>
              <w:t>Limb</w:t>
            </w:r>
          </w:p>
        </w:tc>
        <w:tc>
          <w:tcPr>
            <w:tcW w:w="717" w:type="pct"/>
            <w:shd w:val="clear" w:color="auto" w:fill="FFFFFF" w:themeFill="background1"/>
          </w:tcPr>
          <w:p w14:paraId="12585AA6" w14:textId="77777777" w:rsidR="0061578A" w:rsidRPr="00E96214" w:rsidRDefault="0061578A" w:rsidP="0014192C">
            <w:pPr>
              <w:jc w:val="center"/>
              <w:rPr>
                <w:sz w:val="22"/>
                <w:szCs w:val="22"/>
              </w:rPr>
            </w:pPr>
            <w:r w:rsidRPr="00E96214">
              <w:rPr>
                <w:sz w:val="22"/>
                <w:szCs w:val="22"/>
              </w:rPr>
              <w:t>3 (2-3)</w:t>
            </w:r>
          </w:p>
        </w:tc>
        <w:tc>
          <w:tcPr>
            <w:tcW w:w="610" w:type="pct"/>
            <w:shd w:val="clear" w:color="auto" w:fill="FFFFFF" w:themeFill="background1"/>
          </w:tcPr>
          <w:p w14:paraId="629A56DD" w14:textId="77777777" w:rsidR="0061578A" w:rsidRPr="00E96214" w:rsidRDefault="0061578A" w:rsidP="0014192C">
            <w:pPr>
              <w:jc w:val="center"/>
              <w:rPr>
                <w:sz w:val="22"/>
                <w:szCs w:val="22"/>
              </w:rPr>
            </w:pPr>
            <w:r w:rsidRPr="00E96214">
              <w:rPr>
                <w:sz w:val="22"/>
                <w:szCs w:val="22"/>
              </w:rPr>
              <w:t>3 (2-3)</w:t>
            </w:r>
          </w:p>
        </w:tc>
        <w:tc>
          <w:tcPr>
            <w:tcW w:w="624" w:type="pct"/>
            <w:shd w:val="clear" w:color="auto" w:fill="FFFFFF" w:themeFill="background1"/>
            <w:noWrap/>
          </w:tcPr>
          <w:p w14:paraId="56033DD7" w14:textId="77777777" w:rsidR="0061578A" w:rsidRPr="00E96214" w:rsidRDefault="0061578A" w:rsidP="0014192C">
            <w:pPr>
              <w:jc w:val="center"/>
              <w:rPr>
                <w:sz w:val="22"/>
                <w:szCs w:val="22"/>
              </w:rPr>
            </w:pPr>
            <w:r w:rsidRPr="00E96214">
              <w:rPr>
                <w:sz w:val="22"/>
                <w:szCs w:val="22"/>
              </w:rPr>
              <w:t>3 (2-3)</w:t>
            </w:r>
          </w:p>
        </w:tc>
        <w:tc>
          <w:tcPr>
            <w:tcW w:w="775" w:type="pct"/>
          </w:tcPr>
          <w:p w14:paraId="55684DFA" w14:textId="77777777" w:rsidR="0061578A" w:rsidRPr="00E96214" w:rsidRDefault="0061578A" w:rsidP="0014192C">
            <w:pPr>
              <w:jc w:val="center"/>
              <w:rPr>
                <w:sz w:val="22"/>
                <w:szCs w:val="22"/>
              </w:rPr>
            </w:pPr>
            <w:r w:rsidRPr="00E96214">
              <w:rPr>
                <w:sz w:val="22"/>
                <w:szCs w:val="22"/>
              </w:rPr>
              <w:t>3 (2-3)</w:t>
            </w:r>
          </w:p>
        </w:tc>
        <w:tc>
          <w:tcPr>
            <w:tcW w:w="774" w:type="pct"/>
          </w:tcPr>
          <w:p w14:paraId="1D8446BD" w14:textId="77777777" w:rsidR="0061578A" w:rsidRPr="00E96214" w:rsidRDefault="0061578A" w:rsidP="0014192C">
            <w:pPr>
              <w:jc w:val="center"/>
              <w:rPr>
                <w:sz w:val="22"/>
                <w:szCs w:val="22"/>
              </w:rPr>
            </w:pPr>
            <w:r w:rsidRPr="00E96214">
              <w:rPr>
                <w:sz w:val="22"/>
                <w:szCs w:val="22"/>
              </w:rPr>
              <w:t>&lt;0.0001</w:t>
            </w:r>
          </w:p>
        </w:tc>
      </w:tr>
      <w:tr w:rsidR="0061578A" w:rsidRPr="001C26A4" w14:paraId="09CA3369" w14:textId="77777777" w:rsidTr="00C768F6">
        <w:trPr>
          <w:trHeight w:val="240"/>
        </w:trPr>
        <w:tc>
          <w:tcPr>
            <w:tcW w:w="1500" w:type="pct"/>
          </w:tcPr>
          <w:p w14:paraId="227105D5" w14:textId="77777777" w:rsidR="0061578A" w:rsidRPr="00E96214" w:rsidRDefault="0061578A" w:rsidP="0014192C">
            <w:pPr>
              <w:rPr>
                <w:sz w:val="22"/>
                <w:szCs w:val="22"/>
              </w:rPr>
            </w:pPr>
            <w:r w:rsidRPr="00E96214">
              <w:rPr>
                <w:sz w:val="22"/>
                <w:szCs w:val="22"/>
              </w:rPr>
              <w:t>Other*</w:t>
            </w:r>
          </w:p>
        </w:tc>
        <w:tc>
          <w:tcPr>
            <w:tcW w:w="717" w:type="pct"/>
            <w:shd w:val="clear" w:color="auto" w:fill="FFFFFF" w:themeFill="background1"/>
          </w:tcPr>
          <w:p w14:paraId="64F97C24" w14:textId="77777777" w:rsidR="0061578A" w:rsidRPr="00E96214" w:rsidRDefault="0061578A" w:rsidP="0014192C">
            <w:pPr>
              <w:jc w:val="center"/>
              <w:rPr>
                <w:sz w:val="22"/>
                <w:szCs w:val="22"/>
              </w:rPr>
            </w:pPr>
            <w:r w:rsidRPr="00E96214">
              <w:rPr>
                <w:sz w:val="22"/>
                <w:szCs w:val="22"/>
              </w:rPr>
              <w:t>1 (1-2)</w:t>
            </w:r>
          </w:p>
        </w:tc>
        <w:tc>
          <w:tcPr>
            <w:tcW w:w="610" w:type="pct"/>
            <w:shd w:val="clear" w:color="auto" w:fill="FFFFFF" w:themeFill="background1"/>
          </w:tcPr>
          <w:p w14:paraId="521C6105" w14:textId="77777777" w:rsidR="0061578A" w:rsidRPr="00E96214" w:rsidRDefault="0061578A" w:rsidP="0014192C">
            <w:pPr>
              <w:jc w:val="center"/>
              <w:rPr>
                <w:sz w:val="22"/>
                <w:szCs w:val="22"/>
              </w:rPr>
            </w:pPr>
            <w:r w:rsidRPr="00E96214">
              <w:rPr>
                <w:sz w:val="22"/>
                <w:szCs w:val="22"/>
              </w:rPr>
              <w:t>1 (1-2)</w:t>
            </w:r>
          </w:p>
        </w:tc>
        <w:tc>
          <w:tcPr>
            <w:tcW w:w="624" w:type="pct"/>
            <w:shd w:val="clear" w:color="auto" w:fill="FFFFFF" w:themeFill="background1"/>
            <w:noWrap/>
          </w:tcPr>
          <w:p w14:paraId="25C2E4E5" w14:textId="77777777" w:rsidR="0061578A" w:rsidRPr="00E96214" w:rsidRDefault="0061578A" w:rsidP="0014192C">
            <w:pPr>
              <w:jc w:val="center"/>
              <w:rPr>
                <w:sz w:val="22"/>
                <w:szCs w:val="22"/>
              </w:rPr>
            </w:pPr>
            <w:r w:rsidRPr="00E96214">
              <w:rPr>
                <w:sz w:val="22"/>
                <w:szCs w:val="22"/>
              </w:rPr>
              <w:t>1 (1-2)</w:t>
            </w:r>
          </w:p>
        </w:tc>
        <w:tc>
          <w:tcPr>
            <w:tcW w:w="775" w:type="pct"/>
          </w:tcPr>
          <w:p w14:paraId="40D3E422" w14:textId="77777777" w:rsidR="0061578A" w:rsidRPr="00E96214" w:rsidRDefault="0061578A" w:rsidP="0014192C">
            <w:pPr>
              <w:jc w:val="center"/>
              <w:rPr>
                <w:sz w:val="22"/>
                <w:szCs w:val="22"/>
              </w:rPr>
            </w:pPr>
            <w:r w:rsidRPr="00E96214">
              <w:rPr>
                <w:sz w:val="22"/>
                <w:szCs w:val="22"/>
              </w:rPr>
              <w:t>1 (1-2)</w:t>
            </w:r>
          </w:p>
        </w:tc>
        <w:tc>
          <w:tcPr>
            <w:tcW w:w="774" w:type="pct"/>
          </w:tcPr>
          <w:p w14:paraId="1BE3B602" w14:textId="77777777" w:rsidR="0061578A" w:rsidRPr="00E96214" w:rsidRDefault="0061578A" w:rsidP="0014192C">
            <w:pPr>
              <w:jc w:val="center"/>
              <w:rPr>
                <w:sz w:val="22"/>
                <w:szCs w:val="22"/>
              </w:rPr>
            </w:pPr>
            <w:r w:rsidRPr="00E96214">
              <w:rPr>
                <w:sz w:val="22"/>
                <w:szCs w:val="22"/>
              </w:rPr>
              <w:t>0.825</w:t>
            </w:r>
          </w:p>
        </w:tc>
      </w:tr>
    </w:tbl>
    <w:p w14:paraId="2D22FDF7" w14:textId="77777777" w:rsidR="0061578A" w:rsidRDefault="0061578A" w:rsidP="0061578A">
      <w:pPr>
        <w:spacing w:after="160" w:line="259" w:lineRule="auto"/>
        <w:rPr>
          <w:color w:val="FF0000"/>
          <w:sz w:val="22"/>
          <w:szCs w:val="22"/>
        </w:rPr>
      </w:pPr>
    </w:p>
    <w:p w14:paraId="3275B6C3" w14:textId="77777777" w:rsidR="0061578A" w:rsidRPr="00E96214" w:rsidRDefault="0061578A" w:rsidP="0061578A">
      <w:pPr>
        <w:spacing w:after="160" w:line="259" w:lineRule="auto"/>
      </w:pPr>
      <w:r w:rsidRPr="00E96214">
        <w:rPr>
          <w:sz w:val="22"/>
          <w:szCs w:val="22"/>
        </w:rPr>
        <w:t>* denotes no statistically significant difference</w:t>
      </w:r>
    </w:p>
    <w:p w14:paraId="68F11BFF" w14:textId="77777777" w:rsidR="0061578A" w:rsidRPr="004542B9" w:rsidRDefault="0061578A" w:rsidP="0061578A">
      <w:pPr>
        <w:spacing w:after="160" w:line="259" w:lineRule="auto"/>
        <w:rPr>
          <w:rFonts w:eastAsia="Arial"/>
          <w:b/>
          <w:bCs/>
        </w:rPr>
      </w:pPr>
    </w:p>
    <w:p w14:paraId="4F5C9D14" w14:textId="77777777" w:rsidR="0061578A" w:rsidRDefault="0061578A" w:rsidP="00D45C1B">
      <w:pPr>
        <w:spacing w:after="160" w:line="259" w:lineRule="auto"/>
        <w:rPr>
          <w:rFonts w:eastAsia="Arial"/>
          <w:b/>
          <w:bCs/>
          <w:sz w:val="22"/>
          <w:szCs w:val="22"/>
          <w:u w:color="365F91"/>
          <w:bdr w:val="nil"/>
          <w:lang w:val="en-US" w:eastAsia="en-US"/>
        </w:rPr>
      </w:pPr>
    </w:p>
    <w:p w14:paraId="6C11CC23" w14:textId="77777777" w:rsidR="00D45C1B" w:rsidRDefault="00D45C1B" w:rsidP="00D45C1B">
      <w:pPr>
        <w:spacing w:after="160" w:line="259" w:lineRule="auto"/>
        <w:rPr>
          <w:rFonts w:eastAsia="Arial"/>
          <w:b/>
          <w:bCs/>
          <w:sz w:val="22"/>
          <w:szCs w:val="22"/>
          <w:u w:color="365F91"/>
          <w:bdr w:val="nil"/>
          <w:lang w:val="en-US" w:eastAsia="en-US"/>
        </w:rPr>
      </w:pPr>
    </w:p>
    <w:p w14:paraId="7C450F13" w14:textId="77777777" w:rsidR="00D45C1B" w:rsidRPr="001C26A4" w:rsidRDefault="00D45C1B" w:rsidP="00D45C1B">
      <w:pPr>
        <w:spacing w:after="240" w:line="360" w:lineRule="auto"/>
      </w:pPr>
    </w:p>
    <w:p w14:paraId="00603D7F" w14:textId="77777777" w:rsidR="00D45C1B" w:rsidRPr="001C26A4" w:rsidRDefault="00D45C1B" w:rsidP="00D45C1B">
      <w:pPr>
        <w:spacing w:after="240" w:line="360" w:lineRule="auto"/>
      </w:pPr>
    </w:p>
    <w:p w14:paraId="0723F2B4" w14:textId="77777777" w:rsidR="00D45C1B" w:rsidRPr="001C26A4" w:rsidRDefault="00D45C1B" w:rsidP="00D45C1B">
      <w:pPr>
        <w:spacing w:after="240" w:line="360" w:lineRule="auto"/>
      </w:pPr>
    </w:p>
    <w:p w14:paraId="09229466" w14:textId="77777777" w:rsidR="00D45C1B" w:rsidRPr="001C26A4" w:rsidRDefault="00D45C1B" w:rsidP="00D45C1B">
      <w:pPr>
        <w:spacing w:after="240" w:line="360" w:lineRule="auto"/>
      </w:pPr>
    </w:p>
    <w:p w14:paraId="6F2ADCE8" w14:textId="77777777" w:rsidR="0061578A" w:rsidRDefault="0061578A" w:rsidP="0061578A">
      <w:pPr>
        <w:spacing w:after="160" w:line="259" w:lineRule="auto"/>
      </w:pPr>
    </w:p>
    <w:p w14:paraId="22F4FEC2" w14:textId="77777777" w:rsidR="0061578A" w:rsidRDefault="0061578A" w:rsidP="0061578A">
      <w:pPr>
        <w:spacing w:after="160" w:line="259" w:lineRule="auto"/>
      </w:pPr>
    </w:p>
    <w:p w14:paraId="727841C6" w14:textId="5A69ABE9" w:rsidR="00D45C1B" w:rsidRPr="0061578A" w:rsidRDefault="00D45C1B" w:rsidP="0061578A">
      <w:pPr>
        <w:spacing w:after="160" w:line="259" w:lineRule="auto"/>
        <w:rPr>
          <w:b/>
          <w:sz w:val="22"/>
          <w:szCs w:val="22"/>
        </w:rPr>
      </w:pPr>
      <w:r w:rsidRPr="001C26A4">
        <w:rPr>
          <w:b/>
          <w:sz w:val="22"/>
          <w:szCs w:val="22"/>
        </w:rPr>
        <w:t>Table 3</w:t>
      </w:r>
      <w:r w:rsidRPr="001C26A4">
        <w:rPr>
          <w:sz w:val="22"/>
          <w:szCs w:val="22"/>
        </w:rPr>
        <w:t>:</w:t>
      </w:r>
      <w:r w:rsidRPr="001C26A4">
        <w:rPr>
          <w:iCs/>
          <w:sz w:val="22"/>
          <w:szCs w:val="22"/>
        </w:rPr>
        <w:t xml:space="preserve"> O</w:t>
      </w:r>
      <w:r w:rsidRPr="001C26A4">
        <w:rPr>
          <w:sz w:val="22"/>
          <w:szCs w:val="22"/>
        </w:rPr>
        <w:t xml:space="preserve">dds of mortality by MTC centre type for adolescent trauma patients (aged </w:t>
      </w:r>
    </w:p>
    <w:p w14:paraId="775165C9" w14:textId="564E42A5" w:rsidR="00D45C1B" w:rsidRPr="00703152" w:rsidRDefault="00D45C1B" w:rsidP="00D45C1B">
      <w:pPr>
        <w:rPr>
          <w:color w:val="000000"/>
          <w:sz w:val="22"/>
          <w:szCs w:val="22"/>
        </w:rPr>
      </w:pPr>
      <w:r w:rsidRPr="001C26A4">
        <w:rPr>
          <w:sz w:val="22"/>
          <w:szCs w:val="22"/>
        </w:rPr>
        <w:t>10 – 24</w:t>
      </w:r>
      <w:r>
        <w:rPr>
          <w:sz w:val="22"/>
          <w:szCs w:val="22"/>
        </w:rPr>
        <w:t>.99</w:t>
      </w:r>
      <w:r w:rsidRPr="001C26A4">
        <w:rPr>
          <w:sz w:val="22"/>
          <w:szCs w:val="22"/>
        </w:rPr>
        <w:t xml:space="preserve"> years).  Subgroup analysis of those aged 14 – 17.99 years</w:t>
      </w:r>
      <w:r>
        <w:rPr>
          <w:sz w:val="22"/>
          <w:szCs w:val="22"/>
        </w:rPr>
        <w:t xml:space="preserve">, 10 </w:t>
      </w:r>
      <w:r w:rsidRPr="001C26A4">
        <w:rPr>
          <w:sz w:val="22"/>
          <w:szCs w:val="22"/>
        </w:rPr>
        <w:t>–</w:t>
      </w:r>
      <w:r>
        <w:rPr>
          <w:sz w:val="22"/>
          <w:szCs w:val="22"/>
        </w:rPr>
        <w:t xml:space="preserve">15.99 years and 16 </w:t>
      </w:r>
      <w:r w:rsidRPr="001C26A4">
        <w:rPr>
          <w:sz w:val="22"/>
          <w:szCs w:val="22"/>
        </w:rPr>
        <w:t>–</w:t>
      </w:r>
      <w:r>
        <w:rPr>
          <w:sz w:val="22"/>
          <w:szCs w:val="22"/>
        </w:rPr>
        <w:t>24.99 years</w:t>
      </w:r>
      <w:r w:rsidRPr="001C26A4">
        <w:rPr>
          <w:color w:val="000000"/>
          <w:sz w:val="22"/>
          <w:szCs w:val="22"/>
        </w:rPr>
        <w:t xml:space="preserve"> also displayed.</w:t>
      </w:r>
      <w:r w:rsidR="00703152">
        <w:rPr>
          <w:color w:val="000000"/>
          <w:sz w:val="22"/>
          <w:szCs w:val="22"/>
        </w:rPr>
        <w:t xml:space="preserve"> </w:t>
      </w:r>
      <w:r w:rsidRPr="001C26A4">
        <w:rPr>
          <w:i/>
          <w:sz w:val="22"/>
          <w:szCs w:val="22"/>
        </w:rPr>
        <w:t>(crude and adjusted OR presented)</w:t>
      </w:r>
    </w:p>
    <w:p w14:paraId="08BABA92" w14:textId="77777777" w:rsidR="00D45C1B" w:rsidRPr="001C26A4" w:rsidRDefault="00D45C1B" w:rsidP="00D45C1B">
      <w:pPr>
        <w:rPr>
          <w:color w:val="000000"/>
          <w:sz w:val="22"/>
          <w:szCs w:val="22"/>
        </w:rPr>
      </w:pPr>
    </w:p>
    <w:p w14:paraId="7E9431E7" w14:textId="77777777" w:rsidR="00D45C1B" w:rsidRPr="001C26A4" w:rsidRDefault="00D45C1B" w:rsidP="00D45C1B">
      <w:pPr>
        <w:rPr>
          <w:color w:val="000000"/>
          <w:sz w:val="22"/>
          <w:szCs w:val="22"/>
        </w:rPr>
      </w:pPr>
    </w:p>
    <w:tbl>
      <w:tblPr>
        <w:tblStyle w:val="TableGrid"/>
        <w:tblW w:w="9209" w:type="dxa"/>
        <w:tblLook w:val="04A0" w:firstRow="1" w:lastRow="0" w:firstColumn="1" w:lastColumn="0" w:noHBand="0" w:noVBand="1"/>
      </w:tblPr>
      <w:tblGrid>
        <w:gridCol w:w="2646"/>
        <w:gridCol w:w="1955"/>
        <w:gridCol w:w="1206"/>
        <w:gridCol w:w="2126"/>
        <w:gridCol w:w="1276"/>
      </w:tblGrid>
      <w:tr w:rsidR="00D45C1B" w:rsidRPr="001C26A4" w14:paraId="51539055" w14:textId="77777777" w:rsidTr="00DB47A3">
        <w:trPr>
          <w:trHeight w:val="300"/>
        </w:trPr>
        <w:tc>
          <w:tcPr>
            <w:tcW w:w="2646" w:type="dxa"/>
          </w:tcPr>
          <w:p w14:paraId="164B53F8" w14:textId="77777777" w:rsidR="00D45C1B" w:rsidRPr="001C26A4" w:rsidRDefault="00D45C1B" w:rsidP="00DB47A3">
            <w:pPr>
              <w:rPr>
                <w:b/>
                <w:bCs/>
                <w:color w:val="000000"/>
                <w:sz w:val="22"/>
                <w:szCs w:val="22"/>
              </w:rPr>
            </w:pPr>
          </w:p>
        </w:tc>
        <w:tc>
          <w:tcPr>
            <w:tcW w:w="3161" w:type="dxa"/>
            <w:gridSpan w:val="2"/>
          </w:tcPr>
          <w:p w14:paraId="62E11E0B" w14:textId="77777777" w:rsidR="00D45C1B" w:rsidRPr="00D74175" w:rsidRDefault="00D45C1B" w:rsidP="00DB47A3">
            <w:pPr>
              <w:jc w:val="center"/>
              <w:rPr>
                <w:b/>
                <w:sz w:val="22"/>
                <w:szCs w:val="22"/>
              </w:rPr>
            </w:pPr>
            <w:r w:rsidRPr="00D74175">
              <w:rPr>
                <w:i/>
                <w:iCs/>
                <w:sz w:val="22"/>
                <w:szCs w:val="22"/>
              </w:rPr>
              <w:t>Crude</w:t>
            </w:r>
          </w:p>
        </w:tc>
        <w:tc>
          <w:tcPr>
            <w:tcW w:w="3402" w:type="dxa"/>
            <w:gridSpan w:val="2"/>
          </w:tcPr>
          <w:p w14:paraId="714A7ABD" w14:textId="77777777" w:rsidR="00D45C1B" w:rsidRPr="00D74175" w:rsidRDefault="00D45C1B" w:rsidP="00DB47A3">
            <w:pPr>
              <w:jc w:val="center"/>
              <w:rPr>
                <w:b/>
                <w:sz w:val="22"/>
                <w:szCs w:val="22"/>
              </w:rPr>
            </w:pPr>
            <w:r w:rsidRPr="00D74175">
              <w:rPr>
                <w:i/>
                <w:iCs/>
                <w:sz w:val="22"/>
                <w:szCs w:val="22"/>
              </w:rPr>
              <w:t>Adjusted</w:t>
            </w:r>
          </w:p>
        </w:tc>
      </w:tr>
      <w:tr w:rsidR="00D45C1B" w:rsidRPr="001C26A4" w14:paraId="61F34A69" w14:textId="77777777" w:rsidTr="00DB47A3">
        <w:trPr>
          <w:trHeight w:val="300"/>
        </w:trPr>
        <w:tc>
          <w:tcPr>
            <w:tcW w:w="2646" w:type="dxa"/>
          </w:tcPr>
          <w:p w14:paraId="0DD4E778" w14:textId="77777777" w:rsidR="00D45C1B" w:rsidRPr="001C26A4" w:rsidRDefault="00D45C1B" w:rsidP="00DB47A3">
            <w:pPr>
              <w:rPr>
                <w:b/>
                <w:bCs/>
                <w:color w:val="000000"/>
                <w:sz w:val="22"/>
                <w:szCs w:val="22"/>
              </w:rPr>
            </w:pPr>
            <w:r w:rsidRPr="001C26A4">
              <w:rPr>
                <w:b/>
                <w:bCs/>
                <w:color w:val="000000"/>
                <w:sz w:val="22"/>
                <w:szCs w:val="22"/>
              </w:rPr>
              <w:t>Centre of Treatment</w:t>
            </w:r>
          </w:p>
        </w:tc>
        <w:tc>
          <w:tcPr>
            <w:tcW w:w="1955" w:type="dxa"/>
          </w:tcPr>
          <w:p w14:paraId="3BC0B139" w14:textId="77777777" w:rsidR="00D45C1B" w:rsidRPr="001C26A4" w:rsidRDefault="00D45C1B" w:rsidP="00DB47A3">
            <w:pPr>
              <w:jc w:val="center"/>
              <w:rPr>
                <w:b/>
                <w:color w:val="000000"/>
                <w:sz w:val="22"/>
                <w:szCs w:val="22"/>
              </w:rPr>
            </w:pPr>
            <w:r w:rsidRPr="001C26A4">
              <w:rPr>
                <w:b/>
                <w:color w:val="000000"/>
                <w:sz w:val="22"/>
                <w:szCs w:val="22"/>
              </w:rPr>
              <w:t>Odds ratio (95% CI)</w:t>
            </w:r>
          </w:p>
        </w:tc>
        <w:tc>
          <w:tcPr>
            <w:tcW w:w="1206" w:type="dxa"/>
          </w:tcPr>
          <w:p w14:paraId="6A5BAE3F" w14:textId="6BCF42B3" w:rsidR="00D45C1B" w:rsidRPr="001C26A4" w:rsidRDefault="00636BFA" w:rsidP="00DB47A3">
            <w:pPr>
              <w:jc w:val="center"/>
              <w:rPr>
                <w:b/>
                <w:color w:val="000000"/>
                <w:sz w:val="22"/>
                <w:szCs w:val="22"/>
              </w:rPr>
            </w:pPr>
            <w:r>
              <w:rPr>
                <w:b/>
                <w:sz w:val="22"/>
                <w:szCs w:val="22"/>
              </w:rPr>
              <w:t>p</w:t>
            </w:r>
            <w:r w:rsidR="00D45C1B" w:rsidRPr="001C26A4">
              <w:rPr>
                <w:b/>
                <w:sz w:val="22"/>
                <w:szCs w:val="22"/>
              </w:rPr>
              <w:t xml:space="preserve"> Value</w:t>
            </w:r>
          </w:p>
        </w:tc>
        <w:tc>
          <w:tcPr>
            <w:tcW w:w="2126" w:type="dxa"/>
          </w:tcPr>
          <w:p w14:paraId="5A389F38" w14:textId="77777777" w:rsidR="00D45C1B" w:rsidRPr="001C26A4" w:rsidRDefault="00D45C1B" w:rsidP="00DB47A3">
            <w:pPr>
              <w:jc w:val="center"/>
              <w:rPr>
                <w:b/>
                <w:color w:val="000000"/>
                <w:sz w:val="22"/>
                <w:szCs w:val="22"/>
              </w:rPr>
            </w:pPr>
            <w:r w:rsidRPr="001C26A4">
              <w:rPr>
                <w:b/>
                <w:color w:val="000000"/>
                <w:sz w:val="22"/>
                <w:szCs w:val="22"/>
              </w:rPr>
              <w:t>Odds Ratio (95% CI)</w:t>
            </w:r>
          </w:p>
        </w:tc>
        <w:tc>
          <w:tcPr>
            <w:tcW w:w="1276" w:type="dxa"/>
            <w:noWrap/>
          </w:tcPr>
          <w:p w14:paraId="49411C9B" w14:textId="1DBC761F" w:rsidR="00D45C1B" w:rsidRPr="001C26A4" w:rsidRDefault="00636BFA" w:rsidP="00DB47A3">
            <w:pPr>
              <w:jc w:val="center"/>
              <w:rPr>
                <w:b/>
                <w:sz w:val="22"/>
                <w:szCs w:val="22"/>
              </w:rPr>
            </w:pPr>
            <w:r>
              <w:rPr>
                <w:b/>
                <w:sz w:val="22"/>
                <w:szCs w:val="22"/>
              </w:rPr>
              <w:t>p</w:t>
            </w:r>
            <w:r w:rsidR="00A54653">
              <w:rPr>
                <w:b/>
                <w:sz w:val="22"/>
                <w:szCs w:val="22"/>
              </w:rPr>
              <w:t>-v</w:t>
            </w:r>
            <w:r w:rsidR="00D45C1B" w:rsidRPr="001C26A4">
              <w:rPr>
                <w:b/>
                <w:sz w:val="22"/>
                <w:szCs w:val="22"/>
              </w:rPr>
              <w:t>alue </w:t>
            </w:r>
          </w:p>
        </w:tc>
      </w:tr>
      <w:tr w:rsidR="00D45C1B" w:rsidRPr="001C26A4" w14:paraId="2A8E395A" w14:textId="77777777" w:rsidTr="00DB47A3">
        <w:trPr>
          <w:trHeight w:val="300"/>
        </w:trPr>
        <w:tc>
          <w:tcPr>
            <w:tcW w:w="9209" w:type="dxa"/>
            <w:gridSpan w:val="5"/>
          </w:tcPr>
          <w:p w14:paraId="4D7A91C2" w14:textId="77777777" w:rsidR="00D45C1B" w:rsidRPr="001C26A4" w:rsidRDefault="00D45C1B" w:rsidP="00DB47A3">
            <w:pPr>
              <w:tabs>
                <w:tab w:val="left" w:pos="1035"/>
              </w:tabs>
              <w:rPr>
                <w:b/>
                <w:bCs/>
                <w:i/>
                <w:iCs/>
              </w:rPr>
            </w:pPr>
          </w:p>
          <w:p w14:paraId="7236A3BA" w14:textId="77777777" w:rsidR="00D45C1B" w:rsidRPr="001C26A4" w:rsidRDefault="00D45C1B" w:rsidP="00DB47A3">
            <w:pPr>
              <w:tabs>
                <w:tab w:val="left" w:pos="1035"/>
              </w:tabs>
              <w:rPr>
                <w:b/>
                <w:bCs/>
                <w:i/>
                <w:iCs/>
                <w:color w:val="000000"/>
              </w:rPr>
            </w:pPr>
            <w:r w:rsidRPr="001C26A4">
              <w:rPr>
                <w:b/>
                <w:bCs/>
                <w:i/>
                <w:iCs/>
              </w:rPr>
              <w:t xml:space="preserve">Odds of mortality for those aged </w:t>
            </w:r>
            <w:r w:rsidRPr="001C26A4">
              <w:rPr>
                <w:b/>
                <w:bCs/>
                <w:i/>
                <w:iCs/>
                <w:color w:val="000000"/>
              </w:rPr>
              <w:t>10 – 24</w:t>
            </w:r>
            <w:r>
              <w:rPr>
                <w:b/>
                <w:bCs/>
                <w:i/>
                <w:iCs/>
                <w:color w:val="000000"/>
              </w:rPr>
              <w:t>.99</w:t>
            </w:r>
            <w:r w:rsidRPr="001C26A4">
              <w:rPr>
                <w:b/>
                <w:bCs/>
                <w:i/>
                <w:iCs/>
                <w:color w:val="000000"/>
              </w:rPr>
              <w:t xml:space="preserve"> years</w:t>
            </w:r>
          </w:p>
          <w:p w14:paraId="3534181F" w14:textId="77777777" w:rsidR="00D45C1B" w:rsidRPr="001C26A4" w:rsidRDefault="00D45C1B" w:rsidP="00DB47A3">
            <w:pPr>
              <w:tabs>
                <w:tab w:val="left" w:pos="1035"/>
              </w:tabs>
              <w:rPr>
                <w:b/>
                <w:bCs/>
                <w:i/>
                <w:iCs/>
              </w:rPr>
            </w:pPr>
          </w:p>
        </w:tc>
      </w:tr>
      <w:tr w:rsidR="00D45C1B" w:rsidRPr="001C26A4" w14:paraId="256C0E6C" w14:textId="77777777" w:rsidTr="00DB47A3">
        <w:trPr>
          <w:trHeight w:val="363"/>
        </w:trPr>
        <w:tc>
          <w:tcPr>
            <w:tcW w:w="2646" w:type="dxa"/>
            <w:hideMark/>
          </w:tcPr>
          <w:p w14:paraId="2D3AEE3D" w14:textId="77777777" w:rsidR="00D45C1B" w:rsidRPr="0043576E" w:rsidRDefault="00D45C1B" w:rsidP="00DB47A3">
            <w:pPr>
              <w:rPr>
                <w:sz w:val="22"/>
                <w:szCs w:val="22"/>
              </w:rPr>
            </w:pPr>
            <w:r w:rsidRPr="0043576E">
              <w:rPr>
                <w:sz w:val="22"/>
                <w:szCs w:val="22"/>
              </w:rPr>
              <w:t>Children’s MTC (reference)</w:t>
            </w:r>
          </w:p>
        </w:tc>
        <w:tc>
          <w:tcPr>
            <w:tcW w:w="1955" w:type="dxa"/>
          </w:tcPr>
          <w:p w14:paraId="48D26B02" w14:textId="77777777" w:rsidR="00D45C1B" w:rsidRPr="0043576E" w:rsidRDefault="00D45C1B" w:rsidP="00DB47A3">
            <w:pPr>
              <w:jc w:val="center"/>
              <w:rPr>
                <w:sz w:val="22"/>
                <w:szCs w:val="22"/>
              </w:rPr>
            </w:pPr>
            <w:r w:rsidRPr="0043576E">
              <w:rPr>
                <w:sz w:val="22"/>
                <w:szCs w:val="22"/>
              </w:rPr>
              <w:t>1</w:t>
            </w:r>
          </w:p>
        </w:tc>
        <w:tc>
          <w:tcPr>
            <w:tcW w:w="1206" w:type="dxa"/>
          </w:tcPr>
          <w:p w14:paraId="4B600531" w14:textId="77777777" w:rsidR="00D45C1B" w:rsidRPr="0043576E" w:rsidRDefault="00D45C1B" w:rsidP="00DB47A3">
            <w:pPr>
              <w:jc w:val="center"/>
              <w:rPr>
                <w:sz w:val="22"/>
                <w:szCs w:val="22"/>
              </w:rPr>
            </w:pPr>
            <w:r w:rsidRPr="0015792E">
              <w:rPr>
                <w:b/>
                <w:sz w:val="22"/>
                <w:szCs w:val="22"/>
              </w:rPr>
              <w:t> </w:t>
            </w:r>
          </w:p>
        </w:tc>
        <w:tc>
          <w:tcPr>
            <w:tcW w:w="2126" w:type="dxa"/>
            <w:hideMark/>
          </w:tcPr>
          <w:p w14:paraId="3DB3FDFF" w14:textId="77777777" w:rsidR="00D45C1B" w:rsidRPr="0043576E" w:rsidRDefault="00D45C1B" w:rsidP="00DB47A3">
            <w:pPr>
              <w:jc w:val="center"/>
              <w:rPr>
                <w:sz w:val="22"/>
                <w:szCs w:val="22"/>
              </w:rPr>
            </w:pPr>
            <w:r w:rsidRPr="0043576E">
              <w:rPr>
                <w:sz w:val="22"/>
                <w:szCs w:val="22"/>
              </w:rPr>
              <w:t>1</w:t>
            </w:r>
          </w:p>
        </w:tc>
        <w:tc>
          <w:tcPr>
            <w:tcW w:w="1276" w:type="dxa"/>
            <w:noWrap/>
            <w:hideMark/>
          </w:tcPr>
          <w:p w14:paraId="3D23E745" w14:textId="77777777" w:rsidR="00D45C1B" w:rsidRPr="0015792E" w:rsidRDefault="00D45C1B" w:rsidP="00DB47A3">
            <w:pPr>
              <w:jc w:val="center"/>
              <w:rPr>
                <w:sz w:val="22"/>
                <w:szCs w:val="22"/>
              </w:rPr>
            </w:pPr>
            <w:r w:rsidRPr="0015792E">
              <w:rPr>
                <w:sz w:val="22"/>
                <w:szCs w:val="22"/>
              </w:rPr>
              <w:t> </w:t>
            </w:r>
          </w:p>
        </w:tc>
      </w:tr>
      <w:tr w:rsidR="00D45C1B" w:rsidRPr="001C26A4" w14:paraId="7EFF2619" w14:textId="77777777" w:rsidTr="00DB47A3">
        <w:trPr>
          <w:trHeight w:val="300"/>
        </w:trPr>
        <w:tc>
          <w:tcPr>
            <w:tcW w:w="2646" w:type="dxa"/>
            <w:hideMark/>
          </w:tcPr>
          <w:p w14:paraId="3D71FC3B" w14:textId="77777777" w:rsidR="00D45C1B" w:rsidRPr="0043576E" w:rsidRDefault="00D45C1B" w:rsidP="00DB47A3">
            <w:pPr>
              <w:rPr>
                <w:sz w:val="22"/>
                <w:szCs w:val="22"/>
              </w:rPr>
            </w:pPr>
            <w:r w:rsidRPr="0043576E">
              <w:rPr>
                <w:sz w:val="22"/>
                <w:szCs w:val="22"/>
              </w:rPr>
              <w:t>Adult MTC</w:t>
            </w:r>
          </w:p>
        </w:tc>
        <w:tc>
          <w:tcPr>
            <w:tcW w:w="1955" w:type="dxa"/>
          </w:tcPr>
          <w:p w14:paraId="58E649B6" w14:textId="77777777" w:rsidR="00D45C1B" w:rsidRPr="0043576E" w:rsidRDefault="00D45C1B" w:rsidP="00DB47A3">
            <w:pPr>
              <w:jc w:val="center"/>
              <w:rPr>
                <w:sz w:val="22"/>
                <w:szCs w:val="22"/>
              </w:rPr>
            </w:pPr>
            <w:r w:rsidRPr="0043576E">
              <w:rPr>
                <w:sz w:val="22"/>
                <w:szCs w:val="22"/>
              </w:rPr>
              <w:t>2.02 (1.47 – 2.77</w:t>
            </w:r>
          </w:p>
        </w:tc>
        <w:tc>
          <w:tcPr>
            <w:tcW w:w="1206" w:type="dxa"/>
          </w:tcPr>
          <w:p w14:paraId="15A6A2A3" w14:textId="77777777" w:rsidR="00D45C1B" w:rsidRPr="0043576E" w:rsidRDefault="00D45C1B" w:rsidP="00DB47A3">
            <w:pPr>
              <w:jc w:val="center"/>
              <w:rPr>
                <w:sz w:val="22"/>
                <w:szCs w:val="22"/>
              </w:rPr>
            </w:pPr>
            <w:r w:rsidRPr="0043576E">
              <w:rPr>
                <w:sz w:val="22"/>
                <w:szCs w:val="22"/>
              </w:rPr>
              <w:t>&lt;0.0001</w:t>
            </w:r>
          </w:p>
        </w:tc>
        <w:tc>
          <w:tcPr>
            <w:tcW w:w="2126" w:type="dxa"/>
            <w:noWrap/>
          </w:tcPr>
          <w:p w14:paraId="34BA00B0" w14:textId="77777777" w:rsidR="00D45C1B" w:rsidRPr="0043576E" w:rsidRDefault="00D45C1B" w:rsidP="00DB47A3">
            <w:pPr>
              <w:rPr>
                <w:sz w:val="22"/>
                <w:szCs w:val="22"/>
              </w:rPr>
            </w:pPr>
            <w:r w:rsidRPr="0043576E">
              <w:rPr>
                <w:sz w:val="22"/>
                <w:szCs w:val="22"/>
              </w:rPr>
              <w:t>2.41 (1.31 – 1.43)</w:t>
            </w:r>
          </w:p>
        </w:tc>
        <w:tc>
          <w:tcPr>
            <w:tcW w:w="1276" w:type="dxa"/>
            <w:noWrap/>
          </w:tcPr>
          <w:p w14:paraId="5EB91FA0" w14:textId="77777777" w:rsidR="00D45C1B" w:rsidRPr="0043576E" w:rsidRDefault="00D45C1B" w:rsidP="00DB47A3">
            <w:pPr>
              <w:jc w:val="center"/>
              <w:rPr>
                <w:sz w:val="22"/>
                <w:szCs w:val="22"/>
              </w:rPr>
            </w:pPr>
            <w:r w:rsidRPr="0043576E">
              <w:rPr>
                <w:sz w:val="22"/>
                <w:szCs w:val="22"/>
              </w:rPr>
              <w:t>0.005</w:t>
            </w:r>
          </w:p>
        </w:tc>
      </w:tr>
      <w:tr w:rsidR="00D45C1B" w:rsidRPr="001C26A4" w14:paraId="36179591" w14:textId="77777777" w:rsidTr="00DB47A3">
        <w:trPr>
          <w:trHeight w:val="300"/>
        </w:trPr>
        <w:tc>
          <w:tcPr>
            <w:tcW w:w="2646" w:type="dxa"/>
            <w:hideMark/>
          </w:tcPr>
          <w:p w14:paraId="1D657948" w14:textId="77777777" w:rsidR="00D45C1B" w:rsidRPr="0043576E" w:rsidRDefault="00D45C1B" w:rsidP="00DB47A3">
            <w:pPr>
              <w:rPr>
                <w:sz w:val="22"/>
                <w:szCs w:val="22"/>
              </w:rPr>
            </w:pPr>
            <w:r w:rsidRPr="0043576E">
              <w:rPr>
                <w:sz w:val="22"/>
                <w:szCs w:val="22"/>
              </w:rPr>
              <w:t>Mixed MTC</w:t>
            </w:r>
          </w:p>
        </w:tc>
        <w:tc>
          <w:tcPr>
            <w:tcW w:w="1955" w:type="dxa"/>
          </w:tcPr>
          <w:p w14:paraId="58EA7DB8" w14:textId="77777777" w:rsidR="00D45C1B" w:rsidRPr="0043576E" w:rsidRDefault="00D45C1B" w:rsidP="00DB47A3">
            <w:pPr>
              <w:jc w:val="center"/>
              <w:rPr>
                <w:sz w:val="22"/>
                <w:szCs w:val="22"/>
              </w:rPr>
            </w:pPr>
            <w:r w:rsidRPr="0043576E">
              <w:rPr>
                <w:sz w:val="22"/>
                <w:szCs w:val="22"/>
              </w:rPr>
              <w:t>1.82 (1.33 – 2.49)</w:t>
            </w:r>
          </w:p>
        </w:tc>
        <w:tc>
          <w:tcPr>
            <w:tcW w:w="1206" w:type="dxa"/>
          </w:tcPr>
          <w:p w14:paraId="36E5EF62" w14:textId="77777777" w:rsidR="00D45C1B" w:rsidRPr="0043576E" w:rsidRDefault="00D45C1B" w:rsidP="00DB47A3">
            <w:pPr>
              <w:jc w:val="center"/>
              <w:rPr>
                <w:sz w:val="22"/>
                <w:szCs w:val="22"/>
              </w:rPr>
            </w:pPr>
            <w:r w:rsidRPr="0043576E">
              <w:rPr>
                <w:sz w:val="22"/>
                <w:szCs w:val="22"/>
              </w:rPr>
              <w:t>&lt;0.0001</w:t>
            </w:r>
          </w:p>
        </w:tc>
        <w:tc>
          <w:tcPr>
            <w:tcW w:w="2126" w:type="dxa"/>
            <w:noWrap/>
          </w:tcPr>
          <w:p w14:paraId="2E1D5FE4" w14:textId="77777777" w:rsidR="00D45C1B" w:rsidRPr="0043576E" w:rsidRDefault="00D45C1B" w:rsidP="00DB47A3">
            <w:pPr>
              <w:jc w:val="center"/>
              <w:rPr>
                <w:sz w:val="22"/>
                <w:szCs w:val="22"/>
              </w:rPr>
            </w:pPr>
            <w:r w:rsidRPr="0043576E">
              <w:rPr>
                <w:sz w:val="22"/>
                <w:szCs w:val="22"/>
              </w:rPr>
              <w:t xml:space="preserve"> 1.85 (1.03 – 3.35)</w:t>
            </w:r>
          </w:p>
        </w:tc>
        <w:tc>
          <w:tcPr>
            <w:tcW w:w="1276" w:type="dxa"/>
            <w:noWrap/>
          </w:tcPr>
          <w:p w14:paraId="37F466C6" w14:textId="77777777" w:rsidR="00D45C1B" w:rsidRPr="0043576E" w:rsidRDefault="00D45C1B" w:rsidP="00DB47A3">
            <w:pPr>
              <w:jc w:val="center"/>
              <w:rPr>
                <w:sz w:val="22"/>
                <w:szCs w:val="22"/>
              </w:rPr>
            </w:pPr>
            <w:r w:rsidRPr="0043576E">
              <w:rPr>
                <w:sz w:val="22"/>
                <w:szCs w:val="22"/>
              </w:rPr>
              <w:t>0.041</w:t>
            </w:r>
          </w:p>
        </w:tc>
      </w:tr>
      <w:tr w:rsidR="00D45C1B" w:rsidRPr="001C26A4" w14:paraId="383C6663" w14:textId="77777777" w:rsidTr="00DB47A3">
        <w:trPr>
          <w:trHeight w:val="300"/>
        </w:trPr>
        <w:tc>
          <w:tcPr>
            <w:tcW w:w="9209" w:type="dxa"/>
            <w:gridSpan w:val="5"/>
          </w:tcPr>
          <w:p w14:paraId="41D1BB22" w14:textId="77777777" w:rsidR="00D45C1B" w:rsidRPr="0015792E" w:rsidRDefault="00D45C1B" w:rsidP="00DB47A3">
            <w:pPr>
              <w:rPr>
                <w:b/>
                <w:bCs/>
                <w:i/>
                <w:iCs/>
              </w:rPr>
            </w:pPr>
          </w:p>
          <w:p w14:paraId="2604F0ED" w14:textId="77777777" w:rsidR="00D45C1B" w:rsidRPr="0015792E" w:rsidRDefault="00D45C1B" w:rsidP="00DB47A3">
            <w:pPr>
              <w:rPr>
                <w:b/>
                <w:bCs/>
                <w:i/>
                <w:iCs/>
              </w:rPr>
            </w:pPr>
            <w:r w:rsidRPr="0015792E">
              <w:rPr>
                <w:b/>
                <w:bCs/>
                <w:i/>
                <w:iCs/>
              </w:rPr>
              <w:t xml:space="preserve">Odds of mortality for those aged 14  – 17.99 years </w:t>
            </w:r>
          </w:p>
          <w:p w14:paraId="269B8B51" w14:textId="77777777" w:rsidR="00D45C1B" w:rsidRPr="0043576E" w:rsidRDefault="00D45C1B" w:rsidP="00DB47A3">
            <w:pPr>
              <w:rPr>
                <w:b/>
                <w:bCs/>
                <w:i/>
                <w:iCs/>
              </w:rPr>
            </w:pPr>
          </w:p>
        </w:tc>
      </w:tr>
      <w:tr w:rsidR="00D45C1B" w:rsidRPr="001C26A4" w14:paraId="5F2AA8CA" w14:textId="77777777" w:rsidTr="00DB47A3">
        <w:trPr>
          <w:trHeight w:val="300"/>
        </w:trPr>
        <w:tc>
          <w:tcPr>
            <w:tcW w:w="2646" w:type="dxa"/>
          </w:tcPr>
          <w:p w14:paraId="0030B424" w14:textId="77777777" w:rsidR="00D45C1B" w:rsidRPr="0043576E" w:rsidRDefault="00D45C1B" w:rsidP="00DB47A3">
            <w:pPr>
              <w:rPr>
                <w:sz w:val="22"/>
                <w:szCs w:val="22"/>
              </w:rPr>
            </w:pPr>
            <w:r w:rsidRPr="0043576E">
              <w:rPr>
                <w:sz w:val="22"/>
                <w:szCs w:val="22"/>
              </w:rPr>
              <w:t>Children’s MTC (reference)</w:t>
            </w:r>
          </w:p>
        </w:tc>
        <w:tc>
          <w:tcPr>
            <w:tcW w:w="1955" w:type="dxa"/>
          </w:tcPr>
          <w:p w14:paraId="677B8A30" w14:textId="77777777" w:rsidR="00D45C1B" w:rsidRPr="0043576E" w:rsidRDefault="00D45C1B" w:rsidP="00DB47A3">
            <w:pPr>
              <w:jc w:val="center"/>
              <w:rPr>
                <w:sz w:val="22"/>
                <w:szCs w:val="22"/>
              </w:rPr>
            </w:pPr>
            <w:r w:rsidRPr="0043576E">
              <w:rPr>
                <w:sz w:val="22"/>
                <w:szCs w:val="22"/>
              </w:rPr>
              <w:t>1</w:t>
            </w:r>
          </w:p>
        </w:tc>
        <w:tc>
          <w:tcPr>
            <w:tcW w:w="1206" w:type="dxa"/>
          </w:tcPr>
          <w:p w14:paraId="09714DBA" w14:textId="77777777" w:rsidR="00D45C1B" w:rsidRPr="0043576E" w:rsidRDefault="00D45C1B" w:rsidP="00DB47A3">
            <w:pPr>
              <w:jc w:val="center"/>
              <w:rPr>
                <w:sz w:val="22"/>
                <w:szCs w:val="22"/>
              </w:rPr>
            </w:pPr>
          </w:p>
        </w:tc>
        <w:tc>
          <w:tcPr>
            <w:tcW w:w="2126" w:type="dxa"/>
            <w:noWrap/>
          </w:tcPr>
          <w:p w14:paraId="5ABF84DA" w14:textId="77777777" w:rsidR="00D45C1B" w:rsidRPr="0043576E" w:rsidRDefault="00D45C1B" w:rsidP="00DB47A3">
            <w:pPr>
              <w:jc w:val="center"/>
              <w:rPr>
                <w:sz w:val="22"/>
                <w:szCs w:val="22"/>
              </w:rPr>
            </w:pPr>
            <w:r w:rsidRPr="0043576E">
              <w:rPr>
                <w:sz w:val="22"/>
                <w:szCs w:val="22"/>
              </w:rPr>
              <w:t>1</w:t>
            </w:r>
          </w:p>
        </w:tc>
        <w:tc>
          <w:tcPr>
            <w:tcW w:w="1276" w:type="dxa"/>
            <w:noWrap/>
          </w:tcPr>
          <w:p w14:paraId="00588673" w14:textId="77777777" w:rsidR="00D45C1B" w:rsidRPr="0043576E" w:rsidRDefault="00D45C1B" w:rsidP="00DB47A3">
            <w:pPr>
              <w:jc w:val="center"/>
              <w:rPr>
                <w:sz w:val="22"/>
                <w:szCs w:val="22"/>
              </w:rPr>
            </w:pPr>
            <w:r w:rsidRPr="0043576E">
              <w:rPr>
                <w:sz w:val="22"/>
                <w:szCs w:val="22"/>
              </w:rPr>
              <w:t> </w:t>
            </w:r>
          </w:p>
        </w:tc>
      </w:tr>
      <w:tr w:rsidR="00D45C1B" w:rsidRPr="001C26A4" w14:paraId="455AB88D" w14:textId="77777777" w:rsidTr="00DB47A3">
        <w:trPr>
          <w:trHeight w:val="300"/>
        </w:trPr>
        <w:tc>
          <w:tcPr>
            <w:tcW w:w="2646" w:type="dxa"/>
          </w:tcPr>
          <w:p w14:paraId="029A4460" w14:textId="77777777" w:rsidR="00D45C1B" w:rsidRPr="0043576E" w:rsidRDefault="00D45C1B" w:rsidP="00DB47A3">
            <w:pPr>
              <w:rPr>
                <w:sz w:val="22"/>
                <w:szCs w:val="22"/>
              </w:rPr>
            </w:pPr>
            <w:r w:rsidRPr="0043576E">
              <w:rPr>
                <w:sz w:val="22"/>
                <w:szCs w:val="22"/>
              </w:rPr>
              <w:t>Adult’s MTC</w:t>
            </w:r>
          </w:p>
        </w:tc>
        <w:tc>
          <w:tcPr>
            <w:tcW w:w="1955" w:type="dxa"/>
          </w:tcPr>
          <w:p w14:paraId="733DC374" w14:textId="77777777" w:rsidR="00D45C1B" w:rsidRPr="0043576E" w:rsidRDefault="00D45C1B" w:rsidP="00DB47A3">
            <w:pPr>
              <w:jc w:val="center"/>
              <w:rPr>
                <w:sz w:val="22"/>
                <w:szCs w:val="22"/>
              </w:rPr>
            </w:pPr>
            <w:r w:rsidRPr="0043576E">
              <w:rPr>
                <w:sz w:val="22"/>
                <w:szCs w:val="22"/>
              </w:rPr>
              <w:t>1.73 (1.05 – 2.86)</w:t>
            </w:r>
          </w:p>
        </w:tc>
        <w:tc>
          <w:tcPr>
            <w:tcW w:w="1206" w:type="dxa"/>
          </w:tcPr>
          <w:p w14:paraId="23803C45" w14:textId="77777777" w:rsidR="00D45C1B" w:rsidRPr="0043576E" w:rsidRDefault="00D45C1B" w:rsidP="00DB47A3">
            <w:pPr>
              <w:jc w:val="center"/>
              <w:rPr>
                <w:sz w:val="22"/>
                <w:szCs w:val="22"/>
              </w:rPr>
            </w:pPr>
            <w:r w:rsidRPr="0043576E">
              <w:rPr>
                <w:sz w:val="22"/>
                <w:szCs w:val="22"/>
              </w:rPr>
              <w:t>0.032</w:t>
            </w:r>
          </w:p>
        </w:tc>
        <w:tc>
          <w:tcPr>
            <w:tcW w:w="2126" w:type="dxa"/>
            <w:noWrap/>
          </w:tcPr>
          <w:p w14:paraId="0994E8AE" w14:textId="77777777" w:rsidR="00D45C1B" w:rsidRPr="0043576E" w:rsidRDefault="00D45C1B" w:rsidP="00DB47A3">
            <w:pPr>
              <w:jc w:val="center"/>
              <w:rPr>
                <w:sz w:val="22"/>
                <w:szCs w:val="22"/>
              </w:rPr>
            </w:pPr>
            <w:r w:rsidRPr="0043576E">
              <w:rPr>
                <w:sz w:val="22"/>
                <w:szCs w:val="22"/>
              </w:rPr>
              <w:t>2.77 (1.11- 6.94)</w:t>
            </w:r>
          </w:p>
        </w:tc>
        <w:tc>
          <w:tcPr>
            <w:tcW w:w="1276" w:type="dxa"/>
            <w:noWrap/>
          </w:tcPr>
          <w:p w14:paraId="30AF04DF" w14:textId="77777777" w:rsidR="00D45C1B" w:rsidRPr="0043576E" w:rsidRDefault="00D45C1B" w:rsidP="00DB47A3">
            <w:pPr>
              <w:jc w:val="center"/>
              <w:rPr>
                <w:sz w:val="22"/>
                <w:szCs w:val="22"/>
              </w:rPr>
            </w:pPr>
            <w:r w:rsidRPr="0043576E">
              <w:rPr>
                <w:sz w:val="22"/>
                <w:szCs w:val="22"/>
              </w:rPr>
              <w:t>0.030</w:t>
            </w:r>
          </w:p>
        </w:tc>
      </w:tr>
      <w:tr w:rsidR="00D45C1B" w:rsidRPr="001C26A4" w14:paraId="7CCF34EA" w14:textId="77777777" w:rsidTr="00DB47A3">
        <w:trPr>
          <w:trHeight w:val="300"/>
        </w:trPr>
        <w:tc>
          <w:tcPr>
            <w:tcW w:w="2646" w:type="dxa"/>
          </w:tcPr>
          <w:p w14:paraId="4466D562" w14:textId="77777777" w:rsidR="00D45C1B" w:rsidRPr="0043576E" w:rsidRDefault="00D45C1B" w:rsidP="00DB47A3">
            <w:pPr>
              <w:rPr>
                <w:sz w:val="22"/>
                <w:szCs w:val="22"/>
              </w:rPr>
            </w:pPr>
            <w:r w:rsidRPr="0043576E">
              <w:rPr>
                <w:sz w:val="22"/>
                <w:szCs w:val="22"/>
              </w:rPr>
              <w:t>Mixed MTC</w:t>
            </w:r>
          </w:p>
        </w:tc>
        <w:tc>
          <w:tcPr>
            <w:tcW w:w="1955" w:type="dxa"/>
          </w:tcPr>
          <w:p w14:paraId="3814FA7A" w14:textId="77777777" w:rsidR="00D45C1B" w:rsidRPr="0043576E" w:rsidRDefault="00D45C1B" w:rsidP="00DB47A3">
            <w:pPr>
              <w:jc w:val="center"/>
              <w:rPr>
                <w:sz w:val="22"/>
                <w:szCs w:val="22"/>
              </w:rPr>
            </w:pPr>
            <w:r w:rsidRPr="0043576E">
              <w:rPr>
                <w:sz w:val="22"/>
                <w:szCs w:val="22"/>
              </w:rPr>
              <w:t>1.52 (0.95 – 2.44)</w:t>
            </w:r>
          </w:p>
        </w:tc>
        <w:tc>
          <w:tcPr>
            <w:tcW w:w="1206" w:type="dxa"/>
          </w:tcPr>
          <w:p w14:paraId="17D9E70D" w14:textId="77777777" w:rsidR="00D45C1B" w:rsidRPr="0043576E" w:rsidRDefault="00D45C1B" w:rsidP="00DB47A3">
            <w:pPr>
              <w:jc w:val="center"/>
              <w:rPr>
                <w:sz w:val="22"/>
                <w:szCs w:val="22"/>
              </w:rPr>
            </w:pPr>
            <w:r w:rsidRPr="0043576E">
              <w:rPr>
                <w:sz w:val="22"/>
                <w:szCs w:val="22"/>
              </w:rPr>
              <w:t>0.083</w:t>
            </w:r>
          </w:p>
        </w:tc>
        <w:tc>
          <w:tcPr>
            <w:tcW w:w="2126" w:type="dxa"/>
            <w:noWrap/>
          </w:tcPr>
          <w:p w14:paraId="1D819133" w14:textId="77777777" w:rsidR="00D45C1B" w:rsidRPr="0043576E" w:rsidRDefault="00D45C1B" w:rsidP="00DB47A3">
            <w:pPr>
              <w:jc w:val="center"/>
              <w:rPr>
                <w:sz w:val="22"/>
                <w:szCs w:val="22"/>
              </w:rPr>
            </w:pPr>
            <w:r w:rsidRPr="0043576E">
              <w:rPr>
                <w:sz w:val="22"/>
                <w:szCs w:val="22"/>
              </w:rPr>
              <w:t>1.92 (0.84 – 4.42)</w:t>
            </w:r>
          </w:p>
        </w:tc>
        <w:tc>
          <w:tcPr>
            <w:tcW w:w="1276" w:type="dxa"/>
            <w:noWrap/>
          </w:tcPr>
          <w:p w14:paraId="0EAC2334" w14:textId="77777777" w:rsidR="00D45C1B" w:rsidRPr="0043576E" w:rsidRDefault="00D45C1B" w:rsidP="00DB47A3">
            <w:pPr>
              <w:jc w:val="center"/>
              <w:rPr>
                <w:sz w:val="22"/>
                <w:szCs w:val="22"/>
              </w:rPr>
            </w:pPr>
            <w:r w:rsidRPr="0043576E">
              <w:rPr>
                <w:sz w:val="22"/>
                <w:szCs w:val="22"/>
              </w:rPr>
              <w:t>0.121</w:t>
            </w:r>
          </w:p>
        </w:tc>
      </w:tr>
      <w:tr w:rsidR="00D45C1B" w:rsidRPr="001C26A4" w14:paraId="66F2A639" w14:textId="77777777" w:rsidTr="00DB47A3">
        <w:trPr>
          <w:trHeight w:val="300"/>
        </w:trPr>
        <w:tc>
          <w:tcPr>
            <w:tcW w:w="9209" w:type="dxa"/>
            <w:gridSpan w:val="5"/>
          </w:tcPr>
          <w:p w14:paraId="342DE999" w14:textId="77777777" w:rsidR="00D45C1B" w:rsidRPr="003E6A70" w:rsidRDefault="00D45C1B" w:rsidP="00DB47A3">
            <w:pPr>
              <w:rPr>
                <w:b/>
                <w:bCs/>
                <w:i/>
                <w:iCs/>
              </w:rPr>
            </w:pPr>
          </w:p>
          <w:p w14:paraId="60675E55" w14:textId="77777777" w:rsidR="00D45C1B" w:rsidRPr="003E6A70" w:rsidRDefault="00D45C1B" w:rsidP="00DB47A3">
            <w:pPr>
              <w:rPr>
                <w:b/>
                <w:bCs/>
                <w:i/>
                <w:iCs/>
              </w:rPr>
            </w:pPr>
            <w:r w:rsidRPr="003E6A70">
              <w:rPr>
                <w:b/>
                <w:bCs/>
                <w:i/>
                <w:iCs/>
              </w:rPr>
              <w:t xml:space="preserve">Odds of mortality for those aged 10 – 15.99 years </w:t>
            </w:r>
          </w:p>
          <w:p w14:paraId="789AD537" w14:textId="77777777" w:rsidR="00D45C1B" w:rsidRPr="003E6A70" w:rsidRDefault="00D45C1B" w:rsidP="00DB47A3">
            <w:pPr>
              <w:jc w:val="center"/>
              <w:rPr>
                <w:sz w:val="22"/>
                <w:szCs w:val="22"/>
              </w:rPr>
            </w:pPr>
          </w:p>
        </w:tc>
      </w:tr>
      <w:tr w:rsidR="00D45C1B" w:rsidRPr="001C26A4" w14:paraId="6A93DF05" w14:textId="77777777" w:rsidTr="00DB47A3">
        <w:trPr>
          <w:trHeight w:val="300"/>
        </w:trPr>
        <w:tc>
          <w:tcPr>
            <w:tcW w:w="2646" w:type="dxa"/>
          </w:tcPr>
          <w:p w14:paraId="05DFD3AB" w14:textId="77777777" w:rsidR="00D45C1B" w:rsidRPr="003E6A70" w:rsidRDefault="00D45C1B" w:rsidP="00DB47A3">
            <w:pPr>
              <w:rPr>
                <w:b/>
                <w:bCs/>
                <w:i/>
                <w:iCs/>
              </w:rPr>
            </w:pPr>
            <w:r w:rsidRPr="003E6A70">
              <w:rPr>
                <w:sz w:val="22"/>
                <w:szCs w:val="22"/>
              </w:rPr>
              <w:t>Children’s MTC (reference)</w:t>
            </w:r>
          </w:p>
        </w:tc>
        <w:tc>
          <w:tcPr>
            <w:tcW w:w="1955" w:type="dxa"/>
          </w:tcPr>
          <w:p w14:paraId="76C7FD5E" w14:textId="77777777" w:rsidR="00D45C1B" w:rsidRPr="003E6A70" w:rsidDel="002731C3" w:rsidRDefault="00D45C1B" w:rsidP="00DB47A3">
            <w:pPr>
              <w:jc w:val="center"/>
              <w:rPr>
                <w:sz w:val="22"/>
                <w:szCs w:val="22"/>
              </w:rPr>
            </w:pPr>
            <w:r w:rsidRPr="003E6A70">
              <w:rPr>
                <w:sz w:val="22"/>
                <w:szCs w:val="22"/>
              </w:rPr>
              <w:t>1</w:t>
            </w:r>
          </w:p>
        </w:tc>
        <w:tc>
          <w:tcPr>
            <w:tcW w:w="1206" w:type="dxa"/>
          </w:tcPr>
          <w:p w14:paraId="714FEC77" w14:textId="77777777" w:rsidR="00D45C1B" w:rsidRPr="003E6A70" w:rsidDel="002731C3" w:rsidRDefault="00D45C1B" w:rsidP="00DB47A3">
            <w:pPr>
              <w:jc w:val="center"/>
              <w:rPr>
                <w:sz w:val="22"/>
                <w:szCs w:val="22"/>
              </w:rPr>
            </w:pPr>
          </w:p>
        </w:tc>
        <w:tc>
          <w:tcPr>
            <w:tcW w:w="2126" w:type="dxa"/>
            <w:noWrap/>
          </w:tcPr>
          <w:p w14:paraId="222F9209" w14:textId="77777777" w:rsidR="00D45C1B" w:rsidRPr="003E6A70" w:rsidDel="00DC6997" w:rsidRDefault="00D45C1B" w:rsidP="00DB47A3">
            <w:pPr>
              <w:jc w:val="center"/>
              <w:rPr>
                <w:sz w:val="22"/>
                <w:szCs w:val="22"/>
              </w:rPr>
            </w:pPr>
            <w:r w:rsidRPr="003E6A70">
              <w:rPr>
                <w:sz w:val="22"/>
                <w:szCs w:val="22"/>
              </w:rPr>
              <w:t>1</w:t>
            </w:r>
          </w:p>
        </w:tc>
        <w:tc>
          <w:tcPr>
            <w:tcW w:w="1276" w:type="dxa"/>
            <w:noWrap/>
          </w:tcPr>
          <w:p w14:paraId="1602200A" w14:textId="77777777" w:rsidR="00D45C1B" w:rsidRPr="003E6A70" w:rsidRDefault="00D45C1B" w:rsidP="00DB47A3">
            <w:pPr>
              <w:jc w:val="center"/>
              <w:rPr>
                <w:sz w:val="22"/>
                <w:szCs w:val="22"/>
              </w:rPr>
            </w:pPr>
          </w:p>
        </w:tc>
      </w:tr>
      <w:tr w:rsidR="00D45C1B" w:rsidRPr="001C26A4" w14:paraId="1F38BE8A" w14:textId="77777777" w:rsidTr="00DB47A3">
        <w:trPr>
          <w:trHeight w:val="300"/>
        </w:trPr>
        <w:tc>
          <w:tcPr>
            <w:tcW w:w="2646" w:type="dxa"/>
          </w:tcPr>
          <w:p w14:paraId="45DFB648" w14:textId="77777777" w:rsidR="00D45C1B" w:rsidRPr="003E6A70" w:rsidRDefault="00D45C1B" w:rsidP="00DB47A3">
            <w:pPr>
              <w:rPr>
                <w:sz w:val="22"/>
                <w:szCs w:val="22"/>
              </w:rPr>
            </w:pPr>
            <w:r w:rsidRPr="003E6A70">
              <w:rPr>
                <w:sz w:val="22"/>
                <w:szCs w:val="22"/>
              </w:rPr>
              <w:t>Adult’s MTC</w:t>
            </w:r>
          </w:p>
        </w:tc>
        <w:tc>
          <w:tcPr>
            <w:tcW w:w="1955" w:type="dxa"/>
          </w:tcPr>
          <w:p w14:paraId="3260BE7A" w14:textId="77777777" w:rsidR="00D45C1B" w:rsidRPr="003E6A70" w:rsidDel="002731C3" w:rsidRDefault="00D45C1B" w:rsidP="00DB47A3">
            <w:pPr>
              <w:jc w:val="center"/>
              <w:rPr>
                <w:sz w:val="22"/>
                <w:szCs w:val="22"/>
              </w:rPr>
            </w:pPr>
            <w:r w:rsidRPr="003E6A70">
              <w:rPr>
                <w:sz w:val="22"/>
                <w:szCs w:val="22"/>
              </w:rPr>
              <w:t>1.52 (0.83 – 2.76)</w:t>
            </w:r>
          </w:p>
        </w:tc>
        <w:tc>
          <w:tcPr>
            <w:tcW w:w="1206" w:type="dxa"/>
          </w:tcPr>
          <w:p w14:paraId="44780B63" w14:textId="77777777" w:rsidR="00D45C1B" w:rsidRPr="003E6A70" w:rsidDel="002731C3" w:rsidRDefault="00D45C1B" w:rsidP="00DB47A3">
            <w:pPr>
              <w:jc w:val="center"/>
              <w:rPr>
                <w:sz w:val="22"/>
                <w:szCs w:val="22"/>
              </w:rPr>
            </w:pPr>
            <w:r w:rsidRPr="003E6A70">
              <w:rPr>
                <w:sz w:val="22"/>
                <w:szCs w:val="22"/>
              </w:rPr>
              <w:t>0.175</w:t>
            </w:r>
          </w:p>
        </w:tc>
        <w:tc>
          <w:tcPr>
            <w:tcW w:w="2126" w:type="dxa"/>
            <w:noWrap/>
          </w:tcPr>
          <w:p w14:paraId="4C59B03A" w14:textId="77777777" w:rsidR="00D45C1B" w:rsidRPr="003E6A70" w:rsidDel="00DC6997" w:rsidRDefault="00D45C1B" w:rsidP="00DB47A3">
            <w:pPr>
              <w:jc w:val="center"/>
              <w:rPr>
                <w:sz w:val="22"/>
                <w:szCs w:val="22"/>
              </w:rPr>
            </w:pPr>
            <w:r w:rsidRPr="003E6A70">
              <w:rPr>
                <w:sz w:val="22"/>
                <w:szCs w:val="22"/>
              </w:rPr>
              <w:t>2.87 (0.79 - 10.38)</w:t>
            </w:r>
          </w:p>
        </w:tc>
        <w:tc>
          <w:tcPr>
            <w:tcW w:w="1276" w:type="dxa"/>
            <w:noWrap/>
          </w:tcPr>
          <w:p w14:paraId="27CA840D" w14:textId="77777777" w:rsidR="00D45C1B" w:rsidRPr="003E6A70" w:rsidRDefault="00D45C1B" w:rsidP="00DB47A3">
            <w:pPr>
              <w:jc w:val="center"/>
              <w:rPr>
                <w:sz w:val="22"/>
                <w:szCs w:val="22"/>
              </w:rPr>
            </w:pPr>
            <w:r w:rsidRPr="003E6A70">
              <w:rPr>
                <w:sz w:val="22"/>
                <w:szCs w:val="22"/>
              </w:rPr>
              <w:t>0.108</w:t>
            </w:r>
          </w:p>
        </w:tc>
      </w:tr>
      <w:tr w:rsidR="00D45C1B" w:rsidRPr="001C26A4" w14:paraId="24729224" w14:textId="77777777" w:rsidTr="00DB47A3">
        <w:trPr>
          <w:trHeight w:val="300"/>
        </w:trPr>
        <w:tc>
          <w:tcPr>
            <w:tcW w:w="2646" w:type="dxa"/>
          </w:tcPr>
          <w:p w14:paraId="5EF28979" w14:textId="77777777" w:rsidR="00D45C1B" w:rsidRPr="003E6A70" w:rsidRDefault="00D45C1B" w:rsidP="00DB47A3">
            <w:pPr>
              <w:rPr>
                <w:sz w:val="22"/>
                <w:szCs w:val="22"/>
              </w:rPr>
            </w:pPr>
            <w:r w:rsidRPr="003E6A70">
              <w:rPr>
                <w:sz w:val="22"/>
                <w:szCs w:val="22"/>
              </w:rPr>
              <w:t>Mixed MTC</w:t>
            </w:r>
          </w:p>
        </w:tc>
        <w:tc>
          <w:tcPr>
            <w:tcW w:w="1955" w:type="dxa"/>
          </w:tcPr>
          <w:p w14:paraId="1990E2E4" w14:textId="77777777" w:rsidR="00D45C1B" w:rsidRPr="003E6A70" w:rsidDel="002731C3" w:rsidRDefault="00D45C1B" w:rsidP="00DB47A3">
            <w:pPr>
              <w:jc w:val="center"/>
              <w:rPr>
                <w:sz w:val="22"/>
                <w:szCs w:val="22"/>
              </w:rPr>
            </w:pPr>
            <w:r w:rsidRPr="003E6A70">
              <w:rPr>
                <w:sz w:val="22"/>
                <w:szCs w:val="22"/>
              </w:rPr>
              <w:t>1.65 (1.13 – 2.41)</w:t>
            </w:r>
          </w:p>
        </w:tc>
        <w:tc>
          <w:tcPr>
            <w:tcW w:w="1206" w:type="dxa"/>
          </w:tcPr>
          <w:p w14:paraId="665D08F0" w14:textId="77777777" w:rsidR="00D45C1B" w:rsidRPr="003E6A70" w:rsidDel="002731C3" w:rsidRDefault="00D45C1B" w:rsidP="00DB47A3">
            <w:pPr>
              <w:jc w:val="center"/>
              <w:rPr>
                <w:sz w:val="22"/>
                <w:szCs w:val="22"/>
              </w:rPr>
            </w:pPr>
            <w:r w:rsidRPr="003E6A70">
              <w:rPr>
                <w:sz w:val="22"/>
                <w:szCs w:val="22"/>
              </w:rPr>
              <w:t>0.01</w:t>
            </w:r>
          </w:p>
        </w:tc>
        <w:tc>
          <w:tcPr>
            <w:tcW w:w="2126" w:type="dxa"/>
            <w:noWrap/>
          </w:tcPr>
          <w:p w14:paraId="1A2CBD4D" w14:textId="77777777" w:rsidR="00D45C1B" w:rsidRPr="003E6A70" w:rsidDel="00DC6997" w:rsidRDefault="00D45C1B" w:rsidP="00DB47A3">
            <w:pPr>
              <w:jc w:val="center"/>
              <w:rPr>
                <w:sz w:val="22"/>
                <w:szCs w:val="22"/>
              </w:rPr>
            </w:pPr>
            <w:r w:rsidRPr="003E6A70">
              <w:rPr>
                <w:sz w:val="22"/>
                <w:szCs w:val="22"/>
              </w:rPr>
              <w:t>2.22 (1.1 - 4.51)</w:t>
            </w:r>
          </w:p>
        </w:tc>
        <w:tc>
          <w:tcPr>
            <w:tcW w:w="1276" w:type="dxa"/>
            <w:noWrap/>
          </w:tcPr>
          <w:p w14:paraId="4166EBD8" w14:textId="77777777" w:rsidR="00D45C1B" w:rsidRPr="003E6A70" w:rsidRDefault="00D45C1B" w:rsidP="00DB47A3">
            <w:pPr>
              <w:jc w:val="center"/>
              <w:rPr>
                <w:sz w:val="22"/>
                <w:szCs w:val="22"/>
              </w:rPr>
            </w:pPr>
            <w:r w:rsidRPr="003E6A70">
              <w:rPr>
                <w:sz w:val="22"/>
                <w:szCs w:val="22"/>
              </w:rPr>
              <w:t>0.027</w:t>
            </w:r>
          </w:p>
        </w:tc>
      </w:tr>
      <w:tr w:rsidR="00D45C1B" w:rsidRPr="001C26A4" w14:paraId="2CC892BC" w14:textId="77777777" w:rsidTr="00DB47A3">
        <w:trPr>
          <w:trHeight w:val="300"/>
        </w:trPr>
        <w:tc>
          <w:tcPr>
            <w:tcW w:w="9209" w:type="dxa"/>
            <w:gridSpan w:val="5"/>
          </w:tcPr>
          <w:p w14:paraId="5A5D2C4B" w14:textId="77777777" w:rsidR="00D45C1B" w:rsidRPr="003E6A70" w:rsidRDefault="00D45C1B" w:rsidP="00DB47A3">
            <w:pPr>
              <w:rPr>
                <w:b/>
                <w:bCs/>
                <w:i/>
                <w:iCs/>
              </w:rPr>
            </w:pPr>
          </w:p>
          <w:p w14:paraId="43792272" w14:textId="77777777" w:rsidR="00D45C1B" w:rsidRPr="003E6A70" w:rsidRDefault="00D45C1B" w:rsidP="00DB47A3">
            <w:pPr>
              <w:rPr>
                <w:b/>
                <w:bCs/>
                <w:i/>
                <w:iCs/>
              </w:rPr>
            </w:pPr>
            <w:r w:rsidRPr="003E6A70">
              <w:rPr>
                <w:b/>
                <w:bCs/>
                <w:i/>
                <w:iCs/>
              </w:rPr>
              <w:t xml:space="preserve">Odds of mortality for those aged 16 – 24.99 years </w:t>
            </w:r>
          </w:p>
          <w:p w14:paraId="192B4A28" w14:textId="77777777" w:rsidR="00D45C1B" w:rsidRPr="003E6A70" w:rsidRDefault="00D45C1B" w:rsidP="00DB47A3">
            <w:pPr>
              <w:jc w:val="center"/>
              <w:rPr>
                <w:sz w:val="22"/>
                <w:szCs w:val="22"/>
              </w:rPr>
            </w:pPr>
          </w:p>
        </w:tc>
      </w:tr>
      <w:tr w:rsidR="00D45C1B" w:rsidRPr="001C26A4" w14:paraId="545459D0" w14:textId="77777777" w:rsidTr="00DB47A3">
        <w:trPr>
          <w:trHeight w:val="300"/>
        </w:trPr>
        <w:tc>
          <w:tcPr>
            <w:tcW w:w="2646" w:type="dxa"/>
          </w:tcPr>
          <w:p w14:paraId="25B20499" w14:textId="77777777" w:rsidR="00D45C1B" w:rsidRPr="003E6A70" w:rsidRDefault="00D45C1B" w:rsidP="00DB47A3">
            <w:pPr>
              <w:rPr>
                <w:b/>
                <w:bCs/>
                <w:i/>
                <w:iCs/>
              </w:rPr>
            </w:pPr>
            <w:r w:rsidRPr="003E6A70">
              <w:rPr>
                <w:sz w:val="22"/>
                <w:szCs w:val="22"/>
              </w:rPr>
              <w:t>Children’s MTC (reference)</w:t>
            </w:r>
          </w:p>
        </w:tc>
        <w:tc>
          <w:tcPr>
            <w:tcW w:w="1955" w:type="dxa"/>
          </w:tcPr>
          <w:p w14:paraId="3967344E" w14:textId="77777777" w:rsidR="00D45C1B" w:rsidRPr="003E6A70" w:rsidDel="002731C3" w:rsidRDefault="00D45C1B" w:rsidP="00DB47A3">
            <w:pPr>
              <w:jc w:val="center"/>
              <w:rPr>
                <w:sz w:val="22"/>
                <w:szCs w:val="22"/>
              </w:rPr>
            </w:pPr>
            <w:r w:rsidRPr="003E6A70">
              <w:rPr>
                <w:sz w:val="22"/>
                <w:szCs w:val="22"/>
              </w:rPr>
              <w:t>1</w:t>
            </w:r>
          </w:p>
        </w:tc>
        <w:tc>
          <w:tcPr>
            <w:tcW w:w="1206" w:type="dxa"/>
          </w:tcPr>
          <w:p w14:paraId="474E5C31" w14:textId="77777777" w:rsidR="00D45C1B" w:rsidRPr="003E6A70" w:rsidDel="002731C3" w:rsidRDefault="00D45C1B" w:rsidP="00DB47A3">
            <w:pPr>
              <w:jc w:val="center"/>
              <w:rPr>
                <w:sz w:val="22"/>
                <w:szCs w:val="22"/>
              </w:rPr>
            </w:pPr>
          </w:p>
        </w:tc>
        <w:tc>
          <w:tcPr>
            <w:tcW w:w="2126" w:type="dxa"/>
            <w:noWrap/>
          </w:tcPr>
          <w:p w14:paraId="2433A50F" w14:textId="77777777" w:rsidR="00D45C1B" w:rsidRPr="003E6A70" w:rsidDel="00DC6997" w:rsidRDefault="00D45C1B" w:rsidP="00DB47A3">
            <w:pPr>
              <w:jc w:val="center"/>
              <w:rPr>
                <w:sz w:val="22"/>
                <w:szCs w:val="22"/>
              </w:rPr>
            </w:pPr>
            <w:r w:rsidRPr="003E6A70">
              <w:rPr>
                <w:sz w:val="22"/>
                <w:szCs w:val="22"/>
              </w:rPr>
              <w:t>1</w:t>
            </w:r>
          </w:p>
        </w:tc>
        <w:tc>
          <w:tcPr>
            <w:tcW w:w="1276" w:type="dxa"/>
            <w:noWrap/>
          </w:tcPr>
          <w:p w14:paraId="6C500172" w14:textId="77777777" w:rsidR="00D45C1B" w:rsidRPr="003E6A70" w:rsidRDefault="00D45C1B" w:rsidP="00DB47A3">
            <w:pPr>
              <w:jc w:val="center"/>
              <w:rPr>
                <w:sz w:val="22"/>
                <w:szCs w:val="22"/>
              </w:rPr>
            </w:pPr>
          </w:p>
        </w:tc>
      </w:tr>
      <w:tr w:rsidR="00D45C1B" w:rsidRPr="001C26A4" w14:paraId="5574268D" w14:textId="77777777" w:rsidTr="00DB47A3">
        <w:trPr>
          <w:trHeight w:val="300"/>
        </w:trPr>
        <w:tc>
          <w:tcPr>
            <w:tcW w:w="2646" w:type="dxa"/>
          </w:tcPr>
          <w:p w14:paraId="430673E1" w14:textId="77777777" w:rsidR="00D45C1B" w:rsidRPr="003E6A70" w:rsidRDefault="00D45C1B" w:rsidP="00DB47A3">
            <w:pPr>
              <w:rPr>
                <w:b/>
                <w:bCs/>
                <w:i/>
                <w:iCs/>
              </w:rPr>
            </w:pPr>
            <w:r w:rsidRPr="003E6A70">
              <w:rPr>
                <w:sz w:val="22"/>
                <w:szCs w:val="22"/>
              </w:rPr>
              <w:t>Adult’s MTC</w:t>
            </w:r>
          </w:p>
        </w:tc>
        <w:tc>
          <w:tcPr>
            <w:tcW w:w="1955" w:type="dxa"/>
          </w:tcPr>
          <w:p w14:paraId="6998471E" w14:textId="1FC06C3B" w:rsidR="00D45C1B" w:rsidRPr="003E6A70" w:rsidDel="002731C3" w:rsidRDefault="009B36B3" w:rsidP="00DB47A3">
            <w:pPr>
              <w:jc w:val="center"/>
              <w:rPr>
                <w:sz w:val="22"/>
                <w:szCs w:val="22"/>
              </w:rPr>
            </w:pPr>
            <w:r w:rsidRPr="003E6A70">
              <w:rPr>
                <w:color w:val="000000"/>
                <w:sz w:val="22"/>
                <w:szCs w:val="22"/>
                <w:shd w:val="clear" w:color="auto" w:fill="FFFFFF"/>
              </w:rPr>
              <w:t>0.24 (0.07 - 0.86)</w:t>
            </w:r>
          </w:p>
        </w:tc>
        <w:tc>
          <w:tcPr>
            <w:tcW w:w="1206" w:type="dxa"/>
          </w:tcPr>
          <w:p w14:paraId="11ED3593" w14:textId="6CC07211" w:rsidR="00D45C1B" w:rsidRPr="003E6A70" w:rsidDel="002731C3" w:rsidRDefault="009B36B3" w:rsidP="00DB47A3">
            <w:pPr>
              <w:jc w:val="center"/>
              <w:rPr>
                <w:sz w:val="22"/>
                <w:szCs w:val="22"/>
              </w:rPr>
            </w:pPr>
            <w:r w:rsidRPr="003E6A70">
              <w:rPr>
                <w:sz w:val="22"/>
                <w:szCs w:val="22"/>
              </w:rPr>
              <w:t>0.03</w:t>
            </w:r>
          </w:p>
        </w:tc>
        <w:tc>
          <w:tcPr>
            <w:tcW w:w="2126" w:type="dxa"/>
            <w:noWrap/>
          </w:tcPr>
          <w:p w14:paraId="542CFC8D" w14:textId="1F388C86" w:rsidR="00D45C1B" w:rsidRPr="003E6A70" w:rsidDel="00DC6997" w:rsidRDefault="009B36B3" w:rsidP="00DB47A3">
            <w:pPr>
              <w:jc w:val="center"/>
              <w:rPr>
                <w:sz w:val="22"/>
                <w:szCs w:val="22"/>
              </w:rPr>
            </w:pPr>
            <w:r w:rsidRPr="003E6A70">
              <w:rPr>
                <w:color w:val="000000"/>
                <w:sz w:val="22"/>
                <w:szCs w:val="22"/>
                <w:shd w:val="clear" w:color="auto" w:fill="FFFFFF"/>
              </w:rPr>
              <w:t>3.12 (0.21 - 47.5)</w:t>
            </w:r>
          </w:p>
        </w:tc>
        <w:tc>
          <w:tcPr>
            <w:tcW w:w="1276" w:type="dxa"/>
            <w:noWrap/>
          </w:tcPr>
          <w:p w14:paraId="5CE1973F" w14:textId="0D4A41AD" w:rsidR="00D45C1B" w:rsidRPr="003E6A70" w:rsidRDefault="009B36B3" w:rsidP="00DB47A3">
            <w:pPr>
              <w:jc w:val="center"/>
              <w:rPr>
                <w:sz w:val="22"/>
                <w:szCs w:val="22"/>
              </w:rPr>
            </w:pPr>
            <w:r w:rsidRPr="003E6A70">
              <w:rPr>
                <w:sz w:val="22"/>
                <w:szCs w:val="22"/>
              </w:rPr>
              <w:t>0.21</w:t>
            </w:r>
          </w:p>
        </w:tc>
      </w:tr>
      <w:tr w:rsidR="00D45C1B" w:rsidRPr="001C26A4" w14:paraId="7E58192E" w14:textId="77777777" w:rsidTr="00DB47A3">
        <w:trPr>
          <w:trHeight w:val="300"/>
        </w:trPr>
        <w:tc>
          <w:tcPr>
            <w:tcW w:w="2646" w:type="dxa"/>
          </w:tcPr>
          <w:p w14:paraId="63F7C0D1" w14:textId="77777777" w:rsidR="00D45C1B" w:rsidRPr="003E6A70" w:rsidRDefault="00D45C1B" w:rsidP="00DB47A3">
            <w:pPr>
              <w:rPr>
                <w:b/>
                <w:bCs/>
                <w:i/>
                <w:iCs/>
              </w:rPr>
            </w:pPr>
            <w:r w:rsidRPr="003E6A70">
              <w:rPr>
                <w:sz w:val="22"/>
                <w:szCs w:val="22"/>
              </w:rPr>
              <w:t>Mixed MTC</w:t>
            </w:r>
          </w:p>
        </w:tc>
        <w:tc>
          <w:tcPr>
            <w:tcW w:w="1955" w:type="dxa"/>
          </w:tcPr>
          <w:p w14:paraId="32AD0AB6" w14:textId="112C419B" w:rsidR="00D45C1B" w:rsidRPr="003E6A70" w:rsidDel="002731C3" w:rsidRDefault="009B36B3" w:rsidP="00DB47A3">
            <w:pPr>
              <w:jc w:val="center"/>
              <w:rPr>
                <w:sz w:val="22"/>
                <w:szCs w:val="22"/>
              </w:rPr>
            </w:pPr>
            <w:r w:rsidRPr="003E6A70">
              <w:rPr>
                <w:color w:val="000000"/>
                <w:sz w:val="22"/>
                <w:szCs w:val="22"/>
                <w:shd w:val="clear" w:color="auto" w:fill="FFFFFF"/>
              </w:rPr>
              <w:t>0.22 (0.06 - 0.79)</w:t>
            </w:r>
          </w:p>
        </w:tc>
        <w:tc>
          <w:tcPr>
            <w:tcW w:w="1206" w:type="dxa"/>
          </w:tcPr>
          <w:p w14:paraId="3380BA77" w14:textId="7A854BDF" w:rsidR="00D45C1B" w:rsidRPr="003E6A70" w:rsidDel="002731C3" w:rsidRDefault="009B36B3" w:rsidP="00DB47A3">
            <w:pPr>
              <w:jc w:val="center"/>
              <w:rPr>
                <w:sz w:val="22"/>
                <w:szCs w:val="22"/>
              </w:rPr>
            </w:pPr>
            <w:r w:rsidRPr="003E6A70">
              <w:rPr>
                <w:sz w:val="22"/>
                <w:szCs w:val="22"/>
              </w:rPr>
              <w:t>0.02</w:t>
            </w:r>
          </w:p>
        </w:tc>
        <w:tc>
          <w:tcPr>
            <w:tcW w:w="2126" w:type="dxa"/>
            <w:noWrap/>
          </w:tcPr>
          <w:p w14:paraId="6C7E329B" w14:textId="2812EC46" w:rsidR="00D45C1B" w:rsidRPr="003E6A70" w:rsidDel="00DC6997" w:rsidRDefault="009B36B3" w:rsidP="00DB47A3">
            <w:pPr>
              <w:jc w:val="center"/>
              <w:rPr>
                <w:sz w:val="22"/>
                <w:szCs w:val="22"/>
              </w:rPr>
            </w:pPr>
            <w:r w:rsidRPr="003E6A70">
              <w:rPr>
                <w:color w:val="000000"/>
                <w:sz w:val="22"/>
                <w:szCs w:val="22"/>
                <w:shd w:val="clear" w:color="auto" w:fill="FFFFFF"/>
              </w:rPr>
              <w:t>2.36 (0.16 - 35.8)</w:t>
            </w:r>
          </w:p>
        </w:tc>
        <w:tc>
          <w:tcPr>
            <w:tcW w:w="1276" w:type="dxa"/>
            <w:noWrap/>
          </w:tcPr>
          <w:p w14:paraId="40685A2C" w14:textId="6FE4E5AB" w:rsidR="00D45C1B" w:rsidRPr="003E6A70" w:rsidRDefault="009B36B3" w:rsidP="00DB47A3">
            <w:pPr>
              <w:jc w:val="center"/>
              <w:rPr>
                <w:sz w:val="22"/>
                <w:szCs w:val="22"/>
              </w:rPr>
            </w:pPr>
            <w:r w:rsidRPr="003E6A70">
              <w:rPr>
                <w:sz w:val="22"/>
                <w:szCs w:val="22"/>
              </w:rPr>
              <w:t>0.16</w:t>
            </w:r>
          </w:p>
        </w:tc>
      </w:tr>
    </w:tbl>
    <w:p w14:paraId="14CAF9B1" w14:textId="77777777" w:rsidR="00D45C1B" w:rsidRPr="001C26A4" w:rsidRDefault="00D45C1B" w:rsidP="00D45C1B">
      <w:pPr>
        <w:spacing w:after="240" w:line="360" w:lineRule="auto"/>
        <w:rPr>
          <w:sz w:val="22"/>
          <w:szCs w:val="22"/>
        </w:rPr>
      </w:pPr>
    </w:p>
    <w:p w14:paraId="49D9B811" w14:textId="77777777" w:rsidR="00D45C1B" w:rsidRPr="001C26A4" w:rsidRDefault="00D45C1B" w:rsidP="00D45C1B">
      <w:pPr>
        <w:spacing w:after="240" w:line="360" w:lineRule="auto"/>
        <w:rPr>
          <w:b/>
          <w:sz w:val="22"/>
          <w:szCs w:val="22"/>
        </w:rPr>
      </w:pPr>
    </w:p>
    <w:p w14:paraId="407749EE" w14:textId="77777777" w:rsidR="00D45C1B" w:rsidRPr="001C26A4" w:rsidRDefault="00D45C1B" w:rsidP="00D45C1B">
      <w:pPr>
        <w:spacing w:after="240" w:line="360" w:lineRule="auto"/>
      </w:pPr>
    </w:p>
    <w:p w14:paraId="3B5BFC90" w14:textId="77777777" w:rsidR="00D45C1B" w:rsidRPr="001C26A4" w:rsidRDefault="00D45C1B" w:rsidP="00D45C1B">
      <w:pPr>
        <w:spacing w:after="160" w:line="259" w:lineRule="auto"/>
        <w:rPr>
          <w:b/>
          <w:iCs/>
          <w:sz w:val="22"/>
          <w:szCs w:val="22"/>
        </w:rPr>
      </w:pPr>
      <w:r w:rsidRPr="001C26A4">
        <w:rPr>
          <w:b/>
          <w:iCs/>
          <w:sz w:val="22"/>
          <w:szCs w:val="22"/>
        </w:rPr>
        <w:br w:type="page"/>
      </w:r>
    </w:p>
    <w:p w14:paraId="01509F47" w14:textId="77777777" w:rsidR="00703152" w:rsidRDefault="00D45C1B" w:rsidP="00D45C1B">
      <w:pPr>
        <w:rPr>
          <w:color w:val="000000"/>
          <w:sz w:val="22"/>
          <w:szCs w:val="22"/>
        </w:rPr>
      </w:pPr>
      <w:r w:rsidRPr="001C26A4">
        <w:rPr>
          <w:b/>
          <w:iCs/>
          <w:sz w:val="22"/>
          <w:szCs w:val="22"/>
        </w:rPr>
        <w:lastRenderedPageBreak/>
        <w:t>Table 4:</w:t>
      </w:r>
      <w:r w:rsidRPr="001C26A4">
        <w:rPr>
          <w:iCs/>
          <w:sz w:val="22"/>
          <w:szCs w:val="22"/>
        </w:rPr>
        <w:t xml:space="preserve"> Odds of mortality for </w:t>
      </w:r>
      <w:r w:rsidRPr="001C26A4">
        <w:rPr>
          <w:sz w:val="22"/>
          <w:szCs w:val="22"/>
        </w:rPr>
        <w:t>adolescent trauma patients (aged 10 – 24</w:t>
      </w:r>
      <w:r>
        <w:rPr>
          <w:sz w:val="22"/>
          <w:szCs w:val="22"/>
        </w:rPr>
        <w:t xml:space="preserve">.99 </w:t>
      </w:r>
      <w:r w:rsidRPr="001C26A4">
        <w:rPr>
          <w:sz w:val="22"/>
          <w:szCs w:val="22"/>
        </w:rPr>
        <w:t>years)</w:t>
      </w:r>
      <w:r w:rsidRPr="001C26A4">
        <w:rPr>
          <w:iCs/>
          <w:sz w:val="22"/>
          <w:szCs w:val="22"/>
        </w:rPr>
        <w:t xml:space="preserve"> with an ISS &gt;15.  </w:t>
      </w:r>
      <w:r w:rsidRPr="001C26A4">
        <w:rPr>
          <w:sz w:val="22"/>
          <w:szCs w:val="22"/>
        </w:rPr>
        <w:t>Subgroup analysis of those aged 14 years – 17.99 years</w:t>
      </w:r>
      <w:r w:rsidRPr="001C26A4">
        <w:rPr>
          <w:color w:val="000000"/>
          <w:sz w:val="22"/>
          <w:szCs w:val="22"/>
        </w:rPr>
        <w:t xml:space="preserve"> also displayed.  </w:t>
      </w:r>
      <w:r w:rsidR="00703152">
        <w:rPr>
          <w:color w:val="000000"/>
          <w:sz w:val="22"/>
          <w:szCs w:val="22"/>
        </w:rPr>
        <w:t xml:space="preserve"> </w:t>
      </w:r>
    </w:p>
    <w:p w14:paraId="1AA661EC" w14:textId="2A5E5E33" w:rsidR="00D45C1B" w:rsidRPr="00703152" w:rsidRDefault="00D45C1B" w:rsidP="00D45C1B">
      <w:pPr>
        <w:rPr>
          <w:color w:val="000000"/>
          <w:sz w:val="22"/>
          <w:szCs w:val="22"/>
        </w:rPr>
      </w:pPr>
      <w:r w:rsidRPr="001C26A4">
        <w:rPr>
          <w:i/>
          <w:sz w:val="22"/>
          <w:szCs w:val="22"/>
        </w:rPr>
        <w:t xml:space="preserve">(crude and adjusted OR presented)  </w:t>
      </w:r>
    </w:p>
    <w:p w14:paraId="7C074FA1" w14:textId="77777777" w:rsidR="00D45C1B" w:rsidRPr="001C26A4" w:rsidRDefault="00D45C1B" w:rsidP="00D45C1B">
      <w:pPr>
        <w:spacing w:after="240"/>
        <w:rPr>
          <w:iCs/>
          <w:sz w:val="22"/>
          <w:szCs w:val="22"/>
        </w:rPr>
      </w:pPr>
    </w:p>
    <w:tbl>
      <w:tblPr>
        <w:tblStyle w:val="TableGrid"/>
        <w:tblpPr w:leftFromText="180" w:rightFromText="180" w:vertAnchor="text" w:horzAnchor="margin" w:tblpXSpec="center" w:tblpY="-179"/>
        <w:tblW w:w="9634" w:type="dxa"/>
        <w:tblLook w:val="04A0" w:firstRow="1" w:lastRow="0" w:firstColumn="1" w:lastColumn="0" w:noHBand="0" w:noVBand="1"/>
      </w:tblPr>
      <w:tblGrid>
        <w:gridCol w:w="1702"/>
        <w:gridCol w:w="2666"/>
        <w:gridCol w:w="1019"/>
        <w:gridCol w:w="2861"/>
        <w:gridCol w:w="1386"/>
      </w:tblGrid>
      <w:tr w:rsidR="00D45C1B" w:rsidRPr="001C26A4" w14:paraId="30B948B0" w14:textId="77777777" w:rsidTr="00DB47A3">
        <w:trPr>
          <w:trHeight w:val="266"/>
        </w:trPr>
        <w:tc>
          <w:tcPr>
            <w:tcW w:w="1702" w:type="dxa"/>
          </w:tcPr>
          <w:p w14:paraId="3F86DCD5" w14:textId="77777777" w:rsidR="00D45C1B" w:rsidRPr="0015792E" w:rsidRDefault="00D45C1B" w:rsidP="00DB47A3">
            <w:pPr>
              <w:tabs>
                <w:tab w:val="left" w:pos="2309"/>
              </w:tabs>
              <w:rPr>
                <w:sz w:val="22"/>
                <w:szCs w:val="22"/>
              </w:rPr>
            </w:pPr>
          </w:p>
        </w:tc>
        <w:tc>
          <w:tcPr>
            <w:tcW w:w="3685" w:type="dxa"/>
            <w:gridSpan w:val="2"/>
          </w:tcPr>
          <w:p w14:paraId="33D2AF45" w14:textId="77777777" w:rsidR="00D45C1B" w:rsidRPr="0015792E" w:rsidRDefault="00D45C1B" w:rsidP="00DB47A3">
            <w:pPr>
              <w:tabs>
                <w:tab w:val="left" w:pos="2309"/>
              </w:tabs>
              <w:rPr>
                <w:i/>
                <w:iCs/>
                <w:sz w:val="22"/>
                <w:szCs w:val="22"/>
              </w:rPr>
            </w:pPr>
            <w:r w:rsidRPr="0015792E">
              <w:rPr>
                <w:i/>
                <w:iCs/>
                <w:sz w:val="22"/>
                <w:szCs w:val="22"/>
              </w:rPr>
              <w:t>Crude</w:t>
            </w:r>
          </w:p>
        </w:tc>
        <w:tc>
          <w:tcPr>
            <w:tcW w:w="4247" w:type="dxa"/>
            <w:gridSpan w:val="2"/>
          </w:tcPr>
          <w:p w14:paraId="349AC661" w14:textId="77777777" w:rsidR="00D45C1B" w:rsidRPr="0015792E" w:rsidRDefault="00D45C1B" w:rsidP="00DB47A3">
            <w:pPr>
              <w:tabs>
                <w:tab w:val="left" w:pos="2309"/>
              </w:tabs>
              <w:rPr>
                <w:i/>
                <w:iCs/>
                <w:sz w:val="22"/>
                <w:szCs w:val="22"/>
              </w:rPr>
            </w:pPr>
            <w:r w:rsidRPr="0015792E">
              <w:rPr>
                <w:i/>
                <w:iCs/>
                <w:sz w:val="22"/>
                <w:szCs w:val="22"/>
              </w:rPr>
              <w:t>Adjusted</w:t>
            </w:r>
          </w:p>
        </w:tc>
      </w:tr>
      <w:tr w:rsidR="00D45C1B" w:rsidRPr="001C26A4" w14:paraId="704D58A8" w14:textId="77777777" w:rsidTr="00DB47A3">
        <w:trPr>
          <w:trHeight w:val="249"/>
        </w:trPr>
        <w:tc>
          <w:tcPr>
            <w:tcW w:w="1702" w:type="dxa"/>
          </w:tcPr>
          <w:p w14:paraId="4F264C6C" w14:textId="77777777" w:rsidR="00D45C1B" w:rsidRPr="0015792E" w:rsidRDefault="00D45C1B" w:rsidP="00DB47A3">
            <w:pPr>
              <w:tabs>
                <w:tab w:val="left" w:pos="2309"/>
              </w:tabs>
              <w:rPr>
                <w:sz w:val="22"/>
                <w:szCs w:val="22"/>
              </w:rPr>
            </w:pPr>
          </w:p>
          <w:p w14:paraId="0B4EA5D4" w14:textId="77777777" w:rsidR="00D45C1B" w:rsidRPr="0015792E" w:rsidRDefault="00D45C1B" w:rsidP="00DB47A3">
            <w:pPr>
              <w:tabs>
                <w:tab w:val="left" w:pos="2309"/>
              </w:tabs>
              <w:rPr>
                <w:sz w:val="22"/>
                <w:szCs w:val="22"/>
              </w:rPr>
            </w:pPr>
          </w:p>
        </w:tc>
        <w:tc>
          <w:tcPr>
            <w:tcW w:w="2666" w:type="dxa"/>
          </w:tcPr>
          <w:p w14:paraId="633C5A47" w14:textId="77777777" w:rsidR="00D45C1B" w:rsidRPr="0015792E" w:rsidRDefault="00D45C1B" w:rsidP="00DB47A3">
            <w:pPr>
              <w:tabs>
                <w:tab w:val="left" w:pos="2309"/>
              </w:tabs>
              <w:rPr>
                <w:b/>
                <w:bCs/>
                <w:sz w:val="22"/>
                <w:szCs w:val="22"/>
              </w:rPr>
            </w:pPr>
            <w:r w:rsidRPr="0015792E">
              <w:rPr>
                <w:b/>
                <w:bCs/>
                <w:sz w:val="22"/>
                <w:szCs w:val="22"/>
              </w:rPr>
              <w:t>Odds Ratio (95% CI)</w:t>
            </w:r>
          </w:p>
        </w:tc>
        <w:tc>
          <w:tcPr>
            <w:tcW w:w="1019" w:type="dxa"/>
          </w:tcPr>
          <w:p w14:paraId="1D6052B3" w14:textId="77777777" w:rsidR="00D45C1B" w:rsidRPr="0015792E" w:rsidRDefault="00D45C1B" w:rsidP="00DB47A3">
            <w:pPr>
              <w:tabs>
                <w:tab w:val="left" w:pos="2309"/>
              </w:tabs>
              <w:rPr>
                <w:b/>
                <w:bCs/>
                <w:sz w:val="22"/>
                <w:szCs w:val="22"/>
              </w:rPr>
            </w:pPr>
            <w:r w:rsidRPr="0015792E">
              <w:rPr>
                <w:b/>
                <w:bCs/>
                <w:sz w:val="22"/>
                <w:szCs w:val="22"/>
              </w:rPr>
              <w:t>p Value</w:t>
            </w:r>
          </w:p>
        </w:tc>
        <w:tc>
          <w:tcPr>
            <w:tcW w:w="2861" w:type="dxa"/>
          </w:tcPr>
          <w:p w14:paraId="13516F00" w14:textId="77777777" w:rsidR="00D45C1B" w:rsidRPr="0015792E" w:rsidRDefault="00D45C1B" w:rsidP="00DB47A3">
            <w:pPr>
              <w:tabs>
                <w:tab w:val="left" w:pos="2309"/>
              </w:tabs>
              <w:rPr>
                <w:b/>
                <w:bCs/>
                <w:sz w:val="22"/>
                <w:szCs w:val="22"/>
              </w:rPr>
            </w:pPr>
            <w:r w:rsidRPr="0015792E">
              <w:rPr>
                <w:b/>
                <w:bCs/>
                <w:sz w:val="22"/>
                <w:szCs w:val="22"/>
              </w:rPr>
              <w:t>Odds Ratio (95 % CI)</w:t>
            </w:r>
          </w:p>
        </w:tc>
        <w:tc>
          <w:tcPr>
            <w:tcW w:w="1386" w:type="dxa"/>
          </w:tcPr>
          <w:p w14:paraId="361C21E7" w14:textId="69F55F44" w:rsidR="00D45C1B" w:rsidRPr="0015792E" w:rsidRDefault="00D45C1B" w:rsidP="00DB47A3">
            <w:pPr>
              <w:tabs>
                <w:tab w:val="left" w:pos="2309"/>
              </w:tabs>
              <w:rPr>
                <w:b/>
                <w:bCs/>
                <w:sz w:val="22"/>
                <w:szCs w:val="22"/>
              </w:rPr>
            </w:pPr>
            <w:r w:rsidRPr="0015792E">
              <w:rPr>
                <w:b/>
                <w:bCs/>
                <w:sz w:val="22"/>
                <w:szCs w:val="22"/>
              </w:rPr>
              <w:t>p</w:t>
            </w:r>
            <w:r w:rsidR="00A54653">
              <w:rPr>
                <w:b/>
                <w:bCs/>
                <w:sz w:val="22"/>
                <w:szCs w:val="22"/>
              </w:rPr>
              <w:t>-v</w:t>
            </w:r>
            <w:r w:rsidRPr="0015792E">
              <w:rPr>
                <w:b/>
                <w:bCs/>
                <w:sz w:val="22"/>
                <w:szCs w:val="22"/>
              </w:rPr>
              <w:t>alue</w:t>
            </w:r>
          </w:p>
        </w:tc>
      </w:tr>
      <w:tr w:rsidR="00D45C1B" w:rsidRPr="001C26A4" w14:paraId="5B759D99" w14:textId="77777777" w:rsidTr="00DB47A3">
        <w:trPr>
          <w:trHeight w:val="249"/>
        </w:trPr>
        <w:tc>
          <w:tcPr>
            <w:tcW w:w="9634" w:type="dxa"/>
            <w:gridSpan w:val="5"/>
          </w:tcPr>
          <w:p w14:paraId="624F18A5" w14:textId="77777777" w:rsidR="00D45C1B" w:rsidRPr="0015792E" w:rsidRDefault="00D45C1B" w:rsidP="00DB47A3">
            <w:pPr>
              <w:rPr>
                <w:b/>
                <w:bCs/>
                <w:i/>
                <w:iCs/>
                <w:sz w:val="22"/>
                <w:szCs w:val="22"/>
              </w:rPr>
            </w:pPr>
          </w:p>
          <w:p w14:paraId="0F715646" w14:textId="77777777" w:rsidR="00D45C1B" w:rsidRPr="0015792E" w:rsidRDefault="00D45C1B" w:rsidP="00DB47A3">
            <w:pPr>
              <w:rPr>
                <w:b/>
                <w:bCs/>
                <w:i/>
                <w:iCs/>
                <w:sz w:val="22"/>
                <w:szCs w:val="22"/>
              </w:rPr>
            </w:pPr>
            <w:r w:rsidRPr="0015792E">
              <w:rPr>
                <w:b/>
                <w:bCs/>
                <w:i/>
                <w:iCs/>
                <w:sz w:val="22"/>
                <w:szCs w:val="22"/>
              </w:rPr>
              <w:t>Odds of mortality for those with an ISS &gt;15 (10 – 24.99 years)</w:t>
            </w:r>
          </w:p>
          <w:p w14:paraId="0A07773A" w14:textId="77777777" w:rsidR="00D45C1B" w:rsidRPr="0015792E" w:rsidRDefault="00D45C1B" w:rsidP="00DB47A3">
            <w:pPr>
              <w:rPr>
                <w:rFonts w:eastAsia="Arial"/>
                <w:b/>
                <w:bCs/>
                <w:sz w:val="22"/>
                <w:szCs w:val="22"/>
              </w:rPr>
            </w:pPr>
          </w:p>
        </w:tc>
      </w:tr>
      <w:tr w:rsidR="00D45C1B" w:rsidRPr="001C26A4" w14:paraId="1F91D8E7" w14:textId="77777777" w:rsidTr="00DB47A3">
        <w:trPr>
          <w:trHeight w:val="533"/>
        </w:trPr>
        <w:tc>
          <w:tcPr>
            <w:tcW w:w="1702" w:type="dxa"/>
          </w:tcPr>
          <w:p w14:paraId="4A2BD2E5" w14:textId="77777777" w:rsidR="00D45C1B" w:rsidRPr="0015792E" w:rsidRDefault="00D45C1B" w:rsidP="00DB47A3">
            <w:pPr>
              <w:tabs>
                <w:tab w:val="left" w:pos="2309"/>
              </w:tabs>
              <w:rPr>
                <w:b/>
                <w:bCs/>
                <w:sz w:val="22"/>
                <w:szCs w:val="22"/>
              </w:rPr>
            </w:pPr>
            <w:r w:rsidRPr="0015792E">
              <w:rPr>
                <w:b/>
                <w:bCs/>
                <w:sz w:val="22"/>
                <w:szCs w:val="22"/>
              </w:rPr>
              <w:t>Children’s MTC</w:t>
            </w:r>
          </w:p>
        </w:tc>
        <w:tc>
          <w:tcPr>
            <w:tcW w:w="2666" w:type="dxa"/>
          </w:tcPr>
          <w:p w14:paraId="0E466CA4" w14:textId="77777777" w:rsidR="00D45C1B" w:rsidRPr="0015792E" w:rsidRDefault="00D45C1B" w:rsidP="00DB47A3">
            <w:pPr>
              <w:tabs>
                <w:tab w:val="left" w:pos="2309"/>
              </w:tabs>
              <w:rPr>
                <w:sz w:val="22"/>
                <w:szCs w:val="22"/>
              </w:rPr>
            </w:pPr>
            <w:r w:rsidRPr="0015792E">
              <w:rPr>
                <w:sz w:val="22"/>
                <w:szCs w:val="22"/>
              </w:rPr>
              <w:t>1</w:t>
            </w:r>
          </w:p>
        </w:tc>
        <w:tc>
          <w:tcPr>
            <w:tcW w:w="1019" w:type="dxa"/>
          </w:tcPr>
          <w:p w14:paraId="3EC29410" w14:textId="77777777" w:rsidR="00D45C1B" w:rsidRPr="0015792E" w:rsidRDefault="00D45C1B" w:rsidP="00DB47A3">
            <w:pPr>
              <w:tabs>
                <w:tab w:val="left" w:pos="2309"/>
              </w:tabs>
              <w:rPr>
                <w:sz w:val="22"/>
                <w:szCs w:val="22"/>
              </w:rPr>
            </w:pPr>
          </w:p>
        </w:tc>
        <w:tc>
          <w:tcPr>
            <w:tcW w:w="2861" w:type="dxa"/>
          </w:tcPr>
          <w:p w14:paraId="49B70467" w14:textId="77777777" w:rsidR="00D45C1B" w:rsidRPr="0015792E" w:rsidRDefault="00D45C1B" w:rsidP="00DB47A3">
            <w:pPr>
              <w:tabs>
                <w:tab w:val="left" w:pos="2309"/>
              </w:tabs>
              <w:rPr>
                <w:sz w:val="22"/>
                <w:szCs w:val="22"/>
              </w:rPr>
            </w:pPr>
            <w:r w:rsidRPr="0015792E">
              <w:rPr>
                <w:sz w:val="22"/>
                <w:szCs w:val="22"/>
              </w:rPr>
              <w:t>1</w:t>
            </w:r>
          </w:p>
        </w:tc>
        <w:tc>
          <w:tcPr>
            <w:tcW w:w="1386" w:type="dxa"/>
          </w:tcPr>
          <w:p w14:paraId="0D30AE0D" w14:textId="77777777" w:rsidR="00D45C1B" w:rsidRPr="0015792E" w:rsidRDefault="00D45C1B" w:rsidP="00DB47A3">
            <w:pPr>
              <w:tabs>
                <w:tab w:val="left" w:pos="2309"/>
              </w:tabs>
              <w:rPr>
                <w:sz w:val="22"/>
                <w:szCs w:val="22"/>
              </w:rPr>
            </w:pPr>
          </w:p>
        </w:tc>
      </w:tr>
      <w:tr w:rsidR="00D45C1B" w:rsidRPr="001C26A4" w14:paraId="51A941F9" w14:textId="77777777" w:rsidTr="00DB47A3">
        <w:trPr>
          <w:trHeight w:val="533"/>
        </w:trPr>
        <w:tc>
          <w:tcPr>
            <w:tcW w:w="1702" w:type="dxa"/>
          </w:tcPr>
          <w:p w14:paraId="393AE7E4" w14:textId="77777777" w:rsidR="00D45C1B" w:rsidRPr="0015792E" w:rsidRDefault="00D45C1B" w:rsidP="00DB47A3">
            <w:pPr>
              <w:tabs>
                <w:tab w:val="left" w:pos="2309"/>
              </w:tabs>
              <w:rPr>
                <w:b/>
                <w:bCs/>
                <w:sz w:val="22"/>
                <w:szCs w:val="22"/>
              </w:rPr>
            </w:pPr>
            <w:r w:rsidRPr="0015792E">
              <w:rPr>
                <w:b/>
                <w:bCs/>
                <w:sz w:val="22"/>
                <w:szCs w:val="22"/>
              </w:rPr>
              <w:t>Mixed MTC</w:t>
            </w:r>
          </w:p>
        </w:tc>
        <w:tc>
          <w:tcPr>
            <w:tcW w:w="2666" w:type="dxa"/>
          </w:tcPr>
          <w:p w14:paraId="23DEE4BB" w14:textId="77777777" w:rsidR="00D45C1B" w:rsidRPr="0043576E" w:rsidRDefault="00D45C1B" w:rsidP="00DB47A3">
            <w:pPr>
              <w:tabs>
                <w:tab w:val="left" w:pos="2309"/>
              </w:tabs>
              <w:rPr>
                <w:sz w:val="22"/>
                <w:szCs w:val="22"/>
              </w:rPr>
            </w:pPr>
            <w:r w:rsidRPr="0043576E">
              <w:rPr>
                <w:sz w:val="22"/>
                <w:szCs w:val="22"/>
              </w:rPr>
              <w:t>1.51 (1.10 – 2.08)</w:t>
            </w:r>
          </w:p>
          <w:p w14:paraId="38F997AD" w14:textId="77777777" w:rsidR="00D45C1B" w:rsidRPr="0015792E" w:rsidRDefault="00D45C1B" w:rsidP="00DB47A3">
            <w:pPr>
              <w:tabs>
                <w:tab w:val="left" w:pos="2309"/>
              </w:tabs>
              <w:rPr>
                <w:sz w:val="22"/>
                <w:szCs w:val="22"/>
              </w:rPr>
            </w:pPr>
          </w:p>
        </w:tc>
        <w:tc>
          <w:tcPr>
            <w:tcW w:w="1019" w:type="dxa"/>
          </w:tcPr>
          <w:p w14:paraId="5A3C9519" w14:textId="77777777" w:rsidR="00D45C1B" w:rsidRPr="0043576E" w:rsidRDefault="00D45C1B" w:rsidP="00DB47A3">
            <w:pPr>
              <w:tabs>
                <w:tab w:val="left" w:pos="2309"/>
              </w:tabs>
              <w:rPr>
                <w:sz w:val="22"/>
                <w:szCs w:val="22"/>
              </w:rPr>
            </w:pPr>
            <w:r w:rsidRPr="0043576E">
              <w:rPr>
                <w:sz w:val="22"/>
                <w:szCs w:val="22"/>
              </w:rPr>
              <w:t>0.011</w:t>
            </w:r>
          </w:p>
        </w:tc>
        <w:tc>
          <w:tcPr>
            <w:tcW w:w="2861" w:type="dxa"/>
          </w:tcPr>
          <w:p w14:paraId="6130C456" w14:textId="77777777" w:rsidR="00D45C1B" w:rsidRPr="0015792E" w:rsidRDefault="00D45C1B" w:rsidP="00DB47A3">
            <w:pPr>
              <w:tabs>
                <w:tab w:val="left" w:pos="2309"/>
              </w:tabs>
              <w:rPr>
                <w:sz w:val="22"/>
                <w:szCs w:val="22"/>
              </w:rPr>
            </w:pPr>
            <w:r w:rsidRPr="0043576E">
              <w:rPr>
                <w:sz w:val="22"/>
                <w:szCs w:val="22"/>
              </w:rPr>
              <w:t>1.80 (1.04 – 3.09)</w:t>
            </w:r>
          </w:p>
        </w:tc>
        <w:tc>
          <w:tcPr>
            <w:tcW w:w="1386" w:type="dxa"/>
          </w:tcPr>
          <w:p w14:paraId="26E8F26F" w14:textId="77777777" w:rsidR="00D45C1B" w:rsidRPr="0043576E" w:rsidRDefault="00D45C1B" w:rsidP="00DB47A3">
            <w:pPr>
              <w:tabs>
                <w:tab w:val="left" w:pos="2309"/>
              </w:tabs>
              <w:rPr>
                <w:sz w:val="22"/>
                <w:szCs w:val="22"/>
              </w:rPr>
            </w:pPr>
            <w:r w:rsidRPr="0043576E">
              <w:rPr>
                <w:sz w:val="22"/>
                <w:szCs w:val="22"/>
              </w:rPr>
              <w:t>0.035</w:t>
            </w:r>
          </w:p>
        </w:tc>
      </w:tr>
      <w:tr w:rsidR="00D45C1B" w:rsidRPr="001C26A4" w14:paraId="1DC363F6" w14:textId="77777777" w:rsidTr="00DB47A3">
        <w:trPr>
          <w:trHeight w:val="516"/>
        </w:trPr>
        <w:tc>
          <w:tcPr>
            <w:tcW w:w="1702" w:type="dxa"/>
          </w:tcPr>
          <w:p w14:paraId="6554C964" w14:textId="77777777" w:rsidR="00D45C1B" w:rsidRPr="0015792E" w:rsidRDefault="00D45C1B" w:rsidP="00DB47A3">
            <w:pPr>
              <w:tabs>
                <w:tab w:val="left" w:pos="2309"/>
              </w:tabs>
              <w:rPr>
                <w:b/>
                <w:bCs/>
                <w:sz w:val="22"/>
                <w:szCs w:val="22"/>
              </w:rPr>
            </w:pPr>
            <w:r w:rsidRPr="0015792E">
              <w:rPr>
                <w:b/>
                <w:bCs/>
                <w:sz w:val="22"/>
                <w:szCs w:val="22"/>
              </w:rPr>
              <w:t>Adult MTC</w:t>
            </w:r>
          </w:p>
        </w:tc>
        <w:tc>
          <w:tcPr>
            <w:tcW w:w="2666" w:type="dxa"/>
          </w:tcPr>
          <w:p w14:paraId="00BEFCAA" w14:textId="77777777" w:rsidR="00D45C1B" w:rsidRPr="0043576E" w:rsidRDefault="00D45C1B" w:rsidP="00DB47A3">
            <w:pPr>
              <w:tabs>
                <w:tab w:val="left" w:pos="2309"/>
              </w:tabs>
              <w:rPr>
                <w:sz w:val="22"/>
                <w:szCs w:val="22"/>
              </w:rPr>
            </w:pPr>
            <w:r w:rsidRPr="0043576E">
              <w:rPr>
                <w:sz w:val="22"/>
                <w:szCs w:val="22"/>
              </w:rPr>
              <w:t>1.61 (1.17 – 2.23)</w:t>
            </w:r>
          </w:p>
        </w:tc>
        <w:tc>
          <w:tcPr>
            <w:tcW w:w="1019" w:type="dxa"/>
          </w:tcPr>
          <w:p w14:paraId="39EFB87C" w14:textId="77777777" w:rsidR="00D45C1B" w:rsidRPr="0043576E" w:rsidRDefault="00D45C1B" w:rsidP="00DB47A3">
            <w:pPr>
              <w:tabs>
                <w:tab w:val="left" w:pos="2309"/>
              </w:tabs>
              <w:rPr>
                <w:sz w:val="22"/>
                <w:szCs w:val="22"/>
              </w:rPr>
            </w:pPr>
            <w:r w:rsidRPr="0043576E">
              <w:rPr>
                <w:sz w:val="22"/>
                <w:szCs w:val="22"/>
              </w:rPr>
              <w:t>0.004</w:t>
            </w:r>
          </w:p>
        </w:tc>
        <w:tc>
          <w:tcPr>
            <w:tcW w:w="2861" w:type="dxa"/>
          </w:tcPr>
          <w:p w14:paraId="3C8545C4" w14:textId="77777777" w:rsidR="00D45C1B" w:rsidRPr="0015792E" w:rsidRDefault="00D45C1B" w:rsidP="00DB47A3">
            <w:pPr>
              <w:tabs>
                <w:tab w:val="left" w:pos="2309"/>
              </w:tabs>
              <w:rPr>
                <w:sz w:val="22"/>
                <w:szCs w:val="22"/>
              </w:rPr>
            </w:pPr>
            <w:r w:rsidRPr="0043576E">
              <w:rPr>
                <w:sz w:val="22"/>
                <w:szCs w:val="22"/>
              </w:rPr>
              <w:t>2.31 (1.33 – 4.00)</w:t>
            </w:r>
          </w:p>
        </w:tc>
        <w:tc>
          <w:tcPr>
            <w:tcW w:w="1386" w:type="dxa"/>
          </w:tcPr>
          <w:p w14:paraId="5FD2318A" w14:textId="77777777" w:rsidR="00D45C1B" w:rsidRPr="0043576E" w:rsidRDefault="00D45C1B" w:rsidP="00DB47A3">
            <w:pPr>
              <w:tabs>
                <w:tab w:val="left" w:pos="2309"/>
              </w:tabs>
              <w:rPr>
                <w:sz w:val="22"/>
                <w:szCs w:val="22"/>
              </w:rPr>
            </w:pPr>
            <w:r w:rsidRPr="0043576E">
              <w:rPr>
                <w:sz w:val="22"/>
                <w:szCs w:val="22"/>
              </w:rPr>
              <w:t>0.003</w:t>
            </w:r>
          </w:p>
        </w:tc>
      </w:tr>
      <w:tr w:rsidR="00D45C1B" w:rsidRPr="001C26A4" w14:paraId="2547FEA8" w14:textId="77777777" w:rsidTr="00DB47A3">
        <w:trPr>
          <w:trHeight w:val="516"/>
        </w:trPr>
        <w:tc>
          <w:tcPr>
            <w:tcW w:w="9634" w:type="dxa"/>
            <w:gridSpan w:val="5"/>
          </w:tcPr>
          <w:p w14:paraId="6BDE8C43" w14:textId="77777777" w:rsidR="00D45C1B" w:rsidRPr="00711EAA" w:rsidRDefault="00D45C1B" w:rsidP="00DB47A3">
            <w:pPr>
              <w:tabs>
                <w:tab w:val="left" w:pos="2309"/>
              </w:tabs>
              <w:rPr>
                <w:b/>
                <w:bCs/>
                <w:i/>
                <w:iCs/>
                <w:sz w:val="22"/>
                <w:szCs w:val="22"/>
              </w:rPr>
            </w:pPr>
          </w:p>
          <w:p w14:paraId="53B7D382" w14:textId="77777777" w:rsidR="00D45C1B" w:rsidRPr="00711EAA" w:rsidRDefault="00D45C1B" w:rsidP="00DB47A3">
            <w:pPr>
              <w:tabs>
                <w:tab w:val="left" w:pos="2309"/>
              </w:tabs>
              <w:rPr>
                <w:b/>
                <w:bCs/>
                <w:i/>
                <w:iCs/>
                <w:sz w:val="22"/>
                <w:szCs w:val="22"/>
              </w:rPr>
            </w:pPr>
            <w:r w:rsidRPr="00711EAA">
              <w:rPr>
                <w:b/>
                <w:bCs/>
                <w:i/>
                <w:iCs/>
                <w:sz w:val="22"/>
                <w:szCs w:val="22"/>
              </w:rPr>
              <w:t>Odds of mortality sub-analysis for ISS &gt;15 in age group 14 – 17.99 years</w:t>
            </w:r>
          </w:p>
          <w:p w14:paraId="4E3A1517" w14:textId="77777777" w:rsidR="00D45C1B" w:rsidRPr="00711EAA" w:rsidRDefault="00D45C1B" w:rsidP="00DB47A3">
            <w:pPr>
              <w:tabs>
                <w:tab w:val="left" w:pos="2309"/>
              </w:tabs>
              <w:rPr>
                <w:b/>
                <w:bCs/>
                <w:sz w:val="22"/>
                <w:szCs w:val="22"/>
              </w:rPr>
            </w:pPr>
          </w:p>
        </w:tc>
      </w:tr>
      <w:tr w:rsidR="00D45C1B" w:rsidRPr="001C26A4" w14:paraId="596EB631" w14:textId="77777777" w:rsidTr="00DB47A3">
        <w:trPr>
          <w:trHeight w:val="516"/>
        </w:trPr>
        <w:tc>
          <w:tcPr>
            <w:tcW w:w="1702" w:type="dxa"/>
          </w:tcPr>
          <w:p w14:paraId="56012AB4" w14:textId="77777777" w:rsidR="00D45C1B" w:rsidRPr="00711EAA" w:rsidRDefault="00D45C1B" w:rsidP="00DB47A3">
            <w:pPr>
              <w:tabs>
                <w:tab w:val="left" w:pos="2309"/>
              </w:tabs>
              <w:rPr>
                <w:b/>
                <w:bCs/>
                <w:sz w:val="22"/>
                <w:szCs w:val="22"/>
              </w:rPr>
            </w:pPr>
            <w:r w:rsidRPr="00711EAA">
              <w:rPr>
                <w:b/>
                <w:bCs/>
                <w:sz w:val="22"/>
                <w:szCs w:val="22"/>
              </w:rPr>
              <w:t>Children’s MTC</w:t>
            </w:r>
          </w:p>
        </w:tc>
        <w:tc>
          <w:tcPr>
            <w:tcW w:w="2666" w:type="dxa"/>
          </w:tcPr>
          <w:p w14:paraId="05D013A9" w14:textId="77777777" w:rsidR="00D45C1B" w:rsidRPr="00711EAA" w:rsidRDefault="00D45C1B" w:rsidP="00DB47A3">
            <w:pPr>
              <w:tabs>
                <w:tab w:val="left" w:pos="2309"/>
              </w:tabs>
              <w:rPr>
                <w:sz w:val="22"/>
                <w:szCs w:val="22"/>
              </w:rPr>
            </w:pPr>
            <w:r w:rsidRPr="00711EAA">
              <w:rPr>
                <w:sz w:val="22"/>
                <w:szCs w:val="22"/>
              </w:rPr>
              <w:t>1</w:t>
            </w:r>
          </w:p>
        </w:tc>
        <w:tc>
          <w:tcPr>
            <w:tcW w:w="1019" w:type="dxa"/>
          </w:tcPr>
          <w:p w14:paraId="1A8EECD3" w14:textId="77777777" w:rsidR="00D45C1B" w:rsidRPr="00711EAA" w:rsidRDefault="00D45C1B" w:rsidP="00DB47A3">
            <w:pPr>
              <w:tabs>
                <w:tab w:val="left" w:pos="2309"/>
              </w:tabs>
              <w:rPr>
                <w:sz w:val="22"/>
                <w:szCs w:val="22"/>
              </w:rPr>
            </w:pPr>
          </w:p>
        </w:tc>
        <w:tc>
          <w:tcPr>
            <w:tcW w:w="2861" w:type="dxa"/>
          </w:tcPr>
          <w:p w14:paraId="7820177E" w14:textId="77777777" w:rsidR="00D45C1B" w:rsidRPr="00711EAA" w:rsidRDefault="00D45C1B" w:rsidP="00DB47A3">
            <w:pPr>
              <w:tabs>
                <w:tab w:val="left" w:pos="2309"/>
              </w:tabs>
              <w:rPr>
                <w:sz w:val="22"/>
                <w:szCs w:val="22"/>
              </w:rPr>
            </w:pPr>
            <w:r w:rsidRPr="00711EAA">
              <w:rPr>
                <w:sz w:val="22"/>
                <w:szCs w:val="22"/>
              </w:rPr>
              <w:t>1</w:t>
            </w:r>
          </w:p>
        </w:tc>
        <w:tc>
          <w:tcPr>
            <w:tcW w:w="1386" w:type="dxa"/>
          </w:tcPr>
          <w:p w14:paraId="02322980" w14:textId="77777777" w:rsidR="00D45C1B" w:rsidRPr="00711EAA" w:rsidRDefault="00D45C1B" w:rsidP="00DB47A3">
            <w:pPr>
              <w:tabs>
                <w:tab w:val="left" w:pos="2309"/>
              </w:tabs>
              <w:rPr>
                <w:sz w:val="22"/>
                <w:szCs w:val="22"/>
              </w:rPr>
            </w:pPr>
          </w:p>
        </w:tc>
      </w:tr>
      <w:tr w:rsidR="00D45C1B" w:rsidRPr="001C26A4" w14:paraId="41F17A29" w14:textId="77777777" w:rsidTr="00DB47A3">
        <w:trPr>
          <w:trHeight w:val="516"/>
        </w:trPr>
        <w:tc>
          <w:tcPr>
            <w:tcW w:w="1702" w:type="dxa"/>
          </w:tcPr>
          <w:p w14:paraId="07505378" w14:textId="77777777" w:rsidR="00D45C1B" w:rsidRPr="00711EAA" w:rsidRDefault="00D45C1B" w:rsidP="00DB47A3">
            <w:pPr>
              <w:tabs>
                <w:tab w:val="left" w:pos="2309"/>
              </w:tabs>
              <w:rPr>
                <w:b/>
                <w:bCs/>
                <w:sz w:val="22"/>
                <w:szCs w:val="22"/>
              </w:rPr>
            </w:pPr>
            <w:r w:rsidRPr="00711EAA">
              <w:rPr>
                <w:b/>
                <w:bCs/>
                <w:sz w:val="22"/>
                <w:szCs w:val="22"/>
              </w:rPr>
              <w:t>Mixed MTC</w:t>
            </w:r>
          </w:p>
        </w:tc>
        <w:tc>
          <w:tcPr>
            <w:tcW w:w="2666" w:type="dxa"/>
          </w:tcPr>
          <w:p w14:paraId="2F9EC8A9" w14:textId="77777777" w:rsidR="00D45C1B" w:rsidRPr="00711EAA" w:rsidRDefault="00D45C1B" w:rsidP="00DB47A3">
            <w:pPr>
              <w:tabs>
                <w:tab w:val="left" w:pos="2309"/>
              </w:tabs>
              <w:rPr>
                <w:sz w:val="22"/>
                <w:szCs w:val="22"/>
              </w:rPr>
            </w:pPr>
            <w:r w:rsidRPr="00711EAA">
              <w:rPr>
                <w:sz w:val="22"/>
                <w:szCs w:val="22"/>
              </w:rPr>
              <w:t>1.56 (0.88 – 2.78)</w:t>
            </w:r>
          </w:p>
        </w:tc>
        <w:tc>
          <w:tcPr>
            <w:tcW w:w="1019" w:type="dxa"/>
          </w:tcPr>
          <w:p w14:paraId="7984B95B" w14:textId="77777777" w:rsidR="00D45C1B" w:rsidRPr="00711EAA" w:rsidRDefault="00D45C1B" w:rsidP="00DB47A3">
            <w:pPr>
              <w:tabs>
                <w:tab w:val="left" w:pos="2309"/>
              </w:tabs>
              <w:rPr>
                <w:sz w:val="22"/>
                <w:szCs w:val="22"/>
              </w:rPr>
            </w:pPr>
            <w:r w:rsidRPr="00711EAA">
              <w:rPr>
                <w:sz w:val="22"/>
                <w:szCs w:val="22"/>
              </w:rPr>
              <w:t>0.132</w:t>
            </w:r>
          </w:p>
        </w:tc>
        <w:tc>
          <w:tcPr>
            <w:tcW w:w="2861" w:type="dxa"/>
          </w:tcPr>
          <w:p w14:paraId="73C7E093" w14:textId="77777777" w:rsidR="00D45C1B" w:rsidRPr="00711EAA" w:rsidRDefault="00D45C1B" w:rsidP="00DB47A3">
            <w:pPr>
              <w:tabs>
                <w:tab w:val="left" w:pos="2309"/>
              </w:tabs>
              <w:rPr>
                <w:sz w:val="22"/>
                <w:szCs w:val="22"/>
              </w:rPr>
            </w:pPr>
            <w:r w:rsidRPr="00711EAA">
              <w:rPr>
                <w:sz w:val="22"/>
                <w:szCs w:val="22"/>
              </w:rPr>
              <w:t>2.01 (0.92 – 4.37)</w:t>
            </w:r>
          </w:p>
        </w:tc>
        <w:tc>
          <w:tcPr>
            <w:tcW w:w="1386" w:type="dxa"/>
          </w:tcPr>
          <w:p w14:paraId="55FF65CE" w14:textId="77777777" w:rsidR="00D45C1B" w:rsidRPr="00711EAA" w:rsidRDefault="00D45C1B" w:rsidP="00DB47A3">
            <w:pPr>
              <w:tabs>
                <w:tab w:val="left" w:pos="2309"/>
              </w:tabs>
              <w:rPr>
                <w:sz w:val="22"/>
                <w:szCs w:val="22"/>
              </w:rPr>
            </w:pPr>
            <w:r w:rsidRPr="00711EAA">
              <w:rPr>
                <w:sz w:val="22"/>
                <w:szCs w:val="22"/>
              </w:rPr>
              <w:t>0.08</w:t>
            </w:r>
          </w:p>
        </w:tc>
      </w:tr>
      <w:tr w:rsidR="00D45C1B" w:rsidRPr="001C26A4" w14:paraId="4AF90C1F" w14:textId="77777777" w:rsidTr="00DB47A3">
        <w:trPr>
          <w:trHeight w:val="516"/>
        </w:trPr>
        <w:tc>
          <w:tcPr>
            <w:tcW w:w="1702" w:type="dxa"/>
          </w:tcPr>
          <w:p w14:paraId="67E84711" w14:textId="77777777" w:rsidR="00D45C1B" w:rsidRPr="00711EAA" w:rsidRDefault="00D45C1B" w:rsidP="00DB47A3">
            <w:pPr>
              <w:tabs>
                <w:tab w:val="left" w:pos="2309"/>
              </w:tabs>
              <w:rPr>
                <w:b/>
                <w:bCs/>
                <w:sz w:val="22"/>
                <w:szCs w:val="22"/>
              </w:rPr>
            </w:pPr>
            <w:r w:rsidRPr="00711EAA">
              <w:rPr>
                <w:b/>
                <w:bCs/>
                <w:sz w:val="22"/>
                <w:szCs w:val="22"/>
              </w:rPr>
              <w:t>Adult MTC</w:t>
            </w:r>
          </w:p>
        </w:tc>
        <w:tc>
          <w:tcPr>
            <w:tcW w:w="2666" w:type="dxa"/>
          </w:tcPr>
          <w:p w14:paraId="54FB3EA7" w14:textId="77777777" w:rsidR="00D45C1B" w:rsidRPr="00711EAA" w:rsidRDefault="00D45C1B" w:rsidP="00DB47A3">
            <w:pPr>
              <w:tabs>
                <w:tab w:val="left" w:pos="2309"/>
              </w:tabs>
              <w:rPr>
                <w:sz w:val="22"/>
                <w:szCs w:val="22"/>
              </w:rPr>
            </w:pPr>
            <w:r w:rsidRPr="00711EAA">
              <w:rPr>
                <w:sz w:val="22"/>
                <w:szCs w:val="22"/>
              </w:rPr>
              <w:t>2.73 (1.23 – 6.07)</w:t>
            </w:r>
          </w:p>
        </w:tc>
        <w:tc>
          <w:tcPr>
            <w:tcW w:w="1019" w:type="dxa"/>
          </w:tcPr>
          <w:p w14:paraId="459F6096" w14:textId="77777777" w:rsidR="00D45C1B" w:rsidRPr="00711EAA" w:rsidRDefault="00D45C1B" w:rsidP="00DB47A3">
            <w:pPr>
              <w:tabs>
                <w:tab w:val="left" w:pos="2309"/>
              </w:tabs>
              <w:rPr>
                <w:sz w:val="22"/>
                <w:szCs w:val="22"/>
              </w:rPr>
            </w:pPr>
            <w:r w:rsidRPr="00711EAA">
              <w:rPr>
                <w:sz w:val="22"/>
                <w:szCs w:val="22"/>
              </w:rPr>
              <w:t>0.014</w:t>
            </w:r>
          </w:p>
        </w:tc>
        <w:tc>
          <w:tcPr>
            <w:tcW w:w="2861" w:type="dxa"/>
          </w:tcPr>
          <w:p w14:paraId="0E49451E" w14:textId="77777777" w:rsidR="00D45C1B" w:rsidRPr="00711EAA" w:rsidRDefault="00D45C1B" w:rsidP="00DB47A3">
            <w:pPr>
              <w:tabs>
                <w:tab w:val="left" w:pos="2309"/>
              </w:tabs>
              <w:rPr>
                <w:sz w:val="22"/>
                <w:szCs w:val="22"/>
              </w:rPr>
            </w:pPr>
            <w:r w:rsidRPr="00711EAA">
              <w:rPr>
                <w:sz w:val="22"/>
                <w:szCs w:val="22"/>
              </w:rPr>
              <w:t>2.99 (1.31 – 6.82)</w:t>
            </w:r>
          </w:p>
        </w:tc>
        <w:tc>
          <w:tcPr>
            <w:tcW w:w="1386" w:type="dxa"/>
          </w:tcPr>
          <w:p w14:paraId="2BED5595" w14:textId="77777777" w:rsidR="00D45C1B" w:rsidRPr="00711EAA" w:rsidRDefault="00D45C1B" w:rsidP="00DB47A3">
            <w:pPr>
              <w:tabs>
                <w:tab w:val="left" w:pos="2309"/>
              </w:tabs>
              <w:rPr>
                <w:sz w:val="22"/>
                <w:szCs w:val="22"/>
              </w:rPr>
            </w:pPr>
            <w:r w:rsidRPr="00711EAA">
              <w:rPr>
                <w:sz w:val="22"/>
                <w:szCs w:val="22"/>
              </w:rPr>
              <w:t>0.009</w:t>
            </w:r>
          </w:p>
        </w:tc>
      </w:tr>
    </w:tbl>
    <w:p w14:paraId="7CA1D5BA" w14:textId="5B7D5677" w:rsidR="00A74BF3" w:rsidRDefault="00A74BF3" w:rsidP="00D45C1B">
      <w:pPr>
        <w:spacing w:after="240" w:line="360" w:lineRule="auto"/>
      </w:pPr>
    </w:p>
    <w:p w14:paraId="726B0A4A" w14:textId="0F76AAC7" w:rsidR="00A74BF3" w:rsidRDefault="00A74BF3" w:rsidP="00D45C1B">
      <w:pPr>
        <w:spacing w:after="240" w:line="360" w:lineRule="auto"/>
      </w:pPr>
    </w:p>
    <w:p w14:paraId="56824B5D" w14:textId="5F921C07" w:rsidR="00A74BF3" w:rsidRDefault="00A74BF3" w:rsidP="00D45C1B">
      <w:pPr>
        <w:spacing w:after="240" w:line="360" w:lineRule="auto"/>
      </w:pPr>
    </w:p>
    <w:p w14:paraId="034A324E" w14:textId="5078942E" w:rsidR="00A74BF3" w:rsidRDefault="00A74BF3" w:rsidP="00D45C1B">
      <w:pPr>
        <w:spacing w:after="240" w:line="360" w:lineRule="auto"/>
      </w:pPr>
    </w:p>
    <w:p w14:paraId="3CD98B3F" w14:textId="00BFB4E6" w:rsidR="00A74BF3" w:rsidRDefault="00A74BF3" w:rsidP="00D45C1B">
      <w:pPr>
        <w:spacing w:after="240" w:line="360" w:lineRule="auto"/>
      </w:pPr>
    </w:p>
    <w:p w14:paraId="558B9A32" w14:textId="67A7444F" w:rsidR="00A74BF3" w:rsidRDefault="00A74BF3" w:rsidP="00D45C1B">
      <w:pPr>
        <w:spacing w:after="240" w:line="360" w:lineRule="auto"/>
      </w:pPr>
    </w:p>
    <w:p w14:paraId="6ABF0FF6" w14:textId="3ED447A7" w:rsidR="00A74BF3" w:rsidRDefault="00A74BF3" w:rsidP="00D45C1B">
      <w:pPr>
        <w:spacing w:after="240" w:line="360" w:lineRule="auto"/>
      </w:pPr>
    </w:p>
    <w:p w14:paraId="70CDB219" w14:textId="77777777" w:rsidR="00A74BF3" w:rsidRDefault="00A74BF3" w:rsidP="00D45C1B">
      <w:pPr>
        <w:spacing w:after="240" w:line="360" w:lineRule="auto"/>
      </w:pPr>
    </w:p>
    <w:p w14:paraId="47CB5312" w14:textId="5E3EBA32" w:rsidR="00A74BF3" w:rsidRDefault="00A74BF3" w:rsidP="00D45C1B">
      <w:pPr>
        <w:spacing w:after="240" w:line="360" w:lineRule="auto"/>
      </w:pPr>
    </w:p>
    <w:p w14:paraId="2779F625" w14:textId="0CE4A516" w:rsidR="00A74BF3" w:rsidRDefault="00A74BF3" w:rsidP="00D45C1B">
      <w:pPr>
        <w:spacing w:after="240" w:line="360" w:lineRule="auto"/>
      </w:pPr>
    </w:p>
    <w:p w14:paraId="518123E4" w14:textId="77777777" w:rsidR="009B36B3" w:rsidRDefault="009B36B3" w:rsidP="00D45C1B"/>
    <w:p w14:paraId="1E8A268F" w14:textId="77777777" w:rsidR="009B36B3" w:rsidRDefault="009B36B3" w:rsidP="009B36B3">
      <w:pPr>
        <w:rPr>
          <w:b/>
          <w:bCs/>
        </w:rPr>
      </w:pPr>
    </w:p>
    <w:p w14:paraId="29CF5725" w14:textId="01B47715" w:rsidR="00D45C1B" w:rsidRPr="003E6A70" w:rsidRDefault="00270BDF" w:rsidP="00D45C1B">
      <w:r w:rsidRPr="003E6A70">
        <w:rPr>
          <w:b/>
          <w:bCs/>
        </w:rPr>
        <w:lastRenderedPageBreak/>
        <w:t>Table 5.</w:t>
      </w:r>
      <w:r w:rsidRPr="003E6A70">
        <w:t xml:space="preserve"> Number of patients attending each MTC</w:t>
      </w:r>
      <w:r w:rsidR="009B36B3" w:rsidRPr="003E6A70">
        <w:t xml:space="preserve"> type for </w:t>
      </w:r>
      <w:r w:rsidRPr="003E6A70">
        <w:t>age ranges 10-15.99 and 16-24.99</w:t>
      </w:r>
      <w:r w:rsidR="009B36B3" w:rsidRPr="003E6A70">
        <w:t xml:space="preserve">. </w:t>
      </w:r>
      <w:r w:rsidR="009B36B3" w:rsidRPr="003E6A70">
        <w:rPr>
          <w:i/>
          <w:iCs/>
        </w:rPr>
        <w:t>n (%)</w:t>
      </w:r>
    </w:p>
    <w:p w14:paraId="124F0228" w14:textId="624AD511" w:rsidR="00D45C1B" w:rsidRPr="003E6A70" w:rsidRDefault="00D45C1B" w:rsidP="00D45C1B"/>
    <w:tbl>
      <w:tblPr>
        <w:tblW w:w="9351" w:type="dxa"/>
        <w:tblLook w:val="04A0" w:firstRow="1" w:lastRow="0" w:firstColumn="1" w:lastColumn="0" w:noHBand="0" w:noVBand="1"/>
      </w:tblPr>
      <w:tblGrid>
        <w:gridCol w:w="1696"/>
        <w:gridCol w:w="1843"/>
        <w:gridCol w:w="2126"/>
        <w:gridCol w:w="1843"/>
        <w:gridCol w:w="1843"/>
      </w:tblGrid>
      <w:tr w:rsidR="009B36B3" w:rsidRPr="003E6A70" w14:paraId="183D545E" w14:textId="77777777" w:rsidTr="00807E27">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5E13" w14:textId="77777777" w:rsidR="009B36B3" w:rsidRPr="003E6A70" w:rsidRDefault="009B36B3" w:rsidP="009B36B3">
            <w:pPr>
              <w:jc w:val="center"/>
              <w:rPr>
                <w:b/>
                <w:bCs/>
                <w:color w:val="000000"/>
                <w:sz w:val="22"/>
                <w:szCs w:val="22"/>
              </w:rPr>
            </w:pPr>
            <w:r w:rsidRPr="003E6A70">
              <w:rPr>
                <w:b/>
                <w:bCs/>
                <w:color w:val="000000"/>
                <w:sz w:val="22"/>
                <w:szCs w:val="22"/>
              </w:rPr>
              <w:t>Age group</w:t>
            </w:r>
          </w:p>
        </w:tc>
        <w:tc>
          <w:tcPr>
            <w:tcW w:w="1843" w:type="dxa"/>
            <w:tcBorders>
              <w:top w:val="single" w:sz="4" w:space="0" w:color="auto"/>
              <w:left w:val="single" w:sz="4" w:space="0" w:color="auto"/>
              <w:bottom w:val="single" w:sz="4" w:space="0" w:color="auto"/>
              <w:right w:val="single" w:sz="4" w:space="0" w:color="auto"/>
            </w:tcBorders>
            <w:vAlign w:val="bottom"/>
          </w:tcPr>
          <w:p w14:paraId="56952786" w14:textId="74CFD8CE" w:rsidR="009B36B3" w:rsidRPr="003E6A70" w:rsidRDefault="009B36B3" w:rsidP="009B36B3">
            <w:pPr>
              <w:jc w:val="center"/>
              <w:rPr>
                <w:b/>
                <w:bCs/>
                <w:color w:val="000000"/>
                <w:sz w:val="22"/>
                <w:szCs w:val="22"/>
              </w:rPr>
            </w:pPr>
            <w:r w:rsidRPr="003E6A70">
              <w:rPr>
                <w:b/>
                <w:bCs/>
                <w:color w:val="000000"/>
                <w:sz w:val="22"/>
                <w:szCs w:val="22"/>
              </w:rPr>
              <w:t>Children’s MTC</w:t>
            </w:r>
          </w:p>
        </w:tc>
        <w:tc>
          <w:tcPr>
            <w:tcW w:w="2126" w:type="dxa"/>
            <w:tcBorders>
              <w:top w:val="single" w:sz="4" w:space="0" w:color="auto"/>
              <w:left w:val="single" w:sz="4" w:space="0" w:color="auto"/>
              <w:bottom w:val="single" w:sz="4" w:space="0" w:color="auto"/>
              <w:right w:val="single" w:sz="4" w:space="0" w:color="auto"/>
            </w:tcBorders>
            <w:vAlign w:val="bottom"/>
          </w:tcPr>
          <w:p w14:paraId="574BEBBC" w14:textId="4ED4AC09" w:rsidR="009B36B3" w:rsidRPr="003E6A70" w:rsidRDefault="009B36B3" w:rsidP="009B36B3">
            <w:pPr>
              <w:jc w:val="center"/>
              <w:rPr>
                <w:b/>
                <w:bCs/>
                <w:color w:val="000000"/>
                <w:sz w:val="22"/>
                <w:szCs w:val="22"/>
              </w:rPr>
            </w:pPr>
            <w:r w:rsidRPr="003E6A70">
              <w:rPr>
                <w:b/>
                <w:bCs/>
                <w:color w:val="000000"/>
                <w:sz w:val="22"/>
                <w:szCs w:val="22"/>
              </w:rPr>
              <w:t>Mixed MTC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B2AE" w14:textId="2AD1575A" w:rsidR="009B36B3" w:rsidRPr="003E6A70" w:rsidRDefault="009B36B3" w:rsidP="009B36B3">
            <w:pPr>
              <w:jc w:val="center"/>
              <w:rPr>
                <w:b/>
                <w:bCs/>
                <w:color w:val="000000"/>
                <w:sz w:val="22"/>
                <w:szCs w:val="22"/>
              </w:rPr>
            </w:pPr>
            <w:r w:rsidRPr="003E6A70">
              <w:rPr>
                <w:b/>
                <w:bCs/>
                <w:color w:val="000000"/>
                <w:sz w:val="22"/>
                <w:szCs w:val="22"/>
              </w:rPr>
              <w:t>Adult MTC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C04E" w14:textId="77777777" w:rsidR="009B36B3" w:rsidRPr="003E6A70" w:rsidRDefault="009B36B3" w:rsidP="009B36B3">
            <w:pPr>
              <w:jc w:val="center"/>
              <w:rPr>
                <w:b/>
                <w:bCs/>
                <w:color w:val="000000"/>
                <w:sz w:val="22"/>
                <w:szCs w:val="22"/>
              </w:rPr>
            </w:pPr>
            <w:r w:rsidRPr="003E6A70">
              <w:rPr>
                <w:b/>
                <w:bCs/>
                <w:color w:val="000000"/>
                <w:sz w:val="22"/>
                <w:szCs w:val="22"/>
              </w:rPr>
              <w:t>Total</w:t>
            </w:r>
          </w:p>
        </w:tc>
      </w:tr>
      <w:tr w:rsidR="009B36B3" w:rsidRPr="003E6A70" w14:paraId="1E7AEBA6" w14:textId="77777777" w:rsidTr="00807E27">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A606F" w14:textId="77777777" w:rsidR="009B36B3" w:rsidRPr="003E6A70" w:rsidRDefault="009B36B3" w:rsidP="009B36B3">
            <w:pPr>
              <w:jc w:val="center"/>
              <w:rPr>
                <w:b/>
                <w:bCs/>
                <w:color w:val="000000"/>
                <w:sz w:val="22"/>
                <w:szCs w:val="22"/>
              </w:rPr>
            </w:pPr>
            <w:r w:rsidRPr="003E6A70">
              <w:rPr>
                <w:b/>
                <w:bCs/>
                <w:color w:val="000000"/>
                <w:sz w:val="22"/>
                <w:szCs w:val="22"/>
              </w:rPr>
              <w:t>10 - 15.99</w:t>
            </w:r>
          </w:p>
        </w:tc>
        <w:tc>
          <w:tcPr>
            <w:tcW w:w="1843" w:type="dxa"/>
            <w:tcBorders>
              <w:top w:val="single" w:sz="4" w:space="0" w:color="auto"/>
              <w:left w:val="single" w:sz="4" w:space="0" w:color="auto"/>
              <w:bottom w:val="single" w:sz="4" w:space="0" w:color="auto"/>
              <w:right w:val="single" w:sz="4" w:space="0" w:color="auto"/>
            </w:tcBorders>
            <w:vAlign w:val="bottom"/>
          </w:tcPr>
          <w:p w14:paraId="0AE8E9C0" w14:textId="2A7E86FA" w:rsidR="009B36B3" w:rsidRPr="003E6A70" w:rsidRDefault="009B36B3" w:rsidP="009B36B3">
            <w:pPr>
              <w:jc w:val="center"/>
              <w:rPr>
                <w:color w:val="000000"/>
                <w:sz w:val="22"/>
                <w:szCs w:val="22"/>
              </w:rPr>
            </w:pPr>
            <w:r w:rsidRPr="003E6A70">
              <w:rPr>
                <w:color w:val="000000"/>
                <w:sz w:val="22"/>
                <w:szCs w:val="22"/>
              </w:rPr>
              <w:t>1,760 (99.0%)</w:t>
            </w:r>
          </w:p>
        </w:tc>
        <w:tc>
          <w:tcPr>
            <w:tcW w:w="2126" w:type="dxa"/>
            <w:tcBorders>
              <w:top w:val="single" w:sz="4" w:space="0" w:color="auto"/>
              <w:left w:val="single" w:sz="4" w:space="0" w:color="auto"/>
              <w:bottom w:val="single" w:sz="4" w:space="0" w:color="auto"/>
              <w:right w:val="single" w:sz="4" w:space="0" w:color="auto"/>
            </w:tcBorders>
            <w:vAlign w:val="bottom"/>
          </w:tcPr>
          <w:p w14:paraId="7DF1AA9F" w14:textId="549FEF72" w:rsidR="009B36B3" w:rsidRPr="003E6A70" w:rsidRDefault="009B36B3" w:rsidP="009B36B3">
            <w:pPr>
              <w:jc w:val="center"/>
              <w:rPr>
                <w:color w:val="000000"/>
                <w:sz w:val="22"/>
                <w:szCs w:val="22"/>
              </w:rPr>
            </w:pPr>
            <w:r w:rsidRPr="003E6A70">
              <w:rPr>
                <w:color w:val="000000"/>
                <w:sz w:val="22"/>
                <w:szCs w:val="22"/>
              </w:rPr>
              <w:t>2,166 (19.1%)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4455" w14:textId="36F2A298" w:rsidR="009B36B3" w:rsidRPr="003E6A70" w:rsidRDefault="009B36B3" w:rsidP="009B36B3">
            <w:pPr>
              <w:jc w:val="center"/>
              <w:rPr>
                <w:color w:val="000000"/>
                <w:sz w:val="22"/>
                <w:szCs w:val="22"/>
              </w:rPr>
            </w:pPr>
            <w:r w:rsidRPr="003E6A70">
              <w:rPr>
                <w:color w:val="000000"/>
                <w:sz w:val="22"/>
                <w:szCs w:val="22"/>
              </w:rPr>
              <w:t>430 (5.4%)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37F1" w14:textId="6CECFAAA" w:rsidR="009B36B3" w:rsidRPr="003E6A70" w:rsidRDefault="009B36B3" w:rsidP="009B36B3">
            <w:pPr>
              <w:jc w:val="center"/>
              <w:rPr>
                <w:color w:val="000000"/>
                <w:sz w:val="22"/>
                <w:szCs w:val="22"/>
              </w:rPr>
            </w:pPr>
            <w:r w:rsidRPr="003E6A70">
              <w:rPr>
                <w:color w:val="000000"/>
                <w:sz w:val="22"/>
                <w:szCs w:val="22"/>
              </w:rPr>
              <w:t>4,356</w:t>
            </w:r>
            <w:r w:rsidR="00807E27" w:rsidRPr="003E6A70">
              <w:rPr>
                <w:color w:val="000000"/>
                <w:sz w:val="22"/>
                <w:szCs w:val="22"/>
              </w:rPr>
              <w:t xml:space="preserve"> (20.7%)</w:t>
            </w:r>
          </w:p>
        </w:tc>
      </w:tr>
      <w:tr w:rsidR="009B36B3" w:rsidRPr="003E6A70" w14:paraId="66BAB650" w14:textId="77777777" w:rsidTr="00807E27">
        <w:trPr>
          <w:trHeight w:val="1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03A3" w14:textId="77777777" w:rsidR="009B36B3" w:rsidRPr="003E6A70" w:rsidRDefault="009B36B3" w:rsidP="009B36B3">
            <w:pPr>
              <w:jc w:val="center"/>
              <w:rPr>
                <w:b/>
                <w:bCs/>
                <w:color w:val="000000"/>
                <w:sz w:val="22"/>
                <w:szCs w:val="22"/>
              </w:rPr>
            </w:pPr>
            <w:r w:rsidRPr="003E6A70">
              <w:rPr>
                <w:b/>
                <w:bCs/>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vAlign w:val="bottom"/>
          </w:tcPr>
          <w:p w14:paraId="7D0068BD" w14:textId="1627C9E4" w:rsidR="009B36B3" w:rsidRPr="003E6A70" w:rsidRDefault="009B36B3" w:rsidP="009B36B3">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129DB10C" w14:textId="7737C1FE" w:rsidR="009B36B3" w:rsidRPr="003E6A70" w:rsidRDefault="009B36B3" w:rsidP="009B36B3">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B773C" w14:textId="3CD012C2" w:rsidR="009B36B3" w:rsidRPr="003E6A70" w:rsidRDefault="009B36B3" w:rsidP="009B36B3">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AFE4" w14:textId="6175406D" w:rsidR="009B36B3" w:rsidRPr="003E6A70" w:rsidRDefault="009B36B3" w:rsidP="009B36B3">
            <w:pPr>
              <w:jc w:val="center"/>
              <w:rPr>
                <w:color w:val="000000"/>
                <w:sz w:val="22"/>
                <w:szCs w:val="22"/>
              </w:rPr>
            </w:pPr>
          </w:p>
        </w:tc>
      </w:tr>
      <w:tr w:rsidR="009B36B3" w:rsidRPr="003E6A70" w14:paraId="718B3101" w14:textId="77777777" w:rsidTr="00807E27">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F7E7" w14:textId="77777777" w:rsidR="009B36B3" w:rsidRPr="003E6A70" w:rsidRDefault="009B36B3" w:rsidP="009B36B3">
            <w:pPr>
              <w:jc w:val="center"/>
              <w:rPr>
                <w:b/>
                <w:bCs/>
                <w:color w:val="000000"/>
                <w:sz w:val="22"/>
                <w:szCs w:val="22"/>
              </w:rPr>
            </w:pPr>
            <w:r w:rsidRPr="003E6A70">
              <w:rPr>
                <w:b/>
                <w:bCs/>
                <w:color w:val="000000"/>
                <w:sz w:val="22"/>
                <w:szCs w:val="22"/>
              </w:rPr>
              <w:t>16 - 24.99</w:t>
            </w:r>
          </w:p>
        </w:tc>
        <w:tc>
          <w:tcPr>
            <w:tcW w:w="1843" w:type="dxa"/>
            <w:tcBorders>
              <w:top w:val="single" w:sz="4" w:space="0" w:color="auto"/>
              <w:left w:val="single" w:sz="4" w:space="0" w:color="auto"/>
              <w:bottom w:val="single" w:sz="4" w:space="0" w:color="auto"/>
              <w:right w:val="single" w:sz="4" w:space="0" w:color="auto"/>
            </w:tcBorders>
            <w:vAlign w:val="bottom"/>
          </w:tcPr>
          <w:p w14:paraId="256522CF" w14:textId="3A158A55" w:rsidR="009B36B3" w:rsidRPr="003E6A70" w:rsidRDefault="009B36B3" w:rsidP="009B36B3">
            <w:pPr>
              <w:jc w:val="center"/>
              <w:rPr>
                <w:color w:val="000000"/>
                <w:sz w:val="22"/>
                <w:szCs w:val="22"/>
              </w:rPr>
            </w:pPr>
            <w:r w:rsidRPr="003E6A70">
              <w:rPr>
                <w:color w:val="000000"/>
                <w:sz w:val="22"/>
                <w:szCs w:val="22"/>
              </w:rPr>
              <w:t>17 (1.0%)</w:t>
            </w:r>
          </w:p>
        </w:tc>
        <w:tc>
          <w:tcPr>
            <w:tcW w:w="2126" w:type="dxa"/>
            <w:tcBorders>
              <w:top w:val="single" w:sz="4" w:space="0" w:color="auto"/>
              <w:left w:val="single" w:sz="4" w:space="0" w:color="auto"/>
              <w:bottom w:val="single" w:sz="4" w:space="0" w:color="auto"/>
              <w:right w:val="single" w:sz="4" w:space="0" w:color="auto"/>
            </w:tcBorders>
            <w:vAlign w:val="bottom"/>
          </w:tcPr>
          <w:p w14:paraId="3290B3D5" w14:textId="5361E064" w:rsidR="009B36B3" w:rsidRPr="003E6A70" w:rsidRDefault="009B36B3" w:rsidP="009B36B3">
            <w:pPr>
              <w:jc w:val="center"/>
              <w:rPr>
                <w:color w:val="000000"/>
                <w:sz w:val="22"/>
                <w:szCs w:val="22"/>
              </w:rPr>
            </w:pPr>
            <w:r w:rsidRPr="003E6A70">
              <w:rPr>
                <w:color w:val="000000"/>
                <w:sz w:val="22"/>
                <w:szCs w:val="22"/>
              </w:rPr>
              <w:t>9,153 (80.9%)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30E6A" w14:textId="33988EB3" w:rsidR="009B36B3" w:rsidRPr="003E6A70" w:rsidRDefault="009B36B3" w:rsidP="009B36B3">
            <w:pPr>
              <w:jc w:val="center"/>
              <w:rPr>
                <w:color w:val="000000"/>
                <w:sz w:val="22"/>
                <w:szCs w:val="22"/>
              </w:rPr>
            </w:pPr>
            <w:r w:rsidRPr="003E6A70">
              <w:rPr>
                <w:color w:val="000000"/>
                <w:sz w:val="22"/>
                <w:szCs w:val="22"/>
              </w:rPr>
              <w:t>7,507 (94.6%)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B6EB" w14:textId="4C72F082" w:rsidR="009B36B3" w:rsidRPr="003E6A70" w:rsidRDefault="009B36B3" w:rsidP="009B36B3">
            <w:pPr>
              <w:jc w:val="center"/>
              <w:rPr>
                <w:color w:val="000000"/>
                <w:sz w:val="22"/>
                <w:szCs w:val="22"/>
              </w:rPr>
            </w:pPr>
            <w:r w:rsidRPr="003E6A70">
              <w:rPr>
                <w:color w:val="000000"/>
                <w:sz w:val="22"/>
                <w:szCs w:val="22"/>
              </w:rPr>
              <w:t>16,677 (79.3%)</w:t>
            </w:r>
          </w:p>
        </w:tc>
      </w:tr>
      <w:tr w:rsidR="009B36B3" w:rsidRPr="003E6A70" w14:paraId="7F0836F6" w14:textId="77777777" w:rsidTr="00807E27">
        <w:trPr>
          <w:trHeight w:val="9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F930" w14:textId="77777777" w:rsidR="009B36B3" w:rsidRPr="003E6A70" w:rsidRDefault="009B36B3" w:rsidP="009B36B3">
            <w:pPr>
              <w:jc w:val="center"/>
              <w:rPr>
                <w:color w:val="000000"/>
                <w:sz w:val="22"/>
                <w:szCs w:val="22"/>
              </w:rPr>
            </w:pPr>
            <w:r w:rsidRPr="003E6A70">
              <w:rPr>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vAlign w:val="bottom"/>
          </w:tcPr>
          <w:p w14:paraId="6088F297" w14:textId="7A5F6786" w:rsidR="009B36B3" w:rsidRPr="003E6A70" w:rsidRDefault="009B36B3" w:rsidP="009B36B3">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3321001D" w14:textId="582363D5" w:rsidR="009B36B3" w:rsidRPr="003E6A70" w:rsidRDefault="009B36B3" w:rsidP="009B36B3">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B69CC" w14:textId="710C3C5A" w:rsidR="009B36B3" w:rsidRPr="003E6A70" w:rsidRDefault="009B36B3" w:rsidP="009B36B3">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53828" w14:textId="0779914B" w:rsidR="009B36B3" w:rsidRPr="003E6A70" w:rsidRDefault="009B36B3" w:rsidP="009B36B3">
            <w:pPr>
              <w:jc w:val="center"/>
              <w:rPr>
                <w:color w:val="000000"/>
                <w:sz w:val="22"/>
                <w:szCs w:val="22"/>
              </w:rPr>
            </w:pPr>
          </w:p>
        </w:tc>
      </w:tr>
      <w:tr w:rsidR="009B36B3" w:rsidRPr="00270BDF" w14:paraId="5E3E67F2" w14:textId="77777777" w:rsidTr="00807E27">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172CD" w14:textId="77777777" w:rsidR="009B36B3" w:rsidRPr="003E6A70" w:rsidRDefault="009B36B3" w:rsidP="009B36B3">
            <w:pPr>
              <w:jc w:val="center"/>
              <w:rPr>
                <w:color w:val="000000"/>
                <w:sz w:val="22"/>
                <w:szCs w:val="22"/>
              </w:rPr>
            </w:pPr>
            <w:r w:rsidRPr="003E6A70">
              <w:rPr>
                <w:color w:val="000000"/>
                <w:sz w:val="22"/>
                <w:szCs w:val="22"/>
              </w:rPr>
              <w:t>Total</w:t>
            </w:r>
          </w:p>
        </w:tc>
        <w:tc>
          <w:tcPr>
            <w:tcW w:w="1843" w:type="dxa"/>
            <w:tcBorders>
              <w:top w:val="single" w:sz="4" w:space="0" w:color="auto"/>
              <w:left w:val="single" w:sz="4" w:space="0" w:color="auto"/>
              <w:bottom w:val="single" w:sz="4" w:space="0" w:color="auto"/>
              <w:right w:val="single" w:sz="4" w:space="0" w:color="auto"/>
            </w:tcBorders>
            <w:vAlign w:val="bottom"/>
          </w:tcPr>
          <w:p w14:paraId="30736589" w14:textId="2B79AD8A" w:rsidR="009B36B3" w:rsidRPr="003E6A70" w:rsidRDefault="009B36B3" w:rsidP="009B36B3">
            <w:pPr>
              <w:jc w:val="center"/>
              <w:rPr>
                <w:color w:val="000000"/>
                <w:sz w:val="22"/>
                <w:szCs w:val="22"/>
              </w:rPr>
            </w:pPr>
            <w:r w:rsidRPr="003E6A70">
              <w:rPr>
                <w:color w:val="000000"/>
                <w:sz w:val="22"/>
                <w:szCs w:val="22"/>
              </w:rPr>
              <w:t>1,777</w:t>
            </w:r>
          </w:p>
        </w:tc>
        <w:tc>
          <w:tcPr>
            <w:tcW w:w="2126" w:type="dxa"/>
            <w:tcBorders>
              <w:top w:val="single" w:sz="4" w:space="0" w:color="auto"/>
              <w:left w:val="single" w:sz="4" w:space="0" w:color="auto"/>
              <w:bottom w:val="single" w:sz="4" w:space="0" w:color="auto"/>
              <w:right w:val="single" w:sz="4" w:space="0" w:color="auto"/>
            </w:tcBorders>
            <w:vAlign w:val="bottom"/>
          </w:tcPr>
          <w:p w14:paraId="7DF4B276" w14:textId="11F2B62B" w:rsidR="009B36B3" w:rsidRPr="003E6A70" w:rsidRDefault="009B36B3" w:rsidP="009B36B3">
            <w:pPr>
              <w:jc w:val="center"/>
              <w:rPr>
                <w:color w:val="000000"/>
                <w:sz w:val="22"/>
                <w:szCs w:val="22"/>
              </w:rPr>
            </w:pPr>
            <w:r w:rsidRPr="003E6A70">
              <w:rPr>
                <w:color w:val="000000"/>
                <w:sz w:val="22"/>
                <w:szCs w:val="22"/>
              </w:rPr>
              <w:t>11,319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10FD" w14:textId="2FDD4FBE" w:rsidR="009B36B3" w:rsidRPr="003E6A70" w:rsidRDefault="009B36B3" w:rsidP="009B36B3">
            <w:pPr>
              <w:jc w:val="center"/>
              <w:rPr>
                <w:color w:val="000000"/>
                <w:sz w:val="22"/>
                <w:szCs w:val="22"/>
              </w:rPr>
            </w:pPr>
            <w:r w:rsidRPr="003E6A70">
              <w:rPr>
                <w:color w:val="000000"/>
                <w:sz w:val="22"/>
                <w:szCs w:val="22"/>
              </w:rPr>
              <w:t>7,937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16AE3" w14:textId="77777777" w:rsidR="009B36B3" w:rsidRPr="009B36B3" w:rsidRDefault="009B36B3" w:rsidP="009B36B3">
            <w:pPr>
              <w:jc w:val="center"/>
              <w:rPr>
                <w:color w:val="000000"/>
                <w:sz w:val="22"/>
                <w:szCs w:val="22"/>
              </w:rPr>
            </w:pPr>
            <w:r w:rsidRPr="003E6A70">
              <w:rPr>
                <w:color w:val="000000"/>
                <w:sz w:val="22"/>
                <w:szCs w:val="22"/>
              </w:rPr>
              <w:t>21,033</w:t>
            </w:r>
          </w:p>
        </w:tc>
      </w:tr>
    </w:tbl>
    <w:p w14:paraId="6BDCD4F3" w14:textId="77777777" w:rsidR="009B36B3" w:rsidRPr="001C26A4" w:rsidRDefault="009B36B3" w:rsidP="00D45C1B"/>
    <w:p w14:paraId="7C127897" w14:textId="77777777" w:rsidR="00D45C1B" w:rsidRPr="001C26A4" w:rsidRDefault="00D45C1B" w:rsidP="00D45C1B"/>
    <w:p w14:paraId="6BA944AB" w14:textId="77777777" w:rsidR="00D45C1B" w:rsidRPr="001C26A4" w:rsidRDefault="00D45C1B" w:rsidP="00D45C1B"/>
    <w:p w14:paraId="57BC5239" w14:textId="77777777" w:rsidR="00D45C1B" w:rsidRPr="001C26A4" w:rsidRDefault="00D45C1B" w:rsidP="00D45C1B"/>
    <w:p w14:paraId="6EAB4985" w14:textId="77777777" w:rsidR="00D45C1B" w:rsidRPr="001C26A4" w:rsidRDefault="00D45C1B" w:rsidP="00D45C1B"/>
    <w:p w14:paraId="3C3053F9" w14:textId="77777777" w:rsidR="00D45C1B" w:rsidRPr="004542B9" w:rsidRDefault="00D45C1B" w:rsidP="00D45C1B">
      <w:pPr>
        <w:spacing w:after="160" w:line="259" w:lineRule="auto"/>
        <w:rPr>
          <w:rFonts w:eastAsia="Arial"/>
          <w:b/>
          <w:bCs/>
        </w:rPr>
      </w:pPr>
    </w:p>
    <w:p w14:paraId="492E2869" w14:textId="77777777" w:rsidR="00D45C1B" w:rsidRDefault="00D45C1B" w:rsidP="008A4D99">
      <w:pPr>
        <w:spacing w:after="240" w:line="360" w:lineRule="auto"/>
        <w:rPr>
          <w:b/>
        </w:rPr>
      </w:pPr>
    </w:p>
    <w:p w14:paraId="4E0C6A1D" w14:textId="4D4FBBF1" w:rsidR="00D45C1B" w:rsidRDefault="00D45C1B" w:rsidP="008A4D99">
      <w:pPr>
        <w:spacing w:after="240" w:line="360" w:lineRule="auto"/>
        <w:rPr>
          <w:b/>
        </w:rPr>
      </w:pPr>
    </w:p>
    <w:p w14:paraId="06E9EB7D" w14:textId="44AE834D" w:rsidR="00D45C1B" w:rsidRDefault="00D45C1B" w:rsidP="008A4D99">
      <w:pPr>
        <w:spacing w:after="240" w:line="360" w:lineRule="auto"/>
        <w:rPr>
          <w:b/>
        </w:rPr>
      </w:pPr>
    </w:p>
    <w:p w14:paraId="75EFEC6C" w14:textId="104DE811" w:rsidR="00E0331E" w:rsidRDefault="00E0331E" w:rsidP="008A4D99">
      <w:pPr>
        <w:spacing w:after="240" w:line="360" w:lineRule="auto"/>
        <w:rPr>
          <w:b/>
        </w:rPr>
      </w:pPr>
    </w:p>
    <w:p w14:paraId="17CC9F55" w14:textId="20093A7A" w:rsidR="00E0331E" w:rsidRDefault="00E0331E" w:rsidP="008A4D99">
      <w:pPr>
        <w:spacing w:after="240" w:line="360" w:lineRule="auto"/>
        <w:rPr>
          <w:b/>
        </w:rPr>
      </w:pPr>
    </w:p>
    <w:p w14:paraId="1D150F72" w14:textId="4BFE59F0" w:rsidR="00E0331E" w:rsidRDefault="00E0331E" w:rsidP="008A4D99">
      <w:pPr>
        <w:spacing w:after="240" w:line="360" w:lineRule="auto"/>
        <w:rPr>
          <w:b/>
        </w:rPr>
      </w:pPr>
    </w:p>
    <w:p w14:paraId="77CD17A3" w14:textId="1210C50C" w:rsidR="00E0331E" w:rsidRDefault="00E0331E" w:rsidP="008A4D99">
      <w:pPr>
        <w:spacing w:after="240" w:line="360" w:lineRule="auto"/>
        <w:rPr>
          <w:b/>
        </w:rPr>
      </w:pPr>
    </w:p>
    <w:p w14:paraId="28642884" w14:textId="25730A8D" w:rsidR="00E0331E" w:rsidRDefault="00E0331E" w:rsidP="008A4D99">
      <w:pPr>
        <w:spacing w:after="240" w:line="360" w:lineRule="auto"/>
        <w:rPr>
          <w:b/>
        </w:rPr>
      </w:pPr>
    </w:p>
    <w:p w14:paraId="49687859" w14:textId="47DDBFDB" w:rsidR="00E0331E" w:rsidRDefault="00E0331E" w:rsidP="008A4D99">
      <w:pPr>
        <w:spacing w:after="240" w:line="360" w:lineRule="auto"/>
        <w:rPr>
          <w:b/>
        </w:rPr>
      </w:pPr>
    </w:p>
    <w:p w14:paraId="21160003" w14:textId="640B498E" w:rsidR="00E0331E" w:rsidRDefault="00E0331E" w:rsidP="008A4D99">
      <w:pPr>
        <w:spacing w:after="240" w:line="360" w:lineRule="auto"/>
        <w:rPr>
          <w:b/>
        </w:rPr>
      </w:pPr>
    </w:p>
    <w:p w14:paraId="2011BDF4" w14:textId="63B10CA9" w:rsidR="00E0331E" w:rsidRDefault="00E0331E" w:rsidP="008A4D99">
      <w:pPr>
        <w:spacing w:after="240" w:line="360" w:lineRule="auto"/>
        <w:rPr>
          <w:b/>
        </w:rPr>
      </w:pPr>
    </w:p>
    <w:p w14:paraId="1A3F9320" w14:textId="77777777" w:rsidR="00E0331E" w:rsidRDefault="00E0331E" w:rsidP="008A4D99">
      <w:pPr>
        <w:spacing w:after="240" w:line="360" w:lineRule="auto"/>
        <w:rPr>
          <w:b/>
        </w:rPr>
      </w:pPr>
    </w:p>
    <w:p w14:paraId="15E265F5" w14:textId="296E2958" w:rsidR="00D45C1B" w:rsidRDefault="00D45C1B" w:rsidP="008A4D99">
      <w:pPr>
        <w:spacing w:after="240" w:line="360" w:lineRule="auto"/>
        <w:rPr>
          <w:b/>
        </w:rPr>
      </w:pPr>
    </w:p>
    <w:p w14:paraId="25C92A1F" w14:textId="77777777" w:rsidR="00DD0450" w:rsidRDefault="00DD0450" w:rsidP="0048384B">
      <w:pPr>
        <w:rPr>
          <w:b/>
        </w:rPr>
      </w:pPr>
    </w:p>
    <w:p w14:paraId="09ECE5A7" w14:textId="4F8E886F" w:rsidR="00DD0450" w:rsidRDefault="00DD0450" w:rsidP="0048384B">
      <w:pPr>
        <w:rPr>
          <w:b/>
        </w:rPr>
      </w:pPr>
    </w:p>
    <w:p w14:paraId="2A14DFE5" w14:textId="77777777" w:rsidR="007113F2" w:rsidRDefault="007113F2" w:rsidP="0048384B">
      <w:pPr>
        <w:rPr>
          <w:b/>
        </w:rPr>
      </w:pPr>
    </w:p>
    <w:p w14:paraId="5B09ABF7" w14:textId="3161A468" w:rsidR="0048384B" w:rsidRPr="001C26A4" w:rsidRDefault="008A4D99" w:rsidP="0048384B">
      <w:pPr>
        <w:rPr>
          <w:rFonts w:eastAsia="Arial"/>
          <w:b/>
          <w:bCs/>
        </w:rPr>
      </w:pPr>
      <w:r w:rsidRPr="001C26A4">
        <w:rPr>
          <w:rFonts w:eastAsia="Arial"/>
          <w:b/>
          <w:bCs/>
        </w:rPr>
        <w:lastRenderedPageBreak/>
        <w:t>REFERENCES</w:t>
      </w:r>
    </w:p>
    <w:p w14:paraId="150128EE" w14:textId="77777777" w:rsidR="0048384B" w:rsidRPr="001C26A4" w:rsidRDefault="0048384B" w:rsidP="0048384B">
      <w:pPr>
        <w:rPr>
          <w:rFonts w:eastAsia="Arial"/>
          <w:b/>
          <w:bCs/>
        </w:rPr>
      </w:pPr>
    </w:p>
    <w:p w14:paraId="651619D5" w14:textId="6A74F01E" w:rsidR="00D85A0E" w:rsidRPr="00D85A0E" w:rsidRDefault="0048384B" w:rsidP="00D85A0E">
      <w:pPr>
        <w:pStyle w:val="ListParagraph"/>
        <w:numPr>
          <w:ilvl w:val="0"/>
          <w:numId w:val="19"/>
        </w:numPr>
        <w:spacing w:line="360" w:lineRule="auto"/>
        <w:rPr>
          <w:rStyle w:val="Hyperlink"/>
          <w:rFonts w:ascii="Times New Roman" w:hAnsi="Times New Roman" w:cs="Times New Roman"/>
          <w:color w:val="auto"/>
          <w:sz w:val="20"/>
          <w:szCs w:val="20"/>
          <w:u w:val="none"/>
        </w:rPr>
      </w:pPr>
      <w:r w:rsidRPr="00D85A0E">
        <w:rPr>
          <w:rFonts w:ascii="Times New Roman" w:hAnsi="Times New Roman" w:cs="Times New Roman"/>
          <w:sz w:val="20"/>
          <w:szCs w:val="20"/>
        </w:rPr>
        <w:t>Trauma Care UK - Home [Internet]. [cited 2020 Jan 27]. Available from www.traumacare.org.uk</w:t>
      </w:r>
    </w:p>
    <w:p w14:paraId="76B898C1" w14:textId="77777777" w:rsidR="00D85A0E" w:rsidRPr="00D85A0E" w:rsidRDefault="00D85A0E" w:rsidP="00D85A0E">
      <w:pPr>
        <w:pStyle w:val="ListParagraph"/>
        <w:spacing w:line="360" w:lineRule="auto"/>
        <w:rPr>
          <w:rStyle w:val="Hyperlink"/>
          <w:rFonts w:ascii="Times New Roman" w:hAnsi="Times New Roman" w:cs="Times New Roman"/>
          <w:color w:val="auto"/>
          <w:sz w:val="20"/>
          <w:szCs w:val="20"/>
          <w:u w:val="none"/>
        </w:rPr>
      </w:pPr>
    </w:p>
    <w:p w14:paraId="7BA0026B" w14:textId="77777777" w:rsidR="00D85A0E" w:rsidRPr="00D85A0E" w:rsidRDefault="0048384B" w:rsidP="00D85A0E">
      <w:pPr>
        <w:pStyle w:val="ListParagraph"/>
        <w:numPr>
          <w:ilvl w:val="0"/>
          <w:numId w:val="19"/>
        </w:numPr>
        <w:spacing w:line="360" w:lineRule="auto"/>
        <w:rPr>
          <w:rStyle w:val="Hyperlink"/>
          <w:rFonts w:ascii="Times New Roman" w:hAnsi="Times New Roman" w:cs="Times New Roman"/>
          <w:color w:val="auto"/>
          <w:sz w:val="20"/>
          <w:szCs w:val="20"/>
          <w:u w:val="none"/>
        </w:rPr>
      </w:pPr>
      <w:r w:rsidRPr="00D85A0E">
        <w:rPr>
          <w:rFonts w:ascii="Times New Roman" w:hAnsi="Times New Roman" w:cs="Times New Roman"/>
          <w:sz w:val="20"/>
          <w:szCs w:val="20"/>
        </w:rPr>
        <w:t xml:space="preserve">World Health Organization. Violence and Injury Prevention. [cited 2020 June 20] </w:t>
      </w:r>
      <w:hyperlink r:id="rId6" w:history="1">
        <w:r w:rsidRPr="00D85A0E">
          <w:rPr>
            <w:rStyle w:val="Hyperlink"/>
            <w:rFonts w:ascii="Times New Roman" w:hAnsi="Times New Roman" w:cs="Times New Roman"/>
            <w:color w:val="auto"/>
            <w:sz w:val="20"/>
            <w:szCs w:val="20"/>
            <w:u w:val="none"/>
          </w:rPr>
          <w:t>https://www.who.int/violence_injury_prevention/key_facts/en</w:t>
        </w:r>
      </w:hyperlink>
      <w:r w:rsidRPr="00D85A0E">
        <w:rPr>
          <w:rStyle w:val="Hyperlink"/>
          <w:rFonts w:ascii="Times New Roman" w:hAnsi="Times New Roman" w:cs="Times New Roman"/>
          <w:color w:val="auto"/>
          <w:sz w:val="20"/>
          <w:szCs w:val="20"/>
        </w:rPr>
        <w:t xml:space="preserve"> </w:t>
      </w:r>
    </w:p>
    <w:p w14:paraId="4489CF36" w14:textId="77777777" w:rsidR="00D85A0E" w:rsidRPr="00D85A0E" w:rsidRDefault="00D85A0E" w:rsidP="00D85A0E">
      <w:pPr>
        <w:pStyle w:val="ListParagraph"/>
        <w:rPr>
          <w:rFonts w:ascii="Times New Roman" w:hAnsi="Times New Roman" w:cs="Times New Roman"/>
          <w:sz w:val="20"/>
          <w:szCs w:val="20"/>
        </w:rPr>
      </w:pPr>
    </w:p>
    <w:p w14:paraId="68BB8C18" w14:textId="2A398495" w:rsidR="0048384B" w:rsidRPr="00D85A0E" w:rsidRDefault="0048384B" w:rsidP="00D85A0E">
      <w:pPr>
        <w:pStyle w:val="ListParagraph"/>
        <w:numPr>
          <w:ilvl w:val="0"/>
          <w:numId w:val="19"/>
        </w:numPr>
        <w:spacing w:line="360" w:lineRule="auto"/>
        <w:rPr>
          <w:rFonts w:ascii="Times New Roman" w:hAnsi="Times New Roman" w:cs="Times New Roman"/>
          <w:sz w:val="20"/>
          <w:szCs w:val="20"/>
        </w:rPr>
      </w:pPr>
      <w:r w:rsidRPr="00D85A0E">
        <w:rPr>
          <w:rFonts w:ascii="Times New Roman" w:hAnsi="Times New Roman" w:cs="Times New Roman"/>
          <w:sz w:val="20"/>
          <w:szCs w:val="20"/>
        </w:rPr>
        <w:t>Roberts Z, Collins J-A, James D, et al. Epidemiology of adolescent trauma in England: a review of TARN data 2008–2017. Emerg Med J. 2020 Jan 1;37(1):25–30.</w:t>
      </w:r>
    </w:p>
    <w:p w14:paraId="7DFA766B"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 xml:space="preserve">World Health Organization; Recognizing Adolescence 2014; http://apps.who.int/adolescent/second-decade/section2/page1/recognizing-adolescence.html </w:t>
      </w:r>
    </w:p>
    <w:p w14:paraId="0C9DD0D3"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UNICEF: https://unicef.org/adolescence/</w:t>
      </w:r>
    </w:p>
    <w:p w14:paraId="1D60DC23" w14:textId="7669FC1D"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 xml:space="preserve">Sawyer SM, Azzopardi P, Patton G et al; The age of adolescence. The Lancet – Child and Adolescent Health; Published January 17, 2018, doi: </w:t>
      </w:r>
      <w:r w:rsidRPr="00D85A0E">
        <w:rPr>
          <w:rStyle w:val="Hyperlink0"/>
          <w:color w:val="auto"/>
          <w:sz w:val="20"/>
          <w:szCs w:val="20"/>
          <w:u w:val="none"/>
        </w:rPr>
        <w:t>https://doi.org/10.1016/S2352-4642(18)30022-1</w:t>
      </w:r>
    </w:p>
    <w:p w14:paraId="27E9E802"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Silver, K. Adolescence now lasts from 10 to 24. BBC Website. Viewed 27.5.19. (</w:t>
      </w:r>
      <w:hyperlink r:id="rId7" w:history="1">
        <w:r w:rsidRPr="00D85A0E">
          <w:rPr>
            <w:rStyle w:val="Hyperlink"/>
            <w:rFonts w:eastAsia="Arial Unicode MS"/>
            <w:color w:val="auto"/>
            <w:sz w:val="20"/>
            <w:szCs w:val="20"/>
            <w:u w:val="none"/>
          </w:rPr>
          <w:t>https://www.bbc.co.uk/news/health-42732442</w:t>
        </w:r>
      </w:hyperlink>
      <w:r w:rsidRPr="00D85A0E">
        <w:rPr>
          <w:color w:val="auto"/>
          <w:sz w:val="20"/>
          <w:szCs w:val="20"/>
        </w:rPr>
        <w:t>)</w:t>
      </w:r>
    </w:p>
    <w:p w14:paraId="53765E88"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Centre for Disease Control and Prevention. Preventing youth violence.  Viewed 27.5.19. (https://www.cdc.gov/violenceprevention/youthviolence/fastfact.html)</w:t>
      </w:r>
    </w:p>
    <w:p w14:paraId="7F155E05"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 xml:space="preserve">Royal College of Radiology. Accessed 04/03/2020. </w:t>
      </w:r>
      <w:hyperlink r:id="rId8" w:history="1">
        <w:r w:rsidRPr="00D85A0E">
          <w:rPr>
            <w:rStyle w:val="Hyperlink"/>
            <w:color w:val="auto"/>
            <w:sz w:val="20"/>
            <w:szCs w:val="20"/>
            <w:u w:val="none"/>
          </w:rPr>
          <w:t>https://www.rcr.ac.uk/publication/paediatric-trauma-protocols</w:t>
        </w:r>
      </w:hyperlink>
    </w:p>
    <w:p w14:paraId="71C4E51E" w14:textId="77777777" w:rsidR="0048384B" w:rsidRPr="00D85A0E" w:rsidRDefault="0048384B" w:rsidP="0048384B">
      <w:pPr>
        <w:pStyle w:val="BodyBA"/>
        <w:numPr>
          <w:ilvl w:val="0"/>
          <w:numId w:val="19"/>
        </w:numPr>
        <w:spacing w:after="200" w:line="360" w:lineRule="auto"/>
        <w:rPr>
          <w:color w:val="auto"/>
          <w:sz w:val="20"/>
          <w:szCs w:val="20"/>
        </w:rPr>
      </w:pPr>
      <w:r w:rsidRPr="00D85A0E">
        <w:rPr>
          <w:color w:val="auto"/>
          <w:sz w:val="20"/>
          <w:szCs w:val="20"/>
        </w:rPr>
        <w:t>Matsushima, K et al. Variation in the management of adolescent patients with blunt abdominal solid organ injury between adult vs paediatric trauma centres: an analysis of a statewide trauma database. Journal of surgical research, 2013-)8-01, vol 183, issue 2, pg 808-813</w:t>
      </w:r>
    </w:p>
    <w:p w14:paraId="2996A11E" w14:textId="77777777" w:rsidR="0048384B" w:rsidRPr="00D85A0E" w:rsidRDefault="0048384B" w:rsidP="0048384B">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 xml:space="preserve">Webman RB, Carter EA, Mittal S, et al. Association Between Trauma Center Type and Mortality Among Injured Adolescent Patients. JAMA Pediatr. 2016 Aug 1;170(8):780–6 </w:t>
      </w:r>
    </w:p>
    <w:p w14:paraId="12AFC10F" w14:textId="77777777" w:rsidR="0048384B" w:rsidRPr="00D85A0E" w:rsidRDefault="0048384B" w:rsidP="0048384B">
      <w:pPr>
        <w:pStyle w:val="ListParagraph"/>
        <w:widowControl w:val="0"/>
        <w:tabs>
          <w:tab w:val="left" w:pos="384"/>
        </w:tabs>
        <w:autoSpaceDE w:val="0"/>
        <w:autoSpaceDN w:val="0"/>
        <w:adjustRightInd w:val="0"/>
        <w:spacing w:after="240" w:line="360" w:lineRule="auto"/>
        <w:ind w:left="360"/>
        <w:rPr>
          <w:rFonts w:ascii="Times New Roman" w:hAnsi="Times New Roman" w:cs="Times New Roman"/>
          <w:sz w:val="20"/>
          <w:szCs w:val="20"/>
        </w:rPr>
      </w:pPr>
    </w:p>
    <w:p w14:paraId="7B8E2906" w14:textId="77777777" w:rsidR="0048384B" w:rsidRPr="00D85A0E" w:rsidRDefault="0048384B" w:rsidP="0048384B">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 xml:space="preserve">Miyata S, Cho J, Lebedevskiy O, et al. Trauma experts versus pediatric experts: comparison of outcomes in pediatric penetrating injuries. Journal of Surgical Research. 2017 Feb 1;208:173–9. </w:t>
      </w:r>
    </w:p>
    <w:p w14:paraId="17C8BD73" w14:textId="77777777" w:rsidR="0048384B" w:rsidRPr="00D85A0E" w:rsidRDefault="0048384B" w:rsidP="0048384B">
      <w:pPr>
        <w:pStyle w:val="ListParagraph"/>
        <w:widowControl w:val="0"/>
        <w:tabs>
          <w:tab w:val="left" w:pos="384"/>
        </w:tabs>
        <w:autoSpaceDE w:val="0"/>
        <w:autoSpaceDN w:val="0"/>
        <w:adjustRightInd w:val="0"/>
        <w:spacing w:after="240" w:line="360" w:lineRule="auto"/>
        <w:ind w:left="360"/>
        <w:rPr>
          <w:rFonts w:ascii="Times New Roman" w:hAnsi="Times New Roman" w:cs="Times New Roman"/>
          <w:sz w:val="20"/>
          <w:szCs w:val="20"/>
        </w:rPr>
      </w:pPr>
    </w:p>
    <w:p w14:paraId="0B189868" w14:textId="77777777" w:rsidR="0048384B" w:rsidRPr="00D85A0E" w:rsidRDefault="0048384B" w:rsidP="0048384B">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Walther A, Pritts T, Falcone R, et al. Teen trauma without the drama: Outcomes of adolescents treated at Ohio adult versus pediatric trauma centers. Journal of Trauma and Acute Care Surgery. 2014 Jul;77(1):109–16.</w:t>
      </w:r>
    </w:p>
    <w:p w14:paraId="499B8707" w14:textId="77777777" w:rsidR="0048384B" w:rsidRPr="00D85A0E" w:rsidRDefault="0048384B" w:rsidP="0048384B">
      <w:pPr>
        <w:pStyle w:val="ListParagraph"/>
        <w:widowControl w:val="0"/>
        <w:tabs>
          <w:tab w:val="left" w:pos="384"/>
        </w:tabs>
        <w:autoSpaceDE w:val="0"/>
        <w:autoSpaceDN w:val="0"/>
        <w:adjustRightInd w:val="0"/>
        <w:spacing w:after="240" w:line="360" w:lineRule="auto"/>
        <w:ind w:left="360"/>
        <w:rPr>
          <w:rFonts w:ascii="Times New Roman" w:hAnsi="Times New Roman" w:cs="Times New Roman"/>
          <w:sz w:val="20"/>
          <w:szCs w:val="20"/>
        </w:rPr>
      </w:pPr>
    </w:p>
    <w:p w14:paraId="499FE20A" w14:textId="77777777" w:rsidR="00DC6C80" w:rsidRPr="00D85A0E" w:rsidRDefault="0048384B" w:rsidP="00DC6C80">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The Trauma Audit &amp; Research Network [Internet], accessed January 2020, (</w:t>
      </w:r>
      <w:hyperlink r:id="rId9" w:history="1">
        <w:r w:rsidRPr="00D85A0E">
          <w:rPr>
            <w:rStyle w:val="Hyperlink"/>
            <w:rFonts w:ascii="Times New Roman" w:hAnsi="Times New Roman" w:cs="Times New Roman"/>
            <w:color w:val="auto"/>
            <w:sz w:val="20"/>
            <w:szCs w:val="20"/>
          </w:rPr>
          <w:t>www.tarn.ac.uk</w:t>
        </w:r>
      </w:hyperlink>
      <w:r w:rsidRPr="00D85A0E">
        <w:rPr>
          <w:rFonts w:ascii="Times New Roman" w:hAnsi="Times New Roman" w:cs="Times New Roman"/>
          <w:sz w:val="20"/>
          <w:szCs w:val="20"/>
        </w:rPr>
        <w:t>)</w:t>
      </w:r>
    </w:p>
    <w:p w14:paraId="15AF871B" w14:textId="77777777" w:rsidR="00DC6C80" w:rsidRPr="00D85A0E" w:rsidRDefault="00DC6C80" w:rsidP="00DC6C80">
      <w:pPr>
        <w:pStyle w:val="ListParagraph"/>
        <w:rPr>
          <w:rFonts w:ascii="Times New Roman" w:hAnsi="Times New Roman" w:cs="Times New Roman"/>
          <w:sz w:val="20"/>
          <w:szCs w:val="20"/>
        </w:rPr>
      </w:pPr>
    </w:p>
    <w:p w14:paraId="54C69D46" w14:textId="34660A24" w:rsidR="0048384B" w:rsidRPr="00D85A0E" w:rsidRDefault="00DC6C80" w:rsidP="00DC6C80">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Association for the Advancement of Automotive Medicine. (2016). Abbreviated Injury Scale (c) 2005 Update 2008. (T. Gennarelli, &amp; e. Woodzin, Eds.) Chicago, Illinois</w:t>
      </w:r>
    </w:p>
    <w:p w14:paraId="40F0EABC" w14:textId="77777777" w:rsidR="0048384B" w:rsidRPr="00D85A0E" w:rsidRDefault="0048384B" w:rsidP="0048384B">
      <w:pPr>
        <w:pStyle w:val="ListParagraph"/>
        <w:widowControl w:val="0"/>
        <w:tabs>
          <w:tab w:val="left" w:pos="384"/>
        </w:tabs>
        <w:autoSpaceDE w:val="0"/>
        <w:autoSpaceDN w:val="0"/>
        <w:adjustRightInd w:val="0"/>
        <w:spacing w:after="240" w:line="360" w:lineRule="auto"/>
        <w:ind w:left="360"/>
        <w:rPr>
          <w:rFonts w:ascii="Times New Roman" w:hAnsi="Times New Roman" w:cs="Times New Roman"/>
          <w:sz w:val="20"/>
          <w:szCs w:val="20"/>
        </w:rPr>
      </w:pPr>
    </w:p>
    <w:p w14:paraId="6E6DE237"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Cousijn J, Luijten M, Ewing SWF. Adolescent resilience to addiction: a social plasticity hypothesis. The Lancet Child &amp; Adolescent Health. 2018 Jan 1;2(1):69–78.</w:t>
      </w:r>
    </w:p>
    <w:p w14:paraId="088C5BEF" w14:textId="77777777" w:rsidR="00D85A0E" w:rsidRPr="00D85A0E" w:rsidRDefault="00D85A0E" w:rsidP="00D85A0E">
      <w:pPr>
        <w:pStyle w:val="ListParagraph"/>
        <w:rPr>
          <w:rFonts w:ascii="Times New Roman" w:hAnsi="Times New Roman" w:cs="Times New Roman"/>
          <w:sz w:val="20"/>
          <w:szCs w:val="20"/>
        </w:rPr>
      </w:pPr>
    </w:p>
    <w:p w14:paraId="2C5C2B9C"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K. Matsushima, E.W. Schaefer, E.J. Won, P.A. Nichols, H.L. Frankel.</w:t>
      </w:r>
      <w:r w:rsidRPr="00D85A0E">
        <w:rPr>
          <w:rStyle w:val="Strong"/>
          <w:rFonts w:ascii="Times New Roman" w:hAnsi="Times New Roman" w:cs="Times New Roman"/>
          <w:b w:val="0"/>
          <w:bCs w:val="0"/>
          <w:sz w:val="20"/>
          <w:szCs w:val="20"/>
        </w:rPr>
        <w:t xml:space="preserve">Injured adolescents, not just large children: difference in care and outcome between adult and pediatric trauma centers. </w:t>
      </w:r>
      <w:r w:rsidRPr="00D85A0E">
        <w:rPr>
          <w:rFonts w:ascii="Times New Roman" w:hAnsi="Times New Roman" w:cs="Times New Roman"/>
          <w:sz w:val="20"/>
          <w:szCs w:val="20"/>
        </w:rPr>
        <w:t>Am Surg, 79 (2013), pp. 267-273</w:t>
      </w:r>
    </w:p>
    <w:p w14:paraId="6701C0EF" w14:textId="77777777" w:rsidR="00D85A0E" w:rsidRPr="00D85A0E" w:rsidRDefault="00D85A0E" w:rsidP="00D85A0E">
      <w:pPr>
        <w:pStyle w:val="ListParagraph"/>
        <w:rPr>
          <w:rFonts w:ascii="Times New Roman" w:hAnsi="Times New Roman" w:cs="Times New Roman"/>
          <w:sz w:val="20"/>
          <w:szCs w:val="20"/>
          <w:shd w:val="clear" w:color="auto" w:fill="FFFFFF"/>
        </w:rPr>
      </w:pPr>
    </w:p>
    <w:p w14:paraId="553867BC"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shd w:val="clear" w:color="auto" w:fill="FFFFFF"/>
        </w:rPr>
        <w:t>Walther AE, Falcone RA, Pritts TA, Hanseman DJ, Robinson BR. Pediatric and adult trauma centers differ in evaluation, treatment, and outcomes for severely injured adolescents. </w:t>
      </w:r>
      <w:r w:rsidRPr="00D85A0E">
        <w:rPr>
          <w:rFonts w:ascii="Times New Roman" w:hAnsi="Times New Roman" w:cs="Times New Roman"/>
          <w:i/>
          <w:iCs/>
          <w:sz w:val="20"/>
          <w:szCs w:val="20"/>
          <w:shd w:val="clear" w:color="auto" w:fill="FFFFFF"/>
        </w:rPr>
        <w:t>J Pediatr Surg</w:t>
      </w:r>
      <w:r w:rsidRPr="00D85A0E">
        <w:rPr>
          <w:rFonts w:ascii="Times New Roman" w:hAnsi="Times New Roman" w:cs="Times New Roman"/>
          <w:sz w:val="20"/>
          <w:szCs w:val="20"/>
          <w:shd w:val="clear" w:color="auto" w:fill="FFFFFF"/>
        </w:rPr>
        <w:t xml:space="preserve">. 2016;51(8):1346‐1350. </w:t>
      </w:r>
    </w:p>
    <w:p w14:paraId="6FF06884" w14:textId="77777777" w:rsidR="00D85A0E" w:rsidRPr="00D85A0E" w:rsidRDefault="00D85A0E" w:rsidP="00D85A0E">
      <w:pPr>
        <w:pStyle w:val="ListParagraph"/>
        <w:rPr>
          <w:rFonts w:ascii="Times New Roman" w:hAnsi="Times New Roman" w:cs="Times New Roman"/>
          <w:sz w:val="20"/>
          <w:szCs w:val="20"/>
        </w:rPr>
      </w:pPr>
    </w:p>
    <w:p w14:paraId="6E0BD74D"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Miyata S, Cho J, Lebedevskiy O, et al. Trauma experts versus pediatric experts: comparison of outcomes in pediatric penetrating injuries. Journal of Surgical Research. 2017 Feb 1;208:173–9</w:t>
      </w:r>
    </w:p>
    <w:p w14:paraId="574FA9F8" w14:textId="77777777" w:rsidR="00D85A0E" w:rsidRPr="00D85A0E" w:rsidRDefault="00D85A0E" w:rsidP="00D85A0E">
      <w:pPr>
        <w:pStyle w:val="ListParagraph"/>
        <w:rPr>
          <w:rFonts w:ascii="Times New Roman" w:hAnsi="Times New Roman" w:cs="Times New Roman"/>
          <w:sz w:val="20"/>
          <w:szCs w:val="20"/>
        </w:rPr>
      </w:pPr>
    </w:p>
    <w:p w14:paraId="1BCFCEB7"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Brohi K, Singh J, Heron M, et al. Acute Traumatic Coagulopathy. The Journal of Trauma: Injury, Infection, and Critical Care. 2003 Jun;54(6):1127–30.</w:t>
      </w:r>
    </w:p>
    <w:p w14:paraId="0E3A03E5" w14:textId="77777777" w:rsidR="00D85A0E" w:rsidRPr="00D85A0E" w:rsidRDefault="00D85A0E" w:rsidP="00D85A0E">
      <w:pPr>
        <w:pStyle w:val="ListParagraph"/>
        <w:rPr>
          <w:rFonts w:ascii="Times New Roman" w:hAnsi="Times New Roman" w:cs="Times New Roman"/>
          <w:sz w:val="20"/>
          <w:szCs w:val="20"/>
          <w:shd w:val="clear" w:color="auto" w:fill="FFFFFF"/>
        </w:rPr>
      </w:pPr>
    </w:p>
    <w:p w14:paraId="0953A092" w14:textId="77777777" w:rsidR="00D85A0E"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shd w:val="clear" w:color="auto" w:fill="FFFFFF"/>
        </w:rPr>
        <w:t>Nathens AB, Jurkovich GJ, Maier RV, et al. Relationship Between Trauma Center Volume and Outcomes. </w:t>
      </w:r>
      <w:r w:rsidRPr="00D85A0E">
        <w:rPr>
          <w:rStyle w:val="Emphasis"/>
          <w:rFonts w:ascii="Times New Roman" w:hAnsi="Times New Roman" w:cs="Times New Roman"/>
          <w:sz w:val="20"/>
          <w:szCs w:val="20"/>
          <w:shd w:val="clear" w:color="auto" w:fill="FFFFFF"/>
        </w:rPr>
        <w:t>JAMA.</w:t>
      </w:r>
      <w:r w:rsidRPr="00D85A0E">
        <w:rPr>
          <w:rFonts w:ascii="Times New Roman" w:hAnsi="Times New Roman" w:cs="Times New Roman"/>
          <w:sz w:val="20"/>
          <w:szCs w:val="20"/>
          <w:shd w:val="clear" w:color="auto" w:fill="FFFFFF"/>
        </w:rPr>
        <w:t> 2001;285(9):1164–1171. doi:10.1001/jama.285.9.1164</w:t>
      </w:r>
    </w:p>
    <w:p w14:paraId="6843B5B6" w14:textId="77777777" w:rsidR="00D85A0E" w:rsidRPr="00D85A0E" w:rsidRDefault="00D85A0E" w:rsidP="00D85A0E">
      <w:pPr>
        <w:pStyle w:val="ListParagraph"/>
        <w:rPr>
          <w:rFonts w:ascii="Times New Roman" w:hAnsi="Times New Roman" w:cs="Times New Roman"/>
          <w:sz w:val="20"/>
          <w:szCs w:val="20"/>
          <w:shd w:val="clear" w:color="auto" w:fill="FFFFFF"/>
        </w:rPr>
      </w:pPr>
    </w:p>
    <w:p w14:paraId="53899DEC" w14:textId="463F66B2" w:rsidR="00893480"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shd w:val="clear" w:color="auto" w:fill="FFFFFF"/>
        </w:rPr>
        <w:t>Demetriades D, Martin M, Salim A, Rhee P, Brown C, Chan L. The effect of trauma center designation and trauma volume on outcome in specific severe injuries. </w:t>
      </w:r>
      <w:r w:rsidRPr="00D85A0E">
        <w:rPr>
          <w:rFonts w:ascii="Times New Roman" w:hAnsi="Times New Roman" w:cs="Times New Roman"/>
          <w:i/>
          <w:iCs/>
          <w:sz w:val="20"/>
          <w:szCs w:val="20"/>
          <w:shd w:val="clear" w:color="auto" w:fill="FFFFFF"/>
        </w:rPr>
        <w:t>Ann Surg</w:t>
      </w:r>
      <w:r w:rsidRPr="00D85A0E">
        <w:rPr>
          <w:rFonts w:ascii="Times New Roman" w:hAnsi="Times New Roman" w:cs="Times New Roman"/>
          <w:sz w:val="20"/>
          <w:szCs w:val="20"/>
          <w:shd w:val="clear" w:color="auto" w:fill="FFFFFF"/>
        </w:rPr>
        <w:t>. 2005;242(4):512‐519. doi:10.1097/01.sla.0000184169.73614.09</w:t>
      </w:r>
    </w:p>
    <w:p w14:paraId="617C3B1A" w14:textId="77777777" w:rsidR="00893480" w:rsidRPr="00D85A0E" w:rsidRDefault="00893480" w:rsidP="00893480">
      <w:pPr>
        <w:pStyle w:val="ListParagraph"/>
        <w:rPr>
          <w:rFonts w:ascii="Times New Roman" w:hAnsi="Times New Roman" w:cs="Times New Roman"/>
          <w:sz w:val="20"/>
          <w:szCs w:val="20"/>
        </w:rPr>
      </w:pPr>
    </w:p>
    <w:p w14:paraId="36938633" w14:textId="222B6109" w:rsidR="00D85A0E" w:rsidRPr="00D85A0E" w:rsidRDefault="00893480"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rPr>
        <w:t xml:space="preserve">The Trauma Audit &amp; Research Network [Internet],. Severe Injury in Children: January 2017-December 2018. Available from </w:t>
      </w:r>
      <w:hyperlink r:id="rId10" w:history="1">
        <w:r w:rsidR="00D85A0E" w:rsidRPr="00D85A0E">
          <w:rPr>
            <w:rStyle w:val="Hyperlink"/>
            <w:rFonts w:ascii="Times New Roman" w:hAnsi="Times New Roman" w:cs="Times New Roman"/>
            <w:color w:val="auto"/>
            <w:sz w:val="20"/>
            <w:szCs w:val="20"/>
            <w:u w:val="none"/>
          </w:rPr>
          <w:t>https://cld.bz/hGD01ae. Accessed July 2020</w:t>
        </w:r>
      </w:hyperlink>
    </w:p>
    <w:p w14:paraId="753650EF" w14:textId="77777777" w:rsidR="00D85A0E" w:rsidRPr="00D85A0E" w:rsidRDefault="00D85A0E" w:rsidP="00D85A0E">
      <w:pPr>
        <w:pStyle w:val="ListParagraph"/>
        <w:rPr>
          <w:rFonts w:ascii="Times New Roman" w:hAnsi="Times New Roman" w:cs="Times New Roman"/>
          <w:sz w:val="20"/>
          <w:szCs w:val="20"/>
          <w:shd w:val="clear" w:color="auto" w:fill="FFFFFF"/>
        </w:rPr>
      </w:pPr>
    </w:p>
    <w:p w14:paraId="04FD8268" w14:textId="6B5BA9F1" w:rsidR="0048384B" w:rsidRPr="00D85A0E" w:rsidRDefault="0048384B" w:rsidP="00D85A0E">
      <w:pPr>
        <w:pStyle w:val="ListParagraph"/>
        <w:widowControl w:val="0"/>
        <w:numPr>
          <w:ilvl w:val="0"/>
          <w:numId w:val="19"/>
        </w:numPr>
        <w:tabs>
          <w:tab w:val="left" w:pos="384"/>
        </w:tabs>
        <w:autoSpaceDE w:val="0"/>
        <w:autoSpaceDN w:val="0"/>
        <w:adjustRightInd w:val="0"/>
        <w:spacing w:after="240" w:line="360" w:lineRule="auto"/>
        <w:rPr>
          <w:rFonts w:ascii="Times New Roman" w:hAnsi="Times New Roman" w:cs="Times New Roman"/>
          <w:sz w:val="20"/>
          <w:szCs w:val="20"/>
        </w:rPr>
      </w:pPr>
      <w:r w:rsidRPr="00D85A0E">
        <w:rPr>
          <w:rFonts w:ascii="Times New Roman" w:hAnsi="Times New Roman" w:cs="Times New Roman"/>
          <w:sz w:val="20"/>
          <w:szCs w:val="20"/>
          <w:shd w:val="clear" w:color="auto" w:fill="FFFFFF"/>
        </w:rPr>
        <w:t>Meltzer JA, Stone ME, Reddy SH, Silver EJ. Association of Whole-Body Computed Tomography With Mortality Risk in Children With Blunt Trauma. </w:t>
      </w:r>
      <w:r w:rsidRPr="00D85A0E">
        <w:rPr>
          <w:rStyle w:val="Emphasis"/>
          <w:rFonts w:ascii="Times New Roman" w:hAnsi="Times New Roman" w:cs="Times New Roman"/>
          <w:sz w:val="20"/>
          <w:szCs w:val="20"/>
          <w:shd w:val="clear" w:color="auto" w:fill="FFFFFF"/>
        </w:rPr>
        <w:t>JAMA Pediatr.</w:t>
      </w:r>
      <w:r w:rsidRPr="00D85A0E">
        <w:rPr>
          <w:rFonts w:ascii="Times New Roman" w:hAnsi="Times New Roman" w:cs="Times New Roman"/>
          <w:sz w:val="20"/>
          <w:szCs w:val="20"/>
          <w:shd w:val="clear" w:color="auto" w:fill="FFFFFF"/>
        </w:rPr>
        <w:t> 2018;172(6):542–549. doi:10.1001/jamapediatrics.2018.0109</w:t>
      </w:r>
    </w:p>
    <w:p w14:paraId="39F52F85" w14:textId="77777777" w:rsidR="008A4D99" w:rsidRPr="001C26A4" w:rsidRDefault="008A4D99" w:rsidP="008A4D99">
      <w:pPr>
        <w:tabs>
          <w:tab w:val="left" w:pos="2234"/>
        </w:tabs>
        <w:rPr>
          <w:lang w:val="en-US"/>
        </w:rPr>
      </w:pPr>
    </w:p>
    <w:p w14:paraId="39CCFFCD" w14:textId="77777777" w:rsidR="004C4AC6" w:rsidRPr="001C26A4" w:rsidRDefault="004C4AC6"/>
    <w:sectPr w:rsidR="004C4AC6" w:rsidRPr="001C26A4" w:rsidSect="0048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F02BB"/>
    <w:multiLevelType w:val="hybridMultilevel"/>
    <w:tmpl w:val="ABA8F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57221"/>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003F2"/>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D03CA"/>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93FC8"/>
    <w:multiLevelType w:val="hybridMultilevel"/>
    <w:tmpl w:val="4D701D1A"/>
    <w:styleLink w:val="ImportedStyle2"/>
    <w:lvl w:ilvl="0" w:tplc="E31097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4C67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B53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6E3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AD1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AA169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68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7C33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2A662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A47556"/>
    <w:multiLevelType w:val="hybridMultilevel"/>
    <w:tmpl w:val="729061A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7564B"/>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903A3"/>
    <w:multiLevelType w:val="hybridMultilevel"/>
    <w:tmpl w:val="4C142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62F1F"/>
    <w:multiLevelType w:val="multilevel"/>
    <w:tmpl w:val="C55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C183C"/>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069E7"/>
    <w:multiLevelType w:val="hybridMultilevel"/>
    <w:tmpl w:val="058A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DE1C39"/>
    <w:multiLevelType w:val="hybridMultilevel"/>
    <w:tmpl w:val="FA566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BC4F57"/>
    <w:multiLevelType w:val="hybridMultilevel"/>
    <w:tmpl w:val="A20AFD08"/>
    <w:lvl w:ilvl="0" w:tplc="359E7A2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50B0E"/>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B325A"/>
    <w:multiLevelType w:val="hybridMultilevel"/>
    <w:tmpl w:val="DB447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90F24"/>
    <w:multiLevelType w:val="hybridMultilevel"/>
    <w:tmpl w:val="4D701D1A"/>
    <w:numStyleLink w:val="ImportedStyle2"/>
  </w:abstractNum>
  <w:abstractNum w:abstractNumId="16" w15:restartNumberingAfterBreak="0">
    <w:nsid w:val="688B5CBA"/>
    <w:multiLevelType w:val="hybridMultilevel"/>
    <w:tmpl w:val="3EA825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E150A"/>
    <w:multiLevelType w:val="hybridMultilevel"/>
    <w:tmpl w:val="5BE03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5291D"/>
    <w:multiLevelType w:val="hybridMultilevel"/>
    <w:tmpl w:val="14D21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0DEF"/>
    <w:multiLevelType w:val="hybridMultilevel"/>
    <w:tmpl w:val="EE8A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4"/>
  </w:num>
  <w:num w:numId="9">
    <w:abstractNumId w:val="15"/>
  </w:num>
  <w:num w:numId="10">
    <w:abstractNumId w:val="19"/>
  </w:num>
  <w:num w:numId="11">
    <w:abstractNumId w:val="9"/>
  </w:num>
  <w:num w:numId="12">
    <w:abstractNumId w:val="3"/>
  </w:num>
  <w:num w:numId="13">
    <w:abstractNumId w:val="1"/>
  </w:num>
  <w:num w:numId="14">
    <w:abstractNumId w:val="17"/>
  </w:num>
  <w:num w:numId="15">
    <w:abstractNumId w:val="5"/>
  </w:num>
  <w:num w:numId="16">
    <w:abstractNumId w:val="12"/>
  </w:num>
  <w:num w:numId="17">
    <w:abstractNumId w:val="7"/>
  </w:num>
  <w:num w:numId="18">
    <w:abstractNumId w:val="0"/>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99"/>
    <w:rsid w:val="00017F0C"/>
    <w:rsid w:val="00024922"/>
    <w:rsid w:val="00024B77"/>
    <w:rsid w:val="000337B5"/>
    <w:rsid w:val="000356DA"/>
    <w:rsid w:val="00044EA1"/>
    <w:rsid w:val="000461A1"/>
    <w:rsid w:val="00047A5A"/>
    <w:rsid w:val="00063A7D"/>
    <w:rsid w:val="00065BB1"/>
    <w:rsid w:val="00067CC1"/>
    <w:rsid w:val="00074FDF"/>
    <w:rsid w:val="000841F1"/>
    <w:rsid w:val="00086D7C"/>
    <w:rsid w:val="0008750C"/>
    <w:rsid w:val="0009403E"/>
    <w:rsid w:val="000942AE"/>
    <w:rsid w:val="000B0C04"/>
    <w:rsid w:val="000B1413"/>
    <w:rsid w:val="000B2DDD"/>
    <w:rsid w:val="000C152D"/>
    <w:rsid w:val="000D0A18"/>
    <w:rsid w:val="000D1E4B"/>
    <w:rsid w:val="000D57B1"/>
    <w:rsid w:val="000E1B9F"/>
    <w:rsid w:val="000E6AEC"/>
    <w:rsid w:val="000E738E"/>
    <w:rsid w:val="000F27DE"/>
    <w:rsid w:val="0010473A"/>
    <w:rsid w:val="00110D14"/>
    <w:rsid w:val="00114BE3"/>
    <w:rsid w:val="001157D3"/>
    <w:rsid w:val="0011688B"/>
    <w:rsid w:val="00117276"/>
    <w:rsid w:val="00120F1B"/>
    <w:rsid w:val="00127B8A"/>
    <w:rsid w:val="00130168"/>
    <w:rsid w:val="0013228E"/>
    <w:rsid w:val="00141F11"/>
    <w:rsid w:val="00151680"/>
    <w:rsid w:val="00152DF6"/>
    <w:rsid w:val="00153BAB"/>
    <w:rsid w:val="001576E9"/>
    <w:rsid w:val="00165030"/>
    <w:rsid w:val="0016782A"/>
    <w:rsid w:val="0019509A"/>
    <w:rsid w:val="001A1D43"/>
    <w:rsid w:val="001A1E40"/>
    <w:rsid w:val="001A751C"/>
    <w:rsid w:val="001B09CF"/>
    <w:rsid w:val="001C0481"/>
    <w:rsid w:val="001C26A4"/>
    <w:rsid w:val="001D3505"/>
    <w:rsid w:val="001D72CE"/>
    <w:rsid w:val="001E384F"/>
    <w:rsid w:val="002079D8"/>
    <w:rsid w:val="002157DE"/>
    <w:rsid w:val="00222DB1"/>
    <w:rsid w:val="0023573A"/>
    <w:rsid w:val="002361E0"/>
    <w:rsid w:val="0024256B"/>
    <w:rsid w:val="00244661"/>
    <w:rsid w:val="0024748E"/>
    <w:rsid w:val="00251C1F"/>
    <w:rsid w:val="00253909"/>
    <w:rsid w:val="002540DC"/>
    <w:rsid w:val="00270BDF"/>
    <w:rsid w:val="00273381"/>
    <w:rsid w:val="00287C2A"/>
    <w:rsid w:val="002C1BEF"/>
    <w:rsid w:val="002C6C22"/>
    <w:rsid w:val="002D2F4E"/>
    <w:rsid w:val="002D6923"/>
    <w:rsid w:val="002E3ADD"/>
    <w:rsid w:val="003063C6"/>
    <w:rsid w:val="003144E1"/>
    <w:rsid w:val="003204E7"/>
    <w:rsid w:val="00321D60"/>
    <w:rsid w:val="00326D66"/>
    <w:rsid w:val="00337566"/>
    <w:rsid w:val="003634C6"/>
    <w:rsid w:val="0036647E"/>
    <w:rsid w:val="00377AD8"/>
    <w:rsid w:val="00377C2C"/>
    <w:rsid w:val="0038158B"/>
    <w:rsid w:val="00382871"/>
    <w:rsid w:val="003928B7"/>
    <w:rsid w:val="003A16CC"/>
    <w:rsid w:val="003A2DA1"/>
    <w:rsid w:val="003A5D4C"/>
    <w:rsid w:val="003A780F"/>
    <w:rsid w:val="003C7808"/>
    <w:rsid w:val="003D01FD"/>
    <w:rsid w:val="003E0967"/>
    <w:rsid w:val="003E4C71"/>
    <w:rsid w:val="003E6A70"/>
    <w:rsid w:val="003F55A5"/>
    <w:rsid w:val="00400B8E"/>
    <w:rsid w:val="00421D9A"/>
    <w:rsid w:val="00431C05"/>
    <w:rsid w:val="004362FE"/>
    <w:rsid w:val="00444336"/>
    <w:rsid w:val="00451EE7"/>
    <w:rsid w:val="0045610C"/>
    <w:rsid w:val="00480571"/>
    <w:rsid w:val="0048384B"/>
    <w:rsid w:val="0048500A"/>
    <w:rsid w:val="00491E05"/>
    <w:rsid w:val="004B68B5"/>
    <w:rsid w:val="004C4AC6"/>
    <w:rsid w:val="004E0CAC"/>
    <w:rsid w:val="004F3995"/>
    <w:rsid w:val="00500E8E"/>
    <w:rsid w:val="0050405D"/>
    <w:rsid w:val="00507B1A"/>
    <w:rsid w:val="00511361"/>
    <w:rsid w:val="00514CB1"/>
    <w:rsid w:val="0052075B"/>
    <w:rsid w:val="0052129F"/>
    <w:rsid w:val="00521EB8"/>
    <w:rsid w:val="00523CDB"/>
    <w:rsid w:val="00526F14"/>
    <w:rsid w:val="00534B61"/>
    <w:rsid w:val="005519F1"/>
    <w:rsid w:val="0055478A"/>
    <w:rsid w:val="005719D3"/>
    <w:rsid w:val="00573066"/>
    <w:rsid w:val="00576983"/>
    <w:rsid w:val="005814BD"/>
    <w:rsid w:val="005A41DF"/>
    <w:rsid w:val="005B4682"/>
    <w:rsid w:val="005D7012"/>
    <w:rsid w:val="005F337D"/>
    <w:rsid w:val="005F4A20"/>
    <w:rsid w:val="00605B34"/>
    <w:rsid w:val="0061035A"/>
    <w:rsid w:val="00610D14"/>
    <w:rsid w:val="0061578A"/>
    <w:rsid w:val="00616C4B"/>
    <w:rsid w:val="00617C6E"/>
    <w:rsid w:val="00636BFA"/>
    <w:rsid w:val="006427FF"/>
    <w:rsid w:val="00644D2C"/>
    <w:rsid w:val="00656DF0"/>
    <w:rsid w:val="00662174"/>
    <w:rsid w:val="006623C0"/>
    <w:rsid w:val="00681911"/>
    <w:rsid w:val="00682894"/>
    <w:rsid w:val="00684D28"/>
    <w:rsid w:val="00692264"/>
    <w:rsid w:val="00692B7E"/>
    <w:rsid w:val="00697800"/>
    <w:rsid w:val="006A331D"/>
    <w:rsid w:val="006A384B"/>
    <w:rsid w:val="006A6BB6"/>
    <w:rsid w:val="006B4E4A"/>
    <w:rsid w:val="006C2465"/>
    <w:rsid w:val="006E141A"/>
    <w:rsid w:val="006E4C2D"/>
    <w:rsid w:val="006E503D"/>
    <w:rsid w:val="006F240B"/>
    <w:rsid w:val="006F5498"/>
    <w:rsid w:val="00701F13"/>
    <w:rsid w:val="00703152"/>
    <w:rsid w:val="007033E0"/>
    <w:rsid w:val="00703A5E"/>
    <w:rsid w:val="00704A18"/>
    <w:rsid w:val="00704AB8"/>
    <w:rsid w:val="007113F2"/>
    <w:rsid w:val="00711EAA"/>
    <w:rsid w:val="007200A9"/>
    <w:rsid w:val="00720BC7"/>
    <w:rsid w:val="007357F0"/>
    <w:rsid w:val="0077242B"/>
    <w:rsid w:val="007877A3"/>
    <w:rsid w:val="0079237F"/>
    <w:rsid w:val="0079389A"/>
    <w:rsid w:val="0079595B"/>
    <w:rsid w:val="00795EF4"/>
    <w:rsid w:val="007B0851"/>
    <w:rsid w:val="007B5802"/>
    <w:rsid w:val="007C6108"/>
    <w:rsid w:val="007D286A"/>
    <w:rsid w:val="007E4A0A"/>
    <w:rsid w:val="007E6FA9"/>
    <w:rsid w:val="007F3D5C"/>
    <w:rsid w:val="007F43C6"/>
    <w:rsid w:val="0080317E"/>
    <w:rsid w:val="00807E27"/>
    <w:rsid w:val="00820D43"/>
    <w:rsid w:val="00835BD8"/>
    <w:rsid w:val="00841B57"/>
    <w:rsid w:val="0084669E"/>
    <w:rsid w:val="00846958"/>
    <w:rsid w:val="00846FBF"/>
    <w:rsid w:val="00855D08"/>
    <w:rsid w:val="008656D1"/>
    <w:rsid w:val="008728BA"/>
    <w:rsid w:val="008765BB"/>
    <w:rsid w:val="00877287"/>
    <w:rsid w:val="00883BA6"/>
    <w:rsid w:val="00893480"/>
    <w:rsid w:val="008A4D99"/>
    <w:rsid w:val="008B1695"/>
    <w:rsid w:val="008B2AE2"/>
    <w:rsid w:val="008B2D21"/>
    <w:rsid w:val="008B4CEB"/>
    <w:rsid w:val="008C7426"/>
    <w:rsid w:val="008E0FBF"/>
    <w:rsid w:val="008E4719"/>
    <w:rsid w:val="008E5BF4"/>
    <w:rsid w:val="008E6605"/>
    <w:rsid w:val="008F0DD1"/>
    <w:rsid w:val="00900D66"/>
    <w:rsid w:val="009167B7"/>
    <w:rsid w:val="00924FB6"/>
    <w:rsid w:val="009320E1"/>
    <w:rsid w:val="00946A57"/>
    <w:rsid w:val="00946EEF"/>
    <w:rsid w:val="009576D3"/>
    <w:rsid w:val="00977881"/>
    <w:rsid w:val="00981155"/>
    <w:rsid w:val="009904D5"/>
    <w:rsid w:val="009B36B3"/>
    <w:rsid w:val="009C15C9"/>
    <w:rsid w:val="009C6E18"/>
    <w:rsid w:val="009D097D"/>
    <w:rsid w:val="009D14E9"/>
    <w:rsid w:val="009D5DFF"/>
    <w:rsid w:val="009E2C0B"/>
    <w:rsid w:val="009E39D9"/>
    <w:rsid w:val="00A06042"/>
    <w:rsid w:val="00A14F19"/>
    <w:rsid w:val="00A17DA4"/>
    <w:rsid w:val="00A308D0"/>
    <w:rsid w:val="00A371F2"/>
    <w:rsid w:val="00A3760C"/>
    <w:rsid w:val="00A37CD2"/>
    <w:rsid w:val="00A40E1D"/>
    <w:rsid w:val="00A50251"/>
    <w:rsid w:val="00A54653"/>
    <w:rsid w:val="00A6501E"/>
    <w:rsid w:val="00A74BF3"/>
    <w:rsid w:val="00A824F4"/>
    <w:rsid w:val="00A830B0"/>
    <w:rsid w:val="00A92B37"/>
    <w:rsid w:val="00A934FA"/>
    <w:rsid w:val="00A935D1"/>
    <w:rsid w:val="00AA382A"/>
    <w:rsid w:val="00AC43F7"/>
    <w:rsid w:val="00AC51F3"/>
    <w:rsid w:val="00AC71F8"/>
    <w:rsid w:val="00AD2374"/>
    <w:rsid w:val="00AD3745"/>
    <w:rsid w:val="00AE1A79"/>
    <w:rsid w:val="00AE29C0"/>
    <w:rsid w:val="00AF1FB3"/>
    <w:rsid w:val="00AF5B47"/>
    <w:rsid w:val="00B1192B"/>
    <w:rsid w:val="00B17AC5"/>
    <w:rsid w:val="00B20411"/>
    <w:rsid w:val="00B21E4F"/>
    <w:rsid w:val="00B228C1"/>
    <w:rsid w:val="00B47CCB"/>
    <w:rsid w:val="00B51500"/>
    <w:rsid w:val="00B641A3"/>
    <w:rsid w:val="00B6450A"/>
    <w:rsid w:val="00B6701F"/>
    <w:rsid w:val="00B73849"/>
    <w:rsid w:val="00B93370"/>
    <w:rsid w:val="00BA226D"/>
    <w:rsid w:val="00BB0D14"/>
    <w:rsid w:val="00BB397F"/>
    <w:rsid w:val="00BB5AEE"/>
    <w:rsid w:val="00BB659D"/>
    <w:rsid w:val="00BC4292"/>
    <w:rsid w:val="00BC613E"/>
    <w:rsid w:val="00BD6F22"/>
    <w:rsid w:val="00BE15F4"/>
    <w:rsid w:val="00BE1BFA"/>
    <w:rsid w:val="00BE3BFA"/>
    <w:rsid w:val="00C00292"/>
    <w:rsid w:val="00C010A6"/>
    <w:rsid w:val="00C162D8"/>
    <w:rsid w:val="00C248B4"/>
    <w:rsid w:val="00C3048E"/>
    <w:rsid w:val="00C32523"/>
    <w:rsid w:val="00C350EE"/>
    <w:rsid w:val="00C4324D"/>
    <w:rsid w:val="00C473D3"/>
    <w:rsid w:val="00C56AC3"/>
    <w:rsid w:val="00C60FF2"/>
    <w:rsid w:val="00C7110D"/>
    <w:rsid w:val="00C74F26"/>
    <w:rsid w:val="00C92A2E"/>
    <w:rsid w:val="00C964F3"/>
    <w:rsid w:val="00C97E95"/>
    <w:rsid w:val="00CA2EB9"/>
    <w:rsid w:val="00CA57B0"/>
    <w:rsid w:val="00CC2AFF"/>
    <w:rsid w:val="00CC43CE"/>
    <w:rsid w:val="00CD7B03"/>
    <w:rsid w:val="00CE621B"/>
    <w:rsid w:val="00D071BF"/>
    <w:rsid w:val="00D156D6"/>
    <w:rsid w:val="00D25288"/>
    <w:rsid w:val="00D25EB1"/>
    <w:rsid w:val="00D33A10"/>
    <w:rsid w:val="00D3444E"/>
    <w:rsid w:val="00D3458C"/>
    <w:rsid w:val="00D45C1B"/>
    <w:rsid w:val="00D53FA6"/>
    <w:rsid w:val="00D5422A"/>
    <w:rsid w:val="00D6214D"/>
    <w:rsid w:val="00D62FC1"/>
    <w:rsid w:val="00D74175"/>
    <w:rsid w:val="00D85A0E"/>
    <w:rsid w:val="00DA183D"/>
    <w:rsid w:val="00DA3886"/>
    <w:rsid w:val="00DB47A3"/>
    <w:rsid w:val="00DC26C2"/>
    <w:rsid w:val="00DC64B8"/>
    <w:rsid w:val="00DC6C80"/>
    <w:rsid w:val="00DD0450"/>
    <w:rsid w:val="00DD3261"/>
    <w:rsid w:val="00DD3E4F"/>
    <w:rsid w:val="00DD49B2"/>
    <w:rsid w:val="00DE0805"/>
    <w:rsid w:val="00DF0D77"/>
    <w:rsid w:val="00E01932"/>
    <w:rsid w:val="00E0331E"/>
    <w:rsid w:val="00E10540"/>
    <w:rsid w:val="00E127DC"/>
    <w:rsid w:val="00E15E87"/>
    <w:rsid w:val="00E16742"/>
    <w:rsid w:val="00E2071D"/>
    <w:rsid w:val="00E3186E"/>
    <w:rsid w:val="00E318BD"/>
    <w:rsid w:val="00E331B0"/>
    <w:rsid w:val="00E4282B"/>
    <w:rsid w:val="00E503A3"/>
    <w:rsid w:val="00E522E5"/>
    <w:rsid w:val="00E53086"/>
    <w:rsid w:val="00E53C24"/>
    <w:rsid w:val="00E548B1"/>
    <w:rsid w:val="00E64421"/>
    <w:rsid w:val="00E7153B"/>
    <w:rsid w:val="00E77FEA"/>
    <w:rsid w:val="00E87799"/>
    <w:rsid w:val="00E95C11"/>
    <w:rsid w:val="00E96E3D"/>
    <w:rsid w:val="00EA3E7D"/>
    <w:rsid w:val="00EB7F11"/>
    <w:rsid w:val="00EC4ADB"/>
    <w:rsid w:val="00EC4BBF"/>
    <w:rsid w:val="00EC64BF"/>
    <w:rsid w:val="00EC7FD8"/>
    <w:rsid w:val="00EE56F5"/>
    <w:rsid w:val="00EF0E7B"/>
    <w:rsid w:val="00EF5D30"/>
    <w:rsid w:val="00F07AB3"/>
    <w:rsid w:val="00F162BA"/>
    <w:rsid w:val="00F256F3"/>
    <w:rsid w:val="00F2624D"/>
    <w:rsid w:val="00F32DC2"/>
    <w:rsid w:val="00F41ACE"/>
    <w:rsid w:val="00F431AA"/>
    <w:rsid w:val="00F539D6"/>
    <w:rsid w:val="00F56864"/>
    <w:rsid w:val="00F57F7E"/>
    <w:rsid w:val="00F65581"/>
    <w:rsid w:val="00F73BFE"/>
    <w:rsid w:val="00F80C5C"/>
    <w:rsid w:val="00F81A66"/>
    <w:rsid w:val="00F90D4B"/>
    <w:rsid w:val="00F9430F"/>
    <w:rsid w:val="00F94734"/>
    <w:rsid w:val="00F97A9D"/>
    <w:rsid w:val="00FA0FA2"/>
    <w:rsid w:val="00FB2342"/>
    <w:rsid w:val="00FB2D68"/>
    <w:rsid w:val="00FB3FCB"/>
    <w:rsid w:val="00FB66D7"/>
    <w:rsid w:val="00FC1D78"/>
    <w:rsid w:val="00FC4A27"/>
    <w:rsid w:val="00FC6046"/>
    <w:rsid w:val="00FD374C"/>
    <w:rsid w:val="00FD42D2"/>
    <w:rsid w:val="00FD51B3"/>
    <w:rsid w:val="00FE2968"/>
    <w:rsid w:val="00FE2BED"/>
    <w:rsid w:val="00FE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84E"/>
  <w15:docId w15:val="{EA810846-7541-49E6-9237-6AE7AF00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4B7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next w:val="BodyB"/>
    <w:link w:val="Heading2Char"/>
    <w:uiPriority w:val="9"/>
    <w:unhideWhenUsed/>
    <w:qFormat/>
    <w:rsid w:val="008A4D99"/>
    <w:pPr>
      <w:keepNext/>
      <w:keepLines/>
      <w:pBdr>
        <w:top w:val="nil"/>
        <w:left w:val="nil"/>
        <w:bottom w:val="nil"/>
        <w:right w:val="nil"/>
        <w:between w:val="nil"/>
        <w:bar w:val="nil"/>
      </w:pBdr>
      <w:spacing w:before="40" w:after="0" w:line="240" w:lineRule="auto"/>
      <w:outlineLvl w:val="1"/>
    </w:pPr>
    <w:rPr>
      <w:rFonts w:ascii="Helvetica Neue" w:eastAsia="Arial Unicode MS" w:hAnsi="Helvetica Neue" w:cs="Arial Unicode MS"/>
      <w:color w:val="365F91"/>
      <w:sz w:val="26"/>
      <w:szCs w:val="26"/>
      <w:u w:color="365F91"/>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D99"/>
    <w:rPr>
      <w:rFonts w:ascii="Helvetica Neue" w:eastAsia="Arial Unicode MS" w:hAnsi="Helvetica Neue" w:cs="Arial Unicode MS"/>
      <w:color w:val="365F91"/>
      <w:sz w:val="26"/>
      <w:szCs w:val="26"/>
      <w:u w:color="365F91"/>
      <w:bdr w:val="nil"/>
      <w:lang w:val="en-US"/>
    </w:rPr>
  </w:style>
  <w:style w:type="paragraph" w:customStyle="1" w:styleId="BodyB">
    <w:name w:val="Body B"/>
    <w:rsid w:val="008A4D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BA">
    <w:name w:val="Body B A"/>
    <w:rsid w:val="008A4D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styleId="CommentReference">
    <w:name w:val="annotation reference"/>
    <w:basedOn w:val="DefaultParagraphFont"/>
    <w:uiPriority w:val="99"/>
    <w:semiHidden/>
    <w:unhideWhenUsed/>
    <w:rsid w:val="008A4D99"/>
    <w:rPr>
      <w:sz w:val="16"/>
      <w:szCs w:val="16"/>
    </w:rPr>
  </w:style>
  <w:style w:type="paragraph" w:styleId="CommentText">
    <w:name w:val="annotation text"/>
    <w:basedOn w:val="Normal"/>
    <w:link w:val="CommentTextChar"/>
    <w:uiPriority w:val="99"/>
    <w:semiHidden/>
    <w:unhideWhenUsed/>
    <w:rsid w:val="008A4D9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A4D99"/>
    <w:rPr>
      <w:sz w:val="20"/>
      <w:szCs w:val="20"/>
    </w:rPr>
  </w:style>
  <w:style w:type="character" w:styleId="Hyperlink">
    <w:name w:val="Hyperlink"/>
    <w:basedOn w:val="DefaultParagraphFont"/>
    <w:uiPriority w:val="99"/>
    <w:unhideWhenUsed/>
    <w:rsid w:val="008A4D99"/>
    <w:rPr>
      <w:color w:val="0563C1" w:themeColor="hyperlink"/>
      <w:u w:val="single"/>
    </w:rPr>
  </w:style>
  <w:style w:type="paragraph" w:customStyle="1" w:styleId="BodyC">
    <w:name w:val="Body C"/>
    <w:rsid w:val="008A4D9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ListParagraph">
    <w:name w:val="List Paragraph"/>
    <w:basedOn w:val="Normal"/>
    <w:uiPriority w:val="34"/>
    <w:qFormat/>
    <w:rsid w:val="008A4D9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A4D99"/>
    <w:pPr>
      <w:spacing w:before="100" w:beforeAutospacing="1" w:after="100" w:afterAutospacing="1"/>
    </w:pPr>
  </w:style>
  <w:style w:type="paragraph" w:styleId="BalloonText">
    <w:name w:val="Balloon Text"/>
    <w:basedOn w:val="Normal"/>
    <w:link w:val="BalloonTextChar"/>
    <w:uiPriority w:val="99"/>
    <w:semiHidden/>
    <w:unhideWhenUsed/>
    <w:rsid w:val="000D0A1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0A18"/>
    <w:rPr>
      <w:rFonts w:ascii="Segoe UI" w:hAnsi="Segoe UI" w:cs="Segoe UI"/>
      <w:sz w:val="18"/>
      <w:szCs w:val="18"/>
    </w:rPr>
  </w:style>
  <w:style w:type="paragraph" w:styleId="Revision">
    <w:name w:val="Revision"/>
    <w:hidden/>
    <w:uiPriority w:val="99"/>
    <w:semiHidden/>
    <w:rsid w:val="000D0A18"/>
    <w:pPr>
      <w:spacing w:after="0" w:line="240" w:lineRule="auto"/>
    </w:pPr>
  </w:style>
  <w:style w:type="character" w:customStyle="1" w:styleId="UnresolvedMention1">
    <w:name w:val="Unresolved Mention1"/>
    <w:basedOn w:val="DefaultParagraphFont"/>
    <w:uiPriority w:val="99"/>
    <w:semiHidden/>
    <w:unhideWhenUsed/>
    <w:rsid w:val="0057698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D2374"/>
    <w:rPr>
      <w:b/>
      <w:bCs/>
    </w:rPr>
  </w:style>
  <w:style w:type="character" w:customStyle="1" w:styleId="CommentSubjectChar">
    <w:name w:val="Comment Subject Char"/>
    <w:basedOn w:val="CommentTextChar"/>
    <w:link w:val="CommentSubject"/>
    <w:uiPriority w:val="99"/>
    <w:semiHidden/>
    <w:rsid w:val="00AD2374"/>
    <w:rPr>
      <w:b/>
      <w:bCs/>
      <w:sz w:val="20"/>
      <w:szCs w:val="20"/>
    </w:rPr>
  </w:style>
  <w:style w:type="character" w:styleId="Strong">
    <w:name w:val="Strong"/>
    <w:basedOn w:val="DefaultParagraphFont"/>
    <w:uiPriority w:val="22"/>
    <w:qFormat/>
    <w:rsid w:val="00644D2C"/>
    <w:rPr>
      <w:b/>
      <w:bCs/>
    </w:rPr>
  </w:style>
  <w:style w:type="character" w:customStyle="1" w:styleId="anchor-text">
    <w:name w:val="anchor-text"/>
    <w:basedOn w:val="DefaultParagraphFont"/>
    <w:rsid w:val="00644D2C"/>
  </w:style>
  <w:style w:type="character" w:styleId="Emphasis">
    <w:name w:val="Emphasis"/>
    <w:basedOn w:val="DefaultParagraphFont"/>
    <w:uiPriority w:val="20"/>
    <w:qFormat/>
    <w:rsid w:val="00644D2C"/>
    <w:rPr>
      <w:i/>
      <w:iCs/>
    </w:rPr>
  </w:style>
  <w:style w:type="character" w:customStyle="1" w:styleId="Heading1Char">
    <w:name w:val="Heading 1 Char"/>
    <w:basedOn w:val="DefaultParagraphFont"/>
    <w:link w:val="Heading1"/>
    <w:uiPriority w:val="9"/>
    <w:rsid w:val="00024B7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024B77"/>
  </w:style>
  <w:style w:type="character" w:styleId="FollowedHyperlink">
    <w:name w:val="FollowedHyperlink"/>
    <w:basedOn w:val="DefaultParagraphFont"/>
    <w:uiPriority w:val="99"/>
    <w:semiHidden/>
    <w:unhideWhenUsed/>
    <w:rsid w:val="00024B77"/>
    <w:rPr>
      <w:color w:val="954F72" w:themeColor="followedHyperlink"/>
      <w:u w:val="single"/>
    </w:rPr>
  </w:style>
  <w:style w:type="character" w:customStyle="1" w:styleId="highwire-citation-authors">
    <w:name w:val="highwire-citation-authors"/>
    <w:basedOn w:val="DefaultParagraphFont"/>
    <w:rsid w:val="00017F0C"/>
  </w:style>
  <w:style w:type="character" w:customStyle="1" w:styleId="highwire-citation-author">
    <w:name w:val="highwire-citation-author"/>
    <w:basedOn w:val="DefaultParagraphFont"/>
    <w:rsid w:val="00017F0C"/>
  </w:style>
  <w:style w:type="character" w:customStyle="1" w:styleId="highwire-cite-metadata-journal">
    <w:name w:val="highwire-cite-metadata-journal"/>
    <w:basedOn w:val="DefaultParagraphFont"/>
    <w:rsid w:val="00017F0C"/>
  </w:style>
  <w:style w:type="character" w:customStyle="1" w:styleId="highwire-cite-metadata-date">
    <w:name w:val="highwire-cite-metadata-date"/>
    <w:basedOn w:val="DefaultParagraphFont"/>
    <w:rsid w:val="00017F0C"/>
  </w:style>
  <w:style w:type="character" w:customStyle="1" w:styleId="highwire-cite-metadata-volume">
    <w:name w:val="highwire-cite-metadata-volume"/>
    <w:basedOn w:val="DefaultParagraphFont"/>
    <w:rsid w:val="00017F0C"/>
  </w:style>
  <w:style w:type="character" w:customStyle="1" w:styleId="highwire-cite-metadata-issue">
    <w:name w:val="highwire-cite-metadata-issue"/>
    <w:basedOn w:val="DefaultParagraphFont"/>
    <w:rsid w:val="00017F0C"/>
  </w:style>
  <w:style w:type="character" w:customStyle="1" w:styleId="highwire-cite-metadata-pages">
    <w:name w:val="highwire-cite-metadata-pages"/>
    <w:basedOn w:val="DefaultParagraphFont"/>
    <w:rsid w:val="00017F0C"/>
  </w:style>
  <w:style w:type="character" w:customStyle="1" w:styleId="highwire-cite-metadata-doi">
    <w:name w:val="highwire-cite-metadata-doi"/>
    <w:basedOn w:val="DefaultParagraphFont"/>
    <w:rsid w:val="00017F0C"/>
  </w:style>
  <w:style w:type="character" w:customStyle="1" w:styleId="nlm-given-names">
    <w:name w:val="nlm-given-names"/>
    <w:basedOn w:val="DefaultParagraphFont"/>
    <w:rsid w:val="00017F0C"/>
  </w:style>
  <w:style w:type="character" w:customStyle="1" w:styleId="nlm-surname">
    <w:name w:val="nlm-surname"/>
    <w:basedOn w:val="DefaultParagraphFont"/>
    <w:rsid w:val="00017F0C"/>
  </w:style>
  <w:style w:type="character" w:customStyle="1" w:styleId="label">
    <w:name w:val="label"/>
    <w:basedOn w:val="DefaultParagraphFont"/>
    <w:rsid w:val="00017F0C"/>
  </w:style>
  <w:style w:type="numbering" w:customStyle="1" w:styleId="ImportedStyle2">
    <w:name w:val="Imported Style 2"/>
    <w:rsid w:val="007C6108"/>
    <w:pPr>
      <w:numPr>
        <w:numId w:val="8"/>
      </w:numPr>
    </w:pPr>
  </w:style>
  <w:style w:type="character" w:customStyle="1" w:styleId="Hyperlink0">
    <w:name w:val="Hyperlink.0"/>
    <w:basedOn w:val="DefaultParagraphFont"/>
    <w:rsid w:val="007C6108"/>
    <w:rPr>
      <w:color w:val="0000FF"/>
      <w:u w:val="single" w:color="0000FF"/>
    </w:rPr>
  </w:style>
  <w:style w:type="character" w:customStyle="1" w:styleId="UnresolvedMention2">
    <w:name w:val="Unresolved Mention2"/>
    <w:basedOn w:val="DefaultParagraphFont"/>
    <w:uiPriority w:val="99"/>
    <w:semiHidden/>
    <w:unhideWhenUsed/>
    <w:rsid w:val="0061035A"/>
    <w:rPr>
      <w:color w:val="605E5C"/>
      <w:shd w:val="clear" w:color="auto" w:fill="E1DFDD"/>
    </w:rPr>
  </w:style>
  <w:style w:type="table" w:styleId="TableGrid">
    <w:name w:val="Table Grid"/>
    <w:basedOn w:val="TableNormal"/>
    <w:uiPriority w:val="39"/>
    <w:rsid w:val="000B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85A0E"/>
    <w:rPr>
      <w:color w:val="605E5C"/>
      <w:shd w:val="clear" w:color="auto" w:fill="E1DFDD"/>
    </w:rPr>
  </w:style>
  <w:style w:type="character" w:customStyle="1" w:styleId="UnresolvedMention30">
    <w:name w:val="Unresolved Mention3"/>
    <w:basedOn w:val="DefaultParagraphFont"/>
    <w:uiPriority w:val="99"/>
    <w:semiHidden/>
    <w:unhideWhenUsed/>
    <w:rsid w:val="00D4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0633">
      <w:bodyDiv w:val="1"/>
      <w:marLeft w:val="0"/>
      <w:marRight w:val="0"/>
      <w:marTop w:val="0"/>
      <w:marBottom w:val="0"/>
      <w:divBdr>
        <w:top w:val="none" w:sz="0" w:space="0" w:color="auto"/>
        <w:left w:val="none" w:sz="0" w:space="0" w:color="auto"/>
        <w:bottom w:val="none" w:sz="0" w:space="0" w:color="auto"/>
        <w:right w:val="none" w:sz="0" w:space="0" w:color="auto"/>
      </w:divBdr>
    </w:div>
    <w:div w:id="312872298">
      <w:bodyDiv w:val="1"/>
      <w:marLeft w:val="0"/>
      <w:marRight w:val="0"/>
      <w:marTop w:val="0"/>
      <w:marBottom w:val="0"/>
      <w:divBdr>
        <w:top w:val="none" w:sz="0" w:space="0" w:color="auto"/>
        <w:left w:val="none" w:sz="0" w:space="0" w:color="auto"/>
        <w:bottom w:val="none" w:sz="0" w:space="0" w:color="auto"/>
        <w:right w:val="none" w:sz="0" w:space="0" w:color="auto"/>
      </w:divBdr>
    </w:div>
    <w:div w:id="352390337">
      <w:bodyDiv w:val="1"/>
      <w:marLeft w:val="0"/>
      <w:marRight w:val="0"/>
      <w:marTop w:val="0"/>
      <w:marBottom w:val="0"/>
      <w:divBdr>
        <w:top w:val="none" w:sz="0" w:space="0" w:color="auto"/>
        <w:left w:val="none" w:sz="0" w:space="0" w:color="auto"/>
        <w:bottom w:val="none" w:sz="0" w:space="0" w:color="auto"/>
        <w:right w:val="none" w:sz="0" w:space="0" w:color="auto"/>
      </w:divBdr>
      <w:divsChild>
        <w:div w:id="58136283">
          <w:marLeft w:val="0"/>
          <w:marRight w:val="0"/>
          <w:marTop w:val="0"/>
          <w:marBottom w:val="0"/>
          <w:divBdr>
            <w:top w:val="none" w:sz="0" w:space="0" w:color="auto"/>
            <w:left w:val="none" w:sz="0" w:space="0" w:color="auto"/>
            <w:bottom w:val="none" w:sz="0" w:space="0" w:color="auto"/>
            <w:right w:val="none" w:sz="0" w:space="0" w:color="auto"/>
          </w:divBdr>
        </w:div>
        <w:div w:id="1539317579">
          <w:marLeft w:val="0"/>
          <w:marRight w:val="0"/>
          <w:marTop w:val="0"/>
          <w:marBottom w:val="0"/>
          <w:divBdr>
            <w:top w:val="none" w:sz="0" w:space="0" w:color="auto"/>
            <w:left w:val="none" w:sz="0" w:space="0" w:color="auto"/>
            <w:bottom w:val="none" w:sz="0" w:space="0" w:color="auto"/>
            <w:right w:val="none" w:sz="0" w:space="0" w:color="auto"/>
          </w:divBdr>
        </w:div>
        <w:div w:id="2146774108">
          <w:marLeft w:val="0"/>
          <w:marRight w:val="0"/>
          <w:marTop w:val="0"/>
          <w:marBottom w:val="0"/>
          <w:divBdr>
            <w:top w:val="none" w:sz="0" w:space="0" w:color="auto"/>
            <w:left w:val="none" w:sz="0" w:space="0" w:color="auto"/>
            <w:bottom w:val="none" w:sz="0" w:space="0" w:color="auto"/>
            <w:right w:val="none" w:sz="0" w:space="0" w:color="auto"/>
          </w:divBdr>
        </w:div>
        <w:div w:id="1773476733">
          <w:marLeft w:val="0"/>
          <w:marRight w:val="0"/>
          <w:marTop w:val="0"/>
          <w:marBottom w:val="0"/>
          <w:divBdr>
            <w:top w:val="none" w:sz="0" w:space="0" w:color="auto"/>
            <w:left w:val="none" w:sz="0" w:space="0" w:color="auto"/>
            <w:bottom w:val="none" w:sz="0" w:space="0" w:color="auto"/>
            <w:right w:val="none" w:sz="0" w:space="0" w:color="auto"/>
          </w:divBdr>
        </w:div>
        <w:div w:id="740909194">
          <w:marLeft w:val="0"/>
          <w:marRight w:val="0"/>
          <w:marTop w:val="0"/>
          <w:marBottom w:val="0"/>
          <w:divBdr>
            <w:top w:val="none" w:sz="0" w:space="0" w:color="auto"/>
            <w:left w:val="none" w:sz="0" w:space="0" w:color="auto"/>
            <w:bottom w:val="none" w:sz="0" w:space="0" w:color="auto"/>
            <w:right w:val="none" w:sz="0" w:space="0" w:color="auto"/>
          </w:divBdr>
        </w:div>
        <w:div w:id="777455122">
          <w:marLeft w:val="0"/>
          <w:marRight w:val="0"/>
          <w:marTop w:val="0"/>
          <w:marBottom w:val="0"/>
          <w:divBdr>
            <w:top w:val="none" w:sz="0" w:space="0" w:color="auto"/>
            <w:left w:val="none" w:sz="0" w:space="0" w:color="auto"/>
            <w:bottom w:val="none" w:sz="0" w:space="0" w:color="auto"/>
            <w:right w:val="none" w:sz="0" w:space="0" w:color="auto"/>
          </w:divBdr>
        </w:div>
        <w:div w:id="1652446799">
          <w:marLeft w:val="0"/>
          <w:marRight w:val="0"/>
          <w:marTop w:val="0"/>
          <w:marBottom w:val="0"/>
          <w:divBdr>
            <w:top w:val="none" w:sz="0" w:space="0" w:color="auto"/>
            <w:left w:val="none" w:sz="0" w:space="0" w:color="auto"/>
            <w:bottom w:val="none" w:sz="0" w:space="0" w:color="auto"/>
            <w:right w:val="none" w:sz="0" w:space="0" w:color="auto"/>
          </w:divBdr>
        </w:div>
        <w:div w:id="818156328">
          <w:marLeft w:val="0"/>
          <w:marRight w:val="0"/>
          <w:marTop w:val="0"/>
          <w:marBottom w:val="0"/>
          <w:divBdr>
            <w:top w:val="none" w:sz="0" w:space="0" w:color="auto"/>
            <w:left w:val="none" w:sz="0" w:space="0" w:color="auto"/>
            <w:bottom w:val="none" w:sz="0" w:space="0" w:color="auto"/>
            <w:right w:val="none" w:sz="0" w:space="0" w:color="auto"/>
          </w:divBdr>
        </w:div>
        <w:div w:id="1844322037">
          <w:marLeft w:val="0"/>
          <w:marRight w:val="0"/>
          <w:marTop w:val="0"/>
          <w:marBottom w:val="0"/>
          <w:divBdr>
            <w:top w:val="none" w:sz="0" w:space="0" w:color="auto"/>
            <w:left w:val="none" w:sz="0" w:space="0" w:color="auto"/>
            <w:bottom w:val="none" w:sz="0" w:space="0" w:color="auto"/>
            <w:right w:val="none" w:sz="0" w:space="0" w:color="auto"/>
          </w:divBdr>
        </w:div>
        <w:div w:id="677270766">
          <w:marLeft w:val="0"/>
          <w:marRight w:val="0"/>
          <w:marTop w:val="0"/>
          <w:marBottom w:val="0"/>
          <w:divBdr>
            <w:top w:val="none" w:sz="0" w:space="0" w:color="auto"/>
            <w:left w:val="none" w:sz="0" w:space="0" w:color="auto"/>
            <w:bottom w:val="none" w:sz="0" w:space="0" w:color="auto"/>
            <w:right w:val="none" w:sz="0" w:space="0" w:color="auto"/>
          </w:divBdr>
        </w:div>
        <w:div w:id="1209075536">
          <w:marLeft w:val="0"/>
          <w:marRight w:val="0"/>
          <w:marTop w:val="0"/>
          <w:marBottom w:val="0"/>
          <w:divBdr>
            <w:top w:val="none" w:sz="0" w:space="0" w:color="auto"/>
            <w:left w:val="none" w:sz="0" w:space="0" w:color="auto"/>
            <w:bottom w:val="none" w:sz="0" w:space="0" w:color="auto"/>
            <w:right w:val="none" w:sz="0" w:space="0" w:color="auto"/>
          </w:divBdr>
        </w:div>
        <w:div w:id="240146343">
          <w:marLeft w:val="0"/>
          <w:marRight w:val="0"/>
          <w:marTop w:val="0"/>
          <w:marBottom w:val="0"/>
          <w:divBdr>
            <w:top w:val="none" w:sz="0" w:space="0" w:color="auto"/>
            <w:left w:val="none" w:sz="0" w:space="0" w:color="auto"/>
            <w:bottom w:val="none" w:sz="0" w:space="0" w:color="auto"/>
            <w:right w:val="none" w:sz="0" w:space="0" w:color="auto"/>
          </w:divBdr>
        </w:div>
        <w:div w:id="1127433490">
          <w:marLeft w:val="0"/>
          <w:marRight w:val="0"/>
          <w:marTop w:val="0"/>
          <w:marBottom w:val="0"/>
          <w:divBdr>
            <w:top w:val="none" w:sz="0" w:space="0" w:color="auto"/>
            <w:left w:val="none" w:sz="0" w:space="0" w:color="auto"/>
            <w:bottom w:val="none" w:sz="0" w:space="0" w:color="auto"/>
            <w:right w:val="none" w:sz="0" w:space="0" w:color="auto"/>
          </w:divBdr>
        </w:div>
        <w:div w:id="1808889353">
          <w:marLeft w:val="0"/>
          <w:marRight w:val="0"/>
          <w:marTop w:val="0"/>
          <w:marBottom w:val="0"/>
          <w:divBdr>
            <w:top w:val="none" w:sz="0" w:space="0" w:color="auto"/>
            <w:left w:val="none" w:sz="0" w:space="0" w:color="auto"/>
            <w:bottom w:val="none" w:sz="0" w:space="0" w:color="auto"/>
            <w:right w:val="none" w:sz="0" w:space="0" w:color="auto"/>
          </w:divBdr>
        </w:div>
        <w:div w:id="1703094881">
          <w:marLeft w:val="0"/>
          <w:marRight w:val="0"/>
          <w:marTop w:val="0"/>
          <w:marBottom w:val="0"/>
          <w:divBdr>
            <w:top w:val="none" w:sz="0" w:space="0" w:color="auto"/>
            <w:left w:val="none" w:sz="0" w:space="0" w:color="auto"/>
            <w:bottom w:val="none" w:sz="0" w:space="0" w:color="auto"/>
            <w:right w:val="none" w:sz="0" w:space="0" w:color="auto"/>
          </w:divBdr>
        </w:div>
        <w:div w:id="1436512476">
          <w:marLeft w:val="0"/>
          <w:marRight w:val="0"/>
          <w:marTop w:val="0"/>
          <w:marBottom w:val="0"/>
          <w:divBdr>
            <w:top w:val="none" w:sz="0" w:space="0" w:color="auto"/>
            <w:left w:val="none" w:sz="0" w:space="0" w:color="auto"/>
            <w:bottom w:val="none" w:sz="0" w:space="0" w:color="auto"/>
            <w:right w:val="none" w:sz="0" w:space="0" w:color="auto"/>
          </w:divBdr>
        </w:div>
        <w:div w:id="1492333847">
          <w:marLeft w:val="0"/>
          <w:marRight w:val="0"/>
          <w:marTop w:val="0"/>
          <w:marBottom w:val="0"/>
          <w:divBdr>
            <w:top w:val="none" w:sz="0" w:space="0" w:color="auto"/>
            <w:left w:val="none" w:sz="0" w:space="0" w:color="auto"/>
            <w:bottom w:val="none" w:sz="0" w:space="0" w:color="auto"/>
            <w:right w:val="none" w:sz="0" w:space="0" w:color="auto"/>
          </w:divBdr>
        </w:div>
        <w:div w:id="1334339633">
          <w:marLeft w:val="0"/>
          <w:marRight w:val="0"/>
          <w:marTop w:val="0"/>
          <w:marBottom w:val="0"/>
          <w:divBdr>
            <w:top w:val="none" w:sz="0" w:space="0" w:color="auto"/>
            <w:left w:val="none" w:sz="0" w:space="0" w:color="auto"/>
            <w:bottom w:val="none" w:sz="0" w:space="0" w:color="auto"/>
            <w:right w:val="none" w:sz="0" w:space="0" w:color="auto"/>
          </w:divBdr>
        </w:div>
        <w:div w:id="1050811182">
          <w:marLeft w:val="0"/>
          <w:marRight w:val="0"/>
          <w:marTop w:val="0"/>
          <w:marBottom w:val="0"/>
          <w:divBdr>
            <w:top w:val="none" w:sz="0" w:space="0" w:color="auto"/>
            <w:left w:val="none" w:sz="0" w:space="0" w:color="auto"/>
            <w:bottom w:val="none" w:sz="0" w:space="0" w:color="auto"/>
            <w:right w:val="none" w:sz="0" w:space="0" w:color="auto"/>
          </w:divBdr>
        </w:div>
        <w:div w:id="946497507">
          <w:marLeft w:val="0"/>
          <w:marRight w:val="0"/>
          <w:marTop w:val="0"/>
          <w:marBottom w:val="0"/>
          <w:divBdr>
            <w:top w:val="none" w:sz="0" w:space="0" w:color="auto"/>
            <w:left w:val="none" w:sz="0" w:space="0" w:color="auto"/>
            <w:bottom w:val="none" w:sz="0" w:space="0" w:color="auto"/>
            <w:right w:val="none" w:sz="0" w:space="0" w:color="auto"/>
          </w:divBdr>
        </w:div>
        <w:div w:id="68619321">
          <w:marLeft w:val="0"/>
          <w:marRight w:val="0"/>
          <w:marTop w:val="0"/>
          <w:marBottom w:val="0"/>
          <w:divBdr>
            <w:top w:val="none" w:sz="0" w:space="0" w:color="auto"/>
            <w:left w:val="none" w:sz="0" w:space="0" w:color="auto"/>
            <w:bottom w:val="none" w:sz="0" w:space="0" w:color="auto"/>
            <w:right w:val="none" w:sz="0" w:space="0" w:color="auto"/>
          </w:divBdr>
        </w:div>
        <w:div w:id="2024741937">
          <w:marLeft w:val="0"/>
          <w:marRight w:val="0"/>
          <w:marTop w:val="0"/>
          <w:marBottom w:val="0"/>
          <w:divBdr>
            <w:top w:val="none" w:sz="0" w:space="0" w:color="auto"/>
            <w:left w:val="none" w:sz="0" w:space="0" w:color="auto"/>
            <w:bottom w:val="none" w:sz="0" w:space="0" w:color="auto"/>
            <w:right w:val="none" w:sz="0" w:space="0" w:color="auto"/>
          </w:divBdr>
        </w:div>
        <w:div w:id="572273061">
          <w:marLeft w:val="0"/>
          <w:marRight w:val="0"/>
          <w:marTop w:val="0"/>
          <w:marBottom w:val="0"/>
          <w:divBdr>
            <w:top w:val="none" w:sz="0" w:space="0" w:color="auto"/>
            <w:left w:val="none" w:sz="0" w:space="0" w:color="auto"/>
            <w:bottom w:val="none" w:sz="0" w:space="0" w:color="auto"/>
            <w:right w:val="none" w:sz="0" w:space="0" w:color="auto"/>
          </w:divBdr>
        </w:div>
        <w:div w:id="193084754">
          <w:marLeft w:val="0"/>
          <w:marRight w:val="0"/>
          <w:marTop w:val="0"/>
          <w:marBottom w:val="0"/>
          <w:divBdr>
            <w:top w:val="none" w:sz="0" w:space="0" w:color="auto"/>
            <w:left w:val="none" w:sz="0" w:space="0" w:color="auto"/>
            <w:bottom w:val="none" w:sz="0" w:space="0" w:color="auto"/>
            <w:right w:val="none" w:sz="0" w:space="0" w:color="auto"/>
          </w:divBdr>
        </w:div>
        <w:div w:id="322509042">
          <w:marLeft w:val="0"/>
          <w:marRight w:val="0"/>
          <w:marTop w:val="0"/>
          <w:marBottom w:val="0"/>
          <w:divBdr>
            <w:top w:val="none" w:sz="0" w:space="0" w:color="auto"/>
            <w:left w:val="none" w:sz="0" w:space="0" w:color="auto"/>
            <w:bottom w:val="none" w:sz="0" w:space="0" w:color="auto"/>
            <w:right w:val="none" w:sz="0" w:space="0" w:color="auto"/>
          </w:divBdr>
        </w:div>
        <w:div w:id="316420795">
          <w:marLeft w:val="0"/>
          <w:marRight w:val="0"/>
          <w:marTop w:val="0"/>
          <w:marBottom w:val="0"/>
          <w:divBdr>
            <w:top w:val="none" w:sz="0" w:space="0" w:color="auto"/>
            <w:left w:val="none" w:sz="0" w:space="0" w:color="auto"/>
            <w:bottom w:val="none" w:sz="0" w:space="0" w:color="auto"/>
            <w:right w:val="none" w:sz="0" w:space="0" w:color="auto"/>
          </w:divBdr>
        </w:div>
        <w:div w:id="1036005803">
          <w:marLeft w:val="0"/>
          <w:marRight w:val="0"/>
          <w:marTop w:val="0"/>
          <w:marBottom w:val="0"/>
          <w:divBdr>
            <w:top w:val="none" w:sz="0" w:space="0" w:color="auto"/>
            <w:left w:val="none" w:sz="0" w:space="0" w:color="auto"/>
            <w:bottom w:val="none" w:sz="0" w:space="0" w:color="auto"/>
            <w:right w:val="none" w:sz="0" w:space="0" w:color="auto"/>
          </w:divBdr>
        </w:div>
        <w:div w:id="292374127">
          <w:marLeft w:val="0"/>
          <w:marRight w:val="0"/>
          <w:marTop w:val="0"/>
          <w:marBottom w:val="0"/>
          <w:divBdr>
            <w:top w:val="none" w:sz="0" w:space="0" w:color="auto"/>
            <w:left w:val="none" w:sz="0" w:space="0" w:color="auto"/>
            <w:bottom w:val="none" w:sz="0" w:space="0" w:color="auto"/>
            <w:right w:val="none" w:sz="0" w:space="0" w:color="auto"/>
          </w:divBdr>
        </w:div>
        <w:div w:id="981886402">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262566392">
          <w:marLeft w:val="0"/>
          <w:marRight w:val="0"/>
          <w:marTop w:val="0"/>
          <w:marBottom w:val="0"/>
          <w:divBdr>
            <w:top w:val="none" w:sz="0" w:space="0" w:color="auto"/>
            <w:left w:val="none" w:sz="0" w:space="0" w:color="auto"/>
            <w:bottom w:val="none" w:sz="0" w:space="0" w:color="auto"/>
            <w:right w:val="none" w:sz="0" w:space="0" w:color="auto"/>
          </w:divBdr>
        </w:div>
        <w:div w:id="1152868165">
          <w:marLeft w:val="0"/>
          <w:marRight w:val="0"/>
          <w:marTop w:val="0"/>
          <w:marBottom w:val="0"/>
          <w:divBdr>
            <w:top w:val="none" w:sz="0" w:space="0" w:color="auto"/>
            <w:left w:val="none" w:sz="0" w:space="0" w:color="auto"/>
            <w:bottom w:val="none" w:sz="0" w:space="0" w:color="auto"/>
            <w:right w:val="none" w:sz="0" w:space="0" w:color="auto"/>
          </w:divBdr>
        </w:div>
        <w:div w:id="112024069">
          <w:marLeft w:val="0"/>
          <w:marRight w:val="0"/>
          <w:marTop w:val="0"/>
          <w:marBottom w:val="0"/>
          <w:divBdr>
            <w:top w:val="none" w:sz="0" w:space="0" w:color="auto"/>
            <w:left w:val="none" w:sz="0" w:space="0" w:color="auto"/>
            <w:bottom w:val="none" w:sz="0" w:space="0" w:color="auto"/>
            <w:right w:val="none" w:sz="0" w:space="0" w:color="auto"/>
          </w:divBdr>
        </w:div>
        <w:div w:id="546526111">
          <w:marLeft w:val="0"/>
          <w:marRight w:val="0"/>
          <w:marTop w:val="0"/>
          <w:marBottom w:val="0"/>
          <w:divBdr>
            <w:top w:val="none" w:sz="0" w:space="0" w:color="auto"/>
            <w:left w:val="none" w:sz="0" w:space="0" w:color="auto"/>
            <w:bottom w:val="none" w:sz="0" w:space="0" w:color="auto"/>
            <w:right w:val="none" w:sz="0" w:space="0" w:color="auto"/>
          </w:divBdr>
        </w:div>
        <w:div w:id="249511826">
          <w:marLeft w:val="0"/>
          <w:marRight w:val="0"/>
          <w:marTop w:val="0"/>
          <w:marBottom w:val="0"/>
          <w:divBdr>
            <w:top w:val="none" w:sz="0" w:space="0" w:color="auto"/>
            <w:left w:val="none" w:sz="0" w:space="0" w:color="auto"/>
            <w:bottom w:val="none" w:sz="0" w:space="0" w:color="auto"/>
            <w:right w:val="none" w:sz="0" w:space="0" w:color="auto"/>
          </w:divBdr>
        </w:div>
        <w:div w:id="1906791506">
          <w:marLeft w:val="0"/>
          <w:marRight w:val="0"/>
          <w:marTop w:val="0"/>
          <w:marBottom w:val="0"/>
          <w:divBdr>
            <w:top w:val="none" w:sz="0" w:space="0" w:color="auto"/>
            <w:left w:val="none" w:sz="0" w:space="0" w:color="auto"/>
            <w:bottom w:val="none" w:sz="0" w:space="0" w:color="auto"/>
            <w:right w:val="none" w:sz="0" w:space="0" w:color="auto"/>
          </w:divBdr>
        </w:div>
        <w:div w:id="1833790787">
          <w:marLeft w:val="0"/>
          <w:marRight w:val="0"/>
          <w:marTop w:val="0"/>
          <w:marBottom w:val="0"/>
          <w:divBdr>
            <w:top w:val="none" w:sz="0" w:space="0" w:color="auto"/>
            <w:left w:val="none" w:sz="0" w:space="0" w:color="auto"/>
            <w:bottom w:val="none" w:sz="0" w:space="0" w:color="auto"/>
            <w:right w:val="none" w:sz="0" w:space="0" w:color="auto"/>
          </w:divBdr>
        </w:div>
        <w:div w:id="1143815672">
          <w:marLeft w:val="0"/>
          <w:marRight w:val="0"/>
          <w:marTop w:val="0"/>
          <w:marBottom w:val="0"/>
          <w:divBdr>
            <w:top w:val="none" w:sz="0" w:space="0" w:color="auto"/>
            <w:left w:val="none" w:sz="0" w:space="0" w:color="auto"/>
            <w:bottom w:val="none" w:sz="0" w:space="0" w:color="auto"/>
            <w:right w:val="none" w:sz="0" w:space="0" w:color="auto"/>
          </w:divBdr>
        </w:div>
        <w:div w:id="1673409420">
          <w:marLeft w:val="0"/>
          <w:marRight w:val="0"/>
          <w:marTop w:val="0"/>
          <w:marBottom w:val="0"/>
          <w:divBdr>
            <w:top w:val="none" w:sz="0" w:space="0" w:color="auto"/>
            <w:left w:val="none" w:sz="0" w:space="0" w:color="auto"/>
            <w:bottom w:val="none" w:sz="0" w:space="0" w:color="auto"/>
            <w:right w:val="none" w:sz="0" w:space="0" w:color="auto"/>
          </w:divBdr>
        </w:div>
        <w:div w:id="319312509">
          <w:marLeft w:val="0"/>
          <w:marRight w:val="0"/>
          <w:marTop w:val="0"/>
          <w:marBottom w:val="0"/>
          <w:divBdr>
            <w:top w:val="none" w:sz="0" w:space="0" w:color="auto"/>
            <w:left w:val="none" w:sz="0" w:space="0" w:color="auto"/>
            <w:bottom w:val="none" w:sz="0" w:space="0" w:color="auto"/>
            <w:right w:val="none" w:sz="0" w:space="0" w:color="auto"/>
          </w:divBdr>
        </w:div>
      </w:divsChild>
    </w:div>
    <w:div w:id="434712208">
      <w:bodyDiv w:val="1"/>
      <w:marLeft w:val="0"/>
      <w:marRight w:val="0"/>
      <w:marTop w:val="0"/>
      <w:marBottom w:val="0"/>
      <w:divBdr>
        <w:top w:val="none" w:sz="0" w:space="0" w:color="auto"/>
        <w:left w:val="none" w:sz="0" w:space="0" w:color="auto"/>
        <w:bottom w:val="none" w:sz="0" w:space="0" w:color="auto"/>
        <w:right w:val="none" w:sz="0" w:space="0" w:color="auto"/>
      </w:divBdr>
    </w:div>
    <w:div w:id="459885871">
      <w:bodyDiv w:val="1"/>
      <w:marLeft w:val="0"/>
      <w:marRight w:val="0"/>
      <w:marTop w:val="0"/>
      <w:marBottom w:val="0"/>
      <w:divBdr>
        <w:top w:val="none" w:sz="0" w:space="0" w:color="auto"/>
        <w:left w:val="none" w:sz="0" w:space="0" w:color="auto"/>
        <w:bottom w:val="none" w:sz="0" w:space="0" w:color="auto"/>
        <w:right w:val="none" w:sz="0" w:space="0" w:color="auto"/>
      </w:divBdr>
      <w:divsChild>
        <w:div w:id="967856466">
          <w:marLeft w:val="0"/>
          <w:marRight w:val="0"/>
          <w:marTop w:val="0"/>
          <w:marBottom w:val="0"/>
          <w:divBdr>
            <w:top w:val="none" w:sz="0" w:space="0" w:color="auto"/>
            <w:left w:val="none" w:sz="0" w:space="0" w:color="auto"/>
            <w:bottom w:val="none" w:sz="0" w:space="0" w:color="auto"/>
            <w:right w:val="none" w:sz="0" w:space="0" w:color="auto"/>
          </w:divBdr>
        </w:div>
        <w:div w:id="1534994688">
          <w:marLeft w:val="0"/>
          <w:marRight w:val="0"/>
          <w:marTop w:val="75"/>
          <w:marBottom w:val="0"/>
          <w:divBdr>
            <w:top w:val="none" w:sz="0" w:space="0" w:color="auto"/>
            <w:left w:val="none" w:sz="0" w:space="0" w:color="auto"/>
            <w:bottom w:val="none" w:sz="0" w:space="0" w:color="auto"/>
            <w:right w:val="none" w:sz="0" w:space="0" w:color="auto"/>
          </w:divBdr>
        </w:div>
        <w:div w:id="1820610613">
          <w:marLeft w:val="0"/>
          <w:marRight w:val="0"/>
          <w:marTop w:val="75"/>
          <w:marBottom w:val="0"/>
          <w:divBdr>
            <w:top w:val="none" w:sz="0" w:space="0" w:color="auto"/>
            <w:left w:val="none" w:sz="0" w:space="0" w:color="auto"/>
            <w:bottom w:val="none" w:sz="0" w:space="0" w:color="auto"/>
            <w:right w:val="none" w:sz="0" w:space="0" w:color="auto"/>
          </w:divBdr>
        </w:div>
      </w:divsChild>
    </w:div>
    <w:div w:id="481894965">
      <w:bodyDiv w:val="1"/>
      <w:marLeft w:val="0"/>
      <w:marRight w:val="0"/>
      <w:marTop w:val="0"/>
      <w:marBottom w:val="0"/>
      <w:divBdr>
        <w:top w:val="none" w:sz="0" w:space="0" w:color="auto"/>
        <w:left w:val="none" w:sz="0" w:space="0" w:color="auto"/>
        <w:bottom w:val="none" w:sz="0" w:space="0" w:color="auto"/>
        <w:right w:val="none" w:sz="0" w:space="0" w:color="auto"/>
      </w:divBdr>
    </w:div>
    <w:div w:id="483006242">
      <w:bodyDiv w:val="1"/>
      <w:marLeft w:val="0"/>
      <w:marRight w:val="0"/>
      <w:marTop w:val="0"/>
      <w:marBottom w:val="0"/>
      <w:divBdr>
        <w:top w:val="none" w:sz="0" w:space="0" w:color="auto"/>
        <w:left w:val="none" w:sz="0" w:space="0" w:color="auto"/>
        <w:bottom w:val="none" w:sz="0" w:space="0" w:color="auto"/>
        <w:right w:val="none" w:sz="0" w:space="0" w:color="auto"/>
      </w:divBdr>
    </w:div>
    <w:div w:id="485243754">
      <w:bodyDiv w:val="1"/>
      <w:marLeft w:val="0"/>
      <w:marRight w:val="0"/>
      <w:marTop w:val="0"/>
      <w:marBottom w:val="0"/>
      <w:divBdr>
        <w:top w:val="none" w:sz="0" w:space="0" w:color="auto"/>
        <w:left w:val="none" w:sz="0" w:space="0" w:color="auto"/>
        <w:bottom w:val="none" w:sz="0" w:space="0" w:color="auto"/>
        <w:right w:val="none" w:sz="0" w:space="0" w:color="auto"/>
      </w:divBdr>
      <w:divsChild>
        <w:div w:id="79976258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04359394">
              <w:marLeft w:val="0"/>
              <w:marRight w:val="0"/>
              <w:marTop w:val="0"/>
              <w:marBottom w:val="0"/>
              <w:divBdr>
                <w:top w:val="none" w:sz="0" w:space="0" w:color="auto"/>
                <w:left w:val="none" w:sz="0" w:space="0" w:color="auto"/>
                <w:bottom w:val="none" w:sz="0" w:space="0" w:color="auto"/>
                <w:right w:val="none" w:sz="0" w:space="0" w:color="auto"/>
              </w:divBdr>
              <w:divsChild>
                <w:div w:id="1602714399">
                  <w:marLeft w:val="0"/>
                  <w:marRight w:val="0"/>
                  <w:marTop w:val="0"/>
                  <w:marBottom w:val="0"/>
                  <w:divBdr>
                    <w:top w:val="none" w:sz="0" w:space="0" w:color="auto"/>
                    <w:left w:val="none" w:sz="0" w:space="0" w:color="auto"/>
                    <w:bottom w:val="none" w:sz="0" w:space="0" w:color="auto"/>
                    <w:right w:val="none" w:sz="0" w:space="0" w:color="auto"/>
                  </w:divBdr>
                  <w:divsChild>
                    <w:div w:id="157310788">
                      <w:marLeft w:val="0"/>
                      <w:marRight w:val="0"/>
                      <w:marTop w:val="0"/>
                      <w:marBottom w:val="0"/>
                      <w:divBdr>
                        <w:top w:val="none" w:sz="0" w:space="0" w:color="auto"/>
                        <w:left w:val="none" w:sz="0" w:space="0" w:color="auto"/>
                        <w:bottom w:val="none" w:sz="0" w:space="0" w:color="auto"/>
                        <w:right w:val="none" w:sz="0" w:space="0" w:color="auto"/>
                      </w:divBdr>
                      <w:divsChild>
                        <w:div w:id="199945798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68999863">
                              <w:marLeft w:val="0"/>
                              <w:marRight w:val="0"/>
                              <w:marTop w:val="0"/>
                              <w:marBottom w:val="0"/>
                              <w:divBdr>
                                <w:top w:val="none" w:sz="0" w:space="0" w:color="auto"/>
                                <w:left w:val="none" w:sz="0" w:space="0" w:color="auto"/>
                                <w:bottom w:val="none" w:sz="0" w:space="0" w:color="auto"/>
                                <w:right w:val="none" w:sz="0" w:space="0" w:color="auto"/>
                              </w:divBdr>
                              <w:divsChild>
                                <w:div w:id="1408772246">
                                  <w:marLeft w:val="0"/>
                                  <w:marRight w:val="0"/>
                                  <w:marTop w:val="0"/>
                                  <w:marBottom w:val="0"/>
                                  <w:divBdr>
                                    <w:top w:val="none" w:sz="0" w:space="0" w:color="auto"/>
                                    <w:left w:val="none" w:sz="0" w:space="0" w:color="auto"/>
                                    <w:bottom w:val="none" w:sz="0" w:space="0" w:color="auto"/>
                                    <w:right w:val="none" w:sz="0" w:space="0" w:color="auto"/>
                                  </w:divBdr>
                                  <w:divsChild>
                                    <w:div w:id="602956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28247">
                                          <w:marLeft w:val="0"/>
                                          <w:marRight w:val="0"/>
                                          <w:marTop w:val="0"/>
                                          <w:marBottom w:val="0"/>
                                          <w:divBdr>
                                            <w:top w:val="none" w:sz="0" w:space="0" w:color="auto"/>
                                            <w:left w:val="none" w:sz="0" w:space="0" w:color="auto"/>
                                            <w:bottom w:val="none" w:sz="0" w:space="0" w:color="auto"/>
                                            <w:right w:val="none" w:sz="0" w:space="0" w:color="auto"/>
                                          </w:divBdr>
                                          <w:divsChild>
                                            <w:div w:id="1737391316">
                                              <w:marLeft w:val="0"/>
                                              <w:marRight w:val="0"/>
                                              <w:marTop w:val="0"/>
                                              <w:marBottom w:val="0"/>
                                              <w:divBdr>
                                                <w:top w:val="none" w:sz="0" w:space="0" w:color="auto"/>
                                                <w:left w:val="none" w:sz="0" w:space="0" w:color="auto"/>
                                                <w:bottom w:val="none" w:sz="0" w:space="0" w:color="auto"/>
                                                <w:right w:val="none" w:sz="0" w:space="0" w:color="auto"/>
                                              </w:divBdr>
                                              <w:divsChild>
                                                <w:div w:id="96457738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330522278">
                                                      <w:marLeft w:val="0"/>
                                                      <w:marRight w:val="0"/>
                                                      <w:marTop w:val="0"/>
                                                      <w:marBottom w:val="0"/>
                                                      <w:divBdr>
                                                        <w:top w:val="none" w:sz="0" w:space="0" w:color="auto"/>
                                                        <w:left w:val="none" w:sz="0" w:space="0" w:color="auto"/>
                                                        <w:bottom w:val="none" w:sz="0" w:space="0" w:color="auto"/>
                                                        <w:right w:val="none" w:sz="0" w:space="0" w:color="auto"/>
                                                      </w:divBdr>
                                                      <w:divsChild>
                                                        <w:div w:id="1128429347">
                                                          <w:marLeft w:val="0"/>
                                                          <w:marRight w:val="0"/>
                                                          <w:marTop w:val="0"/>
                                                          <w:marBottom w:val="0"/>
                                                          <w:divBdr>
                                                            <w:top w:val="none" w:sz="0" w:space="0" w:color="auto"/>
                                                            <w:left w:val="none" w:sz="0" w:space="0" w:color="auto"/>
                                                            <w:bottom w:val="none" w:sz="0" w:space="0" w:color="auto"/>
                                                            <w:right w:val="none" w:sz="0" w:space="0" w:color="auto"/>
                                                          </w:divBdr>
                                                          <w:divsChild>
                                                            <w:div w:id="1603217689">
                                                              <w:marLeft w:val="0"/>
                                                              <w:marRight w:val="0"/>
                                                              <w:marTop w:val="0"/>
                                                              <w:marBottom w:val="0"/>
                                                              <w:divBdr>
                                                                <w:top w:val="none" w:sz="0" w:space="0" w:color="auto"/>
                                                                <w:left w:val="none" w:sz="0" w:space="0" w:color="auto"/>
                                                                <w:bottom w:val="none" w:sz="0" w:space="0" w:color="auto"/>
                                                                <w:right w:val="none" w:sz="0" w:space="0" w:color="auto"/>
                                                              </w:divBdr>
                                                              <w:divsChild>
                                                                <w:div w:id="209979335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604459524">
                                                                      <w:marLeft w:val="0"/>
                                                                      <w:marRight w:val="0"/>
                                                                      <w:marTop w:val="0"/>
                                                                      <w:marBottom w:val="0"/>
                                                                      <w:divBdr>
                                                                        <w:top w:val="none" w:sz="0" w:space="0" w:color="auto"/>
                                                                        <w:left w:val="none" w:sz="0" w:space="0" w:color="auto"/>
                                                                        <w:bottom w:val="none" w:sz="0" w:space="0" w:color="auto"/>
                                                                        <w:right w:val="none" w:sz="0" w:space="0" w:color="auto"/>
                                                                      </w:divBdr>
                                                                      <w:divsChild>
                                                                        <w:div w:id="2088071427">
                                                                          <w:marLeft w:val="0"/>
                                                                          <w:marRight w:val="0"/>
                                                                          <w:marTop w:val="0"/>
                                                                          <w:marBottom w:val="0"/>
                                                                          <w:divBdr>
                                                                            <w:top w:val="none" w:sz="0" w:space="0" w:color="auto"/>
                                                                            <w:left w:val="none" w:sz="0" w:space="0" w:color="auto"/>
                                                                            <w:bottom w:val="none" w:sz="0" w:space="0" w:color="auto"/>
                                                                            <w:right w:val="none" w:sz="0" w:space="0" w:color="auto"/>
                                                                          </w:divBdr>
                                                                          <w:divsChild>
                                                                            <w:div w:id="183716682">
                                                                              <w:marLeft w:val="0"/>
                                                                              <w:marRight w:val="0"/>
                                                                              <w:marTop w:val="0"/>
                                                                              <w:marBottom w:val="0"/>
                                                                              <w:divBdr>
                                                                                <w:top w:val="none" w:sz="0" w:space="0" w:color="auto"/>
                                                                                <w:left w:val="none" w:sz="0" w:space="0" w:color="auto"/>
                                                                                <w:bottom w:val="none" w:sz="0" w:space="0" w:color="auto"/>
                                                                                <w:right w:val="none" w:sz="0" w:space="0" w:color="auto"/>
                                                                              </w:divBdr>
                                                                              <w:divsChild>
                                                                                <w:div w:id="341904425">
                                                                                  <w:marLeft w:val="0"/>
                                                                                  <w:marRight w:val="0"/>
                                                                                  <w:marTop w:val="0"/>
                                                                                  <w:marBottom w:val="0"/>
                                                                                  <w:divBdr>
                                                                                    <w:top w:val="none" w:sz="0" w:space="0" w:color="auto"/>
                                                                                    <w:left w:val="none" w:sz="0" w:space="0" w:color="auto"/>
                                                                                    <w:bottom w:val="none" w:sz="0" w:space="0" w:color="auto"/>
                                                                                    <w:right w:val="none" w:sz="0" w:space="0" w:color="auto"/>
                                                                                  </w:divBdr>
                                                                                  <w:divsChild>
                                                                                    <w:div w:id="11529216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931042886">
                                                                                          <w:marLeft w:val="0"/>
                                                                                          <w:marRight w:val="0"/>
                                                                                          <w:marTop w:val="0"/>
                                                                                          <w:marBottom w:val="0"/>
                                                                                          <w:divBdr>
                                                                                            <w:top w:val="none" w:sz="0" w:space="0" w:color="auto"/>
                                                                                            <w:left w:val="none" w:sz="0" w:space="0" w:color="auto"/>
                                                                                            <w:bottom w:val="none" w:sz="0" w:space="0" w:color="auto"/>
                                                                                            <w:right w:val="none" w:sz="0" w:space="0" w:color="auto"/>
                                                                                          </w:divBdr>
                                                                                          <w:divsChild>
                                                                                            <w:div w:id="847603829">
                                                                                              <w:marLeft w:val="0"/>
                                                                                              <w:marRight w:val="0"/>
                                                                                              <w:marTop w:val="0"/>
                                                                                              <w:marBottom w:val="0"/>
                                                                                              <w:divBdr>
                                                                                                <w:top w:val="none" w:sz="0" w:space="0" w:color="auto"/>
                                                                                                <w:left w:val="none" w:sz="0" w:space="0" w:color="auto"/>
                                                                                                <w:bottom w:val="none" w:sz="0" w:space="0" w:color="auto"/>
                                                                                                <w:right w:val="none" w:sz="0" w:space="0" w:color="auto"/>
                                                                                              </w:divBdr>
                                                                                              <w:divsChild>
                                                                                                <w:div w:id="116346851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9733473">
                                                                                                      <w:marLeft w:val="0"/>
                                                                                                      <w:marRight w:val="0"/>
                                                                                                      <w:marTop w:val="0"/>
                                                                                                      <w:marBottom w:val="0"/>
                                                                                                      <w:divBdr>
                                                                                                        <w:top w:val="none" w:sz="0" w:space="0" w:color="auto"/>
                                                                                                        <w:left w:val="none" w:sz="0" w:space="0" w:color="auto"/>
                                                                                                        <w:bottom w:val="none" w:sz="0" w:space="0" w:color="auto"/>
                                                                                                        <w:right w:val="none" w:sz="0" w:space="0" w:color="auto"/>
                                                                                                      </w:divBdr>
                                                                                                      <w:divsChild>
                                                                                                        <w:div w:id="1205019940">
                                                                                                          <w:marLeft w:val="0"/>
                                                                                                          <w:marRight w:val="0"/>
                                                                                                          <w:marTop w:val="0"/>
                                                                                                          <w:marBottom w:val="0"/>
                                                                                                          <w:divBdr>
                                                                                                            <w:top w:val="none" w:sz="0" w:space="0" w:color="auto"/>
                                                                                                            <w:left w:val="none" w:sz="0" w:space="0" w:color="auto"/>
                                                                                                            <w:bottom w:val="none" w:sz="0" w:space="0" w:color="auto"/>
                                                                                                            <w:right w:val="none" w:sz="0" w:space="0" w:color="auto"/>
                                                                                                          </w:divBdr>
                                                                                                          <w:divsChild>
                                                                                                            <w:div w:id="2069063272">
                                                                                                              <w:marLeft w:val="0"/>
                                                                                                              <w:marRight w:val="0"/>
                                                                                                              <w:marTop w:val="0"/>
                                                                                                              <w:marBottom w:val="0"/>
                                                                                                              <w:divBdr>
                                                                                                                <w:top w:val="none" w:sz="0" w:space="0" w:color="auto"/>
                                                                                                                <w:left w:val="none" w:sz="0" w:space="0" w:color="auto"/>
                                                                                                                <w:bottom w:val="none" w:sz="0" w:space="0" w:color="auto"/>
                                                                                                                <w:right w:val="none" w:sz="0" w:space="0" w:color="auto"/>
                                                                                                              </w:divBdr>
                                                                                                              <w:divsChild>
                                                                                                                <w:div w:id="142148599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4478275">
                                                                                                                      <w:marLeft w:val="0"/>
                                                                                                                      <w:marRight w:val="0"/>
                                                                                                                      <w:marTop w:val="0"/>
                                                                                                                      <w:marBottom w:val="0"/>
                                                                                                                      <w:divBdr>
                                                                                                                        <w:top w:val="none" w:sz="0" w:space="0" w:color="auto"/>
                                                                                                                        <w:left w:val="none" w:sz="0" w:space="0" w:color="auto"/>
                                                                                                                        <w:bottom w:val="none" w:sz="0" w:space="0" w:color="auto"/>
                                                                                                                        <w:right w:val="none" w:sz="0" w:space="0" w:color="auto"/>
                                                                                                                      </w:divBdr>
                                                                                                                      <w:divsChild>
                                                                                                                        <w:div w:id="789277575">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610428390">
                                                                                                                              <w:marLeft w:val="0"/>
                                                                                                                              <w:marRight w:val="0"/>
                                                                                                                              <w:marTop w:val="0"/>
                                                                                                                              <w:marBottom w:val="0"/>
                                                                                                                              <w:divBdr>
                                                                                                                                <w:top w:val="none" w:sz="0" w:space="0" w:color="auto"/>
                                                                                                                                <w:left w:val="none" w:sz="0" w:space="0" w:color="auto"/>
                                                                                                                                <w:bottom w:val="none" w:sz="0" w:space="0" w:color="auto"/>
                                                                                                                                <w:right w:val="none" w:sz="0" w:space="0" w:color="auto"/>
                                                                                                                              </w:divBdr>
                                                                                                                              <w:divsChild>
                                                                                                                                <w:div w:id="1186167025">
                                                                                                                                  <w:marLeft w:val="0"/>
                                                                                                                                  <w:marRight w:val="0"/>
                                                                                                                                  <w:marTop w:val="0"/>
                                                                                                                                  <w:marBottom w:val="0"/>
                                                                                                                                  <w:divBdr>
                                                                                                                                    <w:top w:val="none" w:sz="0" w:space="0" w:color="auto"/>
                                                                                                                                    <w:left w:val="none" w:sz="0" w:space="0" w:color="auto"/>
                                                                                                                                    <w:bottom w:val="none" w:sz="0" w:space="0" w:color="auto"/>
                                                                                                                                    <w:right w:val="none" w:sz="0" w:space="0" w:color="auto"/>
                                                                                                                                  </w:divBdr>
                                                                                                                                  <w:divsChild>
                                                                                                                                    <w:div w:id="1477992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35552289">
                                                                                                                                          <w:marLeft w:val="0"/>
                                                                                                                                          <w:marRight w:val="0"/>
                                                                                                                                          <w:marTop w:val="0"/>
                                                                                                                                          <w:marBottom w:val="0"/>
                                                                                                                                          <w:divBdr>
                                                                                                                                            <w:top w:val="none" w:sz="0" w:space="0" w:color="auto"/>
                                                                                                                                            <w:left w:val="none" w:sz="0" w:space="0" w:color="auto"/>
                                                                                                                                            <w:bottom w:val="none" w:sz="0" w:space="0" w:color="auto"/>
                                                                                                                                            <w:right w:val="none" w:sz="0" w:space="0" w:color="auto"/>
                                                                                                                                          </w:divBdr>
                                                                                                                                          <w:divsChild>
                                                                                                                                            <w:div w:id="1604803228">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402019491">
                                                                                                                                                  <w:marLeft w:val="0"/>
                                                                                                                                                  <w:marRight w:val="0"/>
                                                                                                                                                  <w:marTop w:val="0"/>
                                                                                                                                                  <w:marBottom w:val="0"/>
                                                                                                                                                  <w:divBdr>
                                                                                                                                                    <w:top w:val="none" w:sz="0" w:space="0" w:color="auto"/>
                                                                                                                                                    <w:left w:val="none" w:sz="0" w:space="0" w:color="auto"/>
                                                                                                                                                    <w:bottom w:val="none" w:sz="0" w:space="0" w:color="auto"/>
                                                                                                                                                    <w:right w:val="none" w:sz="0" w:space="0" w:color="auto"/>
                                                                                                                                                  </w:divBdr>
                                                                                                                                                  <w:divsChild>
                                                                                                                                                    <w:div w:id="234127268">
                                                                                                                                                      <w:marLeft w:val="0"/>
                                                                                                                                                      <w:marRight w:val="0"/>
                                                                                                                                                      <w:marTop w:val="0"/>
                                                                                                                                                      <w:marBottom w:val="0"/>
                                                                                                                                                      <w:divBdr>
                                                                                                                                                        <w:top w:val="none" w:sz="0" w:space="0" w:color="auto"/>
                                                                                                                                                        <w:left w:val="none" w:sz="0" w:space="0" w:color="auto"/>
                                                                                                                                                        <w:bottom w:val="none" w:sz="0" w:space="0" w:color="auto"/>
                                                                                                                                                        <w:right w:val="none" w:sz="0" w:space="0" w:color="auto"/>
                                                                                                                                                      </w:divBdr>
                                                                                                                                                      <w:divsChild>
                                                                                                                                                        <w:div w:id="658651067">
                                                                                                                                                          <w:marLeft w:val="0"/>
                                                                                                                                                          <w:marRight w:val="0"/>
                                                                                                                                                          <w:marTop w:val="0"/>
                                                                                                                                                          <w:marBottom w:val="0"/>
                                                                                                                                                          <w:divBdr>
                                                                                                                                                            <w:top w:val="none" w:sz="0" w:space="0" w:color="auto"/>
                                                                                                                                                            <w:left w:val="none" w:sz="0" w:space="0" w:color="auto"/>
                                                                                                                                                            <w:bottom w:val="none" w:sz="0" w:space="0" w:color="auto"/>
                                                                                                                                                            <w:right w:val="none" w:sz="0" w:space="0" w:color="auto"/>
                                                                                                                                                          </w:divBdr>
                                                                                                                                                          <w:divsChild>
                                                                                                                                                            <w:div w:id="256407848">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740977836">
                                                                                                                                                                  <w:marLeft w:val="0"/>
                                                                                                                                                                  <w:marRight w:val="0"/>
                                                                                                                                                                  <w:marTop w:val="0"/>
                                                                                                                                                                  <w:marBottom w:val="0"/>
                                                                                                                                                                  <w:divBdr>
                                                                                                                                                                    <w:top w:val="none" w:sz="0" w:space="0" w:color="auto"/>
                                                                                                                                                                    <w:left w:val="none" w:sz="0" w:space="0" w:color="auto"/>
                                                                                                                                                                    <w:bottom w:val="none" w:sz="0" w:space="0" w:color="auto"/>
                                                                                                                                                                    <w:right w:val="none" w:sz="0" w:space="0" w:color="auto"/>
                                                                                                                                                                  </w:divBdr>
                                                                                                                                                                  <w:divsChild>
                                                                                                                                                                    <w:div w:id="1907642793">
                                                                                                                                                                      <w:marLeft w:val="0"/>
                                                                                                                                                                      <w:marRight w:val="0"/>
                                                                                                                                                                      <w:marTop w:val="0"/>
                                                                                                                                                                      <w:marBottom w:val="0"/>
                                                                                                                                                                      <w:divBdr>
                                                                                                                                                                        <w:top w:val="none" w:sz="0" w:space="0" w:color="auto"/>
                                                                                                                                                                        <w:left w:val="none" w:sz="0" w:space="0" w:color="auto"/>
                                                                                                                                                                        <w:bottom w:val="none" w:sz="0" w:space="0" w:color="auto"/>
                                                                                                                                                                        <w:right w:val="none" w:sz="0" w:space="0" w:color="auto"/>
                                                                                                                                                                      </w:divBdr>
                                                                                                                                                                      <w:divsChild>
                                                                                                                                                                        <w:div w:id="6737238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71819376">
                                                                                                                                                                              <w:marLeft w:val="0"/>
                                                                                                                                                                              <w:marRight w:val="0"/>
                                                                                                                                                                              <w:marTop w:val="0"/>
                                                                                                                                                                              <w:marBottom w:val="0"/>
                                                                                                                                                                              <w:divBdr>
                                                                                                                                                                                <w:top w:val="none" w:sz="0" w:space="0" w:color="auto"/>
                                                                                                                                                                                <w:left w:val="none" w:sz="0" w:space="0" w:color="auto"/>
                                                                                                                                                                                <w:bottom w:val="none" w:sz="0" w:space="0" w:color="auto"/>
                                                                                                                                                                                <w:right w:val="none" w:sz="0" w:space="0" w:color="auto"/>
                                                                                                                                                                              </w:divBdr>
                                                                                                                                                                              <w:divsChild>
                                                                                                                                                                                <w:div w:id="1602640060">
                                                                                                                                                                                  <w:marLeft w:val="0"/>
                                                                                                                                                                                  <w:marRight w:val="0"/>
                                                                                                                                                                                  <w:marTop w:val="0"/>
                                                                                                                                                                                  <w:marBottom w:val="0"/>
                                                                                                                                                                                  <w:divBdr>
                                                                                                                                                                                    <w:top w:val="none" w:sz="0" w:space="0" w:color="auto"/>
                                                                                                                                                                                    <w:left w:val="none" w:sz="0" w:space="0" w:color="auto"/>
                                                                                                                                                                                    <w:bottom w:val="none" w:sz="0" w:space="0" w:color="auto"/>
                                                                                                                                                                                    <w:right w:val="none" w:sz="0" w:space="0" w:color="auto"/>
                                                                                                                                                                                  </w:divBdr>
                                                                                                                                                                                  <w:divsChild>
                                                                                                                                                                                    <w:div w:id="1871870670">
                                                                                                                                                                                      <w:marLeft w:val="0"/>
                                                                                                                                                                                      <w:marRight w:val="0"/>
                                                                                                                                                                                      <w:marTop w:val="0"/>
                                                                                                                                                                                      <w:marBottom w:val="0"/>
                                                                                                                                                                                      <w:divBdr>
                                                                                                                                                                                        <w:top w:val="none" w:sz="0" w:space="0" w:color="auto"/>
                                                                                                                                                                                        <w:left w:val="none" w:sz="0" w:space="0" w:color="auto"/>
                                                                                                                                                                                        <w:bottom w:val="none" w:sz="0" w:space="0" w:color="auto"/>
                                                                                                                                                                                        <w:right w:val="none" w:sz="0" w:space="0" w:color="auto"/>
                                                                                                                                                                                      </w:divBdr>
                                                                                                                                                                                      <w:divsChild>
                                                                                                                                                                                        <w:div w:id="593823864">
                                                                                                                                                                                          <w:marLeft w:val="0"/>
                                                                                                                                                                                          <w:marRight w:val="0"/>
                                                                                                                                                                                          <w:marTop w:val="0"/>
                                                                                                                                                                                          <w:marBottom w:val="0"/>
                                                                                                                                                                                          <w:divBdr>
                                                                                                                                                                                            <w:top w:val="none" w:sz="0" w:space="0" w:color="auto"/>
                                                                                                                                                                                            <w:left w:val="none" w:sz="0" w:space="0" w:color="auto"/>
                                                                                                                                                                                            <w:bottom w:val="none" w:sz="0" w:space="0" w:color="auto"/>
                                                                                                                                                                                            <w:right w:val="none" w:sz="0" w:space="0" w:color="auto"/>
                                                                                                                                                                                          </w:divBdr>
                                                                                                                                                                                          <w:divsChild>
                                                                                                                                                                                            <w:div w:id="732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973">
      <w:bodyDiv w:val="1"/>
      <w:marLeft w:val="0"/>
      <w:marRight w:val="0"/>
      <w:marTop w:val="0"/>
      <w:marBottom w:val="0"/>
      <w:divBdr>
        <w:top w:val="none" w:sz="0" w:space="0" w:color="auto"/>
        <w:left w:val="none" w:sz="0" w:space="0" w:color="auto"/>
        <w:bottom w:val="none" w:sz="0" w:space="0" w:color="auto"/>
        <w:right w:val="none" w:sz="0" w:space="0" w:color="auto"/>
      </w:divBdr>
    </w:div>
    <w:div w:id="545416254">
      <w:bodyDiv w:val="1"/>
      <w:marLeft w:val="0"/>
      <w:marRight w:val="0"/>
      <w:marTop w:val="0"/>
      <w:marBottom w:val="0"/>
      <w:divBdr>
        <w:top w:val="none" w:sz="0" w:space="0" w:color="auto"/>
        <w:left w:val="none" w:sz="0" w:space="0" w:color="auto"/>
        <w:bottom w:val="none" w:sz="0" w:space="0" w:color="auto"/>
        <w:right w:val="none" w:sz="0" w:space="0" w:color="auto"/>
      </w:divBdr>
    </w:div>
    <w:div w:id="556817986">
      <w:bodyDiv w:val="1"/>
      <w:marLeft w:val="0"/>
      <w:marRight w:val="0"/>
      <w:marTop w:val="0"/>
      <w:marBottom w:val="0"/>
      <w:divBdr>
        <w:top w:val="none" w:sz="0" w:space="0" w:color="auto"/>
        <w:left w:val="none" w:sz="0" w:space="0" w:color="auto"/>
        <w:bottom w:val="none" w:sz="0" w:space="0" w:color="auto"/>
        <w:right w:val="none" w:sz="0" w:space="0" w:color="auto"/>
      </w:divBdr>
    </w:div>
    <w:div w:id="585265510">
      <w:bodyDiv w:val="1"/>
      <w:marLeft w:val="0"/>
      <w:marRight w:val="0"/>
      <w:marTop w:val="0"/>
      <w:marBottom w:val="0"/>
      <w:divBdr>
        <w:top w:val="none" w:sz="0" w:space="0" w:color="auto"/>
        <w:left w:val="none" w:sz="0" w:space="0" w:color="auto"/>
        <w:bottom w:val="none" w:sz="0" w:space="0" w:color="auto"/>
        <w:right w:val="none" w:sz="0" w:space="0" w:color="auto"/>
      </w:divBdr>
    </w:div>
    <w:div w:id="623272486">
      <w:bodyDiv w:val="1"/>
      <w:marLeft w:val="0"/>
      <w:marRight w:val="0"/>
      <w:marTop w:val="0"/>
      <w:marBottom w:val="0"/>
      <w:divBdr>
        <w:top w:val="none" w:sz="0" w:space="0" w:color="auto"/>
        <w:left w:val="none" w:sz="0" w:space="0" w:color="auto"/>
        <w:bottom w:val="none" w:sz="0" w:space="0" w:color="auto"/>
        <w:right w:val="none" w:sz="0" w:space="0" w:color="auto"/>
      </w:divBdr>
    </w:div>
    <w:div w:id="645010665">
      <w:bodyDiv w:val="1"/>
      <w:marLeft w:val="0"/>
      <w:marRight w:val="0"/>
      <w:marTop w:val="0"/>
      <w:marBottom w:val="0"/>
      <w:divBdr>
        <w:top w:val="none" w:sz="0" w:space="0" w:color="auto"/>
        <w:left w:val="none" w:sz="0" w:space="0" w:color="auto"/>
        <w:bottom w:val="none" w:sz="0" w:space="0" w:color="auto"/>
        <w:right w:val="none" w:sz="0" w:space="0" w:color="auto"/>
      </w:divBdr>
    </w:div>
    <w:div w:id="727847333">
      <w:bodyDiv w:val="1"/>
      <w:marLeft w:val="0"/>
      <w:marRight w:val="0"/>
      <w:marTop w:val="0"/>
      <w:marBottom w:val="0"/>
      <w:divBdr>
        <w:top w:val="none" w:sz="0" w:space="0" w:color="auto"/>
        <w:left w:val="none" w:sz="0" w:space="0" w:color="auto"/>
        <w:bottom w:val="none" w:sz="0" w:space="0" w:color="auto"/>
        <w:right w:val="none" w:sz="0" w:space="0" w:color="auto"/>
      </w:divBdr>
    </w:div>
    <w:div w:id="749622376">
      <w:bodyDiv w:val="1"/>
      <w:marLeft w:val="0"/>
      <w:marRight w:val="0"/>
      <w:marTop w:val="0"/>
      <w:marBottom w:val="0"/>
      <w:divBdr>
        <w:top w:val="none" w:sz="0" w:space="0" w:color="auto"/>
        <w:left w:val="none" w:sz="0" w:space="0" w:color="auto"/>
        <w:bottom w:val="none" w:sz="0" w:space="0" w:color="auto"/>
        <w:right w:val="none" w:sz="0" w:space="0" w:color="auto"/>
      </w:divBdr>
      <w:divsChild>
        <w:div w:id="70964937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24920277">
              <w:marLeft w:val="0"/>
              <w:marRight w:val="0"/>
              <w:marTop w:val="0"/>
              <w:marBottom w:val="0"/>
              <w:divBdr>
                <w:top w:val="none" w:sz="0" w:space="0" w:color="auto"/>
                <w:left w:val="none" w:sz="0" w:space="0" w:color="auto"/>
                <w:bottom w:val="none" w:sz="0" w:space="0" w:color="auto"/>
                <w:right w:val="none" w:sz="0" w:space="0" w:color="auto"/>
              </w:divBdr>
              <w:divsChild>
                <w:div w:id="368067284">
                  <w:marLeft w:val="0"/>
                  <w:marRight w:val="0"/>
                  <w:marTop w:val="0"/>
                  <w:marBottom w:val="0"/>
                  <w:divBdr>
                    <w:top w:val="none" w:sz="0" w:space="0" w:color="auto"/>
                    <w:left w:val="none" w:sz="0" w:space="0" w:color="auto"/>
                    <w:bottom w:val="none" w:sz="0" w:space="0" w:color="auto"/>
                    <w:right w:val="none" w:sz="0" w:space="0" w:color="auto"/>
                  </w:divBdr>
                  <w:divsChild>
                    <w:div w:id="892354074">
                      <w:marLeft w:val="0"/>
                      <w:marRight w:val="0"/>
                      <w:marTop w:val="0"/>
                      <w:marBottom w:val="0"/>
                      <w:divBdr>
                        <w:top w:val="none" w:sz="0" w:space="0" w:color="auto"/>
                        <w:left w:val="none" w:sz="0" w:space="0" w:color="auto"/>
                        <w:bottom w:val="none" w:sz="0" w:space="0" w:color="auto"/>
                        <w:right w:val="none" w:sz="0" w:space="0" w:color="auto"/>
                      </w:divBdr>
                      <w:divsChild>
                        <w:div w:id="17799069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23393875">
                              <w:marLeft w:val="0"/>
                              <w:marRight w:val="0"/>
                              <w:marTop w:val="0"/>
                              <w:marBottom w:val="0"/>
                              <w:divBdr>
                                <w:top w:val="none" w:sz="0" w:space="0" w:color="auto"/>
                                <w:left w:val="none" w:sz="0" w:space="0" w:color="auto"/>
                                <w:bottom w:val="none" w:sz="0" w:space="0" w:color="auto"/>
                                <w:right w:val="none" w:sz="0" w:space="0" w:color="auto"/>
                              </w:divBdr>
                              <w:divsChild>
                                <w:div w:id="392394673">
                                  <w:marLeft w:val="0"/>
                                  <w:marRight w:val="0"/>
                                  <w:marTop w:val="0"/>
                                  <w:marBottom w:val="0"/>
                                  <w:divBdr>
                                    <w:top w:val="none" w:sz="0" w:space="0" w:color="auto"/>
                                    <w:left w:val="none" w:sz="0" w:space="0" w:color="auto"/>
                                    <w:bottom w:val="none" w:sz="0" w:space="0" w:color="auto"/>
                                    <w:right w:val="none" w:sz="0" w:space="0" w:color="auto"/>
                                  </w:divBdr>
                                  <w:divsChild>
                                    <w:div w:id="16942609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5089714">
                                          <w:marLeft w:val="0"/>
                                          <w:marRight w:val="0"/>
                                          <w:marTop w:val="0"/>
                                          <w:marBottom w:val="0"/>
                                          <w:divBdr>
                                            <w:top w:val="none" w:sz="0" w:space="0" w:color="auto"/>
                                            <w:left w:val="none" w:sz="0" w:space="0" w:color="auto"/>
                                            <w:bottom w:val="none" w:sz="0" w:space="0" w:color="auto"/>
                                            <w:right w:val="none" w:sz="0" w:space="0" w:color="auto"/>
                                          </w:divBdr>
                                          <w:divsChild>
                                            <w:div w:id="1610695219">
                                              <w:marLeft w:val="0"/>
                                              <w:marRight w:val="0"/>
                                              <w:marTop w:val="0"/>
                                              <w:marBottom w:val="0"/>
                                              <w:divBdr>
                                                <w:top w:val="none" w:sz="0" w:space="0" w:color="auto"/>
                                                <w:left w:val="none" w:sz="0" w:space="0" w:color="auto"/>
                                                <w:bottom w:val="none" w:sz="0" w:space="0" w:color="auto"/>
                                                <w:right w:val="none" w:sz="0" w:space="0" w:color="auto"/>
                                              </w:divBdr>
                                              <w:divsChild>
                                                <w:div w:id="683482086">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577009594">
                                                      <w:marLeft w:val="0"/>
                                                      <w:marRight w:val="0"/>
                                                      <w:marTop w:val="0"/>
                                                      <w:marBottom w:val="0"/>
                                                      <w:divBdr>
                                                        <w:top w:val="none" w:sz="0" w:space="0" w:color="auto"/>
                                                        <w:left w:val="none" w:sz="0" w:space="0" w:color="auto"/>
                                                        <w:bottom w:val="none" w:sz="0" w:space="0" w:color="auto"/>
                                                        <w:right w:val="none" w:sz="0" w:space="0" w:color="auto"/>
                                                      </w:divBdr>
                                                      <w:divsChild>
                                                        <w:div w:id="1296133497">
                                                          <w:marLeft w:val="0"/>
                                                          <w:marRight w:val="0"/>
                                                          <w:marTop w:val="0"/>
                                                          <w:marBottom w:val="0"/>
                                                          <w:divBdr>
                                                            <w:top w:val="none" w:sz="0" w:space="0" w:color="auto"/>
                                                            <w:left w:val="none" w:sz="0" w:space="0" w:color="auto"/>
                                                            <w:bottom w:val="none" w:sz="0" w:space="0" w:color="auto"/>
                                                            <w:right w:val="none" w:sz="0" w:space="0" w:color="auto"/>
                                                          </w:divBdr>
                                                          <w:divsChild>
                                                            <w:div w:id="19283908">
                                                              <w:marLeft w:val="0"/>
                                                              <w:marRight w:val="0"/>
                                                              <w:marTop w:val="0"/>
                                                              <w:marBottom w:val="0"/>
                                                              <w:divBdr>
                                                                <w:top w:val="none" w:sz="0" w:space="0" w:color="auto"/>
                                                                <w:left w:val="none" w:sz="0" w:space="0" w:color="auto"/>
                                                                <w:bottom w:val="none" w:sz="0" w:space="0" w:color="auto"/>
                                                                <w:right w:val="none" w:sz="0" w:space="0" w:color="auto"/>
                                                              </w:divBdr>
                                                              <w:divsChild>
                                                                <w:div w:id="1296326826">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693002158">
                                                                      <w:marLeft w:val="0"/>
                                                                      <w:marRight w:val="0"/>
                                                                      <w:marTop w:val="0"/>
                                                                      <w:marBottom w:val="0"/>
                                                                      <w:divBdr>
                                                                        <w:top w:val="none" w:sz="0" w:space="0" w:color="auto"/>
                                                                        <w:left w:val="none" w:sz="0" w:space="0" w:color="auto"/>
                                                                        <w:bottom w:val="none" w:sz="0" w:space="0" w:color="auto"/>
                                                                        <w:right w:val="none" w:sz="0" w:space="0" w:color="auto"/>
                                                                      </w:divBdr>
                                                                      <w:divsChild>
                                                                        <w:div w:id="1894806727">
                                                                          <w:marLeft w:val="0"/>
                                                                          <w:marRight w:val="0"/>
                                                                          <w:marTop w:val="0"/>
                                                                          <w:marBottom w:val="0"/>
                                                                          <w:divBdr>
                                                                            <w:top w:val="none" w:sz="0" w:space="0" w:color="auto"/>
                                                                            <w:left w:val="none" w:sz="0" w:space="0" w:color="auto"/>
                                                                            <w:bottom w:val="none" w:sz="0" w:space="0" w:color="auto"/>
                                                                            <w:right w:val="none" w:sz="0" w:space="0" w:color="auto"/>
                                                                          </w:divBdr>
                                                                          <w:divsChild>
                                                                            <w:div w:id="565067446">
                                                                              <w:marLeft w:val="0"/>
                                                                              <w:marRight w:val="0"/>
                                                                              <w:marTop w:val="0"/>
                                                                              <w:marBottom w:val="0"/>
                                                                              <w:divBdr>
                                                                                <w:top w:val="none" w:sz="0" w:space="0" w:color="auto"/>
                                                                                <w:left w:val="none" w:sz="0" w:space="0" w:color="auto"/>
                                                                                <w:bottom w:val="none" w:sz="0" w:space="0" w:color="auto"/>
                                                                                <w:right w:val="none" w:sz="0" w:space="0" w:color="auto"/>
                                                                              </w:divBdr>
                                                                              <w:divsChild>
                                                                                <w:div w:id="1825851141">
                                                                                  <w:marLeft w:val="0"/>
                                                                                  <w:marRight w:val="0"/>
                                                                                  <w:marTop w:val="0"/>
                                                                                  <w:marBottom w:val="0"/>
                                                                                  <w:divBdr>
                                                                                    <w:top w:val="none" w:sz="0" w:space="0" w:color="auto"/>
                                                                                    <w:left w:val="none" w:sz="0" w:space="0" w:color="auto"/>
                                                                                    <w:bottom w:val="none" w:sz="0" w:space="0" w:color="auto"/>
                                                                                    <w:right w:val="none" w:sz="0" w:space="0" w:color="auto"/>
                                                                                  </w:divBdr>
                                                                                  <w:divsChild>
                                                                                    <w:div w:id="4314095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075275226">
                                                                                          <w:marLeft w:val="0"/>
                                                                                          <w:marRight w:val="0"/>
                                                                                          <w:marTop w:val="0"/>
                                                                                          <w:marBottom w:val="0"/>
                                                                                          <w:divBdr>
                                                                                            <w:top w:val="none" w:sz="0" w:space="0" w:color="auto"/>
                                                                                            <w:left w:val="none" w:sz="0" w:space="0" w:color="auto"/>
                                                                                            <w:bottom w:val="none" w:sz="0" w:space="0" w:color="auto"/>
                                                                                            <w:right w:val="none" w:sz="0" w:space="0" w:color="auto"/>
                                                                                          </w:divBdr>
                                                                                          <w:divsChild>
                                                                                            <w:div w:id="2122843154">
                                                                                              <w:marLeft w:val="0"/>
                                                                                              <w:marRight w:val="0"/>
                                                                                              <w:marTop w:val="0"/>
                                                                                              <w:marBottom w:val="0"/>
                                                                                              <w:divBdr>
                                                                                                <w:top w:val="none" w:sz="0" w:space="0" w:color="auto"/>
                                                                                                <w:left w:val="none" w:sz="0" w:space="0" w:color="auto"/>
                                                                                                <w:bottom w:val="none" w:sz="0" w:space="0" w:color="auto"/>
                                                                                                <w:right w:val="none" w:sz="0" w:space="0" w:color="auto"/>
                                                                                              </w:divBdr>
                                                                                              <w:divsChild>
                                                                                                <w:div w:id="11365329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5681750">
                                                                                                      <w:marLeft w:val="0"/>
                                                                                                      <w:marRight w:val="0"/>
                                                                                                      <w:marTop w:val="0"/>
                                                                                                      <w:marBottom w:val="0"/>
                                                                                                      <w:divBdr>
                                                                                                        <w:top w:val="none" w:sz="0" w:space="0" w:color="auto"/>
                                                                                                        <w:left w:val="none" w:sz="0" w:space="0" w:color="auto"/>
                                                                                                        <w:bottom w:val="none" w:sz="0" w:space="0" w:color="auto"/>
                                                                                                        <w:right w:val="none" w:sz="0" w:space="0" w:color="auto"/>
                                                                                                      </w:divBdr>
                                                                                                      <w:divsChild>
                                                                                                        <w:div w:id="557663958">
                                                                                                          <w:marLeft w:val="0"/>
                                                                                                          <w:marRight w:val="0"/>
                                                                                                          <w:marTop w:val="0"/>
                                                                                                          <w:marBottom w:val="0"/>
                                                                                                          <w:divBdr>
                                                                                                            <w:top w:val="none" w:sz="0" w:space="0" w:color="auto"/>
                                                                                                            <w:left w:val="none" w:sz="0" w:space="0" w:color="auto"/>
                                                                                                            <w:bottom w:val="none" w:sz="0" w:space="0" w:color="auto"/>
                                                                                                            <w:right w:val="none" w:sz="0" w:space="0" w:color="auto"/>
                                                                                                          </w:divBdr>
                                                                                                          <w:divsChild>
                                                                                                            <w:div w:id="38164760">
                                                                                                              <w:marLeft w:val="0"/>
                                                                                                              <w:marRight w:val="0"/>
                                                                                                              <w:marTop w:val="0"/>
                                                                                                              <w:marBottom w:val="0"/>
                                                                                                              <w:divBdr>
                                                                                                                <w:top w:val="none" w:sz="0" w:space="0" w:color="auto"/>
                                                                                                                <w:left w:val="none" w:sz="0" w:space="0" w:color="auto"/>
                                                                                                                <w:bottom w:val="none" w:sz="0" w:space="0" w:color="auto"/>
                                                                                                                <w:right w:val="none" w:sz="0" w:space="0" w:color="auto"/>
                                                                                                              </w:divBdr>
                                                                                                              <w:divsChild>
                                                                                                                <w:div w:id="113098000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33613261">
                                                                                                                      <w:marLeft w:val="0"/>
                                                                                                                      <w:marRight w:val="0"/>
                                                                                                                      <w:marTop w:val="0"/>
                                                                                                                      <w:marBottom w:val="0"/>
                                                                                                                      <w:divBdr>
                                                                                                                        <w:top w:val="none" w:sz="0" w:space="0" w:color="auto"/>
                                                                                                                        <w:left w:val="none" w:sz="0" w:space="0" w:color="auto"/>
                                                                                                                        <w:bottom w:val="none" w:sz="0" w:space="0" w:color="auto"/>
                                                                                                                        <w:right w:val="none" w:sz="0" w:space="0" w:color="auto"/>
                                                                                                                      </w:divBdr>
                                                                                                                      <w:divsChild>
                                                                                                                        <w:div w:id="1665668408">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283465548">
                                                                                                                              <w:marLeft w:val="0"/>
                                                                                                                              <w:marRight w:val="0"/>
                                                                                                                              <w:marTop w:val="0"/>
                                                                                                                              <w:marBottom w:val="0"/>
                                                                                                                              <w:divBdr>
                                                                                                                                <w:top w:val="none" w:sz="0" w:space="0" w:color="auto"/>
                                                                                                                                <w:left w:val="none" w:sz="0" w:space="0" w:color="auto"/>
                                                                                                                                <w:bottom w:val="none" w:sz="0" w:space="0" w:color="auto"/>
                                                                                                                                <w:right w:val="none" w:sz="0" w:space="0" w:color="auto"/>
                                                                                                                              </w:divBdr>
                                                                                                                              <w:divsChild>
                                                                                                                                <w:div w:id="1057365049">
                                                                                                                                  <w:marLeft w:val="0"/>
                                                                                                                                  <w:marRight w:val="0"/>
                                                                                                                                  <w:marTop w:val="0"/>
                                                                                                                                  <w:marBottom w:val="0"/>
                                                                                                                                  <w:divBdr>
                                                                                                                                    <w:top w:val="none" w:sz="0" w:space="0" w:color="auto"/>
                                                                                                                                    <w:left w:val="none" w:sz="0" w:space="0" w:color="auto"/>
                                                                                                                                    <w:bottom w:val="none" w:sz="0" w:space="0" w:color="auto"/>
                                                                                                                                    <w:right w:val="none" w:sz="0" w:space="0" w:color="auto"/>
                                                                                                                                  </w:divBdr>
                                                                                                                                  <w:divsChild>
                                                                                                                                    <w:div w:id="9599153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49719518">
                                                                                                                                          <w:marLeft w:val="0"/>
                                                                                                                                          <w:marRight w:val="0"/>
                                                                                                                                          <w:marTop w:val="0"/>
                                                                                                                                          <w:marBottom w:val="0"/>
                                                                                                                                          <w:divBdr>
                                                                                                                                            <w:top w:val="none" w:sz="0" w:space="0" w:color="auto"/>
                                                                                                                                            <w:left w:val="none" w:sz="0" w:space="0" w:color="auto"/>
                                                                                                                                            <w:bottom w:val="none" w:sz="0" w:space="0" w:color="auto"/>
                                                                                                                                            <w:right w:val="none" w:sz="0" w:space="0" w:color="auto"/>
                                                                                                                                          </w:divBdr>
                                                                                                                                          <w:divsChild>
                                                                                                                                            <w:div w:id="504324009">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128743611">
                                                                                                                                                  <w:marLeft w:val="0"/>
                                                                                                                                                  <w:marRight w:val="0"/>
                                                                                                                                                  <w:marTop w:val="0"/>
                                                                                                                                                  <w:marBottom w:val="0"/>
                                                                                                                                                  <w:divBdr>
                                                                                                                                                    <w:top w:val="none" w:sz="0" w:space="0" w:color="auto"/>
                                                                                                                                                    <w:left w:val="none" w:sz="0" w:space="0" w:color="auto"/>
                                                                                                                                                    <w:bottom w:val="none" w:sz="0" w:space="0" w:color="auto"/>
                                                                                                                                                    <w:right w:val="none" w:sz="0" w:space="0" w:color="auto"/>
                                                                                                                                                  </w:divBdr>
                                                                                                                                                  <w:divsChild>
                                                                                                                                                    <w:div w:id="1774861358">
                                                                                                                                                      <w:marLeft w:val="0"/>
                                                                                                                                                      <w:marRight w:val="0"/>
                                                                                                                                                      <w:marTop w:val="0"/>
                                                                                                                                                      <w:marBottom w:val="0"/>
                                                                                                                                                      <w:divBdr>
                                                                                                                                                        <w:top w:val="none" w:sz="0" w:space="0" w:color="auto"/>
                                                                                                                                                        <w:left w:val="none" w:sz="0" w:space="0" w:color="auto"/>
                                                                                                                                                        <w:bottom w:val="none" w:sz="0" w:space="0" w:color="auto"/>
                                                                                                                                                        <w:right w:val="none" w:sz="0" w:space="0" w:color="auto"/>
                                                                                                                                                      </w:divBdr>
                                                                                                                                                      <w:divsChild>
                                                                                                                                                        <w:div w:id="1410301720">
                                                                                                                                                          <w:marLeft w:val="0"/>
                                                                                                                                                          <w:marRight w:val="0"/>
                                                                                                                                                          <w:marTop w:val="0"/>
                                                                                                                                                          <w:marBottom w:val="0"/>
                                                                                                                                                          <w:divBdr>
                                                                                                                                                            <w:top w:val="none" w:sz="0" w:space="0" w:color="auto"/>
                                                                                                                                                            <w:left w:val="none" w:sz="0" w:space="0" w:color="auto"/>
                                                                                                                                                            <w:bottom w:val="none" w:sz="0" w:space="0" w:color="auto"/>
                                                                                                                                                            <w:right w:val="none" w:sz="0" w:space="0" w:color="auto"/>
                                                                                                                                                          </w:divBdr>
                                                                                                                                                          <w:divsChild>
                                                                                                                                                            <w:div w:id="107370249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3094937">
                                                                                                                                                                  <w:marLeft w:val="0"/>
                                                                                                                                                                  <w:marRight w:val="0"/>
                                                                                                                                                                  <w:marTop w:val="0"/>
                                                                                                                                                                  <w:marBottom w:val="0"/>
                                                                                                                                                                  <w:divBdr>
                                                                                                                                                                    <w:top w:val="none" w:sz="0" w:space="0" w:color="auto"/>
                                                                                                                                                                    <w:left w:val="none" w:sz="0" w:space="0" w:color="auto"/>
                                                                                                                                                                    <w:bottom w:val="none" w:sz="0" w:space="0" w:color="auto"/>
                                                                                                                                                                    <w:right w:val="none" w:sz="0" w:space="0" w:color="auto"/>
                                                                                                                                                                  </w:divBdr>
                                                                                                                                                                  <w:divsChild>
                                                                                                                                                                    <w:div w:id="1246382058">
                                                                                                                                                                      <w:marLeft w:val="0"/>
                                                                                                                                                                      <w:marRight w:val="0"/>
                                                                                                                                                                      <w:marTop w:val="0"/>
                                                                                                                                                                      <w:marBottom w:val="0"/>
                                                                                                                                                                      <w:divBdr>
                                                                                                                                                                        <w:top w:val="none" w:sz="0" w:space="0" w:color="auto"/>
                                                                                                                                                                        <w:left w:val="none" w:sz="0" w:space="0" w:color="auto"/>
                                                                                                                                                                        <w:bottom w:val="none" w:sz="0" w:space="0" w:color="auto"/>
                                                                                                                                                                        <w:right w:val="none" w:sz="0" w:space="0" w:color="auto"/>
                                                                                                                                                                      </w:divBdr>
                                                                                                                                                                      <w:divsChild>
                                                                                                                                                                        <w:div w:id="180624263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6762657">
                                                                                                                                                                              <w:marLeft w:val="0"/>
                                                                                                                                                                              <w:marRight w:val="0"/>
                                                                                                                                                                              <w:marTop w:val="0"/>
                                                                                                                                                                              <w:marBottom w:val="0"/>
                                                                                                                                                                              <w:divBdr>
                                                                                                                                                                                <w:top w:val="none" w:sz="0" w:space="0" w:color="auto"/>
                                                                                                                                                                                <w:left w:val="none" w:sz="0" w:space="0" w:color="auto"/>
                                                                                                                                                                                <w:bottom w:val="none" w:sz="0" w:space="0" w:color="auto"/>
                                                                                                                                                                                <w:right w:val="none" w:sz="0" w:space="0" w:color="auto"/>
                                                                                                                                                                              </w:divBdr>
                                                                                                                                                                              <w:divsChild>
                                                                                                                                                                                <w:div w:id="1307129840">
                                                                                                                                                                                  <w:marLeft w:val="0"/>
                                                                                                                                                                                  <w:marRight w:val="0"/>
                                                                                                                                                                                  <w:marTop w:val="0"/>
                                                                                                                                                                                  <w:marBottom w:val="0"/>
                                                                                                                                                                                  <w:divBdr>
                                                                                                                                                                                    <w:top w:val="none" w:sz="0" w:space="0" w:color="auto"/>
                                                                                                                                                                                    <w:left w:val="none" w:sz="0" w:space="0" w:color="auto"/>
                                                                                                                                                                                    <w:bottom w:val="none" w:sz="0" w:space="0" w:color="auto"/>
                                                                                                                                                                                    <w:right w:val="none" w:sz="0" w:space="0" w:color="auto"/>
                                                                                                                                                                                  </w:divBdr>
                                                                                                                                                                                  <w:divsChild>
                                                                                                                                                                                    <w:div w:id="1761634140">
                                                                                                                                                                                      <w:marLeft w:val="0"/>
                                                                                                                                                                                      <w:marRight w:val="0"/>
                                                                                                                                                                                      <w:marTop w:val="0"/>
                                                                                                                                                                                      <w:marBottom w:val="0"/>
                                                                                                                                                                                      <w:divBdr>
                                                                                                                                                                                        <w:top w:val="none" w:sz="0" w:space="0" w:color="auto"/>
                                                                                                                                                                                        <w:left w:val="none" w:sz="0" w:space="0" w:color="auto"/>
                                                                                                                                                                                        <w:bottom w:val="none" w:sz="0" w:space="0" w:color="auto"/>
                                                                                                                                                                                        <w:right w:val="none" w:sz="0" w:space="0" w:color="auto"/>
                                                                                                                                                                                      </w:divBdr>
                                                                                                                                                                                      <w:divsChild>
                                                                                                                                                                                        <w:div w:id="1246308828">
                                                                                                                                                                                          <w:marLeft w:val="0"/>
                                                                                                                                                                                          <w:marRight w:val="0"/>
                                                                                                                                                                                          <w:marTop w:val="0"/>
                                                                                                                                                                                          <w:marBottom w:val="0"/>
                                                                                                                                                                                          <w:divBdr>
                                                                                                                                                                                            <w:top w:val="none" w:sz="0" w:space="0" w:color="auto"/>
                                                                                                                                                                                            <w:left w:val="none" w:sz="0" w:space="0" w:color="auto"/>
                                                                                                                                                                                            <w:bottom w:val="none" w:sz="0" w:space="0" w:color="auto"/>
                                                                                                                                                                                            <w:right w:val="none" w:sz="0" w:space="0" w:color="auto"/>
                                                                                                                                                                                          </w:divBdr>
                                                                                                                                                                                          <w:divsChild>
                                                                                                                                                                                            <w:div w:id="1165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58710">
      <w:bodyDiv w:val="1"/>
      <w:marLeft w:val="0"/>
      <w:marRight w:val="0"/>
      <w:marTop w:val="0"/>
      <w:marBottom w:val="0"/>
      <w:divBdr>
        <w:top w:val="none" w:sz="0" w:space="0" w:color="auto"/>
        <w:left w:val="none" w:sz="0" w:space="0" w:color="auto"/>
        <w:bottom w:val="none" w:sz="0" w:space="0" w:color="auto"/>
        <w:right w:val="none" w:sz="0" w:space="0" w:color="auto"/>
      </w:divBdr>
    </w:div>
    <w:div w:id="780998148">
      <w:bodyDiv w:val="1"/>
      <w:marLeft w:val="0"/>
      <w:marRight w:val="0"/>
      <w:marTop w:val="0"/>
      <w:marBottom w:val="0"/>
      <w:divBdr>
        <w:top w:val="none" w:sz="0" w:space="0" w:color="auto"/>
        <w:left w:val="none" w:sz="0" w:space="0" w:color="auto"/>
        <w:bottom w:val="none" w:sz="0" w:space="0" w:color="auto"/>
        <w:right w:val="none" w:sz="0" w:space="0" w:color="auto"/>
      </w:divBdr>
    </w:div>
    <w:div w:id="867448935">
      <w:bodyDiv w:val="1"/>
      <w:marLeft w:val="0"/>
      <w:marRight w:val="0"/>
      <w:marTop w:val="0"/>
      <w:marBottom w:val="0"/>
      <w:divBdr>
        <w:top w:val="none" w:sz="0" w:space="0" w:color="auto"/>
        <w:left w:val="none" w:sz="0" w:space="0" w:color="auto"/>
        <w:bottom w:val="none" w:sz="0" w:space="0" w:color="auto"/>
        <w:right w:val="none" w:sz="0" w:space="0" w:color="auto"/>
      </w:divBdr>
    </w:div>
    <w:div w:id="1126853209">
      <w:bodyDiv w:val="1"/>
      <w:marLeft w:val="0"/>
      <w:marRight w:val="0"/>
      <w:marTop w:val="0"/>
      <w:marBottom w:val="0"/>
      <w:divBdr>
        <w:top w:val="none" w:sz="0" w:space="0" w:color="auto"/>
        <w:left w:val="none" w:sz="0" w:space="0" w:color="auto"/>
        <w:bottom w:val="none" w:sz="0" w:space="0" w:color="auto"/>
        <w:right w:val="none" w:sz="0" w:space="0" w:color="auto"/>
      </w:divBdr>
    </w:div>
    <w:div w:id="1150051010">
      <w:bodyDiv w:val="1"/>
      <w:marLeft w:val="0"/>
      <w:marRight w:val="0"/>
      <w:marTop w:val="0"/>
      <w:marBottom w:val="0"/>
      <w:divBdr>
        <w:top w:val="none" w:sz="0" w:space="0" w:color="auto"/>
        <w:left w:val="none" w:sz="0" w:space="0" w:color="auto"/>
        <w:bottom w:val="none" w:sz="0" w:space="0" w:color="auto"/>
        <w:right w:val="none" w:sz="0" w:space="0" w:color="auto"/>
      </w:divBdr>
    </w:div>
    <w:div w:id="1267270152">
      <w:bodyDiv w:val="1"/>
      <w:marLeft w:val="0"/>
      <w:marRight w:val="0"/>
      <w:marTop w:val="0"/>
      <w:marBottom w:val="0"/>
      <w:divBdr>
        <w:top w:val="none" w:sz="0" w:space="0" w:color="auto"/>
        <w:left w:val="none" w:sz="0" w:space="0" w:color="auto"/>
        <w:bottom w:val="none" w:sz="0" w:space="0" w:color="auto"/>
        <w:right w:val="none" w:sz="0" w:space="0" w:color="auto"/>
      </w:divBdr>
    </w:div>
    <w:div w:id="1404258726">
      <w:bodyDiv w:val="1"/>
      <w:marLeft w:val="0"/>
      <w:marRight w:val="0"/>
      <w:marTop w:val="0"/>
      <w:marBottom w:val="0"/>
      <w:divBdr>
        <w:top w:val="none" w:sz="0" w:space="0" w:color="auto"/>
        <w:left w:val="none" w:sz="0" w:space="0" w:color="auto"/>
        <w:bottom w:val="none" w:sz="0" w:space="0" w:color="auto"/>
        <w:right w:val="none" w:sz="0" w:space="0" w:color="auto"/>
      </w:divBdr>
    </w:div>
    <w:div w:id="1536504418">
      <w:bodyDiv w:val="1"/>
      <w:marLeft w:val="0"/>
      <w:marRight w:val="0"/>
      <w:marTop w:val="0"/>
      <w:marBottom w:val="0"/>
      <w:divBdr>
        <w:top w:val="none" w:sz="0" w:space="0" w:color="auto"/>
        <w:left w:val="none" w:sz="0" w:space="0" w:color="auto"/>
        <w:bottom w:val="none" w:sz="0" w:space="0" w:color="auto"/>
        <w:right w:val="none" w:sz="0" w:space="0" w:color="auto"/>
      </w:divBdr>
    </w:div>
    <w:div w:id="1713069636">
      <w:bodyDiv w:val="1"/>
      <w:marLeft w:val="0"/>
      <w:marRight w:val="0"/>
      <w:marTop w:val="0"/>
      <w:marBottom w:val="0"/>
      <w:divBdr>
        <w:top w:val="none" w:sz="0" w:space="0" w:color="auto"/>
        <w:left w:val="none" w:sz="0" w:space="0" w:color="auto"/>
        <w:bottom w:val="none" w:sz="0" w:space="0" w:color="auto"/>
        <w:right w:val="none" w:sz="0" w:space="0" w:color="auto"/>
      </w:divBdr>
    </w:div>
    <w:div w:id="1735348799">
      <w:bodyDiv w:val="1"/>
      <w:marLeft w:val="0"/>
      <w:marRight w:val="0"/>
      <w:marTop w:val="0"/>
      <w:marBottom w:val="0"/>
      <w:divBdr>
        <w:top w:val="none" w:sz="0" w:space="0" w:color="auto"/>
        <w:left w:val="none" w:sz="0" w:space="0" w:color="auto"/>
        <w:bottom w:val="none" w:sz="0" w:space="0" w:color="auto"/>
        <w:right w:val="none" w:sz="0" w:space="0" w:color="auto"/>
      </w:divBdr>
    </w:div>
    <w:div w:id="1784155112">
      <w:bodyDiv w:val="1"/>
      <w:marLeft w:val="0"/>
      <w:marRight w:val="0"/>
      <w:marTop w:val="0"/>
      <w:marBottom w:val="0"/>
      <w:divBdr>
        <w:top w:val="none" w:sz="0" w:space="0" w:color="auto"/>
        <w:left w:val="none" w:sz="0" w:space="0" w:color="auto"/>
        <w:bottom w:val="none" w:sz="0" w:space="0" w:color="auto"/>
        <w:right w:val="none" w:sz="0" w:space="0" w:color="auto"/>
      </w:divBdr>
    </w:div>
    <w:div w:id="1790002835">
      <w:bodyDiv w:val="1"/>
      <w:marLeft w:val="0"/>
      <w:marRight w:val="0"/>
      <w:marTop w:val="0"/>
      <w:marBottom w:val="0"/>
      <w:divBdr>
        <w:top w:val="none" w:sz="0" w:space="0" w:color="auto"/>
        <w:left w:val="none" w:sz="0" w:space="0" w:color="auto"/>
        <w:bottom w:val="none" w:sz="0" w:space="0" w:color="auto"/>
        <w:right w:val="none" w:sz="0" w:space="0" w:color="auto"/>
      </w:divBdr>
    </w:div>
    <w:div w:id="1805805113">
      <w:bodyDiv w:val="1"/>
      <w:marLeft w:val="0"/>
      <w:marRight w:val="0"/>
      <w:marTop w:val="0"/>
      <w:marBottom w:val="0"/>
      <w:divBdr>
        <w:top w:val="none" w:sz="0" w:space="0" w:color="auto"/>
        <w:left w:val="none" w:sz="0" w:space="0" w:color="auto"/>
        <w:bottom w:val="none" w:sz="0" w:space="0" w:color="auto"/>
        <w:right w:val="none" w:sz="0" w:space="0" w:color="auto"/>
      </w:divBdr>
    </w:div>
    <w:div w:id="1841196010">
      <w:bodyDiv w:val="1"/>
      <w:marLeft w:val="0"/>
      <w:marRight w:val="0"/>
      <w:marTop w:val="0"/>
      <w:marBottom w:val="0"/>
      <w:divBdr>
        <w:top w:val="none" w:sz="0" w:space="0" w:color="auto"/>
        <w:left w:val="none" w:sz="0" w:space="0" w:color="auto"/>
        <w:bottom w:val="none" w:sz="0" w:space="0" w:color="auto"/>
        <w:right w:val="none" w:sz="0" w:space="0" w:color="auto"/>
      </w:divBdr>
    </w:div>
    <w:div w:id="1933972253">
      <w:bodyDiv w:val="1"/>
      <w:marLeft w:val="0"/>
      <w:marRight w:val="0"/>
      <w:marTop w:val="0"/>
      <w:marBottom w:val="0"/>
      <w:divBdr>
        <w:top w:val="none" w:sz="0" w:space="0" w:color="auto"/>
        <w:left w:val="none" w:sz="0" w:space="0" w:color="auto"/>
        <w:bottom w:val="none" w:sz="0" w:space="0" w:color="auto"/>
        <w:right w:val="none" w:sz="0" w:space="0" w:color="auto"/>
      </w:divBdr>
    </w:div>
    <w:div w:id="2005929778">
      <w:bodyDiv w:val="1"/>
      <w:marLeft w:val="0"/>
      <w:marRight w:val="0"/>
      <w:marTop w:val="0"/>
      <w:marBottom w:val="0"/>
      <w:divBdr>
        <w:top w:val="none" w:sz="0" w:space="0" w:color="auto"/>
        <w:left w:val="none" w:sz="0" w:space="0" w:color="auto"/>
        <w:bottom w:val="none" w:sz="0" w:space="0" w:color="auto"/>
        <w:right w:val="none" w:sz="0" w:space="0" w:color="auto"/>
      </w:divBdr>
    </w:div>
    <w:div w:id="2017225357">
      <w:bodyDiv w:val="1"/>
      <w:marLeft w:val="0"/>
      <w:marRight w:val="0"/>
      <w:marTop w:val="0"/>
      <w:marBottom w:val="0"/>
      <w:divBdr>
        <w:top w:val="none" w:sz="0" w:space="0" w:color="auto"/>
        <w:left w:val="none" w:sz="0" w:space="0" w:color="auto"/>
        <w:bottom w:val="none" w:sz="0" w:space="0" w:color="auto"/>
        <w:right w:val="none" w:sz="0" w:space="0" w:color="auto"/>
      </w:divBdr>
    </w:div>
    <w:div w:id="2098135486">
      <w:bodyDiv w:val="1"/>
      <w:marLeft w:val="0"/>
      <w:marRight w:val="0"/>
      <w:marTop w:val="0"/>
      <w:marBottom w:val="0"/>
      <w:divBdr>
        <w:top w:val="none" w:sz="0" w:space="0" w:color="auto"/>
        <w:left w:val="none" w:sz="0" w:space="0" w:color="auto"/>
        <w:bottom w:val="none" w:sz="0" w:space="0" w:color="auto"/>
        <w:right w:val="none" w:sz="0" w:space="0" w:color="auto"/>
      </w:divBdr>
    </w:div>
    <w:div w:id="2104301001">
      <w:bodyDiv w:val="1"/>
      <w:marLeft w:val="0"/>
      <w:marRight w:val="0"/>
      <w:marTop w:val="0"/>
      <w:marBottom w:val="0"/>
      <w:divBdr>
        <w:top w:val="none" w:sz="0" w:space="0" w:color="auto"/>
        <w:left w:val="none" w:sz="0" w:space="0" w:color="auto"/>
        <w:bottom w:val="none" w:sz="0" w:space="0" w:color="auto"/>
        <w:right w:val="none" w:sz="0" w:space="0" w:color="auto"/>
      </w:divBdr>
    </w:div>
    <w:div w:id="2138792356">
      <w:bodyDiv w:val="1"/>
      <w:marLeft w:val="0"/>
      <w:marRight w:val="0"/>
      <w:marTop w:val="0"/>
      <w:marBottom w:val="0"/>
      <w:divBdr>
        <w:top w:val="none" w:sz="0" w:space="0" w:color="auto"/>
        <w:left w:val="none" w:sz="0" w:space="0" w:color="auto"/>
        <w:bottom w:val="none" w:sz="0" w:space="0" w:color="auto"/>
        <w:right w:val="none" w:sz="0" w:space="0" w:color="auto"/>
      </w:divBdr>
      <w:divsChild>
        <w:div w:id="488055170">
          <w:marLeft w:val="0"/>
          <w:marRight w:val="0"/>
          <w:marTop w:val="75"/>
          <w:marBottom w:val="0"/>
          <w:divBdr>
            <w:top w:val="none" w:sz="0" w:space="0" w:color="auto"/>
            <w:left w:val="none" w:sz="0" w:space="0" w:color="auto"/>
            <w:bottom w:val="none" w:sz="0" w:space="0" w:color="auto"/>
            <w:right w:val="none" w:sz="0" w:space="0" w:color="auto"/>
          </w:divBdr>
        </w:div>
        <w:div w:id="2124684153">
          <w:marLeft w:val="0"/>
          <w:marRight w:val="0"/>
          <w:marTop w:val="75"/>
          <w:marBottom w:val="150"/>
          <w:divBdr>
            <w:top w:val="none" w:sz="0" w:space="0" w:color="auto"/>
            <w:left w:val="none" w:sz="0" w:space="0" w:color="auto"/>
            <w:bottom w:val="none" w:sz="0" w:space="0" w:color="auto"/>
            <w:right w:val="none" w:sz="0" w:space="0" w:color="auto"/>
          </w:divBdr>
        </w:div>
      </w:divsChild>
    </w:div>
    <w:div w:id="21461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r.ac.uk/publication/paediatric-trauma-protocols" TargetMode="External"/><Relationship Id="rId3" Type="http://schemas.openxmlformats.org/officeDocument/2006/relationships/styles" Target="styles.xml"/><Relationship Id="rId7" Type="http://schemas.openxmlformats.org/officeDocument/2006/relationships/hyperlink" Target="https://www.bbc.co.uk/news/health-427324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violence_injury_prevention/key_facts/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d.bz/hGD01ae.%20Accessed%20July%202020" TargetMode="External"/><Relationship Id="rId4" Type="http://schemas.openxmlformats.org/officeDocument/2006/relationships/settings" Target="settings.xml"/><Relationship Id="rId9" Type="http://schemas.openxmlformats.org/officeDocument/2006/relationships/hyperlink" Target="http://www.ta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F316-0F1A-4692-9858-4E3B3F9A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dc:creator>
  <cp:lastModifiedBy>Jordan Evans</cp:lastModifiedBy>
  <cp:revision>9</cp:revision>
  <dcterms:created xsi:type="dcterms:W3CDTF">2021-01-06T03:12:00Z</dcterms:created>
  <dcterms:modified xsi:type="dcterms:W3CDTF">2021-02-21T23:27:00Z</dcterms:modified>
</cp:coreProperties>
</file>