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8EE86" w14:textId="3480CB05" w:rsidR="00C51F0B" w:rsidRPr="008652BB" w:rsidRDefault="00C51F0B" w:rsidP="008652BB">
      <w:pPr>
        <w:spacing w:line="276" w:lineRule="auto"/>
        <w:jc w:val="both"/>
        <w:rPr>
          <w:sz w:val="22"/>
          <w:szCs w:val="22"/>
        </w:rPr>
      </w:pPr>
    </w:p>
    <w:p w14:paraId="4BF93D88" w14:textId="41EDF0CF" w:rsidR="00C51F0B" w:rsidRPr="008652BB" w:rsidRDefault="00DA4AF6" w:rsidP="008652BB">
      <w:pPr>
        <w:pStyle w:val="Heading1"/>
        <w:jc w:val="both"/>
      </w:pPr>
      <w:r w:rsidRPr="008652BB">
        <w:t xml:space="preserve">“Nobody can fail at it, everybody succeeds”: </w:t>
      </w:r>
      <w:r w:rsidR="004E5743" w:rsidRPr="008652BB">
        <w:t>P</w:t>
      </w:r>
      <w:r w:rsidR="004C6F2D" w:rsidRPr="008652BB">
        <w:t xml:space="preserve">erceived processes of change </w:t>
      </w:r>
      <w:r w:rsidR="004E5743" w:rsidRPr="008652BB">
        <w:t xml:space="preserve">following attendance at an </w:t>
      </w:r>
      <w:proofErr w:type="gramStart"/>
      <w:r w:rsidRPr="008652BB">
        <w:t>arts</w:t>
      </w:r>
      <w:proofErr w:type="gramEnd"/>
      <w:r w:rsidRPr="008652BB">
        <w:t xml:space="preserve"> on prescription programme</w:t>
      </w:r>
    </w:p>
    <w:p w14:paraId="1F425ED1" w14:textId="503C330B" w:rsidR="00DA4AF6" w:rsidRPr="008652BB" w:rsidRDefault="00DA4AF6" w:rsidP="008652BB">
      <w:pPr>
        <w:spacing w:line="276" w:lineRule="auto"/>
        <w:jc w:val="both"/>
        <w:rPr>
          <w:rFonts w:asciiTheme="minorHAnsi" w:hAnsiTheme="minorHAnsi" w:cstheme="minorHAnsi"/>
          <w:sz w:val="22"/>
          <w:szCs w:val="22"/>
        </w:rPr>
      </w:pPr>
    </w:p>
    <w:p w14:paraId="0CFFAE00" w14:textId="222BC7A9" w:rsidR="00E90F53" w:rsidRPr="007A6732" w:rsidRDefault="00E90F53" w:rsidP="00E90F53">
      <w:pPr>
        <w:pStyle w:val="paragraph"/>
        <w:spacing w:before="0" w:beforeAutospacing="0" w:after="0" w:afterAutospacing="0"/>
        <w:jc w:val="center"/>
        <w:textAlignment w:val="baseline"/>
        <w:rPr>
          <w:rStyle w:val="normaltextrun"/>
          <w:rFonts w:ascii="Calibri" w:hAnsi="Calibri" w:cs="Calibri"/>
          <w:sz w:val="28"/>
          <w:szCs w:val="28"/>
        </w:rPr>
      </w:pPr>
      <w:r>
        <w:rPr>
          <w:rStyle w:val="normaltextrun"/>
          <w:rFonts w:ascii="Calibri" w:hAnsi="Calibri" w:cs="Calibri"/>
          <w:sz w:val="28"/>
          <w:szCs w:val="28"/>
        </w:rPr>
        <w:t>Nicola Holt</w:t>
      </w:r>
      <w:r w:rsidRPr="007A6732">
        <w:rPr>
          <w:rStyle w:val="FootnoteReference"/>
          <w:rFonts w:ascii="Calibri" w:eastAsiaTheme="majorEastAsia" w:hAnsi="Calibri" w:cs="Calibri"/>
          <w:sz w:val="28"/>
          <w:szCs w:val="28"/>
        </w:rPr>
        <w:footnoteReference w:id="1"/>
      </w:r>
      <w:r w:rsidRPr="007A6732">
        <w:rPr>
          <w:rStyle w:val="normaltextrun"/>
          <w:rFonts w:ascii="Calibri" w:hAnsi="Calibri" w:cs="Calibri"/>
          <w:sz w:val="28"/>
          <w:szCs w:val="28"/>
        </w:rPr>
        <w:t xml:space="preserve">, </w:t>
      </w:r>
      <w:r>
        <w:rPr>
          <w:rStyle w:val="normaltextrun"/>
          <w:rFonts w:ascii="Calibri" w:hAnsi="Calibri" w:cs="Calibri"/>
          <w:sz w:val="28"/>
          <w:szCs w:val="28"/>
        </w:rPr>
        <w:t xml:space="preserve">Caroline Elliot &amp; </w:t>
      </w:r>
      <w:r w:rsidRPr="007A6732">
        <w:rPr>
          <w:rStyle w:val="normaltextrun"/>
          <w:rFonts w:ascii="Calibri" w:hAnsi="Calibri" w:cs="Calibri"/>
          <w:sz w:val="28"/>
          <w:szCs w:val="28"/>
        </w:rPr>
        <w:t>Elizabeth Jenkinson</w:t>
      </w:r>
    </w:p>
    <w:p w14:paraId="47C2E940" w14:textId="77777777" w:rsidR="00E90F53" w:rsidRDefault="00E90F53" w:rsidP="00E90F53">
      <w:pPr>
        <w:pStyle w:val="paragraph"/>
        <w:spacing w:before="0" w:beforeAutospacing="0" w:after="0" w:afterAutospacing="0"/>
        <w:jc w:val="center"/>
        <w:textAlignment w:val="baseline"/>
        <w:rPr>
          <w:rStyle w:val="normaltextrun"/>
          <w:rFonts w:ascii="Calibri" w:hAnsi="Calibri" w:cs="Calibri"/>
          <w:sz w:val="22"/>
          <w:szCs w:val="22"/>
        </w:rPr>
      </w:pPr>
    </w:p>
    <w:p w14:paraId="1B7B1F62" w14:textId="77777777" w:rsidR="00E90F53" w:rsidRDefault="00E90F53" w:rsidP="00E90F53">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Department of Health and Social Sciences</w:t>
      </w:r>
    </w:p>
    <w:p w14:paraId="5D6FB1FD" w14:textId="77777777" w:rsidR="00E90F53" w:rsidRDefault="00E90F53" w:rsidP="00E90F5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 xml:space="preserve">University </w:t>
      </w:r>
      <w:r>
        <w:rPr>
          <w:rStyle w:val="eop"/>
          <w:rFonts w:ascii="Calibri" w:hAnsi="Calibri" w:cs="Calibri"/>
          <w:sz w:val="22"/>
          <w:szCs w:val="22"/>
        </w:rPr>
        <w:t>of the West of England</w:t>
      </w:r>
    </w:p>
    <w:p w14:paraId="1A320136" w14:textId="0B652506" w:rsidR="00DA4AF6" w:rsidRPr="008652BB" w:rsidRDefault="00DA4AF6" w:rsidP="008652BB">
      <w:pPr>
        <w:spacing w:line="276" w:lineRule="auto"/>
        <w:jc w:val="both"/>
        <w:rPr>
          <w:rFonts w:asciiTheme="minorHAnsi" w:hAnsiTheme="minorHAnsi" w:cstheme="minorHAnsi"/>
          <w:sz w:val="22"/>
          <w:szCs w:val="22"/>
        </w:rPr>
      </w:pPr>
    </w:p>
    <w:p w14:paraId="424A17B1" w14:textId="77777777" w:rsidR="00DA4AF6" w:rsidRPr="008652BB" w:rsidRDefault="00DA4AF6" w:rsidP="008652BB">
      <w:pPr>
        <w:spacing w:line="276" w:lineRule="auto"/>
        <w:jc w:val="both"/>
        <w:rPr>
          <w:rFonts w:asciiTheme="minorHAnsi" w:hAnsiTheme="minorHAnsi" w:cstheme="minorHAnsi"/>
          <w:sz w:val="22"/>
          <w:szCs w:val="22"/>
        </w:rPr>
      </w:pPr>
    </w:p>
    <w:p w14:paraId="10D5745D" w14:textId="52D64205" w:rsidR="00C51F0B" w:rsidRPr="008652BB" w:rsidRDefault="00DA4AF6" w:rsidP="008652BB">
      <w:pPr>
        <w:pStyle w:val="Heading2"/>
      </w:pPr>
      <w:r w:rsidRPr="008652BB">
        <w:t>Introduction</w:t>
      </w:r>
    </w:p>
    <w:p w14:paraId="052E8988" w14:textId="4F23E01B" w:rsidR="00DA4AF6" w:rsidRPr="008652BB" w:rsidRDefault="00DA4AF6" w:rsidP="008652BB">
      <w:pPr>
        <w:spacing w:line="276" w:lineRule="auto"/>
        <w:jc w:val="both"/>
        <w:rPr>
          <w:rFonts w:asciiTheme="minorHAnsi" w:hAnsiTheme="minorHAnsi" w:cstheme="minorHAnsi"/>
          <w:sz w:val="22"/>
          <w:szCs w:val="22"/>
        </w:rPr>
      </w:pPr>
      <w:r w:rsidRPr="008652BB">
        <w:rPr>
          <w:rFonts w:asciiTheme="minorHAnsi" w:hAnsiTheme="minorHAnsi" w:cstheme="minorHAnsi"/>
          <w:sz w:val="22"/>
          <w:szCs w:val="22"/>
        </w:rPr>
        <w:t xml:space="preserve">As the delivery of social prescribing schemes </w:t>
      </w:r>
      <w:r w:rsidR="005E5C4B" w:rsidRPr="008652BB">
        <w:rPr>
          <w:rFonts w:asciiTheme="minorHAnsi" w:hAnsiTheme="minorHAnsi" w:cstheme="minorHAnsi"/>
          <w:sz w:val="22"/>
          <w:szCs w:val="22"/>
        </w:rPr>
        <w:t>is</w:t>
      </w:r>
      <w:r w:rsidRPr="008652BB">
        <w:rPr>
          <w:rFonts w:asciiTheme="minorHAnsi" w:hAnsiTheme="minorHAnsi" w:cstheme="minorHAnsi"/>
          <w:sz w:val="22"/>
          <w:szCs w:val="22"/>
        </w:rPr>
        <w:t xml:space="preserve"> increasing nationally (NHS England, 2019; </w:t>
      </w:r>
      <w:proofErr w:type="spellStart"/>
      <w:r w:rsidRPr="008652BB">
        <w:rPr>
          <w:rFonts w:asciiTheme="minorHAnsi" w:hAnsiTheme="minorHAnsi" w:cstheme="minorHAnsi"/>
          <w:sz w:val="22"/>
          <w:szCs w:val="22"/>
        </w:rPr>
        <w:t>Fixsen</w:t>
      </w:r>
      <w:proofErr w:type="spellEnd"/>
      <w:r w:rsidRPr="008652BB">
        <w:rPr>
          <w:rFonts w:asciiTheme="minorHAnsi" w:hAnsiTheme="minorHAnsi" w:cstheme="minorHAnsi"/>
          <w:sz w:val="22"/>
          <w:szCs w:val="22"/>
        </w:rPr>
        <w:t xml:space="preserve"> &amp; </w:t>
      </w:r>
      <w:proofErr w:type="spellStart"/>
      <w:r w:rsidRPr="008652BB">
        <w:rPr>
          <w:rFonts w:asciiTheme="minorHAnsi" w:hAnsiTheme="minorHAnsi" w:cstheme="minorHAnsi"/>
          <w:sz w:val="22"/>
          <w:szCs w:val="22"/>
        </w:rPr>
        <w:t>Polley</w:t>
      </w:r>
      <w:proofErr w:type="spellEnd"/>
      <w:r w:rsidRPr="008652BB">
        <w:rPr>
          <w:rFonts w:asciiTheme="minorHAnsi" w:hAnsiTheme="minorHAnsi" w:cstheme="minorHAnsi"/>
          <w:sz w:val="22"/>
          <w:szCs w:val="22"/>
        </w:rPr>
        <w:t xml:space="preserve">, 2019), evaluation of their impact and efficacy is pressing: quantitative, qualitative and econometric </w:t>
      </w:r>
      <w:r w:rsidR="005E4EC6" w:rsidRPr="008652BB">
        <w:rPr>
          <w:rFonts w:asciiTheme="minorHAnsi" w:hAnsiTheme="minorHAnsi" w:cstheme="minorHAnsi"/>
          <w:sz w:val="22"/>
          <w:szCs w:val="22"/>
        </w:rPr>
        <w:t>(</w:t>
      </w:r>
      <w:r w:rsidRPr="008652BB">
        <w:rPr>
          <w:rFonts w:asciiTheme="minorHAnsi" w:hAnsiTheme="minorHAnsi" w:cstheme="minorHAnsi"/>
          <w:sz w:val="22"/>
          <w:szCs w:val="22"/>
        </w:rPr>
        <w:t xml:space="preserve">Public Health England, 2016). </w:t>
      </w:r>
      <w:r w:rsidR="005E4EC6" w:rsidRPr="008652BB">
        <w:rPr>
          <w:rFonts w:asciiTheme="minorHAnsi" w:hAnsiTheme="minorHAnsi" w:cstheme="minorHAnsi"/>
          <w:sz w:val="22"/>
          <w:szCs w:val="22"/>
        </w:rPr>
        <w:t xml:space="preserve">The current research constitutes a qualitative analysis of </w:t>
      </w:r>
      <w:r w:rsidR="005E5C4B" w:rsidRPr="008652BB">
        <w:rPr>
          <w:rFonts w:asciiTheme="minorHAnsi" w:hAnsiTheme="minorHAnsi" w:cstheme="minorHAnsi"/>
          <w:sz w:val="22"/>
          <w:szCs w:val="22"/>
        </w:rPr>
        <w:t xml:space="preserve">semi-structured interviews with </w:t>
      </w:r>
      <w:r w:rsidR="005E4EC6" w:rsidRPr="008652BB">
        <w:rPr>
          <w:rFonts w:asciiTheme="minorHAnsi" w:hAnsiTheme="minorHAnsi" w:cstheme="minorHAnsi"/>
          <w:sz w:val="22"/>
          <w:szCs w:val="22"/>
        </w:rPr>
        <w:t xml:space="preserve">nine participants who participated in arts on prescription </w:t>
      </w:r>
      <w:r w:rsidR="001C5EA7" w:rsidRPr="008652BB">
        <w:rPr>
          <w:rFonts w:asciiTheme="minorHAnsi" w:hAnsiTheme="minorHAnsi" w:cstheme="minorHAnsi"/>
          <w:sz w:val="22"/>
          <w:szCs w:val="22"/>
        </w:rPr>
        <w:t>workshops</w:t>
      </w:r>
      <w:r w:rsidR="005E4EC6" w:rsidRPr="008652BB">
        <w:rPr>
          <w:rFonts w:asciiTheme="minorHAnsi" w:hAnsiTheme="minorHAnsi" w:cstheme="minorHAnsi"/>
          <w:sz w:val="22"/>
          <w:szCs w:val="22"/>
        </w:rPr>
        <w:t xml:space="preserve"> (</w:t>
      </w:r>
      <w:r w:rsidR="001C5EA7" w:rsidRPr="008652BB">
        <w:rPr>
          <w:rFonts w:asciiTheme="minorHAnsi" w:hAnsiTheme="minorHAnsi" w:cstheme="minorHAnsi"/>
          <w:sz w:val="22"/>
          <w:szCs w:val="22"/>
        </w:rPr>
        <w:t xml:space="preserve">delivered </w:t>
      </w:r>
      <w:r w:rsidR="005E4EC6" w:rsidRPr="008652BB">
        <w:rPr>
          <w:rFonts w:asciiTheme="minorHAnsi" w:hAnsiTheme="minorHAnsi" w:cstheme="minorHAnsi"/>
          <w:sz w:val="22"/>
          <w:szCs w:val="22"/>
        </w:rPr>
        <w:t>through Bristol Arts on Referral Alliance)</w:t>
      </w:r>
      <w:r w:rsidR="001D6CFB" w:rsidRPr="008652BB">
        <w:rPr>
          <w:rFonts w:asciiTheme="minorHAnsi" w:hAnsiTheme="minorHAnsi" w:cstheme="minorHAnsi"/>
          <w:sz w:val="22"/>
          <w:szCs w:val="22"/>
        </w:rPr>
        <w:t xml:space="preserve">. A quantitative analysis from the same cohort indicated that wellbeing </w:t>
      </w:r>
      <w:r w:rsidR="00572115">
        <w:rPr>
          <w:rFonts w:asciiTheme="minorHAnsi" w:hAnsiTheme="minorHAnsi" w:cstheme="minorHAnsi"/>
          <w:sz w:val="22"/>
          <w:szCs w:val="22"/>
        </w:rPr>
        <w:t xml:space="preserve">(measured with the Warwick-Edinburgh Mental Wellbeing Scale, WEMWBS) </w:t>
      </w:r>
      <w:r w:rsidR="001D6CFB" w:rsidRPr="008652BB">
        <w:rPr>
          <w:rFonts w:asciiTheme="minorHAnsi" w:hAnsiTheme="minorHAnsi" w:cstheme="minorHAnsi"/>
          <w:sz w:val="22"/>
          <w:szCs w:val="22"/>
        </w:rPr>
        <w:t>significantly increased across a twelve-week programme</w:t>
      </w:r>
      <w:r w:rsidR="007A5D28">
        <w:rPr>
          <w:rFonts w:asciiTheme="minorHAnsi" w:hAnsiTheme="minorHAnsi" w:cstheme="minorHAnsi"/>
          <w:sz w:val="22"/>
          <w:szCs w:val="22"/>
        </w:rPr>
        <w:t>, and that this wellbeing change was predicted by reduced anxiety immediately after the art workshops</w:t>
      </w:r>
      <w:r w:rsidR="001D6CFB" w:rsidRPr="008652BB">
        <w:rPr>
          <w:rFonts w:asciiTheme="minorHAnsi" w:hAnsiTheme="minorHAnsi" w:cstheme="minorHAnsi"/>
          <w:sz w:val="22"/>
          <w:szCs w:val="22"/>
        </w:rPr>
        <w:t xml:space="preserve"> (Holt, 2020). The current study focused on further exploring the perceived benefits of participating in these workshops to gain a fuller understanding of potential mechanisms for change. Previous qualitative research on arts on prescription has supported the role of social bonding as an important factor, </w:t>
      </w:r>
      <w:r w:rsidR="000513EF" w:rsidRPr="008652BB">
        <w:rPr>
          <w:rFonts w:asciiTheme="minorHAnsi" w:hAnsiTheme="minorHAnsi" w:cstheme="minorHAnsi"/>
          <w:sz w:val="22"/>
          <w:szCs w:val="22"/>
        </w:rPr>
        <w:t>impacting</w:t>
      </w:r>
      <w:r w:rsidR="001D6CFB" w:rsidRPr="008652BB">
        <w:rPr>
          <w:rFonts w:asciiTheme="minorHAnsi" w:hAnsiTheme="minorHAnsi" w:cstheme="minorHAnsi"/>
          <w:sz w:val="22"/>
          <w:szCs w:val="22"/>
        </w:rPr>
        <w:t xml:space="preserve"> on confidence and self-esteem, </w:t>
      </w:r>
      <w:r w:rsidR="000513EF" w:rsidRPr="008652BB">
        <w:rPr>
          <w:rFonts w:asciiTheme="minorHAnsi" w:hAnsiTheme="minorHAnsi" w:cstheme="minorHAnsi"/>
          <w:sz w:val="22"/>
          <w:szCs w:val="22"/>
        </w:rPr>
        <w:t xml:space="preserve">and the </w:t>
      </w:r>
      <w:r w:rsidR="001D6CFB" w:rsidRPr="008652BB">
        <w:rPr>
          <w:rFonts w:asciiTheme="minorHAnsi" w:hAnsiTheme="minorHAnsi" w:cstheme="minorHAnsi"/>
          <w:sz w:val="22"/>
          <w:szCs w:val="22"/>
        </w:rPr>
        <w:t>creati</w:t>
      </w:r>
      <w:r w:rsidR="000513EF" w:rsidRPr="008652BB">
        <w:rPr>
          <w:rFonts w:asciiTheme="minorHAnsi" w:hAnsiTheme="minorHAnsi" w:cstheme="minorHAnsi"/>
          <w:sz w:val="22"/>
          <w:szCs w:val="22"/>
        </w:rPr>
        <w:t>on of a</w:t>
      </w:r>
      <w:r w:rsidR="001D6CFB" w:rsidRPr="008652BB">
        <w:rPr>
          <w:rFonts w:asciiTheme="minorHAnsi" w:hAnsiTheme="minorHAnsi" w:cstheme="minorHAnsi"/>
          <w:sz w:val="22"/>
          <w:szCs w:val="22"/>
        </w:rPr>
        <w:t xml:space="preserve"> safe space</w:t>
      </w:r>
      <w:r w:rsidR="000513EF" w:rsidRPr="008652BB">
        <w:rPr>
          <w:rFonts w:asciiTheme="minorHAnsi" w:hAnsiTheme="minorHAnsi" w:cstheme="minorHAnsi"/>
          <w:sz w:val="22"/>
          <w:szCs w:val="22"/>
        </w:rPr>
        <w:t xml:space="preserve"> that enables this</w:t>
      </w:r>
      <w:r w:rsidR="001D6CFB" w:rsidRPr="008652BB">
        <w:rPr>
          <w:rFonts w:asciiTheme="minorHAnsi" w:hAnsiTheme="minorHAnsi" w:cstheme="minorHAnsi"/>
          <w:sz w:val="22"/>
          <w:szCs w:val="22"/>
        </w:rPr>
        <w:t xml:space="preserve"> (Stickley &amp; Hui, 2012). Further work has highlighted psychological features of this space, including being able to relax and forget about worries and </w:t>
      </w:r>
      <w:r w:rsidR="00AE1754" w:rsidRPr="008652BB">
        <w:rPr>
          <w:rFonts w:asciiTheme="minorHAnsi" w:hAnsiTheme="minorHAnsi" w:cstheme="minorHAnsi"/>
          <w:sz w:val="22"/>
          <w:szCs w:val="22"/>
        </w:rPr>
        <w:t>symptoms of poor health (Hughes et al., 2019; Redmond et al., 2019). However, previous qualitative research has either used a particular lens, focusing on social factors through narrative enquiry (Stickley &amp; Hui, 2012) or has used brief responses written on end of programme evaluation forms (Hughes et al., 2019; Redmond et al., 2019), limiting the richness and depth of descriptions and reflective exploration. The current study sought to redress this by conducting in-depth interviews with nine participants</w:t>
      </w:r>
      <w:r w:rsidR="000513EF" w:rsidRPr="008652BB">
        <w:rPr>
          <w:rFonts w:asciiTheme="minorHAnsi" w:hAnsiTheme="minorHAnsi" w:cstheme="minorHAnsi"/>
          <w:sz w:val="22"/>
          <w:szCs w:val="22"/>
        </w:rPr>
        <w:t xml:space="preserve">, </w:t>
      </w:r>
      <w:r w:rsidR="005548CC" w:rsidRPr="008652BB">
        <w:rPr>
          <w:rStyle w:val="normaltextrun"/>
          <w:rFonts w:ascii="Calibri" w:hAnsi="Calibri" w:cs="Calibri"/>
          <w:color w:val="000000"/>
          <w:sz w:val="22"/>
          <w:szCs w:val="22"/>
          <w:shd w:val="clear" w:color="auto" w:fill="FFFFFF"/>
        </w:rPr>
        <w:t>specifically focusing on the ways in which participants felt that arts on prescription had impacted their wellbeing.  </w:t>
      </w:r>
      <w:r w:rsidR="005548CC" w:rsidRPr="008652BB">
        <w:rPr>
          <w:rStyle w:val="eop"/>
          <w:rFonts w:ascii="Calibri" w:hAnsi="Calibri" w:cs="Calibri"/>
          <w:color w:val="000000"/>
          <w:sz w:val="22"/>
          <w:szCs w:val="22"/>
          <w:shd w:val="clear" w:color="auto" w:fill="FFFFFF"/>
        </w:rPr>
        <w:t> </w:t>
      </w:r>
    </w:p>
    <w:p w14:paraId="02274CCC" w14:textId="38B9D419" w:rsidR="00DA4AF6" w:rsidRPr="008652BB" w:rsidRDefault="00DA4AF6" w:rsidP="008652BB">
      <w:pPr>
        <w:spacing w:line="276" w:lineRule="auto"/>
        <w:jc w:val="both"/>
        <w:rPr>
          <w:rFonts w:asciiTheme="minorHAnsi" w:hAnsiTheme="minorHAnsi" w:cstheme="minorHAnsi"/>
          <w:sz w:val="22"/>
          <w:szCs w:val="22"/>
        </w:rPr>
      </w:pPr>
    </w:p>
    <w:p w14:paraId="4C0AA072" w14:textId="6989D53F" w:rsidR="00DA4AF6" w:rsidRPr="008652BB" w:rsidRDefault="005E4EC6" w:rsidP="008652BB">
      <w:pPr>
        <w:pStyle w:val="Heading2"/>
      </w:pPr>
      <w:r w:rsidRPr="008652BB">
        <w:t>Methodology</w:t>
      </w:r>
    </w:p>
    <w:p w14:paraId="2AC650E3" w14:textId="2F6C3801" w:rsidR="005E4EC6" w:rsidRPr="008652BB" w:rsidRDefault="006C5807" w:rsidP="008652BB">
      <w:pPr>
        <w:spacing w:line="276" w:lineRule="auto"/>
        <w:jc w:val="both"/>
        <w:rPr>
          <w:rFonts w:asciiTheme="minorHAnsi" w:hAnsiTheme="minorHAnsi" w:cstheme="minorHAnsi"/>
          <w:sz w:val="22"/>
          <w:szCs w:val="22"/>
        </w:rPr>
      </w:pPr>
      <w:r w:rsidRPr="008652BB">
        <w:rPr>
          <w:rStyle w:val="normaltextrun"/>
          <w:rFonts w:ascii="Calibri" w:hAnsi="Calibri" w:cs="Calibri"/>
          <w:color w:val="000000"/>
          <w:sz w:val="22"/>
          <w:szCs w:val="22"/>
          <w:shd w:val="clear" w:color="auto" w:fill="FFFFFF"/>
        </w:rPr>
        <w:t xml:space="preserve">A qualitative design was employed utilising semi-structured interviews and inductive reflexive thematic analysis (Braun &amp; Clarke, 2020). </w:t>
      </w:r>
      <w:r w:rsidR="00804F63" w:rsidRPr="008652BB">
        <w:rPr>
          <w:rStyle w:val="normaltextrun"/>
          <w:rFonts w:ascii="Calibri" w:hAnsi="Calibri" w:cs="Calibri"/>
          <w:color w:val="000000"/>
          <w:sz w:val="22"/>
          <w:szCs w:val="22"/>
          <w:shd w:val="clear" w:color="auto" w:fill="FFFFFF"/>
        </w:rPr>
        <w:t xml:space="preserve">Attendees at three art on prescription programmes were invited to participate in both the quantitative and qualitative components of the evaluation. Nine participants took part in semi-structured interviews in the final weeks of a twelve-week-long programme (5 females and 4 males, with a mean age of 49 [range = 35 to 70]). Participants had a range of outcomes on the quantitative analysis. </w:t>
      </w:r>
      <w:r w:rsidR="002A13EE" w:rsidRPr="008652BB">
        <w:rPr>
          <w:rStyle w:val="normaltextrun"/>
          <w:rFonts w:ascii="Calibri" w:hAnsi="Calibri" w:cs="Calibri"/>
          <w:color w:val="000000"/>
          <w:sz w:val="22"/>
          <w:szCs w:val="22"/>
          <w:shd w:val="clear" w:color="auto" w:fill="FFFFFF"/>
        </w:rPr>
        <w:t>Two</w:t>
      </w:r>
      <w:r w:rsidR="00804F63" w:rsidRPr="008652BB">
        <w:rPr>
          <w:rStyle w:val="normaltextrun"/>
          <w:rFonts w:ascii="Calibri" w:hAnsi="Calibri" w:cs="Calibri"/>
          <w:color w:val="000000"/>
          <w:sz w:val="22"/>
          <w:szCs w:val="22"/>
          <w:shd w:val="clear" w:color="auto" w:fill="FFFFFF"/>
        </w:rPr>
        <w:t xml:space="preserve"> reported </w:t>
      </w:r>
      <w:r w:rsidR="002A13EE" w:rsidRPr="008652BB">
        <w:rPr>
          <w:rStyle w:val="normaltextrun"/>
          <w:rFonts w:ascii="Calibri" w:hAnsi="Calibri" w:cs="Calibri"/>
          <w:color w:val="000000"/>
          <w:sz w:val="22"/>
          <w:szCs w:val="22"/>
          <w:shd w:val="clear" w:color="auto" w:fill="FFFFFF"/>
        </w:rPr>
        <w:t xml:space="preserve">a ‘meaningful’ increase in </w:t>
      </w:r>
      <w:r w:rsidR="00804F63" w:rsidRPr="008652BB">
        <w:rPr>
          <w:rStyle w:val="normaltextrun"/>
          <w:rFonts w:ascii="Calibri" w:hAnsi="Calibri" w:cs="Calibri"/>
          <w:color w:val="000000"/>
          <w:sz w:val="22"/>
          <w:szCs w:val="22"/>
          <w:shd w:val="clear" w:color="auto" w:fill="FFFFFF"/>
        </w:rPr>
        <w:t xml:space="preserve">wellbeing scores </w:t>
      </w:r>
      <w:r w:rsidR="002A13EE" w:rsidRPr="008652BB">
        <w:rPr>
          <w:rStyle w:val="normaltextrun"/>
          <w:rFonts w:ascii="Calibri" w:hAnsi="Calibri" w:cs="Calibri"/>
          <w:color w:val="000000"/>
          <w:sz w:val="22"/>
          <w:szCs w:val="22"/>
          <w:shd w:val="clear" w:color="auto" w:fill="FFFFFF"/>
        </w:rPr>
        <w:t>(more than 3 points</w:t>
      </w:r>
      <w:r w:rsidR="00572115">
        <w:rPr>
          <w:rStyle w:val="normaltextrun"/>
          <w:rFonts w:ascii="Calibri" w:hAnsi="Calibri" w:cs="Calibri"/>
          <w:color w:val="000000"/>
          <w:sz w:val="22"/>
          <w:szCs w:val="22"/>
          <w:shd w:val="clear" w:color="auto" w:fill="FFFFFF"/>
        </w:rPr>
        <w:t xml:space="preserve"> on the </w:t>
      </w:r>
      <w:r w:rsidR="00572115">
        <w:rPr>
          <w:rFonts w:asciiTheme="minorHAnsi" w:hAnsiTheme="minorHAnsi" w:cstheme="minorHAnsi"/>
          <w:sz w:val="22"/>
          <w:szCs w:val="22"/>
        </w:rPr>
        <w:t>WEMWBS</w:t>
      </w:r>
      <w:r w:rsidR="002A13EE" w:rsidRPr="008652BB">
        <w:rPr>
          <w:rStyle w:val="normaltextrun"/>
          <w:rFonts w:ascii="Calibri" w:hAnsi="Calibri" w:cs="Calibri"/>
          <w:color w:val="000000"/>
          <w:sz w:val="22"/>
          <w:szCs w:val="22"/>
          <w:shd w:val="clear" w:color="auto" w:fill="FFFFFF"/>
        </w:rPr>
        <w:t>)</w:t>
      </w:r>
      <w:r w:rsidR="00804F63" w:rsidRPr="008652BB">
        <w:rPr>
          <w:rStyle w:val="normaltextrun"/>
          <w:rFonts w:ascii="Calibri" w:hAnsi="Calibri" w:cs="Calibri"/>
          <w:color w:val="000000"/>
          <w:sz w:val="22"/>
          <w:szCs w:val="22"/>
          <w:shd w:val="clear" w:color="auto" w:fill="FFFFFF"/>
        </w:rPr>
        <w:t xml:space="preserve">, </w:t>
      </w:r>
      <w:r w:rsidR="002A13EE" w:rsidRPr="008652BB">
        <w:rPr>
          <w:rStyle w:val="normaltextrun"/>
          <w:rFonts w:ascii="Calibri" w:hAnsi="Calibri" w:cs="Calibri"/>
          <w:color w:val="000000"/>
          <w:sz w:val="22"/>
          <w:szCs w:val="22"/>
          <w:shd w:val="clear" w:color="auto" w:fill="FFFFFF"/>
        </w:rPr>
        <w:t xml:space="preserve">three a small increase (3 points or below), </w:t>
      </w:r>
      <w:r w:rsidR="00804F63" w:rsidRPr="008652BB">
        <w:rPr>
          <w:rStyle w:val="normaltextrun"/>
          <w:rFonts w:ascii="Calibri" w:hAnsi="Calibri" w:cs="Calibri"/>
          <w:color w:val="000000"/>
          <w:sz w:val="22"/>
          <w:szCs w:val="22"/>
          <w:shd w:val="clear" w:color="auto" w:fill="FFFFFF"/>
        </w:rPr>
        <w:t>one participant reported no change, and two participants reported decreased wellbeing scores. Semi-structured interviews took place in a quiet room in </w:t>
      </w:r>
      <w:r w:rsidR="00572115">
        <w:rPr>
          <w:rStyle w:val="normaltextrun"/>
          <w:rFonts w:ascii="Calibri" w:hAnsi="Calibri" w:cs="Calibri"/>
          <w:color w:val="000000"/>
          <w:sz w:val="22"/>
          <w:szCs w:val="22"/>
          <w:shd w:val="clear" w:color="auto" w:fill="FFFFFF"/>
        </w:rPr>
        <w:t xml:space="preserve">the </w:t>
      </w:r>
      <w:r w:rsidR="00804F63" w:rsidRPr="008652BB">
        <w:rPr>
          <w:rStyle w:val="normaltextrun"/>
          <w:rFonts w:ascii="Calibri" w:hAnsi="Calibri" w:cs="Calibri"/>
          <w:color w:val="000000"/>
          <w:sz w:val="22"/>
          <w:szCs w:val="22"/>
          <w:shd w:val="clear" w:color="auto" w:fill="FFFFFF"/>
        </w:rPr>
        <w:t xml:space="preserve">participants’ usual setting, during or at the end </w:t>
      </w:r>
      <w:r w:rsidR="00804F63" w:rsidRPr="008652BB">
        <w:rPr>
          <w:rStyle w:val="normaltextrun"/>
          <w:rFonts w:ascii="Calibri" w:hAnsi="Calibri" w:cs="Calibri"/>
          <w:color w:val="000000"/>
          <w:sz w:val="22"/>
          <w:szCs w:val="22"/>
          <w:shd w:val="clear" w:color="auto" w:fill="FFFFFF"/>
        </w:rPr>
        <w:lastRenderedPageBreak/>
        <w:t>of art workshops, between March and </w:t>
      </w:r>
      <w:proofErr w:type="gramStart"/>
      <w:r w:rsidR="00804F63" w:rsidRPr="008652BB">
        <w:rPr>
          <w:rStyle w:val="normaltextrun"/>
          <w:rFonts w:ascii="Calibri" w:hAnsi="Calibri" w:cs="Calibri"/>
          <w:color w:val="000000"/>
          <w:sz w:val="22"/>
          <w:szCs w:val="22"/>
          <w:shd w:val="clear" w:color="auto" w:fill="FFFFFF"/>
        </w:rPr>
        <w:t>June,</w:t>
      </w:r>
      <w:proofErr w:type="gramEnd"/>
      <w:r w:rsidR="00804F63" w:rsidRPr="008652BB">
        <w:rPr>
          <w:rStyle w:val="normaltextrun"/>
          <w:rFonts w:ascii="Calibri" w:hAnsi="Calibri" w:cs="Calibri"/>
          <w:color w:val="000000"/>
          <w:sz w:val="22"/>
          <w:szCs w:val="22"/>
          <w:shd w:val="clear" w:color="auto" w:fill="FFFFFF"/>
        </w:rPr>
        <w:t xml:space="preserve"> 2018. Participants were given an information sheet about the study in advance, which included the interview schedule, so that they could give informed consent if they wished to take part and agreed for the conversation to be recorded. One participant was uncomfortable about the interview being recorded and submitted their responses </w:t>
      </w:r>
      <w:r w:rsidR="00144ED4" w:rsidRPr="008652BB">
        <w:rPr>
          <w:rStyle w:val="normaltextrun"/>
          <w:rFonts w:ascii="Calibri" w:hAnsi="Calibri" w:cs="Calibri"/>
          <w:color w:val="000000"/>
          <w:sz w:val="22"/>
          <w:szCs w:val="22"/>
          <w:shd w:val="clear" w:color="auto" w:fill="FFFFFF"/>
        </w:rPr>
        <w:t>in written form</w:t>
      </w:r>
      <w:r w:rsidR="00804F63" w:rsidRPr="008652BB">
        <w:rPr>
          <w:rStyle w:val="normaltextrun"/>
          <w:rFonts w:ascii="Calibri" w:hAnsi="Calibri" w:cs="Calibri"/>
          <w:color w:val="000000"/>
          <w:sz w:val="22"/>
          <w:szCs w:val="22"/>
          <w:shd w:val="clear" w:color="auto" w:fill="FFFFFF"/>
        </w:rPr>
        <w:t xml:space="preserve">. </w:t>
      </w:r>
      <w:r w:rsidR="00C61736" w:rsidRPr="008652BB">
        <w:rPr>
          <w:rStyle w:val="normaltextrun"/>
          <w:rFonts w:ascii="Calibri" w:hAnsi="Calibri" w:cs="Calibri"/>
          <w:color w:val="000000"/>
          <w:sz w:val="22"/>
          <w:szCs w:val="22"/>
          <w:shd w:val="clear" w:color="auto" w:fill="FFFFFF"/>
        </w:rPr>
        <w:t xml:space="preserve">Interviews were transcribed, coded and analysed using thematic analysis methods. Coding and themes were agreed upon by all authors in a reflexive process. </w:t>
      </w:r>
      <w:bookmarkStart w:id="0" w:name="_Hlk67954575"/>
      <w:r w:rsidR="00144ED4" w:rsidRPr="008652BB">
        <w:rPr>
          <w:rStyle w:val="normaltextrun"/>
          <w:rFonts w:ascii="Calibri" w:hAnsi="Calibri" w:cs="Calibri"/>
          <w:color w:val="000000"/>
          <w:sz w:val="22"/>
          <w:szCs w:val="22"/>
          <w:shd w:val="clear" w:color="auto" w:fill="FFFFFF"/>
        </w:rPr>
        <w:t>The study received ethical approval from UWEs ethics committee</w:t>
      </w:r>
      <w:r w:rsidR="00333AED" w:rsidRPr="008652BB">
        <w:rPr>
          <w:rStyle w:val="normaltextrun"/>
          <w:rFonts w:ascii="Calibri" w:hAnsi="Calibri" w:cs="Calibri"/>
          <w:color w:val="000000"/>
          <w:sz w:val="22"/>
          <w:szCs w:val="22"/>
          <w:shd w:val="clear" w:color="auto" w:fill="FFFFFF"/>
        </w:rPr>
        <w:t>.</w:t>
      </w:r>
    </w:p>
    <w:bookmarkEnd w:id="0"/>
    <w:p w14:paraId="1B965D84" w14:textId="728E49D2" w:rsidR="005E4EC6" w:rsidRPr="008652BB" w:rsidRDefault="005E4EC6" w:rsidP="008652BB">
      <w:pPr>
        <w:spacing w:line="276" w:lineRule="auto"/>
        <w:jc w:val="both"/>
        <w:rPr>
          <w:rFonts w:asciiTheme="minorHAnsi" w:hAnsiTheme="minorHAnsi" w:cstheme="minorHAnsi"/>
          <w:sz w:val="22"/>
          <w:szCs w:val="22"/>
        </w:rPr>
      </w:pPr>
    </w:p>
    <w:p w14:paraId="57B2F852" w14:textId="2B17F757" w:rsidR="005E4EC6" w:rsidRPr="008652BB" w:rsidRDefault="005E4EC6" w:rsidP="008652BB">
      <w:pPr>
        <w:pStyle w:val="Heading2"/>
      </w:pPr>
      <w:r w:rsidRPr="008652BB">
        <w:t>Findings and Discussion</w:t>
      </w:r>
    </w:p>
    <w:p w14:paraId="5DC83AEE" w14:textId="38A4F256" w:rsidR="007A295A" w:rsidRPr="008652BB" w:rsidRDefault="00484118" w:rsidP="008652BB">
      <w:pPr>
        <w:spacing w:line="276" w:lineRule="auto"/>
        <w:jc w:val="both"/>
        <w:rPr>
          <w:rFonts w:asciiTheme="minorHAnsi" w:hAnsiTheme="minorHAnsi" w:cstheme="minorHAnsi"/>
          <w:sz w:val="22"/>
          <w:szCs w:val="22"/>
        </w:rPr>
      </w:pPr>
      <w:r w:rsidRPr="008652BB">
        <w:rPr>
          <w:rFonts w:asciiTheme="minorHAnsi" w:hAnsiTheme="minorHAnsi" w:cstheme="minorHAnsi"/>
          <w:sz w:val="22"/>
          <w:szCs w:val="22"/>
        </w:rPr>
        <w:t>Three main themes were: ‘</w:t>
      </w:r>
      <w:r w:rsidRPr="008652BB">
        <w:rPr>
          <w:rFonts w:asciiTheme="minorHAnsi" w:hAnsiTheme="minorHAnsi" w:cstheme="minorHAnsi"/>
          <w:i/>
          <w:iCs/>
          <w:sz w:val="22"/>
          <w:szCs w:val="22"/>
        </w:rPr>
        <w:t>the embrace’</w:t>
      </w:r>
      <w:r w:rsidRPr="008652BB">
        <w:rPr>
          <w:rFonts w:asciiTheme="minorHAnsi" w:hAnsiTheme="minorHAnsi" w:cstheme="minorHAnsi"/>
          <w:sz w:val="22"/>
          <w:szCs w:val="22"/>
        </w:rPr>
        <w:t xml:space="preserve"> (focusing on the </w:t>
      </w:r>
      <w:r w:rsidR="001D21F5" w:rsidRPr="008652BB">
        <w:rPr>
          <w:rFonts w:asciiTheme="minorHAnsi" w:hAnsiTheme="minorHAnsi" w:cstheme="minorHAnsi"/>
          <w:sz w:val="22"/>
          <w:szCs w:val="22"/>
        </w:rPr>
        <w:t>support</w:t>
      </w:r>
      <w:r w:rsidRPr="008652BB">
        <w:rPr>
          <w:rFonts w:asciiTheme="minorHAnsi" w:hAnsiTheme="minorHAnsi" w:cstheme="minorHAnsi"/>
          <w:sz w:val="22"/>
          <w:szCs w:val="22"/>
        </w:rPr>
        <w:t xml:space="preserve"> provided by the artist facilitator and workshop); ‘</w:t>
      </w:r>
      <w:r w:rsidRPr="008652BB">
        <w:rPr>
          <w:rFonts w:asciiTheme="minorHAnsi" w:hAnsiTheme="minorHAnsi" w:cstheme="minorHAnsi"/>
          <w:i/>
          <w:iCs/>
          <w:sz w:val="22"/>
          <w:szCs w:val="22"/>
        </w:rPr>
        <w:t>the journey’</w:t>
      </w:r>
      <w:r w:rsidRPr="008652BB">
        <w:rPr>
          <w:rFonts w:asciiTheme="minorHAnsi" w:hAnsiTheme="minorHAnsi" w:cstheme="minorHAnsi"/>
          <w:sz w:val="22"/>
          <w:szCs w:val="22"/>
        </w:rPr>
        <w:t xml:space="preserve"> (focusing on perceptions of change) and ‘</w:t>
      </w:r>
      <w:r w:rsidRPr="008652BB">
        <w:rPr>
          <w:rFonts w:asciiTheme="minorHAnsi" w:hAnsiTheme="minorHAnsi" w:cstheme="minorHAnsi"/>
          <w:i/>
          <w:iCs/>
          <w:sz w:val="22"/>
          <w:szCs w:val="22"/>
        </w:rPr>
        <w:t>the ripple effect’</w:t>
      </w:r>
      <w:r w:rsidRPr="008652BB">
        <w:rPr>
          <w:rFonts w:asciiTheme="minorHAnsi" w:hAnsiTheme="minorHAnsi" w:cstheme="minorHAnsi"/>
          <w:sz w:val="22"/>
          <w:szCs w:val="22"/>
        </w:rPr>
        <w:t xml:space="preserve"> (focusing on the broader impact of attending the workshops). ‘</w:t>
      </w:r>
      <w:r w:rsidR="00396DAD" w:rsidRPr="008652BB">
        <w:rPr>
          <w:rFonts w:asciiTheme="minorHAnsi" w:hAnsiTheme="minorHAnsi" w:cstheme="minorHAnsi"/>
          <w:sz w:val="22"/>
          <w:szCs w:val="22"/>
        </w:rPr>
        <w:t>T</w:t>
      </w:r>
      <w:r w:rsidRPr="008652BB">
        <w:rPr>
          <w:rFonts w:asciiTheme="minorHAnsi" w:hAnsiTheme="minorHAnsi" w:cstheme="minorHAnsi"/>
          <w:sz w:val="22"/>
          <w:szCs w:val="22"/>
        </w:rPr>
        <w:t xml:space="preserve">he embrace’ </w:t>
      </w:r>
      <w:r w:rsidR="00B86AA0" w:rsidRPr="008652BB">
        <w:rPr>
          <w:rFonts w:asciiTheme="minorHAnsi" w:hAnsiTheme="minorHAnsi" w:cstheme="minorHAnsi"/>
          <w:sz w:val="22"/>
          <w:szCs w:val="22"/>
        </w:rPr>
        <w:t xml:space="preserve">was the core theme and emphasised </w:t>
      </w:r>
      <w:r w:rsidR="00962C64" w:rsidRPr="008652BB">
        <w:rPr>
          <w:rFonts w:asciiTheme="minorHAnsi" w:hAnsiTheme="minorHAnsi" w:cstheme="minorHAnsi"/>
          <w:sz w:val="22"/>
          <w:szCs w:val="22"/>
        </w:rPr>
        <w:t>the</w:t>
      </w:r>
      <w:r w:rsidR="00B86AA0" w:rsidRPr="008652BB">
        <w:rPr>
          <w:rFonts w:asciiTheme="minorHAnsi" w:hAnsiTheme="minorHAnsi" w:cstheme="minorHAnsi"/>
          <w:sz w:val="22"/>
          <w:szCs w:val="22"/>
        </w:rPr>
        <w:t xml:space="preserve"> role of the artist facilitator </w:t>
      </w:r>
      <w:r w:rsidR="000A5D31" w:rsidRPr="008652BB">
        <w:rPr>
          <w:rFonts w:asciiTheme="minorHAnsi" w:hAnsiTheme="minorHAnsi" w:cstheme="minorHAnsi"/>
          <w:sz w:val="22"/>
          <w:szCs w:val="22"/>
        </w:rPr>
        <w:t xml:space="preserve">as a therapeutic agent in the art workshops. ‘The embrace’ </w:t>
      </w:r>
      <w:r w:rsidRPr="008652BB">
        <w:rPr>
          <w:rFonts w:asciiTheme="minorHAnsi" w:hAnsiTheme="minorHAnsi" w:cstheme="minorHAnsi"/>
          <w:sz w:val="22"/>
          <w:szCs w:val="22"/>
        </w:rPr>
        <w:t xml:space="preserve">included two sub-themes: </w:t>
      </w:r>
      <w:r w:rsidR="005F67BB" w:rsidRPr="008652BB">
        <w:rPr>
          <w:rFonts w:asciiTheme="minorHAnsi" w:hAnsiTheme="minorHAnsi" w:cstheme="minorHAnsi"/>
          <w:i/>
          <w:iCs/>
          <w:sz w:val="22"/>
          <w:szCs w:val="22"/>
        </w:rPr>
        <w:t>’responsive facilitation</w:t>
      </w:r>
      <w:r w:rsidR="00396DAD" w:rsidRPr="008652BB">
        <w:rPr>
          <w:rFonts w:asciiTheme="minorHAnsi" w:hAnsiTheme="minorHAnsi" w:cstheme="minorHAnsi"/>
          <w:i/>
          <w:iCs/>
          <w:sz w:val="22"/>
          <w:szCs w:val="22"/>
        </w:rPr>
        <w:t>’</w:t>
      </w:r>
      <w:r w:rsidRPr="008652BB">
        <w:rPr>
          <w:rFonts w:asciiTheme="minorHAnsi" w:hAnsiTheme="minorHAnsi" w:cstheme="minorHAnsi"/>
          <w:sz w:val="22"/>
          <w:szCs w:val="22"/>
        </w:rPr>
        <w:t xml:space="preserve"> (</w:t>
      </w:r>
      <w:r w:rsidR="000A5D31" w:rsidRPr="008652BB">
        <w:rPr>
          <w:rFonts w:asciiTheme="minorHAnsi" w:hAnsiTheme="minorHAnsi" w:cstheme="minorHAnsi"/>
          <w:sz w:val="22"/>
          <w:szCs w:val="22"/>
        </w:rPr>
        <w:t xml:space="preserve">reflecting the </w:t>
      </w:r>
      <w:r w:rsidRPr="008652BB">
        <w:rPr>
          <w:rFonts w:asciiTheme="minorHAnsi" w:hAnsiTheme="minorHAnsi" w:cstheme="minorHAnsi"/>
          <w:sz w:val="22"/>
          <w:szCs w:val="22"/>
        </w:rPr>
        <w:t xml:space="preserve">care, reassurance and </w:t>
      </w:r>
      <w:r w:rsidR="0046382F" w:rsidRPr="008652BB">
        <w:rPr>
          <w:rFonts w:asciiTheme="minorHAnsi" w:hAnsiTheme="minorHAnsi" w:cstheme="minorHAnsi"/>
          <w:sz w:val="22"/>
          <w:szCs w:val="22"/>
        </w:rPr>
        <w:t xml:space="preserve">non-judgemental </w:t>
      </w:r>
      <w:r w:rsidRPr="008652BB">
        <w:rPr>
          <w:rFonts w:asciiTheme="minorHAnsi" w:hAnsiTheme="minorHAnsi" w:cstheme="minorHAnsi"/>
          <w:sz w:val="22"/>
          <w:szCs w:val="22"/>
        </w:rPr>
        <w:t xml:space="preserve">understanding shown by the artist facilitator); and </w:t>
      </w:r>
      <w:r w:rsidRPr="008652BB">
        <w:rPr>
          <w:rFonts w:asciiTheme="minorHAnsi" w:hAnsiTheme="minorHAnsi" w:cstheme="minorHAnsi"/>
          <w:i/>
          <w:iCs/>
          <w:sz w:val="22"/>
          <w:szCs w:val="22"/>
        </w:rPr>
        <w:t>‘the escape room’</w:t>
      </w:r>
      <w:r w:rsidRPr="008652BB">
        <w:rPr>
          <w:rFonts w:asciiTheme="minorHAnsi" w:hAnsiTheme="minorHAnsi" w:cstheme="minorHAnsi"/>
          <w:sz w:val="22"/>
          <w:szCs w:val="22"/>
        </w:rPr>
        <w:t xml:space="preserve"> (</w:t>
      </w:r>
      <w:r w:rsidR="00B77245" w:rsidRPr="008652BB">
        <w:rPr>
          <w:rFonts w:asciiTheme="minorHAnsi" w:hAnsiTheme="minorHAnsi" w:cstheme="minorHAnsi"/>
          <w:sz w:val="22"/>
          <w:szCs w:val="22"/>
        </w:rPr>
        <w:t xml:space="preserve">illustrating the experiential consequences of </w:t>
      </w:r>
      <w:r w:rsidR="00B77245" w:rsidRPr="008652BB">
        <w:rPr>
          <w:rFonts w:asciiTheme="minorHAnsi" w:hAnsiTheme="minorHAnsi" w:cstheme="minorHAnsi"/>
          <w:i/>
          <w:iCs/>
          <w:sz w:val="22"/>
          <w:szCs w:val="22"/>
        </w:rPr>
        <w:t>‘the embrace’</w:t>
      </w:r>
      <w:r w:rsidR="00B77245" w:rsidRPr="008652BB">
        <w:rPr>
          <w:rFonts w:asciiTheme="minorHAnsi" w:hAnsiTheme="minorHAnsi" w:cstheme="minorHAnsi"/>
          <w:sz w:val="22"/>
          <w:szCs w:val="22"/>
        </w:rPr>
        <w:t xml:space="preserve">: </w:t>
      </w:r>
      <w:r w:rsidRPr="008652BB">
        <w:rPr>
          <w:rFonts w:asciiTheme="minorHAnsi" w:hAnsiTheme="minorHAnsi" w:cstheme="minorHAnsi"/>
          <w:sz w:val="22"/>
          <w:szCs w:val="22"/>
        </w:rPr>
        <w:t xml:space="preserve">the positive experiences </w:t>
      </w:r>
      <w:r w:rsidR="00FC7024" w:rsidRPr="008652BB">
        <w:rPr>
          <w:rFonts w:asciiTheme="minorHAnsi" w:hAnsiTheme="minorHAnsi" w:cstheme="minorHAnsi"/>
          <w:sz w:val="22"/>
          <w:szCs w:val="22"/>
        </w:rPr>
        <w:t>during</w:t>
      </w:r>
      <w:r w:rsidRPr="008652BB">
        <w:rPr>
          <w:rFonts w:asciiTheme="minorHAnsi" w:hAnsiTheme="minorHAnsi" w:cstheme="minorHAnsi"/>
          <w:sz w:val="22"/>
          <w:szCs w:val="22"/>
        </w:rPr>
        <w:t xml:space="preserve"> art workshops, such as the opportunity to talk, freedom from external pressures, relaxation and absorption). </w:t>
      </w:r>
      <w:r w:rsidR="00F10784" w:rsidRPr="008652BB">
        <w:rPr>
          <w:rFonts w:asciiTheme="minorHAnsi" w:hAnsiTheme="minorHAnsi" w:cstheme="minorHAnsi"/>
          <w:sz w:val="22"/>
          <w:szCs w:val="22"/>
        </w:rPr>
        <w:t>The sub-theme of the ‘escape room’ builds on previous research that has recognised the</w:t>
      </w:r>
      <w:r w:rsidR="00A26D8A" w:rsidRPr="008652BB">
        <w:rPr>
          <w:rFonts w:asciiTheme="minorHAnsi" w:hAnsiTheme="minorHAnsi" w:cstheme="minorHAnsi"/>
          <w:sz w:val="22"/>
          <w:szCs w:val="22"/>
        </w:rPr>
        <w:t xml:space="preserve"> importance of a ‘safe space’ in arts on prescription workshops, and the role of </w:t>
      </w:r>
      <w:r w:rsidR="007A295A" w:rsidRPr="008652BB">
        <w:rPr>
          <w:rFonts w:asciiTheme="minorHAnsi" w:hAnsiTheme="minorHAnsi" w:cstheme="minorHAnsi"/>
          <w:sz w:val="22"/>
          <w:szCs w:val="22"/>
        </w:rPr>
        <w:t>social bonding and relaxation during the art sessions</w:t>
      </w:r>
      <w:r w:rsidR="00A26D8A" w:rsidRPr="008652BB">
        <w:rPr>
          <w:rFonts w:asciiTheme="minorHAnsi" w:hAnsiTheme="minorHAnsi" w:cstheme="minorHAnsi"/>
          <w:sz w:val="22"/>
          <w:szCs w:val="22"/>
        </w:rPr>
        <w:t xml:space="preserve"> (e.g. Hughes</w:t>
      </w:r>
      <w:r w:rsidR="00BF023C" w:rsidRPr="008652BB">
        <w:rPr>
          <w:rFonts w:asciiTheme="minorHAnsi" w:hAnsiTheme="minorHAnsi" w:cstheme="minorHAnsi"/>
          <w:sz w:val="22"/>
          <w:szCs w:val="22"/>
        </w:rPr>
        <w:t xml:space="preserve"> et al.</w:t>
      </w:r>
      <w:r w:rsidR="00A26D8A" w:rsidRPr="008652BB">
        <w:rPr>
          <w:rFonts w:asciiTheme="minorHAnsi" w:hAnsiTheme="minorHAnsi" w:cstheme="minorHAnsi"/>
          <w:sz w:val="22"/>
          <w:szCs w:val="22"/>
        </w:rPr>
        <w:t>, 2019)</w:t>
      </w:r>
      <w:r w:rsidR="007A295A" w:rsidRPr="008652BB">
        <w:rPr>
          <w:rFonts w:asciiTheme="minorHAnsi" w:hAnsiTheme="minorHAnsi" w:cstheme="minorHAnsi"/>
          <w:sz w:val="22"/>
          <w:szCs w:val="22"/>
        </w:rPr>
        <w:t xml:space="preserve">, </w:t>
      </w:r>
      <w:r w:rsidR="00BF023C" w:rsidRPr="008652BB">
        <w:rPr>
          <w:rFonts w:asciiTheme="minorHAnsi" w:hAnsiTheme="minorHAnsi" w:cstheme="minorHAnsi"/>
          <w:sz w:val="22"/>
          <w:szCs w:val="22"/>
        </w:rPr>
        <w:t>However,</w:t>
      </w:r>
      <w:r w:rsidR="007A295A" w:rsidRPr="008652BB">
        <w:rPr>
          <w:rFonts w:asciiTheme="minorHAnsi" w:hAnsiTheme="minorHAnsi" w:cstheme="minorHAnsi"/>
          <w:sz w:val="22"/>
          <w:szCs w:val="22"/>
        </w:rPr>
        <w:t xml:space="preserve"> this</w:t>
      </w:r>
      <w:r w:rsidR="00BF023C" w:rsidRPr="008652BB">
        <w:rPr>
          <w:rFonts w:asciiTheme="minorHAnsi" w:hAnsiTheme="minorHAnsi" w:cstheme="minorHAnsi"/>
          <w:sz w:val="22"/>
          <w:szCs w:val="22"/>
        </w:rPr>
        <w:t xml:space="preserve"> more</w:t>
      </w:r>
      <w:r w:rsidR="007A295A" w:rsidRPr="008652BB">
        <w:rPr>
          <w:rFonts w:asciiTheme="minorHAnsi" w:hAnsiTheme="minorHAnsi" w:cstheme="minorHAnsi"/>
          <w:sz w:val="22"/>
          <w:szCs w:val="22"/>
        </w:rPr>
        <w:t xml:space="preserve"> in-depth analysis provides further details about the</w:t>
      </w:r>
      <w:r w:rsidR="00BF023C" w:rsidRPr="008652BB">
        <w:rPr>
          <w:rFonts w:asciiTheme="minorHAnsi" w:hAnsiTheme="minorHAnsi" w:cstheme="minorHAnsi"/>
          <w:sz w:val="22"/>
          <w:szCs w:val="22"/>
        </w:rPr>
        <w:t xml:space="preserve"> components of this space and emphasises the </w:t>
      </w:r>
      <w:r w:rsidR="000C37DD" w:rsidRPr="008652BB">
        <w:rPr>
          <w:rFonts w:asciiTheme="minorHAnsi" w:hAnsiTheme="minorHAnsi" w:cstheme="minorHAnsi"/>
          <w:sz w:val="22"/>
          <w:szCs w:val="22"/>
        </w:rPr>
        <w:t>importance of the artist facilitator in this process</w:t>
      </w:r>
      <w:r w:rsidR="00BB78A1" w:rsidRPr="008652BB">
        <w:rPr>
          <w:rFonts w:asciiTheme="minorHAnsi" w:hAnsiTheme="minorHAnsi" w:cstheme="minorHAnsi"/>
          <w:sz w:val="22"/>
          <w:szCs w:val="22"/>
        </w:rPr>
        <w:t>, the care</w:t>
      </w:r>
      <w:r w:rsidR="00336FDB" w:rsidRPr="008652BB">
        <w:rPr>
          <w:rFonts w:asciiTheme="minorHAnsi" w:hAnsiTheme="minorHAnsi" w:cstheme="minorHAnsi"/>
          <w:sz w:val="22"/>
          <w:szCs w:val="22"/>
        </w:rPr>
        <w:t xml:space="preserve"> and</w:t>
      </w:r>
      <w:r w:rsidR="00BB78A1" w:rsidRPr="008652BB">
        <w:rPr>
          <w:rFonts w:asciiTheme="minorHAnsi" w:hAnsiTheme="minorHAnsi" w:cstheme="minorHAnsi"/>
          <w:sz w:val="22"/>
          <w:szCs w:val="22"/>
        </w:rPr>
        <w:t xml:space="preserve"> support they provided, for example, being: “</w:t>
      </w:r>
      <w:r w:rsidR="00BB78A1" w:rsidRPr="008652BB">
        <w:rPr>
          <w:rFonts w:asciiTheme="minorHAnsi" w:hAnsiTheme="minorHAnsi"/>
          <w:sz w:val="22"/>
          <w:szCs w:val="22"/>
        </w:rPr>
        <w:t>very attentive to how everyone in the group is doing</w:t>
      </w:r>
      <w:r w:rsidR="00B22E92" w:rsidRPr="008652BB">
        <w:rPr>
          <w:rFonts w:asciiTheme="minorHAnsi" w:hAnsiTheme="minorHAnsi"/>
          <w:sz w:val="22"/>
          <w:szCs w:val="22"/>
        </w:rPr>
        <w:t xml:space="preserve"> …</w:t>
      </w:r>
      <w:r w:rsidR="00900E9C" w:rsidRPr="008652BB">
        <w:rPr>
          <w:rFonts w:asciiTheme="minorHAnsi" w:hAnsiTheme="minorHAnsi"/>
          <w:sz w:val="22"/>
          <w:szCs w:val="22"/>
        </w:rPr>
        <w:t xml:space="preserve"> she’s very good for building up people’s confidence</w:t>
      </w:r>
      <w:r w:rsidR="00D316B2" w:rsidRPr="008652BB">
        <w:rPr>
          <w:rFonts w:asciiTheme="minorHAnsi" w:hAnsiTheme="minorHAnsi"/>
          <w:sz w:val="22"/>
          <w:szCs w:val="22"/>
        </w:rPr>
        <w:t xml:space="preserve"> … </w:t>
      </w:r>
      <w:r w:rsidR="00900E9C" w:rsidRPr="008652BB">
        <w:rPr>
          <w:rFonts w:asciiTheme="minorHAnsi" w:hAnsiTheme="minorHAnsi"/>
          <w:sz w:val="22"/>
          <w:szCs w:val="22"/>
        </w:rPr>
        <w:t>and seeing what’s</w:t>
      </w:r>
      <w:r w:rsidR="00E37187" w:rsidRPr="008652BB">
        <w:rPr>
          <w:rFonts w:asciiTheme="minorHAnsi" w:hAnsiTheme="minorHAnsi"/>
          <w:sz w:val="22"/>
          <w:szCs w:val="22"/>
        </w:rPr>
        <w:t xml:space="preserve"> </w:t>
      </w:r>
      <w:r w:rsidR="00D316B2" w:rsidRPr="008652BB">
        <w:rPr>
          <w:rFonts w:asciiTheme="minorHAnsi" w:hAnsiTheme="minorHAnsi"/>
          <w:sz w:val="22"/>
          <w:szCs w:val="22"/>
        </w:rPr>
        <w:t>…</w:t>
      </w:r>
      <w:r w:rsidR="00900E9C" w:rsidRPr="008652BB">
        <w:rPr>
          <w:rFonts w:asciiTheme="minorHAnsi" w:hAnsiTheme="minorHAnsi"/>
          <w:sz w:val="22"/>
          <w:szCs w:val="22"/>
        </w:rPr>
        <w:t xml:space="preserve"> happening in the room and responding to it”. </w:t>
      </w:r>
      <w:r w:rsidR="00541CAF" w:rsidRPr="008652BB">
        <w:rPr>
          <w:rFonts w:asciiTheme="minorHAnsi" w:hAnsiTheme="minorHAnsi"/>
          <w:sz w:val="22"/>
          <w:szCs w:val="22"/>
        </w:rPr>
        <w:t xml:space="preserve">The theme of </w:t>
      </w:r>
      <w:r w:rsidR="00541CAF" w:rsidRPr="008652BB">
        <w:rPr>
          <w:rFonts w:asciiTheme="minorHAnsi" w:hAnsiTheme="minorHAnsi"/>
          <w:i/>
          <w:iCs/>
          <w:sz w:val="22"/>
          <w:szCs w:val="22"/>
        </w:rPr>
        <w:t xml:space="preserve">‘the journey’ </w:t>
      </w:r>
      <w:r w:rsidR="00541CAF" w:rsidRPr="008652BB">
        <w:rPr>
          <w:rFonts w:asciiTheme="minorHAnsi" w:hAnsiTheme="minorHAnsi"/>
          <w:sz w:val="22"/>
          <w:szCs w:val="22"/>
        </w:rPr>
        <w:t>emphasised parti</w:t>
      </w:r>
      <w:r w:rsidR="00754AF4" w:rsidRPr="008652BB">
        <w:rPr>
          <w:rFonts w:asciiTheme="minorHAnsi" w:hAnsiTheme="minorHAnsi"/>
          <w:sz w:val="22"/>
          <w:szCs w:val="22"/>
        </w:rPr>
        <w:t>cipants</w:t>
      </w:r>
      <w:r w:rsidR="00D316B2" w:rsidRPr="008652BB">
        <w:rPr>
          <w:rFonts w:asciiTheme="minorHAnsi" w:hAnsiTheme="minorHAnsi"/>
          <w:sz w:val="22"/>
          <w:szCs w:val="22"/>
        </w:rPr>
        <w:t>’</w:t>
      </w:r>
      <w:r w:rsidR="00754AF4" w:rsidRPr="008652BB">
        <w:rPr>
          <w:rFonts w:asciiTheme="minorHAnsi" w:hAnsiTheme="minorHAnsi"/>
          <w:sz w:val="22"/>
          <w:szCs w:val="22"/>
        </w:rPr>
        <w:t xml:space="preserve"> reflections on </w:t>
      </w:r>
      <w:r w:rsidR="00FB4165" w:rsidRPr="008652BB">
        <w:rPr>
          <w:rFonts w:asciiTheme="minorHAnsi" w:hAnsiTheme="minorHAnsi"/>
          <w:sz w:val="22"/>
          <w:szCs w:val="22"/>
        </w:rPr>
        <w:t>change across the</w:t>
      </w:r>
      <w:r w:rsidR="00D316B2" w:rsidRPr="008652BB">
        <w:rPr>
          <w:rFonts w:asciiTheme="minorHAnsi" w:hAnsiTheme="minorHAnsi"/>
          <w:sz w:val="22"/>
          <w:szCs w:val="22"/>
        </w:rPr>
        <w:t xml:space="preserve"> programme</w:t>
      </w:r>
      <w:r w:rsidR="00FB4165" w:rsidRPr="008652BB">
        <w:rPr>
          <w:rFonts w:asciiTheme="minorHAnsi" w:hAnsiTheme="minorHAnsi"/>
          <w:sz w:val="22"/>
          <w:szCs w:val="22"/>
        </w:rPr>
        <w:t xml:space="preserve">. For example, </w:t>
      </w:r>
      <w:r w:rsidR="003136B7" w:rsidRPr="008652BB">
        <w:rPr>
          <w:rFonts w:asciiTheme="minorHAnsi" w:hAnsiTheme="minorHAnsi"/>
          <w:sz w:val="22"/>
          <w:szCs w:val="22"/>
        </w:rPr>
        <w:t>participants discussed a reduction in symptoms (</w:t>
      </w:r>
      <w:r w:rsidR="00B8293E">
        <w:rPr>
          <w:rFonts w:asciiTheme="minorHAnsi" w:hAnsiTheme="minorHAnsi"/>
          <w:sz w:val="22"/>
          <w:szCs w:val="22"/>
        </w:rPr>
        <w:t>such as</w:t>
      </w:r>
      <w:r w:rsidR="003136B7" w:rsidRPr="008652BB">
        <w:rPr>
          <w:rFonts w:asciiTheme="minorHAnsi" w:hAnsiTheme="minorHAnsi"/>
          <w:sz w:val="22"/>
          <w:szCs w:val="22"/>
        </w:rPr>
        <w:t xml:space="preserve"> anxiety), </w:t>
      </w:r>
      <w:r w:rsidR="00281851" w:rsidRPr="008652BB">
        <w:rPr>
          <w:rFonts w:asciiTheme="minorHAnsi" w:hAnsiTheme="minorHAnsi"/>
          <w:sz w:val="22"/>
          <w:szCs w:val="22"/>
        </w:rPr>
        <w:t xml:space="preserve">feeling pride in creative achievements and </w:t>
      </w:r>
      <w:r w:rsidR="00FE48F3" w:rsidRPr="008652BB">
        <w:rPr>
          <w:rFonts w:asciiTheme="minorHAnsi" w:hAnsiTheme="minorHAnsi"/>
          <w:sz w:val="22"/>
          <w:szCs w:val="22"/>
        </w:rPr>
        <w:t xml:space="preserve">enjoying </w:t>
      </w:r>
      <w:r w:rsidR="006B3AB1" w:rsidRPr="008652BB">
        <w:rPr>
          <w:rFonts w:asciiTheme="minorHAnsi" w:hAnsiTheme="minorHAnsi"/>
          <w:sz w:val="22"/>
          <w:szCs w:val="22"/>
        </w:rPr>
        <w:t>developing artistic skills</w:t>
      </w:r>
      <w:r w:rsidR="00322C11" w:rsidRPr="008652BB">
        <w:rPr>
          <w:rFonts w:asciiTheme="minorHAnsi" w:hAnsiTheme="minorHAnsi"/>
          <w:sz w:val="22"/>
          <w:szCs w:val="22"/>
        </w:rPr>
        <w:t xml:space="preserve">, with </w:t>
      </w:r>
      <w:r w:rsidR="00993F73" w:rsidRPr="008652BB">
        <w:rPr>
          <w:rFonts w:asciiTheme="minorHAnsi" w:hAnsiTheme="minorHAnsi"/>
          <w:sz w:val="22"/>
          <w:szCs w:val="22"/>
        </w:rPr>
        <w:t>an ensuing change in identity</w:t>
      </w:r>
      <w:r w:rsidR="00517F9E" w:rsidRPr="008652BB">
        <w:rPr>
          <w:rFonts w:asciiTheme="minorHAnsi" w:hAnsiTheme="minorHAnsi"/>
          <w:sz w:val="22"/>
          <w:szCs w:val="22"/>
        </w:rPr>
        <w:t xml:space="preserve"> (akin to Stickley &amp; Hui, 2012)</w:t>
      </w:r>
      <w:r w:rsidR="006B3AB1" w:rsidRPr="008652BB">
        <w:rPr>
          <w:rFonts w:asciiTheme="minorHAnsi" w:hAnsiTheme="minorHAnsi"/>
          <w:sz w:val="22"/>
          <w:szCs w:val="22"/>
        </w:rPr>
        <w:t>. This led into the final theme, which</w:t>
      </w:r>
      <w:r w:rsidR="005738CB" w:rsidRPr="008652BB">
        <w:rPr>
          <w:rFonts w:asciiTheme="minorHAnsi" w:hAnsiTheme="minorHAnsi"/>
          <w:sz w:val="22"/>
          <w:szCs w:val="22"/>
        </w:rPr>
        <w:t xml:space="preserve"> </w:t>
      </w:r>
      <w:r w:rsidR="00D02EF0" w:rsidRPr="008652BB">
        <w:rPr>
          <w:rFonts w:asciiTheme="minorHAnsi" w:hAnsiTheme="minorHAnsi"/>
          <w:sz w:val="22"/>
          <w:szCs w:val="22"/>
        </w:rPr>
        <w:t>illustrated the broader impact of this in everyday life: ‘</w:t>
      </w:r>
      <w:r w:rsidR="00D02EF0" w:rsidRPr="008652BB">
        <w:rPr>
          <w:rFonts w:asciiTheme="minorHAnsi" w:hAnsiTheme="minorHAnsi"/>
          <w:i/>
          <w:iCs/>
          <w:sz w:val="22"/>
          <w:szCs w:val="22"/>
        </w:rPr>
        <w:t>the ripple effect’</w:t>
      </w:r>
      <w:r w:rsidR="00D02EF0" w:rsidRPr="008652BB">
        <w:rPr>
          <w:rFonts w:asciiTheme="minorHAnsi" w:hAnsiTheme="minorHAnsi"/>
          <w:sz w:val="22"/>
          <w:szCs w:val="22"/>
        </w:rPr>
        <w:t xml:space="preserve">. </w:t>
      </w:r>
      <w:r w:rsidR="00C3797D" w:rsidRPr="008652BB">
        <w:rPr>
          <w:rFonts w:asciiTheme="minorHAnsi" w:hAnsiTheme="minorHAnsi"/>
          <w:sz w:val="22"/>
          <w:szCs w:val="22"/>
        </w:rPr>
        <w:t>For example, p</w:t>
      </w:r>
      <w:r w:rsidR="00322C11" w:rsidRPr="008652BB">
        <w:rPr>
          <w:rFonts w:asciiTheme="minorHAnsi" w:hAnsiTheme="minorHAnsi"/>
          <w:sz w:val="22"/>
          <w:szCs w:val="22"/>
        </w:rPr>
        <w:t>articipants described how</w:t>
      </w:r>
      <w:r w:rsidR="00BA04B1" w:rsidRPr="008652BB">
        <w:rPr>
          <w:rFonts w:asciiTheme="minorHAnsi" w:hAnsiTheme="minorHAnsi"/>
          <w:sz w:val="22"/>
          <w:szCs w:val="22"/>
        </w:rPr>
        <w:t xml:space="preserve"> others, at work or home, notic</w:t>
      </w:r>
      <w:r w:rsidR="00322C11" w:rsidRPr="008652BB">
        <w:rPr>
          <w:rFonts w:asciiTheme="minorHAnsi" w:hAnsiTheme="minorHAnsi"/>
          <w:sz w:val="22"/>
          <w:szCs w:val="22"/>
        </w:rPr>
        <w:t>ed</w:t>
      </w:r>
      <w:r w:rsidR="00BA04B1" w:rsidRPr="008652BB">
        <w:rPr>
          <w:rFonts w:asciiTheme="minorHAnsi" w:hAnsiTheme="minorHAnsi"/>
          <w:sz w:val="22"/>
          <w:szCs w:val="22"/>
        </w:rPr>
        <w:t xml:space="preserve"> changes in </w:t>
      </w:r>
      <w:r w:rsidR="00322C11" w:rsidRPr="008652BB">
        <w:rPr>
          <w:rFonts w:asciiTheme="minorHAnsi" w:hAnsiTheme="minorHAnsi"/>
          <w:sz w:val="22"/>
          <w:szCs w:val="22"/>
        </w:rPr>
        <w:t xml:space="preserve">their </w:t>
      </w:r>
      <w:r w:rsidR="00044608" w:rsidRPr="008652BB">
        <w:rPr>
          <w:rFonts w:asciiTheme="minorHAnsi" w:hAnsiTheme="minorHAnsi"/>
          <w:sz w:val="22"/>
          <w:szCs w:val="22"/>
        </w:rPr>
        <w:t>beh</w:t>
      </w:r>
      <w:r w:rsidR="00322C11" w:rsidRPr="008652BB">
        <w:rPr>
          <w:rFonts w:asciiTheme="minorHAnsi" w:hAnsiTheme="minorHAnsi"/>
          <w:sz w:val="22"/>
          <w:szCs w:val="22"/>
        </w:rPr>
        <w:t>aviour</w:t>
      </w:r>
      <w:r w:rsidR="00561C1E" w:rsidRPr="008652BB">
        <w:rPr>
          <w:rFonts w:asciiTheme="minorHAnsi" w:hAnsiTheme="minorHAnsi"/>
          <w:sz w:val="22"/>
          <w:szCs w:val="22"/>
        </w:rPr>
        <w:t xml:space="preserve"> (e.g.</w:t>
      </w:r>
      <w:r w:rsidR="00B8293E">
        <w:rPr>
          <w:rFonts w:asciiTheme="minorHAnsi" w:hAnsiTheme="minorHAnsi"/>
          <w:sz w:val="22"/>
          <w:szCs w:val="22"/>
        </w:rPr>
        <w:t>,</w:t>
      </w:r>
      <w:r w:rsidR="00561C1E" w:rsidRPr="008652BB">
        <w:rPr>
          <w:rFonts w:asciiTheme="minorHAnsi" w:hAnsiTheme="minorHAnsi"/>
          <w:sz w:val="22"/>
          <w:szCs w:val="22"/>
        </w:rPr>
        <w:t xml:space="preserve"> being calmer or more sociable)</w:t>
      </w:r>
      <w:r w:rsidR="00322C11" w:rsidRPr="008652BB">
        <w:rPr>
          <w:rFonts w:asciiTheme="minorHAnsi" w:hAnsiTheme="minorHAnsi"/>
          <w:sz w:val="22"/>
          <w:szCs w:val="22"/>
        </w:rPr>
        <w:t xml:space="preserve">, </w:t>
      </w:r>
      <w:r w:rsidR="00044608" w:rsidRPr="008652BB">
        <w:rPr>
          <w:rFonts w:asciiTheme="minorHAnsi" w:hAnsiTheme="minorHAnsi"/>
          <w:sz w:val="22"/>
          <w:szCs w:val="22"/>
        </w:rPr>
        <w:t xml:space="preserve">positively </w:t>
      </w:r>
      <w:r w:rsidR="00561C1E" w:rsidRPr="008652BB">
        <w:rPr>
          <w:rFonts w:asciiTheme="minorHAnsi" w:hAnsiTheme="minorHAnsi"/>
          <w:sz w:val="22"/>
          <w:szCs w:val="22"/>
        </w:rPr>
        <w:t>reinforc</w:t>
      </w:r>
      <w:r w:rsidR="00044608" w:rsidRPr="008652BB">
        <w:rPr>
          <w:rFonts w:asciiTheme="minorHAnsi" w:hAnsiTheme="minorHAnsi"/>
          <w:sz w:val="22"/>
          <w:szCs w:val="22"/>
        </w:rPr>
        <w:t>ing</w:t>
      </w:r>
      <w:r w:rsidR="00561C1E" w:rsidRPr="008652BB">
        <w:rPr>
          <w:rFonts w:asciiTheme="minorHAnsi" w:hAnsiTheme="minorHAnsi"/>
          <w:sz w:val="22"/>
          <w:szCs w:val="22"/>
        </w:rPr>
        <w:t xml:space="preserve"> change</w:t>
      </w:r>
      <w:r w:rsidR="00044608" w:rsidRPr="008652BB">
        <w:rPr>
          <w:rFonts w:asciiTheme="minorHAnsi" w:hAnsiTheme="minorHAnsi"/>
          <w:sz w:val="22"/>
          <w:szCs w:val="22"/>
        </w:rPr>
        <w:t>. I</w:t>
      </w:r>
      <w:r w:rsidR="00561C1E" w:rsidRPr="008652BB">
        <w:rPr>
          <w:rFonts w:asciiTheme="minorHAnsi" w:hAnsiTheme="minorHAnsi"/>
          <w:sz w:val="22"/>
          <w:szCs w:val="22"/>
        </w:rPr>
        <w:t>n addition</w:t>
      </w:r>
      <w:r w:rsidR="00044608" w:rsidRPr="008652BB">
        <w:rPr>
          <w:rFonts w:asciiTheme="minorHAnsi" w:hAnsiTheme="minorHAnsi"/>
          <w:sz w:val="22"/>
          <w:szCs w:val="22"/>
        </w:rPr>
        <w:t xml:space="preserve">, they discussed </w:t>
      </w:r>
      <w:r w:rsidR="00E52A12" w:rsidRPr="008652BB">
        <w:rPr>
          <w:rFonts w:asciiTheme="minorHAnsi" w:hAnsiTheme="minorHAnsi"/>
          <w:sz w:val="22"/>
          <w:szCs w:val="22"/>
        </w:rPr>
        <w:t xml:space="preserve">sharing new skills with others and </w:t>
      </w:r>
      <w:r w:rsidR="00517F9E" w:rsidRPr="008652BB">
        <w:rPr>
          <w:rFonts w:asciiTheme="minorHAnsi" w:hAnsiTheme="minorHAnsi"/>
          <w:sz w:val="22"/>
          <w:szCs w:val="22"/>
        </w:rPr>
        <w:t xml:space="preserve">using art at home, for </w:t>
      </w:r>
      <w:r w:rsidR="00E144A5" w:rsidRPr="008652BB">
        <w:rPr>
          <w:rFonts w:asciiTheme="minorHAnsi" w:hAnsiTheme="minorHAnsi"/>
          <w:sz w:val="22"/>
          <w:szCs w:val="22"/>
        </w:rPr>
        <w:t xml:space="preserve">enjoyment and emotional regulation. </w:t>
      </w:r>
      <w:r w:rsidR="002C300E" w:rsidRPr="008652BB">
        <w:rPr>
          <w:rFonts w:asciiTheme="minorHAnsi" w:hAnsiTheme="minorHAnsi"/>
          <w:sz w:val="22"/>
          <w:szCs w:val="22"/>
        </w:rPr>
        <w:t>This suggests that the workshops go beyond building social bonding</w:t>
      </w:r>
      <w:r w:rsidR="00C3797D" w:rsidRPr="008652BB">
        <w:rPr>
          <w:rFonts w:asciiTheme="minorHAnsi" w:hAnsiTheme="minorHAnsi"/>
          <w:sz w:val="22"/>
          <w:szCs w:val="22"/>
        </w:rPr>
        <w:t xml:space="preserve"> (Daykin, 2020)</w:t>
      </w:r>
      <w:r w:rsidR="002C300E" w:rsidRPr="008652BB">
        <w:rPr>
          <w:rFonts w:asciiTheme="minorHAnsi" w:hAnsiTheme="minorHAnsi"/>
          <w:sz w:val="22"/>
          <w:szCs w:val="22"/>
        </w:rPr>
        <w:t>, but also may promote resilience</w:t>
      </w:r>
      <w:r w:rsidR="00393C31" w:rsidRPr="008652BB">
        <w:rPr>
          <w:rFonts w:asciiTheme="minorHAnsi" w:hAnsiTheme="minorHAnsi"/>
          <w:sz w:val="22"/>
          <w:szCs w:val="22"/>
        </w:rPr>
        <w:t>, self-care and regulation</w:t>
      </w:r>
      <w:r w:rsidR="00C3797D" w:rsidRPr="008652BB">
        <w:rPr>
          <w:rFonts w:asciiTheme="minorHAnsi" w:hAnsiTheme="minorHAnsi"/>
          <w:sz w:val="22"/>
          <w:szCs w:val="22"/>
        </w:rPr>
        <w:t>.</w:t>
      </w:r>
    </w:p>
    <w:p w14:paraId="63353336" w14:textId="0AFA7B62" w:rsidR="00B72632" w:rsidRPr="008652BB" w:rsidRDefault="00B72632" w:rsidP="008652BB">
      <w:pPr>
        <w:spacing w:line="276" w:lineRule="auto"/>
        <w:jc w:val="both"/>
        <w:rPr>
          <w:rFonts w:asciiTheme="minorHAnsi" w:hAnsiTheme="minorHAnsi" w:cstheme="minorHAnsi"/>
          <w:sz w:val="22"/>
          <w:szCs w:val="22"/>
        </w:rPr>
      </w:pPr>
    </w:p>
    <w:p w14:paraId="465C0D22" w14:textId="77B7C428" w:rsidR="00B72632" w:rsidRPr="008652BB" w:rsidRDefault="00B72632" w:rsidP="008652BB">
      <w:pPr>
        <w:pStyle w:val="Heading2"/>
      </w:pPr>
      <w:r w:rsidRPr="008652BB">
        <w:t>Strengths and Limitations of the Study</w:t>
      </w:r>
    </w:p>
    <w:p w14:paraId="04962A14" w14:textId="685532CD" w:rsidR="00F10784" w:rsidRPr="008652BB" w:rsidRDefault="00245B96" w:rsidP="008652BB">
      <w:pPr>
        <w:spacing w:line="276" w:lineRule="auto"/>
        <w:jc w:val="both"/>
        <w:rPr>
          <w:rFonts w:asciiTheme="minorHAnsi" w:hAnsiTheme="minorHAnsi" w:cstheme="minorHAnsi"/>
          <w:sz w:val="22"/>
          <w:szCs w:val="22"/>
        </w:rPr>
      </w:pPr>
      <w:r w:rsidRPr="008652BB">
        <w:rPr>
          <w:rFonts w:asciiTheme="minorHAnsi" w:hAnsiTheme="minorHAnsi" w:cstheme="minorHAnsi"/>
          <w:sz w:val="22"/>
          <w:szCs w:val="22"/>
        </w:rPr>
        <w:t>A key strength of this study was conducting in-d</w:t>
      </w:r>
      <w:r w:rsidR="00854BEE" w:rsidRPr="008652BB">
        <w:rPr>
          <w:rFonts w:asciiTheme="minorHAnsi" w:hAnsiTheme="minorHAnsi" w:cstheme="minorHAnsi"/>
          <w:sz w:val="22"/>
          <w:szCs w:val="22"/>
        </w:rPr>
        <w:t>epth interviews</w:t>
      </w:r>
      <w:r w:rsidRPr="008652BB">
        <w:rPr>
          <w:rFonts w:asciiTheme="minorHAnsi" w:hAnsiTheme="minorHAnsi" w:cstheme="minorHAnsi"/>
          <w:sz w:val="22"/>
          <w:szCs w:val="22"/>
        </w:rPr>
        <w:t xml:space="preserve"> with people who had participated in arts on prescription workshops, with a specific focus on mechanisms of change from their perspective, which drew out further </w:t>
      </w:r>
      <w:r w:rsidR="009B2853" w:rsidRPr="008652BB">
        <w:rPr>
          <w:rFonts w:asciiTheme="minorHAnsi" w:hAnsiTheme="minorHAnsi" w:cstheme="minorHAnsi"/>
          <w:sz w:val="22"/>
          <w:szCs w:val="22"/>
        </w:rPr>
        <w:t>nuances on perceived processes.</w:t>
      </w:r>
      <w:r w:rsidR="00F366B9" w:rsidRPr="008652BB">
        <w:rPr>
          <w:rFonts w:asciiTheme="minorHAnsi" w:hAnsiTheme="minorHAnsi" w:cstheme="minorHAnsi"/>
          <w:sz w:val="22"/>
          <w:szCs w:val="22"/>
        </w:rPr>
        <w:t xml:space="preserve"> </w:t>
      </w:r>
      <w:r w:rsidR="00F366B9" w:rsidRPr="008652BB">
        <w:rPr>
          <w:rFonts w:asciiTheme="minorHAnsi" w:hAnsiTheme="minorHAnsi"/>
          <w:sz w:val="22"/>
          <w:szCs w:val="22"/>
        </w:rPr>
        <w:t xml:space="preserve">The novel findings in this evaluation were the importance of the skill set of artist and recognition of the wider-reaching impact of the art workshops in the everyday lives of participants. </w:t>
      </w:r>
      <w:r w:rsidR="00467F47" w:rsidRPr="008652BB">
        <w:rPr>
          <w:rFonts w:asciiTheme="minorHAnsi" w:hAnsiTheme="minorHAnsi" w:cstheme="minorHAnsi"/>
          <w:sz w:val="22"/>
          <w:szCs w:val="22"/>
        </w:rPr>
        <w:t xml:space="preserve">As is common in this type of research there is the possibility of self-selection biases, where people who most enjoyed the sessions were more willing to be interviewed. Nevertheless, this gives insight into </w:t>
      </w:r>
      <w:r w:rsidR="000A4FD5" w:rsidRPr="008652BB">
        <w:rPr>
          <w:rFonts w:asciiTheme="minorHAnsi" w:hAnsiTheme="minorHAnsi" w:cstheme="minorHAnsi"/>
          <w:sz w:val="22"/>
          <w:szCs w:val="22"/>
        </w:rPr>
        <w:t xml:space="preserve">the positive impact that the arts can have on wellbeing and has </w:t>
      </w:r>
      <w:r w:rsidR="00F10784" w:rsidRPr="008652BB">
        <w:rPr>
          <w:rFonts w:asciiTheme="minorHAnsi" w:hAnsiTheme="minorHAnsi" w:cstheme="minorHAnsi"/>
          <w:sz w:val="22"/>
          <w:szCs w:val="22"/>
        </w:rPr>
        <w:t>implications for best practice</w:t>
      </w:r>
      <w:r w:rsidR="000A4FD5" w:rsidRPr="008652BB">
        <w:rPr>
          <w:rFonts w:asciiTheme="minorHAnsi" w:hAnsiTheme="minorHAnsi" w:cstheme="minorHAnsi"/>
          <w:sz w:val="22"/>
          <w:szCs w:val="22"/>
        </w:rPr>
        <w:t>.</w:t>
      </w:r>
    </w:p>
    <w:p w14:paraId="69E583F9" w14:textId="2504E989" w:rsidR="00B72632" w:rsidRPr="008652BB" w:rsidRDefault="00B72632" w:rsidP="008652BB">
      <w:pPr>
        <w:spacing w:line="276" w:lineRule="auto"/>
        <w:jc w:val="both"/>
        <w:rPr>
          <w:rFonts w:asciiTheme="minorHAnsi" w:hAnsiTheme="minorHAnsi" w:cstheme="minorHAnsi"/>
          <w:sz w:val="22"/>
          <w:szCs w:val="22"/>
        </w:rPr>
      </w:pPr>
    </w:p>
    <w:p w14:paraId="487FECD5" w14:textId="4FEEEE0F" w:rsidR="00B72632" w:rsidRPr="008652BB" w:rsidRDefault="00B72632" w:rsidP="008652BB">
      <w:pPr>
        <w:pStyle w:val="Heading2"/>
      </w:pPr>
      <w:r w:rsidRPr="008652BB">
        <w:lastRenderedPageBreak/>
        <w:t>Conclusions and Recommendations for Further Research</w:t>
      </w:r>
    </w:p>
    <w:p w14:paraId="3821AD82" w14:textId="35085254" w:rsidR="00854BEE" w:rsidRDefault="000A4FD5" w:rsidP="008652BB">
      <w:pPr>
        <w:spacing w:line="276" w:lineRule="auto"/>
        <w:jc w:val="both"/>
        <w:rPr>
          <w:rFonts w:asciiTheme="minorHAnsi" w:hAnsiTheme="minorHAnsi" w:cstheme="minorHAnsi"/>
          <w:sz w:val="22"/>
          <w:szCs w:val="22"/>
        </w:rPr>
      </w:pPr>
      <w:r w:rsidRPr="008652BB">
        <w:rPr>
          <w:rFonts w:asciiTheme="minorHAnsi" w:hAnsiTheme="minorHAnsi" w:cstheme="minorHAnsi"/>
          <w:sz w:val="22"/>
          <w:szCs w:val="22"/>
        </w:rPr>
        <w:t>Th</w:t>
      </w:r>
      <w:r w:rsidR="00B8293E">
        <w:rPr>
          <w:rFonts w:asciiTheme="minorHAnsi" w:hAnsiTheme="minorHAnsi" w:cstheme="minorHAnsi"/>
          <w:sz w:val="22"/>
          <w:szCs w:val="22"/>
        </w:rPr>
        <w:t>is</w:t>
      </w:r>
      <w:r w:rsidRPr="008652BB">
        <w:rPr>
          <w:rFonts w:asciiTheme="minorHAnsi" w:hAnsiTheme="minorHAnsi" w:cstheme="minorHAnsi"/>
          <w:sz w:val="22"/>
          <w:szCs w:val="22"/>
        </w:rPr>
        <w:t xml:space="preserve"> qualitative </w:t>
      </w:r>
      <w:r w:rsidR="004F0B96" w:rsidRPr="008652BB">
        <w:rPr>
          <w:rFonts w:asciiTheme="minorHAnsi" w:hAnsiTheme="minorHAnsi" w:cstheme="minorHAnsi"/>
          <w:sz w:val="22"/>
          <w:szCs w:val="22"/>
        </w:rPr>
        <w:t xml:space="preserve">study supports previous work that arts on prescription is a meaningful intervention that can be perceived as deeply beneficial and life-changing by participants. </w:t>
      </w:r>
      <w:r w:rsidR="002537C0" w:rsidRPr="008652BB">
        <w:rPr>
          <w:rFonts w:asciiTheme="minorHAnsi" w:hAnsiTheme="minorHAnsi" w:cstheme="minorHAnsi"/>
          <w:sz w:val="22"/>
          <w:szCs w:val="22"/>
        </w:rPr>
        <w:t xml:space="preserve">Participants identified strongly with the </w:t>
      </w:r>
      <w:r w:rsidR="007A295A" w:rsidRPr="008652BB">
        <w:rPr>
          <w:rFonts w:asciiTheme="minorHAnsi" w:hAnsiTheme="minorHAnsi" w:cstheme="minorHAnsi"/>
          <w:sz w:val="22"/>
          <w:szCs w:val="22"/>
        </w:rPr>
        <w:t>artist facilitator</w:t>
      </w:r>
      <w:r w:rsidR="002537C0" w:rsidRPr="008652BB">
        <w:rPr>
          <w:rFonts w:asciiTheme="minorHAnsi" w:hAnsiTheme="minorHAnsi" w:cstheme="minorHAnsi"/>
          <w:sz w:val="22"/>
          <w:szCs w:val="22"/>
        </w:rPr>
        <w:t xml:space="preserve">, suggesting that further research on the skillset of this role be explored </w:t>
      </w:r>
      <w:proofErr w:type="gramStart"/>
      <w:r w:rsidR="002537C0" w:rsidRPr="008652BB">
        <w:rPr>
          <w:rFonts w:asciiTheme="minorHAnsi" w:hAnsiTheme="minorHAnsi" w:cstheme="minorHAnsi"/>
          <w:sz w:val="22"/>
          <w:szCs w:val="22"/>
        </w:rPr>
        <w:t>in order to</w:t>
      </w:r>
      <w:proofErr w:type="gramEnd"/>
      <w:r w:rsidR="002537C0" w:rsidRPr="008652BB">
        <w:rPr>
          <w:rFonts w:asciiTheme="minorHAnsi" w:hAnsiTheme="minorHAnsi" w:cstheme="minorHAnsi"/>
          <w:sz w:val="22"/>
          <w:szCs w:val="22"/>
        </w:rPr>
        <w:t xml:space="preserve"> facilitate best practice more widely. </w:t>
      </w:r>
    </w:p>
    <w:p w14:paraId="6AC71F4D" w14:textId="7408AD1A" w:rsidR="00B322D0" w:rsidRDefault="00B322D0" w:rsidP="008652BB">
      <w:pPr>
        <w:spacing w:line="276" w:lineRule="auto"/>
        <w:jc w:val="both"/>
        <w:rPr>
          <w:rFonts w:asciiTheme="minorHAnsi" w:hAnsiTheme="minorHAnsi" w:cstheme="minorHAnsi"/>
          <w:sz w:val="22"/>
          <w:szCs w:val="22"/>
        </w:rPr>
      </w:pPr>
    </w:p>
    <w:p w14:paraId="0BE5C073" w14:textId="3033FDAF" w:rsidR="00B322D0" w:rsidRDefault="00B322D0" w:rsidP="00B322D0">
      <w:pPr>
        <w:pStyle w:val="Heading2"/>
      </w:pPr>
      <w:r>
        <w:t>References</w:t>
      </w:r>
    </w:p>
    <w:p w14:paraId="32EFF1E0" w14:textId="328FDB54" w:rsidR="00DF2A69" w:rsidRPr="00DF2A69" w:rsidRDefault="00DF2A69" w:rsidP="00B322D0">
      <w:pPr>
        <w:rPr>
          <w:rFonts w:asciiTheme="minorHAnsi" w:hAnsiTheme="minorHAnsi" w:cstheme="minorHAnsi"/>
          <w:color w:val="222222"/>
          <w:sz w:val="22"/>
          <w:szCs w:val="22"/>
          <w:shd w:val="clear" w:color="auto" w:fill="FFFFFF"/>
        </w:rPr>
      </w:pPr>
      <w:r w:rsidRPr="00DF2A69">
        <w:rPr>
          <w:rFonts w:asciiTheme="minorHAnsi" w:hAnsiTheme="minorHAnsi" w:cstheme="minorHAnsi"/>
          <w:color w:val="222222"/>
          <w:sz w:val="22"/>
          <w:szCs w:val="22"/>
          <w:shd w:val="clear" w:color="auto" w:fill="FFFFFF"/>
        </w:rPr>
        <w:t xml:space="preserve">Braun, V., &amp; Clarke, V. (2020). One size </w:t>
      </w:r>
      <w:proofErr w:type="gramStart"/>
      <w:r w:rsidRPr="00DF2A69">
        <w:rPr>
          <w:rFonts w:asciiTheme="minorHAnsi" w:hAnsiTheme="minorHAnsi" w:cstheme="minorHAnsi"/>
          <w:color w:val="222222"/>
          <w:sz w:val="22"/>
          <w:szCs w:val="22"/>
          <w:shd w:val="clear" w:color="auto" w:fill="FFFFFF"/>
        </w:rPr>
        <w:t>fits</w:t>
      </w:r>
      <w:proofErr w:type="gramEnd"/>
      <w:r w:rsidRPr="00DF2A69">
        <w:rPr>
          <w:rFonts w:asciiTheme="minorHAnsi" w:hAnsiTheme="minorHAnsi" w:cstheme="minorHAnsi"/>
          <w:color w:val="222222"/>
          <w:sz w:val="22"/>
          <w:szCs w:val="22"/>
          <w:shd w:val="clear" w:color="auto" w:fill="FFFFFF"/>
        </w:rPr>
        <w:t xml:space="preserve"> all? What counts as quality practice in (reflexive) thematic analysis? </w:t>
      </w:r>
      <w:r w:rsidRPr="00DF2A69">
        <w:rPr>
          <w:rFonts w:asciiTheme="minorHAnsi" w:hAnsiTheme="minorHAnsi" w:cstheme="minorHAnsi"/>
          <w:i/>
          <w:iCs/>
          <w:color w:val="222222"/>
          <w:sz w:val="22"/>
          <w:szCs w:val="22"/>
          <w:shd w:val="clear" w:color="auto" w:fill="FFFFFF"/>
        </w:rPr>
        <w:t>Qualitative research in psychology</w:t>
      </w:r>
      <w:r w:rsidRPr="00DF2A69">
        <w:rPr>
          <w:rFonts w:asciiTheme="minorHAnsi" w:hAnsiTheme="minorHAnsi" w:cstheme="minorHAnsi"/>
          <w:color w:val="222222"/>
          <w:sz w:val="22"/>
          <w:szCs w:val="22"/>
          <w:shd w:val="clear" w:color="auto" w:fill="FFFFFF"/>
        </w:rPr>
        <w:t>, 1-25.</w:t>
      </w:r>
    </w:p>
    <w:p w14:paraId="4F030039" w14:textId="77777777" w:rsidR="00DF2A69" w:rsidRPr="00DF2A69" w:rsidRDefault="00DF2A69" w:rsidP="00B322D0">
      <w:pPr>
        <w:rPr>
          <w:rFonts w:asciiTheme="minorHAnsi" w:hAnsiTheme="minorHAnsi" w:cstheme="minorHAnsi"/>
          <w:color w:val="222222"/>
          <w:sz w:val="22"/>
          <w:szCs w:val="22"/>
          <w:shd w:val="clear" w:color="auto" w:fill="FFFFFF"/>
        </w:rPr>
      </w:pPr>
    </w:p>
    <w:p w14:paraId="71B25844" w14:textId="77777777" w:rsidR="00DF2A69" w:rsidRPr="00DF2A69" w:rsidRDefault="00DF2A69" w:rsidP="00DF2A69">
      <w:pPr>
        <w:rPr>
          <w:rFonts w:asciiTheme="minorHAnsi" w:hAnsiTheme="minorHAnsi" w:cstheme="minorHAnsi"/>
          <w:color w:val="333333"/>
          <w:sz w:val="22"/>
          <w:szCs w:val="22"/>
          <w:shd w:val="clear" w:color="auto" w:fill="FFFFFF"/>
        </w:rPr>
      </w:pPr>
      <w:r w:rsidRPr="00DF2A69">
        <w:rPr>
          <w:rFonts w:asciiTheme="minorHAnsi" w:hAnsiTheme="minorHAnsi" w:cstheme="minorHAnsi"/>
          <w:color w:val="222222"/>
          <w:sz w:val="22"/>
          <w:szCs w:val="22"/>
          <w:shd w:val="clear" w:color="auto" w:fill="FFFFFF"/>
        </w:rPr>
        <w:t>Daykin, N., Mansfield, L., Meads, C., Gray, K., Golding, A., Tomlinson, A., &amp; Victor, C. (2020). The role of social capital in participatory arts for wellbeing: findings from a qualitative systematic review. </w:t>
      </w:r>
      <w:r w:rsidRPr="00DF2A69">
        <w:rPr>
          <w:rFonts w:asciiTheme="minorHAnsi" w:hAnsiTheme="minorHAnsi" w:cstheme="minorHAnsi"/>
          <w:i/>
          <w:iCs/>
          <w:color w:val="222222"/>
          <w:sz w:val="22"/>
          <w:szCs w:val="22"/>
          <w:shd w:val="clear" w:color="auto" w:fill="FFFFFF"/>
        </w:rPr>
        <w:t>Arts &amp; Health</w:t>
      </w:r>
      <w:r w:rsidRPr="00DF2A69">
        <w:rPr>
          <w:rFonts w:asciiTheme="minorHAnsi" w:hAnsiTheme="minorHAnsi" w:cstheme="minorHAnsi"/>
          <w:color w:val="222222"/>
          <w:sz w:val="22"/>
          <w:szCs w:val="22"/>
          <w:shd w:val="clear" w:color="auto" w:fill="FFFFFF"/>
        </w:rPr>
        <w:t>, 1-24.</w:t>
      </w:r>
      <w:r w:rsidRPr="00DF2A69">
        <w:rPr>
          <w:rFonts w:asciiTheme="minorHAnsi" w:hAnsiTheme="minorHAnsi" w:cstheme="minorHAnsi"/>
          <w:sz w:val="22"/>
          <w:szCs w:val="22"/>
        </w:rPr>
        <w:t xml:space="preserve"> </w:t>
      </w:r>
      <w:proofErr w:type="spellStart"/>
      <w:r w:rsidRPr="00DF2A69">
        <w:rPr>
          <w:rFonts w:asciiTheme="minorHAnsi" w:hAnsiTheme="minorHAnsi" w:cstheme="minorHAnsi"/>
          <w:color w:val="222222"/>
          <w:sz w:val="22"/>
          <w:szCs w:val="22"/>
          <w:shd w:val="clear" w:color="auto" w:fill="FFFFFF"/>
        </w:rPr>
        <w:t>doi</w:t>
      </w:r>
      <w:proofErr w:type="spellEnd"/>
      <w:r w:rsidRPr="00DF2A69">
        <w:rPr>
          <w:rFonts w:asciiTheme="minorHAnsi" w:hAnsiTheme="minorHAnsi" w:cstheme="minorHAnsi"/>
          <w:color w:val="222222"/>
          <w:sz w:val="22"/>
          <w:szCs w:val="22"/>
          <w:shd w:val="clear" w:color="auto" w:fill="FFFFFF"/>
        </w:rPr>
        <w:t>: 10.1080/17533015.2020.1802605</w:t>
      </w:r>
    </w:p>
    <w:p w14:paraId="0F0C132A" w14:textId="77777777" w:rsidR="00DF2A69" w:rsidRPr="00DF2A69" w:rsidRDefault="00DF2A69" w:rsidP="00B322D0">
      <w:pPr>
        <w:rPr>
          <w:rFonts w:asciiTheme="minorHAnsi" w:hAnsiTheme="minorHAnsi" w:cstheme="minorHAnsi"/>
          <w:color w:val="222222"/>
          <w:sz w:val="22"/>
          <w:szCs w:val="22"/>
          <w:shd w:val="clear" w:color="auto" w:fill="FFFFFF"/>
        </w:rPr>
      </w:pPr>
    </w:p>
    <w:p w14:paraId="11A04F75" w14:textId="681F2CF1" w:rsidR="00B322D0" w:rsidRPr="00DF2A69" w:rsidRDefault="00B322D0" w:rsidP="00B322D0">
      <w:pPr>
        <w:rPr>
          <w:rFonts w:asciiTheme="minorHAnsi" w:hAnsiTheme="minorHAnsi" w:cstheme="minorHAnsi"/>
          <w:color w:val="222222"/>
          <w:sz w:val="22"/>
          <w:szCs w:val="22"/>
          <w:shd w:val="clear" w:color="auto" w:fill="FFFFFF"/>
        </w:rPr>
      </w:pPr>
      <w:proofErr w:type="spellStart"/>
      <w:r w:rsidRPr="00DF2A69">
        <w:rPr>
          <w:rFonts w:asciiTheme="minorHAnsi" w:hAnsiTheme="minorHAnsi" w:cstheme="minorHAnsi"/>
          <w:color w:val="222222"/>
          <w:sz w:val="22"/>
          <w:szCs w:val="22"/>
          <w:shd w:val="clear" w:color="auto" w:fill="FFFFFF"/>
        </w:rPr>
        <w:t>Fixsen</w:t>
      </w:r>
      <w:proofErr w:type="spellEnd"/>
      <w:r w:rsidRPr="00DF2A69">
        <w:rPr>
          <w:rFonts w:asciiTheme="minorHAnsi" w:hAnsiTheme="minorHAnsi" w:cstheme="minorHAnsi"/>
          <w:color w:val="222222"/>
          <w:sz w:val="22"/>
          <w:szCs w:val="22"/>
          <w:shd w:val="clear" w:color="auto" w:fill="FFFFFF"/>
        </w:rPr>
        <w:t xml:space="preserve">, A., &amp; </w:t>
      </w:r>
      <w:proofErr w:type="spellStart"/>
      <w:r w:rsidRPr="00DF2A69">
        <w:rPr>
          <w:rFonts w:asciiTheme="minorHAnsi" w:hAnsiTheme="minorHAnsi" w:cstheme="minorHAnsi"/>
          <w:color w:val="222222"/>
          <w:sz w:val="22"/>
          <w:szCs w:val="22"/>
          <w:shd w:val="clear" w:color="auto" w:fill="FFFFFF"/>
        </w:rPr>
        <w:t>Polley</w:t>
      </w:r>
      <w:proofErr w:type="spellEnd"/>
      <w:r w:rsidRPr="00DF2A69">
        <w:rPr>
          <w:rFonts w:asciiTheme="minorHAnsi" w:hAnsiTheme="minorHAnsi" w:cstheme="minorHAnsi"/>
          <w:color w:val="222222"/>
          <w:sz w:val="22"/>
          <w:szCs w:val="22"/>
          <w:shd w:val="clear" w:color="auto" w:fill="FFFFFF"/>
        </w:rPr>
        <w:t>, M. (2020). Social prescribing for stress related disorders and brain health. </w:t>
      </w:r>
      <w:r w:rsidRPr="00DF2A69">
        <w:rPr>
          <w:rFonts w:asciiTheme="minorHAnsi" w:hAnsiTheme="minorHAnsi" w:cstheme="minorHAnsi"/>
          <w:i/>
          <w:iCs/>
          <w:color w:val="222222"/>
          <w:sz w:val="22"/>
          <w:szCs w:val="22"/>
          <w:shd w:val="clear" w:color="auto" w:fill="FFFFFF"/>
        </w:rPr>
        <w:t>Stress and Brain Health: In Clinical Conditions</w:t>
      </w:r>
      <w:r w:rsidRPr="00DF2A69">
        <w:rPr>
          <w:rFonts w:asciiTheme="minorHAnsi" w:hAnsiTheme="minorHAnsi" w:cstheme="minorHAnsi"/>
          <w:color w:val="222222"/>
          <w:sz w:val="22"/>
          <w:szCs w:val="22"/>
          <w:shd w:val="clear" w:color="auto" w:fill="FFFFFF"/>
        </w:rPr>
        <w:t>, </w:t>
      </w:r>
      <w:r w:rsidRPr="00DF2A69">
        <w:rPr>
          <w:rFonts w:asciiTheme="minorHAnsi" w:hAnsiTheme="minorHAnsi" w:cstheme="minorHAnsi"/>
          <w:i/>
          <w:iCs/>
          <w:color w:val="222222"/>
          <w:sz w:val="22"/>
          <w:szCs w:val="22"/>
          <w:shd w:val="clear" w:color="auto" w:fill="FFFFFF"/>
        </w:rPr>
        <w:t>152</w:t>
      </w:r>
      <w:r w:rsidRPr="00DF2A69">
        <w:rPr>
          <w:rFonts w:asciiTheme="minorHAnsi" w:hAnsiTheme="minorHAnsi" w:cstheme="minorHAnsi"/>
          <w:color w:val="222222"/>
          <w:sz w:val="22"/>
          <w:szCs w:val="22"/>
          <w:shd w:val="clear" w:color="auto" w:fill="FFFFFF"/>
        </w:rPr>
        <w:t>, 237-257.</w:t>
      </w:r>
    </w:p>
    <w:p w14:paraId="71AA1EDE" w14:textId="77777777" w:rsidR="00B322D0" w:rsidRPr="00DF2A69" w:rsidRDefault="00B322D0" w:rsidP="00B322D0">
      <w:pPr>
        <w:rPr>
          <w:rFonts w:asciiTheme="minorHAnsi" w:hAnsiTheme="minorHAnsi" w:cstheme="minorHAnsi"/>
          <w:sz w:val="22"/>
          <w:szCs w:val="22"/>
        </w:rPr>
      </w:pPr>
    </w:p>
    <w:p w14:paraId="35FBF719" w14:textId="77777777" w:rsidR="00B322D0" w:rsidRPr="00DF2A69" w:rsidRDefault="00B322D0" w:rsidP="00B322D0">
      <w:pPr>
        <w:rPr>
          <w:rFonts w:asciiTheme="minorHAnsi" w:hAnsiTheme="minorHAnsi" w:cstheme="minorHAnsi"/>
          <w:color w:val="222222"/>
          <w:sz w:val="22"/>
          <w:szCs w:val="22"/>
          <w:shd w:val="clear" w:color="auto" w:fill="FFFFFF"/>
        </w:rPr>
      </w:pPr>
      <w:r w:rsidRPr="00DF2A69">
        <w:rPr>
          <w:rFonts w:asciiTheme="minorHAnsi" w:hAnsiTheme="minorHAnsi" w:cstheme="minorHAnsi"/>
          <w:color w:val="222222"/>
          <w:sz w:val="22"/>
          <w:szCs w:val="22"/>
          <w:shd w:val="clear" w:color="auto" w:fill="FFFFFF"/>
        </w:rPr>
        <w:t>Holt, N. J. (2020). Tracking momentary experience in the evaluation of arts-on-prescription services: using mood changes during art workshops to predict global wellbeing change. </w:t>
      </w:r>
      <w:r w:rsidRPr="00DF2A69">
        <w:rPr>
          <w:rFonts w:asciiTheme="minorHAnsi" w:hAnsiTheme="minorHAnsi" w:cstheme="minorHAnsi"/>
          <w:i/>
          <w:iCs/>
          <w:color w:val="222222"/>
          <w:sz w:val="22"/>
          <w:szCs w:val="22"/>
          <w:shd w:val="clear" w:color="auto" w:fill="FFFFFF"/>
        </w:rPr>
        <w:t>Perspectives in Public Health</w:t>
      </w:r>
      <w:r w:rsidRPr="00DF2A69">
        <w:rPr>
          <w:rFonts w:asciiTheme="minorHAnsi" w:hAnsiTheme="minorHAnsi" w:cstheme="minorHAnsi"/>
          <w:color w:val="222222"/>
          <w:sz w:val="22"/>
          <w:szCs w:val="22"/>
          <w:shd w:val="clear" w:color="auto" w:fill="FFFFFF"/>
        </w:rPr>
        <w:t>, </w:t>
      </w:r>
      <w:r w:rsidRPr="00DF2A69">
        <w:rPr>
          <w:rFonts w:asciiTheme="minorHAnsi" w:hAnsiTheme="minorHAnsi" w:cstheme="minorHAnsi"/>
          <w:i/>
          <w:iCs/>
          <w:color w:val="222222"/>
          <w:sz w:val="22"/>
          <w:szCs w:val="22"/>
          <w:shd w:val="clear" w:color="auto" w:fill="FFFFFF"/>
        </w:rPr>
        <w:t>140</w:t>
      </w:r>
      <w:r w:rsidRPr="00DF2A69">
        <w:rPr>
          <w:rFonts w:asciiTheme="minorHAnsi" w:hAnsiTheme="minorHAnsi" w:cstheme="minorHAnsi"/>
          <w:color w:val="222222"/>
          <w:sz w:val="22"/>
          <w:szCs w:val="22"/>
          <w:shd w:val="clear" w:color="auto" w:fill="FFFFFF"/>
        </w:rPr>
        <w:t>(5), 270-276.</w:t>
      </w:r>
    </w:p>
    <w:p w14:paraId="16DAC336" w14:textId="77777777" w:rsidR="00B322D0" w:rsidRPr="00DF2A69" w:rsidRDefault="00B322D0" w:rsidP="00B322D0">
      <w:pPr>
        <w:rPr>
          <w:rFonts w:asciiTheme="minorHAnsi" w:hAnsiTheme="minorHAnsi" w:cstheme="minorHAnsi"/>
          <w:color w:val="222222"/>
          <w:sz w:val="22"/>
          <w:szCs w:val="22"/>
          <w:shd w:val="clear" w:color="auto" w:fill="FFFFFF"/>
        </w:rPr>
      </w:pPr>
    </w:p>
    <w:p w14:paraId="429FD4F7" w14:textId="77777777" w:rsidR="00DF2A69" w:rsidRPr="00DF2A69" w:rsidRDefault="00DF2A69" w:rsidP="00DF2A69">
      <w:pPr>
        <w:rPr>
          <w:rFonts w:asciiTheme="minorHAnsi" w:hAnsiTheme="minorHAnsi" w:cstheme="minorHAnsi"/>
          <w:color w:val="222222"/>
          <w:sz w:val="22"/>
          <w:szCs w:val="22"/>
          <w:shd w:val="clear" w:color="auto" w:fill="FFFFFF"/>
        </w:rPr>
      </w:pPr>
      <w:r w:rsidRPr="00DF2A69">
        <w:rPr>
          <w:rFonts w:asciiTheme="minorHAnsi" w:hAnsiTheme="minorHAnsi" w:cstheme="minorHAnsi"/>
          <w:color w:val="222222"/>
          <w:sz w:val="22"/>
          <w:szCs w:val="22"/>
          <w:shd w:val="clear" w:color="auto" w:fill="FFFFFF"/>
        </w:rPr>
        <w:t xml:space="preserve">Hughes, S., Crone, D. M., Sumner, R.C. &amp; Redmond, M. (2019). Understanding well-being outcomes in primary care arts on referral interventions: a mixed method study. </w:t>
      </w:r>
      <w:r w:rsidRPr="00DF2A69">
        <w:rPr>
          <w:rFonts w:asciiTheme="minorHAnsi" w:hAnsiTheme="minorHAnsi" w:cstheme="minorHAnsi"/>
          <w:i/>
          <w:iCs/>
          <w:color w:val="222222"/>
          <w:sz w:val="22"/>
          <w:szCs w:val="22"/>
          <w:shd w:val="clear" w:color="auto" w:fill="FFFFFF"/>
        </w:rPr>
        <w:t xml:space="preserve">European Journal for Person </w:t>
      </w:r>
      <w:proofErr w:type="spellStart"/>
      <w:r w:rsidRPr="00DF2A69">
        <w:rPr>
          <w:rFonts w:asciiTheme="minorHAnsi" w:hAnsiTheme="minorHAnsi" w:cstheme="minorHAnsi"/>
          <w:i/>
          <w:iCs/>
          <w:color w:val="222222"/>
          <w:sz w:val="22"/>
          <w:szCs w:val="22"/>
          <w:shd w:val="clear" w:color="auto" w:fill="FFFFFF"/>
        </w:rPr>
        <w:t>Centered</w:t>
      </w:r>
      <w:proofErr w:type="spellEnd"/>
      <w:r w:rsidRPr="00DF2A69">
        <w:rPr>
          <w:rFonts w:asciiTheme="minorHAnsi" w:hAnsiTheme="minorHAnsi" w:cstheme="minorHAnsi"/>
          <w:i/>
          <w:iCs/>
          <w:color w:val="222222"/>
          <w:sz w:val="22"/>
          <w:szCs w:val="22"/>
          <w:shd w:val="clear" w:color="auto" w:fill="FFFFFF"/>
        </w:rPr>
        <w:t xml:space="preserve"> Healthcare, 7</w:t>
      </w:r>
      <w:r w:rsidRPr="00DF2A69">
        <w:rPr>
          <w:rFonts w:asciiTheme="minorHAnsi" w:hAnsiTheme="minorHAnsi" w:cstheme="minorHAnsi"/>
          <w:color w:val="222222"/>
          <w:sz w:val="22"/>
          <w:szCs w:val="22"/>
          <w:shd w:val="clear" w:color="auto" w:fill="FFFFFF"/>
        </w:rPr>
        <w:t>(3), 1768. doi:10.5750/</w:t>
      </w:r>
      <w:proofErr w:type="gramStart"/>
      <w:r w:rsidRPr="00DF2A69">
        <w:rPr>
          <w:rFonts w:asciiTheme="minorHAnsi" w:hAnsiTheme="minorHAnsi" w:cstheme="minorHAnsi"/>
          <w:color w:val="222222"/>
          <w:sz w:val="22"/>
          <w:szCs w:val="22"/>
          <w:shd w:val="clear" w:color="auto" w:fill="FFFFFF"/>
        </w:rPr>
        <w:t>ejpch.v</w:t>
      </w:r>
      <w:proofErr w:type="gramEnd"/>
      <w:r w:rsidRPr="00DF2A69">
        <w:rPr>
          <w:rFonts w:asciiTheme="minorHAnsi" w:hAnsiTheme="minorHAnsi" w:cstheme="minorHAnsi"/>
          <w:color w:val="222222"/>
          <w:sz w:val="22"/>
          <w:szCs w:val="22"/>
          <w:shd w:val="clear" w:color="auto" w:fill="FFFFFF"/>
        </w:rPr>
        <w:t>7i3.1768</w:t>
      </w:r>
    </w:p>
    <w:p w14:paraId="4AA59098" w14:textId="77777777" w:rsidR="00DF2A69" w:rsidRPr="00DF2A69" w:rsidRDefault="00DF2A69" w:rsidP="00B322D0">
      <w:pPr>
        <w:rPr>
          <w:rFonts w:asciiTheme="minorHAnsi" w:hAnsiTheme="minorHAnsi" w:cstheme="minorHAnsi"/>
          <w:sz w:val="22"/>
          <w:szCs w:val="22"/>
        </w:rPr>
      </w:pPr>
    </w:p>
    <w:p w14:paraId="5597EE53" w14:textId="01A8FAAE" w:rsidR="00B322D0" w:rsidRPr="00DF2A69" w:rsidRDefault="00B322D0" w:rsidP="00B322D0">
      <w:pPr>
        <w:rPr>
          <w:rStyle w:val="Hyperlink"/>
          <w:rFonts w:asciiTheme="minorHAnsi" w:hAnsiTheme="minorHAnsi" w:cstheme="minorHAnsi"/>
          <w:sz w:val="22"/>
          <w:szCs w:val="22"/>
        </w:rPr>
      </w:pPr>
      <w:r w:rsidRPr="00DF2A69">
        <w:rPr>
          <w:rFonts w:asciiTheme="minorHAnsi" w:hAnsiTheme="minorHAnsi" w:cstheme="minorHAnsi"/>
          <w:sz w:val="22"/>
          <w:szCs w:val="22"/>
        </w:rPr>
        <w:t xml:space="preserve">NHS England. (2019). Social prescribing and community-based support: Summary guide. Retrieved from </w:t>
      </w:r>
      <w:hyperlink r:id="rId7" w:history="1">
        <w:r w:rsidRPr="00DF2A69">
          <w:rPr>
            <w:rStyle w:val="Hyperlink"/>
            <w:rFonts w:asciiTheme="minorHAnsi" w:hAnsiTheme="minorHAnsi" w:cstheme="minorHAnsi"/>
            <w:sz w:val="22"/>
            <w:szCs w:val="22"/>
          </w:rPr>
          <w:t>https://www.england.nhs.uk/wpcontent/uploads/2019/01/social-prescribing-communitybased-support-summary-guide.pdf</w:t>
        </w:r>
      </w:hyperlink>
    </w:p>
    <w:p w14:paraId="1B30D17E" w14:textId="77777777" w:rsidR="00B322D0" w:rsidRPr="00DF2A69" w:rsidRDefault="00B322D0" w:rsidP="00B322D0">
      <w:pPr>
        <w:rPr>
          <w:rStyle w:val="Hyperlink"/>
          <w:rFonts w:asciiTheme="minorHAnsi" w:hAnsiTheme="minorHAnsi" w:cstheme="minorHAnsi"/>
          <w:sz w:val="22"/>
          <w:szCs w:val="22"/>
        </w:rPr>
      </w:pPr>
    </w:p>
    <w:p w14:paraId="18A046E3" w14:textId="59923319" w:rsidR="00B322D0" w:rsidRPr="00DF2A69" w:rsidRDefault="00B322D0" w:rsidP="00B322D0">
      <w:pPr>
        <w:rPr>
          <w:rFonts w:asciiTheme="minorHAnsi" w:hAnsiTheme="minorHAnsi" w:cstheme="minorHAnsi"/>
          <w:color w:val="222222"/>
          <w:sz w:val="22"/>
          <w:szCs w:val="22"/>
          <w:shd w:val="clear" w:color="auto" w:fill="FFFFFF"/>
        </w:rPr>
      </w:pPr>
      <w:r w:rsidRPr="00DF2A69">
        <w:rPr>
          <w:rFonts w:asciiTheme="minorHAnsi" w:hAnsiTheme="minorHAnsi" w:cstheme="minorHAnsi"/>
          <w:color w:val="222222"/>
          <w:sz w:val="22"/>
          <w:szCs w:val="22"/>
          <w:shd w:val="clear" w:color="auto" w:fill="FFFFFF"/>
        </w:rPr>
        <w:t xml:space="preserve">Public Health England. (2016). </w:t>
      </w:r>
      <w:r w:rsidRPr="00DF2A69">
        <w:rPr>
          <w:rFonts w:asciiTheme="minorHAnsi" w:hAnsiTheme="minorHAnsi" w:cstheme="minorHAnsi"/>
          <w:i/>
          <w:iCs/>
          <w:color w:val="222222"/>
          <w:sz w:val="22"/>
          <w:szCs w:val="22"/>
          <w:shd w:val="clear" w:color="auto" w:fill="FFFFFF"/>
        </w:rPr>
        <w:t>Arts for health and wellbeing: An evaluation framework</w:t>
      </w:r>
      <w:r w:rsidRPr="00DF2A69">
        <w:rPr>
          <w:rFonts w:asciiTheme="minorHAnsi" w:hAnsiTheme="minorHAnsi" w:cstheme="minorHAnsi"/>
          <w:color w:val="222222"/>
          <w:sz w:val="22"/>
          <w:szCs w:val="22"/>
          <w:shd w:val="clear" w:color="auto" w:fill="FFFFFF"/>
        </w:rPr>
        <w:t>. London: Public Health England.</w:t>
      </w:r>
    </w:p>
    <w:p w14:paraId="58BF277D" w14:textId="385AC558" w:rsidR="00DF2A69" w:rsidRPr="00DF2A69" w:rsidRDefault="00DF2A69" w:rsidP="00B322D0">
      <w:pPr>
        <w:rPr>
          <w:rFonts w:asciiTheme="minorHAnsi" w:hAnsiTheme="minorHAnsi" w:cstheme="minorHAnsi"/>
          <w:color w:val="222222"/>
          <w:sz w:val="22"/>
          <w:szCs w:val="22"/>
          <w:shd w:val="clear" w:color="auto" w:fill="FFFFFF"/>
        </w:rPr>
      </w:pPr>
    </w:p>
    <w:p w14:paraId="7BA6D8FF" w14:textId="77777777" w:rsidR="00DF2A69" w:rsidRPr="00DF2A69" w:rsidRDefault="00DF2A69" w:rsidP="00DF2A69">
      <w:pPr>
        <w:rPr>
          <w:rFonts w:asciiTheme="minorHAnsi" w:hAnsiTheme="minorHAnsi" w:cstheme="minorHAnsi"/>
          <w:sz w:val="22"/>
          <w:szCs w:val="22"/>
        </w:rPr>
      </w:pPr>
      <w:r w:rsidRPr="00DF2A69">
        <w:rPr>
          <w:rFonts w:asciiTheme="minorHAnsi" w:hAnsiTheme="minorHAnsi" w:cstheme="minorHAnsi"/>
          <w:sz w:val="22"/>
          <w:szCs w:val="22"/>
        </w:rPr>
        <w:t>Redmond, M., Sumner, R. C., Crone, D. M., &amp; Hughes, S. (2019). ‘Light in dark places’: exploring qualitative data from a longitudinal study using creative arts as a form of social prescribing. </w:t>
      </w:r>
      <w:r w:rsidRPr="00DF2A69">
        <w:rPr>
          <w:rFonts w:asciiTheme="minorHAnsi" w:hAnsiTheme="minorHAnsi" w:cstheme="minorHAnsi"/>
          <w:i/>
          <w:iCs/>
          <w:sz w:val="22"/>
          <w:szCs w:val="22"/>
        </w:rPr>
        <w:t>Arts &amp; Health</w:t>
      </w:r>
      <w:r w:rsidRPr="00DF2A69">
        <w:rPr>
          <w:rFonts w:asciiTheme="minorHAnsi" w:hAnsiTheme="minorHAnsi" w:cstheme="minorHAnsi"/>
          <w:sz w:val="22"/>
          <w:szCs w:val="22"/>
        </w:rPr>
        <w:t>, </w:t>
      </w:r>
      <w:r w:rsidRPr="00DF2A69">
        <w:rPr>
          <w:rFonts w:asciiTheme="minorHAnsi" w:hAnsiTheme="minorHAnsi" w:cstheme="minorHAnsi"/>
          <w:i/>
          <w:iCs/>
          <w:sz w:val="22"/>
          <w:szCs w:val="22"/>
        </w:rPr>
        <w:t>11</w:t>
      </w:r>
      <w:r w:rsidRPr="00DF2A69">
        <w:rPr>
          <w:rFonts w:asciiTheme="minorHAnsi" w:hAnsiTheme="minorHAnsi" w:cstheme="minorHAnsi"/>
          <w:sz w:val="22"/>
          <w:szCs w:val="22"/>
        </w:rPr>
        <w:t>(3), 232-245.</w:t>
      </w:r>
    </w:p>
    <w:p w14:paraId="6DFC8981" w14:textId="77777777" w:rsidR="00DF2A69" w:rsidRPr="00DF2A69" w:rsidRDefault="00DF2A69" w:rsidP="00DF2A69">
      <w:pPr>
        <w:rPr>
          <w:rFonts w:asciiTheme="minorHAnsi" w:hAnsiTheme="minorHAnsi" w:cstheme="minorHAnsi"/>
          <w:color w:val="222222"/>
          <w:sz w:val="22"/>
          <w:szCs w:val="22"/>
          <w:shd w:val="clear" w:color="auto" w:fill="FFFFFF"/>
        </w:rPr>
      </w:pPr>
    </w:p>
    <w:p w14:paraId="0F78DFB1" w14:textId="4DB68441" w:rsidR="00DF2A69" w:rsidRPr="00DF2A69" w:rsidRDefault="00DF2A69" w:rsidP="00DF2A69">
      <w:pPr>
        <w:rPr>
          <w:rFonts w:asciiTheme="minorHAnsi" w:hAnsiTheme="minorHAnsi" w:cstheme="minorHAnsi"/>
          <w:color w:val="222222"/>
          <w:sz w:val="22"/>
          <w:szCs w:val="22"/>
          <w:shd w:val="clear" w:color="auto" w:fill="FFFFFF"/>
        </w:rPr>
      </w:pPr>
      <w:r w:rsidRPr="00DF2A69">
        <w:rPr>
          <w:rFonts w:asciiTheme="minorHAnsi" w:hAnsiTheme="minorHAnsi" w:cstheme="minorHAnsi"/>
          <w:color w:val="222222"/>
          <w:sz w:val="22"/>
          <w:szCs w:val="22"/>
          <w:shd w:val="clear" w:color="auto" w:fill="FFFFFF"/>
        </w:rPr>
        <w:t>Stickley, T., &amp; Hui, A. (2012). Social prescribing through arts on prescription in a UK city: Participants' perspectives (Part 1). </w:t>
      </w:r>
      <w:r w:rsidRPr="00DF2A69">
        <w:rPr>
          <w:rFonts w:asciiTheme="minorHAnsi" w:hAnsiTheme="minorHAnsi" w:cstheme="minorHAnsi"/>
          <w:i/>
          <w:iCs/>
          <w:color w:val="222222"/>
          <w:sz w:val="22"/>
          <w:szCs w:val="22"/>
          <w:shd w:val="clear" w:color="auto" w:fill="FFFFFF"/>
        </w:rPr>
        <w:t>Public health</w:t>
      </w:r>
      <w:r w:rsidRPr="00DF2A69">
        <w:rPr>
          <w:rFonts w:asciiTheme="minorHAnsi" w:hAnsiTheme="minorHAnsi" w:cstheme="minorHAnsi"/>
          <w:color w:val="222222"/>
          <w:sz w:val="22"/>
          <w:szCs w:val="22"/>
          <w:shd w:val="clear" w:color="auto" w:fill="FFFFFF"/>
        </w:rPr>
        <w:t>, </w:t>
      </w:r>
      <w:r w:rsidRPr="00DF2A69">
        <w:rPr>
          <w:rFonts w:asciiTheme="minorHAnsi" w:hAnsiTheme="minorHAnsi" w:cstheme="minorHAnsi"/>
          <w:i/>
          <w:iCs/>
          <w:color w:val="222222"/>
          <w:sz w:val="22"/>
          <w:szCs w:val="22"/>
          <w:shd w:val="clear" w:color="auto" w:fill="FFFFFF"/>
        </w:rPr>
        <w:t>126</w:t>
      </w:r>
      <w:r w:rsidRPr="00DF2A69">
        <w:rPr>
          <w:rFonts w:asciiTheme="minorHAnsi" w:hAnsiTheme="minorHAnsi" w:cstheme="minorHAnsi"/>
          <w:color w:val="222222"/>
          <w:sz w:val="22"/>
          <w:szCs w:val="22"/>
          <w:shd w:val="clear" w:color="auto" w:fill="FFFFFF"/>
        </w:rPr>
        <w:t>(7), 574-579.</w:t>
      </w:r>
    </w:p>
    <w:p w14:paraId="0D51A022" w14:textId="77777777" w:rsidR="00DF2A69" w:rsidRPr="00DF2A69" w:rsidRDefault="00DF2A69" w:rsidP="00B322D0">
      <w:pPr>
        <w:rPr>
          <w:rFonts w:asciiTheme="minorHAnsi" w:hAnsiTheme="minorHAnsi" w:cstheme="minorHAnsi"/>
          <w:color w:val="222222"/>
          <w:sz w:val="22"/>
          <w:szCs w:val="22"/>
          <w:shd w:val="clear" w:color="auto" w:fill="FFFFFF"/>
        </w:rPr>
      </w:pPr>
    </w:p>
    <w:p w14:paraId="79CF1688" w14:textId="77777777" w:rsidR="00B322D0" w:rsidRPr="00974E7D" w:rsidRDefault="00B322D0" w:rsidP="00B322D0">
      <w:pPr>
        <w:rPr>
          <w:rStyle w:val="Hyperlink"/>
          <w:rFonts w:cstheme="minorHAnsi"/>
        </w:rPr>
      </w:pPr>
    </w:p>
    <w:p w14:paraId="3B84CEAD" w14:textId="77777777" w:rsidR="00B322D0" w:rsidRPr="008652BB" w:rsidRDefault="00B322D0" w:rsidP="008652BB">
      <w:pPr>
        <w:spacing w:line="276" w:lineRule="auto"/>
        <w:jc w:val="both"/>
        <w:rPr>
          <w:rFonts w:asciiTheme="minorHAnsi" w:hAnsiTheme="minorHAnsi" w:cstheme="minorHAnsi"/>
          <w:sz w:val="22"/>
          <w:szCs w:val="22"/>
        </w:rPr>
      </w:pPr>
    </w:p>
    <w:sectPr w:rsidR="00B322D0" w:rsidRPr="008652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92DD7" w14:textId="77777777" w:rsidR="00CC2889" w:rsidRDefault="00CC2889" w:rsidP="00E90F53">
      <w:r>
        <w:separator/>
      </w:r>
    </w:p>
  </w:endnote>
  <w:endnote w:type="continuationSeparator" w:id="0">
    <w:p w14:paraId="62FB65B2" w14:textId="77777777" w:rsidR="00CC2889" w:rsidRDefault="00CC2889" w:rsidP="00E90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0E2F2" w14:textId="77777777" w:rsidR="00CC2889" w:rsidRDefault="00CC2889" w:rsidP="00E90F53">
      <w:r>
        <w:separator/>
      </w:r>
    </w:p>
  </w:footnote>
  <w:footnote w:type="continuationSeparator" w:id="0">
    <w:p w14:paraId="54FEAC5E" w14:textId="77777777" w:rsidR="00CC2889" w:rsidRDefault="00CC2889" w:rsidP="00E90F53">
      <w:r>
        <w:continuationSeparator/>
      </w:r>
    </w:p>
  </w:footnote>
  <w:footnote w:id="1">
    <w:p w14:paraId="210C2A60" w14:textId="77EBFAD3" w:rsidR="00E90F53" w:rsidRDefault="00E90F53" w:rsidP="00E90F53">
      <w:pPr>
        <w:pStyle w:val="FootnoteText"/>
      </w:pPr>
      <w:r>
        <w:rPr>
          <w:rStyle w:val="FootnoteReference"/>
        </w:rPr>
        <w:footnoteRef/>
      </w:r>
      <w:r>
        <w:t xml:space="preserve"> Please correspond with </w:t>
      </w:r>
      <w:r>
        <w:t>Nicola Holt</w:t>
      </w:r>
      <w:r>
        <w:t xml:space="preserve"> at: </w:t>
      </w:r>
      <w:r>
        <w:rPr>
          <w:rFonts w:ascii="Segoe UI" w:hAnsi="Segoe UI" w:cs="Segoe UI"/>
          <w:color w:val="424242"/>
          <w:sz w:val="18"/>
          <w:szCs w:val="18"/>
          <w:shd w:val="clear" w:color="auto" w:fill="FFFFFF"/>
        </w:rPr>
        <w:t>Nicola.Holt@uwe.ac.uk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E372F4"/>
    <w:multiLevelType w:val="multilevel"/>
    <w:tmpl w:val="ACF24BC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4CE5B99"/>
    <w:multiLevelType w:val="multilevel"/>
    <w:tmpl w:val="AF8AD38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AE863C7"/>
    <w:multiLevelType w:val="multilevel"/>
    <w:tmpl w:val="4368474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BA82E7B"/>
    <w:multiLevelType w:val="multilevel"/>
    <w:tmpl w:val="AF6649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0B"/>
    <w:rsid w:val="0002191E"/>
    <w:rsid w:val="00044608"/>
    <w:rsid w:val="000513EF"/>
    <w:rsid w:val="000A4FD5"/>
    <w:rsid w:val="000A5D31"/>
    <w:rsid w:val="000B26B3"/>
    <w:rsid w:val="000C37DD"/>
    <w:rsid w:val="000D4A38"/>
    <w:rsid w:val="001040D2"/>
    <w:rsid w:val="0010727D"/>
    <w:rsid w:val="0013339D"/>
    <w:rsid w:val="00144ED4"/>
    <w:rsid w:val="00195CFB"/>
    <w:rsid w:val="001C5EA7"/>
    <w:rsid w:val="001C687C"/>
    <w:rsid w:val="001D21F5"/>
    <w:rsid w:val="001D6CFB"/>
    <w:rsid w:val="00245B96"/>
    <w:rsid w:val="002537C0"/>
    <w:rsid w:val="00281851"/>
    <w:rsid w:val="002A13EE"/>
    <w:rsid w:val="002C300E"/>
    <w:rsid w:val="003136B7"/>
    <w:rsid w:val="00322C11"/>
    <w:rsid w:val="00333AED"/>
    <w:rsid w:val="00336FDB"/>
    <w:rsid w:val="00393C31"/>
    <w:rsid w:val="003940BA"/>
    <w:rsid w:val="00396DAD"/>
    <w:rsid w:val="003A026B"/>
    <w:rsid w:val="00462FE9"/>
    <w:rsid w:val="0046382F"/>
    <w:rsid w:val="00467F47"/>
    <w:rsid w:val="00484118"/>
    <w:rsid w:val="004C6F2D"/>
    <w:rsid w:val="004E5743"/>
    <w:rsid w:val="004F0B96"/>
    <w:rsid w:val="00503D33"/>
    <w:rsid w:val="00517F9E"/>
    <w:rsid w:val="00541CAF"/>
    <w:rsid w:val="005548CC"/>
    <w:rsid w:val="00561C1E"/>
    <w:rsid w:val="00572115"/>
    <w:rsid w:val="005738CB"/>
    <w:rsid w:val="005E4EC6"/>
    <w:rsid w:val="005E5C4B"/>
    <w:rsid w:val="005F67BB"/>
    <w:rsid w:val="00653BA8"/>
    <w:rsid w:val="006B3AB1"/>
    <w:rsid w:val="006C5807"/>
    <w:rsid w:val="00754AF4"/>
    <w:rsid w:val="007A295A"/>
    <w:rsid w:val="007A5D28"/>
    <w:rsid w:val="007F77AC"/>
    <w:rsid w:val="00804F63"/>
    <w:rsid w:val="0083370A"/>
    <w:rsid w:val="00854BEE"/>
    <w:rsid w:val="008652BB"/>
    <w:rsid w:val="00900E9C"/>
    <w:rsid w:val="00912C9A"/>
    <w:rsid w:val="00962C64"/>
    <w:rsid w:val="00993F73"/>
    <w:rsid w:val="009A0D6D"/>
    <w:rsid w:val="009B2853"/>
    <w:rsid w:val="00A26D8A"/>
    <w:rsid w:val="00AE1754"/>
    <w:rsid w:val="00B22E92"/>
    <w:rsid w:val="00B322D0"/>
    <w:rsid w:val="00B72632"/>
    <w:rsid w:val="00B77245"/>
    <w:rsid w:val="00B8293E"/>
    <w:rsid w:val="00B86AA0"/>
    <w:rsid w:val="00BA04B1"/>
    <w:rsid w:val="00BB78A1"/>
    <w:rsid w:val="00BC022D"/>
    <w:rsid w:val="00BF023C"/>
    <w:rsid w:val="00BF5D56"/>
    <w:rsid w:val="00C3797D"/>
    <w:rsid w:val="00C51F0B"/>
    <w:rsid w:val="00C61736"/>
    <w:rsid w:val="00CC2889"/>
    <w:rsid w:val="00CE326C"/>
    <w:rsid w:val="00D02EF0"/>
    <w:rsid w:val="00D316B2"/>
    <w:rsid w:val="00D83B82"/>
    <w:rsid w:val="00DA4AF6"/>
    <w:rsid w:val="00DF2A69"/>
    <w:rsid w:val="00E144A5"/>
    <w:rsid w:val="00E37187"/>
    <w:rsid w:val="00E52A12"/>
    <w:rsid w:val="00E54657"/>
    <w:rsid w:val="00E86B0D"/>
    <w:rsid w:val="00E90F53"/>
    <w:rsid w:val="00E91A33"/>
    <w:rsid w:val="00EA211B"/>
    <w:rsid w:val="00F10784"/>
    <w:rsid w:val="00F366B9"/>
    <w:rsid w:val="00F645C4"/>
    <w:rsid w:val="00FB4165"/>
    <w:rsid w:val="00FC7024"/>
    <w:rsid w:val="00FE48F3"/>
    <w:rsid w:val="00FF5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A3E7"/>
  <w15:chartTrackingRefBased/>
  <w15:docId w15:val="{3941E7E9-9B62-4885-A264-C9BD4949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F0B"/>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8652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52B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1F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F0B"/>
    <w:rPr>
      <w:rFonts w:ascii="Segoe UI" w:hAnsi="Segoe UI" w:cs="Segoe UI"/>
      <w:sz w:val="18"/>
      <w:szCs w:val="18"/>
      <w:lang w:eastAsia="en-GB"/>
    </w:rPr>
  </w:style>
  <w:style w:type="character" w:customStyle="1" w:styleId="normaltextrun">
    <w:name w:val="normaltextrun"/>
    <w:basedOn w:val="DefaultParagraphFont"/>
    <w:rsid w:val="00804F63"/>
  </w:style>
  <w:style w:type="character" w:customStyle="1" w:styleId="eop">
    <w:name w:val="eop"/>
    <w:basedOn w:val="DefaultParagraphFont"/>
    <w:rsid w:val="00804F63"/>
  </w:style>
  <w:style w:type="paragraph" w:styleId="CommentText">
    <w:name w:val="annotation text"/>
    <w:basedOn w:val="Normal"/>
    <w:link w:val="CommentTextChar"/>
    <w:uiPriority w:val="99"/>
    <w:semiHidden/>
    <w:unhideWhenUsed/>
    <w:rsid w:val="005F67BB"/>
    <w:rPr>
      <w:sz w:val="20"/>
      <w:szCs w:val="20"/>
    </w:rPr>
  </w:style>
  <w:style w:type="character" w:customStyle="1" w:styleId="CommentTextChar">
    <w:name w:val="Comment Text Char"/>
    <w:basedOn w:val="DefaultParagraphFont"/>
    <w:link w:val="CommentText"/>
    <w:uiPriority w:val="99"/>
    <w:semiHidden/>
    <w:rsid w:val="005F67BB"/>
    <w:rPr>
      <w:rFonts w:ascii="Times New Roman" w:hAnsi="Times New Roman" w:cs="Times New Roman"/>
      <w:sz w:val="20"/>
      <w:szCs w:val="20"/>
      <w:lang w:eastAsia="en-GB"/>
    </w:rPr>
  </w:style>
  <w:style w:type="character" w:customStyle="1" w:styleId="Heading1Char">
    <w:name w:val="Heading 1 Char"/>
    <w:basedOn w:val="DefaultParagraphFont"/>
    <w:link w:val="Heading1"/>
    <w:uiPriority w:val="9"/>
    <w:rsid w:val="008652BB"/>
    <w:rPr>
      <w:rFonts w:asciiTheme="majorHAnsi" w:eastAsiaTheme="majorEastAsia" w:hAnsiTheme="majorHAnsi" w:cstheme="majorBidi"/>
      <w:color w:val="2F5496" w:themeColor="accent1" w:themeShade="BF"/>
      <w:sz w:val="32"/>
      <w:szCs w:val="32"/>
      <w:lang w:eastAsia="en-GB"/>
    </w:rPr>
  </w:style>
  <w:style w:type="character" w:styleId="CommentReference">
    <w:name w:val="annotation reference"/>
    <w:basedOn w:val="DefaultParagraphFont"/>
    <w:uiPriority w:val="99"/>
    <w:semiHidden/>
    <w:unhideWhenUsed/>
    <w:rsid w:val="008652BB"/>
    <w:rPr>
      <w:sz w:val="16"/>
      <w:szCs w:val="16"/>
    </w:rPr>
  </w:style>
  <w:style w:type="paragraph" w:styleId="CommentSubject">
    <w:name w:val="annotation subject"/>
    <w:basedOn w:val="CommentText"/>
    <w:next w:val="CommentText"/>
    <w:link w:val="CommentSubjectChar"/>
    <w:uiPriority w:val="99"/>
    <w:semiHidden/>
    <w:unhideWhenUsed/>
    <w:rsid w:val="008652BB"/>
    <w:rPr>
      <w:b/>
      <w:bCs/>
    </w:rPr>
  </w:style>
  <w:style w:type="character" w:customStyle="1" w:styleId="CommentSubjectChar">
    <w:name w:val="Comment Subject Char"/>
    <w:basedOn w:val="CommentTextChar"/>
    <w:link w:val="CommentSubject"/>
    <w:uiPriority w:val="99"/>
    <w:semiHidden/>
    <w:rsid w:val="008652BB"/>
    <w:rPr>
      <w:rFonts w:ascii="Times New Roman" w:hAnsi="Times New Roman" w:cs="Times New Roman"/>
      <w:b/>
      <w:bCs/>
      <w:sz w:val="20"/>
      <w:szCs w:val="20"/>
      <w:lang w:eastAsia="en-GB"/>
    </w:rPr>
  </w:style>
  <w:style w:type="character" w:customStyle="1" w:styleId="Heading2Char">
    <w:name w:val="Heading 2 Char"/>
    <w:basedOn w:val="DefaultParagraphFont"/>
    <w:link w:val="Heading2"/>
    <w:uiPriority w:val="9"/>
    <w:rsid w:val="008652BB"/>
    <w:rPr>
      <w:rFonts w:asciiTheme="majorHAnsi" w:eastAsiaTheme="majorEastAsia" w:hAnsiTheme="majorHAnsi" w:cstheme="majorBidi"/>
      <w:color w:val="2F5496" w:themeColor="accent1" w:themeShade="BF"/>
      <w:sz w:val="26"/>
      <w:szCs w:val="26"/>
      <w:lang w:eastAsia="en-GB"/>
    </w:rPr>
  </w:style>
  <w:style w:type="paragraph" w:customStyle="1" w:styleId="paragraph">
    <w:name w:val="paragraph"/>
    <w:basedOn w:val="Normal"/>
    <w:rsid w:val="00E90F53"/>
    <w:pPr>
      <w:spacing w:before="100" w:beforeAutospacing="1" w:after="100" w:afterAutospacing="1"/>
    </w:pPr>
    <w:rPr>
      <w:rFonts w:eastAsia="Times New Roman"/>
    </w:rPr>
  </w:style>
  <w:style w:type="paragraph" w:styleId="FootnoteText">
    <w:name w:val="footnote text"/>
    <w:basedOn w:val="Normal"/>
    <w:link w:val="FootnoteTextChar"/>
    <w:uiPriority w:val="99"/>
    <w:semiHidden/>
    <w:unhideWhenUsed/>
    <w:rsid w:val="00E90F53"/>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E90F53"/>
    <w:rPr>
      <w:sz w:val="20"/>
      <w:szCs w:val="20"/>
    </w:rPr>
  </w:style>
  <w:style w:type="character" w:styleId="FootnoteReference">
    <w:name w:val="footnote reference"/>
    <w:basedOn w:val="DefaultParagraphFont"/>
    <w:uiPriority w:val="99"/>
    <w:semiHidden/>
    <w:unhideWhenUsed/>
    <w:rsid w:val="00E90F53"/>
    <w:rPr>
      <w:vertAlign w:val="superscript"/>
    </w:rPr>
  </w:style>
  <w:style w:type="character" w:styleId="Hyperlink">
    <w:name w:val="Hyperlink"/>
    <w:basedOn w:val="DefaultParagraphFont"/>
    <w:uiPriority w:val="99"/>
    <w:unhideWhenUsed/>
    <w:rsid w:val="00B322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096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gland.nhs.uk/wpcontent/uploads/2019/01/social-prescribing-communitybased-support-summary-gui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Holt</dc:creator>
  <cp:keywords/>
  <dc:description/>
  <cp:lastModifiedBy>Nicola Holt</cp:lastModifiedBy>
  <cp:revision>5</cp:revision>
  <dcterms:created xsi:type="dcterms:W3CDTF">2021-01-15T11:23:00Z</dcterms:created>
  <dcterms:modified xsi:type="dcterms:W3CDTF">2021-03-29T23:05:00Z</dcterms:modified>
</cp:coreProperties>
</file>