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0F6B" w14:textId="1B6D87E6" w:rsidR="007D0F44" w:rsidRPr="000F3DFA" w:rsidRDefault="007D0F44" w:rsidP="00B03DD7">
      <w:pPr>
        <w:pStyle w:val="Heading1"/>
        <w:jc w:val="center"/>
        <w:rPr>
          <w:rFonts w:asciiTheme="minorHAnsi" w:hAnsiTheme="minorHAnsi"/>
        </w:rPr>
      </w:pPr>
      <w:r w:rsidRPr="000F3DFA">
        <w:rPr>
          <w:rFonts w:asciiTheme="minorHAnsi" w:hAnsiTheme="minorHAnsi"/>
        </w:rPr>
        <w:t>A mixed-methods evaluation of the longitudinal impact of arts on prescription</w:t>
      </w:r>
    </w:p>
    <w:p w14:paraId="5403332F" w14:textId="19CF677F" w:rsidR="007D0F44" w:rsidRPr="000F3DFA" w:rsidRDefault="007D0F44" w:rsidP="00B03DD7">
      <w:pPr>
        <w:spacing w:line="276" w:lineRule="auto"/>
        <w:jc w:val="center"/>
        <w:rPr>
          <w:b/>
        </w:rPr>
      </w:pPr>
    </w:p>
    <w:p w14:paraId="030C9C77" w14:textId="005BD6B9" w:rsidR="00B03DD7" w:rsidRPr="007A6732" w:rsidRDefault="00B03DD7" w:rsidP="00B03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Bethan Zalantai</w:t>
      </w:r>
      <w:r w:rsidRPr="007A6732">
        <w:rPr>
          <w:rStyle w:val="FootnoteReference"/>
          <w:rFonts w:ascii="Calibri" w:eastAsiaTheme="majorEastAsia" w:hAnsi="Calibri" w:cs="Calibri"/>
          <w:sz w:val="28"/>
          <w:szCs w:val="28"/>
        </w:rPr>
        <w:footnoteReference w:id="1"/>
      </w:r>
      <w:r w:rsidRPr="007A6732">
        <w:rPr>
          <w:rStyle w:val="normaltextrun"/>
          <w:rFonts w:ascii="Calibri" w:hAnsi="Calibri" w:cs="Calibri"/>
          <w:sz w:val="28"/>
          <w:szCs w:val="28"/>
        </w:rPr>
        <w:t>, Nicola Holt</w:t>
      </w:r>
      <w:r>
        <w:rPr>
          <w:rStyle w:val="normaltextrun"/>
          <w:rFonts w:ascii="Calibri" w:hAnsi="Calibri" w:cs="Calibri"/>
          <w:sz w:val="28"/>
          <w:szCs w:val="28"/>
        </w:rPr>
        <w:t>, Mike Chase &amp; Elizabeth Jenkinson</w:t>
      </w:r>
    </w:p>
    <w:p w14:paraId="15DB28FC" w14:textId="77777777" w:rsidR="00B03DD7" w:rsidRDefault="00B03DD7" w:rsidP="00B03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BFF9AC" w14:textId="77777777" w:rsidR="00B03DD7" w:rsidRDefault="00B03DD7" w:rsidP="00B03D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Department of Health and Social Sciences</w:t>
      </w:r>
    </w:p>
    <w:p w14:paraId="46D9EB1A" w14:textId="77777777" w:rsidR="00B03DD7" w:rsidRDefault="00B03DD7" w:rsidP="00B03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University </w:t>
      </w:r>
      <w:r>
        <w:rPr>
          <w:rStyle w:val="eop"/>
          <w:rFonts w:ascii="Calibri" w:hAnsi="Calibri" w:cs="Calibri"/>
          <w:sz w:val="22"/>
          <w:szCs w:val="22"/>
        </w:rPr>
        <w:t>of the West of England</w:t>
      </w:r>
    </w:p>
    <w:p w14:paraId="44C2294F" w14:textId="311D1BB3" w:rsidR="007D0F44" w:rsidRPr="000F3DFA" w:rsidRDefault="007D0F44" w:rsidP="00B03DD7">
      <w:pPr>
        <w:jc w:val="center"/>
      </w:pPr>
    </w:p>
    <w:p w14:paraId="0B26FF51" w14:textId="77777777" w:rsidR="005D665E" w:rsidRPr="000F3DFA" w:rsidRDefault="005D665E" w:rsidP="000F3DFA">
      <w:pPr>
        <w:spacing w:line="276" w:lineRule="auto"/>
        <w:jc w:val="both"/>
      </w:pPr>
    </w:p>
    <w:p w14:paraId="0B26FF54" w14:textId="2FF29A48" w:rsidR="005D665E" w:rsidRPr="000F3DFA" w:rsidRDefault="00CC30AF" w:rsidP="00441D0C">
      <w:pPr>
        <w:pStyle w:val="Heading2"/>
        <w:spacing w:before="0" w:after="120"/>
        <w:rPr>
          <w:rFonts w:asciiTheme="minorHAnsi" w:eastAsia="Calibri" w:hAnsiTheme="minorHAnsi" w:cs="Calibri"/>
        </w:rPr>
      </w:pPr>
      <w:r w:rsidRPr="000F3DFA">
        <w:rPr>
          <w:rFonts w:asciiTheme="minorHAnsi" w:hAnsiTheme="minorHAnsi"/>
        </w:rPr>
        <w:t xml:space="preserve">Introduction </w:t>
      </w:r>
    </w:p>
    <w:p w14:paraId="71121B56" w14:textId="77777777" w:rsidR="00441D0C" w:rsidRDefault="00137653" w:rsidP="00441D0C">
      <w:pPr>
        <w:spacing w:line="276" w:lineRule="auto"/>
        <w:jc w:val="both"/>
        <w:rPr>
          <w:rFonts w:eastAsia="Calibri" w:cs="Calibri"/>
        </w:rPr>
      </w:pPr>
      <w:r w:rsidRPr="000F3DFA">
        <w:rPr>
          <w:rFonts w:eastAsia="Times New Roman" w:cstheme="minorHAnsi"/>
        </w:rPr>
        <w:t xml:space="preserve">Art on prescription is one pathway in social prescribing schemes that involves referral by health workers to visual arts programmes, </w:t>
      </w:r>
      <w:r w:rsidR="00FD0AD5" w:rsidRPr="000F3DFA">
        <w:rPr>
          <w:rFonts w:eastAsia="Times New Roman" w:cstheme="minorHAnsi"/>
        </w:rPr>
        <w:t xml:space="preserve">for individuals experiencing social isolation and low to moderate levels of stress, anxiety and depression, with the hope that attendance will improve psychosocial wellbeing. </w:t>
      </w:r>
      <w:r w:rsidR="00F959C3" w:rsidRPr="000F3DFA">
        <w:rPr>
          <w:rFonts w:eastAsia="Calibri" w:cs="Calibri"/>
        </w:rPr>
        <w:t xml:space="preserve">Previous </w:t>
      </w:r>
      <w:r w:rsidR="00AF796B" w:rsidRPr="000F3DFA">
        <w:rPr>
          <w:rFonts w:eastAsia="Calibri" w:cs="Calibri"/>
        </w:rPr>
        <w:t>research supports the efficacy of arts on prescription</w:t>
      </w:r>
      <w:r w:rsidR="00F658B5" w:rsidRPr="000F3DFA">
        <w:rPr>
          <w:rFonts w:eastAsia="Calibri" w:cs="Calibri"/>
        </w:rPr>
        <w:t>. P</w:t>
      </w:r>
      <w:r w:rsidR="00522956" w:rsidRPr="000F3DFA">
        <w:rPr>
          <w:rFonts w:eastAsia="Calibri" w:cs="Calibri"/>
        </w:rPr>
        <w:t xml:space="preserve">re-post designs have shown that wellbeing scores are significantly higher at the end of </w:t>
      </w:r>
      <w:r w:rsidR="00F658B5" w:rsidRPr="000F3DFA">
        <w:rPr>
          <w:rFonts w:eastAsia="Calibri" w:cs="Calibri"/>
        </w:rPr>
        <w:t>programme</w:t>
      </w:r>
      <w:r w:rsidR="003B6907" w:rsidRPr="000F3DFA">
        <w:rPr>
          <w:rFonts w:eastAsia="Calibri" w:cs="Calibri"/>
        </w:rPr>
        <w:t xml:space="preserve"> than at baseline (</w:t>
      </w:r>
      <w:r w:rsidR="00383486" w:rsidRPr="000F3DFA">
        <w:rPr>
          <w:rFonts w:eastAsia="Calibri" w:cs="Calibri"/>
        </w:rPr>
        <w:t>Crone et al.</w:t>
      </w:r>
      <w:r w:rsidR="00F658B5" w:rsidRPr="000F3DFA">
        <w:rPr>
          <w:rFonts w:eastAsia="Calibri" w:cs="Calibri"/>
        </w:rPr>
        <w:t xml:space="preserve"> </w:t>
      </w:r>
      <w:r w:rsidR="00383486" w:rsidRPr="000F3DFA">
        <w:rPr>
          <w:rFonts w:eastAsia="Calibri" w:cs="Calibri"/>
        </w:rPr>
        <w:t xml:space="preserve">2018; Holt, 2020). </w:t>
      </w:r>
      <w:r w:rsidR="009473AC" w:rsidRPr="000F3DFA">
        <w:rPr>
          <w:rFonts w:eastAsia="Calibri" w:cs="Calibri"/>
        </w:rPr>
        <w:t xml:space="preserve">However, </w:t>
      </w:r>
      <w:r w:rsidR="002930FF" w:rsidRPr="000F3DFA">
        <w:rPr>
          <w:rFonts w:eastAsia="Calibri" w:cs="Calibri"/>
        </w:rPr>
        <w:t>there is a lack of understanding of the longer-term benefits of participation. O</w:t>
      </w:r>
      <w:r w:rsidR="00C90FE9" w:rsidRPr="000F3DFA">
        <w:rPr>
          <w:rFonts w:eastAsia="Calibri" w:cs="Calibri"/>
        </w:rPr>
        <w:t>nly one qualitative study has examined th</w:t>
      </w:r>
      <w:r w:rsidR="00F11A26" w:rsidRPr="000F3DFA">
        <w:rPr>
          <w:rFonts w:eastAsia="Calibri" w:cs="Calibri"/>
        </w:rPr>
        <w:t xml:space="preserve">is </w:t>
      </w:r>
      <w:r w:rsidR="00C90FE9" w:rsidRPr="000F3DFA">
        <w:rPr>
          <w:rFonts w:eastAsia="Calibri" w:cs="Calibri"/>
        </w:rPr>
        <w:t>(</w:t>
      </w:r>
      <w:r w:rsidR="00533001" w:rsidRPr="000F3DFA">
        <w:rPr>
          <w:rFonts w:eastAsia="Times New Roman" w:cstheme="minorHAnsi"/>
        </w:rPr>
        <w:t xml:space="preserve">Stickley &amp; </w:t>
      </w:r>
      <w:proofErr w:type="spellStart"/>
      <w:r w:rsidR="00533001" w:rsidRPr="000F3DFA">
        <w:rPr>
          <w:rFonts w:eastAsia="Times New Roman" w:cstheme="minorHAnsi"/>
        </w:rPr>
        <w:t>Eades</w:t>
      </w:r>
      <w:proofErr w:type="spellEnd"/>
      <w:r w:rsidR="00533001" w:rsidRPr="000F3DFA">
        <w:rPr>
          <w:rFonts w:eastAsia="Times New Roman" w:cstheme="minorHAnsi"/>
        </w:rPr>
        <w:t xml:space="preserve">, 2013), </w:t>
      </w:r>
      <w:r w:rsidR="00BF1FA1" w:rsidRPr="000F3DFA">
        <w:rPr>
          <w:rFonts w:eastAsia="Times New Roman" w:cstheme="minorHAnsi"/>
        </w:rPr>
        <w:t>interviewing people two</w:t>
      </w:r>
      <w:r w:rsidR="00441D0C">
        <w:rPr>
          <w:rFonts w:eastAsia="Times New Roman" w:cstheme="minorHAnsi"/>
        </w:rPr>
        <w:t xml:space="preserve"> </w:t>
      </w:r>
      <w:r w:rsidR="00BF1FA1" w:rsidRPr="000F3DFA">
        <w:rPr>
          <w:rFonts w:eastAsia="Times New Roman" w:cstheme="minorHAnsi"/>
        </w:rPr>
        <w:t xml:space="preserve">years after participating in </w:t>
      </w:r>
      <w:r w:rsidR="00F11A26" w:rsidRPr="000F3DFA">
        <w:rPr>
          <w:rFonts w:eastAsia="Times New Roman" w:cstheme="minorHAnsi"/>
        </w:rPr>
        <w:t>an art on prescription programme</w:t>
      </w:r>
      <w:r w:rsidR="00BF1FA1" w:rsidRPr="000F3DFA">
        <w:rPr>
          <w:rFonts w:eastAsia="Times New Roman" w:cstheme="minorHAnsi"/>
        </w:rPr>
        <w:t xml:space="preserve">, and </w:t>
      </w:r>
      <w:r w:rsidR="00533001" w:rsidRPr="000F3DFA">
        <w:rPr>
          <w:rFonts w:eastAsia="Times New Roman" w:cstheme="minorHAnsi"/>
        </w:rPr>
        <w:t>suggest</w:t>
      </w:r>
      <w:r w:rsidR="00441D0C">
        <w:rPr>
          <w:rFonts w:eastAsia="Times New Roman" w:cstheme="minorHAnsi"/>
        </w:rPr>
        <w:t>ed</w:t>
      </w:r>
      <w:r w:rsidR="00533001" w:rsidRPr="000F3DFA">
        <w:rPr>
          <w:rFonts w:eastAsia="Times New Roman" w:cstheme="minorHAnsi"/>
        </w:rPr>
        <w:t xml:space="preserve"> that the social support </w:t>
      </w:r>
      <w:r w:rsidR="00BF1FA1" w:rsidRPr="000F3DFA">
        <w:rPr>
          <w:rFonts w:eastAsia="Times New Roman" w:cstheme="minorHAnsi"/>
        </w:rPr>
        <w:t xml:space="preserve">received had acted as a catalyst for </w:t>
      </w:r>
      <w:r w:rsidR="00441D0C">
        <w:rPr>
          <w:rFonts w:eastAsia="Times New Roman" w:cstheme="minorHAnsi"/>
        </w:rPr>
        <w:t xml:space="preserve">longer-term </w:t>
      </w:r>
      <w:r w:rsidR="00BF1FA1" w:rsidRPr="000F3DFA">
        <w:rPr>
          <w:rFonts w:eastAsia="Times New Roman" w:cstheme="minorHAnsi"/>
        </w:rPr>
        <w:t xml:space="preserve">change. The current study </w:t>
      </w:r>
      <w:r w:rsidR="00BF1FA1" w:rsidRPr="000F3DFA">
        <w:rPr>
          <w:rFonts w:eastAsia="Calibri" w:cs="Calibri"/>
        </w:rPr>
        <w:t>applied</w:t>
      </w:r>
      <w:r w:rsidR="009473AC" w:rsidRPr="000F3DFA">
        <w:rPr>
          <w:rFonts w:eastAsia="Calibri" w:cs="Calibri"/>
        </w:rPr>
        <w:t xml:space="preserve"> a mixed-method framework to </w:t>
      </w:r>
      <w:r w:rsidR="002D55C8" w:rsidRPr="000F3DFA">
        <w:rPr>
          <w:rFonts w:eastAsia="Calibri" w:cs="Calibri"/>
        </w:rPr>
        <w:t xml:space="preserve">further </w:t>
      </w:r>
      <w:r w:rsidR="009473AC" w:rsidRPr="000F3DFA">
        <w:rPr>
          <w:rFonts w:eastAsia="Calibri" w:cs="Calibri"/>
        </w:rPr>
        <w:t xml:space="preserve">examine the </w:t>
      </w:r>
      <w:r w:rsidR="00CC30AF" w:rsidRPr="000F3DFA">
        <w:rPr>
          <w:rFonts w:eastAsia="Calibri" w:cs="Calibri"/>
        </w:rPr>
        <w:t>factors influencing participants’ health outcomes following the intervention.</w:t>
      </w:r>
      <w:r w:rsidR="00441D0C">
        <w:rPr>
          <w:rFonts w:eastAsia="Calibri" w:cs="Calibri"/>
        </w:rPr>
        <w:t xml:space="preserve"> </w:t>
      </w:r>
      <w:r w:rsidR="00040804" w:rsidRPr="000F3DFA">
        <w:rPr>
          <w:rFonts w:eastAsia="Calibri" w:cs="Calibri"/>
        </w:rPr>
        <w:t xml:space="preserve">Understanding </w:t>
      </w:r>
      <w:r w:rsidR="00CC30AF" w:rsidRPr="000F3DFA">
        <w:rPr>
          <w:rFonts w:eastAsia="Calibri" w:cs="Calibri"/>
        </w:rPr>
        <w:t xml:space="preserve">whether improvements to mental wellbeing are maintained on completion of the programmes </w:t>
      </w:r>
      <w:r w:rsidR="00040804" w:rsidRPr="000F3DFA">
        <w:rPr>
          <w:rFonts w:eastAsia="Calibri" w:cs="Calibri"/>
        </w:rPr>
        <w:t xml:space="preserve">is </w:t>
      </w:r>
      <w:r w:rsidR="00CC30AF" w:rsidRPr="000F3DFA">
        <w:rPr>
          <w:rFonts w:eastAsia="Calibri" w:cs="Calibri"/>
        </w:rPr>
        <w:t xml:space="preserve">important because analyses of qualitative datasets have identified themes relating to ‘fear of relapse’ </w:t>
      </w:r>
      <w:r w:rsidR="00FA47A1" w:rsidRPr="000F3DFA">
        <w:rPr>
          <w:rFonts w:eastAsia="Calibri" w:cs="Calibri"/>
        </w:rPr>
        <w:t xml:space="preserve">at the end of programmes </w:t>
      </w:r>
      <w:r w:rsidR="00CC30AF" w:rsidRPr="000F3DFA">
        <w:rPr>
          <w:rFonts w:eastAsia="Calibri" w:cs="Calibri"/>
        </w:rPr>
        <w:t>(Hughes et al., 2019)</w:t>
      </w:r>
      <w:r w:rsidR="00441D0C">
        <w:rPr>
          <w:rFonts w:eastAsia="Calibri" w:cs="Calibri"/>
        </w:rPr>
        <w:t>, which may indicate a subsequent reduction in wellbeing when the support of an arts on prescription group is no longer available</w:t>
      </w:r>
      <w:r w:rsidR="00CC30AF" w:rsidRPr="000F3DFA">
        <w:rPr>
          <w:rFonts w:eastAsia="Calibri" w:cs="Calibri"/>
        </w:rPr>
        <w:t xml:space="preserve">. </w:t>
      </w:r>
      <w:r w:rsidR="00DF4657" w:rsidRPr="000F3DFA">
        <w:rPr>
          <w:rFonts w:eastAsia="Calibri" w:cs="Calibri"/>
        </w:rPr>
        <w:t xml:space="preserve">Hence, </w:t>
      </w:r>
      <w:r w:rsidR="00CC30AF" w:rsidRPr="000F3DFA">
        <w:rPr>
          <w:rFonts w:eastAsia="Calibri" w:cs="Calibri"/>
        </w:rPr>
        <w:t>the present study asked</w:t>
      </w:r>
      <w:r w:rsidR="00484BD4" w:rsidRPr="000F3DFA">
        <w:rPr>
          <w:rFonts w:eastAsia="Calibri" w:cs="Calibri"/>
        </w:rPr>
        <w:t>:</w:t>
      </w:r>
      <w:r w:rsidR="00CC30AF" w:rsidRPr="000F3DFA">
        <w:rPr>
          <w:rFonts w:eastAsia="Calibri" w:cs="Calibri"/>
        </w:rPr>
        <w:t xml:space="preserve"> ‘do participants of arts on prescription courses experience long-term changes to their mental wellbeing?’</w:t>
      </w:r>
      <w:r w:rsidR="00DF4657" w:rsidRPr="000F3DFA">
        <w:rPr>
          <w:rFonts w:eastAsia="Calibri" w:cs="Calibri"/>
        </w:rPr>
        <w:t xml:space="preserve"> A secondary aim of the study was to examine the factors that impact engagement</w:t>
      </w:r>
      <w:r w:rsidR="00754750" w:rsidRPr="000F3DFA">
        <w:rPr>
          <w:rFonts w:eastAsia="Calibri" w:cs="Calibri"/>
        </w:rPr>
        <w:t>, sin</w:t>
      </w:r>
      <w:r w:rsidR="00C301DA" w:rsidRPr="000F3DFA">
        <w:rPr>
          <w:rFonts w:eastAsia="Calibri" w:cs="Calibri"/>
        </w:rPr>
        <w:t xml:space="preserve">ce participants </w:t>
      </w:r>
      <w:r w:rsidR="00441D0C">
        <w:rPr>
          <w:rFonts w:eastAsia="Calibri" w:cs="Calibri"/>
        </w:rPr>
        <w:t xml:space="preserve">appear to </w:t>
      </w:r>
      <w:r w:rsidR="00C301DA" w:rsidRPr="000F3DFA">
        <w:rPr>
          <w:rFonts w:eastAsia="Calibri" w:cs="Calibri"/>
        </w:rPr>
        <w:t xml:space="preserve">differentially benefit from the </w:t>
      </w:r>
      <w:r w:rsidR="00754750" w:rsidRPr="000F3DFA">
        <w:rPr>
          <w:rFonts w:eastAsia="Calibri" w:cs="Calibri"/>
        </w:rPr>
        <w:t xml:space="preserve">arts on prescription </w:t>
      </w:r>
      <w:r w:rsidR="00C301DA" w:rsidRPr="000F3DFA">
        <w:rPr>
          <w:rFonts w:eastAsia="Calibri" w:cs="Calibri"/>
        </w:rPr>
        <w:t>(Holt, 2020</w:t>
      </w:r>
      <w:r w:rsidR="00754750" w:rsidRPr="000F3DFA">
        <w:rPr>
          <w:rFonts w:eastAsia="Calibri" w:cs="Calibri"/>
        </w:rPr>
        <w:t>;</w:t>
      </w:r>
      <w:r w:rsidR="00C301DA" w:rsidRPr="000F3DFA">
        <w:rPr>
          <w:rFonts w:eastAsia="Calibri" w:cs="Calibri"/>
        </w:rPr>
        <w:t xml:space="preserve"> Sumner et al., 2020)</w:t>
      </w:r>
      <w:r w:rsidR="00DF4657" w:rsidRPr="000F3DFA">
        <w:rPr>
          <w:rFonts w:eastAsia="Calibri" w:cs="Calibri"/>
        </w:rPr>
        <w:t xml:space="preserve">. </w:t>
      </w:r>
      <w:r w:rsidR="00C301DA" w:rsidRPr="000F3DFA">
        <w:rPr>
          <w:rFonts w:eastAsia="Calibri" w:cs="Calibri"/>
        </w:rPr>
        <w:t>Hence, a second research qu</w:t>
      </w:r>
      <w:r w:rsidR="00DF4657" w:rsidRPr="000F3DFA">
        <w:rPr>
          <w:rFonts w:eastAsia="Calibri" w:cs="Calibri"/>
        </w:rPr>
        <w:t>estion was ‘what factors influence engagement in arts on prescription programmes?’</w:t>
      </w:r>
      <w:r w:rsidR="00441D0C">
        <w:rPr>
          <w:rFonts w:eastAsia="Calibri" w:cs="Calibri"/>
        </w:rPr>
        <w:t>.</w:t>
      </w:r>
    </w:p>
    <w:p w14:paraId="13B4244E" w14:textId="77777777" w:rsidR="00441D0C" w:rsidRDefault="00441D0C" w:rsidP="00441D0C">
      <w:pPr>
        <w:spacing w:after="0" w:line="276" w:lineRule="auto"/>
        <w:jc w:val="both"/>
        <w:rPr>
          <w:rFonts w:eastAsia="Calibri" w:cs="Calibri"/>
        </w:rPr>
      </w:pPr>
    </w:p>
    <w:p w14:paraId="0B26FF58" w14:textId="5EAFA75B" w:rsidR="005D665E" w:rsidRPr="00441D0C" w:rsidRDefault="00CC30AF" w:rsidP="00441D0C">
      <w:pPr>
        <w:pStyle w:val="Heading2"/>
        <w:spacing w:before="0" w:after="120"/>
        <w:rPr>
          <w:rFonts w:eastAsia="Calibri" w:cs="Calibri"/>
        </w:rPr>
      </w:pPr>
      <w:r w:rsidRPr="000F3DFA">
        <w:t xml:space="preserve">Methodology </w:t>
      </w:r>
    </w:p>
    <w:p w14:paraId="0B26FF5C" w14:textId="3B9F58C0" w:rsidR="005D665E" w:rsidRDefault="00CC30AF" w:rsidP="000F3DFA">
      <w:pPr>
        <w:spacing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>The present study adopted a mixed method, explanatory design (Creswell &amp; Clark, 2007)</w:t>
      </w:r>
      <w:r w:rsidR="00507155" w:rsidRPr="000F3DFA">
        <w:rPr>
          <w:rFonts w:eastAsia="Calibri" w:cs="Calibri"/>
        </w:rPr>
        <w:t>,</w:t>
      </w:r>
      <w:r w:rsidR="001B3BA6">
        <w:rPr>
          <w:rFonts w:eastAsia="Calibri" w:cs="Calibri"/>
        </w:rPr>
        <w:t xml:space="preserve"> </w:t>
      </w:r>
      <w:r w:rsidR="00C301DA" w:rsidRPr="000F3DFA">
        <w:rPr>
          <w:rFonts w:eastAsia="Calibri" w:cs="Calibri"/>
        </w:rPr>
        <w:t>working with participants who attended arts on prescription workshops</w:t>
      </w:r>
      <w:r w:rsidR="00237EC3" w:rsidRPr="000F3DFA">
        <w:rPr>
          <w:rFonts w:eastAsia="Calibri" w:cs="Calibri"/>
        </w:rPr>
        <w:t>,</w:t>
      </w:r>
      <w:r w:rsidR="00C301DA" w:rsidRPr="000F3DFA">
        <w:rPr>
          <w:rFonts w:eastAsia="Calibri" w:cs="Calibri"/>
        </w:rPr>
        <w:t xml:space="preserve"> run </w:t>
      </w:r>
      <w:r w:rsidR="009960D9" w:rsidRPr="000F3DFA">
        <w:rPr>
          <w:rFonts w:eastAsia="Calibri" w:cs="Calibri"/>
        </w:rPr>
        <w:t xml:space="preserve">at three </w:t>
      </w:r>
      <w:r w:rsidR="00237EC3" w:rsidRPr="000F3DFA">
        <w:rPr>
          <w:rFonts w:eastAsia="Calibri" w:cs="Calibri"/>
        </w:rPr>
        <w:t>community hubs</w:t>
      </w:r>
      <w:r w:rsidR="009960D9" w:rsidRPr="000F3DFA">
        <w:rPr>
          <w:rFonts w:eastAsia="Calibri" w:cs="Calibri"/>
        </w:rPr>
        <w:t xml:space="preserve"> </w:t>
      </w:r>
      <w:r w:rsidR="00CA7167" w:rsidRPr="000F3DFA">
        <w:rPr>
          <w:rFonts w:eastAsia="Calibri" w:cs="Calibri"/>
        </w:rPr>
        <w:t xml:space="preserve">through </w:t>
      </w:r>
      <w:r w:rsidR="009960D9" w:rsidRPr="000F3DFA">
        <w:rPr>
          <w:rFonts w:eastAsia="Calibri" w:cs="Calibri"/>
        </w:rPr>
        <w:t>Bristol Arts on Referral Alliance</w:t>
      </w:r>
      <w:r w:rsidR="00CA7167" w:rsidRPr="000F3DFA">
        <w:rPr>
          <w:rFonts w:eastAsia="Calibri" w:cs="Calibri"/>
        </w:rPr>
        <w:t xml:space="preserve"> </w:t>
      </w:r>
      <w:r w:rsidR="009960D9" w:rsidRPr="000F3DFA">
        <w:rPr>
          <w:rFonts w:eastAsia="Calibri" w:cs="Calibri"/>
        </w:rPr>
        <w:t>in 2018</w:t>
      </w:r>
      <w:r w:rsidRPr="000F3DFA">
        <w:rPr>
          <w:rFonts w:eastAsia="Calibri" w:cs="Calibri"/>
        </w:rPr>
        <w:t xml:space="preserve">. </w:t>
      </w:r>
      <w:r w:rsidR="007D5DE1" w:rsidRPr="000F3DFA">
        <w:rPr>
          <w:rFonts w:eastAsia="Calibri" w:cs="Calibri"/>
        </w:rPr>
        <w:t xml:space="preserve">Participants contacted </w:t>
      </w:r>
      <w:r w:rsidR="004C676E" w:rsidRPr="000F3DFA">
        <w:rPr>
          <w:rFonts w:eastAsia="Calibri" w:cs="Calibri"/>
        </w:rPr>
        <w:t xml:space="preserve">were those </w:t>
      </w:r>
      <w:r w:rsidR="007D5DE1" w:rsidRPr="000F3DFA">
        <w:rPr>
          <w:rFonts w:eastAsia="Calibri" w:cs="Calibri"/>
        </w:rPr>
        <w:t xml:space="preserve">who had agreed </w:t>
      </w:r>
      <w:r w:rsidR="00CA7167" w:rsidRPr="000F3DFA">
        <w:rPr>
          <w:rFonts w:eastAsia="Calibri" w:cs="Calibri"/>
        </w:rPr>
        <w:t xml:space="preserve">to </w:t>
      </w:r>
      <w:r w:rsidR="0007112D" w:rsidRPr="000F3DFA">
        <w:rPr>
          <w:rFonts w:eastAsia="Calibri" w:cs="Calibri"/>
        </w:rPr>
        <w:t>be contacted in the future</w:t>
      </w:r>
      <w:r w:rsidR="004C676E" w:rsidRPr="000F3DFA">
        <w:rPr>
          <w:rFonts w:eastAsia="Calibri" w:cs="Calibri"/>
        </w:rPr>
        <w:t xml:space="preserve"> </w:t>
      </w:r>
      <w:r w:rsidR="007D5DE1" w:rsidRPr="000F3DFA">
        <w:rPr>
          <w:rFonts w:eastAsia="Calibri" w:cs="Calibri"/>
        </w:rPr>
        <w:t xml:space="preserve">on their consent </w:t>
      </w:r>
      <w:r w:rsidR="001B3BA6">
        <w:rPr>
          <w:rFonts w:eastAsia="Calibri" w:cs="Calibri"/>
        </w:rPr>
        <w:t>form</w:t>
      </w:r>
      <w:r w:rsidR="001B3BA6" w:rsidRPr="000F3DFA">
        <w:rPr>
          <w:rFonts w:eastAsia="Calibri" w:cs="Calibri"/>
        </w:rPr>
        <w:t xml:space="preserve"> </w:t>
      </w:r>
      <w:r w:rsidR="007D5DE1" w:rsidRPr="000F3DFA">
        <w:rPr>
          <w:rFonts w:eastAsia="Calibri" w:cs="Calibri"/>
        </w:rPr>
        <w:t>when taking part in</w:t>
      </w:r>
      <w:r w:rsidR="004C676E" w:rsidRPr="000F3DFA">
        <w:rPr>
          <w:rFonts w:eastAsia="Calibri" w:cs="Calibri"/>
        </w:rPr>
        <w:t xml:space="preserve"> an</w:t>
      </w:r>
      <w:r w:rsidR="007D5DE1" w:rsidRPr="000F3DFA">
        <w:rPr>
          <w:rFonts w:eastAsia="Calibri" w:cs="Calibri"/>
        </w:rPr>
        <w:t xml:space="preserve"> in</w:t>
      </w:r>
      <w:r w:rsidR="00B4697B" w:rsidRPr="000F3DFA">
        <w:rPr>
          <w:rFonts w:eastAsia="Calibri" w:cs="Calibri"/>
        </w:rPr>
        <w:t>itial</w:t>
      </w:r>
      <w:r w:rsidR="007D5DE1" w:rsidRPr="000F3DFA">
        <w:rPr>
          <w:rFonts w:eastAsia="Calibri" w:cs="Calibri"/>
        </w:rPr>
        <w:t xml:space="preserve"> pre-post evaluation (Holt, 2020)</w:t>
      </w:r>
      <w:r w:rsidR="00B4697B" w:rsidRPr="000F3DFA">
        <w:rPr>
          <w:rFonts w:eastAsia="Calibri" w:cs="Calibri"/>
        </w:rPr>
        <w:t xml:space="preserve">. </w:t>
      </w:r>
      <w:r w:rsidR="00F50F02" w:rsidRPr="000F3DFA">
        <w:rPr>
          <w:rFonts w:eastAsia="Calibri" w:cs="Calibri"/>
        </w:rPr>
        <w:t xml:space="preserve">Twenty </w:t>
      </w:r>
      <w:r w:rsidRPr="000F3DFA">
        <w:rPr>
          <w:rFonts w:eastAsia="Calibri" w:cs="Calibri"/>
        </w:rPr>
        <w:t xml:space="preserve">participants completed an online survey up to </w:t>
      </w:r>
      <w:r w:rsidR="00F50F02" w:rsidRPr="000F3DFA">
        <w:rPr>
          <w:rFonts w:eastAsia="Calibri" w:cs="Calibri"/>
        </w:rPr>
        <w:t xml:space="preserve">two </w:t>
      </w:r>
      <w:r w:rsidRPr="000F3DFA">
        <w:rPr>
          <w:rFonts w:eastAsia="Calibri" w:cs="Calibri"/>
        </w:rPr>
        <w:t>years after their first workshop</w:t>
      </w:r>
      <w:r w:rsidR="002D368F" w:rsidRPr="000F3DFA">
        <w:rPr>
          <w:rFonts w:eastAsia="Calibri" w:cs="Calibri"/>
        </w:rPr>
        <w:t xml:space="preserve">, which </w:t>
      </w:r>
      <w:r w:rsidRPr="000F3DFA">
        <w:rPr>
          <w:rFonts w:eastAsia="Calibri" w:cs="Calibri"/>
        </w:rPr>
        <w:t>included the Warwick Edinburgh Mental Wellbeing Scale (WEMWBS)</w:t>
      </w:r>
      <w:r w:rsidR="00406CBB" w:rsidRPr="000F3DFA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 xml:space="preserve">(Tennant et al., 2006).  All participants were invited to </w:t>
      </w:r>
      <w:r w:rsidR="0006706D" w:rsidRPr="000F3DFA">
        <w:rPr>
          <w:rFonts w:eastAsia="Calibri" w:cs="Calibri"/>
        </w:rPr>
        <w:t xml:space="preserve">an </w:t>
      </w:r>
      <w:r w:rsidRPr="000F3DFA">
        <w:rPr>
          <w:rFonts w:eastAsia="Calibri" w:cs="Calibri"/>
        </w:rPr>
        <w:t>interview and nine in-depth, semi-structured interviews took place.</w:t>
      </w:r>
      <w:r w:rsidR="00513317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>Due to the covid-19 pandemic</w:t>
      </w:r>
      <w:r w:rsidR="001B3BA6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it was not possible to meet participants face-to-face and consequently </w:t>
      </w:r>
      <w:r w:rsidRPr="000F3DFA">
        <w:rPr>
          <w:rFonts w:eastAsia="Calibri" w:cs="Calibri"/>
        </w:rPr>
        <w:lastRenderedPageBreak/>
        <w:t xml:space="preserve">participants were offered </w:t>
      </w:r>
      <w:r w:rsidR="00513317">
        <w:rPr>
          <w:rFonts w:eastAsia="Calibri" w:cs="Calibri"/>
        </w:rPr>
        <w:t xml:space="preserve">interviews </w:t>
      </w:r>
      <w:r w:rsidR="009918C7" w:rsidRPr="000F3DFA">
        <w:rPr>
          <w:rFonts w:eastAsia="Calibri" w:cs="Calibri"/>
        </w:rPr>
        <w:t xml:space="preserve">by </w:t>
      </w:r>
      <w:r w:rsidRPr="000F3DFA">
        <w:rPr>
          <w:rFonts w:eastAsia="Calibri" w:cs="Calibri"/>
        </w:rPr>
        <w:t>telephone (</w:t>
      </w:r>
      <w:r w:rsidRPr="000F3DFA">
        <w:rPr>
          <w:rFonts w:eastAsia="Calibri" w:cs="Calibri"/>
          <w:i/>
          <w:iCs/>
        </w:rPr>
        <w:t>n</w:t>
      </w:r>
      <w:r w:rsidR="0006706D" w:rsidRPr="000F3DFA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>=</w:t>
      </w:r>
      <w:r w:rsidR="0006706D" w:rsidRPr="000F3DFA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>6) or email (</w:t>
      </w:r>
      <w:r w:rsidRPr="000F3DFA">
        <w:rPr>
          <w:rFonts w:eastAsia="Calibri" w:cs="Calibri"/>
          <w:i/>
          <w:iCs/>
        </w:rPr>
        <w:t>n</w:t>
      </w:r>
      <w:r w:rsidR="0006706D" w:rsidRPr="000F3DFA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>=</w:t>
      </w:r>
      <w:r w:rsidR="0006706D" w:rsidRPr="000F3DFA">
        <w:rPr>
          <w:rFonts w:eastAsia="Calibri" w:cs="Calibri"/>
        </w:rPr>
        <w:t xml:space="preserve"> </w:t>
      </w:r>
      <w:r w:rsidRPr="000F3DFA">
        <w:rPr>
          <w:rFonts w:eastAsia="Calibri" w:cs="Calibri"/>
        </w:rPr>
        <w:t>3) as an alternative method (Braun &amp; Clarke, 2013). The quantitative data were analysed first, the findings for which helped to develop the interview schedule</w:t>
      </w:r>
      <w:r w:rsidR="009918C7" w:rsidRPr="000F3DFA">
        <w:rPr>
          <w:rFonts w:eastAsia="Calibri" w:cs="Calibri"/>
        </w:rPr>
        <w:t xml:space="preserve">, in order to </w:t>
      </w:r>
      <w:r w:rsidRPr="000F3DFA">
        <w:rPr>
          <w:rFonts w:eastAsia="Calibri" w:cs="Calibri"/>
        </w:rPr>
        <w:t>further explore and understand the quantitative data. The explanatory design utilised a sequential method of data integration whereby quantitative data, then qualitative data</w:t>
      </w:r>
      <w:r w:rsidR="003D2162" w:rsidRPr="000F3DFA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were analysed separately before being interpreted together. Following transcription, interview data were analysed using Braun and Clarke’s (2006) step-by-step guide to thematic analysis and an inductive analytic approach.  </w:t>
      </w:r>
    </w:p>
    <w:p w14:paraId="42A2473B" w14:textId="77777777" w:rsidR="00513317" w:rsidRPr="000F3DFA" w:rsidRDefault="00513317" w:rsidP="00513317">
      <w:pPr>
        <w:spacing w:after="0" w:line="276" w:lineRule="auto"/>
        <w:jc w:val="both"/>
        <w:rPr>
          <w:rFonts w:eastAsia="Calibri" w:cs="Calibri"/>
        </w:rPr>
      </w:pPr>
    </w:p>
    <w:p w14:paraId="0B26FF5D" w14:textId="77777777" w:rsidR="005D665E" w:rsidRPr="000F3DFA" w:rsidRDefault="00CC30AF" w:rsidP="00513317">
      <w:pPr>
        <w:pStyle w:val="Heading2"/>
        <w:spacing w:before="0" w:after="120"/>
        <w:rPr>
          <w:rFonts w:eastAsia="Calibri" w:cs="Calibri"/>
          <w:i/>
        </w:rPr>
      </w:pPr>
      <w:r w:rsidRPr="000F3DFA">
        <w:t xml:space="preserve">Findings and discussion </w:t>
      </w:r>
    </w:p>
    <w:p w14:paraId="0B26FF5F" w14:textId="6078161A" w:rsidR="005D665E" w:rsidRPr="000F3DFA" w:rsidRDefault="003432C1" w:rsidP="000F3DFA">
      <w:pPr>
        <w:spacing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>Multi-level modelling was used to explore changes in wellbeing over time. S</w:t>
      </w:r>
      <w:r w:rsidR="00CC30AF" w:rsidRPr="000F3DFA">
        <w:rPr>
          <w:rFonts w:eastAsia="Calibri" w:cs="Calibri"/>
        </w:rPr>
        <w:t xml:space="preserve">tatistically significant differences </w:t>
      </w:r>
      <w:r w:rsidR="002E5C91" w:rsidRPr="000F3DFA">
        <w:rPr>
          <w:rFonts w:eastAsia="Calibri" w:cs="Calibri"/>
        </w:rPr>
        <w:t xml:space="preserve">over time </w:t>
      </w:r>
      <w:r w:rsidRPr="000F3DFA">
        <w:rPr>
          <w:rFonts w:eastAsia="Calibri" w:cs="Calibri"/>
        </w:rPr>
        <w:t xml:space="preserve">were found for </w:t>
      </w:r>
      <w:r w:rsidR="00CC30AF" w:rsidRPr="000F3DFA">
        <w:rPr>
          <w:rFonts w:eastAsia="Calibri" w:cs="Calibri"/>
        </w:rPr>
        <w:t>the WEMWBS</w:t>
      </w:r>
      <w:r w:rsidR="00EC7706" w:rsidRPr="000F3DFA">
        <w:rPr>
          <w:rFonts w:eastAsia="Calibri" w:cs="Calibri"/>
        </w:rPr>
        <w:t xml:space="preserve"> scores</w:t>
      </w:r>
      <w:r w:rsidR="00CC30AF" w:rsidRPr="000F3DFA">
        <w:rPr>
          <w:rFonts w:eastAsia="Calibri" w:cs="Calibri"/>
        </w:rPr>
        <w:t xml:space="preserve"> </w:t>
      </w:r>
      <w:r w:rsidR="0014637A" w:rsidRPr="000F3DFA">
        <w:rPr>
          <w:rFonts w:eastAsia="Calibri" w:cs="Calibri"/>
        </w:rPr>
        <w:t xml:space="preserve">(mean at baseline: </w:t>
      </w:r>
      <w:r w:rsidR="00370F42" w:rsidRPr="000F3DFA">
        <w:rPr>
          <w:rFonts w:eastAsia="Calibri" w:cs="Calibri"/>
        </w:rPr>
        <w:t>37.69</w:t>
      </w:r>
      <w:r w:rsidR="0014637A" w:rsidRPr="000F3DFA">
        <w:rPr>
          <w:rFonts w:eastAsia="Calibri" w:cs="Calibri"/>
        </w:rPr>
        <w:t xml:space="preserve">; </w:t>
      </w:r>
      <w:r w:rsidR="00CB3E8B" w:rsidRPr="000F3DFA">
        <w:rPr>
          <w:rFonts w:eastAsia="Calibri" w:cs="Calibri"/>
        </w:rPr>
        <w:t>mean at mid</w:t>
      </w:r>
      <w:r w:rsidR="00B36555" w:rsidRPr="000F3DFA">
        <w:rPr>
          <w:rFonts w:eastAsia="Calibri" w:cs="Calibri"/>
        </w:rPr>
        <w:t>-</w:t>
      </w:r>
      <w:r w:rsidR="00CB3E8B" w:rsidRPr="000F3DFA">
        <w:rPr>
          <w:rFonts w:eastAsia="Calibri" w:cs="Calibri"/>
        </w:rPr>
        <w:t xml:space="preserve">point = 43.35; </w:t>
      </w:r>
      <w:r w:rsidR="0014637A" w:rsidRPr="000F3DFA">
        <w:rPr>
          <w:rFonts w:eastAsia="Calibri" w:cs="Calibri"/>
        </w:rPr>
        <w:t xml:space="preserve">mean at end of </w:t>
      </w:r>
      <w:r w:rsidR="00B36555" w:rsidRPr="000F3DFA">
        <w:rPr>
          <w:rFonts w:eastAsia="Calibri" w:cs="Calibri"/>
        </w:rPr>
        <w:t>programme</w:t>
      </w:r>
      <w:r w:rsidR="0014637A" w:rsidRPr="000F3DFA">
        <w:rPr>
          <w:rFonts w:eastAsia="Calibri" w:cs="Calibri"/>
        </w:rPr>
        <w:t xml:space="preserve">: </w:t>
      </w:r>
      <w:r w:rsidR="00245F32" w:rsidRPr="000F3DFA">
        <w:rPr>
          <w:rFonts w:eastAsia="Calibri" w:cs="Calibri"/>
        </w:rPr>
        <w:t>42.22</w:t>
      </w:r>
      <w:r w:rsidR="0014637A" w:rsidRPr="000F3DFA">
        <w:rPr>
          <w:rFonts w:eastAsia="Calibri" w:cs="Calibri"/>
        </w:rPr>
        <w:t xml:space="preserve">; mean at follow-up: </w:t>
      </w:r>
      <w:r w:rsidR="00245F32" w:rsidRPr="000F3DFA">
        <w:rPr>
          <w:rFonts w:eastAsia="Calibri" w:cs="Calibri"/>
        </w:rPr>
        <w:t>43.45</w:t>
      </w:r>
      <w:r w:rsidR="0014637A" w:rsidRPr="000F3DFA">
        <w:rPr>
          <w:rFonts w:eastAsia="Calibri" w:cs="Calibri"/>
        </w:rPr>
        <w:t xml:space="preserve">; </w:t>
      </w:r>
      <w:r w:rsidR="0014637A" w:rsidRPr="000F3DFA">
        <w:rPr>
          <w:rFonts w:eastAsia="Calibri" w:cs="Calibri"/>
          <w:i/>
          <w:iCs/>
        </w:rPr>
        <w:t>F</w:t>
      </w:r>
      <w:r w:rsidR="0014637A" w:rsidRPr="000F3DFA">
        <w:rPr>
          <w:rFonts w:eastAsia="Calibri" w:cs="Calibri"/>
          <w:vertAlign w:val="subscript"/>
        </w:rPr>
        <w:t>(4</w:t>
      </w:r>
      <w:r w:rsidRPr="000F3DFA">
        <w:rPr>
          <w:rFonts w:eastAsia="Calibri" w:cs="Calibri"/>
          <w:vertAlign w:val="subscript"/>
        </w:rPr>
        <w:t>,80</w:t>
      </w:r>
      <w:r w:rsidR="0014637A" w:rsidRPr="000F3DFA">
        <w:rPr>
          <w:rFonts w:eastAsia="Calibri" w:cs="Calibri"/>
          <w:vertAlign w:val="subscript"/>
        </w:rPr>
        <w:t>)</w:t>
      </w:r>
      <w:r w:rsidR="0014637A" w:rsidRPr="000F3DFA">
        <w:rPr>
          <w:rFonts w:eastAsia="Calibri" w:cs="Calibri"/>
        </w:rPr>
        <w:t xml:space="preserve"> = </w:t>
      </w:r>
      <w:r w:rsidRPr="000F3DFA">
        <w:rPr>
          <w:rFonts w:eastAsia="Calibri" w:cs="Calibri"/>
        </w:rPr>
        <w:t>5.83</w:t>
      </w:r>
      <w:r w:rsidR="0014637A" w:rsidRPr="000F3DFA">
        <w:rPr>
          <w:rFonts w:eastAsia="Calibri" w:cs="Calibri"/>
        </w:rPr>
        <w:t xml:space="preserve">, </w:t>
      </w:r>
      <w:r w:rsidR="0014637A" w:rsidRPr="000F3DFA">
        <w:rPr>
          <w:rFonts w:eastAsia="Calibri" w:cs="Calibri"/>
          <w:i/>
          <w:iCs/>
        </w:rPr>
        <w:t>p</w:t>
      </w:r>
      <w:r w:rsidR="0014637A" w:rsidRPr="000F3DFA">
        <w:rPr>
          <w:rFonts w:eastAsia="Calibri" w:cs="Calibri"/>
        </w:rPr>
        <w:t xml:space="preserve"> = </w:t>
      </w:r>
      <w:r w:rsidRPr="000F3DFA">
        <w:rPr>
          <w:rFonts w:eastAsia="Calibri" w:cs="Calibri"/>
        </w:rPr>
        <w:t>&lt;.001</w:t>
      </w:r>
      <w:r w:rsidR="0014637A" w:rsidRPr="000F3DFA">
        <w:rPr>
          <w:rFonts w:eastAsia="Calibri" w:cs="Calibri"/>
        </w:rPr>
        <w:t>)</w:t>
      </w:r>
      <w:r w:rsidR="00973B94" w:rsidRPr="000F3DFA">
        <w:rPr>
          <w:rFonts w:eastAsia="Calibri" w:cs="Calibri"/>
        </w:rPr>
        <w:t xml:space="preserve">. </w:t>
      </w:r>
      <w:r w:rsidR="00690301" w:rsidRPr="000F3DFA">
        <w:rPr>
          <w:rFonts w:eastAsia="Calibri" w:cs="Calibri"/>
        </w:rPr>
        <w:t xml:space="preserve">Post hoc analyses showed that follow-up scores were </w:t>
      </w:r>
      <w:r w:rsidR="00CC30AF" w:rsidRPr="000F3DFA">
        <w:rPr>
          <w:rFonts w:eastAsia="Calibri" w:cs="Calibri"/>
        </w:rPr>
        <w:t>significantly different from</w:t>
      </w:r>
      <w:r w:rsidR="00262F45" w:rsidRPr="000F3DFA">
        <w:rPr>
          <w:rFonts w:eastAsia="Calibri" w:cs="Calibri"/>
        </w:rPr>
        <w:t xml:space="preserve"> baseline </w:t>
      </w:r>
      <w:r w:rsidR="00CC30AF" w:rsidRPr="000F3DFA">
        <w:rPr>
          <w:rFonts w:eastAsia="Calibri" w:cs="Calibri"/>
        </w:rPr>
        <w:t xml:space="preserve">scores only </w:t>
      </w:r>
      <w:r w:rsidR="00262F45" w:rsidRPr="000F3DFA">
        <w:rPr>
          <w:rFonts w:eastAsia="Calibri" w:cs="Calibri"/>
        </w:rPr>
        <w:t>(</w:t>
      </w:r>
      <w:r w:rsidR="00262F45" w:rsidRPr="000F3DFA">
        <w:rPr>
          <w:rFonts w:eastAsia="Calibri" w:cs="Calibri"/>
          <w:i/>
          <w:iCs/>
        </w:rPr>
        <w:t>t</w:t>
      </w:r>
      <w:r w:rsidR="00262F45" w:rsidRPr="000F3DFA">
        <w:rPr>
          <w:rFonts w:eastAsia="Calibri" w:cs="Calibri"/>
        </w:rPr>
        <w:t xml:space="preserve"> = 4.01, </w:t>
      </w:r>
      <w:r w:rsidR="00262F45" w:rsidRPr="000F3DFA">
        <w:rPr>
          <w:rFonts w:eastAsia="Calibri" w:cs="Calibri"/>
          <w:i/>
          <w:iCs/>
        </w:rPr>
        <w:t>p</w:t>
      </w:r>
      <w:r w:rsidR="00262F45" w:rsidRPr="000F3DFA">
        <w:rPr>
          <w:rFonts w:eastAsia="Calibri" w:cs="Calibri"/>
        </w:rPr>
        <w:t xml:space="preserve"> &lt;.001).</w:t>
      </w:r>
      <w:r w:rsidR="00CC30AF" w:rsidRPr="000F3DFA">
        <w:rPr>
          <w:rFonts w:eastAsia="Calibri" w:cs="Calibri"/>
        </w:rPr>
        <w:t xml:space="preserve"> </w:t>
      </w:r>
      <w:r w:rsidR="0041360E" w:rsidRPr="000F3DFA">
        <w:rPr>
          <w:rFonts w:eastAsia="Calibri" w:cs="Calibri"/>
        </w:rPr>
        <w:t>At follow-up,</w:t>
      </w:r>
      <w:r w:rsidR="00513317">
        <w:rPr>
          <w:rFonts w:eastAsia="Calibri" w:cs="Calibri"/>
        </w:rPr>
        <w:t xml:space="preserve"> then,</w:t>
      </w:r>
      <w:r w:rsidR="0041360E" w:rsidRPr="000F3DFA">
        <w:rPr>
          <w:rFonts w:eastAsia="Calibri" w:cs="Calibri"/>
        </w:rPr>
        <w:t xml:space="preserve"> participants had higher overall mental wellbeing than at baseline, and wellbeing appeared to be maintained longitudinally. </w:t>
      </w:r>
      <w:r w:rsidR="00CC30AF" w:rsidRPr="000F3DFA">
        <w:rPr>
          <w:rFonts w:eastAsia="Calibri" w:cs="Calibri"/>
        </w:rPr>
        <w:t xml:space="preserve">The qualitative theme </w:t>
      </w:r>
      <w:r w:rsidR="00CC30AF" w:rsidRPr="000F3DFA">
        <w:rPr>
          <w:rFonts w:eastAsia="Calibri" w:cs="Calibri"/>
          <w:i/>
        </w:rPr>
        <w:t xml:space="preserve">‘broadening recovery’ </w:t>
      </w:r>
      <w:r w:rsidR="00CC30AF" w:rsidRPr="000F3DFA">
        <w:rPr>
          <w:rFonts w:eastAsia="Calibri" w:cs="Calibri"/>
        </w:rPr>
        <w:t xml:space="preserve">explored this further, highlighting the wider social impact </w:t>
      </w:r>
      <w:r w:rsidR="00513317">
        <w:rPr>
          <w:rFonts w:eastAsia="Calibri" w:cs="Calibri"/>
        </w:rPr>
        <w:t>that the</w:t>
      </w:r>
      <w:r w:rsidR="00CC30AF" w:rsidRPr="000F3DFA">
        <w:rPr>
          <w:rFonts w:eastAsia="Calibri" w:cs="Calibri"/>
        </w:rPr>
        <w:t xml:space="preserve"> programme </w:t>
      </w:r>
      <w:r w:rsidR="00513317">
        <w:rPr>
          <w:rFonts w:eastAsia="Calibri" w:cs="Calibri"/>
        </w:rPr>
        <w:t xml:space="preserve">had had </w:t>
      </w:r>
      <w:r w:rsidR="00CC30AF" w:rsidRPr="000F3DFA">
        <w:rPr>
          <w:rFonts w:eastAsia="Calibri" w:cs="Calibri"/>
        </w:rPr>
        <w:t>on some, but not all</w:t>
      </w:r>
      <w:r w:rsidR="003205AF" w:rsidRPr="000F3DFA">
        <w:rPr>
          <w:rFonts w:eastAsia="Calibri" w:cs="Calibri"/>
        </w:rPr>
        <w:t>,</w:t>
      </w:r>
      <w:r w:rsidR="00CC30AF" w:rsidRPr="000F3DFA">
        <w:rPr>
          <w:rFonts w:eastAsia="Calibri" w:cs="Calibri"/>
        </w:rPr>
        <w:t xml:space="preserve"> participants</w:t>
      </w:r>
      <w:r w:rsidR="009F7114" w:rsidRPr="000F3DFA">
        <w:rPr>
          <w:rFonts w:eastAsia="Calibri" w:cs="Calibri"/>
        </w:rPr>
        <w:t xml:space="preserve">, for example, </w:t>
      </w:r>
      <w:r w:rsidR="009F7114" w:rsidRPr="000F3DFA">
        <w:rPr>
          <w:i/>
        </w:rPr>
        <w:t>“being more confident I can do more things”</w:t>
      </w:r>
      <w:r w:rsidR="00CC30AF" w:rsidRPr="000F3DFA">
        <w:rPr>
          <w:rFonts w:eastAsia="Calibri" w:cs="Calibri"/>
        </w:rPr>
        <w:t xml:space="preserve">. </w:t>
      </w:r>
      <w:r w:rsidR="00024DB2" w:rsidRPr="000F3DFA">
        <w:rPr>
          <w:rFonts w:eastAsia="Calibri" w:cs="Calibri"/>
        </w:rPr>
        <w:t>C</w:t>
      </w:r>
      <w:r w:rsidR="00CC30AF" w:rsidRPr="000F3DFA">
        <w:rPr>
          <w:rFonts w:eastAsia="Calibri" w:cs="Calibri"/>
        </w:rPr>
        <w:t xml:space="preserve">ognitive and emotional changes were widely reported across interviews and this may </w:t>
      </w:r>
      <w:r w:rsidR="00066E9B" w:rsidRPr="000F3DFA">
        <w:rPr>
          <w:rFonts w:eastAsia="Calibri" w:cs="Calibri"/>
        </w:rPr>
        <w:t xml:space="preserve">also </w:t>
      </w:r>
      <w:r w:rsidR="00CC30AF" w:rsidRPr="000F3DFA">
        <w:rPr>
          <w:rFonts w:eastAsia="Calibri" w:cs="Calibri"/>
        </w:rPr>
        <w:t xml:space="preserve">explain why changes in </w:t>
      </w:r>
      <w:r w:rsidR="00F43679" w:rsidRPr="000F3DFA">
        <w:rPr>
          <w:rFonts w:eastAsia="Calibri" w:cs="Calibri"/>
        </w:rPr>
        <w:t>general wellbeing were observed</w:t>
      </w:r>
      <w:r w:rsidR="00A435A1" w:rsidRPr="000F3DFA">
        <w:rPr>
          <w:rFonts w:eastAsia="Calibri" w:cs="Calibri"/>
        </w:rPr>
        <w:t>, for example, through feeling valued and connected to others</w:t>
      </w:r>
      <w:r w:rsidR="008D1F5D" w:rsidRPr="000F3DFA">
        <w:rPr>
          <w:rFonts w:eastAsia="Calibri" w:cs="Calibri"/>
        </w:rPr>
        <w:t>, consistent with previous research (Jenson, 2019; Williams et al., 2019). Further, p</w:t>
      </w:r>
      <w:r w:rsidR="003940F8" w:rsidRPr="000F3DFA">
        <w:t xml:space="preserve">articipants described how the relaxed environment during the workshops reduced their anxiety and allowed the development of positive coping mechanisms </w:t>
      </w:r>
      <w:r w:rsidR="008D1F5D" w:rsidRPr="000F3DFA">
        <w:t xml:space="preserve">and self-care </w:t>
      </w:r>
      <w:r w:rsidR="003940F8" w:rsidRPr="000F3DFA">
        <w:t>in everyday life</w:t>
      </w:r>
      <w:r w:rsidR="008D1F5D" w:rsidRPr="000F3DFA">
        <w:t>.</w:t>
      </w:r>
    </w:p>
    <w:p w14:paraId="5F0A24CE" w14:textId="64C8C144" w:rsidR="00754750" w:rsidRPr="000F3DFA" w:rsidRDefault="00754750" w:rsidP="000F3DFA">
      <w:pPr>
        <w:spacing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>The main barrier to engagement was ‘</w:t>
      </w:r>
      <w:r w:rsidRPr="000F3DFA">
        <w:rPr>
          <w:rFonts w:eastAsia="Calibri" w:cs="Calibri"/>
          <w:i/>
        </w:rPr>
        <w:t xml:space="preserve">vulnerability’ </w:t>
      </w:r>
      <w:r w:rsidRPr="000F3DFA">
        <w:rPr>
          <w:rFonts w:eastAsia="Calibri" w:cs="Calibri"/>
        </w:rPr>
        <w:t>due to ill-health and although this negatively impacted attendance, participants felt that the flexible approach</w:t>
      </w:r>
      <w:r w:rsidR="00513317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which allowed them to be ill without negative repercussions</w:t>
      </w:r>
      <w:r w:rsidR="00513317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was invaluable for their mental wellbeing and recovery. Many described how artmaking </w:t>
      </w:r>
      <w:r w:rsidR="00513317">
        <w:rPr>
          <w:rFonts w:eastAsia="Calibri" w:cs="Calibri"/>
        </w:rPr>
        <w:t xml:space="preserve">had </w:t>
      </w:r>
      <w:r w:rsidRPr="000F3DFA">
        <w:rPr>
          <w:rFonts w:eastAsia="Calibri" w:cs="Calibri"/>
        </w:rPr>
        <w:t>bec</w:t>
      </w:r>
      <w:r w:rsidR="00513317">
        <w:rPr>
          <w:rFonts w:eastAsia="Calibri" w:cs="Calibri"/>
        </w:rPr>
        <w:t>o</w:t>
      </w:r>
      <w:r w:rsidRPr="000F3DFA">
        <w:rPr>
          <w:rFonts w:eastAsia="Calibri" w:cs="Calibri"/>
        </w:rPr>
        <w:t xml:space="preserve">me a coping strategy for self-managing health, </w:t>
      </w:r>
      <w:r w:rsidR="00513317">
        <w:rPr>
          <w:rFonts w:eastAsia="Calibri" w:cs="Calibri"/>
        </w:rPr>
        <w:t>helping to reduce the perception of</w:t>
      </w:r>
      <w:r w:rsidRPr="000F3DFA">
        <w:rPr>
          <w:rFonts w:eastAsia="Calibri" w:cs="Calibri"/>
        </w:rPr>
        <w:t xml:space="preserve"> symptoms relating to physical conditions (e.g.</w:t>
      </w:r>
      <w:r w:rsidR="00513317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chronic pain and fatigue) in addition to mental health. The subtheme </w:t>
      </w:r>
      <w:r w:rsidRPr="000F3DFA">
        <w:rPr>
          <w:rFonts w:eastAsia="Calibri" w:cs="Calibri"/>
          <w:i/>
        </w:rPr>
        <w:t>‘escaping ill-health’</w:t>
      </w:r>
      <w:r w:rsidRPr="000F3DFA">
        <w:rPr>
          <w:rFonts w:eastAsia="Calibri" w:cs="Calibri"/>
        </w:rPr>
        <w:t xml:space="preserve"> capture</w:t>
      </w:r>
      <w:r w:rsidR="00485CE5" w:rsidRPr="000F3DFA">
        <w:rPr>
          <w:rFonts w:eastAsia="Calibri" w:cs="Calibri"/>
        </w:rPr>
        <w:t>d</w:t>
      </w:r>
      <w:r w:rsidRPr="000F3DFA">
        <w:rPr>
          <w:rFonts w:eastAsia="Calibri" w:cs="Calibri"/>
        </w:rPr>
        <w:t xml:space="preserve"> how artmaking could provide a means of escape and this was interpreted by the researcher as the ability to enter ‘flow state’ (</w:t>
      </w:r>
      <w:proofErr w:type="spellStart"/>
      <w:r w:rsidRPr="000F3DFA">
        <w:rPr>
          <w:rFonts w:eastAsia="Calibri" w:cs="Calibri"/>
        </w:rPr>
        <w:t>Czikszentmihalyi</w:t>
      </w:r>
      <w:proofErr w:type="spellEnd"/>
      <w:r w:rsidRPr="000F3DFA">
        <w:rPr>
          <w:rFonts w:eastAsia="Calibri" w:cs="Calibri"/>
        </w:rPr>
        <w:t xml:space="preserve">, </w:t>
      </w:r>
      <w:r w:rsidR="007D2ED9">
        <w:rPr>
          <w:rFonts w:eastAsia="Calibri" w:cs="Calibri"/>
        </w:rPr>
        <w:t>2013</w:t>
      </w:r>
      <w:r w:rsidRPr="000F3DFA">
        <w:rPr>
          <w:rFonts w:eastAsia="Calibri" w:cs="Calibri"/>
        </w:rPr>
        <w:t>).</w:t>
      </w:r>
    </w:p>
    <w:p w14:paraId="0B26FF60" w14:textId="387E2D28" w:rsidR="005D665E" w:rsidRDefault="00CC30AF" w:rsidP="000F3DFA">
      <w:pPr>
        <w:spacing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 xml:space="preserve">Crucially, </w:t>
      </w:r>
      <w:r w:rsidR="00913268" w:rsidRPr="000F3DFA">
        <w:rPr>
          <w:rFonts w:eastAsia="Calibri" w:cs="Calibri"/>
        </w:rPr>
        <w:t>move-on groups</w:t>
      </w:r>
      <w:r w:rsidRPr="000F3DFA">
        <w:rPr>
          <w:rFonts w:eastAsia="Calibri" w:cs="Calibri"/>
        </w:rPr>
        <w:t xml:space="preserve"> were described as invaluable across interviews. The qualitative theme </w:t>
      </w:r>
      <w:r w:rsidRPr="000F3DFA">
        <w:rPr>
          <w:rFonts w:eastAsia="Calibri" w:cs="Calibri"/>
          <w:i/>
        </w:rPr>
        <w:t>‘staying well’</w:t>
      </w:r>
      <w:r w:rsidRPr="000F3DFA">
        <w:rPr>
          <w:rFonts w:eastAsia="Calibri" w:cs="Calibri"/>
        </w:rPr>
        <w:t xml:space="preserve"> identified how limited access to </w:t>
      </w:r>
      <w:r w:rsidR="00172E50" w:rsidRPr="000F3DFA">
        <w:rPr>
          <w:rFonts w:eastAsia="Calibri" w:cs="Calibri"/>
        </w:rPr>
        <w:t>support af</w:t>
      </w:r>
      <w:r w:rsidR="00630B3F" w:rsidRPr="000F3DFA">
        <w:rPr>
          <w:rFonts w:eastAsia="Calibri" w:cs="Calibri"/>
        </w:rPr>
        <w:t>ter the arts on prescription programme</w:t>
      </w:r>
      <w:r w:rsidRPr="000F3DFA">
        <w:rPr>
          <w:rFonts w:eastAsia="Calibri" w:cs="Calibri"/>
        </w:rPr>
        <w:t xml:space="preserve"> was a barrier to continued recovery and maintenance of wellbeing. </w:t>
      </w:r>
      <w:r w:rsidR="00C97547" w:rsidRPr="000F3DFA">
        <w:rPr>
          <w:rFonts w:eastAsia="Calibri" w:cs="Calibri"/>
        </w:rPr>
        <w:t xml:space="preserve">Participants who were able to attend move-on groups largely reflected on how this enabled them to continue making friendships and engaging in art, and participants expressed deep gratitude for having this time to continue growing, because </w:t>
      </w:r>
      <w:r w:rsidR="00C97547" w:rsidRPr="000F3DFA">
        <w:rPr>
          <w:rFonts w:eastAsia="Calibri" w:cs="Calibri"/>
          <w:i/>
        </w:rPr>
        <w:t>“otherwise, it finished and there’s nothing”</w:t>
      </w:r>
      <w:r w:rsidR="00C97547" w:rsidRPr="000F3DFA">
        <w:rPr>
          <w:rFonts w:eastAsia="Calibri" w:cs="Calibri"/>
        </w:rPr>
        <w:t>.</w:t>
      </w:r>
      <w:r w:rsidR="00513317">
        <w:rPr>
          <w:rFonts w:eastAsia="Calibri" w:cs="Calibri"/>
        </w:rPr>
        <w:t xml:space="preserve"> Hence, it is important to note that in some cases, long-term wellbeing may have been supported by the continued access to both community-based and informal, self-created art groups. </w:t>
      </w:r>
    </w:p>
    <w:p w14:paraId="0120D7CD" w14:textId="77777777" w:rsidR="00513317" w:rsidRPr="000F3DFA" w:rsidRDefault="00513317" w:rsidP="00513317">
      <w:pPr>
        <w:spacing w:after="0" w:line="276" w:lineRule="auto"/>
        <w:jc w:val="both"/>
        <w:rPr>
          <w:rFonts w:eastAsia="Calibri" w:cs="Calibri"/>
          <w:i/>
        </w:rPr>
      </w:pPr>
    </w:p>
    <w:p w14:paraId="0B26FF61" w14:textId="2B8A3E4D" w:rsidR="005D665E" w:rsidRPr="000F3DFA" w:rsidRDefault="00CC30AF" w:rsidP="00513317">
      <w:pPr>
        <w:pStyle w:val="Heading2"/>
        <w:spacing w:before="0" w:after="120"/>
        <w:rPr>
          <w:rFonts w:eastAsia="Calibri"/>
        </w:rPr>
      </w:pPr>
      <w:r w:rsidRPr="000F3DFA">
        <w:rPr>
          <w:rFonts w:eastAsia="Calibri"/>
        </w:rPr>
        <w:t>Strengths</w:t>
      </w:r>
      <w:r w:rsidR="00E31273" w:rsidRPr="000F3DFA">
        <w:rPr>
          <w:rFonts w:eastAsia="Calibri"/>
        </w:rPr>
        <w:t xml:space="preserve"> and </w:t>
      </w:r>
      <w:r w:rsidRPr="000F3DFA">
        <w:rPr>
          <w:rFonts w:eastAsia="Calibri"/>
        </w:rPr>
        <w:t xml:space="preserve">limitations </w:t>
      </w:r>
      <w:r w:rsidR="00E31273" w:rsidRPr="000F3DFA">
        <w:rPr>
          <w:rFonts w:eastAsia="Calibri"/>
        </w:rPr>
        <w:t>of the study</w:t>
      </w:r>
    </w:p>
    <w:p w14:paraId="0B26FF63" w14:textId="21C52C69" w:rsidR="005D665E" w:rsidRDefault="00CC30AF" w:rsidP="000F3DFA">
      <w:pPr>
        <w:spacing w:before="240" w:after="240"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>A strength of the present study is the use of</w:t>
      </w:r>
      <w:r w:rsidR="00513317">
        <w:rPr>
          <w:rFonts w:eastAsia="Calibri" w:cs="Calibri"/>
        </w:rPr>
        <w:t xml:space="preserve"> a</w:t>
      </w:r>
      <w:r w:rsidRPr="000F3DFA">
        <w:rPr>
          <w:rFonts w:eastAsia="Calibri" w:cs="Calibri"/>
        </w:rPr>
        <w:t xml:space="preserve"> mixed</w:t>
      </w:r>
      <w:r w:rsidR="00A41552" w:rsidRPr="000F3DFA">
        <w:rPr>
          <w:rFonts w:eastAsia="Calibri" w:cs="Calibri"/>
        </w:rPr>
        <w:t>-</w:t>
      </w:r>
      <w:r w:rsidRPr="000F3DFA">
        <w:rPr>
          <w:rFonts w:eastAsia="Calibri" w:cs="Calibri"/>
        </w:rPr>
        <w:t xml:space="preserve">methods </w:t>
      </w:r>
      <w:r w:rsidR="00513317">
        <w:rPr>
          <w:rFonts w:eastAsia="Calibri" w:cs="Calibri"/>
        </w:rPr>
        <w:t xml:space="preserve">research design </w:t>
      </w:r>
      <w:r w:rsidRPr="000F3DFA">
        <w:rPr>
          <w:rFonts w:eastAsia="Calibri" w:cs="Calibri"/>
        </w:rPr>
        <w:t xml:space="preserve">to enhance understanding of </w:t>
      </w:r>
      <w:r w:rsidR="00681B15" w:rsidRPr="000F3DFA">
        <w:rPr>
          <w:rFonts w:eastAsia="Calibri" w:cs="Calibri"/>
        </w:rPr>
        <w:t>a gap in the research on art on prescription</w:t>
      </w:r>
      <w:r w:rsidR="00513317">
        <w:rPr>
          <w:rFonts w:eastAsia="Calibri" w:cs="Calibri"/>
        </w:rPr>
        <w:t>. T</w:t>
      </w:r>
      <w:r w:rsidRPr="000F3DFA">
        <w:rPr>
          <w:rFonts w:eastAsia="Calibri" w:cs="Calibri"/>
        </w:rPr>
        <w:t xml:space="preserve">he convergent design meant </w:t>
      </w:r>
      <w:r w:rsidR="00513317">
        <w:rPr>
          <w:rFonts w:eastAsia="Calibri" w:cs="Calibri"/>
        </w:rPr>
        <w:t xml:space="preserve">that </w:t>
      </w:r>
      <w:r w:rsidRPr="000F3DFA">
        <w:rPr>
          <w:rFonts w:eastAsia="Calibri" w:cs="Calibri"/>
        </w:rPr>
        <w:lastRenderedPageBreak/>
        <w:t>interviews could explore specific topics and probe certain areas to further understand the quantitative data. Personal involvement in co-facilitating arts on prescription groups throughout the project provided a critical perspective of therapeutic interventions in the community, allowing relevant questions and prompts to promote rich data collection. The main weakness of this study relates to difficulties recruiting p</w:t>
      </w:r>
      <w:r w:rsidR="005456EF" w:rsidRPr="000F3DFA">
        <w:rPr>
          <w:rFonts w:eastAsia="Calibri" w:cs="Calibri"/>
        </w:rPr>
        <w:t>articipants</w:t>
      </w:r>
      <w:r w:rsidRPr="000F3DFA">
        <w:rPr>
          <w:rFonts w:eastAsia="Calibri" w:cs="Calibri"/>
        </w:rPr>
        <w:t xml:space="preserve">, resulting in a small sample size </w:t>
      </w:r>
      <w:r w:rsidR="00C36A6E" w:rsidRPr="000F3DFA">
        <w:rPr>
          <w:rFonts w:eastAsia="Calibri" w:cs="Calibri"/>
        </w:rPr>
        <w:t>for the quantitative analyses, and potential selection biases, where people who</w:t>
      </w:r>
      <w:r w:rsidRPr="000F3DFA">
        <w:rPr>
          <w:rFonts w:eastAsia="Calibri" w:cs="Calibri"/>
        </w:rPr>
        <w:t xml:space="preserve"> had positive experiences of the programme</w:t>
      </w:r>
      <w:r w:rsidR="00C36A6E" w:rsidRPr="000F3DFA">
        <w:rPr>
          <w:rFonts w:eastAsia="Calibri" w:cs="Calibri"/>
        </w:rPr>
        <w:t xml:space="preserve"> may have been more likely to take part</w:t>
      </w:r>
      <w:r w:rsidR="005D4948">
        <w:rPr>
          <w:rFonts w:eastAsia="Calibri" w:cs="Calibri"/>
        </w:rPr>
        <w:t xml:space="preserve"> and share their perspectives. </w:t>
      </w:r>
      <w:r w:rsidRPr="000F3DFA">
        <w:rPr>
          <w:rFonts w:eastAsia="Calibri" w:cs="Calibri"/>
        </w:rPr>
        <w:t xml:space="preserve"> </w:t>
      </w:r>
    </w:p>
    <w:p w14:paraId="2445797C" w14:textId="77777777" w:rsidR="005D4948" w:rsidRPr="000F3DFA" w:rsidRDefault="005D4948" w:rsidP="005D4948">
      <w:pPr>
        <w:spacing w:after="0" w:line="276" w:lineRule="auto"/>
        <w:jc w:val="both"/>
        <w:rPr>
          <w:rFonts w:eastAsia="Calibri" w:cs="Calibri"/>
        </w:rPr>
      </w:pPr>
    </w:p>
    <w:p w14:paraId="0B26FF64" w14:textId="4E821D85" w:rsidR="005D665E" w:rsidRPr="000F3DFA" w:rsidRDefault="00141B9B" w:rsidP="005D4948">
      <w:pPr>
        <w:pStyle w:val="Heading2"/>
        <w:spacing w:before="0" w:afterLines="120" w:after="288"/>
        <w:rPr>
          <w:rFonts w:eastAsia="Calibri" w:cs="Calibri"/>
        </w:rPr>
      </w:pPr>
      <w:r w:rsidRPr="000F3DFA">
        <w:rPr>
          <w:rFonts w:eastAsia="Times New Roman"/>
        </w:rPr>
        <w:t>Conclusions and recommendations for further research</w:t>
      </w:r>
    </w:p>
    <w:p w14:paraId="131E1CD5" w14:textId="15AB538E" w:rsidR="009906F5" w:rsidRDefault="000839D4" w:rsidP="005D4948">
      <w:pPr>
        <w:spacing w:afterLines="120" w:after="288" w:line="276" w:lineRule="auto"/>
        <w:jc w:val="both"/>
        <w:rPr>
          <w:rFonts w:eastAsia="Calibri" w:cs="Calibri"/>
        </w:rPr>
      </w:pPr>
      <w:r w:rsidRPr="000F3DFA">
        <w:rPr>
          <w:rFonts w:eastAsia="Calibri" w:cs="Calibri"/>
        </w:rPr>
        <w:t xml:space="preserve">The results of the present study suggest that arts on prescription programmes </w:t>
      </w:r>
      <w:r w:rsidR="005D4948">
        <w:rPr>
          <w:rFonts w:eastAsia="Calibri" w:cs="Calibri"/>
        </w:rPr>
        <w:t xml:space="preserve">can be </w:t>
      </w:r>
      <w:r w:rsidRPr="000F3DFA">
        <w:rPr>
          <w:rFonts w:eastAsia="Calibri" w:cs="Calibri"/>
        </w:rPr>
        <w:t>effective in the long-term</w:t>
      </w:r>
      <w:r w:rsidR="005D4948">
        <w:rPr>
          <w:rFonts w:eastAsia="Calibri" w:cs="Calibri"/>
        </w:rPr>
        <w:t>,</w:t>
      </w:r>
      <w:r w:rsidRPr="000F3DFA">
        <w:rPr>
          <w:rFonts w:eastAsia="Calibri" w:cs="Calibri"/>
        </w:rPr>
        <w:t xml:space="preserve"> when follow-on support, such as move-on groups, are available. </w:t>
      </w:r>
      <w:r w:rsidR="005D4948">
        <w:rPr>
          <w:rFonts w:eastAsia="Calibri" w:cs="Calibri"/>
        </w:rPr>
        <w:t xml:space="preserve">However, the results must be interpreted with caution due to the small sample size and potential selection bias. </w:t>
      </w:r>
      <w:r w:rsidRPr="000F3DFA">
        <w:rPr>
          <w:rFonts w:eastAsia="Calibri" w:cs="Calibri"/>
        </w:rPr>
        <w:t xml:space="preserve">Future work could seek to replicate and extend this finding, </w:t>
      </w:r>
      <w:r w:rsidR="005D4948">
        <w:rPr>
          <w:rFonts w:eastAsia="Calibri" w:cs="Calibri"/>
        </w:rPr>
        <w:t>seeking to encourage participants with a range of perspectives to participate</w:t>
      </w:r>
      <w:r w:rsidR="00B411B9">
        <w:rPr>
          <w:rFonts w:eastAsia="Calibri" w:cs="Calibri"/>
        </w:rPr>
        <w:t xml:space="preserve">. It would also be useful to clarify and </w:t>
      </w:r>
      <w:r w:rsidRPr="000F3DFA">
        <w:rPr>
          <w:rFonts w:eastAsia="Calibri" w:cs="Calibri"/>
        </w:rPr>
        <w:t>further explor</w:t>
      </w:r>
      <w:r w:rsidR="00B411B9">
        <w:rPr>
          <w:rFonts w:eastAsia="Calibri" w:cs="Calibri"/>
        </w:rPr>
        <w:t>e</w:t>
      </w:r>
      <w:r w:rsidRPr="000F3DFA">
        <w:rPr>
          <w:rFonts w:eastAsia="Calibri" w:cs="Calibri"/>
        </w:rPr>
        <w:t xml:space="preserve"> the importance and impact of follow-on support </w:t>
      </w:r>
      <w:r w:rsidR="00B411B9">
        <w:rPr>
          <w:rFonts w:eastAsia="Calibri" w:cs="Calibri"/>
        </w:rPr>
        <w:t xml:space="preserve">and move-on’ art groups </w:t>
      </w:r>
      <w:r w:rsidRPr="000F3DFA">
        <w:rPr>
          <w:rFonts w:eastAsia="Calibri" w:cs="Calibri"/>
        </w:rPr>
        <w:t>in the maintenance of wellbeing</w:t>
      </w:r>
      <w:r w:rsidR="00B411B9">
        <w:rPr>
          <w:rFonts w:eastAsia="Calibri" w:cs="Calibri"/>
        </w:rPr>
        <w:t xml:space="preserve"> longitudinally</w:t>
      </w:r>
      <w:r w:rsidRPr="000F3DFA">
        <w:rPr>
          <w:rFonts w:eastAsia="Calibri" w:cs="Calibri"/>
        </w:rPr>
        <w:t xml:space="preserve">.  </w:t>
      </w:r>
    </w:p>
    <w:p w14:paraId="5A5CEEB9" w14:textId="41EFAE5B" w:rsidR="00CE3A2C" w:rsidRPr="00CE3A2C" w:rsidRDefault="00CE3A2C" w:rsidP="007D2ED9">
      <w:pPr>
        <w:pStyle w:val="Heading2"/>
        <w:spacing w:before="0" w:after="120"/>
        <w:rPr>
          <w:rFonts w:eastAsia="Calibri"/>
        </w:rPr>
      </w:pPr>
      <w:r>
        <w:rPr>
          <w:rFonts w:eastAsia="Calibri"/>
        </w:rPr>
        <w:t>References</w:t>
      </w:r>
    </w:p>
    <w:p w14:paraId="3A3F0B12" w14:textId="77777777" w:rsidR="00CE3A2C" w:rsidRDefault="00CE3A2C" w:rsidP="007D2ED9">
      <w:pPr>
        <w:spacing w:after="0" w:line="360" w:lineRule="auto"/>
        <w:ind w:left="720" w:hanging="720"/>
      </w:pPr>
      <w:r>
        <w:t xml:space="preserve">Braun, V. &amp; Clarke, V. (2006). </w:t>
      </w:r>
      <w:r w:rsidRPr="00C0305E">
        <w:t>Using thematic analysis in psychology</w:t>
      </w:r>
      <w:r>
        <w:t xml:space="preserve">. </w:t>
      </w:r>
      <w:r w:rsidRPr="00C0305E">
        <w:rPr>
          <w:i/>
          <w:iCs/>
        </w:rPr>
        <w:t xml:space="preserve">Qualitative Research in Psychology, </w:t>
      </w:r>
      <w:r w:rsidRPr="00C0305E">
        <w:t>3</w:t>
      </w:r>
      <w:r>
        <w:t>(</w:t>
      </w:r>
      <w:r w:rsidRPr="00C0305E">
        <w:t>2</w:t>
      </w:r>
      <w:r>
        <w:t>)</w:t>
      </w:r>
      <w:r w:rsidRPr="00C0305E">
        <w:t>, 77-101</w:t>
      </w:r>
      <w:r>
        <w:t xml:space="preserve">. </w:t>
      </w:r>
      <w:hyperlink r:id="rId8" w:history="1">
        <w:r w:rsidRPr="006F69BC">
          <w:rPr>
            <w:rStyle w:val="Hyperlink"/>
          </w:rPr>
          <w:t>https://doi.org/10.1191/1478088706qp063oa</w:t>
        </w:r>
      </w:hyperlink>
    </w:p>
    <w:p w14:paraId="1F987F8B" w14:textId="0EFF9B74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Braun, V. </w:t>
      </w:r>
      <w:r>
        <w:t>&amp;</w:t>
      </w:r>
      <w:r w:rsidRPr="00F115D5">
        <w:t xml:space="preserve"> Clarke, V. (2013). </w:t>
      </w:r>
      <w:r w:rsidRPr="00F115D5">
        <w:rPr>
          <w:i/>
          <w:iCs/>
        </w:rPr>
        <w:t>Successful Qualitative Research: A Practical Guide for Beginners</w:t>
      </w:r>
      <w:r w:rsidRPr="00F115D5">
        <w:t>.</w:t>
      </w:r>
      <w:r w:rsidR="007D2ED9">
        <w:t xml:space="preserve"> London: </w:t>
      </w:r>
      <w:r w:rsidRPr="00F115D5">
        <w:t>Sage Publications.</w:t>
      </w:r>
    </w:p>
    <w:p w14:paraId="3861AE58" w14:textId="2D08FCDD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Creswell, J.W. &amp; Clark, V.L.P. (2007). </w:t>
      </w:r>
      <w:r w:rsidRPr="00F115D5">
        <w:rPr>
          <w:i/>
          <w:iCs/>
        </w:rPr>
        <w:t>Designing and conducting mixed methods research.</w:t>
      </w:r>
      <w:r w:rsidRPr="00F115D5">
        <w:t xml:space="preserve"> </w:t>
      </w:r>
      <w:r w:rsidR="007D2ED9">
        <w:t xml:space="preserve">London: </w:t>
      </w:r>
      <w:r w:rsidRPr="00F115D5">
        <w:t>Sage Publications.</w:t>
      </w:r>
    </w:p>
    <w:p w14:paraId="166A3E50" w14:textId="0EAF011F" w:rsidR="00CE3A2C" w:rsidRPr="007D2ED9" w:rsidRDefault="00CE3A2C" w:rsidP="007D2ED9">
      <w:pPr>
        <w:spacing w:after="0" w:line="360" w:lineRule="auto"/>
        <w:ind w:left="720" w:hanging="720"/>
        <w:rPr>
          <w:rFonts w:cstheme="minorHAnsi"/>
        </w:rPr>
      </w:pPr>
      <w:r w:rsidRPr="00F115D5">
        <w:t xml:space="preserve">Crone, D.M., Sumner, R.C., Baker, C.M., </w:t>
      </w:r>
      <w:proofErr w:type="spellStart"/>
      <w:r w:rsidRPr="00F115D5">
        <w:t>Loughren</w:t>
      </w:r>
      <w:proofErr w:type="spellEnd"/>
      <w:r w:rsidRPr="00F115D5">
        <w:t xml:space="preserve">, E.A., Hughes, S. </w:t>
      </w:r>
      <w:r w:rsidRPr="007D2ED9">
        <w:t>&amp; James, D.V.B. (2018). '</w:t>
      </w:r>
      <w:proofErr w:type="spellStart"/>
      <w:r w:rsidRPr="007D2ED9">
        <w:t>Artlift</w:t>
      </w:r>
      <w:proofErr w:type="spellEnd"/>
      <w:r w:rsidRPr="007D2ED9">
        <w:t xml:space="preserve">' </w:t>
      </w:r>
      <w:r w:rsidR="007D2ED9" w:rsidRPr="007D2ED9">
        <w:t>a</w:t>
      </w:r>
      <w:r w:rsidRPr="007D2ED9">
        <w:t>rts-</w:t>
      </w:r>
      <w:r w:rsidR="007D2ED9" w:rsidRPr="007D2ED9">
        <w:t>o</w:t>
      </w:r>
      <w:r w:rsidRPr="007D2ED9">
        <w:t>n</w:t>
      </w:r>
      <w:r w:rsidRPr="007D2ED9">
        <w:rPr>
          <w:rFonts w:cstheme="minorHAnsi"/>
        </w:rPr>
        <w:t>-</w:t>
      </w:r>
      <w:r w:rsidR="007D2ED9" w:rsidRPr="007D2ED9">
        <w:rPr>
          <w:rFonts w:cstheme="minorHAnsi"/>
        </w:rPr>
        <w:t>r</w:t>
      </w:r>
      <w:r w:rsidRPr="007D2ED9">
        <w:rPr>
          <w:rFonts w:cstheme="minorHAnsi"/>
        </w:rPr>
        <w:t xml:space="preserve">eferral </w:t>
      </w:r>
      <w:r w:rsidR="007D2ED9" w:rsidRPr="007D2ED9">
        <w:rPr>
          <w:rFonts w:cstheme="minorHAnsi"/>
        </w:rPr>
        <w:t>i</w:t>
      </w:r>
      <w:r w:rsidRPr="007D2ED9">
        <w:rPr>
          <w:rFonts w:cstheme="minorHAnsi"/>
        </w:rPr>
        <w:t xml:space="preserve">ntervention in UK </w:t>
      </w:r>
      <w:r w:rsidR="007D2ED9" w:rsidRPr="007D2ED9">
        <w:rPr>
          <w:rFonts w:cstheme="minorHAnsi"/>
        </w:rPr>
        <w:t>p</w:t>
      </w:r>
      <w:r w:rsidRPr="007D2ED9">
        <w:rPr>
          <w:rFonts w:cstheme="minorHAnsi"/>
        </w:rPr>
        <w:t xml:space="preserve">rimary </w:t>
      </w:r>
      <w:r w:rsidR="007D2ED9" w:rsidRPr="007D2ED9">
        <w:rPr>
          <w:rFonts w:cstheme="minorHAnsi"/>
        </w:rPr>
        <w:t>c</w:t>
      </w:r>
      <w:r w:rsidRPr="007D2ED9">
        <w:rPr>
          <w:rFonts w:cstheme="minorHAnsi"/>
        </w:rPr>
        <w:t xml:space="preserve">are: Updated </w:t>
      </w:r>
      <w:r w:rsidR="007D2ED9" w:rsidRPr="007D2ED9">
        <w:rPr>
          <w:rFonts w:cstheme="minorHAnsi"/>
        </w:rPr>
        <w:t>f</w:t>
      </w:r>
      <w:r w:rsidRPr="007D2ED9">
        <w:rPr>
          <w:rFonts w:cstheme="minorHAnsi"/>
        </w:rPr>
        <w:t xml:space="preserve">indings </w:t>
      </w:r>
      <w:r w:rsidR="007D2ED9" w:rsidRPr="007D2ED9">
        <w:rPr>
          <w:rFonts w:cstheme="minorHAnsi"/>
        </w:rPr>
        <w:t>f</w:t>
      </w:r>
      <w:r w:rsidRPr="007D2ED9">
        <w:rPr>
          <w:rFonts w:cstheme="minorHAnsi"/>
        </w:rPr>
        <w:t xml:space="preserve">rom an </w:t>
      </w:r>
      <w:r w:rsidR="007D2ED9" w:rsidRPr="007D2ED9">
        <w:rPr>
          <w:rFonts w:cstheme="minorHAnsi"/>
        </w:rPr>
        <w:t>o</w:t>
      </w:r>
      <w:r w:rsidRPr="007D2ED9">
        <w:rPr>
          <w:rFonts w:cstheme="minorHAnsi"/>
        </w:rPr>
        <w:t xml:space="preserve">ngoing </w:t>
      </w:r>
      <w:r w:rsidR="007D2ED9" w:rsidRPr="007D2ED9">
        <w:rPr>
          <w:rFonts w:cstheme="minorHAnsi"/>
        </w:rPr>
        <w:t>o</w:t>
      </w:r>
      <w:r w:rsidRPr="007D2ED9">
        <w:rPr>
          <w:rFonts w:cstheme="minorHAnsi"/>
        </w:rPr>
        <w:t xml:space="preserve">bservational </w:t>
      </w:r>
      <w:r w:rsidR="007D2ED9" w:rsidRPr="007D2ED9">
        <w:rPr>
          <w:rFonts w:cstheme="minorHAnsi"/>
        </w:rPr>
        <w:t>s</w:t>
      </w:r>
      <w:r w:rsidRPr="007D2ED9">
        <w:rPr>
          <w:rFonts w:cstheme="minorHAnsi"/>
        </w:rPr>
        <w:t xml:space="preserve">tudy. The </w:t>
      </w:r>
      <w:r w:rsidRPr="007D2ED9">
        <w:rPr>
          <w:rFonts w:cstheme="minorHAnsi"/>
          <w:i/>
          <w:iCs/>
        </w:rPr>
        <w:t>European Journal of Public Health, 28</w:t>
      </w:r>
      <w:r w:rsidRPr="007D2ED9">
        <w:rPr>
          <w:rFonts w:cstheme="minorHAnsi"/>
        </w:rPr>
        <w:t xml:space="preserve">(3), 404-409. </w:t>
      </w:r>
      <w:hyperlink r:id="rId9" w:history="1">
        <w:r w:rsidRPr="007D2ED9">
          <w:rPr>
            <w:rStyle w:val="Hyperlink"/>
            <w:rFonts w:cstheme="minorHAnsi"/>
            <w:color w:val="auto"/>
          </w:rPr>
          <w:t>https://doi.org/10.1093/eurpub/cky021</w:t>
        </w:r>
      </w:hyperlink>
    </w:p>
    <w:p w14:paraId="233C547E" w14:textId="5C821B6C" w:rsidR="007D2ED9" w:rsidRPr="007D2ED9" w:rsidRDefault="007D2ED9" w:rsidP="007D2ED9">
      <w:pPr>
        <w:spacing w:after="0" w:line="360" w:lineRule="auto"/>
        <w:ind w:left="720" w:hanging="720"/>
        <w:rPr>
          <w:rFonts w:cstheme="minorHAnsi"/>
          <w:shd w:val="clear" w:color="auto" w:fill="FFFFFF"/>
        </w:rPr>
      </w:pPr>
      <w:r w:rsidRPr="007D2ED9">
        <w:rPr>
          <w:rFonts w:cstheme="minorHAnsi"/>
          <w:shd w:val="clear" w:color="auto" w:fill="FFFFFF"/>
        </w:rPr>
        <w:t>Csikszentmihalyi, M. (2013). </w:t>
      </w:r>
      <w:r w:rsidRPr="007D2ED9">
        <w:rPr>
          <w:rFonts w:cstheme="minorHAnsi"/>
          <w:i/>
          <w:iCs/>
          <w:shd w:val="clear" w:color="auto" w:fill="FFFFFF"/>
        </w:rPr>
        <w:t>Flow: The psychology of happiness</w:t>
      </w:r>
      <w:r w:rsidRPr="007D2ED9">
        <w:rPr>
          <w:rFonts w:cstheme="minorHAnsi"/>
          <w:shd w:val="clear" w:color="auto" w:fill="FFFFFF"/>
        </w:rPr>
        <w:t>. Random House.</w:t>
      </w:r>
    </w:p>
    <w:p w14:paraId="694D3396" w14:textId="64D38FB1" w:rsidR="00CE3A2C" w:rsidRDefault="00CE3A2C" w:rsidP="007D2ED9">
      <w:pPr>
        <w:spacing w:after="0" w:line="360" w:lineRule="auto"/>
        <w:ind w:left="720" w:hanging="720"/>
        <w:rPr>
          <w:rStyle w:val="Hyperlink"/>
        </w:rPr>
      </w:pPr>
      <w:r w:rsidRPr="007D2ED9">
        <w:rPr>
          <w:rFonts w:cstheme="minorHAnsi"/>
        </w:rPr>
        <w:t>Holt, N. (2020). Tracking momentary experience in the evaluation of arts-on-prescription services: using mood changes</w:t>
      </w:r>
      <w:r w:rsidRPr="00F115D5">
        <w:t xml:space="preserve"> during art workshops to predict global wellbeing change. </w:t>
      </w:r>
      <w:r w:rsidRPr="00F115D5">
        <w:rPr>
          <w:i/>
          <w:iCs/>
        </w:rPr>
        <w:t xml:space="preserve">Perspectives in Public Health. </w:t>
      </w:r>
      <w:hyperlink r:id="rId10" w:history="1">
        <w:r w:rsidRPr="00F115D5">
          <w:rPr>
            <w:rStyle w:val="Hyperlink"/>
          </w:rPr>
          <w:t>https://doi.org/10.1177/1757913920913060</w:t>
        </w:r>
      </w:hyperlink>
    </w:p>
    <w:p w14:paraId="51C0EE96" w14:textId="77777777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Hughes, S., Crone, D., Sumner, R. &amp; Redmond, M. (2019). Understanding well-being outcomes in primary care arts on referral interventions: a mixed method study. </w:t>
      </w:r>
      <w:r w:rsidRPr="00F115D5">
        <w:rPr>
          <w:i/>
          <w:iCs/>
        </w:rPr>
        <w:t>European Journal for Person Centred Healthcare, 7</w:t>
      </w:r>
      <w:r w:rsidRPr="00F115D5">
        <w:t xml:space="preserve">(3), 530-539. </w:t>
      </w:r>
      <w:hyperlink r:id="rId11" w:history="1">
        <w:r w:rsidRPr="00F115D5">
          <w:rPr>
            <w:rStyle w:val="Hyperlink"/>
          </w:rPr>
          <w:t>http://dx.doi.org/10.5750/ejpch.v7i3.1768</w:t>
        </w:r>
      </w:hyperlink>
    </w:p>
    <w:p w14:paraId="718DDC50" w14:textId="548D89A8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Jensen, A. (2019). Culture Vitamins – an </w:t>
      </w:r>
      <w:r w:rsidR="007D2ED9">
        <w:t>a</w:t>
      </w:r>
      <w:r w:rsidRPr="00F115D5">
        <w:t xml:space="preserve">rts on </w:t>
      </w:r>
      <w:r w:rsidR="007D2ED9">
        <w:t>p</w:t>
      </w:r>
      <w:r w:rsidRPr="00F115D5">
        <w:t xml:space="preserve">rescription project in Denmark. </w:t>
      </w:r>
      <w:r w:rsidRPr="00F115D5">
        <w:rPr>
          <w:i/>
          <w:iCs/>
        </w:rPr>
        <w:t>Perspectives in Public Health,</w:t>
      </w:r>
      <w:r w:rsidRPr="00F115D5">
        <w:t xml:space="preserve"> 139(3), 131</w:t>
      </w:r>
      <w:r w:rsidR="007D2ED9">
        <w:t>-</w:t>
      </w:r>
      <w:r w:rsidRPr="00F115D5">
        <w:t xml:space="preserve">136. </w:t>
      </w:r>
      <w:hyperlink r:id="rId12" w:history="1">
        <w:r w:rsidRPr="00F115D5">
          <w:rPr>
            <w:rStyle w:val="Hyperlink"/>
          </w:rPr>
          <w:t>https://doi.org/10.1177%2F1757913919836145</w:t>
        </w:r>
      </w:hyperlink>
    </w:p>
    <w:p w14:paraId="2CF77086" w14:textId="77777777" w:rsidR="00CE3A2C" w:rsidRPr="00F115D5" w:rsidRDefault="00CE3A2C" w:rsidP="007D2ED9">
      <w:pPr>
        <w:spacing w:after="0" w:line="360" w:lineRule="auto"/>
        <w:ind w:left="720" w:hanging="720"/>
      </w:pPr>
      <w:r w:rsidRPr="00F115D5">
        <w:lastRenderedPageBreak/>
        <w:t xml:space="preserve">Stickley, T. &amp; </w:t>
      </w:r>
      <w:proofErr w:type="spellStart"/>
      <w:r w:rsidRPr="00F115D5">
        <w:t>Eades</w:t>
      </w:r>
      <w:proofErr w:type="spellEnd"/>
      <w:r w:rsidRPr="00F115D5">
        <w:t xml:space="preserve">, M. (2013). Arts on prescription: a qualitative outcomes study. </w:t>
      </w:r>
      <w:r w:rsidRPr="00F115D5">
        <w:rPr>
          <w:i/>
          <w:iCs/>
        </w:rPr>
        <w:t>Public Health, 127</w:t>
      </w:r>
      <w:r w:rsidRPr="00F115D5">
        <w:t xml:space="preserve">(8), 727-734. </w:t>
      </w:r>
      <w:hyperlink r:id="rId13" w:history="1">
        <w:r w:rsidRPr="00F115D5">
          <w:rPr>
            <w:rStyle w:val="Hyperlink"/>
          </w:rPr>
          <w:t>https://doi.org/10.1016/j.puhe.2013.05.001</w:t>
        </w:r>
      </w:hyperlink>
    </w:p>
    <w:p w14:paraId="2BA487AB" w14:textId="77777777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Sumner, R., Crone, D., Baker, C., Hughes, S., </w:t>
      </w:r>
      <w:proofErr w:type="spellStart"/>
      <w:r w:rsidRPr="00F115D5">
        <w:t>Loughren</w:t>
      </w:r>
      <w:proofErr w:type="spellEnd"/>
      <w:r w:rsidRPr="00F115D5">
        <w:t xml:space="preserve">, E. &amp; James, D. (2020). Factors associated with attendance, engagement and wellbeing change in an arts on prescription intervention. </w:t>
      </w:r>
      <w:r w:rsidRPr="00F115D5">
        <w:rPr>
          <w:i/>
          <w:iCs/>
        </w:rPr>
        <w:t>Journal of Public Health, 42</w:t>
      </w:r>
      <w:r w:rsidRPr="00F115D5">
        <w:t xml:space="preserve">(1), e88-95. </w:t>
      </w:r>
      <w:hyperlink r:id="rId14" w:history="1">
        <w:r w:rsidRPr="00F115D5">
          <w:rPr>
            <w:rStyle w:val="Hyperlink"/>
          </w:rPr>
          <w:t>https://doi.org/10.1093/pubmed/fdz032</w:t>
        </w:r>
      </w:hyperlink>
    </w:p>
    <w:p w14:paraId="61F56D6E" w14:textId="6DD32426" w:rsidR="00CE3A2C" w:rsidRPr="00F115D5" w:rsidRDefault="00CE3A2C" w:rsidP="007D2ED9">
      <w:pPr>
        <w:spacing w:after="0" w:line="360" w:lineRule="auto"/>
        <w:ind w:left="720" w:hanging="720"/>
      </w:pPr>
      <w:r w:rsidRPr="00F115D5">
        <w:t xml:space="preserve">Tennant, R., Fishwick, R., Platt, S., Joseph, S. &amp; Stewart-Brown, S. (2006). </w:t>
      </w:r>
      <w:r w:rsidRPr="009A43C5">
        <w:rPr>
          <w:i/>
          <w:iCs/>
        </w:rPr>
        <w:t xml:space="preserve">Monitoring positive mental health in Scotland: </w:t>
      </w:r>
      <w:r w:rsidR="001B40BF" w:rsidRPr="009A43C5">
        <w:rPr>
          <w:i/>
          <w:iCs/>
        </w:rPr>
        <w:t>V</w:t>
      </w:r>
      <w:r w:rsidRPr="009A43C5">
        <w:rPr>
          <w:i/>
          <w:iCs/>
        </w:rPr>
        <w:t xml:space="preserve">alidating the </w:t>
      </w:r>
      <w:proofErr w:type="spellStart"/>
      <w:r w:rsidR="009A43C5" w:rsidRPr="009A43C5">
        <w:rPr>
          <w:i/>
          <w:iCs/>
        </w:rPr>
        <w:t>a</w:t>
      </w:r>
      <w:r w:rsidRPr="009A43C5">
        <w:rPr>
          <w:i/>
          <w:iCs/>
        </w:rPr>
        <w:t>ffectometer</w:t>
      </w:r>
      <w:proofErr w:type="spellEnd"/>
      <w:r w:rsidRPr="009A43C5">
        <w:rPr>
          <w:i/>
          <w:iCs/>
        </w:rPr>
        <w:t xml:space="preserve"> 2 scale and developing the Warwick-Edinburgh Mental Well-being Scale for the UK.</w:t>
      </w:r>
      <w:r w:rsidRPr="00F115D5">
        <w:t xml:space="preserve"> </w:t>
      </w:r>
      <w:r w:rsidRPr="009A43C5">
        <w:t>Edinburgh</w:t>
      </w:r>
      <w:r w:rsidR="009A43C5" w:rsidRPr="009A43C5">
        <w:t xml:space="preserve">: </w:t>
      </w:r>
      <w:r w:rsidRPr="009A43C5">
        <w:t xml:space="preserve">NHS Health Scotland. </w:t>
      </w:r>
      <w:hyperlink r:id="rId15" w:history="1">
        <w:r w:rsidRPr="00F115D5">
          <w:rPr>
            <w:rStyle w:val="Hyperlink"/>
          </w:rPr>
          <w:t>http://www.healthscotland.scot/media/1719/5776-affectomter-wemwbs-final-report.pdf</w:t>
        </w:r>
      </w:hyperlink>
    </w:p>
    <w:p w14:paraId="1F740BA6" w14:textId="581EA94F" w:rsidR="00CE3A2C" w:rsidRPr="00387A43" w:rsidRDefault="00CE3A2C" w:rsidP="007D2ED9">
      <w:pPr>
        <w:spacing w:after="0" w:line="360" w:lineRule="auto"/>
        <w:ind w:left="720" w:hanging="720"/>
        <w:rPr>
          <w:color w:val="0563C1" w:themeColor="hyperlink"/>
          <w:u w:val="single"/>
        </w:rPr>
      </w:pPr>
      <w:r w:rsidRPr="00F115D5">
        <w:t xml:space="preserve">Williams, E., Dingle, G.A., </w:t>
      </w:r>
      <w:proofErr w:type="spellStart"/>
      <w:r w:rsidRPr="00F115D5">
        <w:t>Jetten</w:t>
      </w:r>
      <w:proofErr w:type="spellEnd"/>
      <w:r w:rsidRPr="00F115D5">
        <w:t>, J. &amp; Rowan, C. (2019</w:t>
      </w:r>
      <w:r>
        <w:t>b</w:t>
      </w:r>
      <w:r w:rsidRPr="00F115D5">
        <w:t xml:space="preserve">). Identification with arts‐based groups improves mental wellbeing in adults with chronic mental health conditions. </w:t>
      </w:r>
      <w:r w:rsidRPr="00F115D5">
        <w:rPr>
          <w:i/>
          <w:iCs/>
        </w:rPr>
        <w:t>Journal of Applied Social Psycholog</w:t>
      </w:r>
      <w:r>
        <w:rPr>
          <w:i/>
          <w:iCs/>
        </w:rPr>
        <w:t>y,</w:t>
      </w:r>
      <w:r w:rsidRPr="00F115D5">
        <w:rPr>
          <w:i/>
          <w:iCs/>
        </w:rPr>
        <w:t xml:space="preserve"> </w:t>
      </w:r>
      <w:r w:rsidRPr="00F115D5">
        <w:t xml:space="preserve">49(1),15-26. </w:t>
      </w:r>
      <w:hyperlink r:id="rId16" w:history="1">
        <w:r w:rsidRPr="00F115D5">
          <w:rPr>
            <w:rStyle w:val="Hyperlink"/>
          </w:rPr>
          <w:t>https://doi.org/10.1111/jasp.12561</w:t>
        </w:r>
      </w:hyperlink>
      <w:r w:rsidR="009A43C5">
        <w:rPr>
          <w:rStyle w:val="Hyperlink"/>
        </w:rPr>
        <w:t>.</w:t>
      </w:r>
    </w:p>
    <w:sectPr w:rsidR="00CE3A2C" w:rsidRPr="00387A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D5208" w14:textId="77777777" w:rsidR="00A01AB4" w:rsidRDefault="00A01AB4" w:rsidP="00B03DD7">
      <w:pPr>
        <w:spacing w:after="0" w:line="240" w:lineRule="auto"/>
      </w:pPr>
      <w:r>
        <w:separator/>
      </w:r>
    </w:p>
  </w:endnote>
  <w:endnote w:type="continuationSeparator" w:id="0">
    <w:p w14:paraId="333A5BA9" w14:textId="77777777" w:rsidR="00A01AB4" w:rsidRDefault="00A01AB4" w:rsidP="00B0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033E5" w14:textId="77777777" w:rsidR="00A01AB4" w:rsidRDefault="00A01AB4" w:rsidP="00B03DD7">
      <w:pPr>
        <w:spacing w:after="0" w:line="240" w:lineRule="auto"/>
      </w:pPr>
      <w:r>
        <w:separator/>
      </w:r>
    </w:p>
  </w:footnote>
  <w:footnote w:type="continuationSeparator" w:id="0">
    <w:p w14:paraId="4DC199C6" w14:textId="77777777" w:rsidR="00A01AB4" w:rsidRDefault="00A01AB4" w:rsidP="00B03DD7">
      <w:pPr>
        <w:spacing w:after="0" w:line="240" w:lineRule="auto"/>
      </w:pPr>
      <w:r>
        <w:continuationSeparator/>
      </w:r>
    </w:p>
  </w:footnote>
  <w:footnote w:id="1">
    <w:p w14:paraId="44BC7CB1" w14:textId="59EFDBFA" w:rsidR="00B03DD7" w:rsidRDefault="00B03DD7" w:rsidP="00B03DD7">
      <w:pPr>
        <w:pStyle w:val="FootnoteText"/>
      </w:pPr>
      <w:r>
        <w:rPr>
          <w:rStyle w:val="FootnoteReference"/>
        </w:rPr>
        <w:footnoteRef/>
      </w:r>
      <w:r>
        <w:t xml:space="preserve"> Please correspond with </w:t>
      </w:r>
      <w:r>
        <w:t>Bethan Zalantai</w:t>
      </w:r>
      <w:r>
        <w:t xml:space="preserve"> at: </w:t>
      </w:r>
      <w:r>
        <w:rPr>
          <w:rFonts w:ascii="Segoe UI" w:hAnsi="Segoe UI" w:cs="Segoe UI"/>
          <w:color w:val="424242"/>
          <w:sz w:val="18"/>
          <w:szCs w:val="18"/>
          <w:shd w:val="clear" w:color="auto" w:fill="FFFFFF"/>
        </w:rPr>
        <w:t>b.edwards@iesohealth.com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0F80"/>
    <w:multiLevelType w:val="multilevel"/>
    <w:tmpl w:val="90F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36E7"/>
    <w:multiLevelType w:val="multilevel"/>
    <w:tmpl w:val="1986A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6006E"/>
    <w:multiLevelType w:val="multilevel"/>
    <w:tmpl w:val="38881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C6272"/>
    <w:multiLevelType w:val="multilevel"/>
    <w:tmpl w:val="16168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C636B8"/>
    <w:multiLevelType w:val="multilevel"/>
    <w:tmpl w:val="E7E00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5E"/>
    <w:rsid w:val="00000323"/>
    <w:rsid w:val="00024DB2"/>
    <w:rsid w:val="00040804"/>
    <w:rsid w:val="00050915"/>
    <w:rsid w:val="00066E9B"/>
    <w:rsid w:val="0006706D"/>
    <w:rsid w:val="0007112D"/>
    <w:rsid w:val="000839D4"/>
    <w:rsid w:val="000F3DFA"/>
    <w:rsid w:val="00137653"/>
    <w:rsid w:val="00141B9B"/>
    <w:rsid w:val="0014637A"/>
    <w:rsid w:val="00172E50"/>
    <w:rsid w:val="001B3BA6"/>
    <w:rsid w:val="001B40BF"/>
    <w:rsid w:val="001B4D84"/>
    <w:rsid w:val="002314DA"/>
    <w:rsid w:val="00237EC3"/>
    <w:rsid w:val="00245F32"/>
    <w:rsid w:val="00262F45"/>
    <w:rsid w:val="002930FF"/>
    <w:rsid w:val="002D368F"/>
    <w:rsid w:val="002D55C8"/>
    <w:rsid w:val="002E1CAC"/>
    <w:rsid w:val="002E5C91"/>
    <w:rsid w:val="003205AF"/>
    <w:rsid w:val="003432C1"/>
    <w:rsid w:val="00370F42"/>
    <w:rsid w:val="00383486"/>
    <w:rsid w:val="003940F8"/>
    <w:rsid w:val="00395869"/>
    <w:rsid w:val="003B6907"/>
    <w:rsid w:val="003D2162"/>
    <w:rsid w:val="00403C37"/>
    <w:rsid w:val="00406CBB"/>
    <w:rsid w:val="00412F1C"/>
    <w:rsid w:val="0041360E"/>
    <w:rsid w:val="00441D0C"/>
    <w:rsid w:val="0044291C"/>
    <w:rsid w:val="00477FF2"/>
    <w:rsid w:val="00484BD4"/>
    <w:rsid w:val="00485CE5"/>
    <w:rsid w:val="004C676E"/>
    <w:rsid w:val="00500893"/>
    <w:rsid w:val="00507155"/>
    <w:rsid w:val="00513317"/>
    <w:rsid w:val="00522956"/>
    <w:rsid w:val="00524454"/>
    <w:rsid w:val="00533001"/>
    <w:rsid w:val="005456EF"/>
    <w:rsid w:val="005609D8"/>
    <w:rsid w:val="00595BD6"/>
    <w:rsid w:val="005D4948"/>
    <w:rsid w:val="005D665E"/>
    <w:rsid w:val="006023A2"/>
    <w:rsid w:val="00611FA0"/>
    <w:rsid w:val="00630B3F"/>
    <w:rsid w:val="00665303"/>
    <w:rsid w:val="00674DBF"/>
    <w:rsid w:val="00681264"/>
    <w:rsid w:val="00681B15"/>
    <w:rsid w:val="00690301"/>
    <w:rsid w:val="006A144E"/>
    <w:rsid w:val="006A1758"/>
    <w:rsid w:val="006E76AB"/>
    <w:rsid w:val="00746895"/>
    <w:rsid w:val="00754750"/>
    <w:rsid w:val="007758B5"/>
    <w:rsid w:val="007D0F44"/>
    <w:rsid w:val="007D2ED9"/>
    <w:rsid w:val="007D5DE1"/>
    <w:rsid w:val="00890D75"/>
    <w:rsid w:val="008C2FB2"/>
    <w:rsid w:val="008D1F5D"/>
    <w:rsid w:val="00913268"/>
    <w:rsid w:val="00921584"/>
    <w:rsid w:val="00922B50"/>
    <w:rsid w:val="009473AC"/>
    <w:rsid w:val="00973B94"/>
    <w:rsid w:val="009906F5"/>
    <w:rsid w:val="009918C7"/>
    <w:rsid w:val="0099529A"/>
    <w:rsid w:val="009960D9"/>
    <w:rsid w:val="009A1C20"/>
    <w:rsid w:val="009A43C5"/>
    <w:rsid w:val="009B4709"/>
    <w:rsid w:val="009F7114"/>
    <w:rsid w:val="00A01AB4"/>
    <w:rsid w:val="00A41552"/>
    <w:rsid w:val="00A435A1"/>
    <w:rsid w:val="00A5636F"/>
    <w:rsid w:val="00A60677"/>
    <w:rsid w:val="00AD1FF7"/>
    <w:rsid w:val="00AF796B"/>
    <w:rsid w:val="00B03DD7"/>
    <w:rsid w:val="00B36555"/>
    <w:rsid w:val="00B411B9"/>
    <w:rsid w:val="00B4697B"/>
    <w:rsid w:val="00BD1930"/>
    <w:rsid w:val="00BF1FA1"/>
    <w:rsid w:val="00C0063C"/>
    <w:rsid w:val="00C269C7"/>
    <w:rsid w:val="00C301DA"/>
    <w:rsid w:val="00C36A6E"/>
    <w:rsid w:val="00C90FE9"/>
    <w:rsid w:val="00C97547"/>
    <w:rsid w:val="00CA7167"/>
    <w:rsid w:val="00CB3E8B"/>
    <w:rsid w:val="00CC30AF"/>
    <w:rsid w:val="00CC795C"/>
    <w:rsid w:val="00CE3A2C"/>
    <w:rsid w:val="00D20B42"/>
    <w:rsid w:val="00D44142"/>
    <w:rsid w:val="00D708C4"/>
    <w:rsid w:val="00DF4657"/>
    <w:rsid w:val="00E31273"/>
    <w:rsid w:val="00EC7706"/>
    <w:rsid w:val="00F11A26"/>
    <w:rsid w:val="00F43679"/>
    <w:rsid w:val="00F50F02"/>
    <w:rsid w:val="00F551B1"/>
    <w:rsid w:val="00F658B5"/>
    <w:rsid w:val="00F959C3"/>
    <w:rsid w:val="00FA47A1"/>
    <w:rsid w:val="00FC5D0C"/>
    <w:rsid w:val="00FD0AD5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FF4F"/>
  <w15:docId w15:val="{8B8116AF-DF7E-48D4-8207-9D2D07A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FA"/>
  </w:style>
  <w:style w:type="paragraph" w:styleId="Heading1">
    <w:name w:val="heading 1"/>
    <w:basedOn w:val="Normal"/>
    <w:next w:val="Normal"/>
    <w:link w:val="Heading1Char"/>
    <w:uiPriority w:val="9"/>
    <w:qFormat/>
    <w:rsid w:val="000F3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D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D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D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D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D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99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3D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D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DF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D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D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3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F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F3DF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F3DFA"/>
    <w:rPr>
      <w:b/>
      <w:bCs/>
    </w:rPr>
  </w:style>
  <w:style w:type="character" w:styleId="Emphasis">
    <w:name w:val="Emphasis"/>
    <w:basedOn w:val="DefaultParagraphFont"/>
    <w:uiPriority w:val="20"/>
    <w:qFormat/>
    <w:rsid w:val="000F3DFA"/>
    <w:rPr>
      <w:i/>
      <w:iCs/>
    </w:rPr>
  </w:style>
  <w:style w:type="paragraph" w:styleId="NoSpacing">
    <w:name w:val="No Spacing"/>
    <w:uiPriority w:val="1"/>
    <w:qFormat/>
    <w:rsid w:val="000F3D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3D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DF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D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DFA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F3D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3DF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F3DF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F3DF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F3DF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DF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F3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A2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0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3DD7"/>
  </w:style>
  <w:style w:type="character" w:customStyle="1" w:styleId="eop">
    <w:name w:val="eop"/>
    <w:basedOn w:val="DefaultParagraphFont"/>
    <w:rsid w:val="00B03DD7"/>
  </w:style>
  <w:style w:type="paragraph" w:styleId="FootnoteText">
    <w:name w:val="footnote text"/>
    <w:basedOn w:val="Normal"/>
    <w:link w:val="FootnoteTextChar"/>
    <w:uiPriority w:val="99"/>
    <w:semiHidden/>
    <w:unhideWhenUsed/>
    <w:rsid w:val="00B03DD7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DD7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3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91/1478088706qp063oa" TargetMode="External"/><Relationship Id="rId13" Type="http://schemas.openxmlformats.org/officeDocument/2006/relationships/hyperlink" Target="https://doi.org/10.1016/j.puhe.2013.05.0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%2F17579139198361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jasp.125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5750/ejpch.v7i3.17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scotland.scot/media/1719/5776-affectomter-wemwbs-final-report.pdf" TargetMode="External"/><Relationship Id="rId10" Type="http://schemas.openxmlformats.org/officeDocument/2006/relationships/hyperlink" Target="https://doi.org/10.1177/1757913920913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eurpub/cky021" TargetMode="External"/><Relationship Id="rId14" Type="http://schemas.openxmlformats.org/officeDocument/2006/relationships/hyperlink" Target="https://doi.org/10.1093/pubmed/fdz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3BE-AA06-42AA-B49B-0C5383FB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Nicola Holt</cp:lastModifiedBy>
  <cp:revision>10</cp:revision>
  <dcterms:created xsi:type="dcterms:W3CDTF">2021-01-15T11:26:00Z</dcterms:created>
  <dcterms:modified xsi:type="dcterms:W3CDTF">2021-03-29T13:50:00Z</dcterms:modified>
</cp:coreProperties>
</file>