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BC0D" w14:textId="77777777" w:rsidR="0045327E" w:rsidRPr="00ED60A7" w:rsidRDefault="00AF70B5" w:rsidP="0045327E">
      <w:pPr>
        <w:pStyle w:val="ewic-Title"/>
      </w:pPr>
      <w:r w:rsidRPr="00AF70B5">
        <w:t xml:space="preserve">The </w:t>
      </w:r>
      <w:r>
        <w:t>C</w:t>
      </w:r>
      <w:r w:rsidRPr="00AF70B5">
        <w:t xml:space="preserve">raftsperson, </w:t>
      </w:r>
      <w:r>
        <w:t>T</w:t>
      </w:r>
      <w:r w:rsidRPr="00AF70B5">
        <w:t xml:space="preserve">acit </w:t>
      </w:r>
      <w:r>
        <w:t>K</w:t>
      </w:r>
      <w:r w:rsidRPr="00AF70B5">
        <w:t xml:space="preserve">nowledge and </w:t>
      </w:r>
      <w:r>
        <w:t>D</w:t>
      </w:r>
      <w:r w:rsidRPr="00AF70B5">
        <w:t xml:space="preserve">igital </w:t>
      </w:r>
      <w:r>
        <w:t>E</w:t>
      </w:r>
      <w:r w:rsidRPr="00AF70B5">
        <w:t>mbodiment</w:t>
      </w:r>
    </w:p>
    <w:tbl>
      <w:tblPr>
        <w:tblW w:w="5000" w:type="pct"/>
        <w:tblLook w:val="04A0" w:firstRow="1" w:lastRow="0" w:firstColumn="1" w:lastColumn="0" w:noHBand="0" w:noVBand="1"/>
      </w:tblPr>
      <w:tblGrid>
        <w:gridCol w:w="3288"/>
        <w:gridCol w:w="3289"/>
        <w:gridCol w:w="3287"/>
      </w:tblGrid>
      <w:tr w:rsidR="0045327E" w:rsidRPr="0009371F" w14:paraId="43F0A228" w14:textId="77777777" w:rsidTr="00AF70B5">
        <w:tc>
          <w:tcPr>
            <w:tcW w:w="1667" w:type="pct"/>
            <w:shd w:val="clear" w:color="auto" w:fill="auto"/>
          </w:tcPr>
          <w:p w14:paraId="5EA116FD" w14:textId="77777777" w:rsidR="0045327E" w:rsidRPr="0009371F" w:rsidRDefault="00AF70B5" w:rsidP="00887698">
            <w:pPr>
              <w:pStyle w:val="ewic-Authorname"/>
            </w:pPr>
            <w:r>
              <w:t>Carinna Parraman</w:t>
            </w:r>
            <w:r w:rsidR="000E561F">
              <w:t xml:space="preserve"> </w:t>
            </w:r>
          </w:p>
        </w:tc>
        <w:tc>
          <w:tcPr>
            <w:tcW w:w="1667" w:type="pct"/>
            <w:shd w:val="clear" w:color="auto" w:fill="auto"/>
          </w:tcPr>
          <w:p w14:paraId="64FBC0B3" w14:textId="77777777" w:rsidR="0045327E" w:rsidRPr="0009371F" w:rsidRDefault="00AF70B5" w:rsidP="00887698">
            <w:pPr>
              <w:pStyle w:val="ewic-Authorname"/>
            </w:pPr>
            <w:r>
              <w:t>Fabio D’Agnano</w:t>
            </w:r>
            <w:r w:rsidR="000E561F">
              <w:t xml:space="preserve"> </w:t>
            </w:r>
          </w:p>
        </w:tc>
        <w:tc>
          <w:tcPr>
            <w:tcW w:w="1666" w:type="pct"/>
            <w:shd w:val="clear" w:color="auto" w:fill="auto"/>
          </w:tcPr>
          <w:p w14:paraId="291C763C" w14:textId="77777777" w:rsidR="0045327E" w:rsidRPr="0009371F" w:rsidRDefault="00AF70B5" w:rsidP="00887698">
            <w:pPr>
              <w:pStyle w:val="ewic-Authorname"/>
            </w:pPr>
            <w:r>
              <w:t>Wuon-Gean Ho</w:t>
            </w:r>
          </w:p>
        </w:tc>
      </w:tr>
      <w:tr w:rsidR="00AF70B5" w:rsidRPr="0009371F" w14:paraId="03727D57" w14:textId="77777777" w:rsidTr="00AF70B5">
        <w:tc>
          <w:tcPr>
            <w:tcW w:w="1667" w:type="pct"/>
            <w:shd w:val="clear" w:color="auto" w:fill="auto"/>
          </w:tcPr>
          <w:p w14:paraId="0189A184" w14:textId="77777777" w:rsidR="00AF70B5" w:rsidRPr="0009371F" w:rsidRDefault="00AF70B5" w:rsidP="00AF70B5">
            <w:pPr>
              <w:pStyle w:val="ewic-Address"/>
            </w:pPr>
            <w:r>
              <w:t>Centre for Fine Print Research</w:t>
            </w:r>
          </w:p>
        </w:tc>
        <w:tc>
          <w:tcPr>
            <w:tcW w:w="1667" w:type="pct"/>
            <w:shd w:val="clear" w:color="auto" w:fill="auto"/>
          </w:tcPr>
          <w:p w14:paraId="1805F549" w14:textId="77777777" w:rsidR="00AF70B5" w:rsidRPr="0009371F" w:rsidRDefault="00AF70B5" w:rsidP="00AF70B5">
            <w:pPr>
              <w:pStyle w:val="ewic-Address"/>
            </w:pPr>
            <w:r>
              <w:t>Centre for Fine Print Research</w:t>
            </w:r>
          </w:p>
        </w:tc>
        <w:tc>
          <w:tcPr>
            <w:tcW w:w="1666" w:type="pct"/>
            <w:shd w:val="clear" w:color="auto" w:fill="auto"/>
          </w:tcPr>
          <w:p w14:paraId="379FAB11" w14:textId="77777777" w:rsidR="00AF70B5" w:rsidRPr="0009371F" w:rsidRDefault="00AF70B5" w:rsidP="00AF70B5">
            <w:pPr>
              <w:pStyle w:val="ewic-Address"/>
            </w:pPr>
            <w:r>
              <w:t>Centre for Fine Print Research</w:t>
            </w:r>
          </w:p>
        </w:tc>
      </w:tr>
      <w:tr w:rsidR="00AF70B5" w:rsidRPr="00902EC0" w14:paraId="21176FBF" w14:textId="77777777" w:rsidTr="00AF70B5">
        <w:tc>
          <w:tcPr>
            <w:tcW w:w="1667" w:type="pct"/>
            <w:shd w:val="clear" w:color="auto" w:fill="auto"/>
          </w:tcPr>
          <w:p w14:paraId="5A3F196B" w14:textId="77777777" w:rsidR="00AF70B5" w:rsidRPr="0009371F" w:rsidRDefault="00AF70B5" w:rsidP="00AF70B5">
            <w:pPr>
              <w:pStyle w:val="ewic-Address"/>
            </w:pPr>
            <w:r>
              <w:t>University of the West of England, Bristol</w:t>
            </w:r>
          </w:p>
        </w:tc>
        <w:tc>
          <w:tcPr>
            <w:tcW w:w="1667" w:type="pct"/>
            <w:shd w:val="clear" w:color="auto" w:fill="auto"/>
          </w:tcPr>
          <w:p w14:paraId="41BEFB28" w14:textId="77777777" w:rsidR="00AF70B5" w:rsidRPr="0009371F" w:rsidRDefault="00AF70B5" w:rsidP="00AF70B5">
            <w:pPr>
              <w:pStyle w:val="ewic-Address"/>
            </w:pPr>
            <w:r>
              <w:t>University of the West of England, Bristol</w:t>
            </w:r>
          </w:p>
        </w:tc>
        <w:tc>
          <w:tcPr>
            <w:tcW w:w="1666" w:type="pct"/>
            <w:shd w:val="clear" w:color="auto" w:fill="auto"/>
          </w:tcPr>
          <w:p w14:paraId="56B60CD7" w14:textId="77777777" w:rsidR="00AF70B5" w:rsidRPr="0009371F" w:rsidRDefault="00AF70B5" w:rsidP="00AF70B5">
            <w:pPr>
              <w:pStyle w:val="ewic-Address"/>
            </w:pPr>
            <w:r>
              <w:t>University of the West of England, Bristol</w:t>
            </w:r>
          </w:p>
        </w:tc>
      </w:tr>
      <w:tr w:rsidR="0045327E" w:rsidRPr="00BC700F" w14:paraId="1805A020" w14:textId="77777777" w:rsidTr="00AF70B5">
        <w:tc>
          <w:tcPr>
            <w:tcW w:w="1667" w:type="pct"/>
            <w:shd w:val="clear" w:color="auto" w:fill="auto"/>
          </w:tcPr>
          <w:p w14:paraId="1B26AB7C" w14:textId="77777777" w:rsidR="0045327E" w:rsidRPr="0009371F" w:rsidRDefault="00AF70B5" w:rsidP="00887698">
            <w:pPr>
              <w:pStyle w:val="ewic-Emailaddress"/>
            </w:pPr>
            <w:r>
              <w:t>Carinna.Parraman@uwe.ac.uk</w:t>
            </w:r>
          </w:p>
        </w:tc>
        <w:tc>
          <w:tcPr>
            <w:tcW w:w="1667" w:type="pct"/>
            <w:shd w:val="clear" w:color="auto" w:fill="auto"/>
          </w:tcPr>
          <w:p w14:paraId="358D7742" w14:textId="77777777" w:rsidR="0045327E" w:rsidRPr="0009371F" w:rsidRDefault="00AF70B5" w:rsidP="00887698">
            <w:pPr>
              <w:pStyle w:val="ewic-Emailaddress"/>
            </w:pPr>
            <w:r>
              <w:t>Fabio.DAgnano@uwe.ac.uk</w:t>
            </w:r>
          </w:p>
        </w:tc>
        <w:tc>
          <w:tcPr>
            <w:tcW w:w="1666" w:type="pct"/>
            <w:shd w:val="clear" w:color="auto" w:fill="auto"/>
          </w:tcPr>
          <w:p w14:paraId="0F24F632" w14:textId="77777777" w:rsidR="0045327E" w:rsidRPr="0009371F" w:rsidRDefault="00AF70B5" w:rsidP="00887698">
            <w:pPr>
              <w:pStyle w:val="ewic-Emailaddress"/>
            </w:pPr>
            <w:r w:rsidRPr="00AF70B5">
              <w:t>Wuon-</w:t>
            </w:r>
            <w:r w:rsidR="00B47C09">
              <w:t>G</w:t>
            </w:r>
            <w:r w:rsidRPr="00AF70B5">
              <w:t>ean.Ho@uwe.ac.uk</w:t>
            </w:r>
          </w:p>
        </w:tc>
      </w:tr>
    </w:tbl>
    <w:p w14:paraId="2ADCBBCD" w14:textId="77777777" w:rsidR="006F2FF6" w:rsidRDefault="006F2FF6" w:rsidP="004662BC">
      <w:pPr>
        <w:pStyle w:val="ewic-Heading1"/>
        <w:sectPr w:rsidR="006F2FF6"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14:paraId="711D6895" w14:textId="77777777" w:rsidR="00F32339" w:rsidRPr="00793D83" w:rsidRDefault="00F32339" w:rsidP="00793D83">
      <w:pPr>
        <w:pStyle w:val="ewic-Introduction"/>
      </w:pPr>
      <w:r w:rsidRPr="00793D83">
        <w:t>1. I</w:t>
      </w:r>
      <w:r w:rsidR="0034262B" w:rsidRPr="00793D83">
        <w:t>ntroduction</w:t>
      </w:r>
    </w:p>
    <w:p w14:paraId="1042166A" w14:textId="77777777" w:rsidR="00AF70B5" w:rsidRPr="00350B18" w:rsidRDefault="00AF70B5" w:rsidP="00350B18">
      <w:pPr>
        <w:pStyle w:val="ewic-Bodytext"/>
      </w:pPr>
      <w:r w:rsidRPr="00350B18">
        <w:t>We are increasingly living in a world of digital interfaces</w:t>
      </w:r>
      <w:r w:rsidR="00B769DF" w:rsidRPr="00350B18">
        <w:t>:</w:t>
      </w:r>
      <w:r w:rsidRPr="00350B18">
        <w:t xml:space="preserve"> </w:t>
      </w:r>
      <w:r w:rsidR="00B769DF" w:rsidRPr="00350B18">
        <w:t>touch</w:t>
      </w:r>
      <w:r w:rsidRPr="00350B18">
        <w:t>screens</w:t>
      </w:r>
      <w:r w:rsidR="00B769DF" w:rsidRPr="00350B18">
        <w:t xml:space="preserve"> in our pockets</w:t>
      </w:r>
      <w:r w:rsidR="00AC7820" w:rsidRPr="00350B18">
        <w:t xml:space="preserve"> and</w:t>
      </w:r>
      <w:r w:rsidR="00B769DF" w:rsidRPr="00350B18">
        <w:t xml:space="preserve"> </w:t>
      </w:r>
      <w:r w:rsidR="00B47C09" w:rsidRPr="00350B18">
        <w:t>technology at home</w:t>
      </w:r>
      <w:r w:rsidRPr="00350B18">
        <w:t>. Comput</w:t>
      </w:r>
      <w:r w:rsidR="00B769DF" w:rsidRPr="00350B18">
        <w:t>ing</w:t>
      </w:r>
      <w:r w:rsidRPr="00350B18">
        <w:t xml:space="preserve">, robotics and AI are beginning to establish alternative </w:t>
      </w:r>
      <w:r w:rsidR="00B47C09" w:rsidRPr="00350B18">
        <w:t>approaches to</w:t>
      </w:r>
      <w:r w:rsidRPr="00350B18">
        <w:t xml:space="preserve"> creative expression.</w:t>
      </w:r>
      <w:r w:rsidR="00B769DF" w:rsidRPr="00350B18">
        <w:t xml:space="preserve"> </w:t>
      </w:r>
      <w:r w:rsidRPr="00350B18">
        <w:t xml:space="preserve">However, these machines still </w:t>
      </w:r>
      <w:r w:rsidR="00B769DF" w:rsidRPr="00350B18">
        <w:t xml:space="preserve">fall short </w:t>
      </w:r>
      <w:r w:rsidRPr="00350B18">
        <w:t>at complex and fine motor tasks</w:t>
      </w:r>
      <w:r w:rsidR="00DE16C9" w:rsidRPr="00350B18">
        <w:t>.</w:t>
      </w:r>
      <w:r w:rsidRPr="00350B18">
        <w:t xml:space="preserve"> </w:t>
      </w:r>
      <w:r w:rsidR="00DE16C9" w:rsidRPr="00350B18">
        <w:t>C</w:t>
      </w:r>
      <w:r w:rsidR="00B47C09" w:rsidRPr="00350B18">
        <w:t>an they perform</w:t>
      </w:r>
      <w:r w:rsidRPr="00350B18">
        <w:t xml:space="preserve"> a surgical manoeuvre, throw a pot, weave a garment, or check the safety of food</w:t>
      </w:r>
      <w:r w:rsidR="00B47C09" w:rsidRPr="00350B18">
        <w:t>?</w:t>
      </w:r>
      <w:r w:rsidRPr="00350B18">
        <w:t xml:space="preserve"> Of course, machines </w:t>
      </w:r>
      <w:r w:rsidR="00B47C09" w:rsidRPr="00350B18">
        <w:t>have automation</w:t>
      </w:r>
      <w:r w:rsidR="005F2599" w:rsidRPr="00350B18">
        <w:t xml:space="preserve">, </w:t>
      </w:r>
      <w:proofErr w:type="spellStart"/>
      <w:r w:rsidR="005F2599" w:rsidRPr="00350B18">
        <w:t>scaleability</w:t>
      </w:r>
      <w:proofErr w:type="spellEnd"/>
      <w:r w:rsidR="00B47C09" w:rsidRPr="00350B18">
        <w:t xml:space="preserve"> and tirelessness on their side, but the creative input is still up to the </w:t>
      </w:r>
      <w:r w:rsidRPr="00350B18">
        <w:t>artist as author</w:t>
      </w:r>
      <w:r w:rsidR="00B47C09" w:rsidRPr="00350B18">
        <w:t>.</w:t>
      </w:r>
      <w:r w:rsidRPr="00350B18">
        <w:t xml:space="preserve"> </w:t>
      </w:r>
    </w:p>
    <w:p w14:paraId="5262A4C4" w14:textId="77777777" w:rsidR="00AF70B5" w:rsidRPr="002669DB" w:rsidRDefault="00793D83" w:rsidP="00377416">
      <w:pPr>
        <w:pStyle w:val="ewic-Heading2"/>
      </w:pPr>
      <w:r>
        <w:t>1.1</w:t>
      </w:r>
      <w:r w:rsidR="004662BC" w:rsidRPr="00AF70B5">
        <w:t xml:space="preserve"> </w:t>
      </w:r>
      <w:r w:rsidR="005F2599">
        <w:t>Crafts</w:t>
      </w:r>
      <w:r w:rsidR="003E6A8D">
        <w:t xml:space="preserve"> Skills</w:t>
      </w:r>
    </w:p>
    <w:p w14:paraId="2D57DF40" w14:textId="4B4C7AFC" w:rsidR="005F2599" w:rsidRPr="00350B18" w:rsidRDefault="00AF70B5" w:rsidP="00350B18">
      <w:pPr>
        <w:pStyle w:val="ewic-Bodytext"/>
      </w:pPr>
      <w:r w:rsidRPr="00350B18">
        <w:t xml:space="preserve">Over the last century, craft has evolved as </w:t>
      </w:r>
      <w:r w:rsidR="00A854CB">
        <w:t>way of</w:t>
      </w:r>
      <w:r w:rsidRPr="00350B18">
        <w:t xml:space="preserve"> making things. </w:t>
      </w:r>
      <w:r w:rsidR="00366E34" w:rsidRPr="00350B18">
        <w:t xml:space="preserve">Sennett draws a compelling picture of craftsmanship as an attitude to material culture spanning a range of professions from lab technicians to goldsmiths. “Craftsmanship names an enduring, basic human impulse, the desire to do a job well for its own sake” </w:t>
      </w:r>
      <w:r w:rsidR="00DE16C9" w:rsidRPr="00350B18">
        <w:t>[1]</w:t>
      </w:r>
      <w:r w:rsidR="00366E34" w:rsidRPr="00350B18">
        <w:t xml:space="preserve">. </w:t>
      </w:r>
      <w:r w:rsidRPr="00350B18">
        <w:t>Craft is an important bridge between art, design and industrial design</w:t>
      </w:r>
      <w:r w:rsidR="00A71261" w:rsidRPr="00350B18">
        <w:t xml:space="preserve">; </w:t>
      </w:r>
      <w:proofErr w:type="gramStart"/>
      <w:r w:rsidR="00A71261" w:rsidRPr="00350B18">
        <w:t>indeed</w:t>
      </w:r>
      <w:proofErr w:type="gramEnd"/>
      <w:r w:rsidR="00A71261" w:rsidRPr="00350B18">
        <w:t xml:space="preserve"> it </w:t>
      </w:r>
      <w:r w:rsidRPr="00350B18">
        <w:t xml:space="preserve">is the foundation for today’s high-quality construction, printing and fabrication methods. </w:t>
      </w:r>
    </w:p>
    <w:p w14:paraId="1F1C713E" w14:textId="77777777" w:rsidR="001C7C49" w:rsidRPr="002669DB" w:rsidRDefault="00793D83" w:rsidP="00377416">
      <w:pPr>
        <w:pStyle w:val="ewic-Heading2"/>
      </w:pPr>
      <w:r>
        <w:t>1.2</w:t>
      </w:r>
      <w:r w:rsidR="001C7C49" w:rsidRPr="002669DB">
        <w:t>. Tacit Knowledge</w:t>
      </w:r>
    </w:p>
    <w:p w14:paraId="21312CF2" w14:textId="77777777" w:rsidR="009C68C3" w:rsidRPr="00350B18" w:rsidRDefault="005F2599" w:rsidP="00A67D10">
      <w:pPr>
        <w:pStyle w:val="ewic-Bodytext"/>
      </w:pPr>
      <w:r w:rsidRPr="00350B18">
        <w:t xml:space="preserve">Many traditional crafts skills involve the development of tacit knowledge, which is </w:t>
      </w:r>
      <w:r w:rsidR="009C68C3" w:rsidRPr="00350B18">
        <w:t xml:space="preserve">usually best </w:t>
      </w:r>
      <w:r w:rsidRPr="00350B18">
        <w:t>gained through direct learning. Commonly, apprentices begin with observation, continue with repetition, develop autonomy, and finally achieve mastery. Tacit knowledge can be seen as an internal reference library that trains senses, buil</w:t>
      </w:r>
      <w:r w:rsidR="00CB3862" w:rsidRPr="00350B18">
        <w:t>ds</w:t>
      </w:r>
      <w:r w:rsidRPr="00350B18">
        <w:t xml:space="preserve"> muscular coordination and a complex understanding of materials. </w:t>
      </w:r>
    </w:p>
    <w:p w14:paraId="7695F616" w14:textId="77777777" w:rsidR="009C1754" w:rsidRPr="002669DB" w:rsidRDefault="00793D83" w:rsidP="002B7560">
      <w:pPr>
        <w:pStyle w:val="ewic-Heading1"/>
      </w:pPr>
      <w:r>
        <w:t>2</w:t>
      </w:r>
      <w:r w:rsidR="009C1754" w:rsidRPr="00E86B31">
        <w:t>. EUREKA MOMENTS</w:t>
      </w:r>
    </w:p>
    <w:p w14:paraId="720E9057" w14:textId="5016FA40" w:rsidR="00272FDD" w:rsidRDefault="00CF46C4" w:rsidP="00272FDD">
      <w:pPr>
        <w:pStyle w:val="ewic-Bodytext"/>
      </w:pPr>
      <w:r w:rsidRPr="002669DB">
        <w:t xml:space="preserve">Paquette </w:t>
      </w:r>
      <w:r w:rsidR="008457E0" w:rsidRPr="002669DB">
        <w:t xml:space="preserve">[2] </w:t>
      </w:r>
      <w:r w:rsidR="00C0101E" w:rsidRPr="002669DB">
        <w:t xml:space="preserve">talks about how some learners progress much faster than others in developing </w:t>
      </w:r>
      <w:r w:rsidR="00C0101E" w:rsidRPr="002669DB">
        <w:t xml:space="preserve">tacit knowledge because of sudden comprehension of threshold concepts, or eureka moments. </w:t>
      </w:r>
      <w:r w:rsidR="00A67D10" w:rsidRPr="002669DB">
        <w:t xml:space="preserve">The following section explores the </w:t>
      </w:r>
      <w:r w:rsidR="00C0101E" w:rsidRPr="002669DB">
        <w:t>things</w:t>
      </w:r>
      <w:r w:rsidR="009C1754" w:rsidRPr="002669DB">
        <w:t xml:space="preserve"> that may </w:t>
      </w:r>
      <w:r w:rsidR="00C0101E" w:rsidRPr="002669DB">
        <w:t>prompt</w:t>
      </w:r>
      <w:r w:rsidR="009C1754" w:rsidRPr="002669DB">
        <w:t xml:space="preserve"> tacit knowledge to develop</w:t>
      </w:r>
      <w:r w:rsidR="003F7216" w:rsidRPr="002669DB">
        <w:t xml:space="preserve"> in this way</w:t>
      </w:r>
      <w:r w:rsidR="009C1754" w:rsidRPr="002669DB">
        <w:t xml:space="preserve">. </w:t>
      </w:r>
      <w:r w:rsidRPr="002669DB">
        <w:t xml:space="preserve">For example, when we look at a material, we engage different perceptions to evaluate it (sight, touch, sound, smell, pressure, feel). </w:t>
      </w:r>
      <w:proofErr w:type="spellStart"/>
      <w:r w:rsidR="00137BB8">
        <w:t>Batcho</w:t>
      </w:r>
      <w:proofErr w:type="spellEnd"/>
      <w:r w:rsidR="00137BB8">
        <w:t xml:space="preserve"> et al. concur. </w:t>
      </w:r>
      <w:r w:rsidR="003E6A8D" w:rsidRPr="002669DB">
        <w:t xml:space="preserve">‘When subjects learn a novel motor task, several sources of feedback (proprioceptive, visual or auditory) contribute to the performance.’ </w:t>
      </w:r>
      <w:r w:rsidR="003E6A8D">
        <w:t>[3].</w:t>
      </w:r>
      <w:r w:rsidR="003E6A8D" w:rsidRPr="002669DB">
        <w:t xml:space="preserve"> </w:t>
      </w:r>
    </w:p>
    <w:p w14:paraId="33C45E9B" w14:textId="77777777" w:rsidR="001C7C49" w:rsidRPr="00377416" w:rsidRDefault="00793D83" w:rsidP="00377416">
      <w:pPr>
        <w:pStyle w:val="ewic-Heading2"/>
      </w:pPr>
      <w:r>
        <w:t>2.1</w:t>
      </w:r>
      <w:r w:rsidR="001C7C49" w:rsidRPr="00377416">
        <w:t xml:space="preserve">. </w:t>
      </w:r>
      <w:r w:rsidR="00377416" w:rsidRPr="00377416">
        <w:t xml:space="preserve">Constructed </w:t>
      </w:r>
      <w:r w:rsidR="00377416">
        <w:t>S</w:t>
      </w:r>
      <w:r w:rsidR="00377416" w:rsidRPr="00377416">
        <w:t xml:space="preserve">ound </w:t>
      </w:r>
    </w:p>
    <w:p w14:paraId="0F6E23AC" w14:textId="77777777" w:rsidR="00350B18" w:rsidRDefault="003E6A8D" w:rsidP="00350B18">
      <w:pPr>
        <w:pStyle w:val="ewic-Bodytext"/>
      </w:pPr>
      <w:r w:rsidRPr="00E86B31">
        <w:t xml:space="preserve">Complex tasks (defined as something which cannot be mastered in a single session) </w:t>
      </w:r>
      <w:r w:rsidR="001B22BE">
        <w:t>often rely on multimodal approach to learning</w:t>
      </w:r>
      <w:r w:rsidR="002669DB">
        <w:t xml:space="preserve"> [4].</w:t>
      </w:r>
      <w:r w:rsidR="001B22BE">
        <w:t xml:space="preserve"> Can amplifying the sound of the task </w:t>
      </w:r>
      <w:r w:rsidR="00827B67">
        <w:t>help</w:t>
      </w:r>
      <w:r w:rsidR="001B22BE">
        <w:t xml:space="preserve"> increase haptic understanding?</w:t>
      </w:r>
    </w:p>
    <w:p w14:paraId="0F5B3C47" w14:textId="77777777" w:rsidR="00350B18" w:rsidRDefault="00350B18" w:rsidP="00350B18">
      <w:pPr>
        <w:pStyle w:val="ewic-Bodytext"/>
      </w:pPr>
    </w:p>
    <w:p w14:paraId="3A242B83" w14:textId="77777777" w:rsidR="00350B18" w:rsidRDefault="00A54E9B" w:rsidP="00350B18">
      <w:pPr>
        <w:pStyle w:val="ewic-Bodytext"/>
      </w:pPr>
      <w:r>
        <w:t>According to Sternberg’s definition, tacit knowledge is necessarily personal and requires individual learners to realise what does not work as well as what does.</w:t>
      </w:r>
      <w:r w:rsidR="00C67449">
        <w:t xml:space="preserve"> [5] </w:t>
      </w:r>
      <w:r w:rsidR="002669DB">
        <w:t>Learners are often challenged by watching experts</w:t>
      </w:r>
      <w:r w:rsidR="00C67449">
        <w:t xml:space="preserve"> in time-based media</w:t>
      </w:r>
      <w:r w:rsidR="002669DB">
        <w:t xml:space="preserve">, as the apparently seamless display of skill does not allow for </w:t>
      </w:r>
      <w:r w:rsidR="00C67449">
        <w:t xml:space="preserve">an </w:t>
      </w:r>
      <w:r w:rsidR="00137BB8">
        <w:t>understanding</w:t>
      </w:r>
      <w:r w:rsidR="00C67449">
        <w:t xml:space="preserve"> of the nuances of</w:t>
      </w:r>
      <w:r w:rsidR="002669DB">
        <w:t xml:space="preserve"> the procedure</w:t>
      </w:r>
      <w:r w:rsidR="00B578AD">
        <w:t xml:space="preserve"> [</w:t>
      </w:r>
      <w:r w:rsidR="00C67449">
        <w:t>6</w:t>
      </w:r>
      <w:r w:rsidR="00B578AD">
        <w:t>].</w:t>
      </w:r>
      <w:r w:rsidR="00350B18" w:rsidRPr="00350B18">
        <w:t xml:space="preserve"> </w:t>
      </w:r>
    </w:p>
    <w:p w14:paraId="18A61184" w14:textId="77777777" w:rsidR="008279E3" w:rsidRDefault="008279E3" w:rsidP="008279E3">
      <w:pPr>
        <w:rPr>
          <w:rFonts w:ascii="Arial" w:hAnsi="Arial" w:cs="Arial"/>
        </w:rPr>
      </w:pPr>
    </w:p>
    <w:p w14:paraId="35FAAF06" w14:textId="77777777" w:rsidR="00272FDD" w:rsidRPr="002B7560" w:rsidRDefault="00BB38C6" w:rsidP="00E86B31">
      <w:pPr>
        <w:rPr>
          <w:rFonts w:ascii="Arial" w:hAnsi="Arial" w:cs="Arial"/>
        </w:rPr>
      </w:pPr>
      <w:r w:rsidRPr="002022F4">
        <w:rPr>
          <w:noProof/>
          <w:sz w:val="22"/>
          <w:szCs w:val="22"/>
        </w:rPr>
        <w:drawing>
          <wp:inline distT="0" distB="0" distL="0" distR="0" wp14:anchorId="19CCCA9F" wp14:editId="6085E2F1">
            <wp:extent cx="2906395" cy="1819910"/>
            <wp:effectExtent l="0" t="0" r="0" b="0"/>
            <wp:docPr id="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6395" cy="1819910"/>
                    </a:xfrm>
                    <a:prstGeom prst="rect">
                      <a:avLst/>
                    </a:prstGeom>
                    <a:noFill/>
                    <a:ln>
                      <a:noFill/>
                    </a:ln>
                  </pic:spPr>
                </pic:pic>
              </a:graphicData>
            </a:graphic>
          </wp:inline>
        </w:drawing>
      </w:r>
    </w:p>
    <w:p w14:paraId="6D194A40" w14:textId="77777777" w:rsidR="001B22BE" w:rsidRDefault="00272FDD" w:rsidP="002B7560">
      <w:pPr>
        <w:pStyle w:val="ewic-Legends"/>
        <w:rPr>
          <w:lang w:val="en"/>
        </w:rPr>
      </w:pPr>
      <w:r w:rsidRPr="002B7560">
        <w:rPr>
          <w:b/>
          <w:bCs w:val="0"/>
        </w:rPr>
        <w:t>Figure 1:</w:t>
      </w:r>
      <w:r w:rsidRPr="00272FDD">
        <w:t xml:space="preserve"> </w:t>
      </w:r>
      <w:r w:rsidRPr="00272FDD">
        <w:rPr>
          <w:lang w:val="en"/>
        </w:rPr>
        <w:t>Still frame from “Three Observations”</w:t>
      </w:r>
      <w:r w:rsidR="002B7560">
        <w:rPr>
          <w:lang w:val="en"/>
        </w:rPr>
        <w:t xml:space="preserve"> </w:t>
      </w:r>
      <w:r>
        <w:rPr>
          <w:lang w:val="en"/>
        </w:rPr>
        <w:t>by Wuon-Gean Ho. Research Film (2020)</w:t>
      </w:r>
      <w:r w:rsidRPr="00272FDD">
        <w:rPr>
          <w:lang w:val="en"/>
        </w:rPr>
        <w:t xml:space="preserve"> at 1:56</w:t>
      </w:r>
    </w:p>
    <w:p w14:paraId="7E42679E" w14:textId="77777777" w:rsidR="00350B18" w:rsidRPr="00350B18" w:rsidRDefault="00350B18" w:rsidP="00350B18">
      <w:pPr>
        <w:pStyle w:val="ewic-Bodytext"/>
      </w:pPr>
      <w:r>
        <w:lastRenderedPageBreak/>
        <w:t>Real-time and slow-motion footage was taken of a task which is usually performed in Japanese woodblock printing. The slow-motion footage has sound which is pitched too low for affectively natural comprehension. Real-time sound was cut, spliced and layered (see figure 1) in order to create a waveform approximation with longer duration to fit the slow-motion footage. The resulting combination of slower footage and naturally pitched sound allow learners to try to mimic the sounds heard. The aim is for a deeper understanding of tacit skills.</w:t>
      </w:r>
    </w:p>
    <w:p w14:paraId="548E07AB" w14:textId="77777777" w:rsidR="001C7C49" w:rsidRPr="00793D83" w:rsidRDefault="00793D83" w:rsidP="00793D83">
      <w:pPr>
        <w:pStyle w:val="ewic-Heading2"/>
      </w:pPr>
      <w:r w:rsidRPr="00793D83">
        <w:t>2.2</w:t>
      </w:r>
      <w:r w:rsidR="001C7C49" w:rsidRPr="00793D83">
        <w:t xml:space="preserve">. </w:t>
      </w:r>
      <w:r w:rsidRPr="00793D83">
        <w:t xml:space="preserve">Reproducing Colour and Texture </w:t>
      </w:r>
    </w:p>
    <w:p w14:paraId="67C8FAEB" w14:textId="297C025F" w:rsidR="00A67D10" w:rsidRDefault="00A67D10" w:rsidP="00A67D10">
      <w:pPr>
        <w:pStyle w:val="ewic-Bodytext"/>
      </w:pPr>
      <w:r w:rsidRPr="00A67D10">
        <w:t>How does a painter paint? How might one translate colour and texture as a sensory experience? Texture is a visual attribute that enables us to distinguish the differences between materials</w:t>
      </w:r>
      <w:r w:rsidR="00A854CB">
        <w:t xml:space="preserve">, </w:t>
      </w:r>
      <w:r w:rsidRPr="00A67D10">
        <w:t>identif</w:t>
      </w:r>
      <w:r w:rsidR="00A854CB">
        <w:t>y</w:t>
      </w:r>
      <w:r w:rsidRPr="00A67D10">
        <w:t xml:space="preserve"> the structure and shape of objects, and discriminate edges in a complex pictorial scene. One could consider texture as multisensory; </w:t>
      </w:r>
      <w:r w:rsidR="00A854CB">
        <w:t>first impressions</w:t>
      </w:r>
      <w:r w:rsidR="00F321FD">
        <w:t xml:space="preserve"> are</w:t>
      </w:r>
      <w:r w:rsidR="00A854CB">
        <w:t xml:space="preserve"> gleaned through sight</w:t>
      </w:r>
      <w:r w:rsidRPr="00A67D10">
        <w:t>, which may then be reinforced by smell, taste and touch</w:t>
      </w:r>
      <w:r w:rsidR="00350B18">
        <w:t xml:space="preserve"> </w:t>
      </w:r>
      <w:r w:rsidR="00377416">
        <w:t>[7]</w:t>
      </w:r>
      <w:r w:rsidR="00350B18">
        <w:t>.</w:t>
      </w:r>
    </w:p>
    <w:p w14:paraId="244EF45F" w14:textId="77777777" w:rsidR="00A67D10" w:rsidRPr="00A67D10" w:rsidRDefault="00A67D10" w:rsidP="00A67D10">
      <w:pPr>
        <w:pStyle w:val="ewic-Bodytext"/>
      </w:pPr>
    </w:p>
    <w:p w14:paraId="0401A2AD" w14:textId="48C71EFB" w:rsidR="00A67D10" w:rsidRDefault="00A67D10" w:rsidP="00A67D10">
      <w:pPr>
        <w:pStyle w:val="ewic-Bodytext"/>
      </w:pPr>
      <w:r w:rsidRPr="00A67D10">
        <w:t xml:space="preserve">Inspired by the meticulous painting methods </w:t>
      </w:r>
      <w:r w:rsidR="00F321FD">
        <w:t xml:space="preserve">used </w:t>
      </w:r>
      <w:r w:rsidRPr="00A67D10">
        <w:t>by artists such as Van Gogh and Seurat, the objective was to create a vector-driven painting machine that applied a brush loaded with paint to paper in a methodical and mechanical way, yet remain</w:t>
      </w:r>
      <w:r w:rsidR="00A854CB">
        <w:t>ed</w:t>
      </w:r>
      <w:r w:rsidRPr="00A67D10">
        <w:t xml:space="preserve"> human analogous. The difference was that although the vector marks (digital) </w:t>
      </w:r>
      <w:r w:rsidR="00377416">
        <w:t>were exactly repeatable</w:t>
      </w:r>
      <w:r w:rsidRPr="00A67D10">
        <w:t>, the painted brush strokes (analogue) were not. Based on the placement of the brush on the paper and the flow of paint, each painted brushstroke was similar but not exactly the same, thus creating a non-uniform but harmonious effect across the paper surface.</w:t>
      </w:r>
      <w:r w:rsidR="00C708B7">
        <w:t xml:space="preserve"> </w:t>
      </w:r>
      <w:r w:rsidR="00C708B7">
        <w:rPr>
          <w:shd w:val="clear" w:color="auto" w:fill="FFFFFF"/>
        </w:rPr>
        <w:t xml:space="preserve">The painting </w:t>
      </w:r>
      <w:r w:rsidR="006A2374">
        <w:rPr>
          <w:shd w:val="clear" w:color="auto" w:fill="FFFFFF"/>
        </w:rPr>
        <w:t xml:space="preserve">machine </w:t>
      </w:r>
      <w:r w:rsidR="00C708B7">
        <w:rPr>
          <w:shd w:val="clear" w:color="auto" w:fill="FFFFFF"/>
        </w:rPr>
        <w:t>has inspired discussions about novel ways of applying paint that emulate the brush strokes of artists, demonstrating alternative methods of halftoning and colour separating, with the potential for tactile pictures for the visually impaired.</w:t>
      </w:r>
    </w:p>
    <w:p w14:paraId="4DCA893C" w14:textId="77777777" w:rsidR="001C7C49" w:rsidRDefault="00793D83" w:rsidP="00512FDD">
      <w:pPr>
        <w:pStyle w:val="ewic-Heading2"/>
      </w:pPr>
      <w:r>
        <w:t>2.3</w:t>
      </w:r>
      <w:r w:rsidR="001C7C49" w:rsidRPr="001C7C49">
        <w:t xml:space="preserve">. Sculpture to 3D </w:t>
      </w:r>
      <w:r>
        <w:t>R</w:t>
      </w:r>
      <w:r w:rsidR="001C7C49" w:rsidRPr="001C7C49">
        <w:t>elief</w:t>
      </w:r>
    </w:p>
    <w:p w14:paraId="6DFF9A16" w14:textId="3BDDF6E9" w:rsidR="003E2933" w:rsidRPr="003C59FA" w:rsidRDefault="006A2374" w:rsidP="003C59FA">
      <w:pPr>
        <w:pStyle w:val="ewic-Bodytext"/>
      </w:pPr>
      <w:r w:rsidRPr="00C314E1">
        <w:t xml:space="preserve">Touch acts as a supplementary </w:t>
      </w:r>
      <w:r>
        <w:t>adjunct</w:t>
      </w:r>
      <w:r w:rsidRPr="00C314E1">
        <w:t xml:space="preserve"> to sight</w:t>
      </w:r>
      <w:r>
        <w:t xml:space="preserve">, </w:t>
      </w:r>
      <w:r w:rsidRPr="00C314E1">
        <w:t>provid</w:t>
      </w:r>
      <w:r>
        <w:t>ing</w:t>
      </w:r>
      <w:r w:rsidRPr="00C314E1">
        <w:t xml:space="preserve"> a lot of information about the real world, which is why it is of primary importance for people with visual impairment.</w:t>
      </w:r>
      <w:r>
        <w:t xml:space="preserve"> </w:t>
      </w:r>
      <w:r w:rsidR="00AC3379" w:rsidRPr="003C59FA">
        <w:t>"Sight represents</w:t>
      </w:r>
      <w:r w:rsidR="00A854CB">
        <w:t xml:space="preserve"> </w:t>
      </w:r>
      <w:r w:rsidR="00AC3379" w:rsidRPr="003C59FA">
        <w:t>long-range touch with the sensation of colour and more; touch is a close view with less colour, supplemented with the sensation of roughness." [8]</w:t>
      </w:r>
    </w:p>
    <w:p w14:paraId="01C72F4A" w14:textId="77777777" w:rsidR="00AC3379" w:rsidRDefault="00AC3379" w:rsidP="003E2933">
      <w:pPr>
        <w:pStyle w:val="ewic-Bodytext"/>
      </w:pPr>
    </w:p>
    <w:p w14:paraId="516DCF92" w14:textId="77777777" w:rsidR="0048250F" w:rsidRDefault="00AC3379" w:rsidP="005D49B7">
      <w:pPr>
        <w:pStyle w:val="ewic-Bodytext"/>
      </w:pPr>
      <w:r w:rsidRPr="00AC3379">
        <w:t>The project '</w:t>
      </w:r>
      <w:proofErr w:type="spellStart"/>
      <w:r w:rsidRPr="00AC3379">
        <w:t>Unesco</w:t>
      </w:r>
      <w:proofErr w:type="spellEnd"/>
      <w:r w:rsidRPr="00AC3379">
        <w:t xml:space="preserve"> for All' aimed to enable access to four UNESCO sites by translating art and architecture into tactile 3D models. Shape, colour and material differences were conveyed by texture. We included audio technology</w:t>
      </w:r>
      <w:r w:rsidR="006A2374">
        <w:t>,</w:t>
      </w:r>
      <w:r w:rsidRPr="00AC3379">
        <w:t xml:space="preserve"> enabling the blind and visually impaired to experience cultural </w:t>
      </w:r>
      <w:r w:rsidRPr="00AC3379">
        <w:t>heritage by integrating tactile exploration with audio data.</w:t>
      </w:r>
    </w:p>
    <w:p w14:paraId="7CC0FBE3" w14:textId="77777777" w:rsidR="00AC3379" w:rsidRDefault="00AC3379" w:rsidP="005D49B7">
      <w:pPr>
        <w:pStyle w:val="ewic-Bodytext"/>
      </w:pPr>
    </w:p>
    <w:p w14:paraId="128C413B" w14:textId="43D1BC11" w:rsidR="005D49B7" w:rsidRDefault="005D49B7" w:rsidP="005D49B7">
      <w:pPr>
        <w:pStyle w:val="ewic-Bodytext"/>
      </w:pPr>
      <w:r w:rsidRPr="00A86702">
        <w:t xml:space="preserve">Several </w:t>
      </w:r>
      <w:r>
        <w:t xml:space="preserve">tools </w:t>
      </w:r>
      <w:r w:rsidRPr="00A86702">
        <w:t>were used to digitise the originals</w:t>
      </w:r>
      <w:r w:rsidR="00F321FD">
        <w:t xml:space="preserve"> including </w:t>
      </w:r>
      <w:r w:rsidRPr="00A86702">
        <w:t xml:space="preserve">photogrammetry, 3D modelling and digital sculpting. </w:t>
      </w:r>
      <w:r w:rsidR="00F321FD">
        <w:t xml:space="preserve">The models were made with a combination of </w:t>
      </w:r>
      <w:r>
        <w:t xml:space="preserve">CNC routing, </w:t>
      </w:r>
      <w:r w:rsidR="003C59FA">
        <w:t>l</w:t>
      </w:r>
      <w:r>
        <w:t>aser cutting and engraving, SLS resin</w:t>
      </w:r>
      <w:r w:rsidR="003C59FA">
        <w:t>,</w:t>
      </w:r>
      <w:r>
        <w:t xml:space="preserve"> </w:t>
      </w:r>
      <w:r w:rsidR="003C59FA">
        <w:t xml:space="preserve">and </w:t>
      </w:r>
      <w:r>
        <w:t>3</w:t>
      </w:r>
      <w:r w:rsidR="003C59FA">
        <w:t>D</w:t>
      </w:r>
      <w:r>
        <w:t xml:space="preserve"> printing. </w:t>
      </w:r>
      <w:r w:rsidR="006A2374">
        <w:t>We</w:t>
      </w:r>
      <w:r>
        <w:t xml:space="preserve"> </w:t>
      </w:r>
      <w:r w:rsidR="00AC3379">
        <w:t>combined</w:t>
      </w:r>
      <w:r>
        <w:t xml:space="preserve"> techniques </w:t>
      </w:r>
      <w:r w:rsidR="003C59FA">
        <w:t xml:space="preserve">to </w:t>
      </w:r>
      <w:r w:rsidR="00AC3379" w:rsidRPr="00AC3379">
        <w:t>overcome specific limit</w:t>
      </w:r>
      <w:r w:rsidR="006A2374">
        <w:t>ations of the tools and media in a quest to obtain precise replicas at a reasonable price and of considerable size</w:t>
      </w:r>
      <w:r w:rsidR="00AC3379" w:rsidRPr="00AC3379">
        <w:t>.</w:t>
      </w:r>
    </w:p>
    <w:p w14:paraId="29AF4163" w14:textId="77777777" w:rsidR="003C59FA" w:rsidRDefault="003C59FA" w:rsidP="003C59FA">
      <w:pPr>
        <w:pStyle w:val="ewic-Bodytext"/>
      </w:pPr>
    </w:p>
    <w:p w14:paraId="436C3B58" w14:textId="77777777" w:rsidR="00350B18" w:rsidRDefault="00BB38C6" w:rsidP="003C59FA">
      <w:pPr>
        <w:pStyle w:val="ewic-Bodytext"/>
        <w:rPr>
          <w:b/>
        </w:rPr>
      </w:pPr>
      <w:r w:rsidRPr="003D570A">
        <w:rPr>
          <w:noProof/>
          <w:color w:val="000000"/>
        </w:rPr>
        <w:drawing>
          <wp:inline distT="0" distB="0" distL="0" distR="0" wp14:anchorId="0B6025B3" wp14:editId="464E9AFC">
            <wp:extent cx="2887220" cy="1937442"/>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220" cy="1937442"/>
                    </a:xfrm>
                    <a:prstGeom prst="rect">
                      <a:avLst/>
                    </a:prstGeom>
                    <a:noFill/>
                    <a:ln>
                      <a:noFill/>
                    </a:ln>
                  </pic:spPr>
                </pic:pic>
              </a:graphicData>
            </a:graphic>
          </wp:inline>
        </w:drawing>
      </w:r>
    </w:p>
    <w:p w14:paraId="2A2D8AA4" w14:textId="77777777" w:rsidR="007B17FC" w:rsidRDefault="00793D83" w:rsidP="00AC3379">
      <w:pPr>
        <w:pStyle w:val="ewic-Legends"/>
      </w:pPr>
      <w:r w:rsidRPr="00725EE0">
        <w:rPr>
          <w:b/>
        </w:rPr>
        <w:t xml:space="preserve">Figure </w:t>
      </w:r>
      <w:r w:rsidR="007B17FC">
        <w:rPr>
          <w:b/>
        </w:rPr>
        <w:t>2</w:t>
      </w:r>
      <w:r w:rsidRPr="00725EE0">
        <w:rPr>
          <w:b/>
        </w:rPr>
        <w:t>:</w:t>
      </w:r>
      <w:r w:rsidRPr="00725EE0">
        <w:t xml:space="preserve"> </w:t>
      </w:r>
      <w:r w:rsidR="007B17FC">
        <w:t>T</w:t>
      </w:r>
      <w:r w:rsidR="00D84CED">
        <w:t xml:space="preserve">he tactile panels of the </w:t>
      </w:r>
      <w:proofErr w:type="spellStart"/>
      <w:r w:rsidR="00D84CED">
        <w:t>Unesco</w:t>
      </w:r>
      <w:proofErr w:type="spellEnd"/>
      <w:r w:rsidR="00D84CED">
        <w:t xml:space="preserve"> for All projec</w:t>
      </w:r>
      <w:r w:rsidR="00AC3379">
        <w:t>t</w:t>
      </w:r>
    </w:p>
    <w:p w14:paraId="302C9018" w14:textId="77777777" w:rsidR="00526DA2" w:rsidRDefault="00BA113F" w:rsidP="00526DA2">
      <w:pPr>
        <w:pStyle w:val="ewic-Referencestitle"/>
      </w:pPr>
      <w:r>
        <w:t>7</w:t>
      </w:r>
      <w:r w:rsidR="00526DA2" w:rsidRPr="007C7093">
        <w:t>. References</w:t>
      </w:r>
    </w:p>
    <w:p w14:paraId="38A0AC61" w14:textId="77777777" w:rsidR="00DE16C9" w:rsidRPr="002B7560" w:rsidRDefault="00DE16C9" w:rsidP="002B7560">
      <w:pPr>
        <w:pStyle w:val="ewic-References"/>
      </w:pPr>
      <w:r>
        <w:t>[</w:t>
      </w:r>
      <w:r w:rsidRPr="002B7560">
        <w:t>1] Sennett, R (2008) The Craftsman, Yale University Press, 9.</w:t>
      </w:r>
    </w:p>
    <w:p w14:paraId="0701DFE8" w14:textId="77777777" w:rsidR="008457E0" w:rsidRPr="002B7560" w:rsidRDefault="008457E0" w:rsidP="002B7560">
      <w:pPr>
        <w:pStyle w:val="ewic-References"/>
      </w:pPr>
      <w:r w:rsidRPr="002B7560">
        <w:t>[2] Paquette, A (2018) Spatial Visualization and Professional Competence: The Development of Proficiency Among Digital Artists, Springer</w:t>
      </w:r>
      <w:r w:rsidR="002B7560" w:rsidRPr="002B7560">
        <w:t xml:space="preserve">. </w:t>
      </w:r>
    </w:p>
    <w:p w14:paraId="6DF77283" w14:textId="77777777" w:rsidR="003E6A8D" w:rsidRPr="002B7560" w:rsidRDefault="003E6A8D" w:rsidP="002B7560">
      <w:pPr>
        <w:pStyle w:val="ewic-References"/>
      </w:pPr>
      <w:r w:rsidRPr="002B7560">
        <w:t xml:space="preserve">[3] </w:t>
      </w:r>
      <w:proofErr w:type="spellStart"/>
      <w:r w:rsidRPr="002B7560">
        <w:t>Batcho</w:t>
      </w:r>
      <w:proofErr w:type="spellEnd"/>
      <w:r w:rsidRPr="002B7560">
        <w:t xml:space="preserve">, C.S., </w:t>
      </w:r>
      <w:proofErr w:type="spellStart"/>
      <w:r w:rsidRPr="002B7560">
        <w:t>Gagné</w:t>
      </w:r>
      <w:proofErr w:type="spellEnd"/>
      <w:r w:rsidRPr="002B7560">
        <w:t xml:space="preserve">, M., </w:t>
      </w:r>
      <w:proofErr w:type="spellStart"/>
      <w:r w:rsidRPr="002B7560">
        <w:t>Bouyer</w:t>
      </w:r>
      <w:proofErr w:type="spellEnd"/>
      <w:r w:rsidRPr="002B7560">
        <w:t>, L.J., Roy, J.S. and Mercier, C. (2016) Impact of online visual feedback on motor acquisition and retention when learning to reach in a force field. Neuroscience. 337</w:t>
      </w:r>
      <w:r w:rsidR="00377416">
        <w:t xml:space="preserve">, </w:t>
      </w:r>
      <w:r w:rsidRPr="002B7560">
        <w:t xml:space="preserve">267–275. </w:t>
      </w:r>
    </w:p>
    <w:p w14:paraId="48F10460" w14:textId="77777777" w:rsidR="003E6A8D" w:rsidRPr="002B7560" w:rsidRDefault="002669DB" w:rsidP="002B7560">
      <w:pPr>
        <w:pStyle w:val="ewic-References"/>
      </w:pPr>
      <w:r w:rsidRPr="002B7560">
        <w:t xml:space="preserve">[4] </w:t>
      </w:r>
      <w:proofErr w:type="spellStart"/>
      <w:r w:rsidRPr="002B7560">
        <w:t>Sigrist</w:t>
      </w:r>
      <w:proofErr w:type="spellEnd"/>
      <w:r w:rsidRPr="002B7560">
        <w:t xml:space="preserve">, R., </w:t>
      </w:r>
      <w:proofErr w:type="spellStart"/>
      <w:r w:rsidRPr="002B7560">
        <w:t>Rauter</w:t>
      </w:r>
      <w:proofErr w:type="spellEnd"/>
      <w:r w:rsidRPr="002B7560">
        <w:t xml:space="preserve">, G., </w:t>
      </w:r>
      <w:proofErr w:type="spellStart"/>
      <w:r w:rsidRPr="002B7560">
        <w:t>Riener</w:t>
      </w:r>
      <w:proofErr w:type="spellEnd"/>
      <w:r w:rsidRPr="002B7560">
        <w:t xml:space="preserve">, R. et al. </w:t>
      </w:r>
      <w:r w:rsidR="002B7560" w:rsidRPr="002B7560">
        <w:t>(2013</w:t>
      </w:r>
      <w:r w:rsidR="002B7560">
        <w:t xml:space="preserve">) </w:t>
      </w:r>
      <w:r w:rsidRPr="002B7560">
        <w:t xml:space="preserve">Augmented visual, auditory, haptic, and multimodal feedback in motor learning: A review. </w:t>
      </w:r>
      <w:r w:rsidRPr="00377416">
        <w:rPr>
          <w:i/>
          <w:iCs/>
        </w:rPr>
        <w:t>Psychon</w:t>
      </w:r>
      <w:r w:rsidR="00377416" w:rsidRPr="00377416">
        <w:rPr>
          <w:i/>
          <w:iCs/>
        </w:rPr>
        <w:t>omic</w:t>
      </w:r>
      <w:r w:rsidRPr="00377416">
        <w:rPr>
          <w:i/>
          <w:iCs/>
        </w:rPr>
        <w:t xml:space="preserve"> Bull</w:t>
      </w:r>
      <w:r w:rsidR="00377416" w:rsidRPr="00377416">
        <w:rPr>
          <w:i/>
          <w:iCs/>
        </w:rPr>
        <w:t>etin</w:t>
      </w:r>
      <w:r w:rsidRPr="00377416">
        <w:rPr>
          <w:i/>
          <w:iCs/>
        </w:rPr>
        <w:t xml:space="preserve"> Rev</w:t>
      </w:r>
      <w:r w:rsidR="00377416" w:rsidRPr="00377416">
        <w:rPr>
          <w:i/>
          <w:iCs/>
        </w:rPr>
        <w:t>iew</w:t>
      </w:r>
      <w:r w:rsidR="00377416">
        <w:t>,</w:t>
      </w:r>
      <w:r w:rsidRPr="002B7560">
        <w:t xml:space="preserve"> 20, 21–53</w:t>
      </w:r>
    </w:p>
    <w:p w14:paraId="6141A938" w14:textId="77777777" w:rsidR="00C67449" w:rsidRPr="002B7560" w:rsidRDefault="00C67449" w:rsidP="002B7560">
      <w:pPr>
        <w:pStyle w:val="ewic-References"/>
      </w:pPr>
      <w:r w:rsidRPr="002B7560">
        <w:t xml:space="preserve">[5] </w:t>
      </w:r>
      <w:r w:rsidR="00377416" w:rsidRPr="002B7560">
        <w:t xml:space="preserve">Hedlund </w:t>
      </w:r>
      <w:r w:rsidR="00377416">
        <w:t xml:space="preserve">J., </w:t>
      </w:r>
      <w:proofErr w:type="spellStart"/>
      <w:r w:rsidR="00377416" w:rsidRPr="002B7560">
        <w:t>Antonakis</w:t>
      </w:r>
      <w:proofErr w:type="spellEnd"/>
      <w:r w:rsidR="00377416" w:rsidRPr="002B7560">
        <w:t xml:space="preserve"> </w:t>
      </w:r>
      <w:r w:rsidR="00377416">
        <w:t xml:space="preserve">J., </w:t>
      </w:r>
      <w:r w:rsidR="00377416" w:rsidRPr="002B7560">
        <w:t>Sternberg</w:t>
      </w:r>
      <w:r w:rsidR="00377416">
        <w:t xml:space="preserve"> R.J.</w:t>
      </w:r>
      <w:r w:rsidR="00377416" w:rsidRPr="002B7560">
        <w:t xml:space="preserve"> </w:t>
      </w:r>
      <w:r w:rsidR="00377416">
        <w:t xml:space="preserve">(2000) </w:t>
      </w:r>
      <w:r w:rsidRPr="00377416">
        <w:rPr>
          <w:i/>
          <w:iCs/>
        </w:rPr>
        <w:t>Tacit Knowledge and Practical Intelligence: Understanding the Lessons of Experience</w:t>
      </w:r>
      <w:r w:rsidR="00377416">
        <w:rPr>
          <w:i/>
          <w:iCs/>
        </w:rPr>
        <w:t>,</w:t>
      </w:r>
      <w:r w:rsidRPr="002B7560">
        <w:t xml:space="preserve"> Yale University</w:t>
      </w:r>
      <w:r w:rsidR="00377416">
        <w:t xml:space="preserve"> Press.</w:t>
      </w:r>
    </w:p>
    <w:p w14:paraId="2F05BB16" w14:textId="77777777" w:rsidR="008457E0" w:rsidRDefault="00B578AD" w:rsidP="002B7560">
      <w:pPr>
        <w:pStyle w:val="ewic-References"/>
      </w:pPr>
      <w:r w:rsidRPr="002B7560">
        <w:t>[</w:t>
      </w:r>
      <w:r w:rsidR="00C67449" w:rsidRPr="002B7560">
        <w:t>6</w:t>
      </w:r>
      <w:r w:rsidRPr="002B7560">
        <w:t xml:space="preserve">] Wood N. et al. (2009) A tacit understanding: The designer's role in capturing and passing on the skilled knowledge of master craftsmen. </w:t>
      </w:r>
      <w:r w:rsidRPr="00377416">
        <w:rPr>
          <w:i/>
          <w:iCs/>
        </w:rPr>
        <w:t>International Journal of Design</w:t>
      </w:r>
      <w:r w:rsidRPr="002B7560">
        <w:t>, 3, 3, 65-78.</w:t>
      </w:r>
    </w:p>
    <w:p w14:paraId="09E70A7F" w14:textId="77777777" w:rsidR="00377416" w:rsidRDefault="00377416" w:rsidP="002B7560">
      <w:pPr>
        <w:pStyle w:val="ewic-References"/>
      </w:pPr>
      <w:r>
        <w:t xml:space="preserve">[7] </w:t>
      </w:r>
      <w:proofErr w:type="spellStart"/>
      <w:r w:rsidRPr="00262681">
        <w:t>Klatzky</w:t>
      </w:r>
      <w:proofErr w:type="spellEnd"/>
      <w:r w:rsidRPr="00262681">
        <w:t xml:space="preserve"> R. L., and Lederman, S. J.  (2010) Multisensory Texture Perception. In: </w:t>
      </w:r>
      <w:proofErr w:type="spellStart"/>
      <w:r w:rsidRPr="00262681">
        <w:t>Naumer</w:t>
      </w:r>
      <w:proofErr w:type="spellEnd"/>
      <w:r w:rsidRPr="00262681">
        <w:t xml:space="preserve"> M. J. and Kaiser, J. Multisensory Object Perception in the Primate Brain, NY, Springer, 211-230.</w:t>
      </w:r>
    </w:p>
    <w:p w14:paraId="69776B85" w14:textId="344D9591" w:rsidR="006B0C45" w:rsidRDefault="002D0FCD" w:rsidP="003C59FA">
      <w:pPr>
        <w:pStyle w:val="ewic-References"/>
      </w:pPr>
      <w:r w:rsidRPr="002D0FCD">
        <w:t xml:space="preserve">[8] Villey, P. (1954) Le Monde des </w:t>
      </w:r>
      <w:proofErr w:type="spellStart"/>
      <w:r w:rsidRPr="002D0FCD">
        <w:t>aveugles</w:t>
      </w:r>
      <w:proofErr w:type="spellEnd"/>
      <w:r w:rsidRPr="002D0FCD">
        <w:t xml:space="preserve">, </w:t>
      </w:r>
      <w:proofErr w:type="spellStart"/>
      <w:r w:rsidRPr="002D0FCD">
        <w:t>Corti</w:t>
      </w:r>
      <w:proofErr w:type="spellEnd"/>
      <w:r w:rsidR="006B0C45">
        <w:t>.</w:t>
      </w:r>
    </w:p>
    <w:p w14:paraId="7F8A52E5" w14:textId="2443BA25" w:rsidR="006B0C45" w:rsidRPr="003C59FA" w:rsidRDefault="006B0C45" w:rsidP="003C59FA">
      <w:pPr>
        <w:pStyle w:val="ewic-References"/>
        <w:sectPr w:rsidR="006B0C45" w:rsidRPr="003C59FA" w:rsidSect="001E7E51">
          <w:headerReference w:type="even" r:id="rId14"/>
          <w:headerReference w:type="first" r:id="rId15"/>
          <w:footerReference w:type="first" r:id="rId16"/>
          <w:type w:val="continuous"/>
          <w:pgSz w:w="11906" w:h="16838" w:code="9"/>
          <w:pgMar w:top="1361" w:right="1021" w:bottom="1361" w:left="1021" w:header="680" w:footer="680" w:gutter="0"/>
          <w:cols w:num="2" w:space="720"/>
          <w:noEndnote/>
          <w:docGrid w:linePitch="272"/>
        </w:sectPr>
      </w:pPr>
      <w:r>
        <w:br w:type="page"/>
      </w:r>
    </w:p>
    <w:p w14:paraId="789B1433" w14:textId="77777777" w:rsidR="00BB1B38" w:rsidRDefault="00BB1B38" w:rsidP="003C59FA">
      <w:pPr>
        <w:pStyle w:val="ewic-Legends"/>
        <w:jc w:val="left"/>
        <w:rPr>
          <w:b/>
        </w:rPr>
        <w:sectPr w:rsidR="00BB1B38" w:rsidSect="001E7E51">
          <w:type w:val="continuous"/>
          <w:pgSz w:w="11906" w:h="16838" w:code="9"/>
          <w:pgMar w:top="1361" w:right="1021" w:bottom="1361" w:left="1021" w:header="680" w:footer="680" w:gutter="0"/>
          <w:cols w:num="2" w:space="720"/>
          <w:noEndnote/>
          <w:docGrid w:linePitch="272"/>
        </w:sectPr>
      </w:pPr>
    </w:p>
    <w:p w14:paraId="7062CFDA" w14:textId="06D94B7A" w:rsidR="00526DA2" w:rsidRPr="00526DA2" w:rsidRDefault="00526DA2" w:rsidP="006B0C45">
      <w:pPr>
        <w:pStyle w:val="ewic-Legends"/>
        <w:jc w:val="left"/>
      </w:pPr>
    </w:p>
    <w:sectPr w:rsidR="00526DA2" w:rsidRPr="00526DA2"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85D2D" w14:textId="77777777" w:rsidR="0096525A" w:rsidRDefault="0096525A">
      <w:r>
        <w:separator/>
      </w:r>
    </w:p>
  </w:endnote>
  <w:endnote w:type="continuationSeparator" w:id="0">
    <w:p w14:paraId="152702E7" w14:textId="77777777" w:rsidR="0096525A" w:rsidRDefault="0096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B2C8" w14:textId="77777777"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71C3" w14:textId="77777777"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B72B" w14:textId="77777777" w:rsidR="00FB1EA8" w:rsidRPr="00ED0D64" w:rsidRDefault="00F246E9" w:rsidP="00824738">
    <w:pPr>
      <w:jc w:val="center"/>
      <w:rPr>
        <w:rFonts w:ascii="Arial" w:hAnsi="Arial" w:cs="Arial"/>
        <w:i/>
        <w:sz w:val="18"/>
        <w:szCs w:val="18"/>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176F"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ED409" w14:textId="77777777" w:rsidR="0096525A" w:rsidRDefault="0096525A">
      <w:r>
        <w:separator/>
      </w:r>
    </w:p>
  </w:footnote>
  <w:footnote w:type="continuationSeparator" w:id="0">
    <w:p w14:paraId="3E3171BE" w14:textId="77777777" w:rsidR="0096525A" w:rsidRDefault="0096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00F0" w14:textId="77777777" w:rsidR="000F3055" w:rsidRPr="000F3055" w:rsidRDefault="000F3055" w:rsidP="000F3055">
    <w:pPr>
      <w:pStyle w:val="ewic-Oddheader"/>
    </w:pPr>
    <w:r w:rsidRPr="000F3055">
      <w:t>THE CRAFTSPERSON, TACIT KNOWLEDGE AND DIGITAL EMBODIMENT</w:t>
    </w:r>
  </w:p>
  <w:p w14:paraId="79EA17D4" w14:textId="79B6228C" w:rsidR="001E7E51" w:rsidRPr="00EA3722" w:rsidRDefault="000F3055" w:rsidP="00A95931">
    <w:pPr>
      <w:pStyle w:val="ewic-Oddheader"/>
    </w:pPr>
    <w:r>
      <w:t>Parraman</w:t>
    </w:r>
    <w:r w:rsidR="00C61D3A">
      <w:t xml:space="preserve"> C</w:t>
    </w:r>
    <w:r>
      <w:t>,</w:t>
    </w:r>
    <w:r w:rsidR="00ED052C">
      <w:t xml:space="preserve"> </w:t>
    </w:r>
    <w:proofErr w:type="spellStart"/>
    <w:r w:rsidR="00ED052C">
      <w:t>D’Agnano</w:t>
    </w:r>
    <w:proofErr w:type="spellEnd"/>
    <w:r w:rsidR="00C61D3A">
      <w:t xml:space="preserve"> F,</w:t>
    </w:r>
    <w:r w:rsidR="00ED052C">
      <w:t xml:space="preserve"> and Ho</w:t>
    </w:r>
    <w:r w:rsidR="00C61D3A">
      <w:t xml:space="preserve"> W-G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5174" w14:textId="77777777"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4221" w14:textId="77777777"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7B8C" w14:textId="77777777"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MzAwNTE3MDGzMDdU0lEKTi0uzszPAykwrAUAcrfd9SwAAAA="/>
  </w:docVars>
  <w:rsids>
    <w:rsidRoot w:val="00694A87"/>
    <w:rsid w:val="00000EFF"/>
    <w:rsid w:val="00023B1D"/>
    <w:rsid w:val="00034F96"/>
    <w:rsid w:val="0003789F"/>
    <w:rsid w:val="000447DD"/>
    <w:rsid w:val="00062258"/>
    <w:rsid w:val="00083018"/>
    <w:rsid w:val="000910EF"/>
    <w:rsid w:val="000A6086"/>
    <w:rsid w:val="000C5744"/>
    <w:rsid w:val="000D14AE"/>
    <w:rsid w:val="000E26B2"/>
    <w:rsid w:val="000E561F"/>
    <w:rsid w:val="000E7320"/>
    <w:rsid w:val="000F211F"/>
    <w:rsid w:val="000F3055"/>
    <w:rsid w:val="00107CF4"/>
    <w:rsid w:val="00125FE9"/>
    <w:rsid w:val="00137BB8"/>
    <w:rsid w:val="00154EE6"/>
    <w:rsid w:val="001958B1"/>
    <w:rsid w:val="001B22BE"/>
    <w:rsid w:val="001C59B9"/>
    <w:rsid w:val="001C7C49"/>
    <w:rsid w:val="001D2B90"/>
    <w:rsid w:val="001D58E9"/>
    <w:rsid w:val="001E2781"/>
    <w:rsid w:val="001E7E51"/>
    <w:rsid w:val="002022F4"/>
    <w:rsid w:val="00211888"/>
    <w:rsid w:val="00212372"/>
    <w:rsid w:val="00231F96"/>
    <w:rsid w:val="0023793D"/>
    <w:rsid w:val="002402EB"/>
    <w:rsid w:val="002425C0"/>
    <w:rsid w:val="00251F41"/>
    <w:rsid w:val="00262681"/>
    <w:rsid w:val="002669DB"/>
    <w:rsid w:val="00272FDD"/>
    <w:rsid w:val="00287AE0"/>
    <w:rsid w:val="002B56F4"/>
    <w:rsid w:val="002B7560"/>
    <w:rsid w:val="002C05FA"/>
    <w:rsid w:val="002D0FCD"/>
    <w:rsid w:val="002D4643"/>
    <w:rsid w:val="002D5D7B"/>
    <w:rsid w:val="002F285A"/>
    <w:rsid w:val="002F5CE7"/>
    <w:rsid w:val="0031213F"/>
    <w:rsid w:val="00321123"/>
    <w:rsid w:val="00335542"/>
    <w:rsid w:val="00335BD9"/>
    <w:rsid w:val="0034262B"/>
    <w:rsid w:val="0034788A"/>
    <w:rsid w:val="00350B18"/>
    <w:rsid w:val="003537E7"/>
    <w:rsid w:val="00366E34"/>
    <w:rsid w:val="00377416"/>
    <w:rsid w:val="003A5DD8"/>
    <w:rsid w:val="003A6E9D"/>
    <w:rsid w:val="003C59FA"/>
    <w:rsid w:val="003C7138"/>
    <w:rsid w:val="003D1561"/>
    <w:rsid w:val="003D570A"/>
    <w:rsid w:val="003E2933"/>
    <w:rsid w:val="003E6A8D"/>
    <w:rsid w:val="003F2BEF"/>
    <w:rsid w:val="003F44E8"/>
    <w:rsid w:val="003F7216"/>
    <w:rsid w:val="00430E20"/>
    <w:rsid w:val="00431E86"/>
    <w:rsid w:val="00434B70"/>
    <w:rsid w:val="0045327E"/>
    <w:rsid w:val="004662BC"/>
    <w:rsid w:val="00470369"/>
    <w:rsid w:val="00475CBF"/>
    <w:rsid w:val="00476803"/>
    <w:rsid w:val="0048250F"/>
    <w:rsid w:val="0049259E"/>
    <w:rsid w:val="00495685"/>
    <w:rsid w:val="004A19D2"/>
    <w:rsid w:val="004F726E"/>
    <w:rsid w:val="0051273F"/>
    <w:rsid w:val="00512FDD"/>
    <w:rsid w:val="00523AB3"/>
    <w:rsid w:val="00526DA2"/>
    <w:rsid w:val="00527CE9"/>
    <w:rsid w:val="00534D9C"/>
    <w:rsid w:val="0053525C"/>
    <w:rsid w:val="005A14BE"/>
    <w:rsid w:val="005B2B58"/>
    <w:rsid w:val="005B7FCC"/>
    <w:rsid w:val="005D1A4B"/>
    <w:rsid w:val="005D49B7"/>
    <w:rsid w:val="005E33B7"/>
    <w:rsid w:val="005F2599"/>
    <w:rsid w:val="006145BB"/>
    <w:rsid w:val="0065436D"/>
    <w:rsid w:val="00681911"/>
    <w:rsid w:val="00694A87"/>
    <w:rsid w:val="006A047C"/>
    <w:rsid w:val="006A2374"/>
    <w:rsid w:val="006B0C45"/>
    <w:rsid w:val="006C5198"/>
    <w:rsid w:val="006F2FF6"/>
    <w:rsid w:val="00714546"/>
    <w:rsid w:val="00725EE0"/>
    <w:rsid w:val="00793D83"/>
    <w:rsid w:val="007B17FC"/>
    <w:rsid w:val="007B341D"/>
    <w:rsid w:val="007C7093"/>
    <w:rsid w:val="007D3DDE"/>
    <w:rsid w:val="007E739D"/>
    <w:rsid w:val="00824738"/>
    <w:rsid w:val="00825EDE"/>
    <w:rsid w:val="008279E3"/>
    <w:rsid w:val="00827B67"/>
    <w:rsid w:val="008457E0"/>
    <w:rsid w:val="00855EF1"/>
    <w:rsid w:val="00866181"/>
    <w:rsid w:val="0088588E"/>
    <w:rsid w:val="00887698"/>
    <w:rsid w:val="008C3874"/>
    <w:rsid w:val="008D6951"/>
    <w:rsid w:val="008F0AC1"/>
    <w:rsid w:val="009156E0"/>
    <w:rsid w:val="00957A3F"/>
    <w:rsid w:val="0096525A"/>
    <w:rsid w:val="009A5F27"/>
    <w:rsid w:val="009B2162"/>
    <w:rsid w:val="009C1754"/>
    <w:rsid w:val="009C68C3"/>
    <w:rsid w:val="009F2E62"/>
    <w:rsid w:val="00A2389D"/>
    <w:rsid w:val="00A26B36"/>
    <w:rsid w:val="00A47DEC"/>
    <w:rsid w:val="00A5302F"/>
    <w:rsid w:val="00A54E9B"/>
    <w:rsid w:val="00A67D10"/>
    <w:rsid w:val="00A71261"/>
    <w:rsid w:val="00A77830"/>
    <w:rsid w:val="00A854CB"/>
    <w:rsid w:val="00A95931"/>
    <w:rsid w:val="00AA6C61"/>
    <w:rsid w:val="00AB03AF"/>
    <w:rsid w:val="00AB65F6"/>
    <w:rsid w:val="00AC3379"/>
    <w:rsid w:val="00AC74DA"/>
    <w:rsid w:val="00AC7820"/>
    <w:rsid w:val="00AD1725"/>
    <w:rsid w:val="00AD6296"/>
    <w:rsid w:val="00AE6014"/>
    <w:rsid w:val="00AF70B5"/>
    <w:rsid w:val="00B33814"/>
    <w:rsid w:val="00B47C09"/>
    <w:rsid w:val="00B52817"/>
    <w:rsid w:val="00B578AD"/>
    <w:rsid w:val="00B755E9"/>
    <w:rsid w:val="00B769DF"/>
    <w:rsid w:val="00BA113F"/>
    <w:rsid w:val="00BB1B38"/>
    <w:rsid w:val="00BB38C6"/>
    <w:rsid w:val="00BC700F"/>
    <w:rsid w:val="00C0101E"/>
    <w:rsid w:val="00C42494"/>
    <w:rsid w:val="00C61D3A"/>
    <w:rsid w:val="00C67449"/>
    <w:rsid w:val="00C708B7"/>
    <w:rsid w:val="00C7269B"/>
    <w:rsid w:val="00C80C6B"/>
    <w:rsid w:val="00C85A73"/>
    <w:rsid w:val="00C97EBD"/>
    <w:rsid w:val="00CB13DB"/>
    <w:rsid w:val="00CB28BC"/>
    <w:rsid w:val="00CB3862"/>
    <w:rsid w:val="00CB6E07"/>
    <w:rsid w:val="00CC6D72"/>
    <w:rsid w:val="00CF46C4"/>
    <w:rsid w:val="00D03550"/>
    <w:rsid w:val="00D76C07"/>
    <w:rsid w:val="00D84CED"/>
    <w:rsid w:val="00DD09C9"/>
    <w:rsid w:val="00DE16C9"/>
    <w:rsid w:val="00DF2E36"/>
    <w:rsid w:val="00DF418E"/>
    <w:rsid w:val="00DF41D8"/>
    <w:rsid w:val="00E12787"/>
    <w:rsid w:val="00E60AC3"/>
    <w:rsid w:val="00E61AAF"/>
    <w:rsid w:val="00E6351A"/>
    <w:rsid w:val="00E67925"/>
    <w:rsid w:val="00E85942"/>
    <w:rsid w:val="00E86B31"/>
    <w:rsid w:val="00EA3722"/>
    <w:rsid w:val="00ED052C"/>
    <w:rsid w:val="00ED0D64"/>
    <w:rsid w:val="00ED60A7"/>
    <w:rsid w:val="00EF74D5"/>
    <w:rsid w:val="00F07856"/>
    <w:rsid w:val="00F246E9"/>
    <w:rsid w:val="00F30E2F"/>
    <w:rsid w:val="00F321FD"/>
    <w:rsid w:val="00F32339"/>
    <w:rsid w:val="00F3374A"/>
    <w:rsid w:val="00F626B0"/>
    <w:rsid w:val="00F66852"/>
    <w:rsid w:val="00FA111D"/>
    <w:rsid w:val="00FA1AF5"/>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CF5A2"/>
  <w15:chartTrackingRefBased/>
  <w15:docId w15:val="{6D7EA03B-8E6C-6649-8919-A1A41D4D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6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DF2E36"/>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DF2E36"/>
    <w:pPr>
      <w:keepNext/>
      <w:keepLines/>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F2E36"/>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DF2E36"/>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CommentReference">
    <w:name w:val="annotation reference"/>
    <w:rsid w:val="005F2599"/>
    <w:rPr>
      <w:sz w:val="16"/>
      <w:szCs w:val="16"/>
    </w:rPr>
  </w:style>
  <w:style w:type="paragraph" w:styleId="CommentText">
    <w:name w:val="annotation text"/>
    <w:basedOn w:val="Normal"/>
    <w:link w:val="CommentTextChar"/>
    <w:rsid w:val="005F2599"/>
  </w:style>
  <w:style w:type="character" w:customStyle="1" w:styleId="CommentTextChar">
    <w:name w:val="Comment Text Char"/>
    <w:link w:val="CommentText"/>
    <w:rsid w:val="005F2599"/>
    <w:rPr>
      <w:lang w:eastAsia="en-GB"/>
    </w:rPr>
  </w:style>
  <w:style w:type="paragraph" w:styleId="CommentSubject">
    <w:name w:val="annotation subject"/>
    <w:basedOn w:val="CommentText"/>
    <w:next w:val="CommentText"/>
    <w:link w:val="CommentSubjectChar"/>
    <w:rsid w:val="005F2599"/>
    <w:rPr>
      <w:b/>
      <w:bCs/>
    </w:rPr>
  </w:style>
  <w:style w:type="character" w:customStyle="1" w:styleId="CommentSubjectChar">
    <w:name w:val="Comment Subject Char"/>
    <w:link w:val="CommentSubject"/>
    <w:rsid w:val="005F2599"/>
    <w:rPr>
      <w:b/>
      <w:bCs/>
      <w:lang w:eastAsia="en-GB"/>
    </w:rPr>
  </w:style>
  <w:style w:type="character" w:styleId="Hyperlink">
    <w:name w:val="Hyperlink"/>
    <w:rsid w:val="008457E0"/>
    <w:rPr>
      <w:color w:val="0563C1"/>
      <w:u w:val="single"/>
    </w:rPr>
  </w:style>
  <w:style w:type="character" w:styleId="UnresolvedMention">
    <w:name w:val="Unresolved Mention"/>
    <w:uiPriority w:val="99"/>
    <w:semiHidden/>
    <w:unhideWhenUsed/>
    <w:rsid w:val="008457E0"/>
    <w:rPr>
      <w:color w:val="605E5C"/>
      <w:shd w:val="clear" w:color="auto" w:fill="E1DFDD"/>
    </w:rPr>
  </w:style>
  <w:style w:type="paragraph" w:styleId="Bibliography">
    <w:name w:val="Bibliography"/>
    <w:basedOn w:val="Normal"/>
    <w:next w:val="Normal"/>
    <w:uiPriority w:val="37"/>
    <w:semiHidden/>
    <w:unhideWhenUsed/>
    <w:rsid w:val="003E6A8D"/>
  </w:style>
  <w:style w:type="character" w:styleId="FollowedHyperlink">
    <w:name w:val="FollowedHyperlink"/>
    <w:rsid w:val="00377416"/>
    <w:rPr>
      <w:color w:val="954F72"/>
      <w:u w:val="single"/>
    </w:rPr>
  </w:style>
  <w:style w:type="paragraph" w:styleId="Caption">
    <w:name w:val="caption"/>
    <w:basedOn w:val="Normal"/>
    <w:next w:val="Normal"/>
    <w:unhideWhenUsed/>
    <w:qFormat/>
    <w:rsid w:val="00D84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5741">
      <w:bodyDiv w:val="1"/>
      <w:marLeft w:val="0"/>
      <w:marRight w:val="0"/>
      <w:marTop w:val="0"/>
      <w:marBottom w:val="0"/>
      <w:divBdr>
        <w:top w:val="none" w:sz="0" w:space="0" w:color="auto"/>
        <w:left w:val="none" w:sz="0" w:space="0" w:color="auto"/>
        <w:bottom w:val="none" w:sz="0" w:space="0" w:color="auto"/>
        <w:right w:val="none" w:sz="0" w:space="0" w:color="auto"/>
      </w:divBdr>
    </w:div>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3017">
      <w:bodyDiv w:val="1"/>
      <w:marLeft w:val="0"/>
      <w:marRight w:val="0"/>
      <w:marTop w:val="0"/>
      <w:marBottom w:val="0"/>
      <w:divBdr>
        <w:top w:val="none" w:sz="0" w:space="0" w:color="auto"/>
        <w:left w:val="none" w:sz="0" w:space="0" w:color="auto"/>
        <w:bottom w:val="none" w:sz="0" w:space="0" w:color="auto"/>
        <w:right w:val="none" w:sz="0" w:space="0" w:color="auto"/>
      </w:divBdr>
    </w:div>
    <w:div w:id="929771712">
      <w:bodyDiv w:val="1"/>
      <w:marLeft w:val="0"/>
      <w:marRight w:val="0"/>
      <w:marTop w:val="0"/>
      <w:marBottom w:val="0"/>
      <w:divBdr>
        <w:top w:val="none" w:sz="0" w:space="0" w:color="auto"/>
        <w:left w:val="none" w:sz="0" w:space="0" w:color="auto"/>
        <w:bottom w:val="none" w:sz="0" w:space="0" w:color="auto"/>
        <w:right w:val="none" w:sz="0" w:space="0" w:color="auto"/>
      </w:divBdr>
    </w:div>
    <w:div w:id="1233735449">
      <w:bodyDiv w:val="1"/>
      <w:marLeft w:val="0"/>
      <w:marRight w:val="0"/>
      <w:marTop w:val="0"/>
      <w:marBottom w:val="0"/>
      <w:divBdr>
        <w:top w:val="none" w:sz="0" w:space="0" w:color="auto"/>
        <w:left w:val="none" w:sz="0" w:space="0" w:color="auto"/>
        <w:bottom w:val="none" w:sz="0" w:space="0" w:color="auto"/>
        <w:right w:val="none" w:sz="0" w:space="0" w:color="auto"/>
      </w:divBdr>
    </w:div>
    <w:div w:id="1655179061">
      <w:bodyDiv w:val="1"/>
      <w:marLeft w:val="0"/>
      <w:marRight w:val="0"/>
      <w:marTop w:val="0"/>
      <w:marBottom w:val="0"/>
      <w:divBdr>
        <w:top w:val="none" w:sz="0" w:space="0" w:color="auto"/>
        <w:left w:val="none" w:sz="0" w:space="0" w:color="auto"/>
        <w:bottom w:val="none" w:sz="0" w:space="0" w:color="auto"/>
        <w:right w:val="none" w:sz="0" w:space="0" w:color="auto"/>
      </w:divBdr>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C:\Users\kia\AppData\Local\Temp\eWiC_Word_2000_template_EVA-1.dot</Template>
  <TotalTime>1</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Short paper</vt:lpstr>
    </vt:vector>
  </TitlesOfParts>
  <Company>The British Computer Society</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dc:title>
  <dc:subject/>
  <dc:creator>Your name</dc:creator>
  <cp:keywords/>
  <cp:lastModifiedBy>Carinna Parraman</cp:lastModifiedBy>
  <cp:revision>2</cp:revision>
  <cp:lastPrinted>1900-01-01T00:00:00Z</cp:lastPrinted>
  <dcterms:created xsi:type="dcterms:W3CDTF">2021-03-16T16:08:00Z</dcterms:created>
  <dcterms:modified xsi:type="dcterms:W3CDTF">2021-03-16T16:08:00Z</dcterms:modified>
</cp:coreProperties>
</file>