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B59B7" w14:textId="77777777" w:rsidR="003479B4" w:rsidRPr="00E25CF3" w:rsidRDefault="003479B4" w:rsidP="00E25CF3">
      <w:pPr>
        <w:spacing w:after="240" w:line="360" w:lineRule="auto"/>
        <w:jc w:val="both"/>
        <w:rPr>
          <w:rFonts w:ascii="Arial" w:eastAsia="Times New Roman" w:hAnsi="Arial" w:cs="Arial"/>
          <w:b/>
          <w:bCs/>
          <w:sz w:val="32"/>
          <w:szCs w:val="32"/>
          <w:lang w:eastAsia="en-GB"/>
        </w:rPr>
      </w:pPr>
      <w:r w:rsidRPr="00E25CF3">
        <w:rPr>
          <w:rFonts w:ascii="Arial" w:hAnsi="Arial" w:cs="Arial"/>
          <w:sz w:val="32"/>
          <w:szCs w:val="32"/>
        </w:rPr>
        <w:t xml:space="preserve">A </w:t>
      </w:r>
      <w:r w:rsidR="00534143" w:rsidRPr="00E25CF3">
        <w:rPr>
          <w:rFonts w:ascii="Arial" w:hAnsi="Arial" w:cs="Arial"/>
          <w:sz w:val="32"/>
          <w:szCs w:val="32"/>
        </w:rPr>
        <w:t xml:space="preserve">single arm </w:t>
      </w:r>
      <w:r w:rsidRPr="00E25CF3">
        <w:rPr>
          <w:rFonts w:ascii="Arial" w:hAnsi="Arial" w:cs="Arial"/>
          <w:sz w:val="32"/>
          <w:szCs w:val="32"/>
        </w:rPr>
        <w:t xml:space="preserve">phase II trial of </w:t>
      </w:r>
      <w:r w:rsidR="00534143" w:rsidRPr="00E25CF3">
        <w:rPr>
          <w:rFonts w:ascii="Arial" w:hAnsi="Arial" w:cs="Arial"/>
          <w:sz w:val="32"/>
          <w:szCs w:val="32"/>
        </w:rPr>
        <w:t xml:space="preserve">neoadjuvant </w:t>
      </w:r>
      <w:proofErr w:type="spellStart"/>
      <w:r w:rsidR="00534143" w:rsidRPr="00E25CF3">
        <w:rPr>
          <w:rFonts w:ascii="Arial" w:hAnsi="Arial" w:cs="Arial"/>
          <w:sz w:val="32"/>
          <w:szCs w:val="32"/>
        </w:rPr>
        <w:t>cabazitaxel</w:t>
      </w:r>
      <w:proofErr w:type="spellEnd"/>
      <w:r w:rsidRPr="00E25CF3">
        <w:rPr>
          <w:rFonts w:ascii="Arial" w:hAnsi="Arial" w:cs="Arial"/>
          <w:sz w:val="32"/>
          <w:szCs w:val="32"/>
        </w:rPr>
        <w:t xml:space="preserve"> and cisplatin chemotherapy </w:t>
      </w:r>
      <w:r w:rsidR="00534143" w:rsidRPr="00E25CF3">
        <w:rPr>
          <w:rFonts w:ascii="Arial" w:hAnsi="Arial" w:cs="Arial"/>
          <w:sz w:val="32"/>
          <w:szCs w:val="32"/>
        </w:rPr>
        <w:t xml:space="preserve">for muscle invasive </w:t>
      </w:r>
      <w:r w:rsidRPr="00E25CF3">
        <w:rPr>
          <w:rFonts w:ascii="Arial" w:hAnsi="Arial" w:cs="Arial"/>
          <w:sz w:val="32"/>
          <w:szCs w:val="32"/>
        </w:rPr>
        <w:t>transitional cell carcinoma of the urinary bladder.</w:t>
      </w:r>
    </w:p>
    <w:p w14:paraId="7B1DA881" w14:textId="3289B433" w:rsidR="00E37DB6" w:rsidRDefault="00A76C44" w:rsidP="00E25CF3">
      <w:pPr>
        <w:spacing w:line="480" w:lineRule="auto"/>
        <w:jc w:val="both"/>
        <w:rPr>
          <w:rFonts w:ascii="Arial" w:hAnsi="Arial" w:cs="Arial"/>
          <w:szCs w:val="24"/>
          <w:vertAlign w:val="superscript"/>
        </w:rPr>
      </w:pPr>
      <w:r w:rsidRPr="00B84C12">
        <w:rPr>
          <w:rFonts w:ascii="Arial" w:hAnsi="Arial" w:cs="Arial"/>
          <w:szCs w:val="24"/>
        </w:rPr>
        <w:t xml:space="preserve">Amarnath </w:t>
      </w:r>
      <w:proofErr w:type="spellStart"/>
      <w:r w:rsidR="00E37DB6" w:rsidRPr="00B84C12">
        <w:rPr>
          <w:rFonts w:ascii="Arial" w:hAnsi="Arial" w:cs="Arial"/>
          <w:szCs w:val="24"/>
        </w:rPr>
        <w:t>Challapalli</w:t>
      </w:r>
      <w:r w:rsidR="00E37DB6" w:rsidRPr="00B84C12">
        <w:rPr>
          <w:rFonts w:ascii="Arial" w:hAnsi="Arial" w:cs="Arial"/>
          <w:szCs w:val="24"/>
          <w:vertAlign w:val="superscript"/>
        </w:rPr>
        <w:t>a</w:t>
      </w:r>
      <w:proofErr w:type="spellEnd"/>
      <w:r w:rsidR="008C652C" w:rsidRPr="00B84C12">
        <w:rPr>
          <w:rFonts w:ascii="Arial" w:hAnsi="Arial" w:cs="Arial"/>
          <w:szCs w:val="24"/>
          <w:vertAlign w:val="superscript"/>
        </w:rPr>
        <w:t>, †</w:t>
      </w:r>
      <w:r w:rsidR="00E37DB6" w:rsidRPr="00B84C12">
        <w:rPr>
          <w:rFonts w:ascii="Arial" w:hAnsi="Arial" w:cs="Arial"/>
          <w:szCs w:val="24"/>
        </w:rPr>
        <w:t xml:space="preserve">, </w:t>
      </w:r>
      <w:r w:rsidR="008C652C" w:rsidRPr="00B84C12">
        <w:rPr>
          <w:rFonts w:ascii="Arial" w:hAnsi="Arial" w:cs="Arial"/>
          <w:szCs w:val="24"/>
        </w:rPr>
        <w:t xml:space="preserve">Susan </w:t>
      </w:r>
      <w:proofErr w:type="spellStart"/>
      <w:r w:rsidR="008C652C" w:rsidRPr="00B84C12">
        <w:rPr>
          <w:rFonts w:ascii="Arial" w:hAnsi="Arial" w:cs="Arial"/>
          <w:szCs w:val="24"/>
        </w:rPr>
        <w:t>Masson</w:t>
      </w:r>
      <w:r w:rsidR="008C652C" w:rsidRPr="00B84C12">
        <w:rPr>
          <w:rFonts w:ascii="Arial" w:hAnsi="Arial" w:cs="Arial"/>
          <w:szCs w:val="24"/>
          <w:vertAlign w:val="superscript"/>
        </w:rPr>
        <w:t>a</w:t>
      </w:r>
      <w:proofErr w:type="spellEnd"/>
      <w:r w:rsidR="008C652C" w:rsidRPr="00B84C12">
        <w:rPr>
          <w:rFonts w:ascii="Arial" w:hAnsi="Arial" w:cs="Arial"/>
          <w:szCs w:val="24"/>
          <w:vertAlign w:val="superscript"/>
        </w:rPr>
        <w:t>, †</w:t>
      </w:r>
      <w:r w:rsidR="008C652C" w:rsidRPr="00B84C12">
        <w:rPr>
          <w:rFonts w:ascii="Arial" w:hAnsi="Arial" w:cs="Arial"/>
          <w:szCs w:val="24"/>
        </w:rPr>
        <w:t xml:space="preserve">, </w:t>
      </w:r>
      <w:r w:rsidR="00094D36" w:rsidRPr="00B84C12">
        <w:rPr>
          <w:rFonts w:ascii="Arial" w:hAnsi="Arial" w:cs="Arial"/>
          <w:szCs w:val="24"/>
        </w:rPr>
        <w:t xml:space="preserve">Paul </w:t>
      </w:r>
      <w:proofErr w:type="spellStart"/>
      <w:r w:rsidR="00094D36" w:rsidRPr="00B84C12">
        <w:rPr>
          <w:rFonts w:ascii="Arial" w:hAnsi="Arial" w:cs="Arial"/>
          <w:szCs w:val="24"/>
        </w:rPr>
        <w:t>White</w:t>
      </w:r>
      <w:r w:rsidR="00094D36" w:rsidRPr="00B84C12">
        <w:rPr>
          <w:rFonts w:ascii="Arial" w:hAnsi="Arial" w:cs="Arial"/>
          <w:szCs w:val="24"/>
          <w:vertAlign w:val="superscript"/>
        </w:rPr>
        <w:t>b</w:t>
      </w:r>
      <w:proofErr w:type="spellEnd"/>
      <w:r w:rsidR="00094D36" w:rsidRPr="00B84C12">
        <w:rPr>
          <w:rFonts w:ascii="Arial" w:hAnsi="Arial" w:cs="Arial"/>
          <w:szCs w:val="24"/>
        </w:rPr>
        <w:t xml:space="preserve">, </w:t>
      </w:r>
      <w:proofErr w:type="spellStart"/>
      <w:r w:rsidR="00E26249" w:rsidRPr="00B84C12">
        <w:rPr>
          <w:rFonts w:ascii="Arial" w:hAnsi="Arial" w:cs="Arial"/>
          <w:szCs w:val="24"/>
        </w:rPr>
        <w:t>Narg</w:t>
      </w:r>
      <w:r w:rsidR="00D2236F">
        <w:rPr>
          <w:rFonts w:ascii="Arial" w:hAnsi="Arial" w:cs="Arial"/>
          <w:szCs w:val="24"/>
        </w:rPr>
        <w:t>e</w:t>
      </w:r>
      <w:r w:rsidR="00E26249" w:rsidRPr="00B84C12">
        <w:rPr>
          <w:rFonts w:ascii="Arial" w:hAnsi="Arial" w:cs="Arial"/>
          <w:szCs w:val="24"/>
        </w:rPr>
        <w:t>s</w:t>
      </w:r>
      <w:proofErr w:type="spellEnd"/>
      <w:r w:rsidR="00E26249" w:rsidRPr="00B84C12">
        <w:rPr>
          <w:rFonts w:ascii="Arial" w:hAnsi="Arial" w:cs="Arial"/>
          <w:szCs w:val="24"/>
        </w:rPr>
        <w:t xml:space="preserve"> </w:t>
      </w:r>
      <w:proofErr w:type="spellStart"/>
      <w:r w:rsidR="00E26249" w:rsidRPr="00B84C12">
        <w:rPr>
          <w:rFonts w:ascii="Arial" w:hAnsi="Arial" w:cs="Arial"/>
          <w:szCs w:val="24"/>
        </w:rPr>
        <w:t>Dailami</w:t>
      </w:r>
      <w:r w:rsidR="00E26249" w:rsidRPr="00B84C12">
        <w:rPr>
          <w:rFonts w:ascii="Arial" w:hAnsi="Arial" w:cs="Arial"/>
          <w:szCs w:val="24"/>
          <w:vertAlign w:val="superscript"/>
        </w:rPr>
        <w:t>b</w:t>
      </w:r>
      <w:proofErr w:type="spellEnd"/>
      <w:r w:rsidR="00E26249" w:rsidRPr="00B84C12">
        <w:rPr>
          <w:rFonts w:ascii="Arial" w:hAnsi="Arial" w:cs="Arial"/>
          <w:szCs w:val="24"/>
        </w:rPr>
        <w:t xml:space="preserve">, </w:t>
      </w:r>
      <w:r w:rsidRPr="00B84C12">
        <w:rPr>
          <w:rFonts w:ascii="Arial" w:hAnsi="Arial" w:cs="Arial"/>
          <w:szCs w:val="24"/>
        </w:rPr>
        <w:t>Sylvia</w:t>
      </w:r>
      <w:r w:rsidR="00E37DB6" w:rsidRPr="00B84C12">
        <w:rPr>
          <w:rFonts w:ascii="Arial" w:hAnsi="Arial" w:cs="Arial"/>
          <w:szCs w:val="24"/>
        </w:rPr>
        <w:t xml:space="preserve"> </w:t>
      </w:r>
      <w:proofErr w:type="spellStart"/>
      <w:r w:rsidR="00E37DB6" w:rsidRPr="00B84C12">
        <w:rPr>
          <w:rFonts w:ascii="Arial" w:hAnsi="Arial" w:cs="Arial"/>
          <w:szCs w:val="24"/>
        </w:rPr>
        <w:t>Pearson</w:t>
      </w:r>
      <w:r w:rsidR="00E37DB6" w:rsidRPr="00B84C12">
        <w:rPr>
          <w:rFonts w:ascii="Arial" w:hAnsi="Arial" w:cs="Arial"/>
          <w:szCs w:val="24"/>
          <w:vertAlign w:val="superscript"/>
        </w:rPr>
        <w:t>a</w:t>
      </w:r>
      <w:proofErr w:type="spellEnd"/>
      <w:r w:rsidR="00E37DB6" w:rsidRPr="00B84C12">
        <w:rPr>
          <w:rFonts w:ascii="Arial" w:hAnsi="Arial" w:cs="Arial"/>
          <w:szCs w:val="24"/>
        </w:rPr>
        <w:t xml:space="preserve">, </w:t>
      </w:r>
      <w:r w:rsidR="000635CB" w:rsidRPr="00B84C12">
        <w:rPr>
          <w:rFonts w:ascii="Arial" w:hAnsi="Arial" w:cs="Arial"/>
          <w:szCs w:val="24"/>
        </w:rPr>
        <w:t xml:space="preserve">Edward </w:t>
      </w:r>
      <w:proofErr w:type="spellStart"/>
      <w:r w:rsidR="000635CB" w:rsidRPr="00B84C12">
        <w:rPr>
          <w:rFonts w:ascii="Arial" w:hAnsi="Arial" w:cs="Arial"/>
          <w:szCs w:val="24"/>
        </w:rPr>
        <w:t>Rowe</w:t>
      </w:r>
      <w:r w:rsidR="00094D36" w:rsidRPr="00B84C12">
        <w:rPr>
          <w:rFonts w:ascii="Arial" w:hAnsi="Arial" w:cs="Arial"/>
          <w:szCs w:val="24"/>
          <w:vertAlign w:val="superscript"/>
        </w:rPr>
        <w:t>c</w:t>
      </w:r>
      <w:proofErr w:type="spellEnd"/>
      <w:r w:rsidR="000635CB" w:rsidRPr="00B84C12">
        <w:rPr>
          <w:rFonts w:ascii="Arial" w:hAnsi="Arial" w:cs="Arial"/>
          <w:szCs w:val="24"/>
        </w:rPr>
        <w:t xml:space="preserve">, </w:t>
      </w:r>
      <w:proofErr w:type="spellStart"/>
      <w:r w:rsidR="00FF3820">
        <w:rPr>
          <w:rFonts w:ascii="Arial" w:hAnsi="Arial" w:cs="Arial"/>
          <w:szCs w:val="24"/>
        </w:rPr>
        <w:t>Anthoiny</w:t>
      </w:r>
      <w:proofErr w:type="spellEnd"/>
      <w:r w:rsidR="00FF3820">
        <w:rPr>
          <w:rFonts w:ascii="Arial" w:hAnsi="Arial" w:cs="Arial"/>
          <w:szCs w:val="24"/>
        </w:rPr>
        <w:t xml:space="preserve"> </w:t>
      </w:r>
      <w:proofErr w:type="spellStart"/>
      <w:r w:rsidR="00FF3820">
        <w:rPr>
          <w:rFonts w:ascii="Arial" w:hAnsi="Arial" w:cs="Arial"/>
          <w:szCs w:val="24"/>
        </w:rPr>
        <w:t>Koupparis</w:t>
      </w:r>
      <w:proofErr w:type="spellEnd"/>
      <w:r w:rsidR="00FF3820">
        <w:rPr>
          <w:rFonts w:ascii="Arial" w:hAnsi="Arial" w:cs="Arial"/>
          <w:szCs w:val="24"/>
        </w:rPr>
        <w:t xml:space="preserve">, </w:t>
      </w:r>
      <w:r w:rsidR="000635CB" w:rsidRPr="00B84C12">
        <w:rPr>
          <w:rFonts w:ascii="Arial" w:hAnsi="Arial" w:cs="Arial"/>
          <w:szCs w:val="24"/>
        </w:rPr>
        <w:t xml:space="preserve">Jon </w:t>
      </w:r>
      <w:proofErr w:type="spellStart"/>
      <w:r w:rsidR="000635CB" w:rsidRPr="00B84C12">
        <w:rPr>
          <w:rFonts w:ascii="Arial" w:hAnsi="Arial" w:cs="Arial"/>
          <w:szCs w:val="24"/>
        </w:rPr>
        <w:t>Oxley</w:t>
      </w:r>
      <w:r w:rsidR="00094D36" w:rsidRPr="00B84C12">
        <w:rPr>
          <w:rFonts w:ascii="Arial" w:hAnsi="Arial" w:cs="Arial"/>
          <w:szCs w:val="24"/>
          <w:vertAlign w:val="superscript"/>
        </w:rPr>
        <w:t>d</w:t>
      </w:r>
      <w:proofErr w:type="spellEnd"/>
      <w:r w:rsidR="00E37DB6" w:rsidRPr="00B84C12">
        <w:rPr>
          <w:rFonts w:ascii="Arial" w:hAnsi="Arial" w:cs="Arial"/>
          <w:szCs w:val="24"/>
        </w:rPr>
        <w:t xml:space="preserve">, </w:t>
      </w:r>
      <w:r w:rsidR="00FF3820">
        <w:rPr>
          <w:rFonts w:ascii="Arial" w:hAnsi="Arial" w:cs="Arial"/>
          <w:szCs w:val="24"/>
        </w:rPr>
        <w:t xml:space="preserve">Ahmed Abdelaziz, </w:t>
      </w:r>
      <w:r w:rsidRPr="00B84C12">
        <w:rPr>
          <w:rFonts w:ascii="Arial" w:hAnsi="Arial" w:cs="Arial"/>
          <w:szCs w:val="24"/>
        </w:rPr>
        <w:t>Janice Ash-</w:t>
      </w:r>
      <w:proofErr w:type="spellStart"/>
      <w:r w:rsidRPr="00B84C12">
        <w:rPr>
          <w:rFonts w:ascii="Arial" w:hAnsi="Arial" w:cs="Arial"/>
          <w:szCs w:val="24"/>
        </w:rPr>
        <w:t>Miles</w:t>
      </w:r>
      <w:r w:rsidRPr="00B84C12">
        <w:rPr>
          <w:rFonts w:ascii="Arial" w:hAnsi="Arial" w:cs="Arial"/>
          <w:szCs w:val="24"/>
          <w:vertAlign w:val="superscript"/>
        </w:rPr>
        <w:t>e</w:t>
      </w:r>
      <w:proofErr w:type="spellEnd"/>
      <w:r w:rsidRPr="00B84C12">
        <w:rPr>
          <w:rFonts w:ascii="Arial" w:hAnsi="Arial" w:cs="Arial"/>
          <w:szCs w:val="24"/>
        </w:rPr>
        <w:t xml:space="preserve">, </w:t>
      </w:r>
      <w:r w:rsidR="00E26249" w:rsidRPr="00B84C12">
        <w:rPr>
          <w:rFonts w:ascii="Arial" w:hAnsi="Arial" w:cs="Arial"/>
          <w:szCs w:val="24"/>
        </w:rPr>
        <w:t xml:space="preserve">Alicia </w:t>
      </w:r>
      <w:proofErr w:type="spellStart"/>
      <w:r w:rsidR="00E26249" w:rsidRPr="00B84C12">
        <w:rPr>
          <w:rFonts w:ascii="Arial" w:hAnsi="Arial" w:cs="Arial"/>
          <w:szCs w:val="24"/>
        </w:rPr>
        <w:t>Bravo</w:t>
      </w:r>
      <w:r w:rsidR="00E26249" w:rsidRPr="00B84C12">
        <w:rPr>
          <w:rFonts w:ascii="Arial" w:hAnsi="Arial" w:cs="Arial"/>
          <w:szCs w:val="24"/>
          <w:vertAlign w:val="superscript"/>
        </w:rPr>
        <w:t>a</w:t>
      </w:r>
      <w:proofErr w:type="spellEnd"/>
      <w:r w:rsidR="00E26249" w:rsidRPr="00B84C12">
        <w:rPr>
          <w:rFonts w:ascii="Arial" w:hAnsi="Arial" w:cs="Arial"/>
          <w:szCs w:val="24"/>
        </w:rPr>
        <w:t xml:space="preserve">, </w:t>
      </w:r>
      <w:r w:rsidR="00E37DB6" w:rsidRPr="00B84C12">
        <w:rPr>
          <w:rFonts w:ascii="Arial" w:hAnsi="Arial" w:cs="Arial"/>
          <w:szCs w:val="24"/>
        </w:rPr>
        <w:t xml:space="preserve">Emily </w:t>
      </w:r>
      <w:proofErr w:type="spellStart"/>
      <w:r w:rsidR="00E37DB6" w:rsidRPr="00B84C12">
        <w:rPr>
          <w:rFonts w:ascii="Arial" w:hAnsi="Arial" w:cs="Arial"/>
          <w:szCs w:val="24"/>
        </w:rPr>
        <w:t>Foulstone</w:t>
      </w:r>
      <w:r w:rsidR="00E37DB6" w:rsidRPr="00B84C12">
        <w:rPr>
          <w:rFonts w:ascii="Arial" w:hAnsi="Arial" w:cs="Arial"/>
          <w:szCs w:val="24"/>
          <w:vertAlign w:val="superscript"/>
        </w:rPr>
        <w:t>a</w:t>
      </w:r>
      <w:proofErr w:type="spellEnd"/>
      <w:r w:rsidRPr="00B84C12">
        <w:rPr>
          <w:rFonts w:ascii="Arial" w:hAnsi="Arial" w:cs="Arial"/>
          <w:szCs w:val="24"/>
        </w:rPr>
        <w:t xml:space="preserve">, </w:t>
      </w:r>
      <w:r w:rsidR="00094D36" w:rsidRPr="00FF3820">
        <w:rPr>
          <w:rFonts w:ascii="Arial" w:hAnsi="Arial" w:cs="Arial"/>
          <w:szCs w:val="24"/>
        </w:rPr>
        <w:t xml:space="preserve">Claire </w:t>
      </w:r>
      <w:proofErr w:type="gramStart"/>
      <w:r w:rsidR="00094D36" w:rsidRPr="00FF3820">
        <w:rPr>
          <w:rFonts w:ascii="Arial" w:hAnsi="Arial" w:cs="Arial"/>
          <w:szCs w:val="24"/>
        </w:rPr>
        <w:t>Perks,</w:t>
      </w:r>
      <w:r w:rsidR="00094D36" w:rsidRPr="00B84C12">
        <w:rPr>
          <w:rFonts w:ascii="Arial" w:hAnsi="Arial" w:cs="Arial"/>
          <w:szCs w:val="24"/>
        </w:rPr>
        <w:t xml:space="preserve"> </w:t>
      </w:r>
      <w:r w:rsidR="008C652C" w:rsidRPr="00B84C12">
        <w:rPr>
          <w:rFonts w:ascii="Arial" w:hAnsi="Arial" w:cs="Arial"/>
          <w:szCs w:val="24"/>
        </w:rPr>
        <w:t xml:space="preserve"> </w:t>
      </w:r>
      <w:r w:rsidR="00094D36" w:rsidRPr="00FF3820">
        <w:rPr>
          <w:rFonts w:ascii="Arial" w:hAnsi="Arial" w:cs="Arial"/>
          <w:szCs w:val="24"/>
        </w:rPr>
        <w:t>Jeff</w:t>
      </w:r>
      <w:proofErr w:type="gramEnd"/>
      <w:r w:rsidR="00094D36" w:rsidRPr="00FF3820">
        <w:rPr>
          <w:rFonts w:ascii="Arial" w:hAnsi="Arial" w:cs="Arial"/>
          <w:szCs w:val="24"/>
        </w:rPr>
        <w:t xml:space="preserve"> Holly,</w:t>
      </w:r>
      <w:r w:rsidR="00094D36" w:rsidRPr="00B84C12">
        <w:rPr>
          <w:rFonts w:ascii="Arial" w:hAnsi="Arial" w:cs="Arial"/>
          <w:szCs w:val="24"/>
        </w:rPr>
        <w:t xml:space="preserve"> </w:t>
      </w:r>
      <w:r w:rsidR="00FF3820" w:rsidRPr="00B84C12">
        <w:rPr>
          <w:rFonts w:ascii="Arial" w:hAnsi="Arial" w:cs="Arial"/>
          <w:szCs w:val="24"/>
        </w:rPr>
        <w:t xml:space="preserve">Raj </w:t>
      </w:r>
      <w:proofErr w:type="spellStart"/>
      <w:r w:rsidR="00FF3820" w:rsidRPr="00B84C12">
        <w:rPr>
          <w:rFonts w:ascii="Arial" w:hAnsi="Arial" w:cs="Arial"/>
          <w:szCs w:val="24"/>
        </w:rPr>
        <w:t>Persad</w:t>
      </w:r>
      <w:r w:rsidR="00FF3820" w:rsidRPr="00B84C12">
        <w:rPr>
          <w:rFonts w:ascii="Arial" w:hAnsi="Arial" w:cs="Arial"/>
          <w:szCs w:val="24"/>
          <w:vertAlign w:val="superscript"/>
        </w:rPr>
        <w:t>c</w:t>
      </w:r>
      <w:proofErr w:type="spellEnd"/>
      <w:r w:rsidR="00FF3820" w:rsidRPr="00B84C12">
        <w:rPr>
          <w:rFonts w:ascii="Arial" w:hAnsi="Arial" w:cs="Arial"/>
          <w:szCs w:val="24"/>
        </w:rPr>
        <w:t xml:space="preserve"> </w:t>
      </w:r>
      <w:r w:rsidR="00FF3820">
        <w:rPr>
          <w:rFonts w:ascii="Arial" w:hAnsi="Arial" w:cs="Arial"/>
          <w:szCs w:val="24"/>
        </w:rPr>
        <w:t xml:space="preserve">, </w:t>
      </w:r>
      <w:r w:rsidRPr="00B84C12">
        <w:rPr>
          <w:rFonts w:ascii="Arial" w:hAnsi="Arial" w:cs="Arial"/>
          <w:szCs w:val="24"/>
        </w:rPr>
        <w:t>Amit</w:t>
      </w:r>
      <w:r w:rsidR="00E37DB6" w:rsidRPr="00B84C12">
        <w:rPr>
          <w:rFonts w:ascii="Arial" w:hAnsi="Arial" w:cs="Arial"/>
          <w:szCs w:val="24"/>
        </w:rPr>
        <w:t xml:space="preserve"> </w:t>
      </w:r>
      <w:proofErr w:type="spellStart"/>
      <w:r w:rsidR="00E37DB6" w:rsidRPr="00B84C12">
        <w:rPr>
          <w:rFonts w:ascii="Arial" w:hAnsi="Arial" w:cs="Arial"/>
          <w:szCs w:val="24"/>
        </w:rPr>
        <w:t>Bahl</w:t>
      </w:r>
      <w:r w:rsidR="00E37DB6" w:rsidRPr="00B84C12">
        <w:rPr>
          <w:rFonts w:ascii="Arial" w:hAnsi="Arial" w:cs="Arial"/>
          <w:szCs w:val="24"/>
          <w:vertAlign w:val="superscript"/>
        </w:rPr>
        <w:t>a</w:t>
      </w:r>
      <w:proofErr w:type="spellEnd"/>
      <w:r w:rsidR="00E37DB6" w:rsidRPr="00B84C12">
        <w:rPr>
          <w:rFonts w:ascii="Arial" w:hAnsi="Arial" w:cs="Arial"/>
          <w:szCs w:val="24"/>
          <w:vertAlign w:val="superscript"/>
        </w:rPr>
        <w:t>*</w:t>
      </w:r>
    </w:p>
    <w:p w14:paraId="2855D72A" w14:textId="77777777" w:rsidR="00E37DB6" w:rsidRPr="00B84C12" w:rsidRDefault="00E37DB6" w:rsidP="00E25CF3">
      <w:pPr>
        <w:pStyle w:val="Default"/>
        <w:spacing w:line="480" w:lineRule="auto"/>
        <w:jc w:val="both"/>
        <w:rPr>
          <w:sz w:val="22"/>
        </w:rPr>
      </w:pPr>
      <w:proofErr w:type="spellStart"/>
      <w:r w:rsidRPr="00B84C12">
        <w:rPr>
          <w:bCs/>
          <w:sz w:val="22"/>
          <w:vertAlign w:val="superscript"/>
        </w:rPr>
        <w:t>a</w:t>
      </w:r>
      <w:r w:rsidRPr="00B84C12">
        <w:rPr>
          <w:bCs/>
          <w:sz w:val="22"/>
        </w:rPr>
        <w:t>Department</w:t>
      </w:r>
      <w:proofErr w:type="spellEnd"/>
      <w:r w:rsidRPr="00B84C12">
        <w:rPr>
          <w:bCs/>
          <w:sz w:val="22"/>
        </w:rPr>
        <w:t xml:space="preserve"> of Clinical Oncology, Bristol</w:t>
      </w:r>
      <w:r w:rsidR="00A76C44" w:rsidRPr="00B84C12">
        <w:rPr>
          <w:bCs/>
          <w:sz w:val="22"/>
        </w:rPr>
        <w:t xml:space="preserve"> Cancer Institute</w:t>
      </w:r>
      <w:r w:rsidRPr="00B84C12">
        <w:rPr>
          <w:bCs/>
          <w:sz w:val="22"/>
        </w:rPr>
        <w:t>,</w:t>
      </w:r>
      <w:r w:rsidR="00094D36" w:rsidRPr="00B84C12">
        <w:rPr>
          <w:bCs/>
          <w:sz w:val="22"/>
        </w:rPr>
        <w:t xml:space="preserve"> </w:t>
      </w:r>
      <w:proofErr w:type="spellStart"/>
      <w:r w:rsidR="00D2236F">
        <w:rPr>
          <w:bCs/>
          <w:sz w:val="22"/>
          <w:vertAlign w:val="superscript"/>
        </w:rPr>
        <w:t>b</w:t>
      </w:r>
      <w:r w:rsidR="00094D36" w:rsidRPr="00B84C12">
        <w:rPr>
          <w:bCs/>
          <w:sz w:val="22"/>
        </w:rPr>
        <w:t>Department</w:t>
      </w:r>
      <w:proofErr w:type="spellEnd"/>
      <w:r w:rsidR="00094D36" w:rsidRPr="00B84C12">
        <w:rPr>
          <w:bCs/>
          <w:sz w:val="22"/>
        </w:rPr>
        <w:t xml:space="preserve"> of </w:t>
      </w:r>
      <w:r w:rsidR="00A76C44" w:rsidRPr="00B84C12">
        <w:rPr>
          <w:bCs/>
          <w:sz w:val="22"/>
        </w:rPr>
        <w:t xml:space="preserve">Statistics, University of </w:t>
      </w:r>
      <w:r w:rsidR="00D2236F">
        <w:rPr>
          <w:bCs/>
          <w:sz w:val="22"/>
        </w:rPr>
        <w:t xml:space="preserve">the </w:t>
      </w:r>
      <w:r w:rsidR="00A76C44" w:rsidRPr="00B84C12">
        <w:rPr>
          <w:bCs/>
          <w:sz w:val="22"/>
        </w:rPr>
        <w:t>West of England,</w:t>
      </w:r>
      <w:r w:rsidRPr="00B84C12">
        <w:rPr>
          <w:bCs/>
          <w:sz w:val="22"/>
        </w:rPr>
        <w:t xml:space="preserve"> </w:t>
      </w:r>
      <w:proofErr w:type="spellStart"/>
      <w:r w:rsidR="00094D36" w:rsidRPr="00B84C12">
        <w:rPr>
          <w:bCs/>
          <w:sz w:val="22"/>
          <w:vertAlign w:val="superscript"/>
        </w:rPr>
        <w:t>c</w:t>
      </w:r>
      <w:r w:rsidR="000635CB" w:rsidRPr="00B84C12">
        <w:rPr>
          <w:bCs/>
          <w:sz w:val="22"/>
        </w:rPr>
        <w:t>Department</w:t>
      </w:r>
      <w:proofErr w:type="spellEnd"/>
      <w:r w:rsidR="000635CB" w:rsidRPr="00B84C12">
        <w:rPr>
          <w:bCs/>
          <w:sz w:val="22"/>
        </w:rPr>
        <w:t xml:space="preserve"> of Urology, Bristol U</w:t>
      </w:r>
      <w:r w:rsidR="00A76C44" w:rsidRPr="00B84C12">
        <w:rPr>
          <w:bCs/>
          <w:sz w:val="22"/>
        </w:rPr>
        <w:t xml:space="preserve">rological Institute, </w:t>
      </w:r>
      <w:r w:rsidR="00C91E11" w:rsidRPr="00B84C12">
        <w:rPr>
          <w:bCs/>
          <w:sz w:val="22"/>
        </w:rPr>
        <w:t>North Bristol NHS Trust</w:t>
      </w:r>
      <w:r w:rsidR="000635CB" w:rsidRPr="00B84C12">
        <w:rPr>
          <w:bCs/>
          <w:sz w:val="22"/>
        </w:rPr>
        <w:t xml:space="preserve">, </w:t>
      </w:r>
      <w:proofErr w:type="spellStart"/>
      <w:r w:rsidR="00094D36" w:rsidRPr="00B84C12">
        <w:rPr>
          <w:bCs/>
          <w:sz w:val="22"/>
          <w:vertAlign w:val="superscript"/>
        </w:rPr>
        <w:t>d</w:t>
      </w:r>
      <w:r w:rsidR="000635CB" w:rsidRPr="00B84C12">
        <w:rPr>
          <w:bCs/>
          <w:sz w:val="22"/>
        </w:rPr>
        <w:t>Department</w:t>
      </w:r>
      <w:proofErr w:type="spellEnd"/>
      <w:r w:rsidR="000635CB" w:rsidRPr="00B84C12">
        <w:rPr>
          <w:bCs/>
          <w:sz w:val="22"/>
        </w:rPr>
        <w:t xml:space="preserve"> of </w:t>
      </w:r>
      <w:r w:rsidR="00A76C44" w:rsidRPr="00B84C12">
        <w:rPr>
          <w:bCs/>
          <w:sz w:val="22"/>
        </w:rPr>
        <w:t xml:space="preserve">Pathology, </w:t>
      </w:r>
      <w:r w:rsidR="00C91E11" w:rsidRPr="00B84C12">
        <w:rPr>
          <w:bCs/>
          <w:sz w:val="22"/>
        </w:rPr>
        <w:t>North Bristol NHS Trust</w:t>
      </w:r>
      <w:r w:rsidR="00094D36" w:rsidRPr="00B84C12">
        <w:rPr>
          <w:bCs/>
          <w:sz w:val="22"/>
        </w:rPr>
        <w:t xml:space="preserve">, </w:t>
      </w:r>
      <w:proofErr w:type="spellStart"/>
      <w:r w:rsidR="00A76C44" w:rsidRPr="00B84C12">
        <w:rPr>
          <w:bCs/>
          <w:sz w:val="22"/>
          <w:vertAlign w:val="superscript"/>
        </w:rPr>
        <w:t>e</w:t>
      </w:r>
      <w:r w:rsidR="00A76C44" w:rsidRPr="00B84C12">
        <w:rPr>
          <w:bCs/>
          <w:sz w:val="22"/>
        </w:rPr>
        <w:t>Department</w:t>
      </w:r>
      <w:proofErr w:type="spellEnd"/>
      <w:r w:rsidR="00A76C44" w:rsidRPr="00B84C12">
        <w:rPr>
          <w:bCs/>
          <w:sz w:val="22"/>
        </w:rPr>
        <w:t xml:space="preserve"> of Radiology, </w:t>
      </w:r>
      <w:proofErr w:type="spellStart"/>
      <w:r w:rsidR="00C91E11" w:rsidRPr="00B84C12">
        <w:rPr>
          <w:bCs/>
          <w:sz w:val="22"/>
        </w:rPr>
        <w:t>UH</w:t>
      </w:r>
      <w:r w:rsidR="00094D36" w:rsidRPr="00B84C12">
        <w:rPr>
          <w:bCs/>
          <w:sz w:val="22"/>
        </w:rPr>
        <w:t>Bristol</w:t>
      </w:r>
      <w:proofErr w:type="spellEnd"/>
      <w:r w:rsidR="00C91E11" w:rsidRPr="00B84C12">
        <w:rPr>
          <w:bCs/>
          <w:sz w:val="22"/>
        </w:rPr>
        <w:t xml:space="preserve"> NHS Foundation Trust</w:t>
      </w:r>
      <w:r w:rsidR="00094D36" w:rsidRPr="00B84C12">
        <w:rPr>
          <w:bCs/>
          <w:sz w:val="22"/>
        </w:rPr>
        <w:t xml:space="preserve">, </w:t>
      </w:r>
      <w:r w:rsidR="00C91E11" w:rsidRPr="00B84C12">
        <w:rPr>
          <w:bCs/>
          <w:sz w:val="22"/>
        </w:rPr>
        <w:t xml:space="preserve">Bristol, </w:t>
      </w:r>
      <w:r w:rsidR="00A76C44" w:rsidRPr="00B84C12">
        <w:rPr>
          <w:bCs/>
          <w:sz w:val="22"/>
        </w:rPr>
        <w:t>UK.</w:t>
      </w:r>
    </w:p>
    <w:p w14:paraId="002C37A2" w14:textId="77777777" w:rsidR="00E25CF3" w:rsidRPr="00B84C12" w:rsidRDefault="00E25CF3" w:rsidP="00E25CF3">
      <w:pPr>
        <w:pStyle w:val="Default"/>
        <w:spacing w:line="480" w:lineRule="auto"/>
        <w:jc w:val="both"/>
        <w:rPr>
          <w:bCs/>
          <w:sz w:val="22"/>
        </w:rPr>
      </w:pPr>
    </w:p>
    <w:p w14:paraId="3B5EFF5E" w14:textId="77777777" w:rsidR="008C652C" w:rsidRPr="00B84C12" w:rsidRDefault="008C652C" w:rsidP="00E25CF3">
      <w:pPr>
        <w:pStyle w:val="Default"/>
        <w:spacing w:line="480" w:lineRule="auto"/>
        <w:jc w:val="both"/>
        <w:rPr>
          <w:b/>
          <w:bCs/>
          <w:sz w:val="22"/>
        </w:rPr>
      </w:pPr>
      <w:r w:rsidRPr="00B84C12">
        <w:rPr>
          <w:sz w:val="22"/>
        </w:rPr>
        <w:t>† Both authors contributed equally to this manuscript</w:t>
      </w:r>
      <w:r w:rsidR="00E26249" w:rsidRPr="00B84C12">
        <w:rPr>
          <w:sz w:val="22"/>
        </w:rPr>
        <w:t xml:space="preserve"> and are joint first </w:t>
      </w:r>
      <w:proofErr w:type="gramStart"/>
      <w:r w:rsidR="00E26249" w:rsidRPr="00B84C12">
        <w:rPr>
          <w:sz w:val="22"/>
        </w:rPr>
        <w:t>authors</w:t>
      </w:r>
      <w:proofErr w:type="gramEnd"/>
    </w:p>
    <w:p w14:paraId="467797DC" w14:textId="77777777" w:rsidR="008C652C" w:rsidRPr="00B84C12" w:rsidRDefault="008C652C" w:rsidP="00E25CF3">
      <w:pPr>
        <w:pStyle w:val="Default"/>
        <w:spacing w:line="480" w:lineRule="auto"/>
        <w:jc w:val="both"/>
        <w:rPr>
          <w:b/>
          <w:bCs/>
          <w:sz w:val="22"/>
        </w:rPr>
      </w:pPr>
    </w:p>
    <w:p w14:paraId="7509AB8F" w14:textId="77777777" w:rsidR="00E37DB6" w:rsidRPr="00B84C12" w:rsidRDefault="00E37DB6" w:rsidP="00E25CF3">
      <w:pPr>
        <w:pStyle w:val="Default"/>
        <w:spacing w:line="480" w:lineRule="auto"/>
        <w:jc w:val="both"/>
        <w:rPr>
          <w:b/>
          <w:bCs/>
          <w:sz w:val="22"/>
        </w:rPr>
      </w:pPr>
      <w:r w:rsidRPr="00B84C12">
        <w:rPr>
          <w:b/>
          <w:bCs/>
          <w:sz w:val="22"/>
        </w:rPr>
        <w:t xml:space="preserve">Short title: </w:t>
      </w:r>
      <w:r w:rsidR="008C652C" w:rsidRPr="00B84C12">
        <w:rPr>
          <w:b/>
          <w:bCs/>
          <w:sz w:val="22"/>
        </w:rPr>
        <w:t>Bristol Bladder Trial (BBT)</w:t>
      </w:r>
    </w:p>
    <w:p w14:paraId="0F078896" w14:textId="77777777" w:rsidR="00E37DB6" w:rsidRPr="00B84C12" w:rsidRDefault="00E37DB6" w:rsidP="00E25CF3">
      <w:pPr>
        <w:pStyle w:val="Default"/>
        <w:spacing w:line="480" w:lineRule="auto"/>
        <w:jc w:val="both"/>
        <w:rPr>
          <w:sz w:val="22"/>
        </w:rPr>
      </w:pPr>
    </w:p>
    <w:p w14:paraId="2F0F8AE1" w14:textId="77777777" w:rsidR="00E37DB6" w:rsidRPr="00B84C12" w:rsidRDefault="00E37DB6" w:rsidP="00C91E11">
      <w:pPr>
        <w:pStyle w:val="Default"/>
        <w:jc w:val="both"/>
        <w:rPr>
          <w:b/>
          <w:sz w:val="22"/>
        </w:rPr>
      </w:pPr>
      <w:r w:rsidRPr="00B84C12">
        <w:rPr>
          <w:b/>
          <w:sz w:val="22"/>
        </w:rPr>
        <w:t>* Corresponding Author</w:t>
      </w:r>
    </w:p>
    <w:p w14:paraId="024FAFE9" w14:textId="77777777" w:rsidR="00E37DB6" w:rsidRPr="00B84C12" w:rsidRDefault="00E37DB6" w:rsidP="00C91E11">
      <w:pPr>
        <w:pStyle w:val="Default"/>
        <w:jc w:val="both"/>
        <w:rPr>
          <w:sz w:val="22"/>
        </w:rPr>
      </w:pPr>
      <w:r w:rsidRPr="00B84C12">
        <w:rPr>
          <w:sz w:val="22"/>
        </w:rPr>
        <w:t>Prof.  Amit Bahl</w:t>
      </w:r>
    </w:p>
    <w:p w14:paraId="461C2CC6" w14:textId="77777777" w:rsidR="00E37DB6" w:rsidRPr="00B84C12" w:rsidRDefault="00E37DB6" w:rsidP="00C91E11">
      <w:pPr>
        <w:pStyle w:val="Default"/>
        <w:jc w:val="both"/>
        <w:rPr>
          <w:bCs/>
          <w:sz w:val="22"/>
        </w:rPr>
      </w:pPr>
      <w:r w:rsidRPr="00B84C12">
        <w:rPr>
          <w:sz w:val="22"/>
        </w:rPr>
        <w:t xml:space="preserve">Consultant Clinical </w:t>
      </w:r>
      <w:r w:rsidRPr="00B84C12">
        <w:rPr>
          <w:bCs/>
          <w:sz w:val="22"/>
        </w:rPr>
        <w:t xml:space="preserve">Oncologist </w:t>
      </w:r>
    </w:p>
    <w:p w14:paraId="41EE8B70" w14:textId="77777777" w:rsidR="00E37DB6" w:rsidRPr="00B84C12" w:rsidRDefault="00E37DB6" w:rsidP="00C91E11">
      <w:pPr>
        <w:pStyle w:val="Default"/>
        <w:jc w:val="both"/>
        <w:rPr>
          <w:bCs/>
          <w:sz w:val="22"/>
        </w:rPr>
      </w:pPr>
      <w:r w:rsidRPr="00B84C12">
        <w:rPr>
          <w:bCs/>
          <w:sz w:val="22"/>
        </w:rPr>
        <w:t xml:space="preserve">Bristol Cancer Institute, </w:t>
      </w:r>
    </w:p>
    <w:p w14:paraId="77681A8E" w14:textId="77777777" w:rsidR="00E37DB6" w:rsidRPr="00B84C12" w:rsidRDefault="00E37DB6" w:rsidP="00C91E11">
      <w:pPr>
        <w:pStyle w:val="Default"/>
        <w:jc w:val="both"/>
        <w:rPr>
          <w:bCs/>
          <w:sz w:val="22"/>
        </w:rPr>
      </w:pPr>
      <w:r w:rsidRPr="00B84C12">
        <w:rPr>
          <w:bCs/>
          <w:sz w:val="22"/>
        </w:rPr>
        <w:t xml:space="preserve">University Hospitals Bristol NHS Foundation Trust, </w:t>
      </w:r>
    </w:p>
    <w:p w14:paraId="6FCFB5BD" w14:textId="77777777" w:rsidR="00E37DB6" w:rsidRPr="00B84C12" w:rsidRDefault="00E37DB6" w:rsidP="00C91E11">
      <w:pPr>
        <w:pStyle w:val="Default"/>
        <w:jc w:val="both"/>
        <w:rPr>
          <w:bCs/>
          <w:sz w:val="22"/>
        </w:rPr>
      </w:pPr>
      <w:r w:rsidRPr="00B84C12">
        <w:rPr>
          <w:bCs/>
          <w:sz w:val="22"/>
        </w:rPr>
        <w:t>Bristol, BS28ED, UK.</w:t>
      </w:r>
    </w:p>
    <w:p w14:paraId="0E7C131E" w14:textId="77777777" w:rsidR="00E37DB6" w:rsidRPr="00B84C12" w:rsidRDefault="00E37DB6" w:rsidP="00C91E11">
      <w:pPr>
        <w:pStyle w:val="Default"/>
        <w:jc w:val="both"/>
        <w:rPr>
          <w:bCs/>
          <w:sz w:val="22"/>
        </w:rPr>
      </w:pPr>
      <w:r w:rsidRPr="00B84C12">
        <w:rPr>
          <w:bCs/>
          <w:sz w:val="22"/>
        </w:rPr>
        <w:t>Tel No: +441173422418</w:t>
      </w:r>
    </w:p>
    <w:p w14:paraId="48F61853" w14:textId="77777777" w:rsidR="00E37DB6" w:rsidRPr="00B84C12" w:rsidRDefault="00E25CF3" w:rsidP="00C91E11">
      <w:pPr>
        <w:pStyle w:val="Default"/>
        <w:jc w:val="both"/>
        <w:rPr>
          <w:color w:val="auto"/>
          <w:sz w:val="22"/>
        </w:rPr>
      </w:pPr>
      <w:r w:rsidRPr="00B84C12">
        <w:rPr>
          <w:color w:val="auto"/>
          <w:sz w:val="22"/>
        </w:rPr>
        <w:t>Email: Amitbahl@doctors.org</w:t>
      </w:r>
      <w:r w:rsidR="00E37DB6" w:rsidRPr="00B84C12">
        <w:rPr>
          <w:color w:val="auto"/>
          <w:sz w:val="22"/>
        </w:rPr>
        <w:t>.uk</w:t>
      </w:r>
      <w:r w:rsidR="00E37DB6" w:rsidRPr="00B84C12" w:rsidDel="00C06896">
        <w:rPr>
          <w:sz w:val="22"/>
        </w:rPr>
        <w:t xml:space="preserve"> </w:t>
      </w:r>
      <w:hyperlink r:id="rId8" w:history="1"/>
    </w:p>
    <w:p w14:paraId="24100B5C" w14:textId="77777777" w:rsidR="00150487" w:rsidRDefault="00150487" w:rsidP="00C91E11">
      <w:pPr>
        <w:pStyle w:val="Default"/>
        <w:jc w:val="both"/>
        <w:rPr>
          <w:b/>
          <w:color w:val="auto"/>
          <w:sz w:val="22"/>
        </w:rPr>
      </w:pPr>
    </w:p>
    <w:p w14:paraId="16908EC8" w14:textId="77777777" w:rsidR="00E37DB6" w:rsidRPr="00B84C12" w:rsidRDefault="00E37DB6" w:rsidP="00C91E11">
      <w:pPr>
        <w:pStyle w:val="Default"/>
        <w:jc w:val="both"/>
        <w:rPr>
          <w:color w:val="auto"/>
          <w:sz w:val="22"/>
        </w:rPr>
      </w:pPr>
      <w:r w:rsidRPr="00B84C12">
        <w:rPr>
          <w:b/>
          <w:color w:val="auto"/>
          <w:sz w:val="22"/>
        </w:rPr>
        <w:t>Word count</w:t>
      </w:r>
      <w:r w:rsidRPr="00B84C12">
        <w:rPr>
          <w:color w:val="auto"/>
          <w:sz w:val="22"/>
        </w:rPr>
        <w:t xml:space="preserve">: </w:t>
      </w:r>
      <w:r w:rsidR="001F1350">
        <w:rPr>
          <w:color w:val="auto"/>
          <w:sz w:val="22"/>
        </w:rPr>
        <w:t>Abstract:</w:t>
      </w:r>
      <w:r w:rsidR="00C6480F">
        <w:rPr>
          <w:color w:val="auto"/>
          <w:sz w:val="22"/>
        </w:rPr>
        <w:t xml:space="preserve"> 250</w:t>
      </w:r>
      <w:r w:rsidR="001F1350">
        <w:rPr>
          <w:color w:val="auto"/>
          <w:sz w:val="22"/>
        </w:rPr>
        <w:t xml:space="preserve">   Text: </w:t>
      </w:r>
      <w:r w:rsidR="00C6480F">
        <w:rPr>
          <w:color w:val="auto"/>
          <w:sz w:val="22"/>
        </w:rPr>
        <w:t>3795</w:t>
      </w:r>
    </w:p>
    <w:p w14:paraId="42C257A3" w14:textId="77777777" w:rsidR="00E37DB6" w:rsidRPr="00B84C12" w:rsidRDefault="00E25CF3" w:rsidP="00C91E11">
      <w:pPr>
        <w:pStyle w:val="Default"/>
        <w:jc w:val="both"/>
        <w:rPr>
          <w:color w:val="auto"/>
          <w:sz w:val="22"/>
        </w:rPr>
      </w:pPr>
      <w:r w:rsidRPr="00B84C12">
        <w:rPr>
          <w:color w:val="auto"/>
          <w:sz w:val="22"/>
        </w:rPr>
        <w:t xml:space="preserve">Tables: </w:t>
      </w:r>
      <w:r w:rsidR="00C6480F">
        <w:rPr>
          <w:color w:val="auto"/>
          <w:sz w:val="22"/>
        </w:rPr>
        <w:t>3</w:t>
      </w:r>
    </w:p>
    <w:p w14:paraId="34A8DEE8" w14:textId="77777777" w:rsidR="00E25CF3" w:rsidRPr="00B84C12" w:rsidRDefault="00E25CF3" w:rsidP="00C91E11">
      <w:pPr>
        <w:pStyle w:val="Default"/>
        <w:jc w:val="both"/>
        <w:rPr>
          <w:color w:val="auto"/>
          <w:sz w:val="22"/>
        </w:rPr>
      </w:pPr>
      <w:r w:rsidRPr="00B84C12">
        <w:rPr>
          <w:color w:val="auto"/>
          <w:sz w:val="22"/>
        </w:rPr>
        <w:t xml:space="preserve">Figures: </w:t>
      </w:r>
      <w:r w:rsidR="00C6480F">
        <w:rPr>
          <w:color w:val="auto"/>
          <w:sz w:val="22"/>
        </w:rPr>
        <w:t>1</w:t>
      </w:r>
    </w:p>
    <w:p w14:paraId="4D7C4A30" w14:textId="77777777" w:rsidR="00E37DB6" w:rsidRPr="00481D63" w:rsidRDefault="00E37DB6" w:rsidP="00E25CF3">
      <w:pPr>
        <w:spacing w:after="240" w:line="240" w:lineRule="auto"/>
        <w:jc w:val="both"/>
        <w:rPr>
          <w:rFonts w:ascii="Arial" w:eastAsia="Times New Roman" w:hAnsi="Arial" w:cs="Arial"/>
          <w:b/>
          <w:bCs/>
          <w:color w:val="31849B"/>
          <w:lang w:eastAsia="en-GB"/>
        </w:rPr>
      </w:pPr>
    </w:p>
    <w:p w14:paraId="34370076" w14:textId="77777777" w:rsidR="00E37DB6" w:rsidRPr="00481D63" w:rsidRDefault="00E37DB6" w:rsidP="00E25CF3">
      <w:pPr>
        <w:spacing w:after="240" w:line="240" w:lineRule="auto"/>
        <w:jc w:val="both"/>
        <w:rPr>
          <w:rFonts w:ascii="Arial" w:eastAsia="Times New Roman" w:hAnsi="Arial" w:cs="Arial"/>
          <w:b/>
          <w:bCs/>
          <w:color w:val="31849B"/>
          <w:lang w:eastAsia="en-GB"/>
        </w:rPr>
      </w:pPr>
    </w:p>
    <w:p w14:paraId="3D196D5C" w14:textId="77777777" w:rsidR="00B84C12" w:rsidRPr="00481D63" w:rsidRDefault="00B84C12" w:rsidP="00E25CF3">
      <w:pPr>
        <w:spacing w:after="240" w:line="240" w:lineRule="auto"/>
        <w:jc w:val="both"/>
        <w:rPr>
          <w:rFonts w:ascii="Arial" w:eastAsia="Times New Roman" w:hAnsi="Arial" w:cs="Arial"/>
          <w:b/>
          <w:bCs/>
          <w:color w:val="31849B"/>
          <w:lang w:eastAsia="en-GB"/>
        </w:rPr>
      </w:pPr>
    </w:p>
    <w:p w14:paraId="138528A2" w14:textId="77777777" w:rsidR="00E37DB6" w:rsidRPr="00481D63" w:rsidRDefault="00E37DB6" w:rsidP="00E25CF3">
      <w:pPr>
        <w:spacing w:after="240" w:line="240" w:lineRule="auto"/>
        <w:jc w:val="both"/>
        <w:rPr>
          <w:rFonts w:ascii="Arial" w:eastAsia="Times New Roman" w:hAnsi="Arial" w:cs="Arial"/>
          <w:b/>
          <w:bCs/>
          <w:color w:val="31849B"/>
          <w:lang w:eastAsia="en-GB"/>
        </w:rPr>
      </w:pPr>
    </w:p>
    <w:p w14:paraId="1F968995" w14:textId="77777777" w:rsidR="00FF3820" w:rsidRDefault="00FF3820">
      <w:pPr>
        <w:spacing w:after="0" w:line="240" w:lineRule="auto"/>
        <w:rPr>
          <w:rFonts w:ascii="Arial" w:eastAsia="Times New Roman" w:hAnsi="Arial" w:cs="Arial"/>
          <w:b/>
          <w:bCs/>
          <w:color w:val="000000"/>
          <w:sz w:val="28"/>
          <w:lang w:eastAsia="en-GB"/>
        </w:rPr>
      </w:pPr>
      <w:r>
        <w:rPr>
          <w:rFonts w:ascii="Arial" w:eastAsia="Times New Roman" w:hAnsi="Arial" w:cs="Arial"/>
          <w:b/>
          <w:bCs/>
          <w:color w:val="000000"/>
          <w:sz w:val="28"/>
          <w:lang w:eastAsia="en-GB"/>
        </w:rPr>
        <w:br w:type="page"/>
      </w:r>
    </w:p>
    <w:p w14:paraId="767489E4" w14:textId="67D2DDDE" w:rsidR="00E37DB6" w:rsidRPr="00481D63" w:rsidRDefault="00E25CF3" w:rsidP="00E25CF3">
      <w:pPr>
        <w:spacing w:after="240" w:line="240" w:lineRule="auto"/>
        <w:jc w:val="both"/>
        <w:rPr>
          <w:rFonts w:ascii="Arial" w:eastAsia="Times New Roman" w:hAnsi="Arial" w:cs="Arial"/>
          <w:b/>
          <w:bCs/>
          <w:color w:val="000000"/>
          <w:sz w:val="18"/>
          <w:lang w:eastAsia="en-GB"/>
        </w:rPr>
      </w:pPr>
      <w:r w:rsidRPr="00481D63">
        <w:rPr>
          <w:rFonts w:ascii="Arial" w:eastAsia="Times New Roman" w:hAnsi="Arial" w:cs="Arial"/>
          <w:b/>
          <w:bCs/>
          <w:color w:val="000000"/>
          <w:sz w:val="28"/>
          <w:lang w:eastAsia="en-GB"/>
        </w:rPr>
        <w:lastRenderedPageBreak/>
        <w:t>Abstract</w:t>
      </w:r>
    </w:p>
    <w:p w14:paraId="6FDAF51F" w14:textId="77777777" w:rsidR="00BB3499" w:rsidRPr="00481D63" w:rsidRDefault="00BB3499" w:rsidP="00E25CF3">
      <w:pPr>
        <w:spacing w:after="240" w:line="240" w:lineRule="auto"/>
        <w:jc w:val="both"/>
        <w:rPr>
          <w:rFonts w:ascii="Arial" w:eastAsia="Times New Roman" w:hAnsi="Arial" w:cs="Arial"/>
          <w:color w:val="000000"/>
          <w:lang w:eastAsia="en-GB"/>
        </w:rPr>
      </w:pPr>
      <w:r w:rsidRPr="00481D63">
        <w:rPr>
          <w:rFonts w:ascii="Arial" w:eastAsia="Times New Roman" w:hAnsi="Arial" w:cs="Arial"/>
          <w:b/>
          <w:bCs/>
          <w:color w:val="000000"/>
          <w:lang w:eastAsia="en-GB"/>
        </w:rPr>
        <w:t>Background:</w:t>
      </w:r>
      <w:r w:rsidRPr="00481D63">
        <w:rPr>
          <w:rFonts w:ascii="Arial" w:eastAsia="Times New Roman" w:hAnsi="Arial" w:cs="Arial"/>
          <w:color w:val="000000"/>
          <w:lang w:eastAsia="en-GB"/>
        </w:rPr>
        <w:t xml:space="preserve"> </w:t>
      </w:r>
    </w:p>
    <w:p w14:paraId="3DFAABDC" w14:textId="77777777" w:rsidR="00361852" w:rsidRPr="00EE6673" w:rsidRDefault="00BB3499" w:rsidP="00EE6673">
      <w:pPr>
        <w:spacing w:line="480" w:lineRule="auto"/>
        <w:jc w:val="both"/>
        <w:rPr>
          <w:rFonts w:ascii="Arial" w:eastAsia="Times New Roman" w:hAnsi="Arial" w:cs="Arial"/>
          <w:color w:val="000000"/>
          <w:lang w:eastAsia="en-GB"/>
        </w:rPr>
      </w:pPr>
      <w:r w:rsidRPr="00481D63">
        <w:rPr>
          <w:rFonts w:ascii="Arial" w:eastAsia="Times New Roman" w:hAnsi="Arial" w:cs="Arial"/>
          <w:color w:val="000000"/>
          <w:lang w:eastAsia="en-GB"/>
        </w:rPr>
        <w:t xml:space="preserve">Neoadjuvant cisplatin-based combination chemotherapy improves survival in muscle invasive </w:t>
      </w:r>
      <w:r w:rsidR="00E26249" w:rsidRPr="00481D63">
        <w:rPr>
          <w:rFonts w:ascii="Arial" w:eastAsia="Times New Roman" w:hAnsi="Arial" w:cs="Arial"/>
          <w:color w:val="000000"/>
          <w:lang w:eastAsia="en-GB"/>
        </w:rPr>
        <w:t>bladder cancer (MIB</w:t>
      </w:r>
      <w:r w:rsidRPr="00481D63">
        <w:rPr>
          <w:rFonts w:ascii="Arial" w:eastAsia="Times New Roman" w:hAnsi="Arial" w:cs="Arial"/>
          <w:color w:val="000000"/>
          <w:lang w:eastAsia="en-GB"/>
        </w:rPr>
        <w:t xml:space="preserve">C). However, response rates and survival remain suboptimal. We sought to evaluate the efficacy, </w:t>
      </w:r>
      <w:proofErr w:type="gramStart"/>
      <w:r w:rsidRPr="00481D63">
        <w:rPr>
          <w:rFonts w:ascii="Arial" w:hAnsi="Arial" w:cs="Arial"/>
          <w:color w:val="000000"/>
        </w:rPr>
        <w:t>safety</w:t>
      </w:r>
      <w:proofErr w:type="gramEnd"/>
      <w:r w:rsidRPr="00481D63">
        <w:rPr>
          <w:rFonts w:ascii="Arial" w:hAnsi="Arial" w:cs="Arial"/>
          <w:color w:val="000000"/>
        </w:rPr>
        <w:t xml:space="preserve"> and tolerability </w:t>
      </w:r>
      <w:r w:rsidRPr="00481D63">
        <w:rPr>
          <w:rFonts w:ascii="Arial" w:eastAsia="Times New Roman" w:hAnsi="Arial" w:cs="Arial"/>
          <w:color w:val="000000"/>
          <w:lang w:eastAsia="en-GB"/>
        </w:rPr>
        <w:t xml:space="preserve">of cisplatin in combination with </w:t>
      </w:r>
      <w:proofErr w:type="spellStart"/>
      <w:r w:rsidRPr="00481D63">
        <w:rPr>
          <w:rFonts w:ascii="Arial" w:eastAsia="Times New Roman" w:hAnsi="Arial" w:cs="Arial"/>
          <w:color w:val="000000"/>
          <w:lang w:eastAsia="en-GB"/>
        </w:rPr>
        <w:t>cabazitaxel</w:t>
      </w:r>
      <w:proofErr w:type="spellEnd"/>
      <w:r w:rsidRPr="00481D63">
        <w:rPr>
          <w:rFonts w:ascii="Arial" w:eastAsia="Times New Roman" w:hAnsi="Arial" w:cs="Arial"/>
          <w:color w:val="000000"/>
          <w:lang w:eastAsia="en-GB"/>
        </w:rPr>
        <w:t xml:space="preserve"> in this patient group.</w:t>
      </w:r>
    </w:p>
    <w:p w14:paraId="549FEBAA" w14:textId="77777777" w:rsidR="00BB3499" w:rsidRPr="00481D63" w:rsidRDefault="00BB3499" w:rsidP="00E25CF3">
      <w:pPr>
        <w:jc w:val="both"/>
        <w:rPr>
          <w:rFonts w:ascii="Arial" w:hAnsi="Arial" w:cs="Arial"/>
          <w:color w:val="000000"/>
        </w:rPr>
      </w:pPr>
      <w:r w:rsidRPr="00481D63">
        <w:rPr>
          <w:rFonts w:ascii="Arial" w:eastAsia="Times New Roman" w:hAnsi="Arial" w:cs="Arial"/>
          <w:b/>
          <w:bCs/>
          <w:color w:val="000000"/>
          <w:lang w:eastAsia="en-GB"/>
        </w:rPr>
        <w:t>Methods:</w:t>
      </w:r>
    </w:p>
    <w:p w14:paraId="1620C34F" w14:textId="77777777" w:rsidR="00361852" w:rsidRPr="00EE6673" w:rsidRDefault="00BB3499" w:rsidP="00EE6673">
      <w:pPr>
        <w:spacing w:line="480" w:lineRule="auto"/>
        <w:jc w:val="both"/>
        <w:rPr>
          <w:rFonts w:ascii="Arial" w:hAnsi="Arial" w:cs="Arial"/>
          <w:color w:val="000000"/>
        </w:rPr>
      </w:pPr>
      <w:r w:rsidRPr="00481D63">
        <w:rPr>
          <w:rFonts w:ascii="Arial" w:hAnsi="Arial" w:cs="Arial"/>
          <w:color w:val="000000"/>
        </w:rPr>
        <w:t xml:space="preserve">A phase II single arm </w:t>
      </w:r>
      <w:r w:rsidR="001F1350" w:rsidRPr="00481D63">
        <w:rPr>
          <w:rFonts w:ascii="Arial" w:hAnsi="Arial" w:cs="Arial"/>
          <w:color w:val="000000"/>
        </w:rPr>
        <w:t>trial was designed</w:t>
      </w:r>
      <w:r w:rsidR="000F3E61">
        <w:rPr>
          <w:rFonts w:ascii="Arial" w:hAnsi="Arial" w:cs="Arial"/>
          <w:color w:val="000000"/>
        </w:rPr>
        <w:t xml:space="preserve"> (Simon</w:t>
      </w:r>
      <w:r w:rsidR="006148F6">
        <w:rPr>
          <w:rFonts w:ascii="Arial" w:hAnsi="Arial" w:cs="Arial"/>
          <w:color w:val="000000"/>
        </w:rPr>
        <w:t>-</w:t>
      </w:r>
      <w:r w:rsidR="000F3E61">
        <w:rPr>
          <w:rFonts w:ascii="Arial" w:hAnsi="Arial" w:cs="Arial"/>
          <w:color w:val="000000"/>
        </w:rPr>
        <w:t>2 stage),</w:t>
      </w:r>
      <w:r w:rsidR="001F1350" w:rsidRPr="00481D63">
        <w:rPr>
          <w:rFonts w:ascii="Arial" w:hAnsi="Arial" w:cs="Arial"/>
          <w:color w:val="000000"/>
        </w:rPr>
        <w:t xml:space="preserve"> to recruit </w:t>
      </w:r>
      <w:r w:rsidR="00DB7DB5">
        <w:rPr>
          <w:rFonts w:ascii="Arial" w:hAnsi="Arial" w:cs="Arial"/>
          <w:color w:val="000000"/>
        </w:rPr>
        <w:t>at least 26</w:t>
      </w:r>
      <w:r w:rsidRPr="00481D63">
        <w:rPr>
          <w:rFonts w:ascii="Arial" w:hAnsi="Arial" w:cs="Arial"/>
          <w:color w:val="000000"/>
        </w:rPr>
        <w:t xml:space="preserve"> evaluable patients. This would give </w:t>
      </w:r>
      <w:r w:rsidRPr="00481D63">
        <w:rPr>
          <w:rFonts w:ascii="Arial" w:eastAsia="Times New Roman" w:hAnsi="Arial" w:cs="Arial"/>
          <w:color w:val="000000"/>
          <w:lang w:eastAsia="en-GB"/>
        </w:rPr>
        <w:t xml:space="preserve">80% power to detect </w:t>
      </w:r>
      <w:r w:rsidRPr="00481D63">
        <w:rPr>
          <w:rFonts w:ascii="Arial" w:hAnsi="Arial" w:cs="Arial"/>
          <w:color w:val="000000"/>
        </w:rPr>
        <w:t xml:space="preserve">the primary endpoint, </w:t>
      </w:r>
      <w:r w:rsidRPr="00481D63">
        <w:rPr>
          <w:rFonts w:ascii="Arial" w:eastAsia="Times New Roman" w:hAnsi="Arial" w:cs="Arial"/>
          <w:color w:val="000000"/>
          <w:lang w:eastAsia="en-GB"/>
        </w:rPr>
        <w:t xml:space="preserve">objective response rate (ORR) defined as </w:t>
      </w:r>
      <w:r w:rsidR="00EE6673">
        <w:rPr>
          <w:rFonts w:ascii="Arial" w:eastAsia="Times New Roman" w:hAnsi="Arial" w:cs="Arial"/>
          <w:color w:val="000000"/>
          <w:lang w:eastAsia="en-GB"/>
        </w:rPr>
        <w:t xml:space="preserve">pathological </w:t>
      </w:r>
      <w:r w:rsidRPr="00481D63">
        <w:rPr>
          <w:rFonts w:ascii="Arial" w:hAnsi="Arial" w:cs="Arial"/>
          <w:color w:val="000000"/>
        </w:rPr>
        <w:t>complete response</w:t>
      </w:r>
      <w:r w:rsidR="00EE6673">
        <w:rPr>
          <w:rFonts w:ascii="Arial" w:hAnsi="Arial" w:cs="Arial"/>
          <w:color w:val="000000"/>
        </w:rPr>
        <w:t xml:space="preserve"> (</w:t>
      </w:r>
      <w:proofErr w:type="spellStart"/>
      <w:r w:rsidR="00EE6673">
        <w:rPr>
          <w:rFonts w:ascii="Arial" w:hAnsi="Arial" w:cs="Arial"/>
          <w:color w:val="000000"/>
        </w:rPr>
        <w:t>pCR</w:t>
      </w:r>
      <w:proofErr w:type="spellEnd"/>
      <w:r w:rsidR="00EE6673">
        <w:rPr>
          <w:rFonts w:ascii="Arial" w:hAnsi="Arial" w:cs="Arial"/>
          <w:color w:val="000000"/>
        </w:rPr>
        <w:t>)</w:t>
      </w:r>
      <w:r w:rsidRPr="00481D63">
        <w:rPr>
          <w:rFonts w:ascii="Arial" w:hAnsi="Arial" w:cs="Arial"/>
          <w:color w:val="000000"/>
        </w:rPr>
        <w:t xml:space="preserve"> plus partial response</w:t>
      </w:r>
      <w:r w:rsidR="00EE6673">
        <w:rPr>
          <w:rFonts w:ascii="Arial" w:hAnsi="Arial" w:cs="Arial"/>
          <w:color w:val="000000"/>
        </w:rPr>
        <w:t xml:space="preserve"> (pathological downstaging),</w:t>
      </w:r>
      <w:r w:rsidRPr="00481D63">
        <w:rPr>
          <w:rFonts w:ascii="Arial" w:hAnsi="Arial" w:cs="Arial"/>
          <w:color w:val="000000"/>
        </w:rPr>
        <w:t xml:space="preserve"> measured by pathologic staging (T stage) at </w:t>
      </w:r>
      <w:r w:rsidR="00EE6673">
        <w:rPr>
          <w:rFonts w:ascii="Arial" w:hAnsi="Arial" w:cs="Arial"/>
          <w:color w:val="000000"/>
        </w:rPr>
        <w:t>cystectomy</w:t>
      </w:r>
      <w:r w:rsidR="00EE6673" w:rsidRPr="00481D63">
        <w:rPr>
          <w:rFonts w:ascii="Arial" w:hAnsi="Arial" w:cs="Arial"/>
          <w:color w:val="000000"/>
        </w:rPr>
        <w:t xml:space="preserve"> </w:t>
      </w:r>
      <w:r w:rsidRPr="00481D63">
        <w:rPr>
          <w:rFonts w:ascii="Arial" w:eastAsia="Times New Roman" w:hAnsi="Arial" w:cs="Arial"/>
          <w:color w:val="000000"/>
          <w:lang w:eastAsia="en-GB"/>
        </w:rPr>
        <w:t>(</w:t>
      </w:r>
      <w:r w:rsidRPr="00481D63">
        <w:rPr>
          <w:rFonts w:ascii="Arial" w:hAnsi="Arial" w:cs="Arial"/>
          <w:color w:val="000000"/>
        </w:rPr>
        <w:t>p</w:t>
      </w:r>
      <w:r w:rsidRPr="00481D63">
        <w:rPr>
          <w:rFonts w:ascii="Arial" w:hAnsi="Arial" w:cs="Arial"/>
          <w:color w:val="000000"/>
          <w:vertAlign w:val="subscript"/>
        </w:rPr>
        <w:t xml:space="preserve">0 </w:t>
      </w:r>
      <w:r w:rsidRPr="00481D63">
        <w:rPr>
          <w:rFonts w:ascii="Arial" w:hAnsi="Arial" w:cs="Arial"/>
          <w:color w:val="000000"/>
        </w:rPr>
        <w:t>=0.35 and p</w:t>
      </w:r>
      <w:r w:rsidRPr="00481D63">
        <w:rPr>
          <w:rFonts w:ascii="Arial" w:hAnsi="Arial" w:cs="Arial"/>
          <w:color w:val="000000"/>
          <w:vertAlign w:val="subscript"/>
        </w:rPr>
        <w:t xml:space="preserve">1 </w:t>
      </w:r>
      <w:r w:rsidRPr="00481D63">
        <w:rPr>
          <w:rFonts w:ascii="Arial" w:hAnsi="Arial" w:cs="Arial"/>
          <w:color w:val="000000"/>
        </w:rPr>
        <w:t>=0.60, setting α =0.05).</w:t>
      </w:r>
    </w:p>
    <w:p w14:paraId="01F16C6B" w14:textId="77777777" w:rsidR="00BB3499" w:rsidRPr="00481D63" w:rsidRDefault="00BB3499" w:rsidP="00E25CF3">
      <w:pPr>
        <w:jc w:val="both"/>
        <w:rPr>
          <w:rFonts w:ascii="Arial" w:hAnsi="Arial" w:cs="Arial"/>
          <w:bCs/>
          <w:color w:val="000000"/>
          <w:lang w:val="en-US"/>
        </w:rPr>
      </w:pPr>
      <w:r w:rsidRPr="00481D63">
        <w:rPr>
          <w:rFonts w:ascii="Arial" w:eastAsia="Times New Roman" w:hAnsi="Arial" w:cs="Arial"/>
          <w:b/>
          <w:bCs/>
          <w:color w:val="000000"/>
          <w:lang w:eastAsia="en-GB"/>
        </w:rPr>
        <w:t>Results:</w:t>
      </w:r>
    </w:p>
    <w:p w14:paraId="25D8F99F" w14:textId="77777777" w:rsidR="00150487" w:rsidRDefault="00F3667A" w:rsidP="00DA4B5B">
      <w:pPr>
        <w:spacing w:line="480" w:lineRule="auto"/>
        <w:jc w:val="both"/>
        <w:rPr>
          <w:rFonts w:ascii="Arial" w:hAnsi="Arial" w:cs="Arial"/>
          <w:bCs/>
          <w:lang w:val="en-US"/>
        </w:rPr>
      </w:pPr>
      <w:r w:rsidRPr="00481D63">
        <w:rPr>
          <w:rFonts w:ascii="Arial" w:hAnsi="Arial" w:cs="Arial"/>
          <w:bCs/>
          <w:color w:val="000000"/>
          <w:lang w:val="en-US"/>
        </w:rPr>
        <w:t>Objective response</w:t>
      </w:r>
      <w:r w:rsidR="001F1350" w:rsidRPr="00481D63">
        <w:rPr>
          <w:rFonts w:ascii="Arial" w:hAnsi="Arial" w:cs="Arial"/>
          <w:bCs/>
          <w:color w:val="000000"/>
          <w:lang w:val="en-US"/>
        </w:rPr>
        <w:t xml:space="preserve"> was seen in </w:t>
      </w:r>
      <w:r w:rsidR="00EE1EA9">
        <w:rPr>
          <w:rFonts w:ascii="Arial" w:hAnsi="Arial" w:cs="Arial"/>
          <w:bCs/>
          <w:color w:val="000000"/>
          <w:lang w:val="en-US"/>
        </w:rPr>
        <w:t>1</w:t>
      </w:r>
      <w:r w:rsidR="00A1672B">
        <w:rPr>
          <w:rFonts w:ascii="Arial" w:hAnsi="Arial" w:cs="Arial"/>
          <w:bCs/>
          <w:color w:val="000000"/>
          <w:lang w:val="en-US"/>
        </w:rPr>
        <w:t>5</w:t>
      </w:r>
      <w:r w:rsidR="00EE1EA9" w:rsidRPr="00481D63">
        <w:rPr>
          <w:rFonts w:ascii="Arial" w:hAnsi="Arial" w:cs="Arial"/>
          <w:bCs/>
          <w:color w:val="000000"/>
          <w:lang w:val="en-US"/>
        </w:rPr>
        <w:t xml:space="preserve"> </w:t>
      </w:r>
      <w:r w:rsidR="001F1350" w:rsidRPr="00481D63">
        <w:rPr>
          <w:rFonts w:ascii="Arial" w:hAnsi="Arial" w:cs="Arial"/>
          <w:bCs/>
          <w:color w:val="000000"/>
          <w:lang w:val="en-US"/>
        </w:rPr>
        <w:t xml:space="preserve">out of </w:t>
      </w:r>
      <w:r w:rsidR="00DB7DB5" w:rsidRPr="00481D63">
        <w:rPr>
          <w:rFonts w:ascii="Arial" w:hAnsi="Arial" w:cs="Arial"/>
          <w:bCs/>
          <w:color w:val="000000"/>
          <w:lang w:val="en-US"/>
        </w:rPr>
        <w:t>2</w:t>
      </w:r>
      <w:r w:rsidR="00DB7DB5">
        <w:rPr>
          <w:rFonts w:ascii="Arial" w:hAnsi="Arial" w:cs="Arial"/>
          <w:bCs/>
          <w:color w:val="000000"/>
          <w:lang w:val="en-US"/>
        </w:rPr>
        <w:t>6</w:t>
      </w:r>
      <w:r w:rsidR="00BB3499" w:rsidRPr="00481D63">
        <w:rPr>
          <w:rFonts w:ascii="Arial" w:hAnsi="Arial" w:cs="Arial"/>
          <w:bCs/>
          <w:color w:val="000000"/>
          <w:lang w:val="en-US"/>
        </w:rPr>
        <w:t xml:space="preserve"> </w:t>
      </w:r>
      <w:r w:rsidR="006962E9">
        <w:rPr>
          <w:rFonts w:ascii="Arial" w:hAnsi="Arial" w:cs="Arial"/>
          <w:bCs/>
          <w:color w:val="000000"/>
          <w:lang w:val="en-US"/>
        </w:rPr>
        <w:t xml:space="preserve">evaluable </w:t>
      </w:r>
      <w:r w:rsidR="00BB3499" w:rsidRPr="00481D63">
        <w:rPr>
          <w:rFonts w:ascii="Arial" w:hAnsi="Arial" w:cs="Arial"/>
          <w:bCs/>
          <w:color w:val="000000"/>
          <w:lang w:val="en-US"/>
        </w:rPr>
        <w:t xml:space="preserve">patients, </w:t>
      </w:r>
      <w:r w:rsidR="00A1672B">
        <w:rPr>
          <w:rFonts w:ascii="Arial" w:hAnsi="Arial" w:cs="Arial"/>
          <w:bCs/>
          <w:color w:val="000000"/>
          <w:lang w:val="en-US"/>
        </w:rPr>
        <w:t>57.7</w:t>
      </w:r>
      <w:r w:rsidR="00BB3499" w:rsidRPr="00481D63">
        <w:rPr>
          <w:rFonts w:ascii="Arial" w:hAnsi="Arial" w:cs="Arial"/>
          <w:bCs/>
          <w:color w:val="000000"/>
          <w:lang w:val="en-US"/>
        </w:rPr>
        <w:t xml:space="preserve">% </w:t>
      </w:r>
      <w:r w:rsidRPr="00481D63">
        <w:rPr>
          <w:rFonts w:ascii="Arial" w:hAnsi="Arial" w:cs="Arial"/>
          <w:bCs/>
          <w:color w:val="000000"/>
          <w:lang w:val="en-US"/>
        </w:rPr>
        <w:t>and</w:t>
      </w:r>
      <w:r w:rsidR="00BB3499" w:rsidRPr="00481D63">
        <w:rPr>
          <w:rFonts w:ascii="Arial" w:hAnsi="Arial" w:cs="Arial"/>
          <w:bCs/>
          <w:color w:val="000000"/>
          <w:lang w:val="en-US"/>
        </w:rPr>
        <w:t xml:space="preserve"> over a third of patients achieved </w:t>
      </w:r>
      <w:proofErr w:type="spellStart"/>
      <w:r w:rsidR="00E21952">
        <w:rPr>
          <w:rFonts w:ascii="Arial" w:hAnsi="Arial" w:cs="Arial"/>
          <w:bCs/>
          <w:color w:val="000000"/>
          <w:lang w:val="en-US"/>
        </w:rPr>
        <w:t>pCR</w:t>
      </w:r>
      <w:proofErr w:type="spellEnd"/>
      <w:r w:rsidR="00E21952">
        <w:rPr>
          <w:rFonts w:ascii="Arial" w:hAnsi="Arial" w:cs="Arial"/>
          <w:bCs/>
          <w:color w:val="000000"/>
          <w:lang w:val="en-US"/>
        </w:rPr>
        <w:t xml:space="preserve"> </w:t>
      </w:r>
      <w:r w:rsidR="001F1350" w:rsidRPr="00481D63">
        <w:rPr>
          <w:rFonts w:ascii="Arial" w:hAnsi="Arial" w:cs="Arial"/>
          <w:bCs/>
          <w:color w:val="000000"/>
          <w:lang w:val="en-US"/>
        </w:rPr>
        <w:t>(</w:t>
      </w:r>
      <w:r w:rsidR="00A1672B">
        <w:rPr>
          <w:rFonts w:ascii="Arial" w:hAnsi="Arial" w:cs="Arial"/>
          <w:bCs/>
          <w:color w:val="000000"/>
          <w:lang w:val="en-US"/>
        </w:rPr>
        <w:t>9</w:t>
      </w:r>
      <w:r w:rsidR="006148F6">
        <w:rPr>
          <w:rFonts w:ascii="Arial" w:hAnsi="Arial" w:cs="Arial"/>
          <w:bCs/>
          <w:color w:val="000000"/>
          <w:lang w:val="en-US"/>
        </w:rPr>
        <w:t xml:space="preserve">/26; </w:t>
      </w:r>
      <w:r w:rsidR="000B2AD6">
        <w:rPr>
          <w:rFonts w:ascii="Arial" w:hAnsi="Arial" w:cs="Arial"/>
          <w:bCs/>
          <w:color w:val="000000"/>
          <w:lang w:val="en-US"/>
        </w:rPr>
        <w:t>34.6</w:t>
      </w:r>
      <w:r w:rsidR="001F1350" w:rsidRPr="00481D63">
        <w:rPr>
          <w:rFonts w:ascii="Arial" w:hAnsi="Arial" w:cs="Arial"/>
          <w:bCs/>
          <w:color w:val="000000"/>
          <w:lang w:val="en-US"/>
        </w:rPr>
        <w:t>%</w:t>
      </w:r>
      <w:r w:rsidR="00BB3499" w:rsidRPr="00481D63">
        <w:rPr>
          <w:rFonts w:ascii="Arial" w:hAnsi="Arial" w:cs="Arial"/>
          <w:bCs/>
          <w:color w:val="000000"/>
          <w:lang w:val="en-US"/>
        </w:rPr>
        <w:t xml:space="preserve">). </w:t>
      </w:r>
      <w:r w:rsidR="00792935" w:rsidRPr="00481D63">
        <w:rPr>
          <w:rFonts w:ascii="Arial" w:hAnsi="Arial" w:cs="Arial"/>
          <w:bCs/>
          <w:color w:val="000000"/>
          <w:lang w:val="en-US"/>
        </w:rPr>
        <w:t>78%</w:t>
      </w:r>
      <w:r w:rsidR="001F1350" w:rsidRPr="00481D63">
        <w:rPr>
          <w:rFonts w:ascii="Arial" w:hAnsi="Arial" w:cs="Arial"/>
          <w:bCs/>
          <w:color w:val="000000"/>
          <w:lang w:val="en-US"/>
        </w:rPr>
        <w:t xml:space="preserve"> (21/27)</w:t>
      </w:r>
      <w:r w:rsidR="00792935" w:rsidRPr="00481D63">
        <w:rPr>
          <w:rFonts w:ascii="Arial" w:hAnsi="Arial" w:cs="Arial"/>
          <w:bCs/>
          <w:color w:val="000000"/>
          <w:lang w:val="en-US"/>
        </w:rPr>
        <w:t xml:space="preserve"> of patients completed all cycles of treatment, with only </w:t>
      </w:r>
      <w:r w:rsidR="001F1350" w:rsidRPr="00481D63">
        <w:rPr>
          <w:rFonts w:ascii="Arial" w:hAnsi="Arial" w:cs="Arial"/>
          <w:bCs/>
          <w:color w:val="000000"/>
          <w:lang w:val="en-US"/>
        </w:rPr>
        <w:t>6.</w:t>
      </w:r>
      <w:r w:rsidR="00792935" w:rsidRPr="00481D63">
        <w:rPr>
          <w:rFonts w:ascii="Arial" w:hAnsi="Arial" w:cs="Arial"/>
          <w:bCs/>
          <w:color w:val="000000"/>
          <w:lang w:val="en-US"/>
        </w:rPr>
        <w:t>7% of the reported adverse events</w:t>
      </w:r>
      <w:r w:rsidR="001F1350" w:rsidRPr="00481D63">
        <w:rPr>
          <w:rFonts w:ascii="Arial" w:hAnsi="Arial" w:cs="Arial"/>
          <w:bCs/>
          <w:color w:val="000000"/>
          <w:lang w:val="en-US"/>
        </w:rPr>
        <w:t xml:space="preserve"> (AEs)</w:t>
      </w:r>
      <w:r w:rsidR="00792935" w:rsidRPr="00481D63">
        <w:rPr>
          <w:rFonts w:ascii="Arial" w:hAnsi="Arial" w:cs="Arial"/>
          <w:bCs/>
          <w:color w:val="000000"/>
          <w:lang w:val="en-US"/>
        </w:rPr>
        <w:t xml:space="preserve"> being</w:t>
      </w:r>
      <w:r w:rsidR="00BB3499" w:rsidRPr="00481D63">
        <w:rPr>
          <w:rFonts w:ascii="Arial" w:hAnsi="Arial" w:cs="Arial"/>
          <w:bCs/>
          <w:color w:val="000000"/>
          <w:lang w:val="en-US"/>
        </w:rPr>
        <w:t xml:space="preserve"> graded 3 or 4. There were 6</w:t>
      </w:r>
      <w:r w:rsidR="00BB3499" w:rsidRPr="00481D63">
        <w:rPr>
          <w:rFonts w:ascii="Arial" w:hAnsi="Arial" w:cs="Arial"/>
          <w:color w:val="000000"/>
        </w:rPr>
        <w:t xml:space="preserve"> treatment related SAEs reported but no SUSARs. </w:t>
      </w:r>
      <w:r w:rsidR="00E21952">
        <w:rPr>
          <w:rFonts w:ascii="Arial" w:hAnsi="Arial" w:cs="Arial"/>
          <w:color w:val="000000"/>
        </w:rPr>
        <w:t>In the patients who achieved objective response</w:t>
      </w:r>
      <w:r w:rsidR="00EE1EA9" w:rsidRPr="00481D63">
        <w:rPr>
          <w:rFonts w:ascii="Arial" w:hAnsi="Arial" w:cs="Arial"/>
          <w:color w:val="000000"/>
        </w:rPr>
        <w:t xml:space="preserve"> the median </w:t>
      </w:r>
      <w:r w:rsidR="00EE6673" w:rsidRPr="00481D63">
        <w:rPr>
          <w:rFonts w:ascii="Arial" w:hAnsi="Arial" w:cs="Arial"/>
          <w:color w:val="000000"/>
        </w:rPr>
        <w:t>progression free (PFS) and overall survival (OS</w:t>
      </w:r>
      <w:r w:rsidR="00EE6673">
        <w:rPr>
          <w:rFonts w:ascii="Arial" w:hAnsi="Arial" w:cs="Arial"/>
          <w:color w:val="000000"/>
        </w:rPr>
        <w:t>)</w:t>
      </w:r>
      <w:r w:rsidR="00EE6673" w:rsidRPr="00481D63">
        <w:rPr>
          <w:rFonts w:ascii="Arial" w:hAnsi="Arial" w:cs="Arial"/>
          <w:color w:val="000000"/>
        </w:rPr>
        <w:t xml:space="preserve"> </w:t>
      </w:r>
      <w:r w:rsidR="00EE1EA9" w:rsidRPr="00481D63">
        <w:rPr>
          <w:rFonts w:ascii="Arial" w:hAnsi="Arial" w:cs="Arial"/>
          <w:color w:val="000000"/>
        </w:rPr>
        <w:t>were not reached</w:t>
      </w:r>
      <w:r w:rsidR="00E21952">
        <w:rPr>
          <w:rFonts w:ascii="Arial" w:hAnsi="Arial" w:cs="Arial"/>
          <w:color w:val="000000"/>
        </w:rPr>
        <w:t xml:space="preserve"> (median follow-up of 41.5m)</w:t>
      </w:r>
      <w:r w:rsidR="00EE1EA9" w:rsidRPr="00481D63">
        <w:rPr>
          <w:rFonts w:ascii="Arial" w:hAnsi="Arial" w:cs="Arial"/>
          <w:color w:val="000000"/>
        </w:rPr>
        <w:t>.</w:t>
      </w:r>
      <w:r w:rsidR="00EE1EA9">
        <w:rPr>
          <w:rFonts w:ascii="Arial" w:hAnsi="Arial" w:cs="Arial"/>
          <w:color w:val="000000"/>
        </w:rPr>
        <w:t xml:space="preserve"> </w:t>
      </w:r>
      <w:r w:rsidR="00E21952">
        <w:rPr>
          <w:rFonts w:ascii="Arial" w:hAnsi="Arial" w:cs="Arial"/>
          <w:color w:val="000000"/>
        </w:rPr>
        <w:t>In contrast t</w:t>
      </w:r>
      <w:r w:rsidR="001F1350" w:rsidRPr="00481D63">
        <w:rPr>
          <w:rFonts w:ascii="Arial" w:hAnsi="Arial" w:cs="Arial"/>
          <w:color w:val="000000"/>
        </w:rPr>
        <w:t>he median PFS</w:t>
      </w:r>
      <w:r w:rsidR="00EE6673">
        <w:rPr>
          <w:rFonts w:ascii="Arial" w:hAnsi="Arial" w:cs="Arial"/>
          <w:color w:val="000000"/>
        </w:rPr>
        <w:t xml:space="preserve"> (</w:t>
      </w:r>
      <w:r w:rsidR="0010397E">
        <w:rPr>
          <w:rFonts w:ascii="Arial" w:hAnsi="Arial" w:cs="Arial"/>
          <w:color w:val="000000"/>
        </w:rPr>
        <w:t>7.2</w:t>
      </w:r>
      <w:r w:rsidR="00F83D41">
        <w:rPr>
          <w:rFonts w:ascii="Arial" w:hAnsi="Arial" w:cs="Arial"/>
          <w:color w:val="000000"/>
        </w:rPr>
        <w:t>m</w:t>
      </w:r>
      <w:r w:rsidR="001F1350" w:rsidRPr="00481D63">
        <w:rPr>
          <w:rFonts w:ascii="Arial" w:hAnsi="Arial" w:cs="Arial"/>
          <w:color w:val="000000"/>
        </w:rPr>
        <w:t>) and OS</w:t>
      </w:r>
      <w:r w:rsidR="00F83D41">
        <w:rPr>
          <w:rFonts w:ascii="Arial" w:hAnsi="Arial" w:cs="Arial"/>
          <w:color w:val="000000"/>
        </w:rPr>
        <w:t xml:space="preserve"> </w:t>
      </w:r>
      <w:r w:rsidR="00EE6673">
        <w:rPr>
          <w:rFonts w:ascii="Arial" w:hAnsi="Arial" w:cs="Arial"/>
          <w:color w:val="000000"/>
        </w:rPr>
        <w:t>(</w:t>
      </w:r>
      <w:r w:rsidR="00B84D90">
        <w:rPr>
          <w:rFonts w:ascii="Arial" w:hAnsi="Arial" w:cs="Arial"/>
          <w:color w:val="000000"/>
        </w:rPr>
        <w:t>16.9</w:t>
      </w:r>
      <w:r w:rsidR="00F83D41">
        <w:rPr>
          <w:rFonts w:ascii="Arial" w:hAnsi="Arial" w:cs="Arial"/>
          <w:color w:val="000000"/>
        </w:rPr>
        <w:t>m</w:t>
      </w:r>
      <w:r w:rsidR="001F1350" w:rsidRPr="00481D63">
        <w:rPr>
          <w:rFonts w:ascii="Arial" w:hAnsi="Arial" w:cs="Arial"/>
          <w:color w:val="000000"/>
        </w:rPr>
        <w:t>) were significantly worse (p=0.00</w:t>
      </w:r>
      <w:r w:rsidR="00B84D90">
        <w:rPr>
          <w:rFonts w:ascii="Arial" w:hAnsi="Arial" w:cs="Arial"/>
          <w:color w:val="000000"/>
        </w:rPr>
        <w:t>1</w:t>
      </w:r>
      <w:r w:rsidR="001F1350" w:rsidRPr="00481D63">
        <w:rPr>
          <w:rFonts w:ascii="Arial" w:hAnsi="Arial" w:cs="Arial"/>
          <w:color w:val="000000"/>
        </w:rPr>
        <w:t>, log</w:t>
      </w:r>
      <w:r w:rsidR="0005400D">
        <w:rPr>
          <w:rFonts w:ascii="Arial" w:hAnsi="Arial" w:cs="Arial"/>
          <w:color w:val="000000"/>
        </w:rPr>
        <w:t xml:space="preserve">- </w:t>
      </w:r>
      <w:r w:rsidR="001F1350" w:rsidRPr="00481D63">
        <w:rPr>
          <w:rFonts w:ascii="Arial" w:hAnsi="Arial" w:cs="Arial"/>
          <w:color w:val="000000"/>
        </w:rPr>
        <w:t xml:space="preserve">rank) in patients who did not </w:t>
      </w:r>
      <w:r w:rsidR="00E21952" w:rsidRPr="00481D63">
        <w:rPr>
          <w:rFonts w:ascii="Arial" w:hAnsi="Arial" w:cs="Arial"/>
          <w:color w:val="000000"/>
        </w:rPr>
        <w:t>achieve</w:t>
      </w:r>
      <w:r w:rsidR="00E21952">
        <w:rPr>
          <w:rFonts w:ascii="Arial" w:hAnsi="Arial" w:cs="Arial"/>
          <w:color w:val="000000"/>
        </w:rPr>
        <w:t xml:space="preserve"> objective</w:t>
      </w:r>
      <w:r w:rsidR="006148F6" w:rsidRPr="00481D63">
        <w:rPr>
          <w:rFonts w:ascii="Arial" w:hAnsi="Arial" w:cs="Arial"/>
          <w:color w:val="000000"/>
        </w:rPr>
        <w:t xml:space="preserve"> </w:t>
      </w:r>
      <w:r w:rsidR="00EE6673">
        <w:rPr>
          <w:rFonts w:ascii="Arial" w:hAnsi="Arial" w:cs="Arial"/>
          <w:color w:val="000000"/>
        </w:rPr>
        <w:t>response</w:t>
      </w:r>
      <w:r w:rsidR="001F1350" w:rsidRPr="00481D63">
        <w:rPr>
          <w:rFonts w:ascii="Arial" w:hAnsi="Arial" w:cs="Arial"/>
          <w:color w:val="000000"/>
        </w:rPr>
        <w:t xml:space="preserve">. </w:t>
      </w:r>
    </w:p>
    <w:p w14:paraId="0FED1DD0" w14:textId="77777777" w:rsidR="00BB3499" w:rsidRPr="00481D63" w:rsidRDefault="00BB3499" w:rsidP="00E25CF3">
      <w:pPr>
        <w:jc w:val="both"/>
        <w:rPr>
          <w:rFonts w:ascii="Arial" w:hAnsi="Arial" w:cs="Arial"/>
          <w:bCs/>
          <w:color w:val="000000"/>
          <w:lang w:val="en-US"/>
        </w:rPr>
      </w:pPr>
      <w:r w:rsidRPr="00481D63">
        <w:rPr>
          <w:rFonts w:ascii="Arial" w:eastAsia="Times New Roman" w:hAnsi="Arial" w:cs="Arial"/>
          <w:b/>
          <w:bCs/>
          <w:color w:val="000000"/>
          <w:lang w:eastAsia="en-GB"/>
        </w:rPr>
        <w:t>Conclusions:</w:t>
      </w:r>
    </w:p>
    <w:p w14:paraId="169D5EE6" w14:textId="77777777" w:rsidR="00BB3499" w:rsidRPr="00E25CF3" w:rsidRDefault="00FE0925" w:rsidP="00DA4B5B">
      <w:pPr>
        <w:spacing w:line="480" w:lineRule="auto"/>
        <w:jc w:val="both"/>
        <w:rPr>
          <w:rFonts w:ascii="Arial" w:hAnsi="Arial" w:cs="Arial"/>
          <w:bCs/>
          <w:lang w:val="en-US"/>
        </w:rPr>
      </w:pPr>
      <w:proofErr w:type="spellStart"/>
      <w:r>
        <w:rPr>
          <w:rFonts w:ascii="Arial" w:hAnsi="Arial" w:cs="Arial"/>
          <w:bCs/>
          <w:lang w:val="en-US"/>
        </w:rPr>
        <w:t>C</w:t>
      </w:r>
      <w:r w:rsidR="00BB3499" w:rsidRPr="00E25CF3">
        <w:rPr>
          <w:rFonts w:ascii="Arial" w:hAnsi="Arial" w:cs="Arial"/>
          <w:bCs/>
          <w:lang w:val="en-US"/>
        </w:rPr>
        <w:t>abazitaxel</w:t>
      </w:r>
      <w:proofErr w:type="spellEnd"/>
      <w:r w:rsidR="00BB3499" w:rsidRPr="00E25CF3">
        <w:rPr>
          <w:rFonts w:ascii="Arial" w:hAnsi="Arial" w:cs="Arial"/>
          <w:bCs/>
          <w:lang w:val="en-US"/>
        </w:rPr>
        <w:t xml:space="preserve"> in combination with cisplatin fo</w:t>
      </w:r>
      <w:r>
        <w:rPr>
          <w:rFonts w:ascii="Arial" w:hAnsi="Arial" w:cs="Arial"/>
          <w:bCs/>
          <w:lang w:val="en-US"/>
        </w:rPr>
        <w:t>r neoadjuvant treatment of MIB</w:t>
      </w:r>
      <w:r w:rsidR="00BB3499" w:rsidRPr="00E25CF3">
        <w:rPr>
          <w:rFonts w:ascii="Arial" w:hAnsi="Arial" w:cs="Arial"/>
          <w:bCs/>
          <w:lang w:val="en-US"/>
        </w:rPr>
        <w:t>C can be considered a safe, well-tolerated and effective regimen prior to definitive therapy</w:t>
      </w:r>
      <w:r w:rsidR="00150487">
        <w:rPr>
          <w:rFonts w:ascii="Arial" w:hAnsi="Arial" w:cs="Arial"/>
          <w:bCs/>
          <w:lang w:val="en-US"/>
        </w:rPr>
        <w:t xml:space="preserve"> with higher rates (</w:t>
      </w:r>
      <w:r w:rsidR="001131EE">
        <w:rPr>
          <w:rFonts w:ascii="Arial" w:hAnsi="Arial" w:cs="Arial"/>
          <w:bCs/>
          <w:lang w:val="en-US"/>
        </w:rPr>
        <w:t>57.7</w:t>
      </w:r>
      <w:r w:rsidR="00150487">
        <w:rPr>
          <w:rFonts w:ascii="Arial" w:hAnsi="Arial" w:cs="Arial"/>
          <w:bCs/>
          <w:lang w:val="en-US"/>
        </w:rPr>
        <w:t xml:space="preserve">%) of </w:t>
      </w:r>
      <w:r w:rsidR="006148F6">
        <w:rPr>
          <w:rFonts w:ascii="Arial" w:hAnsi="Arial" w:cs="Arial"/>
          <w:bCs/>
          <w:lang w:val="en-US"/>
        </w:rPr>
        <w:t>objective response</w:t>
      </w:r>
      <w:r w:rsidR="001210A7">
        <w:rPr>
          <w:rFonts w:ascii="Arial" w:hAnsi="Arial" w:cs="Arial"/>
          <w:bCs/>
          <w:lang w:val="en-US"/>
        </w:rPr>
        <w:t xml:space="preserve">, which compares favorably to that with </w:t>
      </w:r>
      <w:r w:rsidR="001210A7">
        <w:rPr>
          <w:rFonts w:ascii="Arial" w:hAnsi="Arial" w:cs="Arial"/>
          <w:bCs/>
          <w:lang w:val="en-US"/>
        </w:rPr>
        <w:lastRenderedPageBreak/>
        <w:t>Cisplatin/Gemcitabine (23-26%)</w:t>
      </w:r>
      <w:r w:rsidR="00150487">
        <w:rPr>
          <w:rFonts w:ascii="Arial" w:hAnsi="Arial" w:cs="Arial"/>
          <w:bCs/>
          <w:lang w:val="en-US"/>
        </w:rPr>
        <w:t xml:space="preserve">. These results warrant further evaluation in a larger phase 3 study. </w:t>
      </w:r>
    </w:p>
    <w:p w14:paraId="2E4E6915" w14:textId="77777777" w:rsidR="00101EC0" w:rsidRDefault="00E25CF3" w:rsidP="00DA4B5B">
      <w:pPr>
        <w:spacing w:line="480" w:lineRule="auto"/>
        <w:contextualSpacing/>
        <w:jc w:val="both"/>
        <w:rPr>
          <w:rFonts w:ascii="Arial" w:hAnsi="Arial" w:cs="Arial"/>
          <w:bCs/>
          <w:szCs w:val="36"/>
          <w:lang w:val="en-US"/>
        </w:rPr>
      </w:pPr>
      <w:r w:rsidRPr="00FE0925">
        <w:rPr>
          <w:rFonts w:ascii="Arial" w:hAnsi="Arial" w:cs="Arial"/>
          <w:b/>
          <w:bCs/>
          <w:szCs w:val="36"/>
          <w:lang w:val="en-US"/>
        </w:rPr>
        <w:t>Key words:</w:t>
      </w:r>
      <w:r w:rsidRPr="00FE0925">
        <w:rPr>
          <w:rFonts w:ascii="Arial" w:hAnsi="Arial" w:cs="Arial"/>
          <w:bCs/>
          <w:szCs w:val="36"/>
          <w:lang w:val="en-US"/>
        </w:rPr>
        <w:t xml:space="preserve"> </w:t>
      </w:r>
      <w:r w:rsidR="00150487">
        <w:rPr>
          <w:rFonts w:ascii="Arial" w:hAnsi="Arial" w:cs="Arial"/>
          <w:bCs/>
          <w:szCs w:val="36"/>
          <w:lang w:val="en-US"/>
        </w:rPr>
        <w:t xml:space="preserve">Muscle-invasive, </w:t>
      </w:r>
      <w:r w:rsidRPr="00FE0925">
        <w:rPr>
          <w:rFonts w:ascii="Arial" w:hAnsi="Arial" w:cs="Arial"/>
          <w:bCs/>
          <w:szCs w:val="36"/>
          <w:lang w:val="en-US"/>
        </w:rPr>
        <w:t xml:space="preserve">Bladder cancer, Neoadjuvant chemotherapy, </w:t>
      </w:r>
      <w:proofErr w:type="spellStart"/>
      <w:r w:rsidRPr="00FE0925">
        <w:rPr>
          <w:rFonts w:ascii="Arial" w:hAnsi="Arial" w:cs="Arial"/>
          <w:bCs/>
          <w:szCs w:val="36"/>
          <w:lang w:val="en-US"/>
        </w:rPr>
        <w:t>Cabazitaxel</w:t>
      </w:r>
      <w:proofErr w:type="spellEnd"/>
      <w:r w:rsidRPr="00FE0925">
        <w:rPr>
          <w:rFonts w:ascii="Arial" w:hAnsi="Arial" w:cs="Arial"/>
          <w:bCs/>
          <w:szCs w:val="36"/>
          <w:lang w:val="en-US"/>
        </w:rPr>
        <w:t>, Cisplatin</w:t>
      </w:r>
      <w:r w:rsidR="00150487">
        <w:rPr>
          <w:rFonts w:ascii="Arial" w:hAnsi="Arial" w:cs="Arial"/>
          <w:bCs/>
          <w:szCs w:val="36"/>
          <w:lang w:val="en-US"/>
        </w:rPr>
        <w:t>, pathological complete response.</w:t>
      </w:r>
    </w:p>
    <w:p w14:paraId="11222811" w14:textId="77777777" w:rsidR="00792935" w:rsidRDefault="00792935" w:rsidP="00E25CF3">
      <w:pPr>
        <w:contextualSpacing/>
        <w:jc w:val="both"/>
        <w:rPr>
          <w:rFonts w:ascii="Arial" w:hAnsi="Arial" w:cs="Arial"/>
          <w:bCs/>
          <w:szCs w:val="36"/>
          <w:lang w:val="en-US"/>
        </w:rPr>
      </w:pPr>
    </w:p>
    <w:p w14:paraId="6667DB0E" w14:textId="77777777" w:rsidR="00792935" w:rsidRDefault="00792935" w:rsidP="00E25CF3">
      <w:pPr>
        <w:contextualSpacing/>
        <w:jc w:val="both"/>
        <w:rPr>
          <w:rFonts w:ascii="Arial" w:hAnsi="Arial" w:cs="Arial"/>
          <w:bCs/>
          <w:szCs w:val="36"/>
          <w:lang w:val="en-US"/>
        </w:rPr>
      </w:pPr>
    </w:p>
    <w:p w14:paraId="394BA1D8" w14:textId="77777777" w:rsidR="00792935" w:rsidRPr="00FE0925" w:rsidRDefault="00792935" w:rsidP="00E25CF3">
      <w:pPr>
        <w:contextualSpacing/>
        <w:jc w:val="both"/>
        <w:rPr>
          <w:rFonts w:ascii="Arial" w:hAnsi="Arial" w:cs="Arial"/>
          <w:bCs/>
          <w:szCs w:val="36"/>
          <w:lang w:val="en-US"/>
        </w:rPr>
      </w:pPr>
    </w:p>
    <w:p w14:paraId="258CBBAE" w14:textId="77777777" w:rsidR="00E25CF3" w:rsidRPr="00481D63" w:rsidRDefault="00E25CF3" w:rsidP="00E25CF3">
      <w:pPr>
        <w:contextualSpacing/>
        <w:jc w:val="both"/>
        <w:rPr>
          <w:rFonts w:ascii="Arial" w:hAnsi="Arial" w:cs="Arial"/>
          <w:b/>
          <w:bCs/>
          <w:color w:val="31849B"/>
          <w:sz w:val="36"/>
          <w:szCs w:val="36"/>
          <w:lang w:val="en-US"/>
        </w:rPr>
      </w:pPr>
    </w:p>
    <w:p w14:paraId="2308BE61" w14:textId="77777777" w:rsidR="00B84C12" w:rsidRPr="00481D63" w:rsidRDefault="00B84C12" w:rsidP="00E25CF3">
      <w:pPr>
        <w:contextualSpacing/>
        <w:jc w:val="both"/>
        <w:rPr>
          <w:rFonts w:ascii="Arial" w:hAnsi="Arial" w:cs="Arial"/>
          <w:b/>
          <w:bCs/>
          <w:color w:val="31849B"/>
          <w:sz w:val="36"/>
          <w:szCs w:val="36"/>
          <w:lang w:val="en-US"/>
        </w:rPr>
      </w:pPr>
    </w:p>
    <w:p w14:paraId="217C639C" w14:textId="77777777" w:rsidR="00E25CF3" w:rsidRPr="00481D63" w:rsidRDefault="00E25CF3" w:rsidP="00E25CF3">
      <w:pPr>
        <w:contextualSpacing/>
        <w:jc w:val="both"/>
        <w:rPr>
          <w:rFonts w:ascii="Arial" w:hAnsi="Arial" w:cs="Arial"/>
          <w:b/>
          <w:bCs/>
          <w:color w:val="31849B"/>
          <w:sz w:val="36"/>
          <w:szCs w:val="36"/>
          <w:lang w:val="en-US"/>
        </w:rPr>
      </w:pPr>
    </w:p>
    <w:p w14:paraId="3C061F61" w14:textId="77777777" w:rsidR="00DA4B5B" w:rsidRPr="00481D63" w:rsidRDefault="00DA4B5B" w:rsidP="00E25CF3">
      <w:pPr>
        <w:contextualSpacing/>
        <w:jc w:val="both"/>
        <w:rPr>
          <w:rFonts w:ascii="Arial" w:hAnsi="Arial" w:cs="Arial"/>
          <w:b/>
          <w:bCs/>
          <w:color w:val="31849B"/>
          <w:sz w:val="36"/>
          <w:szCs w:val="36"/>
          <w:lang w:val="en-US"/>
        </w:rPr>
      </w:pPr>
    </w:p>
    <w:p w14:paraId="51EE9F8F" w14:textId="77777777" w:rsidR="00DA4B5B" w:rsidRPr="00481D63" w:rsidRDefault="00DA4B5B" w:rsidP="00E25CF3">
      <w:pPr>
        <w:contextualSpacing/>
        <w:jc w:val="both"/>
        <w:rPr>
          <w:rFonts w:ascii="Arial" w:hAnsi="Arial" w:cs="Arial"/>
          <w:b/>
          <w:bCs/>
          <w:color w:val="31849B"/>
          <w:sz w:val="36"/>
          <w:szCs w:val="36"/>
          <w:lang w:val="en-US"/>
        </w:rPr>
      </w:pPr>
    </w:p>
    <w:p w14:paraId="4A6C0A30" w14:textId="77777777" w:rsidR="00DA4B5B" w:rsidRPr="00481D63" w:rsidRDefault="00DA4B5B" w:rsidP="00E25CF3">
      <w:pPr>
        <w:contextualSpacing/>
        <w:jc w:val="both"/>
        <w:rPr>
          <w:rFonts w:ascii="Arial" w:hAnsi="Arial" w:cs="Arial"/>
          <w:b/>
          <w:bCs/>
          <w:color w:val="31849B"/>
          <w:sz w:val="36"/>
          <w:szCs w:val="36"/>
          <w:lang w:val="en-US"/>
        </w:rPr>
      </w:pPr>
    </w:p>
    <w:p w14:paraId="2DCFBA17" w14:textId="77777777" w:rsidR="00DA4B5B" w:rsidRPr="00481D63" w:rsidRDefault="00DA4B5B" w:rsidP="00E25CF3">
      <w:pPr>
        <w:contextualSpacing/>
        <w:jc w:val="both"/>
        <w:rPr>
          <w:rFonts w:ascii="Arial" w:hAnsi="Arial" w:cs="Arial"/>
          <w:b/>
          <w:bCs/>
          <w:color w:val="31849B"/>
          <w:sz w:val="36"/>
          <w:szCs w:val="36"/>
          <w:lang w:val="en-US"/>
        </w:rPr>
      </w:pPr>
    </w:p>
    <w:p w14:paraId="1522D85A" w14:textId="77777777" w:rsidR="00DA4B5B" w:rsidRPr="00481D63" w:rsidRDefault="00DA4B5B" w:rsidP="00E25CF3">
      <w:pPr>
        <w:contextualSpacing/>
        <w:jc w:val="both"/>
        <w:rPr>
          <w:rFonts w:ascii="Arial" w:hAnsi="Arial" w:cs="Arial"/>
          <w:b/>
          <w:bCs/>
          <w:color w:val="31849B"/>
          <w:sz w:val="36"/>
          <w:szCs w:val="36"/>
          <w:lang w:val="en-US"/>
        </w:rPr>
      </w:pPr>
    </w:p>
    <w:p w14:paraId="74D2BFEC" w14:textId="77777777" w:rsidR="00DA4B5B" w:rsidRPr="00481D63" w:rsidRDefault="00DA4B5B" w:rsidP="00E25CF3">
      <w:pPr>
        <w:contextualSpacing/>
        <w:jc w:val="both"/>
        <w:rPr>
          <w:rFonts w:ascii="Arial" w:hAnsi="Arial" w:cs="Arial"/>
          <w:b/>
          <w:bCs/>
          <w:color w:val="31849B"/>
          <w:sz w:val="36"/>
          <w:szCs w:val="36"/>
          <w:lang w:val="en-US"/>
        </w:rPr>
      </w:pPr>
    </w:p>
    <w:p w14:paraId="5419A8A9" w14:textId="77777777" w:rsidR="00DA4B5B" w:rsidRPr="00481D63" w:rsidRDefault="00DA4B5B" w:rsidP="00E25CF3">
      <w:pPr>
        <w:contextualSpacing/>
        <w:jc w:val="both"/>
        <w:rPr>
          <w:rFonts w:ascii="Arial" w:hAnsi="Arial" w:cs="Arial"/>
          <w:b/>
          <w:bCs/>
          <w:color w:val="31849B"/>
          <w:sz w:val="36"/>
          <w:szCs w:val="36"/>
          <w:lang w:val="en-US"/>
        </w:rPr>
      </w:pPr>
    </w:p>
    <w:p w14:paraId="776832D5" w14:textId="77777777" w:rsidR="00DA4B5B" w:rsidRPr="00481D63" w:rsidRDefault="00DA4B5B" w:rsidP="00E25CF3">
      <w:pPr>
        <w:contextualSpacing/>
        <w:jc w:val="both"/>
        <w:rPr>
          <w:rFonts w:ascii="Arial" w:hAnsi="Arial" w:cs="Arial"/>
          <w:b/>
          <w:bCs/>
          <w:color w:val="31849B"/>
          <w:sz w:val="36"/>
          <w:szCs w:val="36"/>
          <w:lang w:val="en-US"/>
        </w:rPr>
      </w:pPr>
    </w:p>
    <w:p w14:paraId="7373149B" w14:textId="77777777" w:rsidR="00DA4B5B" w:rsidRPr="00481D63" w:rsidRDefault="00DA4B5B" w:rsidP="00E25CF3">
      <w:pPr>
        <w:contextualSpacing/>
        <w:jc w:val="both"/>
        <w:rPr>
          <w:rFonts w:ascii="Arial" w:hAnsi="Arial" w:cs="Arial"/>
          <w:b/>
          <w:bCs/>
          <w:color w:val="31849B"/>
          <w:sz w:val="36"/>
          <w:szCs w:val="36"/>
          <w:lang w:val="en-US"/>
        </w:rPr>
      </w:pPr>
    </w:p>
    <w:p w14:paraId="20EA68A2" w14:textId="77777777" w:rsidR="00DA4B5B" w:rsidRPr="00481D63" w:rsidRDefault="00DA4B5B" w:rsidP="00E25CF3">
      <w:pPr>
        <w:contextualSpacing/>
        <w:jc w:val="both"/>
        <w:rPr>
          <w:rFonts w:ascii="Arial" w:hAnsi="Arial" w:cs="Arial"/>
          <w:b/>
          <w:bCs/>
          <w:color w:val="31849B"/>
          <w:sz w:val="36"/>
          <w:szCs w:val="36"/>
          <w:lang w:val="en-US"/>
        </w:rPr>
      </w:pPr>
    </w:p>
    <w:p w14:paraId="5BBCDF19" w14:textId="77777777" w:rsidR="00DA4B5B" w:rsidRPr="00481D63" w:rsidRDefault="00DA4B5B" w:rsidP="00E25CF3">
      <w:pPr>
        <w:contextualSpacing/>
        <w:jc w:val="both"/>
        <w:rPr>
          <w:rFonts w:ascii="Arial" w:hAnsi="Arial" w:cs="Arial"/>
          <w:b/>
          <w:bCs/>
          <w:color w:val="31849B"/>
          <w:sz w:val="36"/>
          <w:szCs w:val="36"/>
          <w:lang w:val="en-US"/>
        </w:rPr>
      </w:pPr>
    </w:p>
    <w:p w14:paraId="77C7B086" w14:textId="77777777" w:rsidR="00DA4B5B" w:rsidRPr="00481D63" w:rsidRDefault="00DA4B5B" w:rsidP="00E25CF3">
      <w:pPr>
        <w:contextualSpacing/>
        <w:jc w:val="both"/>
        <w:rPr>
          <w:rFonts w:ascii="Arial" w:hAnsi="Arial" w:cs="Arial"/>
          <w:b/>
          <w:bCs/>
          <w:color w:val="31849B"/>
          <w:sz w:val="36"/>
          <w:szCs w:val="36"/>
          <w:lang w:val="en-US"/>
        </w:rPr>
      </w:pPr>
    </w:p>
    <w:p w14:paraId="42CBFAD7" w14:textId="77777777" w:rsidR="00DA4B5B" w:rsidRPr="00481D63" w:rsidRDefault="00DA4B5B" w:rsidP="00E25CF3">
      <w:pPr>
        <w:contextualSpacing/>
        <w:jc w:val="both"/>
        <w:rPr>
          <w:rFonts w:ascii="Arial" w:hAnsi="Arial" w:cs="Arial"/>
          <w:b/>
          <w:bCs/>
          <w:color w:val="31849B"/>
          <w:sz w:val="36"/>
          <w:szCs w:val="36"/>
          <w:lang w:val="en-US"/>
        </w:rPr>
      </w:pPr>
    </w:p>
    <w:p w14:paraId="2662F52E" w14:textId="77777777" w:rsidR="00DA4B5B" w:rsidRPr="00481D63" w:rsidRDefault="00DA4B5B" w:rsidP="00E25CF3">
      <w:pPr>
        <w:contextualSpacing/>
        <w:jc w:val="both"/>
        <w:rPr>
          <w:rFonts w:ascii="Arial" w:hAnsi="Arial" w:cs="Arial"/>
          <w:b/>
          <w:bCs/>
          <w:color w:val="31849B"/>
          <w:sz w:val="36"/>
          <w:szCs w:val="36"/>
          <w:lang w:val="en-US"/>
        </w:rPr>
      </w:pPr>
    </w:p>
    <w:p w14:paraId="3D64AED7" w14:textId="77777777" w:rsidR="00DA4B5B" w:rsidRDefault="00DA4B5B" w:rsidP="00E25CF3">
      <w:pPr>
        <w:contextualSpacing/>
        <w:jc w:val="both"/>
        <w:rPr>
          <w:rFonts w:ascii="Arial" w:hAnsi="Arial" w:cs="Arial"/>
          <w:b/>
          <w:bCs/>
          <w:color w:val="31849B"/>
          <w:sz w:val="36"/>
          <w:szCs w:val="36"/>
          <w:lang w:val="en-US"/>
        </w:rPr>
      </w:pPr>
    </w:p>
    <w:p w14:paraId="5A9452BC" w14:textId="77777777" w:rsidR="006148F6" w:rsidRDefault="006148F6" w:rsidP="00E25CF3">
      <w:pPr>
        <w:contextualSpacing/>
        <w:jc w:val="both"/>
        <w:rPr>
          <w:rFonts w:ascii="Arial" w:hAnsi="Arial" w:cs="Arial"/>
          <w:b/>
          <w:bCs/>
          <w:color w:val="31849B"/>
          <w:sz w:val="36"/>
          <w:szCs w:val="36"/>
          <w:lang w:val="en-US"/>
        </w:rPr>
      </w:pPr>
    </w:p>
    <w:p w14:paraId="0736CDF7" w14:textId="77777777" w:rsidR="006148F6" w:rsidRDefault="006148F6" w:rsidP="00E25CF3">
      <w:pPr>
        <w:contextualSpacing/>
        <w:jc w:val="both"/>
        <w:rPr>
          <w:rFonts w:ascii="Arial" w:hAnsi="Arial" w:cs="Arial"/>
          <w:b/>
          <w:bCs/>
          <w:color w:val="31849B"/>
          <w:sz w:val="36"/>
          <w:szCs w:val="36"/>
          <w:lang w:val="en-US"/>
        </w:rPr>
      </w:pPr>
    </w:p>
    <w:p w14:paraId="5C884423" w14:textId="77777777" w:rsidR="006148F6" w:rsidRDefault="006148F6" w:rsidP="00E25CF3">
      <w:pPr>
        <w:contextualSpacing/>
        <w:jc w:val="both"/>
        <w:rPr>
          <w:rFonts w:ascii="Arial" w:hAnsi="Arial" w:cs="Arial"/>
          <w:b/>
          <w:bCs/>
          <w:color w:val="31849B"/>
          <w:sz w:val="36"/>
          <w:szCs w:val="36"/>
          <w:lang w:val="en-US"/>
        </w:rPr>
      </w:pPr>
    </w:p>
    <w:p w14:paraId="72AAD086" w14:textId="77777777" w:rsidR="006148F6" w:rsidRPr="00481D63" w:rsidRDefault="006148F6" w:rsidP="00E25CF3">
      <w:pPr>
        <w:contextualSpacing/>
        <w:jc w:val="both"/>
        <w:rPr>
          <w:rFonts w:ascii="Arial" w:hAnsi="Arial" w:cs="Arial"/>
          <w:b/>
          <w:bCs/>
          <w:color w:val="31849B"/>
          <w:sz w:val="36"/>
          <w:szCs w:val="36"/>
          <w:lang w:val="en-US"/>
        </w:rPr>
      </w:pPr>
    </w:p>
    <w:p w14:paraId="1E0E8E68" w14:textId="77777777" w:rsidR="006148F6" w:rsidRDefault="006148F6" w:rsidP="00E25CF3">
      <w:pPr>
        <w:contextualSpacing/>
        <w:jc w:val="both"/>
        <w:rPr>
          <w:rFonts w:ascii="Arial" w:hAnsi="Arial" w:cs="Arial"/>
          <w:b/>
          <w:bCs/>
          <w:color w:val="000000"/>
          <w:sz w:val="28"/>
          <w:szCs w:val="36"/>
          <w:lang w:val="en-US"/>
        </w:rPr>
      </w:pPr>
    </w:p>
    <w:p w14:paraId="2F79EAA6" w14:textId="77777777" w:rsidR="00BB3499" w:rsidRPr="00E25CF3" w:rsidRDefault="00BB3499" w:rsidP="00E25CF3">
      <w:pPr>
        <w:contextualSpacing/>
        <w:jc w:val="both"/>
        <w:rPr>
          <w:rFonts w:ascii="Arial" w:hAnsi="Arial" w:cs="Arial"/>
          <w:b/>
          <w:bCs/>
          <w:sz w:val="36"/>
          <w:szCs w:val="36"/>
          <w:lang w:val="en-US"/>
        </w:rPr>
      </w:pPr>
      <w:r w:rsidRPr="00481D63">
        <w:rPr>
          <w:rFonts w:ascii="Arial" w:hAnsi="Arial" w:cs="Arial"/>
          <w:b/>
          <w:bCs/>
          <w:color w:val="000000"/>
          <w:sz w:val="28"/>
          <w:szCs w:val="36"/>
          <w:lang w:val="en-US"/>
        </w:rPr>
        <w:lastRenderedPageBreak/>
        <w:t>Introduction</w:t>
      </w:r>
      <w:r w:rsidRPr="00E25CF3">
        <w:rPr>
          <w:rFonts w:ascii="Arial" w:hAnsi="Arial" w:cs="Arial"/>
          <w:b/>
          <w:bCs/>
          <w:sz w:val="36"/>
          <w:szCs w:val="36"/>
          <w:lang w:val="en-US"/>
        </w:rPr>
        <w:t xml:space="preserve"> </w:t>
      </w:r>
    </w:p>
    <w:p w14:paraId="732BA4FD" w14:textId="77777777" w:rsidR="00AA6A02" w:rsidRDefault="00AA6A02" w:rsidP="00E25CF3">
      <w:pPr>
        <w:contextualSpacing/>
        <w:jc w:val="both"/>
        <w:rPr>
          <w:rFonts w:ascii="Arial" w:hAnsi="Arial" w:cs="Arial"/>
          <w:bCs/>
          <w:lang w:val="en-US"/>
        </w:rPr>
      </w:pPr>
    </w:p>
    <w:p w14:paraId="6C657113" w14:textId="77777777" w:rsidR="00FE0925" w:rsidRPr="00AA6A02" w:rsidRDefault="00AA6A02" w:rsidP="00234E70">
      <w:pPr>
        <w:spacing w:line="480" w:lineRule="auto"/>
        <w:ind w:firstLine="720"/>
        <w:contextualSpacing/>
        <w:jc w:val="both"/>
        <w:rPr>
          <w:rFonts w:ascii="Arial" w:hAnsi="Arial" w:cs="Arial"/>
          <w:bCs/>
          <w:lang w:val="en-US"/>
        </w:rPr>
      </w:pPr>
      <w:r w:rsidRPr="00AA6A02">
        <w:rPr>
          <w:rFonts w:ascii="Arial" w:hAnsi="Arial" w:cs="Arial"/>
          <w:bCs/>
          <w:lang w:val="en-US"/>
        </w:rPr>
        <w:t>Carcinoma of the urinary bladder is the seventh most common cancer in the United Kingdom (ONS, England 2010) with around 10,000 diagnoses annually</w:t>
      </w:r>
      <w:r w:rsidR="00B76E68">
        <w:rPr>
          <w:rFonts w:ascii="Arial" w:hAnsi="Arial" w:cs="Arial"/>
          <w:bCs/>
          <w:lang w:val="en-US"/>
        </w:rPr>
        <w:t xml:space="preserve"> </w:t>
      </w:r>
      <w:r w:rsidR="00B76E68">
        <w:rPr>
          <w:rFonts w:ascii="Arial" w:hAnsi="Arial" w:cs="Arial"/>
          <w:bCs/>
          <w:noProof/>
          <w:lang w:val="en-US"/>
        </w:rPr>
        <w:t>[1]</w:t>
      </w:r>
      <w:r w:rsidRPr="00AA6A02">
        <w:rPr>
          <w:rFonts w:ascii="Arial" w:hAnsi="Arial" w:cs="Arial"/>
          <w:bCs/>
          <w:lang w:val="en-US"/>
        </w:rPr>
        <w:t>.  The majority of these are transitional cell carcinoma (TCC) with about 30% of cases presenting with disease invading into the muscle wall of the bladder (</w:t>
      </w:r>
      <w:proofErr w:type="spellStart"/>
      <w:r w:rsidRPr="00AA6A02">
        <w:rPr>
          <w:rFonts w:ascii="Arial" w:hAnsi="Arial" w:cs="Arial"/>
          <w:bCs/>
          <w:lang w:val="en-US"/>
        </w:rPr>
        <w:t>tumour</w:t>
      </w:r>
      <w:proofErr w:type="spellEnd"/>
      <w:r w:rsidRPr="00AA6A02">
        <w:rPr>
          <w:rFonts w:ascii="Arial" w:hAnsi="Arial" w:cs="Arial"/>
          <w:bCs/>
          <w:lang w:val="en-US"/>
        </w:rPr>
        <w:t xml:space="preserve"> stage T2 or greater). A further 50% of patients presenting with high risk non muscle invasive (superficial) bladder cancers will later develop muscle invasive disease.  </w:t>
      </w:r>
    </w:p>
    <w:p w14:paraId="0AAFC6CA" w14:textId="77777777" w:rsidR="00AA6A02" w:rsidRPr="00AA6A02" w:rsidRDefault="0005400D" w:rsidP="00234E70">
      <w:pPr>
        <w:spacing w:line="480" w:lineRule="auto"/>
        <w:ind w:firstLine="720"/>
        <w:contextualSpacing/>
        <w:jc w:val="both"/>
        <w:rPr>
          <w:rFonts w:ascii="Arial" w:hAnsi="Arial" w:cs="Arial"/>
          <w:bCs/>
          <w:lang w:val="en-US"/>
        </w:rPr>
      </w:pPr>
      <w:r w:rsidRPr="00AA6A02">
        <w:rPr>
          <w:rFonts w:ascii="Arial" w:hAnsi="Arial" w:cs="Arial"/>
          <w:bCs/>
          <w:lang w:val="en-US"/>
        </w:rPr>
        <w:t>Five-year</w:t>
      </w:r>
      <w:r w:rsidR="00AA6A02" w:rsidRPr="00AA6A02">
        <w:rPr>
          <w:rFonts w:ascii="Arial" w:hAnsi="Arial" w:cs="Arial"/>
          <w:bCs/>
          <w:lang w:val="en-US"/>
        </w:rPr>
        <w:t xml:space="preserve"> survival after cystectomy for patients with muscle invasive bladder cancer (MIBC) varies from 36% to 48%, and specifically 17% to 46% for pT3b </w:t>
      </w:r>
      <w:proofErr w:type="spellStart"/>
      <w:r w:rsidR="00AA6A02" w:rsidRPr="00AA6A02">
        <w:rPr>
          <w:rFonts w:ascii="Arial" w:hAnsi="Arial" w:cs="Arial"/>
          <w:bCs/>
          <w:lang w:val="en-US"/>
        </w:rPr>
        <w:t>tumours</w:t>
      </w:r>
      <w:proofErr w:type="spellEnd"/>
      <w:r w:rsidR="00AA6A02" w:rsidRPr="00AA6A02">
        <w:rPr>
          <w:rFonts w:ascii="Arial" w:hAnsi="Arial" w:cs="Arial"/>
          <w:bCs/>
          <w:lang w:val="en-US"/>
        </w:rPr>
        <w:t xml:space="preserve"> </w:t>
      </w:r>
      <w:r w:rsidR="00B76E68">
        <w:rPr>
          <w:rFonts w:ascii="Arial" w:hAnsi="Arial" w:cs="Arial"/>
          <w:bCs/>
          <w:noProof/>
          <w:lang w:val="en-US"/>
        </w:rPr>
        <w:t>[2-5]</w:t>
      </w:r>
      <w:r w:rsidR="00AA6A02" w:rsidRPr="00AA6A02">
        <w:rPr>
          <w:rFonts w:ascii="Arial" w:hAnsi="Arial" w:cs="Arial"/>
          <w:bCs/>
          <w:lang w:val="en-US"/>
        </w:rPr>
        <w:t>. There was an absolute improvement of 5% in overall survival, 14% decrease in disease specific mortality and 9% improvement in disease specific survival</w:t>
      </w:r>
      <w:r w:rsidR="00F7062A">
        <w:rPr>
          <w:rFonts w:ascii="Arial" w:hAnsi="Arial" w:cs="Arial"/>
          <w:bCs/>
          <w:lang w:val="en-US"/>
        </w:rPr>
        <w:t>, at 5 years,</w:t>
      </w:r>
      <w:r w:rsidR="00AA6A02" w:rsidRPr="00AA6A02">
        <w:rPr>
          <w:rFonts w:ascii="Arial" w:hAnsi="Arial" w:cs="Arial"/>
          <w:bCs/>
          <w:lang w:val="en-US"/>
        </w:rPr>
        <w:t xml:space="preserve"> with</w:t>
      </w:r>
      <w:r w:rsidR="00B7244F">
        <w:rPr>
          <w:rFonts w:ascii="Arial" w:hAnsi="Arial" w:cs="Arial"/>
          <w:bCs/>
          <w:lang w:val="en-US"/>
        </w:rPr>
        <w:t xml:space="preserve"> cisplatin-based</w:t>
      </w:r>
      <w:r w:rsidR="00AA6A02" w:rsidRPr="00AA6A02">
        <w:rPr>
          <w:rFonts w:ascii="Arial" w:hAnsi="Arial" w:cs="Arial"/>
          <w:bCs/>
          <w:lang w:val="en-US"/>
        </w:rPr>
        <w:t xml:space="preserve"> neoadjuvant chemotherapy</w:t>
      </w:r>
      <w:r w:rsidR="00F07347">
        <w:rPr>
          <w:rFonts w:ascii="Arial" w:hAnsi="Arial" w:cs="Arial"/>
          <w:bCs/>
          <w:lang w:val="en-US"/>
        </w:rPr>
        <w:t xml:space="preserve"> (NAC)</w:t>
      </w:r>
      <w:r w:rsidR="00AA6A02" w:rsidRPr="00AA6A02">
        <w:rPr>
          <w:rFonts w:ascii="Arial" w:hAnsi="Arial" w:cs="Arial"/>
          <w:bCs/>
          <w:lang w:val="en-US"/>
        </w:rPr>
        <w:t xml:space="preserve"> </w:t>
      </w:r>
      <w:r w:rsidR="00766E54" w:rsidRPr="00AA6A02">
        <w:rPr>
          <w:rFonts w:ascii="Arial" w:hAnsi="Arial" w:cs="Arial"/>
          <w:bCs/>
          <w:lang w:val="en-US"/>
        </w:rPr>
        <w:t>followed by definitive treatment (surgery or radiotherapy) compared with patients who rece</w:t>
      </w:r>
      <w:r w:rsidR="00766E54">
        <w:rPr>
          <w:rFonts w:ascii="Arial" w:hAnsi="Arial" w:cs="Arial"/>
          <w:bCs/>
          <w:lang w:val="en-US"/>
        </w:rPr>
        <w:t xml:space="preserve">ived definitive treatment alone, </w:t>
      </w:r>
      <w:r w:rsidR="00AA6A02" w:rsidRPr="00AA6A02">
        <w:rPr>
          <w:rFonts w:ascii="Arial" w:hAnsi="Arial" w:cs="Arial"/>
          <w:bCs/>
          <w:lang w:val="en-US"/>
        </w:rPr>
        <w:t xml:space="preserve">in patients of good performance status </w:t>
      </w:r>
      <w:r w:rsidR="00B76E68">
        <w:rPr>
          <w:rFonts w:ascii="Arial" w:hAnsi="Arial" w:cs="Arial"/>
          <w:bCs/>
          <w:noProof/>
          <w:lang w:val="en-US"/>
        </w:rPr>
        <w:t>[2, 3]</w:t>
      </w:r>
      <w:r w:rsidR="00AA6A02" w:rsidRPr="00AA6A02">
        <w:rPr>
          <w:rFonts w:ascii="Arial" w:hAnsi="Arial" w:cs="Arial"/>
          <w:bCs/>
          <w:lang w:val="en-US"/>
        </w:rPr>
        <w:t xml:space="preserve">. </w:t>
      </w:r>
    </w:p>
    <w:p w14:paraId="1469E19E" w14:textId="77777777" w:rsidR="00AA6A02" w:rsidRPr="00AA6A02" w:rsidRDefault="00AA6A02" w:rsidP="00234E70">
      <w:pPr>
        <w:spacing w:line="480" w:lineRule="auto"/>
        <w:ind w:firstLine="720"/>
        <w:contextualSpacing/>
        <w:jc w:val="both"/>
        <w:rPr>
          <w:rFonts w:ascii="Arial" w:hAnsi="Arial" w:cs="Arial"/>
          <w:bCs/>
          <w:lang w:val="en-US"/>
        </w:rPr>
      </w:pPr>
      <w:r w:rsidRPr="00AA6A02">
        <w:rPr>
          <w:rFonts w:ascii="Arial" w:hAnsi="Arial" w:cs="Arial"/>
          <w:bCs/>
          <w:lang w:val="en-US"/>
        </w:rPr>
        <w:t xml:space="preserve">The choice of neoadjuvant chemotherapy agents is guided by the larger individual trials. The phase III SWOG 8710 (Intergroup 0080) trial </w:t>
      </w:r>
      <w:r w:rsidR="00B76E68">
        <w:rPr>
          <w:rFonts w:ascii="Arial" w:hAnsi="Arial" w:cs="Arial"/>
          <w:bCs/>
          <w:noProof/>
          <w:lang w:val="en-US"/>
        </w:rPr>
        <w:t>[6]</w:t>
      </w:r>
      <w:r w:rsidRPr="00AA6A02">
        <w:rPr>
          <w:rFonts w:ascii="Arial" w:hAnsi="Arial" w:cs="Arial"/>
          <w:bCs/>
          <w:lang w:val="en-US"/>
        </w:rPr>
        <w:t xml:space="preserve"> demonstrated that </w:t>
      </w:r>
      <w:proofErr w:type="gramStart"/>
      <w:r w:rsidRPr="00AA6A02">
        <w:rPr>
          <w:rFonts w:ascii="Arial" w:hAnsi="Arial" w:cs="Arial"/>
          <w:bCs/>
          <w:lang w:val="en-US"/>
        </w:rPr>
        <w:t>5 year</w:t>
      </w:r>
      <w:proofErr w:type="gramEnd"/>
      <w:r w:rsidRPr="00AA6A02">
        <w:rPr>
          <w:rFonts w:ascii="Arial" w:hAnsi="Arial" w:cs="Arial"/>
          <w:bCs/>
          <w:lang w:val="en-US"/>
        </w:rPr>
        <w:t xml:space="preserve"> overall survival </w:t>
      </w:r>
      <w:proofErr w:type="spellStart"/>
      <w:r w:rsidRPr="00AA6A02">
        <w:rPr>
          <w:rFonts w:ascii="Arial" w:hAnsi="Arial" w:cs="Arial"/>
          <w:bCs/>
          <w:lang w:val="en-US"/>
        </w:rPr>
        <w:t>favoured</w:t>
      </w:r>
      <w:proofErr w:type="spellEnd"/>
      <w:r w:rsidR="000C7F20">
        <w:rPr>
          <w:rFonts w:ascii="Arial" w:hAnsi="Arial" w:cs="Arial"/>
          <w:bCs/>
          <w:lang w:val="en-US"/>
        </w:rPr>
        <w:t xml:space="preserve"> methotrexate, vinblastine, doxorubicin, cisplatin</w:t>
      </w:r>
      <w:r w:rsidRPr="00AA6A02">
        <w:rPr>
          <w:rFonts w:ascii="Arial" w:hAnsi="Arial" w:cs="Arial"/>
          <w:bCs/>
          <w:lang w:val="en-US"/>
        </w:rPr>
        <w:t xml:space="preserve"> </w:t>
      </w:r>
      <w:r w:rsidR="006962E9">
        <w:rPr>
          <w:rFonts w:ascii="Arial" w:hAnsi="Arial" w:cs="Arial"/>
          <w:bCs/>
          <w:lang w:val="en-US"/>
        </w:rPr>
        <w:t>(</w:t>
      </w:r>
      <w:r w:rsidRPr="00AA6A02">
        <w:rPr>
          <w:rFonts w:ascii="Arial" w:hAnsi="Arial" w:cs="Arial"/>
          <w:bCs/>
          <w:lang w:val="en-US"/>
        </w:rPr>
        <w:t>MVAC</w:t>
      </w:r>
      <w:r w:rsidR="006962E9">
        <w:rPr>
          <w:rFonts w:ascii="Arial" w:hAnsi="Arial" w:cs="Arial"/>
          <w:bCs/>
          <w:lang w:val="en-US"/>
        </w:rPr>
        <w:t>)</w:t>
      </w:r>
      <w:r w:rsidRPr="00AA6A02">
        <w:rPr>
          <w:rFonts w:ascii="Arial" w:hAnsi="Arial" w:cs="Arial"/>
          <w:bCs/>
          <w:lang w:val="en-US"/>
        </w:rPr>
        <w:t xml:space="preserve"> chemotherapy (57% vs.42%), and was 85% in patients who had a pathological complete response. However, MVAC was toxic with the incidence of grade </w:t>
      </w:r>
      <w:r>
        <w:rPr>
          <w:rFonts w:ascii="Arial" w:hAnsi="Arial" w:cs="Arial"/>
          <w:bCs/>
          <w:lang w:val="en-US"/>
        </w:rPr>
        <w:t>4 granulocytopenia of 33% and gastrointestinal</w:t>
      </w:r>
      <w:r w:rsidRPr="00AA6A02">
        <w:rPr>
          <w:rFonts w:ascii="Arial" w:hAnsi="Arial" w:cs="Arial"/>
          <w:bCs/>
          <w:lang w:val="en-US"/>
        </w:rPr>
        <w:t xml:space="preserve"> complications of 29%. The combination of gemcitabine plus cisplatin (GC) has been shown to be effective with similar response and survival rates compared with MVAC</w:t>
      </w:r>
      <w:r w:rsidR="00F0326B">
        <w:rPr>
          <w:rFonts w:ascii="Arial" w:hAnsi="Arial" w:cs="Arial"/>
          <w:bCs/>
          <w:lang w:val="en-US"/>
        </w:rPr>
        <w:t>,</w:t>
      </w:r>
      <w:r w:rsidRPr="00AA6A02">
        <w:rPr>
          <w:rFonts w:ascii="Arial" w:hAnsi="Arial" w:cs="Arial"/>
          <w:bCs/>
          <w:lang w:val="en-US"/>
        </w:rPr>
        <w:t xml:space="preserve"> </w:t>
      </w:r>
      <w:r w:rsidR="00F0326B" w:rsidRPr="00AA6A02">
        <w:rPr>
          <w:rFonts w:ascii="Arial" w:hAnsi="Arial" w:cs="Arial"/>
          <w:bCs/>
          <w:lang w:val="en-US"/>
        </w:rPr>
        <w:t>and less toxic in advanced bladder cancer</w:t>
      </w:r>
      <w:r w:rsidR="00F0326B">
        <w:rPr>
          <w:rFonts w:ascii="Arial" w:hAnsi="Arial" w:cs="Arial"/>
          <w:bCs/>
          <w:lang w:val="en-US"/>
        </w:rPr>
        <w:t xml:space="preserve"> </w:t>
      </w:r>
      <w:r w:rsidR="00A9381D">
        <w:rPr>
          <w:rFonts w:ascii="Arial" w:hAnsi="Arial" w:cs="Arial"/>
          <w:bCs/>
          <w:noProof/>
          <w:lang w:val="en-US"/>
        </w:rPr>
        <w:t>[7]</w:t>
      </w:r>
      <w:r w:rsidRPr="00AA6A02">
        <w:rPr>
          <w:rFonts w:ascii="Arial" w:hAnsi="Arial" w:cs="Arial"/>
          <w:bCs/>
          <w:lang w:val="en-US"/>
        </w:rPr>
        <w:t>. Based on these data, GC has become the current standard of care in the neoadjuvant setting in the treatment of MIBC.</w:t>
      </w:r>
      <w:r w:rsidR="00766E54">
        <w:rPr>
          <w:rFonts w:ascii="Arial" w:hAnsi="Arial" w:cs="Arial"/>
          <w:bCs/>
          <w:lang w:val="en-US"/>
        </w:rPr>
        <w:t xml:space="preserve"> </w:t>
      </w:r>
      <w:r w:rsidRPr="00AA6A02">
        <w:rPr>
          <w:rFonts w:ascii="Arial" w:hAnsi="Arial" w:cs="Arial"/>
          <w:bCs/>
          <w:lang w:val="en-US"/>
        </w:rPr>
        <w:t>Despite this obvious benefit, there have been few trials comparing different NAC regimens and few reliable biomarkers that identify patients most likely to benefit from neoadjuvant treatment.</w:t>
      </w:r>
      <w:r w:rsidR="00766E54" w:rsidRPr="00766E54">
        <w:rPr>
          <w:rStyle w:val="PageNumber"/>
          <w:rFonts w:ascii="Arial" w:hAnsi="Arial" w:cs="Arial"/>
        </w:rPr>
        <w:t xml:space="preserve"> </w:t>
      </w:r>
      <w:r w:rsidR="00766E54" w:rsidRPr="00E25CF3">
        <w:rPr>
          <w:rStyle w:val="PageNumber"/>
          <w:rFonts w:ascii="Arial" w:hAnsi="Arial" w:cs="Arial"/>
        </w:rPr>
        <w:t>T</w:t>
      </w:r>
      <w:r w:rsidR="00766E54" w:rsidRPr="00E25CF3">
        <w:rPr>
          <w:rFonts w:ascii="Arial" w:hAnsi="Arial" w:cs="Arial"/>
        </w:rPr>
        <w:t>here</w:t>
      </w:r>
      <w:r w:rsidR="00766E54">
        <w:rPr>
          <w:rFonts w:ascii="Arial" w:hAnsi="Arial" w:cs="Arial"/>
        </w:rPr>
        <w:t>fore, there</w:t>
      </w:r>
      <w:r w:rsidR="00766E54" w:rsidRPr="00E25CF3">
        <w:rPr>
          <w:rFonts w:ascii="Arial" w:hAnsi="Arial" w:cs="Arial"/>
        </w:rPr>
        <w:t xml:space="preserve"> is a clear need for new combinations of drugs to improve patient outcomes.</w:t>
      </w:r>
    </w:p>
    <w:p w14:paraId="3D0120A6" w14:textId="77777777" w:rsidR="00BB3499" w:rsidRPr="00E25CF3" w:rsidRDefault="00BB3499" w:rsidP="00234E70">
      <w:pPr>
        <w:spacing w:line="480" w:lineRule="auto"/>
        <w:contextualSpacing/>
        <w:jc w:val="both"/>
        <w:rPr>
          <w:rFonts w:ascii="Arial" w:hAnsi="Arial" w:cs="Arial"/>
        </w:rPr>
      </w:pPr>
    </w:p>
    <w:p w14:paraId="6F4E4742" w14:textId="77777777" w:rsidR="00FE0925" w:rsidRPr="003E5855" w:rsidRDefault="003E5855" w:rsidP="00234E70">
      <w:pPr>
        <w:spacing w:line="480" w:lineRule="auto"/>
        <w:ind w:firstLine="720"/>
        <w:contextualSpacing/>
        <w:jc w:val="both"/>
        <w:rPr>
          <w:rFonts w:ascii="Arial" w:hAnsi="Arial" w:cs="Arial"/>
        </w:rPr>
      </w:pPr>
      <w:r w:rsidRPr="003E5855">
        <w:rPr>
          <w:rFonts w:ascii="Arial" w:hAnsi="Arial" w:cs="Arial"/>
        </w:rPr>
        <w:lastRenderedPageBreak/>
        <w:t xml:space="preserve">Interest in </w:t>
      </w:r>
      <w:proofErr w:type="spellStart"/>
      <w:r w:rsidRPr="003E5855">
        <w:rPr>
          <w:rFonts w:ascii="Arial" w:hAnsi="Arial" w:cs="Arial"/>
        </w:rPr>
        <w:t>taxanes</w:t>
      </w:r>
      <w:proofErr w:type="spellEnd"/>
      <w:r w:rsidRPr="003E5855">
        <w:rPr>
          <w:rFonts w:ascii="Arial" w:hAnsi="Arial" w:cs="Arial"/>
        </w:rPr>
        <w:t xml:space="preserve"> (</w:t>
      </w:r>
      <w:proofErr w:type="gramStart"/>
      <w:r w:rsidRPr="003E5855">
        <w:rPr>
          <w:rFonts w:ascii="Arial" w:hAnsi="Arial" w:cs="Arial"/>
        </w:rPr>
        <w:t>e.g.</w:t>
      </w:r>
      <w:proofErr w:type="gramEnd"/>
      <w:r w:rsidRPr="003E5855">
        <w:rPr>
          <w:rFonts w:ascii="Arial" w:hAnsi="Arial" w:cs="Arial"/>
        </w:rPr>
        <w:t xml:space="preserve"> paclitaxel and docetaxel) in the management of bladder cancer has emerged from trials in metastatic bladder cancer (cancer that has spread to other parts of the body) following failure of platinum-based chemotherapy </w:t>
      </w:r>
      <w:r w:rsidR="00F0326B">
        <w:rPr>
          <w:rFonts w:ascii="Arial" w:hAnsi="Arial" w:cs="Arial"/>
          <w:noProof/>
        </w:rPr>
        <w:t>[8-11]</w:t>
      </w:r>
      <w:r w:rsidRPr="003E5855">
        <w:rPr>
          <w:rFonts w:ascii="Arial" w:hAnsi="Arial" w:cs="Arial"/>
        </w:rPr>
        <w:t xml:space="preserve">. </w:t>
      </w:r>
      <w:proofErr w:type="spellStart"/>
      <w:r w:rsidRPr="003E5855">
        <w:rPr>
          <w:rFonts w:ascii="Arial" w:hAnsi="Arial" w:cs="Arial"/>
        </w:rPr>
        <w:t>Taxanes</w:t>
      </w:r>
      <w:proofErr w:type="spellEnd"/>
      <w:r w:rsidRPr="003E5855">
        <w:rPr>
          <w:rFonts w:ascii="Arial" w:hAnsi="Arial" w:cs="Arial"/>
        </w:rPr>
        <w:t xml:space="preserve"> in combination with cisplatin have also been evaluated in the neoadjuvant setting in bladder </w:t>
      </w:r>
      <w:r w:rsidR="00D2236F" w:rsidRPr="003E5855">
        <w:rPr>
          <w:rFonts w:ascii="Arial" w:hAnsi="Arial" w:cs="Arial"/>
        </w:rPr>
        <w:t>cancer</w:t>
      </w:r>
      <w:r w:rsidRPr="003E5855">
        <w:rPr>
          <w:rFonts w:ascii="Arial" w:hAnsi="Arial" w:cs="Arial"/>
        </w:rPr>
        <w:t xml:space="preserve"> </w:t>
      </w:r>
      <w:r w:rsidR="00F0326B">
        <w:rPr>
          <w:rFonts w:ascii="Arial" w:hAnsi="Arial" w:cs="Arial"/>
          <w:noProof/>
        </w:rPr>
        <w:t>[12-14]</w:t>
      </w:r>
      <w:r w:rsidRPr="003E5855">
        <w:rPr>
          <w:rFonts w:ascii="Arial" w:hAnsi="Arial" w:cs="Arial"/>
        </w:rPr>
        <w:t>.</w:t>
      </w:r>
    </w:p>
    <w:p w14:paraId="2910AFB5" w14:textId="77777777" w:rsidR="005A7F6B" w:rsidRPr="0025519E" w:rsidRDefault="003E5855" w:rsidP="00234E70">
      <w:pPr>
        <w:spacing w:line="480" w:lineRule="auto"/>
        <w:ind w:firstLine="720"/>
        <w:contextualSpacing/>
        <w:jc w:val="both"/>
        <w:rPr>
          <w:rFonts w:ascii="Arial" w:hAnsi="Arial" w:cs="Arial"/>
          <w:bCs/>
          <w:lang w:val="en-US"/>
        </w:rPr>
      </w:pPr>
      <w:proofErr w:type="spellStart"/>
      <w:r w:rsidRPr="003E5855">
        <w:rPr>
          <w:rFonts w:ascii="Arial" w:hAnsi="Arial" w:cs="Arial"/>
        </w:rPr>
        <w:t>Cabazitaxel</w:t>
      </w:r>
      <w:proofErr w:type="spellEnd"/>
      <w:r w:rsidRPr="003E5855">
        <w:rPr>
          <w:rFonts w:ascii="Arial" w:hAnsi="Arial" w:cs="Arial"/>
        </w:rPr>
        <w:t xml:space="preserve"> is a novel taxane which is well tolerated and effective in tumours that are </w:t>
      </w:r>
      <w:r w:rsidR="000F3E61">
        <w:rPr>
          <w:rFonts w:ascii="Arial" w:hAnsi="Arial" w:cs="Arial"/>
        </w:rPr>
        <w:t>either</w:t>
      </w:r>
      <w:r w:rsidRPr="003E5855">
        <w:rPr>
          <w:rFonts w:ascii="Arial" w:hAnsi="Arial" w:cs="Arial"/>
        </w:rPr>
        <w:t xml:space="preserve"> sen</w:t>
      </w:r>
      <w:r w:rsidR="00F07347">
        <w:rPr>
          <w:rFonts w:ascii="Arial" w:hAnsi="Arial" w:cs="Arial"/>
        </w:rPr>
        <w:t>s</w:t>
      </w:r>
      <w:r w:rsidRPr="003E5855">
        <w:rPr>
          <w:rFonts w:ascii="Arial" w:hAnsi="Arial" w:cs="Arial"/>
        </w:rPr>
        <w:t xml:space="preserve">itive or resistant to other </w:t>
      </w:r>
      <w:proofErr w:type="spellStart"/>
      <w:r w:rsidRPr="003E5855">
        <w:rPr>
          <w:rFonts w:ascii="Arial" w:hAnsi="Arial" w:cs="Arial"/>
        </w:rPr>
        <w:t>taxanes</w:t>
      </w:r>
      <w:proofErr w:type="spellEnd"/>
      <w:r w:rsidRPr="003E5855">
        <w:rPr>
          <w:rFonts w:ascii="Arial" w:hAnsi="Arial" w:cs="Arial"/>
        </w:rPr>
        <w:t xml:space="preserve"> </w:t>
      </w:r>
      <w:r w:rsidR="00F0326B">
        <w:rPr>
          <w:rFonts w:ascii="Arial" w:hAnsi="Arial" w:cs="Arial"/>
          <w:noProof/>
        </w:rPr>
        <w:t>[15]</w:t>
      </w:r>
      <w:r w:rsidRPr="003E5855">
        <w:rPr>
          <w:rFonts w:ascii="Arial" w:hAnsi="Arial" w:cs="Arial"/>
        </w:rPr>
        <w:t xml:space="preserve">. Although trials with </w:t>
      </w:r>
      <w:proofErr w:type="spellStart"/>
      <w:r w:rsidRPr="003E5855">
        <w:rPr>
          <w:rFonts w:ascii="Arial" w:hAnsi="Arial" w:cs="Arial"/>
        </w:rPr>
        <w:t>cabazitaxel</w:t>
      </w:r>
      <w:proofErr w:type="spellEnd"/>
      <w:r w:rsidRPr="003E5855">
        <w:rPr>
          <w:rFonts w:ascii="Arial" w:hAnsi="Arial" w:cs="Arial"/>
        </w:rPr>
        <w:t xml:space="preserve"> have primarily employed it as a single agent treatment in advanced MIBC patients who are cisplatin intolerant </w:t>
      </w:r>
      <w:r w:rsidR="00F0326B">
        <w:rPr>
          <w:rFonts w:ascii="Arial" w:hAnsi="Arial" w:cs="Arial"/>
          <w:noProof/>
        </w:rPr>
        <w:t>[16]</w:t>
      </w:r>
      <w:r w:rsidRPr="003E5855">
        <w:rPr>
          <w:rFonts w:ascii="Arial" w:hAnsi="Arial" w:cs="Arial"/>
        </w:rPr>
        <w:t xml:space="preserve">, benefit has been seen in combination with other platinum-based agents in the treatment of metastatic breast cancer </w:t>
      </w:r>
      <w:r w:rsidR="00F0326B">
        <w:rPr>
          <w:rFonts w:ascii="Arial" w:hAnsi="Arial" w:cs="Arial"/>
          <w:noProof/>
        </w:rPr>
        <w:t>[17]</w:t>
      </w:r>
      <w:r w:rsidRPr="003E5855">
        <w:rPr>
          <w:rFonts w:ascii="Arial" w:hAnsi="Arial" w:cs="Arial"/>
        </w:rPr>
        <w:t>. Recent work in animal models</w:t>
      </w:r>
      <w:r w:rsidR="0025519E">
        <w:rPr>
          <w:rFonts w:ascii="Arial" w:hAnsi="Arial" w:cs="Arial"/>
        </w:rPr>
        <w:t xml:space="preserve"> </w:t>
      </w:r>
      <w:r w:rsidR="0025519E">
        <w:rPr>
          <w:rFonts w:ascii="Arial" w:hAnsi="Arial" w:cs="Arial"/>
          <w:noProof/>
        </w:rPr>
        <w:t>[18]</w:t>
      </w:r>
      <w:r w:rsidRPr="003E5855">
        <w:rPr>
          <w:rFonts w:ascii="Arial" w:hAnsi="Arial" w:cs="Arial"/>
        </w:rPr>
        <w:t xml:space="preserve"> reports synergism when </w:t>
      </w:r>
      <w:proofErr w:type="spellStart"/>
      <w:r w:rsidRPr="003E5855">
        <w:rPr>
          <w:rFonts w:ascii="Arial" w:hAnsi="Arial" w:cs="Arial"/>
        </w:rPr>
        <w:t>cabazitaxel</w:t>
      </w:r>
      <w:proofErr w:type="spellEnd"/>
      <w:r w:rsidRPr="003E5855">
        <w:rPr>
          <w:rFonts w:ascii="Arial" w:hAnsi="Arial" w:cs="Arial"/>
        </w:rPr>
        <w:t xml:space="preserve"> is combined with cisplatin. Data from phase I studies using </w:t>
      </w:r>
      <w:proofErr w:type="spellStart"/>
      <w:r w:rsidRPr="003E5855">
        <w:rPr>
          <w:rFonts w:ascii="Arial" w:hAnsi="Arial" w:cs="Arial"/>
        </w:rPr>
        <w:t>cabazitaxel</w:t>
      </w:r>
      <w:proofErr w:type="spellEnd"/>
      <w:r w:rsidRPr="003E5855">
        <w:rPr>
          <w:rFonts w:ascii="Arial" w:hAnsi="Arial" w:cs="Arial"/>
        </w:rPr>
        <w:t xml:space="preserve"> combi</w:t>
      </w:r>
      <w:r w:rsidR="0025519E">
        <w:rPr>
          <w:rFonts w:ascii="Arial" w:hAnsi="Arial" w:cs="Arial"/>
        </w:rPr>
        <w:t>ned with cisplatin are emerging</w:t>
      </w:r>
      <w:r w:rsidRPr="003E5855">
        <w:rPr>
          <w:rFonts w:ascii="Arial" w:hAnsi="Arial" w:cs="Arial"/>
        </w:rPr>
        <w:t xml:space="preserve"> </w:t>
      </w:r>
      <w:r w:rsidR="0025519E">
        <w:rPr>
          <w:rFonts w:ascii="Arial" w:hAnsi="Arial" w:cs="Arial"/>
          <w:noProof/>
        </w:rPr>
        <w:t>[19]</w:t>
      </w:r>
      <w:r w:rsidRPr="003E5855">
        <w:rPr>
          <w:rFonts w:ascii="Arial" w:hAnsi="Arial" w:cs="Arial"/>
        </w:rPr>
        <w:t>.</w:t>
      </w:r>
      <w:r>
        <w:rPr>
          <w:rFonts w:ascii="Arial" w:hAnsi="Arial" w:cs="Arial"/>
        </w:rPr>
        <w:t xml:space="preserve"> </w:t>
      </w:r>
      <w:r w:rsidR="0052781F">
        <w:rPr>
          <w:rFonts w:ascii="Arial" w:hAnsi="Arial" w:cs="Arial"/>
        </w:rPr>
        <w:t xml:space="preserve">The combination of platinum and </w:t>
      </w:r>
      <w:proofErr w:type="spellStart"/>
      <w:r w:rsidR="0052781F">
        <w:rPr>
          <w:rFonts w:ascii="Arial" w:hAnsi="Arial" w:cs="Arial"/>
        </w:rPr>
        <w:t>cabazitaxel</w:t>
      </w:r>
      <w:proofErr w:type="spellEnd"/>
      <w:r w:rsidR="0052781F">
        <w:rPr>
          <w:rFonts w:ascii="Arial" w:hAnsi="Arial" w:cs="Arial"/>
        </w:rPr>
        <w:t xml:space="preserve"> has been shown to be well tolerated in patients with metastatic prostate cancer </w:t>
      </w:r>
      <w:r w:rsidR="00EC31EE">
        <w:rPr>
          <w:rFonts w:ascii="Arial" w:hAnsi="Arial" w:cs="Arial"/>
          <w:noProof/>
        </w:rPr>
        <w:t>[20]</w:t>
      </w:r>
      <w:r w:rsidR="0052781F">
        <w:rPr>
          <w:rFonts w:ascii="Arial" w:hAnsi="Arial" w:cs="Arial"/>
        </w:rPr>
        <w:t xml:space="preserve">. </w:t>
      </w:r>
      <w:r>
        <w:rPr>
          <w:rFonts w:ascii="Arial" w:hAnsi="Arial" w:cs="Arial"/>
        </w:rPr>
        <w:t xml:space="preserve">Therefore, </w:t>
      </w:r>
      <w:proofErr w:type="spellStart"/>
      <w:r>
        <w:rPr>
          <w:rFonts w:ascii="Arial" w:hAnsi="Arial" w:cs="Arial"/>
        </w:rPr>
        <w:t>cabazitaxel</w:t>
      </w:r>
      <w:proofErr w:type="spellEnd"/>
      <w:r>
        <w:rPr>
          <w:rFonts w:ascii="Arial" w:hAnsi="Arial" w:cs="Arial"/>
        </w:rPr>
        <w:t xml:space="preserve"> </w:t>
      </w:r>
      <w:r w:rsidR="00BB3499" w:rsidRPr="00E25CF3">
        <w:rPr>
          <w:rFonts w:ascii="Arial" w:hAnsi="Arial" w:cs="Arial"/>
          <w:bCs/>
          <w:lang w:val="en-US"/>
        </w:rPr>
        <w:t>presents a potentially active and tolerable agent, in comb</w:t>
      </w:r>
      <w:r w:rsidR="00E26249">
        <w:rPr>
          <w:rFonts w:ascii="Arial" w:hAnsi="Arial" w:cs="Arial"/>
          <w:bCs/>
          <w:lang w:val="en-US"/>
        </w:rPr>
        <w:t>ination with cisplatin, in MIB</w:t>
      </w:r>
      <w:r w:rsidR="00BB3499" w:rsidRPr="00E25CF3">
        <w:rPr>
          <w:rFonts w:ascii="Arial" w:hAnsi="Arial" w:cs="Arial"/>
          <w:bCs/>
          <w:lang w:val="en-US"/>
        </w:rPr>
        <w:t xml:space="preserve">C prior to definitive therapy.  </w:t>
      </w:r>
    </w:p>
    <w:p w14:paraId="003168A2" w14:textId="77777777" w:rsidR="0019162B" w:rsidRPr="0019162B" w:rsidRDefault="0019162B" w:rsidP="0019162B">
      <w:pPr>
        <w:spacing w:line="480" w:lineRule="auto"/>
        <w:ind w:firstLine="720"/>
        <w:contextualSpacing/>
        <w:jc w:val="both"/>
        <w:rPr>
          <w:rFonts w:ascii="Arial" w:hAnsi="Arial" w:cs="Arial"/>
        </w:rPr>
      </w:pPr>
      <w:r>
        <w:rPr>
          <w:rFonts w:ascii="Arial" w:hAnsi="Arial" w:cs="Arial"/>
        </w:rPr>
        <w:t>Circulating tumour cells (</w:t>
      </w:r>
      <w:r w:rsidRPr="0019162B">
        <w:rPr>
          <w:rFonts w:ascii="Arial" w:hAnsi="Arial" w:cs="Arial"/>
        </w:rPr>
        <w:t>CTCs</w:t>
      </w:r>
      <w:r>
        <w:rPr>
          <w:rFonts w:ascii="Arial" w:hAnsi="Arial" w:cs="Arial"/>
        </w:rPr>
        <w:t>)</w:t>
      </w:r>
      <w:r w:rsidRPr="0019162B">
        <w:rPr>
          <w:rFonts w:ascii="Arial" w:hAnsi="Arial" w:cs="Arial"/>
        </w:rPr>
        <w:t xml:space="preserve"> </w:t>
      </w:r>
      <w:r w:rsidR="006962E9">
        <w:rPr>
          <w:rFonts w:ascii="Arial" w:hAnsi="Arial" w:cs="Arial"/>
        </w:rPr>
        <w:t xml:space="preserve">as a </w:t>
      </w:r>
      <w:r w:rsidRPr="0019162B">
        <w:rPr>
          <w:rFonts w:ascii="Arial" w:hAnsi="Arial" w:cs="Arial"/>
        </w:rPr>
        <w:t xml:space="preserve">biomarker may </w:t>
      </w:r>
      <w:r w:rsidR="00F74BDF">
        <w:rPr>
          <w:rFonts w:ascii="Arial" w:hAnsi="Arial" w:cs="Arial"/>
        </w:rPr>
        <w:t>aid</w:t>
      </w:r>
      <w:r w:rsidRPr="0019162B">
        <w:rPr>
          <w:rFonts w:ascii="Arial" w:hAnsi="Arial" w:cs="Arial"/>
        </w:rPr>
        <w:t xml:space="preserve"> selection of therapy</w:t>
      </w:r>
      <w:r>
        <w:rPr>
          <w:rFonts w:ascii="Arial" w:hAnsi="Arial" w:cs="Arial"/>
        </w:rPr>
        <w:t xml:space="preserve"> </w:t>
      </w:r>
      <w:r w:rsidR="00EC31EE">
        <w:rPr>
          <w:rFonts w:ascii="Arial" w:hAnsi="Arial" w:cs="Arial"/>
          <w:noProof/>
        </w:rPr>
        <w:t>[21]</w:t>
      </w:r>
      <w:r w:rsidR="0025519E">
        <w:rPr>
          <w:rFonts w:ascii="Arial" w:hAnsi="Arial" w:cs="Arial"/>
        </w:rPr>
        <w:t xml:space="preserve"> </w:t>
      </w:r>
      <w:proofErr w:type="gramStart"/>
      <w:r w:rsidR="00066835">
        <w:rPr>
          <w:rFonts w:ascii="Arial" w:hAnsi="Arial" w:cs="Arial"/>
        </w:rPr>
        <w:t>and also</w:t>
      </w:r>
      <w:proofErr w:type="gramEnd"/>
      <w:r w:rsidR="00066835">
        <w:rPr>
          <w:rFonts w:ascii="Arial" w:hAnsi="Arial" w:cs="Arial"/>
        </w:rPr>
        <w:t xml:space="preserve"> act as surrogates for overall survival </w:t>
      </w:r>
      <w:r w:rsidR="00EC31EE">
        <w:rPr>
          <w:rFonts w:ascii="Arial" w:hAnsi="Arial" w:cs="Arial"/>
          <w:noProof/>
        </w:rPr>
        <w:t>[22]</w:t>
      </w:r>
      <w:r w:rsidR="00066835">
        <w:rPr>
          <w:rFonts w:ascii="Arial" w:hAnsi="Arial" w:cs="Arial"/>
        </w:rPr>
        <w:t>.</w:t>
      </w:r>
      <w:r w:rsidR="00B759F1">
        <w:rPr>
          <w:rFonts w:ascii="Arial" w:hAnsi="Arial" w:cs="Arial"/>
        </w:rPr>
        <w:t xml:space="preserve"> </w:t>
      </w:r>
      <w:r w:rsidR="00D01330" w:rsidRPr="00D01330">
        <w:rPr>
          <w:rFonts w:ascii="Arial" w:hAnsi="Arial" w:cs="Arial"/>
        </w:rPr>
        <w:t xml:space="preserve">Detection of urothelial cancer cells using the </w:t>
      </w:r>
      <w:r w:rsidR="00D01330">
        <w:rPr>
          <w:rFonts w:ascii="Arial" w:hAnsi="Arial" w:cs="Arial"/>
        </w:rPr>
        <w:t>Cell Search System (</w:t>
      </w:r>
      <w:r w:rsidR="00D01330" w:rsidRPr="00D01330">
        <w:rPr>
          <w:rFonts w:ascii="Arial" w:hAnsi="Arial" w:cs="Arial"/>
        </w:rPr>
        <w:t>CSS</w:t>
      </w:r>
      <w:r w:rsidR="00D01330">
        <w:rPr>
          <w:rFonts w:ascii="Arial" w:hAnsi="Arial" w:cs="Arial"/>
        </w:rPr>
        <w:t>)</w:t>
      </w:r>
      <w:r w:rsidR="00D01330" w:rsidRPr="00D01330">
        <w:rPr>
          <w:rFonts w:ascii="Arial" w:hAnsi="Arial" w:cs="Arial"/>
        </w:rPr>
        <w:t xml:space="preserve"> was first described by </w:t>
      </w:r>
      <w:proofErr w:type="spellStart"/>
      <w:r w:rsidR="00D01330" w:rsidRPr="00D01330">
        <w:rPr>
          <w:rFonts w:ascii="Arial" w:hAnsi="Arial" w:cs="Arial"/>
        </w:rPr>
        <w:t>Naoe</w:t>
      </w:r>
      <w:proofErr w:type="spellEnd"/>
      <w:r w:rsidR="00F74BDF">
        <w:rPr>
          <w:rFonts w:ascii="Arial" w:hAnsi="Arial" w:cs="Arial"/>
        </w:rPr>
        <w:t xml:space="preserve"> et al,</w:t>
      </w:r>
      <w:r w:rsidR="00D01330" w:rsidRPr="00D01330">
        <w:rPr>
          <w:rFonts w:ascii="Arial" w:hAnsi="Arial" w:cs="Arial"/>
        </w:rPr>
        <w:t xml:space="preserve"> in a study of 26 patients </w:t>
      </w:r>
      <w:r w:rsidR="00622832">
        <w:rPr>
          <w:rFonts w:ascii="Arial" w:hAnsi="Arial" w:cs="Arial"/>
        </w:rPr>
        <w:t xml:space="preserve">with localised and metastatic urothelial cancer </w:t>
      </w:r>
      <w:r w:rsidR="00EC31EE">
        <w:rPr>
          <w:rFonts w:ascii="Arial" w:hAnsi="Arial" w:cs="Arial"/>
          <w:noProof/>
        </w:rPr>
        <w:t>[23]</w:t>
      </w:r>
      <w:r w:rsidR="00622832">
        <w:rPr>
          <w:rFonts w:ascii="Arial" w:hAnsi="Arial" w:cs="Arial"/>
        </w:rPr>
        <w:t>. U</w:t>
      </w:r>
      <w:r w:rsidR="00D01330" w:rsidRPr="00D01330">
        <w:rPr>
          <w:rFonts w:ascii="Arial" w:hAnsi="Arial" w:cs="Arial"/>
        </w:rPr>
        <w:t xml:space="preserve">rothelial cells were defined as those which stained with cytokeratin and </w:t>
      </w:r>
      <w:proofErr w:type="spellStart"/>
      <w:r w:rsidR="00D01330" w:rsidRPr="00D01330">
        <w:rPr>
          <w:rFonts w:ascii="Arial" w:hAnsi="Arial" w:cs="Arial"/>
        </w:rPr>
        <w:t>EpCAM</w:t>
      </w:r>
      <w:proofErr w:type="spellEnd"/>
      <w:r w:rsidR="00D01330" w:rsidRPr="00D01330">
        <w:rPr>
          <w:rFonts w:ascii="Arial" w:hAnsi="Arial" w:cs="Arial"/>
        </w:rPr>
        <w:t xml:space="preserve"> antibodies but not CD45 (to distinguish them from peripheral blood mononuclear cells or PBMCs).</w:t>
      </w:r>
      <w:r w:rsidR="00622832">
        <w:rPr>
          <w:rFonts w:ascii="Arial" w:hAnsi="Arial" w:cs="Arial"/>
        </w:rPr>
        <w:t xml:space="preserve"> </w:t>
      </w:r>
      <w:r w:rsidR="00412DAD">
        <w:rPr>
          <w:rFonts w:ascii="Arial" w:hAnsi="Arial" w:cs="Arial"/>
        </w:rPr>
        <w:t xml:space="preserve">In a study of 50 patients with MIBC, </w:t>
      </w:r>
      <w:proofErr w:type="spellStart"/>
      <w:r w:rsidR="00412DAD">
        <w:rPr>
          <w:rFonts w:ascii="Arial" w:hAnsi="Arial" w:cs="Arial"/>
        </w:rPr>
        <w:t>Guzzo</w:t>
      </w:r>
      <w:proofErr w:type="spellEnd"/>
      <w:r w:rsidR="00412DAD">
        <w:rPr>
          <w:rFonts w:ascii="Arial" w:hAnsi="Arial" w:cs="Arial"/>
        </w:rPr>
        <w:t xml:space="preserve"> et al have shown that t</w:t>
      </w:r>
      <w:r w:rsidR="00C875DF">
        <w:rPr>
          <w:rFonts w:ascii="Arial" w:hAnsi="Arial" w:cs="Arial"/>
        </w:rPr>
        <w:t xml:space="preserve">he detection </w:t>
      </w:r>
      <w:r w:rsidR="00817ED7">
        <w:rPr>
          <w:rFonts w:ascii="Arial" w:hAnsi="Arial" w:cs="Arial"/>
        </w:rPr>
        <w:t xml:space="preserve">rate of CTCs preoperatively </w:t>
      </w:r>
      <w:r w:rsidR="00412DAD">
        <w:rPr>
          <w:rFonts w:ascii="Arial" w:hAnsi="Arial" w:cs="Arial"/>
        </w:rPr>
        <w:t xml:space="preserve">in patients with localised MIBC was 30% (15 of 50). </w:t>
      </w:r>
      <w:r w:rsidR="003E29CE">
        <w:rPr>
          <w:rFonts w:ascii="Arial" w:hAnsi="Arial" w:cs="Arial"/>
        </w:rPr>
        <w:t xml:space="preserve">The </w:t>
      </w:r>
      <w:r w:rsidR="00C875DF" w:rsidRPr="00C875DF">
        <w:rPr>
          <w:rFonts w:ascii="Arial" w:hAnsi="Arial" w:cs="Arial"/>
        </w:rPr>
        <w:t>overal</w:t>
      </w:r>
      <w:r w:rsidR="00412DAD">
        <w:rPr>
          <w:rFonts w:ascii="Arial" w:hAnsi="Arial" w:cs="Arial"/>
        </w:rPr>
        <w:t>l</w:t>
      </w:r>
      <w:r w:rsidR="00C875DF" w:rsidRPr="00C875DF">
        <w:rPr>
          <w:rFonts w:ascii="Arial" w:hAnsi="Arial" w:cs="Arial"/>
        </w:rPr>
        <w:t xml:space="preserve"> survival</w:t>
      </w:r>
      <w:r w:rsidR="00336FC2">
        <w:rPr>
          <w:rFonts w:ascii="Arial" w:hAnsi="Arial" w:cs="Arial"/>
        </w:rPr>
        <w:t xml:space="preserve"> (OS)</w:t>
      </w:r>
      <w:r w:rsidR="00C875DF" w:rsidRPr="00C875DF">
        <w:rPr>
          <w:rFonts w:ascii="Arial" w:hAnsi="Arial" w:cs="Arial"/>
        </w:rPr>
        <w:t>, progression free survival</w:t>
      </w:r>
      <w:r w:rsidR="00336FC2">
        <w:rPr>
          <w:rFonts w:ascii="Arial" w:hAnsi="Arial" w:cs="Arial"/>
        </w:rPr>
        <w:t xml:space="preserve"> (PFS)</w:t>
      </w:r>
      <w:r w:rsidR="00C875DF" w:rsidRPr="00C875DF">
        <w:rPr>
          <w:rFonts w:ascii="Arial" w:hAnsi="Arial" w:cs="Arial"/>
        </w:rPr>
        <w:t xml:space="preserve"> and cancer specific survival</w:t>
      </w:r>
      <w:r w:rsidR="00336FC2">
        <w:rPr>
          <w:rFonts w:ascii="Arial" w:hAnsi="Arial" w:cs="Arial"/>
        </w:rPr>
        <w:t xml:space="preserve"> (CSS)</w:t>
      </w:r>
      <w:r w:rsidR="00C875DF" w:rsidRPr="00C875DF">
        <w:rPr>
          <w:rFonts w:ascii="Arial" w:hAnsi="Arial" w:cs="Arial"/>
        </w:rPr>
        <w:t xml:space="preserve"> were </w:t>
      </w:r>
      <w:r w:rsidR="003E29CE">
        <w:rPr>
          <w:rFonts w:ascii="Arial" w:hAnsi="Arial" w:cs="Arial"/>
        </w:rPr>
        <w:t xml:space="preserve">shown to be </w:t>
      </w:r>
      <w:r w:rsidR="00C875DF" w:rsidRPr="00C875DF">
        <w:rPr>
          <w:rFonts w:ascii="Arial" w:hAnsi="Arial" w:cs="Arial"/>
        </w:rPr>
        <w:t>significantly worse in non</w:t>
      </w:r>
      <w:r w:rsidR="00F07347">
        <w:rPr>
          <w:rFonts w:ascii="Arial" w:hAnsi="Arial" w:cs="Arial"/>
        </w:rPr>
        <w:t>-</w:t>
      </w:r>
      <w:r w:rsidR="00C875DF" w:rsidRPr="00C875DF">
        <w:rPr>
          <w:rFonts w:ascii="Arial" w:hAnsi="Arial" w:cs="Arial"/>
        </w:rPr>
        <w:t xml:space="preserve">metastatic patients with detectable CTCs, compared with those without detectable CTCs </w:t>
      </w:r>
      <w:r w:rsidR="00EC31EE">
        <w:rPr>
          <w:rFonts w:ascii="Arial" w:hAnsi="Arial" w:cs="Arial"/>
          <w:noProof/>
        </w:rPr>
        <w:t>[24]</w:t>
      </w:r>
      <w:r w:rsidR="00C875DF" w:rsidRPr="00C875DF">
        <w:rPr>
          <w:rFonts w:ascii="Arial" w:hAnsi="Arial" w:cs="Arial"/>
        </w:rPr>
        <w:t>.</w:t>
      </w:r>
      <w:r w:rsidR="003E29CE">
        <w:rPr>
          <w:rFonts w:ascii="Arial" w:hAnsi="Arial" w:cs="Arial"/>
        </w:rPr>
        <w:t xml:space="preserve"> However, there is no</w:t>
      </w:r>
      <w:r w:rsidR="003E29CE" w:rsidRPr="003E29CE">
        <w:rPr>
          <w:rFonts w:ascii="Arial" w:hAnsi="Arial" w:cs="Arial"/>
        </w:rPr>
        <w:t xml:space="preserve"> study to date</w:t>
      </w:r>
      <w:r w:rsidR="0052781F">
        <w:rPr>
          <w:rFonts w:ascii="Arial" w:hAnsi="Arial" w:cs="Arial"/>
        </w:rPr>
        <w:t xml:space="preserve"> in </w:t>
      </w:r>
      <w:r w:rsidR="000F3E61">
        <w:rPr>
          <w:rFonts w:ascii="Arial" w:hAnsi="Arial" w:cs="Arial"/>
        </w:rPr>
        <w:t>MIBC that</w:t>
      </w:r>
      <w:r w:rsidR="003E29CE">
        <w:rPr>
          <w:rFonts w:ascii="Arial" w:hAnsi="Arial" w:cs="Arial"/>
        </w:rPr>
        <w:t xml:space="preserve"> </w:t>
      </w:r>
      <w:r w:rsidR="003E29CE" w:rsidRPr="003E29CE">
        <w:rPr>
          <w:rFonts w:ascii="Arial" w:hAnsi="Arial" w:cs="Arial"/>
        </w:rPr>
        <w:t>has specifically assessed the role of CTC</w:t>
      </w:r>
      <w:r w:rsidR="00F74BDF">
        <w:rPr>
          <w:rFonts w:ascii="Arial" w:hAnsi="Arial" w:cs="Arial"/>
        </w:rPr>
        <w:t>s</w:t>
      </w:r>
      <w:r w:rsidR="003E29CE" w:rsidRPr="003E29CE">
        <w:rPr>
          <w:rFonts w:ascii="Arial" w:hAnsi="Arial" w:cs="Arial"/>
        </w:rPr>
        <w:t xml:space="preserve"> in chemotherapy response evaluation.</w:t>
      </w:r>
    </w:p>
    <w:p w14:paraId="0287B2F9" w14:textId="77777777" w:rsidR="006153E6" w:rsidRPr="00234E70" w:rsidRDefault="00BB3499" w:rsidP="00234E70">
      <w:pPr>
        <w:spacing w:line="480" w:lineRule="auto"/>
        <w:ind w:firstLine="720"/>
        <w:jc w:val="both"/>
        <w:rPr>
          <w:rFonts w:ascii="Arial" w:hAnsi="Arial" w:cs="Arial"/>
        </w:rPr>
      </w:pPr>
      <w:r w:rsidRPr="00E25CF3">
        <w:rPr>
          <w:rFonts w:ascii="Arial" w:hAnsi="Arial" w:cs="Arial"/>
          <w:bCs/>
        </w:rPr>
        <w:lastRenderedPageBreak/>
        <w:t>T</w:t>
      </w:r>
      <w:r w:rsidR="003E29CE">
        <w:rPr>
          <w:rFonts w:ascii="Arial" w:hAnsi="Arial" w:cs="Arial"/>
          <w:bCs/>
        </w:rPr>
        <w:t>herefore, t</w:t>
      </w:r>
      <w:r w:rsidRPr="00E25CF3">
        <w:rPr>
          <w:rFonts w:ascii="Arial" w:hAnsi="Arial" w:cs="Arial"/>
          <w:bCs/>
        </w:rPr>
        <w:t xml:space="preserve">his </w:t>
      </w:r>
      <w:r w:rsidR="00E26249" w:rsidRPr="00E25CF3">
        <w:rPr>
          <w:rFonts w:ascii="Arial" w:hAnsi="Arial" w:cs="Arial"/>
          <w:bCs/>
        </w:rPr>
        <w:t xml:space="preserve">open-label, single arm, phase II, non-randomised single-centre </w:t>
      </w:r>
      <w:r w:rsidR="00E26249" w:rsidRPr="00E25CF3">
        <w:rPr>
          <w:rFonts w:ascii="Arial" w:hAnsi="Arial" w:cs="Arial"/>
        </w:rPr>
        <w:t>trial</w:t>
      </w:r>
      <w:r w:rsidRPr="00E25CF3">
        <w:rPr>
          <w:rFonts w:ascii="Arial" w:hAnsi="Arial" w:cs="Arial"/>
          <w:bCs/>
        </w:rPr>
        <w:t xml:space="preserve"> was designed </w:t>
      </w:r>
      <w:r w:rsidRPr="00E25CF3">
        <w:rPr>
          <w:rFonts w:ascii="Arial" w:hAnsi="Arial" w:cs="Arial"/>
        </w:rPr>
        <w:t xml:space="preserve">to test the effectiveness, </w:t>
      </w:r>
      <w:proofErr w:type="gramStart"/>
      <w:r w:rsidRPr="00E25CF3">
        <w:rPr>
          <w:rFonts w:ascii="Arial" w:hAnsi="Arial" w:cs="Arial"/>
        </w:rPr>
        <w:t>safety</w:t>
      </w:r>
      <w:proofErr w:type="gramEnd"/>
      <w:r w:rsidRPr="00E25CF3">
        <w:rPr>
          <w:rFonts w:ascii="Arial" w:hAnsi="Arial" w:cs="Arial"/>
        </w:rPr>
        <w:t xml:space="preserve"> and tolerability of </w:t>
      </w:r>
      <w:proofErr w:type="spellStart"/>
      <w:r w:rsidRPr="00E25CF3">
        <w:rPr>
          <w:rFonts w:ascii="Arial" w:hAnsi="Arial" w:cs="Arial"/>
        </w:rPr>
        <w:t>cabazitaxel</w:t>
      </w:r>
      <w:proofErr w:type="spellEnd"/>
      <w:r w:rsidRPr="00E25CF3">
        <w:rPr>
          <w:rFonts w:ascii="Arial" w:hAnsi="Arial" w:cs="Arial"/>
        </w:rPr>
        <w:t xml:space="preserve"> in combination </w:t>
      </w:r>
      <w:r w:rsidR="00D50146">
        <w:rPr>
          <w:rFonts w:ascii="Arial" w:hAnsi="Arial" w:cs="Arial"/>
        </w:rPr>
        <w:t>with cisplatin as a neo</w:t>
      </w:r>
      <w:r w:rsidRPr="00E25CF3">
        <w:rPr>
          <w:rFonts w:ascii="Arial" w:hAnsi="Arial" w:cs="Arial"/>
        </w:rPr>
        <w:t xml:space="preserve">adjuvant regimen in patients with invasive transitional cell carcinoma eligible for radical cystectomy. </w:t>
      </w:r>
      <w:r w:rsidR="003E29CE">
        <w:rPr>
          <w:rFonts w:ascii="Arial" w:hAnsi="Arial" w:cs="Arial"/>
        </w:rPr>
        <w:t>Optional sub-studies</w:t>
      </w:r>
      <w:r w:rsidR="00723DE7">
        <w:rPr>
          <w:rFonts w:ascii="Arial" w:hAnsi="Arial" w:cs="Arial"/>
        </w:rPr>
        <w:t xml:space="preserve"> with </w:t>
      </w:r>
      <w:r w:rsidR="00D50146">
        <w:rPr>
          <w:rFonts w:ascii="Arial" w:hAnsi="Arial" w:cs="Arial"/>
        </w:rPr>
        <w:t>dynamic contrast enhanced (</w:t>
      </w:r>
      <w:r w:rsidR="00723DE7">
        <w:rPr>
          <w:rFonts w:ascii="Arial" w:hAnsi="Arial" w:cs="Arial"/>
        </w:rPr>
        <w:t>DCE</w:t>
      </w:r>
      <w:r w:rsidR="00D50146">
        <w:rPr>
          <w:rFonts w:ascii="Arial" w:hAnsi="Arial" w:cs="Arial"/>
        </w:rPr>
        <w:t xml:space="preserve">) </w:t>
      </w:r>
      <w:r w:rsidR="00723DE7">
        <w:rPr>
          <w:rFonts w:ascii="Arial" w:hAnsi="Arial" w:cs="Arial"/>
        </w:rPr>
        <w:t xml:space="preserve">MRI </w:t>
      </w:r>
      <w:r w:rsidR="003E29CE">
        <w:rPr>
          <w:rFonts w:ascii="Arial" w:hAnsi="Arial" w:cs="Arial"/>
        </w:rPr>
        <w:t>and CTCs were also</w:t>
      </w:r>
      <w:r w:rsidR="00723DE7">
        <w:rPr>
          <w:rFonts w:ascii="Arial" w:hAnsi="Arial" w:cs="Arial"/>
        </w:rPr>
        <w:t xml:space="preserve"> set-up to </w:t>
      </w:r>
      <w:r w:rsidR="00723DE7" w:rsidRPr="00723DE7">
        <w:rPr>
          <w:rFonts w:ascii="Arial" w:hAnsi="Arial" w:cs="Arial"/>
        </w:rPr>
        <w:t xml:space="preserve">determine whether, </w:t>
      </w:r>
      <w:r w:rsidR="005E6EEC">
        <w:rPr>
          <w:rFonts w:ascii="Arial" w:hAnsi="Arial" w:cs="Arial"/>
        </w:rPr>
        <w:t>response to</w:t>
      </w:r>
      <w:r w:rsidR="00723DE7" w:rsidRPr="00723DE7">
        <w:rPr>
          <w:rFonts w:ascii="Arial" w:hAnsi="Arial" w:cs="Arial"/>
        </w:rPr>
        <w:t xml:space="preserve"> neoadjuvant chemotherapy can be predicted early </w:t>
      </w:r>
      <w:proofErr w:type="gramStart"/>
      <w:r w:rsidR="00723DE7" w:rsidRPr="00723DE7">
        <w:rPr>
          <w:rFonts w:ascii="Arial" w:hAnsi="Arial" w:cs="Arial"/>
        </w:rPr>
        <w:t>in the course of</w:t>
      </w:r>
      <w:proofErr w:type="gramEnd"/>
      <w:r w:rsidR="00723DE7" w:rsidRPr="00723DE7">
        <w:rPr>
          <w:rFonts w:ascii="Arial" w:hAnsi="Arial" w:cs="Arial"/>
        </w:rPr>
        <w:t xml:space="preserve"> trea</w:t>
      </w:r>
      <w:r w:rsidR="00723DE7">
        <w:rPr>
          <w:rFonts w:ascii="Arial" w:hAnsi="Arial" w:cs="Arial"/>
        </w:rPr>
        <w:t xml:space="preserve">tment. </w:t>
      </w:r>
    </w:p>
    <w:p w14:paraId="2AE99CB4" w14:textId="77777777" w:rsidR="00BB3499" w:rsidRPr="006153E6" w:rsidRDefault="00BB3499" w:rsidP="00E25CF3">
      <w:pPr>
        <w:jc w:val="both"/>
        <w:rPr>
          <w:rFonts w:ascii="Arial" w:hAnsi="Arial" w:cs="Arial"/>
          <w:b/>
          <w:sz w:val="36"/>
          <w:szCs w:val="36"/>
        </w:rPr>
      </w:pPr>
      <w:r w:rsidRPr="00280400">
        <w:rPr>
          <w:rFonts w:ascii="Arial" w:hAnsi="Arial" w:cs="Arial"/>
          <w:b/>
          <w:sz w:val="28"/>
          <w:szCs w:val="36"/>
        </w:rPr>
        <w:t>Methods</w:t>
      </w:r>
    </w:p>
    <w:p w14:paraId="5F2D679D" w14:textId="77777777" w:rsidR="00461392" w:rsidRDefault="00461392" w:rsidP="00461392">
      <w:pPr>
        <w:spacing w:line="480" w:lineRule="auto"/>
        <w:jc w:val="both"/>
        <w:rPr>
          <w:rFonts w:ascii="Arial" w:hAnsi="Arial" w:cs="Arial"/>
          <w:b/>
          <w:i/>
          <w:sz w:val="24"/>
          <w:szCs w:val="24"/>
        </w:rPr>
      </w:pPr>
      <w:r>
        <w:rPr>
          <w:rFonts w:ascii="Arial" w:hAnsi="Arial" w:cs="Arial"/>
          <w:b/>
          <w:i/>
          <w:sz w:val="24"/>
          <w:szCs w:val="24"/>
        </w:rPr>
        <w:t>Patient Characteristics</w:t>
      </w:r>
    </w:p>
    <w:p w14:paraId="6BECE1DD" w14:textId="77777777" w:rsidR="00461392" w:rsidRPr="000677A5" w:rsidRDefault="00461392" w:rsidP="00461392">
      <w:pPr>
        <w:spacing w:line="480" w:lineRule="auto"/>
        <w:ind w:firstLine="720"/>
        <w:jc w:val="both"/>
        <w:rPr>
          <w:rFonts w:ascii="Arial" w:hAnsi="Arial" w:cs="Arial"/>
          <w:szCs w:val="24"/>
        </w:rPr>
      </w:pPr>
      <w:r w:rsidRPr="000677A5">
        <w:rPr>
          <w:rFonts w:ascii="Arial" w:hAnsi="Arial" w:cs="Arial"/>
          <w:szCs w:val="24"/>
        </w:rPr>
        <w:t xml:space="preserve">Between </w:t>
      </w:r>
      <w:r w:rsidR="00BD78A0" w:rsidRPr="000677A5">
        <w:rPr>
          <w:rFonts w:ascii="Arial" w:hAnsi="Arial" w:cs="Arial"/>
          <w:szCs w:val="24"/>
        </w:rPr>
        <w:t>Jul 2012</w:t>
      </w:r>
      <w:r w:rsidRPr="000677A5">
        <w:rPr>
          <w:rFonts w:ascii="Arial" w:hAnsi="Arial" w:cs="Arial"/>
          <w:szCs w:val="24"/>
        </w:rPr>
        <w:t xml:space="preserve"> and Aug 201</w:t>
      </w:r>
      <w:r w:rsidR="00BD78A0" w:rsidRPr="000677A5">
        <w:rPr>
          <w:rFonts w:ascii="Arial" w:hAnsi="Arial" w:cs="Arial"/>
          <w:szCs w:val="24"/>
        </w:rPr>
        <w:t>7</w:t>
      </w:r>
      <w:r w:rsidR="009430AD">
        <w:rPr>
          <w:rFonts w:ascii="Arial" w:hAnsi="Arial" w:cs="Arial"/>
          <w:szCs w:val="24"/>
        </w:rPr>
        <w:t xml:space="preserve">, </w:t>
      </w:r>
      <w:r w:rsidR="00B750DA">
        <w:rPr>
          <w:rFonts w:ascii="Arial" w:hAnsi="Arial" w:cs="Arial"/>
        </w:rPr>
        <w:t>p</w:t>
      </w:r>
      <w:r w:rsidR="00B750DA" w:rsidRPr="00E25CF3">
        <w:rPr>
          <w:rFonts w:ascii="Arial" w:hAnsi="Arial" w:cs="Arial"/>
        </w:rPr>
        <w:t xml:space="preserve">atients with muscle invasive transitional cell carcinoma of the bladder but no nodal or metastatic disease, fit and willing to receive chemotherapy as neoadjuvant treatment and </w:t>
      </w:r>
      <w:r w:rsidR="00B750DA" w:rsidRPr="000677A5">
        <w:rPr>
          <w:rFonts w:ascii="Arial" w:hAnsi="Arial" w:cs="Arial"/>
        </w:rPr>
        <w:t xml:space="preserve">undergo radical cystectomy were recruited. </w:t>
      </w:r>
      <w:r w:rsidRPr="000677A5">
        <w:rPr>
          <w:rFonts w:ascii="Arial" w:hAnsi="Arial" w:cs="Arial"/>
          <w:szCs w:val="24"/>
        </w:rPr>
        <w:t xml:space="preserve">The main inclusion criteria </w:t>
      </w:r>
      <w:proofErr w:type="gramStart"/>
      <w:r w:rsidRPr="000677A5">
        <w:rPr>
          <w:rFonts w:ascii="Arial" w:hAnsi="Arial" w:cs="Arial"/>
          <w:szCs w:val="24"/>
        </w:rPr>
        <w:t>were:</w:t>
      </w:r>
      <w:proofErr w:type="gramEnd"/>
      <w:r w:rsidRPr="000677A5">
        <w:rPr>
          <w:rFonts w:ascii="Arial" w:hAnsi="Arial" w:cs="Arial"/>
          <w:szCs w:val="24"/>
        </w:rPr>
        <w:t xml:space="preserve"> patients with histologically proven </w:t>
      </w:r>
      <w:r w:rsidR="00BD78A0" w:rsidRPr="000677A5">
        <w:rPr>
          <w:rFonts w:ascii="Arial" w:hAnsi="Arial" w:cs="Arial"/>
          <w:szCs w:val="24"/>
        </w:rPr>
        <w:t>transitional</w:t>
      </w:r>
      <w:r w:rsidRPr="000677A5">
        <w:rPr>
          <w:rFonts w:ascii="Arial" w:hAnsi="Arial" w:cs="Arial"/>
          <w:szCs w:val="24"/>
        </w:rPr>
        <w:t xml:space="preserve"> cell carcinoma of the </w:t>
      </w:r>
      <w:r w:rsidR="00BD78A0" w:rsidRPr="000677A5">
        <w:rPr>
          <w:rFonts w:ascii="Arial" w:hAnsi="Arial" w:cs="Arial"/>
          <w:szCs w:val="24"/>
        </w:rPr>
        <w:t>bladder</w:t>
      </w:r>
      <w:r w:rsidRPr="000677A5">
        <w:rPr>
          <w:rFonts w:ascii="Arial" w:hAnsi="Arial" w:cs="Arial"/>
          <w:szCs w:val="24"/>
        </w:rPr>
        <w:t xml:space="preserve"> staged as </w:t>
      </w:r>
      <w:r w:rsidR="000677A5" w:rsidRPr="000677A5">
        <w:rPr>
          <w:rFonts w:ascii="Arial" w:hAnsi="Arial" w:cs="Arial"/>
          <w:szCs w:val="24"/>
        </w:rPr>
        <w:t>T2-4N0M0, ECOG performance status of ≤1</w:t>
      </w:r>
      <w:r w:rsidRPr="000677A5">
        <w:rPr>
          <w:rFonts w:ascii="Arial" w:hAnsi="Arial" w:cs="Arial"/>
          <w:szCs w:val="24"/>
        </w:rPr>
        <w:t>, and adequate liver and kidney function</w:t>
      </w:r>
      <w:r w:rsidR="000677A5" w:rsidRPr="000677A5">
        <w:rPr>
          <w:rFonts w:ascii="Arial" w:hAnsi="Arial" w:cs="Arial"/>
          <w:szCs w:val="24"/>
        </w:rPr>
        <w:t xml:space="preserve"> (eGFR ≥ 55 m</w:t>
      </w:r>
      <w:r w:rsidR="0052781F">
        <w:rPr>
          <w:rFonts w:ascii="Arial" w:hAnsi="Arial" w:cs="Arial"/>
          <w:szCs w:val="24"/>
        </w:rPr>
        <w:t>L</w:t>
      </w:r>
      <w:r w:rsidR="000677A5" w:rsidRPr="000677A5">
        <w:rPr>
          <w:rFonts w:ascii="Arial" w:hAnsi="Arial" w:cs="Arial"/>
          <w:szCs w:val="24"/>
        </w:rPr>
        <w:t>/min)</w:t>
      </w:r>
      <w:r w:rsidRPr="000677A5">
        <w:rPr>
          <w:rFonts w:ascii="Arial" w:hAnsi="Arial" w:cs="Arial"/>
          <w:szCs w:val="24"/>
        </w:rPr>
        <w:t xml:space="preserve">. </w:t>
      </w:r>
    </w:p>
    <w:p w14:paraId="79A1CC20" w14:textId="77777777" w:rsidR="00461392" w:rsidRPr="00AC2DFC" w:rsidRDefault="00461392" w:rsidP="00AC2DFC">
      <w:pPr>
        <w:spacing w:line="480" w:lineRule="auto"/>
        <w:ind w:firstLine="720"/>
        <w:jc w:val="both"/>
        <w:rPr>
          <w:rFonts w:ascii="Arial" w:hAnsi="Arial" w:cs="Arial"/>
          <w:szCs w:val="24"/>
        </w:rPr>
      </w:pPr>
      <w:r w:rsidRPr="00AC2DFC">
        <w:rPr>
          <w:rFonts w:ascii="Arial" w:hAnsi="Arial" w:cs="Arial"/>
          <w:szCs w:val="24"/>
        </w:rPr>
        <w:t>Patients were excluded if they had previously received</w:t>
      </w:r>
      <w:r w:rsidR="000677A5" w:rsidRPr="00AC2DFC">
        <w:rPr>
          <w:rFonts w:ascii="Arial" w:hAnsi="Arial" w:cs="Arial"/>
          <w:szCs w:val="24"/>
        </w:rPr>
        <w:t xml:space="preserve"> treatment for MIBC other than TURBT, active Grade ≥2 peripheral neuropathy</w:t>
      </w:r>
      <w:r w:rsidR="00AC2DFC">
        <w:rPr>
          <w:rFonts w:ascii="Arial" w:hAnsi="Arial" w:cs="Arial"/>
          <w:szCs w:val="24"/>
        </w:rPr>
        <w:t xml:space="preserve"> or had inadequate organ function. </w:t>
      </w:r>
      <w:r w:rsidRPr="00AC2DFC">
        <w:rPr>
          <w:rFonts w:ascii="Arial" w:hAnsi="Arial" w:cs="Arial"/>
          <w:szCs w:val="24"/>
        </w:rPr>
        <w:t>Medical history, patient examination, assessment of fitness, computed tomography</w:t>
      </w:r>
      <w:r w:rsidR="00532E80">
        <w:rPr>
          <w:rFonts w:ascii="Arial" w:hAnsi="Arial" w:cs="Arial"/>
          <w:szCs w:val="24"/>
        </w:rPr>
        <w:t xml:space="preserve"> (CT)</w:t>
      </w:r>
      <w:r w:rsidRPr="00AC2DFC">
        <w:rPr>
          <w:rFonts w:ascii="Arial" w:hAnsi="Arial" w:cs="Arial"/>
          <w:szCs w:val="24"/>
        </w:rPr>
        <w:t xml:space="preserve"> scans of the thorax, abdomen and pelvis and blood parameters were required for baseline assessment. </w:t>
      </w:r>
      <w:r w:rsidR="00532E80">
        <w:rPr>
          <w:rFonts w:ascii="Arial" w:hAnsi="Arial" w:cs="Arial"/>
          <w:szCs w:val="24"/>
        </w:rPr>
        <w:t xml:space="preserve">Prior to each chemotherapy cycle, physical examination, vital signs, bloods for organ function, concomitant </w:t>
      </w:r>
      <w:proofErr w:type="gramStart"/>
      <w:r w:rsidR="00532E80">
        <w:rPr>
          <w:rFonts w:ascii="Arial" w:hAnsi="Arial" w:cs="Arial"/>
          <w:szCs w:val="24"/>
        </w:rPr>
        <w:t>medications</w:t>
      </w:r>
      <w:proofErr w:type="gramEnd"/>
      <w:r w:rsidR="00532E80">
        <w:rPr>
          <w:rFonts w:ascii="Arial" w:hAnsi="Arial" w:cs="Arial"/>
          <w:szCs w:val="24"/>
        </w:rPr>
        <w:t xml:space="preserve"> and adverse events (AEs) were evaluated. Patients also had a CT scan post 3 cycles of chemotherapy to rule out metastatic disease prior to surgery. </w:t>
      </w:r>
      <w:r w:rsidRPr="00AC2DFC">
        <w:rPr>
          <w:rFonts w:ascii="Arial" w:hAnsi="Arial" w:cs="Arial"/>
          <w:szCs w:val="24"/>
        </w:rPr>
        <w:t xml:space="preserve">The study was approved by South </w:t>
      </w:r>
      <w:r w:rsidR="00AC2DFC" w:rsidRPr="00AC2DFC">
        <w:rPr>
          <w:rFonts w:ascii="Arial" w:hAnsi="Arial" w:cs="Arial"/>
          <w:szCs w:val="24"/>
        </w:rPr>
        <w:t>West-Central Bristol</w:t>
      </w:r>
      <w:r w:rsidRPr="00AC2DFC">
        <w:rPr>
          <w:rFonts w:ascii="Arial" w:hAnsi="Arial" w:cs="Arial"/>
          <w:szCs w:val="24"/>
        </w:rPr>
        <w:t xml:space="preserve"> Research Ethics Committee. </w:t>
      </w:r>
    </w:p>
    <w:p w14:paraId="4F20D6BE" w14:textId="77777777" w:rsidR="00461392" w:rsidRDefault="00461392" w:rsidP="00461392">
      <w:pPr>
        <w:spacing w:line="480" w:lineRule="auto"/>
        <w:jc w:val="both"/>
        <w:rPr>
          <w:rFonts w:ascii="Arial" w:hAnsi="Arial" w:cs="Arial"/>
          <w:b/>
          <w:i/>
          <w:sz w:val="24"/>
          <w:szCs w:val="24"/>
        </w:rPr>
      </w:pPr>
      <w:r>
        <w:rPr>
          <w:rFonts w:ascii="Arial" w:hAnsi="Arial" w:cs="Arial"/>
          <w:b/>
          <w:i/>
          <w:sz w:val="24"/>
          <w:szCs w:val="24"/>
        </w:rPr>
        <w:t>Regimen</w:t>
      </w:r>
    </w:p>
    <w:p w14:paraId="39DB1F40" w14:textId="77777777" w:rsidR="00234E70" w:rsidRPr="006153E6" w:rsidRDefault="00461392" w:rsidP="00461392">
      <w:pPr>
        <w:spacing w:line="480" w:lineRule="auto"/>
        <w:jc w:val="both"/>
        <w:rPr>
          <w:rFonts w:ascii="Arial" w:hAnsi="Arial" w:cs="Arial"/>
        </w:rPr>
      </w:pPr>
      <w:r>
        <w:rPr>
          <w:rFonts w:ascii="Arial" w:hAnsi="Arial" w:cs="Arial"/>
          <w:sz w:val="24"/>
          <w:szCs w:val="24"/>
        </w:rPr>
        <w:tab/>
      </w:r>
      <w:r w:rsidR="00747774">
        <w:rPr>
          <w:rFonts w:ascii="Arial" w:hAnsi="Arial" w:cs="Arial"/>
          <w:sz w:val="24"/>
          <w:szCs w:val="24"/>
        </w:rPr>
        <w:t>All p</w:t>
      </w:r>
      <w:r w:rsidR="00B750DA">
        <w:rPr>
          <w:rFonts w:ascii="Arial" w:hAnsi="Arial" w:cs="Arial"/>
        </w:rPr>
        <w:t xml:space="preserve">atients </w:t>
      </w:r>
      <w:r w:rsidR="00D50146">
        <w:rPr>
          <w:rFonts w:ascii="Arial" w:hAnsi="Arial" w:cs="Arial"/>
        </w:rPr>
        <w:t xml:space="preserve">received 4 cycles of </w:t>
      </w:r>
      <w:proofErr w:type="spellStart"/>
      <w:r w:rsidR="00D50146">
        <w:rPr>
          <w:rFonts w:ascii="Arial" w:hAnsi="Arial" w:cs="Arial"/>
        </w:rPr>
        <w:t>i.v.</w:t>
      </w:r>
      <w:proofErr w:type="spellEnd"/>
      <w:r w:rsidR="00B750DA" w:rsidRPr="00E25CF3">
        <w:rPr>
          <w:rFonts w:ascii="Arial" w:hAnsi="Arial" w:cs="Arial"/>
        </w:rPr>
        <w:t xml:space="preserve"> </w:t>
      </w:r>
      <w:proofErr w:type="spellStart"/>
      <w:r w:rsidR="00B750DA" w:rsidRPr="00E25CF3">
        <w:rPr>
          <w:rFonts w:ascii="Arial" w:hAnsi="Arial" w:cs="Arial"/>
        </w:rPr>
        <w:t>cabazitaxel</w:t>
      </w:r>
      <w:proofErr w:type="spellEnd"/>
      <w:r w:rsidR="00B750DA" w:rsidRPr="00E25CF3">
        <w:rPr>
          <w:rFonts w:ascii="Arial" w:hAnsi="Arial" w:cs="Arial"/>
        </w:rPr>
        <w:t xml:space="preserve"> at 15mg/m</w:t>
      </w:r>
      <w:r w:rsidR="00B750DA" w:rsidRPr="00E25CF3">
        <w:rPr>
          <w:rFonts w:ascii="Arial" w:hAnsi="Arial" w:cs="Arial"/>
          <w:vertAlign w:val="superscript"/>
        </w:rPr>
        <w:t>2</w:t>
      </w:r>
      <w:r w:rsidR="00B750DA" w:rsidRPr="00E25CF3">
        <w:rPr>
          <w:rFonts w:ascii="Arial" w:hAnsi="Arial" w:cs="Arial"/>
        </w:rPr>
        <w:t xml:space="preserve"> followed by cisplatin at 70mg/m</w:t>
      </w:r>
      <w:r w:rsidR="00B750DA" w:rsidRPr="00E25CF3">
        <w:rPr>
          <w:rFonts w:ascii="Arial" w:hAnsi="Arial" w:cs="Arial"/>
          <w:vertAlign w:val="superscript"/>
        </w:rPr>
        <w:t xml:space="preserve">2 </w:t>
      </w:r>
      <w:r w:rsidR="00B750DA" w:rsidRPr="00E25CF3">
        <w:rPr>
          <w:rFonts w:ascii="Arial" w:hAnsi="Arial" w:cs="Arial"/>
        </w:rPr>
        <w:t xml:space="preserve">on day 1 of a 21-day cycle. </w:t>
      </w:r>
      <w:r w:rsidR="0052679B">
        <w:rPr>
          <w:rFonts w:ascii="Arial" w:hAnsi="Arial" w:cs="Arial"/>
        </w:rPr>
        <w:t xml:space="preserve">Hydration and </w:t>
      </w:r>
      <w:r w:rsidR="0052679B" w:rsidRPr="0052679B">
        <w:rPr>
          <w:rFonts w:ascii="Arial" w:hAnsi="Arial" w:cs="Arial"/>
        </w:rPr>
        <w:t xml:space="preserve">supportive medicines were prescribed in </w:t>
      </w:r>
      <w:r w:rsidR="0052679B" w:rsidRPr="0052679B">
        <w:rPr>
          <w:rFonts w:ascii="Arial" w:hAnsi="Arial" w:cs="Arial"/>
        </w:rPr>
        <w:lastRenderedPageBreak/>
        <w:t xml:space="preserve">accordance with local guidelines for highly emetogenic chemotherapy.  </w:t>
      </w:r>
      <w:r w:rsidR="00B750DA" w:rsidRPr="00B750DA">
        <w:rPr>
          <w:rFonts w:ascii="Arial" w:hAnsi="Arial" w:cs="Arial"/>
          <w:szCs w:val="24"/>
        </w:rPr>
        <w:t>Premedication with chlorpheniramine 10mg, Dexamethasone 8mg and Ranitidine 50mg were given 30 min prior to infusion to mitigate allergic reactions.</w:t>
      </w:r>
      <w:r w:rsidR="00B750DA">
        <w:rPr>
          <w:rFonts w:ascii="Arial" w:hAnsi="Arial" w:cs="Arial"/>
        </w:rPr>
        <w:t xml:space="preserve"> </w:t>
      </w:r>
      <w:r w:rsidR="00B750DA" w:rsidRPr="00B750DA">
        <w:rPr>
          <w:rFonts w:ascii="Arial" w:hAnsi="Arial" w:cs="Arial"/>
          <w:szCs w:val="24"/>
        </w:rPr>
        <w:t>Doses were capped at Body Surface Area of 2.25.  Primary prophylaxis with Granulocyte Colony Stimulating Factor (G-CSF) was mandatory for all patients.</w:t>
      </w:r>
      <w:r w:rsidR="00B750DA">
        <w:rPr>
          <w:rFonts w:ascii="Arial" w:hAnsi="Arial" w:cs="Arial"/>
          <w:szCs w:val="24"/>
        </w:rPr>
        <w:t xml:space="preserve"> </w:t>
      </w:r>
      <w:r w:rsidR="00747774" w:rsidRPr="00747774">
        <w:rPr>
          <w:rFonts w:ascii="Arial" w:hAnsi="Arial" w:cs="Arial"/>
          <w:szCs w:val="24"/>
        </w:rPr>
        <w:t xml:space="preserve">Cisplatin and </w:t>
      </w:r>
      <w:proofErr w:type="spellStart"/>
      <w:r w:rsidR="00747774" w:rsidRPr="00747774">
        <w:rPr>
          <w:rFonts w:ascii="Arial" w:hAnsi="Arial" w:cs="Arial"/>
          <w:szCs w:val="24"/>
        </w:rPr>
        <w:t>cabazitaxel</w:t>
      </w:r>
      <w:proofErr w:type="spellEnd"/>
      <w:r w:rsidR="00747774" w:rsidRPr="00747774">
        <w:rPr>
          <w:rFonts w:ascii="Arial" w:hAnsi="Arial" w:cs="Arial"/>
          <w:szCs w:val="24"/>
        </w:rPr>
        <w:t xml:space="preserve"> dose modifications for subsequent cycles were made according to the study protocol in the event of predefined toxicity.   </w:t>
      </w:r>
      <w:r w:rsidR="00B750DA" w:rsidRPr="00E25CF3">
        <w:rPr>
          <w:rFonts w:ascii="Arial" w:hAnsi="Arial" w:cs="Arial"/>
        </w:rPr>
        <w:t xml:space="preserve">A </w:t>
      </w:r>
      <w:r w:rsidR="00C72E90">
        <w:rPr>
          <w:rFonts w:ascii="Arial" w:hAnsi="Arial" w:cs="Arial"/>
        </w:rPr>
        <w:t>delay</w:t>
      </w:r>
      <w:r w:rsidR="00C72E90" w:rsidRPr="00E25CF3">
        <w:rPr>
          <w:rFonts w:ascii="Arial" w:hAnsi="Arial" w:cs="Arial"/>
        </w:rPr>
        <w:t xml:space="preserve"> </w:t>
      </w:r>
      <w:r w:rsidR="00B750DA" w:rsidRPr="00E25CF3">
        <w:rPr>
          <w:rFonts w:ascii="Arial" w:hAnsi="Arial" w:cs="Arial"/>
        </w:rPr>
        <w:t>in treatment of up to 3 weeks</w:t>
      </w:r>
      <w:r w:rsidR="00B750DA" w:rsidRPr="00B750DA">
        <w:rPr>
          <w:rFonts w:ascii="Arial" w:hAnsi="Arial" w:cs="Arial"/>
        </w:rPr>
        <w:t xml:space="preserve"> </w:t>
      </w:r>
      <w:r w:rsidR="00B750DA" w:rsidRPr="00E25CF3">
        <w:rPr>
          <w:rFonts w:ascii="Arial" w:hAnsi="Arial" w:cs="Arial"/>
        </w:rPr>
        <w:t>was allowed. Patients then under</w:t>
      </w:r>
      <w:r w:rsidR="0052679B">
        <w:rPr>
          <w:rFonts w:ascii="Arial" w:hAnsi="Arial" w:cs="Arial"/>
        </w:rPr>
        <w:t xml:space="preserve">went radical cystectomy within </w:t>
      </w:r>
      <w:r w:rsidR="000F3E61">
        <w:rPr>
          <w:rFonts w:ascii="Arial" w:hAnsi="Arial" w:cs="Arial"/>
        </w:rPr>
        <w:t>8</w:t>
      </w:r>
      <w:r w:rsidR="00B750DA" w:rsidRPr="00E25CF3">
        <w:rPr>
          <w:rFonts w:ascii="Arial" w:hAnsi="Arial" w:cs="Arial"/>
        </w:rPr>
        <w:t xml:space="preserve"> weeks of the last dose of chemotherapy. </w:t>
      </w:r>
    </w:p>
    <w:p w14:paraId="264AA721" w14:textId="77777777" w:rsidR="00461392" w:rsidRDefault="00461392" w:rsidP="00461392">
      <w:pPr>
        <w:spacing w:line="480" w:lineRule="auto"/>
        <w:jc w:val="both"/>
        <w:rPr>
          <w:rFonts w:ascii="Arial" w:hAnsi="Arial" w:cs="Arial"/>
          <w:b/>
          <w:i/>
          <w:sz w:val="24"/>
          <w:szCs w:val="24"/>
        </w:rPr>
      </w:pPr>
      <w:r>
        <w:rPr>
          <w:rFonts w:ascii="Arial" w:hAnsi="Arial" w:cs="Arial"/>
          <w:b/>
          <w:i/>
          <w:sz w:val="24"/>
          <w:szCs w:val="24"/>
        </w:rPr>
        <w:t>Assessments</w:t>
      </w:r>
    </w:p>
    <w:p w14:paraId="18FA5E67" w14:textId="77777777" w:rsidR="00D01BB5" w:rsidRPr="001E23F6" w:rsidRDefault="00461392" w:rsidP="001E23F6">
      <w:pPr>
        <w:spacing w:line="480" w:lineRule="auto"/>
        <w:ind w:firstLine="720"/>
        <w:jc w:val="both"/>
        <w:rPr>
          <w:rFonts w:ascii="Arial" w:hAnsi="Arial" w:cs="Arial"/>
        </w:rPr>
      </w:pPr>
      <w:r>
        <w:rPr>
          <w:rFonts w:ascii="Arial" w:hAnsi="Arial" w:cs="Arial"/>
          <w:sz w:val="24"/>
          <w:szCs w:val="24"/>
        </w:rPr>
        <w:tab/>
      </w:r>
      <w:r w:rsidRPr="00463B2E">
        <w:rPr>
          <w:rFonts w:ascii="Arial" w:hAnsi="Arial" w:cs="Arial"/>
          <w:szCs w:val="24"/>
        </w:rPr>
        <w:t xml:space="preserve">The primary end point was objective response rate (ORR) </w:t>
      </w:r>
      <w:r w:rsidR="00D01BB5">
        <w:rPr>
          <w:rFonts w:ascii="Arial" w:hAnsi="Arial" w:cs="Arial"/>
          <w:szCs w:val="24"/>
        </w:rPr>
        <w:t xml:space="preserve">(pathological </w:t>
      </w:r>
      <w:r w:rsidRPr="00463B2E">
        <w:rPr>
          <w:rFonts w:ascii="Arial" w:hAnsi="Arial" w:cs="Arial"/>
          <w:szCs w:val="24"/>
        </w:rPr>
        <w:t>complete response (</w:t>
      </w:r>
      <w:proofErr w:type="spellStart"/>
      <w:r w:rsidR="006148F6">
        <w:rPr>
          <w:rFonts w:ascii="Arial" w:hAnsi="Arial" w:cs="Arial"/>
          <w:szCs w:val="24"/>
        </w:rPr>
        <w:t>p</w:t>
      </w:r>
      <w:r w:rsidRPr="00463B2E">
        <w:rPr>
          <w:rFonts w:ascii="Arial" w:hAnsi="Arial" w:cs="Arial"/>
          <w:szCs w:val="24"/>
        </w:rPr>
        <w:t>C</w:t>
      </w:r>
      <w:r w:rsidR="00D01BB5">
        <w:rPr>
          <w:rFonts w:ascii="Arial" w:hAnsi="Arial" w:cs="Arial"/>
          <w:szCs w:val="24"/>
        </w:rPr>
        <w:t>R</w:t>
      </w:r>
      <w:proofErr w:type="spellEnd"/>
      <w:r w:rsidR="00D01BB5">
        <w:rPr>
          <w:rFonts w:ascii="Arial" w:hAnsi="Arial" w:cs="Arial"/>
          <w:szCs w:val="24"/>
        </w:rPr>
        <w:t>) or</w:t>
      </w:r>
      <w:r w:rsidRPr="00463B2E">
        <w:rPr>
          <w:rFonts w:ascii="Arial" w:hAnsi="Arial" w:cs="Arial"/>
          <w:szCs w:val="24"/>
        </w:rPr>
        <w:t xml:space="preserve"> partial response</w:t>
      </w:r>
      <w:r w:rsidR="00A847E3">
        <w:rPr>
          <w:rFonts w:ascii="Arial" w:hAnsi="Arial" w:cs="Arial"/>
          <w:szCs w:val="24"/>
        </w:rPr>
        <w:t>/</w:t>
      </w:r>
      <w:r w:rsidR="009546A6">
        <w:rPr>
          <w:rFonts w:ascii="Arial" w:hAnsi="Arial" w:cs="Arial"/>
          <w:szCs w:val="24"/>
        </w:rPr>
        <w:t xml:space="preserve"> </w:t>
      </w:r>
      <w:r w:rsidR="00A847E3">
        <w:rPr>
          <w:rFonts w:ascii="Arial" w:hAnsi="Arial" w:cs="Arial"/>
          <w:szCs w:val="24"/>
        </w:rPr>
        <w:t>pathological do</w:t>
      </w:r>
      <w:r w:rsidR="00F061BA">
        <w:rPr>
          <w:rFonts w:ascii="Arial" w:hAnsi="Arial" w:cs="Arial"/>
          <w:szCs w:val="24"/>
        </w:rPr>
        <w:t>wnstaging</w:t>
      </w:r>
      <w:r w:rsidRPr="00463B2E">
        <w:rPr>
          <w:rFonts w:ascii="Arial" w:hAnsi="Arial" w:cs="Arial"/>
          <w:szCs w:val="24"/>
        </w:rPr>
        <w:t xml:space="preserve"> (PR)</w:t>
      </w:r>
      <w:r w:rsidR="00D01BB5">
        <w:rPr>
          <w:rFonts w:ascii="Arial" w:hAnsi="Arial" w:cs="Arial"/>
          <w:szCs w:val="24"/>
        </w:rPr>
        <w:t xml:space="preserve">) </w:t>
      </w:r>
      <w:r w:rsidR="00D01BB5" w:rsidRPr="00D01BB5">
        <w:rPr>
          <w:rFonts w:ascii="Arial" w:hAnsi="Arial" w:cs="Arial"/>
          <w:szCs w:val="24"/>
        </w:rPr>
        <w:t>in the absence of radiological progression to lymph node or metastatic disease prior to radical cystectomy, measured by histological examination of the radical cystectomy specimen</w:t>
      </w:r>
      <w:r w:rsidR="00997DEA">
        <w:rPr>
          <w:rFonts w:ascii="Arial" w:hAnsi="Arial" w:cs="Arial"/>
          <w:szCs w:val="24"/>
        </w:rPr>
        <w:t xml:space="preserve"> as per </w:t>
      </w:r>
      <w:r w:rsidR="00997DEA" w:rsidRPr="00997DEA">
        <w:rPr>
          <w:rFonts w:ascii="Arial" w:hAnsi="Arial" w:cs="Arial"/>
        </w:rPr>
        <w:t>American Joint Committee of Cancer (AJCC) 2010 staging manual</w:t>
      </w:r>
      <w:r w:rsidR="00997DEA">
        <w:rPr>
          <w:rFonts w:ascii="Arial" w:hAnsi="Arial" w:cs="Arial"/>
        </w:rPr>
        <w:t xml:space="preserve"> (AJCC 2010 Cancer Staging Manual)</w:t>
      </w:r>
      <w:r w:rsidR="00D01BB5" w:rsidRPr="00D01BB5">
        <w:rPr>
          <w:rFonts w:ascii="Arial" w:hAnsi="Arial" w:cs="Arial"/>
          <w:szCs w:val="24"/>
        </w:rPr>
        <w:t xml:space="preserve">.  It was acknowledged that accurate pathological T staging of MIBC prior to cystectomy is </w:t>
      </w:r>
      <w:r w:rsidR="006467B4">
        <w:rPr>
          <w:rFonts w:ascii="Arial" w:hAnsi="Arial" w:cs="Arial"/>
          <w:szCs w:val="24"/>
        </w:rPr>
        <w:t>difficult</w:t>
      </w:r>
      <w:r w:rsidR="00D01BB5" w:rsidRPr="00D01BB5">
        <w:rPr>
          <w:rFonts w:ascii="Arial" w:hAnsi="Arial" w:cs="Arial"/>
          <w:szCs w:val="24"/>
        </w:rPr>
        <w:t>, therefore it is the absence of MIBC at cystectomy which has been used as a marker of response in this trial.</w:t>
      </w:r>
      <w:r w:rsidR="00997DEA">
        <w:rPr>
          <w:rFonts w:ascii="Arial" w:hAnsi="Arial" w:cs="Arial"/>
          <w:szCs w:val="24"/>
        </w:rPr>
        <w:t xml:space="preserve"> </w:t>
      </w:r>
      <w:proofErr w:type="spellStart"/>
      <w:r w:rsidR="00634E2A">
        <w:rPr>
          <w:rFonts w:ascii="Arial" w:hAnsi="Arial" w:cs="Arial"/>
          <w:szCs w:val="24"/>
        </w:rPr>
        <w:t>p</w:t>
      </w:r>
      <w:r w:rsidR="001A3E03">
        <w:rPr>
          <w:rFonts w:ascii="Arial" w:hAnsi="Arial" w:cs="Arial"/>
          <w:szCs w:val="24"/>
        </w:rPr>
        <w:t>CR</w:t>
      </w:r>
      <w:proofErr w:type="spellEnd"/>
      <w:r w:rsidR="001A3E03" w:rsidRPr="001A3E03">
        <w:rPr>
          <w:rFonts w:ascii="Arial" w:hAnsi="Arial" w:cs="Arial"/>
          <w:szCs w:val="24"/>
        </w:rPr>
        <w:t xml:space="preserve"> was described as diagnostic stage T2</w:t>
      </w:r>
      <w:r w:rsidR="00C72E90">
        <w:rPr>
          <w:rFonts w:ascii="Arial" w:hAnsi="Arial" w:cs="Arial"/>
          <w:szCs w:val="24"/>
        </w:rPr>
        <w:t>-</w:t>
      </w:r>
      <w:r w:rsidR="001A3E03" w:rsidRPr="001A3E03">
        <w:rPr>
          <w:rFonts w:ascii="Arial" w:hAnsi="Arial" w:cs="Arial"/>
          <w:szCs w:val="24"/>
        </w:rPr>
        <w:t xml:space="preserve">T4 going to T0 at resection; </w:t>
      </w:r>
      <w:r w:rsidR="00F061BA">
        <w:rPr>
          <w:rFonts w:ascii="Arial" w:hAnsi="Arial" w:cs="Arial"/>
          <w:szCs w:val="24"/>
        </w:rPr>
        <w:t xml:space="preserve">PR </w:t>
      </w:r>
      <w:r w:rsidR="001A3E03" w:rsidRPr="001A3E03">
        <w:rPr>
          <w:rFonts w:ascii="Arial" w:hAnsi="Arial" w:cs="Arial"/>
          <w:szCs w:val="24"/>
        </w:rPr>
        <w:t>was described as diagnostic stage T2</w:t>
      </w:r>
      <w:r w:rsidR="00C72E90">
        <w:rPr>
          <w:rFonts w:ascii="Arial" w:hAnsi="Arial" w:cs="Arial"/>
          <w:szCs w:val="24"/>
        </w:rPr>
        <w:t>-</w:t>
      </w:r>
      <w:r w:rsidR="001A3E03" w:rsidRPr="001A3E03">
        <w:rPr>
          <w:rFonts w:ascii="Arial" w:hAnsi="Arial" w:cs="Arial"/>
          <w:szCs w:val="24"/>
        </w:rPr>
        <w:t xml:space="preserve">T4 going to stage T1, Ta or Tis; and persistent disease was described as no change or an increase in T stage from diagnosis to resection. In </w:t>
      </w:r>
      <w:proofErr w:type="gramStart"/>
      <w:r w:rsidR="001A3E03" w:rsidRPr="001A3E03">
        <w:rPr>
          <w:rFonts w:ascii="Arial" w:hAnsi="Arial" w:cs="Arial"/>
          <w:szCs w:val="24"/>
        </w:rPr>
        <w:t>addition</w:t>
      </w:r>
      <w:proofErr w:type="gramEnd"/>
      <w:r w:rsidR="001A3E03" w:rsidRPr="001A3E03">
        <w:rPr>
          <w:rFonts w:ascii="Arial" w:hAnsi="Arial" w:cs="Arial"/>
          <w:szCs w:val="24"/>
        </w:rPr>
        <w:t xml:space="preserve"> any patient who progressed on treatment and therefore did not have a cystectomy was designated as having persistent disease.</w:t>
      </w:r>
      <w:r w:rsidR="001A3E03">
        <w:rPr>
          <w:rFonts w:ascii="Arial" w:hAnsi="Arial" w:cs="Arial"/>
          <w:szCs w:val="24"/>
        </w:rPr>
        <w:t xml:space="preserve"> </w:t>
      </w:r>
      <w:r w:rsidR="00997DEA" w:rsidRPr="00997DEA">
        <w:rPr>
          <w:rFonts w:ascii="Arial" w:hAnsi="Arial" w:cs="Arial"/>
        </w:rPr>
        <w:t>All pathology (diagnostic a</w:t>
      </w:r>
      <w:r w:rsidR="00997DEA">
        <w:rPr>
          <w:rFonts w:ascii="Arial" w:hAnsi="Arial" w:cs="Arial"/>
        </w:rPr>
        <w:t xml:space="preserve">nd resection specimens) was </w:t>
      </w:r>
      <w:r w:rsidR="00997DEA" w:rsidRPr="00997DEA">
        <w:rPr>
          <w:rFonts w:ascii="Arial" w:hAnsi="Arial" w:cs="Arial"/>
        </w:rPr>
        <w:t xml:space="preserve">assessed by a specialist multidisciplinary team </w:t>
      </w:r>
      <w:r w:rsidR="00997DEA">
        <w:rPr>
          <w:rFonts w:ascii="Arial" w:hAnsi="Arial" w:cs="Arial"/>
        </w:rPr>
        <w:t xml:space="preserve">pathologist </w:t>
      </w:r>
      <w:r w:rsidR="00997DEA" w:rsidRPr="00997DEA">
        <w:rPr>
          <w:rFonts w:ascii="Arial" w:hAnsi="Arial" w:cs="Arial"/>
        </w:rPr>
        <w:t>specialising in the management of urological malignancies.</w:t>
      </w:r>
      <w:r w:rsidR="002F1B1C">
        <w:rPr>
          <w:rFonts w:ascii="Arial" w:hAnsi="Arial" w:cs="Arial"/>
        </w:rPr>
        <w:t xml:space="preserve"> </w:t>
      </w:r>
      <w:r w:rsidR="002F1B1C" w:rsidRPr="002F1B1C">
        <w:rPr>
          <w:rFonts w:ascii="Arial" w:hAnsi="Arial" w:cs="Arial"/>
        </w:rPr>
        <w:t>Radiological progression on cross sectional i</w:t>
      </w:r>
      <w:r w:rsidR="002F1B1C">
        <w:rPr>
          <w:rFonts w:ascii="Arial" w:hAnsi="Arial" w:cs="Arial"/>
        </w:rPr>
        <w:t>maging (CT and unenhanced MRI) wa</w:t>
      </w:r>
      <w:r w:rsidR="002F1B1C" w:rsidRPr="002F1B1C">
        <w:rPr>
          <w:rFonts w:ascii="Arial" w:hAnsi="Arial" w:cs="Arial"/>
        </w:rPr>
        <w:t>s defined according to RECIST criteria version 1.1</w:t>
      </w:r>
      <w:r w:rsidR="002F1B1C">
        <w:rPr>
          <w:rFonts w:ascii="Arial" w:hAnsi="Arial" w:cs="Arial"/>
        </w:rPr>
        <w:t xml:space="preserve"> </w:t>
      </w:r>
      <w:r w:rsidR="00EC31EE">
        <w:rPr>
          <w:rFonts w:ascii="Arial" w:hAnsi="Arial" w:cs="Arial"/>
          <w:noProof/>
        </w:rPr>
        <w:t>[25]</w:t>
      </w:r>
      <w:r w:rsidR="002F1B1C">
        <w:rPr>
          <w:rFonts w:ascii="Arial" w:hAnsi="Arial" w:cs="Arial"/>
        </w:rPr>
        <w:t xml:space="preserve">. </w:t>
      </w:r>
    </w:p>
    <w:p w14:paraId="58045ED9" w14:textId="77777777" w:rsidR="00461392" w:rsidRDefault="00D01BB5" w:rsidP="006153E6">
      <w:pPr>
        <w:spacing w:line="480" w:lineRule="auto"/>
        <w:ind w:firstLine="720"/>
        <w:jc w:val="both"/>
        <w:rPr>
          <w:rFonts w:ascii="Arial" w:hAnsi="Arial" w:cs="Arial"/>
          <w:szCs w:val="24"/>
        </w:rPr>
      </w:pPr>
      <w:r>
        <w:rPr>
          <w:rFonts w:ascii="Arial" w:hAnsi="Arial" w:cs="Arial"/>
          <w:szCs w:val="24"/>
        </w:rPr>
        <w:lastRenderedPageBreak/>
        <w:t>S</w:t>
      </w:r>
      <w:r w:rsidR="00461392" w:rsidRPr="00463B2E">
        <w:rPr>
          <w:rFonts w:ascii="Arial" w:hAnsi="Arial" w:cs="Arial"/>
          <w:szCs w:val="24"/>
        </w:rPr>
        <w:t xml:space="preserve">econdary end points were </w:t>
      </w:r>
      <w:r>
        <w:rPr>
          <w:rFonts w:ascii="Arial" w:hAnsi="Arial" w:cs="Arial"/>
          <w:szCs w:val="24"/>
        </w:rPr>
        <w:t xml:space="preserve">acute </w:t>
      </w:r>
      <w:r w:rsidR="00461392" w:rsidRPr="00463B2E">
        <w:rPr>
          <w:rFonts w:ascii="Arial" w:hAnsi="Arial" w:cs="Arial"/>
          <w:szCs w:val="24"/>
        </w:rPr>
        <w:t xml:space="preserve">toxicity, </w:t>
      </w:r>
      <w:r w:rsidR="00634E2A" w:rsidRPr="00463B2E">
        <w:rPr>
          <w:rFonts w:ascii="Arial" w:hAnsi="Arial" w:cs="Arial"/>
          <w:szCs w:val="24"/>
        </w:rPr>
        <w:t xml:space="preserve">PFS and </w:t>
      </w:r>
      <w:r w:rsidR="00634E2A">
        <w:rPr>
          <w:rFonts w:ascii="Arial" w:hAnsi="Arial" w:cs="Arial"/>
          <w:szCs w:val="24"/>
        </w:rPr>
        <w:t>o</w:t>
      </w:r>
      <w:r w:rsidR="00634E2A" w:rsidRPr="002C3B3E">
        <w:rPr>
          <w:rFonts w:ascii="Arial" w:hAnsi="Arial" w:cs="Arial"/>
          <w:szCs w:val="24"/>
        </w:rPr>
        <w:t xml:space="preserve">verall </w:t>
      </w:r>
      <w:r w:rsidR="00634E2A" w:rsidRPr="00463B2E">
        <w:rPr>
          <w:rFonts w:ascii="Arial" w:hAnsi="Arial" w:cs="Arial"/>
          <w:szCs w:val="24"/>
        </w:rPr>
        <w:t>OS</w:t>
      </w:r>
      <w:r w:rsidR="00634E2A">
        <w:rPr>
          <w:rFonts w:ascii="Arial" w:hAnsi="Arial" w:cs="Arial"/>
          <w:szCs w:val="24"/>
        </w:rPr>
        <w:t xml:space="preserve"> </w:t>
      </w:r>
      <w:r w:rsidR="00461392" w:rsidRPr="00463B2E">
        <w:rPr>
          <w:rFonts w:ascii="Arial" w:hAnsi="Arial" w:cs="Arial"/>
          <w:szCs w:val="24"/>
        </w:rPr>
        <w:t>and quality of life (QoL). Response assessments were done every two cycles. Common Terminology Criteria for Adverse Events (CTCAE) v.4.03 were used to grade toxicity af</w:t>
      </w:r>
      <w:r w:rsidR="002C3B3E">
        <w:rPr>
          <w:rFonts w:ascii="Arial" w:hAnsi="Arial" w:cs="Arial"/>
          <w:szCs w:val="24"/>
        </w:rPr>
        <w:t>ter each cycle and for 30</w:t>
      </w:r>
      <w:r w:rsidR="00461392" w:rsidRPr="00463B2E">
        <w:rPr>
          <w:rFonts w:ascii="Arial" w:hAnsi="Arial" w:cs="Arial"/>
          <w:szCs w:val="24"/>
        </w:rPr>
        <w:t xml:space="preserve"> </w:t>
      </w:r>
      <w:r w:rsidR="002C3B3E">
        <w:rPr>
          <w:rFonts w:ascii="Arial" w:hAnsi="Arial" w:cs="Arial"/>
          <w:szCs w:val="24"/>
        </w:rPr>
        <w:t>days</w:t>
      </w:r>
      <w:r w:rsidR="00461392" w:rsidRPr="00463B2E">
        <w:rPr>
          <w:rFonts w:ascii="Arial" w:hAnsi="Arial" w:cs="Arial"/>
          <w:szCs w:val="24"/>
        </w:rPr>
        <w:t xml:space="preserve"> (acute toxicity) </w:t>
      </w:r>
      <w:r w:rsidR="002C3B3E">
        <w:rPr>
          <w:rFonts w:ascii="Arial" w:hAnsi="Arial" w:cs="Arial"/>
          <w:szCs w:val="24"/>
        </w:rPr>
        <w:t>post completion of last cycle of chemotherapy</w:t>
      </w:r>
      <w:r w:rsidR="00461392" w:rsidRPr="00463B2E">
        <w:rPr>
          <w:rFonts w:ascii="Arial" w:hAnsi="Arial" w:cs="Arial"/>
          <w:szCs w:val="24"/>
        </w:rPr>
        <w:t xml:space="preserve">.  </w:t>
      </w:r>
    </w:p>
    <w:p w14:paraId="3AB784F9" w14:textId="77777777" w:rsidR="00463B2E" w:rsidRPr="00463B2E" w:rsidRDefault="00463B2E" w:rsidP="00461392">
      <w:pPr>
        <w:spacing w:line="480" w:lineRule="auto"/>
        <w:jc w:val="both"/>
        <w:rPr>
          <w:rFonts w:ascii="Arial" w:hAnsi="Arial" w:cs="Arial"/>
          <w:i/>
          <w:szCs w:val="24"/>
          <w:u w:val="single"/>
        </w:rPr>
      </w:pPr>
      <w:r w:rsidRPr="00463B2E">
        <w:rPr>
          <w:rFonts w:ascii="Arial" w:hAnsi="Arial" w:cs="Arial"/>
          <w:i/>
          <w:szCs w:val="24"/>
          <w:u w:val="single"/>
        </w:rPr>
        <w:t>Quality of life (QoL)</w:t>
      </w:r>
      <w:r>
        <w:rPr>
          <w:rFonts w:ascii="Arial" w:hAnsi="Arial" w:cs="Arial"/>
          <w:i/>
          <w:szCs w:val="24"/>
          <w:u w:val="single"/>
        </w:rPr>
        <w:t xml:space="preserve"> indicators</w:t>
      </w:r>
    </w:p>
    <w:p w14:paraId="2D750BA4" w14:textId="77777777" w:rsidR="00461392" w:rsidRDefault="00461392" w:rsidP="00461392">
      <w:pPr>
        <w:spacing w:line="480" w:lineRule="auto"/>
        <w:jc w:val="both"/>
        <w:rPr>
          <w:rFonts w:ascii="Arial" w:hAnsi="Arial" w:cs="Arial"/>
          <w:sz w:val="24"/>
          <w:szCs w:val="24"/>
        </w:rPr>
      </w:pPr>
      <w:r w:rsidRPr="00463B2E">
        <w:rPr>
          <w:rFonts w:ascii="Arial" w:hAnsi="Arial" w:cs="Arial"/>
          <w:szCs w:val="24"/>
        </w:rPr>
        <w:tab/>
      </w:r>
      <w:r w:rsidR="00D01BB5" w:rsidRPr="00D01BB5">
        <w:rPr>
          <w:rFonts w:ascii="Arial" w:hAnsi="Arial" w:cs="Arial"/>
          <w:szCs w:val="24"/>
        </w:rPr>
        <w:t>Patients were asked to complete validated QoL questionnaires (EORTC QLQ-C30 with module BLM-30 and EQ-5D</w:t>
      </w:r>
      <w:r w:rsidR="00903455">
        <w:rPr>
          <w:rFonts w:ascii="Arial" w:hAnsi="Arial" w:cs="Arial"/>
          <w:szCs w:val="24"/>
        </w:rPr>
        <w:t xml:space="preserve"> </w:t>
      </w:r>
      <w:r w:rsidR="00EC31EE">
        <w:rPr>
          <w:rFonts w:ascii="Arial" w:hAnsi="Arial" w:cs="Arial"/>
          <w:noProof/>
          <w:szCs w:val="24"/>
        </w:rPr>
        <w:t>[26]</w:t>
      </w:r>
      <w:r w:rsidR="00C72E90">
        <w:rPr>
          <w:rFonts w:ascii="Arial" w:hAnsi="Arial" w:cs="Arial"/>
          <w:szCs w:val="24"/>
        </w:rPr>
        <w:t>)</w:t>
      </w:r>
      <w:r w:rsidR="00D01BB5" w:rsidRPr="00D01BB5">
        <w:rPr>
          <w:rFonts w:ascii="Arial" w:hAnsi="Arial" w:cs="Arial"/>
          <w:szCs w:val="24"/>
        </w:rPr>
        <w:t xml:space="preserve"> at baseline, prior to each subsequent cycle of chemotherapy and at 3-5 weeks after receiving the final dose of chemot</w:t>
      </w:r>
      <w:r w:rsidR="00D01BB5">
        <w:rPr>
          <w:rFonts w:ascii="Arial" w:hAnsi="Arial" w:cs="Arial"/>
          <w:szCs w:val="24"/>
        </w:rPr>
        <w:t>herapy.</w:t>
      </w:r>
      <w:r w:rsidR="00643792">
        <w:rPr>
          <w:rFonts w:ascii="Arial" w:hAnsi="Arial" w:cs="Arial"/>
          <w:szCs w:val="24"/>
        </w:rPr>
        <w:t xml:space="preserve"> The results will be </w:t>
      </w:r>
      <w:r w:rsidR="00A2491D">
        <w:rPr>
          <w:rFonts w:ascii="Arial" w:hAnsi="Arial" w:cs="Arial"/>
          <w:szCs w:val="24"/>
        </w:rPr>
        <w:t>reported in a separate</w:t>
      </w:r>
      <w:r w:rsidR="00643792">
        <w:rPr>
          <w:rFonts w:ascii="Arial" w:hAnsi="Arial" w:cs="Arial"/>
          <w:szCs w:val="24"/>
        </w:rPr>
        <w:t xml:space="preserve"> manuscript.</w:t>
      </w:r>
    </w:p>
    <w:p w14:paraId="7E4C5B7B" w14:textId="77777777" w:rsidR="00D01BB5" w:rsidRPr="00D01BB5" w:rsidRDefault="00D01BB5" w:rsidP="00D01BB5">
      <w:pPr>
        <w:spacing w:line="480" w:lineRule="auto"/>
        <w:jc w:val="both"/>
        <w:rPr>
          <w:rFonts w:ascii="Arial" w:hAnsi="Arial" w:cs="Arial"/>
          <w:b/>
          <w:i/>
          <w:sz w:val="24"/>
          <w:szCs w:val="24"/>
        </w:rPr>
      </w:pPr>
      <w:r>
        <w:rPr>
          <w:rFonts w:ascii="Arial" w:hAnsi="Arial" w:cs="Arial"/>
          <w:b/>
          <w:i/>
          <w:sz w:val="24"/>
          <w:szCs w:val="24"/>
        </w:rPr>
        <w:t xml:space="preserve">Follow </w:t>
      </w:r>
      <w:proofErr w:type="gramStart"/>
      <w:r>
        <w:rPr>
          <w:rFonts w:ascii="Arial" w:hAnsi="Arial" w:cs="Arial"/>
          <w:b/>
          <w:i/>
          <w:sz w:val="24"/>
          <w:szCs w:val="24"/>
        </w:rPr>
        <w:t>up</w:t>
      </w:r>
      <w:proofErr w:type="gramEnd"/>
    </w:p>
    <w:p w14:paraId="525E73C5" w14:textId="77777777" w:rsidR="00D01BB5" w:rsidRPr="006153E6" w:rsidRDefault="00692E09" w:rsidP="00461392">
      <w:pPr>
        <w:spacing w:line="480" w:lineRule="auto"/>
        <w:jc w:val="both"/>
        <w:rPr>
          <w:rFonts w:ascii="Arial" w:hAnsi="Arial" w:cs="Arial"/>
          <w:sz w:val="24"/>
          <w:szCs w:val="24"/>
        </w:rPr>
      </w:pPr>
      <w:r>
        <w:rPr>
          <w:rFonts w:ascii="Arial" w:hAnsi="Arial" w:cs="Arial"/>
          <w:szCs w:val="24"/>
        </w:rPr>
        <w:tab/>
      </w:r>
      <w:r w:rsidR="00D01BB5" w:rsidRPr="006153E6">
        <w:rPr>
          <w:rFonts w:ascii="Arial" w:hAnsi="Arial" w:cs="Arial"/>
          <w:szCs w:val="24"/>
        </w:rPr>
        <w:t>Beyond completion of trial treatment</w:t>
      </w:r>
      <w:r w:rsidR="00C72E90">
        <w:rPr>
          <w:rFonts w:ascii="Arial" w:hAnsi="Arial" w:cs="Arial"/>
          <w:szCs w:val="24"/>
        </w:rPr>
        <w:t>,</w:t>
      </w:r>
      <w:r w:rsidR="00D01BB5" w:rsidRPr="006153E6">
        <w:rPr>
          <w:rFonts w:ascii="Arial" w:hAnsi="Arial" w:cs="Arial"/>
          <w:szCs w:val="24"/>
        </w:rPr>
        <w:t xml:space="preserve"> patients have been followed up </w:t>
      </w:r>
      <w:r w:rsidR="006153E6">
        <w:rPr>
          <w:rFonts w:ascii="Arial" w:hAnsi="Arial" w:cs="Arial"/>
          <w:szCs w:val="24"/>
        </w:rPr>
        <w:t xml:space="preserve">via telephone </w:t>
      </w:r>
      <w:r w:rsidR="006153E6" w:rsidRPr="006153E6">
        <w:rPr>
          <w:rFonts w:ascii="Arial" w:hAnsi="Arial" w:cs="Arial"/>
          <w:szCs w:val="24"/>
        </w:rPr>
        <w:t xml:space="preserve">at 3, 6, 9, 12, 18, </w:t>
      </w:r>
      <w:r w:rsidR="006153E6">
        <w:rPr>
          <w:rFonts w:ascii="Arial" w:hAnsi="Arial" w:cs="Arial"/>
          <w:szCs w:val="24"/>
        </w:rPr>
        <w:t xml:space="preserve">24, 36, 48 and 60 months, </w:t>
      </w:r>
      <w:r w:rsidR="00D01BB5" w:rsidRPr="006153E6">
        <w:rPr>
          <w:rFonts w:ascii="Arial" w:hAnsi="Arial" w:cs="Arial"/>
          <w:szCs w:val="24"/>
        </w:rPr>
        <w:t xml:space="preserve">solely for the purposes of recording </w:t>
      </w:r>
      <w:r w:rsidR="00C72E90">
        <w:rPr>
          <w:rFonts w:ascii="Arial" w:hAnsi="Arial" w:cs="Arial"/>
          <w:szCs w:val="24"/>
        </w:rPr>
        <w:t xml:space="preserve">progression and </w:t>
      </w:r>
      <w:r w:rsidR="00D01BB5" w:rsidRPr="006153E6">
        <w:rPr>
          <w:rFonts w:ascii="Arial" w:hAnsi="Arial" w:cs="Arial"/>
          <w:szCs w:val="24"/>
        </w:rPr>
        <w:t>survival</w:t>
      </w:r>
      <w:r w:rsidR="006153E6">
        <w:rPr>
          <w:rFonts w:ascii="Arial" w:hAnsi="Arial" w:cs="Arial"/>
          <w:szCs w:val="24"/>
        </w:rPr>
        <w:t xml:space="preserve"> data.  Additional </w:t>
      </w:r>
      <w:r w:rsidR="00DD706B">
        <w:rPr>
          <w:rFonts w:ascii="Arial" w:hAnsi="Arial" w:cs="Arial"/>
          <w:szCs w:val="24"/>
        </w:rPr>
        <w:t xml:space="preserve">clinical </w:t>
      </w:r>
      <w:r w:rsidR="006153E6">
        <w:rPr>
          <w:rFonts w:ascii="Arial" w:hAnsi="Arial" w:cs="Arial"/>
          <w:szCs w:val="24"/>
        </w:rPr>
        <w:t>follow up was outside of this study and was</w:t>
      </w:r>
      <w:r w:rsidR="00D01BB5" w:rsidRPr="006153E6">
        <w:rPr>
          <w:rFonts w:ascii="Arial" w:hAnsi="Arial" w:cs="Arial"/>
          <w:szCs w:val="24"/>
        </w:rPr>
        <w:t xml:space="preserve"> performed at the discretion of the surgeon performing radical cystectomy.</w:t>
      </w:r>
    </w:p>
    <w:p w14:paraId="0C8C3099" w14:textId="77777777" w:rsidR="00BD78A0" w:rsidRDefault="009C757C" w:rsidP="00461392">
      <w:pPr>
        <w:spacing w:line="480" w:lineRule="auto"/>
        <w:jc w:val="both"/>
        <w:rPr>
          <w:rFonts w:ascii="Arial" w:hAnsi="Arial" w:cs="Arial"/>
          <w:b/>
          <w:i/>
          <w:sz w:val="24"/>
          <w:szCs w:val="24"/>
        </w:rPr>
      </w:pPr>
      <w:r>
        <w:rPr>
          <w:rFonts w:ascii="Arial" w:hAnsi="Arial" w:cs="Arial"/>
          <w:b/>
          <w:i/>
          <w:sz w:val="24"/>
          <w:szCs w:val="24"/>
        </w:rPr>
        <w:t>CTC Sub-study</w:t>
      </w:r>
    </w:p>
    <w:p w14:paraId="793123DD" w14:textId="77777777" w:rsidR="00BD78A0" w:rsidRPr="00234E70" w:rsidRDefault="00234E70" w:rsidP="00373C3F">
      <w:pPr>
        <w:spacing w:line="480" w:lineRule="auto"/>
        <w:ind w:firstLine="720"/>
        <w:jc w:val="both"/>
        <w:rPr>
          <w:rFonts w:ascii="Arial" w:hAnsi="Arial" w:cs="Arial"/>
        </w:rPr>
      </w:pPr>
      <w:r>
        <w:rPr>
          <w:rFonts w:ascii="Arial" w:hAnsi="Arial" w:cs="Arial"/>
        </w:rPr>
        <w:t>Patients who took</w:t>
      </w:r>
      <w:r w:rsidR="00BD78A0" w:rsidRPr="00BD78A0">
        <w:rPr>
          <w:rFonts w:ascii="Arial" w:hAnsi="Arial" w:cs="Arial"/>
        </w:rPr>
        <w:t xml:space="preserve"> part in the CTC sub study had a blood sample taken at baseline, prior to every cycle of chemotherapy and at </w:t>
      </w:r>
      <w:r>
        <w:rPr>
          <w:rFonts w:ascii="Arial" w:hAnsi="Arial" w:cs="Arial"/>
        </w:rPr>
        <w:t xml:space="preserve">the end of treatment visit for </w:t>
      </w:r>
      <w:r w:rsidR="00C065C0">
        <w:rPr>
          <w:rFonts w:ascii="Arial" w:hAnsi="Arial" w:cs="Arial"/>
        </w:rPr>
        <w:t>analyse</w:t>
      </w:r>
      <w:r>
        <w:rPr>
          <w:rFonts w:ascii="Arial" w:hAnsi="Arial" w:cs="Arial"/>
        </w:rPr>
        <w:t>s</w:t>
      </w:r>
      <w:r w:rsidR="00BD78A0" w:rsidRPr="00BD78A0">
        <w:rPr>
          <w:rFonts w:ascii="Arial" w:hAnsi="Arial" w:cs="Arial"/>
        </w:rPr>
        <w:t xml:space="preserve"> </w:t>
      </w:r>
      <w:r>
        <w:rPr>
          <w:rFonts w:ascii="Arial" w:hAnsi="Arial" w:cs="Arial"/>
        </w:rPr>
        <w:t xml:space="preserve">of </w:t>
      </w:r>
      <w:r w:rsidR="00BD78A0" w:rsidRPr="00BD78A0">
        <w:rPr>
          <w:rFonts w:ascii="Arial" w:hAnsi="Arial" w:cs="Arial"/>
        </w:rPr>
        <w:t xml:space="preserve">CTCs. </w:t>
      </w:r>
      <w:r w:rsidR="00336FC2">
        <w:rPr>
          <w:rFonts w:ascii="Arial" w:hAnsi="Arial" w:cs="Arial"/>
        </w:rPr>
        <w:t xml:space="preserve">The correlation of CTC </w:t>
      </w:r>
      <w:r w:rsidR="001B3EE7">
        <w:rPr>
          <w:rFonts w:ascii="Arial" w:hAnsi="Arial" w:cs="Arial"/>
        </w:rPr>
        <w:t xml:space="preserve">response with survival was </w:t>
      </w:r>
      <w:r w:rsidR="00336FC2">
        <w:rPr>
          <w:rFonts w:ascii="Arial" w:hAnsi="Arial" w:cs="Arial"/>
        </w:rPr>
        <w:t xml:space="preserve">assessed. </w:t>
      </w:r>
      <w:r w:rsidR="004937B2" w:rsidRPr="004937B2">
        <w:rPr>
          <w:rFonts w:ascii="Arial" w:hAnsi="Arial" w:cs="Arial"/>
        </w:rPr>
        <w:t>Each sampl</w:t>
      </w:r>
      <w:r w:rsidR="0094471D">
        <w:rPr>
          <w:rFonts w:ascii="Arial" w:hAnsi="Arial" w:cs="Arial"/>
        </w:rPr>
        <w:t xml:space="preserve">e obtained for CTC analysis was </w:t>
      </w:r>
      <w:r w:rsidR="004937B2" w:rsidRPr="004937B2">
        <w:rPr>
          <w:rFonts w:ascii="Arial" w:hAnsi="Arial" w:cs="Arial"/>
        </w:rPr>
        <w:t xml:space="preserve">processed using the </w:t>
      </w:r>
      <w:proofErr w:type="spellStart"/>
      <w:r w:rsidR="004937B2" w:rsidRPr="004937B2">
        <w:rPr>
          <w:rFonts w:ascii="Arial" w:hAnsi="Arial" w:cs="Arial"/>
        </w:rPr>
        <w:t>CellTracks</w:t>
      </w:r>
      <w:proofErr w:type="spellEnd"/>
      <w:r w:rsidR="004937B2" w:rsidRPr="004937B2">
        <w:rPr>
          <w:rFonts w:ascii="Arial" w:hAnsi="Arial" w:cs="Arial"/>
        </w:rPr>
        <w:t xml:space="preserve"> </w:t>
      </w:r>
      <w:proofErr w:type="spellStart"/>
      <w:r w:rsidR="004937B2" w:rsidRPr="004937B2">
        <w:rPr>
          <w:rFonts w:ascii="Arial" w:hAnsi="Arial" w:cs="Arial"/>
        </w:rPr>
        <w:t>AutoPrep</w:t>
      </w:r>
      <w:proofErr w:type="spellEnd"/>
      <w:r w:rsidR="004937B2" w:rsidRPr="004937B2">
        <w:rPr>
          <w:rFonts w:ascii="Arial" w:hAnsi="Arial" w:cs="Arial"/>
        </w:rPr>
        <w:t xml:space="preserve"> System and </w:t>
      </w:r>
      <w:proofErr w:type="spellStart"/>
      <w:r w:rsidR="004937B2" w:rsidRPr="004937B2">
        <w:rPr>
          <w:rFonts w:ascii="Arial" w:hAnsi="Arial" w:cs="Arial"/>
        </w:rPr>
        <w:t>CellTracks</w:t>
      </w:r>
      <w:proofErr w:type="spellEnd"/>
      <w:r w:rsidR="004937B2" w:rsidRPr="004937B2">
        <w:rPr>
          <w:rFonts w:ascii="Arial" w:hAnsi="Arial" w:cs="Arial"/>
        </w:rPr>
        <w:t xml:space="preserve"> Analyzer II System</w:t>
      </w:r>
      <w:r w:rsidR="0094471D">
        <w:rPr>
          <w:rFonts w:ascii="Arial" w:hAnsi="Arial" w:cs="Arial"/>
        </w:rPr>
        <w:t xml:space="preserve"> (</w:t>
      </w:r>
      <w:proofErr w:type="spellStart"/>
      <w:r w:rsidR="0094471D" w:rsidRPr="0094471D">
        <w:rPr>
          <w:rFonts w:ascii="Arial" w:hAnsi="Arial" w:cs="Arial"/>
        </w:rPr>
        <w:t>CellSearch</w:t>
      </w:r>
      <w:proofErr w:type="spellEnd"/>
      <w:r w:rsidR="0094471D" w:rsidRPr="0094471D">
        <w:rPr>
          <w:rFonts w:ascii="Arial" w:hAnsi="Arial" w:cs="Arial"/>
        </w:rPr>
        <w:t xml:space="preserve"> </w:t>
      </w:r>
      <w:proofErr w:type="spellStart"/>
      <w:r w:rsidR="0094471D" w:rsidRPr="0094471D">
        <w:rPr>
          <w:rFonts w:ascii="Arial" w:hAnsi="Arial" w:cs="Arial"/>
        </w:rPr>
        <w:t>AutoPrep</w:t>
      </w:r>
      <w:proofErr w:type="spellEnd"/>
      <w:r w:rsidR="0094471D" w:rsidRPr="0094471D">
        <w:rPr>
          <w:rFonts w:ascii="Arial" w:hAnsi="Arial" w:cs="Arial"/>
        </w:rPr>
        <w:t xml:space="preserve"> User’s Guide (supplied April 2011)</w:t>
      </w:r>
      <w:r w:rsidR="0094471D">
        <w:rPr>
          <w:rFonts w:ascii="Arial" w:hAnsi="Arial" w:cs="Arial"/>
        </w:rPr>
        <w:t>)</w:t>
      </w:r>
      <w:r w:rsidR="004937B2" w:rsidRPr="004937B2">
        <w:rPr>
          <w:rFonts w:ascii="Arial" w:hAnsi="Arial" w:cs="Arial"/>
        </w:rPr>
        <w:t>.</w:t>
      </w:r>
      <w:r w:rsidR="00DA038B">
        <w:rPr>
          <w:rFonts w:ascii="Arial" w:hAnsi="Arial" w:cs="Arial"/>
        </w:rPr>
        <w:t xml:space="preserve"> </w:t>
      </w:r>
      <w:proofErr w:type="gramStart"/>
      <w:r w:rsidR="00EE1DAD">
        <w:rPr>
          <w:rFonts w:ascii="Arial" w:hAnsi="Arial" w:cs="Arial"/>
        </w:rPr>
        <w:t>Whilst,</w:t>
      </w:r>
      <w:proofErr w:type="gramEnd"/>
      <w:r w:rsidR="00EE1DAD">
        <w:rPr>
          <w:rFonts w:ascii="Arial" w:hAnsi="Arial" w:cs="Arial"/>
        </w:rPr>
        <w:t xml:space="preserve"> t</w:t>
      </w:r>
      <w:r w:rsidR="00EE1DAD" w:rsidRPr="00EE1DAD">
        <w:rPr>
          <w:rFonts w:ascii="Arial" w:hAnsi="Arial" w:cs="Arial"/>
        </w:rPr>
        <w:t xml:space="preserve">here are no existing criteria for interpretation of CTC response to chemotherapy, measurements for </w:t>
      </w:r>
      <w:r w:rsidR="00F74BDF">
        <w:rPr>
          <w:rFonts w:ascii="Arial" w:hAnsi="Arial" w:cs="Arial"/>
        </w:rPr>
        <w:t>each defined time point were</w:t>
      </w:r>
      <w:r w:rsidR="00EE1DAD" w:rsidRPr="00EE1DAD">
        <w:rPr>
          <w:rFonts w:ascii="Arial" w:hAnsi="Arial" w:cs="Arial"/>
        </w:rPr>
        <w:t xml:space="preserve"> compared wi</w:t>
      </w:r>
      <w:r w:rsidR="00EE1DAD">
        <w:rPr>
          <w:rFonts w:ascii="Arial" w:hAnsi="Arial" w:cs="Arial"/>
        </w:rPr>
        <w:t>th the initial (pre-chemotherapy</w:t>
      </w:r>
      <w:r w:rsidR="00EE1DAD" w:rsidRPr="00EE1DAD">
        <w:rPr>
          <w:rFonts w:ascii="Arial" w:hAnsi="Arial" w:cs="Arial"/>
        </w:rPr>
        <w:t xml:space="preserve">) measurement. </w:t>
      </w:r>
      <w:r w:rsidR="002821ED">
        <w:rPr>
          <w:rFonts w:ascii="Arial" w:hAnsi="Arial" w:cs="Arial"/>
        </w:rPr>
        <w:t>P</w:t>
      </w:r>
      <w:r w:rsidR="00EE1DAD" w:rsidRPr="00EE1DAD">
        <w:rPr>
          <w:rFonts w:ascii="Arial" w:hAnsi="Arial" w:cs="Arial"/>
        </w:rPr>
        <w:t xml:space="preserve">atients with </w:t>
      </w:r>
      <w:r w:rsidR="00EE1DAD">
        <w:rPr>
          <w:rFonts w:ascii="Arial" w:hAnsi="Arial" w:cs="Arial"/>
        </w:rPr>
        <w:t>baseline</w:t>
      </w:r>
      <w:r w:rsidR="00EE1DAD" w:rsidRPr="00EE1DAD">
        <w:rPr>
          <w:rFonts w:ascii="Arial" w:hAnsi="Arial" w:cs="Arial"/>
        </w:rPr>
        <w:t xml:space="preserve"> positive CTC measurements </w:t>
      </w:r>
      <w:r w:rsidR="00F74BDF">
        <w:rPr>
          <w:rFonts w:ascii="Arial" w:hAnsi="Arial" w:cs="Arial"/>
        </w:rPr>
        <w:t xml:space="preserve">undergoing negative change were classed as </w:t>
      </w:r>
      <w:r w:rsidR="00E22311" w:rsidRPr="004E4224">
        <w:rPr>
          <w:rFonts w:ascii="Arial" w:hAnsi="Arial" w:cs="Arial"/>
          <w:color w:val="000000"/>
        </w:rPr>
        <w:t>CTC</w:t>
      </w:r>
      <w:r w:rsidR="00E22311">
        <w:rPr>
          <w:rFonts w:ascii="Arial" w:hAnsi="Arial" w:cs="Arial"/>
        </w:rPr>
        <w:t xml:space="preserve"> </w:t>
      </w:r>
      <w:r w:rsidR="00F74BDF">
        <w:rPr>
          <w:rFonts w:ascii="Arial" w:hAnsi="Arial" w:cs="Arial"/>
        </w:rPr>
        <w:t>responders</w:t>
      </w:r>
      <w:r w:rsidR="002821ED">
        <w:rPr>
          <w:rFonts w:ascii="Arial" w:hAnsi="Arial" w:cs="Arial"/>
        </w:rPr>
        <w:t>. P</w:t>
      </w:r>
      <w:r w:rsidR="00EE1DAD" w:rsidRPr="00EE1DAD">
        <w:rPr>
          <w:rFonts w:ascii="Arial" w:hAnsi="Arial" w:cs="Arial"/>
        </w:rPr>
        <w:t>atients with initially n</w:t>
      </w:r>
      <w:r w:rsidR="002821ED">
        <w:rPr>
          <w:rFonts w:ascii="Arial" w:hAnsi="Arial" w:cs="Arial"/>
        </w:rPr>
        <w:t>egative CTC measurements were</w:t>
      </w:r>
      <w:r w:rsidR="00EE1DAD" w:rsidRPr="00EE1DAD">
        <w:rPr>
          <w:rFonts w:ascii="Arial" w:hAnsi="Arial" w:cs="Arial"/>
        </w:rPr>
        <w:t xml:space="preserve"> considered to have undergone ‘CTC progression’ if the subseque</w:t>
      </w:r>
      <w:r w:rsidR="00F74BDF">
        <w:rPr>
          <w:rFonts w:ascii="Arial" w:hAnsi="Arial" w:cs="Arial"/>
        </w:rPr>
        <w:t>nt CTC measurement was</w:t>
      </w:r>
      <w:r w:rsidR="00373C3F">
        <w:rPr>
          <w:rFonts w:ascii="Arial" w:hAnsi="Arial" w:cs="Arial"/>
        </w:rPr>
        <w:t xml:space="preserve"> positive. </w:t>
      </w:r>
      <w:r w:rsidR="00EE1DAD" w:rsidRPr="00EE1DAD">
        <w:rPr>
          <w:rFonts w:ascii="Arial" w:hAnsi="Arial" w:cs="Arial"/>
        </w:rPr>
        <w:lastRenderedPageBreak/>
        <w:t>Patients with persistently positive or persistently negative CTC measurements compa</w:t>
      </w:r>
      <w:r w:rsidR="00F74BDF">
        <w:rPr>
          <w:rFonts w:ascii="Arial" w:hAnsi="Arial" w:cs="Arial"/>
        </w:rPr>
        <w:t>red with their baseline, were</w:t>
      </w:r>
      <w:r w:rsidR="00EE1DAD" w:rsidRPr="00EE1DAD">
        <w:rPr>
          <w:rFonts w:ascii="Arial" w:hAnsi="Arial" w:cs="Arial"/>
        </w:rPr>
        <w:t xml:space="preserve"> ‘CTC stable (positive</w:t>
      </w:r>
      <w:r w:rsidR="00373C3F">
        <w:rPr>
          <w:rFonts w:ascii="Arial" w:hAnsi="Arial" w:cs="Arial"/>
        </w:rPr>
        <w:t>)’ or ‘CTC stable (negative)</w:t>
      </w:r>
      <w:proofErr w:type="gramStart"/>
      <w:r w:rsidR="00373C3F">
        <w:rPr>
          <w:rFonts w:ascii="Arial" w:hAnsi="Arial" w:cs="Arial"/>
        </w:rPr>
        <w:t>’, and</w:t>
      </w:r>
      <w:proofErr w:type="gramEnd"/>
      <w:r w:rsidR="00373C3F">
        <w:rPr>
          <w:rFonts w:ascii="Arial" w:hAnsi="Arial" w:cs="Arial"/>
        </w:rPr>
        <w:t xml:space="preserve"> </w:t>
      </w:r>
      <w:r w:rsidR="00F74BDF">
        <w:rPr>
          <w:rFonts w:ascii="Arial" w:hAnsi="Arial" w:cs="Arial"/>
        </w:rPr>
        <w:t>were</w:t>
      </w:r>
      <w:r w:rsidR="00373C3F" w:rsidRPr="00373C3F">
        <w:rPr>
          <w:rFonts w:ascii="Arial" w:hAnsi="Arial" w:cs="Arial"/>
        </w:rPr>
        <w:t xml:space="preserve"> considered </w:t>
      </w:r>
      <w:r w:rsidR="00373C3F">
        <w:rPr>
          <w:rFonts w:ascii="Arial" w:hAnsi="Arial" w:cs="Arial"/>
        </w:rPr>
        <w:t xml:space="preserve">as </w:t>
      </w:r>
      <w:r w:rsidR="00373C3F" w:rsidRPr="00373C3F">
        <w:rPr>
          <w:rFonts w:ascii="Arial" w:hAnsi="Arial" w:cs="Arial"/>
        </w:rPr>
        <w:t>‘non responders’ on CTC measurement.</w:t>
      </w:r>
    </w:p>
    <w:p w14:paraId="6D39BDA8" w14:textId="77777777" w:rsidR="00603B50" w:rsidRPr="00844589" w:rsidRDefault="00234E70" w:rsidP="00844589">
      <w:pPr>
        <w:spacing w:line="480" w:lineRule="auto"/>
        <w:jc w:val="both"/>
        <w:rPr>
          <w:rFonts w:ascii="Arial" w:hAnsi="Arial" w:cs="Arial"/>
          <w:b/>
          <w:i/>
          <w:sz w:val="24"/>
          <w:szCs w:val="24"/>
        </w:rPr>
      </w:pPr>
      <w:r>
        <w:rPr>
          <w:rFonts w:ascii="Arial" w:hAnsi="Arial" w:cs="Arial"/>
          <w:b/>
          <w:i/>
          <w:sz w:val="24"/>
          <w:szCs w:val="24"/>
        </w:rPr>
        <w:t>Statistical Analyses</w:t>
      </w:r>
    </w:p>
    <w:p w14:paraId="5B2DD748" w14:textId="77777777" w:rsidR="00844589" w:rsidRPr="00E25CF3" w:rsidRDefault="00552095" w:rsidP="0030340E">
      <w:pPr>
        <w:pStyle w:val="Default"/>
        <w:spacing w:line="480" w:lineRule="auto"/>
        <w:ind w:firstLine="720"/>
        <w:jc w:val="both"/>
        <w:rPr>
          <w:sz w:val="22"/>
          <w:szCs w:val="22"/>
        </w:rPr>
      </w:pPr>
      <w:r>
        <w:rPr>
          <w:sz w:val="22"/>
          <w:szCs w:val="22"/>
        </w:rPr>
        <w:t xml:space="preserve">The sample size </w:t>
      </w:r>
      <w:r w:rsidR="00E97912" w:rsidRPr="00E25CF3">
        <w:rPr>
          <w:sz w:val="22"/>
          <w:szCs w:val="22"/>
        </w:rPr>
        <w:t xml:space="preserve">was </w:t>
      </w:r>
      <w:r>
        <w:rPr>
          <w:sz w:val="22"/>
          <w:szCs w:val="22"/>
        </w:rPr>
        <w:t>calculated on the premise</w:t>
      </w:r>
      <w:r w:rsidR="00E97912" w:rsidRPr="00E25CF3">
        <w:rPr>
          <w:sz w:val="22"/>
          <w:szCs w:val="22"/>
        </w:rPr>
        <w:t xml:space="preserve"> that a</w:t>
      </w:r>
      <w:r>
        <w:rPr>
          <w:sz w:val="22"/>
          <w:szCs w:val="22"/>
        </w:rPr>
        <w:t>n objective</w:t>
      </w:r>
      <w:r w:rsidR="00E97912" w:rsidRPr="00E25CF3">
        <w:rPr>
          <w:sz w:val="22"/>
          <w:szCs w:val="22"/>
        </w:rPr>
        <w:t xml:space="preserve"> response rate</w:t>
      </w:r>
      <w:r>
        <w:rPr>
          <w:sz w:val="22"/>
          <w:szCs w:val="22"/>
        </w:rPr>
        <w:t xml:space="preserve"> (ORR)</w:t>
      </w:r>
      <w:r w:rsidR="00E97912" w:rsidRPr="00E25CF3">
        <w:rPr>
          <w:sz w:val="22"/>
          <w:szCs w:val="22"/>
        </w:rPr>
        <w:t xml:space="preserve"> of less than 35% </w:t>
      </w:r>
      <w:r w:rsidR="00844589">
        <w:rPr>
          <w:sz w:val="22"/>
          <w:szCs w:val="22"/>
        </w:rPr>
        <w:t>would not</w:t>
      </w:r>
      <w:r w:rsidR="00E97912" w:rsidRPr="00E25CF3">
        <w:rPr>
          <w:sz w:val="22"/>
          <w:szCs w:val="22"/>
        </w:rPr>
        <w:t xml:space="preserve"> warrant further investigation </w:t>
      </w:r>
      <w:r w:rsidR="00844589">
        <w:rPr>
          <w:sz w:val="22"/>
          <w:szCs w:val="22"/>
        </w:rPr>
        <w:t xml:space="preserve">of this regime </w:t>
      </w:r>
      <w:r w:rsidR="00E97912" w:rsidRPr="00E25CF3">
        <w:rPr>
          <w:sz w:val="22"/>
          <w:szCs w:val="22"/>
        </w:rPr>
        <w:t>in an expanded phase II or phase III setting, but that a rate of 60% or higher would warrant further investigation. Using an exact test for a single proportion, p</w:t>
      </w:r>
      <w:r w:rsidR="00E97912" w:rsidRPr="00E25CF3">
        <w:rPr>
          <w:sz w:val="22"/>
          <w:szCs w:val="22"/>
          <w:vertAlign w:val="subscript"/>
        </w:rPr>
        <w:t xml:space="preserve">0 </w:t>
      </w:r>
      <w:r w:rsidR="00E97912" w:rsidRPr="00E25CF3">
        <w:rPr>
          <w:sz w:val="22"/>
          <w:szCs w:val="22"/>
        </w:rPr>
        <w:t>=0.35 and p</w:t>
      </w:r>
      <w:r w:rsidR="00E97912" w:rsidRPr="00E25CF3">
        <w:rPr>
          <w:sz w:val="22"/>
          <w:szCs w:val="22"/>
          <w:vertAlign w:val="subscript"/>
        </w:rPr>
        <w:t xml:space="preserve">1 </w:t>
      </w:r>
      <w:r w:rsidR="00E97912" w:rsidRPr="00E25CF3">
        <w:rPr>
          <w:sz w:val="22"/>
          <w:szCs w:val="22"/>
        </w:rPr>
        <w:t xml:space="preserve">=0.60, setting α =0.05 (one-sided) and power = 80%, </w:t>
      </w:r>
      <w:r w:rsidR="00844589">
        <w:rPr>
          <w:sz w:val="22"/>
          <w:szCs w:val="22"/>
        </w:rPr>
        <w:t>a total of</w:t>
      </w:r>
      <w:r w:rsidR="00E97912" w:rsidRPr="00E25CF3">
        <w:rPr>
          <w:sz w:val="22"/>
          <w:szCs w:val="22"/>
        </w:rPr>
        <w:t xml:space="preserve"> 26 patients were required for the </w:t>
      </w:r>
      <w:r w:rsidR="00844589">
        <w:rPr>
          <w:sz w:val="22"/>
          <w:szCs w:val="22"/>
        </w:rPr>
        <w:t>evaluation of ORR</w:t>
      </w:r>
      <w:r w:rsidR="00E97912" w:rsidRPr="00E25CF3">
        <w:rPr>
          <w:sz w:val="22"/>
          <w:szCs w:val="22"/>
        </w:rPr>
        <w:t xml:space="preserve">. </w:t>
      </w:r>
      <w:r w:rsidR="00844589" w:rsidRPr="00844589">
        <w:rPr>
          <w:sz w:val="22"/>
          <w:szCs w:val="22"/>
        </w:rPr>
        <w:t xml:space="preserve">It was deemed that if there is no patient with </w:t>
      </w:r>
      <w:r w:rsidR="00844589">
        <w:rPr>
          <w:sz w:val="22"/>
          <w:szCs w:val="22"/>
        </w:rPr>
        <w:t>an ORR</w:t>
      </w:r>
      <w:r w:rsidR="00844589" w:rsidRPr="00844589">
        <w:rPr>
          <w:sz w:val="22"/>
          <w:szCs w:val="22"/>
        </w:rPr>
        <w:t xml:space="preserve"> among the first 9 patients treated</w:t>
      </w:r>
      <w:r w:rsidR="00844589">
        <w:rPr>
          <w:sz w:val="22"/>
          <w:szCs w:val="22"/>
        </w:rPr>
        <w:t>,</w:t>
      </w:r>
      <w:r w:rsidR="00844589" w:rsidRPr="00844589">
        <w:rPr>
          <w:sz w:val="22"/>
          <w:szCs w:val="22"/>
        </w:rPr>
        <w:t xml:space="preserve"> then the null hypothesis would </w:t>
      </w:r>
      <w:r w:rsidR="00AF45EE">
        <w:rPr>
          <w:sz w:val="22"/>
          <w:szCs w:val="22"/>
        </w:rPr>
        <w:t xml:space="preserve">not be </w:t>
      </w:r>
      <w:proofErr w:type="gramStart"/>
      <w:r w:rsidR="00AF45EE">
        <w:rPr>
          <w:sz w:val="22"/>
          <w:szCs w:val="22"/>
        </w:rPr>
        <w:t>rejected</w:t>
      </w:r>
      <w:proofErr w:type="gramEnd"/>
      <w:r w:rsidR="00AF45EE">
        <w:rPr>
          <w:sz w:val="22"/>
          <w:szCs w:val="22"/>
        </w:rPr>
        <w:t xml:space="preserve"> </w:t>
      </w:r>
      <w:r w:rsidR="00844589" w:rsidRPr="00844589">
        <w:rPr>
          <w:sz w:val="22"/>
          <w:szCs w:val="22"/>
        </w:rPr>
        <w:t xml:space="preserve">and the trial would be stopped. </w:t>
      </w:r>
      <w:r w:rsidR="00844589">
        <w:rPr>
          <w:sz w:val="22"/>
          <w:szCs w:val="22"/>
        </w:rPr>
        <w:t xml:space="preserve">Allowing for dropouts, a total of </w:t>
      </w:r>
      <w:r w:rsidR="00E97912" w:rsidRPr="00E25CF3">
        <w:rPr>
          <w:sz w:val="22"/>
          <w:szCs w:val="22"/>
        </w:rPr>
        <w:t>28 patients were recruited.</w:t>
      </w:r>
      <w:r w:rsidR="00844589">
        <w:rPr>
          <w:sz w:val="22"/>
          <w:szCs w:val="22"/>
        </w:rPr>
        <w:t xml:space="preserve"> </w:t>
      </w:r>
    </w:p>
    <w:p w14:paraId="08A8CBBD" w14:textId="77777777" w:rsidR="00E177FE" w:rsidRPr="0030340E" w:rsidRDefault="0013588B" w:rsidP="00E177FE">
      <w:pPr>
        <w:spacing w:line="480" w:lineRule="auto"/>
        <w:ind w:firstLine="720"/>
        <w:jc w:val="both"/>
        <w:rPr>
          <w:rFonts w:ascii="Arial" w:hAnsi="Arial" w:cs="Arial"/>
          <w:szCs w:val="24"/>
        </w:rPr>
      </w:pPr>
      <w:r w:rsidRPr="0013588B">
        <w:rPr>
          <w:rFonts w:ascii="Arial" w:hAnsi="Arial" w:cs="Arial"/>
        </w:rPr>
        <w:t>The data were analysed using intention-to-treat analysis. Descriptive statistics were used for quantitative measurements.</w:t>
      </w:r>
      <w:r>
        <w:t xml:space="preserve"> </w:t>
      </w:r>
      <w:r w:rsidRPr="00463B2E">
        <w:rPr>
          <w:rFonts w:ascii="Arial" w:hAnsi="Arial" w:cs="Arial"/>
          <w:szCs w:val="24"/>
        </w:rPr>
        <w:t>The Kaplan-Meier method</w:t>
      </w:r>
      <w:r w:rsidR="0030340E">
        <w:rPr>
          <w:rFonts w:ascii="Arial" w:hAnsi="Arial" w:cs="Arial"/>
          <w:szCs w:val="24"/>
        </w:rPr>
        <w:t xml:space="preserve"> and log</w:t>
      </w:r>
      <w:r w:rsidR="00D2236F">
        <w:rPr>
          <w:rFonts w:ascii="Arial" w:hAnsi="Arial" w:cs="Arial"/>
          <w:szCs w:val="24"/>
        </w:rPr>
        <w:t>-</w:t>
      </w:r>
      <w:r w:rsidR="0030340E">
        <w:rPr>
          <w:rFonts w:ascii="Arial" w:hAnsi="Arial" w:cs="Arial"/>
          <w:szCs w:val="24"/>
        </w:rPr>
        <w:t>rank test were</w:t>
      </w:r>
      <w:r w:rsidRPr="00463B2E">
        <w:rPr>
          <w:rFonts w:ascii="Arial" w:hAnsi="Arial" w:cs="Arial"/>
          <w:szCs w:val="24"/>
        </w:rPr>
        <w:t xml:space="preserve"> used to analyse PFS and OS.</w:t>
      </w:r>
      <w:r>
        <w:rPr>
          <w:rFonts w:ascii="Arial" w:hAnsi="Arial" w:cs="Arial"/>
          <w:szCs w:val="24"/>
        </w:rPr>
        <w:t xml:space="preserve"> </w:t>
      </w:r>
      <w:r w:rsidR="0030340E">
        <w:rPr>
          <w:rFonts w:ascii="Arial" w:hAnsi="Arial" w:cs="Arial"/>
          <w:szCs w:val="24"/>
        </w:rPr>
        <w:t xml:space="preserve">PFS </w:t>
      </w:r>
      <w:r w:rsidRPr="002C3B3E">
        <w:rPr>
          <w:rFonts w:ascii="Arial" w:hAnsi="Arial" w:cs="Arial"/>
          <w:szCs w:val="24"/>
        </w:rPr>
        <w:t xml:space="preserve">was calculated from the date of consent until progression is recorded. </w:t>
      </w:r>
      <w:r w:rsidR="0030340E">
        <w:rPr>
          <w:rFonts w:ascii="Arial" w:hAnsi="Arial" w:cs="Arial"/>
          <w:szCs w:val="24"/>
        </w:rPr>
        <w:t xml:space="preserve">OS </w:t>
      </w:r>
      <w:r w:rsidRPr="002C3B3E">
        <w:rPr>
          <w:rFonts w:ascii="Arial" w:hAnsi="Arial" w:cs="Arial"/>
          <w:szCs w:val="24"/>
        </w:rPr>
        <w:t>was calculated from date of consent until date of death from any cause.</w:t>
      </w:r>
      <w:r>
        <w:rPr>
          <w:rFonts w:ascii="Arial" w:hAnsi="Arial" w:cs="Arial"/>
          <w:szCs w:val="24"/>
        </w:rPr>
        <w:t xml:space="preserve"> </w:t>
      </w:r>
    </w:p>
    <w:p w14:paraId="4E9CB853" w14:textId="77777777" w:rsidR="00E97912" w:rsidRPr="00E25CF3" w:rsidRDefault="00E97912" w:rsidP="00E25CF3">
      <w:pPr>
        <w:jc w:val="both"/>
        <w:rPr>
          <w:rFonts w:ascii="Arial" w:hAnsi="Arial" w:cs="Arial"/>
        </w:rPr>
      </w:pPr>
    </w:p>
    <w:p w14:paraId="6D581780" w14:textId="77777777" w:rsidR="00411C13" w:rsidRPr="00481D63" w:rsidRDefault="00411C13" w:rsidP="00E25CF3">
      <w:pPr>
        <w:jc w:val="both"/>
        <w:rPr>
          <w:rFonts w:ascii="Arial" w:hAnsi="Arial" w:cs="Arial"/>
          <w:b/>
          <w:color w:val="31849B"/>
          <w:sz w:val="36"/>
          <w:szCs w:val="36"/>
        </w:rPr>
      </w:pPr>
      <w:r w:rsidRPr="00481D63">
        <w:rPr>
          <w:rFonts w:ascii="Arial" w:hAnsi="Arial" w:cs="Arial"/>
          <w:b/>
          <w:color w:val="000000"/>
          <w:sz w:val="28"/>
          <w:szCs w:val="36"/>
        </w:rPr>
        <w:t>Results</w:t>
      </w:r>
    </w:p>
    <w:p w14:paraId="678A710C" w14:textId="77777777" w:rsidR="00CD003E" w:rsidRPr="009430AD" w:rsidRDefault="00CD003E" w:rsidP="00CD003E">
      <w:pPr>
        <w:pStyle w:val="Standard"/>
        <w:rPr>
          <w:rFonts w:ascii="Arial" w:hAnsi="Arial" w:cs="Arial"/>
          <w:b/>
          <w:sz w:val="22"/>
          <w:szCs w:val="22"/>
        </w:rPr>
      </w:pPr>
      <w:r w:rsidRPr="009430AD">
        <w:rPr>
          <w:rFonts w:ascii="Arial" w:hAnsi="Arial" w:cs="Arial"/>
          <w:b/>
          <w:sz w:val="22"/>
          <w:szCs w:val="22"/>
        </w:rPr>
        <w:t xml:space="preserve">Patient Characteristics </w:t>
      </w:r>
    </w:p>
    <w:p w14:paraId="451FDAC3" w14:textId="77777777" w:rsidR="00CD003E" w:rsidRPr="009430AD" w:rsidRDefault="00CD003E" w:rsidP="00CD003E">
      <w:pPr>
        <w:pStyle w:val="Standard"/>
        <w:rPr>
          <w:rFonts w:ascii="Arial" w:hAnsi="Arial" w:cs="Arial"/>
          <w:b/>
          <w:sz w:val="22"/>
          <w:szCs w:val="22"/>
        </w:rPr>
      </w:pPr>
    </w:p>
    <w:p w14:paraId="721838EA" w14:textId="77777777" w:rsidR="00CD003E" w:rsidRPr="009430AD" w:rsidRDefault="009430AD" w:rsidP="00A1306C">
      <w:pPr>
        <w:spacing w:line="480" w:lineRule="auto"/>
        <w:ind w:firstLine="720"/>
        <w:jc w:val="both"/>
        <w:rPr>
          <w:rFonts w:ascii="Arial" w:hAnsi="Arial" w:cs="Arial"/>
        </w:rPr>
      </w:pPr>
      <w:r>
        <w:rPr>
          <w:rFonts w:ascii="Arial" w:hAnsi="Arial" w:cs="Arial"/>
        </w:rPr>
        <w:t>Twenty-eight</w:t>
      </w:r>
      <w:r w:rsidR="00CD003E" w:rsidRPr="009430AD">
        <w:rPr>
          <w:rFonts w:ascii="Arial" w:hAnsi="Arial" w:cs="Arial"/>
          <w:bCs/>
          <w:lang w:val="en-US"/>
        </w:rPr>
        <w:t xml:space="preserve"> pati</w:t>
      </w:r>
      <w:r>
        <w:rPr>
          <w:rFonts w:ascii="Arial" w:hAnsi="Arial" w:cs="Arial"/>
          <w:bCs/>
          <w:lang w:val="en-US"/>
        </w:rPr>
        <w:t xml:space="preserve">ents were enrolled between Jul 2012 and August 2017. </w:t>
      </w:r>
      <w:r w:rsidR="00DC0037">
        <w:rPr>
          <w:rFonts w:ascii="Arial" w:hAnsi="Arial" w:cs="Arial"/>
          <w:bCs/>
          <w:lang w:val="en-US"/>
        </w:rPr>
        <w:t xml:space="preserve">One patient was excluded from analyses </w:t>
      </w:r>
      <w:r w:rsidR="00B95391" w:rsidRPr="009430AD">
        <w:rPr>
          <w:rFonts w:ascii="Arial" w:hAnsi="Arial" w:cs="Arial"/>
          <w:bCs/>
          <w:lang w:val="en-US"/>
        </w:rPr>
        <w:t>of secondary survival and quality of life endpoints</w:t>
      </w:r>
      <w:r w:rsidR="00B95391">
        <w:rPr>
          <w:rFonts w:ascii="Arial" w:hAnsi="Arial" w:cs="Arial"/>
          <w:bCs/>
          <w:lang w:val="en-US"/>
        </w:rPr>
        <w:t xml:space="preserve">, </w:t>
      </w:r>
      <w:r w:rsidR="00DC0037">
        <w:rPr>
          <w:rFonts w:ascii="Arial" w:hAnsi="Arial" w:cs="Arial"/>
          <w:bCs/>
          <w:lang w:val="en-US"/>
        </w:rPr>
        <w:t>as</w:t>
      </w:r>
      <w:r w:rsidR="00B95391">
        <w:rPr>
          <w:rFonts w:ascii="Arial" w:hAnsi="Arial" w:cs="Arial"/>
          <w:bCs/>
          <w:lang w:val="en-US"/>
        </w:rPr>
        <w:t xml:space="preserve"> on review of staging imaging</w:t>
      </w:r>
      <w:r w:rsidR="000E5C6B">
        <w:rPr>
          <w:rFonts w:ascii="Arial" w:hAnsi="Arial" w:cs="Arial"/>
          <w:bCs/>
          <w:lang w:val="en-US"/>
        </w:rPr>
        <w:t>,</w:t>
      </w:r>
      <w:r w:rsidR="00DC0037">
        <w:rPr>
          <w:rFonts w:ascii="Arial" w:hAnsi="Arial" w:cs="Arial"/>
          <w:bCs/>
          <w:lang w:val="en-US"/>
        </w:rPr>
        <w:t xml:space="preserve"> </w:t>
      </w:r>
      <w:r w:rsidR="00D2236F">
        <w:rPr>
          <w:rFonts w:ascii="Arial" w:hAnsi="Arial" w:cs="Arial"/>
          <w:bCs/>
          <w:lang w:val="en-US"/>
        </w:rPr>
        <w:t xml:space="preserve">this </w:t>
      </w:r>
      <w:r w:rsidR="00B95391">
        <w:rPr>
          <w:rFonts w:ascii="Arial" w:hAnsi="Arial" w:cs="Arial"/>
          <w:bCs/>
          <w:lang w:val="en-US"/>
        </w:rPr>
        <w:t>patient</w:t>
      </w:r>
      <w:r w:rsidR="00DC0037">
        <w:rPr>
          <w:rFonts w:ascii="Arial" w:hAnsi="Arial" w:cs="Arial"/>
          <w:bCs/>
          <w:lang w:val="en-US"/>
        </w:rPr>
        <w:t xml:space="preserve"> was deemed to have metastatic disease at </w:t>
      </w:r>
      <w:r w:rsidR="00B95391">
        <w:rPr>
          <w:rFonts w:ascii="Arial" w:hAnsi="Arial" w:cs="Arial"/>
          <w:bCs/>
          <w:lang w:val="en-US"/>
        </w:rPr>
        <w:t>baseline</w:t>
      </w:r>
      <w:r w:rsidR="00DC0037">
        <w:rPr>
          <w:rFonts w:ascii="Arial" w:hAnsi="Arial" w:cs="Arial"/>
          <w:bCs/>
          <w:lang w:val="en-US"/>
        </w:rPr>
        <w:t>.</w:t>
      </w:r>
      <w:r w:rsidRPr="009430AD">
        <w:rPr>
          <w:rFonts w:ascii="Arial" w:hAnsi="Arial" w:cs="Arial"/>
          <w:bCs/>
          <w:lang w:val="en-US"/>
        </w:rPr>
        <w:t xml:space="preserve">  </w:t>
      </w:r>
      <w:r>
        <w:rPr>
          <w:rFonts w:ascii="Arial" w:hAnsi="Arial" w:cs="Arial"/>
          <w:bCs/>
          <w:lang w:val="en-US"/>
        </w:rPr>
        <w:t xml:space="preserve">Only </w:t>
      </w:r>
      <w:r w:rsidR="00DC0037">
        <w:rPr>
          <w:rFonts w:ascii="Arial" w:hAnsi="Arial" w:cs="Arial"/>
        </w:rPr>
        <w:t>2</w:t>
      </w:r>
      <w:r w:rsidR="00C72E90">
        <w:rPr>
          <w:rFonts w:ascii="Arial" w:hAnsi="Arial" w:cs="Arial"/>
        </w:rPr>
        <w:t>6</w:t>
      </w:r>
      <w:r w:rsidR="000E5C6B">
        <w:rPr>
          <w:rFonts w:ascii="Arial" w:hAnsi="Arial" w:cs="Arial"/>
        </w:rPr>
        <w:t xml:space="preserve"> of the </w:t>
      </w:r>
      <w:r w:rsidR="00950E77">
        <w:rPr>
          <w:rFonts w:ascii="Arial" w:hAnsi="Arial" w:cs="Arial"/>
        </w:rPr>
        <w:t xml:space="preserve">remaining </w:t>
      </w:r>
      <w:r w:rsidR="000E5C6B">
        <w:rPr>
          <w:rFonts w:ascii="Arial" w:hAnsi="Arial" w:cs="Arial"/>
        </w:rPr>
        <w:t>27</w:t>
      </w:r>
      <w:r w:rsidRPr="00E25CF3">
        <w:rPr>
          <w:rFonts w:ascii="Arial" w:hAnsi="Arial" w:cs="Arial"/>
        </w:rPr>
        <w:t xml:space="preserve"> registered patients were </w:t>
      </w:r>
      <w:r>
        <w:rPr>
          <w:rFonts w:ascii="Arial" w:hAnsi="Arial" w:cs="Arial"/>
        </w:rPr>
        <w:t>evaluable</w:t>
      </w:r>
      <w:r w:rsidRPr="00E25CF3">
        <w:rPr>
          <w:rFonts w:ascii="Arial" w:hAnsi="Arial" w:cs="Arial"/>
        </w:rPr>
        <w:t xml:space="preserve"> for the primary endpoint</w:t>
      </w:r>
      <w:r>
        <w:rPr>
          <w:rFonts w:ascii="Arial" w:hAnsi="Arial" w:cs="Arial"/>
        </w:rPr>
        <w:t xml:space="preserve"> of ORR</w:t>
      </w:r>
      <w:r w:rsidR="00CD003E" w:rsidRPr="009430AD">
        <w:rPr>
          <w:rFonts w:ascii="Arial" w:hAnsi="Arial" w:cs="Arial"/>
          <w:bCs/>
          <w:lang w:val="en-US"/>
        </w:rPr>
        <w:t xml:space="preserve"> </w:t>
      </w:r>
      <w:r w:rsidR="00950E77">
        <w:rPr>
          <w:rFonts w:ascii="Arial" w:hAnsi="Arial" w:cs="Arial"/>
          <w:bCs/>
          <w:lang w:val="en-US"/>
        </w:rPr>
        <w:t xml:space="preserve">as </w:t>
      </w:r>
      <w:r w:rsidR="00CD003E" w:rsidRPr="009430AD">
        <w:rPr>
          <w:rFonts w:ascii="Arial" w:hAnsi="Arial" w:cs="Arial"/>
          <w:bCs/>
          <w:lang w:val="en-US"/>
        </w:rPr>
        <w:t xml:space="preserve">one patient </w:t>
      </w:r>
      <w:r w:rsidR="00950E77">
        <w:rPr>
          <w:rFonts w:ascii="Arial" w:hAnsi="Arial" w:cs="Arial"/>
          <w:bCs/>
          <w:lang w:val="en-US"/>
        </w:rPr>
        <w:t>chose to undergo</w:t>
      </w:r>
      <w:r w:rsidR="000E5C6B">
        <w:rPr>
          <w:rFonts w:ascii="Arial" w:hAnsi="Arial" w:cs="Arial"/>
          <w:bCs/>
          <w:lang w:val="en-US"/>
        </w:rPr>
        <w:t xml:space="preserve"> radical radiotherapy</w:t>
      </w:r>
      <w:r w:rsidR="006D624B">
        <w:rPr>
          <w:rFonts w:ascii="Arial" w:hAnsi="Arial" w:cs="Arial"/>
          <w:bCs/>
          <w:lang w:val="en-US"/>
        </w:rPr>
        <w:t xml:space="preserve"> rather than cystectomy</w:t>
      </w:r>
      <w:r w:rsidR="000E5C6B">
        <w:rPr>
          <w:rFonts w:ascii="Arial" w:hAnsi="Arial" w:cs="Arial"/>
          <w:bCs/>
          <w:lang w:val="en-US"/>
        </w:rPr>
        <w:t xml:space="preserve">. </w:t>
      </w:r>
      <w:r w:rsidR="001E41D9">
        <w:rPr>
          <w:rFonts w:ascii="Arial" w:hAnsi="Arial" w:cs="Arial"/>
          <w:bCs/>
          <w:lang w:val="en-US"/>
        </w:rPr>
        <w:t>This</w:t>
      </w:r>
      <w:r w:rsidR="00CD003E" w:rsidRPr="009430AD">
        <w:rPr>
          <w:rFonts w:ascii="Arial" w:hAnsi="Arial" w:cs="Arial"/>
          <w:bCs/>
          <w:lang w:val="en-US"/>
        </w:rPr>
        <w:t xml:space="preserve"> patient w</w:t>
      </w:r>
      <w:r w:rsidR="001E41D9">
        <w:rPr>
          <w:rFonts w:ascii="Arial" w:hAnsi="Arial" w:cs="Arial"/>
          <w:bCs/>
          <w:lang w:val="en-US"/>
        </w:rPr>
        <w:t>as</w:t>
      </w:r>
      <w:r w:rsidR="00CD003E" w:rsidRPr="009430AD">
        <w:rPr>
          <w:rFonts w:ascii="Arial" w:hAnsi="Arial" w:cs="Arial"/>
          <w:bCs/>
          <w:lang w:val="en-US"/>
        </w:rPr>
        <w:t xml:space="preserve"> </w:t>
      </w:r>
      <w:r>
        <w:rPr>
          <w:rFonts w:ascii="Arial" w:hAnsi="Arial" w:cs="Arial"/>
          <w:bCs/>
          <w:lang w:val="en-US"/>
        </w:rPr>
        <w:t>however,</w:t>
      </w:r>
      <w:r w:rsidR="00CD003E" w:rsidRPr="009430AD">
        <w:rPr>
          <w:rFonts w:ascii="Arial" w:hAnsi="Arial" w:cs="Arial"/>
          <w:bCs/>
          <w:lang w:val="en-US"/>
        </w:rPr>
        <w:t xml:space="preserve"> included in </w:t>
      </w:r>
      <w:r>
        <w:rPr>
          <w:rFonts w:ascii="Arial" w:hAnsi="Arial" w:cs="Arial"/>
          <w:bCs/>
          <w:lang w:val="en-US"/>
        </w:rPr>
        <w:t xml:space="preserve">the </w:t>
      </w:r>
      <w:r w:rsidR="00CD003E" w:rsidRPr="009430AD">
        <w:rPr>
          <w:rFonts w:ascii="Arial" w:hAnsi="Arial" w:cs="Arial"/>
          <w:bCs/>
          <w:lang w:val="en-US"/>
        </w:rPr>
        <w:t xml:space="preserve">reporting of chemotherapy related toxicity. </w:t>
      </w:r>
      <w:r w:rsidR="001E41D9" w:rsidRPr="001E41D9">
        <w:rPr>
          <w:rFonts w:ascii="Arial" w:hAnsi="Arial" w:cs="Arial"/>
          <w:bCs/>
        </w:rPr>
        <w:t xml:space="preserve">Therefore 26 evaluable patients were included in efficacy analysis and 27 patients were included in the toxicity </w:t>
      </w:r>
      <w:r w:rsidR="001E41D9" w:rsidRPr="001E41D9">
        <w:rPr>
          <w:rFonts w:ascii="Arial" w:hAnsi="Arial" w:cs="Arial"/>
          <w:bCs/>
        </w:rPr>
        <w:lastRenderedPageBreak/>
        <w:t>analysis</w:t>
      </w:r>
      <w:r w:rsidR="001E41D9">
        <w:rPr>
          <w:rFonts w:ascii="Arial" w:hAnsi="Arial" w:cs="Arial"/>
          <w:bCs/>
        </w:rPr>
        <w:t>.</w:t>
      </w:r>
      <w:r w:rsidR="001E41D9" w:rsidRPr="001E41D9">
        <w:rPr>
          <w:rFonts w:ascii="Arial" w:hAnsi="Arial" w:cs="Arial"/>
          <w:bCs/>
          <w:lang w:val="en-US"/>
        </w:rPr>
        <w:t xml:space="preserve"> </w:t>
      </w:r>
      <w:r w:rsidR="00CA43B1" w:rsidRPr="009430AD">
        <w:rPr>
          <w:rFonts w:ascii="Arial" w:hAnsi="Arial" w:cs="Arial"/>
          <w:bCs/>
          <w:lang w:val="en-US"/>
        </w:rPr>
        <w:t xml:space="preserve">Baseline characteristics </w:t>
      </w:r>
      <w:r w:rsidR="00CA43B1">
        <w:rPr>
          <w:rFonts w:ascii="Arial" w:hAnsi="Arial" w:cs="Arial"/>
          <w:bCs/>
          <w:lang w:val="en-US"/>
        </w:rPr>
        <w:t xml:space="preserve">of the 26 patients </w:t>
      </w:r>
      <w:r w:rsidR="00CA43B1" w:rsidRPr="009430AD">
        <w:rPr>
          <w:rFonts w:ascii="Arial" w:hAnsi="Arial" w:cs="Arial"/>
          <w:bCs/>
          <w:lang w:val="en-US"/>
        </w:rPr>
        <w:t xml:space="preserve">are </w:t>
      </w:r>
      <w:r w:rsidR="00CA43B1">
        <w:rPr>
          <w:rFonts w:ascii="Arial" w:hAnsi="Arial" w:cs="Arial"/>
          <w:bCs/>
          <w:lang w:val="en-US"/>
        </w:rPr>
        <w:t>shown</w:t>
      </w:r>
      <w:r w:rsidR="00CA43B1" w:rsidRPr="009430AD">
        <w:rPr>
          <w:rFonts w:ascii="Arial" w:hAnsi="Arial" w:cs="Arial"/>
          <w:bCs/>
          <w:lang w:val="en-US"/>
        </w:rPr>
        <w:t xml:space="preserve"> in </w:t>
      </w:r>
      <w:r w:rsidR="00CA43B1" w:rsidRPr="001F1350">
        <w:rPr>
          <w:rFonts w:ascii="Arial" w:hAnsi="Arial" w:cs="Arial"/>
          <w:b/>
          <w:bCs/>
          <w:lang w:val="en-US"/>
        </w:rPr>
        <w:t>Table 1</w:t>
      </w:r>
      <w:r w:rsidR="00CA43B1" w:rsidRPr="009430AD">
        <w:rPr>
          <w:rFonts w:ascii="Arial" w:hAnsi="Arial" w:cs="Arial"/>
          <w:bCs/>
          <w:lang w:val="en-US"/>
        </w:rPr>
        <w:t>.</w:t>
      </w:r>
      <w:r w:rsidR="00CA43B1">
        <w:rPr>
          <w:rFonts w:ascii="Arial" w:hAnsi="Arial" w:cs="Arial"/>
          <w:bCs/>
          <w:lang w:val="en-US"/>
        </w:rPr>
        <w:t xml:space="preserve"> </w:t>
      </w:r>
      <w:r w:rsidR="008A0081">
        <w:rPr>
          <w:rFonts w:ascii="Arial" w:hAnsi="Arial" w:cs="Arial"/>
          <w:bCs/>
          <w:lang w:val="en-US"/>
        </w:rPr>
        <w:t xml:space="preserve">The median (range) time from transurethral resection of the bladder </w:t>
      </w:r>
      <w:proofErr w:type="spellStart"/>
      <w:r w:rsidR="008A0081">
        <w:rPr>
          <w:rFonts w:ascii="Arial" w:hAnsi="Arial" w:cs="Arial"/>
          <w:bCs/>
          <w:lang w:val="en-US"/>
        </w:rPr>
        <w:t>tumour</w:t>
      </w:r>
      <w:proofErr w:type="spellEnd"/>
      <w:r w:rsidR="008A0081">
        <w:rPr>
          <w:rFonts w:ascii="Arial" w:hAnsi="Arial" w:cs="Arial"/>
          <w:bCs/>
          <w:lang w:val="en-US"/>
        </w:rPr>
        <w:t xml:space="preserve"> (TURBT) to start of chemotherapy was 7.9 (3.9-9.3) weeks.</w:t>
      </w:r>
      <w:r w:rsidR="00AB153F">
        <w:rPr>
          <w:rFonts w:ascii="Arial" w:hAnsi="Arial" w:cs="Arial"/>
          <w:bCs/>
          <w:lang w:val="en-US"/>
        </w:rPr>
        <w:t xml:space="preserve"> </w:t>
      </w:r>
      <w:r w:rsidR="008A0081">
        <w:rPr>
          <w:rFonts w:ascii="Arial" w:hAnsi="Arial" w:cs="Arial"/>
          <w:bCs/>
          <w:lang w:val="en-US"/>
        </w:rPr>
        <w:t xml:space="preserve"> </w:t>
      </w:r>
      <w:r w:rsidR="00AB153F">
        <w:rPr>
          <w:rFonts w:ascii="Arial" w:hAnsi="Arial" w:cs="Arial"/>
          <w:bCs/>
          <w:lang w:val="en-US"/>
        </w:rPr>
        <w:t xml:space="preserve">Patients had their </w:t>
      </w:r>
      <w:r w:rsidR="00F8562C">
        <w:rPr>
          <w:rFonts w:ascii="Arial" w:hAnsi="Arial" w:cs="Arial"/>
          <w:bCs/>
          <w:lang w:val="en-US"/>
        </w:rPr>
        <w:t xml:space="preserve">cystectomy </w:t>
      </w:r>
      <w:r w:rsidR="00AB153F">
        <w:rPr>
          <w:rFonts w:ascii="Arial" w:hAnsi="Arial" w:cs="Arial"/>
          <w:bCs/>
          <w:lang w:val="en-US"/>
        </w:rPr>
        <w:t xml:space="preserve">in a median of 7 weeks from the last cycle of chemotherapy. </w:t>
      </w:r>
    </w:p>
    <w:p w14:paraId="264C4D30" w14:textId="77777777" w:rsidR="00C00695" w:rsidRPr="00481D63" w:rsidRDefault="00C00695" w:rsidP="00C00695">
      <w:pPr>
        <w:jc w:val="both"/>
        <w:rPr>
          <w:rFonts w:ascii="Arial" w:hAnsi="Arial" w:cs="Arial"/>
          <w:b/>
          <w:color w:val="31849B"/>
          <w:sz w:val="24"/>
          <w:szCs w:val="24"/>
        </w:rPr>
      </w:pPr>
      <w:r w:rsidRPr="00481D63">
        <w:rPr>
          <w:rFonts w:ascii="Arial" w:hAnsi="Arial" w:cs="Arial"/>
          <w:b/>
          <w:bCs/>
          <w:color w:val="000000"/>
          <w:sz w:val="24"/>
          <w:szCs w:val="24"/>
          <w:lang w:val="en-US"/>
        </w:rPr>
        <w:t>Treatment</w:t>
      </w:r>
    </w:p>
    <w:p w14:paraId="5839FEBB" w14:textId="77777777" w:rsidR="00F075C8" w:rsidRPr="00481D63" w:rsidRDefault="00692E09" w:rsidP="0032198F">
      <w:pPr>
        <w:spacing w:line="480" w:lineRule="auto"/>
        <w:jc w:val="both"/>
        <w:rPr>
          <w:rFonts w:ascii="Arial" w:hAnsi="Arial" w:cs="Arial"/>
          <w:b/>
          <w:bCs/>
          <w:color w:val="000000"/>
          <w:sz w:val="24"/>
          <w:szCs w:val="24"/>
          <w:lang w:val="en-US"/>
        </w:rPr>
      </w:pPr>
      <w:r>
        <w:rPr>
          <w:rFonts w:ascii="Arial" w:hAnsi="Arial" w:cs="Arial"/>
        </w:rPr>
        <w:tab/>
      </w:r>
      <w:proofErr w:type="gramStart"/>
      <w:r w:rsidR="00155BE8">
        <w:rPr>
          <w:rFonts w:ascii="Arial" w:hAnsi="Arial" w:cs="Arial"/>
        </w:rPr>
        <w:t>The m</w:t>
      </w:r>
      <w:r w:rsidR="00E222F0" w:rsidRPr="00E25CF3">
        <w:rPr>
          <w:rFonts w:ascii="Arial" w:hAnsi="Arial" w:cs="Arial"/>
        </w:rPr>
        <w:t>ajority of</w:t>
      </w:r>
      <w:proofErr w:type="gramEnd"/>
      <w:r w:rsidR="00E222F0" w:rsidRPr="00E25CF3">
        <w:rPr>
          <w:rFonts w:ascii="Arial" w:hAnsi="Arial" w:cs="Arial"/>
        </w:rPr>
        <w:t xml:space="preserve"> patients</w:t>
      </w:r>
      <w:r w:rsidR="00E222F0">
        <w:rPr>
          <w:rFonts w:ascii="Arial" w:hAnsi="Arial" w:cs="Arial"/>
        </w:rPr>
        <w:t xml:space="preserve"> (7</w:t>
      </w:r>
      <w:r w:rsidR="00155BE8">
        <w:rPr>
          <w:rFonts w:ascii="Arial" w:hAnsi="Arial" w:cs="Arial"/>
        </w:rPr>
        <w:t>7.7</w:t>
      </w:r>
      <w:r w:rsidR="00E222F0">
        <w:rPr>
          <w:rFonts w:ascii="Arial" w:hAnsi="Arial" w:cs="Arial"/>
        </w:rPr>
        <w:t>%;</w:t>
      </w:r>
      <w:r w:rsidR="00E222F0" w:rsidRPr="00E25CF3">
        <w:rPr>
          <w:rFonts w:ascii="Arial" w:hAnsi="Arial" w:cs="Arial"/>
        </w:rPr>
        <w:t xml:space="preserve"> 21</w:t>
      </w:r>
      <w:r w:rsidR="00E222F0">
        <w:rPr>
          <w:rFonts w:ascii="Arial" w:hAnsi="Arial" w:cs="Arial"/>
        </w:rPr>
        <w:t>/27)</w:t>
      </w:r>
      <w:r w:rsidR="00E222F0" w:rsidRPr="00E25CF3">
        <w:rPr>
          <w:rFonts w:ascii="Arial" w:hAnsi="Arial" w:cs="Arial"/>
        </w:rPr>
        <w:t>, received a</w:t>
      </w:r>
      <w:r w:rsidR="00E222F0">
        <w:rPr>
          <w:rFonts w:ascii="Arial" w:hAnsi="Arial" w:cs="Arial"/>
        </w:rPr>
        <w:t xml:space="preserve">ll 4 cycles of </w:t>
      </w:r>
      <w:proofErr w:type="spellStart"/>
      <w:r w:rsidR="00E222F0">
        <w:rPr>
          <w:rFonts w:ascii="Arial" w:hAnsi="Arial" w:cs="Arial"/>
        </w:rPr>
        <w:t>cabazitaxel</w:t>
      </w:r>
      <w:proofErr w:type="spellEnd"/>
      <w:r w:rsidR="00E222F0">
        <w:rPr>
          <w:rFonts w:ascii="Arial" w:hAnsi="Arial" w:cs="Arial"/>
        </w:rPr>
        <w:t xml:space="preserve">/ </w:t>
      </w:r>
      <w:r w:rsidR="00E222F0" w:rsidRPr="00E25CF3">
        <w:rPr>
          <w:rFonts w:ascii="Arial" w:hAnsi="Arial" w:cs="Arial"/>
        </w:rPr>
        <w:t>cisplatin.</w:t>
      </w:r>
      <w:r w:rsidR="00E222F0">
        <w:rPr>
          <w:rFonts w:ascii="Arial" w:hAnsi="Arial" w:cs="Arial"/>
        </w:rPr>
        <w:t xml:space="preserve"> </w:t>
      </w:r>
      <w:r w:rsidR="00C00695">
        <w:rPr>
          <w:rFonts w:ascii="Arial" w:hAnsi="Arial" w:cs="Arial"/>
        </w:rPr>
        <w:t>A median of 4 cycles were received (range: 1-4).</w:t>
      </w:r>
      <w:r w:rsidR="00E222F0">
        <w:rPr>
          <w:rFonts w:ascii="Arial" w:hAnsi="Arial" w:cs="Arial"/>
        </w:rPr>
        <w:t xml:space="preserve"> </w:t>
      </w:r>
      <w:r w:rsidR="00C00695">
        <w:rPr>
          <w:rFonts w:ascii="Arial" w:hAnsi="Arial" w:cs="Arial"/>
        </w:rPr>
        <w:t xml:space="preserve"> </w:t>
      </w:r>
      <w:proofErr w:type="spellStart"/>
      <w:r w:rsidR="00C00695" w:rsidRPr="00E25CF3">
        <w:rPr>
          <w:rFonts w:ascii="Arial" w:hAnsi="Arial" w:cs="Arial"/>
        </w:rPr>
        <w:t>Cabazitaxel</w:t>
      </w:r>
      <w:proofErr w:type="spellEnd"/>
      <w:r w:rsidR="00C00695" w:rsidRPr="00E25CF3">
        <w:rPr>
          <w:rFonts w:ascii="Arial" w:hAnsi="Arial" w:cs="Arial"/>
        </w:rPr>
        <w:t xml:space="preserve"> was well tolerated with on</w:t>
      </w:r>
      <w:r w:rsidR="00E222F0">
        <w:rPr>
          <w:rFonts w:ascii="Arial" w:hAnsi="Arial" w:cs="Arial"/>
        </w:rPr>
        <w:t xml:space="preserve">ly 4 patients (14.8%) needing </w:t>
      </w:r>
      <w:r w:rsidR="00C00695" w:rsidRPr="00E25CF3">
        <w:rPr>
          <w:rFonts w:ascii="Arial" w:hAnsi="Arial" w:cs="Arial"/>
        </w:rPr>
        <w:t>dose reduction</w:t>
      </w:r>
      <w:r w:rsidR="00532BA7">
        <w:rPr>
          <w:rFonts w:ascii="Arial" w:hAnsi="Arial" w:cs="Arial"/>
        </w:rPr>
        <w:t xml:space="preserve"> (nausea &amp;</w:t>
      </w:r>
      <w:r w:rsidR="00FD31BB">
        <w:rPr>
          <w:rFonts w:ascii="Arial" w:hAnsi="Arial" w:cs="Arial"/>
        </w:rPr>
        <w:t>vomiting</w:t>
      </w:r>
      <w:r w:rsidR="00532BA7">
        <w:rPr>
          <w:rFonts w:ascii="Arial" w:hAnsi="Arial" w:cs="Arial"/>
        </w:rPr>
        <w:t xml:space="preserve"> (2)</w:t>
      </w:r>
      <w:r w:rsidR="00D4631B">
        <w:rPr>
          <w:rFonts w:ascii="Arial" w:hAnsi="Arial" w:cs="Arial"/>
        </w:rPr>
        <w:t>, fatigue</w:t>
      </w:r>
      <w:r w:rsidR="00DE14FD">
        <w:rPr>
          <w:rFonts w:ascii="Arial" w:hAnsi="Arial" w:cs="Arial"/>
        </w:rPr>
        <w:t xml:space="preserve"> (1</w:t>
      </w:r>
      <w:r w:rsidR="00532BA7">
        <w:rPr>
          <w:rFonts w:ascii="Arial" w:hAnsi="Arial" w:cs="Arial"/>
        </w:rPr>
        <w:t>)</w:t>
      </w:r>
      <w:r w:rsidR="00DE14FD">
        <w:rPr>
          <w:rFonts w:ascii="Arial" w:hAnsi="Arial" w:cs="Arial"/>
        </w:rPr>
        <w:t>, infection (1)</w:t>
      </w:r>
      <w:r w:rsidR="00532BA7">
        <w:rPr>
          <w:rFonts w:ascii="Arial" w:hAnsi="Arial" w:cs="Arial"/>
        </w:rPr>
        <w:t>)</w:t>
      </w:r>
      <w:r w:rsidR="00C00695" w:rsidRPr="00E25CF3">
        <w:rPr>
          <w:rFonts w:ascii="Arial" w:hAnsi="Arial" w:cs="Arial"/>
        </w:rPr>
        <w:t>. A further 6 patients had a cisplatin dose reduction due to low GFR</w:t>
      </w:r>
      <w:r w:rsidR="00DE14FD">
        <w:rPr>
          <w:rFonts w:ascii="Arial" w:hAnsi="Arial" w:cs="Arial"/>
        </w:rPr>
        <w:t xml:space="preserve"> (2), fatigue (2), infection (1), nausea (1)</w:t>
      </w:r>
      <w:r w:rsidR="00C00695" w:rsidRPr="00E25CF3">
        <w:rPr>
          <w:rFonts w:ascii="Arial" w:hAnsi="Arial" w:cs="Arial"/>
        </w:rPr>
        <w:t>.</w:t>
      </w:r>
      <w:r w:rsidR="00594907">
        <w:rPr>
          <w:rFonts w:ascii="Arial" w:hAnsi="Arial" w:cs="Arial"/>
        </w:rPr>
        <w:t xml:space="preserve"> </w:t>
      </w:r>
      <w:r w:rsidR="00594907" w:rsidRPr="00E25CF3">
        <w:rPr>
          <w:rFonts w:ascii="Arial" w:hAnsi="Arial" w:cs="Arial"/>
          <w:bCs/>
          <w:lang w:val="en-US"/>
        </w:rPr>
        <w:t xml:space="preserve">Administration of chemotherapy was delayed </w:t>
      </w:r>
      <w:r w:rsidR="00594907">
        <w:rPr>
          <w:rFonts w:ascii="Arial" w:hAnsi="Arial" w:cs="Arial"/>
          <w:bCs/>
          <w:lang w:val="en-US"/>
        </w:rPr>
        <w:t>for a</w:t>
      </w:r>
      <w:r w:rsidR="00594907" w:rsidRPr="00E25CF3">
        <w:rPr>
          <w:rFonts w:ascii="Arial" w:hAnsi="Arial" w:cs="Arial"/>
          <w:bCs/>
          <w:lang w:val="en-US"/>
        </w:rPr>
        <w:t xml:space="preserve"> total </w:t>
      </w:r>
      <w:r w:rsidR="00594907">
        <w:rPr>
          <w:rFonts w:ascii="Arial" w:hAnsi="Arial" w:cs="Arial"/>
          <w:bCs/>
          <w:lang w:val="en-US"/>
        </w:rPr>
        <w:t xml:space="preserve">of </w:t>
      </w:r>
      <w:r w:rsidR="00594907" w:rsidRPr="00E25CF3">
        <w:rPr>
          <w:rFonts w:ascii="Arial" w:hAnsi="Arial" w:cs="Arial"/>
          <w:bCs/>
          <w:lang w:val="en-US"/>
        </w:rPr>
        <w:t>8 cycles out of 97 given (8.2%)</w:t>
      </w:r>
      <w:r w:rsidR="00594907">
        <w:rPr>
          <w:rFonts w:ascii="Arial" w:hAnsi="Arial" w:cs="Arial"/>
          <w:bCs/>
          <w:lang w:val="en-US"/>
        </w:rPr>
        <w:t xml:space="preserve">. The delay was </w:t>
      </w:r>
      <w:r w:rsidR="00594907" w:rsidRPr="00E25CF3">
        <w:rPr>
          <w:rFonts w:ascii="Arial" w:hAnsi="Arial" w:cs="Arial"/>
          <w:bCs/>
          <w:lang w:val="en-US"/>
        </w:rPr>
        <w:t>due to chemotherapy related adverse events</w:t>
      </w:r>
      <w:r w:rsidR="00594907">
        <w:rPr>
          <w:rFonts w:ascii="Arial" w:hAnsi="Arial" w:cs="Arial"/>
          <w:bCs/>
          <w:lang w:val="en-US"/>
        </w:rPr>
        <w:t xml:space="preserve"> (low GFR, deranged liver function, hypersensitivity reactions)</w:t>
      </w:r>
      <w:r w:rsidR="00594907" w:rsidRPr="00E25CF3">
        <w:rPr>
          <w:rFonts w:ascii="Arial" w:hAnsi="Arial" w:cs="Arial"/>
          <w:bCs/>
          <w:lang w:val="en-US"/>
        </w:rPr>
        <w:t xml:space="preserve"> for one cycle </w:t>
      </w:r>
      <w:r w:rsidR="00594907">
        <w:rPr>
          <w:rFonts w:ascii="Arial" w:hAnsi="Arial" w:cs="Arial"/>
          <w:bCs/>
          <w:lang w:val="en-US"/>
        </w:rPr>
        <w:t xml:space="preserve">each </w:t>
      </w:r>
      <w:r w:rsidR="00594907" w:rsidRPr="00E25CF3">
        <w:rPr>
          <w:rFonts w:ascii="Arial" w:hAnsi="Arial" w:cs="Arial"/>
          <w:bCs/>
          <w:lang w:val="en-US"/>
        </w:rPr>
        <w:t xml:space="preserve">in </w:t>
      </w:r>
      <w:r w:rsidR="00594907">
        <w:rPr>
          <w:rFonts w:ascii="Arial" w:hAnsi="Arial" w:cs="Arial"/>
          <w:bCs/>
          <w:lang w:val="en-US"/>
        </w:rPr>
        <w:t>4 patients (14.8%)</w:t>
      </w:r>
      <w:r w:rsidR="00594907" w:rsidRPr="00E25CF3">
        <w:rPr>
          <w:rFonts w:ascii="Arial" w:hAnsi="Arial" w:cs="Arial"/>
          <w:bCs/>
          <w:lang w:val="en-US"/>
        </w:rPr>
        <w:t xml:space="preserve">. All other delays were for short periods due to non-medical issues </w:t>
      </w:r>
      <w:proofErr w:type="gramStart"/>
      <w:r w:rsidR="00594907" w:rsidRPr="00E25CF3">
        <w:rPr>
          <w:rFonts w:ascii="Arial" w:hAnsi="Arial" w:cs="Arial"/>
          <w:bCs/>
          <w:lang w:val="en-US"/>
        </w:rPr>
        <w:t>e.g.</w:t>
      </w:r>
      <w:proofErr w:type="gramEnd"/>
      <w:r w:rsidR="00594907" w:rsidRPr="00E25CF3">
        <w:rPr>
          <w:rFonts w:ascii="Arial" w:hAnsi="Arial" w:cs="Arial"/>
          <w:bCs/>
          <w:lang w:val="en-US"/>
        </w:rPr>
        <w:t xml:space="preserve"> scheduling and patient holidays.</w:t>
      </w:r>
    </w:p>
    <w:p w14:paraId="43EE3309" w14:textId="77777777" w:rsidR="00F075C8" w:rsidRPr="00481D63" w:rsidRDefault="00F075C8" w:rsidP="00E25CF3">
      <w:pPr>
        <w:jc w:val="both"/>
        <w:rPr>
          <w:rFonts w:ascii="Arial" w:hAnsi="Arial" w:cs="Arial"/>
          <w:b/>
          <w:bCs/>
          <w:color w:val="000000"/>
          <w:sz w:val="24"/>
          <w:szCs w:val="24"/>
          <w:lang w:val="en-US"/>
        </w:rPr>
        <w:sectPr w:rsidR="00F075C8" w:rsidRPr="00481D63">
          <w:footerReference w:type="default" r:id="rId9"/>
          <w:pgSz w:w="11906" w:h="16838"/>
          <w:pgMar w:top="1440" w:right="1440" w:bottom="1440" w:left="1440" w:header="708" w:footer="708" w:gutter="0"/>
          <w:cols w:space="708"/>
          <w:docGrid w:linePitch="360"/>
        </w:sectPr>
      </w:pPr>
    </w:p>
    <w:p w14:paraId="2428B7B6" w14:textId="77777777" w:rsidR="00F075C8" w:rsidRPr="00481D63" w:rsidRDefault="00E16BEA" w:rsidP="00E25CF3">
      <w:pPr>
        <w:jc w:val="both"/>
        <w:rPr>
          <w:rFonts w:ascii="Arial" w:hAnsi="Arial" w:cs="Arial"/>
          <w:b/>
          <w:bCs/>
          <w:color w:val="000000"/>
          <w:sz w:val="24"/>
          <w:szCs w:val="24"/>
          <w:lang w:val="en-US"/>
        </w:rPr>
      </w:pPr>
      <w:r w:rsidRPr="00361852">
        <w:rPr>
          <w:rFonts w:ascii="Arial" w:hAnsi="Arial" w:cs="Arial"/>
          <w:b/>
          <w:sz w:val="20"/>
        </w:rPr>
        <w:lastRenderedPageBreak/>
        <w:t>Table 1</w:t>
      </w:r>
      <w:r w:rsidRPr="00361852">
        <w:rPr>
          <w:rFonts w:ascii="Arial" w:hAnsi="Arial" w:cs="Arial"/>
          <w:sz w:val="20"/>
        </w:rPr>
        <w:t xml:space="preserve"> - Patient baseline characteristics</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
        <w:gridCol w:w="567"/>
        <w:gridCol w:w="851"/>
        <w:gridCol w:w="992"/>
        <w:gridCol w:w="851"/>
        <w:gridCol w:w="992"/>
        <w:gridCol w:w="709"/>
        <w:gridCol w:w="1842"/>
        <w:gridCol w:w="993"/>
        <w:gridCol w:w="992"/>
        <w:gridCol w:w="567"/>
        <w:gridCol w:w="709"/>
        <w:gridCol w:w="708"/>
        <w:gridCol w:w="1134"/>
        <w:gridCol w:w="851"/>
      </w:tblGrid>
      <w:tr w:rsidR="00EE5B39" w:rsidRPr="00481D63" w14:paraId="32EEE64A" w14:textId="77777777" w:rsidTr="0080431B">
        <w:trPr>
          <w:trHeight w:val="300"/>
        </w:trPr>
        <w:tc>
          <w:tcPr>
            <w:tcW w:w="959" w:type="dxa"/>
            <w:shd w:val="clear" w:color="auto" w:fill="auto"/>
            <w:noWrap/>
            <w:vAlign w:val="center"/>
            <w:hideMark/>
          </w:tcPr>
          <w:p w14:paraId="491C99FB" w14:textId="77777777" w:rsidR="00B40099" w:rsidRDefault="00B40099"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Trial </w:t>
            </w:r>
          </w:p>
          <w:p w14:paraId="694C1C5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ID</w:t>
            </w:r>
          </w:p>
        </w:tc>
        <w:tc>
          <w:tcPr>
            <w:tcW w:w="283" w:type="dxa"/>
            <w:shd w:val="clear" w:color="auto" w:fill="auto"/>
            <w:noWrap/>
            <w:vAlign w:val="center"/>
            <w:hideMark/>
          </w:tcPr>
          <w:p w14:paraId="27E8B7A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M/F</w:t>
            </w:r>
          </w:p>
        </w:tc>
        <w:tc>
          <w:tcPr>
            <w:tcW w:w="567" w:type="dxa"/>
            <w:shd w:val="clear" w:color="auto" w:fill="auto"/>
            <w:noWrap/>
            <w:vAlign w:val="center"/>
            <w:hideMark/>
          </w:tcPr>
          <w:p w14:paraId="25DA97C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Age</w:t>
            </w:r>
          </w:p>
        </w:tc>
        <w:tc>
          <w:tcPr>
            <w:tcW w:w="851" w:type="dxa"/>
            <w:shd w:val="clear" w:color="auto" w:fill="auto"/>
            <w:noWrap/>
            <w:vAlign w:val="center"/>
            <w:hideMark/>
          </w:tcPr>
          <w:p w14:paraId="4DFC73E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 xml:space="preserve">TURBT to chemo </w:t>
            </w:r>
            <w:r>
              <w:rPr>
                <w:rFonts w:ascii="Arial" w:eastAsia="Times New Roman" w:hAnsi="Arial" w:cs="Arial"/>
                <w:color w:val="000000"/>
                <w:sz w:val="18"/>
                <w:szCs w:val="18"/>
                <w:lang w:eastAsia="en-GB"/>
              </w:rPr>
              <w:t>(w</w:t>
            </w:r>
            <w:r w:rsidRPr="00331D14">
              <w:rPr>
                <w:rFonts w:ascii="Arial" w:eastAsia="Times New Roman" w:hAnsi="Arial" w:cs="Arial"/>
                <w:color w:val="000000"/>
                <w:sz w:val="18"/>
                <w:szCs w:val="18"/>
                <w:lang w:eastAsia="en-GB"/>
              </w:rPr>
              <w:t>ks</w:t>
            </w:r>
            <w:r>
              <w:rPr>
                <w:rFonts w:ascii="Arial" w:eastAsia="Times New Roman" w:hAnsi="Arial" w:cs="Arial"/>
                <w:color w:val="000000"/>
                <w:sz w:val="18"/>
                <w:szCs w:val="18"/>
                <w:lang w:eastAsia="en-GB"/>
              </w:rPr>
              <w:t>)</w:t>
            </w:r>
          </w:p>
        </w:tc>
        <w:tc>
          <w:tcPr>
            <w:tcW w:w="992" w:type="dxa"/>
            <w:shd w:val="clear" w:color="auto" w:fill="auto"/>
            <w:noWrap/>
            <w:vAlign w:val="center"/>
            <w:hideMark/>
          </w:tcPr>
          <w:p w14:paraId="68F7F009" w14:textId="77777777" w:rsidR="00742FCA"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Consent to chemo</w:t>
            </w:r>
          </w:p>
          <w:p w14:paraId="0AC0782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w:t>
            </w:r>
            <w:r w:rsidRPr="00331D14">
              <w:rPr>
                <w:rFonts w:ascii="Arial" w:eastAsia="Times New Roman" w:hAnsi="Arial" w:cs="Arial"/>
                <w:color w:val="000000"/>
                <w:sz w:val="18"/>
                <w:szCs w:val="18"/>
                <w:lang w:eastAsia="en-GB"/>
              </w:rPr>
              <w:t>ks</w:t>
            </w:r>
            <w:r>
              <w:rPr>
                <w:rFonts w:ascii="Arial" w:eastAsia="Times New Roman" w:hAnsi="Arial" w:cs="Arial"/>
                <w:color w:val="000000"/>
                <w:sz w:val="18"/>
                <w:szCs w:val="18"/>
                <w:lang w:eastAsia="en-GB"/>
              </w:rPr>
              <w:t>)</w:t>
            </w:r>
          </w:p>
        </w:tc>
        <w:tc>
          <w:tcPr>
            <w:tcW w:w="851" w:type="dxa"/>
            <w:shd w:val="clear" w:color="auto" w:fill="auto"/>
            <w:noWrap/>
            <w:vAlign w:val="center"/>
            <w:hideMark/>
          </w:tcPr>
          <w:p w14:paraId="14CEB682" w14:textId="77777777" w:rsidR="00742FCA"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No</w:t>
            </w:r>
          </w:p>
          <w:p w14:paraId="593C452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of cycles</w:t>
            </w:r>
          </w:p>
        </w:tc>
        <w:tc>
          <w:tcPr>
            <w:tcW w:w="992" w:type="dxa"/>
            <w:vAlign w:val="center"/>
          </w:tcPr>
          <w:p w14:paraId="7835141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roofErr w:type="gramStart"/>
            <w:r w:rsidRPr="00331D14">
              <w:rPr>
                <w:rFonts w:ascii="Arial" w:eastAsia="Times New Roman" w:hAnsi="Arial" w:cs="Arial"/>
                <w:color w:val="000000"/>
                <w:sz w:val="18"/>
                <w:szCs w:val="18"/>
                <w:lang w:eastAsia="en-GB"/>
              </w:rPr>
              <w:t>Reason  for</w:t>
            </w:r>
            <w:proofErr w:type="gramEnd"/>
            <w:r w:rsidRPr="00331D14">
              <w:rPr>
                <w:rFonts w:ascii="Arial" w:eastAsia="Times New Roman" w:hAnsi="Arial" w:cs="Arial"/>
                <w:color w:val="000000"/>
                <w:sz w:val="18"/>
                <w:szCs w:val="18"/>
                <w:lang w:eastAsia="en-GB"/>
              </w:rPr>
              <w:t xml:space="preserve"> stopping early</w:t>
            </w:r>
          </w:p>
        </w:tc>
        <w:tc>
          <w:tcPr>
            <w:tcW w:w="709" w:type="dxa"/>
            <w:shd w:val="clear" w:color="auto" w:fill="auto"/>
            <w:noWrap/>
            <w:vAlign w:val="center"/>
            <w:hideMark/>
          </w:tcPr>
          <w:p w14:paraId="2751E33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roofErr w:type="spellStart"/>
            <w:r>
              <w:rPr>
                <w:rFonts w:ascii="Arial" w:eastAsia="Times New Roman" w:hAnsi="Arial" w:cs="Arial"/>
                <w:color w:val="000000"/>
                <w:sz w:val="18"/>
                <w:szCs w:val="18"/>
                <w:lang w:eastAsia="en-GB"/>
              </w:rPr>
              <w:t>Sx</w:t>
            </w:r>
            <w:proofErr w:type="spellEnd"/>
          </w:p>
        </w:tc>
        <w:tc>
          <w:tcPr>
            <w:tcW w:w="1842" w:type="dxa"/>
            <w:shd w:val="clear" w:color="auto" w:fill="auto"/>
            <w:noWrap/>
            <w:vAlign w:val="center"/>
            <w:hideMark/>
          </w:tcPr>
          <w:p w14:paraId="0B87B6A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roofErr w:type="spellStart"/>
            <w:r>
              <w:rPr>
                <w:rFonts w:ascii="Arial" w:eastAsia="Times New Roman" w:hAnsi="Arial" w:cs="Arial"/>
                <w:color w:val="000000"/>
                <w:sz w:val="18"/>
                <w:szCs w:val="18"/>
                <w:lang w:eastAsia="en-GB"/>
              </w:rPr>
              <w:t>Sx</w:t>
            </w:r>
            <w:proofErr w:type="spellEnd"/>
            <w:r>
              <w:rPr>
                <w:rFonts w:ascii="Arial" w:eastAsia="Times New Roman" w:hAnsi="Arial" w:cs="Arial"/>
                <w:color w:val="000000"/>
                <w:sz w:val="18"/>
                <w:szCs w:val="18"/>
                <w:lang w:eastAsia="en-GB"/>
              </w:rPr>
              <w:t xml:space="preserve"> histology</w:t>
            </w:r>
          </w:p>
        </w:tc>
        <w:tc>
          <w:tcPr>
            <w:tcW w:w="993" w:type="dxa"/>
            <w:vAlign w:val="center"/>
          </w:tcPr>
          <w:p w14:paraId="70766161" w14:textId="77777777" w:rsidR="00742FCA" w:rsidRPr="00EE5B39" w:rsidRDefault="00742FCA" w:rsidP="0080431B">
            <w:pPr>
              <w:spacing w:after="0" w:line="240" w:lineRule="auto"/>
              <w:jc w:val="center"/>
              <w:rPr>
                <w:rFonts w:ascii="Arial" w:eastAsia="Times New Roman" w:hAnsi="Arial" w:cs="Arial"/>
                <w:sz w:val="18"/>
                <w:szCs w:val="18"/>
                <w:lang w:eastAsia="en-GB"/>
              </w:rPr>
            </w:pPr>
            <w:r w:rsidRPr="00EE5B39">
              <w:rPr>
                <w:rFonts w:ascii="Arial" w:hAnsi="Arial" w:cs="Arial"/>
                <w:sz w:val="18"/>
              </w:rPr>
              <w:t>Length of post-op stay (days)</w:t>
            </w:r>
          </w:p>
        </w:tc>
        <w:tc>
          <w:tcPr>
            <w:tcW w:w="992" w:type="dxa"/>
            <w:vAlign w:val="center"/>
          </w:tcPr>
          <w:p w14:paraId="0882C219" w14:textId="77777777" w:rsidR="00742FCA" w:rsidRPr="00EE5B39" w:rsidRDefault="00742FCA" w:rsidP="0080431B">
            <w:pPr>
              <w:spacing w:after="0" w:line="240" w:lineRule="auto"/>
              <w:jc w:val="center"/>
              <w:rPr>
                <w:rFonts w:ascii="Arial" w:eastAsia="Times New Roman" w:hAnsi="Arial" w:cs="Arial"/>
                <w:sz w:val="18"/>
                <w:szCs w:val="18"/>
                <w:lang w:eastAsia="en-GB"/>
              </w:rPr>
            </w:pPr>
            <w:proofErr w:type="spellStart"/>
            <w:r w:rsidRPr="00EE5B39">
              <w:rPr>
                <w:rFonts w:ascii="Arial" w:hAnsi="Arial" w:cs="Arial"/>
                <w:sz w:val="18"/>
              </w:rPr>
              <w:t>Clavien-Dindo</w:t>
            </w:r>
            <w:proofErr w:type="spellEnd"/>
            <w:r w:rsidRPr="00EE5B39">
              <w:rPr>
                <w:rFonts w:ascii="Arial" w:hAnsi="Arial" w:cs="Arial"/>
                <w:sz w:val="18"/>
              </w:rPr>
              <w:t xml:space="preserve"> grade</w:t>
            </w:r>
          </w:p>
        </w:tc>
        <w:tc>
          <w:tcPr>
            <w:tcW w:w="567" w:type="dxa"/>
            <w:shd w:val="clear" w:color="auto" w:fill="auto"/>
            <w:noWrap/>
            <w:vAlign w:val="center"/>
            <w:hideMark/>
          </w:tcPr>
          <w:p w14:paraId="1B5CF64D" w14:textId="77777777" w:rsidR="00742FCA"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NP-0,</w:t>
            </w:r>
          </w:p>
          <w:p w14:paraId="5861AAC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P-1</w:t>
            </w:r>
          </w:p>
        </w:tc>
        <w:tc>
          <w:tcPr>
            <w:tcW w:w="709" w:type="dxa"/>
            <w:shd w:val="clear" w:color="auto" w:fill="auto"/>
            <w:noWrap/>
            <w:vAlign w:val="center"/>
            <w:hideMark/>
          </w:tcPr>
          <w:p w14:paraId="35E2A1F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PFS (m)</w:t>
            </w:r>
          </w:p>
        </w:tc>
        <w:tc>
          <w:tcPr>
            <w:tcW w:w="708" w:type="dxa"/>
            <w:shd w:val="clear" w:color="auto" w:fill="auto"/>
            <w:noWrap/>
            <w:vAlign w:val="center"/>
            <w:hideMark/>
          </w:tcPr>
          <w:p w14:paraId="526B4CC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Alive-0, dead-1</w:t>
            </w:r>
          </w:p>
        </w:tc>
        <w:tc>
          <w:tcPr>
            <w:tcW w:w="1134" w:type="dxa"/>
            <w:shd w:val="clear" w:color="auto" w:fill="auto"/>
            <w:noWrap/>
            <w:vAlign w:val="center"/>
            <w:hideMark/>
          </w:tcPr>
          <w:p w14:paraId="796C566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Cause of death</w:t>
            </w:r>
          </w:p>
        </w:tc>
        <w:tc>
          <w:tcPr>
            <w:tcW w:w="851" w:type="dxa"/>
            <w:shd w:val="clear" w:color="auto" w:fill="auto"/>
            <w:noWrap/>
            <w:vAlign w:val="center"/>
            <w:hideMark/>
          </w:tcPr>
          <w:p w14:paraId="4C3BF33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OS (m)</w:t>
            </w:r>
          </w:p>
        </w:tc>
      </w:tr>
      <w:tr w:rsidR="00EE5B39" w:rsidRPr="00481D63" w14:paraId="64049766" w14:textId="77777777" w:rsidTr="0080431B">
        <w:trPr>
          <w:trHeight w:val="300"/>
        </w:trPr>
        <w:tc>
          <w:tcPr>
            <w:tcW w:w="959" w:type="dxa"/>
            <w:shd w:val="clear" w:color="auto" w:fill="auto"/>
            <w:noWrap/>
            <w:vAlign w:val="center"/>
            <w:hideMark/>
          </w:tcPr>
          <w:p w14:paraId="1205862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w:t>
            </w:r>
            <w:r w:rsidR="0010397E">
              <w:rPr>
                <w:rFonts w:ascii="Arial" w:eastAsia="Times New Roman" w:hAnsi="Arial" w:cs="Arial"/>
                <w:color w:val="000000"/>
                <w:sz w:val="18"/>
                <w:szCs w:val="18"/>
                <w:lang w:eastAsia="en-GB"/>
              </w:rPr>
              <w:t>†</w:t>
            </w:r>
          </w:p>
        </w:tc>
        <w:tc>
          <w:tcPr>
            <w:tcW w:w="283" w:type="dxa"/>
            <w:shd w:val="clear" w:color="auto" w:fill="auto"/>
            <w:noWrap/>
            <w:vAlign w:val="center"/>
            <w:hideMark/>
          </w:tcPr>
          <w:p w14:paraId="78F7E41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58F5944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61</w:t>
            </w:r>
          </w:p>
        </w:tc>
        <w:tc>
          <w:tcPr>
            <w:tcW w:w="851" w:type="dxa"/>
            <w:shd w:val="clear" w:color="auto" w:fill="auto"/>
            <w:noWrap/>
            <w:vAlign w:val="center"/>
            <w:hideMark/>
          </w:tcPr>
          <w:p w14:paraId="6047414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7.00</w:t>
            </w:r>
          </w:p>
        </w:tc>
        <w:tc>
          <w:tcPr>
            <w:tcW w:w="992" w:type="dxa"/>
            <w:shd w:val="clear" w:color="auto" w:fill="auto"/>
            <w:noWrap/>
            <w:vAlign w:val="center"/>
            <w:hideMark/>
          </w:tcPr>
          <w:p w14:paraId="28A07C4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2.29</w:t>
            </w:r>
          </w:p>
        </w:tc>
        <w:tc>
          <w:tcPr>
            <w:tcW w:w="851" w:type="dxa"/>
            <w:shd w:val="clear" w:color="auto" w:fill="auto"/>
            <w:noWrap/>
            <w:vAlign w:val="center"/>
            <w:hideMark/>
          </w:tcPr>
          <w:p w14:paraId="2FCC020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w:t>
            </w:r>
          </w:p>
        </w:tc>
        <w:tc>
          <w:tcPr>
            <w:tcW w:w="992" w:type="dxa"/>
            <w:vAlign w:val="center"/>
          </w:tcPr>
          <w:p w14:paraId="4076079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w:t>
            </w:r>
          </w:p>
        </w:tc>
        <w:tc>
          <w:tcPr>
            <w:tcW w:w="709" w:type="dxa"/>
            <w:shd w:val="clear" w:color="auto" w:fill="auto"/>
            <w:noWrap/>
            <w:vAlign w:val="center"/>
            <w:hideMark/>
          </w:tcPr>
          <w:p w14:paraId="0B0E88F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No</w:t>
            </w:r>
          </w:p>
        </w:tc>
        <w:tc>
          <w:tcPr>
            <w:tcW w:w="1842" w:type="dxa"/>
            <w:shd w:val="clear" w:color="auto" w:fill="auto"/>
            <w:noWrap/>
            <w:vAlign w:val="center"/>
            <w:hideMark/>
          </w:tcPr>
          <w:p w14:paraId="47A96CC2"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993" w:type="dxa"/>
            <w:vAlign w:val="center"/>
          </w:tcPr>
          <w:p w14:paraId="49BE2013" w14:textId="77777777" w:rsidR="00742FCA" w:rsidRPr="00EE5B39" w:rsidRDefault="00742FCA" w:rsidP="0080431B">
            <w:pPr>
              <w:spacing w:after="0" w:line="240" w:lineRule="auto"/>
              <w:jc w:val="center"/>
              <w:rPr>
                <w:rFonts w:ascii="Arial" w:eastAsia="Times New Roman" w:hAnsi="Arial" w:cs="Arial"/>
                <w:sz w:val="18"/>
                <w:szCs w:val="18"/>
                <w:lang w:eastAsia="en-GB"/>
              </w:rPr>
            </w:pPr>
          </w:p>
        </w:tc>
        <w:tc>
          <w:tcPr>
            <w:tcW w:w="992" w:type="dxa"/>
            <w:vAlign w:val="center"/>
          </w:tcPr>
          <w:p w14:paraId="1DE14B53" w14:textId="77777777" w:rsidR="00742FCA" w:rsidRPr="00EE5B39" w:rsidRDefault="00742FCA" w:rsidP="0080431B">
            <w:pPr>
              <w:spacing w:after="0" w:line="240" w:lineRule="auto"/>
              <w:jc w:val="center"/>
              <w:rPr>
                <w:rFonts w:ascii="Arial" w:eastAsia="Times New Roman" w:hAnsi="Arial" w:cs="Arial"/>
                <w:sz w:val="18"/>
                <w:szCs w:val="18"/>
                <w:lang w:eastAsia="en-GB"/>
              </w:rPr>
            </w:pPr>
          </w:p>
        </w:tc>
        <w:tc>
          <w:tcPr>
            <w:tcW w:w="567" w:type="dxa"/>
            <w:shd w:val="clear" w:color="auto" w:fill="auto"/>
            <w:noWrap/>
            <w:vAlign w:val="center"/>
            <w:hideMark/>
          </w:tcPr>
          <w:p w14:paraId="6713817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w:t>
            </w:r>
          </w:p>
        </w:tc>
        <w:tc>
          <w:tcPr>
            <w:tcW w:w="709" w:type="dxa"/>
            <w:shd w:val="clear" w:color="auto" w:fill="auto"/>
            <w:noWrap/>
            <w:vAlign w:val="center"/>
            <w:hideMark/>
          </w:tcPr>
          <w:p w14:paraId="725BD6E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1.67</w:t>
            </w:r>
          </w:p>
        </w:tc>
        <w:tc>
          <w:tcPr>
            <w:tcW w:w="708" w:type="dxa"/>
            <w:shd w:val="clear" w:color="auto" w:fill="auto"/>
            <w:noWrap/>
            <w:vAlign w:val="center"/>
            <w:hideMark/>
          </w:tcPr>
          <w:p w14:paraId="484F453D"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1</w:t>
            </w:r>
          </w:p>
        </w:tc>
        <w:tc>
          <w:tcPr>
            <w:tcW w:w="1134" w:type="dxa"/>
            <w:shd w:val="clear" w:color="auto" w:fill="auto"/>
            <w:noWrap/>
            <w:vAlign w:val="center"/>
            <w:hideMark/>
          </w:tcPr>
          <w:p w14:paraId="2420045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 M1</w:t>
            </w:r>
          </w:p>
        </w:tc>
        <w:tc>
          <w:tcPr>
            <w:tcW w:w="851" w:type="dxa"/>
            <w:shd w:val="clear" w:color="auto" w:fill="auto"/>
            <w:noWrap/>
            <w:vAlign w:val="center"/>
            <w:hideMark/>
          </w:tcPr>
          <w:p w14:paraId="7B54170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6.03</w:t>
            </w:r>
          </w:p>
        </w:tc>
      </w:tr>
      <w:tr w:rsidR="00EE5B39" w:rsidRPr="00481D63" w14:paraId="0175D53D" w14:textId="77777777" w:rsidTr="0080431B">
        <w:trPr>
          <w:trHeight w:val="300"/>
        </w:trPr>
        <w:tc>
          <w:tcPr>
            <w:tcW w:w="959" w:type="dxa"/>
            <w:shd w:val="clear" w:color="auto" w:fill="auto"/>
            <w:noWrap/>
            <w:vAlign w:val="center"/>
            <w:hideMark/>
          </w:tcPr>
          <w:p w14:paraId="1F3109E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w:t>
            </w:r>
          </w:p>
        </w:tc>
        <w:tc>
          <w:tcPr>
            <w:tcW w:w="283" w:type="dxa"/>
            <w:shd w:val="clear" w:color="auto" w:fill="auto"/>
            <w:noWrap/>
            <w:vAlign w:val="center"/>
            <w:hideMark/>
          </w:tcPr>
          <w:p w14:paraId="3754F72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519B252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74</w:t>
            </w:r>
          </w:p>
        </w:tc>
        <w:tc>
          <w:tcPr>
            <w:tcW w:w="851" w:type="dxa"/>
            <w:shd w:val="clear" w:color="auto" w:fill="auto"/>
            <w:noWrap/>
            <w:vAlign w:val="center"/>
            <w:hideMark/>
          </w:tcPr>
          <w:p w14:paraId="47EE398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6.29</w:t>
            </w:r>
          </w:p>
        </w:tc>
        <w:tc>
          <w:tcPr>
            <w:tcW w:w="992" w:type="dxa"/>
            <w:shd w:val="clear" w:color="auto" w:fill="auto"/>
            <w:noWrap/>
            <w:vAlign w:val="center"/>
            <w:hideMark/>
          </w:tcPr>
          <w:p w14:paraId="192154B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0.29</w:t>
            </w:r>
          </w:p>
        </w:tc>
        <w:tc>
          <w:tcPr>
            <w:tcW w:w="851" w:type="dxa"/>
            <w:shd w:val="clear" w:color="auto" w:fill="auto"/>
            <w:noWrap/>
            <w:vAlign w:val="center"/>
            <w:hideMark/>
          </w:tcPr>
          <w:p w14:paraId="2EBAFF0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56D6FC5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109ABFE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1BC0491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ypT3a N0Mx</w:t>
            </w:r>
          </w:p>
        </w:tc>
        <w:tc>
          <w:tcPr>
            <w:tcW w:w="993" w:type="dxa"/>
            <w:vAlign w:val="center"/>
          </w:tcPr>
          <w:p w14:paraId="3AC1118F" w14:textId="77777777" w:rsidR="00742FCA" w:rsidRPr="00EE5B39" w:rsidRDefault="00742FCA" w:rsidP="0080431B">
            <w:pPr>
              <w:spacing w:after="0" w:line="240" w:lineRule="auto"/>
              <w:jc w:val="center"/>
              <w:rPr>
                <w:rFonts w:ascii="Arial" w:eastAsia="Times New Roman" w:hAnsi="Arial" w:cs="Arial"/>
                <w:sz w:val="18"/>
                <w:szCs w:val="18"/>
                <w:lang w:eastAsia="en-GB"/>
              </w:rPr>
            </w:pPr>
            <w:r w:rsidRPr="00EE5B39">
              <w:rPr>
                <w:rFonts w:ascii="Arial" w:hAnsi="Arial" w:cs="Arial"/>
                <w:sz w:val="18"/>
              </w:rPr>
              <w:t>7</w:t>
            </w:r>
          </w:p>
        </w:tc>
        <w:tc>
          <w:tcPr>
            <w:tcW w:w="992" w:type="dxa"/>
            <w:vAlign w:val="center"/>
          </w:tcPr>
          <w:p w14:paraId="1BCB6DBF" w14:textId="77777777" w:rsidR="00742FCA" w:rsidRPr="00EE5B39" w:rsidRDefault="00742FCA" w:rsidP="0080431B">
            <w:pPr>
              <w:spacing w:after="0" w:line="240" w:lineRule="auto"/>
              <w:jc w:val="center"/>
              <w:rPr>
                <w:rFonts w:ascii="Arial" w:eastAsia="Times New Roman" w:hAnsi="Arial" w:cs="Arial"/>
                <w:sz w:val="18"/>
                <w:szCs w:val="18"/>
                <w:lang w:eastAsia="en-GB"/>
              </w:rPr>
            </w:pPr>
            <w:r w:rsidRPr="00EE5B39">
              <w:rPr>
                <w:rFonts w:ascii="Arial" w:hAnsi="Arial" w:cs="Arial"/>
                <w:sz w:val="18"/>
              </w:rPr>
              <w:t>0</w:t>
            </w:r>
          </w:p>
        </w:tc>
        <w:tc>
          <w:tcPr>
            <w:tcW w:w="567" w:type="dxa"/>
            <w:shd w:val="clear" w:color="auto" w:fill="auto"/>
            <w:noWrap/>
            <w:vAlign w:val="center"/>
            <w:hideMark/>
          </w:tcPr>
          <w:p w14:paraId="663E073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w:t>
            </w:r>
          </w:p>
        </w:tc>
        <w:tc>
          <w:tcPr>
            <w:tcW w:w="709" w:type="dxa"/>
            <w:shd w:val="clear" w:color="auto" w:fill="auto"/>
            <w:noWrap/>
            <w:vAlign w:val="center"/>
            <w:hideMark/>
          </w:tcPr>
          <w:p w14:paraId="74A77FC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77.50</w:t>
            </w:r>
          </w:p>
        </w:tc>
        <w:tc>
          <w:tcPr>
            <w:tcW w:w="708" w:type="dxa"/>
            <w:shd w:val="clear" w:color="auto" w:fill="auto"/>
            <w:noWrap/>
            <w:vAlign w:val="center"/>
            <w:hideMark/>
          </w:tcPr>
          <w:p w14:paraId="58DCE07C"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2C9CD91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18409A8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79.20</w:t>
            </w:r>
          </w:p>
        </w:tc>
      </w:tr>
      <w:tr w:rsidR="00EE5B39" w:rsidRPr="00481D63" w14:paraId="50F02295" w14:textId="77777777" w:rsidTr="0080431B">
        <w:trPr>
          <w:trHeight w:val="300"/>
        </w:trPr>
        <w:tc>
          <w:tcPr>
            <w:tcW w:w="959" w:type="dxa"/>
            <w:shd w:val="clear" w:color="auto" w:fill="auto"/>
            <w:noWrap/>
            <w:vAlign w:val="center"/>
            <w:hideMark/>
          </w:tcPr>
          <w:p w14:paraId="2082399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w:t>
            </w:r>
          </w:p>
        </w:tc>
        <w:tc>
          <w:tcPr>
            <w:tcW w:w="283" w:type="dxa"/>
            <w:shd w:val="clear" w:color="auto" w:fill="auto"/>
            <w:noWrap/>
            <w:vAlign w:val="center"/>
            <w:hideMark/>
          </w:tcPr>
          <w:p w14:paraId="3EE8F53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0A13C7F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78</w:t>
            </w:r>
          </w:p>
        </w:tc>
        <w:tc>
          <w:tcPr>
            <w:tcW w:w="851" w:type="dxa"/>
            <w:shd w:val="clear" w:color="auto" w:fill="auto"/>
            <w:noWrap/>
            <w:vAlign w:val="center"/>
            <w:hideMark/>
          </w:tcPr>
          <w:p w14:paraId="33E9FD8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7.86</w:t>
            </w:r>
          </w:p>
        </w:tc>
        <w:tc>
          <w:tcPr>
            <w:tcW w:w="992" w:type="dxa"/>
            <w:shd w:val="clear" w:color="auto" w:fill="auto"/>
            <w:noWrap/>
            <w:vAlign w:val="center"/>
            <w:hideMark/>
          </w:tcPr>
          <w:p w14:paraId="32B01ED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4.00</w:t>
            </w:r>
          </w:p>
        </w:tc>
        <w:tc>
          <w:tcPr>
            <w:tcW w:w="851" w:type="dxa"/>
            <w:shd w:val="clear" w:color="auto" w:fill="auto"/>
            <w:noWrap/>
            <w:vAlign w:val="center"/>
            <w:hideMark/>
          </w:tcPr>
          <w:p w14:paraId="299C5FD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6F16BD3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56659A3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12DAAC9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roofErr w:type="spellStart"/>
            <w:r w:rsidRPr="00331D14">
              <w:rPr>
                <w:rFonts w:ascii="Arial" w:eastAsia="Times New Roman" w:hAnsi="Arial" w:cs="Arial"/>
                <w:color w:val="000000"/>
                <w:sz w:val="18"/>
                <w:szCs w:val="18"/>
                <w:lang w:eastAsia="en-GB"/>
              </w:rPr>
              <w:t>ypTis</w:t>
            </w:r>
            <w:proofErr w:type="spellEnd"/>
            <w:r w:rsidRPr="00331D14">
              <w:rPr>
                <w:rFonts w:ascii="Arial" w:eastAsia="Times New Roman" w:hAnsi="Arial" w:cs="Arial"/>
                <w:color w:val="000000"/>
                <w:sz w:val="18"/>
                <w:szCs w:val="18"/>
                <w:lang w:eastAsia="en-GB"/>
              </w:rPr>
              <w:t xml:space="preserve"> N0 Mx</w:t>
            </w:r>
          </w:p>
        </w:tc>
        <w:tc>
          <w:tcPr>
            <w:tcW w:w="993" w:type="dxa"/>
            <w:vAlign w:val="center"/>
          </w:tcPr>
          <w:p w14:paraId="6A1AF610" w14:textId="77777777" w:rsidR="00742FCA" w:rsidRPr="00EE5B39" w:rsidRDefault="00742FCA" w:rsidP="0080431B">
            <w:pPr>
              <w:spacing w:after="0" w:line="240" w:lineRule="auto"/>
              <w:jc w:val="center"/>
              <w:rPr>
                <w:rFonts w:ascii="Arial" w:eastAsia="Times New Roman" w:hAnsi="Arial" w:cs="Arial"/>
                <w:sz w:val="18"/>
                <w:szCs w:val="18"/>
                <w:lang w:eastAsia="en-GB"/>
              </w:rPr>
            </w:pPr>
            <w:r w:rsidRPr="00EE5B39">
              <w:rPr>
                <w:rFonts w:ascii="Arial" w:hAnsi="Arial" w:cs="Arial"/>
                <w:sz w:val="18"/>
              </w:rPr>
              <w:t>14</w:t>
            </w:r>
          </w:p>
        </w:tc>
        <w:tc>
          <w:tcPr>
            <w:tcW w:w="992" w:type="dxa"/>
            <w:vAlign w:val="center"/>
          </w:tcPr>
          <w:p w14:paraId="275EB747" w14:textId="77777777" w:rsidR="00742FCA" w:rsidRPr="00EE5B39" w:rsidRDefault="00742FCA" w:rsidP="0080431B">
            <w:pPr>
              <w:spacing w:after="0" w:line="240" w:lineRule="auto"/>
              <w:jc w:val="center"/>
              <w:rPr>
                <w:rFonts w:ascii="Arial" w:eastAsia="Times New Roman" w:hAnsi="Arial" w:cs="Arial"/>
                <w:sz w:val="18"/>
                <w:szCs w:val="18"/>
                <w:lang w:eastAsia="en-GB"/>
              </w:rPr>
            </w:pPr>
            <w:r w:rsidRPr="00EE5B39">
              <w:rPr>
                <w:rFonts w:ascii="Arial" w:hAnsi="Arial" w:cs="Arial"/>
                <w:sz w:val="18"/>
              </w:rPr>
              <w:t>2</w:t>
            </w:r>
          </w:p>
        </w:tc>
        <w:tc>
          <w:tcPr>
            <w:tcW w:w="567" w:type="dxa"/>
            <w:shd w:val="clear" w:color="auto" w:fill="auto"/>
            <w:noWrap/>
            <w:vAlign w:val="center"/>
            <w:hideMark/>
          </w:tcPr>
          <w:p w14:paraId="77A9F51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w:t>
            </w:r>
          </w:p>
        </w:tc>
        <w:tc>
          <w:tcPr>
            <w:tcW w:w="709" w:type="dxa"/>
            <w:shd w:val="clear" w:color="auto" w:fill="auto"/>
            <w:noWrap/>
            <w:vAlign w:val="center"/>
            <w:hideMark/>
          </w:tcPr>
          <w:p w14:paraId="4E2D169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74.23</w:t>
            </w:r>
          </w:p>
        </w:tc>
        <w:tc>
          <w:tcPr>
            <w:tcW w:w="708" w:type="dxa"/>
            <w:shd w:val="clear" w:color="auto" w:fill="auto"/>
            <w:noWrap/>
            <w:vAlign w:val="center"/>
            <w:hideMark/>
          </w:tcPr>
          <w:p w14:paraId="32C8ED49"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6143CD1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0120588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75.40</w:t>
            </w:r>
          </w:p>
        </w:tc>
      </w:tr>
      <w:tr w:rsidR="00EE5B39" w:rsidRPr="00481D63" w14:paraId="41244F83" w14:textId="77777777" w:rsidTr="0080431B">
        <w:trPr>
          <w:trHeight w:val="300"/>
        </w:trPr>
        <w:tc>
          <w:tcPr>
            <w:tcW w:w="959" w:type="dxa"/>
            <w:shd w:val="clear" w:color="auto" w:fill="auto"/>
            <w:noWrap/>
            <w:vAlign w:val="center"/>
            <w:hideMark/>
          </w:tcPr>
          <w:p w14:paraId="276B802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w:t>
            </w:r>
          </w:p>
        </w:tc>
        <w:tc>
          <w:tcPr>
            <w:tcW w:w="283" w:type="dxa"/>
            <w:shd w:val="clear" w:color="auto" w:fill="auto"/>
            <w:noWrap/>
            <w:vAlign w:val="center"/>
            <w:hideMark/>
          </w:tcPr>
          <w:p w14:paraId="62211FA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2BC92E2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65</w:t>
            </w:r>
          </w:p>
        </w:tc>
        <w:tc>
          <w:tcPr>
            <w:tcW w:w="851" w:type="dxa"/>
            <w:shd w:val="clear" w:color="auto" w:fill="auto"/>
            <w:noWrap/>
            <w:vAlign w:val="center"/>
            <w:hideMark/>
          </w:tcPr>
          <w:p w14:paraId="5FFD57A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8.86</w:t>
            </w:r>
          </w:p>
        </w:tc>
        <w:tc>
          <w:tcPr>
            <w:tcW w:w="992" w:type="dxa"/>
            <w:shd w:val="clear" w:color="auto" w:fill="auto"/>
            <w:noWrap/>
            <w:vAlign w:val="center"/>
            <w:hideMark/>
          </w:tcPr>
          <w:p w14:paraId="151788D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0.29</w:t>
            </w:r>
          </w:p>
        </w:tc>
        <w:tc>
          <w:tcPr>
            <w:tcW w:w="851" w:type="dxa"/>
            <w:shd w:val="clear" w:color="auto" w:fill="auto"/>
            <w:noWrap/>
            <w:vAlign w:val="center"/>
            <w:hideMark/>
          </w:tcPr>
          <w:p w14:paraId="42E87EC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6C54BC1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09C0746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373D85B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ypTisN0Mx</w:t>
            </w:r>
          </w:p>
        </w:tc>
        <w:tc>
          <w:tcPr>
            <w:tcW w:w="993" w:type="dxa"/>
            <w:vAlign w:val="center"/>
          </w:tcPr>
          <w:p w14:paraId="4E401E44" w14:textId="77777777" w:rsidR="00742FCA" w:rsidRPr="00EE5B39" w:rsidRDefault="00742FCA" w:rsidP="0080431B">
            <w:pPr>
              <w:jc w:val="center"/>
              <w:rPr>
                <w:rFonts w:ascii="Arial" w:hAnsi="Arial" w:cs="Arial"/>
                <w:sz w:val="18"/>
              </w:rPr>
            </w:pPr>
            <w:r w:rsidRPr="00EE5B39">
              <w:rPr>
                <w:rFonts w:ascii="Arial" w:hAnsi="Arial" w:cs="Arial"/>
                <w:sz w:val="18"/>
              </w:rPr>
              <w:t>7</w:t>
            </w:r>
          </w:p>
        </w:tc>
        <w:tc>
          <w:tcPr>
            <w:tcW w:w="992" w:type="dxa"/>
            <w:vAlign w:val="center"/>
          </w:tcPr>
          <w:p w14:paraId="0CD5ED8C"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0606DB58"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50197D6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79.20</w:t>
            </w:r>
          </w:p>
        </w:tc>
        <w:tc>
          <w:tcPr>
            <w:tcW w:w="708" w:type="dxa"/>
            <w:shd w:val="clear" w:color="auto" w:fill="auto"/>
            <w:noWrap/>
            <w:vAlign w:val="center"/>
            <w:hideMark/>
          </w:tcPr>
          <w:p w14:paraId="7CEBFE33"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0483F66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5591458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83.80</w:t>
            </w:r>
          </w:p>
        </w:tc>
      </w:tr>
      <w:tr w:rsidR="00EE5B39" w:rsidRPr="00481D63" w14:paraId="1AD77515" w14:textId="77777777" w:rsidTr="0080431B">
        <w:trPr>
          <w:trHeight w:val="300"/>
        </w:trPr>
        <w:tc>
          <w:tcPr>
            <w:tcW w:w="959" w:type="dxa"/>
            <w:shd w:val="clear" w:color="auto" w:fill="auto"/>
            <w:noWrap/>
            <w:vAlign w:val="center"/>
            <w:hideMark/>
          </w:tcPr>
          <w:p w14:paraId="290B32C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w:t>
            </w:r>
          </w:p>
        </w:tc>
        <w:tc>
          <w:tcPr>
            <w:tcW w:w="283" w:type="dxa"/>
            <w:shd w:val="clear" w:color="auto" w:fill="auto"/>
            <w:noWrap/>
            <w:vAlign w:val="center"/>
            <w:hideMark/>
          </w:tcPr>
          <w:p w14:paraId="2DA7BC2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F</w:t>
            </w:r>
          </w:p>
        </w:tc>
        <w:tc>
          <w:tcPr>
            <w:tcW w:w="567" w:type="dxa"/>
            <w:shd w:val="clear" w:color="auto" w:fill="auto"/>
            <w:noWrap/>
            <w:vAlign w:val="center"/>
            <w:hideMark/>
          </w:tcPr>
          <w:p w14:paraId="16E934E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73</w:t>
            </w:r>
          </w:p>
        </w:tc>
        <w:tc>
          <w:tcPr>
            <w:tcW w:w="851" w:type="dxa"/>
            <w:shd w:val="clear" w:color="auto" w:fill="auto"/>
            <w:noWrap/>
            <w:vAlign w:val="center"/>
            <w:hideMark/>
          </w:tcPr>
          <w:p w14:paraId="0B9F3F8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8.86</w:t>
            </w:r>
          </w:p>
        </w:tc>
        <w:tc>
          <w:tcPr>
            <w:tcW w:w="992" w:type="dxa"/>
            <w:shd w:val="clear" w:color="auto" w:fill="auto"/>
            <w:noWrap/>
            <w:vAlign w:val="center"/>
            <w:hideMark/>
          </w:tcPr>
          <w:p w14:paraId="775443E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0.00</w:t>
            </w:r>
          </w:p>
        </w:tc>
        <w:tc>
          <w:tcPr>
            <w:tcW w:w="851" w:type="dxa"/>
            <w:shd w:val="clear" w:color="auto" w:fill="auto"/>
            <w:noWrap/>
            <w:vAlign w:val="center"/>
            <w:hideMark/>
          </w:tcPr>
          <w:p w14:paraId="76BDE16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w:t>
            </w:r>
          </w:p>
        </w:tc>
        <w:tc>
          <w:tcPr>
            <w:tcW w:w="992" w:type="dxa"/>
            <w:vAlign w:val="center"/>
          </w:tcPr>
          <w:p w14:paraId="6D7D79F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AE</w:t>
            </w:r>
          </w:p>
        </w:tc>
        <w:tc>
          <w:tcPr>
            <w:tcW w:w="709" w:type="dxa"/>
            <w:shd w:val="clear" w:color="auto" w:fill="auto"/>
            <w:noWrap/>
            <w:vAlign w:val="center"/>
            <w:hideMark/>
          </w:tcPr>
          <w:p w14:paraId="01BC1C0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288CB7D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ypT3b N1 Mx</w:t>
            </w:r>
          </w:p>
        </w:tc>
        <w:tc>
          <w:tcPr>
            <w:tcW w:w="993" w:type="dxa"/>
            <w:vAlign w:val="center"/>
          </w:tcPr>
          <w:p w14:paraId="3974EDBA" w14:textId="77777777" w:rsidR="00742FCA" w:rsidRPr="00EE5B39" w:rsidRDefault="00742FCA" w:rsidP="0080431B">
            <w:pPr>
              <w:jc w:val="center"/>
              <w:rPr>
                <w:rFonts w:ascii="Arial" w:hAnsi="Arial" w:cs="Arial"/>
                <w:sz w:val="18"/>
              </w:rPr>
            </w:pPr>
            <w:r w:rsidRPr="00EE5B39">
              <w:rPr>
                <w:rFonts w:ascii="Arial" w:hAnsi="Arial" w:cs="Arial"/>
                <w:sz w:val="18"/>
              </w:rPr>
              <w:t>10</w:t>
            </w:r>
          </w:p>
        </w:tc>
        <w:tc>
          <w:tcPr>
            <w:tcW w:w="992" w:type="dxa"/>
            <w:vAlign w:val="center"/>
          </w:tcPr>
          <w:p w14:paraId="55D0BB68" w14:textId="77777777" w:rsidR="00742FCA" w:rsidRPr="00EE5B39" w:rsidRDefault="00742FCA" w:rsidP="0080431B">
            <w:pPr>
              <w:jc w:val="center"/>
              <w:rPr>
                <w:rFonts w:ascii="Arial" w:hAnsi="Arial" w:cs="Arial"/>
                <w:sz w:val="18"/>
              </w:rPr>
            </w:pPr>
            <w:r w:rsidRPr="00EE5B39">
              <w:rPr>
                <w:rFonts w:ascii="Arial" w:hAnsi="Arial" w:cs="Arial"/>
                <w:sz w:val="18"/>
              </w:rPr>
              <w:t>1</w:t>
            </w:r>
          </w:p>
        </w:tc>
        <w:tc>
          <w:tcPr>
            <w:tcW w:w="567" w:type="dxa"/>
            <w:shd w:val="clear" w:color="auto" w:fill="auto"/>
            <w:noWrap/>
            <w:vAlign w:val="center"/>
            <w:hideMark/>
          </w:tcPr>
          <w:p w14:paraId="43B25F85" w14:textId="77777777" w:rsidR="00742FCA" w:rsidRPr="00481D63" w:rsidRDefault="00742FCA" w:rsidP="0080431B">
            <w:pPr>
              <w:jc w:val="center"/>
              <w:rPr>
                <w:rFonts w:ascii="Arial" w:hAnsi="Arial" w:cs="Arial"/>
                <w:sz w:val="18"/>
              </w:rPr>
            </w:pPr>
            <w:r w:rsidRPr="00481D63">
              <w:rPr>
                <w:rFonts w:ascii="Arial" w:hAnsi="Arial" w:cs="Arial"/>
                <w:sz w:val="18"/>
              </w:rPr>
              <w:t>1</w:t>
            </w:r>
          </w:p>
        </w:tc>
        <w:tc>
          <w:tcPr>
            <w:tcW w:w="709" w:type="dxa"/>
            <w:shd w:val="clear" w:color="auto" w:fill="auto"/>
            <w:noWrap/>
            <w:vAlign w:val="center"/>
            <w:hideMark/>
          </w:tcPr>
          <w:p w14:paraId="2D0749E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6.33</w:t>
            </w:r>
          </w:p>
        </w:tc>
        <w:tc>
          <w:tcPr>
            <w:tcW w:w="708" w:type="dxa"/>
            <w:shd w:val="clear" w:color="auto" w:fill="auto"/>
            <w:noWrap/>
            <w:vAlign w:val="center"/>
            <w:hideMark/>
          </w:tcPr>
          <w:p w14:paraId="0BAA3168"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1</w:t>
            </w:r>
          </w:p>
        </w:tc>
        <w:tc>
          <w:tcPr>
            <w:tcW w:w="1134" w:type="dxa"/>
            <w:shd w:val="clear" w:color="auto" w:fill="auto"/>
            <w:noWrap/>
            <w:vAlign w:val="center"/>
            <w:hideMark/>
          </w:tcPr>
          <w:p w14:paraId="1B360F2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 M1</w:t>
            </w:r>
          </w:p>
        </w:tc>
        <w:tc>
          <w:tcPr>
            <w:tcW w:w="851" w:type="dxa"/>
            <w:shd w:val="clear" w:color="auto" w:fill="auto"/>
            <w:noWrap/>
            <w:vAlign w:val="center"/>
            <w:hideMark/>
          </w:tcPr>
          <w:p w14:paraId="03EF9FF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8.63</w:t>
            </w:r>
          </w:p>
        </w:tc>
      </w:tr>
      <w:tr w:rsidR="00EE5B39" w:rsidRPr="00481D63" w14:paraId="188C7B80" w14:textId="77777777" w:rsidTr="0080431B">
        <w:trPr>
          <w:trHeight w:val="300"/>
        </w:trPr>
        <w:tc>
          <w:tcPr>
            <w:tcW w:w="959" w:type="dxa"/>
            <w:shd w:val="clear" w:color="auto" w:fill="auto"/>
            <w:noWrap/>
            <w:vAlign w:val="center"/>
            <w:hideMark/>
          </w:tcPr>
          <w:p w14:paraId="56B377A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w:t>
            </w:r>
          </w:p>
        </w:tc>
        <w:tc>
          <w:tcPr>
            <w:tcW w:w="283" w:type="dxa"/>
            <w:shd w:val="clear" w:color="auto" w:fill="auto"/>
            <w:noWrap/>
            <w:vAlign w:val="center"/>
            <w:hideMark/>
          </w:tcPr>
          <w:p w14:paraId="3E011C8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4BB033F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74</w:t>
            </w:r>
          </w:p>
        </w:tc>
        <w:tc>
          <w:tcPr>
            <w:tcW w:w="851" w:type="dxa"/>
            <w:shd w:val="clear" w:color="auto" w:fill="auto"/>
            <w:noWrap/>
            <w:vAlign w:val="center"/>
            <w:hideMark/>
          </w:tcPr>
          <w:p w14:paraId="41C7860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5.57</w:t>
            </w:r>
          </w:p>
        </w:tc>
        <w:tc>
          <w:tcPr>
            <w:tcW w:w="992" w:type="dxa"/>
            <w:shd w:val="clear" w:color="auto" w:fill="auto"/>
            <w:noWrap/>
            <w:vAlign w:val="center"/>
            <w:hideMark/>
          </w:tcPr>
          <w:p w14:paraId="1E6D332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0.86</w:t>
            </w:r>
          </w:p>
        </w:tc>
        <w:tc>
          <w:tcPr>
            <w:tcW w:w="851" w:type="dxa"/>
            <w:shd w:val="clear" w:color="auto" w:fill="auto"/>
            <w:noWrap/>
            <w:vAlign w:val="center"/>
            <w:hideMark/>
          </w:tcPr>
          <w:p w14:paraId="5E4F2D2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w:t>
            </w:r>
          </w:p>
        </w:tc>
        <w:tc>
          <w:tcPr>
            <w:tcW w:w="992" w:type="dxa"/>
            <w:vAlign w:val="center"/>
          </w:tcPr>
          <w:p w14:paraId="1E8381B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 xml:space="preserve">Patient </w:t>
            </w:r>
            <w:r>
              <w:rPr>
                <w:rFonts w:ascii="Arial" w:eastAsia="Times New Roman" w:hAnsi="Arial" w:cs="Arial"/>
                <w:color w:val="000000"/>
                <w:sz w:val="18"/>
                <w:szCs w:val="18"/>
                <w:lang w:eastAsia="en-GB"/>
              </w:rPr>
              <w:t>choice</w:t>
            </w:r>
          </w:p>
        </w:tc>
        <w:tc>
          <w:tcPr>
            <w:tcW w:w="709" w:type="dxa"/>
            <w:shd w:val="clear" w:color="auto" w:fill="auto"/>
            <w:noWrap/>
            <w:vAlign w:val="center"/>
            <w:hideMark/>
          </w:tcPr>
          <w:p w14:paraId="36150A5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6039E3B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ypT3apN2pMX</w:t>
            </w:r>
          </w:p>
        </w:tc>
        <w:tc>
          <w:tcPr>
            <w:tcW w:w="993" w:type="dxa"/>
            <w:vAlign w:val="center"/>
          </w:tcPr>
          <w:p w14:paraId="27E30F2C" w14:textId="77777777" w:rsidR="00742FCA" w:rsidRPr="00EE5B39" w:rsidRDefault="00742FCA" w:rsidP="0080431B">
            <w:pPr>
              <w:jc w:val="center"/>
              <w:rPr>
                <w:rFonts w:ascii="Arial" w:hAnsi="Arial" w:cs="Arial"/>
                <w:sz w:val="18"/>
              </w:rPr>
            </w:pPr>
            <w:r w:rsidRPr="00EE5B39">
              <w:rPr>
                <w:rFonts w:ascii="Arial" w:hAnsi="Arial" w:cs="Arial"/>
                <w:sz w:val="18"/>
              </w:rPr>
              <w:t>13</w:t>
            </w:r>
          </w:p>
        </w:tc>
        <w:tc>
          <w:tcPr>
            <w:tcW w:w="992" w:type="dxa"/>
            <w:vAlign w:val="center"/>
          </w:tcPr>
          <w:p w14:paraId="4CC9DD55"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773CD141" w14:textId="77777777" w:rsidR="00742FCA" w:rsidRPr="00481D63" w:rsidRDefault="00742FCA" w:rsidP="0080431B">
            <w:pPr>
              <w:jc w:val="center"/>
              <w:rPr>
                <w:rFonts w:ascii="Arial" w:hAnsi="Arial" w:cs="Arial"/>
                <w:sz w:val="18"/>
              </w:rPr>
            </w:pPr>
            <w:r w:rsidRPr="00481D63">
              <w:rPr>
                <w:rFonts w:ascii="Arial" w:hAnsi="Arial" w:cs="Arial"/>
                <w:sz w:val="18"/>
              </w:rPr>
              <w:t>1</w:t>
            </w:r>
          </w:p>
        </w:tc>
        <w:tc>
          <w:tcPr>
            <w:tcW w:w="709" w:type="dxa"/>
            <w:shd w:val="clear" w:color="auto" w:fill="auto"/>
            <w:noWrap/>
            <w:vAlign w:val="center"/>
            <w:hideMark/>
          </w:tcPr>
          <w:p w14:paraId="7334A07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18.60</w:t>
            </w:r>
          </w:p>
        </w:tc>
        <w:tc>
          <w:tcPr>
            <w:tcW w:w="708" w:type="dxa"/>
            <w:shd w:val="clear" w:color="auto" w:fill="auto"/>
            <w:noWrap/>
            <w:vAlign w:val="center"/>
            <w:hideMark/>
          </w:tcPr>
          <w:p w14:paraId="44FD3785"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1</w:t>
            </w:r>
          </w:p>
        </w:tc>
        <w:tc>
          <w:tcPr>
            <w:tcW w:w="1134" w:type="dxa"/>
            <w:shd w:val="clear" w:color="auto" w:fill="auto"/>
            <w:noWrap/>
            <w:vAlign w:val="center"/>
            <w:hideMark/>
          </w:tcPr>
          <w:p w14:paraId="4147C30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 M1</w:t>
            </w:r>
          </w:p>
        </w:tc>
        <w:tc>
          <w:tcPr>
            <w:tcW w:w="851" w:type="dxa"/>
            <w:shd w:val="clear" w:color="auto" w:fill="auto"/>
            <w:noWrap/>
            <w:vAlign w:val="center"/>
            <w:hideMark/>
          </w:tcPr>
          <w:p w14:paraId="7910E77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20.30</w:t>
            </w:r>
          </w:p>
        </w:tc>
      </w:tr>
      <w:tr w:rsidR="00EE5B39" w:rsidRPr="00481D63" w14:paraId="3B622215" w14:textId="77777777" w:rsidTr="0080431B">
        <w:trPr>
          <w:trHeight w:val="300"/>
        </w:trPr>
        <w:tc>
          <w:tcPr>
            <w:tcW w:w="959" w:type="dxa"/>
            <w:shd w:val="clear" w:color="auto" w:fill="auto"/>
            <w:noWrap/>
            <w:vAlign w:val="center"/>
            <w:hideMark/>
          </w:tcPr>
          <w:p w14:paraId="606AAB0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9</w:t>
            </w:r>
          </w:p>
        </w:tc>
        <w:tc>
          <w:tcPr>
            <w:tcW w:w="283" w:type="dxa"/>
            <w:shd w:val="clear" w:color="auto" w:fill="auto"/>
            <w:noWrap/>
            <w:vAlign w:val="center"/>
            <w:hideMark/>
          </w:tcPr>
          <w:p w14:paraId="7730EB7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2AC6E51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48</w:t>
            </w:r>
          </w:p>
        </w:tc>
        <w:tc>
          <w:tcPr>
            <w:tcW w:w="851" w:type="dxa"/>
            <w:shd w:val="clear" w:color="auto" w:fill="auto"/>
            <w:noWrap/>
            <w:vAlign w:val="center"/>
            <w:hideMark/>
          </w:tcPr>
          <w:p w14:paraId="2B50671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8.43</w:t>
            </w:r>
          </w:p>
        </w:tc>
        <w:tc>
          <w:tcPr>
            <w:tcW w:w="992" w:type="dxa"/>
            <w:shd w:val="clear" w:color="auto" w:fill="auto"/>
            <w:noWrap/>
            <w:vAlign w:val="center"/>
            <w:hideMark/>
          </w:tcPr>
          <w:p w14:paraId="4690E51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0.43</w:t>
            </w:r>
          </w:p>
        </w:tc>
        <w:tc>
          <w:tcPr>
            <w:tcW w:w="851" w:type="dxa"/>
            <w:shd w:val="clear" w:color="auto" w:fill="auto"/>
            <w:noWrap/>
            <w:vAlign w:val="center"/>
            <w:hideMark/>
          </w:tcPr>
          <w:p w14:paraId="3FB121C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0969D69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3C5B208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0EFB863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 xml:space="preserve">ypT2b pN0 </w:t>
            </w:r>
            <w:proofErr w:type="spellStart"/>
            <w:r w:rsidRPr="00331D14">
              <w:rPr>
                <w:rFonts w:ascii="Arial" w:eastAsia="Times New Roman" w:hAnsi="Arial" w:cs="Arial"/>
                <w:color w:val="000000"/>
                <w:sz w:val="18"/>
                <w:szCs w:val="18"/>
                <w:lang w:eastAsia="en-GB"/>
              </w:rPr>
              <w:t>pMX</w:t>
            </w:r>
            <w:proofErr w:type="spellEnd"/>
          </w:p>
        </w:tc>
        <w:tc>
          <w:tcPr>
            <w:tcW w:w="993" w:type="dxa"/>
            <w:vAlign w:val="center"/>
          </w:tcPr>
          <w:p w14:paraId="62584457" w14:textId="77777777" w:rsidR="00742FCA" w:rsidRPr="00EE5B39" w:rsidRDefault="00742FCA" w:rsidP="0080431B">
            <w:pPr>
              <w:jc w:val="center"/>
              <w:rPr>
                <w:rFonts w:ascii="Arial" w:hAnsi="Arial" w:cs="Arial"/>
                <w:sz w:val="18"/>
              </w:rPr>
            </w:pPr>
            <w:r w:rsidRPr="00EE5B39">
              <w:rPr>
                <w:rFonts w:ascii="Arial" w:hAnsi="Arial" w:cs="Arial"/>
                <w:sz w:val="18"/>
              </w:rPr>
              <w:t>7</w:t>
            </w:r>
          </w:p>
        </w:tc>
        <w:tc>
          <w:tcPr>
            <w:tcW w:w="992" w:type="dxa"/>
            <w:vAlign w:val="center"/>
          </w:tcPr>
          <w:p w14:paraId="6F42BA6F"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6DF725B0"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3D6DCA6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74.53</w:t>
            </w:r>
          </w:p>
        </w:tc>
        <w:tc>
          <w:tcPr>
            <w:tcW w:w="708" w:type="dxa"/>
            <w:shd w:val="clear" w:color="auto" w:fill="auto"/>
            <w:noWrap/>
            <w:vAlign w:val="center"/>
            <w:hideMark/>
          </w:tcPr>
          <w:p w14:paraId="37FA6F77"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1D92FBD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2AD4A8F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76.67</w:t>
            </w:r>
          </w:p>
        </w:tc>
      </w:tr>
      <w:tr w:rsidR="00EE5B39" w:rsidRPr="00481D63" w14:paraId="2E209AE8" w14:textId="77777777" w:rsidTr="0080431B">
        <w:trPr>
          <w:trHeight w:val="300"/>
        </w:trPr>
        <w:tc>
          <w:tcPr>
            <w:tcW w:w="959" w:type="dxa"/>
            <w:shd w:val="clear" w:color="auto" w:fill="auto"/>
            <w:noWrap/>
            <w:vAlign w:val="center"/>
            <w:hideMark/>
          </w:tcPr>
          <w:p w14:paraId="3EC2551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10</w:t>
            </w:r>
          </w:p>
        </w:tc>
        <w:tc>
          <w:tcPr>
            <w:tcW w:w="283" w:type="dxa"/>
            <w:shd w:val="clear" w:color="auto" w:fill="auto"/>
            <w:noWrap/>
            <w:vAlign w:val="center"/>
            <w:hideMark/>
          </w:tcPr>
          <w:p w14:paraId="404869C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350E666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69</w:t>
            </w:r>
          </w:p>
        </w:tc>
        <w:tc>
          <w:tcPr>
            <w:tcW w:w="851" w:type="dxa"/>
            <w:shd w:val="clear" w:color="auto" w:fill="auto"/>
            <w:noWrap/>
            <w:vAlign w:val="center"/>
            <w:hideMark/>
          </w:tcPr>
          <w:p w14:paraId="047C8F3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8.86</w:t>
            </w:r>
          </w:p>
        </w:tc>
        <w:tc>
          <w:tcPr>
            <w:tcW w:w="992" w:type="dxa"/>
            <w:shd w:val="clear" w:color="auto" w:fill="auto"/>
            <w:noWrap/>
            <w:vAlign w:val="center"/>
            <w:hideMark/>
          </w:tcPr>
          <w:p w14:paraId="398DD64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0.00</w:t>
            </w:r>
          </w:p>
        </w:tc>
        <w:tc>
          <w:tcPr>
            <w:tcW w:w="851" w:type="dxa"/>
            <w:shd w:val="clear" w:color="auto" w:fill="auto"/>
            <w:noWrap/>
            <w:vAlign w:val="center"/>
            <w:hideMark/>
          </w:tcPr>
          <w:p w14:paraId="1161C08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6E23BC0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6BF05EB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7F6E38C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ypT0N0Mx</w:t>
            </w:r>
          </w:p>
        </w:tc>
        <w:tc>
          <w:tcPr>
            <w:tcW w:w="993" w:type="dxa"/>
            <w:vAlign w:val="center"/>
          </w:tcPr>
          <w:p w14:paraId="4284B083" w14:textId="77777777" w:rsidR="00742FCA" w:rsidRPr="00EE5B39" w:rsidRDefault="00742FCA" w:rsidP="0080431B">
            <w:pPr>
              <w:jc w:val="center"/>
              <w:rPr>
                <w:rFonts w:ascii="Arial" w:hAnsi="Arial" w:cs="Arial"/>
                <w:sz w:val="18"/>
              </w:rPr>
            </w:pPr>
            <w:r w:rsidRPr="00EE5B39">
              <w:rPr>
                <w:rFonts w:ascii="Arial" w:hAnsi="Arial" w:cs="Arial"/>
                <w:sz w:val="18"/>
              </w:rPr>
              <w:t>19</w:t>
            </w:r>
          </w:p>
        </w:tc>
        <w:tc>
          <w:tcPr>
            <w:tcW w:w="992" w:type="dxa"/>
            <w:vAlign w:val="center"/>
          </w:tcPr>
          <w:p w14:paraId="77746E6C"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48BD2776"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1B9FA80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73.17</w:t>
            </w:r>
          </w:p>
        </w:tc>
        <w:tc>
          <w:tcPr>
            <w:tcW w:w="708" w:type="dxa"/>
            <w:shd w:val="clear" w:color="auto" w:fill="auto"/>
            <w:noWrap/>
            <w:vAlign w:val="center"/>
            <w:hideMark/>
          </w:tcPr>
          <w:p w14:paraId="56FD8C99"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5807C00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3C5F468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76.40</w:t>
            </w:r>
          </w:p>
        </w:tc>
      </w:tr>
      <w:tr w:rsidR="00EE5B39" w:rsidRPr="00481D63" w14:paraId="4B399896" w14:textId="77777777" w:rsidTr="0080431B">
        <w:trPr>
          <w:trHeight w:val="300"/>
        </w:trPr>
        <w:tc>
          <w:tcPr>
            <w:tcW w:w="959" w:type="dxa"/>
            <w:shd w:val="clear" w:color="auto" w:fill="auto"/>
            <w:noWrap/>
            <w:vAlign w:val="center"/>
            <w:hideMark/>
          </w:tcPr>
          <w:p w14:paraId="33E37A2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11</w:t>
            </w:r>
          </w:p>
        </w:tc>
        <w:tc>
          <w:tcPr>
            <w:tcW w:w="283" w:type="dxa"/>
            <w:shd w:val="clear" w:color="auto" w:fill="auto"/>
            <w:noWrap/>
            <w:vAlign w:val="center"/>
            <w:hideMark/>
          </w:tcPr>
          <w:p w14:paraId="38D28CD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0071664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54</w:t>
            </w:r>
          </w:p>
        </w:tc>
        <w:tc>
          <w:tcPr>
            <w:tcW w:w="851" w:type="dxa"/>
            <w:shd w:val="clear" w:color="auto" w:fill="auto"/>
            <w:noWrap/>
            <w:vAlign w:val="center"/>
            <w:hideMark/>
          </w:tcPr>
          <w:p w14:paraId="196C78C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3.86</w:t>
            </w:r>
          </w:p>
        </w:tc>
        <w:tc>
          <w:tcPr>
            <w:tcW w:w="992" w:type="dxa"/>
            <w:shd w:val="clear" w:color="auto" w:fill="auto"/>
            <w:noWrap/>
            <w:vAlign w:val="center"/>
            <w:hideMark/>
          </w:tcPr>
          <w:p w14:paraId="7162F1E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1.14</w:t>
            </w:r>
          </w:p>
        </w:tc>
        <w:tc>
          <w:tcPr>
            <w:tcW w:w="851" w:type="dxa"/>
            <w:shd w:val="clear" w:color="auto" w:fill="auto"/>
            <w:noWrap/>
            <w:vAlign w:val="center"/>
            <w:hideMark/>
          </w:tcPr>
          <w:p w14:paraId="7BE69D9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59399A4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11E0749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6AE522F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ypTaN0 (0/</w:t>
            </w:r>
            <w:proofErr w:type="gramStart"/>
            <w:r w:rsidRPr="00331D14">
              <w:rPr>
                <w:rFonts w:ascii="Arial" w:eastAsia="Times New Roman" w:hAnsi="Arial" w:cs="Arial"/>
                <w:color w:val="000000"/>
                <w:sz w:val="18"/>
                <w:szCs w:val="18"/>
                <w:lang w:eastAsia="en-GB"/>
              </w:rPr>
              <w:t>33)Mx</w:t>
            </w:r>
            <w:proofErr w:type="gramEnd"/>
          </w:p>
        </w:tc>
        <w:tc>
          <w:tcPr>
            <w:tcW w:w="993" w:type="dxa"/>
            <w:vAlign w:val="center"/>
          </w:tcPr>
          <w:p w14:paraId="737C19DA" w14:textId="77777777" w:rsidR="00742FCA" w:rsidRPr="00EE5B39" w:rsidRDefault="00742FCA" w:rsidP="0080431B">
            <w:pPr>
              <w:jc w:val="center"/>
              <w:rPr>
                <w:rFonts w:ascii="Arial" w:hAnsi="Arial" w:cs="Arial"/>
                <w:sz w:val="18"/>
              </w:rPr>
            </w:pPr>
            <w:r w:rsidRPr="00EE5B39">
              <w:rPr>
                <w:rFonts w:ascii="Arial" w:hAnsi="Arial" w:cs="Arial"/>
                <w:sz w:val="18"/>
              </w:rPr>
              <w:t>9</w:t>
            </w:r>
          </w:p>
        </w:tc>
        <w:tc>
          <w:tcPr>
            <w:tcW w:w="992" w:type="dxa"/>
            <w:vAlign w:val="center"/>
          </w:tcPr>
          <w:p w14:paraId="7AF8A738"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30340642"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56E0CFA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68.37</w:t>
            </w:r>
          </w:p>
        </w:tc>
        <w:tc>
          <w:tcPr>
            <w:tcW w:w="708" w:type="dxa"/>
            <w:shd w:val="clear" w:color="auto" w:fill="auto"/>
            <w:noWrap/>
            <w:vAlign w:val="center"/>
            <w:hideMark/>
          </w:tcPr>
          <w:p w14:paraId="098AB33A"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290A7A1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11FA527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69.97</w:t>
            </w:r>
          </w:p>
        </w:tc>
      </w:tr>
      <w:tr w:rsidR="00EE5B39" w:rsidRPr="00481D63" w14:paraId="0DC488F0" w14:textId="77777777" w:rsidTr="0080431B">
        <w:trPr>
          <w:trHeight w:val="300"/>
        </w:trPr>
        <w:tc>
          <w:tcPr>
            <w:tcW w:w="959" w:type="dxa"/>
            <w:shd w:val="clear" w:color="auto" w:fill="auto"/>
            <w:noWrap/>
            <w:vAlign w:val="center"/>
            <w:hideMark/>
          </w:tcPr>
          <w:p w14:paraId="7B9F7CA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12</w:t>
            </w:r>
          </w:p>
        </w:tc>
        <w:tc>
          <w:tcPr>
            <w:tcW w:w="283" w:type="dxa"/>
            <w:shd w:val="clear" w:color="auto" w:fill="auto"/>
            <w:noWrap/>
            <w:vAlign w:val="center"/>
            <w:hideMark/>
          </w:tcPr>
          <w:p w14:paraId="307EA59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05A3098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61</w:t>
            </w:r>
          </w:p>
        </w:tc>
        <w:tc>
          <w:tcPr>
            <w:tcW w:w="851" w:type="dxa"/>
            <w:shd w:val="clear" w:color="auto" w:fill="auto"/>
            <w:noWrap/>
            <w:vAlign w:val="center"/>
            <w:hideMark/>
          </w:tcPr>
          <w:p w14:paraId="5AB1C6C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7.86</w:t>
            </w:r>
          </w:p>
        </w:tc>
        <w:tc>
          <w:tcPr>
            <w:tcW w:w="992" w:type="dxa"/>
            <w:shd w:val="clear" w:color="auto" w:fill="auto"/>
            <w:noWrap/>
            <w:vAlign w:val="center"/>
            <w:hideMark/>
          </w:tcPr>
          <w:p w14:paraId="7122A8D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1.14</w:t>
            </w:r>
          </w:p>
        </w:tc>
        <w:tc>
          <w:tcPr>
            <w:tcW w:w="851" w:type="dxa"/>
            <w:shd w:val="clear" w:color="auto" w:fill="auto"/>
            <w:noWrap/>
            <w:vAlign w:val="center"/>
            <w:hideMark/>
          </w:tcPr>
          <w:p w14:paraId="59B4FC7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0F45C3C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0274C11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5420B61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 N0 (0/</w:t>
            </w:r>
            <w:proofErr w:type="gramStart"/>
            <w:r w:rsidRPr="00331D14">
              <w:rPr>
                <w:rFonts w:ascii="Arial" w:eastAsia="Times New Roman" w:hAnsi="Arial" w:cs="Arial"/>
                <w:color w:val="000000"/>
                <w:sz w:val="18"/>
                <w:szCs w:val="18"/>
                <w:lang w:eastAsia="en-GB"/>
              </w:rPr>
              <w:t>14)Mx</w:t>
            </w:r>
            <w:proofErr w:type="gramEnd"/>
          </w:p>
        </w:tc>
        <w:tc>
          <w:tcPr>
            <w:tcW w:w="993" w:type="dxa"/>
            <w:vAlign w:val="center"/>
          </w:tcPr>
          <w:p w14:paraId="05F5B027" w14:textId="77777777" w:rsidR="00742FCA" w:rsidRPr="00EE5B39" w:rsidRDefault="00742FCA" w:rsidP="0080431B">
            <w:pPr>
              <w:jc w:val="center"/>
              <w:rPr>
                <w:rFonts w:ascii="Arial" w:hAnsi="Arial" w:cs="Arial"/>
                <w:sz w:val="18"/>
              </w:rPr>
            </w:pPr>
            <w:r w:rsidRPr="00EE5B39">
              <w:rPr>
                <w:rFonts w:ascii="Arial" w:hAnsi="Arial" w:cs="Arial"/>
                <w:sz w:val="18"/>
              </w:rPr>
              <w:t>9</w:t>
            </w:r>
          </w:p>
        </w:tc>
        <w:tc>
          <w:tcPr>
            <w:tcW w:w="992" w:type="dxa"/>
            <w:vAlign w:val="center"/>
          </w:tcPr>
          <w:p w14:paraId="3D7389F5"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148041EA"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176D738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68.57</w:t>
            </w:r>
          </w:p>
        </w:tc>
        <w:tc>
          <w:tcPr>
            <w:tcW w:w="708" w:type="dxa"/>
            <w:shd w:val="clear" w:color="auto" w:fill="auto"/>
            <w:noWrap/>
            <w:vAlign w:val="center"/>
            <w:hideMark/>
          </w:tcPr>
          <w:p w14:paraId="5CF6648D"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737C52E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038483E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69.47</w:t>
            </w:r>
          </w:p>
        </w:tc>
      </w:tr>
      <w:tr w:rsidR="00EE5B39" w:rsidRPr="00481D63" w14:paraId="5DD6DAB1" w14:textId="77777777" w:rsidTr="0080431B">
        <w:trPr>
          <w:trHeight w:val="300"/>
        </w:trPr>
        <w:tc>
          <w:tcPr>
            <w:tcW w:w="959" w:type="dxa"/>
            <w:shd w:val="clear" w:color="auto" w:fill="auto"/>
            <w:noWrap/>
            <w:vAlign w:val="center"/>
            <w:hideMark/>
          </w:tcPr>
          <w:p w14:paraId="47C6212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13</w:t>
            </w:r>
          </w:p>
        </w:tc>
        <w:tc>
          <w:tcPr>
            <w:tcW w:w="283" w:type="dxa"/>
            <w:shd w:val="clear" w:color="auto" w:fill="auto"/>
            <w:noWrap/>
            <w:vAlign w:val="center"/>
            <w:hideMark/>
          </w:tcPr>
          <w:p w14:paraId="16F19C7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4E0C8B3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68</w:t>
            </w:r>
          </w:p>
        </w:tc>
        <w:tc>
          <w:tcPr>
            <w:tcW w:w="851" w:type="dxa"/>
            <w:shd w:val="clear" w:color="auto" w:fill="auto"/>
            <w:noWrap/>
            <w:vAlign w:val="center"/>
            <w:hideMark/>
          </w:tcPr>
          <w:p w14:paraId="5246E00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7.14</w:t>
            </w:r>
          </w:p>
        </w:tc>
        <w:tc>
          <w:tcPr>
            <w:tcW w:w="992" w:type="dxa"/>
            <w:shd w:val="clear" w:color="auto" w:fill="auto"/>
            <w:noWrap/>
            <w:vAlign w:val="center"/>
            <w:hideMark/>
          </w:tcPr>
          <w:p w14:paraId="040E4FB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0.43</w:t>
            </w:r>
          </w:p>
        </w:tc>
        <w:tc>
          <w:tcPr>
            <w:tcW w:w="851" w:type="dxa"/>
            <w:shd w:val="clear" w:color="auto" w:fill="auto"/>
            <w:noWrap/>
            <w:vAlign w:val="center"/>
            <w:hideMark/>
          </w:tcPr>
          <w:p w14:paraId="3414855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124BD8A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02C3898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227F305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ypT0N0 (0/</w:t>
            </w:r>
            <w:proofErr w:type="gramStart"/>
            <w:r w:rsidRPr="00331D14">
              <w:rPr>
                <w:rFonts w:ascii="Arial" w:eastAsia="Times New Roman" w:hAnsi="Arial" w:cs="Arial"/>
                <w:color w:val="000000"/>
                <w:sz w:val="18"/>
                <w:szCs w:val="18"/>
                <w:lang w:eastAsia="en-GB"/>
              </w:rPr>
              <w:t>13)Mx</w:t>
            </w:r>
            <w:proofErr w:type="gramEnd"/>
          </w:p>
        </w:tc>
        <w:tc>
          <w:tcPr>
            <w:tcW w:w="993" w:type="dxa"/>
            <w:vAlign w:val="center"/>
          </w:tcPr>
          <w:p w14:paraId="046D8972" w14:textId="77777777" w:rsidR="00742FCA" w:rsidRPr="00EE5B39" w:rsidRDefault="00742FCA" w:rsidP="0080431B">
            <w:pPr>
              <w:jc w:val="center"/>
              <w:rPr>
                <w:rFonts w:ascii="Arial" w:hAnsi="Arial" w:cs="Arial"/>
                <w:sz w:val="18"/>
              </w:rPr>
            </w:pPr>
            <w:r w:rsidRPr="00EE5B39">
              <w:rPr>
                <w:rFonts w:ascii="Arial" w:hAnsi="Arial" w:cs="Arial"/>
                <w:sz w:val="18"/>
              </w:rPr>
              <w:t>6</w:t>
            </w:r>
          </w:p>
        </w:tc>
        <w:tc>
          <w:tcPr>
            <w:tcW w:w="992" w:type="dxa"/>
            <w:vAlign w:val="center"/>
          </w:tcPr>
          <w:p w14:paraId="793E81C0"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6E048A73"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3F40469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68.23</w:t>
            </w:r>
          </w:p>
        </w:tc>
        <w:tc>
          <w:tcPr>
            <w:tcW w:w="708" w:type="dxa"/>
            <w:shd w:val="clear" w:color="auto" w:fill="auto"/>
            <w:noWrap/>
            <w:vAlign w:val="center"/>
            <w:hideMark/>
          </w:tcPr>
          <w:p w14:paraId="1FE16048"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243777E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7F00D42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69.40</w:t>
            </w:r>
          </w:p>
        </w:tc>
      </w:tr>
      <w:tr w:rsidR="00EE5B39" w:rsidRPr="00481D63" w14:paraId="7CE8DB2E" w14:textId="77777777" w:rsidTr="0080431B">
        <w:trPr>
          <w:trHeight w:val="300"/>
        </w:trPr>
        <w:tc>
          <w:tcPr>
            <w:tcW w:w="959" w:type="dxa"/>
            <w:shd w:val="clear" w:color="auto" w:fill="auto"/>
            <w:noWrap/>
            <w:vAlign w:val="center"/>
            <w:hideMark/>
          </w:tcPr>
          <w:p w14:paraId="169096F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14</w:t>
            </w:r>
          </w:p>
        </w:tc>
        <w:tc>
          <w:tcPr>
            <w:tcW w:w="283" w:type="dxa"/>
            <w:shd w:val="clear" w:color="auto" w:fill="auto"/>
            <w:noWrap/>
            <w:vAlign w:val="center"/>
            <w:hideMark/>
          </w:tcPr>
          <w:p w14:paraId="43FB387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17B2582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64</w:t>
            </w:r>
          </w:p>
        </w:tc>
        <w:tc>
          <w:tcPr>
            <w:tcW w:w="851" w:type="dxa"/>
            <w:shd w:val="clear" w:color="auto" w:fill="auto"/>
            <w:noWrap/>
            <w:vAlign w:val="center"/>
            <w:hideMark/>
          </w:tcPr>
          <w:p w14:paraId="2FEC434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5.00</w:t>
            </w:r>
          </w:p>
        </w:tc>
        <w:tc>
          <w:tcPr>
            <w:tcW w:w="992" w:type="dxa"/>
            <w:shd w:val="clear" w:color="auto" w:fill="auto"/>
            <w:noWrap/>
            <w:vAlign w:val="center"/>
            <w:hideMark/>
          </w:tcPr>
          <w:p w14:paraId="15DDF1B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0.14</w:t>
            </w:r>
          </w:p>
        </w:tc>
        <w:tc>
          <w:tcPr>
            <w:tcW w:w="851" w:type="dxa"/>
            <w:shd w:val="clear" w:color="auto" w:fill="auto"/>
            <w:noWrap/>
            <w:vAlign w:val="center"/>
            <w:hideMark/>
          </w:tcPr>
          <w:p w14:paraId="7E8E6A5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389297A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6AD0818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5C055FF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ypT2bpN1 (1/</w:t>
            </w:r>
            <w:proofErr w:type="gramStart"/>
            <w:r w:rsidRPr="00331D14">
              <w:rPr>
                <w:rFonts w:ascii="Arial" w:eastAsia="Times New Roman" w:hAnsi="Arial" w:cs="Arial"/>
                <w:color w:val="000000"/>
                <w:sz w:val="18"/>
                <w:szCs w:val="18"/>
                <w:lang w:eastAsia="en-GB"/>
              </w:rPr>
              <w:t>5)Mx</w:t>
            </w:r>
            <w:proofErr w:type="gramEnd"/>
          </w:p>
        </w:tc>
        <w:tc>
          <w:tcPr>
            <w:tcW w:w="993" w:type="dxa"/>
            <w:vAlign w:val="center"/>
          </w:tcPr>
          <w:p w14:paraId="55409892" w14:textId="77777777" w:rsidR="00742FCA" w:rsidRPr="00EE5B39" w:rsidRDefault="00742FCA" w:rsidP="0080431B">
            <w:pPr>
              <w:jc w:val="center"/>
              <w:rPr>
                <w:rFonts w:ascii="Arial" w:hAnsi="Arial" w:cs="Arial"/>
                <w:sz w:val="18"/>
              </w:rPr>
            </w:pPr>
            <w:r w:rsidRPr="00EE5B39">
              <w:rPr>
                <w:rFonts w:ascii="Arial" w:hAnsi="Arial" w:cs="Arial"/>
                <w:sz w:val="18"/>
              </w:rPr>
              <w:t>6</w:t>
            </w:r>
          </w:p>
        </w:tc>
        <w:tc>
          <w:tcPr>
            <w:tcW w:w="992" w:type="dxa"/>
            <w:vAlign w:val="center"/>
          </w:tcPr>
          <w:p w14:paraId="2A29F833"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27238A3B" w14:textId="77777777" w:rsidR="00742FCA" w:rsidRPr="00481D63" w:rsidRDefault="00742FCA" w:rsidP="0080431B">
            <w:pPr>
              <w:jc w:val="center"/>
              <w:rPr>
                <w:rFonts w:ascii="Arial" w:hAnsi="Arial" w:cs="Arial"/>
                <w:sz w:val="18"/>
              </w:rPr>
            </w:pPr>
            <w:r w:rsidRPr="00481D63">
              <w:rPr>
                <w:rFonts w:ascii="Arial" w:hAnsi="Arial" w:cs="Arial"/>
                <w:sz w:val="18"/>
              </w:rPr>
              <w:t>1</w:t>
            </w:r>
          </w:p>
        </w:tc>
        <w:tc>
          <w:tcPr>
            <w:tcW w:w="709" w:type="dxa"/>
            <w:shd w:val="clear" w:color="auto" w:fill="auto"/>
            <w:noWrap/>
            <w:vAlign w:val="center"/>
            <w:hideMark/>
          </w:tcPr>
          <w:p w14:paraId="197ABAC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6.30</w:t>
            </w:r>
          </w:p>
        </w:tc>
        <w:tc>
          <w:tcPr>
            <w:tcW w:w="708" w:type="dxa"/>
            <w:shd w:val="clear" w:color="auto" w:fill="auto"/>
            <w:noWrap/>
            <w:vAlign w:val="center"/>
            <w:hideMark/>
          </w:tcPr>
          <w:p w14:paraId="145C0065"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1</w:t>
            </w:r>
          </w:p>
        </w:tc>
        <w:tc>
          <w:tcPr>
            <w:tcW w:w="1134" w:type="dxa"/>
            <w:shd w:val="clear" w:color="auto" w:fill="auto"/>
            <w:noWrap/>
            <w:vAlign w:val="center"/>
            <w:hideMark/>
          </w:tcPr>
          <w:p w14:paraId="2887DA9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 M1</w:t>
            </w:r>
          </w:p>
        </w:tc>
        <w:tc>
          <w:tcPr>
            <w:tcW w:w="851" w:type="dxa"/>
            <w:shd w:val="clear" w:color="auto" w:fill="auto"/>
            <w:noWrap/>
            <w:vAlign w:val="center"/>
            <w:hideMark/>
          </w:tcPr>
          <w:p w14:paraId="7ED999A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13.37</w:t>
            </w:r>
          </w:p>
        </w:tc>
      </w:tr>
      <w:tr w:rsidR="00EE5B39" w:rsidRPr="00481D63" w14:paraId="7C49BD3C" w14:textId="77777777" w:rsidTr="0080431B">
        <w:trPr>
          <w:trHeight w:val="300"/>
        </w:trPr>
        <w:tc>
          <w:tcPr>
            <w:tcW w:w="959" w:type="dxa"/>
            <w:shd w:val="clear" w:color="auto" w:fill="auto"/>
            <w:noWrap/>
            <w:vAlign w:val="center"/>
            <w:hideMark/>
          </w:tcPr>
          <w:p w14:paraId="0C2D7E6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17</w:t>
            </w:r>
            <w:r w:rsidRPr="00212EFF">
              <w:rPr>
                <w:rFonts w:ascii="Arial" w:eastAsia="Times New Roman" w:hAnsi="Arial" w:cs="Arial"/>
                <w:b/>
                <w:color w:val="000000"/>
                <w:sz w:val="18"/>
                <w:szCs w:val="18"/>
                <w:lang w:eastAsia="en-GB"/>
              </w:rPr>
              <w:t>*</w:t>
            </w:r>
          </w:p>
        </w:tc>
        <w:tc>
          <w:tcPr>
            <w:tcW w:w="283" w:type="dxa"/>
            <w:shd w:val="clear" w:color="auto" w:fill="auto"/>
            <w:noWrap/>
            <w:vAlign w:val="center"/>
            <w:hideMark/>
          </w:tcPr>
          <w:p w14:paraId="485717A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50331A2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53</w:t>
            </w:r>
          </w:p>
        </w:tc>
        <w:tc>
          <w:tcPr>
            <w:tcW w:w="851" w:type="dxa"/>
            <w:shd w:val="clear" w:color="auto" w:fill="auto"/>
            <w:noWrap/>
            <w:vAlign w:val="center"/>
            <w:hideMark/>
          </w:tcPr>
          <w:p w14:paraId="537F957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9.29</w:t>
            </w:r>
          </w:p>
        </w:tc>
        <w:tc>
          <w:tcPr>
            <w:tcW w:w="992" w:type="dxa"/>
            <w:shd w:val="clear" w:color="auto" w:fill="auto"/>
            <w:noWrap/>
            <w:vAlign w:val="center"/>
            <w:hideMark/>
          </w:tcPr>
          <w:p w14:paraId="60952E9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1.14</w:t>
            </w:r>
          </w:p>
        </w:tc>
        <w:tc>
          <w:tcPr>
            <w:tcW w:w="851" w:type="dxa"/>
            <w:shd w:val="clear" w:color="auto" w:fill="auto"/>
            <w:noWrap/>
            <w:vAlign w:val="center"/>
            <w:hideMark/>
          </w:tcPr>
          <w:p w14:paraId="56298AE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w:t>
            </w:r>
          </w:p>
        </w:tc>
        <w:tc>
          <w:tcPr>
            <w:tcW w:w="992" w:type="dxa"/>
            <w:vAlign w:val="center"/>
          </w:tcPr>
          <w:p w14:paraId="12C2D2A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 xml:space="preserve">patient </w:t>
            </w:r>
            <w:r>
              <w:rPr>
                <w:rFonts w:ascii="Arial" w:eastAsia="Times New Roman" w:hAnsi="Arial" w:cs="Arial"/>
                <w:color w:val="000000"/>
                <w:sz w:val="18"/>
                <w:szCs w:val="18"/>
                <w:lang w:eastAsia="en-GB"/>
              </w:rPr>
              <w:t>choice</w:t>
            </w:r>
          </w:p>
        </w:tc>
        <w:tc>
          <w:tcPr>
            <w:tcW w:w="709" w:type="dxa"/>
            <w:shd w:val="clear" w:color="auto" w:fill="auto"/>
            <w:noWrap/>
            <w:vAlign w:val="center"/>
            <w:hideMark/>
          </w:tcPr>
          <w:p w14:paraId="571736F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30A5733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ypT0N2 (</w:t>
            </w:r>
            <w:r>
              <w:rPr>
                <w:rFonts w:ascii="Arial" w:eastAsia="Times New Roman" w:hAnsi="Arial" w:cs="Arial"/>
                <w:color w:val="000000"/>
                <w:sz w:val="18"/>
                <w:szCs w:val="18"/>
                <w:lang w:eastAsia="en-GB"/>
              </w:rPr>
              <w:t>12</w:t>
            </w:r>
            <w:r w:rsidRPr="00331D14">
              <w:rPr>
                <w:rFonts w:ascii="Arial" w:eastAsia="Times New Roman" w:hAnsi="Arial" w:cs="Arial"/>
                <w:color w:val="000000"/>
                <w:sz w:val="18"/>
                <w:szCs w:val="18"/>
                <w:lang w:eastAsia="en-GB"/>
              </w:rPr>
              <w:t>/</w:t>
            </w:r>
            <w:proofErr w:type="gramStart"/>
            <w:r w:rsidRPr="00331D14">
              <w:rPr>
                <w:rFonts w:ascii="Arial" w:eastAsia="Times New Roman" w:hAnsi="Arial" w:cs="Arial"/>
                <w:color w:val="000000"/>
                <w:sz w:val="18"/>
                <w:szCs w:val="18"/>
                <w:lang w:eastAsia="en-GB"/>
              </w:rPr>
              <w:t>23)Mx</w:t>
            </w:r>
            <w:proofErr w:type="gramEnd"/>
          </w:p>
        </w:tc>
        <w:tc>
          <w:tcPr>
            <w:tcW w:w="993" w:type="dxa"/>
            <w:vAlign w:val="center"/>
          </w:tcPr>
          <w:p w14:paraId="5641964A" w14:textId="77777777" w:rsidR="00742FCA" w:rsidRPr="00EE5B39" w:rsidRDefault="00742FCA" w:rsidP="0080431B">
            <w:pPr>
              <w:jc w:val="center"/>
              <w:rPr>
                <w:rFonts w:ascii="Arial" w:hAnsi="Arial" w:cs="Arial"/>
                <w:sz w:val="18"/>
              </w:rPr>
            </w:pPr>
            <w:r w:rsidRPr="00EE5B39">
              <w:rPr>
                <w:rFonts w:ascii="Arial" w:hAnsi="Arial" w:cs="Arial"/>
                <w:sz w:val="18"/>
              </w:rPr>
              <w:t>5</w:t>
            </w:r>
          </w:p>
        </w:tc>
        <w:tc>
          <w:tcPr>
            <w:tcW w:w="992" w:type="dxa"/>
            <w:vAlign w:val="center"/>
          </w:tcPr>
          <w:p w14:paraId="2D2F6D26"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0F7B2399" w14:textId="77777777" w:rsidR="00742FCA" w:rsidRPr="00481D63" w:rsidRDefault="00742FCA" w:rsidP="0080431B">
            <w:pPr>
              <w:jc w:val="center"/>
              <w:rPr>
                <w:rFonts w:ascii="Arial" w:hAnsi="Arial" w:cs="Arial"/>
                <w:sz w:val="18"/>
              </w:rPr>
            </w:pPr>
            <w:r w:rsidRPr="00481D63">
              <w:rPr>
                <w:rFonts w:ascii="Arial" w:hAnsi="Arial" w:cs="Arial"/>
                <w:sz w:val="18"/>
              </w:rPr>
              <w:t>1</w:t>
            </w:r>
          </w:p>
        </w:tc>
        <w:tc>
          <w:tcPr>
            <w:tcW w:w="709" w:type="dxa"/>
            <w:shd w:val="clear" w:color="auto" w:fill="auto"/>
            <w:noWrap/>
            <w:vAlign w:val="center"/>
            <w:hideMark/>
          </w:tcPr>
          <w:p w14:paraId="0211616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4.67</w:t>
            </w:r>
          </w:p>
        </w:tc>
        <w:tc>
          <w:tcPr>
            <w:tcW w:w="708" w:type="dxa"/>
            <w:shd w:val="clear" w:color="000000" w:fill="FFFFFF"/>
            <w:noWrap/>
            <w:vAlign w:val="center"/>
            <w:hideMark/>
          </w:tcPr>
          <w:p w14:paraId="6FD358F4"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1</w:t>
            </w:r>
          </w:p>
        </w:tc>
        <w:tc>
          <w:tcPr>
            <w:tcW w:w="1134" w:type="dxa"/>
            <w:shd w:val="clear" w:color="auto" w:fill="auto"/>
            <w:noWrap/>
            <w:vAlign w:val="center"/>
            <w:hideMark/>
          </w:tcPr>
          <w:p w14:paraId="1A0877F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 M1</w:t>
            </w:r>
          </w:p>
        </w:tc>
        <w:tc>
          <w:tcPr>
            <w:tcW w:w="851" w:type="dxa"/>
            <w:shd w:val="clear" w:color="auto" w:fill="auto"/>
            <w:noWrap/>
            <w:vAlign w:val="center"/>
            <w:hideMark/>
          </w:tcPr>
          <w:p w14:paraId="51EFEC5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16.90</w:t>
            </w:r>
          </w:p>
        </w:tc>
      </w:tr>
      <w:tr w:rsidR="00EE5B39" w:rsidRPr="00481D63" w14:paraId="735B911C" w14:textId="77777777" w:rsidTr="0080431B">
        <w:trPr>
          <w:trHeight w:val="300"/>
        </w:trPr>
        <w:tc>
          <w:tcPr>
            <w:tcW w:w="959" w:type="dxa"/>
            <w:shd w:val="clear" w:color="auto" w:fill="auto"/>
            <w:noWrap/>
            <w:vAlign w:val="center"/>
            <w:hideMark/>
          </w:tcPr>
          <w:p w14:paraId="33ED908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18</w:t>
            </w:r>
          </w:p>
        </w:tc>
        <w:tc>
          <w:tcPr>
            <w:tcW w:w="283" w:type="dxa"/>
            <w:shd w:val="clear" w:color="auto" w:fill="auto"/>
            <w:noWrap/>
            <w:vAlign w:val="center"/>
            <w:hideMark/>
          </w:tcPr>
          <w:p w14:paraId="3BCE238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6E36748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67</w:t>
            </w:r>
          </w:p>
        </w:tc>
        <w:tc>
          <w:tcPr>
            <w:tcW w:w="851" w:type="dxa"/>
            <w:shd w:val="clear" w:color="auto" w:fill="auto"/>
            <w:noWrap/>
            <w:vAlign w:val="center"/>
            <w:hideMark/>
          </w:tcPr>
          <w:p w14:paraId="3A21EBA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5.71</w:t>
            </w:r>
          </w:p>
        </w:tc>
        <w:tc>
          <w:tcPr>
            <w:tcW w:w="992" w:type="dxa"/>
            <w:shd w:val="clear" w:color="auto" w:fill="auto"/>
            <w:noWrap/>
            <w:vAlign w:val="center"/>
            <w:hideMark/>
          </w:tcPr>
          <w:p w14:paraId="425A934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1.00</w:t>
            </w:r>
          </w:p>
        </w:tc>
        <w:tc>
          <w:tcPr>
            <w:tcW w:w="851" w:type="dxa"/>
            <w:shd w:val="clear" w:color="auto" w:fill="auto"/>
            <w:noWrap/>
            <w:vAlign w:val="center"/>
            <w:hideMark/>
          </w:tcPr>
          <w:p w14:paraId="27D0DF5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1313D5B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7AFA4BD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6F3C045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ypT1pN0 (0/</w:t>
            </w:r>
            <w:proofErr w:type="gramStart"/>
            <w:r w:rsidRPr="00331D14">
              <w:rPr>
                <w:rFonts w:ascii="Arial" w:eastAsia="Times New Roman" w:hAnsi="Arial" w:cs="Arial"/>
                <w:color w:val="000000"/>
                <w:sz w:val="18"/>
                <w:szCs w:val="18"/>
                <w:lang w:eastAsia="en-GB"/>
              </w:rPr>
              <w:t>24)</w:t>
            </w:r>
            <w:proofErr w:type="spellStart"/>
            <w:r w:rsidRPr="00331D14">
              <w:rPr>
                <w:rFonts w:ascii="Arial" w:eastAsia="Times New Roman" w:hAnsi="Arial" w:cs="Arial"/>
                <w:color w:val="000000"/>
                <w:sz w:val="18"/>
                <w:szCs w:val="18"/>
                <w:lang w:eastAsia="en-GB"/>
              </w:rPr>
              <w:t>pMx</w:t>
            </w:r>
            <w:proofErr w:type="spellEnd"/>
            <w:proofErr w:type="gramEnd"/>
          </w:p>
        </w:tc>
        <w:tc>
          <w:tcPr>
            <w:tcW w:w="993" w:type="dxa"/>
            <w:vAlign w:val="center"/>
          </w:tcPr>
          <w:p w14:paraId="6C8069D4" w14:textId="77777777" w:rsidR="00742FCA" w:rsidRPr="00EE5B39" w:rsidRDefault="00742FCA" w:rsidP="0080431B">
            <w:pPr>
              <w:jc w:val="center"/>
              <w:rPr>
                <w:rFonts w:ascii="Arial" w:hAnsi="Arial" w:cs="Arial"/>
                <w:sz w:val="18"/>
              </w:rPr>
            </w:pPr>
            <w:r w:rsidRPr="00EE5B39">
              <w:rPr>
                <w:rFonts w:ascii="Arial" w:hAnsi="Arial" w:cs="Arial"/>
                <w:sz w:val="18"/>
              </w:rPr>
              <w:t>4</w:t>
            </w:r>
          </w:p>
        </w:tc>
        <w:tc>
          <w:tcPr>
            <w:tcW w:w="992" w:type="dxa"/>
            <w:vAlign w:val="center"/>
          </w:tcPr>
          <w:p w14:paraId="1568E893"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74AEFAEF"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77DD911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59.17</w:t>
            </w:r>
          </w:p>
        </w:tc>
        <w:tc>
          <w:tcPr>
            <w:tcW w:w="708" w:type="dxa"/>
            <w:shd w:val="clear" w:color="auto" w:fill="auto"/>
            <w:noWrap/>
            <w:vAlign w:val="center"/>
            <w:hideMark/>
          </w:tcPr>
          <w:p w14:paraId="0A151421"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65B1DC9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7367E22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61.13</w:t>
            </w:r>
          </w:p>
        </w:tc>
      </w:tr>
      <w:tr w:rsidR="00EE5B39" w:rsidRPr="00481D63" w14:paraId="14A3B453" w14:textId="77777777" w:rsidTr="0080431B">
        <w:trPr>
          <w:trHeight w:val="300"/>
        </w:trPr>
        <w:tc>
          <w:tcPr>
            <w:tcW w:w="959" w:type="dxa"/>
            <w:shd w:val="clear" w:color="auto" w:fill="auto"/>
            <w:noWrap/>
            <w:vAlign w:val="center"/>
            <w:hideMark/>
          </w:tcPr>
          <w:p w14:paraId="1ADAE02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19</w:t>
            </w:r>
          </w:p>
        </w:tc>
        <w:tc>
          <w:tcPr>
            <w:tcW w:w="283" w:type="dxa"/>
            <w:shd w:val="clear" w:color="auto" w:fill="auto"/>
            <w:noWrap/>
            <w:vAlign w:val="center"/>
            <w:hideMark/>
          </w:tcPr>
          <w:p w14:paraId="59D4F65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59FAD20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64</w:t>
            </w:r>
          </w:p>
        </w:tc>
        <w:tc>
          <w:tcPr>
            <w:tcW w:w="851" w:type="dxa"/>
            <w:shd w:val="clear" w:color="auto" w:fill="auto"/>
            <w:noWrap/>
            <w:vAlign w:val="center"/>
            <w:hideMark/>
          </w:tcPr>
          <w:p w14:paraId="0658246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6.00</w:t>
            </w:r>
          </w:p>
        </w:tc>
        <w:tc>
          <w:tcPr>
            <w:tcW w:w="992" w:type="dxa"/>
            <w:shd w:val="clear" w:color="auto" w:fill="auto"/>
            <w:noWrap/>
            <w:vAlign w:val="center"/>
            <w:hideMark/>
          </w:tcPr>
          <w:p w14:paraId="7E7905F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0.43</w:t>
            </w:r>
          </w:p>
        </w:tc>
        <w:tc>
          <w:tcPr>
            <w:tcW w:w="851" w:type="dxa"/>
            <w:shd w:val="clear" w:color="auto" w:fill="auto"/>
            <w:noWrap/>
            <w:vAlign w:val="center"/>
            <w:hideMark/>
          </w:tcPr>
          <w:p w14:paraId="03E6B55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44C69D2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1287818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7381509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y</w:t>
            </w:r>
            <w:r w:rsidRPr="00331D14">
              <w:rPr>
                <w:rFonts w:ascii="Arial" w:eastAsia="Times New Roman" w:hAnsi="Arial" w:cs="Arial"/>
                <w:color w:val="000000"/>
                <w:sz w:val="18"/>
                <w:szCs w:val="18"/>
                <w:lang w:eastAsia="en-GB"/>
              </w:rPr>
              <w:t>T2bN0 (0/</w:t>
            </w:r>
            <w:proofErr w:type="gramStart"/>
            <w:r w:rsidRPr="00331D14">
              <w:rPr>
                <w:rFonts w:ascii="Arial" w:eastAsia="Times New Roman" w:hAnsi="Arial" w:cs="Arial"/>
                <w:color w:val="000000"/>
                <w:sz w:val="18"/>
                <w:szCs w:val="18"/>
                <w:lang w:eastAsia="en-GB"/>
              </w:rPr>
              <w:t>25)Mx</w:t>
            </w:r>
            <w:proofErr w:type="gramEnd"/>
          </w:p>
        </w:tc>
        <w:tc>
          <w:tcPr>
            <w:tcW w:w="993" w:type="dxa"/>
            <w:vAlign w:val="center"/>
          </w:tcPr>
          <w:p w14:paraId="42FD994E" w14:textId="77777777" w:rsidR="00742FCA" w:rsidRPr="00EE5B39" w:rsidRDefault="00742FCA" w:rsidP="0080431B">
            <w:pPr>
              <w:jc w:val="center"/>
              <w:rPr>
                <w:rFonts w:ascii="Arial" w:hAnsi="Arial" w:cs="Arial"/>
                <w:sz w:val="18"/>
              </w:rPr>
            </w:pPr>
            <w:r w:rsidRPr="00EE5B39">
              <w:rPr>
                <w:rFonts w:ascii="Arial" w:hAnsi="Arial" w:cs="Arial"/>
                <w:sz w:val="18"/>
              </w:rPr>
              <w:t>17</w:t>
            </w:r>
          </w:p>
        </w:tc>
        <w:tc>
          <w:tcPr>
            <w:tcW w:w="992" w:type="dxa"/>
            <w:vAlign w:val="center"/>
          </w:tcPr>
          <w:p w14:paraId="15EF2745"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12C2450E"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41DFEC6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55.60</w:t>
            </w:r>
          </w:p>
        </w:tc>
        <w:tc>
          <w:tcPr>
            <w:tcW w:w="708" w:type="dxa"/>
            <w:shd w:val="clear" w:color="auto" w:fill="auto"/>
            <w:noWrap/>
            <w:vAlign w:val="center"/>
            <w:hideMark/>
          </w:tcPr>
          <w:p w14:paraId="467CD561"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3E12B94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6F5B178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58.30</w:t>
            </w:r>
          </w:p>
        </w:tc>
      </w:tr>
      <w:tr w:rsidR="00EE5B39" w:rsidRPr="00481D63" w14:paraId="7A21CDB4" w14:textId="77777777" w:rsidTr="0080431B">
        <w:trPr>
          <w:trHeight w:val="300"/>
        </w:trPr>
        <w:tc>
          <w:tcPr>
            <w:tcW w:w="959" w:type="dxa"/>
            <w:shd w:val="clear" w:color="auto" w:fill="auto"/>
            <w:noWrap/>
            <w:vAlign w:val="center"/>
            <w:hideMark/>
          </w:tcPr>
          <w:p w14:paraId="674992D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20</w:t>
            </w:r>
          </w:p>
        </w:tc>
        <w:tc>
          <w:tcPr>
            <w:tcW w:w="283" w:type="dxa"/>
            <w:shd w:val="clear" w:color="auto" w:fill="auto"/>
            <w:noWrap/>
            <w:vAlign w:val="center"/>
            <w:hideMark/>
          </w:tcPr>
          <w:p w14:paraId="0C9429C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F</w:t>
            </w:r>
          </w:p>
        </w:tc>
        <w:tc>
          <w:tcPr>
            <w:tcW w:w="567" w:type="dxa"/>
            <w:shd w:val="clear" w:color="auto" w:fill="auto"/>
            <w:noWrap/>
            <w:vAlign w:val="center"/>
            <w:hideMark/>
          </w:tcPr>
          <w:p w14:paraId="2B12F2E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73</w:t>
            </w:r>
          </w:p>
        </w:tc>
        <w:tc>
          <w:tcPr>
            <w:tcW w:w="851" w:type="dxa"/>
            <w:shd w:val="clear" w:color="auto" w:fill="auto"/>
            <w:noWrap/>
            <w:vAlign w:val="center"/>
            <w:hideMark/>
          </w:tcPr>
          <w:p w14:paraId="10FCA82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8.29</w:t>
            </w:r>
          </w:p>
        </w:tc>
        <w:tc>
          <w:tcPr>
            <w:tcW w:w="992" w:type="dxa"/>
            <w:shd w:val="clear" w:color="auto" w:fill="auto"/>
            <w:noWrap/>
            <w:vAlign w:val="center"/>
            <w:hideMark/>
          </w:tcPr>
          <w:p w14:paraId="47CC017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0.14</w:t>
            </w:r>
          </w:p>
        </w:tc>
        <w:tc>
          <w:tcPr>
            <w:tcW w:w="851" w:type="dxa"/>
            <w:shd w:val="clear" w:color="auto" w:fill="auto"/>
            <w:noWrap/>
            <w:vAlign w:val="center"/>
            <w:hideMark/>
          </w:tcPr>
          <w:p w14:paraId="7861F50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w:t>
            </w:r>
          </w:p>
        </w:tc>
        <w:tc>
          <w:tcPr>
            <w:tcW w:w="992" w:type="dxa"/>
            <w:vAlign w:val="center"/>
          </w:tcPr>
          <w:p w14:paraId="6101AE2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 xml:space="preserve">Patient </w:t>
            </w:r>
            <w:r>
              <w:rPr>
                <w:rFonts w:ascii="Arial" w:eastAsia="Times New Roman" w:hAnsi="Arial" w:cs="Arial"/>
                <w:color w:val="000000"/>
                <w:sz w:val="18"/>
                <w:szCs w:val="18"/>
                <w:lang w:eastAsia="en-GB"/>
              </w:rPr>
              <w:t>choice</w:t>
            </w:r>
          </w:p>
        </w:tc>
        <w:tc>
          <w:tcPr>
            <w:tcW w:w="709" w:type="dxa"/>
            <w:shd w:val="clear" w:color="auto" w:fill="auto"/>
            <w:noWrap/>
            <w:vAlign w:val="center"/>
            <w:hideMark/>
          </w:tcPr>
          <w:p w14:paraId="18824F2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5A236E3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ypT3bN0 (0/</w:t>
            </w:r>
            <w:proofErr w:type="gramStart"/>
            <w:r w:rsidRPr="00331D14">
              <w:rPr>
                <w:rFonts w:ascii="Arial" w:eastAsia="Times New Roman" w:hAnsi="Arial" w:cs="Arial"/>
                <w:color w:val="000000"/>
                <w:sz w:val="18"/>
                <w:szCs w:val="18"/>
                <w:lang w:eastAsia="en-GB"/>
              </w:rPr>
              <w:t>9)Mx</w:t>
            </w:r>
            <w:proofErr w:type="gramEnd"/>
          </w:p>
        </w:tc>
        <w:tc>
          <w:tcPr>
            <w:tcW w:w="993" w:type="dxa"/>
            <w:vAlign w:val="center"/>
          </w:tcPr>
          <w:p w14:paraId="1C485F7E" w14:textId="77777777" w:rsidR="00742FCA" w:rsidRPr="00EE5B39" w:rsidRDefault="00742FCA" w:rsidP="0080431B">
            <w:pPr>
              <w:jc w:val="center"/>
              <w:rPr>
                <w:rFonts w:ascii="Arial" w:hAnsi="Arial" w:cs="Arial"/>
                <w:sz w:val="18"/>
              </w:rPr>
            </w:pPr>
            <w:r w:rsidRPr="00EE5B39">
              <w:rPr>
                <w:rFonts w:ascii="Arial" w:hAnsi="Arial" w:cs="Arial"/>
                <w:sz w:val="18"/>
              </w:rPr>
              <w:t>7</w:t>
            </w:r>
          </w:p>
        </w:tc>
        <w:tc>
          <w:tcPr>
            <w:tcW w:w="992" w:type="dxa"/>
            <w:vAlign w:val="center"/>
          </w:tcPr>
          <w:p w14:paraId="1F8435FF"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2E184D95" w14:textId="77777777" w:rsidR="00742FCA" w:rsidRPr="00481D63" w:rsidRDefault="00742FCA" w:rsidP="0080431B">
            <w:pPr>
              <w:jc w:val="center"/>
              <w:rPr>
                <w:rFonts w:ascii="Arial" w:hAnsi="Arial" w:cs="Arial"/>
                <w:sz w:val="18"/>
              </w:rPr>
            </w:pPr>
            <w:r w:rsidRPr="00481D63">
              <w:rPr>
                <w:rFonts w:ascii="Arial" w:hAnsi="Arial" w:cs="Arial"/>
                <w:sz w:val="18"/>
              </w:rPr>
              <w:t>1</w:t>
            </w:r>
          </w:p>
        </w:tc>
        <w:tc>
          <w:tcPr>
            <w:tcW w:w="709" w:type="dxa"/>
            <w:shd w:val="clear" w:color="auto" w:fill="auto"/>
            <w:noWrap/>
            <w:vAlign w:val="center"/>
            <w:hideMark/>
          </w:tcPr>
          <w:p w14:paraId="75650DB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7.17</w:t>
            </w:r>
          </w:p>
        </w:tc>
        <w:tc>
          <w:tcPr>
            <w:tcW w:w="708" w:type="dxa"/>
            <w:shd w:val="clear" w:color="auto" w:fill="auto"/>
            <w:noWrap/>
            <w:vAlign w:val="center"/>
            <w:hideMark/>
          </w:tcPr>
          <w:p w14:paraId="40CC1559"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1</w:t>
            </w:r>
          </w:p>
        </w:tc>
        <w:tc>
          <w:tcPr>
            <w:tcW w:w="1134" w:type="dxa"/>
            <w:shd w:val="clear" w:color="auto" w:fill="auto"/>
            <w:noWrap/>
            <w:vAlign w:val="center"/>
            <w:hideMark/>
          </w:tcPr>
          <w:p w14:paraId="705BD88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 M1</w:t>
            </w:r>
          </w:p>
        </w:tc>
        <w:tc>
          <w:tcPr>
            <w:tcW w:w="851" w:type="dxa"/>
            <w:shd w:val="clear" w:color="auto" w:fill="auto"/>
            <w:noWrap/>
            <w:vAlign w:val="center"/>
            <w:hideMark/>
          </w:tcPr>
          <w:p w14:paraId="0E8E09F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9.53</w:t>
            </w:r>
          </w:p>
        </w:tc>
      </w:tr>
      <w:tr w:rsidR="00EE5B39" w:rsidRPr="00481D63" w14:paraId="4D4D672F" w14:textId="77777777" w:rsidTr="0080431B">
        <w:trPr>
          <w:trHeight w:val="300"/>
        </w:trPr>
        <w:tc>
          <w:tcPr>
            <w:tcW w:w="959" w:type="dxa"/>
            <w:shd w:val="clear" w:color="auto" w:fill="auto"/>
            <w:noWrap/>
            <w:vAlign w:val="center"/>
            <w:hideMark/>
          </w:tcPr>
          <w:p w14:paraId="7DDD655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21</w:t>
            </w:r>
          </w:p>
        </w:tc>
        <w:tc>
          <w:tcPr>
            <w:tcW w:w="283" w:type="dxa"/>
            <w:shd w:val="clear" w:color="auto" w:fill="auto"/>
            <w:noWrap/>
            <w:vAlign w:val="center"/>
            <w:hideMark/>
          </w:tcPr>
          <w:p w14:paraId="318539E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5F0C476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73</w:t>
            </w:r>
          </w:p>
        </w:tc>
        <w:tc>
          <w:tcPr>
            <w:tcW w:w="851" w:type="dxa"/>
            <w:shd w:val="clear" w:color="auto" w:fill="auto"/>
            <w:noWrap/>
            <w:vAlign w:val="center"/>
            <w:hideMark/>
          </w:tcPr>
          <w:p w14:paraId="751B785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9.00</w:t>
            </w:r>
          </w:p>
        </w:tc>
        <w:tc>
          <w:tcPr>
            <w:tcW w:w="992" w:type="dxa"/>
            <w:shd w:val="clear" w:color="auto" w:fill="auto"/>
            <w:noWrap/>
            <w:vAlign w:val="center"/>
            <w:hideMark/>
          </w:tcPr>
          <w:p w14:paraId="39E426C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0.14</w:t>
            </w:r>
          </w:p>
        </w:tc>
        <w:tc>
          <w:tcPr>
            <w:tcW w:w="851" w:type="dxa"/>
            <w:shd w:val="clear" w:color="auto" w:fill="auto"/>
            <w:noWrap/>
            <w:vAlign w:val="center"/>
            <w:hideMark/>
          </w:tcPr>
          <w:p w14:paraId="00B0684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0A9E1AC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6E77199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6A1DA98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ypT0ypN0(0/</w:t>
            </w:r>
            <w:proofErr w:type="gramStart"/>
            <w:r w:rsidRPr="00331D14">
              <w:rPr>
                <w:rFonts w:ascii="Arial" w:eastAsia="Times New Roman" w:hAnsi="Arial" w:cs="Arial"/>
                <w:color w:val="000000"/>
                <w:sz w:val="18"/>
                <w:szCs w:val="18"/>
                <w:lang w:eastAsia="en-GB"/>
              </w:rPr>
              <w:t>20)Mx</w:t>
            </w:r>
            <w:proofErr w:type="gramEnd"/>
          </w:p>
        </w:tc>
        <w:tc>
          <w:tcPr>
            <w:tcW w:w="993" w:type="dxa"/>
            <w:vAlign w:val="center"/>
          </w:tcPr>
          <w:p w14:paraId="0EFCB4D3" w14:textId="77777777" w:rsidR="00742FCA" w:rsidRPr="00EE5B39" w:rsidRDefault="00742FCA" w:rsidP="0080431B">
            <w:pPr>
              <w:jc w:val="center"/>
              <w:rPr>
                <w:rFonts w:ascii="Arial" w:hAnsi="Arial" w:cs="Arial"/>
                <w:sz w:val="18"/>
              </w:rPr>
            </w:pPr>
            <w:r w:rsidRPr="00EE5B39">
              <w:rPr>
                <w:rFonts w:ascii="Arial" w:hAnsi="Arial" w:cs="Arial"/>
                <w:sz w:val="18"/>
              </w:rPr>
              <w:t>5</w:t>
            </w:r>
          </w:p>
        </w:tc>
        <w:tc>
          <w:tcPr>
            <w:tcW w:w="992" w:type="dxa"/>
            <w:vAlign w:val="center"/>
          </w:tcPr>
          <w:p w14:paraId="0FB1B8E7"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300F3CE0"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539F37B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51.47</w:t>
            </w:r>
          </w:p>
        </w:tc>
        <w:tc>
          <w:tcPr>
            <w:tcW w:w="708" w:type="dxa"/>
            <w:shd w:val="clear" w:color="auto" w:fill="auto"/>
            <w:noWrap/>
            <w:vAlign w:val="center"/>
            <w:hideMark/>
          </w:tcPr>
          <w:p w14:paraId="1E2A29C0"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5290674B"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851" w:type="dxa"/>
            <w:shd w:val="clear" w:color="auto" w:fill="auto"/>
            <w:noWrap/>
            <w:vAlign w:val="center"/>
            <w:hideMark/>
          </w:tcPr>
          <w:p w14:paraId="08D7791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52.60</w:t>
            </w:r>
          </w:p>
        </w:tc>
      </w:tr>
      <w:tr w:rsidR="00EE5B39" w:rsidRPr="00481D63" w14:paraId="32658411" w14:textId="77777777" w:rsidTr="0080431B">
        <w:trPr>
          <w:trHeight w:val="300"/>
        </w:trPr>
        <w:tc>
          <w:tcPr>
            <w:tcW w:w="959" w:type="dxa"/>
            <w:shd w:val="clear" w:color="auto" w:fill="auto"/>
            <w:noWrap/>
            <w:vAlign w:val="center"/>
            <w:hideMark/>
          </w:tcPr>
          <w:p w14:paraId="2D7C4B4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22</w:t>
            </w:r>
          </w:p>
        </w:tc>
        <w:tc>
          <w:tcPr>
            <w:tcW w:w="283" w:type="dxa"/>
            <w:shd w:val="clear" w:color="auto" w:fill="auto"/>
            <w:noWrap/>
            <w:vAlign w:val="center"/>
            <w:hideMark/>
          </w:tcPr>
          <w:p w14:paraId="14605DB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4FF7686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68</w:t>
            </w:r>
          </w:p>
        </w:tc>
        <w:tc>
          <w:tcPr>
            <w:tcW w:w="851" w:type="dxa"/>
            <w:shd w:val="clear" w:color="auto" w:fill="auto"/>
            <w:noWrap/>
            <w:vAlign w:val="center"/>
            <w:hideMark/>
          </w:tcPr>
          <w:p w14:paraId="616C2E9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8.71</w:t>
            </w:r>
          </w:p>
        </w:tc>
        <w:tc>
          <w:tcPr>
            <w:tcW w:w="992" w:type="dxa"/>
            <w:shd w:val="clear" w:color="auto" w:fill="auto"/>
            <w:noWrap/>
            <w:vAlign w:val="center"/>
            <w:hideMark/>
          </w:tcPr>
          <w:p w14:paraId="0E4489D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3.71</w:t>
            </w:r>
          </w:p>
        </w:tc>
        <w:tc>
          <w:tcPr>
            <w:tcW w:w="851" w:type="dxa"/>
            <w:shd w:val="clear" w:color="auto" w:fill="auto"/>
            <w:noWrap/>
            <w:vAlign w:val="center"/>
            <w:hideMark/>
          </w:tcPr>
          <w:p w14:paraId="7669946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4B706C8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3300107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2483AEF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ypT0yN0(0/</w:t>
            </w:r>
            <w:proofErr w:type="gramStart"/>
            <w:r w:rsidRPr="00331D14">
              <w:rPr>
                <w:rFonts w:ascii="Arial" w:eastAsia="Times New Roman" w:hAnsi="Arial" w:cs="Arial"/>
                <w:color w:val="000000"/>
                <w:sz w:val="18"/>
                <w:szCs w:val="18"/>
                <w:lang w:eastAsia="en-GB"/>
              </w:rPr>
              <w:t>9)Mx</w:t>
            </w:r>
            <w:proofErr w:type="gramEnd"/>
          </w:p>
        </w:tc>
        <w:tc>
          <w:tcPr>
            <w:tcW w:w="993" w:type="dxa"/>
            <w:vAlign w:val="center"/>
          </w:tcPr>
          <w:p w14:paraId="6ADD2E59" w14:textId="77777777" w:rsidR="00742FCA" w:rsidRPr="00EE5B39" w:rsidRDefault="00742FCA" w:rsidP="0080431B">
            <w:pPr>
              <w:jc w:val="center"/>
              <w:rPr>
                <w:rFonts w:ascii="Arial" w:hAnsi="Arial" w:cs="Arial"/>
                <w:sz w:val="18"/>
              </w:rPr>
            </w:pPr>
            <w:r w:rsidRPr="00EE5B39">
              <w:rPr>
                <w:rFonts w:ascii="Arial" w:hAnsi="Arial" w:cs="Arial"/>
                <w:sz w:val="18"/>
              </w:rPr>
              <w:t>4</w:t>
            </w:r>
          </w:p>
        </w:tc>
        <w:tc>
          <w:tcPr>
            <w:tcW w:w="992" w:type="dxa"/>
            <w:vAlign w:val="center"/>
          </w:tcPr>
          <w:p w14:paraId="4247F1A3"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5D0DC3DE"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74200AB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44.93</w:t>
            </w:r>
          </w:p>
        </w:tc>
        <w:tc>
          <w:tcPr>
            <w:tcW w:w="708" w:type="dxa"/>
            <w:shd w:val="clear" w:color="auto" w:fill="auto"/>
            <w:noWrap/>
            <w:vAlign w:val="center"/>
            <w:hideMark/>
          </w:tcPr>
          <w:p w14:paraId="0C47097C"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1C43A427"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851" w:type="dxa"/>
            <w:shd w:val="clear" w:color="auto" w:fill="auto"/>
            <w:noWrap/>
            <w:vAlign w:val="center"/>
            <w:hideMark/>
          </w:tcPr>
          <w:p w14:paraId="69FD384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50.63</w:t>
            </w:r>
          </w:p>
        </w:tc>
      </w:tr>
      <w:tr w:rsidR="00EE5B39" w:rsidRPr="00481D63" w14:paraId="3696EBF6" w14:textId="77777777" w:rsidTr="0080431B">
        <w:trPr>
          <w:trHeight w:val="300"/>
        </w:trPr>
        <w:tc>
          <w:tcPr>
            <w:tcW w:w="959" w:type="dxa"/>
            <w:shd w:val="clear" w:color="auto" w:fill="auto"/>
            <w:noWrap/>
            <w:vAlign w:val="center"/>
            <w:hideMark/>
          </w:tcPr>
          <w:p w14:paraId="7B884C7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lastRenderedPageBreak/>
              <w:t>23</w:t>
            </w:r>
          </w:p>
        </w:tc>
        <w:tc>
          <w:tcPr>
            <w:tcW w:w="283" w:type="dxa"/>
            <w:shd w:val="clear" w:color="auto" w:fill="auto"/>
            <w:noWrap/>
            <w:vAlign w:val="center"/>
            <w:hideMark/>
          </w:tcPr>
          <w:p w14:paraId="36E9D48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F</w:t>
            </w:r>
          </w:p>
        </w:tc>
        <w:tc>
          <w:tcPr>
            <w:tcW w:w="567" w:type="dxa"/>
            <w:shd w:val="clear" w:color="auto" w:fill="auto"/>
            <w:noWrap/>
            <w:vAlign w:val="center"/>
            <w:hideMark/>
          </w:tcPr>
          <w:p w14:paraId="438B4FE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78</w:t>
            </w:r>
          </w:p>
        </w:tc>
        <w:tc>
          <w:tcPr>
            <w:tcW w:w="851" w:type="dxa"/>
            <w:shd w:val="clear" w:color="auto" w:fill="auto"/>
            <w:noWrap/>
            <w:vAlign w:val="center"/>
            <w:hideMark/>
          </w:tcPr>
          <w:p w14:paraId="528448D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8.57</w:t>
            </w:r>
          </w:p>
        </w:tc>
        <w:tc>
          <w:tcPr>
            <w:tcW w:w="992" w:type="dxa"/>
            <w:shd w:val="clear" w:color="auto" w:fill="auto"/>
            <w:noWrap/>
            <w:vAlign w:val="center"/>
            <w:hideMark/>
          </w:tcPr>
          <w:p w14:paraId="37EB8C1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0.14</w:t>
            </w:r>
          </w:p>
        </w:tc>
        <w:tc>
          <w:tcPr>
            <w:tcW w:w="851" w:type="dxa"/>
            <w:shd w:val="clear" w:color="auto" w:fill="auto"/>
            <w:noWrap/>
            <w:vAlign w:val="center"/>
            <w:hideMark/>
          </w:tcPr>
          <w:p w14:paraId="62693CD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7A500E0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6C37CB8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338907B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ypT3bN0(0/</w:t>
            </w:r>
            <w:proofErr w:type="gramStart"/>
            <w:r w:rsidRPr="00331D14">
              <w:rPr>
                <w:rFonts w:ascii="Arial" w:eastAsia="Times New Roman" w:hAnsi="Arial" w:cs="Arial"/>
                <w:color w:val="000000"/>
                <w:sz w:val="18"/>
                <w:szCs w:val="18"/>
                <w:lang w:eastAsia="en-GB"/>
              </w:rPr>
              <w:t>17)Mx</w:t>
            </w:r>
            <w:proofErr w:type="gramEnd"/>
          </w:p>
        </w:tc>
        <w:tc>
          <w:tcPr>
            <w:tcW w:w="993" w:type="dxa"/>
            <w:vAlign w:val="center"/>
          </w:tcPr>
          <w:p w14:paraId="2AF8C394" w14:textId="77777777" w:rsidR="00742FCA" w:rsidRPr="00EE5B39" w:rsidRDefault="00742FCA" w:rsidP="0080431B">
            <w:pPr>
              <w:jc w:val="center"/>
              <w:rPr>
                <w:rFonts w:ascii="Arial" w:hAnsi="Arial" w:cs="Arial"/>
                <w:sz w:val="18"/>
              </w:rPr>
            </w:pPr>
            <w:r w:rsidRPr="00EE5B39">
              <w:rPr>
                <w:rFonts w:ascii="Arial" w:hAnsi="Arial" w:cs="Arial"/>
                <w:sz w:val="18"/>
              </w:rPr>
              <w:t>11</w:t>
            </w:r>
          </w:p>
        </w:tc>
        <w:tc>
          <w:tcPr>
            <w:tcW w:w="992" w:type="dxa"/>
            <w:vAlign w:val="center"/>
          </w:tcPr>
          <w:p w14:paraId="2473DA09"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0B8059DF" w14:textId="77777777" w:rsidR="00742FCA" w:rsidRPr="00481D63" w:rsidRDefault="00742FCA" w:rsidP="0080431B">
            <w:pPr>
              <w:jc w:val="center"/>
              <w:rPr>
                <w:rFonts w:ascii="Arial" w:hAnsi="Arial" w:cs="Arial"/>
                <w:sz w:val="18"/>
              </w:rPr>
            </w:pPr>
            <w:r w:rsidRPr="00481D63">
              <w:rPr>
                <w:rFonts w:ascii="Arial" w:hAnsi="Arial" w:cs="Arial"/>
                <w:sz w:val="18"/>
              </w:rPr>
              <w:t>1</w:t>
            </w:r>
          </w:p>
        </w:tc>
        <w:tc>
          <w:tcPr>
            <w:tcW w:w="709" w:type="dxa"/>
            <w:shd w:val="clear" w:color="auto" w:fill="auto"/>
            <w:noWrap/>
            <w:vAlign w:val="center"/>
            <w:hideMark/>
          </w:tcPr>
          <w:p w14:paraId="5604883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6.70</w:t>
            </w:r>
          </w:p>
        </w:tc>
        <w:tc>
          <w:tcPr>
            <w:tcW w:w="708" w:type="dxa"/>
            <w:shd w:val="clear" w:color="auto" w:fill="auto"/>
            <w:noWrap/>
            <w:vAlign w:val="center"/>
            <w:hideMark/>
          </w:tcPr>
          <w:p w14:paraId="06EB9043"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1</w:t>
            </w:r>
          </w:p>
        </w:tc>
        <w:tc>
          <w:tcPr>
            <w:tcW w:w="1134" w:type="dxa"/>
            <w:shd w:val="clear" w:color="auto" w:fill="auto"/>
            <w:noWrap/>
            <w:vAlign w:val="center"/>
            <w:hideMark/>
          </w:tcPr>
          <w:p w14:paraId="160A16B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PD, M1</w:t>
            </w:r>
          </w:p>
        </w:tc>
        <w:tc>
          <w:tcPr>
            <w:tcW w:w="851" w:type="dxa"/>
            <w:shd w:val="clear" w:color="auto" w:fill="auto"/>
            <w:noWrap/>
            <w:vAlign w:val="center"/>
            <w:hideMark/>
          </w:tcPr>
          <w:p w14:paraId="1C16ED3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7.90</w:t>
            </w:r>
          </w:p>
        </w:tc>
      </w:tr>
      <w:tr w:rsidR="00EE5B39" w:rsidRPr="00481D63" w14:paraId="7004B5E0" w14:textId="77777777" w:rsidTr="0080431B">
        <w:trPr>
          <w:trHeight w:val="300"/>
        </w:trPr>
        <w:tc>
          <w:tcPr>
            <w:tcW w:w="959" w:type="dxa"/>
            <w:shd w:val="clear" w:color="auto" w:fill="auto"/>
            <w:noWrap/>
            <w:vAlign w:val="center"/>
            <w:hideMark/>
          </w:tcPr>
          <w:p w14:paraId="56E710C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24</w:t>
            </w:r>
          </w:p>
        </w:tc>
        <w:tc>
          <w:tcPr>
            <w:tcW w:w="283" w:type="dxa"/>
            <w:shd w:val="clear" w:color="auto" w:fill="auto"/>
            <w:noWrap/>
            <w:vAlign w:val="center"/>
            <w:hideMark/>
          </w:tcPr>
          <w:p w14:paraId="797CCA3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4367555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78</w:t>
            </w:r>
          </w:p>
        </w:tc>
        <w:tc>
          <w:tcPr>
            <w:tcW w:w="851" w:type="dxa"/>
            <w:shd w:val="clear" w:color="auto" w:fill="auto"/>
            <w:noWrap/>
            <w:vAlign w:val="center"/>
            <w:hideMark/>
          </w:tcPr>
          <w:p w14:paraId="6E42841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8.71</w:t>
            </w:r>
          </w:p>
        </w:tc>
        <w:tc>
          <w:tcPr>
            <w:tcW w:w="992" w:type="dxa"/>
            <w:shd w:val="clear" w:color="auto" w:fill="auto"/>
            <w:noWrap/>
            <w:vAlign w:val="center"/>
            <w:hideMark/>
          </w:tcPr>
          <w:p w14:paraId="08D3104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0.86</w:t>
            </w:r>
          </w:p>
        </w:tc>
        <w:tc>
          <w:tcPr>
            <w:tcW w:w="851" w:type="dxa"/>
            <w:shd w:val="clear" w:color="auto" w:fill="auto"/>
            <w:noWrap/>
            <w:vAlign w:val="center"/>
            <w:hideMark/>
          </w:tcPr>
          <w:p w14:paraId="242408B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w:t>
            </w:r>
          </w:p>
        </w:tc>
        <w:tc>
          <w:tcPr>
            <w:tcW w:w="992" w:type="dxa"/>
            <w:vAlign w:val="center"/>
          </w:tcPr>
          <w:p w14:paraId="156E888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AE</w:t>
            </w:r>
          </w:p>
        </w:tc>
        <w:tc>
          <w:tcPr>
            <w:tcW w:w="709" w:type="dxa"/>
            <w:shd w:val="clear" w:color="auto" w:fill="auto"/>
            <w:noWrap/>
            <w:vAlign w:val="center"/>
            <w:hideMark/>
          </w:tcPr>
          <w:p w14:paraId="4C778FA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21CF153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ypTisN0(0/</w:t>
            </w:r>
            <w:proofErr w:type="gramStart"/>
            <w:r w:rsidRPr="00331D14">
              <w:rPr>
                <w:rFonts w:ascii="Arial" w:eastAsia="Times New Roman" w:hAnsi="Arial" w:cs="Arial"/>
                <w:color w:val="000000"/>
                <w:sz w:val="18"/>
                <w:szCs w:val="18"/>
                <w:lang w:eastAsia="en-GB"/>
              </w:rPr>
              <w:t>9)Mx</w:t>
            </w:r>
            <w:proofErr w:type="gramEnd"/>
          </w:p>
        </w:tc>
        <w:tc>
          <w:tcPr>
            <w:tcW w:w="993" w:type="dxa"/>
            <w:vAlign w:val="center"/>
          </w:tcPr>
          <w:p w14:paraId="206DE27B" w14:textId="77777777" w:rsidR="00742FCA" w:rsidRPr="00EE5B39" w:rsidRDefault="00742FCA" w:rsidP="0080431B">
            <w:pPr>
              <w:jc w:val="center"/>
              <w:rPr>
                <w:rFonts w:ascii="Arial" w:hAnsi="Arial" w:cs="Arial"/>
                <w:sz w:val="18"/>
              </w:rPr>
            </w:pPr>
            <w:r w:rsidRPr="00EE5B39">
              <w:rPr>
                <w:rFonts w:ascii="Arial" w:hAnsi="Arial" w:cs="Arial"/>
                <w:sz w:val="18"/>
              </w:rPr>
              <w:t>10</w:t>
            </w:r>
          </w:p>
        </w:tc>
        <w:tc>
          <w:tcPr>
            <w:tcW w:w="992" w:type="dxa"/>
            <w:vAlign w:val="center"/>
          </w:tcPr>
          <w:p w14:paraId="32965A0F"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4D09AEF7"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078A187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43.13</w:t>
            </w:r>
          </w:p>
        </w:tc>
        <w:tc>
          <w:tcPr>
            <w:tcW w:w="708" w:type="dxa"/>
            <w:shd w:val="clear" w:color="auto" w:fill="auto"/>
            <w:noWrap/>
            <w:vAlign w:val="center"/>
            <w:hideMark/>
          </w:tcPr>
          <w:p w14:paraId="57D8714E"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257F976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2AE00AA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43.70</w:t>
            </w:r>
          </w:p>
        </w:tc>
      </w:tr>
      <w:tr w:rsidR="00EE5B39" w:rsidRPr="00481D63" w14:paraId="1437C0D4" w14:textId="77777777" w:rsidTr="0080431B">
        <w:trPr>
          <w:trHeight w:val="300"/>
        </w:trPr>
        <w:tc>
          <w:tcPr>
            <w:tcW w:w="959" w:type="dxa"/>
            <w:shd w:val="clear" w:color="auto" w:fill="auto"/>
            <w:noWrap/>
            <w:vAlign w:val="center"/>
            <w:hideMark/>
          </w:tcPr>
          <w:p w14:paraId="7FC2481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25</w:t>
            </w:r>
          </w:p>
        </w:tc>
        <w:tc>
          <w:tcPr>
            <w:tcW w:w="283" w:type="dxa"/>
            <w:shd w:val="clear" w:color="auto" w:fill="auto"/>
            <w:noWrap/>
            <w:vAlign w:val="center"/>
            <w:hideMark/>
          </w:tcPr>
          <w:p w14:paraId="5B545B9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F</w:t>
            </w:r>
          </w:p>
        </w:tc>
        <w:tc>
          <w:tcPr>
            <w:tcW w:w="567" w:type="dxa"/>
            <w:shd w:val="clear" w:color="auto" w:fill="auto"/>
            <w:noWrap/>
            <w:vAlign w:val="center"/>
            <w:hideMark/>
          </w:tcPr>
          <w:p w14:paraId="4E4B9E5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70</w:t>
            </w:r>
          </w:p>
        </w:tc>
        <w:tc>
          <w:tcPr>
            <w:tcW w:w="851" w:type="dxa"/>
            <w:shd w:val="clear" w:color="auto" w:fill="auto"/>
            <w:noWrap/>
            <w:vAlign w:val="center"/>
            <w:hideMark/>
          </w:tcPr>
          <w:p w14:paraId="4605E5D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7.86</w:t>
            </w:r>
          </w:p>
        </w:tc>
        <w:tc>
          <w:tcPr>
            <w:tcW w:w="992" w:type="dxa"/>
            <w:shd w:val="clear" w:color="auto" w:fill="auto"/>
            <w:noWrap/>
            <w:vAlign w:val="center"/>
            <w:hideMark/>
          </w:tcPr>
          <w:p w14:paraId="6B5037F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0.14</w:t>
            </w:r>
          </w:p>
        </w:tc>
        <w:tc>
          <w:tcPr>
            <w:tcW w:w="851" w:type="dxa"/>
            <w:shd w:val="clear" w:color="auto" w:fill="auto"/>
            <w:noWrap/>
            <w:vAlign w:val="center"/>
            <w:hideMark/>
          </w:tcPr>
          <w:p w14:paraId="7F7FA8B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5F775D5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0145117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51BB34C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ypT0N0 (0/</w:t>
            </w:r>
            <w:proofErr w:type="gramStart"/>
            <w:r w:rsidRPr="00331D14">
              <w:rPr>
                <w:rFonts w:ascii="Arial" w:eastAsia="Times New Roman" w:hAnsi="Arial" w:cs="Arial"/>
                <w:color w:val="000000"/>
                <w:sz w:val="18"/>
                <w:szCs w:val="18"/>
                <w:lang w:eastAsia="en-GB"/>
              </w:rPr>
              <w:t>29)Mx</w:t>
            </w:r>
            <w:proofErr w:type="gramEnd"/>
          </w:p>
        </w:tc>
        <w:tc>
          <w:tcPr>
            <w:tcW w:w="993" w:type="dxa"/>
            <w:vAlign w:val="center"/>
          </w:tcPr>
          <w:p w14:paraId="15E3B100" w14:textId="77777777" w:rsidR="00742FCA" w:rsidRPr="00EE5B39" w:rsidRDefault="00742FCA" w:rsidP="0080431B">
            <w:pPr>
              <w:jc w:val="center"/>
              <w:rPr>
                <w:rFonts w:ascii="Arial" w:hAnsi="Arial" w:cs="Arial"/>
                <w:sz w:val="18"/>
              </w:rPr>
            </w:pPr>
            <w:r w:rsidRPr="00EE5B39">
              <w:rPr>
                <w:rFonts w:ascii="Arial" w:hAnsi="Arial" w:cs="Arial"/>
                <w:sz w:val="18"/>
              </w:rPr>
              <w:t>5</w:t>
            </w:r>
          </w:p>
        </w:tc>
        <w:tc>
          <w:tcPr>
            <w:tcW w:w="992" w:type="dxa"/>
            <w:vAlign w:val="center"/>
          </w:tcPr>
          <w:p w14:paraId="5B0A069E"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2AACCF64"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429CE9B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41.27</w:t>
            </w:r>
          </w:p>
        </w:tc>
        <w:tc>
          <w:tcPr>
            <w:tcW w:w="708" w:type="dxa"/>
            <w:shd w:val="clear" w:color="auto" w:fill="auto"/>
            <w:noWrap/>
            <w:vAlign w:val="center"/>
            <w:hideMark/>
          </w:tcPr>
          <w:p w14:paraId="18BE3E9D"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5574C48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7BA56C46"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43.53</w:t>
            </w:r>
          </w:p>
        </w:tc>
      </w:tr>
      <w:tr w:rsidR="00EE5B39" w:rsidRPr="00481D63" w14:paraId="1F8DD617" w14:textId="77777777" w:rsidTr="0080431B">
        <w:trPr>
          <w:trHeight w:val="300"/>
        </w:trPr>
        <w:tc>
          <w:tcPr>
            <w:tcW w:w="959" w:type="dxa"/>
            <w:shd w:val="clear" w:color="auto" w:fill="auto"/>
            <w:noWrap/>
            <w:vAlign w:val="center"/>
            <w:hideMark/>
          </w:tcPr>
          <w:p w14:paraId="39ED412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26</w:t>
            </w:r>
          </w:p>
        </w:tc>
        <w:tc>
          <w:tcPr>
            <w:tcW w:w="283" w:type="dxa"/>
            <w:shd w:val="clear" w:color="auto" w:fill="auto"/>
            <w:noWrap/>
            <w:vAlign w:val="center"/>
            <w:hideMark/>
          </w:tcPr>
          <w:p w14:paraId="5DEA7C7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07B4E92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76</w:t>
            </w:r>
          </w:p>
        </w:tc>
        <w:tc>
          <w:tcPr>
            <w:tcW w:w="851" w:type="dxa"/>
            <w:shd w:val="clear" w:color="auto" w:fill="auto"/>
            <w:noWrap/>
            <w:vAlign w:val="center"/>
            <w:hideMark/>
          </w:tcPr>
          <w:p w14:paraId="42601D9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5.43</w:t>
            </w:r>
          </w:p>
        </w:tc>
        <w:tc>
          <w:tcPr>
            <w:tcW w:w="992" w:type="dxa"/>
            <w:shd w:val="clear" w:color="auto" w:fill="auto"/>
            <w:noWrap/>
            <w:vAlign w:val="center"/>
            <w:hideMark/>
          </w:tcPr>
          <w:p w14:paraId="7C5BB65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0.57</w:t>
            </w:r>
          </w:p>
        </w:tc>
        <w:tc>
          <w:tcPr>
            <w:tcW w:w="851" w:type="dxa"/>
            <w:shd w:val="clear" w:color="auto" w:fill="auto"/>
            <w:noWrap/>
            <w:vAlign w:val="center"/>
            <w:hideMark/>
          </w:tcPr>
          <w:p w14:paraId="65701AC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18C0FE9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3EF4CC9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50588FF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ypT0ypN0(0/</w:t>
            </w:r>
            <w:proofErr w:type="gramStart"/>
            <w:r w:rsidRPr="00331D14">
              <w:rPr>
                <w:rFonts w:ascii="Arial" w:eastAsia="Times New Roman" w:hAnsi="Arial" w:cs="Arial"/>
                <w:color w:val="000000"/>
                <w:sz w:val="18"/>
                <w:szCs w:val="18"/>
                <w:lang w:eastAsia="en-GB"/>
              </w:rPr>
              <w:t>14)Mx</w:t>
            </w:r>
            <w:proofErr w:type="gramEnd"/>
          </w:p>
        </w:tc>
        <w:tc>
          <w:tcPr>
            <w:tcW w:w="993" w:type="dxa"/>
            <w:vAlign w:val="center"/>
          </w:tcPr>
          <w:p w14:paraId="709901C0" w14:textId="77777777" w:rsidR="00742FCA" w:rsidRPr="00EE5B39" w:rsidRDefault="00742FCA" w:rsidP="0080431B">
            <w:pPr>
              <w:jc w:val="center"/>
              <w:rPr>
                <w:rFonts w:ascii="Arial" w:hAnsi="Arial" w:cs="Arial"/>
                <w:sz w:val="18"/>
              </w:rPr>
            </w:pPr>
            <w:r w:rsidRPr="00EE5B39">
              <w:rPr>
                <w:rFonts w:ascii="Arial" w:hAnsi="Arial" w:cs="Arial"/>
                <w:sz w:val="18"/>
              </w:rPr>
              <w:t>77</w:t>
            </w:r>
          </w:p>
        </w:tc>
        <w:tc>
          <w:tcPr>
            <w:tcW w:w="992" w:type="dxa"/>
            <w:vAlign w:val="center"/>
          </w:tcPr>
          <w:p w14:paraId="38E513F8" w14:textId="77777777" w:rsidR="00742FCA" w:rsidRPr="00EE5B39" w:rsidRDefault="00742FCA" w:rsidP="0080431B">
            <w:pPr>
              <w:jc w:val="center"/>
              <w:rPr>
                <w:rFonts w:ascii="Arial" w:hAnsi="Arial" w:cs="Arial"/>
                <w:sz w:val="18"/>
              </w:rPr>
            </w:pPr>
            <w:r w:rsidRPr="00EE5B39">
              <w:rPr>
                <w:rFonts w:ascii="Arial" w:hAnsi="Arial" w:cs="Arial"/>
                <w:sz w:val="18"/>
              </w:rPr>
              <w:t>3b</w:t>
            </w:r>
          </w:p>
        </w:tc>
        <w:tc>
          <w:tcPr>
            <w:tcW w:w="567" w:type="dxa"/>
            <w:shd w:val="clear" w:color="auto" w:fill="auto"/>
            <w:noWrap/>
            <w:vAlign w:val="center"/>
            <w:hideMark/>
          </w:tcPr>
          <w:p w14:paraId="473BD641"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5D97483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31.13</w:t>
            </w:r>
          </w:p>
        </w:tc>
        <w:tc>
          <w:tcPr>
            <w:tcW w:w="708" w:type="dxa"/>
            <w:shd w:val="clear" w:color="auto" w:fill="auto"/>
            <w:noWrap/>
            <w:vAlign w:val="center"/>
            <w:hideMark/>
          </w:tcPr>
          <w:p w14:paraId="0FB94BB5"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529A124E"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7BBD12F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39.47</w:t>
            </w:r>
          </w:p>
        </w:tc>
      </w:tr>
      <w:tr w:rsidR="00EE5B39" w:rsidRPr="00481D63" w14:paraId="6E92088F" w14:textId="77777777" w:rsidTr="0080431B">
        <w:trPr>
          <w:trHeight w:val="300"/>
        </w:trPr>
        <w:tc>
          <w:tcPr>
            <w:tcW w:w="959" w:type="dxa"/>
            <w:shd w:val="clear" w:color="auto" w:fill="auto"/>
            <w:noWrap/>
            <w:vAlign w:val="center"/>
            <w:hideMark/>
          </w:tcPr>
          <w:p w14:paraId="1F5AFF1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28</w:t>
            </w:r>
          </w:p>
        </w:tc>
        <w:tc>
          <w:tcPr>
            <w:tcW w:w="283" w:type="dxa"/>
            <w:shd w:val="clear" w:color="auto" w:fill="auto"/>
            <w:noWrap/>
            <w:vAlign w:val="center"/>
            <w:hideMark/>
          </w:tcPr>
          <w:p w14:paraId="00F984F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7F6F404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55</w:t>
            </w:r>
          </w:p>
        </w:tc>
        <w:tc>
          <w:tcPr>
            <w:tcW w:w="851" w:type="dxa"/>
            <w:shd w:val="clear" w:color="auto" w:fill="auto"/>
            <w:noWrap/>
            <w:vAlign w:val="center"/>
            <w:hideMark/>
          </w:tcPr>
          <w:p w14:paraId="6A03209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8.43</w:t>
            </w:r>
          </w:p>
        </w:tc>
        <w:tc>
          <w:tcPr>
            <w:tcW w:w="992" w:type="dxa"/>
            <w:shd w:val="clear" w:color="auto" w:fill="auto"/>
            <w:noWrap/>
            <w:vAlign w:val="center"/>
            <w:hideMark/>
          </w:tcPr>
          <w:p w14:paraId="1505487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0.14</w:t>
            </w:r>
          </w:p>
        </w:tc>
        <w:tc>
          <w:tcPr>
            <w:tcW w:w="851" w:type="dxa"/>
            <w:shd w:val="clear" w:color="auto" w:fill="auto"/>
            <w:noWrap/>
            <w:vAlign w:val="center"/>
            <w:hideMark/>
          </w:tcPr>
          <w:p w14:paraId="06B91B3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0656436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3665B81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7755129D" w14:textId="77777777" w:rsidR="00742FCA" w:rsidRPr="001F1350" w:rsidRDefault="00742FCA" w:rsidP="0080431B">
            <w:pPr>
              <w:spacing w:after="0" w:line="240" w:lineRule="auto"/>
              <w:jc w:val="center"/>
              <w:rPr>
                <w:rFonts w:ascii="Arial" w:eastAsia="Times New Roman" w:hAnsi="Arial" w:cs="Arial"/>
                <w:color w:val="000000"/>
                <w:sz w:val="18"/>
                <w:szCs w:val="18"/>
                <w:lang w:eastAsia="en-GB"/>
              </w:rPr>
            </w:pPr>
            <w:r w:rsidRPr="001F1350">
              <w:rPr>
                <w:rFonts w:ascii="Arial" w:eastAsia="Times New Roman" w:hAnsi="Arial" w:cs="Arial"/>
                <w:color w:val="000000"/>
                <w:sz w:val="18"/>
                <w:szCs w:val="18"/>
                <w:lang w:eastAsia="en-GB"/>
              </w:rPr>
              <w:t>ypT0pN0(0/</w:t>
            </w:r>
            <w:proofErr w:type="gramStart"/>
            <w:r w:rsidRPr="001F1350">
              <w:rPr>
                <w:rFonts w:ascii="Arial" w:eastAsia="Times New Roman" w:hAnsi="Arial" w:cs="Arial"/>
                <w:color w:val="000000"/>
                <w:sz w:val="18"/>
                <w:szCs w:val="18"/>
                <w:lang w:eastAsia="en-GB"/>
              </w:rPr>
              <w:t>13)</w:t>
            </w:r>
            <w:proofErr w:type="spellStart"/>
            <w:r w:rsidRPr="001F1350">
              <w:rPr>
                <w:rFonts w:ascii="Arial" w:eastAsia="Times New Roman" w:hAnsi="Arial" w:cs="Arial"/>
                <w:color w:val="000000"/>
                <w:sz w:val="18"/>
                <w:szCs w:val="18"/>
                <w:lang w:eastAsia="en-GB"/>
              </w:rPr>
              <w:t>pMx</w:t>
            </w:r>
            <w:proofErr w:type="spellEnd"/>
            <w:proofErr w:type="gramEnd"/>
          </w:p>
        </w:tc>
        <w:tc>
          <w:tcPr>
            <w:tcW w:w="993" w:type="dxa"/>
            <w:vAlign w:val="center"/>
          </w:tcPr>
          <w:p w14:paraId="15B80853" w14:textId="77777777" w:rsidR="00742FCA" w:rsidRPr="00EE5B39" w:rsidRDefault="00742FCA" w:rsidP="0080431B">
            <w:pPr>
              <w:jc w:val="center"/>
              <w:rPr>
                <w:rFonts w:ascii="Arial" w:hAnsi="Arial" w:cs="Arial"/>
                <w:sz w:val="18"/>
              </w:rPr>
            </w:pPr>
            <w:r w:rsidRPr="00EE5B39">
              <w:rPr>
                <w:rFonts w:ascii="Arial" w:hAnsi="Arial" w:cs="Arial"/>
                <w:sz w:val="18"/>
              </w:rPr>
              <w:t>4</w:t>
            </w:r>
          </w:p>
        </w:tc>
        <w:tc>
          <w:tcPr>
            <w:tcW w:w="992" w:type="dxa"/>
            <w:vAlign w:val="center"/>
          </w:tcPr>
          <w:p w14:paraId="50241239"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FFFFFF"/>
            <w:noWrap/>
            <w:vAlign w:val="center"/>
            <w:hideMark/>
          </w:tcPr>
          <w:p w14:paraId="12DBE5C8" w14:textId="77777777" w:rsidR="00742FCA" w:rsidRPr="00481D63" w:rsidRDefault="00742FCA" w:rsidP="0080431B">
            <w:pPr>
              <w:jc w:val="center"/>
              <w:rPr>
                <w:rFonts w:ascii="Arial" w:hAnsi="Arial" w:cs="Arial"/>
                <w:sz w:val="18"/>
              </w:rPr>
            </w:pPr>
            <w:r w:rsidRPr="00B04A87">
              <w:rPr>
                <w:rFonts w:ascii="Arial" w:hAnsi="Arial" w:cs="Arial"/>
                <w:sz w:val="18"/>
              </w:rPr>
              <w:t>0</w:t>
            </w:r>
          </w:p>
        </w:tc>
        <w:tc>
          <w:tcPr>
            <w:tcW w:w="709" w:type="dxa"/>
            <w:shd w:val="clear" w:color="auto" w:fill="auto"/>
            <w:noWrap/>
            <w:vAlign w:val="center"/>
            <w:hideMark/>
          </w:tcPr>
          <w:p w14:paraId="190AF1A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9.07</w:t>
            </w:r>
          </w:p>
        </w:tc>
        <w:tc>
          <w:tcPr>
            <w:tcW w:w="708" w:type="dxa"/>
            <w:shd w:val="clear" w:color="auto" w:fill="auto"/>
            <w:noWrap/>
            <w:vAlign w:val="center"/>
            <w:hideMark/>
          </w:tcPr>
          <w:p w14:paraId="53E5CF96"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32599C9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went overseas</w:t>
            </w:r>
            <w:r w:rsidRPr="00331D14">
              <w:rPr>
                <w:rFonts w:ascii="Arial" w:eastAsia="Times New Roman" w:hAnsi="Arial" w:cs="Arial"/>
                <w:color w:val="000000"/>
                <w:sz w:val="18"/>
                <w:szCs w:val="18"/>
                <w:lang w:eastAsia="en-GB"/>
              </w:rPr>
              <w:t>, LFU</w:t>
            </w:r>
          </w:p>
        </w:tc>
        <w:tc>
          <w:tcPr>
            <w:tcW w:w="851" w:type="dxa"/>
            <w:shd w:val="clear" w:color="auto" w:fill="auto"/>
            <w:noWrap/>
            <w:vAlign w:val="center"/>
            <w:hideMark/>
          </w:tcPr>
          <w:p w14:paraId="32D9F4D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13.70</w:t>
            </w:r>
          </w:p>
        </w:tc>
      </w:tr>
      <w:tr w:rsidR="00EE5B39" w:rsidRPr="00481D63" w14:paraId="30C8AB9D" w14:textId="77777777" w:rsidTr="0080431B">
        <w:trPr>
          <w:trHeight w:val="300"/>
        </w:trPr>
        <w:tc>
          <w:tcPr>
            <w:tcW w:w="959" w:type="dxa"/>
            <w:shd w:val="clear" w:color="auto" w:fill="auto"/>
            <w:noWrap/>
            <w:vAlign w:val="center"/>
            <w:hideMark/>
          </w:tcPr>
          <w:p w14:paraId="735F41D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29</w:t>
            </w:r>
          </w:p>
        </w:tc>
        <w:tc>
          <w:tcPr>
            <w:tcW w:w="283" w:type="dxa"/>
            <w:shd w:val="clear" w:color="auto" w:fill="auto"/>
            <w:noWrap/>
            <w:vAlign w:val="center"/>
            <w:hideMark/>
          </w:tcPr>
          <w:p w14:paraId="286DEAE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F</w:t>
            </w:r>
          </w:p>
        </w:tc>
        <w:tc>
          <w:tcPr>
            <w:tcW w:w="567" w:type="dxa"/>
            <w:shd w:val="clear" w:color="auto" w:fill="auto"/>
            <w:noWrap/>
            <w:vAlign w:val="center"/>
            <w:hideMark/>
          </w:tcPr>
          <w:p w14:paraId="1BD8E43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64</w:t>
            </w:r>
          </w:p>
        </w:tc>
        <w:tc>
          <w:tcPr>
            <w:tcW w:w="851" w:type="dxa"/>
            <w:shd w:val="clear" w:color="auto" w:fill="auto"/>
            <w:noWrap/>
            <w:vAlign w:val="center"/>
            <w:hideMark/>
          </w:tcPr>
          <w:p w14:paraId="6AB75B4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6.86</w:t>
            </w:r>
          </w:p>
        </w:tc>
        <w:tc>
          <w:tcPr>
            <w:tcW w:w="992" w:type="dxa"/>
            <w:shd w:val="clear" w:color="auto" w:fill="auto"/>
            <w:noWrap/>
            <w:vAlign w:val="center"/>
            <w:hideMark/>
          </w:tcPr>
          <w:p w14:paraId="1735C26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1.57</w:t>
            </w:r>
          </w:p>
        </w:tc>
        <w:tc>
          <w:tcPr>
            <w:tcW w:w="851" w:type="dxa"/>
            <w:shd w:val="clear" w:color="auto" w:fill="auto"/>
            <w:noWrap/>
            <w:vAlign w:val="center"/>
            <w:hideMark/>
          </w:tcPr>
          <w:p w14:paraId="0470D7AC"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780E8F9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61A67C5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4AFD580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ypT2bN0(0/</w:t>
            </w:r>
            <w:proofErr w:type="gramStart"/>
            <w:r w:rsidRPr="00331D14">
              <w:rPr>
                <w:rFonts w:ascii="Arial" w:eastAsia="Times New Roman" w:hAnsi="Arial" w:cs="Arial"/>
                <w:color w:val="000000"/>
                <w:sz w:val="18"/>
                <w:szCs w:val="18"/>
                <w:lang w:eastAsia="en-GB"/>
              </w:rPr>
              <w:t>13)M</w:t>
            </w:r>
            <w:proofErr w:type="gramEnd"/>
            <w:r w:rsidRPr="00331D14">
              <w:rPr>
                <w:rFonts w:ascii="Arial" w:eastAsia="Times New Roman" w:hAnsi="Arial" w:cs="Arial"/>
                <w:color w:val="000000"/>
                <w:sz w:val="18"/>
                <w:szCs w:val="18"/>
                <w:lang w:eastAsia="en-GB"/>
              </w:rPr>
              <w:t>0</w:t>
            </w:r>
          </w:p>
        </w:tc>
        <w:tc>
          <w:tcPr>
            <w:tcW w:w="993" w:type="dxa"/>
            <w:vAlign w:val="center"/>
          </w:tcPr>
          <w:p w14:paraId="7427858B" w14:textId="77777777" w:rsidR="00742FCA" w:rsidRPr="00EE5B39" w:rsidRDefault="00742FCA" w:rsidP="0080431B">
            <w:pPr>
              <w:jc w:val="center"/>
              <w:rPr>
                <w:rFonts w:ascii="Arial" w:hAnsi="Arial" w:cs="Arial"/>
                <w:sz w:val="18"/>
              </w:rPr>
            </w:pPr>
            <w:r w:rsidRPr="00EE5B39">
              <w:rPr>
                <w:rFonts w:ascii="Arial" w:hAnsi="Arial" w:cs="Arial"/>
                <w:sz w:val="18"/>
              </w:rPr>
              <w:t>6</w:t>
            </w:r>
          </w:p>
        </w:tc>
        <w:tc>
          <w:tcPr>
            <w:tcW w:w="992" w:type="dxa"/>
            <w:vAlign w:val="center"/>
          </w:tcPr>
          <w:p w14:paraId="2B3B26C0"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174A53F7"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1983F7C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24.90</w:t>
            </w:r>
          </w:p>
        </w:tc>
        <w:tc>
          <w:tcPr>
            <w:tcW w:w="708" w:type="dxa"/>
            <w:shd w:val="clear" w:color="auto" w:fill="auto"/>
            <w:noWrap/>
            <w:vAlign w:val="center"/>
            <w:hideMark/>
          </w:tcPr>
          <w:p w14:paraId="76C49CD3"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6FC1323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61AFCFED"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25.13</w:t>
            </w:r>
          </w:p>
        </w:tc>
      </w:tr>
      <w:tr w:rsidR="00EE5B39" w:rsidRPr="00481D63" w14:paraId="326A5638" w14:textId="77777777" w:rsidTr="0080431B">
        <w:trPr>
          <w:trHeight w:val="300"/>
        </w:trPr>
        <w:tc>
          <w:tcPr>
            <w:tcW w:w="959" w:type="dxa"/>
            <w:shd w:val="clear" w:color="auto" w:fill="auto"/>
            <w:noWrap/>
            <w:vAlign w:val="center"/>
            <w:hideMark/>
          </w:tcPr>
          <w:p w14:paraId="1D6C6AD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30</w:t>
            </w:r>
          </w:p>
        </w:tc>
        <w:tc>
          <w:tcPr>
            <w:tcW w:w="283" w:type="dxa"/>
            <w:shd w:val="clear" w:color="auto" w:fill="auto"/>
            <w:noWrap/>
            <w:vAlign w:val="center"/>
            <w:hideMark/>
          </w:tcPr>
          <w:p w14:paraId="634ACA6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4743187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55</w:t>
            </w:r>
          </w:p>
        </w:tc>
        <w:tc>
          <w:tcPr>
            <w:tcW w:w="851" w:type="dxa"/>
            <w:shd w:val="clear" w:color="auto" w:fill="auto"/>
            <w:noWrap/>
            <w:vAlign w:val="center"/>
            <w:hideMark/>
          </w:tcPr>
          <w:p w14:paraId="740EB1F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6.00</w:t>
            </w:r>
          </w:p>
        </w:tc>
        <w:tc>
          <w:tcPr>
            <w:tcW w:w="992" w:type="dxa"/>
            <w:shd w:val="clear" w:color="auto" w:fill="auto"/>
            <w:noWrap/>
            <w:vAlign w:val="center"/>
            <w:hideMark/>
          </w:tcPr>
          <w:p w14:paraId="72CF6DE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1.00</w:t>
            </w:r>
          </w:p>
        </w:tc>
        <w:tc>
          <w:tcPr>
            <w:tcW w:w="851" w:type="dxa"/>
            <w:shd w:val="clear" w:color="auto" w:fill="auto"/>
            <w:noWrap/>
            <w:vAlign w:val="center"/>
            <w:hideMark/>
          </w:tcPr>
          <w:p w14:paraId="1AB766D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08F0598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07A7AF0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46F2FD6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ypT1N0 (0/</w:t>
            </w:r>
            <w:proofErr w:type="gramStart"/>
            <w:r w:rsidRPr="00331D14">
              <w:rPr>
                <w:rFonts w:ascii="Arial" w:eastAsia="Times New Roman" w:hAnsi="Arial" w:cs="Arial"/>
                <w:color w:val="000000"/>
                <w:sz w:val="18"/>
                <w:szCs w:val="18"/>
                <w:lang w:eastAsia="en-GB"/>
              </w:rPr>
              <w:t>11)Mx</w:t>
            </w:r>
            <w:proofErr w:type="gramEnd"/>
          </w:p>
        </w:tc>
        <w:tc>
          <w:tcPr>
            <w:tcW w:w="993" w:type="dxa"/>
            <w:vAlign w:val="center"/>
          </w:tcPr>
          <w:p w14:paraId="72F05266" w14:textId="77777777" w:rsidR="00742FCA" w:rsidRPr="00EE5B39" w:rsidRDefault="00742FCA" w:rsidP="0080431B">
            <w:pPr>
              <w:jc w:val="center"/>
              <w:rPr>
                <w:rFonts w:ascii="Arial" w:hAnsi="Arial" w:cs="Arial"/>
                <w:sz w:val="18"/>
              </w:rPr>
            </w:pPr>
            <w:r w:rsidRPr="00EE5B39">
              <w:rPr>
                <w:rFonts w:ascii="Arial" w:hAnsi="Arial" w:cs="Arial"/>
                <w:sz w:val="18"/>
              </w:rPr>
              <w:t>8</w:t>
            </w:r>
          </w:p>
        </w:tc>
        <w:tc>
          <w:tcPr>
            <w:tcW w:w="992" w:type="dxa"/>
            <w:vAlign w:val="center"/>
          </w:tcPr>
          <w:p w14:paraId="0896082C" w14:textId="77777777" w:rsidR="00742FCA" w:rsidRPr="00EE5B39" w:rsidRDefault="00742FCA" w:rsidP="0080431B">
            <w:pPr>
              <w:jc w:val="center"/>
              <w:rPr>
                <w:rFonts w:ascii="Arial" w:hAnsi="Arial" w:cs="Arial"/>
                <w:sz w:val="18"/>
              </w:rPr>
            </w:pPr>
            <w:r w:rsidRPr="00EE5B39">
              <w:rPr>
                <w:rFonts w:ascii="Arial" w:hAnsi="Arial" w:cs="Arial"/>
                <w:sz w:val="18"/>
              </w:rPr>
              <w:t>2</w:t>
            </w:r>
          </w:p>
        </w:tc>
        <w:tc>
          <w:tcPr>
            <w:tcW w:w="567" w:type="dxa"/>
            <w:shd w:val="clear" w:color="auto" w:fill="auto"/>
            <w:noWrap/>
            <w:vAlign w:val="center"/>
            <w:hideMark/>
          </w:tcPr>
          <w:p w14:paraId="7EC42FDC"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476D0DB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22.63</w:t>
            </w:r>
          </w:p>
        </w:tc>
        <w:tc>
          <w:tcPr>
            <w:tcW w:w="708" w:type="dxa"/>
            <w:shd w:val="clear" w:color="auto" w:fill="auto"/>
            <w:noWrap/>
            <w:vAlign w:val="center"/>
            <w:hideMark/>
          </w:tcPr>
          <w:p w14:paraId="3DB537EC"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6C2F22E9"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675B3E1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23.50</w:t>
            </w:r>
          </w:p>
        </w:tc>
      </w:tr>
      <w:tr w:rsidR="00EE5B39" w:rsidRPr="00481D63" w14:paraId="26884195" w14:textId="77777777" w:rsidTr="0080431B">
        <w:trPr>
          <w:trHeight w:val="300"/>
        </w:trPr>
        <w:tc>
          <w:tcPr>
            <w:tcW w:w="959" w:type="dxa"/>
            <w:shd w:val="clear" w:color="auto" w:fill="auto"/>
            <w:noWrap/>
            <w:vAlign w:val="center"/>
            <w:hideMark/>
          </w:tcPr>
          <w:p w14:paraId="347A75F7"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31</w:t>
            </w:r>
          </w:p>
        </w:tc>
        <w:tc>
          <w:tcPr>
            <w:tcW w:w="283" w:type="dxa"/>
            <w:shd w:val="clear" w:color="auto" w:fill="auto"/>
            <w:noWrap/>
            <w:vAlign w:val="center"/>
            <w:hideMark/>
          </w:tcPr>
          <w:p w14:paraId="590C537B"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M</w:t>
            </w:r>
          </w:p>
        </w:tc>
        <w:tc>
          <w:tcPr>
            <w:tcW w:w="567" w:type="dxa"/>
            <w:shd w:val="clear" w:color="auto" w:fill="auto"/>
            <w:noWrap/>
            <w:vAlign w:val="center"/>
            <w:hideMark/>
          </w:tcPr>
          <w:p w14:paraId="48EB6BDA"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46</w:t>
            </w:r>
          </w:p>
        </w:tc>
        <w:tc>
          <w:tcPr>
            <w:tcW w:w="851" w:type="dxa"/>
            <w:shd w:val="clear" w:color="auto" w:fill="auto"/>
            <w:noWrap/>
            <w:vAlign w:val="center"/>
            <w:hideMark/>
          </w:tcPr>
          <w:p w14:paraId="0A955FB1"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7.43</w:t>
            </w:r>
          </w:p>
        </w:tc>
        <w:tc>
          <w:tcPr>
            <w:tcW w:w="992" w:type="dxa"/>
            <w:shd w:val="clear" w:color="auto" w:fill="auto"/>
            <w:noWrap/>
            <w:vAlign w:val="center"/>
            <w:hideMark/>
          </w:tcPr>
          <w:p w14:paraId="1F84C672"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1.14</w:t>
            </w:r>
          </w:p>
        </w:tc>
        <w:tc>
          <w:tcPr>
            <w:tcW w:w="851" w:type="dxa"/>
            <w:shd w:val="clear" w:color="auto" w:fill="auto"/>
            <w:noWrap/>
            <w:vAlign w:val="center"/>
            <w:hideMark/>
          </w:tcPr>
          <w:p w14:paraId="43BDBF48"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4</w:t>
            </w:r>
          </w:p>
        </w:tc>
        <w:tc>
          <w:tcPr>
            <w:tcW w:w="992" w:type="dxa"/>
            <w:vAlign w:val="center"/>
          </w:tcPr>
          <w:p w14:paraId="61600C04"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709" w:type="dxa"/>
            <w:shd w:val="clear" w:color="auto" w:fill="auto"/>
            <w:noWrap/>
            <w:vAlign w:val="center"/>
            <w:hideMark/>
          </w:tcPr>
          <w:p w14:paraId="3CB9CDA5"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Yes</w:t>
            </w:r>
          </w:p>
        </w:tc>
        <w:tc>
          <w:tcPr>
            <w:tcW w:w="1842" w:type="dxa"/>
            <w:shd w:val="clear" w:color="auto" w:fill="auto"/>
            <w:noWrap/>
            <w:vAlign w:val="center"/>
            <w:hideMark/>
          </w:tcPr>
          <w:p w14:paraId="3F1304C3"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ypT0 ypN0(0/</w:t>
            </w:r>
            <w:proofErr w:type="gramStart"/>
            <w:r w:rsidRPr="00331D14">
              <w:rPr>
                <w:rFonts w:ascii="Arial" w:eastAsia="Times New Roman" w:hAnsi="Arial" w:cs="Arial"/>
                <w:color w:val="000000"/>
                <w:sz w:val="18"/>
                <w:szCs w:val="18"/>
                <w:lang w:eastAsia="en-GB"/>
              </w:rPr>
              <w:t>13)Mx</w:t>
            </w:r>
            <w:proofErr w:type="gramEnd"/>
          </w:p>
        </w:tc>
        <w:tc>
          <w:tcPr>
            <w:tcW w:w="993" w:type="dxa"/>
            <w:vAlign w:val="center"/>
          </w:tcPr>
          <w:p w14:paraId="57AA942A" w14:textId="77777777" w:rsidR="00742FCA" w:rsidRPr="00EE5B39" w:rsidRDefault="00742FCA" w:rsidP="0080431B">
            <w:pPr>
              <w:jc w:val="center"/>
              <w:rPr>
                <w:rFonts w:ascii="Arial" w:hAnsi="Arial" w:cs="Arial"/>
                <w:sz w:val="18"/>
              </w:rPr>
            </w:pPr>
            <w:r w:rsidRPr="00EE5B39">
              <w:rPr>
                <w:rFonts w:ascii="Arial" w:hAnsi="Arial" w:cs="Arial"/>
                <w:sz w:val="18"/>
              </w:rPr>
              <w:t>6</w:t>
            </w:r>
          </w:p>
        </w:tc>
        <w:tc>
          <w:tcPr>
            <w:tcW w:w="992" w:type="dxa"/>
            <w:vAlign w:val="center"/>
          </w:tcPr>
          <w:p w14:paraId="4602FB9B" w14:textId="77777777" w:rsidR="00742FCA" w:rsidRPr="00EE5B39" w:rsidRDefault="00742FCA" w:rsidP="0080431B">
            <w:pPr>
              <w:jc w:val="center"/>
              <w:rPr>
                <w:rFonts w:ascii="Arial" w:hAnsi="Arial" w:cs="Arial"/>
                <w:sz w:val="18"/>
              </w:rPr>
            </w:pPr>
            <w:r w:rsidRPr="00EE5B39">
              <w:rPr>
                <w:rFonts w:ascii="Arial" w:hAnsi="Arial" w:cs="Arial"/>
                <w:sz w:val="18"/>
              </w:rPr>
              <w:t>0</w:t>
            </w:r>
          </w:p>
        </w:tc>
        <w:tc>
          <w:tcPr>
            <w:tcW w:w="567" w:type="dxa"/>
            <w:shd w:val="clear" w:color="auto" w:fill="auto"/>
            <w:noWrap/>
            <w:vAlign w:val="center"/>
            <w:hideMark/>
          </w:tcPr>
          <w:p w14:paraId="7B7B35CF" w14:textId="77777777" w:rsidR="00742FCA" w:rsidRPr="00481D63" w:rsidRDefault="00742FCA" w:rsidP="0080431B">
            <w:pPr>
              <w:jc w:val="center"/>
              <w:rPr>
                <w:rFonts w:ascii="Arial" w:hAnsi="Arial" w:cs="Arial"/>
                <w:sz w:val="18"/>
              </w:rPr>
            </w:pPr>
            <w:r w:rsidRPr="00481D63">
              <w:rPr>
                <w:rFonts w:ascii="Arial" w:hAnsi="Arial" w:cs="Arial"/>
                <w:sz w:val="18"/>
              </w:rPr>
              <w:t>0</w:t>
            </w:r>
          </w:p>
        </w:tc>
        <w:tc>
          <w:tcPr>
            <w:tcW w:w="709" w:type="dxa"/>
            <w:shd w:val="clear" w:color="auto" w:fill="auto"/>
            <w:noWrap/>
            <w:vAlign w:val="center"/>
            <w:hideMark/>
          </w:tcPr>
          <w:p w14:paraId="40CC317F"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21.47</w:t>
            </w:r>
          </w:p>
        </w:tc>
        <w:tc>
          <w:tcPr>
            <w:tcW w:w="708" w:type="dxa"/>
            <w:shd w:val="clear" w:color="auto" w:fill="auto"/>
            <w:noWrap/>
            <w:vAlign w:val="center"/>
            <w:hideMark/>
          </w:tcPr>
          <w:p w14:paraId="7493B32B" w14:textId="77777777" w:rsidR="00742FCA" w:rsidRPr="0080431B" w:rsidRDefault="00742FCA" w:rsidP="0080431B">
            <w:pPr>
              <w:spacing w:after="0" w:line="240" w:lineRule="auto"/>
              <w:jc w:val="center"/>
              <w:rPr>
                <w:rFonts w:ascii="Arial" w:eastAsia="Times New Roman" w:hAnsi="Arial" w:cs="Arial"/>
                <w:sz w:val="18"/>
                <w:szCs w:val="18"/>
                <w:lang w:eastAsia="en-GB"/>
              </w:rPr>
            </w:pPr>
            <w:r w:rsidRPr="0080431B">
              <w:rPr>
                <w:rFonts w:ascii="Arial" w:eastAsia="Times New Roman" w:hAnsi="Arial" w:cs="Arial"/>
                <w:sz w:val="18"/>
                <w:szCs w:val="18"/>
                <w:lang w:eastAsia="en-GB"/>
              </w:rPr>
              <w:t>0</w:t>
            </w:r>
          </w:p>
        </w:tc>
        <w:tc>
          <w:tcPr>
            <w:tcW w:w="1134" w:type="dxa"/>
            <w:shd w:val="clear" w:color="auto" w:fill="auto"/>
            <w:noWrap/>
            <w:vAlign w:val="center"/>
            <w:hideMark/>
          </w:tcPr>
          <w:p w14:paraId="614D774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p>
        </w:tc>
        <w:tc>
          <w:tcPr>
            <w:tcW w:w="851" w:type="dxa"/>
            <w:shd w:val="clear" w:color="auto" w:fill="auto"/>
            <w:noWrap/>
            <w:vAlign w:val="center"/>
            <w:hideMark/>
          </w:tcPr>
          <w:p w14:paraId="73E4AB30" w14:textId="77777777" w:rsidR="00742FCA" w:rsidRPr="00331D14" w:rsidRDefault="00742FCA" w:rsidP="0080431B">
            <w:pPr>
              <w:spacing w:after="0" w:line="240" w:lineRule="auto"/>
              <w:jc w:val="center"/>
              <w:rPr>
                <w:rFonts w:ascii="Arial" w:eastAsia="Times New Roman" w:hAnsi="Arial" w:cs="Arial"/>
                <w:color w:val="000000"/>
                <w:sz w:val="18"/>
                <w:szCs w:val="18"/>
                <w:lang w:eastAsia="en-GB"/>
              </w:rPr>
            </w:pPr>
            <w:r w:rsidRPr="00331D14">
              <w:rPr>
                <w:rFonts w:ascii="Arial" w:eastAsia="Times New Roman" w:hAnsi="Arial" w:cs="Arial"/>
                <w:color w:val="000000"/>
                <w:sz w:val="18"/>
                <w:szCs w:val="18"/>
                <w:lang w:eastAsia="en-GB"/>
              </w:rPr>
              <w:t>22.00</w:t>
            </w:r>
          </w:p>
        </w:tc>
      </w:tr>
      <w:tr w:rsidR="00EE5B39" w:rsidRPr="00481D63" w14:paraId="254920F0" w14:textId="77777777" w:rsidTr="0080431B">
        <w:trPr>
          <w:trHeight w:val="300"/>
        </w:trPr>
        <w:tc>
          <w:tcPr>
            <w:tcW w:w="959" w:type="dxa"/>
            <w:shd w:val="clear" w:color="auto" w:fill="auto"/>
            <w:noWrap/>
            <w:vAlign w:val="center"/>
            <w:hideMark/>
          </w:tcPr>
          <w:p w14:paraId="5448AF65"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Median</w:t>
            </w:r>
          </w:p>
        </w:tc>
        <w:tc>
          <w:tcPr>
            <w:tcW w:w="283" w:type="dxa"/>
            <w:shd w:val="clear" w:color="auto" w:fill="auto"/>
            <w:noWrap/>
            <w:vAlign w:val="center"/>
            <w:hideMark/>
          </w:tcPr>
          <w:p w14:paraId="037D8D5D"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567" w:type="dxa"/>
            <w:shd w:val="clear" w:color="auto" w:fill="auto"/>
            <w:noWrap/>
            <w:vAlign w:val="center"/>
            <w:hideMark/>
          </w:tcPr>
          <w:p w14:paraId="02A4C9D5"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6</w:t>
            </w:r>
            <w:r w:rsidR="00B40099">
              <w:rPr>
                <w:rFonts w:ascii="Arial" w:eastAsia="Times New Roman" w:hAnsi="Arial" w:cs="Arial"/>
                <w:b/>
                <w:bCs/>
                <w:color w:val="000000"/>
                <w:sz w:val="18"/>
                <w:szCs w:val="18"/>
                <w:lang w:eastAsia="en-GB"/>
              </w:rPr>
              <w:t>7.5</w:t>
            </w:r>
          </w:p>
        </w:tc>
        <w:tc>
          <w:tcPr>
            <w:tcW w:w="851" w:type="dxa"/>
            <w:shd w:val="clear" w:color="auto" w:fill="auto"/>
            <w:noWrap/>
            <w:vAlign w:val="center"/>
            <w:hideMark/>
          </w:tcPr>
          <w:p w14:paraId="06DFA7D4"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7.86</w:t>
            </w:r>
          </w:p>
        </w:tc>
        <w:tc>
          <w:tcPr>
            <w:tcW w:w="992" w:type="dxa"/>
            <w:shd w:val="clear" w:color="auto" w:fill="auto"/>
            <w:noWrap/>
            <w:vAlign w:val="center"/>
            <w:hideMark/>
          </w:tcPr>
          <w:p w14:paraId="4D363361"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0.57</w:t>
            </w:r>
          </w:p>
        </w:tc>
        <w:tc>
          <w:tcPr>
            <w:tcW w:w="851" w:type="dxa"/>
            <w:shd w:val="clear" w:color="auto" w:fill="auto"/>
            <w:noWrap/>
            <w:vAlign w:val="center"/>
            <w:hideMark/>
          </w:tcPr>
          <w:p w14:paraId="335DE606"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4</w:t>
            </w:r>
          </w:p>
        </w:tc>
        <w:tc>
          <w:tcPr>
            <w:tcW w:w="992" w:type="dxa"/>
            <w:vAlign w:val="center"/>
          </w:tcPr>
          <w:p w14:paraId="344E3DE9"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709" w:type="dxa"/>
            <w:shd w:val="clear" w:color="auto" w:fill="auto"/>
            <w:noWrap/>
            <w:vAlign w:val="center"/>
            <w:hideMark/>
          </w:tcPr>
          <w:p w14:paraId="38A9E34B"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1842" w:type="dxa"/>
            <w:shd w:val="clear" w:color="auto" w:fill="auto"/>
            <w:noWrap/>
            <w:vAlign w:val="center"/>
            <w:hideMark/>
          </w:tcPr>
          <w:p w14:paraId="6881914E"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993" w:type="dxa"/>
            <w:vAlign w:val="center"/>
          </w:tcPr>
          <w:p w14:paraId="4DB04E1A" w14:textId="77777777" w:rsidR="00742FCA" w:rsidRPr="00EE5B39" w:rsidRDefault="00742FCA" w:rsidP="0080431B">
            <w:pPr>
              <w:spacing w:after="0" w:line="240" w:lineRule="auto"/>
              <w:jc w:val="center"/>
              <w:rPr>
                <w:rFonts w:ascii="Arial" w:eastAsia="Times New Roman" w:hAnsi="Arial" w:cs="Arial"/>
                <w:b/>
                <w:sz w:val="18"/>
                <w:szCs w:val="18"/>
                <w:lang w:eastAsia="en-GB"/>
              </w:rPr>
            </w:pPr>
            <w:r w:rsidRPr="00EE5B39">
              <w:rPr>
                <w:rFonts w:ascii="Arial" w:eastAsia="Times New Roman" w:hAnsi="Arial" w:cs="Arial"/>
                <w:b/>
                <w:sz w:val="18"/>
                <w:szCs w:val="18"/>
                <w:lang w:eastAsia="en-GB"/>
              </w:rPr>
              <w:t>7</w:t>
            </w:r>
          </w:p>
        </w:tc>
        <w:tc>
          <w:tcPr>
            <w:tcW w:w="992" w:type="dxa"/>
            <w:vAlign w:val="center"/>
          </w:tcPr>
          <w:p w14:paraId="7FB12371" w14:textId="77777777" w:rsidR="00742FCA" w:rsidRPr="00EE5B39" w:rsidRDefault="00742FCA" w:rsidP="0080431B">
            <w:pPr>
              <w:spacing w:after="0" w:line="240" w:lineRule="auto"/>
              <w:jc w:val="center"/>
              <w:rPr>
                <w:rFonts w:ascii="Arial" w:eastAsia="Times New Roman" w:hAnsi="Arial" w:cs="Arial"/>
                <w:sz w:val="18"/>
                <w:szCs w:val="18"/>
                <w:lang w:eastAsia="en-GB"/>
              </w:rPr>
            </w:pPr>
          </w:p>
        </w:tc>
        <w:tc>
          <w:tcPr>
            <w:tcW w:w="567" w:type="dxa"/>
            <w:shd w:val="clear" w:color="auto" w:fill="auto"/>
            <w:noWrap/>
            <w:vAlign w:val="center"/>
            <w:hideMark/>
          </w:tcPr>
          <w:p w14:paraId="49A9AAC0"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709" w:type="dxa"/>
            <w:shd w:val="clear" w:color="auto" w:fill="auto"/>
            <w:noWrap/>
            <w:vAlign w:val="center"/>
            <w:hideMark/>
          </w:tcPr>
          <w:p w14:paraId="0D08559B" w14:textId="77777777" w:rsidR="00742FCA" w:rsidRPr="00331D14" w:rsidRDefault="00B40099" w:rsidP="0080431B">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42</w:t>
            </w:r>
            <w:r w:rsidR="00742FCA">
              <w:rPr>
                <w:rFonts w:ascii="Arial" w:eastAsia="Times New Roman" w:hAnsi="Arial" w:cs="Arial"/>
                <w:b/>
                <w:bCs/>
                <w:color w:val="000000"/>
                <w:sz w:val="18"/>
                <w:szCs w:val="18"/>
                <w:lang w:eastAsia="en-GB"/>
              </w:rPr>
              <w:t>.27</w:t>
            </w:r>
          </w:p>
        </w:tc>
        <w:tc>
          <w:tcPr>
            <w:tcW w:w="708" w:type="dxa"/>
            <w:shd w:val="clear" w:color="auto" w:fill="auto"/>
            <w:noWrap/>
            <w:vAlign w:val="center"/>
            <w:hideMark/>
          </w:tcPr>
          <w:p w14:paraId="13C8C439"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1134" w:type="dxa"/>
            <w:shd w:val="clear" w:color="auto" w:fill="auto"/>
            <w:noWrap/>
            <w:vAlign w:val="center"/>
            <w:hideMark/>
          </w:tcPr>
          <w:p w14:paraId="181C78EE"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851" w:type="dxa"/>
            <w:shd w:val="clear" w:color="auto" w:fill="auto"/>
            <w:noWrap/>
            <w:vAlign w:val="center"/>
            <w:hideMark/>
          </w:tcPr>
          <w:p w14:paraId="1757FB1C"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43.</w:t>
            </w:r>
            <w:r w:rsidR="00B40099">
              <w:rPr>
                <w:rFonts w:ascii="Arial" w:eastAsia="Times New Roman" w:hAnsi="Arial" w:cs="Arial"/>
                <w:b/>
                <w:bCs/>
                <w:color w:val="000000"/>
                <w:sz w:val="18"/>
                <w:szCs w:val="18"/>
                <w:lang w:eastAsia="en-GB"/>
              </w:rPr>
              <w:t>6</w:t>
            </w:r>
          </w:p>
        </w:tc>
      </w:tr>
      <w:tr w:rsidR="00EE5B39" w:rsidRPr="00481D63" w14:paraId="33D6EFEC" w14:textId="77777777" w:rsidTr="0080431B">
        <w:trPr>
          <w:trHeight w:val="300"/>
        </w:trPr>
        <w:tc>
          <w:tcPr>
            <w:tcW w:w="959" w:type="dxa"/>
            <w:shd w:val="clear" w:color="auto" w:fill="auto"/>
            <w:noWrap/>
            <w:vAlign w:val="center"/>
            <w:hideMark/>
          </w:tcPr>
          <w:p w14:paraId="018160C5"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Min</w:t>
            </w:r>
          </w:p>
        </w:tc>
        <w:tc>
          <w:tcPr>
            <w:tcW w:w="283" w:type="dxa"/>
            <w:shd w:val="clear" w:color="auto" w:fill="auto"/>
            <w:noWrap/>
            <w:vAlign w:val="center"/>
            <w:hideMark/>
          </w:tcPr>
          <w:p w14:paraId="5B6A2747"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567" w:type="dxa"/>
            <w:shd w:val="clear" w:color="auto" w:fill="auto"/>
            <w:noWrap/>
            <w:vAlign w:val="center"/>
            <w:hideMark/>
          </w:tcPr>
          <w:p w14:paraId="1271B41A"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46</w:t>
            </w:r>
          </w:p>
        </w:tc>
        <w:tc>
          <w:tcPr>
            <w:tcW w:w="851" w:type="dxa"/>
            <w:shd w:val="clear" w:color="auto" w:fill="auto"/>
            <w:noWrap/>
            <w:vAlign w:val="center"/>
            <w:hideMark/>
          </w:tcPr>
          <w:p w14:paraId="2F16F834"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3.86</w:t>
            </w:r>
          </w:p>
        </w:tc>
        <w:tc>
          <w:tcPr>
            <w:tcW w:w="992" w:type="dxa"/>
            <w:shd w:val="clear" w:color="auto" w:fill="auto"/>
            <w:noWrap/>
            <w:vAlign w:val="center"/>
            <w:hideMark/>
          </w:tcPr>
          <w:p w14:paraId="1F3CA38E"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0.00</w:t>
            </w:r>
          </w:p>
        </w:tc>
        <w:tc>
          <w:tcPr>
            <w:tcW w:w="851" w:type="dxa"/>
            <w:shd w:val="clear" w:color="auto" w:fill="auto"/>
            <w:noWrap/>
            <w:vAlign w:val="center"/>
            <w:hideMark/>
          </w:tcPr>
          <w:p w14:paraId="745B4F0E"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1</w:t>
            </w:r>
          </w:p>
        </w:tc>
        <w:tc>
          <w:tcPr>
            <w:tcW w:w="992" w:type="dxa"/>
            <w:vAlign w:val="center"/>
          </w:tcPr>
          <w:p w14:paraId="6DF4CF6F"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709" w:type="dxa"/>
            <w:shd w:val="clear" w:color="auto" w:fill="auto"/>
            <w:noWrap/>
            <w:vAlign w:val="center"/>
            <w:hideMark/>
          </w:tcPr>
          <w:p w14:paraId="63C6BF32"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1842" w:type="dxa"/>
            <w:shd w:val="clear" w:color="auto" w:fill="auto"/>
            <w:noWrap/>
            <w:vAlign w:val="center"/>
            <w:hideMark/>
          </w:tcPr>
          <w:p w14:paraId="5AA1D454"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993" w:type="dxa"/>
            <w:vAlign w:val="center"/>
          </w:tcPr>
          <w:p w14:paraId="0D5B7B54" w14:textId="77777777" w:rsidR="00742FCA" w:rsidRPr="00EE5B39" w:rsidRDefault="00742FCA" w:rsidP="0080431B">
            <w:pPr>
              <w:spacing w:after="0" w:line="240" w:lineRule="auto"/>
              <w:jc w:val="center"/>
              <w:rPr>
                <w:rFonts w:ascii="Arial" w:eastAsia="Times New Roman" w:hAnsi="Arial" w:cs="Arial"/>
                <w:b/>
                <w:sz w:val="18"/>
                <w:szCs w:val="18"/>
                <w:lang w:eastAsia="en-GB"/>
              </w:rPr>
            </w:pPr>
            <w:r w:rsidRPr="00EE5B39">
              <w:rPr>
                <w:rFonts w:ascii="Arial" w:eastAsia="Times New Roman" w:hAnsi="Arial" w:cs="Arial"/>
                <w:b/>
                <w:sz w:val="18"/>
                <w:szCs w:val="18"/>
                <w:lang w:eastAsia="en-GB"/>
              </w:rPr>
              <w:t>4</w:t>
            </w:r>
          </w:p>
        </w:tc>
        <w:tc>
          <w:tcPr>
            <w:tcW w:w="992" w:type="dxa"/>
            <w:vAlign w:val="center"/>
          </w:tcPr>
          <w:p w14:paraId="0996ECB5" w14:textId="77777777" w:rsidR="00742FCA" w:rsidRPr="00EE5B39" w:rsidRDefault="00742FCA" w:rsidP="0080431B">
            <w:pPr>
              <w:spacing w:after="0" w:line="240" w:lineRule="auto"/>
              <w:jc w:val="center"/>
              <w:rPr>
                <w:rFonts w:ascii="Arial" w:eastAsia="Times New Roman" w:hAnsi="Arial" w:cs="Arial"/>
                <w:sz w:val="18"/>
                <w:szCs w:val="18"/>
                <w:lang w:eastAsia="en-GB"/>
              </w:rPr>
            </w:pPr>
          </w:p>
        </w:tc>
        <w:tc>
          <w:tcPr>
            <w:tcW w:w="567" w:type="dxa"/>
            <w:shd w:val="clear" w:color="auto" w:fill="auto"/>
            <w:noWrap/>
            <w:vAlign w:val="center"/>
            <w:hideMark/>
          </w:tcPr>
          <w:p w14:paraId="7E038F27"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709" w:type="dxa"/>
            <w:shd w:val="clear" w:color="auto" w:fill="auto"/>
            <w:noWrap/>
            <w:vAlign w:val="center"/>
            <w:hideMark/>
          </w:tcPr>
          <w:p w14:paraId="6997BC3C"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1.67</w:t>
            </w:r>
          </w:p>
        </w:tc>
        <w:tc>
          <w:tcPr>
            <w:tcW w:w="708" w:type="dxa"/>
            <w:shd w:val="clear" w:color="auto" w:fill="auto"/>
            <w:noWrap/>
            <w:vAlign w:val="center"/>
            <w:hideMark/>
          </w:tcPr>
          <w:p w14:paraId="7D1D2761"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1134" w:type="dxa"/>
            <w:shd w:val="clear" w:color="auto" w:fill="auto"/>
            <w:noWrap/>
            <w:vAlign w:val="center"/>
            <w:hideMark/>
          </w:tcPr>
          <w:p w14:paraId="627CAF6B"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851" w:type="dxa"/>
            <w:shd w:val="clear" w:color="auto" w:fill="auto"/>
            <w:noWrap/>
            <w:vAlign w:val="center"/>
            <w:hideMark/>
          </w:tcPr>
          <w:p w14:paraId="64628D63"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6.03</w:t>
            </w:r>
          </w:p>
        </w:tc>
      </w:tr>
      <w:tr w:rsidR="00EE5B39" w:rsidRPr="00481D63" w14:paraId="21A29D89" w14:textId="77777777" w:rsidTr="0080431B">
        <w:trPr>
          <w:trHeight w:val="300"/>
        </w:trPr>
        <w:tc>
          <w:tcPr>
            <w:tcW w:w="959" w:type="dxa"/>
            <w:shd w:val="clear" w:color="auto" w:fill="auto"/>
            <w:noWrap/>
            <w:vAlign w:val="center"/>
            <w:hideMark/>
          </w:tcPr>
          <w:p w14:paraId="57BF0C38"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Max</w:t>
            </w:r>
          </w:p>
        </w:tc>
        <w:tc>
          <w:tcPr>
            <w:tcW w:w="283" w:type="dxa"/>
            <w:shd w:val="clear" w:color="auto" w:fill="auto"/>
            <w:noWrap/>
            <w:vAlign w:val="center"/>
            <w:hideMark/>
          </w:tcPr>
          <w:p w14:paraId="5744B83A"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567" w:type="dxa"/>
            <w:shd w:val="clear" w:color="auto" w:fill="auto"/>
            <w:noWrap/>
            <w:vAlign w:val="center"/>
            <w:hideMark/>
          </w:tcPr>
          <w:p w14:paraId="025C7AE4"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78</w:t>
            </w:r>
          </w:p>
        </w:tc>
        <w:tc>
          <w:tcPr>
            <w:tcW w:w="851" w:type="dxa"/>
            <w:shd w:val="clear" w:color="auto" w:fill="auto"/>
            <w:noWrap/>
            <w:vAlign w:val="center"/>
            <w:hideMark/>
          </w:tcPr>
          <w:p w14:paraId="30E32CEF"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9.29</w:t>
            </w:r>
          </w:p>
        </w:tc>
        <w:tc>
          <w:tcPr>
            <w:tcW w:w="992" w:type="dxa"/>
            <w:shd w:val="clear" w:color="auto" w:fill="auto"/>
            <w:noWrap/>
            <w:vAlign w:val="center"/>
            <w:hideMark/>
          </w:tcPr>
          <w:p w14:paraId="163F97D5"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4.00</w:t>
            </w:r>
          </w:p>
        </w:tc>
        <w:tc>
          <w:tcPr>
            <w:tcW w:w="851" w:type="dxa"/>
            <w:shd w:val="clear" w:color="auto" w:fill="auto"/>
            <w:noWrap/>
            <w:vAlign w:val="center"/>
            <w:hideMark/>
          </w:tcPr>
          <w:p w14:paraId="20B08A0B"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4</w:t>
            </w:r>
          </w:p>
        </w:tc>
        <w:tc>
          <w:tcPr>
            <w:tcW w:w="992" w:type="dxa"/>
            <w:vAlign w:val="center"/>
          </w:tcPr>
          <w:p w14:paraId="2FAC7C4C"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709" w:type="dxa"/>
            <w:shd w:val="clear" w:color="auto" w:fill="auto"/>
            <w:noWrap/>
            <w:vAlign w:val="center"/>
            <w:hideMark/>
          </w:tcPr>
          <w:p w14:paraId="07294136"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1842" w:type="dxa"/>
            <w:shd w:val="clear" w:color="auto" w:fill="auto"/>
            <w:noWrap/>
            <w:vAlign w:val="center"/>
            <w:hideMark/>
          </w:tcPr>
          <w:p w14:paraId="54B760AD"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993" w:type="dxa"/>
            <w:vAlign w:val="center"/>
          </w:tcPr>
          <w:p w14:paraId="1A049F32" w14:textId="77777777" w:rsidR="00742FCA" w:rsidRPr="00EE5B39" w:rsidRDefault="00742FCA" w:rsidP="0080431B">
            <w:pPr>
              <w:spacing w:after="0" w:line="240" w:lineRule="auto"/>
              <w:jc w:val="center"/>
              <w:rPr>
                <w:rFonts w:ascii="Arial" w:eastAsia="Times New Roman" w:hAnsi="Arial" w:cs="Arial"/>
                <w:b/>
                <w:sz w:val="18"/>
                <w:szCs w:val="18"/>
                <w:lang w:eastAsia="en-GB"/>
              </w:rPr>
            </w:pPr>
            <w:r w:rsidRPr="00EE5B39">
              <w:rPr>
                <w:rFonts w:ascii="Arial" w:hAnsi="Arial" w:cs="Arial"/>
                <w:b/>
                <w:sz w:val="18"/>
              </w:rPr>
              <w:t>77</w:t>
            </w:r>
          </w:p>
        </w:tc>
        <w:tc>
          <w:tcPr>
            <w:tcW w:w="992" w:type="dxa"/>
            <w:vAlign w:val="center"/>
          </w:tcPr>
          <w:p w14:paraId="3E5C0C8B" w14:textId="77777777" w:rsidR="00742FCA" w:rsidRPr="00EE5B39" w:rsidRDefault="00742FCA" w:rsidP="0080431B">
            <w:pPr>
              <w:spacing w:after="0" w:line="240" w:lineRule="auto"/>
              <w:jc w:val="center"/>
              <w:rPr>
                <w:rFonts w:ascii="Arial" w:eastAsia="Times New Roman" w:hAnsi="Arial" w:cs="Arial"/>
                <w:sz w:val="18"/>
                <w:szCs w:val="18"/>
                <w:lang w:eastAsia="en-GB"/>
              </w:rPr>
            </w:pPr>
          </w:p>
        </w:tc>
        <w:tc>
          <w:tcPr>
            <w:tcW w:w="567" w:type="dxa"/>
            <w:shd w:val="clear" w:color="auto" w:fill="auto"/>
            <w:noWrap/>
            <w:vAlign w:val="center"/>
            <w:hideMark/>
          </w:tcPr>
          <w:p w14:paraId="6C59FFFE"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709" w:type="dxa"/>
            <w:shd w:val="clear" w:color="auto" w:fill="auto"/>
            <w:noWrap/>
            <w:vAlign w:val="center"/>
            <w:hideMark/>
          </w:tcPr>
          <w:p w14:paraId="53BEA8C3"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79.20</w:t>
            </w:r>
          </w:p>
        </w:tc>
        <w:tc>
          <w:tcPr>
            <w:tcW w:w="708" w:type="dxa"/>
            <w:shd w:val="clear" w:color="auto" w:fill="auto"/>
            <w:noWrap/>
            <w:vAlign w:val="center"/>
            <w:hideMark/>
          </w:tcPr>
          <w:p w14:paraId="545D137C"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p>
        </w:tc>
        <w:tc>
          <w:tcPr>
            <w:tcW w:w="1134" w:type="dxa"/>
            <w:shd w:val="clear" w:color="auto" w:fill="auto"/>
            <w:noWrap/>
            <w:vAlign w:val="center"/>
            <w:hideMark/>
          </w:tcPr>
          <w:p w14:paraId="11C1634D" w14:textId="77777777" w:rsidR="00742FCA" w:rsidRPr="00331D14" w:rsidRDefault="00742FCA" w:rsidP="0080431B">
            <w:pPr>
              <w:spacing w:after="0" w:line="240" w:lineRule="auto"/>
              <w:jc w:val="center"/>
              <w:rPr>
                <w:rFonts w:ascii="Arial" w:eastAsia="Times New Roman" w:hAnsi="Arial" w:cs="Arial"/>
                <w:sz w:val="18"/>
                <w:szCs w:val="18"/>
                <w:lang w:eastAsia="en-GB"/>
              </w:rPr>
            </w:pPr>
          </w:p>
        </w:tc>
        <w:tc>
          <w:tcPr>
            <w:tcW w:w="851" w:type="dxa"/>
            <w:shd w:val="clear" w:color="auto" w:fill="auto"/>
            <w:noWrap/>
            <w:vAlign w:val="center"/>
            <w:hideMark/>
          </w:tcPr>
          <w:p w14:paraId="430B3FFD" w14:textId="77777777" w:rsidR="00742FCA" w:rsidRPr="00331D14" w:rsidRDefault="00742FCA" w:rsidP="0080431B">
            <w:pPr>
              <w:spacing w:after="0" w:line="240" w:lineRule="auto"/>
              <w:jc w:val="center"/>
              <w:rPr>
                <w:rFonts w:ascii="Arial" w:eastAsia="Times New Roman" w:hAnsi="Arial" w:cs="Arial"/>
                <w:b/>
                <w:bCs/>
                <w:color w:val="000000"/>
                <w:sz w:val="18"/>
                <w:szCs w:val="18"/>
                <w:lang w:eastAsia="en-GB"/>
              </w:rPr>
            </w:pPr>
            <w:r w:rsidRPr="00331D14">
              <w:rPr>
                <w:rFonts w:ascii="Arial" w:eastAsia="Times New Roman" w:hAnsi="Arial" w:cs="Arial"/>
                <w:b/>
                <w:bCs/>
                <w:color w:val="000000"/>
                <w:sz w:val="18"/>
                <w:szCs w:val="18"/>
                <w:lang w:eastAsia="en-GB"/>
              </w:rPr>
              <w:t>83.80</w:t>
            </w:r>
          </w:p>
        </w:tc>
      </w:tr>
    </w:tbl>
    <w:p w14:paraId="76825553" w14:textId="77777777" w:rsidR="00742FCA" w:rsidRDefault="0032198F" w:rsidP="00212EFF">
      <w:pPr>
        <w:spacing w:after="0"/>
        <w:jc w:val="both"/>
        <w:rPr>
          <w:rFonts w:ascii="Arial" w:hAnsi="Arial" w:cs="Arial"/>
          <w:b/>
          <w:bCs/>
          <w:color w:val="000000"/>
          <w:sz w:val="20"/>
          <w:szCs w:val="24"/>
          <w:lang w:val="en-US"/>
        </w:rPr>
      </w:pPr>
      <w:r>
        <w:rPr>
          <w:rFonts w:ascii="Arial" w:hAnsi="Arial" w:cs="Arial"/>
          <w:b/>
          <w:bCs/>
          <w:color w:val="000000"/>
          <w:sz w:val="20"/>
          <w:szCs w:val="24"/>
          <w:lang w:val="en-US"/>
        </w:rPr>
        <w:t xml:space="preserve">M-Male, F-Female, TURBT- Transurethral resection of bladder </w:t>
      </w:r>
      <w:proofErr w:type="spellStart"/>
      <w:r>
        <w:rPr>
          <w:rFonts w:ascii="Arial" w:hAnsi="Arial" w:cs="Arial"/>
          <w:b/>
          <w:bCs/>
          <w:color w:val="000000"/>
          <w:sz w:val="20"/>
          <w:szCs w:val="24"/>
          <w:lang w:val="en-US"/>
        </w:rPr>
        <w:t>tumour</w:t>
      </w:r>
      <w:proofErr w:type="spellEnd"/>
      <w:r>
        <w:rPr>
          <w:rFonts w:ascii="Arial" w:hAnsi="Arial" w:cs="Arial"/>
          <w:b/>
          <w:bCs/>
          <w:color w:val="000000"/>
          <w:sz w:val="20"/>
          <w:szCs w:val="24"/>
          <w:lang w:val="en-US"/>
        </w:rPr>
        <w:t xml:space="preserve">, </w:t>
      </w:r>
      <w:proofErr w:type="spellStart"/>
      <w:r>
        <w:rPr>
          <w:rFonts w:ascii="Arial" w:hAnsi="Arial" w:cs="Arial"/>
          <w:b/>
          <w:bCs/>
          <w:color w:val="000000"/>
          <w:sz w:val="20"/>
          <w:szCs w:val="24"/>
          <w:lang w:val="en-US"/>
        </w:rPr>
        <w:t>wks</w:t>
      </w:r>
      <w:proofErr w:type="spellEnd"/>
      <w:r>
        <w:rPr>
          <w:rFonts w:ascii="Arial" w:hAnsi="Arial" w:cs="Arial"/>
          <w:b/>
          <w:bCs/>
          <w:color w:val="000000"/>
          <w:sz w:val="20"/>
          <w:szCs w:val="24"/>
          <w:lang w:val="en-US"/>
        </w:rPr>
        <w:t xml:space="preserve"> - weeks, </w:t>
      </w:r>
      <w:proofErr w:type="spellStart"/>
      <w:r>
        <w:rPr>
          <w:rFonts w:ascii="Arial" w:hAnsi="Arial" w:cs="Arial"/>
          <w:b/>
          <w:bCs/>
          <w:color w:val="000000"/>
          <w:sz w:val="20"/>
          <w:szCs w:val="24"/>
          <w:lang w:val="en-US"/>
        </w:rPr>
        <w:t>Sx</w:t>
      </w:r>
      <w:proofErr w:type="spellEnd"/>
      <w:r>
        <w:rPr>
          <w:rFonts w:ascii="Arial" w:hAnsi="Arial" w:cs="Arial"/>
          <w:b/>
          <w:bCs/>
          <w:color w:val="000000"/>
          <w:sz w:val="20"/>
          <w:szCs w:val="24"/>
          <w:lang w:val="en-US"/>
        </w:rPr>
        <w:t xml:space="preserve">-surgery, </w:t>
      </w:r>
      <w:r w:rsidR="00B04A87">
        <w:rPr>
          <w:rFonts w:ascii="Arial" w:hAnsi="Arial" w:cs="Arial"/>
          <w:b/>
          <w:bCs/>
          <w:color w:val="000000"/>
          <w:sz w:val="20"/>
          <w:szCs w:val="24"/>
          <w:lang w:val="en-US"/>
        </w:rPr>
        <w:t xml:space="preserve">PD - Progressive disease, AE - Adverse event, NP - Non Progressor, P- Progressor, </w:t>
      </w:r>
      <w:r w:rsidR="00C30B9D">
        <w:rPr>
          <w:rFonts w:ascii="Arial" w:hAnsi="Arial" w:cs="Arial"/>
          <w:b/>
          <w:bCs/>
          <w:color w:val="000000"/>
          <w:sz w:val="20"/>
          <w:szCs w:val="24"/>
          <w:lang w:val="en-US"/>
        </w:rPr>
        <w:t xml:space="preserve">PFS - Progression free survival, OS - Overall survival, m - months, </w:t>
      </w:r>
      <w:r w:rsidR="00B04A87">
        <w:rPr>
          <w:rFonts w:ascii="Arial" w:hAnsi="Arial" w:cs="Arial"/>
          <w:b/>
          <w:bCs/>
          <w:color w:val="000000"/>
          <w:sz w:val="20"/>
          <w:szCs w:val="24"/>
          <w:lang w:val="en-US"/>
        </w:rPr>
        <w:t>M1 - metastatic disease, LFU - lost to follow up.</w:t>
      </w:r>
    </w:p>
    <w:p w14:paraId="01105914" w14:textId="77777777" w:rsidR="00F075C8" w:rsidRPr="00481D63" w:rsidRDefault="0010397E" w:rsidP="00E25CF3">
      <w:pPr>
        <w:jc w:val="both"/>
        <w:rPr>
          <w:rFonts w:ascii="Arial" w:hAnsi="Arial" w:cs="Arial"/>
          <w:b/>
          <w:bCs/>
          <w:color w:val="000000"/>
          <w:sz w:val="24"/>
          <w:szCs w:val="24"/>
          <w:lang w:val="en-US"/>
        </w:rPr>
      </w:pPr>
      <w:r>
        <w:rPr>
          <w:rFonts w:ascii="Arial" w:hAnsi="Arial" w:cs="Arial"/>
          <w:b/>
          <w:bCs/>
          <w:color w:val="000000"/>
          <w:sz w:val="20"/>
          <w:szCs w:val="24"/>
          <w:lang w:val="en-US"/>
        </w:rPr>
        <w:t xml:space="preserve">† patient </w:t>
      </w:r>
      <w:r w:rsidR="007D0EE7">
        <w:rPr>
          <w:rFonts w:ascii="Arial" w:hAnsi="Arial" w:cs="Arial"/>
          <w:b/>
          <w:bCs/>
          <w:color w:val="000000"/>
          <w:sz w:val="20"/>
          <w:szCs w:val="24"/>
          <w:lang w:val="en-US"/>
        </w:rPr>
        <w:t>had</w:t>
      </w:r>
      <w:r>
        <w:rPr>
          <w:rFonts w:ascii="Arial" w:hAnsi="Arial" w:cs="Arial"/>
          <w:b/>
          <w:bCs/>
          <w:color w:val="000000"/>
          <w:sz w:val="20"/>
          <w:szCs w:val="24"/>
          <w:lang w:val="en-US"/>
        </w:rPr>
        <w:t xml:space="preserve"> progressed </w:t>
      </w:r>
      <w:r w:rsidR="007D0EE7">
        <w:rPr>
          <w:rFonts w:ascii="Arial" w:hAnsi="Arial" w:cs="Arial"/>
          <w:b/>
          <w:bCs/>
          <w:color w:val="000000"/>
          <w:sz w:val="20"/>
          <w:szCs w:val="24"/>
          <w:lang w:val="en-US"/>
        </w:rPr>
        <w:t xml:space="preserve">on chemotherapy, both </w:t>
      </w:r>
      <w:r>
        <w:rPr>
          <w:rFonts w:ascii="Arial" w:hAnsi="Arial" w:cs="Arial"/>
          <w:b/>
          <w:bCs/>
          <w:color w:val="000000"/>
          <w:sz w:val="20"/>
          <w:szCs w:val="24"/>
          <w:lang w:val="en-US"/>
        </w:rPr>
        <w:t xml:space="preserve">in bladder </w:t>
      </w:r>
      <w:r w:rsidR="007D0EE7">
        <w:rPr>
          <w:rFonts w:ascii="Arial" w:hAnsi="Arial" w:cs="Arial"/>
          <w:b/>
          <w:bCs/>
          <w:color w:val="000000"/>
          <w:sz w:val="20"/>
          <w:szCs w:val="24"/>
          <w:lang w:val="en-US"/>
        </w:rPr>
        <w:t xml:space="preserve">&amp; distantly </w:t>
      </w:r>
      <w:r>
        <w:rPr>
          <w:rFonts w:ascii="Arial" w:hAnsi="Arial" w:cs="Arial"/>
          <w:b/>
          <w:bCs/>
          <w:color w:val="000000"/>
          <w:sz w:val="20"/>
          <w:szCs w:val="24"/>
          <w:lang w:val="en-US"/>
        </w:rPr>
        <w:t xml:space="preserve">and classed as a non-responder, </w:t>
      </w:r>
      <w:r w:rsidR="00742FCA">
        <w:rPr>
          <w:rFonts w:ascii="Arial" w:hAnsi="Arial" w:cs="Arial"/>
          <w:b/>
          <w:bCs/>
          <w:color w:val="000000"/>
          <w:sz w:val="20"/>
          <w:szCs w:val="24"/>
          <w:lang w:val="en-US"/>
        </w:rPr>
        <w:t xml:space="preserve">*patient </w:t>
      </w:r>
      <w:r w:rsidR="00B3586E">
        <w:rPr>
          <w:rFonts w:ascii="Arial" w:hAnsi="Arial" w:cs="Arial"/>
          <w:b/>
          <w:bCs/>
          <w:color w:val="000000"/>
          <w:sz w:val="20"/>
          <w:szCs w:val="24"/>
          <w:lang w:val="en-US"/>
        </w:rPr>
        <w:t xml:space="preserve">was classed as </w:t>
      </w:r>
      <w:r w:rsidR="00B208E7">
        <w:rPr>
          <w:rFonts w:ascii="Arial" w:hAnsi="Arial" w:cs="Arial"/>
          <w:b/>
          <w:bCs/>
          <w:color w:val="000000"/>
          <w:sz w:val="20"/>
          <w:szCs w:val="24"/>
          <w:lang w:val="en-US"/>
        </w:rPr>
        <w:t>a non-responder</w:t>
      </w:r>
      <w:r>
        <w:rPr>
          <w:rFonts w:ascii="Arial" w:hAnsi="Arial" w:cs="Arial"/>
          <w:b/>
          <w:bCs/>
          <w:color w:val="000000"/>
          <w:sz w:val="20"/>
          <w:szCs w:val="24"/>
          <w:lang w:val="en-US"/>
        </w:rPr>
        <w:t xml:space="preserve"> due to N2 disease</w:t>
      </w:r>
      <w:r w:rsidR="00B208E7">
        <w:rPr>
          <w:rFonts w:ascii="Arial" w:hAnsi="Arial" w:cs="Arial"/>
          <w:b/>
          <w:bCs/>
          <w:color w:val="000000"/>
          <w:sz w:val="20"/>
          <w:szCs w:val="24"/>
          <w:lang w:val="en-US"/>
        </w:rPr>
        <w:t>.</w:t>
      </w:r>
      <w:r w:rsidR="00B04A87">
        <w:rPr>
          <w:rFonts w:ascii="Arial" w:hAnsi="Arial" w:cs="Arial"/>
          <w:b/>
          <w:bCs/>
          <w:color w:val="000000"/>
          <w:sz w:val="20"/>
          <w:szCs w:val="24"/>
          <w:lang w:val="en-US"/>
        </w:rPr>
        <w:t xml:space="preserve"> </w:t>
      </w:r>
    </w:p>
    <w:p w14:paraId="6B35F48F" w14:textId="77777777" w:rsidR="00331D14" w:rsidRPr="00481D63" w:rsidRDefault="00331D14" w:rsidP="00E25CF3">
      <w:pPr>
        <w:jc w:val="both"/>
        <w:rPr>
          <w:rFonts w:ascii="Arial" w:hAnsi="Arial" w:cs="Arial"/>
          <w:b/>
          <w:bCs/>
          <w:color w:val="000000"/>
          <w:sz w:val="24"/>
          <w:szCs w:val="24"/>
          <w:lang w:val="en-US"/>
        </w:rPr>
        <w:sectPr w:rsidR="00331D14" w:rsidRPr="00481D63" w:rsidSect="00F075C8">
          <w:pgSz w:w="16838" w:h="11906" w:orient="landscape"/>
          <w:pgMar w:top="1440" w:right="1440" w:bottom="1440" w:left="1440" w:header="709" w:footer="709" w:gutter="0"/>
          <w:cols w:space="708"/>
          <w:docGrid w:linePitch="360"/>
        </w:sectPr>
      </w:pPr>
    </w:p>
    <w:p w14:paraId="0FF3F6CF" w14:textId="77777777" w:rsidR="00411C13" w:rsidRPr="00481D63" w:rsidRDefault="00411C13" w:rsidP="00E25CF3">
      <w:pPr>
        <w:jc w:val="both"/>
        <w:rPr>
          <w:rFonts w:ascii="Arial" w:hAnsi="Arial" w:cs="Arial"/>
          <w:b/>
          <w:bCs/>
          <w:color w:val="31849B"/>
          <w:sz w:val="24"/>
          <w:szCs w:val="24"/>
          <w:lang w:val="en-US"/>
        </w:rPr>
      </w:pPr>
      <w:r w:rsidRPr="00481D63">
        <w:rPr>
          <w:rFonts w:ascii="Arial" w:hAnsi="Arial" w:cs="Arial"/>
          <w:b/>
          <w:bCs/>
          <w:color w:val="000000"/>
          <w:sz w:val="24"/>
          <w:szCs w:val="24"/>
          <w:lang w:val="en-US"/>
        </w:rPr>
        <w:lastRenderedPageBreak/>
        <w:t>Efficacy</w:t>
      </w:r>
    </w:p>
    <w:p w14:paraId="1D500E96" w14:textId="77777777" w:rsidR="00411C13" w:rsidRPr="00B37572" w:rsidRDefault="00692E09" w:rsidP="00B37572">
      <w:pPr>
        <w:spacing w:line="480" w:lineRule="auto"/>
        <w:contextualSpacing/>
        <w:jc w:val="both"/>
        <w:rPr>
          <w:rFonts w:ascii="Arial" w:hAnsi="Arial" w:cs="Arial"/>
        </w:rPr>
      </w:pPr>
      <w:r>
        <w:rPr>
          <w:rFonts w:ascii="Arial" w:hAnsi="Arial" w:cs="Arial"/>
        </w:rPr>
        <w:tab/>
      </w:r>
      <w:r w:rsidR="00411C13" w:rsidRPr="00E25CF3">
        <w:rPr>
          <w:rFonts w:ascii="Arial" w:hAnsi="Arial" w:cs="Arial"/>
        </w:rPr>
        <w:t xml:space="preserve">Objective response rate </w:t>
      </w:r>
      <w:r w:rsidR="00AB153F">
        <w:rPr>
          <w:rFonts w:ascii="Arial" w:hAnsi="Arial" w:cs="Arial"/>
        </w:rPr>
        <w:t>(</w:t>
      </w:r>
      <w:r w:rsidR="00411C13" w:rsidRPr="00E25CF3">
        <w:rPr>
          <w:rFonts w:ascii="Arial" w:hAnsi="Arial" w:cs="Arial"/>
        </w:rPr>
        <w:t>ORR</w:t>
      </w:r>
      <w:r w:rsidR="00AB153F">
        <w:rPr>
          <w:rFonts w:ascii="Arial" w:hAnsi="Arial" w:cs="Arial"/>
        </w:rPr>
        <w:t>)</w:t>
      </w:r>
      <w:r w:rsidR="00411C13" w:rsidRPr="00E25CF3">
        <w:rPr>
          <w:rFonts w:ascii="Arial" w:hAnsi="Arial" w:cs="Arial"/>
        </w:rPr>
        <w:t xml:space="preserve"> was </w:t>
      </w:r>
      <w:r w:rsidR="00A14EEE">
        <w:rPr>
          <w:rFonts w:ascii="Arial" w:hAnsi="Arial" w:cs="Arial"/>
        </w:rPr>
        <w:t>57.7</w:t>
      </w:r>
      <w:r w:rsidR="000C50ED">
        <w:rPr>
          <w:rFonts w:ascii="Arial" w:hAnsi="Arial" w:cs="Arial"/>
          <w:bCs/>
          <w:lang w:val="en-US"/>
        </w:rPr>
        <w:t>% (</w:t>
      </w:r>
      <w:r w:rsidR="00E5268F">
        <w:rPr>
          <w:rFonts w:ascii="Arial" w:hAnsi="Arial" w:cs="Arial"/>
          <w:bCs/>
          <w:lang w:val="en-US"/>
        </w:rPr>
        <w:t>1</w:t>
      </w:r>
      <w:r w:rsidR="00A14EEE">
        <w:rPr>
          <w:rFonts w:ascii="Arial" w:hAnsi="Arial" w:cs="Arial"/>
          <w:bCs/>
          <w:lang w:val="en-US"/>
        </w:rPr>
        <w:t>5</w:t>
      </w:r>
      <w:r w:rsidR="000C50ED">
        <w:rPr>
          <w:rFonts w:ascii="Arial" w:hAnsi="Arial" w:cs="Arial"/>
          <w:bCs/>
          <w:lang w:val="en-US"/>
        </w:rPr>
        <w:t>/2</w:t>
      </w:r>
      <w:r w:rsidR="00C30B9D">
        <w:rPr>
          <w:rFonts w:ascii="Arial" w:hAnsi="Arial" w:cs="Arial"/>
          <w:bCs/>
          <w:lang w:val="en-US"/>
        </w:rPr>
        <w:t>6</w:t>
      </w:r>
      <w:r w:rsidR="00411C13" w:rsidRPr="00E25CF3">
        <w:rPr>
          <w:rFonts w:ascii="Arial" w:hAnsi="Arial" w:cs="Arial"/>
          <w:bCs/>
          <w:lang w:val="en-US"/>
        </w:rPr>
        <w:t xml:space="preserve"> patients</w:t>
      </w:r>
      <w:r w:rsidR="000C50ED">
        <w:rPr>
          <w:rFonts w:ascii="Arial" w:hAnsi="Arial" w:cs="Arial"/>
          <w:bCs/>
          <w:lang w:val="en-US"/>
        </w:rPr>
        <w:t>)</w:t>
      </w:r>
      <w:r w:rsidR="00411C13" w:rsidRPr="00E25CF3">
        <w:rPr>
          <w:rFonts w:ascii="Arial" w:hAnsi="Arial" w:cs="Arial"/>
          <w:bCs/>
          <w:lang w:val="en-US"/>
        </w:rPr>
        <w:t>. Pathologic comp</w:t>
      </w:r>
      <w:r w:rsidR="00AB153F">
        <w:rPr>
          <w:rFonts w:ascii="Arial" w:hAnsi="Arial" w:cs="Arial"/>
          <w:bCs/>
          <w:lang w:val="en-US"/>
        </w:rPr>
        <w:t>lete remission was obse</w:t>
      </w:r>
      <w:r w:rsidR="00E5268F">
        <w:rPr>
          <w:rFonts w:ascii="Arial" w:hAnsi="Arial" w:cs="Arial"/>
          <w:bCs/>
          <w:lang w:val="en-US"/>
        </w:rPr>
        <w:t xml:space="preserve">rved in </w:t>
      </w:r>
      <w:r w:rsidR="00A14EEE">
        <w:rPr>
          <w:rFonts w:ascii="Arial" w:hAnsi="Arial" w:cs="Arial"/>
          <w:bCs/>
          <w:lang w:val="en-US"/>
        </w:rPr>
        <w:t xml:space="preserve">9 </w:t>
      </w:r>
      <w:r w:rsidR="00E5268F">
        <w:rPr>
          <w:rFonts w:ascii="Arial" w:hAnsi="Arial" w:cs="Arial"/>
          <w:bCs/>
          <w:lang w:val="en-US"/>
        </w:rPr>
        <w:t>of these patients (</w:t>
      </w:r>
      <w:r w:rsidR="00212EFF">
        <w:rPr>
          <w:rFonts w:ascii="Arial" w:hAnsi="Arial" w:cs="Arial"/>
          <w:bCs/>
          <w:lang w:val="en-US"/>
        </w:rPr>
        <w:t>3</w:t>
      </w:r>
      <w:r w:rsidR="00A14EEE">
        <w:rPr>
          <w:rFonts w:ascii="Arial" w:hAnsi="Arial" w:cs="Arial"/>
          <w:bCs/>
          <w:lang w:val="en-US"/>
        </w:rPr>
        <w:t>4.6</w:t>
      </w:r>
      <w:r w:rsidR="00AB153F">
        <w:rPr>
          <w:rFonts w:ascii="Arial" w:hAnsi="Arial" w:cs="Arial"/>
          <w:bCs/>
          <w:lang w:val="en-US"/>
        </w:rPr>
        <w:t>%</w:t>
      </w:r>
      <w:r w:rsidR="000E5C6B">
        <w:rPr>
          <w:rFonts w:ascii="Arial" w:hAnsi="Arial" w:cs="Arial"/>
          <w:bCs/>
          <w:lang w:val="en-US"/>
        </w:rPr>
        <w:t>) and in 6 patients (</w:t>
      </w:r>
      <w:r w:rsidR="00C30B9D">
        <w:rPr>
          <w:rFonts w:ascii="Arial" w:hAnsi="Arial" w:cs="Arial"/>
          <w:bCs/>
          <w:lang w:val="en-US"/>
        </w:rPr>
        <w:t>23.1</w:t>
      </w:r>
      <w:r w:rsidR="000E5C6B">
        <w:rPr>
          <w:rFonts w:ascii="Arial" w:hAnsi="Arial" w:cs="Arial"/>
          <w:bCs/>
          <w:lang w:val="en-US"/>
        </w:rPr>
        <w:t>%)</w:t>
      </w:r>
      <w:r w:rsidR="000E5C6B">
        <w:rPr>
          <w:rFonts w:ascii="Arial" w:hAnsi="Arial" w:cs="Arial"/>
        </w:rPr>
        <w:t xml:space="preserve"> the tumour was down staged</w:t>
      </w:r>
      <w:r w:rsidR="008D39F6">
        <w:rPr>
          <w:rFonts w:ascii="Arial" w:hAnsi="Arial" w:cs="Arial"/>
        </w:rPr>
        <w:t xml:space="preserve"> (</w:t>
      </w:r>
      <w:proofErr w:type="spellStart"/>
      <w:r w:rsidR="008D39F6">
        <w:rPr>
          <w:rFonts w:ascii="Arial" w:hAnsi="Arial" w:cs="Arial"/>
        </w:rPr>
        <w:t>pTa</w:t>
      </w:r>
      <w:proofErr w:type="spellEnd"/>
      <w:r w:rsidR="008D39F6">
        <w:rPr>
          <w:rFonts w:ascii="Arial" w:hAnsi="Arial" w:cs="Arial"/>
        </w:rPr>
        <w:t>, Tis, T1N0)</w:t>
      </w:r>
      <w:r w:rsidR="000E5C6B">
        <w:rPr>
          <w:rFonts w:ascii="Arial" w:hAnsi="Arial" w:cs="Arial"/>
        </w:rPr>
        <w:t xml:space="preserve">. </w:t>
      </w:r>
      <w:r w:rsidR="0031093D">
        <w:rPr>
          <w:rFonts w:ascii="Arial" w:hAnsi="Arial" w:cs="Arial"/>
        </w:rPr>
        <w:t xml:space="preserve">Seven </w:t>
      </w:r>
      <w:r w:rsidR="00C97A3A">
        <w:rPr>
          <w:rFonts w:ascii="Arial" w:hAnsi="Arial" w:cs="Arial"/>
          <w:bCs/>
          <w:lang w:val="en-US"/>
        </w:rPr>
        <w:t>patients have progressed (</w:t>
      </w:r>
      <w:r w:rsidR="0031093D">
        <w:rPr>
          <w:rFonts w:ascii="Arial" w:hAnsi="Arial" w:cs="Arial"/>
          <w:bCs/>
          <w:lang w:val="en-US"/>
        </w:rPr>
        <w:t>26.9</w:t>
      </w:r>
      <w:r w:rsidR="00C97A3A">
        <w:rPr>
          <w:rFonts w:ascii="Arial" w:hAnsi="Arial" w:cs="Arial"/>
          <w:bCs/>
          <w:lang w:val="en-US"/>
        </w:rPr>
        <w:t xml:space="preserve">%), </w:t>
      </w:r>
      <w:r w:rsidR="00A03CFE">
        <w:rPr>
          <w:rFonts w:ascii="Arial" w:hAnsi="Arial" w:cs="Arial"/>
          <w:bCs/>
          <w:lang w:val="en-US"/>
        </w:rPr>
        <w:t>one</w:t>
      </w:r>
      <w:r w:rsidR="00411C13" w:rsidRPr="00E25CF3">
        <w:rPr>
          <w:rFonts w:ascii="Arial" w:hAnsi="Arial" w:cs="Arial"/>
          <w:bCs/>
          <w:lang w:val="en-US"/>
        </w:rPr>
        <w:t xml:space="preserve"> duri</w:t>
      </w:r>
      <w:r w:rsidR="00C97A3A">
        <w:rPr>
          <w:rFonts w:ascii="Arial" w:hAnsi="Arial" w:cs="Arial"/>
          <w:bCs/>
          <w:lang w:val="en-US"/>
        </w:rPr>
        <w:t>ng neoadjuvant chemotherapy (</w:t>
      </w:r>
      <w:r w:rsidR="00A03CFE">
        <w:rPr>
          <w:rFonts w:ascii="Arial" w:hAnsi="Arial" w:cs="Arial"/>
          <w:bCs/>
          <w:lang w:val="en-US"/>
        </w:rPr>
        <w:t>3.</w:t>
      </w:r>
      <w:r w:rsidR="00C97A3A">
        <w:rPr>
          <w:rFonts w:ascii="Arial" w:hAnsi="Arial" w:cs="Arial"/>
          <w:bCs/>
          <w:lang w:val="en-US"/>
        </w:rPr>
        <w:t>7%</w:t>
      </w:r>
      <w:r w:rsidR="00A91730">
        <w:rPr>
          <w:rFonts w:ascii="Arial" w:hAnsi="Arial" w:cs="Arial"/>
          <w:bCs/>
          <w:lang w:val="en-US"/>
        </w:rPr>
        <w:t>) and a further s</w:t>
      </w:r>
      <w:r w:rsidR="0031093D">
        <w:rPr>
          <w:rFonts w:ascii="Arial" w:hAnsi="Arial" w:cs="Arial"/>
          <w:bCs/>
          <w:lang w:val="en-US"/>
        </w:rPr>
        <w:t>ix</w:t>
      </w:r>
      <w:r w:rsidR="00411C13" w:rsidRPr="00E25CF3">
        <w:rPr>
          <w:rFonts w:ascii="Arial" w:hAnsi="Arial" w:cs="Arial"/>
          <w:bCs/>
          <w:lang w:val="en-US"/>
        </w:rPr>
        <w:t xml:space="preserve"> </w:t>
      </w:r>
      <w:proofErr w:type="gramStart"/>
      <w:r w:rsidR="00411C13" w:rsidRPr="00E25CF3">
        <w:rPr>
          <w:rFonts w:ascii="Arial" w:hAnsi="Arial" w:cs="Arial"/>
          <w:bCs/>
          <w:lang w:val="en-US"/>
        </w:rPr>
        <w:t>subsequent to</w:t>
      </w:r>
      <w:proofErr w:type="gramEnd"/>
      <w:r w:rsidR="00411C13" w:rsidRPr="00E25CF3">
        <w:rPr>
          <w:rFonts w:ascii="Arial" w:hAnsi="Arial" w:cs="Arial"/>
          <w:bCs/>
          <w:lang w:val="en-US"/>
        </w:rPr>
        <w:t xml:space="preserve"> </w:t>
      </w:r>
      <w:r w:rsidR="00067EFC">
        <w:rPr>
          <w:rFonts w:ascii="Arial" w:hAnsi="Arial" w:cs="Arial"/>
          <w:bCs/>
          <w:lang w:val="en-US"/>
        </w:rPr>
        <w:t>cystectomy</w:t>
      </w:r>
      <w:r w:rsidR="00C97A3A">
        <w:rPr>
          <w:rFonts w:ascii="Arial" w:hAnsi="Arial" w:cs="Arial"/>
          <w:bCs/>
          <w:lang w:val="en-US"/>
        </w:rPr>
        <w:t xml:space="preserve"> (25.9</w:t>
      </w:r>
      <w:r w:rsidR="00411C13" w:rsidRPr="00E25CF3">
        <w:rPr>
          <w:rFonts w:ascii="Arial" w:hAnsi="Arial" w:cs="Arial"/>
          <w:bCs/>
          <w:lang w:val="en-US"/>
        </w:rPr>
        <w:t xml:space="preserve">%). </w:t>
      </w:r>
      <w:r w:rsidR="00B40521">
        <w:rPr>
          <w:rFonts w:ascii="Arial" w:hAnsi="Arial" w:cs="Arial"/>
          <w:bCs/>
          <w:lang w:val="en-US"/>
        </w:rPr>
        <w:t>Seven</w:t>
      </w:r>
      <w:r w:rsidR="001B1563">
        <w:rPr>
          <w:rFonts w:ascii="Arial" w:hAnsi="Arial" w:cs="Arial"/>
          <w:bCs/>
          <w:lang w:val="en-US"/>
        </w:rPr>
        <w:t xml:space="preserve"> </w:t>
      </w:r>
      <w:r w:rsidR="005B71C6">
        <w:rPr>
          <w:rFonts w:ascii="Arial" w:hAnsi="Arial" w:cs="Arial"/>
          <w:bCs/>
          <w:lang w:val="en-US"/>
        </w:rPr>
        <w:t>patients have died (</w:t>
      </w:r>
      <w:r w:rsidR="00B40521">
        <w:rPr>
          <w:rFonts w:ascii="Arial" w:hAnsi="Arial" w:cs="Arial"/>
          <w:bCs/>
          <w:lang w:val="en-US"/>
        </w:rPr>
        <w:t>26.9</w:t>
      </w:r>
      <w:r w:rsidR="005B71C6">
        <w:rPr>
          <w:rFonts w:ascii="Arial" w:hAnsi="Arial" w:cs="Arial"/>
          <w:bCs/>
          <w:lang w:val="en-US"/>
        </w:rPr>
        <w:t>%</w:t>
      </w:r>
      <w:r w:rsidR="00411C13" w:rsidRPr="00E25CF3">
        <w:rPr>
          <w:rFonts w:ascii="Arial" w:hAnsi="Arial" w:cs="Arial"/>
          <w:bCs/>
          <w:lang w:val="en-US"/>
        </w:rPr>
        <w:t>), with median time from progression to death of 2.3 months demonstratin</w:t>
      </w:r>
      <w:r w:rsidR="000D22C4">
        <w:rPr>
          <w:rFonts w:ascii="Arial" w:hAnsi="Arial" w:cs="Arial"/>
          <w:bCs/>
          <w:lang w:val="en-US"/>
        </w:rPr>
        <w:t>g the aggressive nature of MIB</w:t>
      </w:r>
      <w:r w:rsidR="00533F91">
        <w:rPr>
          <w:rFonts w:ascii="Arial" w:hAnsi="Arial" w:cs="Arial"/>
          <w:bCs/>
          <w:lang w:val="en-US"/>
        </w:rPr>
        <w:t>C. Of the</w:t>
      </w:r>
      <w:r w:rsidR="00411C13" w:rsidRPr="00E25CF3">
        <w:rPr>
          <w:rFonts w:ascii="Arial" w:hAnsi="Arial" w:cs="Arial"/>
          <w:bCs/>
          <w:lang w:val="en-US"/>
        </w:rPr>
        <w:t xml:space="preserve"> patients</w:t>
      </w:r>
      <w:r w:rsidR="00533F91">
        <w:rPr>
          <w:rFonts w:ascii="Arial" w:hAnsi="Arial" w:cs="Arial"/>
          <w:bCs/>
          <w:lang w:val="en-US"/>
        </w:rPr>
        <w:t xml:space="preserve"> who progressed</w:t>
      </w:r>
      <w:r w:rsidR="00411C13" w:rsidRPr="00E25CF3">
        <w:rPr>
          <w:rFonts w:ascii="Arial" w:hAnsi="Arial" w:cs="Arial"/>
          <w:bCs/>
          <w:lang w:val="en-US"/>
        </w:rPr>
        <w:t xml:space="preserve"> all had persistent disease at cystectomy.  </w:t>
      </w:r>
      <w:r w:rsidR="00533F91">
        <w:rPr>
          <w:rFonts w:ascii="Arial" w:hAnsi="Arial" w:cs="Arial"/>
          <w:bCs/>
          <w:lang w:val="en-US"/>
        </w:rPr>
        <w:t xml:space="preserve">The median PFS and OS in the whole population </w:t>
      </w:r>
      <w:r w:rsidR="00380E95">
        <w:rPr>
          <w:rFonts w:ascii="Arial" w:hAnsi="Arial" w:cs="Arial"/>
          <w:bCs/>
          <w:lang w:val="en-US"/>
        </w:rPr>
        <w:t xml:space="preserve">and in those who achieved ORR </w:t>
      </w:r>
      <w:r w:rsidR="00A03CFE">
        <w:rPr>
          <w:rFonts w:ascii="Arial" w:hAnsi="Arial" w:cs="Arial"/>
          <w:bCs/>
          <w:lang w:val="en-US"/>
        </w:rPr>
        <w:t>h</w:t>
      </w:r>
      <w:r w:rsidR="00533F91">
        <w:rPr>
          <w:rFonts w:ascii="Arial" w:hAnsi="Arial" w:cs="Arial"/>
          <w:bCs/>
          <w:lang w:val="en-US"/>
        </w:rPr>
        <w:t xml:space="preserve">as not </w:t>
      </w:r>
      <w:r w:rsidR="00A03CFE">
        <w:rPr>
          <w:rFonts w:ascii="Arial" w:hAnsi="Arial" w:cs="Arial"/>
          <w:bCs/>
          <w:lang w:val="en-US"/>
        </w:rPr>
        <w:t xml:space="preserve">yet been </w:t>
      </w:r>
      <w:r w:rsidR="00533F91">
        <w:rPr>
          <w:rFonts w:ascii="Arial" w:hAnsi="Arial" w:cs="Arial"/>
          <w:bCs/>
          <w:lang w:val="en-US"/>
        </w:rPr>
        <w:t>reached</w:t>
      </w:r>
      <w:r w:rsidR="000F4101">
        <w:rPr>
          <w:rFonts w:ascii="Arial" w:hAnsi="Arial" w:cs="Arial"/>
          <w:bCs/>
          <w:lang w:val="en-US"/>
        </w:rPr>
        <w:t xml:space="preserve"> (5-yr estimate</w:t>
      </w:r>
      <w:r w:rsidR="00380E95">
        <w:rPr>
          <w:rFonts w:ascii="Arial" w:hAnsi="Arial" w:cs="Arial"/>
          <w:bCs/>
          <w:lang w:val="en-US"/>
        </w:rPr>
        <w:t>s</w:t>
      </w:r>
      <w:r w:rsidR="000F4101">
        <w:rPr>
          <w:rFonts w:ascii="Arial" w:hAnsi="Arial" w:cs="Arial"/>
          <w:bCs/>
          <w:lang w:val="en-US"/>
        </w:rPr>
        <w:t xml:space="preserve"> of </w:t>
      </w:r>
      <w:r w:rsidR="00380E95">
        <w:rPr>
          <w:rFonts w:ascii="Arial" w:hAnsi="Arial" w:cs="Arial"/>
          <w:bCs/>
          <w:lang w:val="en-US"/>
        </w:rPr>
        <w:t>7</w:t>
      </w:r>
      <w:r w:rsidR="000F4101">
        <w:rPr>
          <w:rFonts w:ascii="Arial" w:hAnsi="Arial" w:cs="Arial"/>
          <w:bCs/>
          <w:lang w:val="en-US"/>
        </w:rPr>
        <w:t>0%</w:t>
      </w:r>
      <w:r w:rsidR="00380E95">
        <w:rPr>
          <w:rFonts w:ascii="Arial" w:hAnsi="Arial" w:cs="Arial"/>
          <w:bCs/>
          <w:lang w:val="en-US"/>
        </w:rPr>
        <w:t xml:space="preserve"> and 100%, respectively in whole population and in those who achieved ORR</w:t>
      </w:r>
      <w:r w:rsidR="000F4101">
        <w:rPr>
          <w:rFonts w:ascii="Arial" w:hAnsi="Arial" w:cs="Arial"/>
          <w:bCs/>
          <w:lang w:val="en-US"/>
        </w:rPr>
        <w:t>)</w:t>
      </w:r>
      <w:r w:rsidR="00533F91">
        <w:rPr>
          <w:rFonts w:ascii="Arial" w:hAnsi="Arial" w:cs="Arial"/>
          <w:bCs/>
          <w:lang w:val="en-US"/>
        </w:rPr>
        <w:t>.</w:t>
      </w:r>
      <w:r w:rsidR="00411C13" w:rsidRPr="00E25CF3">
        <w:rPr>
          <w:rFonts w:ascii="Arial" w:hAnsi="Arial" w:cs="Arial"/>
          <w:bCs/>
          <w:lang w:val="en-US"/>
        </w:rPr>
        <w:t xml:space="preserve"> </w:t>
      </w:r>
      <w:r w:rsidR="00533F91">
        <w:rPr>
          <w:rFonts w:ascii="Arial" w:hAnsi="Arial" w:cs="Arial"/>
          <w:bCs/>
          <w:lang w:val="en-US"/>
        </w:rPr>
        <w:t xml:space="preserve">Patients who did not have any pathological downstaging after NAC had a significantly worse </w:t>
      </w:r>
      <w:r w:rsidR="000F4101">
        <w:rPr>
          <w:rFonts w:ascii="Arial" w:hAnsi="Arial" w:cs="Arial"/>
          <w:bCs/>
          <w:lang w:val="en-US"/>
        </w:rPr>
        <w:t xml:space="preserve">median </w:t>
      </w:r>
      <w:r w:rsidR="00533F91">
        <w:rPr>
          <w:rFonts w:ascii="Arial" w:hAnsi="Arial" w:cs="Arial"/>
          <w:bCs/>
          <w:lang w:val="en-US"/>
        </w:rPr>
        <w:t>PFS (</w:t>
      </w:r>
      <w:r w:rsidR="00380E95">
        <w:rPr>
          <w:rFonts w:ascii="Arial" w:hAnsi="Arial" w:cs="Arial"/>
          <w:bCs/>
          <w:lang w:val="en-US"/>
        </w:rPr>
        <w:t>7.2</w:t>
      </w:r>
      <w:r w:rsidR="0097280A">
        <w:rPr>
          <w:rFonts w:ascii="Arial" w:hAnsi="Arial" w:cs="Arial"/>
          <w:bCs/>
          <w:lang w:val="en-US"/>
        </w:rPr>
        <w:t xml:space="preserve">m; </w:t>
      </w:r>
      <w:r w:rsidR="00533F91">
        <w:rPr>
          <w:rFonts w:ascii="Arial" w:hAnsi="Arial" w:cs="Arial"/>
          <w:bCs/>
          <w:lang w:val="en-US"/>
        </w:rPr>
        <w:t>p=0.0</w:t>
      </w:r>
      <w:r w:rsidR="00A925B3">
        <w:rPr>
          <w:rFonts w:ascii="Arial" w:hAnsi="Arial" w:cs="Arial"/>
          <w:bCs/>
          <w:lang w:val="en-US"/>
        </w:rPr>
        <w:t>0</w:t>
      </w:r>
      <w:r w:rsidR="00A378CF">
        <w:rPr>
          <w:rFonts w:ascii="Arial" w:hAnsi="Arial" w:cs="Arial"/>
          <w:bCs/>
          <w:lang w:val="en-US"/>
        </w:rPr>
        <w:t>1</w:t>
      </w:r>
      <w:r w:rsidR="00533F91">
        <w:rPr>
          <w:rFonts w:ascii="Arial" w:hAnsi="Arial" w:cs="Arial"/>
          <w:bCs/>
          <w:lang w:val="en-US"/>
        </w:rPr>
        <w:t>) and OS (</w:t>
      </w:r>
      <w:r w:rsidR="00A925B3">
        <w:rPr>
          <w:rFonts w:ascii="Arial" w:hAnsi="Arial" w:cs="Arial"/>
          <w:bCs/>
          <w:lang w:val="en-US"/>
        </w:rPr>
        <w:t>16.9</w:t>
      </w:r>
      <w:r w:rsidR="0097280A">
        <w:rPr>
          <w:rFonts w:ascii="Arial" w:hAnsi="Arial" w:cs="Arial"/>
          <w:bCs/>
          <w:lang w:val="en-US"/>
        </w:rPr>
        <w:t xml:space="preserve">m; </w:t>
      </w:r>
      <w:r w:rsidR="00533F91">
        <w:rPr>
          <w:rFonts w:ascii="Arial" w:hAnsi="Arial" w:cs="Arial"/>
          <w:bCs/>
          <w:lang w:val="en-US"/>
        </w:rPr>
        <w:t>p=0.00</w:t>
      </w:r>
      <w:r w:rsidR="00A925B3">
        <w:rPr>
          <w:rFonts w:ascii="Arial" w:hAnsi="Arial" w:cs="Arial"/>
          <w:bCs/>
          <w:lang w:val="en-US"/>
        </w:rPr>
        <w:t>1</w:t>
      </w:r>
      <w:r w:rsidR="00533F91">
        <w:rPr>
          <w:rFonts w:ascii="Arial" w:hAnsi="Arial" w:cs="Arial"/>
          <w:bCs/>
          <w:lang w:val="en-US"/>
        </w:rPr>
        <w:t xml:space="preserve">; </w:t>
      </w:r>
      <w:r w:rsidR="000F4101">
        <w:rPr>
          <w:rFonts w:ascii="Arial" w:hAnsi="Arial" w:cs="Arial"/>
          <w:bCs/>
          <w:lang w:val="en-US"/>
        </w:rPr>
        <w:t xml:space="preserve">5-yr estimate of 36% </w:t>
      </w:r>
      <w:r w:rsidR="00411C13" w:rsidRPr="00533F91">
        <w:rPr>
          <w:rFonts w:ascii="Arial" w:hAnsi="Arial" w:cs="Arial"/>
          <w:b/>
          <w:bCs/>
          <w:lang w:val="en-US"/>
        </w:rPr>
        <w:t>Figure</w:t>
      </w:r>
      <w:r w:rsidR="00C97A3A" w:rsidRPr="00533F91">
        <w:rPr>
          <w:rFonts w:ascii="Arial" w:hAnsi="Arial" w:cs="Arial"/>
          <w:b/>
          <w:bCs/>
          <w:lang w:val="en-US"/>
        </w:rPr>
        <w:t xml:space="preserve"> 1</w:t>
      </w:r>
      <w:r w:rsidR="00533F91">
        <w:rPr>
          <w:rFonts w:ascii="Arial" w:hAnsi="Arial" w:cs="Arial"/>
          <w:bCs/>
          <w:lang w:val="en-US"/>
        </w:rPr>
        <w:t>)</w:t>
      </w:r>
      <w:r w:rsidR="003479B4" w:rsidRPr="00E25CF3">
        <w:rPr>
          <w:rFonts w:ascii="Arial" w:hAnsi="Arial" w:cs="Arial"/>
          <w:bCs/>
          <w:lang w:val="en-US"/>
        </w:rPr>
        <w:t>.</w:t>
      </w:r>
      <w:r w:rsidR="0030340E">
        <w:rPr>
          <w:rFonts w:ascii="Arial" w:hAnsi="Arial" w:cs="Arial"/>
          <w:bCs/>
          <w:lang w:val="en-US"/>
        </w:rPr>
        <w:t xml:space="preserve"> There was no significant difference in the PFS or OS between patients who had </w:t>
      </w:r>
      <w:proofErr w:type="spellStart"/>
      <w:r w:rsidR="0030340E">
        <w:rPr>
          <w:rFonts w:ascii="Arial" w:hAnsi="Arial" w:cs="Arial"/>
          <w:bCs/>
          <w:lang w:val="en-US"/>
        </w:rPr>
        <w:t>pCR</w:t>
      </w:r>
      <w:proofErr w:type="spellEnd"/>
      <w:r w:rsidR="0030340E">
        <w:rPr>
          <w:rFonts w:ascii="Arial" w:hAnsi="Arial" w:cs="Arial"/>
          <w:bCs/>
          <w:lang w:val="en-US"/>
        </w:rPr>
        <w:t xml:space="preserve"> and patients who had pathological downstaging (</w:t>
      </w:r>
      <w:proofErr w:type="spellStart"/>
      <w:r w:rsidR="0030340E">
        <w:rPr>
          <w:rFonts w:ascii="Arial" w:hAnsi="Arial" w:cs="Arial"/>
          <w:bCs/>
          <w:lang w:val="en-US"/>
        </w:rPr>
        <w:t>pTa</w:t>
      </w:r>
      <w:proofErr w:type="spellEnd"/>
      <w:r w:rsidR="0030340E">
        <w:rPr>
          <w:rFonts w:ascii="Arial" w:hAnsi="Arial" w:cs="Arial"/>
          <w:bCs/>
          <w:lang w:val="en-US"/>
        </w:rPr>
        <w:t xml:space="preserve">, Tis, T1N0). </w:t>
      </w:r>
    </w:p>
    <w:p w14:paraId="234C4A7D" w14:textId="77777777" w:rsidR="00B37572" w:rsidRDefault="00B07C5C" w:rsidP="00B37572">
      <w:pPr>
        <w:jc w:val="center"/>
        <w:rPr>
          <w:rFonts w:ascii="Arial" w:hAnsi="Arial" w:cs="Arial"/>
          <w:b/>
          <w:sz w:val="20"/>
        </w:rPr>
      </w:pPr>
      <w:r>
        <w:rPr>
          <w:rFonts w:ascii="Arial" w:hAnsi="Arial" w:cs="Arial"/>
          <w:b/>
          <w:noProof/>
          <w:sz w:val="20"/>
          <w:lang w:eastAsia="en-GB"/>
        </w:rPr>
        <w:drawing>
          <wp:inline distT="0" distB="0" distL="0" distR="0" wp14:anchorId="3A90E7A5" wp14:editId="641383CC">
            <wp:extent cx="4624380" cy="3629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629123" cy="3632747"/>
                    </a:xfrm>
                    <a:prstGeom prst="rect">
                      <a:avLst/>
                    </a:prstGeom>
                    <a:noFill/>
                    <a:ln w="9525">
                      <a:noFill/>
                      <a:miter lim="800000"/>
                      <a:headEnd/>
                      <a:tailEnd/>
                    </a:ln>
                  </pic:spPr>
                </pic:pic>
              </a:graphicData>
            </a:graphic>
          </wp:inline>
        </w:drawing>
      </w:r>
    </w:p>
    <w:p w14:paraId="40D26784" w14:textId="77777777" w:rsidR="00A3509E" w:rsidRPr="00B37572" w:rsidRDefault="00A3509E" w:rsidP="00B37572">
      <w:pPr>
        <w:rPr>
          <w:rFonts w:ascii="Arial" w:hAnsi="Arial" w:cs="Arial"/>
          <w:b/>
        </w:rPr>
      </w:pPr>
      <w:r w:rsidRPr="00A3509E">
        <w:rPr>
          <w:rFonts w:ascii="Arial" w:hAnsi="Arial" w:cs="Arial"/>
          <w:b/>
          <w:sz w:val="20"/>
        </w:rPr>
        <w:t xml:space="preserve">Fig 1: </w:t>
      </w:r>
      <w:r w:rsidR="00C50FB8" w:rsidRPr="00C50FB8">
        <w:rPr>
          <w:rFonts w:ascii="Arial" w:hAnsi="Arial" w:cs="Arial"/>
          <w:sz w:val="20"/>
        </w:rPr>
        <w:t>Survival curves.</w:t>
      </w:r>
      <w:r w:rsidR="00C50FB8">
        <w:rPr>
          <w:rFonts w:ascii="Arial" w:hAnsi="Arial" w:cs="Arial"/>
          <w:b/>
          <w:sz w:val="20"/>
        </w:rPr>
        <w:t xml:space="preserve"> a, b)</w:t>
      </w:r>
      <w:r w:rsidR="00A925B3">
        <w:rPr>
          <w:rFonts w:ascii="Arial" w:hAnsi="Arial" w:cs="Arial"/>
          <w:b/>
          <w:sz w:val="20"/>
        </w:rPr>
        <w:t xml:space="preserve"> </w:t>
      </w:r>
      <w:r w:rsidR="00D705CE">
        <w:rPr>
          <w:rFonts w:ascii="Arial" w:hAnsi="Arial" w:cs="Arial"/>
          <w:sz w:val="20"/>
        </w:rPr>
        <w:t xml:space="preserve">Overall PFS and OS. The median PFS and OS </w:t>
      </w:r>
      <w:r w:rsidR="00C7691E">
        <w:rPr>
          <w:rFonts w:ascii="Arial" w:hAnsi="Arial" w:cs="Arial"/>
          <w:sz w:val="20"/>
        </w:rPr>
        <w:t xml:space="preserve">for the whole population </w:t>
      </w:r>
      <w:proofErr w:type="gramStart"/>
      <w:r w:rsidR="00C7691E">
        <w:rPr>
          <w:rFonts w:ascii="Arial" w:hAnsi="Arial" w:cs="Arial"/>
          <w:sz w:val="20"/>
        </w:rPr>
        <w:t>have</w:t>
      </w:r>
      <w:proofErr w:type="gramEnd"/>
      <w:r w:rsidR="00C7691E">
        <w:rPr>
          <w:rFonts w:ascii="Arial" w:hAnsi="Arial" w:cs="Arial"/>
          <w:sz w:val="20"/>
        </w:rPr>
        <w:t xml:space="preserve"> not yet been</w:t>
      </w:r>
      <w:r w:rsidR="00D705CE">
        <w:rPr>
          <w:rFonts w:ascii="Arial" w:hAnsi="Arial" w:cs="Arial"/>
          <w:sz w:val="20"/>
        </w:rPr>
        <w:t xml:space="preserve"> reached. </w:t>
      </w:r>
      <w:r w:rsidR="00C50FB8" w:rsidRPr="00C50FB8">
        <w:rPr>
          <w:rFonts w:ascii="Arial" w:hAnsi="Arial" w:cs="Arial"/>
          <w:b/>
          <w:sz w:val="20"/>
        </w:rPr>
        <w:t>c, d</w:t>
      </w:r>
      <w:r w:rsidR="00C50FB8">
        <w:rPr>
          <w:rFonts w:ascii="Arial" w:hAnsi="Arial" w:cs="Arial"/>
          <w:sz w:val="20"/>
        </w:rPr>
        <w:t>)</w:t>
      </w:r>
      <w:r w:rsidR="00C7691E">
        <w:rPr>
          <w:rFonts w:ascii="Arial" w:hAnsi="Arial" w:cs="Arial"/>
          <w:sz w:val="20"/>
        </w:rPr>
        <w:t xml:space="preserve"> </w:t>
      </w:r>
      <w:r w:rsidR="00D705CE">
        <w:rPr>
          <w:rFonts w:ascii="Arial" w:hAnsi="Arial" w:cs="Arial"/>
          <w:sz w:val="20"/>
        </w:rPr>
        <w:t xml:space="preserve">The </w:t>
      </w:r>
      <w:r w:rsidR="00DC0803">
        <w:rPr>
          <w:rFonts w:ascii="Arial" w:hAnsi="Arial" w:cs="Arial"/>
          <w:sz w:val="20"/>
        </w:rPr>
        <w:t xml:space="preserve">median </w:t>
      </w:r>
      <w:r w:rsidR="00D705CE">
        <w:rPr>
          <w:rFonts w:ascii="Arial" w:hAnsi="Arial" w:cs="Arial"/>
          <w:sz w:val="20"/>
        </w:rPr>
        <w:t xml:space="preserve">PFS and OS were </w:t>
      </w:r>
      <w:r w:rsidR="00C47943">
        <w:rPr>
          <w:rFonts w:ascii="Arial" w:hAnsi="Arial" w:cs="Arial"/>
          <w:sz w:val="20"/>
        </w:rPr>
        <w:t>7.2</w:t>
      </w:r>
      <w:r w:rsidR="00A378CF">
        <w:rPr>
          <w:rFonts w:ascii="Arial" w:hAnsi="Arial" w:cs="Arial"/>
          <w:sz w:val="20"/>
        </w:rPr>
        <w:t xml:space="preserve"> &amp; 16.</w:t>
      </w:r>
      <w:r w:rsidR="00A925B3">
        <w:rPr>
          <w:rFonts w:ascii="Arial" w:hAnsi="Arial" w:cs="Arial"/>
          <w:sz w:val="20"/>
        </w:rPr>
        <w:t>9</w:t>
      </w:r>
      <w:r w:rsidR="00F83D41">
        <w:rPr>
          <w:rFonts w:ascii="Arial" w:hAnsi="Arial" w:cs="Arial"/>
          <w:sz w:val="20"/>
        </w:rPr>
        <w:t xml:space="preserve">m, respectively; </w:t>
      </w:r>
      <w:r w:rsidR="00D705CE">
        <w:rPr>
          <w:rFonts w:ascii="Arial" w:hAnsi="Arial" w:cs="Arial"/>
          <w:sz w:val="20"/>
        </w:rPr>
        <w:t xml:space="preserve">significantly worse in patients who did not have pathological downstaging. </w:t>
      </w:r>
      <w:r w:rsidRPr="00A3509E">
        <w:rPr>
          <w:rFonts w:ascii="Arial" w:hAnsi="Arial" w:cs="Arial"/>
          <w:sz w:val="20"/>
        </w:rPr>
        <w:t xml:space="preserve"> </w:t>
      </w:r>
    </w:p>
    <w:p w14:paraId="62D9FF14" w14:textId="77777777" w:rsidR="0052679B" w:rsidRPr="0052679B" w:rsidRDefault="0052679B" w:rsidP="00E25CF3">
      <w:pPr>
        <w:contextualSpacing/>
        <w:jc w:val="both"/>
        <w:rPr>
          <w:rFonts w:ascii="Arial" w:hAnsi="Arial" w:cs="Arial"/>
          <w:b/>
          <w:i/>
        </w:rPr>
      </w:pPr>
      <w:r w:rsidRPr="0052679B">
        <w:rPr>
          <w:rFonts w:ascii="Arial" w:hAnsi="Arial" w:cs="Arial"/>
          <w:b/>
          <w:i/>
        </w:rPr>
        <w:lastRenderedPageBreak/>
        <w:t>Toxicity</w:t>
      </w:r>
    </w:p>
    <w:p w14:paraId="601B9115" w14:textId="77777777" w:rsidR="0052679B" w:rsidRDefault="0052679B" w:rsidP="00E25CF3">
      <w:pPr>
        <w:contextualSpacing/>
        <w:jc w:val="both"/>
        <w:rPr>
          <w:rFonts w:ascii="Arial" w:hAnsi="Arial" w:cs="Arial"/>
        </w:rPr>
      </w:pPr>
    </w:p>
    <w:p w14:paraId="1C99C546" w14:textId="77777777" w:rsidR="00101EC0" w:rsidRPr="00E25CF3" w:rsidRDefault="00692E09" w:rsidP="00B32B52">
      <w:pPr>
        <w:spacing w:line="480" w:lineRule="auto"/>
        <w:contextualSpacing/>
        <w:jc w:val="both"/>
        <w:rPr>
          <w:rFonts w:ascii="Arial" w:hAnsi="Arial" w:cs="Arial"/>
        </w:rPr>
      </w:pPr>
      <w:r>
        <w:rPr>
          <w:rFonts w:ascii="Arial" w:hAnsi="Arial" w:cs="Arial"/>
        </w:rPr>
        <w:tab/>
      </w:r>
      <w:r w:rsidR="00101EC0" w:rsidRPr="00E25CF3">
        <w:rPr>
          <w:rFonts w:ascii="Arial" w:hAnsi="Arial" w:cs="Arial"/>
        </w:rPr>
        <w:t xml:space="preserve">Overall, </w:t>
      </w:r>
      <w:proofErr w:type="spellStart"/>
      <w:r w:rsidR="00101EC0" w:rsidRPr="00E25CF3">
        <w:rPr>
          <w:rFonts w:ascii="Arial" w:hAnsi="Arial" w:cs="Arial"/>
        </w:rPr>
        <w:t>cabazitaxel</w:t>
      </w:r>
      <w:proofErr w:type="spellEnd"/>
      <w:r w:rsidR="00101EC0" w:rsidRPr="00E25CF3">
        <w:rPr>
          <w:rFonts w:ascii="Arial" w:hAnsi="Arial" w:cs="Arial"/>
        </w:rPr>
        <w:t xml:space="preserve"> was well tolerated. There </w:t>
      </w:r>
      <w:r w:rsidR="002425F4">
        <w:rPr>
          <w:rFonts w:ascii="Arial" w:hAnsi="Arial" w:cs="Arial"/>
        </w:rPr>
        <w:t>were 253 reported AEs (Gr1: 145/253 (57.3%), Gr2: 91/253 (36%</w:t>
      </w:r>
      <w:r w:rsidR="00EA7EDF">
        <w:rPr>
          <w:rFonts w:ascii="Arial" w:hAnsi="Arial" w:cs="Arial"/>
        </w:rPr>
        <w:t>)</w:t>
      </w:r>
      <w:r w:rsidR="002425F4">
        <w:rPr>
          <w:rFonts w:ascii="Arial" w:hAnsi="Arial" w:cs="Arial"/>
        </w:rPr>
        <w:t>, Gr3: 15/253 (5.9%), Gr4: 2/253 (0.8%))</w:t>
      </w:r>
      <w:r w:rsidR="00EA7EDF">
        <w:rPr>
          <w:rFonts w:ascii="Arial" w:hAnsi="Arial" w:cs="Arial"/>
        </w:rPr>
        <w:t xml:space="preserve">. </w:t>
      </w:r>
      <w:r w:rsidR="00BE176A" w:rsidRPr="00BE176A">
        <w:rPr>
          <w:rFonts w:ascii="Arial" w:hAnsi="Arial" w:cs="Arial"/>
        </w:rPr>
        <w:t xml:space="preserve">Of the 253 adverse events 6 (2.3%) were related to </w:t>
      </w:r>
      <w:proofErr w:type="spellStart"/>
      <w:r w:rsidR="00BE176A" w:rsidRPr="00BE176A">
        <w:rPr>
          <w:rFonts w:ascii="Arial" w:hAnsi="Arial" w:cs="Arial"/>
        </w:rPr>
        <w:t>cabazitaxel</w:t>
      </w:r>
      <w:proofErr w:type="spellEnd"/>
      <w:r w:rsidR="00BE176A" w:rsidRPr="00BE176A">
        <w:rPr>
          <w:rFonts w:ascii="Arial" w:hAnsi="Arial" w:cs="Arial"/>
        </w:rPr>
        <w:t xml:space="preserve"> only, 37 (14.6%) were related to cisplatin only whilst 146 (57.7%) were deemed related to both. A quarter of the adverse events 64 (25.3%) were considered not related to either drug.</w:t>
      </w:r>
      <w:r w:rsidR="00BE176A" w:rsidRPr="00E25CF3">
        <w:rPr>
          <w:rFonts w:ascii="Arial" w:hAnsi="Arial" w:cs="Arial"/>
        </w:rPr>
        <w:t xml:space="preserve"> The</w:t>
      </w:r>
      <w:r w:rsidR="003D67E0" w:rsidRPr="00E25CF3">
        <w:rPr>
          <w:rFonts w:ascii="Arial" w:hAnsi="Arial" w:cs="Arial"/>
        </w:rPr>
        <w:t xml:space="preserve"> most common AEs reported were gastrointestinal disorders (30.8%) followed </w:t>
      </w:r>
      <w:r w:rsidR="003D67E0" w:rsidRPr="00D65460">
        <w:rPr>
          <w:rFonts w:ascii="Arial" w:hAnsi="Arial" w:cs="Arial"/>
        </w:rPr>
        <w:t xml:space="preserve">by general disorders (13%) and nervous system disorders (11.9%). </w:t>
      </w:r>
      <w:r w:rsidR="007D3692" w:rsidRPr="00D65460">
        <w:rPr>
          <w:rFonts w:ascii="Arial" w:hAnsi="Arial" w:cs="Arial"/>
        </w:rPr>
        <w:t>Fatigue (11%) was t</w:t>
      </w:r>
      <w:r w:rsidR="003D67E0" w:rsidRPr="00D65460">
        <w:rPr>
          <w:rFonts w:ascii="Arial" w:hAnsi="Arial" w:cs="Arial"/>
        </w:rPr>
        <w:t xml:space="preserve">he most common AE </w:t>
      </w:r>
      <w:r w:rsidR="00BB1369" w:rsidRPr="00D65460">
        <w:rPr>
          <w:rFonts w:ascii="Arial" w:hAnsi="Arial" w:cs="Arial"/>
        </w:rPr>
        <w:t xml:space="preserve">in the general disorders </w:t>
      </w:r>
      <w:r w:rsidR="007D3692" w:rsidRPr="00D65460">
        <w:rPr>
          <w:rFonts w:ascii="Arial" w:hAnsi="Arial" w:cs="Arial"/>
        </w:rPr>
        <w:t>whilst n</w:t>
      </w:r>
      <w:r w:rsidR="003D67E0" w:rsidRPr="00D65460">
        <w:rPr>
          <w:rFonts w:ascii="Arial" w:hAnsi="Arial" w:cs="Arial"/>
        </w:rPr>
        <w:t>ausea</w:t>
      </w:r>
      <w:r w:rsidR="00D65460" w:rsidRPr="00D65460">
        <w:rPr>
          <w:rFonts w:ascii="Arial" w:hAnsi="Arial" w:cs="Arial"/>
        </w:rPr>
        <w:t xml:space="preserve"> and constipation</w:t>
      </w:r>
      <w:r w:rsidR="003D67E0" w:rsidRPr="00D65460">
        <w:rPr>
          <w:rFonts w:ascii="Arial" w:hAnsi="Arial" w:cs="Arial"/>
        </w:rPr>
        <w:t xml:space="preserve"> (8.7%)</w:t>
      </w:r>
      <w:r w:rsidR="00D65460" w:rsidRPr="00D65460">
        <w:rPr>
          <w:rFonts w:ascii="Arial" w:hAnsi="Arial" w:cs="Arial"/>
        </w:rPr>
        <w:t xml:space="preserve"> were</w:t>
      </w:r>
      <w:r w:rsidR="007D3692" w:rsidRPr="00D65460">
        <w:rPr>
          <w:rFonts w:ascii="Arial" w:hAnsi="Arial" w:cs="Arial"/>
        </w:rPr>
        <w:t xml:space="preserve"> </w:t>
      </w:r>
      <w:r w:rsidR="00C7691E">
        <w:rPr>
          <w:rFonts w:ascii="Arial" w:hAnsi="Arial" w:cs="Arial"/>
        </w:rPr>
        <w:t xml:space="preserve">the most </w:t>
      </w:r>
      <w:r w:rsidR="007D3692" w:rsidRPr="00D65460">
        <w:rPr>
          <w:rFonts w:ascii="Arial" w:hAnsi="Arial" w:cs="Arial"/>
        </w:rPr>
        <w:t>common gastrointestinal disorders</w:t>
      </w:r>
      <w:r w:rsidR="003D67E0" w:rsidRPr="00D65460">
        <w:rPr>
          <w:rFonts w:ascii="Arial" w:hAnsi="Arial" w:cs="Arial"/>
        </w:rPr>
        <w:t>.</w:t>
      </w:r>
      <w:r w:rsidR="008B7DE4">
        <w:rPr>
          <w:rFonts w:ascii="Arial" w:hAnsi="Arial" w:cs="Arial"/>
        </w:rPr>
        <w:t xml:space="preserve"> </w:t>
      </w:r>
      <w:r w:rsidR="00101EC0" w:rsidRPr="00E25CF3">
        <w:rPr>
          <w:rFonts w:ascii="Arial" w:hAnsi="Arial" w:cs="Arial"/>
        </w:rPr>
        <w:t xml:space="preserve">Adverse events </w:t>
      </w:r>
      <w:r w:rsidR="008B7DE4">
        <w:rPr>
          <w:rFonts w:ascii="Arial" w:hAnsi="Arial" w:cs="Arial"/>
        </w:rPr>
        <w:t xml:space="preserve">≥ </w:t>
      </w:r>
      <w:r w:rsidR="00101EC0" w:rsidRPr="00E25CF3">
        <w:rPr>
          <w:rFonts w:ascii="Arial" w:hAnsi="Arial" w:cs="Arial"/>
        </w:rPr>
        <w:t xml:space="preserve">grade 3 were reported by 10 patients and represented </w:t>
      </w:r>
      <w:r w:rsidR="008B7DE4">
        <w:rPr>
          <w:rFonts w:ascii="Arial" w:hAnsi="Arial" w:cs="Arial"/>
        </w:rPr>
        <w:t>6.7% of the total AEs recorded (</w:t>
      </w:r>
      <w:r w:rsidR="008B7DE4" w:rsidRPr="008B7DE4">
        <w:rPr>
          <w:rFonts w:ascii="Arial" w:hAnsi="Arial" w:cs="Arial"/>
          <w:b/>
        </w:rPr>
        <w:t>Table 2</w:t>
      </w:r>
      <w:r w:rsidR="008B7DE4">
        <w:rPr>
          <w:rFonts w:ascii="Arial" w:hAnsi="Arial" w:cs="Arial"/>
        </w:rPr>
        <w:t>)</w:t>
      </w:r>
      <w:r w:rsidR="00B14CA6">
        <w:rPr>
          <w:rFonts w:ascii="Arial" w:hAnsi="Arial" w:cs="Arial"/>
        </w:rPr>
        <w:t xml:space="preserve"> and </w:t>
      </w:r>
      <w:proofErr w:type="gramStart"/>
      <w:r w:rsidR="00C7691E">
        <w:rPr>
          <w:rFonts w:ascii="Arial" w:hAnsi="Arial" w:cs="Arial"/>
        </w:rPr>
        <w:t xml:space="preserve">the </w:t>
      </w:r>
      <w:r w:rsidR="00B14CA6">
        <w:rPr>
          <w:rFonts w:ascii="Arial" w:hAnsi="Arial" w:cs="Arial"/>
        </w:rPr>
        <w:t>majority of</w:t>
      </w:r>
      <w:proofErr w:type="gramEnd"/>
      <w:r w:rsidR="00B32B52">
        <w:rPr>
          <w:rFonts w:ascii="Arial" w:hAnsi="Arial" w:cs="Arial"/>
        </w:rPr>
        <w:t xml:space="preserve"> the</w:t>
      </w:r>
      <w:r w:rsidR="00B14CA6">
        <w:rPr>
          <w:rFonts w:ascii="Arial" w:hAnsi="Arial" w:cs="Arial"/>
        </w:rPr>
        <w:t xml:space="preserve"> patients fully recovered from these episodes</w:t>
      </w:r>
      <w:r w:rsidR="00101EC0" w:rsidRPr="00E25CF3">
        <w:rPr>
          <w:rFonts w:ascii="Arial" w:hAnsi="Arial" w:cs="Arial"/>
        </w:rPr>
        <w:t>.</w:t>
      </w:r>
      <w:r w:rsidR="008B7DE4">
        <w:rPr>
          <w:rFonts w:ascii="Arial" w:hAnsi="Arial" w:cs="Arial"/>
        </w:rPr>
        <w:t xml:space="preserve"> </w:t>
      </w:r>
      <w:r w:rsidR="00B32B52">
        <w:rPr>
          <w:rFonts w:ascii="Arial" w:hAnsi="Arial" w:cs="Arial"/>
        </w:rPr>
        <w:t xml:space="preserve">There were no </w:t>
      </w:r>
      <w:r w:rsidR="00B32B52" w:rsidRPr="00B32B52">
        <w:rPr>
          <w:rFonts w:ascii="Arial" w:hAnsi="Arial" w:cs="Arial"/>
        </w:rPr>
        <w:t>Suspected Unexpected Ser</w:t>
      </w:r>
      <w:r w:rsidR="00B32B52">
        <w:rPr>
          <w:rFonts w:ascii="Arial" w:hAnsi="Arial" w:cs="Arial"/>
        </w:rPr>
        <w:t xml:space="preserve">ious Adverse Reactions (SUSARs) </w:t>
      </w:r>
      <w:proofErr w:type="gramStart"/>
      <w:r w:rsidR="00B32B52" w:rsidRPr="00B32B52">
        <w:rPr>
          <w:rFonts w:ascii="Arial" w:hAnsi="Arial" w:cs="Arial"/>
        </w:rPr>
        <w:t>during the course of</w:t>
      </w:r>
      <w:proofErr w:type="gramEnd"/>
      <w:r w:rsidR="00B32B52" w:rsidRPr="00B32B52">
        <w:rPr>
          <w:rFonts w:ascii="Arial" w:hAnsi="Arial" w:cs="Arial"/>
        </w:rPr>
        <w:t xml:space="preserve"> the study.</w:t>
      </w:r>
      <w:r w:rsidR="008400F2">
        <w:rPr>
          <w:rFonts w:ascii="Arial" w:hAnsi="Arial" w:cs="Arial"/>
        </w:rPr>
        <w:t xml:space="preserve"> Post cystectomy, the average length of stay (LOS) was a median of 7 (range:4-77) days. </w:t>
      </w:r>
      <w:r w:rsidR="00847665">
        <w:rPr>
          <w:rFonts w:ascii="Arial" w:hAnsi="Arial" w:cs="Arial"/>
        </w:rPr>
        <w:t>Only</w:t>
      </w:r>
      <w:r w:rsidR="008400F2">
        <w:rPr>
          <w:rFonts w:ascii="Arial" w:hAnsi="Arial" w:cs="Arial"/>
        </w:rPr>
        <w:t xml:space="preserve"> one patient had grade 3 or above </w:t>
      </w:r>
      <w:proofErr w:type="spellStart"/>
      <w:r w:rsidR="008400F2">
        <w:rPr>
          <w:rFonts w:ascii="Arial" w:hAnsi="Arial" w:cs="Arial"/>
        </w:rPr>
        <w:t>Clavien-Dindo</w:t>
      </w:r>
      <w:proofErr w:type="spellEnd"/>
      <w:r w:rsidR="008400F2">
        <w:rPr>
          <w:rFonts w:ascii="Arial" w:hAnsi="Arial" w:cs="Arial"/>
        </w:rPr>
        <w:t xml:space="preserve"> complications</w:t>
      </w:r>
      <w:r w:rsidR="004872CA">
        <w:rPr>
          <w:rFonts w:ascii="Arial" w:hAnsi="Arial" w:cs="Arial"/>
        </w:rPr>
        <w:t xml:space="preserve"> (</w:t>
      </w:r>
      <w:r w:rsidR="004872CA" w:rsidRPr="004872CA">
        <w:rPr>
          <w:rFonts w:ascii="Arial" w:hAnsi="Arial" w:cs="Arial"/>
          <w:b/>
        </w:rPr>
        <w:t>Table 1</w:t>
      </w:r>
      <w:r w:rsidR="004872CA">
        <w:rPr>
          <w:rFonts w:ascii="Arial" w:hAnsi="Arial" w:cs="Arial"/>
        </w:rPr>
        <w:t>).</w:t>
      </w:r>
    </w:p>
    <w:p w14:paraId="5231BE75" w14:textId="77777777" w:rsidR="00101EC0" w:rsidRPr="00E25CF3" w:rsidRDefault="00101EC0" w:rsidP="00E25CF3">
      <w:pPr>
        <w:contextualSpacing/>
        <w:jc w:val="both"/>
        <w:rPr>
          <w:rFonts w:ascii="Arial" w:hAnsi="Arial" w:cs="Arial"/>
        </w:rPr>
      </w:pPr>
    </w:p>
    <w:p w14:paraId="596478E7" w14:textId="77777777" w:rsidR="00101EC0" w:rsidRPr="00A3509E" w:rsidRDefault="008B7DE4" w:rsidP="00E25CF3">
      <w:pPr>
        <w:contextualSpacing/>
        <w:jc w:val="both"/>
        <w:rPr>
          <w:rFonts w:ascii="Arial" w:hAnsi="Arial" w:cs="Arial"/>
          <w:sz w:val="20"/>
        </w:rPr>
      </w:pPr>
      <w:r w:rsidRPr="00A3509E">
        <w:rPr>
          <w:rFonts w:ascii="Arial" w:hAnsi="Arial" w:cs="Arial"/>
          <w:b/>
          <w:sz w:val="20"/>
        </w:rPr>
        <w:t>Table 2</w:t>
      </w:r>
      <w:r w:rsidR="00101EC0" w:rsidRPr="00A3509E">
        <w:rPr>
          <w:rFonts w:ascii="Arial" w:hAnsi="Arial" w:cs="Arial"/>
          <w:b/>
          <w:sz w:val="20"/>
        </w:rPr>
        <w:t>:</w:t>
      </w:r>
      <w:r w:rsidR="00101EC0" w:rsidRPr="00A3509E">
        <w:rPr>
          <w:rFonts w:ascii="Arial" w:hAnsi="Arial" w:cs="Arial"/>
          <w:sz w:val="20"/>
        </w:rPr>
        <w:t xml:space="preserve"> Breakdown of AEs grade ≥3 </w:t>
      </w:r>
    </w:p>
    <w:p w14:paraId="7E7F0D0E" w14:textId="77777777" w:rsidR="00101EC0" w:rsidRPr="00E25CF3" w:rsidRDefault="00101EC0" w:rsidP="00E25CF3">
      <w:pPr>
        <w:contextualSpacing/>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64"/>
        <w:gridCol w:w="872"/>
        <w:gridCol w:w="1765"/>
      </w:tblGrid>
      <w:tr w:rsidR="00481D63" w:rsidRPr="00481D63" w14:paraId="06E9B2E9" w14:textId="77777777" w:rsidTr="00481D63">
        <w:trPr>
          <w:jc w:val="center"/>
        </w:trPr>
        <w:tc>
          <w:tcPr>
            <w:tcW w:w="959" w:type="dxa"/>
            <w:shd w:val="clear" w:color="auto" w:fill="auto"/>
          </w:tcPr>
          <w:p w14:paraId="6B24DBCD" w14:textId="77777777" w:rsidR="00101EC0" w:rsidRPr="00481D63" w:rsidRDefault="00101EC0" w:rsidP="00481D63">
            <w:pPr>
              <w:spacing w:after="0" w:line="240" w:lineRule="auto"/>
              <w:contextualSpacing/>
              <w:jc w:val="both"/>
              <w:rPr>
                <w:rFonts w:ascii="Arial" w:hAnsi="Arial" w:cs="Arial"/>
                <w:b/>
                <w:sz w:val="20"/>
              </w:rPr>
            </w:pPr>
            <w:r w:rsidRPr="00481D63">
              <w:rPr>
                <w:rFonts w:ascii="Arial" w:hAnsi="Arial" w:cs="Arial"/>
                <w:b/>
                <w:sz w:val="20"/>
              </w:rPr>
              <w:t>Patient</w:t>
            </w:r>
          </w:p>
        </w:tc>
        <w:tc>
          <w:tcPr>
            <w:tcW w:w="3464" w:type="dxa"/>
            <w:shd w:val="clear" w:color="auto" w:fill="auto"/>
          </w:tcPr>
          <w:p w14:paraId="00114249" w14:textId="77777777" w:rsidR="00101EC0" w:rsidRPr="00481D63" w:rsidRDefault="00101EC0" w:rsidP="00481D63">
            <w:pPr>
              <w:spacing w:after="0" w:line="240" w:lineRule="auto"/>
              <w:contextualSpacing/>
              <w:jc w:val="both"/>
              <w:rPr>
                <w:rFonts w:ascii="Arial" w:hAnsi="Arial" w:cs="Arial"/>
                <w:b/>
                <w:sz w:val="20"/>
              </w:rPr>
            </w:pPr>
            <w:r w:rsidRPr="00481D63">
              <w:rPr>
                <w:rFonts w:ascii="Arial" w:hAnsi="Arial" w:cs="Arial"/>
                <w:b/>
                <w:sz w:val="20"/>
              </w:rPr>
              <w:t>Adverse Event</w:t>
            </w:r>
          </w:p>
        </w:tc>
        <w:tc>
          <w:tcPr>
            <w:tcW w:w="872" w:type="dxa"/>
            <w:shd w:val="clear" w:color="auto" w:fill="auto"/>
          </w:tcPr>
          <w:p w14:paraId="312892E8" w14:textId="77777777" w:rsidR="00101EC0" w:rsidRPr="00481D63" w:rsidRDefault="00101EC0" w:rsidP="00481D63">
            <w:pPr>
              <w:spacing w:after="0" w:line="240" w:lineRule="auto"/>
              <w:contextualSpacing/>
              <w:jc w:val="both"/>
              <w:rPr>
                <w:rFonts w:ascii="Arial" w:hAnsi="Arial" w:cs="Arial"/>
                <w:b/>
                <w:sz w:val="20"/>
              </w:rPr>
            </w:pPr>
            <w:r w:rsidRPr="00481D63">
              <w:rPr>
                <w:rFonts w:ascii="Arial" w:hAnsi="Arial" w:cs="Arial"/>
                <w:b/>
                <w:sz w:val="20"/>
              </w:rPr>
              <w:t>Grade</w:t>
            </w:r>
          </w:p>
        </w:tc>
        <w:tc>
          <w:tcPr>
            <w:tcW w:w="1765" w:type="dxa"/>
            <w:shd w:val="clear" w:color="auto" w:fill="auto"/>
          </w:tcPr>
          <w:p w14:paraId="7C98A472" w14:textId="77777777" w:rsidR="00101EC0" w:rsidRPr="00481D63" w:rsidRDefault="00101EC0" w:rsidP="00481D63">
            <w:pPr>
              <w:spacing w:after="0" w:line="240" w:lineRule="auto"/>
              <w:contextualSpacing/>
              <w:jc w:val="both"/>
              <w:rPr>
                <w:rFonts w:ascii="Arial" w:hAnsi="Arial" w:cs="Arial"/>
                <w:b/>
                <w:sz w:val="20"/>
              </w:rPr>
            </w:pPr>
            <w:r w:rsidRPr="00481D63">
              <w:rPr>
                <w:rFonts w:ascii="Arial" w:hAnsi="Arial" w:cs="Arial"/>
                <w:b/>
                <w:sz w:val="20"/>
              </w:rPr>
              <w:t>Related</w:t>
            </w:r>
          </w:p>
        </w:tc>
      </w:tr>
      <w:tr w:rsidR="00481D63" w:rsidRPr="00481D63" w14:paraId="5BCB440B" w14:textId="77777777" w:rsidTr="00481D63">
        <w:trPr>
          <w:jc w:val="center"/>
        </w:trPr>
        <w:tc>
          <w:tcPr>
            <w:tcW w:w="959" w:type="dxa"/>
            <w:shd w:val="clear" w:color="auto" w:fill="auto"/>
          </w:tcPr>
          <w:p w14:paraId="4E81541C"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1</w:t>
            </w:r>
          </w:p>
        </w:tc>
        <w:tc>
          <w:tcPr>
            <w:tcW w:w="3464" w:type="dxa"/>
            <w:shd w:val="clear" w:color="auto" w:fill="auto"/>
          </w:tcPr>
          <w:p w14:paraId="52848A3E"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Pelvic pain</w:t>
            </w:r>
          </w:p>
        </w:tc>
        <w:tc>
          <w:tcPr>
            <w:tcW w:w="872" w:type="dxa"/>
            <w:shd w:val="clear" w:color="auto" w:fill="auto"/>
          </w:tcPr>
          <w:p w14:paraId="41B83EB8"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3</w:t>
            </w:r>
          </w:p>
        </w:tc>
        <w:tc>
          <w:tcPr>
            <w:tcW w:w="1765" w:type="dxa"/>
            <w:shd w:val="clear" w:color="auto" w:fill="auto"/>
          </w:tcPr>
          <w:p w14:paraId="544AFCA6"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No</w:t>
            </w:r>
          </w:p>
        </w:tc>
      </w:tr>
      <w:tr w:rsidR="00481D63" w:rsidRPr="00481D63" w14:paraId="4705BFE1" w14:textId="77777777" w:rsidTr="00481D63">
        <w:trPr>
          <w:jc w:val="center"/>
        </w:trPr>
        <w:tc>
          <w:tcPr>
            <w:tcW w:w="959" w:type="dxa"/>
            <w:shd w:val="clear" w:color="auto" w:fill="auto"/>
          </w:tcPr>
          <w:p w14:paraId="1FFE4EBD"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1</w:t>
            </w:r>
          </w:p>
        </w:tc>
        <w:tc>
          <w:tcPr>
            <w:tcW w:w="3464" w:type="dxa"/>
            <w:shd w:val="clear" w:color="auto" w:fill="auto"/>
          </w:tcPr>
          <w:p w14:paraId="7A1F5BFC"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Uncontrolled pain</w:t>
            </w:r>
          </w:p>
        </w:tc>
        <w:tc>
          <w:tcPr>
            <w:tcW w:w="872" w:type="dxa"/>
            <w:shd w:val="clear" w:color="auto" w:fill="auto"/>
          </w:tcPr>
          <w:p w14:paraId="2018BCA6"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3</w:t>
            </w:r>
          </w:p>
        </w:tc>
        <w:tc>
          <w:tcPr>
            <w:tcW w:w="1765" w:type="dxa"/>
            <w:shd w:val="clear" w:color="auto" w:fill="auto"/>
          </w:tcPr>
          <w:p w14:paraId="7009E792"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No</w:t>
            </w:r>
          </w:p>
        </w:tc>
      </w:tr>
      <w:tr w:rsidR="00481D63" w:rsidRPr="00481D63" w14:paraId="53342194" w14:textId="77777777" w:rsidTr="00481D63">
        <w:trPr>
          <w:jc w:val="center"/>
        </w:trPr>
        <w:tc>
          <w:tcPr>
            <w:tcW w:w="959" w:type="dxa"/>
            <w:shd w:val="clear" w:color="auto" w:fill="auto"/>
          </w:tcPr>
          <w:p w14:paraId="429EEDAF"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w:t>
            </w:r>
          </w:p>
        </w:tc>
        <w:tc>
          <w:tcPr>
            <w:tcW w:w="3464" w:type="dxa"/>
            <w:shd w:val="clear" w:color="auto" w:fill="auto"/>
          </w:tcPr>
          <w:p w14:paraId="66112F55"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Syncope</w:t>
            </w:r>
          </w:p>
        </w:tc>
        <w:tc>
          <w:tcPr>
            <w:tcW w:w="872" w:type="dxa"/>
            <w:shd w:val="clear" w:color="auto" w:fill="auto"/>
          </w:tcPr>
          <w:p w14:paraId="3C51CB23"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3</w:t>
            </w:r>
          </w:p>
        </w:tc>
        <w:tc>
          <w:tcPr>
            <w:tcW w:w="1765" w:type="dxa"/>
            <w:shd w:val="clear" w:color="auto" w:fill="auto"/>
          </w:tcPr>
          <w:p w14:paraId="28EACFD7"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No</w:t>
            </w:r>
          </w:p>
        </w:tc>
      </w:tr>
      <w:tr w:rsidR="00481D63" w:rsidRPr="00481D63" w14:paraId="19522535" w14:textId="77777777" w:rsidTr="00481D63">
        <w:trPr>
          <w:jc w:val="center"/>
        </w:trPr>
        <w:tc>
          <w:tcPr>
            <w:tcW w:w="959" w:type="dxa"/>
            <w:shd w:val="clear" w:color="auto" w:fill="auto"/>
          </w:tcPr>
          <w:p w14:paraId="11F906A1"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3</w:t>
            </w:r>
          </w:p>
        </w:tc>
        <w:tc>
          <w:tcPr>
            <w:tcW w:w="3464" w:type="dxa"/>
            <w:shd w:val="clear" w:color="auto" w:fill="auto"/>
          </w:tcPr>
          <w:p w14:paraId="19801C7E"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Right pulmonary embolus</w:t>
            </w:r>
          </w:p>
        </w:tc>
        <w:tc>
          <w:tcPr>
            <w:tcW w:w="872" w:type="dxa"/>
            <w:shd w:val="clear" w:color="auto" w:fill="auto"/>
          </w:tcPr>
          <w:p w14:paraId="62D1C49F"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3</w:t>
            </w:r>
          </w:p>
        </w:tc>
        <w:tc>
          <w:tcPr>
            <w:tcW w:w="1765" w:type="dxa"/>
            <w:shd w:val="clear" w:color="auto" w:fill="auto"/>
          </w:tcPr>
          <w:p w14:paraId="2470E01B"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cisplatin</w:t>
            </w:r>
          </w:p>
        </w:tc>
      </w:tr>
      <w:tr w:rsidR="00481D63" w:rsidRPr="00481D63" w14:paraId="41892D32" w14:textId="77777777" w:rsidTr="00481D63">
        <w:trPr>
          <w:jc w:val="center"/>
        </w:trPr>
        <w:tc>
          <w:tcPr>
            <w:tcW w:w="959" w:type="dxa"/>
            <w:shd w:val="clear" w:color="auto" w:fill="FFFFFF"/>
          </w:tcPr>
          <w:p w14:paraId="7F6A1AF9"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6</w:t>
            </w:r>
          </w:p>
        </w:tc>
        <w:tc>
          <w:tcPr>
            <w:tcW w:w="3464" w:type="dxa"/>
            <w:shd w:val="clear" w:color="auto" w:fill="FFFFFF"/>
          </w:tcPr>
          <w:p w14:paraId="2499AF8E"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Colonic fistula</w:t>
            </w:r>
          </w:p>
        </w:tc>
        <w:tc>
          <w:tcPr>
            <w:tcW w:w="872" w:type="dxa"/>
            <w:shd w:val="clear" w:color="auto" w:fill="FFFFFF"/>
          </w:tcPr>
          <w:p w14:paraId="36F0A00C"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3</w:t>
            </w:r>
          </w:p>
        </w:tc>
        <w:tc>
          <w:tcPr>
            <w:tcW w:w="1765" w:type="dxa"/>
            <w:shd w:val="clear" w:color="auto" w:fill="FFFFFF"/>
          </w:tcPr>
          <w:p w14:paraId="4838AE72"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No</w:t>
            </w:r>
          </w:p>
        </w:tc>
      </w:tr>
      <w:tr w:rsidR="00481D63" w:rsidRPr="00481D63" w14:paraId="0E34E244" w14:textId="77777777" w:rsidTr="00481D63">
        <w:trPr>
          <w:jc w:val="center"/>
        </w:trPr>
        <w:tc>
          <w:tcPr>
            <w:tcW w:w="959" w:type="dxa"/>
            <w:shd w:val="clear" w:color="auto" w:fill="auto"/>
          </w:tcPr>
          <w:p w14:paraId="4697B294"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19</w:t>
            </w:r>
          </w:p>
        </w:tc>
        <w:tc>
          <w:tcPr>
            <w:tcW w:w="3464" w:type="dxa"/>
            <w:shd w:val="clear" w:color="auto" w:fill="auto"/>
          </w:tcPr>
          <w:p w14:paraId="44AAA252"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Vascular access complication</w:t>
            </w:r>
          </w:p>
        </w:tc>
        <w:tc>
          <w:tcPr>
            <w:tcW w:w="872" w:type="dxa"/>
            <w:shd w:val="clear" w:color="auto" w:fill="auto"/>
          </w:tcPr>
          <w:p w14:paraId="6121F35C"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6E820CE0"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No</w:t>
            </w:r>
          </w:p>
        </w:tc>
      </w:tr>
      <w:tr w:rsidR="00481D63" w:rsidRPr="00481D63" w14:paraId="3D1B2026" w14:textId="77777777" w:rsidTr="00481D63">
        <w:trPr>
          <w:jc w:val="center"/>
        </w:trPr>
        <w:tc>
          <w:tcPr>
            <w:tcW w:w="959" w:type="dxa"/>
            <w:shd w:val="clear" w:color="auto" w:fill="auto"/>
          </w:tcPr>
          <w:p w14:paraId="1DD90BF8"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20</w:t>
            </w:r>
          </w:p>
        </w:tc>
        <w:tc>
          <w:tcPr>
            <w:tcW w:w="3464" w:type="dxa"/>
            <w:shd w:val="clear" w:color="auto" w:fill="auto"/>
          </w:tcPr>
          <w:p w14:paraId="2AACE497"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Acute Kidney Injury</w:t>
            </w:r>
          </w:p>
        </w:tc>
        <w:tc>
          <w:tcPr>
            <w:tcW w:w="872" w:type="dxa"/>
            <w:shd w:val="clear" w:color="auto" w:fill="auto"/>
          </w:tcPr>
          <w:p w14:paraId="45CA30DF"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78C1C7CE"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r w:rsidR="00481D63" w:rsidRPr="00481D63" w14:paraId="31138FFC" w14:textId="77777777" w:rsidTr="00481D63">
        <w:trPr>
          <w:jc w:val="center"/>
        </w:trPr>
        <w:tc>
          <w:tcPr>
            <w:tcW w:w="959" w:type="dxa"/>
            <w:shd w:val="clear" w:color="auto" w:fill="auto"/>
          </w:tcPr>
          <w:p w14:paraId="54AD2473"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20</w:t>
            </w:r>
          </w:p>
        </w:tc>
        <w:tc>
          <w:tcPr>
            <w:tcW w:w="3464" w:type="dxa"/>
            <w:shd w:val="clear" w:color="auto" w:fill="auto"/>
          </w:tcPr>
          <w:p w14:paraId="115C3708"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Mucositis</w:t>
            </w:r>
          </w:p>
        </w:tc>
        <w:tc>
          <w:tcPr>
            <w:tcW w:w="872" w:type="dxa"/>
            <w:shd w:val="clear" w:color="auto" w:fill="auto"/>
          </w:tcPr>
          <w:p w14:paraId="19B7ECEC"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4008EA5C"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r w:rsidR="00481D63" w:rsidRPr="00481D63" w14:paraId="3F00EE9A" w14:textId="77777777" w:rsidTr="00481D63">
        <w:trPr>
          <w:jc w:val="center"/>
        </w:trPr>
        <w:tc>
          <w:tcPr>
            <w:tcW w:w="959" w:type="dxa"/>
            <w:shd w:val="clear" w:color="auto" w:fill="auto"/>
          </w:tcPr>
          <w:p w14:paraId="568771BD"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20</w:t>
            </w:r>
          </w:p>
        </w:tc>
        <w:tc>
          <w:tcPr>
            <w:tcW w:w="3464" w:type="dxa"/>
            <w:shd w:val="clear" w:color="auto" w:fill="auto"/>
          </w:tcPr>
          <w:p w14:paraId="25234C88"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Dehydration</w:t>
            </w:r>
          </w:p>
        </w:tc>
        <w:tc>
          <w:tcPr>
            <w:tcW w:w="872" w:type="dxa"/>
            <w:shd w:val="clear" w:color="auto" w:fill="auto"/>
          </w:tcPr>
          <w:p w14:paraId="563BD452"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504D429A"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r w:rsidR="00481D63" w:rsidRPr="00481D63" w14:paraId="2B61EE93" w14:textId="77777777" w:rsidTr="00481D63">
        <w:trPr>
          <w:jc w:val="center"/>
        </w:trPr>
        <w:tc>
          <w:tcPr>
            <w:tcW w:w="959" w:type="dxa"/>
            <w:shd w:val="clear" w:color="auto" w:fill="auto"/>
          </w:tcPr>
          <w:p w14:paraId="21CE6FED"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21</w:t>
            </w:r>
          </w:p>
        </w:tc>
        <w:tc>
          <w:tcPr>
            <w:tcW w:w="3464" w:type="dxa"/>
            <w:shd w:val="clear" w:color="auto" w:fill="auto"/>
          </w:tcPr>
          <w:p w14:paraId="07A892BF"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UTI</w:t>
            </w:r>
          </w:p>
        </w:tc>
        <w:tc>
          <w:tcPr>
            <w:tcW w:w="872" w:type="dxa"/>
            <w:shd w:val="clear" w:color="auto" w:fill="auto"/>
          </w:tcPr>
          <w:p w14:paraId="69124CFA"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7E1FF75F"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No</w:t>
            </w:r>
          </w:p>
        </w:tc>
      </w:tr>
      <w:tr w:rsidR="00481D63" w:rsidRPr="00481D63" w14:paraId="543FA234" w14:textId="77777777" w:rsidTr="00481D63">
        <w:trPr>
          <w:jc w:val="center"/>
        </w:trPr>
        <w:tc>
          <w:tcPr>
            <w:tcW w:w="959" w:type="dxa"/>
            <w:shd w:val="clear" w:color="auto" w:fill="auto"/>
          </w:tcPr>
          <w:p w14:paraId="670A4901"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22</w:t>
            </w:r>
          </w:p>
        </w:tc>
        <w:tc>
          <w:tcPr>
            <w:tcW w:w="3464" w:type="dxa"/>
            <w:shd w:val="clear" w:color="auto" w:fill="auto"/>
          </w:tcPr>
          <w:p w14:paraId="109F8FC5"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Increased GGT</w:t>
            </w:r>
          </w:p>
        </w:tc>
        <w:tc>
          <w:tcPr>
            <w:tcW w:w="872" w:type="dxa"/>
            <w:shd w:val="clear" w:color="auto" w:fill="auto"/>
          </w:tcPr>
          <w:p w14:paraId="545B3B54"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4AFFD949"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r w:rsidR="00481D63" w:rsidRPr="00481D63" w14:paraId="00FFFBA0" w14:textId="77777777" w:rsidTr="00481D63">
        <w:trPr>
          <w:jc w:val="center"/>
        </w:trPr>
        <w:tc>
          <w:tcPr>
            <w:tcW w:w="959" w:type="dxa"/>
            <w:shd w:val="clear" w:color="auto" w:fill="auto"/>
          </w:tcPr>
          <w:p w14:paraId="283E992E"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24</w:t>
            </w:r>
          </w:p>
        </w:tc>
        <w:tc>
          <w:tcPr>
            <w:tcW w:w="3464" w:type="dxa"/>
            <w:shd w:val="clear" w:color="auto" w:fill="auto"/>
          </w:tcPr>
          <w:p w14:paraId="04874FF5"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Thrombocytopaenia</w:t>
            </w:r>
          </w:p>
        </w:tc>
        <w:tc>
          <w:tcPr>
            <w:tcW w:w="872" w:type="dxa"/>
            <w:shd w:val="clear" w:color="auto" w:fill="auto"/>
          </w:tcPr>
          <w:p w14:paraId="5613201A"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4</w:t>
            </w:r>
          </w:p>
        </w:tc>
        <w:tc>
          <w:tcPr>
            <w:tcW w:w="1765" w:type="dxa"/>
            <w:shd w:val="clear" w:color="auto" w:fill="auto"/>
          </w:tcPr>
          <w:p w14:paraId="36C364D4"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r w:rsidR="00481D63" w:rsidRPr="00481D63" w14:paraId="599DC4D6" w14:textId="77777777" w:rsidTr="00481D63">
        <w:trPr>
          <w:jc w:val="center"/>
        </w:trPr>
        <w:tc>
          <w:tcPr>
            <w:tcW w:w="959" w:type="dxa"/>
            <w:shd w:val="clear" w:color="auto" w:fill="auto"/>
          </w:tcPr>
          <w:p w14:paraId="7764DE19"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24</w:t>
            </w:r>
          </w:p>
        </w:tc>
        <w:tc>
          <w:tcPr>
            <w:tcW w:w="3464" w:type="dxa"/>
            <w:shd w:val="clear" w:color="auto" w:fill="auto"/>
          </w:tcPr>
          <w:p w14:paraId="73A94F07"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Dehydration</w:t>
            </w:r>
          </w:p>
        </w:tc>
        <w:tc>
          <w:tcPr>
            <w:tcW w:w="872" w:type="dxa"/>
            <w:shd w:val="clear" w:color="auto" w:fill="auto"/>
          </w:tcPr>
          <w:p w14:paraId="4149C524"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461CCAD2"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No</w:t>
            </w:r>
          </w:p>
        </w:tc>
      </w:tr>
      <w:tr w:rsidR="00481D63" w:rsidRPr="00481D63" w14:paraId="05263BB2" w14:textId="77777777" w:rsidTr="00481D63">
        <w:trPr>
          <w:jc w:val="center"/>
        </w:trPr>
        <w:tc>
          <w:tcPr>
            <w:tcW w:w="959" w:type="dxa"/>
            <w:shd w:val="clear" w:color="auto" w:fill="auto"/>
          </w:tcPr>
          <w:p w14:paraId="14952AD3"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24</w:t>
            </w:r>
          </w:p>
        </w:tc>
        <w:tc>
          <w:tcPr>
            <w:tcW w:w="3464" w:type="dxa"/>
            <w:shd w:val="clear" w:color="auto" w:fill="auto"/>
          </w:tcPr>
          <w:p w14:paraId="39989567"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Fatigue</w:t>
            </w:r>
          </w:p>
        </w:tc>
        <w:tc>
          <w:tcPr>
            <w:tcW w:w="872" w:type="dxa"/>
            <w:shd w:val="clear" w:color="auto" w:fill="auto"/>
          </w:tcPr>
          <w:p w14:paraId="2DA86577"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30493FED"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r w:rsidR="00481D63" w:rsidRPr="00481D63" w14:paraId="00A007BF" w14:textId="77777777" w:rsidTr="00481D63">
        <w:trPr>
          <w:jc w:val="center"/>
        </w:trPr>
        <w:tc>
          <w:tcPr>
            <w:tcW w:w="959" w:type="dxa"/>
            <w:shd w:val="clear" w:color="auto" w:fill="auto"/>
          </w:tcPr>
          <w:p w14:paraId="26CCD1EA"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24</w:t>
            </w:r>
          </w:p>
        </w:tc>
        <w:tc>
          <w:tcPr>
            <w:tcW w:w="3464" w:type="dxa"/>
            <w:shd w:val="clear" w:color="auto" w:fill="auto"/>
          </w:tcPr>
          <w:p w14:paraId="1A9DC4F8"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Decreased neutrophils</w:t>
            </w:r>
          </w:p>
        </w:tc>
        <w:tc>
          <w:tcPr>
            <w:tcW w:w="872" w:type="dxa"/>
            <w:shd w:val="clear" w:color="auto" w:fill="auto"/>
          </w:tcPr>
          <w:p w14:paraId="319A1218"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7EB4FECD"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r w:rsidR="00481D63" w:rsidRPr="00481D63" w14:paraId="4EAA34F1" w14:textId="77777777" w:rsidTr="00481D63">
        <w:trPr>
          <w:jc w:val="center"/>
        </w:trPr>
        <w:tc>
          <w:tcPr>
            <w:tcW w:w="959" w:type="dxa"/>
            <w:shd w:val="clear" w:color="auto" w:fill="auto"/>
          </w:tcPr>
          <w:p w14:paraId="1655D4E0"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27</w:t>
            </w:r>
          </w:p>
        </w:tc>
        <w:tc>
          <w:tcPr>
            <w:tcW w:w="3464" w:type="dxa"/>
            <w:shd w:val="clear" w:color="auto" w:fill="auto"/>
          </w:tcPr>
          <w:p w14:paraId="75D44879"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UTI</w:t>
            </w:r>
          </w:p>
        </w:tc>
        <w:tc>
          <w:tcPr>
            <w:tcW w:w="872" w:type="dxa"/>
            <w:shd w:val="clear" w:color="auto" w:fill="auto"/>
          </w:tcPr>
          <w:p w14:paraId="6BED5103" w14:textId="77777777" w:rsidR="00101EC0" w:rsidRPr="00481D63" w:rsidRDefault="00101EC0" w:rsidP="00481D63">
            <w:pPr>
              <w:spacing w:after="0" w:line="240" w:lineRule="auto"/>
              <w:jc w:val="both"/>
              <w:rPr>
                <w:rFonts w:ascii="Arial" w:hAnsi="Arial" w:cs="Arial"/>
                <w:sz w:val="20"/>
              </w:rPr>
            </w:pPr>
            <w:r w:rsidRPr="00481D63">
              <w:rPr>
                <w:rFonts w:ascii="Arial" w:hAnsi="Arial" w:cs="Arial"/>
                <w:sz w:val="20"/>
              </w:rPr>
              <w:t>3</w:t>
            </w:r>
          </w:p>
        </w:tc>
        <w:tc>
          <w:tcPr>
            <w:tcW w:w="1765" w:type="dxa"/>
            <w:shd w:val="clear" w:color="auto" w:fill="auto"/>
          </w:tcPr>
          <w:p w14:paraId="0A49DCD9"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No</w:t>
            </w:r>
          </w:p>
        </w:tc>
      </w:tr>
      <w:tr w:rsidR="00481D63" w:rsidRPr="00481D63" w14:paraId="1732E523" w14:textId="77777777" w:rsidTr="00481D63">
        <w:trPr>
          <w:jc w:val="center"/>
        </w:trPr>
        <w:tc>
          <w:tcPr>
            <w:tcW w:w="959" w:type="dxa"/>
            <w:shd w:val="clear" w:color="auto" w:fill="auto"/>
          </w:tcPr>
          <w:p w14:paraId="72BDDFA8"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27</w:t>
            </w:r>
          </w:p>
        </w:tc>
        <w:tc>
          <w:tcPr>
            <w:tcW w:w="3464" w:type="dxa"/>
            <w:shd w:val="clear" w:color="auto" w:fill="auto"/>
          </w:tcPr>
          <w:p w14:paraId="793A35A0"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Urinary sepsis</w:t>
            </w:r>
          </w:p>
        </w:tc>
        <w:tc>
          <w:tcPr>
            <w:tcW w:w="872" w:type="dxa"/>
            <w:shd w:val="clear" w:color="auto" w:fill="auto"/>
          </w:tcPr>
          <w:p w14:paraId="4928363B"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4</w:t>
            </w:r>
          </w:p>
        </w:tc>
        <w:tc>
          <w:tcPr>
            <w:tcW w:w="1765" w:type="dxa"/>
            <w:shd w:val="clear" w:color="auto" w:fill="auto"/>
          </w:tcPr>
          <w:p w14:paraId="26B5600F" w14:textId="77777777" w:rsidR="00101EC0" w:rsidRPr="00481D63" w:rsidRDefault="00101EC0" w:rsidP="00481D63">
            <w:pPr>
              <w:spacing w:after="0" w:line="240" w:lineRule="auto"/>
              <w:contextualSpacing/>
              <w:jc w:val="both"/>
              <w:rPr>
                <w:rFonts w:ascii="Arial" w:hAnsi="Arial" w:cs="Arial"/>
                <w:sz w:val="20"/>
              </w:rPr>
            </w:pPr>
            <w:r w:rsidRPr="00481D63">
              <w:rPr>
                <w:rFonts w:ascii="Arial" w:hAnsi="Arial" w:cs="Arial"/>
                <w:sz w:val="20"/>
              </w:rPr>
              <w:t>Yes both</w:t>
            </w:r>
          </w:p>
        </w:tc>
      </w:tr>
    </w:tbl>
    <w:p w14:paraId="168D2059" w14:textId="77777777" w:rsidR="00101EC0" w:rsidRPr="00E25CF3" w:rsidRDefault="00101EC0" w:rsidP="00E25CF3">
      <w:pPr>
        <w:contextualSpacing/>
        <w:jc w:val="both"/>
        <w:rPr>
          <w:rFonts w:ascii="Arial" w:hAnsi="Arial" w:cs="Arial"/>
        </w:rPr>
      </w:pPr>
    </w:p>
    <w:p w14:paraId="3F1EA563" w14:textId="77777777" w:rsidR="00101EC0" w:rsidRPr="00E25CF3" w:rsidRDefault="00101EC0" w:rsidP="00E25CF3">
      <w:pPr>
        <w:contextualSpacing/>
        <w:jc w:val="both"/>
        <w:rPr>
          <w:rFonts w:ascii="Arial" w:hAnsi="Arial" w:cs="Arial"/>
        </w:rPr>
      </w:pPr>
    </w:p>
    <w:p w14:paraId="15BBA381" w14:textId="77777777" w:rsidR="00101EC0" w:rsidRPr="00E25CF3" w:rsidRDefault="00101EC0" w:rsidP="00E25CF3">
      <w:pPr>
        <w:contextualSpacing/>
        <w:jc w:val="both"/>
        <w:rPr>
          <w:rFonts w:ascii="Arial" w:hAnsi="Arial" w:cs="Arial"/>
        </w:rPr>
      </w:pPr>
    </w:p>
    <w:p w14:paraId="5A7C4BDA" w14:textId="77777777" w:rsidR="00101EC0" w:rsidRPr="00F23D20" w:rsidRDefault="00E85777" w:rsidP="00E25CF3">
      <w:pPr>
        <w:jc w:val="both"/>
        <w:rPr>
          <w:rFonts w:ascii="Arial" w:hAnsi="Arial" w:cs="Arial"/>
          <w:b/>
          <w:sz w:val="24"/>
          <w:szCs w:val="24"/>
        </w:rPr>
      </w:pPr>
      <w:r>
        <w:rPr>
          <w:rFonts w:ascii="Arial" w:hAnsi="Arial" w:cs="Arial"/>
          <w:b/>
          <w:sz w:val="24"/>
          <w:szCs w:val="24"/>
        </w:rPr>
        <w:lastRenderedPageBreak/>
        <w:t>CTC Sub-study</w:t>
      </w:r>
    </w:p>
    <w:p w14:paraId="6D76C8AD" w14:textId="77777777" w:rsidR="00950503" w:rsidRPr="00E25CF3" w:rsidRDefault="009B1F6C" w:rsidP="009D4514">
      <w:pPr>
        <w:spacing w:line="480" w:lineRule="auto"/>
        <w:ind w:firstLine="720"/>
        <w:jc w:val="both"/>
        <w:rPr>
          <w:rFonts w:ascii="Arial" w:hAnsi="Arial" w:cs="Arial"/>
        </w:rPr>
      </w:pPr>
      <w:r>
        <w:rPr>
          <w:rFonts w:ascii="Arial" w:hAnsi="Arial" w:cs="Arial"/>
        </w:rPr>
        <w:t>Only e</w:t>
      </w:r>
      <w:r w:rsidR="00BD4C27">
        <w:rPr>
          <w:rFonts w:ascii="Arial" w:hAnsi="Arial" w:cs="Arial"/>
        </w:rPr>
        <w:t xml:space="preserve">ighteen patients have had CTCs assessed as per protocol. </w:t>
      </w:r>
      <w:proofErr w:type="gramStart"/>
      <w:r w:rsidR="00550C74">
        <w:rPr>
          <w:rFonts w:ascii="Arial" w:hAnsi="Arial" w:cs="Arial"/>
        </w:rPr>
        <w:t>Overall</w:t>
      </w:r>
      <w:proofErr w:type="gramEnd"/>
      <w:r w:rsidR="00550C74">
        <w:rPr>
          <w:rFonts w:ascii="Arial" w:hAnsi="Arial" w:cs="Arial"/>
        </w:rPr>
        <w:t xml:space="preserve"> the CTC yield was very low. </w:t>
      </w:r>
      <w:r w:rsidR="00BD4C27">
        <w:rPr>
          <w:rFonts w:ascii="Arial" w:hAnsi="Arial" w:cs="Arial"/>
        </w:rPr>
        <w:t>Five patients had initial</w:t>
      </w:r>
      <w:r w:rsidR="00BD4C27" w:rsidRPr="00EE1DAD">
        <w:rPr>
          <w:rFonts w:ascii="Arial" w:hAnsi="Arial" w:cs="Arial"/>
        </w:rPr>
        <w:t xml:space="preserve"> n</w:t>
      </w:r>
      <w:r w:rsidR="00BD4C27">
        <w:rPr>
          <w:rFonts w:ascii="Arial" w:hAnsi="Arial" w:cs="Arial"/>
        </w:rPr>
        <w:t xml:space="preserve">egative CTC measurements with </w:t>
      </w:r>
      <w:r w:rsidR="00BD4C27" w:rsidRPr="00EE1DAD">
        <w:rPr>
          <w:rFonts w:ascii="Arial" w:hAnsi="Arial" w:cs="Arial"/>
        </w:rPr>
        <w:t>subseque</w:t>
      </w:r>
      <w:r w:rsidR="00BD4C27">
        <w:rPr>
          <w:rFonts w:ascii="Arial" w:hAnsi="Arial" w:cs="Arial"/>
        </w:rPr>
        <w:t>nt CTC measurements becoming positive</w:t>
      </w:r>
      <w:r w:rsidR="00BD4C27" w:rsidRPr="00EE1DAD">
        <w:rPr>
          <w:rFonts w:ascii="Arial" w:hAnsi="Arial" w:cs="Arial"/>
        </w:rPr>
        <w:t xml:space="preserve"> </w:t>
      </w:r>
      <w:r w:rsidR="00BD4C27">
        <w:rPr>
          <w:rFonts w:ascii="Arial" w:hAnsi="Arial" w:cs="Arial"/>
        </w:rPr>
        <w:t xml:space="preserve">(CTC progression). </w:t>
      </w:r>
      <w:r w:rsidR="00497680">
        <w:rPr>
          <w:rFonts w:ascii="Arial" w:hAnsi="Arial" w:cs="Arial"/>
        </w:rPr>
        <w:t xml:space="preserve">None of these five have had </w:t>
      </w:r>
      <w:proofErr w:type="spellStart"/>
      <w:r w:rsidR="00497680">
        <w:rPr>
          <w:rFonts w:ascii="Arial" w:hAnsi="Arial" w:cs="Arial"/>
        </w:rPr>
        <w:t>pCR</w:t>
      </w:r>
      <w:proofErr w:type="spellEnd"/>
      <w:r w:rsidR="00497680">
        <w:rPr>
          <w:rFonts w:ascii="Arial" w:hAnsi="Arial" w:cs="Arial"/>
        </w:rPr>
        <w:t xml:space="preserve"> and t</w:t>
      </w:r>
      <w:r w:rsidR="00BD4C27">
        <w:rPr>
          <w:rFonts w:ascii="Arial" w:hAnsi="Arial" w:cs="Arial"/>
        </w:rPr>
        <w:t xml:space="preserve">hree of these CTC progressors have </w:t>
      </w:r>
      <w:r w:rsidR="00497680">
        <w:rPr>
          <w:rFonts w:ascii="Arial" w:hAnsi="Arial" w:cs="Arial"/>
        </w:rPr>
        <w:t xml:space="preserve">subsequently developed metastatic disease. None of the other 13 patients were CTC responders. </w:t>
      </w:r>
    </w:p>
    <w:p w14:paraId="00FD96ED" w14:textId="77777777" w:rsidR="00947042" w:rsidRPr="00481D63" w:rsidRDefault="00947042" w:rsidP="00E25CF3">
      <w:pPr>
        <w:jc w:val="both"/>
        <w:rPr>
          <w:rFonts w:ascii="Arial" w:hAnsi="Arial" w:cs="Arial"/>
          <w:b/>
          <w:color w:val="31849B"/>
          <w:sz w:val="36"/>
          <w:szCs w:val="36"/>
        </w:rPr>
      </w:pPr>
      <w:r w:rsidRPr="00361852">
        <w:rPr>
          <w:rFonts w:ascii="Arial" w:hAnsi="Arial" w:cs="Arial"/>
          <w:b/>
          <w:sz w:val="28"/>
          <w:szCs w:val="36"/>
        </w:rPr>
        <w:t>Discussion</w:t>
      </w:r>
    </w:p>
    <w:p w14:paraId="1B93C22A" w14:textId="77777777" w:rsidR="00766E54" w:rsidRPr="00950503" w:rsidRDefault="000F0D42" w:rsidP="00A3509E">
      <w:pPr>
        <w:pStyle w:val="Default"/>
        <w:spacing w:line="480" w:lineRule="auto"/>
        <w:ind w:firstLine="720"/>
        <w:jc w:val="both"/>
        <w:rPr>
          <w:color w:val="auto"/>
          <w:sz w:val="23"/>
          <w:szCs w:val="23"/>
        </w:rPr>
      </w:pPr>
      <w:r w:rsidRPr="00950503">
        <w:rPr>
          <w:color w:val="auto"/>
          <w:sz w:val="23"/>
          <w:szCs w:val="23"/>
        </w:rPr>
        <w:t xml:space="preserve">We have, in this phase 2 single arm study, </w:t>
      </w:r>
      <w:r w:rsidR="00766E54" w:rsidRPr="00950503">
        <w:rPr>
          <w:color w:val="auto"/>
          <w:sz w:val="23"/>
          <w:szCs w:val="23"/>
        </w:rPr>
        <w:t xml:space="preserve">shown that </w:t>
      </w:r>
      <w:proofErr w:type="spellStart"/>
      <w:r w:rsidR="00766E54" w:rsidRPr="00950503">
        <w:rPr>
          <w:color w:val="auto"/>
          <w:sz w:val="23"/>
          <w:szCs w:val="23"/>
        </w:rPr>
        <w:t>cabazitaxel</w:t>
      </w:r>
      <w:proofErr w:type="spellEnd"/>
      <w:r w:rsidR="00766E54" w:rsidRPr="00950503">
        <w:rPr>
          <w:color w:val="auto"/>
          <w:sz w:val="23"/>
          <w:szCs w:val="23"/>
        </w:rPr>
        <w:t xml:space="preserve"> i</w:t>
      </w:r>
      <w:r w:rsidRPr="00950503">
        <w:rPr>
          <w:color w:val="auto"/>
          <w:sz w:val="23"/>
          <w:szCs w:val="23"/>
        </w:rPr>
        <w:t>n combination with cisplatin as</w:t>
      </w:r>
      <w:r w:rsidR="00766E54" w:rsidRPr="00950503">
        <w:rPr>
          <w:color w:val="auto"/>
          <w:sz w:val="23"/>
          <w:szCs w:val="23"/>
        </w:rPr>
        <w:t xml:space="preserve"> neoadjuvant treatment of MIBC is </w:t>
      </w:r>
      <w:r w:rsidRPr="00950503">
        <w:rPr>
          <w:color w:val="auto"/>
          <w:sz w:val="23"/>
          <w:szCs w:val="23"/>
        </w:rPr>
        <w:t>a</w:t>
      </w:r>
      <w:r w:rsidR="00766E54" w:rsidRPr="00950503">
        <w:rPr>
          <w:color w:val="auto"/>
          <w:sz w:val="23"/>
          <w:szCs w:val="23"/>
        </w:rPr>
        <w:t xml:space="preserve"> well-tolerated and effective regimen prior to radical cystectomy</w:t>
      </w:r>
      <w:r w:rsidRPr="00950503">
        <w:rPr>
          <w:color w:val="auto"/>
          <w:sz w:val="23"/>
          <w:szCs w:val="23"/>
        </w:rPr>
        <w:t xml:space="preserve"> with </w:t>
      </w:r>
      <w:r w:rsidR="00D2236F">
        <w:rPr>
          <w:color w:val="auto"/>
          <w:sz w:val="23"/>
          <w:szCs w:val="23"/>
        </w:rPr>
        <w:t xml:space="preserve">a </w:t>
      </w:r>
      <w:r w:rsidRPr="00950503">
        <w:rPr>
          <w:color w:val="auto"/>
          <w:sz w:val="23"/>
          <w:szCs w:val="23"/>
        </w:rPr>
        <w:t>favourable toxicity profile</w:t>
      </w:r>
      <w:r w:rsidR="00766E54" w:rsidRPr="00950503">
        <w:rPr>
          <w:color w:val="auto"/>
          <w:sz w:val="23"/>
          <w:szCs w:val="23"/>
        </w:rPr>
        <w:t>. The ov</w:t>
      </w:r>
      <w:r w:rsidR="0046521D" w:rsidRPr="00950503">
        <w:rPr>
          <w:color w:val="auto"/>
          <w:sz w:val="23"/>
          <w:szCs w:val="23"/>
        </w:rPr>
        <w:t xml:space="preserve">erall response rate </w:t>
      </w:r>
      <w:r w:rsidR="00E5268F">
        <w:rPr>
          <w:color w:val="auto"/>
          <w:sz w:val="23"/>
          <w:szCs w:val="23"/>
        </w:rPr>
        <w:t xml:space="preserve">(ORR) was </w:t>
      </w:r>
      <w:r w:rsidR="00993CCA">
        <w:rPr>
          <w:color w:val="auto"/>
          <w:sz w:val="23"/>
          <w:szCs w:val="23"/>
        </w:rPr>
        <w:t>57.7</w:t>
      </w:r>
      <w:r w:rsidR="00E5268F">
        <w:rPr>
          <w:color w:val="auto"/>
          <w:sz w:val="23"/>
          <w:szCs w:val="23"/>
        </w:rPr>
        <w:t>% (15</w:t>
      </w:r>
      <w:r w:rsidR="0046521D" w:rsidRPr="00950503">
        <w:rPr>
          <w:color w:val="auto"/>
          <w:sz w:val="23"/>
          <w:szCs w:val="23"/>
        </w:rPr>
        <w:t>/</w:t>
      </w:r>
      <w:r w:rsidR="00344FFA" w:rsidRPr="00950503">
        <w:rPr>
          <w:color w:val="auto"/>
          <w:sz w:val="23"/>
          <w:szCs w:val="23"/>
        </w:rPr>
        <w:t>2</w:t>
      </w:r>
      <w:r w:rsidR="00344FFA">
        <w:rPr>
          <w:color w:val="auto"/>
          <w:sz w:val="23"/>
          <w:szCs w:val="23"/>
        </w:rPr>
        <w:t>6</w:t>
      </w:r>
      <w:r w:rsidR="00766E54" w:rsidRPr="00950503">
        <w:rPr>
          <w:color w:val="auto"/>
          <w:sz w:val="23"/>
          <w:szCs w:val="23"/>
        </w:rPr>
        <w:t>) with a pathological co</w:t>
      </w:r>
      <w:r w:rsidR="00E5268F">
        <w:rPr>
          <w:color w:val="auto"/>
          <w:sz w:val="23"/>
          <w:szCs w:val="23"/>
        </w:rPr>
        <w:t>mplete response (</w:t>
      </w:r>
      <w:proofErr w:type="spellStart"/>
      <w:r w:rsidR="00E5268F">
        <w:rPr>
          <w:color w:val="auto"/>
          <w:sz w:val="23"/>
          <w:szCs w:val="23"/>
        </w:rPr>
        <w:t>pCR</w:t>
      </w:r>
      <w:proofErr w:type="spellEnd"/>
      <w:r w:rsidR="00E5268F">
        <w:rPr>
          <w:color w:val="auto"/>
          <w:sz w:val="23"/>
          <w:szCs w:val="23"/>
        </w:rPr>
        <w:t xml:space="preserve">) rate of </w:t>
      </w:r>
      <w:r w:rsidR="00993CCA">
        <w:rPr>
          <w:color w:val="auto"/>
          <w:sz w:val="23"/>
          <w:szCs w:val="23"/>
        </w:rPr>
        <w:t>34.6</w:t>
      </w:r>
      <w:r w:rsidR="00E5268F">
        <w:rPr>
          <w:color w:val="auto"/>
          <w:sz w:val="23"/>
          <w:szCs w:val="23"/>
        </w:rPr>
        <w:t>% (9</w:t>
      </w:r>
      <w:r w:rsidR="0046521D" w:rsidRPr="00950503">
        <w:rPr>
          <w:color w:val="auto"/>
          <w:sz w:val="23"/>
          <w:szCs w:val="23"/>
        </w:rPr>
        <w:t>/</w:t>
      </w:r>
      <w:r w:rsidR="00344FFA">
        <w:rPr>
          <w:color w:val="auto"/>
          <w:sz w:val="23"/>
          <w:szCs w:val="23"/>
        </w:rPr>
        <w:t>26</w:t>
      </w:r>
      <w:r w:rsidR="0046521D" w:rsidRPr="00950503">
        <w:rPr>
          <w:color w:val="auto"/>
          <w:sz w:val="23"/>
          <w:szCs w:val="23"/>
        </w:rPr>
        <w:t>)</w:t>
      </w:r>
      <w:r w:rsidR="00A3509E" w:rsidRPr="00950503">
        <w:rPr>
          <w:color w:val="auto"/>
          <w:sz w:val="23"/>
          <w:szCs w:val="23"/>
        </w:rPr>
        <w:t>.</w:t>
      </w:r>
      <w:r w:rsidR="00344FFA">
        <w:rPr>
          <w:color w:val="auto"/>
          <w:sz w:val="23"/>
          <w:szCs w:val="23"/>
        </w:rPr>
        <w:t xml:space="preserve"> </w:t>
      </w:r>
      <w:r w:rsidR="00344FFA" w:rsidRPr="00344FFA">
        <w:rPr>
          <w:bCs/>
          <w:color w:val="auto"/>
          <w:sz w:val="23"/>
          <w:szCs w:val="23"/>
          <w:lang w:val="en-US"/>
        </w:rPr>
        <w:t>The median PFS and OS in the whole population has not yet been reached. Patients who did not have any pathological downstaging after NAC had a significantly worse PFS and OS (</w:t>
      </w:r>
      <w:r w:rsidR="00550C74">
        <w:rPr>
          <w:bCs/>
          <w:color w:val="auto"/>
          <w:sz w:val="23"/>
          <w:szCs w:val="23"/>
          <w:lang w:val="en-US"/>
        </w:rPr>
        <w:t>7.2</w:t>
      </w:r>
      <w:r w:rsidR="00993CCA">
        <w:rPr>
          <w:bCs/>
          <w:color w:val="auto"/>
          <w:sz w:val="23"/>
          <w:szCs w:val="23"/>
          <w:lang w:val="en-US"/>
        </w:rPr>
        <w:t>m and 16.9</w:t>
      </w:r>
      <w:r w:rsidR="00F7449D">
        <w:rPr>
          <w:bCs/>
          <w:color w:val="auto"/>
          <w:sz w:val="23"/>
          <w:szCs w:val="23"/>
          <w:lang w:val="en-US"/>
        </w:rPr>
        <w:t>m</w:t>
      </w:r>
      <w:r w:rsidR="00993CCA">
        <w:rPr>
          <w:bCs/>
          <w:color w:val="auto"/>
          <w:sz w:val="23"/>
          <w:szCs w:val="23"/>
          <w:lang w:val="en-US"/>
        </w:rPr>
        <w:t>, respectively</w:t>
      </w:r>
      <w:r w:rsidR="00F7449D">
        <w:rPr>
          <w:bCs/>
          <w:color w:val="auto"/>
          <w:sz w:val="23"/>
          <w:szCs w:val="23"/>
          <w:lang w:val="en-US"/>
        </w:rPr>
        <w:t xml:space="preserve">; </w:t>
      </w:r>
      <w:r w:rsidR="003B4B00">
        <w:rPr>
          <w:bCs/>
          <w:color w:val="auto"/>
          <w:sz w:val="23"/>
          <w:szCs w:val="23"/>
          <w:lang w:val="en-US"/>
        </w:rPr>
        <w:t>p=0.00</w:t>
      </w:r>
      <w:r w:rsidR="00993CCA">
        <w:rPr>
          <w:bCs/>
          <w:color w:val="auto"/>
          <w:sz w:val="23"/>
          <w:szCs w:val="23"/>
          <w:lang w:val="en-US"/>
        </w:rPr>
        <w:t>1</w:t>
      </w:r>
      <w:r w:rsidR="00344FFA" w:rsidRPr="00344FFA">
        <w:rPr>
          <w:bCs/>
          <w:color w:val="auto"/>
          <w:sz w:val="23"/>
          <w:szCs w:val="23"/>
          <w:lang w:val="en-US"/>
        </w:rPr>
        <w:t>)</w:t>
      </w:r>
      <w:r w:rsidR="00ED7B0F">
        <w:rPr>
          <w:bCs/>
          <w:color w:val="auto"/>
          <w:sz w:val="23"/>
          <w:szCs w:val="23"/>
          <w:lang w:val="en-US"/>
        </w:rPr>
        <w:t>, than those who had an objective response</w:t>
      </w:r>
      <w:r w:rsidR="00344FFA" w:rsidRPr="00344FFA">
        <w:rPr>
          <w:bCs/>
          <w:color w:val="auto"/>
          <w:sz w:val="23"/>
          <w:szCs w:val="23"/>
          <w:lang w:val="en-US"/>
        </w:rPr>
        <w:t xml:space="preserve">. </w:t>
      </w:r>
      <w:r w:rsidR="005D127D">
        <w:rPr>
          <w:bCs/>
          <w:color w:val="auto"/>
          <w:sz w:val="23"/>
          <w:szCs w:val="23"/>
          <w:lang w:val="en-US"/>
        </w:rPr>
        <w:t xml:space="preserve">The </w:t>
      </w:r>
      <w:r w:rsidR="004872CA">
        <w:rPr>
          <w:bCs/>
          <w:color w:val="auto"/>
          <w:sz w:val="23"/>
          <w:szCs w:val="23"/>
          <w:lang w:val="en-US"/>
        </w:rPr>
        <w:t>LOS</w:t>
      </w:r>
      <w:r w:rsidR="00B24358">
        <w:rPr>
          <w:bCs/>
          <w:color w:val="auto"/>
          <w:sz w:val="23"/>
          <w:szCs w:val="23"/>
          <w:lang w:val="en-US"/>
        </w:rPr>
        <w:t xml:space="preserve"> post cystectomy </w:t>
      </w:r>
      <w:r w:rsidR="0066716C">
        <w:rPr>
          <w:bCs/>
          <w:color w:val="auto"/>
          <w:sz w:val="23"/>
          <w:szCs w:val="23"/>
          <w:lang w:val="en-US"/>
        </w:rPr>
        <w:t xml:space="preserve">and </w:t>
      </w:r>
      <w:r w:rsidR="00B24358">
        <w:rPr>
          <w:bCs/>
          <w:color w:val="auto"/>
          <w:sz w:val="23"/>
          <w:szCs w:val="23"/>
          <w:lang w:val="en-US"/>
        </w:rPr>
        <w:t>the peri-operative complications</w:t>
      </w:r>
      <w:r w:rsidR="0066716C">
        <w:rPr>
          <w:bCs/>
          <w:color w:val="auto"/>
          <w:sz w:val="23"/>
          <w:szCs w:val="23"/>
          <w:lang w:val="en-US"/>
        </w:rPr>
        <w:t xml:space="preserve"> are </w:t>
      </w:r>
      <w:r w:rsidR="00B24358">
        <w:rPr>
          <w:bCs/>
          <w:color w:val="auto"/>
          <w:sz w:val="23"/>
          <w:szCs w:val="23"/>
          <w:lang w:val="en-US"/>
        </w:rPr>
        <w:t xml:space="preserve">in keeping with what is reported in the literature </w:t>
      </w:r>
      <w:r w:rsidR="00B24358">
        <w:rPr>
          <w:bCs/>
          <w:noProof/>
          <w:color w:val="auto"/>
          <w:sz w:val="23"/>
          <w:szCs w:val="23"/>
          <w:lang w:val="en-US"/>
        </w:rPr>
        <w:t>[27, 28]</w:t>
      </w:r>
      <w:r w:rsidR="0066716C">
        <w:rPr>
          <w:bCs/>
          <w:color w:val="auto"/>
          <w:sz w:val="23"/>
          <w:szCs w:val="23"/>
          <w:lang w:val="en-US"/>
        </w:rPr>
        <w:t xml:space="preserve"> suggesting that NAC did not have an adverse impact on surgical outcome</w:t>
      </w:r>
      <w:r w:rsidR="00B24358">
        <w:rPr>
          <w:bCs/>
          <w:color w:val="auto"/>
          <w:sz w:val="23"/>
          <w:szCs w:val="23"/>
          <w:lang w:val="en-US"/>
        </w:rPr>
        <w:t xml:space="preserve">. </w:t>
      </w:r>
      <w:r w:rsidR="00B6308E">
        <w:rPr>
          <w:bCs/>
          <w:color w:val="auto"/>
          <w:sz w:val="23"/>
          <w:szCs w:val="23"/>
          <w:lang w:val="en-US"/>
        </w:rPr>
        <w:t>Ninety-day</w:t>
      </w:r>
      <w:r w:rsidR="00B24358">
        <w:rPr>
          <w:bCs/>
          <w:color w:val="auto"/>
          <w:sz w:val="23"/>
          <w:szCs w:val="23"/>
          <w:lang w:val="en-US"/>
        </w:rPr>
        <w:t xml:space="preserve"> mortality has been used as a surrogate for improved outcomes after radical cystectomy </w:t>
      </w:r>
      <w:r w:rsidR="00C43AD9">
        <w:rPr>
          <w:bCs/>
          <w:noProof/>
          <w:color w:val="auto"/>
          <w:sz w:val="23"/>
          <w:szCs w:val="23"/>
          <w:lang w:val="en-US"/>
        </w:rPr>
        <w:t>[29, 30]</w:t>
      </w:r>
      <w:r w:rsidR="00B24358">
        <w:rPr>
          <w:bCs/>
          <w:color w:val="auto"/>
          <w:sz w:val="23"/>
          <w:szCs w:val="23"/>
          <w:lang w:val="en-US"/>
        </w:rPr>
        <w:t xml:space="preserve">. None of our patients died within 90 days of surgery. </w:t>
      </w:r>
    </w:p>
    <w:p w14:paraId="0E8C845A" w14:textId="77777777" w:rsidR="00E3769D" w:rsidRDefault="008162F4" w:rsidP="008162F4">
      <w:pPr>
        <w:autoSpaceDE w:val="0"/>
        <w:autoSpaceDN w:val="0"/>
        <w:adjustRightInd w:val="0"/>
        <w:spacing w:after="0" w:line="480" w:lineRule="auto"/>
        <w:jc w:val="both"/>
        <w:rPr>
          <w:rFonts w:ascii="Arial" w:hAnsi="Arial" w:cs="Arial"/>
          <w:color w:val="2197D2"/>
          <w:sz w:val="15"/>
          <w:szCs w:val="13"/>
        </w:rPr>
      </w:pPr>
      <w:r>
        <w:rPr>
          <w:rFonts w:ascii="Arial" w:hAnsi="Arial" w:cs="Arial"/>
          <w:color w:val="000000"/>
          <w:szCs w:val="20"/>
        </w:rPr>
        <w:tab/>
      </w:r>
      <w:r w:rsidR="009D4514">
        <w:rPr>
          <w:rFonts w:ascii="Arial" w:hAnsi="Arial" w:cs="Arial"/>
          <w:color w:val="000000"/>
          <w:szCs w:val="20"/>
        </w:rPr>
        <w:t>S</w:t>
      </w:r>
      <w:r w:rsidR="009D4514" w:rsidRPr="00B629C8">
        <w:rPr>
          <w:rFonts w:ascii="Arial" w:hAnsi="Arial" w:cs="Arial"/>
          <w:color w:val="000000"/>
          <w:szCs w:val="20"/>
        </w:rPr>
        <w:t xml:space="preserve">everal randomized controlled trials and meta-analyses support the use of </w:t>
      </w:r>
      <w:r w:rsidR="009D4514">
        <w:rPr>
          <w:rFonts w:ascii="Arial" w:hAnsi="Arial" w:cs="Arial"/>
          <w:color w:val="000000"/>
          <w:szCs w:val="20"/>
        </w:rPr>
        <w:t>n</w:t>
      </w:r>
      <w:r w:rsidR="009D4514" w:rsidRPr="00B629C8">
        <w:rPr>
          <w:rFonts w:ascii="Arial" w:hAnsi="Arial" w:cs="Arial"/>
          <w:color w:val="000000"/>
          <w:szCs w:val="20"/>
        </w:rPr>
        <w:t>eoadjuvant platinum-based multi</w:t>
      </w:r>
      <w:r w:rsidR="00D2236F">
        <w:rPr>
          <w:rFonts w:ascii="Arial" w:hAnsi="Arial" w:cs="Arial"/>
          <w:color w:val="000000"/>
          <w:szCs w:val="20"/>
        </w:rPr>
        <w:t>-</w:t>
      </w:r>
      <w:r w:rsidR="009D4514" w:rsidRPr="00B629C8">
        <w:rPr>
          <w:rFonts w:ascii="Arial" w:hAnsi="Arial" w:cs="Arial"/>
          <w:color w:val="000000"/>
          <w:szCs w:val="20"/>
        </w:rPr>
        <w:t xml:space="preserve">agent chemotherapy in </w:t>
      </w:r>
      <w:r w:rsidR="009D4514">
        <w:rPr>
          <w:rFonts w:ascii="Arial" w:hAnsi="Arial" w:cs="Arial"/>
          <w:color w:val="000000"/>
          <w:szCs w:val="20"/>
        </w:rPr>
        <w:t xml:space="preserve">MIBC. </w:t>
      </w:r>
      <w:r w:rsidR="0066716C">
        <w:rPr>
          <w:rFonts w:ascii="Arial" w:hAnsi="Arial" w:cs="Arial"/>
          <w:color w:val="000000"/>
          <w:szCs w:val="20"/>
        </w:rPr>
        <w:t>NAC</w:t>
      </w:r>
      <w:r w:rsidR="009D4514" w:rsidRPr="00A3509E">
        <w:rPr>
          <w:rFonts w:ascii="Arial" w:hAnsi="Arial" w:cs="Arial"/>
          <w:szCs w:val="24"/>
        </w:rPr>
        <w:t xml:space="preserve"> is associated with an absolute </w:t>
      </w:r>
      <w:r w:rsidR="00F7449D" w:rsidRPr="00A3509E">
        <w:rPr>
          <w:rFonts w:ascii="Arial" w:hAnsi="Arial" w:cs="Arial"/>
          <w:szCs w:val="24"/>
        </w:rPr>
        <w:t xml:space="preserve">overall survival </w:t>
      </w:r>
      <w:r w:rsidR="009D4514" w:rsidRPr="00A3509E">
        <w:rPr>
          <w:rFonts w:ascii="Arial" w:hAnsi="Arial" w:cs="Arial"/>
          <w:szCs w:val="24"/>
        </w:rPr>
        <w:t>improvement of 5% in</w:t>
      </w:r>
      <w:r w:rsidR="00F7449D">
        <w:rPr>
          <w:rFonts w:ascii="Arial" w:hAnsi="Arial" w:cs="Arial"/>
          <w:szCs w:val="24"/>
        </w:rPr>
        <w:t xml:space="preserve"> 5 years</w:t>
      </w:r>
      <w:r w:rsidR="009D4514" w:rsidRPr="00A3509E">
        <w:rPr>
          <w:rFonts w:ascii="Arial" w:hAnsi="Arial" w:cs="Arial"/>
          <w:szCs w:val="24"/>
        </w:rPr>
        <w:t xml:space="preserve">, 14% decrease in disease specific mortality and 9% improvement in disease specific survival in patients of good performance status </w:t>
      </w:r>
      <w:r w:rsidR="009B1F6C">
        <w:rPr>
          <w:rFonts w:ascii="Arial" w:hAnsi="Arial" w:cs="Arial"/>
          <w:noProof/>
          <w:szCs w:val="24"/>
        </w:rPr>
        <w:t>[2, 3, 6]</w:t>
      </w:r>
      <w:r w:rsidR="009D4514">
        <w:rPr>
          <w:rFonts w:ascii="Arial" w:hAnsi="Arial" w:cs="Arial"/>
          <w:color w:val="000000"/>
          <w:szCs w:val="20"/>
        </w:rPr>
        <w:t>.</w:t>
      </w:r>
      <w:r w:rsidR="009D4514" w:rsidRPr="00B629C8">
        <w:rPr>
          <w:rFonts w:ascii="Arial" w:hAnsi="Arial" w:cs="Arial"/>
          <w:color w:val="2197D2"/>
          <w:sz w:val="15"/>
          <w:szCs w:val="13"/>
        </w:rPr>
        <w:t xml:space="preserve"> </w:t>
      </w:r>
      <w:r w:rsidR="00713DCA">
        <w:rPr>
          <w:rFonts w:ascii="Arial" w:hAnsi="Arial" w:cs="Arial"/>
          <w:szCs w:val="24"/>
        </w:rPr>
        <w:t>In view of the favourable toxicity profile, Gemcitabine and Cisplatin (</w:t>
      </w:r>
      <w:r w:rsidR="00713DCA" w:rsidRPr="00A3509E">
        <w:rPr>
          <w:rFonts w:ascii="Arial" w:hAnsi="Arial" w:cs="Arial"/>
          <w:szCs w:val="24"/>
        </w:rPr>
        <w:t>GC</w:t>
      </w:r>
      <w:r w:rsidR="00713DCA">
        <w:rPr>
          <w:rFonts w:ascii="Arial" w:hAnsi="Arial" w:cs="Arial"/>
          <w:szCs w:val="24"/>
        </w:rPr>
        <w:t>) combination</w:t>
      </w:r>
      <w:r w:rsidR="00713DCA" w:rsidRPr="00A3509E">
        <w:rPr>
          <w:rFonts w:ascii="Arial" w:hAnsi="Arial" w:cs="Arial"/>
          <w:szCs w:val="24"/>
        </w:rPr>
        <w:t xml:space="preserve"> has become the current standard of care in the neoadjuvant setting in the treatment of MIBC.</w:t>
      </w:r>
      <w:r w:rsidR="00713DCA">
        <w:rPr>
          <w:rFonts w:ascii="Arial" w:hAnsi="Arial" w:cs="Arial"/>
          <w:szCs w:val="24"/>
        </w:rPr>
        <w:t xml:space="preserve"> </w:t>
      </w:r>
      <w:r w:rsidR="000F4101">
        <w:rPr>
          <w:rFonts w:ascii="Arial" w:hAnsi="Arial" w:cs="Arial"/>
          <w:szCs w:val="24"/>
        </w:rPr>
        <w:t xml:space="preserve">The 5-yr estimated PFS and OS of patients who had </w:t>
      </w:r>
      <w:proofErr w:type="spellStart"/>
      <w:r w:rsidR="000F4101">
        <w:rPr>
          <w:rFonts w:ascii="Arial" w:hAnsi="Arial" w:cs="Arial"/>
          <w:szCs w:val="24"/>
        </w:rPr>
        <w:t>pCR</w:t>
      </w:r>
      <w:proofErr w:type="spellEnd"/>
      <w:r w:rsidR="006467B4">
        <w:rPr>
          <w:rFonts w:ascii="Arial" w:hAnsi="Arial" w:cs="Arial"/>
          <w:szCs w:val="24"/>
        </w:rPr>
        <w:t xml:space="preserve"> reported in </w:t>
      </w:r>
      <w:r w:rsidR="006467B4">
        <w:rPr>
          <w:rFonts w:ascii="Arial" w:hAnsi="Arial" w:cs="Arial"/>
          <w:szCs w:val="24"/>
        </w:rPr>
        <w:lastRenderedPageBreak/>
        <w:t>literature</w:t>
      </w:r>
      <w:r w:rsidR="000F4101">
        <w:rPr>
          <w:rFonts w:ascii="Arial" w:hAnsi="Arial" w:cs="Arial"/>
          <w:szCs w:val="24"/>
        </w:rPr>
        <w:t xml:space="preserve"> </w:t>
      </w:r>
      <w:r w:rsidR="008E5452">
        <w:rPr>
          <w:rFonts w:ascii="Arial" w:hAnsi="Arial" w:cs="Arial"/>
          <w:szCs w:val="24"/>
        </w:rPr>
        <w:t>are</w:t>
      </w:r>
      <w:r w:rsidR="000F4101">
        <w:rPr>
          <w:rFonts w:ascii="Arial" w:hAnsi="Arial" w:cs="Arial"/>
          <w:szCs w:val="24"/>
        </w:rPr>
        <w:t xml:space="preserve"> 90% and 80%, respectively. The corresponding estimates for those who did not have any pathological downstaging are 50% and </w:t>
      </w:r>
      <w:r w:rsidR="00713DCA">
        <w:rPr>
          <w:rFonts w:ascii="Arial" w:hAnsi="Arial" w:cs="Arial"/>
          <w:szCs w:val="24"/>
        </w:rPr>
        <w:t xml:space="preserve">45% </w:t>
      </w:r>
      <w:r w:rsidR="00713DCA">
        <w:rPr>
          <w:rFonts w:ascii="Arial" w:hAnsi="Arial" w:cs="Arial"/>
          <w:noProof/>
          <w:szCs w:val="24"/>
        </w:rPr>
        <w:t>[31, 32]</w:t>
      </w:r>
      <w:r w:rsidR="00713DCA">
        <w:rPr>
          <w:rFonts w:ascii="Arial" w:hAnsi="Arial" w:cs="Arial"/>
          <w:szCs w:val="24"/>
        </w:rPr>
        <w:t xml:space="preserve">. The 5-yr estimates in our study are in keeping with the literature </w:t>
      </w:r>
      <w:r w:rsidR="009F458E">
        <w:rPr>
          <w:rFonts w:ascii="Arial" w:hAnsi="Arial" w:cs="Arial"/>
          <w:szCs w:val="24"/>
        </w:rPr>
        <w:t xml:space="preserve">with </w:t>
      </w:r>
      <w:proofErr w:type="spellStart"/>
      <w:r w:rsidR="00550C74">
        <w:rPr>
          <w:rFonts w:ascii="Arial" w:hAnsi="Arial" w:cs="Arial"/>
          <w:szCs w:val="24"/>
        </w:rPr>
        <w:t>pCR</w:t>
      </w:r>
      <w:proofErr w:type="spellEnd"/>
      <w:r w:rsidR="00550C74">
        <w:rPr>
          <w:rFonts w:ascii="Arial" w:hAnsi="Arial" w:cs="Arial"/>
          <w:szCs w:val="24"/>
        </w:rPr>
        <w:t xml:space="preserve">/ </w:t>
      </w:r>
      <w:r w:rsidR="009F458E">
        <w:rPr>
          <w:rFonts w:ascii="Arial" w:hAnsi="Arial" w:cs="Arial"/>
          <w:szCs w:val="24"/>
        </w:rPr>
        <w:t xml:space="preserve">pathological downstaging providing a 5yr PFS and OS of over 90% whereas a lack of response </w:t>
      </w:r>
      <w:r w:rsidR="00550C74">
        <w:rPr>
          <w:rFonts w:ascii="Arial" w:hAnsi="Arial" w:cs="Arial"/>
          <w:szCs w:val="24"/>
        </w:rPr>
        <w:t xml:space="preserve">resulted in </w:t>
      </w:r>
      <w:r w:rsidR="009F458E">
        <w:rPr>
          <w:rFonts w:ascii="Arial" w:hAnsi="Arial" w:cs="Arial"/>
          <w:szCs w:val="24"/>
        </w:rPr>
        <w:t xml:space="preserve">a </w:t>
      </w:r>
      <w:r w:rsidR="00713DCA">
        <w:rPr>
          <w:rFonts w:ascii="Arial" w:hAnsi="Arial" w:cs="Arial"/>
          <w:szCs w:val="24"/>
        </w:rPr>
        <w:t xml:space="preserve">5-yr PFS </w:t>
      </w:r>
      <w:r w:rsidR="009F458E">
        <w:rPr>
          <w:rFonts w:ascii="Arial" w:hAnsi="Arial" w:cs="Arial"/>
          <w:szCs w:val="24"/>
        </w:rPr>
        <w:t>and</w:t>
      </w:r>
      <w:r w:rsidR="00713DCA">
        <w:rPr>
          <w:rFonts w:ascii="Arial" w:hAnsi="Arial" w:cs="Arial"/>
          <w:szCs w:val="24"/>
        </w:rPr>
        <w:t xml:space="preserve"> OS estimate of 36%. </w:t>
      </w:r>
    </w:p>
    <w:p w14:paraId="3FBE2D6D" w14:textId="77777777" w:rsidR="009D4514" w:rsidRDefault="008162F4" w:rsidP="008162F4">
      <w:p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ab/>
      </w:r>
      <w:r w:rsidR="009D4514" w:rsidRPr="00B629C8">
        <w:rPr>
          <w:rFonts w:ascii="Arial" w:hAnsi="Arial" w:cs="Arial"/>
          <w:color w:val="000000"/>
          <w:szCs w:val="20"/>
        </w:rPr>
        <w:t xml:space="preserve">Despite the </w:t>
      </w:r>
      <w:r w:rsidR="009D4514">
        <w:rPr>
          <w:rFonts w:ascii="Arial" w:hAnsi="Arial" w:cs="Arial"/>
          <w:color w:val="000000"/>
          <w:szCs w:val="20"/>
        </w:rPr>
        <w:t xml:space="preserve">strong </w:t>
      </w:r>
      <w:r w:rsidR="009D4514" w:rsidRPr="00B629C8">
        <w:rPr>
          <w:rFonts w:ascii="Arial" w:hAnsi="Arial" w:cs="Arial"/>
          <w:color w:val="000000"/>
          <w:szCs w:val="20"/>
        </w:rPr>
        <w:t>evidence</w:t>
      </w:r>
      <w:r w:rsidR="00EC31EE">
        <w:rPr>
          <w:rFonts w:ascii="Arial" w:hAnsi="Arial" w:cs="Arial"/>
          <w:color w:val="000000"/>
          <w:szCs w:val="20"/>
        </w:rPr>
        <w:t xml:space="preserve"> </w:t>
      </w:r>
      <w:r w:rsidR="00713DCA">
        <w:rPr>
          <w:rFonts w:ascii="Arial" w:hAnsi="Arial" w:cs="Arial"/>
          <w:noProof/>
          <w:color w:val="000000"/>
          <w:szCs w:val="20"/>
        </w:rPr>
        <w:t>[33]</w:t>
      </w:r>
      <w:r w:rsidR="009D4514">
        <w:rPr>
          <w:rFonts w:ascii="Arial" w:hAnsi="Arial" w:cs="Arial"/>
          <w:color w:val="000000"/>
          <w:szCs w:val="20"/>
        </w:rPr>
        <w:t>,</w:t>
      </w:r>
      <w:r w:rsidR="009D4514" w:rsidRPr="00B629C8">
        <w:rPr>
          <w:rFonts w:ascii="Arial" w:hAnsi="Arial" w:cs="Arial"/>
          <w:color w:val="000000"/>
          <w:szCs w:val="20"/>
        </w:rPr>
        <w:t xml:space="preserve"> </w:t>
      </w:r>
      <w:r w:rsidR="009D4514">
        <w:rPr>
          <w:rFonts w:ascii="Arial" w:hAnsi="Arial" w:cs="Arial"/>
          <w:color w:val="000000"/>
          <w:szCs w:val="20"/>
        </w:rPr>
        <w:t>there is</w:t>
      </w:r>
      <w:r w:rsidR="009D4514" w:rsidRPr="00B629C8">
        <w:rPr>
          <w:rFonts w:ascii="Arial" w:hAnsi="Arial" w:cs="Arial"/>
          <w:color w:val="000000"/>
          <w:szCs w:val="20"/>
        </w:rPr>
        <w:t xml:space="preserve"> low and inconsistent use of NAC</w:t>
      </w:r>
      <w:r w:rsidR="009D4514">
        <w:rPr>
          <w:rFonts w:ascii="Arial" w:hAnsi="Arial" w:cs="Arial"/>
          <w:color w:val="000000"/>
          <w:szCs w:val="20"/>
        </w:rPr>
        <w:t xml:space="preserve">, due to risk of </w:t>
      </w:r>
      <w:r w:rsidR="009D4514" w:rsidRPr="00CB57EA">
        <w:rPr>
          <w:rFonts w:ascii="Arial" w:hAnsi="Arial" w:cs="Arial"/>
          <w:color w:val="000000"/>
          <w:szCs w:val="20"/>
        </w:rPr>
        <w:t>toxicity, the risk o</w:t>
      </w:r>
      <w:r w:rsidR="009D4514">
        <w:rPr>
          <w:rFonts w:ascii="Arial" w:hAnsi="Arial" w:cs="Arial"/>
          <w:color w:val="000000"/>
          <w:szCs w:val="20"/>
        </w:rPr>
        <w:t>f progression in non</w:t>
      </w:r>
      <w:r w:rsidR="00D2236F">
        <w:rPr>
          <w:rFonts w:ascii="Arial" w:hAnsi="Arial" w:cs="Arial"/>
          <w:color w:val="000000"/>
          <w:szCs w:val="20"/>
        </w:rPr>
        <w:t>-</w:t>
      </w:r>
      <w:r w:rsidR="009D4514">
        <w:rPr>
          <w:rFonts w:ascii="Arial" w:hAnsi="Arial" w:cs="Arial"/>
          <w:color w:val="000000"/>
          <w:szCs w:val="20"/>
        </w:rPr>
        <w:t xml:space="preserve">responders, </w:t>
      </w:r>
      <w:r w:rsidR="009D4514" w:rsidRPr="00CB57EA">
        <w:rPr>
          <w:rFonts w:ascii="Arial" w:hAnsi="Arial" w:cs="Arial"/>
          <w:color w:val="000000"/>
          <w:szCs w:val="20"/>
        </w:rPr>
        <w:t>and the fact that adju</w:t>
      </w:r>
      <w:r w:rsidR="009D4514">
        <w:rPr>
          <w:rFonts w:ascii="Arial" w:hAnsi="Arial" w:cs="Arial"/>
          <w:color w:val="000000"/>
          <w:szCs w:val="20"/>
        </w:rPr>
        <w:t xml:space="preserve">vant chemotherapy could be used </w:t>
      </w:r>
      <w:r w:rsidR="009D4514" w:rsidRPr="00CB57EA">
        <w:rPr>
          <w:rFonts w:ascii="Arial" w:hAnsi="Arial" w:cs="Arial"/>
          <w:color w:val="000000"/>
          <w:szCs w:val="20"/>
        </w:rPr>
        <w:t>instead</w:t>
      </w:r>
      <w:r w:rsidR="009B1F6C">
        <w:rPr>
          <w:rFonts w:ascii="Arial" w:hAnsi="Arial" w:cs="Arial"/>
          <w:color w:val="000000"/>
          <w:szCs w:val="20"/>
        </w:rPr>
        <w:t xml:space="preserve"> </w:t>
      </w:r>
      <w:r w:rsidR="00713DCA">
        <w:rPr>
          <w:rFonts w:ascii="Arial" w:hAnsi="Arial" w:cs="Arial"/>
          <w:noProof/>
          <w:color w:val="000000"/>
          <w:szCs w:val="20"/>
        </w:rPr>
        <w:t>[34, 35]</w:t>
      </w:r>
      <w:r w:rsidR="009D4514" w:rsidRPr="00CB57EA">
        <w:rPr>
          <w:rFonts w:ascii="Arial" w:hAnsi="Arial" w:cs="Arial"/>
          <w:color w:val="000000"/>
          <w:szCs w:val="20"/>
        </w:rPr>
        <w:t>.</w:t>
      </w:r>
      <w:r w:rsidR="009D4514">
        <w:rPr>
          <w:rFonts w:ascii="Arial" w:hAnsi="Arial" w:cs="Arial"/>
          <w:color w:val="000000"/>
          <w:szCs w:val="20"/>
        </w:rPr>
        <w:t xml:space="preserve"> Zaid et al, in a retrospective review of over 5000 patients with MIBC in the USA, reported that t</w:t>
      </w:r>
      <w:r w:rsidR="009D4514" w:rsidRPr="00CB57EA">
        <w:rPr>
          <w:rFonts w:ascii="Arial" w:hAnsi="Arial" w:cs="Arial"/>
          <w:color w:val="000000"/>
          <w:szCs w:val="20"/>
        </w:rPr>
        <w:t>he overall use of NAC</w:t>
      </w:r>
      <w:r w:rsidR="009D4514">
        <w:rPr>
          <w:rFonts w:ascii="Arial" w:hAnsi="Arial" w:cs="Arial"/>
          <w:color w:val="000000"/>
          <w:szCs w:val="20"/>
        </w:rPr>
        <w:t xml:space="preserve"> increased from 7.6% in 2006 to about </w:t>
      </w:r>
      <w:r w:rsidR="009D4514" w:rsidRPr="00CB57EA">
        <w:rPr>
          <w:rFonts w:ascii="Arial" w:hAnsi="Arial" w:cs="Arial"/>
          <w:color w:val="000000"/>
          <w:szCs w:val="20"/>
        </w:rPr>
        <w:t xml:space="preserve">20.9% in 2010, with 10.6% achieving </w:t>
      </w:r>
      <w:r w:rsidR="009D4514">
        <w:rPr>
          <w:rFonts w:ascii="Arial" w:hAnsi="Arial" w:cs="Arial"/>
          <w:color w:val="000000"/>
          <w:szCs w:val="20"/>
        </w:rPr>
        <w:t xml:space="preserve">complete pathologic downstaging </w:t>
      </w:r>
      <w:r w:rsidR="00713DCA">
        <w:rPr>
          <w:rFonts w:ascii="Arial" w:hAnsi="Arial" w:cs="Arial"/>
          <w:noProof/>
          <w:color w:val="000000"/>
          <w:szCs w:val="20"/>
        </w:rPr>
        <w:t>[36]</w:t>
      </w:r>
      <w:r w:rsidR="009D4514">
        <w:rPr>
          <w:rFonts w:ascii="Arial" w:hAnsi="Arial" w:cs="Arial"/>
          <w:color w:val="000000"/>
          <w:szCs w:val="20"/>
        </w:rPr>
        <w:t xml:space="preserve">. In a European survey, the uptake of NAC was around 12% </w:t>
      </w:r>
      <w:r w:rsidR="00713DCA">
        <w:rPr>
          <w:rFonts w:ascii="Arial" w:hAnsi="Arial" w:cs="Arial"/>
          <w:noProof/>
          <w:color w:val="000000"/>
          <w:szCs w:val="20"/>
        </w:rPr>
        <w:t>[37]</w:t>
      </w:r>
      <w:r w:rsidR="009D4514">
        <w:rPr>
          <w:rFonts w:ascii="Arial" w:hAnsi="Arial" w:cs="Arial"/>
          <w:color w:val="000000"/>
          <w:szCs w:val="20"/>
        </w:rPr>
        <w:t xml:space="preserve">. </w:t>
      </w:r>
    </w:p>
    <w:p w14:paraId="7DE17DAE" w14:textId="77777777" w:rsidR="009D4514" w:rsidRPr="006827E6" w:rsidRDefault="008162F4" w:rsidP="008162F4">
      <w:p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ab/>
      </w:r>
      <w:r w:rsidR="009D4514">
        <w:rPr>
          <w:rFonts w:ascii="Arial" w:hAnsi="Arial" w:cs="Arial"/>
          <w:color w:val="000000"/>
          <w:szCs w:val="20"/>
        </w:rPr>
        <w:t xml:space="preserve">The lack of response in a significant proportion of patients with NAC probably explains the low rates of uptake. Therefore, there is a need for </w:t>
      </w:r>
      <w:r w:rsidR="009D4514" w:rsidRPr="00B7572E">
        <w:rPr>
          <w:rFonts w:ascii="Arial" w:hAnsi="Arial" w:cs="Arial"/>
          <w:color w:val="000000"/>
          <w:szCs w:val="20"/>
        </w:rPr>
        <w:t xml:space="preserve">predictive </w:t>
      </w:r>
      <w:r w:rsidR="009D4514">
        <w:rPr>
          <w:rFonts w:ascii="Arial" w:hAnsi="Arial" w:cs="Arial"/>
          <w:color w:val="000000"/>
          <w:szCs w:val="20"/>
        </w:rPr>
        <w:t xml:space="preserve">biomarkers to assess response to NAC. </w:t>
      </w:r>
      <w:proofErr w:type="spellStart"/>
      <w:r w:rsidR="009D4514">
        <w:rPr>
          <w:rFonts w:ascii="Arial" w:hAnsi="Arial" w:cs="Arial"/>
          <w:color w:val="000000"/>
          <w:szCs w:val="20"/>
        </w:rPr>
        <w:t>Zargar</w:t>
      </w:r>
      <w:proofErr w:type="spellEnd"/>
      <w:r w:rsidR="009D4514">
        <w:rPr>
          <w:rFonts w:ascii="Arial" w:hAnsi="Arial" w:cs="Arial"/>
          <w:color w:val="000000"/>
          <w:szCs w:val="20"/>
        </w:rPr>
        <w:t xml:space="preserve"> et al</w:t>
      </w:r>
      <w:r w:rsidR="006E1DA1">
        <w:rPr>
          <w:rFonts w:ascii="Arial" w:hAnsi="Arial" w:cs="Arial"/>
          <w:color w:val="000000"/>
          <w:szCs w:val="20"/>
        </w:rPr>
        <w:t xml:space="preserve"> </w:t>
      </w:r>
      <w:r w:rsidR="00713DCA">
        <w:rPr>
          <w:rFonts w:ascii="Arial" w:hAnsi="Arial" w:cs="Arial"/>
          <w:noProof/>
          <w:color w:val="000000"/>
          <w:szCs w:val="20"/>
        </w:rPr>
        <w:t>[38]</w:t>
      </w:r>
      <w:r w:rsidR="009D4514">
        <w:rPr>
          <w:rFonts w:ascii="Arial" w:hAnsi="Arial" w:cs="Arial"/>
          <w:color w:val="000000"/>
          <w:szCs w:val="20"/>
        </w:rPr>
        <w:t xml:space="preserve">, showed that, pathological downstaging predicts survival and can be used as a surrogate marker. </w:t>
      </w:r>
      <w:proofErr w:type="spellStart"/>
      <w:r w:rsidR="009D4514" w:rsidRPr="00B7572E">
        <w:rPr>
          <w:rFonts w:ascii="Arial" w:hAnsi="Arial" w:cs="Arial"/>
          <w:color w:val="000000"/>
          <w:szCs w:val="20"/>
        </w:rPr>
        <w:t>Petrelli</w:t>
      </w:r>
      <w:proofErr w:type="spellEnd"/>
      <w:r w:rsidR="009D4514" w:rsidRPr="00B7572E">
        <w:rPr>
          <w:rFonts w:ascii="Arial" w:hAnsi="Arial" w:cs="Arial"/>
          <w:color w:val="000000"/>
          <w:szCs w:val="20"/>
        </w:rPr>
        <w:t xml:space="preserve"> e</w:t>
      </w:r>
      <w:r w:rsidR="00F60690">
        <w:rPr>
          <w:rFonts w:ascii="Arial" w:hAnsi="Arial" w:cs="Arial"/>
          <w:color w:val="000000"/>
          <w:szCs w:val="20"/>
        </w:rPr>
        <w:t>t al,</w:t>
      </w:r>
      <w:r w:rsidR="00E3769D">
        <w:rPr>
          <w:rFonts w:ascii="Arial" w:hAnsi="Arial" w:cs="Arial"/>
          <w:color w:val="000000"/>
          <w:szCs w:val="20"/>
        </w:rPr>
        <w:t xml:space="preserve"> con</w:t>
      </w:r>
      <w:r w:rsidR="00F60690">
        <w:rPr>
          <w:rFonts w:ascii="Arial" w:hAnsi="Arial" w:cs="Arial"/>
          <w:color w:val="000000"/>
          <w:szCs w:val="20"/>
        </w:rPr>
        <w:t>cluded</w:t>
      </w:r>
      <w:r w:rsidR="009D4514" w:rsidRPr="00B7572E">
        <w:rPr>
          <w:rFonts w:ascii="Arial" w:hAnsi="Arial" w:cs="Arial"/>
          <w:color w:val="000000"/>
          <w:szCs w:val="20"/>
        </w:rPr>
        <w:t xml:space="preserve"> that pa</w:t>
      </w:r>
      <w:r w:rsidR="009D4514">
        <w:rPr>
          <w:rFonts w:ascii="Arial" w:hAnsi="Arial" w:cs="Arial"/>
          <w:color w:val="000000"/>
          <w:szCs w:val="20"/>
        </w:rPr>
        <w:t>thologic complete response (</w:t>
      </w:r>
      <w:proofErr w:type="spellStart"/>
      <w:r w:rsidR="009D4514">
        <w:rPr>
          <w:rFonts w:ascii="Arial" w:hAnsi="Arial" w:cs="Arial"/>
          <w:color w:val="000000"/>
          <w:szCs w:val="20"/>
        </w:rPr>
        <w:t>pCR</w:t>
      </w:r>
      <w:proofErr w:type="spellEnd"/>
      <w:r w:rsidR="009D4514">
        <w:rPr>
          <w:rFonts w:ascii="Arial" w:hAnsi="Arial" w:cs="Arial"/>
          <w:color w:val="000000"/>
          <w:szCs w:val="20"/>
        </w:rPr>
        <w:t>)</w:t>
      </w:r>
      <w:r w:rsidR="00F60690">
        <w:rPr>
          <w:rFonts w:ascii="Arial" w:hAnsi="Arial" w:cs="Arial"/>
          <w:color w:val="000000"/>
          <w:szCs w:val="20"/>
        </w:rPr>
        <w:t xml:space="preserve"> is an</w:t>
      </w:r>
      <w:r w:rsidR="009D4514">
        <w:rPr>
          <w:rFonts w:ascii="Arial" w:hAnsi="Arial" w:cs="Arial"/>
          <w:color w:val="000000"/>
          <w:szCs w:val="20"/>
        </w:rPr>
        <w:t xml:space="preserve"> indicator of better survival </w:t>
      </w:r>
      <w:r w:rsidR="00713DCA">
        <w:rPr>
          <w:rFonts w:ascii="Arial" w:hAnsi="Arial" w:cs="Arial"/>
          <w:noProof/>
          <w:color w:val="000000"/>
          <w:szCs w:val="20"/>
        </w:rPr>
        <w:t>[39]</w:t>
      </w:r>
      <w:r w:rsidR="009D4514" w:rsidRPr="00B7572E">
        <w:rPr>
          <w:rFonts w:ascii="Arial" w:hAnsi="Arial" w:cs="Arial"/>
          <w:color w:val="000000"/>
          <w:szCs w:val="20"/>
        </w:rPr>
        <w:t>.</w:t>
      </w:r>
      <w:r w:rsidR="009D4514">
        <w:rPr>
          <w:rFonts w:ascii="Arial" w:hAnsi="Arial" w:cs="Arial"/>
          <w:color w:val="000000"/>
          <w:szCs w:val="20"/>
        </w:rPr>
        <w:t xml:space="preserve"> </w:t>
      </w:r>
      <w:r w:rsidR="00F60690">
        <w:rPr>
          <w:rFonts w:ascii="Arial" w:hAnsi="Arial" w:cs="Arial"/>
          <w:color w:val="000000"/>
          <w:szCs w:val="20"/>
        </w:rPr>
        <w:t>Our results of better survival</w:t>
      </w:r>
      <w:r w:rsidR="00A57F70">
        <w:rPr>
          <w:rFonts w:ascii="Arial" w:hAnsi="Arial" w:cs="Arial"/>
          <w:color w:val="000000"/>
          <w:szCs w:val="20"/>
        </w:rPr>
        <w:t xml:space="preserve"> in patients with pathological downstaging,</w:t>
      </w:r>
      <w:r w:rsidR="00F60690">
        <w:rPr>
          <w:rFonts w:ascii="Arial" w:hAnsi="Arial" w:cs="Arial"/>
          <w:color w:val="000000"/>
          <w:szCs w:val="20"/>
        </w:rPr>
        <w:t xml:space="preserve"> are also</w:t>
      </w:r>
      <w:r w:rsidR="00A57F70">
        <w:rPr>
          <w:rFonts w:ascii="Arial" w:hAnsi="Arial" w:cs="Arial"/>
          <w:color w:val="000000"/>
          <w:szCs w:val="20"/>
        </w:rPr>
        <w:t xml:space="preserve"> in keeping with this conclusion. </w:t>
      </w:r>
      <w:proofErr w:type="gramStart"/>
      <w:r w:rsidR="008015BC">
        <w:rPr>
          <w:rFonts w:ascii="Arial" w:hAnsi="Arial" w:cs="Arial"/>
          <w:color w:val="000000"/>
          <w:szCs w:val="20"/>
        </w:rPr>
        <w:t>Additionally</w:t>
      </w:r>
      <w:proofErr w:type="gramEnd"/>
      <w:r w:rsidR="008015BC">
        <w:rPr>
          <w:rFonts w:ascii="Arial" w:hAnsi="Arial" w:cs="Arial"/>
          <w:color w:val="000000"/>
          <w:szCs w:val="20"/>
        </w:rPr>
        <w:t xml:space="preserve"> w</w:t>
      </w:r>
      <w:r>
        <w:rPr>
          <w:rFonts w:ascii="Arial" w:hAnsi="Arial" w:cs="Arial"/>
          <w:color w:val="000000"/>
          <w:szCs w:val="20"/>
        </w:rPr>
        <w:t xml:space="preserve">e </w:t>
      </w:r>
      <w:r w:rsidR="008015BC">
        <w:rPr>
          <w:rFonts w:ascii="Arial" w:hAnsi="Arial" w:cs="Arial"/>
          <w:color w:val="000000"/>
          <w:szCs w:val="20"/>
        </w:rPr>
        <w:t>found</w:t>
      </w:r>
      <w:r w:rsidR="00B506E2">
        <w:rPr>
          <w:rFonts w:ascii="Arial" w:hAnsi="Arial" w:cs="Arial"/>
          <w:color w:val="000000"/>
          <w:szCs w:val="20"/>
        </w:rPr>
        <w:t xml:space="preserve"> </w:t>
      </w:r>
      <w:r>
        <w:rPr>
          <w:rFonts w:ascii="Arial" w:hAnsi="Arial" w:cs="Arial"/>
          <w:color w:val="000000"/>
          <w:szCs w:val="20"/>
        </w:rPr>
        <w:t>no</w:t>
      </w:r>
      <w:r w:rsidR="009D4514">
        <w:rPr>
          <w:rFonts w:ascii="Arial" w:hAnsi="Arial" w:cs="Arial"/>
          <w:color w:val="000000"/>
          <w:szCs w:val="20"/>
        </w:rPr>
        <w:t xml:space="preserve"> significant difference in the survival </w:t>
      </w:r>
      <w:r w:rsidR="008015BC">
        <w:rPr>
          <w:rFonts w:ascii="Arial" w:hAnsi="Arial" w:cs="Arial"/>
          <w:color w:val="000000"/>
          <w:szCs w:val="20"/>
        </w:rPr>
        <w:t>of</w:t>
      </w:r>
      <w:r w:rsidR="009D4514">
        <w:rPr>
          <w:rFonts w:ascii="Arial" w:hAnsi="Arial" w:cs="Arial"/>
          <w:color w:val="000000"/>
          <w:szCs w:val="20"/>
        </w:rPr>
        <w:t xml:space="preserve"> patients who had </w:t>
      </w:r>
      <w:proofErr w:type="spellStart"/>
      <w:r w:rsidR="009D4514">
        <w:rPr>
          <w:rFonts w:ascii="Arial" w:hAnsi="Arial" w:cs="Arial"/>
          <w:color w:val="000000"/>
          <w:szCs w:val="20"/>
        </w:rPr>
        <w:t>pCR</w:t>
      </w:r>
      <w:proofErr w:type="spellEnd"/>
      <w:r w:rsidR="009D4514">
        <w:rPr>
          <w:rFonts w:ascii="Arial" w:hAnsi="Arial" w:cs="Arial"/>
          <w:color w:val="000000"/>
          <w:szCs w:val="20"/>
        </w:rPr>
        <w:t xml:space="preserve"> vs. patients with </w:t>
      </w:r>
      <w:proofErr w:type="spellStart"/>
      <w:r w:rsidR="009D4514">
        <w:rPr>
          <w:rFonts w:ascii="Arial" w:hAnsi="Arial" w:cs="Arial"/>
          <w:color w:val="000000"/>
          <w:szCs w:val="20"/>
        </w:rPr>
        <w:t>pTa</w:t>
      </w:r>
      <w:proofErr w:type="spellEnd"/>
      <w:r w:rsidR="009D4514">
        <w:rPr>
          <w:rFonts w:ascii="Arial" w:hAnsi="Arial" w:cs="Arial"/>
          <w:color w:val="000000"/>
          <w:szCs w:val="20"/>
        </w:rPr>
        <w:t>/Tis/T1, N0</w:t>
      </w:r>
      <w:r>
        <w:rPr>
          <w:rFonts w:ascii="Arial" w:hAnsi="Arial" w:cs="Arial"/>
          <w:color w:val="000000"/>
          <w:szCs w:val="20"/>
        </w:rPr>
        <w:t xml:space="preserve">, in keeping with </w:t>
      </w:r>
      <w:proofErr w:type="spellStart"/>
      <w:r w:rsidR="009D4514">
        <w:rPr>
          <w:rFonts w:ascii="Arial" w:hAnsi="Arial" w:cs="Arial"/>
          <w:color w:val="000000"/>
          <w:szCs w:val="20"/>
        </w:rPr>
        <w:t>Zargar</w:t>
      </w:r>
      <w:proofErr w:type="spellEnd"/>
      <w:r w:rsidR="009D4514">
        <w:rPr>
          <w:rFonts w:ascii="Arial" w:hAnsi="Arial" w:cs="Arial"/>
          <w:color w:val="000000"/>
          <w:szCs w:val="20"/>
        </w:rPr>
        <w:t xml:space="preserve"> et al </w:t>
      </w:r>
      <w:r>
        <w:rPr>
          <w:rFonts w:ascii="Arial" w:hAnsi="Arial" w:cs="Arial"/>
          <w:color w:val="000000"/>
          <w:szCs w:val="20"/>
        </w:rPr>
        <w:t xml:space="preserve">and </w:t>
      </w:r>
      <w:proofErr w:type="spellStart"/>
      <w:r w:rsidR="009D4514">
        <w:rPr>
          <w:rFonts w:ascii="Arial" w:hAnsi="Arial" w:cs="Arial"/>
          <w:color w:val="000000"/>
          <w:szCs w:val="20"/>
        </w:rPr>
        <w:t>Sonpavde</w:t>
      </w:r>
      <w:proofErr w:type="spellEnd"/>
      <w:r w:rsidR="006E1DA1">
        <w:rPr>
          <w:rFonts w:ascii="Arial" w:hAnsi="Arial" w:cs="Arial"/>
          <w:color w:val="000000"/>
          <w:szCs w:val="20"/>
        </w:rPr>
        <w:t xml:space="preserve"> et al</w:t>
      </w:r>
      <w:r w:rsidR="009D4514">
        <w:rPr>
          <w:rFonts w:ascii="Arial" w:hAnsi="Arial" w:cs="Arial"/>
          <w:color w:val="000000"/>
          <w:szCs w:val="20"/>
        </w:rPr>
        <w:t xml:space="preserve"> </w:t>
      </w:r>
      <w:r w:rsidR="00713DCA">
        <w:rPr>
          <w:rFonts w:ascii="Arial" w:hAnsi="Arial" w:cs="Arial"/>
          <w:noProof/>
          <w:color w:val="000000"/>
          <w:szCs w:val="20"/>
        </w:rPr>
        <w:t>[38, 40]</w:t>
      </w:r>
      <w:r w:rsidR="006E1DA1">
        <w:rPr>
          <w:rFonts w:ascii="Arial" w:hAnsi="Arial" w:cs="Arial"/>
          <w:color w:val="000000"/>
          <w:szCs w:val="20"/>
        </w:rPr>
        <w:t>.</w:t>
      </w:r>
      <w:r w:rsidR="00B55F29">
        <w:rPr>
          <w:rFonts w:ascii="Arial" w:hAnsi="Arial" w:cs="Arial"/>
          <w:color w:val="000000"/>
          <w:szCs w:val="20"/>
        </w:rPr>
        <w:t xml:space="preserve"> Four patients who did not have any pathological downstaging have not progressed and are alive and disease free (</w:t>
      </w:r>
      <w:r w:rsidR="00B55F29" w:rsidRPr="00550C74">
        <w:rPr>
          <w:rFonts w:ascii="Arial" w:hAnsi="Arial" w:cs="Arial"/>
          <w:b/>
          <w:color w:val="000000"/>
          <w:szCs w:val="20"/>
        </w:rPr>
        <w:t>Table 1</w:t>
      </w:r>
      <w:r w:rsidR="00B55F29">
        <w:rPr>
          <w:rFonts w:ascii="Arial" w:hAnsi="Arial" w:cs="Arial"/>
          <w:color w:val="000000"/>
          <w:szCs w:val="20"/>
        </w:rPr>
        <w:t xml:space="preserve">). This suggests disease heterogeneity and the importance of evaluating molecular biomarkers for predicting response to NAC </w:t>
      </w:r>
      <w:r w:rsidR="00EC5E94">
        <w:rPr>
          <w:rFonts w:ascii="Arial" w:hAnsi="Arial" w:cs="Arial"/>
          <w:noProof/>
          <w:color w:val="000000"/>
          <w:szCs w:val="20"/>
        </w:rPr>
        <w:t>[41, 42]</w:t>
      </w:r>
      <w:r w:rsidR="00B55F29">
        <w:rPr>
          <w:rFonts w:ascii="Arial" w:hAnsi="Arial" w:cs="Arial"/>
          <w:color w:val="000000"/>
          <w:szCs w:val="20"/>
        </w:rPr>
        <w:t>.</w:t>
      </w:r>
    </w:p>
    <w:p w14:paraId="4E9F84E1" w14:textId="77777777" w:rsidR="00A3509E" w:rsidRDefault="00A3509E" w:rsidP="00950503">
      <w:pPr>
        <w:spacing w:line="480" w:lineRule="auto"/>
        <w:ind w:firstLine="720"/>
        <w:jc w:val="both"/>
        <w:rPr>
          <w:rFonts w:ascii="Arial" w:hAnsi="Arial" w:cs="Arial"/>
          <w:szCs w:val="24"/>
        </w:rPr>
      </w:pPr>
      <w:r w:rsidRPr="00A3509E">
        <w:rPr>
          <w:rFonts w:ascii="Arial" w:eastAsia="SimSun" w:hAnsi="Arial" w:cs="Arial"/>
          <w:bCs/>
          <w:lang w:eastAsia="zh-CN"/>
        </w:rPr>
        <w:t xml:space="preserve">The rates of </w:t>
      </w:r>
      <w:proofErr w:type="spellStart"/>
      <w:r w:rsidRPr="00A3509E">
        <w:rPr>
          <w:rFonts w:ascii="Arial" w:eastAsia="SimSun" w:hAnsi="Arial" w:cs="Arial"/>
          <w:bCs/>
          <w:lang w:eastAsia="zh-CN"/>
        </w:rPr>
        <w:t>pCR</w:t>
      </w:r>
      <w:proofErr w:type="spellEnd"/>
      <w:r w:rsidRPr="00A3509E">
        <w:rPr>
          <w:rFonts w:ascii="Arial" w:eastAsia="SimSun" w:hAnsi="Arial" w:cs="Arial"/>
          <w:bCs/>
          <w:lang w:eastAsia="zh-CN"/>
        </w:rPr>
        <w:t xml:space="preserve"> after various agents is as listed in </w:t>
      </w:r>
      <w:r w:rsidR="00C6480F">
        <w:rPr>
          <w:rFonts w:ascii="Arial" w:hAnsi="Arial" w:cs="Arial"/>
          <w:b/>
          <w:szCs w:val="24"/>
        </w:rPr>
        <w:t>Table 3</w:t>
      </w:r>
      <w:r w:rsidR="00F01F32">
        <w:rPr>
          <w:rFonts w:ascii="Arial" w:hAnsi="Arial" w:cs="Arial"/>
          <w:b/>
          <w:szCs w:val="24"/>
        </w:rPr>
        <w:t xml:space="preserve"> </w:t>
      </w:r>
      <w:r w:rsidR="00EC5E94">
        <w:rPr>
          <w:rFonts w:ascii="Arial" w:hAnsi="Arial" w:cs="Arial"/>
          <w:b/>
          <w:noProof/>
          <w:szCs w:val="24"/>
        </w:rPr>
        <w:t>[6, 32, 38, 43, 44]</w:t>
      </w:r>
      <w:r>
        <w:rPr>
          <w:rFonts w:ascii="Arial" w:hAnsi="Arial" w:cs="Arial"/>
          <w:szCs w:val="24"/>
        </w:rPr>
        <w:t xml:space="preserve">. The </w:t>
      </w:r>
      <w:proofErr w:type="spellStart"/>
      <w:r>
        <w:rPr>
          <w:rFonts w:ascii="Arial" w:hAnsi="Arial" w:cs="Arial"/>
          <w:szCs w:val="24"/>
        </w:rPr>
        <w:t>pCR</w:t>
      </w:r>
      <w:proofErr w:type="spellEnd"/>
      <w:r>
        <w:rPr>
          <w:rFonts w:ascii="Arial" w:hAnsi="Arial" w:cs="Arial"/>
          <w:szCs w:val="24"/>
        </w:rPr>
        <w:t xml:space="preserve"> rates with GC chemotherapy are in the range of 23-26% </w:t>
      </w:r>
      <w:r w:rsidR="00713DCA">
        <w:rPr>
          <w:rFonts w:ascii="Arial" w:hAnsi="Arial" w:cs="Arial"/>
          <w:noProof/>
          <w:szCs w:val="24"/>
        </w:rPr>
        <w:t>[32, 38]</w:t>
      </w:r>
      <w:r>
        <w:rPr>
          <w:rFonts w:ascii="Arial" w:hAnsi="Arial" w:cs="Arial"/>
          <w:szCs w:val="24"/>
        </w:rPr>
        <w:t xml:space="preserve">. Our </w:t>
      </w:r>
      <w:r w:rsidR="009D4514">
        <w:rPr>
          <w:rFonts w:ascii="Arial" w:hAnsi="Arial" w:cs="Arial"/>
          <w:szCs w:val="24"/>
        </w:rPr>
        <w:t xml:space="preserve">study has shown a </w:t>
      </w:r>
      <w:proofErr w:type="spellStart"/>
      <w:r w:rsidR="009D4514">
        <w:rPr>
          <w:rFonts w:ascii="Arial" w:hAnsi="Arial" w:cs="Arial"/>
          <w:szCs w:val="24"/>
        </w:rPr>
        <w:t>pCR</w:t>
      </w:r>
      <w:proofErr w:type="spellEnd"/>
      <w:r w:rsidR="009D4514">
        <w:rPr>
          <w:rFonts w:ascii="Arial" w:hAnsi="Arial" w:cs="Arial"/>
          <w:szCs w:val="24"/>
        </w:rPr>
        <w:t xml:space="preserve"> rate of </w:t>
      </w:r>
      <w:r w:rsidR="00F7449D">
        <w:rPr>
          <w:rFonts w:ascii="Arial" w:hAnsi="Arial" w:cs="Arial"/>
          <w:szCs w:val="24"/>
        </w:rPr>
        <w:t>3</w:t>
      </w:r>
      <w:r w:rsidR="00DE6044">
        <w:rPr>
          <w:rFonts w:ascii="Arial" w:hAnsi="Arial" w:cs="Arial"/>
          <w:szCs w:val="24"/>
        </w:rPr>
        <w:t>4.6</w:t>
      </w:r>
      <w:r>
        <w:rPr>
          <w:rFonts w:ascii="Arial" w:hAnsi="Arial" w:cs="Arial"/>
          <w:szCs w:val="24"/>
        </w:rPr>
        <w:t xml:space="preserve">% which is better than </w:t>
      </w:r>
      <w:r w:rsidR="008015BC">
        <w:rPr>
          <w:rFonts w:ascii="Arial" w:hAnsi="Arial" w:cs="Arial"/>
          <w:szCs w:val="24"/>
        </w:rPr>
        <w:t>that</w:t>
      </w:r>
      <w:r>
        <w:rPr>
          <w:rFonts w:ascii="Arial" w:hAnsi="Arial" w:cs="Arial"/>
          <w:szCs w:val="24"/>
        </w:rPr>
        <w:t xml:space="preserve"> seen with </w:t>
      </w:r>
      <w:r w:rsidR="008015BC">
        <w:rPr>
          <w:rFonts w:ascii="Arial" w:hAnsi="Arial" w:cs="Arial"/>
          <w:szCs w:val="24"/>
        </w:rPr>
        <w:t xml:space="preserve">the </w:t>
      </w:r>
      <w:r>
        <w:rPr>
          <w:rFonts w:ascii="Arial" w:hAnsi="Arial" w:cs="Arial"/>
          <w:szCs w:val="24"/>
        </w:rPr>
        <w:t xml:space="preserve">GC regimen. This shows promise and requires further evaluation in a large </w:t>
      </w:r>
      <w:r w:rsidR="00F10223">
        <w:rPr>
          <w:rFonts w:ascii="Arial" w:hAnsi="Arial" w:cs="Arial"/>
          <w:szCs w:val="24"/>
        </w:rPr>
        <w:t xml:space="preserve">multicentre phase 2/ </w:t>
      </w:r>
      <w:r>
        <w:rPr>
          <w:rFonts w:ascii="Arial" w:hAnsi="Arial" w:cs="Arial"/>
          <w:szCs w:val="24"/>
        </w:rPr>
        <w:t>phase 3 study.</w:t>
      </w:r>
      <w:r w:rsidR="005D127D">
        <w:rPr>
          <w:rFonts w:ascii="Arial" w:hAnsi="Arial" w:cs="Arial"/>
          <w:szCs w:val="24"/>
        </w:rPr>
        <w:t xml:space="preserve"> </w:t>
      </w:r>
    </w:p>
    <w:p w14:paraId="58B99191" w14:textId="77777777" w:rsidR="00EA2247" w:rsidRDefault="00EA2247" w:rsidP="00950503">
      <w:pPr>
        <w:spacing w:line="480" w:lineRule="auto"/>
        <w:ind w:firstLine="720"/>
        <w:jc w:val="both"/>
        <w:rPr>
          <w:rFonts w:ascii="Arial" w:hAnsi="Arial" w:cs="Arial"/>
          <w:szCs w:val="24"/>
        </w:rPr>
      </w:pPr>
    </w:p>
    <w:p w14:paraId="62123BBE" w14:textId="77777777" w:rsidR="00EA2247" w:rsidRPr="00950503" w:rsidRDefault="00EA2247" w:rsidP="00950503">
      <w:pPr>
        <w:spacing w:line="480" w:lineRule="auto"/>
        <w:ind w:firstLine="720"/>
        <w:jc w:val="both"/>
        <w:rPr>
          <w:rFonts w:ascii="Arial" w:eastAsia="SimSun" w:hAnsi="Arial" w:cs="Arial"/>
          <w:bCs/>
          <w:color w:val="FF0000"/>
          <w:lang w:eastAsia="zh-CN"/>
        </w:rPr>
      </w:pPr>
    </w:p>
    <w:p w14:paraId="708AE095" w14:textId="77777777" w:rsidR="00A3509E" w:rsidRPr="00A3509E" w:rsidRDefault="00C6480F" w:rsidP="00A3509E">
      <w:pPr>
        <w:rPr>
          <w:rFonts w:ascii="Arial" w:hAnsi="Arial" w:cs="Arial"/>
          <w:szCs w:val="24"/>
        </w:rPr>
      </w:pPr>
      <w:r>
        <w:rPr>
          <w:rFonts w:ascii="Arial" w:hAnsi="Arial" w:cs="Arial"/>
          <w:b/>
          <w:sz w:val="20"/>
          <w:szCs w:val="24"/>
        </w:rPr>
        <w:t>Table 3</w:t>
      </w:r>
      <w:r w:rsidR="00A3509E" w:rsidRPr="00A3509E">
        <w:rPr>
          <w:rFonts w:ascii="Arial" w:hAnsi="Arial" w:cs="Arial"/>
          <w:b/>
          <w:sz w:val="20"/>
          <w:szCs w:val="24"/>
        </w:rPr>
        <w:t>:</w:t>
      </w:r>
      <w:r w:rsidR="00A3509E" w:rsidRPr="00A3509E">
        <w:rPr>
          <w:rFonts w:ascii="Arial" w:hAnsi="Arial" w:cs="Arial"/>
          <w:sz w:val="20"/>
          <w:szCs w:val="24"/>
        </w:rPr>
        <w:t xml:space="preserve"> Pathological complete response rates (</w:t>
      </w:r>
      <w:proofErr w:type="spellStart"/>
      <w:r w:rsidR="00A3509E" w:rsidRPr="00A3509E">
        <w:rPr>
          <w:rFonts w:ascii="Arial" w:hAnsi="Arial" w:cs="Arial"/>
          <w:sz w:val="20"/>
          <w:szCs w:val="24"/>
        </w:rPr>
        <w:t>pCR</w:t>
      </w:r>
      <w:proofErr w:type="spellEnd"/>
      <w:r w:rsidR="00A3509E" w:rsidRPr="00A3509E">
        <w:rPr>
          <w:rFonts w:ascii="Arial" w:hAnsi="Arial" w:cs="Arial"/>
          <w:sz w:val="20"/>
          <w:szCs w:val="24"/>
        </w:rPr>
        <w:t>) after Neoadjuvant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gridCol w:w="2189"/>
      </w:tblGrid>
      <w:tr w:rsidR="00A3509E" w:rsidRPr="00481D63" w14:paraId="5DB7200D" w14:textId="77777777" w:rsidTr="00594907">
        <w:trPr>
          <w:jc w:val="center"/>
        </w:trPr>
        <w:tc>
          <w:tcPr>
            <w:tcW w:w="3816" w:type="pct"/>
            <w:shd w:val="clear" w:color="auto" w:fill="auto"/>
          </w:tcPr>
          <w:p w14:paraId="1AD697F0" w14:textId="77777777" w:rsidR="00A3509E" w:rsidRPr="00481D63" w:rsidRDefault="00A3509E" w:rsidP="00594907">
            <w:pPr>
              <w:spacing w:after="0" w:line="240" w:lineRule="auto"/>
              <w:contextualSpacing/>
              <w:jc w:val="center"/>
              <w:rPr>
                <w:rFonts w:ascii="Arial" w:hAnsi="Arial" w:cs="Arial"/>
                <w:b/>
                <w:sz w:val="20"/>
                <w:szCs w:val="24"/>
              </w:rPr>
            </w:pPr>
            <w:r w:rsidRPr="00481D63">
              <w:rPr>
                <w:rFonts w:ascii="Arial" w:hAnsi="Arial" w:cs="Arial"/>
                <w:b/>
                <w:sz w:val="20"/>
                <w:szCs w:val="24"/>
              </w:rPr>
              <w:t>Agent/ trial</w:t>
            </w:r>
          </w:p>
        </w:tc>
        <w:tc>
          <w:tcPr>
            <w:tcW w:w="1184" w:type="pct"/>
            <w:shd w:val="clear" w:color="auto" w:fill="auto"/>
          </w:tcPr>
          <w:p w14:paraId="358F8391" w14:textId="77777777" w:rsidR="00A3509E" w:rsidRPr="00481D63" w:rsidRDefault="00A3509E" w:rsidP="00594907">
            <w:pPr>
              <w:spacing w:after="0" w:line="240" w:lineRule="auto"/>
              <w:contextualSpacing/>
              <w:jc w:val="center"/>
              <w:rPr>
                <w:rFonts w:ascii="Arial" w:hAnsi="Arial" w:cs="Arial"/>
                <w:b/>
                <w:sz w:val="20"/>
                <w:szCs w:val="24"/>
              </w:rPr>
            </w:pPr>
            <w:proofErr w:type="spellStart"/>
            <w:r w:rsidRPr="00481D63">
              <w:rPr>
                <w:rFonts w:ascii="Arial" w:hAnsi="Arial" w:cs="Arial"/>
                <w:b/>
                <w:sz w:val="20"/>
                <w:szCs w:val="24"/>
              </w:rPr>
              <w:t>pCR</w:t>
            </w:r>
            <w:proofErr w:type="spellEnd"/>
            <w:r w:rsidRPr="00481D63">
              <w:rPr>
                <w:rFonts w:ascii="Arial" w:hAnsi="Arial" w:cs="Arial"/>
                <w:b/>
                <w:sz w:val="20"/>
                <w:szCs w:val="24"/>
              </w:rPr>
              <w:t xml:space="preserve"> rate</w:t>
            </w:r>
          </w:p>
        </w:tc>
      </w:tr>
      <w:tr w:rsidR="00A3509E" w:rsidRPr="00481D63" w14:paraId="59F04627" w14:textId="77777777" w:rsidTr="00594907">
        <w:trPr>
          <w:jc w:val="center"/>
        </w:trPr>
        <w:tc>
          <w:tcPr>
            <w:tcW w:w="3816" w:type="pct"/>
            <w:shd w:val="clear" w:color="auto" w:fill="auto"/>
          </w:tcPr>
          <w:p w14:paraId="55556C69" w14:textId="77777777" w:rsidR="00A3509E" w:rsidRPr="00481D63" w:rsidRDefault="00A3509E" w:rsidP="00713DCA">
            <w:pPr>
              <w:spacing w:after="0" w:line="240" w:lineRule="auto"/>
              <w:contextualSpacing/>
              <w:jc w:val="center"/>
              <w:rPr>
                <w:rFonts w:ascii="Arial" w:hAnsi="Arial" w:cs="Arial"/>
                <w:sz w:val="20"/>
                <w:szCs w:val="24"/>
              </w:rPr>
            </w:pPr>
            <w:r w:rsidRPr="00481D63">
              <w:rPr>
                <w:rFonts w:ascii="Arial" w:hAnsi="Arial" w:cs="Arial"/>
                <w:sz w:val="20"/>
                <w:szCs w:val="24"/>
              </w:rPr>
              <w:t>TURBT (resection of bladder tumour)</w:t>
            </w:r>
            <w:r w:rsidR="00EE5DBC" w:rsidRPr="00481D63">
              <w:rPr>
                <w:rFonts w:ascii="Arial" w:hAnsi="Arial" w:cs="Arial"/>
                <w:sz w:val="20"/>
                <w:szCs w:val="24"/>
              </w:rPr>
              <w:t xml:space="preserve"> </w:t>
            </w:r>
            <w:r w:rsidR="00713DCA">
              <w:rPr>
                <w:rFonts w:ascii="Arial" w:hAnsi="Arial" w:cs="Arial"/>
                <w:noProof/>
                <w:sz w:val="20"/>
                <w:szCs w:val="24"/>
              </w:rPr>
              <w:t>[32]</w:t>
            </w:r>
          </w:p>
        </w:tc>
        <w:tc>
          <w:tcPr>
            <w:tcW w:w="1184" w:type="pct"/>
            <w:shd w:val="clear" w:color="auto" w:fill="auto"/>
          </w:tcPr>
          <w:p w14:paraId="492CE23E"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12-15%</w:t>
            </w:r>
          </w:p>
        </w:tc>
      </w:tr>
      <w:tr w:rsidR="00A3509E" w:rsidRPr="00481D63" w14:paraId="623EB094" w14:textId="77777777" w:rsidTr="00594907">
        <w:trPr>
          <w:trHeight w:val="266"/>
          <w:jc w:val="center"/>
        </w:trPr>
        <w:tc>
          <w:tcPr>
            <w:tcW w:w="3816" w:type="pct"/>
            <w:shd w:val="clear" w:color="auto" w:fill="auto"/>
          </w:tcPr>
          <w:p w14:paraId="71C03A01" w14:textId="77777777" w:rsidR="00A3509E" w:rsidRPr="00481D63" w:rsidRDefault="00A3509E" w:rsidP="00594907">
            <w:pPr>
              <w:spacing w:after="0" w:line="240" w:lineRule="auto"/>
              <w:contextualSpacing/>
              <w:jc w:val="center"/>
              <w:rPr>
                <w:rFonts w:ascii="Arial" w:hAnsi="Arial" w:cs="Arial"/>
                <w:b/>
                <w:sz w:val="20"/>
                <w:szCs w:val="24"/>
              </w:rPr>
            </w:pPr>
            <w:r w:rsidRPr="00481D63">
              <w:rPr>
                <w:rFonts w:ascii="Arial" w:hAnsi="Arial" w:cs="Arial"/>
                <w:b/>
                <w:sz w:val="20"/>
                <w:szCs w:val="24"/>
              </w:rPr>
              <w:t>Cisplatin based chemo</w:t>
            </w:r>
          </w:p>
        </w:tc>
        <w:tc>
          <w:tcPr>
            <w:tcW w:w="1184" w:type="pct"/>
            <w:shd w:val="clear" w:color="auto" w:fill="auto"/>
          </w:tcPr>
          <w:p w14:paraId="767E3185" w14:textId="77777777" w:rsidR="00A3509E" w:rsidRPr="00481D63" w:rsidRDefault="00A3509E" w:rsidP="00594907">
            <w:pPr>
              <w:spacing w:after="0" w:line="240" w:lineRule="auto"/>
              <w:contextualSpacing/>
              <w:jc w:val="center"/>
              <w:rPr>
                <w:rFonts w:ascii="Arial" w:hAnsi="Arial" w:cs="Arial"/>
                <w:sz w:val="20"/>
                <w:szCs w:val="24"/>
              </w:rPr>
            </w:pPr>
          </w:p>
        </w:tc>
      </w:tr>
      <w:tr w:rsidR="00A3509E" w:rsidRPr="00481D63" w14:paraId="1B46797D" w14:textId="77777777" w:rsidTr="00594907">
        <w:trPr>
          <w:trHeight w:val="225"/>
          <w:jc w:val="center"/>
        </w:trPr>
        <w:tc>
          <w:tcPr>
            <w:tcW w:w="3816" w:type="pct"/>
            <w:shd w:val="clear" w:color="auto" w:fill="auto"/>
          </w:tcPr>
          <w:p w14:paraId="1A0901F3" w14:textId="77777777" w:rsidR="00A3509E" w:rsidRPr="00481D63" w:rsidRDefault="00A3509E" w:rsidP="00EE5DBC">
            <w:pPr>
              <w:spacing w:after="0" w:line="240" w:lineRule="auto"/>
              <w:contextualSpacing/>
              <w:jc w:val="center"/>
              <w:rPr>
                <w:rFonts w:ascii="Arial" w:hAnsi="Arial" w:cs="Arial"/>
                <w:sz w:val="20"/>
                <w:szCs w:val="24"/>
              </w:rPr>
            </w:pPr>
            <w:r w:rsidRPr="00481D63">
              <w:rPr>
                <w:rFonts w:ascii="Arial" w:hAnsi="Arial" w:cs="Arial"/>
                <w:sz w:val="20"/>
                <w:szCs w:val="24"/>
              </w:rPr>
              <w:t xml:space="preserve">MVAC trial </w:t>
            </w:r>
            <w:r w:rsidR="00EE5DBC" w:rsidRPr="00481D63">
              <w:rPr>
                <w:rFonts w:ascii="Arial" w:hAnsi="Arial" w:cs="Arial"/>
                <w:noProof/>
                <w:sz w:val="20"/>
                <w:szCs w:val="24"/>
              </w:rPr>
              <w:t>[6]</w:t>
            </w:r>
          </w:p>
        </w:tc>
        <w:tc>
          <w:tcPr>
            <w:tcW w:w="1184" w:type="pct"/>
            <w:shd w:val="clear" w:color="auto" w:fill="auto"/>
          </w:tcPr>
          <w:p w14:paraId="669C7522"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38%</w:t>
            </w:r>
          </w:p>
        </w:tc>
      </w:tr>
      <w:tr w:rsidR="00A3509E" w:rsidRPr="00481D63" w14:paraId="3AF914AA" w14:textId="77777777" w:rsidTr="00EE5DBC">
        <w:trPr>
          <w:trHeight w:val="319"/>
          <w:jc w:val="center"/>
        </w:trPr>
        <w:tc>
          <w:tcPr>
            <w:tcW w:w="3816" w:type="pct"/>
            <w:shd w:val="clear" w:color="auto" w:fill="auto"/>
          </w:tcPr>
          <w:p w14:paraId="79AF659B" w14:textId="77777777" w:rsidR="00A3509E" w:rsidRPr="00481D63" w:rsidRDefault="00A3509E" w:rsidP="00713DCA">
            <w:pPr>
              <w:spacing w:after="0" w:line="240" w:lineRule="auto"/>
              <w:contextualSpacing/>
              <w:jc w:val="center"/>
              <w:rPr>
                <w:rFonts w:ascii="Arial" w:hAnsi="Arial" w:cs="Arial"/>
                <w:sz w:val="20"/>
                <w:szCs w:val="24"/>
              </w:rPr>
            </w:pPr>
            <w:r w:rsidRPr="00481D63">
              <w:rPr>
                <w:rFonts w:ascii="Arial" w:hAnsi="Arial" w:cs="Arial"/>
                <w:sz w:val="20"/>
                <w:szCs w:val="24"/>
              </w:rPr>
              <w:t>Pooled analysis of Gemcitabine/Cisplati</w:t>
            </w:r>
            <w:r w:rsidR="00EE5DBC" w:rsidRPr="00481D63">
              <w:rPr>
                <w:rFonts w:ascii="Arial" w:hAnsi="Arial" w:cs="Arial"/>
                <w:sz w:val="20"/>
                <w:szCs w:val="24"/>
              </w:rPr>
              <w:t xml:space="preserve">n </w:t>
            </w:r>
            <w:r w:rsidR="00713DCA">
              <w:rPr>
                <w:rFonts w:ascii="Arial" w:hAnsi="Arial" w:cs="Arial"/>
                <w:noProof/>
                <w:sz w:val="20"/>
                <w:szCs w:val="24"/>
              </w:rPr>
              <w:t>[32]</w:t>
            </w:r>
          </w:p>
        </w:tc>
        <w:tc>
          <w:tcPr>
            <w:tcW w:w="1184" w:type="pct"/>
            <w:shd w:val="clear" w:color="auto" w:fill="auto"/>
          </w:tcPr>
          <w:p w14:paraId="58D9EA29"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25.6%</w:t>
            </w:r>
          </w:p>
        </w:tc>
      </w:tr>
      <w:tr w:rsidR="00A3509E" w:rsidRPr="00481D63" w14:paraId="5DDC7535" w14:textId="77777777" w:rsidTr="00594907">
        <w:trPr>
          <w:trHeight w:val="225"/>
          <w:jc w:val="center"/>
        </w:trPr>
        <w:tc>
          <w:tcPr>
            <w:tcW w:w="3816" w:type="pct"/>
            <w:shd w:val="clear" w:color="auto" w:fill="auto"/>
          </w:tcPr>
          <w:p w14:paraId="009A9B92" w14:textId="77777777" w:rsidR="00A3509E" w:rsidRPr="00481D63" w:rsidRDefault="00A3509E" w:rsidP="00713DCA">
            <w:pPr>
              <w:spacing w:after="0" w:line="240" w:lineRule="auto"/>
              <w:contextualSpacing/>
              <w:jc w:val="center"/>
              <w:rPr>
                <w:rFonts w:ascii="Arial" w:hAnsi="Arial" w:cs="Arial"/>
                <w:sz w:val="20"/>
                <w:szCs w:val="24"/>
              </w:rPr>
            </w:pPr>
            <w:r w:rsidRPr="00481D63">
              <w:rPr>
                <w:rFonts w:ascii="Arial" w:hAnsi="Arial" w:cs="Arial"/>
                <w:sz w:val="20"/>
                <w:szCs w:val="24"/>
              </w:rPr>
              <w:t xml:space="preserve">Real world data </w:t>
            </w:r>
            <w:r w:rsidR="00713DCA">
              <w:rPr>
                <w:rFonts w:ascii="Arial" w:hAnsi="Arial" w:cs="Arial"/>
                <w:noProof/>
                <w:sz w:val="20"/>
                <w:szCs w:val="24"/>
              </w:rPr>
              <w:t>[38]</w:t>
            </w:r>
          </w:p>
        </w:tc>
        <w:tc>
          <w:tcPr>
            <w:tcW w:w="1184" w:type="pct"/>
            <w:shd w:val="clear" w:color="auto" w:fill="auto"/>
          </w:tcPr>
          <w:p w14:paraId="464EF366"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23%</w:t>
            </w:r>
          </w:p>
        </w:tc>
      </w:tr>
      <w:tr w:rsidR="00A3509E" w:rsidRPr="00481D63" w14:paraId="787FBD44" w14:textId="77777777" w:rsidTr="00594907">
        <w:trPr>
          <w:jc w:val="center"/>
        </w:trPr>
        <w:tc>
          <w:tcPr>
            <w:tcW w:w="3816" w:type="pct"/>
            <w:shd w:val="clear" w:color="auto" w:fill="auto"/>
          </w:tcPr>
          <w:p w14:paraId="6D895FCC"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Bristol bladder trial (</w:t>
            </w:r>
            <w:proofErr w:type="spellStart"/>
            <w:r w:rsidRPr="00481D63">
              <w:rPr>
                <w:rFonts w:ascii="Arial" w:hAnsi="Arial" w:cs="Arial"/>
                <w:sz w:val="20"/>
                <w:szCs w:val="24"/>
              </w:rPr>
              <w:t>Cabazitaxel</w:t>
            </w:r>
            <w:proofErr w:type="spellEnd"/>
            <w:r w:rsidRPr="00481D63">
              <w:rPr>
                <w:rFonts w:ascii="Arial" w:hAnsi="Arial" w:cs="Arial"/>
                <w:sz w:val="20"/>
                <w:szCs w:val="24"/>
              </w:rPr>
              <w:t>/Cisplatin)</w:t>
            </w:r>
          </w:p>
          <w:p w14:paraId="4A2D0461" w14:textId="77777777" w:rsidR="00A3509E" w:rsidRPr="00481D63" w:rsidRDefault="008162F4" w:rsidP="008162F4">
            <w:pPr>
              <w:spacing w:after="0" w:line="240" w:lineRule="auto"/>
              <w:contextualSpacing/>
              <w:jc w:val="center"/>
              <w:rPr>
                <w:rFonts w:ascii="Arial" w:hAnsi="Arial" w:cs="Arial"/>
                <w:sz w:val="20"/>
                <w:szCs w:val="24"/>
              </w:rPr>
            </w:pPr>
            <w:r w:rsidRPr="00481D63">
              <w:rPr>
                <w:rFonts w:ascii="Arial" w:hAnsi="Arial" w:cs="Arial"/>
                <w:sz w:val="20"/>
                <w:szCs w:val="24"/>
              </w:rPr>
              <w:t>(</w:t>
            </w:r>
            <w:r w:rsidRPr="00481D63">
              <w:rPr>
                <w:rFonts w:ascii="Arial" w:hAnsi="Arial" w:cs="Arial"/>
                <w:b/>
                <w:sz w:val="20"/>
                <w:szCs w:val="24"/>
              </w:rPr>
              <w:t>This study</w:t>
            </w:r>
            <w:r w:rsidR="00A3509E" w:rsidRPr="00481D63">
              <w:rPr>
                <w:rFonts w:ascii="Arial" w:hAnsi="Arial" w:cs="Arial"/>
                <w:sz w:val="20"/>
                <w:szCs w:val="24"/>
              </w:rPr>
              <w:t>)</w:t>
            </w:r>
          </w:p>
        </w:tc>
        <w:tc>
          <w:tcPr>
            <w:tcW w:w="1184" w:type="pct"/>
            <w:shd w:val="clear" w:color="auto" w:fill="auto"/>
          </w:tcPr>
          <w:p w14:paraId="3C0DCD0A" w14:textId="77777777" w:rsidR="00A3509E" w:rsidRPr="00481D63" w:rsidRDefault="00DE6044" w:rsidP="00594907">
            <w:pPr>
              <w:spacing w:after="0" w:line="240" w:lineRule="auto"/>
              <w:contextualSpacing/>
              <w:jc w:val="center"/>
              <w:rPr>
                <w:rFonts w:ascii="Arial" w:hAnsi="Arial" w:cs="Arial"/>
                <w:sz w:val="20"/>
                <w:szCs w:val="24"/>
              </w:rPr>
            </w:pPr>
            <w:r>
              <w:rPr>
                <w:rFonts w:ascii="Arial" w:hAnsi="Arial" w:cs="Arial"/>
                <w:sz w:val="20"/>
                <w:szCs w:val="24"/>
              </w:rPr>
              <w:t>34.6</w:t>
            </w:r>
            <w:r w:rsidR="00A3509E" w:rsidRPr="00481D63">
              <w:rPr>
                <w:rFonts w:ascii="Arial" w:hAnsi="Arial" w:cs="Arial"/>
                <w:sz w:val="20"/>
                <w:szCs w:val="24"/>
              </w:rPr>
              <w:t>%</w:t>
            </w:r>
          </w:p>
        </w:tc>
      </w:tr>
      <w:tr w:rsidR="00A3509E" w:rsidRPr="00481D63" w14:paraId="0D7C1674" w14:textId="77777777" w:rsidTr="00594907">
        <w:trPr>
          <w:jc w:val="center"/>
        </w:trPr>
        <w:tc>
          <w:tcPr>
            <w:tcW w:w="3816" w:type="pct"/>
            <w:shd w:val="clear" w:color="auto" w:fill="auto"/>
          </w:tcPr>
          <w:p w14:paraId="578CC23A" w14:textId="77777777" w:rsidR="00A3509E" w:rsidRPr="00481D63" w:rsidRDefault="00A3509E" w:rsidP="00594907">
            <w:pPr>
              <w:spacing w:after="0" w:line="240" w:lineRule="auto"/>
              <w:contextualSpacing/>
              <w:jc w:val="center"/>
              <w:rPr>
                <w:rFonts w:ascii="Arial" w:hAnsi="Arial" w:cs="Arial"/>
                <w:b/>
                <w:sz w:val="20"/>
                <w:szCs w:val="24"/>
              </w:rPr>
            </w:pPr>
            <w:r w:rsidRPr="00481D63">
              <w:rPr>
                <w:rFonts w:ascii="Arial" w:hAnsi="Arial" w:cs="Arial"/>
                <w:b/>
                <w:sz w:val="20"/>
                <w:szCs w:val="24"/>
              </w:rPr>
              <w:t>Immunotherapy</w:t>
            </w:r>
          </w:p>
        </w:tc>
        <w:tc>
          <w:tcPr>
            <w:tcW w:w="1184" w:type="pct"/>
            <w:shd w:val="clear" w:color="auto" w:fill="auto"/>
          </w:tcPr>
          <w:p w14:paraId="4E0413E5" w14:textId="77777777" w:rsidR="00A3509E" w:rsidRPr="00481D63" w:rsidRDefault="00A3509E" w:rsidP="00594907">
            <w:pPr>
              <w:spacing w:after="0" w:line="240" w:lineRule="auto"/>
              <w:contextualSpacing/>
              <w:jc w:val="center"/>
              <w:rPr>
                <w:rFonts w:ascii="Arial" w:hAnsi="Arial" w:cs="Arial"/>
                <w:sz w:val="20"/>
                <w:szCs w:val="24"/>
              </w:rPr>
            </w:pPr>
          </w:p>
        </w:tc>
      </w:tr>
      <w:tr w:rsidR="00A3509E" w:rsidRPr="00481D63" w14:paraId="19F1E201" w14:textId="77777777" w:rsidTr="00594907">
        <w:trPr>
          <w:jc w:val="center"/>
        </w:trPr>
        <w:tc>
          <w:tcPr>
            <w:tcW w:w="3816" w:type="pct"/>
            <w:shd w:val="clear" w:color="auto" w:fill="auto"/>
          </w:tcPr>
          <w:p w14:paraId="6C7626F2" w14:textId="77777777" w:rsidR="00A3509E" w:rsidRPr="00481D63" w:rsidRDefault="00A3509E" w:rsidP="00EC5E94">
            <w:pPr>
              <w:spacing w:after="0" w:line="240" w:lineRule="auto"/>
              <w:contextualSpacing/>
              <w:jc w:val="center"/>
              <w:rPr>
                <w:rFonts w:ascii="Arial" w:hAnsi="Arial" w:cs="Arial"/>
                <w:sz w:val="20"/>
                <w:szCs w:val="24"/>
              </w:rPr>
            </w:pPr>
            <w:r w:rsidRPr="00481D63">
              <w:rPr>
                <w:rFonts w:ascii="Arial" w:hAnsi="Arial" w:cs="Arial"/>
                <w:sz w:val="20"/>
                <w:szCs w:val="24"/>
              </w:rPr>
              <w:t>ABACUS trial (n=68); Atezolizumab</w:t>
            </w:r>
            <w:r w:rsidR="00EE5DBC" w:rsidRPr="00481D63">
              <w:rPr>
                <w:rFonts w:ascii="Arial" w:hAnsi="Arial" w:cs="Arial"/>
                <w:sz w:val="20"/>
                <w:szCs w:val="24"/>
              </w:rPr>
              <w:t xml:space="preserve"> </w:t>
            </w:r>
            <w:r w:rsidR="00EC5E94">
              <w:rPr>
                <w:rFonts w:ascii="Arial" w:hAnsi="Arial" w:cs="Arial"/>
                <w:noProof/>
                <w:sz w:val="20"/>
                <w:szCs w:val="24"/>
              </w:rPr>
              <w:t>[44]</w:t>
            </w:r>
          </w:p>
        </w:tc>
        <w:tc>
          <w:tcPr>
            <w:tcW w:w="1184" w:type="pct"/>
            <w:shd w:val="clear" w:color="auto" w:fill="auto"/>
          </w:tcPr>
          <w:p w14:paraId="0BC104B5"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29% - all comers</w:t>
            </w:r>
          </w:p>
          <w:p w14:paraId="06DE51B9"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40% in PDL1 + pts</w:t>
            </w:r>
          </w:p>
        </w:tc>
      </w:tr>
      <w:tr w:rsidR="00A3509E" w:rsidRPr="00481D63" w14:paraId="7279D186" w14:textId="77777777" w:rsidTr="00594907">
        <w:trPr>
          <w:jc w:val="center"/>
        </w:trPr>
        <w:tc>
          <w:tcPr>
            <w:tcW w:w="3816" w:type="pct"/>
            <w:shd w:val="clear" w:color="auto" w:fill="auto"/>
          </w:tcPr>
          <w:p w14:paraId="6F77F1E3" w14:textId="77777777" w:rsidR="00A3509E" w:rsidRPr="00481D63" w:rsidRDefault="00A3509E" w:rsidP="00EC5E94">
            <w:pPr>
              <w:spacing w:after="0" w:line="240" w:lineRule="auto"/>
              <w:contextualSpacing/>
              <w:jc w:val="center"/>
              <w:rPr>
                <w:rFonts w:ascii="Arial" w:hAnsi="Arial" w:cs="Arial"/>
                <w:sz w:val="20"/>
                <w:szCs w:val="24"/>
              </w:rPr>
            </w:pPr>
            <w:r w:rsidRPr="00481D63">
              <w:rPr>
                <w:rFonts w:ascii="Arial" w:hAnsi="Arial" w:cs="Arial"/>
                <w:sz w:val="20"/>
                <w:szCs w:val="24"/>
              </w:rPr>
              <w:t>PURE-01 trial (n=43); Pembrolizumab</w:t>
            </w:r>
            <w:r w:rsidR="00EE5DBC" w:rsidRPr="00481D63">
              <w:rPr>
                <w:rFonts w:ascii="Arial" w:hAnsi="Arial" w:cs="Arial"/>
                <w:sz w:val="20"/>
                <w:szCs w:val="24"/>
              </w:rPr>
              <w:t xml:space="preserve"> </w:t>
            </w:r>
            <w:r w:rsidR="00EC5E94">
              <w:rPr>
                <w:rFonts w:ascii="Arial" w:hAnsi="Arial" w:cs="Arial"/>
                <w:noProof/>
                <w:sz w:val="20"/>
                <w:szCs w:val="24"/>
              </w:rPr>
              <w:t>[43]</w:t>
            </w:r>
          </w:p>
        </w:tc>
        <w:tc>
          <w:tcPr>
            <w:tcW w:w="1184" w:type="pct"/>
            <w:shd w:val="clear" w:color="auto" w:fill="auto"/>
          </w:tcPr>
          <w:p w14:paraId="67879423"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39.5% - all comers</w:t>
            </w:r>
          </w:p>
          <w:p w14:paraId="574AFA86" w14:textId="77777777" w:rsidR="00A3509E" w:rsidRPr="00481D63" w:rsidRDefault="00A3509E" w:rsidP="00594907">
            <w:pPr>
              <w:spacing w:after="0" w:line="240" w:lineRule="auto"/>
              <w:contextualSpacing/>
              <w:jc w:val="center"/>
              <w:rPr>
                <w:rFonts w:ascii="Arial" w:hAnsi="Arial" w:cs="Arial"/>
                <w:sz w:val="20"/>
                <w:szCs w:val="24"/>
              </w:rPr>
            </w:pPr>
            <w:r w:rsidRPr="00481D63">
              <w:rPr>
                <w:rFonts w:ascii="Arial" w:hAnsi="Arial" w:cs="Arial"/>
                <w:sz w:val="20"/>
                <w:szCs w:val="24"/>
              </w:rPr>
              <w:t>50% in PDL1 + pts</w:t>
            </w:r>
          </w:p>
        </w:tc>
      </w:tr>
    </w:tbl>
    <w:p w14:paraId="466802A2" w14:textId="77777777" w:rsidR="00A3509E" w:rsidRPr="00A3509E" w:rsidRDefault="00A3509E" w:rsidP="002E6F62">
      <w:pPr>
        <w:spacing w:before="120" w:after="120" w:line="240" w:lineRule="auto"/>
        <w:jc w:val="both"/>
        <w:rPr>
          <w:rFonts w:ascii="Arial" w:hAnsi="Arial" w:cs="Arial"/>
          <w:szCs w:val="24"/>
        </w:rPr>
      </w:pPr>
    </w:p>
    <w:p w14:paraId="1F39CB8F" w14:textId="77777777" w:rsidR="00FA656F" w:rsidRDefault="00950503" w:rsidP="00FA656F">
      <w:pPr>
        <w:spacing w:line="480" w:lineRule="auto"/>
        <w:ind w:firstLine="720"/>
        <w:jc w:val="both"/>
        <w:rPr>
          <w:rFonts w:ascii="Arial" w:eastAsia="SimSun" w:hAnsi="Arial" w:cs="Arial"/>
          <w:bCs/>
          <w:lang w:eastAsia="zh-CN"/>
        </w:rPr>
      </w:pPr>
      <w:r w:rsidRPr="00FA656F">
        <w:rPr>
          <w:rFonts w:ascii="Arial" w:hAnsi="Arial" w:cs="Arial"/>
          <w:bCs/>
          <w:lang w:val="en-US"/>
        </w:rPr>
        <w:t>However, t</w:t>
      </w:r>
      <w:r w:rsidR="00766E54" w:rsidRPr="00FA656F">
        <w:rPr>
          <w:rFonts w:ascii="Arial" w:hAnsi="Arial" w:cs="Arial"/>
        </w:rPr>
        <w:t xml:space="preserve">here are a proportion of patients who are ineligible for </w:t>
      </w:r>
      <w:proofErr w:type="gramStart"/>
      <w:r w:rsidR="00766E54" w:rsidRPr="00FA656F">
        <w:rPr>
          <w:rFonts w:ascii="Arial" w:hAnsi="Arial" w:cs="Arial"/>
        </w:rPr>
        <w:t>platinum based</w:t>
      </w:r>
      <w:proofErr w:type="gramEnd"/>
      <w:r w:rsidR="00766E54" w:rsidRPr="00FA656F">
        <w:rPr>
          <w:rFonts w:ascii="Arial" w:hAnsi="Arial" w:cs="Arial"/>
        </w:rPr>
        <w:t xml:space="preserve"> chemotherapy. </w:t>
      </w:r>
      <w:r w:rsidRPr="00FA656F">
        <w:rPr>
          <w:rFonts w:ascii="Arial" w:hAnsi="Arial" w:cs="Arial"/>
        </w:rPr>
        <w:t xml:space="preserve">There have been no further improvements in the standard neo-adjuvant strategies over the last 2 decades. This provided the impetus to explore other agents such as immunotherapy. </w:t>
      </w:r>
      <w:r w:rsidRPr="00FA656F">
        <w:rPr>
          <w:rFonts w:ascii="Arial" w:hAnsi="Arial" w:cs="Arial"/>
          <w:szCs w:val="24"/>
          <w:lang w:val="en-US"/>
        </w:rPr>
        <w:t xml:space="preserve">To date, immunotherapy </w:t>
      </w:r>
      <w:r w:rsidR="00B07054">
        <w:rPr>
          <w:rFonts w:ascii="Arial" w:hAnsi="Arial" w:cs="Arial"/>
          <w:szCs w:val="24"/>
          <w:lang w:val="en-US"/>
        </w:rPr>
        <w:t xml:space="preserve">outside of trials </w:t>
      </w:r>
      <w:r w:rsidRPr="00FA656F">
        <w:rPr>
          <w:rFonts w:ascii="Arial" w:hAnsi="Arial" w:cs="Arial"/>
          <w:szCs w:val="24"/>
          <w:lang w:val="en-US"/>
        </w:rPr>
        <w:t>has only been used to treat metastatic bladder cancer.</w:t>
      </w:r>
      <w:r w:rsidRPr="00FA656F">
        <w:rPr>
          <w:rFonts w:ascii="Arial" w:eastAsia="SimSun" w:hAnsi="Arial" w:cs="Arial"/>
          <w:bCs/>
          <w:lang w:eastAsia="zh-CN"/>
        </w:rPr>
        <w:t xml:space="preserve"> The introduction of immunotherapy has resulted in a paradigm shift in the therapeutic landscape of urothelial carcinoma (UC). Several anti–programmed cell death (PD)-1/ligand- 1 (PD-L1) agents have been approved for locally advanced or metastatic UC both in the post-platinum setting and as first line treatments in PDL1 enriched population</w:t>
      </w:r>
      <w:r w:rsidR="00EE07F8">
        <w:rPr>
          <w:rFonts w:ascii="Arial" w:eastAsia="SimSun" w:hAnsi="Arial" w:cs="Arial"/>
          <w:bCs/>
          <w:lang w:eastAsia="zh-CN"/>
        </w:rPr>
        <w:t xml:space="preserve"> </w:t>
      </w:r>
      <w:r w:rsidR="00EC5E94">
        <w:rPr>
          <w:rFonts w:ascii="Arial" w:eastAsia="SimSun" w:hAnsi="Arial" w:cs="Arial"/>
          <w:bCs/>
          <w:noProof/>
          <w:lang w:eastAsia="zh-CN"/>
        </w:rPr>
        <w:t>[45]</w:t>
      </w:r>
      <w:r w:rsidRPr="00FA656F">
        <w:rPr>
          <w:rFonts w:ascii="Arial" w:eastAsia="SimSun" w:hAnsi="Arial" w:cs="Arial"/>
          <w:bCs/>
          <w:lang w:eastAsia="zh-CN"/>
        </w:rPr>
        <w:t xml:space="preserve">. Out of the 5 agents showing promise, pembrolizumab is the only therapy to have been approved by both the US Food and Drug Administration and European Medicines Agency based on level 1 evidence. </w:t>
      </w:r>
    </w:p>
    <w:p w14:paraId="0742E41A" w14:textId="77777777" w:rsidR="00F1200F" w:rsidRPr="003A199E" w:rsidRDefault="00FA656F" w:rsidP="00F1200F">
      <w:pPr>
        <w:spacing w:line="480" w:lineRule="auto"/>
        <w:ind w:firstLine="720"/>
        <w:jc w:val="both"/>
        <w:rPr>
          <w:rFonts w:ascii="Arial" w:hAnsi="Arial" w:cs="Arial"/>
          <w:sz w:val="23"/>
          <w:szCs w:val="23"/>
        </w:rPr>
      </w:pPr>
      <w:r w:rsidRPr="00B32212">
        <w:rPr>
          <w:rFonts w:ascii="Arial" w:eastAsia="SimSun" w:hAnsi="Arial" w:cs="Arial"/>
          <w:bCs/>
          <w:lang w:eastAsia="zh-CN"/>
        </w:rPr>
        <w:t xml:space="preserve">Integrating short courses of immunotherapy in nonmetastatic </w:t>
      </w:r>
      <w:proofErr w:type="spellStart"/>
      <w:r w:rsidRPr="00B32212">
        <w:rPr>
          <w:rFonts w:ascii="Arial" w:eastAsia="SimSun" w:hAnsi="Arial" w:cs="Arial"/>
          <w:bCs/>
          <w:lang w:eastAsia="zh-CN"/>
        </w:rPr>
        <w:t>resectable</w:t>
      </w:r>
      <w:proofErr w:type="spellEnd"/>
      <w:r w:rsidRPr="00B32212">
        <w:rPr>
          <w:rFonts w:ascii="Arial" w:eastAsia="SimSun" w:hAnsi="Arial" w:cs="Arial"/>
          <w:bCs/>
          <w:lang w:eastAsia="zh-CN"/>
        </w:rPr>
        <w:t xml:space="preserve"> lung cancer has shown promise, thus exploring the potential to become a new strategy for neoadjuvant therapy </w:t>
      </w:r>
      <w:r w:rsidR="00EC5E94">
        <w:rPr>
          <w:rFonts w:ascii="Arial" w:eastAsia="SimSun" w:hAnsi="Arial" w:cs="Arial"/>
          <w:bCs/>
          <w:noProof/>
          <w:lang w:eastAsia="zh-CN"/>
        </w:rPr>
        <w:t>[46]</w:t>
      </w:r>
      <w:r w:rsidRPr="00B32212">
        <w:rPr>
          <w:rFonts w:ascii="Arial" w:eastAsia="SimSun" w:hAnsi="Arial" w:cs="Arial"/>
          <w:bCs/>
          <w:lang w:eastAsia="zh-CN"/>
        </w:rPr>
        <w:t xml:space="preserve">.  This strategy was tested in muscle invasive bladder cancer in a couple of </w:t>
      </w:r>
      <w:proofErr w:type="gramStart"/>
      <w:r w:rsidRPr="00B32212">
        <w:rPr>
          <w:rFonts w:ascii="Arial" w:eastAsia="SimSun" w:hAnsi="Arial" w:cs="Arial"/>
          <w:bCs/>
          <w:lang w:eastAsia="zh-CN"/>
        </w:rPr>
        <w:t>phase</w:t>
      </w:r>
      <w:proofErr w:type="gramEnd"/>
      <w:r w:rsidRPr="00B32212">
        <w:rPr>
          <w:rFonts w:ascii="Arial" w:eastAsia="SimSun" w:hAnsi="Arial" w:cs="Arial"/>
          <w:bCs/>
          <w:lang w:eastAsia="zh-CN"/>
        </w:rPr>
        <w:t xml:space="preserve"> 2 single arm trials with single agent immunotherapy t</w:t>
      </w:r>
      <w:r w:rsidR="00950503" w:rsidRPr="00B32212">
        <w:rPr>
          <w:rFonts w:ascii="Arial" w:hAnsi="Arial" w:cs="Arial"/>
          <w:bCs/>
          <w:lang w:val="en-US"/>
        </w:rPr>
        <w:t xml:space="preserve">o </w:t>
      </w:r>
      <w:r w:rsidRPr="00B32212">
        <w:rPr>
          <w:rFonts w:ascii="Arial" w:hAnsi="Arial" w:cs="Arial"/>
          <w:bCs/>
          <w:lang w:val="en-US"/>
        </w:rPr>
        <w:t xml:space="preserve">see if it </w:t>
      </w:r>
      <w:r w:rsidR="00950503" w:rsidRPr="00B32212">
        <w:rPr>
          <w:rFonts w:ascii="Arial" w:hAnsi="Arial" w:cs="Arial"/>
          <w:bCs/>
          <w:lang w:val="en-US"/>
        </w:rPr>
        <w:t>improve</w:t>
      </w:r>
      <w:r w:rsidRPr="00B32212">
        <w:rPr>
          <w:rFonts w:ascii="Arial" w:hAnsi="Arial" w:cs="Arial"/>
          <w:bCs/>
          <w:lang w:val="en-US"/>
        </w:rPr>
        <w:t xml:space="preserve">s the </w:t>
      </w:r>
      <w:proofErr w:type="spellStart"/>
      <w:r w:rsidRPr="00B32212">
        <w:rPr>
          <w:rFonts w:ascii="Arial" w:hAnsi="Arial" w:cs="Arial"/>
          <w:bCs/>
          <w:lang w:val="en-US"/>
        </w:rPr>
        <w:t>pCR</w:t>
      </w:r>
      <w:proofErr w:type="spellEnd"/>
      <w:r w:rsidRPr="00B32212">
        <w:rPr>
          <w:rFonts w:ascii="Arial" w:hAnsi="Arial" w:cs="Arial"/>
          <w:bCs/>
          <w:lang w:val="en-US"/>
        </w:rPr>
        <w:t xml:space="preserve"> rates</w:t>
      </w:r>
      <w:r w:rsidR="00A9362D">
        <w:rPr>
          <w:rFonts w:ascii="Arial" w:hAnsi="Arial" w:cs="Arial"/>
          <w:bCs/>
          <w:lang w:val="en-US"/>
        </w:rPr>
        <w:t xml:space="preserve"> compared to NAC</w:t>
      </w:r>
      <w:r w:rsidR="00950503" w:rsidRPr="00B32212">
        <w:rPr>
          <w:rFonts w:ascii="Arial" w:hAnsi="Arial" w:cs="Arial"/>
          <w:bCs/>
          <w:lang w:val="en-US"/>
        </w:rPr>
        <w:t>.</w:t>
      </w:r>
      <w:r w:rsidRPr="00B32212">
        <w:rPr>
          <w:rFonts w:ascii="Arial" w:eastAsia="SimSun" w:hAnsi="Arial" w:cs="Arial"/>
          <w:bCs/>
          <w:lang w:eastAsia="zh-CN"/>
        </w:rPr>
        <w:t xml:space="preserve"> </w:t>
      </w:r>
      <w:r w:rsidR="00453501">
        <w:rPr>
          <w:rFonts w:ascii="Arial" w:hAnsi="Arial" w:cs="Arial"/>
        </w:rPr>
        <w:t>A phase 2</w:t>
      </w:r>
      <w:r w:rsidR="00766E54" w:rsidRPr="00B32212">
        <w:rPr>
          <w:rFonts w:ascii="Arial" w:hAnsi="Arial" w:cs="Arial"/>
        </w:rPr>
        <w:t xml:space="preserve"> exploratory trial of 2 cycles of atezolizumab prior to cystectomy, reported a </w:t>
      </w:r>
      <w:proofErr w:type="spellStart"/>
      <w:r w:rsidR="00766E54" w:rsidRPr="00B32212">
        <w:rPr>
          <w:rFonts w:ascii="Arial" w:hAnsi="Arial" w:cs="Arial"/>
        </w:rPr>
        <w:t>pCR</w:t>
      </w:r>
      <w:proofErr w:type="spellEnd"/>
      <w:r w:rsidR="00766E54" w:rsidRPr="00B32212">
        <w:rPr>
          <w:rFonts w:ascii="Arial" w:hAnsi="Arial" w:cs="Arial"/>
        </w:rPr>
        <w:t xml:space="preserve"> rate of 29% (20/68) in all the 68 evaluable patients and 40% (10/25) in the PD-L1 enriched patients </w:t>
      </w:r>
      <w:r w:rsidR="00EC5E94">
        <w:rPr>
          <w:rFonts w:ascii="Arial" w:hAnsi="Arial" w:cs="Arial"/>
          <w:noProof/>
        </w:rPr>
        <w:t>[44]</w:t>
      </w:r>
      <w:r w:rsidR="00766E54" w:rsidRPr="00B32212">
        <w:rPr>
          <w:rFonts w:ascii="Arial" w:hAnsi="Arial" w:cs="Arial"/>
        </w:rPr>
        <w:t xml:space="preserve">. In another study by </w:t>
      </w:r>
      <w:proofErr w:type="spellStart"/>
      <w:r w:rsidR="00766E54" w:rsidRPr="00B32212">
        <w:rPr>
          <w:rFonts w:ascii="Arial" w:hAnsi="Arial" w:cs="Arial"/>
        </w:rPr>
        <w:t>Necchi</w:t>
      </w:r>
      <w:proofErr w:type="spellEnd"/>
      <w:r w:rsidR="00766E54" w:rsidRPr="00B32212">
        <w:rPr>
          <w:rFonts w:ascii="Arial" w:hAnsi="Arial" w:cs="Arial"/>
        </w:rPr>
        <w:t xml:space="preserve"> et al, a </w:t>
      </w:r>
      <w:proofErr w:type="spellStart"/>
      <w:r w:rsidR="00766E54" w:rsidRPr="00B32212">
        <w:rPr>
          <w:rFonts w:ascii="Arial" w:hAnsi="Arial" w:cs="Arial"/>
        </w:rPr>
        <w:t>pCR</w:t>
      </w:r>
      <w:proofErr w:type="spellEnd"/>
      <w:r w:rsidR="00766E54" w:rsidRPr="00B32212">
        <w:rPr>
          <w:rFonts w:ascii="Arial" w:hAnsi="Arial" w:cs="Arial"/>
        </w:rPr>
        <w:t xml:space="preserve"> rate of </w:t>
      </w:r>
      <w:r w:rsidR="00766E54" w:rsidRPr="00B32212">
        <w:rPr>
          <w:rFonts w:ascii="Arial" w:hAnsi="Arial" w:cs="Arial"/>
        </w:rPr>
        <w:lastRenderedPageBreak/>
        <w:t xml:space="preserve">40% was seen with Pembrolizumab </w:t>
      </w:r>
      <w:r w:rsidR="00EC5E94">
        <w:rPr>
          <w:rFonts w:ascii="Arial" w:hAnsi="Arial" w:cs="Arial"/>
          <w:noProof/>
        </w:rPr>
        <w:t>[43]</w:t>
      </w:r>
      <w:r w:rsidR="00766E54" w:rsidRPr="00B32212">
        <w:rPr>
          <w:rFonts w:ascii="Arial" w:hAnsi="Arial" w:cs="Arial"/>
        </w:rPr>
        <w:t>. However, there was an increased incidence of post-operative complications (35% Gr2-4) with pembrolizumab and 2 treatment related deaths with atezolizumab.</w:t>
      </w:r>
      <w:r w:rsidR="00F1200F" w:rsidRPr="003A199E">
        <w:rPr>
          <w:rFonts w:ascii="Arial" w:hAnsi="Arial" w:cs="Arial"/>
          <w:sz w:val="23"/>
          <w:szCs w:val="23"/>
        </w:rPr>
        <w:t xml:space="preserve"> This </w:t>
      </w:r>
      <w:r w:rsidR="003A199E" w:rsidRPr="003A199E">
        <w:rPr>
          <w:rFonts w:ascii="Arial" w:hAnsi="Arial" w:cs="Arial"/>
          <w:sz w:val="23"/>
          <w:szCs w:val="23"/>
        </w:rPr>
        <w:t>needs</w:t>
      </w:r>
      <w:r w:rsidR="00F1200F" w:rsidRPr="003A199E">
        <w:rPr>
          <w:rFonts w:ascii="Arial" w:hAnsi="Arial" w:cs="Arial"/>
          <w:sz w:val="23"/>
          <w:szCs w:val="23"/>
        </w:rPr>
        <w:t xml:space="preserve"> further research in assessing both chemotherapy regimens with immunotherapy in a multi-centre phase 3 setting. </w:t>
      </w:r>
    </w:p>
    <w:p w14:paraId="2C3560EF" w14:textId="77777777" w:rsidR="00766E54" w:rsidRPr="003A199E" w:rsidRDefault="003A199E" w:rsidP="003A199E">
      <w:pPr>
        <w:spacing w:line="480" w:lineRule="auto"/>
        <w:ind w:firstLine="720"/>
        <w:jc w:val="both"/>
        <w:rPr>
          <w:rFonts w:ascii="Arial" w:hAnsi="Arial" w:cs="Arial"/>
          <w:sz w:val="23"/>
          <w:szCs w:val="23"/>
        </w:rPr>
      </w:pPr>
      <w:r w:rsidRPr="003A199E">
        <w:rPr>
          <w:rFonts w:ascii="Arial" w:hAnsi="Arial" w:cs="Arial"/>
          <w:sz w:val="23"/>
          <w:szCs w:val="23"/>
        </w:rPr>
        <w:t>Our</w:t>
      </w:r>
      <w:r w:rsidR="006D10B2" w:rsidRPr="003A199E">
        <w:rPr>
          <w:rFonts w:ascii="Arial" w:hAnsi="Arial" w:cs="Arial"/>
          <w:sz w:val="23"/>
          <w:szCs w:val="23"/>
        </w:rPr>
        <w:t xml:space="preserve"> findings from the CTC analyses, although limited, </w:t>
      </w:r>
      <w:r w:rsidR="00CF3F60">
        <w:rPr>
          <w:rFonts w:ascii="Arial" w:hAnsi="Arial" w:cs="Arial"/>
          <w:sz w:val="23"/>
          <w:szCs w:val="23"/>
        </w:rPr>
        <w:t xml:space="preserve">are hypothesis generating. The CTC yield is very low and </w:t>
      </w:r>
      <w:r w:rsidR="00B40521">
        <w:rPr>
          <w:rFonts w:ascii="Arial" w:hAnsi="Arial" w:cs="Arial"/>
          <w:sz w:val="23"/>
          <w:szCs w:val="23"/>
        </w:rPr>
        <w:t xml:space="preserve">the </w:t>
      </w:r>
      <w:r w:rsidR="00CF3F60">
        <w:rPr>
          <w:rFonts w:ascii="Arial" w:hAnsi="Arial" w:cs="Arial"/>
          <w:sz w:val="23"/>
          <w:szCs w:val="23"/>
        </w:rPr>
        <w:t xml:space="preserve">presence of CTC's is likely to be associated </w:t>
      </w:r>
      <w:proofErr w:type="gramStart"/>
      <w:r w:rsidR="00CF3F60">
        <w:rPr>
          <w:rFonts w:ascii="Arial" w:hAnsi="Arial" w:cs="Arial"/>
          <w:sz w:val="23"/>
          <w:szCs w:val="23"/>
        </w:rPr>
        <w:t xml:space="preserve">with </w:t>
      </w:r>
      <w:r w:rsidR="006D10B2" w:rsidRPr="003A199E">
        <w:rPr>
          <w:rFonts w:ascii="Arial" w:hAnsi="Arial" w:cs="Arial"/>
          <w:sz w:val="23"/>
          <w:szCs w:val="23"/>
        </w:rPr>
        <w:t xml:space="preserve"> predicting</w:t>
      </w:r>
      <w:proofErr w:type="gramEnd"/>
      <w:r w:rsidR="006D10B2" w:rsidRPr="003A199E">
        <w:rPr>
          <w:rFonts w:ascii="Arial" w:hAnsi="Arial" w:cs="Arial"/>
          <w:sz w:val="23"/>
          <w:szCs w:val="23"/>
        </w:rPr>
        <w:t xml:space="preserve"> non-response to NAC. This warrants f</w:t>
      </w:r>
      <w:r w:rsidR="00F1200F" w:rsidRPr="003A199E">
        <w:rPr>
          <w:rFonts w:ascii="Arial" w:hAnsi="Arial" w:cs="Arial"/>
          <w:sz w:val="23"/>
          <w:szCs w:val="23"/>
        </w:rPr>
        <w:t>urther exploration</w:t>
      </w:r>
      <w:r w:rsidR="00550C74">
        <w:rPr>
          <w:rFonts w:ascii="Arial" w:hAnsi="Arial" w:cs="Arial"/>
          <w:sz w:val="23"/>
          <w:szCs w:val="23"/>
        </w:rPr>
        <w:t>, along with</w:t>
      </w:r>
      <w:r w:rsidR="00F1200F" w:rsidRPr="003A199E">
        <w:rPr>
          <w:rFonts w:ascii="Arial" w:hAnsi="Arial" w:cs="Arial"/>
          <w:sz w:val="23"/>
          <w:szCs w:val="23"/>
        </w:rPr>
        <w:t xml:space="preserve"> molecular subtyping using gene expression analysis and differences in responses and toxicity profile depending on the treatment mo</w:t>
      </w:r>
      <w:r w:rsidR="002B7561">
        <w:rPr>
          <w:rFonts w:ascii="Arial" w:hAnsi="Arial" w:cs="Arial"/>
          <w:sz w:val="23"/>
          <w:szCs w:val="23"/>
        </w:rPr>
        <w:t>dalities (chemotherapy vs immunotherapy</w:t>
      </w:r>
      <w:r w:rsidR="0040633C">
        <w:rPr>
          <w:rFonts w:ascii="Arial" w:hAnsi="Arial" w:cs="Arial"/>
          <w:sz w:val="23"/>
          <w:szCs w:val="23"/>
        </w:rPr>
        <w:t>).</w:t>
      </w:r>
    </w:p>
    <w:p w14:paraId="16D4801A" w14:textId="77777777" w:rsidR="00E5193C" w:rsidRDefault="00B32212" w:rsidP="001A02E9">
      <w:pPr>
        <w:spacing w:line="480" w:lineRule="auto"/>
        <w:ind w:firstLine="720"/>
        <w:jc w:val="both"/>
        <w:rPr>
          <w:rFonts w:ascii="Arial" w:hAnsi="Arial" w:cs="Arial"/>
          <w:sz w:val="23"/>
          <w:szCs w:val="23"/>
        </w:rPr>
      </w:pPr>
      <w:r w:rsidRPr="00B32212">
        <w:rPr>
          <w:rFonts w:ascii="Arial" w:eastAsia="SimSun" w:hAnsi="Arial" w:cs="Arial"/>
          <w:bCs/>
          <w:lang w:eastAsia="zh-CN"/>
        </w:rPr>
        <w:t>Although single agent immunotherapy has shown promise in the neoadjuvant setting</w:t>
      </w:r>
      <w:r w:rsidR="00B07054">
        <w:rPr>
          <w:rFonts w:ascii="Arial" w:eastAsia="SimSun" w:hAnsi="Arial" w:cs="Arial"/>
          <w:bCs/>
          <w:lang w:eastAsia="zh-CN"/>
        </w:rPr>
        <w:t xml:space="preserve"> </w:t>
      </w:r>
      <w:r w:rsidR="00CB6778">
        <w:rPr>
          <w:rFonts w:ascii="Arial" w:eastAsia="SimSun" w:hAnsi="Arial" w:cs="Arial"/>
          <w:bCs/>
          <w:lang w:eastAsia="zh-CN"/>
        </w:rPr>
        <w:t>among</w:t>
      </w:r>
      <w:r w:rsidR="00B07054">
        <w:rPr>
          <w:rFonts w:ascii="Arial" w:eastAsia="SimSun" w:hAnsi="Arial" w:cs="Arial"/>
          <w:bCs/>
          <w:lang w:eastAsia="zh-CN"/>
        </w:rPr>
        <w:t xml:space="preserve"> many tumour types</w:t>
      </w:r>
      <w:r w:rsidRPr="00B32212">
        <w:rPr>
          <w:rFonts w:ascii="Arial" w:eastAsia="SimSun" w:hAnsi="Arial" w:cs="Arial"/>
          <w:bCs/>
          <w:lang w:eastAsia="zh-CN"/>
        </w:rPr>
        <w:t>, only a proportion of patients show benefit fr</w:t>
      </w:r>
      <w:r w:rsidR="001A02E9">
        <w:rPr>
          <w:rFonts w:ascii="Arial" w:eastAsia="SimSun" w:hAnsi="Arial" w:cs="Arial"/>
          <w:bCs/>
          <w:lang w:eastAsia="zh-CN"/>
        </w:rPr>
        <w:t>om these therapies (about 30</w:t>
      </w:r>
      <w:r w:rsidRPr="00B32212">
        <w:rPr>
          <w:rFonts w:ascii="Arial" w:eastAsia="SimSun" w:hAnsi="Arial" w:cs="Arial"/>
          <w:bCs/>
          <w:lang w:eastAsia="zh-CN"/>
        </w:rPr>
        <w:t>-40%)</w:t>
      </w:r>
      <w:r>
        <w:rPr>
          <w:rFonts w:ascii="Arial" w:eastAsia="SimSun" w:hAnsi="Arial" w:cs="Arial"/>
          <w:bCs/>
          <w:lang w:eastAsia="zh-CN"/>
        </w:rPr>
        <w:t xml:space="preserve"> </w:t>
      </w:r>
      <w:r w:rsidR="00EC5E94">
        <w:rPr>
          <w:rFonts w:ascii="Arial" w:eastAsia="SimSun" w:hAnsi="Arial" w:cs="Arial"/>
          <w:bCs/>
          <w:noProof/>
          <w:lang w:eastAsia="zh-CN"/>
        </w:rPr>
        <w:t>[43, 44]</w:t>
      </w:r>
      <w:r w:rsidRPr="00B32212">
        <w:rPr>
          <w:rFonts w:ascii="Arial" w:eastAsia="SimSun" w:hAnsi="Arial" w:cs="Arial"/>
          <w:bCs/>
          <w:lang w:eastAsia="zh-CN"/>
        </w:rPr>
        <w:t>.</w:t>
      </w:r>
      <w:r w:rsidRPr="00B32212">
        <w:rPr>
          <w:rFonts w:ascii="Arial" w:hAnsi="Arial" w:cs="Arial"/>
          <w:b/>
          <w:sz w:val="36"/>
          <w:szCs w:val="36"/>
        </w:rPr>
        <w:t xml:space="preserve"> </w:t>
      </w:r>
      <w:proofErr w:type="gramStart"/>
      <w:r w:rsidR="00F3667A" w:rsidRPr="00B32212">
        <w:rPr>
          <w:rFonts w:ascii="Arial" w:eastAsia="SimSun" w:hAnsi="Arial" w:cs="Arial"/>
          <w:bCs/>
          <w:lang w:eastAsia="zh-CN"/>
        </w:rPr>
        <w:t>In order to</w:t>
      </w:r>
      <w:proofErr w:type="gramEnd"/>
      <w:r w:rsidR="00F3667A" w:rsidRPr="00B32212">
        <w:rPr>
          <w:rFonts w:ascii="Arial" w:eastAsia="SimSun" w:hAnsi="Arial" w:cs="Arial"/>
          <w:bCs/>
          <w:lang w:eastAsia="zh-CN"/>
        </w:rPr>
        <w:t xml:space="preserve"> further improve the outcomes</w:t>
      </w:r>
      <w:r w:rsidR="008015BC">
        <w:rPr>
          <w:rFonts w:ascii="Arial" w:eastAsia="SimSun" w:hAnsi="Arial" w:cs="Arial"/>
          <w:bCs/>
          <w:lang w:eastAsia="zh-CN"/>
        </w:rPr>
        <w:t>,</w:t>
      </w:r>
      <w:r w:rsidR="00F3667A" w:rsidRPr="00B32212">
        <w:rPr>
          <w:rFonts w:ascii="Arial" w:eastAsia="SimSun" w:hAnsi="Arial" w:cs="Arial"/>
          <w:bCs/>
          <w:lang w:eastAsia="zh-CN"/>
        </w:rPr>
        <w:t xml:space="preserve"> combination of immunotherapy and chemotherapy is being explored. The combination of chemotherapy and immunotherapy has a </w:t>
      </w:r>
      <w:proofErr w:type="gramStart"/>
      <w:r w:rsidR="00F3667A" w:rsidRPr="00B32212">
        <w:rPr>
          <w:rFonts w:ascii="Arial" w:eastAsia="SimSun" w:hAnsi="Arial" w:cs="Arial"/>
          <w:bCs/>
          <w:lang w:eastAsia="zh-CN"/>
        </w:rPr>
        <w:t>synergistic effects</w:t>
      </w:r>
      <w:proofErr w:type="gramEnd"/>
      <w:r w:rsidR="00F3667A" w:rsidRPr="00B32212">
        <w:rPr>
          <w:rFonts w:ascii="Arial" w:eastAsia="SimSun" w:hAnsi="Arial" w:cs="Arial"/>
          <w:bCs/>
          <w:lang w:eastAsia="zh-CN"/>
        </w:rPr>
        <w:t xml:space="preserve"> and has been shown to improve outcomes in metastatic lung cancer </w:t>
      </w:r>
      <w:r w:rsidR="00EC5E94">
        <w:rPr>
          <w:rFonts w:ascii="Arial" w:eastAsia="SimSun" w:hAnsi="Arial" w:cs="Arial"/>
          <w:bCs/>
          <w:noProof/>
          <w:lang w:eastAsia="zh-CN"/>
        </w:rPr>
        <w:t>[47]</w:t>
      </w:r>
      <w:r w:rsidR="00F3667A" w:rsidRPr="00B32212">
        <w:rPr>
          <w:rFonts w:ascii="Arial" w:eastAsia="SimSun" w:hAnsi="Arial" w:cs="Arial"/>
          <w:bCs/>
          <w:lang w:eastAsia="zh-CN"/>
        </w:rPr>
        <w:t xml:space="preserve">. In this regard, three </w:t>
      </w:r>
      <w:r w:rsidR="00D2236F" w:rsidRPr="00B32212">
        <w:rPr>
          <w:rFonts w:ascii="Arial" w:eastAsia="SimSun" w:hAnsi="Arial" w:cs="Arial"/>
          <w:bCs/>
          <w:lang w:eastAsia="zh-CN"/>
        </w:rPr>
        <w:t>phase</w:t>
      </w:r>
      <w:r w:rsidR="00F3667A" w:rsidRPr="00B32212">
        <w:rPr>
          <w:rFonts w:ascii="Arial" w:eastAsia="SimSun" w:hAnsi="Arial" w:cs="Arial"/>
          <w:bCs/>
          <w:lang w:eastAsia="zh-CN"/>
        </w:rPr>
        <w:t xml:space="preserve"> 2 trials evaluating the combination of immunotherapy (NCT02365766 Pembrolizumab, NCT03294304 Nivolumab and NCT02989584 Atezolizumab) with gemcitabine and cisplatin are underway. </w:t>
      </w:r>
      <w:r w:rsidR="001A02E9" w:rsidRPr="001A02E9">
        <w:rPr>
          <w:rFonts w:ascii="Arial" w:hAnsi="Arial" w:cs="Arial"/>
          <w:szCs w:val="24"/>
          <w:lang w:val="en-US"/>
        </w:rPr>
        <w:t>However, t</w:t>
      </w:r>
      <w:r w:rsidR="00E5193C" w:rsidRPr="001A02E9">
        <w:rPr>
          <w:rFonts w:ascii="Arial" w:hAnsi="Arial" w:cs="Arial"/>
          <w:szCs w:val="24"/>
          <w:lang w:val="en-US"/>
        </w:rPr>
        <w:t>here are also concerns over the cost of immunotherapy and the rapid introduction of new drugs that have not been tested in randomized controlled trials.</w:t>
      </w:r>
      <w:r w:rsidR="00E5193C" w:rsidRPr="001A02E9">
        <w:rPr>
          <w:rFonts w:ascii="Arial" w:hAnsi="Arial" w:cs="Arial"/>
          <w:sz w:val="20"/>
          <w:lang w:val="en-US"/>
        </w:rPr>
        <w:t xml:space="preserve"> </w:t>
      </w:r>
      <w:r w:rsidR="00E5193C" w:rsidRPr="001A02E9">
        <w:rPr>
          <w:rFonts w:ascii="Arial" w:hAnsi="Arial" w:cs="Arial"/>
          <w:szCs w:val="24"/>
          <w:lang w:val="en-US"/>
        </w:rPr>
        <w:t>The cost of new drugs often does not reflect the benefits experienced by patients.</w:t>
      </w:r>
      <w:r w:rsidR="001A02E9" w:rsidRPr="001A02E9">
        <w:rPr>
          <w:rFonts w:ascii="Arial" w:eastAsia="SimSun" w:hAnsi="Arial" w:cs="Arial"/>
          <w:bCs/>
          <w:color w:val="FF0000"/>
          <w:lang w:eastAsia="zh-CN"/>
        </w:rPr>
        <w:t xml:space="preserve"> </w:t>
      </w:r>
      <w:r w:rsidR="00F7062A">
        <w:rPr>
          <w:rFonts w:ascii="Arial" w:hAnsi="Arial" w:cs="Arial"/>
          <w:sz w:val="23"/>
          <w:szCs w:val="23"/>
        </w:rPr>
        <w:t>Moreover,</w:t>
      </w:r>
      <w:r w:rsidR="00F7062A" w:rsidRPr="00F7062A">
        <w:rPr>
          <w:rFonts w:ascii="Arial" w:hAnsi="Arial" w:cs="Arial"/>
          <w:sz w:val="23"/>
          <w:szCs w:val="23"/>
        </w:rPr>
        <w:t xml:space="preserve"> it </w:t>
      </w:r>
      <w:r w:rsidR="00F7062A">
        <w:rPr>
          <w:rFonts w:ascii="Arial" w:hAnsi="Arial" w:cs="Arial"/>
          <w:sz w:val="23"/>
          <w:szCs w:val="23"/>
        </w:rPr>
        <w:t xml:space="preserve">is </w:t>
      </w:r>
      <w:r w:rsidR="00F7062A" w:rsidRPr="00F7062A">
        <w:rPr>
          <w:rFonts w:ascii="Arial" w:hAnsi="Arial" w:cs="Arial"/>
          <w:sz w:val="23"/>
          <w:szCs w:val="23"/>
        </w:rPr>
        <w:t xml:space="preserve">paramount that chemotherapy </w:t>
      </w:r>
      <w:r w:rsidR="00F7062A">
        <w:rPr>
          <w:rFonts w:ascii="Arial" w:hAnsi="Arial" w:cs="Arial"/>
          <w:sz w:val="23"/>
          <w:szCs w:val="23"/>
        </w:rPr>
        <w:t>regimens</w:t>
      </w:r>
      <w:r w:rsidR="00F7062A" w:rsidRPr="00F7062A">
        <w:rPr>
          <w:rFonts w:ascii="Arial" w:hAnsi="Arial" w:cs="Arial"/>
          <w:sz w:val="23"/>
          <w:szCs w:val="23"/>
        </w:rPr>
        <w:t xml:space="preserve"> considered for combination </w:t>
      </w:r>
      <w:r w:rsidR="00F7062A">
        <w:rPr>
          <w:rFonts w:ascii="Arial" w:hAnsi="Arial" w:cs="Arial"/>
          <w:sz w:val="23"/>
          <w:szCs w:val="23"/>
        </w:rPr>
        <w:t xml:space="preserve">with immunotherapy </w:t>
      </w:r>
      <w:r w:rsidR="00F7062A" w:rsidRPr="00F7062A">
        <w:rPr>
          <w:rFonts w:ascii="Arial" w:hAnsi="Arial" w:cs="Arial"/>
          <w:sz w:val="23"/>
          <w:szCs w:val="23"/>
        </w:rPr>
        <w:t xml:space="preserve">are those with </w:t>
      </w:r>
      <w:r w:rsidR="008015BC">
        <w:rPr>
          <w:rFonts w:ascii="Arial" w:hAnsi="Arial" w:cs="Arial"/>
          <w:sz w:val="23"/>
          <w:szCs w:val="23"/>
        </w:rPr>
        <w:t>the best</w:t>
      </w:r>
      <w:r w:rsidR="00F7062A" w:rsidRPr="00F7062A">
        <w:rPr>
          <w:rFonts w:ascii="Arial" w:hAnsi="Arial" w:cs="Arial"/>
          <w:sz w:val="23"/>
          <w:szCs w:val="23"/>
        </w:rPr>
        <w:t xml:space="preserve"> efficacy and tolerability</w:t>
      </w:r>
      <w:r w:rsidR="00F7062A">
        <w:rPr>
          <w:rFonts w:ascii="Arial" w:hAnsi="Arial" w:cs="Arial"/>
          <w:sz w:val="23"/>
          <w:szCs w:val="23"/>
        </w:rPr>
        <w:t>.</w:t>
      </w:r>
      <w:r w:rsidR="00F7062A" w:rsidRPr="001A02E9">
        <w:rPr>
          <w:rFonts w:ascii="Arial" w:hAnsi="Arial" w:cs="Arial"/>
          <w:sz w:val="23"/>
          <w:szCs w:val="23"/>
        </w:rPr>
        <w:t xml:space="preserve"> </w:t>
      </w:r>
      <w:r w:rsidR="00F7062A">
        <w:rPr>
          <w:rFonts w:ascii="Arial" w:hAnsi="Arial" w:cs="Arial"/>
          <w:sz w:val="23"/>
          <w:szCs w:val="23"/>
        </w:rPr>
        <w:t>Our</w:t>
      </w:r>
      <w:r w:rsidR="00F7062A" w:rsidRPr="001A02E9">
        <w:rPr>
          <w:rFonts w:ascii="Arial" w:hAnsi="Arial" w:cs="Arial"/>
          <w:sz w:val="23"/>
          <w:szCs w:val="23"/>
        </w:rPr>
        <w:t xml:space="preserve"> </w:t>
      </w:r>
      <w:r w:rsidR="00E5193C" w:rsidRPr="001A02E9">
        <w:rPr>
          <w:rFonts w:ascii="Arial" w:hAnsi="Arial" w:cs="Arial"/>
          <w:sz w:val="23"/>
          <w:szCs w:val="23"/>
        </w:rPr>
        <w:t xml:space="preserve">study provides the rationale to </w:t>
      </w:r>
      <w:r w:rsidR="001A02E9" w:rsidRPr="001A02E9">
        <w:rPr>
          <w:rFonts w:ascii="Arial" w:hAnsi="Arial" w:cs="Arial"/>
          <w:sz w:val="23"/>
          <w:szCs w:val="23"/>
        </w:rPr>
        <w:t>evaluate</w:t>
      </w:r>
      <w:r w:rsidR="00E5193C" w:rsidRPr="001A02E9">
        <w:rPr>
          <w:rFonts w:ascii="Arial" w:hAnsi="Arial" w:cs="Arial"/>
          <w:sz w:val="23"/>
          <w:szCs w:val="23"/>
        </w:rPr>
        <w:t xml:space="preserve"> the standard </w:t>
      </w:r>
      <w:r w:rsidR="001A02E9" w:rsidRPr="001A02E9">
        <w:rPr>
          <w:rFonts w:ascii="Arial" w:hAnsi="Arial" w:cs="Arial"/>
          <w:sz w:val="23"/>
          <w:szCs w:val="23"/>
        </w:rPr>
        <w:t>Cisplatin-Gemcitabine</w:t>
      </w:r>
      <w:r w:rsidR="00E5193C" w:rsidRPr="001A02E9">
        <w:rPr>
          <w:rFonts w:ascii="Arial" w:hAnsi="Arial" w:cs="Arial"/>
          <w:sz w:val="23"/>
          <w:szCs w:val="23"/>
        </w:rPr>
        <w:t xml:space="preserve"> combination and the proposed novel combination of Cisplatin-</w:t>
      </w:r>
      <w:proofErr w:type="spellStart"/>
      <w:r w:rsidR="00E5193C" w:rsidRPr="001A02E9">
        <w:rPr>
          <w:rFonts w:ascii="Arial" w:hAnsi="Arial" w:cs="Arial"/>
          <w:sz w:val="23"/>
          <w:szCs w:val="23"/>
        </w:rPr>
        <w:t>Cabazitaxel</w:t>
      </w:r>
      <w:proofErr w:type="spellEnd"/>
      <w:r w:rsidR="001A02E9" w:rsidRPr="001A02E9">
        <w:rPr>
          <w:rFonts w:ascii="Arial" w:hAnsi="Arial" w:cs="Arial"/>
          <w:sz w:val="23"/>
          <w:szCs w:val="23"/>
        </w:rPr>
        <w:t xml:space="preserve"> with or without immunotherapy in the neoadjuvant setting, in a large phase 3 randomised trial</w:t>
      </w:r>
      <w:r w:rsidR="00E5193C" w:rsidRPr="001A02E9">
        <w:rPr>
          <w:rFonts w:ascii="Arial" w:hAnsi="Arial" w:cs="Arial"/>
          <w:sz w:val="23"/>
          <w:szCs w:val="23"/>
        </w:rPr>
        <w:t>.</w:t>
      </w:r>
      <w:r w:rsidR="00E5193C" w:rsidRPr="00E25CF3">
        <w:rPr>
          <w:rFonts w:ascii="Arial" w:hAnsi="Arial" w:cs="Arial"/>
          <w:sz w:val="23"/>
          <w:szCs w:val="23"/>
          <w:highlight w:val="yellow"/>
        </w:rPr>
        <w:t xml:space="preserve"> </w:t>
      </w:r>
    </w:p>
    <w:p w14:paraId="71431FA9" w14:textId="77777777" w:rsidR="00950503" w:rsidRPr="00F10223" w:rsidRDefault="006B5ED4" w:rsidP="00950503">
      <w:pPr>
        <w:spacing w:line="480" w:lineRule="auto"/>
        <w:ind w:firstLine="720"/>
        <w:jc w:val="both"/>
        <w:rPr>
          <w:rFonts w:ascii="Arial" w:hAnsi="Arial" w:cs="Arial"/>
        </w:rPr>
      </w:pPr>
      <w:r>
        <w:rPr>
          <w:rFonts w:ascii="Arial" w:hAnsi="Arial" w:cs="Arial"/>
        </w:rPr>
        <w:lastRenderedPageBreak/>
        <w:t>There is paucity of data on QoL outcomes in patients undergoing systemic therapy for M</w:t>
      </w:r>
      <w:r w:rsidR="009E6F97">
        <w:rPr>
          <w:rFonts w:ascii="Arial" w:hAnsi="Arial" w:cs="Arial"/>
        </w:rPr>
        <w:t xml:space="preserve">IBC. </w:t>
      </w:r>
      <w:r w:rsidR="00787F5D">
        <w:rPr>
          <w:rFonts w:ascii="Arial" w:hAnsi="Arial" w:cs="Arial"/>
        </w:rPr>
        <w:t>Our results o</w:t>
      </w:r>
      <w:r w:rsidR="009F458E">
        <w:rPr>
          <w:rFonts w:ascii="Arial" w:hAnsi="Arial" w:cs="Arial"/>
        </w:rPr>
        <w:t>n the</w:t>
      </w:r>
      <w:r w:rsidR="00787F5D">
        <w:rPr>
          <w:rFonts w:ascii="Arial" w:hAnsi="Arial" w:cs="Arial"/>
        </w:rPr>
        <w:t xml:space="preserve"> impact of NAC on QoL, will be reported separately. </w:t>
      </w:r>
      <w:proofErr w:type="spellStart"/>
      <w:r w:rsidR="00950503" w:rsidRPr="0084763B">
        <w:rPr>
          <w:rFonts w:ascii="Arial" w:hAnsi="Arial" w:cs="Arial"/>
          <w:bCs/>
          <w:lang w:val="en-US"/>
        </w:rPr>
        <w:t>Tumour</w:t>
      </w:r>
      <w:proofErr w:type="spellEnd"/>
      <w:r w:rsidR="00950503" w:rsidRPr="0084763B">
        <w:rPr>
          <w:rFonts w:ascii="Arial" w:hAnsi="Arial" w:cs="Arial"/>
          <w:bCs/>
          <w:lang w:val="en-US"/>
        </w:rPr>
        <w:t xml:space="preserve"> staging evaluation in MIBC presents a challenge for </w:t>
      </w:r>
      <w:proofErr w:type="spellStart"/>
      <w:r w:rsidR="00950503" w:rsidRPr="0084763B">
        <w:rPr>
          <w:rFonts w:ascii="Arial" w:hAnsi="Arial" w:cs="Arial"/>
          <w:bCs/>
          <w:lang w:val="en-US"/>
        </w:rPr>
        <w:t>uro</w:t>
      </w:r>
      <w:proofErr w:type="spellEnd"/>
      <w:r w:rsidR="00950503" w:rsidRPr="0084763B">
        <w:rPr>
          <w:rFonts w:ascii="Arial" w:hAnsi="Arial" w:cs="Arial"/>
          <w:bCs/>
          <w:lang w:val="en-US"/>
        </w:rPr>
        <w:t xml:space="preserve">-oncologists.  There is a lack of a reliable radiological test for T staging in this disease. Computed tomography (CT) imaging cannot be relied upon to demonstrate </w:t>
      </w:r>
      <w:proofErr w:type="spellStart"/>
      <w:r w:rsidR="00950503" w:rsidRPr="0084763B">
        <w:rPr>
          <w:rFonts w:ascii="Arial" w:hAnsi="Arial" w:cs="Arial"/>
          <w:bCs/>
          <w:lang w:val="en-US"/>
        </w:rPr>
        <w:t>tumour</w:t>
      </w:r>
      <w:proofErr w:type="spellEnd"/>
      <w:r w:rsidR="00950503" w:rsidRPr="0084763B">
        <w:rPr>
          <w:rFonts w:ascii="Arial" w:hAnsi="Arial" w:cs="Arial"/>
          <w:bCs/>
          <w:lang w:val="en-US"/>
        </w:rPr>
        <w:t xml:space="preserve"> stage reliably.  Moreover, it is often not possible to determine the exact T stage of these </w:t>
      </w:r>
      <w:proofErr w:type="spellStart"/>
      <w:r w:rsidR="00950503" w:rsidRPr="0084763B">
        <w:rPr>
          <w:rFonts w:ascii="Arial" w:hAnsi="Arial" w:cs="Arial"/>
          <w:bCs/>
          <w:lang w:val="en-US"/>
        </w:rPr>
        <w:t>tumours</w:t>
      </w:r>
      <w:proofErr w:type="spellEnd"/>
      <w:r w:rsidR="00950503" w:rsidRPr="0084763B">
        <w:rPr>
          <w:rFonts w:ascii="Arial" w:hAnsi="Arial" w:cs="Arial"/>
          <w:bCs/>
          <w:lang w:val="en-US"/>
        </w:rPr>
        <w:t xml:space="preserve"> from the diagnostic biopsy due to the nature of the diagnostic pathological sampling.  This is reflected in the fact that </w:t>
      </w:r>
      <w:proofErr w:type="gramStart"/>
      <w:r w:rsidR="00950503" w:rsidRPr="0084763B">
        <w:rPr>
          <w:rFonts w:ascii="Arial" w:hAnsi="Arial" w:cs="Arial"/>
          <w:bCs/>
          <w:lang w:val="en-US"/>
        </w:rPr>
        <w:t>the majority of</w:t>
      </w:r>
      <w:proofErr w:type="gramEnd"/>
      <w:r w:rsidR="00950503" w:rsidRPr="0084763B">
        <w:rPr>
          <w:rFonts w:ascii="Arial" w:hAnsi="Arial" w:cs="Arial"/>
          <w:bCs/>
          <w:lang w:val="en-US"/>
        </w:rPr>
        <w:t xml:space="preserve"> patients in this trial were staged ‘pT2 at least’ at diagnosis. This leads to a real possibility of under-staging at diagnosis. </w:t>
      </w:r>
      <w:proofErr w:type="gramStart"/>
      <w:r w:rsidR="00950503" w:rsidRPr="0084763B">
        <w:rPr>
          <w:rFonts w:ascii="Arial" w:hAnsi="Arial" w:cs="Arial"/>
          <w:bCs/>
          <w:lang w:val="en-US"/>
        </w:rPr>
        <w:t>Hence</w:t>
      </w:r>
      <w:proofErr w:type="gramEnd"/>
      <w:r w:rsidR="00950503" w:rsidRPr="0084763B">
        <w:rPr>
          <w:rFonts w:ascii="Arial" w:hAnsi="Arial" w:cs="Arial"/>
          <w:bCs/>
          <w:lang w:val="en-US"/>
        </w:rPr>
        <w:t xml:space="preserve"> we have evaluated the role of multiparametric MRI in the staging and response assessment with NAC. The results of these will be the subject of a separate manuscript.</w:t>
      </w:r>
    </w:p>
    <w:p w14:paraId="37229BC5" w14:textId="77777777" w:rsidR="003A199E" w:rsidRPr="00DD0B72" w:rsidRDefault="001A02E9" w:rsidP="00DD0B72">
      <w:pPr>
        <w:spacing w:line="480" w:lineRule="auto"/>
        <w:ind w:firstLine="720"/>
        <w:jc w:val="both"/>
        <w:rPr>
          <w:rFonts w:ascii="Arial" w:hAnsi="Arial" w:cs="Arial"/>
        </w:rPr>
      </w:pPr>
      <w:r>
        <w:rPr>
          <w:rFonts w:ascii="Arial" w:hAnsi="Arial" w:cs="Arial"/>
        </w:rPr>
        <w:t>The main limitation of this study is that t</w:t>
      </w:r>
      <w:r w:rsidR="002B7561">
        <w:rPr>
          <w:rFonts w:ascii="Arial" w:hAnsi="Arial" w:cs="Arial"/>
        </w:rPr>
        <w:t>his is a single centre phase 2 observational study with a</w:t>
      </w:r>
      <w:r w:rsidR="003A199E" w:rsidRPr="002B7561">
        <w:rPr>
          <w:rFonts w:ascii="Arial" w:hAnsi="Arial" w:cs="Arial"/>
        </w:rPr>
        <w:t xml:space="preserve"> modest sample size.</w:t>
      </w:r>
      <w:r w:rsidR="002B7561">
        <w:rPr>
          <w:rFonts w:ascii="Arial" w:hAnsi="Arial" w:cs="Arial"/>
        </w:rPr>
        <w:t xml:space="preserve"> These results will need further validation in a larger phase 3 study, especially given the favourable toxicity profile and improved </w:t>
      </w:r>
      <w:proofErr w:type="spellStart"/>
      <w:r w:rsidR="002B7561">
        <w:rPr>
          <w:rFonts w:ascii="Arial" w:hAnsi="Arial" w:cs="Arial"/>
        </w:rPr>
        <w:t>pCR</w:t>
      </w:r>
      <w:proofErr w:type="spellEnd"/>
      <w:r w:rsidR="002B7561">
        <w:rPr>
          <w:rFonts w:ascii="Arial" w:hAnsi="Arial" w:cs="Arial"/>
        </w:rPr>
        <w:t xml:space="preserve"> rates</w:t>
      </w:r>
      <w:r w:rsidR="00DD0B72">
        <w:rPr>
          <w:rFonts w:ascii="Arial" w:hAnsi="Arial" w:cs="Arial"/>
        </w:rPr>
        <w:t xml:space="preserve"> of </w:t>
      </w:r>
      <w:proofErr w:type="spellStart"/>
      <w:r w:rsidR="00DD0B72">
        <w:rPr>
          <w:rFonts w:ascii="Arial" w:hAnsi="Arial" w:cs="Arial"/>
        </w:rPr>
        <w:t>cabazitaxel</w:t>
      </w:r>
      <w:proofErr w:type="spellEnd"/>
      <w:r w:rsidR="00DD0B72">
        <w:rPr>
          <w:rFonts w:ascii="Arial" w:hAnsi="Arial" w:cs="Arial"/>
        </w:rPr>
        <w:t xml:space="preserve"> and cisplatin.</w:t>
      </w:r>
      <w:r w:rsidR="003A199E" w:rsidRPr="002B7561">
        <w:rPr>
          <w:rFonts w:ascii="Arial" w:hAnsi="Arial" w:cs="Arial"/>
        </w:rPr>
        <w:t xml:space="preserve"> </w:t>
      </w:r>
    </w:p>
    <w:p w14:paraId="45BE9455" w14:textId="77777777" w:rsidR="00E97912" w:rsidRPr="00E25CF3" w:rsidRDefault="00947042" w:rsidP="00E25CF3">
      <w:pPr>
        <w:jc w:val="both"/>
        <w:rPr>
          <w:rFonts w:ascii="Arial" w:hAnsi="Arial" w:cs="Arial"/>
        </w:rPr>
      </w:pPr>
      <w:r w:rsidRPr="00361852">
        <w:rPr>
          <w:rFonts w:ascii="Arial" w:hAnsi="Arial" w:cs="Arial"/>
          <w:b/>
          <w:sz w:val="28"/>
          <w:szCs w:val="36"/>
        </w:rPr>
        <w:t>Conclusions</w:t>
      </w:r>
    </w:p>
    <w:p w14:paraId="3B4D4A76" w14:textId="77777777" w:rsidR="003F25AE" w:rsidRPr="00E25CF3" w:rsidRDefault="00DD0B72" w:rsidP="00DD0B72">
      <w:pPr>
        <w:spacing w:line="480" w:lineRule="auto"/>
        <w:ind w:firstLine="720"/>
        <w:jc w:val="both"/>
        <w:rPr>
          <w:rFonts w:ascii="Arial" w:hAnsi="Arial" w:cs="Arial"/>
          <w:bCs/>
          <w:lang w:val="en-US"/>
        </w:rPr>
      </w:pPr>
      <w:proofErr w:type="spellStart"/>
      <w:r>
        <w:rPr>
          <w:rFonts w:ascii="Arial" w:hAnsi="Arial" w:cs="Arial"/>
          <w:bCs/>
          <w:lang w:val="en-US"/>
        </w:rPr>
        <w:t>C</w:t>
      </w:r>
      <w:r w:rsidRPr="00E25CF3">
        <w:rPr>
          <w:rFonts w:ascii="Arial" w:hAnsi="Arial" w:cs="Arial"/>
          <w:bCs/>
          <w:lang w:val="en-US"/>
        </w:rPr>
        <w:t>abazitaxel</w:t>
      </w:r>
      <w:proofErr w:type="spellEnd"/>
      <w:r w:rsidRPr="00E25CF3">
        <w:rPr>
          <w:rFonts w:ascii="Arial" w:hAnsi="Arial" w:cs="Arial"/>
          <w:bCs/>
          <w:lang w:val="en-US"/>
        </w:rPr>
        <w:t xml:space="preserve"> in combination with cisplatin fo</w:t>
      </w:r>
      <w:r>
        <w:rPr>
          <w:rFonts w:ascii="Arial" w:hAnsi="Arial" w:cs="Arial"/>
          <w:bCs/>
          <w:lang w:val="en-US"/>
        </w:rPr>
        <w:t>r neoadjuvant treatment of MIB</w:t>
      </w:r>
      <w:r w:rsidRPr="00E25CF3">
        <w:rPr>
          <w:rFonts w:ascii="Arial" w:hAnsi="Arial" w:cs="Arial"/>
          <w:bCs/>
          <w:lang w:val="en-US"/>
        </w:rPr>
        <w:t xml:space="preserve">C can be considered a safe, well-tolerated and effective regimen prior to </w:t>
      </w:r>
      <w:r>
        <w:rPr>
          <w:rFonts w:ascii="Arial" w:hAnsi="Arial" w:cs="Arial"/>
          <w:bCs/>
          <w:lang w:val="en-US"/>
        </w:rPr>
        <w:t>radical cystectomy.</w:t>
      </w:r>
      <w:r w:rsidR="00947042" w:rsidRPr="00E25CF3">
        <w:rPr>
          <w:rFonts w:ascii="Arial" w:hAnsi="Arial" w:cs="Arial"/>
          <w:bCs/>
          <w:lang w:val="en-US"/>
        </w:rPr>
        <w:t xml:space="preserve">  </w:t>
      </w:r>
      <w:r>
        <w:rPr>
          <w:rFonts w:ascii="Arial" w:hAnsi="Arial" w:cs="Arial"/>
          <w:bCs/>
          <w:lang w:val="en-US"/>
        </w:rPr>
        <w:t xml:space="preserve">The higher </w:t>
      </w:r>
      <w:proofErr w:type="spellStart"/>
      <w:r>
        <w:rPr>
          <w:rFonts w:ascii="Arial" w:hAnsi="Arial" w:cs="Arial"/>
          <w:bCs/>
          <w:lang w:val="en-US"/>
        </w:rPr>
        <w:t>pCR</w:t>
      </w:r>
      <w:proofErr w:type="spellEnd"/>
      <w:r>
        <w:rPr>
          <w:rFonts w:ascii="Arial" w:hAnsi="Arial" w:cs="Arial"/>
          <w:bCs/>
          <w:lang w:val="en-US"/>
        </w:rPr>
        <w:t xml:space="preserve"> rate warrants further evaluation of </w:t>
      </w:r>
      <w:r w:rsidR="00736630">
        <w:rPr>
          <w:rFonts w:ascii="Arial" w:hAnsi="Arial" w:cs="Arial"/>
          <w:bCs/>
          <w:lang w:val="en-US"/>
        </w:rPr>
        <w:t xml:space="preserve">the </w:t>
      </w:r>
      <w:proofErr w:type="spellStart"/>
      <w:r>
        <w:rPr>
          <w:rFonts w:ascii="Arial" w:hAnsi="Arial" w:cs="Arial"/>
          <w:bCs/>
          <w:lang w:val="en-US"/>
        </w:rPr>
        <w:t>Cabazitaxel</w:t>
      </w:r>
      <w:proofErr w:type="spellEnd"/>
      <w:r>
        <w:rPr>
          <w:rFonts w:ascii="Arial" w:hAnsi="Arial" w:cs="Arial"/>
          <w:bCs/>
          <w:lang w:val="en-US"/>
        </w:rPr>
        <w:t>/ Cisplatin regimen in a larger phase 3 trial.</w:t>
      </w:r>
    </w:p>
    <w:p w14:paraId="1F2E5295" w14:textId="77777777" w:rsidR="00EE1A90" w:rsidRDefault="00EE1A90" w:rsidP="00E25CF3">
      <w:pPr>
        <w:jc w:val="both"/>
        <w:rPr>
          <w:rFonts w:ascii="Arial" w:hAnsi="Arial" w:cs="Arial"/>
          <w:b/>
          <w:bCs/>
          <w:sz w:val="36"/>
          <w:lang w:val="en-US"/>
        </w:rPr>
      </w:pPr>
      <w:r w:rsidRPr="00361852">
        <w:rPr>
          <w:rFonts w:ascii="Arial" w:hAnsi="Arial" w:cs="Arial"/>
          <w:b/>
          <w:bCs/>
          <w:sz w:val="28"/>
          <w:lang w:val="en-US"/>
        </w:rPr>
        <w:t>Acknowledgements</w:t>
      </w:r>
    </w:p>
    <w:p w14:paraId="4F22DD11" w14:textId="77777777" w:rsidR="00EE1A90" w:rsidRPr="00DB25E1" w:rsidRDefault="00DE6044" w:rsidP="00F7449D">
      <w:pPr>
        <w:autoSpaceDE w:val="0"/>
        <w:autoSpaceDN w:val="0"/>
        <w:adjustRightInd w:val="0"/>
        <w:spacing w:after="0" w:line="480" w:lineRule="auto"/>
        <w:jc w:val="both"/>
        <w:rPr>
          <w:rFonts w:ascii="Arial" w:hAnsi="Arial" w:cs="Arial"/>
          <w:b/>
          <w:bCs/>
          <w:sz w:val="24"/>
          <w:szCs w:val="24"/>
          <w:lang w:val="en-US"/>
        </w:rPr>
      </w:pPr>
      <w:r>
        <w:rPr>
          <w:rFonts w:ascii="Arial" w:hAnsi="Arial" w:cs="Arial"/>
          <w:lang w:eastAsia="en-GB"/>
        </w:rPr>
        <w:tab/>
      </w:r>
      <w:r w:rsidR="00DB25E1" w:rsidRPr="00DB25E1">
        <w:rPr>
          <w:rFonts w:ascii="Arial" w:hAnsi="Arial" w:cs="Arial"/>
          <w:lang w:eastAsia="en-GB"/>
        </w:rPr>
        <w:t>The authors acknowledge the support of Sanofi</w:t>
      </w:r>
      <w:r w:rsidR="00DB25E1">
        <w:rPr>
          <w:rFonts w:ascii="Arial" w:hAnsi="Arial" w:cs="Arial"/>
          <w:lang w:eastAsia="en-GB"/>
        </w:rPr>
        <w:t xml:space="preserve"> </w:t>
      </w:r>
      <w:r w:rsidR="00DB25E1" w:rsidRPr="00DB25E1">
        <w:rPr>
          <w:rFonts w:ascii="Arial" w:hAnsi="Arial" w:cs="Arial"/>
          <w:lang w:eastAsia="en-GB"/>
        </w:rPr>
        <w:t xml:space="preserve">Genzyme for funding the study via a grant </w:t>
      </w:r>
      <w:proofErr w:type="gramStart"/>
      <w:r w:rsidR="00DB25E1" w:rsidRPr="00DB25E1">
        <w:rPr>
          <w:rFonts w:ascii="Arial" w:hAnsi="Arial" w:cs="Arial"/>
          <w:lang w:eastAsia="en-GB"/>
        </w:rPr>
        <w:t>and</w:t>
      </w:r>
      <w:r w:rsidR="00DB25E1">
        <w:rPr>
          <w:rFonts w:ascii="Arial" w:hAnsi="Arial" w:cs="Arial"/>
          <w:lang w:eastAsia="en-GB"/>
        </w:rPr>
        <w:t xml:space="preserve"> </w:t>
      </w:r>
      <w:r w:rsidR="00DB25E1" w:rsidRPr="00DB25E1">
        <w:rPr>
          <w:rFonts w:ascii="Arial" w:hAnsi="Arial" w:cs="Arial"/>
          <w:lang w:eastAsia="en-GB"/>
        </w:rPr>
        <w:t>also</w:t>
      </w:r>
      <w:proofErr w:type="gramEnd"/>
      <w:r w:rsidR="00DB25E1" w:rsidRPr="00DB25E1">
        <w:rPr>
          <w:rFonts w:ascii="Arial" w:hAnsi="Arial" w:cs="Arial"/>
          <w:lang w:eastAsia="en-GB"/>
        </w:rPr>
        <w:t xml:space="preserve"> for supplying </w:t>
      </w:r>
      <w:proofErr w:type="spellStart"/>
      <w:r w:rsidR="00DB25E1" w:rsidRPr="00DB25E1">
        <w:rPr>
          <w:rFonts w:ascii="Arial" w:hAnsi="Arial" w:cs="Arial"/>
          <w:lang w:eastAsia="en-GB"/>
        </w:rPr>
        <w:t>cabazitaxel</w:t>
      </w:r>
      <w:proofErr w:type="spellEnd"/>
      <w:r w:rsidR="00DB25E1" w:rsidRPr="00DB25E1">
        <w:rPr>
          <w:rFonts w:ascii="Arial" w:hAnsi="Arial" w:cs="Arial"/>
          <w:lang w:eastAsia="en-GB"/>
        </w:rPr>
        <w:t>. The funder had no</w:t>
      </w:r>
      <w:r w:rsidR="00DB25E1">
        <w:rPr>
          <w:rFonts w:ascii="Arial" w:hAnsi="Arial" w:cs="Arial"/>
          <w:lang w:eastAsia="en-GB"/>
        </w:rPr>
        <w:t xml:space="preserve"> </w:t>
      </w:r>
      <w:r w:rsidR="00DB25E1" w:rsidRPr="00DB25E1">
        <w:rPr>
          <w:rFonts w:ascii="Arial" w:hAnsi="Arial" w:cs="Arial"/>
          <w:lang w:eastAsia="en-GB"/>
        </w:rPr>
        <w:t xml:space="preserve">role in the study design, collection, </w:t>
      </w:r>
      <w:proofErr w:type="gramStart"/>
      <w:r w:rsidR="00DB25E1" w:rsidRPr="00DB25E1">
        <w:rPr>
          <w:rFonts w:ascii="Arial" w:hAnsi="Arial" w:cs="Arial"/>
          <w:lang w:eastAsia="en-GB"/>
        </w:rPr>
        <w:t>analysis</w:t>
      </w:r>
      <w:proofErr w:type="gramEnd"/>
      <w:r w:rsidR="00DB25E1" w:rsidRPr="00DB25E1">
        <w:rPr>
          <w:rFonts w:ascii="Arial" w:hAnsi="Arial" w:cs="Arial"/>
          <w:lang w:eastAsia="en-GB"/>
        </w:rPr>
        <w:t xml:space="preserve"> and</w:t>
      </w:r>
      <w:r w:rsidR="00DB25E1">
        <w:rPr>
          <w:rFonts w:ascii="Arial" w:hAnsi="Arial" w:cs="Arial"/>
          <w:lang w:eastAsia="en-GB"/>
        </w:rPr>
        <w:t xml:space="preserve"> </w:t>
      </w:r>
      <w:r w:rsidR="00DB25E1" w:rsidRPr="00DB25E1">
        <w:rPr>
          <w:rFonts w:ascii="Arial" w:hAnsi="Arial" w:cs="Arial"/>
          <w:lang w:eastAsia="en-GB"/>
        </w:rPr>
        <w:t>interpretation of data; in the writing of the manuscript;</w:t>
      </w:r>
      <w:r w:rsidR="00DB25E1">
        <w:rPr>
          <w:rFonts w:ascii="Arial" w:hAnsi="Arial" w:cs="Arial"/>
          <w:lang w:eastAsia="en-GB"/>
        </w:rPr>
        <w:t xml:space="preserve"> </w:t>
      </w:r>
      <w:r w:rsidR="00DB25E1" w:rsidRPr="00DB25E1">
        <w:rPr>
          <w:rFonts w:ascii="Arial" w:hAnsi="Arial" w:cs="Arial"/>
          <w:lang w:eastAsia="en-GB"/>
        </w:rPr>
        <w:t>the funder reviewed and approved the</w:t>
      </w:r>
      <w:r w:rsidR="00DB25E1">
        <w:rPr>
          <w:rFonts w:ascii="Arial" w:hAnsi="Arial" w:cs="Arial"/>
          <w:lang w:eastAsia="en-GB"/>
        </w:rPr>
        <w:t xml:space="preserve"> </w:t>
      </w:r>
      <w:r w:rsidR="00DB25E1" w:rsidRPr="00DB25E1">
        <w:rPr>
          <w:rFonts w:ascii="Arial" w:hAnsi="Arial" w:cs="Arial"/>
          <w:lang w:eastAsia="en-GB"/>
        </w:rPr>
        <w:t>decision to submit the manuscript for publication</w:t>
      </w:r>
      <w:r w:rsidR="00F7449D">
        <w:rPr>
          <w:rFonts w:ascii="Arial" w:hAnsi="Arial" w:cs="Arial"/>
          <w:lang w:eastAsia="en-GB"/>
        </w:rPr>
        <w:t>.</w:t>
      </w:r>
    </w:p>
    <w:p w14:paraId="0787C533" w14:textId="77777777" w:rsidR="00EE1A90" w:rsidRDefault="00EE1A90" w:rsidP="00E25CF3">
      <w:pPr>
        <w:jc w:val="both"/>
        <w:rPr>
          <w:rFonts w:ascii="Arial" w:hAnsi="Arial" w:cs="Arial"/>
          <w:b/>
          <w:bCs/>
          <w:sz w:val="36"/>
          <w:lang w:val="en-US"/>
        </w:rPr>
      </w:pPr>
    </w:p>
    <w:p w14:paraId="7EA4D7D7" w14:textId="77777777" w:rsidR="003F25AE" w:rsidRPr="00361852" w:rsidRDefault="003F25AE" w:rsidP="00E25CF3">
      <w:pPr>
        <w:jc w:val="both"/>
        <w:rPr>
          <w:rFonts w:ascii="Arial" w:hAnsi="Arial" w:cs="Arial"/>
          <w:b/>
          <w:sz w:val="18"/>
        </w:rPr>
      </w:pPr>
      <w:r w:rsidRPr="00361852">
        <w:rPr>
          <w:rFonts w:ascii="Arial" w:hAnsi="Arial" w:cs="Arial"/>
          <w:b/>
          <w:bCs/>
          <w:sz w:val="28"/>
          <w:lang w:val="en-US"/>
        </w:rPr>
        <w:lastRenderedPageBreak/>
        <w:t>References</w:t>
      </w:r>
    </w:p>
    <w:p w14:paraId="14F95AA7"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w:t>
      </w:r>
      <w:r>
        <w:rPr>
          <w:rFonts w:ascii="Arial" w:hAnsi="Arial" w:cs="Arial"/>
          <w:noProof/>
        </w:rPr>
        <w:tab/>
      </w:r>
      <w:r w:rsidRPr="00EC5E94">
        <w:rPr>
          <w:rFonts w:ascii="Arial" w:hAnsi="Arial" w:cs="Arial"/>
          <w:i/>
          <w:noProof/>
        </w:rPr>
        <w:t xml:space="preserve"> Office for National Statistics. Cancer Statistics registrations: registrations of cancer diagnosed in 2007</w:t>
      </w:r>
      <w:r>
        <w:rPr>
          <w:rFonts w:ascii="Arial" w:hAnsi="Arial" w:cs="Arial"/>
          <w:noProof/>
        </w:rPr>
        <w:t>.  2010  [cited 2019 15th Dec].</w:t>
      </w:r>
    </w:p>
    <w:p w14:paraId="3D1782C6"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w:t>
      </w:r>
      <w:r>
        <w:rPr>
          <w:rFonts w:ascii="Arial" w:hAnsi="Arial" w:cs="Arial"/>
          <w:noProof/>
        </w:rPr>
        <w:tab/>
      </w:r>
      <w:r w:rsidRPr="00EC5E94">
        <w:rPr>
          <w:rFonts w:ascii="Arial" w:hAnsi="Arial" w:cs="Arial"/>
          <w:i/>
          <w:noProof/>
        </w:rPr>
        <w:t>Neoadjuvant chemotherapy in invasive bladder cancer: a systematic review and meta-analysis.</w:t>
      </w:r>
      <w:r>
        <w:rPr>
          <w:rFonts w:ascii="Arial" w:hAnsi="Arial" w:cs="Arial"/>
          <w:noProof/>
        </w:rPr>
        <w:t xml:space="preserve"> Lancet, 2003. </w:t>
      </w:r>
      <w:r w:rsidRPr="00EC5E94">
        <w:rPr>
          <w:rFonts w:ascii="Arial" w:hAnsi="Arial" w:cs="Arial"/>
          <w:b/>
          <w:noProof/>
        </w:rPr>
        <w:t>361</w:t>
      </w:r>
      <w:r>
        <w:rPr>
          <w:rFonts w:ascii="Arial" w:hAnsi="Arial" w:cs="Arial"/>
          <w:noProof/>
        </w:rPr>
        <w:t>(9373): p. 1927-34.</w:t>
      </w:r>
    </w:p>
    <w:p w14:paraId="4A00B20E"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w:t>
      </w:r>
      <w:r>
        <w:rPr>
          <w:rFonts w:ascii="Arial" w:hAnsi="Arial" w:cs="Arial"/>
          <w:noProof/>
        </w:rPr>
        <w:tab/>
      </w:r>
      <w:r w:rsidRPr="00EC5E94">
        <w:rPr>
          <w:rFonts w:ascii="Arial" w:hAnsi="Arial" w:cs="Arial"/>
          <w:i/>
          <w:noProof/>
        </w:rPr>
        <w:t>Neoadjuvant chemotherapy in invasive bladder cancer: update of a systematic review and meta-analysis of individual patient data advanced bladder cancer (ABC) meta-analysis collaboration.</w:t>
      </w:r>
      <w:r>
        <w:rPr>
          <w:rFonts w:ascii="Arial" w:hAnsi="Arial" w:cs="Arial"/>
          <w:noProof/>
        </w:rPr>
        <w:t xml:space="preserve"> Eur Urol, 2005. </w:t>
      </w:r>
      <w:r w:rsidRPr="00EC5E94">
        <w:rPr>
          <w:rFonts w:ascii="Arial" w:hAnsi="Arial" w:cs="Arial"/>
          <w:b/>
          <w:noProof/>
        </w:rPr>
        <w:t>48</w:t>
      </w:r>
      <w:r>
        <w:rPr>
          <w:rFonts w:ascii="Arial" w:hAnsi="Arial" w:cs="Arial"/>
          <w:noProof/>
        </w:rPr>
        <w:t>(2): p. 202-5; discussion 205-6.</w:t>
      </w:r>
    </w:p>
    <w:p w14:paraId="17BBB1E8"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w:t>
      </w:r>
      <w:r>
        <w:rPr>
          <w:rFonts w:ascii="Arial" w:hAnsi="Arial" w:cs="Arial"/>
          <w:noProof/>
        </w:rPr>
        <w:tab/>
        <w:t xml:space="preserve">Calabro, F. and C.N. Sternberg, </w:t>
      </w:r>
      <w:r w:rsidRPr="00EC5E94">
        <w:rPr>
          <w:rFonts w:ascii="Arial" w:hAnsi="Arial" w:cs="Arial"/>
          <w:i/>
          <w:noProof/>
        </w:rPr>
        <w:t>Neoadjuvant and adjuvant chemotherapy in muscle-invasive bladder cancer.</w:t>
      </w:r>
      <w:r>
        <w:rPr>
          <w:rFonts w:ascii="Arial" w:hAnsi="Arial" w:cs="Arial"/>
          <w:noProof/>
        </w:rPr>
        <w:t xml:space="preserve"> Eur Urol, 2009. </w:t>
      </w:r>
      <w:r w:rsidRPr="00EC5E94">
        <w:rPr>
          <w:rFonts w:ascii="Arial" w:hAnsi="Arial" w:cs="Arial"/>
          <w:b/>
          <w:noProof/>
        </w:rPr>
        <w:t>55</w:t>
      </w:r>
      <w:r>
        <w:rPr>
          <w:rFonts w:ascii="Arial" w:hAnsi="Arial" w:cs="Arial"/>
          <w:noProof/>
        </w:rPr>
        <w:t>(2): p. 348-58.</w:t>
      </w:r>
    </w:p>
    <w:p w14:paraId="16A4DD90"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5.</w:t>
      </w:r>
      <w:r>
        <w:rPr>
          <w:rFonts w:ascii="Arial" w:hAnsi="Arial" w:cs="Arial"/>
          <w:noProof/>
        </w:rPr>
        <w:tab/>
        <w:t xml:space="preserve">Winquist, E., et al., </w:t>
      </w:r>
      <w:r w:rsidRPr="00EC5E94">
        <w:rPr>
          <w:rFonts w:ascii="Arial" w:hAnsi="Arial" w:cs="Arial"/>
          <w:i/>
          <w:noProof/>
        </w:rPr>
        <w:t>Neoadjuvant chemotherapy for transitional cell carcinoma of the bladder: a systematic review and meta-analysis.</w:t>
      </w:r>
      <w:r>
        <w:rPr>
          <w:rFonts w:ascii="Arial" w:hAnsi="Arial" w:cs="Arial"/>
          <w:noProof/>
        </w:rPr>
        <w:t xml:space="preserve"> J Urol, 2004. </w:t>
      </w:r>
      <w:r w:rsidRPr="00EC5E94">
        <w:rPr>
          <w:rFonts w:ascii="Arial" w:hAnsi="Arial" w:cs="Arial"/>
          <w:b/>
          <w:noProof/>
        </w:rPr>
        <w:t>171</w:t>
      </w:r>
      <w:r>
        <w:rPr>
          <w:rFonts w:ascii="Arial" w:hAnsi="Arial" w:cs="Arial"/>
          <w:noProof/>
        </w:rPr>
        <w:t>(2 Pt 1): p. 561-9.</w:t>
      </w:r>
    </w:p>
    <w:p w14:paraId="4DD48D57"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6.</w:t>
      </w:r>
      <w:r>
        <w:rPr>
          <w:rFonts w:ascii="Arial" w:hAnsi="Arial" w:cs="Arial"/>
          <w:noProof/>
        </w:rPr>
        <w:tab/>
        <w:t xml:space="preserve">Grossman, H.B., et al., </w:t>
      </w:r>
      <w:r w:rsidRPr="00EC5E94">
        <w:rPr>
          <w:rFonts w:ascii="Arial" w:hAnsi="Arial" w:cs="Arial"/>
          <w:i/>
          <w:noProof/>
        </w:rPr>
        <w:t>Neoadjuvant chemotherapy plus cystectomy compared with cystectomy alone for locally advanced bladder cancer.</w:t>
      </w:r>
      <w:r>
        <w:rPr>
          <w:rFonts w:ascii="Arial" w:hAnsi="Arial" w:cs="Arial"/>
          <w:noProof/>
        </w:rPr>
        <w:t xml:space="preserve"> N Engl J Med, 2003. </w:t>
      </w:r>
      <w:r w:rsidRPr="00EC5E94">
        <w:rPr>
          <w:rFonts w:ascii="Arial" w:hAnsi="Arial" w:cs="Arial"/>
          <w:b/>
          <w:noProof/>
        </w:rPr>
        <w:t>349</w:t>
      </w:r>
      <w:r>
        <w:rPr>
          <w:rFonts w:ascii="Arial" w:hAnsi="Arial" w:cs="Arial"/>
          <w:noProof/>
        </w:rPr>
        <w:t>(9): p. 859-66.</w:t>
      </w:r>
    </w:p>
    <w:p w14:paraId="6E3F2D00"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7.</w:t>
      </w:r>
      <w:r>
        <w:rPr>
          <w:rFonts w:ascii="Arial" w:hAnsi="Arial" w:cs="Arial"/>
          <w:noProof/>
        </w:rPr>
        <w:tab/>
        <w:t xml:space="preserve">Dash, A., et al., </w:t>
      </w:r>
      <w:r w:rsidRPr="00EC5E94">
        <w:rPr>
          <w:rFonts w:ascii="Arial" w:hAnsi="Arial" w:cs="Arial"/>
          <w:i/>
          <w:noProof/>
        </w:rPr>
        <w:t>A role for neoadjuvant gemcitabine plus cisplatin in muscle-invasive urothelial carcinoma of the bladder: a retrospective experience.</w:t>
      </w:r>
      <w:r>
        <w:rPr>
          <w:rFonts w:ascii="Arial" w:hAnsi="Arial" w:cs="Arial"/>
          <w:noProof/>
        </w:rPr>
        <w:t xml:space="preserve"> Cancer, 2008. </w:t>
      </w:r>
      <w:r w:rsidRPr="00EC5E94">
        <w:rPr>
          <w:rFonts w:ascii="Arial" w:hAnsi="Arial" w:cs="Arial"/>
          <w:b/>
          <w:noProof/>
        </w:rPr>
        <w:t>113</w:t>
      </w:r>
      <w:r>
        <w:rPr>
          <w:rFonts w:ascii="Arial" w:hAnsi="Arial" w:cs="Arial"/>
          <w:noProof/>
        </w:rPr>
        <w:t>(9): p. 2471-7.</w:t>
      </w:r>
    </w:p>
    <w:p w14:paraId="08AE5682"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8.</w:t>
      </w:r>
      <w:r>
        <w:rPr>
          <w:rFonts w:ascii="Arial" w:hAnsi="Arial" w:cs="Arial"/>
          <w:noProof/>
        </w:rPr>
        <w:tab/>
        <w:t xml:space="preserve">Albers, P., et al., </w:t>
      </w:r>
      <w:r w:rsidRPr="00EC5E94">
        <w:rPr>
          <w:rFonts w:ascii="Arial" w:hAnsi="Arial" w:cs="Arial"/>
          <w:i/>
          <w:noProof/>
        </w:rPr>
        <w:t>Randomized phase III trial of 2nd line gemcitabine and paclitaxel chemotherapy in patients with advanced bladder cancer: short-term versus prolonged treatment [German Association of Urological Oncology (AUO) trial AB 20/99].</w:t>
      </w:r>
      <w:r>
        <w:rPr>
          <w:rFonts w:ascii="Arial" w:hAnsi="Arial" w:cs="Arial"/>
          <w:noProof/>
        </w:rPr>
        <w:t xml:space="preserve"> Ann Oncol, 2011. </w:t>
      </w:r>
      <w:r w:rsidRPr="00EC5E94">
        <w:rPr>
          <w:rFonts w:ascii="Arial" w:hAnsi="Arial" w:cs="Arial"/>
          <w:b/>
          <w:noProof/>
        </w:rPr>
        <w:t>22</w:t>
      </w:r>
      <w:r>
        <w:rPr>
          <w:rFonts w:ascii="Arial" w:hAnsi="Arial" w:cs="Arial"/>
          <w:noProof/>
        </w:rPr>
        <w:t>(2): p. 288-94.</w:t>
      </w:r>
    </w:p>
    <w:p w14:paraId="2339764C"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9.</w:t>
      </w:r>
      <w:r>
        <w:rPr>
          <w:rFonts w:ascii="Arial" w:hAnsi="Arial" w:cs="Arial"/>
          <w:noProof/>
        </w:rPr>
        <w:tab/>
        <w:t xml:space="preserve">Di Lorenzo, G., et al., </w:t>
      </w:r>
      <w:r w:rsidRPr="00EC5E94">
        <w:rPr>
          <w:rFonts w:ascii="Arial" w:hAnsi="Arial" w:cs="Arial"/>
          <w:i/>
          <w:noProof/>
        </w:rPr>
        <w:t>Phase 1/2 study of intravenous paclitaxel and oral cyclophosphamide in pretreated metastatic urothelial bladder cancer patients.</w:t>
      </w:r>
      <w:r>
        <w:rPr>
          <w:rFonts w:ascii="Arial" w:hAnsi="Arial" w:cs="Arial"/>
          <w:noProof/>
        </w:rPr>
        <w:t xml:space="preserve"> Cancer, 2009. </w:t>
      </w:r>
      <w:r w:rsidRPr="00EC5E94">
        <w:rPr>
          <w:rFonts w:ascii="Arial" w:hAnsi="Arial" w:cs="Arial"/>
          <w:b/>
          <w:noProof/>
        </w:rPr>
        <w:t>115</w:t>
      </w:r>
      <w:r>
        <w:rPr>
          <w:rFonts w:ascii="Arial" w:hAnsi="Arial" w:cs="Arial"/>
          <w:noProof/>
        </w:rPr>
        <w:t>(3): p. 517-23.</w:t>
      </w:r>
    </w:p>
    <w:p w14:paraId="6E7BF682"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10.</w:t>
      </w:r>
      <w:r>
        <w:rPr>
          <w:rFonts w:ascii="Arial" w:hAnsi="Arial" w:cs="Arial"/>
          <w:noProof/>
        </w:rPr>
        <w:tab/>
        <w:t xml:space="preserve">Otto, T., et al., </w:t>
      </w:r>
      <w:r w:rsidRPr="00EC5E94">
        <w:rPr>
          <w:rFonts w:ascii="Arial" w:hAnsi="Arial" w:cs="Arial"/>
          <w:i/>
          <w:noProof/>
        </w:rPr>
        <w:t>Paclitaxel-based second-line therapy for patients with advanced chemotherapy-resistant bladder carcinoma (M1): a clinical Phase II study.</w:t>
      </w:r>
      <w:r>
        <w:rPr>
          <w:rFonts w:ascii="Arial" w:hAnsi="Arial" w:cs="Arial"/>
          <w:noProof/>
        </w:rPr>
        <w:t xml:space="preserve"> Cancer, 1997. </w:t>
      </w:r>
      <w:r w:rsidRPr="00EC5E94">
        <w:rPr>
          <w:rFonts w:ascii="Arial" w:hAnsi="Arial" w:cs="Arial"/>
          <w:b/>
          <w:noProof/>
        </w:rPr>
        <w:t>80</w:t>
      </w:r>
      <w:r>
        <w:rPr>
          <w:rFonts w:ascii="Arial" w:hAnsi="Arial" w:cs="Arial"/>
          <w:noProof/>
        </w:rPr>
        <w:t>(3): p. 465-70.</w:t>
      </w:r>
    </w:p>
    <w:p w14:paraId="24ACBC35"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11.</w:t>
      </w:r>
      <w:r>
        <w:rPr>
          <w:rFonts w:ascii="Arial" w:hAnsi="Arial" w:cs="Arial"/>
          <w:noProof/>
        </w:rPr>
        <w:tab/>
        <w:t xml:space="preserve">Tsavaris, N., et al., </w:t>
      </w:r>
      <w:r w:rsidRPr="00EC5E94">
        <w:rPr>
          <w:rFonts w:ascii="Arial" w:hAnsi="Arial" w:cs="Arial"/>
          <w:i/>
          <w:noProof/>
        </w:rPr>
        <w:t>Methotrexate-paclitaxel-epirubicin-carboplatin (M-TEC) combination chemotherapy in patients with advanced bladder cancer: an open label phase II study.</w:t>
      </w:r>
      <w:r>
        <w:rPr>
          <w:rFonts w:ascii="Arial" w:hAnsi="Arial" w:cs="Arial"/>
          <w:noProof/>
        </w:rPr>
        <w:t xml:space="preserve"> J Chemother, 2005. </w:t>
      </w:r>
      <w:r w:rsidRPr="00EC5E94">
        <w:rPr>
          <w:rFonts w:ascii="Arial" w:hAnsi="Arial" w:cs="Arial"/>
          <w:b/>
          <w:noProof/>
        </w:rPr>
        <w:t>17</w:t>
      </w:r>
      <w:r>
        <w:rPr>
          <w:rFonts w:ascii="Arial" w:hAnsi="Arial" w:cs="Arial"/>
          <w:noProof/>
        </w:rPr>
        <w:t>(4): p. 441-8.</w:t>
      </w:r>
    </w:p>
    <w:p w14:paraId="11BD1526"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12.</w:t>
      </w:r>
      <w:r>
        <w:rPr>
          <w:rFonts w:ascii="Arial" w:hAnsi="Arial" w:cs="Arial"/>
          <w:noProof/>
        </w:rPr>
        <w:tab/>
        <w:t xml:space="preserve">Kaufman, D.S., et al., </w:t>
      </w:r>
      <w:r w:rsidRPr="00EC5E94">
        <w:rPr>
          <w:rFonts w:ascii="Arial" w:hAnsi="Arial" w:cs="Arial"/>
          <w:i/>
          <w:noProof/>
        </w:rPr>
        <w:t>Phase I-II RTOG study (99-06) of patients with muscle-invasive bladder cancer undergoing transurethral surgery, paclitaxel, cisplatin, and twice-daily radiotherapy followed by selective bladder preservation or radical cystectomy and adjuvant chemotherapy.</w:t>
      </w:r>
      <w:r>
        <w:rPr>
          <w:rFonts w:ascii="Arial" w:hAnsi="Arial" w:cs="Arial"/>
          <w:noProof/>
        </w:rPr>
        <w:t xml:space="preserve"> Urology, 2009. </w:t>
      </w:r>
      <w:r w:rsidRPr="00EC5E94">
        <w:rPr>
          <w:rFonts w:ascii="Arial" w:hAnsi="Arial" w:cs="Arial"/>
          <w:b/>
          <w:noProof/>
        </w:rPr>
        <w:t>73</w:t>
      </w:r>
      <w:r>
        <w:rPr>
          <w:rFonts w:ascii="Arial" w:hAnsi="Arial" w:cs="Arial"/>
          <w:noProof/>
        </w:rPr>
        <w:t>(4): p. 833-7.</w:t>
      </w:r>
    </w:p>
    <w:p w14:paraId="1DE108C1"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13.</w:t>
      </w:r>
      <w:r>
        <w:rPr>
          <w:rFonts w:ascii="Arial" w:hAnsi="Arial" w:cs="Arial"/>
          <w:noProof/>
        </w:rPr>
        <w:tab/>
        <w:t xml:space="preserve">Smith, D.C., et al., </w:t>
      </w:r>
      <w:r w:rsidRPr="00EC5E94">
        <w:rPr>
          <w:rFonts w:ascii="Arial" w:hAnsi="Arial" w:cs="Arial"/>
          <w:i/>
          <w:noProof/>
        </w:rPr>
        <w:t>Phase II trial of paclitaxel, carboplatin and gemcitabine in patients with locally advanced carcinoma of the bladder.</w:t>
      </w:r>
      <w:r>
        <w:rPr>
          <w:rFonts w:ascii="Arial" w:hAnsi="Arial" w:cs="Arial"/>
          <w:noProof/>
        </w:rPr>
        <w:t xml:space="preserve"> J Urol, 2008. </w:t>
      </w:r>
      <w:r w:rsidRPr="00EC5E94">
        <w:rPr>
          <w:rFonts w:ascii="Arial" w:hAnsi="Arial" w:cs="Arial"/>
          <w:b/>
          <w:noProof/>
        </w:rPr>
        <w:t>180</w:t>
      </w:r>
      <w:r>
        <w:rPr>
          <w:rFonts w:ascii="Arial" w:hAnsi="Arial" w:cs="Arial"/>
          <w:noProof/>
        </w:rPr>
        <w:t>(6): p. 2384-8; discussion 2388.</w:t>
      </w:r>
    </w:p>
    <w:p w14:paraId="5D19A58F"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14.</w:t>
      </w:r>
      <w:r>
        <w:rPr>
          <w:rFonts w:ascii="Arial" w:hAnsi="Arial" w:cs="Arial"/>
          <w:noProof/>
        </w:rPr>
        <w:tab/>
        <w:t xml:space="preserve">Sousa-Escandon, A., et al., </w:t>
      </w:r>
      <w:r w:rsidRPr="00EC5E94">
        <w:rPr>
          <w:rFonts w:ascii="Arial" w:hAnsi="Arial" w:cs="Arial"/>
          <w:i/>
          <w:noProof/>
        </w:rPr>
        <w:t>Neo-adjuvant treatment of infiltrating transitional-cell carcinoma of the bladder with paclitaxel and cisplatin: a phase II trial.</w:t>
      </w:r>
      <w:r>
        <w:rPr>
          <w:rFonts w:ascii="Arial" w:hAnsi="Arial" w:cs="Arial"/>
          <w:noProof/>
        </w:rPr>
        <w:t xml:space="preserve"> Int J Urol, 2002. </w:t>
      </w:r>
      <w:r w:rsidRPr="00EC5E94">
        <w:rPr>
          <w:rFonts w:ascii="Arial" w:hAnsi="Arial" w:cs="Arial"/>
          <w:b/>
          <w:noProof/>
        </w:rPr>
        <w:t>9</w:t>
      </w:r>
      <w:r>
        <w:rPr>
          <w:rFonts w:ascii="Arial" w:hAnsi="Arial" w:cs="Arial"/>
          <w:noProof/>
        </w:rPr>
        <w:t>(3): p. 162-6.</w:t>
      </w:r>
    </w:p>
    <w:p w14:paraId="3BF149CC"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15.</w:t>
      </w:r>
      <w:r>
        <w:rPr>
          <w:rFonts w:ascii="Arial" w:hAnsi="Arial" w:cs="Arial"/>
          <w:noProof/>
        </w:rPr>
        <w:tab/>
        <w:t xml:space="preserve">Mita, A.C., et al., </w:t>
      </w:r>
      <w:r w:rsidRPr="00EC5E94">
        <w:rPr>
          <w:rFonts w:ascii="Arial" w:hAnsi="Arial" w:cs="Arial"/>
          <w:i/>
          <w:noProof/>
        </w:rPr>
        <w:t>Phase I and pharmacokinetic study of XRP6258 (RPR 116258A), a novel taxane, administered as a 1-hour infusion every 3 weeks in patients with advanced solid tumors.</w:t>
      </w:r>
      <w:r>
        <w:rPr>
          <w:rFonts w:ascii="Arial" w:hAnsi="Arial" w:cs="Arial"/>
          <w:noProof/>
        </w:rPr>
        <w:t xml:space="preserve"> Clin Cancer Res, 2009. </w:t>
      </w:r>
      <w:r w:rsidRPr="00EC5E94">
        <w:rPr>
          <w:rFonts w:ascii="Arial" w:hAnsi="Arial" w:cs="Arial"/>
          <w:b/>
          <w:noProof/>
        </w:rPr>
        <w:t>15</w:t>
      </w:r>
      <w:r>
        <w:rPr>
          <w:rFonts w:ascii="Arial" w:hAnsi="Arial" w:cs="Arial"/>
          <w:noProof/>
        </w:rPr>
        <w:t>(2): p. 723-30.</w:t>
      </w:r>
    </w:p>
    <w:p w14:paraId="32A8F1B3"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16.</w:t>
      </w:r>
      <w:r>
        <w:rPr>
          <w:rFonts w:ascii="Arial" w:hAnsi="Arial" w:cs="Arial"/>
          <w:noProof/>
        </w:rPr>
        <w:tab/>
        <w:t xml:space="preserve">Bellmunt, J., et al., </w:t>
      </w:r>
      <w:r w:rsidRPr="00EC5E94">
        <w:rPr>
          <w:rFonts w:ascii="Arial" w:hAnsi="Arial" w:cs="Arial"/>
          <w:i/>
          <w:noProof/>
        </w:rPr>
        <w:t>A randomized phase II/III study of cabazitaxel versus vinflunine in metastatic or locally advanced transitional cell carcinoma of the urothelium (SECAVIN).</w:t>
      </w:r>
      <w:r>
        <w:rPr>
          <w:rFonts w:ascii="Arial" w:hAnsi="Arial" w:cs="Arial"/>
          <w:noProof/>
        </w:rPr>
        <w:t xml:space="preserve"> Ann Oncol, 2017. </w:t>
      </w:r>
      <w:r w:rsidRPr="00EC5E94">
        <w:rPr>
          <w:rFonts w:ascii="Arial" w:hAnsi="Arial" w:cs="Arial"/>
          <w:b/>
          <w:noProof/>
        </w:rPr>
        <w:t>28</w:t>
      </w:r>
      <w:r>
        <w:rPr>
          <w:rFonts w:ascii="Arial" w:hAnsi="Arial" w:cs="Arial"/>
          <w:noProof/>
        </w:rPr>
        <w:t>(7): p. 1517-1522.</w:t>
      </w:r>
    </w:p>
    <w:p w14:paraId="164D2AA9"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17.</w:t>
      </w:r>
      <w:r>
        <w:rPr>
          <w:rFonts w:ascii="Arial" w:hAnsi="Arial" w:cs="Arial"/>
          <w:noProof/>
        </w:rPr>
        <w:tab/>
        <w:t xml:space="preserve">Villanueva, C., et al., </w:t>
      </w:r>
      <w:r w:rsidRPr="00EC5E94">
        <w:rPr>
          <w:rFonts w:ascii="Arial" w:hAnsi="Arial" w:cs="Arial"/>
          <w:i/>
          <w:noProof/>
        </w:rPr>
        <w:t>A multicentre dose-escalating study of cabazitaxel (XRP6258) in combination with capecitabine in patients with metastatic breast cancer progressing after anthracycline and taxane treatment: a phase I/II study.</w:t>
      </w:r>
      <w:r>
        <w:rPr>
          <w:rFonts w:ascii="Arial" w:hAnsi="Arial" w:cs="Arial"/>
          <w:noProof/>
        </w:rPr>
        <w:t xml:space="preserve"> Eur J Cancer, 2011. </w:t>
      </w:r>
      <w:r w:rsidRPr="00EC5E94">
        <w:rPr>
          <w:rFonts w:ascii="Arial" w:hAnsi="Arial" w:cs="Arial"/>
          <w:b/>
          <w:noProof/>
        </w:rPr>
        <w:t>47</w:t>
      </w:r>
      <w:r>
        <w:rPr>
          <w:rFonts w:ascii="Arial" w:hAnsi="Arial" w:cs="Arial"/>
          <w:noProof/>
        </w:rPr>
        <w:t>(7): p. 1037-45.</w:t>
      </w:r>
    </w:p>
    <w:p w14:paraId="296A4593"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18.</w:t>
      </w:r>
      <w:r>
        <w:rPr>
          <w:rFonts w:ascii="Arial" w:hAnsi="Arial" w:cs="Arial"/>
          <w:noProof/>
        </w:rPr>
        <w:tab/>
        <w:t xml:space="preserve">Vrignaud, P., et al., </w:t>
      </w:r>
      <w:r w:rsidRPr="00EC5E94">
        <w:rPr>
          <w:rFonts w:ascii="Arial" w:hAnsi="Arial" w:cs="Arial"/>
          <w:i/>
          <w:noProof/>
        </w:rPr>
        <w:t>Preclinical antitumor activity of cabazitaxel, a semisynthetic taxane active in taxane-resistant tumors.</w:t>
      </w:r>
      <w:r>
        <w:rPr>
          <w:rFonts w:ascii="Arial" w:hAnsi="Arial" w:cs="Arial"/>
          <w:noProof/>
        </w:rPr>
        <w:t xml:space="preserve"> Clin Cancer Res, 2013. </w:t>
      </w:r>
      <w:r w:rsidRPr="00EC5E94">
        <w:rPr>
          <w:rFonts w:ascii="Arial" w:hAnsi="Arial" w:cs="Arial"/>
          <w:b/>
          <w:noProof/>
        </w:rPr>
        <w:t>19</w:t>
      </w:r>
      <w:r>
        <w:rPr>
          <w:rFonts w:ascii="Arial" w:hAnsi="Arial" w:cs="Arial"/>
          <w:noProof/>
        </w:rPr>
        <w:t>(11): p. 2973-83.</w:t>
      </w:r>
    </w:p>
    <w:p w14:paraId="6CFBEA5F"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lastRenderedPageBreak/>
        <w:t>19.</w:t>
      </w:r>
      <w:r>
        <w:rPr>
          <w:rFonts w:ascii="Arial" w:hAnsi="Arial" w:cs="Arial"/>
          <w:noProof/>
        </w:rPr>
        <w:tab/>
        <w:t xml:space="preserve">Lockhart, A.C., et al., </w:t>
      </w:r>
      <w:r w:rsidRPr="00EC5E94">
        <w:rPr>
          <w:rFonts w:ascii="Arial" w:hAnsi="Arial" w:cs="Arial"/>
          <w:i/>
          <w:noProof/>
        </w:rPr>
        <w:t>Phase I dose-escalation study of cabazitaxel administered in combination with cisplatin in patients with advanced solid tumors.</w:t>
      </w:r>
      <w:r>
        <w:rPr>
          <w:rFonts w:ascii="Arial" w:hAnsi="Arial" w:cs="Arial"/>
          <w:noProof/>
        </w:rPr>
        <w:t xml:space="preserve"> Invest New Drugs, 2014. </w:t>
      </w:r>
      <w:r w:rsidRPr="00EC5E94">
        <w:rPr>
          <w:rFonts w:ascii="Arial" w:hAnsi="Arial" w:cs="Arial"/>
          <w:b/>
          <w:noProof/>
        </w:rPr>
        <w:t>32</w:t>
      </w:r>
      <w:r>
        <w:rPr>
          <w:rFonts w:ascii="Arial" w:hAnsi="Arial" w:cs="Arial"/>
          <w:noProof/>
        </w:rPr>
        <w:t>(6): p. 1236-45.</w:t>
      </w:r>
    </w:p>
    <w:p w14:paraId="175B33C7"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20.</w:t>
      </w:r>
      <w:r>
        <w:rPr>
          <w:rFonts w:ascii="Arial" w:hAnsi="Arial" w:cs="Arial"/>
          <w:noProof/>
        </w:rPr>
        <w:tab/>
        <w:t xml:space="preserve">Corn, P.G., et al., </w:t>
      </w:r>
      <w:r w:rsidRPr="00EC5E94">
        <w:rPr>
          <w:rFonts w:ascii="Arial" w:hAnsi="Arial" w:cs="Arial"/>
          <w:i/>
          <w:noProof/>
        </w:rPr>
        <w:t>Cabazitaxel plus carboplatin for the treatment of men with metastatic castration-resistant prostate cancers: a randomised, open-label, phase 1-2 trial.</w:t>
      </w:r>
      <w:r>
        <w:rPr>
          <w:rFonts w:ascii="Arial" w:hAnsi="Arial" w:cs="Arial"/>
          <w:noProof/>
        </w:rPr>
        <w:t xml:space="preserve"> Lancet Oncol, 2019. </w:t>
      </w:r>
      <w:r w:rsidRPr="00EC5E94">
        <w:rPr>
          <w:rFonts w:ascii="Arial" w:hAnsi="Arial" w:cs="Arial"/>
          <w:b/>
          <w:noProof/>
        </w:rPr>
        <w:t>20</w:t>
      </w:r>
      <w:r>
        <w:rPr>
          <w:rFonts w:ascii="Arial" w:hAnsi="Arial" w:cs="Arial"/>
          <w:noProof/>
        </w:rPr>
        <w:t>(10): p. 1432-1443.</w:t>
      </w:r>
    </w:p>
    <w:p w14:paraId="20DE171C"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21.</w:t>
      </w:r>
      <w:r>
        <w:rPr>
          <w:rFonts w:ascii="Arial" w:hAnsi="Arial" w:cs="Arial"/>
          <w:noProof/>
        </w:rPr>
        <w:tab/>
        <w:t xml:space="preserve">Dehm, S.M., B. Montgomery, and S.R. Plymate, </w:t>
      </w:r>
      <w:r w:rsidRPr="00EC5E94">
        <w:rPr>
          <w:rFonts w:ascii="Arial" w:hAnsi="Arial" w:cs="Arial"/>
          <w:i/>
          <w:noProof/>
        </w:rPr>
        <w:t>AR-Variant-Positive CTC: A Surrogate for a Surrogate for Taxane Therapy Outcome?</w:t>
      </w:r>
      <w:r>
        <w:rPr>
          <w:rFonts w:ascii="Arial" w:hAnsi="Arial" w:cs="Arial"/>
          <w:noProof/>
        </w:rPr>
        <w:t xml:space="preserve"> Clin Cancer Res, 2019. </w:t>
      </w:r>
      <w:r w:rsidRPr="00EC5E94">
        <w:rPr>
          <w:rFonts w:ascii="Arial" w:hAnsi="Arial" w:cs="Arial"/>
          <w:b/>
          <w:noProof/>
        </w:rPr>
        <w:t>25</w:t>
      </w:r>
      <w:r>
        <w:rPr>
          <w:rFonts w:ascii="Arial" w:hAnsi="Arial" w:cs="Arial"/>
          <w:noProof/>
        </w:rPr>
        <w:t>(6): p. 1696-1698.</w:t>
      </w:r>
    </w:p>
    <w:p w14:paraId="03296165"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22.</w:t>
      </w:r>
      <w:r>
        <w:rPr>
          <w:rFonts w:ascii="Arial" w:hAnsi="Arial" w:cs="Arial"/>
          <w:noProof/>
        </w:rPr>
        <w:tab/>
        <w:t xml:space="preserve">Scher, H.I., et al., </w:t>
      </w:r>
      <w:r w:rsidRPr="00EC5E94">
        <w:rPr>
          <w:rFonts w:ascii="Arial" w:hAnsi="Arial" w:cs="Arial"/>
          <w:i/>
          <w:noProof/>
        </w:rPr>
        <w:t>Circulating tumor cell biomarker panel as an individual-level surrogate for survival in metastatic castration-resistant prostate cancer.</w:t>
      </w:r>
      <w:r>
        <w:rPr>
          <w:rFonts w:ascii="Arial" w:hAnsi="Arial" w:cs="Arial"/>
          <w:noProof/>
        </w:rPr>
        <w:t xml:space="preserve"> J Clin Oncol, 2015. </w:t>
      </w:r>
      <w:r w:rsidRPr="00EC5E94">
        <w:rPr>
          <w:rFonts w:ascii="Arial" w:hAnsi="Arial" w:cs="Arial"/>
          <w:b/>
          <w:noProof/>
        </w:rPr>
        <w:t>33</w:t>
      </w:r>
      <w:r>
        <w:rPr>
          <w:rFonts w:ascii="Arial" w:hAnsi="Arial" w:cs="Arial"/>
          <w:noProof/>
        </w:rPr>
        <w:t>(12): p. 1348-55.</w:t>
      </w:r>
    </w:p>
    <w:p w14:paraId="658A1976"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23.</w:t>
      </w:r>
      <w:r>
        <w:rPr>
          <w:rFonts w:ascii="Arial" w:hAnsi="Arial" w:cs="Arial"/>
          <w:noProof/>
        </w:rPr>
        <w:tab/>
        <w:t xml:space="preserve">Naoe, M., et al., </w:t>
      </w:r>
      <w:r w:rsidRPr="00EC5E94">
        <w:rPr>
          <w:rFonts w:ascii="Arial" w:hAnsi="Arial" w:cs="Arial"/>
          <w:i/>
          <w:noProof/>
        </w:rPr>
        <w:t>Detection of circulating urothelial cancer cells in the blood using the CellSearch System.</w:t>
      </w:r>
      <w:r>
        <w:rPr>
          <w:rFonts w:ascii="Arial" w:hAnsi="Arial" w:cs="Arial"/>
          <w:noProof/>
        </w:rPr>
        <w:t xml:space="preserve"> Cancer, 2007. </w:t>
      </w:r>
      <w:r w:rsidRPr="00EC5E94">
        <w:rPr>
          <w:rFonts w:ascii="Arial" w:hAnsi="Arial" w:cs="Arial"/>
          <w:b/>
          <w:noProof/>
        </w:rPr>
        <w:t>109</w:t>
      </w:r>
      <w:r>
        <w:rPr>
          <w:rFonts w:ascii="Arial" w:hAnsi="Arial" w:cs="Arial"/>
          <w:noProof/>
        </w:rPr>
        <w:t>(7): p. 1439-45.</w:t>
      </w:r>
    </w:p>
    <w:p w14:paraId="7DFF9F6E"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24.</w:t>
      </w:r>
      <w:r>
        <w:rPr>
          <w:rFonts w:ascii="Arial" w:hAnsi="Arial" w:cs="Arial"/>
          <w:noProof/>
        </w:rPr>
        <w:tab/>
        <w:t xml:space="preserve">Guzzo, T.J., et al., </w:t>
      </w:r>
      <w:r w:rsidRPr="00EC5E94">
        <w:rPr>
          <w:rFonts w:ascii="Arial" w:hAnsi="Arial" w:cs="Arial"/>
          <w:i/>
          <w:noProof/>
        </w:rPr>
        <w:t>The presence of circulating tumor cells does not predict extravesical disease in bladder cancer patients prior to radical cystectomy.</w:t>
      </w:r>
      <w:r>
        <w:rPr>
          <w:rFonts w:ascii="Arial" w:hAnsi="Arial" w:cs="Arial"/>
          <w:noProof/>
        </w:rPr>
        <w:t xml:space="preserve"> Urol Oncol, 2012. </w:t>
      </w:r>
      <w:r w:rsidRPr="00EC5E94">
        <w:rPr>
          <w:rFonts w:ascii="Arial" w:hAnsi="Arial" w:cs="Arial"/>
          <w:b/>
          <w:noProof/>
        </w:rPr>
        <w:t>30</w:t>
      </w:r>
      <w:r>
        <w:rPr>
          <w:rFonts w:ascii="Arial" w:hAnsi="Arial" w:cs="Arial"/>
          <w:noProof/>
        </w:rPr>
        <w:t>(1): p. 44-8.</w:t>
      </w:r>
    </w:p>
    <w:p w14:paraId="52942E74"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25.</w:t>
      </w:r>
      <w:r>
        <w:rPr>
          <w:rFonts w:ascii="Arial" w:hAnsi="Arial" w:cs="Arial"/>
          <w:noProof/>
        </w:rPr>
        <w:tab/>
        <w:t xml:space="preserve">Eisenhauer, E.A., et al., </w:t>
      </w:r>
      <w:r w:rsidRPr="00EC5E94">
        <w:rPr>
          <w:rFonts w:ascii="Arial" w:hAnsi="Arial" w:cs="Arial"/>
          <w:i/>
          <w:noProof/>
        </w:rPr>
        <w:t>New response evaluation criteria in solid tumours: revised RECIST guideline (version 1.1).</w:t>
      </w:r>
      <w:r>
        <w:rPr>
          <w:rFonts w:ascii="Arial" w:hAnsi="Arial" w:cs="Arial"/>
          <w:noProof/>
        </w:rPr>
        <w:t xml:space="preserve"> Eur J Cancer, 2009. </w:t>
      </w:r>
      <w:r w:rsidRPr="00EC5E94">
        <w:rPr>
          <w:rFonts w:ascii="Arial" w:hAnsi="Arial" w:cs="Arial"/>
          <w:b/>
          <w:noProof/>
        </w:rPr>
        <w:t>45</w:t>
      </w:r>
      <w:r>
        <w:rPr>
          <w:rFonts w:ascii="Arial" w:hAnsi="Arial" w:cs="Arial"/>
          <w:noProof/>
        </w:rPr>
        <w:t>(2): p. 228-47.</w:t>
      </w:r>
    </w:p>
    <w:p w14:paraId="19C6FCC6"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26.</w:t>
      </w:r>
      <w:r>
        <w:rPr>
          <w:rFonts w:ascii="Arial" w:hAnsi="Arial" w:cs="Arial"/>
          <w:noProof/>
        </w:rPr>
        <w:tab/>
        <w:t xml:space="preserve">Danna, B.J., et al., </w:t>
      </w:r>
      <w:r w:rsidRPr="00EC5E94">
        <w:rPr>
          <w:rFonts w:ascii="Arial" w:hAnsi="Arial" w:cs="Arial"/>
          <w:i/>
          <w:noProof/>
        </w:rPr>
        <w:t>Assessing Symptom Burden in Bladder Cancer: An Overview of Bladder Cancer Specific Health-Related Quality of Life Instruments.</w:t>
      </w:r>
      <w:r>
        <w:rPr>
          <w:rFonts w:ascii="Arial" w:hAnsi="Arial" w:cs="Arial"/>
          <w:noProof/>
        </w:rPr>
        <w:t xml:space="preserve"> Bladder Cancer, 2016. </w:t>
      </w:r>
      <w:r w:rsidRPr="00EC5E94">
        <w:rPr>
          <w:rFonts w:ascii="Arial" w:hAnsi="Arial" w:cs="Arial"/>
          <w:b/>
          <w:noProof/>
        </w:rPr>
        <w:t>2</w:t>
      </w:r>
      <w:r>
        <w:rPr>
          <w:rFonts w:ascii="Arial" w:hAnsi="Arial" w:cs="Arial"/>
          <w:noProof/>
        </w:rPr>
        <w:t>(3): p. 329-340.</w:t>
      </w:r>
    </w:p>
    <w:p w14:paraId="01DBE93D"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27.</w:t>
      </w:r>
      <w:r>
        <w:rPr>
          <w:rFonts w:ascii="Arial" w:hAnsi="Arial" w:cs="Arial"/>
          <w:noProof/>
        </w:rPr>
        <w:tab/>
        <w:t xml:space="preserve">Johnson, D.C., et al., </w:t>
      </w:r>
      <w:r w:rsidRPr="00EC5E94">
        <w:rPr>
          <w:rFonts w:ascii="Arial" w:hAnsi="Arial" w:cs="Arial"/>
          <w:i/>
          <w:noProof/>
        </w:rPr>
        <w:t>Neoadjuvant chemotherapy for bladder cancer does not increase risk of perioperative morbidity.</w:t>
      </w:r>
      <w:r>
        <w:rPr>
          <w:rFonts w:ascii="Arial" w:hAnsi="Arial" w:cs="Arial"/>
          <w:noProof/>
        </w:rPr>
        <w:t xml:space="preserve"> BJU Int, 2014. </w:t>
      </w:r>
      <w:r w:rsidRPr="00EC5E94">
        <w:rPr>
          <w:rFonts w:ascii="Arial" w:hAnsi="Arial" w:cs="Arial"/>
          <w:b/>
          <w:noProof/>
        </w:rPr>
        <w:t>114</w:t>
      </w:r>
      <w:r>
        <w:rPr>
          <w:rFonts w:ascii="Arial" w:hAnsi="Arial" w:cs="Arial"/>
          <w:noProof/>
        </w:rPr>
        <w:t>(2): p. 221-8.</w:t>
      </w:r>
    </w:p>
    <w:p w14:paraId="6C8F6A33"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28.</w:t>
      </w:r>
      <w:r>
        <w:rPr>
          <w:rFonts w:ascii="Arial" w:hAnsi="Arial" w:cs="Arial"/>
          <w:noProof/>
        </w:rPr>
        <w:tab/>
        <w:t xml:space="preserve">Tyson, M.D., 2nd, et al., </w:t>
      </w:r>
      <w:r w:rsidRPr="00EC5E94">
        <w:rPr>
          <w:rFonts w:ascii="Arial" w:hAnsi="Arial" w:cs="Arial"/>
          <w:i/>
          <w:noProof/>
        </w:rPr>
        <w:t>Perioperative complications after neoadjuvant chemotherapy and radical cystectomy for bladder cancer.</w:t>
      </w:r>
      <w:r>
        <w:rPr>
          <w:rFonts w:ascii="Arial" w:hAnsi="Arial" w:cs="Arial"/>
          <w:noProof/>
        </w:rPr>
        <w:t xml:space="preserve"> Can J Urol, 2014. </w:t>
      </w:r>
      <w:r w:rsidRPr="00EC5E94">
        <w:rPr>
          <w:rFonts w:ascii="Arial" w:hAnsi="Arial" w:cs="Arial"/>
          <w:b/>
          <w:noProof/>
        </w:rPr>
        <w:t>21</w:t>
      </w:r>
      <w:r>
        <w:rPr>
          <w:rFonts w:ascii="Arial" w:hAnsi="Arial" w:cs="Arial"/>
          <w:noProof/>
        </w:rPr>
        <w:t>(3): p. 7259-65.</w:t>
      </w:r>
    </w:p>
    <w:p w14:paraId="54EA2AB4"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29.</w:t>
      </w:r>
      <w:r>
        <w:rPr>
          <w:rFonts w:ascii="Arial" w:hAnsi="Arial" w:cs="Arial"/>
          <w:noProof/>
        </w:rPr>
        <w:tab/>
        <w:t xml:space="preserve">Nielsen, M.E., et al., </w:t>
      </w:r>
      <w:r w:rsidRPr="00EC5E94">
        <w:rPr>
          <w:rFonts w:ascii="Arial" w:hAnsi="Arial" w:cs="Arial"/>
          <w:i/>
          <w:noProof/>
        </w:rPr>
        <w:t>Association of hospital volume with conditional 90-day mortality after cystectomy: an analysis of the National Cancer Data Base.</w:t>
      </w:r>
      <w:r>
        <w:rPr>
          <w:rFonts w:ascii="Arial" w:hAnsi="Arial" w:cs="Arial"/>
          <w:noProof/>
        </w:rPr>
        <w:t xml:space="preserve"> BJU Int, 2014. </w:t>
      </w:r>
      <w:r w:rsidRPr="00EC5E94">
        <w:rPr>
          <w:rFonts w:ascii="Arial" w:hAnsi="Arial" w:cs="Arial"/>
          <w:b/>
          <w:noProof/>
        </w:rPr>
        <w:t>114</w:t>
      </w:r>
      <w:r>
        <w:rPr>
          <w:rFonts w:ascii="Arial" w:hAnsi="Arial" w:cs="Arial"/>
          <w:noProof/>
        </w:rPr>
        <w:t>(1): p. 46-55.</w:t>
      </w:r>
    </w:p>
    <w:p w14:paraId="367515D4"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30.</w:t>
      </w:r>
      <w:r>
        <w:rPr>
          <w:rFonts w:ascii="Arial" w:hAnsi="Arial" w:cs="Arial"/>
          <w:noProof/>
        </w:rPr>
        <w:tab/>
        <w:t xml:space="preserve">Aziz, A., et al., </w:t>
      </w:r>
      <w:r w:rsidRPr="00EC5E94">
        <w:rPr>
          <w:rFonts w:ascii="Arial" w:hAnsi="Arial" w:cs="Arial"/>
          <w:i/>
          <w:noProof/>
        </w:rPr>
        <w:t>Prediction of 90-day mortality after radical cystectomy for bladder cancer in a prospective European multicenter cohort.</w:t>
      </w:r>
      <w:r>
        <w:rPr>
          <w:rFonts w:ascii="Arial" w:hAnsi="Arial" w:cs="Arial"/>
          <w:noProof/>
        </w:rPr>
        <w:t xml:space="preserve"> Eur Urol, 2014. </w:t>
      </w:r>
      <w:r w:rsidRPr="00EC5E94">
        <w:rPr>
          <w:rFonts w:ascii="Arial" w:hAnsi="Arial" w:cs="Arial"/>
          <w:b/>
          <w:noProof/>
        </w:rPr>
        <w:t>66</w:t>
      </w:r>
      <w:r>
        <w:rPr>
          <w:rFonts w:ascii="Arial" w:hAnsi="Arial" w:cs="Arial"/>
          <w:noProof/>
        </w:rPr>
        <w:t>(1): p. 156-63.</w:t>
      </w:r>
    </w:p>
    <w:p w14:paraId="44D34912"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31.</w:t>
      </w:r>
      <w:r>
        <w:rPr>
          <w:rFonts w:ascii="Arial" w:hAnsi="Arial" w:cs="Arial"/>
          <w:noProof/>
        </w:rPr>
        <w:tab/>
        <w:t xml:space="preserve">Bhindi, B., et al., </w:t>
      </w:r>
      <w:r w:rsidRPr="00EC5E94">
        <w:rPr>
          <w:rFonts w:ascii="Arial" w:hAnsi="Arial" w:cs="Arial"/>
          <w:i/>
          <w:noProof/>
        </w:rPr>
        <w:t>Oncologic Outcomes for Patients with Residual Cancer at Cystectomy Following Neoadjuvant Chemotherapy: A Pathologic Stage-matched Analysis.</w:t>
      </w:r>
      <w:r>
        <w:rPr>
          <w:rFonts w:ascii="Arial" w:hAnsi="Arial" w:cs="Arial"/>
          <w:noProof/>
        </w:rPr>
        <w:t xml:space="preserve"> Eur Urol, 2017. </w:t>
      </w:r>
      <w:r w:rsidRPr="00EC5E94">
        <w:rPr>
          <w:rFonts w:ascii="Arial" w:hAnsi="Arial" w:cs="Arial"/>
          <w:b/>
          <w:noProof/>
        </w:rPr>
        <w:t>72</w:t>
      </w:r>
      <w:r>
        <w:rPr>
          <w:rFonts w:ascii="Arial" w:hAnsi="Arial" w:cs="Arial"/>
          <w:noProof/>
        </w:rPr>
        <w:t>(5): p. 660-664.</w:t>
      </w:r>
    </w:p>
    <w:p w14:paraId="78A71652"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32.</w:t>
      </w:r>
      <w:r>
        <w:rPr>
          <w:rFonts w:ascii="Arial" w:hAnsi="Arial" w:cs="Arial"/>
          <w:noProof/>
        </w:rPr>
        <w:tab/>
        <w:t xml:space="preserve">Hermans, T.J.N., et al., </w:t>
      </w:r>
      <w:r w:rsidRPr="00EC5E94">
        <w:rPr>
          <w:rFonts w:ascii="Arial" w:hAnsi="Arial" w:cs="Arial"/>
          <w:i/>
          <w:noProof/>
        </w:rPr>
        <w:t>Neoadjuvant treatment for muscle-invasive bladder cancer: The past, the present, and the future.</w:t>
      </w:r>
      <w:r>
        <w:rPr>
          <w:rFonts w:ascii="Arial" w:hAnsi="Arial" w:cs="Arial"/>
          <w:noProof/>
        </w:rPr>
        <w:t xml:space="preserve"> Urol Oncol, 2018. </w:t>
      </w:r>
      <w:r w:rsidRPr="00EC5E94">
        <w:rPr>
          <w:rFonts w:ascii="Arial" w:hAnsi="Arial" w:cs="Arial"/>
          <w:b/>
          <w:noProof/>
        </w:rPr>
        <w:t>36</w:t>
      </w:r>
      <w:r>
        <w:rPr>
          <w:rFonts w:ascii="Arial" w:hAnsi="Arial" w:cs="Arial"/>
          <w:noProof/>
        </w:rPr>
        <w:t>(9): p. 413-422.</w:t>
      </w:r>
    </w:p>
    <w:p w14:paraId="3D103F60"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33.</w:t>
      </w:r>
      <w:r>
        <w:rPr>
          <w:rFonts w:ascii="Arial" w:hAnsi="Arial" w:cs="Arial"/>
          <w:noProof/>
        </w:rPr>
        <w:tab/>
        <w:t xml:space="preserve">Alfred Witjes, J., et al., </w:t>
      </w:r>
      <w:r w:rsidRPr="00EC5E94">
        <w:rPr>
          <w:rFonts w:ascii="Arial" w:hAnsi="Arial" w:cs="Arial"/>
          <w:i/>
          <w:noProof/>
        </w:rPr>
        <w:t>Updated 2016 EAU Guidelines on Muscle-invasive and Metastatic Bladder Cancer.</w:t>
      </w:r>
      <w:r>
        <w:rPr>
          <w:rFonts w:ascii="Arial" w:hAnsi="Arial" w:cs="Arial"/>
          <w:noProof/>
        </w:rPr>
        <w:t xml:space="preserve"> Eur Urol, 2017. </w:t>
      </w:r>
      <w:r w:rsidRPr="00EC5E94">
        <w:rPr>
          <w:rFonts w:ascii="Arial" w:hAnsi="Arial" w:cs="Arial"/>
          <w:b/>
          <w:noProof/>
        </w:rPr>
        <w:t>71</w:t>
      </w:r>
      <w:r>
        <w:rPr>
          <w:rFonts w:ascii="Arial" w:hAnsi="Arial" w:cs="Arial"/>
          <w:noProof/>
        </w:rPr>
        <w:t>(3): p. 462-475.</w:t>
      </w:r>
    </w:p>
    <w:p w14:paraId="335C1BD2"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34.</w:t>
      </w:r>
      <w:r>
        <w:rPr>
          <w:rFonts w:ascii="Arial" w:hAnsi="Arial" w:cs="Arial"/>
          <w:noProof/>
        </w:rPr>
        <w:tab/>
        <w:t xml:space="preserve">Porter, M.P., et al., </w:t>
      </w:r>
      <w:r w:rsidRPr="00EC5E94">
        <w:rPr>
          <w:rFonts w:ascii="Arial" w:hAnsi="Arial" w:cs="Arial"/>
          <w:i/>
          <w:noProof/>
        </w:rPr>
        <w:t>Patterns of use of systemic chemotherapy for Medicare beneficiaries with urothelial bladder cancer.</w:t>
      </w:r>
      <w:r>
        <w:rPr>
          <w:rFonts w:ascii="Arial" w:hAnsi="Arial" w:cs="Arial"/>
          <w:noProof/>
        </w:rPr>
        <w:t xml:space="preserve"> Urol Oncol, 2011. </w:t>
      </w:r>
      <w:r w:rsidRPr="00EC5E94">
        <w:rPr>
          <w:rFonts w:ascii="Arial" w:hAnsi="Arial" w:cs="Arial"/>
          <w:b/>
          <w:noProof/>
        </w:rPr>
        <w:t>29</w:t>
      </w:r>
      <w:r>
        <w:rPr>
          <w:rFonts w:ascii="Arial" w:hAnsi="Arial" w:cs="Arial"/>
          <w:noProof/>
        </w:rPr>
        <w:t>(3): p. 252-8.</w:t>
      </w:r>
    </w:p>
    <w:p w14:paraId="6FA407E0"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35.</w:t>
      </w:r>
      <w:r>
        <w:rPr>
          <w:rFonts w:ascii="Arial" w:hAnsi="Arial" w:cs="Arial"/>
          <w:noProof/>
        </w:rPr>
        <w:tab/>
        <w:t xml:space="preserve">Malmstrom, P.U., </w:t>
      </w:r>
      <w:r w:rsidRPr="00EC5E94">
        <w:rPr>
          <w:rFonts w:ascii="Arial" w:hAnsi="Arial" w:cs="Arial"/>
          <w:i/>
          <w:noProof/>
        </w:rPr>
        <w:t>"To improve is to change; to be perfect is to change often".</w:t>
      </w:r>
      <w:r>
        <w:rPr>
          <w:rFonts w:ascii="Arial" w:hAnsi="Arial" w:cs="Arial"/>
          <w:noProof/>
        </w:rPr>
        <w:t xml:space="preserve"> Eur Urol, 2014. </w:t>
      </w:r>
      <w:r w:rsidRPr="00EC5E94">
        <w:rPr>
          <w:rFonts w:ascii="Arial" w:hAnsi="Arial" w:cs="Arial"/>
          <w:b/>
          <w:noProof/>
        </w:rPr>
        <w:t>65</w:t>
      </w:r>
      <w:r>
        <w:rPr>
          <w:rFonts w:ascii="Arial" w:hAnsi="Arial" w:cs="Arial"/>
          <w:noProof/>
        </w:rPr>
        <w:t>(2): p. 358-9.</w:t>
      </w:r>
    </w:p>
    <w:p w14:paraId="02CF0C3F"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36.</w:t>
      </w:r>
      <w:r>
        <w:rPr>
          <w:rFonts w:ascii="Arial" w:hAnsi="Arial" w:cs="Arial"/>
          <w:noProof/>
        </w:rPr>
        <w:tab/>
        <w:t xml:space="preserve">Zaid, H.B., et al., </w:t>
      </w:r>
      <w:r w:rsidRPr="00EC5E94">
        <w:rPr>
          <w:rFonts w:ascii="Arial" w:hAnsi="Arial" w:cs="Arial"/>
          <w:i/>
          <w:noProof/>
        </w:rPr>
        <w:t>Trends in the utilization of neoadjuvant chemotherapy in muscle-invasive bladder cancer: results from the National Cancer Database.</w:t>
      </w:r>
      <w:r>
        <w:rPr>
          <w:rFonts w:ascii="Arial" w:hAnsi="Arial" w:cs="Arial"/>
          <w:noProof/>
        </w:rPr>
        <w:t xml:space="preserve"> Urology, 2014. </w:t>
      </w:r>
      <w:r w:rsidRPr="00EC5E94">
        <w:rPr>
          <w:rFonts w:ascii="Arial" w:hAnsi="Arial" w:cs="Arial"/>
          <w:b/>
          <w:noProof/>
        </w:rPr>
        <w:t>83</w:t>
      </w:r>
      <w:r>
        <w:rPr>
          <w:rFonts w:ascii="Arial" w:hAnsi="Arial" w:cs="Arial"/>
          <w:noProof/>
        </w:rPr>
        <w:t>(1): p. 75-80.</w:t>
      </w:r>
    </w:p>
    <w:p w14:paraId="5C1587B4"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37.</w:t>
      </w:r>
      <w:r>
        <w:rPr>
          <w:rFonts w:ascii="Arial" w:hAnsi="Arial" w:cs="Arial"/>
          <w:noProof/>
        </w:rPr>
        <w:tab/>
        <w:t xml:space="preserve">Burger, M., P. Mulders, and W. Witjes, </w:t>
      </w:r>
      <w:r w:rsidRPr="00EC5E94">
        <w:rPr>
          <w:rFonts w:ascii="Arial" w:hAnsi="Arial" w:cs="Arial"/>
          <w:i/>
          <w:noProof/>
        </w:rPr>
        <w:t>Use of neoadjuvant chemotherapy for muscle-invasive bladder cancer is low among major European centres: results of a feasibility questionnaire.</w:t>
      </w:r>
      <w:r>
        <w:rPr>
          <w:rFonts w:ascii="Arial" w:hAnsi="Arial" w:cs="Arial"/>
          <w:noProof/>
        </w:rPr>
        <w:t xml:space="preserve"> Eur Urol, 2012. </w:t>
      </w:r>
      <w:r w:rsidRPr="00EC5E94">
        <w:rPr>
          <w:rFonts w:ascii="Arial" w:hAnsi="Arial" w:cs="Arial"/>
          <w:b/>
          <w:noProof/>
        </w:rPr>
        <w:t>61</w:t>
      </w:r>
      <w:r>
        <w:rPr>
          <w:rFonts w:ascii="Arial" w:hAnsi="Arial" w:cs="Arial"/>
          <w:noProof/>
        </w:rPr>
        <w:t>(5): p. 1070-1.</w:t>
      </w:r>
    </w:p>
    <w:p w14:paraId="4103F4C9"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38.</w:t>
      </w:r>
      <w:r>
        <w:rPr>
          <w:rFonts w:ascii="Arial" w:hAnsi="Arial" w:cs="Arial"/>
          <w:noProof/>
        </w:rPr>
        <w:tab/>
        <w:t xml:space="preserve">Zargar, H., et al., </w:t>
      </w:r>
      <w:r w:rsidRPr="00EC5E94">
        <w:rPr>
          <w:rFonts w:ascii="Arial" w:hAnsi="Arial" w:cs="Arial"/>
          <w:i/>
          <w:noProof/>
        </w:rPr>
        <w:t>Multicenter assessment of neoadjuvant chemotherapy for muscle-invasive bladder cancer.</w:t>
      </w:r>
      <w:r>
        <w:rPr>
          <w:rFonts w:ascii="Arial" w:hAnsi="Arial" w:cs="Arial"/>
          <w:noProof/>
        </w:rPr>
        <w:t xml:space="preserve"> Eur Urol, 2015. </w:t>
      </w:r>
      <w:r w:rsidRPr="00EC5E94">
        <w:rPr>
          <w:rFonts w:ascii="Arial" w:hAnsi="Arial" w:cs="Arial"/>
          <w:b/>
          <w:noProof/>
        </w:rPr>
        <w:t>67</w:t>
      </w:r>
      <w:r>
        <w:rPr>
          <w:rFonts w:ascii="Arial" w:hAnsi="Arial" w:cs="Arial"/>
          <w:noProof/>
        </w:rPr>
        <w:t>(2): p. 241-9.</w:t>
      </w:r>
    </w:p>
    <w:p w14:paraId="4FD29F2E"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39.</w:t>
      </w:r>
      <w:r>
        <w:rPr>
          <w:rFonts w:ascii="Arial" w:hAnsi="Arial" w:cs="Arial"/>
          <w:noProof/>
        </w:rPr>
        <w:tab/>
        <w:t xml:space="preserve">Petrelli, F., et al., </w:t>
      </w:r>
      <w:r w:rsidRPr="00EC5E94">
        <w:rPr>
          <w:rFonts w:ascii="Arial" w:hAnsi="Arial" w:cs="Arial"/>
          <w:i/>
          <w:noProof/>
        </w:rPr>
        <w:t>Correlation of pathologic complete response with survival after neoadjuvant chemotherapy in bladder cancer treated with cystectomy: a meta-analysis.</w:t>
      </w:r>
      <w:r>
        <w:rPr>
          <w:rFonts w:ascii="Arial" w:hAnsi="Arial" w:cs="Arial"/>
          <w:noProof/>
        </w:rPr>
        <w:t xml:space="preserve"> Eur Urol, 2014. </w:t>
      </w:r>
      <w:r w:rsidRPr="00EC5E94">
        <w:rPr>
          <w:rFonts w:ascii="Arial" w:hAnsi="Arial" w:cs="Arial"/>
          <w:b/>
          <w:noProof/>
        </w:rPr>
        <w:t>65</w:t>
      </w:r>
      <w:r>
        <w:rPr>
          <w:rFonts w:ascii="Arial" w:hAnsi="Arial" w:cs="Arial"/>
          <w:noProof/>
        </w:rPr>
        <w:t>(2): p. 350-7.</w:t>
      </w:r>
    </w:p>
    <w:p w14:paraId="5E319195"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lastRenderedPageBreak/>
        <w:t>40.</w:t>
      </w:r>
      <w:r>
        <w:rPr>
          <w:rFonts w:ascii="Arial" w:hAnsi="Arial" w:cs="Arial"/>
          <w:noProof/>
        </w:rPr>
        <w:tab/>
        <w:t xml:space="preserve">Sonpavde, G., et al., </w:t>
      </w:r>
      <w:r w:rsidRPr="00EC5E94">
        <w:rPr>
          <w:rFonts w:ascii="Arial" w:hAnsi="Arial" w:cs="Arial"/>
          <w:i/>
          <w:noProof/>
        </w:rPr>
        <w:t>Quality of pathologic response and surgery correlate with survival for patients with completely resected bladder cancer after neoadjuvant chemotherapy.</w:t>
      </w:r>
      <w:r>
        <w:rPr>
          <w:rFonts w:ascii="Arial" w:hAnsi="Arial" w:cs="Arial"/>
          <w:noProof/>
        </w:rPr>
        <w:t xml:space="preserve"> Cancer, 2009. </w:t>
      </w:r>
      <w:r w:rsidRPr="00EC5E94">
        <w:rPr>
          <w:rFonts w:ascii="Arial" w:hAnsi="Arial" w:cs="Arial"/>
          <w:b/>
          <w:noProof/>
        </w:rPr>
        <w:t>115</w:t>
      </w:r>
      <w:r>
        <w:rPr>
          <w:rFonts w:ascii="Arial" w:hAnsi="Arial" w:cs="Arial"/>
          <w:noProof/>
        </w:rPr>
        <w:t>(18): p. 4104-9.</w:t>
      </w:r>
    </w:p>
    <w:p w14:paraId="2EAAF438"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41.</w:t>
      </w:r>
      <w:r>
        <w:rPr>
          <w:rFonts w:ascii="Arial" w:hAnsi="Arial" w:cs="Arial"/>
          <w:noProof/>
        </w:rPr>
        <w:tab/>
        <w:t xml:space="preserve">Galsky, M.D., J.P. Sfakianos, and B.S. Ferket, </w:t>
      </w:r>
      <w:r w:rsidRPr="00EC5E94">
        <w:rPr>
          <w:rFonts w:ascii="Arial" w:hAnsi="Arial" w:cs="Arial"/>
          <w:i/>
          <w:noProof/>
        </w:rPr>
        <w:t>Neoadjuvant Chemotherapy in Muscle-invasive Bladder Cancer: Are Things Now Getting Personal?</w:t>
      </w:r>
      <w:r>
        <w:rPr>
          <w:rFonts w:ascii="Arial" w:hAnsi="Arial" w:cs="Arial"/>
          <w:noProof/>
        </w:rPr>
        <w:t xml:space="preserve"> Eur Urol, 2017. </w:t>
      </w:r>
      <w:r w:rsidRPr="00EC5E94">
        <w:rPr>
          <w:rFonts w:ascii="Arial" w:hAnsi="Arial" w:cs="Arial"/>
          <w:b/>
          <w:noProof/>
        </w:rPr>
        <w:t>72</w:t>
      </w:r>
      <w:r>
        <w:rPr>
          <w:rFonts w:ascii="Arial" w:hAnsi="Arial" w:cs="Arial"/>
          <w:noProof/>
        </w:rPr>
        <w:t>(4): p. 555-556.</w:t>
      </w:r>
    </w:p>
    <w:p w14:paraId="6F67E22E"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42.</w:t>
      </w:r>
      <w:r>
        <w:rPr>
          <w:rFonts w:ascii="Arial" w:hAnsi="Arial" w:cs="Arial"/>
          <w:noProof/>
        </w:rPr>
        <w:tab/>
        <w:t xml:space="preserve">Buttigliero, C., et al., </w:t>
      </w:r>
      <w:r w:rsidRPr="00EC5E94">
        <w:rPr>
          <w:rFonts w:ascii="Arial" w:hAnsi="Arial" w:cs="Arial"/>
          <w:i/>
          <w:noProof/>
        </w:rPr>
        <w:t>Molecular biomarkers to predict response to neoadjuvant chemotherapy for bladder cancer.</w:t>
      </w:r>
      <w:r>
        <w:rPr>
          <w:rFonts w:ascii="Arial" w:hAnsi="Arial" w:cs="Arial"/>
          <w:noProof/>
        </w:rPr>
        <w:t xml:space="preserve"> Cancer Treat Rev, 2017. </w:t>
      </w:r>
      <w:r w:rsidRPr="00EC5E94">
        <w:rPr>
          <w:rFonts w:ascii="Arial" w:hAnsi="Arial" w:cs="Arial"/>
          <w:b/>
          <w:noProof/>
        </w:rPr>
        <w:t>54</w:t>
      </w:r>
      <w:r>
        <w:rPr>
          <w:rFonts w:ascii="Arial" w:hAnsi="Arial" w:cs="Arial"/>
          <w:noProof/>
        </w:rPr>
        <w:t>: p. 1-9.</w:t>
      </w:r>
    </w:p>
    <w:p w14:paraId="7F5CF6BE"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43.</w:t>
      </w:r>
      <w:r>
        <w:rPr>
          <w:rFonts w:ascii="Arial" w:hAnsi="Arial" w:cs="Arial"/>
          <w:noProof/>
        </w:rPr>
        <w:tab/>
        <w:t xml:space="preserve">Necchi, A., et al., </w:t>
      </w:r>
      <w:r w:rsidRPr="00EC5E94">
        <w:rPr>
          <w:rFonts w:ascii="Arial" w:hAnsi="Arial" w:cs="Arial"/>
          <w:i/>
          <w:noProof/>
        </w:rPr>
        <w:t>Pembrolizumab as Neoadjuvant Therapy Before Radical Cystectomy in Patients With Muscle-Invasive Urothelial Bladder Carcinoma (PURE-01): An Open-Label, Single-Arm, Phase II Study.</w:t>
      </w:r>
      <w:r>
        <w:rPr>
          <w:rFonts w:ascii="Arial" w:hAnsi="Arial" w:cs="Arial"/>
          <w:noProof/>
        </w:rPr>
        <w:t xml:space="preserve"> J Clin Oncol, 2018: p. JCO1801148.</w:t>
      </w:r>
    </w:p>
    <w:p w14:paraId="2C72D6ED"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44.</w:t>
      </w:r>
      <w:r>
        <w:rPr>
          <w:rFonts w:ascii="Arial" w:hAnsi="Arial" w:cs="Arial"/>
          <w:noProof/>
        </w:rPr>
        <w:tab/>
        <w:t xml:space="preserve">Powles, T., et al., </w:t>
      </w:r>
      <w:r w:rsidRPr="00EC5E94">
        <w:rPr>
          <w:rFonts w:ascii="Arial" w:hAnsi="Arial" w:cs="Arial"/>
          <w:i/>
          <w:noProof/>
        </w:rPr>
        <w:t>A phase II study investigating the safety and efficacy of neoadjuvant atezolizumab in muscle invasive bladder cancer (ABACUS).</w:t>
      </w:r>
      <w:r>
        <w:rPr>
          <w:rFonts w:ascii="Arial" w:hAnsi="Arial" w:cs="Arial"/>
          <w:noProof/>
        </w:rPr>
        <w:t xml:space="preserve"> Journal of Clinical Oncology, 2018. </w:t>
      </w:r>
      <w:r w:rsidRPr="00EC5E94">
        <w:rPr>
          <w:rFonts w:ascii="Arial" w:hAnsi="Arial" w:cs="Arial"/>
          <w:b/>
          <w:noProof/>
        </w:rPr>
        <w:t>36</w:t>
      </w:r>
      <w:r>
        <w:rPr>
          <w:rFonts w:ascii="Arial" w:hAnsi="Arial" w:cs="Arial"/>
          <w:noProof/>
        </w:rPr>
        <w:t>(15_suppl): p. 4506-4506.</w:t>
      </w:r>
    </w:p>
    <w:p w14:paraId="4CAC1E55"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45.</w:t>
      </w:r>
      <w:r>
        <w:rPr>
          <w:rFonts w:ascii="Arial" w:hAnsi="Arial" w:cs="Arial"/>
          <w:noProof/>
        </w:rPr>
        <w:tab/>
        <w:t xml:space="preserve">Rouanne, M., et al., </w:t>
      </w:r>
      <w:r w:rsidRPr="00EC5E94">
        <w:rPr>
          <w:rFonts w:ascii="Arial" w:hAnsi="Arial" w:cs="Arial"/>
          <w:i/>
          <w:noProof/>
        </w:rPr>
        <w:t>Development of immunotherapy in bladder cancer: present and future on targeting PD(L)1 and CTLA-4 pathways.</w:t>
      </w:r>
      <w:r>
        <w:rPr>
          <w:rFonts w:ascii="Arial" w:hAnsi="Arial" w:cs="Arial"/>
          <w:noProof/>
        </w:rPr>
        <w:t xml:space="preserve"> World J Urol, 2018. </w:t>
      </w:r>
      <w:r w:rsidRPr="00EC5E94">
        <w:rPr>
          <w:rFonts w:ascii="Arial" w:hAnsi="Arial" w:cs="Arial"/>
          <w:b/>
          <w:noProof/>
        </w:rPr>
        <w:t>36</w:t>
      </w:r>
      <w:r>
        <w:rPr>
          <w:rFonts w:ascii="Arial" w:hAnsi="Arial" w:cs="Arial"/>
          <w:noProof/>
        </w:rPr>
        <w:t>(11): p. 1727-1740.</w:t>
      </w:r>
    </w:p>
    <w:p w14:paraId="021493BA"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46.</w:t>
      </w:r>
      <w:r>
        <w:rPr>
          <w:rFonts w:ascii="Arial" w:hAnsi="Arial" w:cs="Arial"/>
          <w:noProof/>
        </w:rPr>
        <w:tab/>
        <w:t xml:space="preserve">Forde, P.M., et al., </w:t>
      </w:r>
      <w:r w:rsidRPr="00EC5E94">
        <w:rPr>
          <w:rFonts w:ascii="Arial" w:hAnsi="Arial" w:cs="Arial"/>
          <w:i/>
          <w:noProof/>
        </w:rPr>
        <w:t>Neoadjuvant PD-1 Blockade in Resectable Lung Cancer.</w:t>
      </w:r>
      <w:r>
        <w:rPr>
          <w:rFonts w:ascii="Arial" w:hAnsi="Arial" w:cs="Arial"/>
          <w:noProof/>
        </w:rPr>
        <w:t xml:space="preserve"> N Engl J Med, 2018. </w:t>
      </w:r>
      <w:r w:rsidRPr="00EC5E94">
        <w:rPr>
          <w:rFonts w:ascii="Arial" w:hAnsi="Arial" w:cs="Arial"/>
          <w:b/>
          <w:noProof/>
        </w:rPr>
        <w:t>378</w:t>
      </w:r>
      <w:r>
        <w:rPr>
          <w:rFonts w:ascii="Arial" w:hAnsi="Arial" w:cs="Arial"/>
          <w:noProof/>
        </w:rPr>
        <w:t>(21): p. 1976-1986.</w:t>
      </w:r>
    </w:p>
    <w:p w14:paraId="6A73E8CF" w14:textId="77777777" w:rsidR="00EC5E94" w:rsidRDefault="00EC5E94" w:rsidP="00EC5E94">
      <w:pPr>
        <w:spacing w:after="0" w:line="240" w:lineRule="auto"/>
        <w:ind w:left="720" w:hanging="720"/>
        <w:jc w:val="both"/>
        <w:rPr>
          <w:rFonts w:ascii="Arial" w:hAnsi="Arial" w:cs="Arial"/>
          <w:noProof/>
        </w:rPr>
      </w:pPr>
      <w:r>
        <w:rPr>
          <w:rFonts w:ascii="Arial" w:hAnsi="Arial" w:cs="Arial"/>
          <w:noProof/>
        </w:rPr>
        <w:t>47.</w:t>
      </w:r>
      <w:r>
        <w:rPr>
          <w:rFonts w:ascii="Arial" w:hAnsi="Arial" w:cs="Arial"/>
          <w:noProof/>
        </w:rPr>
        <w:tab/>
        <w:t xml:space="preserve">Frederickson, A.M., et al., </w:t>
      </w:r>
      <w:r w:rsidRPr="00EC5E94">
        <w:rPr>
          <w:rFonts w:ascii="Arial" w:hAnsi="Arial" w:cs="Arial"/>
          <w:i/>
          <w:noProof/>
        </w:rPr>
        <w:t>Pembrolizumab plus chemotherapy for first-line treatment of metastatic nonsquamous non-small-cell lung cancer: a network meta-analysis.</w:t>
      </w:r>
      <w:r>
        <w:rPr>
          <w:rFonts w:ascii="Arial" w:hAnsi="Arial" w:cs="Arial"/>
          <w:noProof/>
        </w:rPr>
        <w:t xml:space="preserve"> Immunotherapy, 2019. </w:t>
      </w:r>
      <w:r w:rsidRPr="00EC5E94">
        <w:rPr>
          <w:rFonts w:ascii="Arial" w:hAnsi="Arial" w:cs="Arial"/>
          <w:b/>
          <w:noProof/>
        </w:rPr>
        <w:t>11</w:t>
      </w:r>
      <w:r>
        <w:rPr>
          <w:rFonts w:ascii="Arial" w:hAnsi="Arial" w:cs="Arial"/>
          <w:noProof/>
        </w:rPr>
        <w:t>(5): p. 407-428.</w:t>
      </w:r>
    </w:p>
    <w:p w14:paraId="7BB74DC6" w14:textId="77777777" w:rsidR="00EC5E94" w:rsidRDefault="00EC5E94" w:rsidP="00EC5E94">
      <w:pPr>
        <w:spacing w:after="0" w:line="240" w:lineRule="auto"/>
        <w:ind w:left="720" w:hanging="720"/>
        <w:jc w:val="both"/>
        <w:rPr>
          <w:rFonts w:ascii="Arial" w:hAnsi="Arial" w:cs="Arial"/>
          <w:noProof/>
        </w:rPr>
      </w:pPr>
    </w:p>
    <w:p w14:paraId="422FB072" w14:textId="77777777" w:rsidR="00E97912" w:rsidRDefault="00E97912" w:rsidP="00E25CF3">
      <w:pPr>
        <w:jc w:val="both"/>
        <w:rPr>
          <w:rFonts w:ascii="Arial" w:hAnsi="Arial" w:cs="Arial"/>
          <w:noProof/>
        </w:rPr>
      </w:pPr>
    </w:p>
    <w:sectPr w:rsidR="00E97912" w:rsidSect="00331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F0716" w14:textId="77777777" w:rsidR="004F1770" w:rsidRDefault="004F1770" w:rsidP="00F3667A">
      <w:pPr>
        <w:spacing w:after="0" w:line="240" w:lineRule="auto"/>
      </w:pPr>
      <w:r>
        <w:separator/>
      </w:r>
    </w:p>
  </w:endnote>
  <w:endnote w:type="continuationSeparator" w:id="0">
    <w:p w14:paraId="0A953D09" w14:textId="77777777" w:rsidR="004F1770" w:rsidRDefault="004F1770" w:rsidP="00F3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DejaVu Sans">
    <w:altName w:val="Arial"/>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8030" w14:textId="77777777" w:rsidR="007D0EE7" w:rsidRDefault="007D0EE7">
    <w:pPr>
      <w:pStyle w:val="Footer"/>
      <w:jc w:val="right"/>
    </w:pPr>
    <w:r>
      <w:rPr>
        <w:noProof/>
      </w:rPr>
      <w:t>20</w:t>
    </w:r>
  </w:p>
  <w:p w14:paraId="6B2A6E5A" w14:textId="77777777" w:rsidR="007D0EE7" w:rsidRDefault="007D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F6974" w14:textId="77777777" w:rsidR="004F1770" w:rsidRDefault="004F1770" w:rsidP="00F3667A">
      <w:pPr>
        <w:spacing w:after="0" w:line="240" w:lineRule="auto"/>
      </w:pPr>
      <w:r>
        <w:separator/>
      </w:r>
    </w:p>
  </w:footnote>
  <w:footnote w:type="continuationSeparator" w:id="0">
    <w:p w14:paraId="160A2FC3" w14:textId="77777777" w:rsidR="004F1770" w:rsidRDefault="004F1770" w:rsidP="00F36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22A"/>
    <w:multiLevelType w:val="hybridMultilevel"/>
    <w:tmpl w:val="608E8872"/>
    <w:lvl w:ilvl="0" w:tplc="1CC4E34A">
      <w:start w:val="1"/>
      <w:numFmt w:val="decimal"/>
      <w:lvlText w:val="%1."/>
      <w:lvlJc w:val="left"/>
      <w:pPr>
        <w:tabs>
          <w:tab w:val="num" w:pos="720"/>
        </w:tabs>
        <w:ind w:left="720" w:hanging="360"/>
      </w:pPr>
    </w:lvl>
    <w:lvl w:ilvl="1" w:tplc="2CA88002" w:tentative="1">
      <w:start w:val="1"/>
      <w:numFmt w:val="decimal"/>
      <w:lvlText w:val="%2."/>
      <w:lvlJc w:val="left"/>
      <w:pPr>
        <w:tabs>
          <w:tab w:val="num" w:pos="1440"/>
        </w:tabs>
        <w:ind w:left="1440" w:hanging="360"/>
      </w:pPr>
    </w:lvl>
    <w:lvl w:ilvl="2" w:tplc="4508D118" w:tentative="1">
      <w:start w:val="1"/>
      <w:numFmt w:val="decimal"/>
      <w:lvlText w:val="%3."/>
      <w:lvlJc w:val="left"/>
      <w:pPr>
        <w:tabs>
          <w:tab w:val="num" w:pos="2160"/>
        </w:tabs>
        <w:ind w:left="2160" w:hanging="360"/>
      </w:pPr>
    </w:lvl>
    <w:lvl w:ilvl="3" w:tplc="177423B4" w:tentative="1">
      <w:start w:val="1"/>
      <w:numFmt w:val="decimal"/>
      <w:lvlText w:val="%4."/>
      <w:lvlJc w:val="left"/>
      <w:pPr>
        <w:tabs>
          <w:tab w:val="num" w:pos="2880"/>
        </w:tabs>
        <w:ind w:left="2880" w:hanging="360"/>
      </w:pPr>
    </w:lvl>
    <w:lvl w:ilvl="4" w:tplc="1C16D8EA" w:tentative="1">
      <w:start w:val="1"/>
      <w:numFmt w:val="decimal"/>
      <w:lvlText w:val="%5."/>
      <w:lvlJc w:val="left"/>
      <w:pPr>
        <w:tabs>
          <w:tab w:val="num" w:pos="3600"/>
        </w:tabs>
        <w:ind w:left="3600" w:hanging="360"/>
      </w:pPr>
    </w:lvl>
    <w:lvl w:ilvl="5" w:tplc="2E189314" w:tentative="1">
      <w:start w:val="1"/>
      <w:numFmt w:val="decimal"/>
      <w:lvlText w:val="%6."/>
      <w:lvlJc w:val="left"/>
      <w:pPr>
        <w:tabs>
          <w:tab w:val="num" w:pos="4320"/>
        </w:tabs>
        <w:ind w:left="4320" w:hanging="360"/>
      </w:pPr>
    </w:lvl>
    <w:lvl w:ilvl="6" w:tplc="D058694E" w:tentative="1">
      <w:start w:val="1"/>
      <w:numFmt w:val="decimal"/>
      <w:lvlText w:val="%7."/>
      <w:lvlJc w:val="left"/>
      <w:pPr>
        <w:tabs>
          <w:tab w:val="num" w:pos="5040"/>
        </w:tabs>
        <w:ind w:left="5040" w:hanging="360"/>
      </w:pPr>
    </w:lvl>
    <w:lvl w:ilvl="7" w:tplc="395E4632" w:tentative="1">
      <w:start w:val="1"/>
      <w:numFmt w:val="decimal"/>
      <w:lvlText w:val="%8."/>
      <w:lvlJc w:val="left"/>
      <w:pPr>
        <w:tabs>
          <w:tab w:val="num" w:pos="5760"/>
        </w:tabs>
        <w:ind w:left="5760" w:hanging="360"/>
      </w:pPr>
    </w:lvl>
    <w:lvl w:ilvl="8" w:tplc="3A147AA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ristol Bladder Trial.enl&lt;/item&gt;&lt;/Libraries&gt;&lt;/ENLibraries&gt;"/>
  </w:docVars>
  <w:rsids>
    <w:rsidRoot w:val="00BB3499"/>
    <w:rsid w:val="00002E52"/>
    <w:rsid w:val="0000599F"/>
    <w:rsid w:val="00015BF5"/>
    <w:rsid w:val="00017E80"/>
    <w:rsid w:val="00052780"/>
    <w:rsid w:val="0005400D"/>
    <w:rsid w:val="000635CB"/>
    <w:rsid w:val="00066835"/>
    <w:rsid w:val="00066A1D"/>
    <w:rsid w:val="000677A5"/>
    <w:rsid w:val="00067EFC"/>
    <w:rsid w:val="00083A5D"/>
    <w:rsid w:val="00086467"/>
    <w:rsid w:val="00090572"/>
    <w:rsid w:val="00094D36"/>
    <w:rsid w:val="00094F24"/>
    <w:rsid w:val="000A1700"/>
    <w:rsid w:val="000A17EC"/>
    <w:rsid w:val="000B2AD6"/>
    <w:rsid w:val="000B32FE"/>
    <w:rsid w:val="000B5624"/>
    <w:rsid w:val="000C0776"/>
    <w:rsid w:val="000C33E5"/>
    <w:rsid w:val="000C3D83"/>
    <w:rsid w:val="000C50ED"/>
    <w:rsid w:val="000C7F20"/>
    <w:rsid w:val="000D1D7A"/>
    <w:rsid w:val="000D22C4"/>
    <w:rsid w:val="000D45EE"/>
    <w:rsid w:val="000E5C6B"/>
    <w:rsid w:val="000F0D42"/>
    <w:rsid w:val="000F3E61"/>
    <w:rsid w:val="000F4101"/>
    <w:rsid w:val="000F683A"/>
    <w:rsid w:val="00101EC0"/>
    <w:rsid w:val="0010397E"/>
    <w:rsid w:val="001131EE"/>
    <w:rsid w:val="001210A7"/>
    <w:rsid w:val="001247FE"/>
    <w:rsid w:val="00127E48"/>
    <w:rsid w:val="0013588B"/>
    <w:rsid w:val="00141DBB"/>
    <w:rsid w:val="00150487"/>
    <w:rsid w:val="0015083F"/>
    <w:rsid w:val="001522F1"/>
    <w:rsid w:val="00155BE8"/>
    <w:rsid w:val="00174D86"/>
    <w:rsid w:val="0019162B"/>
    <w:rsid w:val="001A02E9"/>
    <w:rsid w:val="001A3E03"/>
    <w:rsid w:val="001B1563"/>
    <w:rsid w:val="001B3EE7"/>
    <w:rsid w:val="001E23F6"/>
    <w:rsid w:val="001E41D9"/>
    <w:rsid w:val="001E4F1C"/>
    <w:rsid w:val="001F1350"/>
    <w:rsid w:val="00212EFF"/>
    <w:rsid w:val="00234E70"/>
    <w:rsid w:val="002425F4"/>
    <w:rsid w:val="00252D96"/>
    <w:rsid w:val="0025519E"/>
    <w:rsid w:val="00255A50"/>
    <w:rsid w:val="00257B80"/>
    <w:rsid w:val="002613C9"/>
    <w:rsid w:val="00280400"/>
    <w:rsid w:val="002821ED"/>
    <w:rsid w:val="00292671"/>
    <w:rsid w:val="002B62EF"/>
    <w:rsid w:val="002B7561"/>
    <w:rsid w:val="002C077E"/>
    <w:rsid w:val="002C2D79"/>
    <w:rsid w:val="002C3B3E"/>
    <w:rsid w:val="002D3E31"/>
    <w:rsid w:val="002E6F62"/>
    <w:rsid w:val="002F1B1C"/>
    <w:rsid w:val="002F3C20"/>
    <w:rsid w:val="0030340E"/>
    <w:rsid w:val="0030722F"/>
    <w:rsid w:val="0031093D"/>
    <w:rsid w:val="0032198F"/>
    <w:rsid w:val="00331D14"/>
    <w:rsid w:val="00334C94"/>
    <w:rsid w:val="00336FC2"/>
    <w:rsid w:val="00344FFA"/>
    <w:rsid w:val="003479B4"/>
    <w:rsid w:val="00347C6B"/>
    <w:rsid w:val="00351419"/>
    <w:rsid w:val="00361852"/>
    <w:rsid w:val="00373C3F"/>
    <w:rsid w:val="00380E95"/>
    <w:rsid w:val="003851E9"/>
    <w:rsid w:val="00392B6B"/>
    <w:rsid w:val="0039517C"/>
    <w:rsid w:val="003A04EA"/>
    <w:rsid w:val="003A199E"/>
    <w:rsid w:val="003A1F14"/>
    <w:rsid w:val="003B4B00"/>
    <w:rsid w:val="003C0C49"/>
    <w:rsid w:val="003C2A07"/>
    <w:rsid w:val="003D2329"/>
    <w:rsid w:val="003D3653"/>
    <w:rsid w:val="003D67E0"/>
    <w:rsid w:val="003E29CE"/>
    <w:rsid w:val="003E5855"/>
    <w:rsid w:val="003F25AE"/>
    <w:rsid w:val="003F566E"/>
    <w:rsid w:val="0040633C"/>
    <w:rsid w:val="00411C13"/>
    <w:rsid w:val="00412DAD"/>
    <w:rsid w:val="00412EB7"/>
    <w:rsid w:val="00417243"/>
    <w:rsid w:val="00427A3E"/>
    <w:rsid w:val="00441E9E"/>
    <w:rsid w:val="00442F19"/>
    <w:rsid w:val="00452F6E"/>
    <w:rsid w:val="00453501"/>
    <w:rsid w:val="00455325"/>
    <w:rsid w:val="00455CBF"/>
    <w:rsid w:val="00460245"/>
    <w:rsid w:val="00461392"/>
    <w:rsid w:val="00463B2E"/>
    <w:rsid w:val="0046521D"/>
    <w:rsid w:val="00467B26"/>
    <w:rsid w:val="00481D63"/>
    <w:rsid w:val="0048301F"/>
    <w:rsid w:val="00483654"/>
    <w:rsid w:val="004872CA"/>
    <w:rsid w:val="004937B2"/>
    <w:rsid w:val="00497680"/>
    <w:rsid w:val="004B272D"/>
    <w:rsid w:val="004B43B7"/>
    <w:rsid w:val="004C494A"/>
    <w:rsid w:val="004E3FB0"/>
    <w:rsid w:val="004E4224"/>
    <w:rsid w:val="004F1770"/>
    <w:rsid w:val="0052679B"/>
    <w:rsid w:val="0052781F"/>
    <w:rsid w:val="00532BA7"/>
    <w:rsid w:val="00532E80"/>
    <w:rsid w:val="00533F91"/>
    <w:rsid w:val="00534143"/>
    <w:rsid w:val="00550C74"/>
    <w:rsid w:val="00552095"/>
    <w:rsid w:val="0056760B"/>
    <w:rsid w:val="005727B2"/>
    <w:rsid w:val="0057377C"/>
    <w:rsid w:val="0058114A"/>
    <w:rsid w:val="00583612"/>
    <w:rsid w:val="00594907"/>
    <w:rsid w:val="005A7F6B"/>
    <w:rsid w:val="005B6F34"/>
    <w:rsid w:val="005B71C6"/>
    <w:rsid w:val="005C3039"/>
    <w:rsid w:val="005C51BF"/>
    <w:rsid w:val="005D127D"/>
    <w:rsid w:val="005E2650"/>
    <w:rsid w:val="005E6EEC"/>
    <w:rsid w:val="00603B50"/>
    <w:rsid w:val="00610491"/>
    <w:rsid w:val="006148F6"/>
    <w:rsid w:val="006153E6"/>
    <w:rsid w:val="00622832"/>
    <w:rsid w:val="0062349F"/>
    <w:rsid w:val="006268E1"/>
    <w:rsid w:val="00634E2A"/>
    <w:rsid w:val="006355AD"/>
    <w:rsid w:val="00640786"/>
    <w:rsid w:val="00643792"/>
    <w:rsid w:val="006467B4"/>
    <w:rsid w:val="006614E9"/>
    <w:rsid w:val="0066318A"/>
    <w:rsid w:val="0066716C"/>
    <w:rsid w:val="00676824"/>
    <w:rsid w:val="00676C53"/>
    <w:rsid w:val="00682158"/>
    <w:rsid w:val="006827E6"/>
    <w:rsid w:val="006860E4"/>
    <w:rsid w:val="00692E09"/>
    <w:rsid w:val="006962E9"/>
    <w:rsid w:val="006973C0"/>
    <w:rsid w:val="006A44EE"/>
    <w:rsid w:val="006B5ED4"/>
    <w:rsid w:val="006D10B2"/>
    <w:rsid w:val="006D624B"/>
    <w:rsid w:val="006E1DA1"/>
    <w:rsid w:val="006E6F03"/>
    <w:rsid w:val="006F5861"/>
    <w:rsid w:val="007059CB"/>
    <w:rsid w:val="00713DCA"/>
    <w:rsid w:val="0071767D"/>
    <w:rsid w:val="00723DE7"/>
    <w:rsid w:val="00725B9A"/>
    <w:rsid w:val="007263D9"/>
    <w:rsid w:val="007350B4"/>
    <w:rsid w:val="00736630"/>
    <w:rsid w:val="00742FCA"/>
    <w:rsid w:val="00747774"/>
    <w:rsid w:val="00766E54"/>
    <w:rsid w:val="007849FD"/>
    <w:rsid w:val="00787F5D"/>
    <w:rsid w:val="00792935"/>
    <w:rsid w:val="00794C69"/>
    <w:rsid w:val="007A7429"/>
    <w:rsid w:val="007B2EA4"/>
    <w:rsid w:val="007B4829"/>
    <w:rsid w:val="007C0701"/>
    <w:rsid w:val="007C20C7"/>
    <w:rsid w:val="007D0EE7"/>
    <w:rsid w:val="007D3692"/>
    <w:rsid w:val="008015BC"/>
    <w:rsid w:val="0080431B"/>
    <w:rsid w:val="00804F50"/>
    <w:rsid w:val="008162F4"/>
    <w:rsid w:val="00817ED7"/>
    <w:rsid w:val="00825F38"/>
    <w:rsid w:val="008333E3"/>
    <w:rsid w:val="008400F2"/>
    <w:rsid w:val="00844589"/>
    <w:rsid w:val="0084763B"/>
    <w:rsid w:val="00847665"/>
    <w:rsid w:val="008606CE"/>
    <w:rsid w:val="00862073"/>
    <w:rsid w:val="00866359"/>
    <w:rsid w:val="008711F1"/>
    <w:rsid w:val="00875B47"/>
    <w:rsid w:val="00876C31"/>
    <w:rsid w:val="00887B83"/>
    <w:rsid w:val="008970A6"/>
    <w:rsid w:val="008A0081"/>
    <w:rsid w:val="008A574E"/>
    <w:rsid w:val="008B7DE4"/>
    <w:rsid w:val="008C0074"/>
    <w:rsid w:val="008C0632"/>
    <w:rsid w:val="008C36C2"/>
    <w:rsid w:val="008C652C"/>
    <w:rsid w:val="008D39F6"/>
    <w:rsid w:val="008E5452"/>
    <w:rsid w:val="00903455"/>
    <w:rsid w:val="009133ED"/>
    <w:rsid w:val="009430AD"/>
    <w:rsid w:val="0094471D"/>
    <w:rsid w:val="00947042"/>
    <w:rsid w:val="00950503"/>
    <w:rsid w:val="00950E77"/>
    <w:rsid w:val="009546A6"/>
    <w:rsid w:val="00970A51"/>
    <w:rsid w:val="0097280A"/>
    <w:rsid w:val="0099352D"/>
    <w:rsid w:val="00993CCA"/>
    <w:rsid w:val="00997DEA"/>
    <w:rsid w:val="009B1F6C"/>
    <w:rsid w:val="009C757C"/>
    <w:rsid w:val="009D2826"/>
    <w:rsid w:val="009D4514"/>
    <w:rsid w:val="009D5022"/>
    <w:rsid w:val="009E6F97"/>
    <w:rsid w:val="009F458E"/>
    <w:rsid w:val="00A03CFE"/>
    <w:rsid w:val="00A1306C"/>
    <w:rsid w:val="00A14EEE"/>
    <w:rsid w:val="00A1672B"/>
    <w:rsid w:val="00A21CAA"/>
    <w:rsid w:val="00A21D79"/>
    <w:rsid w:val="00A2491D"/>
    <w:rsid w:val="00A3509E"/>
    <w:rsid w:val="00A378CF"/>
    <w:rsid w:val="00A42CDF"/>
    <w:rsid w:val="00A57F70"/>
    <w:rsid w:val="00A70DC6"/>
    <w:rsid w:val="00A7255B"/>
    <w:rsid w:val="00A73B6B"/>
    <w:rsid w:val="00A76C44"/>
    <w:rsid w:val="00A800B8"/>
    <w:rsid w:val="00A802AF"/>
    <w:rsid w:val="00A847E3"/>
    <w:rsid w:val="00A84943"/>
    <w:rsid w:val="00A91730"/>
    <w:rsid w:val="00A925B3"/>
    <w:rsid w:val="00A9278D"/>
    <w:rsid w:val="00A9362D"/>
    <w:rsid w:val="00A9381D"/>
    <w:rsid w:val="00AA6A02"/>
    <w:rsid w:val="00AA6B65"/>
    <w:rsid w:val="00AB12E5"/>
    <w:rsid w:val="00AB153F"/>
    <w:rsid w:val="00AC2DFC"/>
    <w:rsid w:val="00AC31C5"/>
    <w:rsid w:val="00AE0264"/>
    <w:rsid w:val="00AF0A70"/>
    <w:rsid w:val="00AF45EE"/>
    <w:rsid w:val="00AF579D"/>
    <w:rsid w:val="00B04A87"/>
    <w:rsid w:val="00B07054"/>
    <w:rsid w:val="00B07C5C"/>
    <w:rsid w:val="00B14CA6"/>
    <w:rsid w:val="00B15FC1"/>
    <w:rsid w:val="00B17665"/>
    <w:rsid w:val="00B208E7"/>
    <w:rsid w:val="00B237E6"/>
    <w:rsid w:val="00B24358"/>
    <w:rsid w:val="00B32212"/>
    <w:rsid w:val="00B32B52"/>
    <w:rsid w:val="00B3586E"/>
    <w:rsid w:val="00B37572"/>
    <w:rsid w:val="00B40099"/>
    <w:rsid w:val="00B40521"/>
    <w:rsid w:val="00B47E24"/>
    <w:rsid w:val="00B506E2"/>
    <w:rsid w:val="00B55F29"/>
    <w:rsid w:val="00B57BBB"/>
    <w:rsid w:val="00B629C8"/>
    <w:rsid w:val="00B6308E"/>
    <w:rsid w:val="00B7244F"/>
    <w:rsid w:val="00B750DA"/>
    <w:rsid w:val="00B7572E"/>
    <w:rsid w:val="00B759F1"/>
    <w:rsid w:val="00B76E68"/>
    <w:rsid w:val="00B84C12"/>
    <w:rsid w:val="00B84D90"/>
    <w:rsid w:val="00B95391"/>
    <w:rsid w:val="00BB1369"/>
    <w:rsid w:val="00BB3499"/>
    <w:rsid w:val="00BB6B54"/>
    <w:rsid w:val="00BC5669"/>
    <w:rsid w:val="00BD156F"/>
    <w:rsid w:val="00BD4C27"/>
    <w:rsid w:val="00BD78A0"/>
    <w:rsid w:val="00BE176A"/>
    <w:rsid w:val="00BF0371"/>
    <w:rsid w:val="00C00695"/>
    <w:rsid w:val="00C01EA4"/>
    <w:rsid w:val="00C0526B"/>
    <w:rsid w:val="00C065C0"/>
    <w:rsid w:val="00C225B4"/>
    <w:rsid w:val="00C23AE1"/>
    <w:rsid w:val="00C30B9D"/>
    <w:rsid w:val="00C43AD9"/>
    <w:rsid w:val="00C47943"/>
    <w:rsid w:val="00C50FB8"/>
    <w:rsid w:val="00C6480F"/>
    <w:rsid w:val="00C722E4"/>
    <w:rsid w:val="00C724D5"/>
    <w:rsid w:val="00C72E90"/>
    <w:rsid w:val="00C7691E"/>
    <w:rsid w:val="00C875DF"/>
    <w:rsid w:val="00C87B96"/>
    <w:rsid w:val="00C91E11"/>
    <w:rsid w:val="00C97A3A"/>
    <w:rsid w:val="00CA43B1"/>
    <w:rsid w:val="00CA678A"/>
    <w:rsid w:val="00CA6B5A"/>
    <w:rsid w:val="00CB2846"/>
    <w:rsid w:val="00CB57EA"/>
    <w:rsid w:val="00CB6778"/>
    <w:rsid w:val="00CD003E"/>
    <w:rsid w:val="00CD5A93"/>
    <w:rsid w:val="00CF3F60"/>
    <w:rsid w:val="00CF7C8E"/>
    <w:rsid w:val="00D01330"/>
    <w:rsid w:val="00D01BB5"/>
    <w:rsid w:val="00D05200"/>
    <w:rsid w:val="00D21B14"/>
    <w:rsid w:val="00D2236F"/>
    <w:rsid w:val="00D316E8"/>
    <w:rsid w:val="00D462DD"/>
    <w:rsid w:val="00D4631B"/>
    <w:rsid w:val="00D50146"/>
    <w:rsid w:val="00D519D1"/>
    <w:rsid w:val="00D65460"/>
    <w:rsid w:val="00D705CE"/>
    <w:rsid w:val="00D77654"/>
    <w:rsid w:val="00D90B98"/>
    <w:rsid w:val="00D93B45"/>
    <w:rsid w:val="00DA038B"/>
    <w:rsid w:val="00DA4954"/>
    <w:rsid w:val="00DA4B5B"/>
    <w:rsid w:val="00DB0E76"/>
    <w:rsid w:val="00DB25E1"/>
    <w:rsid w:val="00DB7DB5"/>
    <w:rsid w:val="00DC0037"/>
    <w:rsid w:val="00DC0803"/>
    <w:rsid w:val="00DD0B72"/>
    <w:rsid w:val="00DD706B"/>
    <w:rsid w:val="00DE14FD"/>
    <w:rsid w:val="00DE6044"/>
    <w:rsid w:val="00E0136F"/>
    <w:rsid w:val="00E16254"/>
    <w:rsid w:val="00E16BEA"/>
    <w:rsid w:val="00E177FE"/>
    <w:rsid w:val="00E21952"/>
    <w:rsid w:val="00E222F0"/>
    <w:rsid w:val="00E22311"/>
    <w:rsid w:val="00E25CF3"/>
    <w:rsid w:val="00E26249"/>
    <w:rsid w:val="00E3769D"/>
    <w:rsid w:val="00E37DB6"/>
    <w:rsid w:val="00E5193C"/>
    <w:rsid w:val="00E5268F"/>
    <w:rsid w:val="00E74D7D"/>
    <w:rsid w:val="00E85777"/>
    <w:rsid w:val="00E86111"/>
    <w:rsid w:val="00E9120F"/>
    <w:rsid w:val="00E95D8A"/>
    <w:rsid w:val="00E97912"/>
    <w:rsid w:val="00EA1217"/>
    <w:rsid w:val="00EA2247"/>
    <w:rsid w:val="00EA286A"/>
    <w:rsid w:val="00EA7EDF"/>
    <w:rsid w:val="00EC31EE"/>
    <w:rsid w:val="00EC5E94"/>
    <w:rsid w:val="00EC60AC"/>
    <w:rsid w:val="00ED7B0F"/>
    <w:rsid w:val="00EE07F8"/>
    <w:rsid w:val="00EE1A90"/>
    <w:rsid w:val="00EE1DAD"/>
    <w:rsid w:val="00EE1EA9"/>
    <w:rsid w:val="00EE519B"/>
    <w:rsid w:val="00EE5B39"/>
    <w:rsid w:val="00EE5DBC"/>
    <w:rsid w:val="00EE6673"/>
    <w:rsid w:val="00F01F32"/>
    <w:rsid w:val="00F0326B"/>
    <w:rsid w:val="00F061BA"/>
    <w:rsid w:val="00F06D14"/>
    <w:rsid w:val="00F07347"/>
    <w:rsid w:val="00F075C8"/>
    <w:rsid w:val="00F10223"/>
    <w:rsid w:val="00F1200F"/>
    <w:rsid w:val="00F23D20"/>
    <w:rsid w:val="00F3263F"/>
    <w:rsid w:val="00F3667A"/>
    <w:rsid w:val="00F548EA"/>
    <w:rsid w:val="00F5790A"/>
    <w:rsid w:val="00F60690"/>
    <w:rsid w:val="00F7062A"/>
    <w:rsid w:val="00F7449D"/>
    <w:rsid w:val="00F74BDF"/>
    <w:rsid w:val="00F778E7"/>
    <w:rsid w:val="00F83B16"/>
    <w:rsid w:val="00F83D41"/>
    <w:rsid w:val="00F8562C"/>
    <w:rsid w:val="00F863F6"/>
    <w:rsid w:val="00F87E37"/>
    <w:rsid w:val="00F91017"/>
    <w:rsid w:val="00FA656F"/>
    <w:rsid w:val="00FB18BC"/>
    <w:rsid w:val="00FD31BB"/>
    <w:rsid w:val="00FE0925"/>
    <w:rsid w:val="00FF2E3A"/>
    <w:rsid w:val="00FF352F"/>
    <w:rsid w:val="00FF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D83A"/>
  <w15:docId w15:val="{2F524CED-F3A1-42B9-A40F-2467FD32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99"/>
    <w:pPr>
      <w:spacing w:after="200" w:line="276" w:lineRule="auto"/>
    </w:pPr>
    <w:rPr>
      <w:sz w:val="22"/>
      <w:szCs w:val="22"/>
      <w:lang w:eastAsia="en-US"/>
    </w:rPr>
  </w:style>
  <w:style w:type="paragraph" w:styleId="Heading1">
    <w:name w:val="heading 1"/>
    <w:basedOn w:val="Normal"/>
    <w:link w:val="Heading1Char"/>
    <w:uiPriority w:val="9"/>
    <w:qFormat/>
    <w:rsid w:val="005D127D"/>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rsid w:val="00BB3499"/>
    <w:rPr>
      <w:rFonts w:cs="Times New Roman"/>
    </w:rPr>
  </w:style>
  <w:style w:type="table" w:styleId="TableGrid">
    <w:name w:val="Table Grid"/>
    <w:basedOn w:val="TableNormal"/>
    <w:uiPriority w:val="59"/>
    <w:rsid w:val="0041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912"/>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C0632"/>
    <w:rPr>
      <w:sz w:val="16"/>
      <w:szCs w:val="16"/>
    </w:rPr>
  </w:style>
  <w:style w:type="paragraph" w:styleId="CommentText">
    <w:name w:val="annotation text"/>
    <w:basedOn w:val="Normal"/>
    <w:link w:val="CommentTextChar"/>
    <w:uiPriority w:val="99"/>
    <w:unhideWhenUsed/>
    <w:rsid w:val="008C0632"/>
    <w:pPr>
      <w:spacing w:line="240" w:lineRule="auto"/>
    </w:pPr>
    <w:rPr>
      <w:sz w:val="20"/>
      <w:szCs w:val="20"/>
    </w:rPr>
  </w:style>
  <w:style w:type="character" w:customStyle="1" w:styleId="CommentTextChar">
    <w:name w:val="Comment Text Char"/>
    <w:link w:val="CommentText"/>
    <w:uiPriority w:val="99"/>
    <w:rsid w:val="008C0632"/>
    <w:rPr>
      <w:sz w:val="20"/>
      <w:szCs w:val="20"/>
    </w:rPr>
  </w:style>
  <w:style w:type="paragraph" w:styleId="CommentSubject">
    <w:name w:val="annotation subject"/>
    <w:basedOn w:val="CommentText"/>
    <w:next w:val="CommentText"/>
    <w:link w:val="CommentSubjectChar"/>
    <w:uiPriority w:val="99"/>
    <w:semiHidden/>
    <w:unhideWhenUsed/>
    <w:rsid w:val="008C0632"/>
    <w:rPr>
      <w:b/>
      <w:bCs/>
    </w:rPr>
  </w:style>
  <w:style w:type="character" w:customStyle="1" w:styleId="CommentSubjectChar">
    <w:name w:val="Comment Subject Char"/>
    <w:link w:val="CommentSubject"/>
    <w:uiPriority w:val="99"/>
    <w:semiHidden/>
    <w:rsid w:val="008C0632"/>
    <w:rPr>
      <w:b/>
      <w:bCs/>
      <w:sz w:val="20"/>
      <w:szCs w:val="20"/>
    </w:rPr>
  </w:style>
  <w:style w:type="paragraph" w:styleId="BalloonText">
    <w:name w:val="Balloon Text"/>
    <w:basedOn w:val="Normal"/>
    <w:link w:val="BalloonTextChar"/>
    <w:uiPriority w:val="99"/>
    <w:semiHidden/>
    <w:unhideWhenUsed/>
    <w:rsid w:val="008C06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0632"/>
    <w:rPr>
      <w:rFonts w:ascii="Tahoma" w:hAnsi="Tahoma" w:cs="Tahoma"/>
      <w:sz w:val="16"/>
      <w:szCs w:val="16"/>
    </w:rPr>
  </w:style>
  <w:style w:type="paragraph" w:styleId="Header">
    <w:name w:val="header"/>
    <w:basedOn w:val="Normal"/>
    <w:link w:val="HeaderChar"/>
    <w:uiPriority w:val="99"/>
    <w:unhideWhenUsed/>
    <w:rsid w:val="00F36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67A"/>
  </w:style>
  <w:style w:type="paragraph" w:styleId="Footer">
    <w:name w:val="footer"/>
    <w:basedOn w:val="Normal"/>
    <w:link w:val="FooterChar"/>
    <w:uiPriority w:val="99"/>
    <w:unhideWhenUsed/>
    <w:rsid w:val="00F36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67A"/>
  </w:style>
  <w:style w:type="paragraph" w:customStyle="1" w:styleId="Standard">
    <w:name w:val="Standard"/>
    <w:rsid w:val="0052679B"/>
    <w:pPr>
      <w:widowControl w:val="0"/>
      <w:suppressAutoHyphens/>
      <w:autoSpaceDN w:val="0"/>
      <w:textAlignment w:val="baseline"/>
    </w:pPr>
    <w:rPr>
      <w:rFonts w:ascii="Nimbus Roman No9 L" w:eastAsia="DejaVu Sans" w:hAnsi="Nimbus Roman No9 L" w:cs="DejaVu Sans"/>
      <w:kern w:val="3"/>
      <w:sz w:val="24"/>
      <w:szCs w:val="24"/>
    </w:rPr>
  </w:style>
  <w:style w:type="paragraph" w:styleId="NormalWeb">
    <w:name w:val="Normal (Web)"/>
    <w:basedOn w:val="Normal"/>
    <w:uiPriority w:val="99"/>
    <w:semiHidden/>
    <w:unhideWhenUsed/>
    <w:rsid w:val="00E74D7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5D127D"/>
    <w:rPr>
      <w:rFonts w:ascii="Times New Roman" w:eastAsia="Times New Roman" w:hAnsi="Times New Roman"/>
      <w:b/>
      <w:bCs/>
      <w:kern w:val="36"/>
      <w:sz w:val="48"/>
      <w:szCs w:val="48"/>
    </w:rPr>
  </w:style>
  <w:style w:type="character" w:styleId="Hyperlink">
    <w:name w:val="Hyperlink"/>
    <w:uiPriority w:val="99"/>
    <w:semiHidden/>
    <w:unhideWhenUsed/>
    <w:rsid w:val="005D127D"/>
    <w:rPr>
      <w:color w:val="0000FF"/>
      <w:u w:val="single"/>
    </w:rPr>
  </w:style>
  <w:style w:type="paragraph" w:styleId="Revision">
    <w:name w:val="Revision"/>
    <w:hidden/>
    <w:uiPriority w:val="99"/>
    <w:semiHidden/>
    <w:rsid w:val="00DC08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6228">
      <w:bodyDiv w:val="1"/>
      <w:marLeft w:val="0"/>
      <w:marRight w:val="0"/>
      <w:marTop w:val="0"/>
      <w:marBottom w:val="0"/>
      <w:divBdr>
        <w:top w:val="none" w:sz="0" w:space="0" w:color="auto"/>
        <w:left w:val="none" w:sz="0" w:space="0" w:color="auto"/>
        <w:bottom w:val="none" w:sz="0" w:space="0" w:color="auto"/>
        <w:right w:val="none" w:sz="0" w:space="0" w:color="auto"/>
      </w:divBdr>
    </w:div>
    <w:div w:id="326592871">
      <w:bodyDiv w:val="1"/>
      <w:marLeft w:val="0"/>
      <w:marRight w:val="0"/>
      <w:marTop w:val="0"/>
      <w:marBottom w:val="0"/>
      <w:divBdr>
        <w:top w:val="none" w:sz="0" w:space="0" w:color="auto"/>
        <w:left w:val="none" w:sz="0" w:space="0" w:color="auto"/>
        <w:bottom w:val="none" w:sz="0" w:space="0" w:color="auto"/>
        <w:right w:val="none" w:sz="0" w:space="0" w:color="auto"/>
      </w:divBdr>
    </w:div>
    <w:div w:id="695619310">
      <w:bodyDiv w:val="1"/>
      <w:marLeft w:val="0"/>
      <w:marRight w:val="0"/>
      <w:marTop w:val="0"/>
      <w:marBottom w:val="0"/>
      <w:divBdr>
        <w:top w:val="none" w:sz="0" w:space="0" w:color="auto"/>
        <w:left w:val="none" w:sz="0" w:space="0" w:color="auto"/>
        <w:bottom w:val="none" w:sz="0" w:space="0" w:color="auto"/>
        <w:right w:val="none" w:sz="0" w:space="0" w:color="auto"/>
      </w:divBdr>
    </w:div>
    <w:div w:id="851802045">
      <w:bodyDiv w:val="1"/>
      <w:marLeft w:val="0"/>
      <w:marRight w:val="0"/>
      <w:marTop w:val="0"/>
      <w:marBottom w:val="0"/>
      <w:divBdr>
        <w:top w:val="none" w:sz="0" w:space="0" w:color="auto"/>
        <w:left w:val="none" w:sz="0" w:space="0" w:color="auto"/>
        <w:bottom w:val="none" w:sz="0" w:space="0" w:color="auto"/>
        <w:right w:val="none" w:sz="0" w:space="0" w:color="auto"/>
      </w:divBdr>
    </w:div>
    <w:div w:id="987899771">
      <w:bodyDiv w:val="1"/>
      <w:marLeft w:val="0"/>
      <w:marRight w:val="0"/>
      <w:marTop w:val="0"/>
      <w:marBottom w:val="0"/>
      <w:divBdr>
        <w:top w:val="none" w:sz="0" w:space="0" w:color="auto"/>
        <w:left w:val="none" w:sz="0" w:space="0" w:color="auto"/>
        <w:bottom w:val="none" w:sz="0" w:space="0" w:color="auto"/>
        <w:right w:val="none" w:sz="0" w:space="0" w:color="auto"/>
      </w:divBdr>
    </w:div>
    <w:div w:id="1359507555">
      <w:bodyDiv w:val="1"/>
      <w:marLeft w:val="0"/>
      <w:marRight w:val="0"/>
      <w:marTop w:val="0"/>
      <w:marBottom w:val="0"/>
      <w:divBdr>
        <w:top w:val="none" w:sz="0" w:space="0" w:color="auto"/>
        <w:left w:val="none" w:sz="0" w:space="0" w:color="auto"/>
        <w:bottom w:val="none" w:sz="0" w:space="0" w:color="auto"/>
        <w:right w:val="none" w:sz="0" w:space="0" w:color="auto"/>
      </w:divBdr>
    </w:div>
    <w:div w:id="1458525039">
      <w:bodyDiv w:val="1"/>
      <w:marLeft w:val="0"/>
      <w:marRight w:val="0"/>
      <w:marTop w:val="0"/>
      <w:marBottom w:val="0"/>
      <w:divBdr>
        <w:top w:val="none" w:sz="0" w:space="0" w:color="auto"/>
        <w:left w:val="none" w:sz="0" w:space="0" w:color="auto"/>
        <w:bottom w:val="none" w:sz="0" w:space="0" w:color="auto"/>
        <w:right w:val="none" w:sz="0" w:space="0" w:color="auto"/>
      </w:divBdr>
    </w:div>
    <w:div w:id="1795565223">
      <w:bodyDiv w:val="1"/>
      <w:marLeft w:val="0"/>
      <w:marRight w:val="0"/>
      <w:marTop w:val="0"/>
      <w:marBottom w:val="0"/>
      <w:divBdr>
        <w:top w:val="none" w:sz="0" w:space="0" w:color="auto"/>
        <w:left w:val="none" w:sz="0" w:space="0" w:color="auto"/>
        <w:bottom w:val="none" w:sz="0" w:space="0" w:color="auto"/>
        <w:right w:val="none" w:sz="0" w:space="0" w:color="auto"/>
      </w:divBdr>
    </w:div>
    <w:div w:id="2021656742">
      <w:bodyDiv w:val="1"/>
      <w:marLeft w:val="0"/>
      <w:marRight w:val="0"/>
      <w:marTop w:val="0"/>
      <w:marBottom w:val="0"/>
      <w:divBdr>
        <w:top w:val="none" w:sz="0" w:space="0" w:color="auto"/>
        <w:left w:val="none" w:sz="0" w:space="0" w:color="auto"/>
        <w:bottom w:val="none" w:sz="0" w:space="0" w:color="auto"/>
        <w:right w:val="none" w:sz="0" w:space="0" w:color="auto"/>
      </w:divBdr>
    </w:div>
    <w:div w:id="21431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3D7D-8DEB-4FD4-B6C7-BFC55475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6088</Words>
  <Characters>34708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40715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Bravo, Alicia</dc:creator>
  <cp:lastModifiedBy>Paul White</cp:lastModifiedBy>
  <cp:revision>2</cp:revision>
  <dcterms:created xsi:type="dcterms:W3CDTF">2021-02-14T17:33:00Z</dcterms:created>
  <dcterms:modified xsi:type="dcterms:W3CDTF">2021-02-14T17:33:00Z</dcterms:modified>
</cp:coreProperties>
</file>