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7.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8.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9.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0.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1.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BECD6" w14:textId="77777777" w:rsidR="00BF7094" w:rsidRPr="00AB258D" w:rsidRDefault="00942DAF" w:rsidP="00942DAF">
      <w:pPr>
        <w:jc w:val="center"/>
        <w:rPr>
          <w:rFonts w:cstheme="minorHAnsi"/>
          <w:sz w:val="32"/>
          <w:szCs w:val="32"/>
        </w:rPr>
      </w:pPr>
      <w:r w:rsidRPr="00AB258D">
        <w:rPr>
          <w:rFonts w:cstheme="minorHAnsi"/>
          <w:sz w:val="32"/>
          <w:szCs w:val="32"/>
        </w:rPr>
        <w:t xml:space="preserve">Experimental study on the use of </w:t>
      </w:r>
      <w:proofErr w:type="spellStart"/>
      <w:r w:rsidR="00A430CD" w:rsidRPr="00AB258D">
        <w:rPr>
          <w:rFonts w:cstheme="minorHAnsi"/>
          <w:sz w:val="32"/>
          <w:szCs w:val="32"/>
        </w:rPr>
        <w:t>R</w:t>
      </w:r>
      <w:r w:rsidR="00B44D6C" w:rsidRPr="00AB258D">
        <w:rPr>
          <w:rFonts w:cstheme="minorHAnsi"/>
          <w:sz w:val="32"/>
          <w:szCs w:val="32"/>
        </w:rPr>
        <w:t>oad</w:t>
      </w:r>
      <w:r w:rsidR="00A430CD" w:rsidRPr="00AB258D">
        <w:rPr>
          <w:rFonts w:cstheme="minorHAnsi"/>
          <w:sz w:val="32"/>
          <w:szCs w:val="32"/>
        </w:rPr>
        <w:t>C</w:t>
      </w:r>
      <w:r w:rsidR="00B44D6C" w:rsidRPr="00AB258D">
        <w:rPr>
          <w:rFonts w:cstheme="minorHAnsi"/>
          <w:sz w:val="32"/>
          <w:szCs w:val="32"/>
        </w:rPr>
        <w:t>em</w:t>
      </w:r>
      <w:proofErr w:type="spellEnd"/>
      <w:r w:rsidRPr="00AB258D">
        <w:rPr>
          <w:rFonts w:cstheme="minorHAnsi"/>
          <w:sz w:val="32"/>
          <w:szCs w:val="32"/>
        </w:rPr>
        <w:t xml:space="preserve"> blended with by-product cementitious materials for s</w:t>
      </w:r>
      <w:r w:rsidR="00203EF5" w:rsidRPr="00AB258D">
        <w:rPr>
          <w:rFonts w:cstheme="minorHAnsi"/>
          <w:sz w:val="32"/>
          <w:szCs w:val="32"/>
        </w:rPr>
        <w:t xml:space="preserve">tabilisation of </w:t>
      </w:r>
      <w:r w:rsidRPr="00AB258D">
        <w:rPr>
          <w:rFonts w:cstheme="minorHAnsi"/>
          <w:sz w:val="32"/>
          <w:szCs w:val="32"/>
        </w:rPr>
        <w:t>c</w:t>
      </w:r>
      <w:r w:rsidR="00203EF5" w:rsidRPr="00AB258D">
        <w:rPr>
          <w:rFonts w:cstheme="minorHAnsi"/>
          <w:sz w:val="32"/>
          <w:szCs w:val="32"/>
        </w:rPr>
        <w:t xml:space="preserve">lay </w:t>
      </w:r>
      <w:r w:rsidRPr="00AB258D">
        <w:rPr>
          <w:rFonts w:cstheme="minorHAnsi"/>
          <w:sz w:val="32"/>
          <w:szCs w:val="32"/>
        </w:rPr>
        <w:t>soils</w:t>
      </w:r>
    </w:p>
    <w:p w14:paraId="6049A69B" w14:textId="77777777" w:rsidR="00BF7094" w:rsidRPr="00AB258D" w:rsidRDefault="006E4366" w:rsidP="004971BF">
      <w:pPr>
        <w:jc w:val="center"/>
        <w:rPr>
          <w:rFonts w:cstheme="minorHAnsi"/>
        </w:rPr>
      </w:pPr>
      <w:r w:rsidRPr="00AB258D">
        <w:rPr>
          <w:rFonts w:eastAsia="Times New Roman" w:cstheme="minorHAnsi"/>
          <w:bCs/>
          <w:sz w:val="24"/>
          <w:szCs w:val="24"/>
          <w:lang w:eastAsia="en-GB"/>
        </w:rPr>
        <w:t xml:space="preserve">Samuel J. </w:t>
      </w:r>
      <w:proofErr w:type="spellStart"/>
      <w:r w:rsidR="00BF7094" w:rsidRPr="00AB258D">
        <w:rPr>
          <w:rFonts w:eastAsia="Times New Roman" w:cstheme="minorHAnsi"/>
          <w:bCs/>
          <w:sz w:val="24"/>
          <w:szCs w:val="24"/>
          <w:lang w:eastAsia="en-GB"/>
        </w:rPr>
        <w:t>Abbey</w:t>
      </w:r>
      <w:r w:rsidRPr="00AB258D">
        <w:rPr>
          <w:rFonts w:eastAsia="Times New Roman" w:cstheme="minorHAnsi"/>
          <w:bCs/>
          <w:sz w:val="24"/>
          <w:szCs w:val="24"/>
          <w:vertAlign w:val="superscript"/>
          <w:lang w:eastAsia="en-GB"/>
        </w:rPr>
        <w:t>a</w:t>
      </w:r>
      <w:proofErr w:type="spellEnd"/>
      <w:r w:rsidR="00BF7094" w:rsidRPr="00AB258D">
        <w:rPr>
          <w:rFonts w:eastAsia="Times New Roman" w:cstheme="minorHAnsi"/>
          <w:bCs/>
          <w:sz w:val="24"/>
          <w:szCs w:val="24"/>
          <w:vertAlign w:val="superscript"/>
          <w:lang w:eastAsia="en-GB"/>
        </w:rPr>
        <w:t>*</w:t>
      </w:r>
      <w:r w:rsidR="00704AFB" w:rsidRPr="00AB258D">
        <w:rPr>
          <w:rFonts w:eastAsia="Times New Roman" w:cstheme="minorHAnsi"/>
          <w:bCs/>
          <w:sz w:val="24"/>
          <w:szCs w:val="24"/>
          <w:lang w:eastAsia="en-GB"/>
        </w:rPr>
        <w:t>, Eyo U. Eyo</w:t>
      </w:r>
      <w:r w:rsidR="00704AFB" w:rsidRPr="00AB258D">
        <w:rPr>
          <w:rFonts w:eastAsia="Times New Roman" w:cstheme="minorHAnsi"/>
          <w:bCs/>
          <w:sz w:val="24"/>
          <w:szCs w:val="24"/>
          <w:vertAlign w:val="superscript"/>
          <w:lang w:eastAsia="en-GB"/>
        </w:rPr>
        <w:t>b</w:t>
      </w:r>
      <w:r w:rsidR="00BF7094" w:rsidRPr="00AB258D">
        <w:rPr>
          <w:rFonts w:eastAsia="Times New Roman" w:cstheme="minorHAnsi"/>
          <w:bCs/>
          <w:sz w:val="24"/>
          <w:szCs w:val="24"/>
          <w:lang w:eastAsia="en-GB"/>
        </w:rPr>
        <w:t xml:space="preserve">, </w:t>
      </w:r>
      <w:r w:rsidR="004971BF" w:rsidRPr="00AB258D">
        <w:rPr>
          <w:rFonts w:eastAsia="Times New Roman" w:cstheme="minorHAnsi"/>
          <w:bCs/>
          <w:sz w:val="24"/>
          <w:szCs w:val="24"/>
          <w:lang w:val="en-US"/>
        </w:rPr>
        <w:t xml:space="preserve">Chukwueloka A.U. </w:t>
      </w:r>
      <w:proofErr w:type="spellStart"/>
      <w:r w:rsidR="004971BF" w:rsidRPr="00AB258D">
        <w:rPr>
          <w:rFonts w:eastAsia="Times New Roman" w:cstheme="minorHAnsi"/>
          <w:bCs/>
          <w:sz w:val="24"/>
          <w:szCs w:val="24"/>
          <w:lang w:val="en-US"/>
        </w:rPr>
        <w:t>Okeke</w:t>
      </w:r>
      <w:proofErr w:type="spellEnd"/>
      <w:r w:rsidR="004971BF" w:rsidRPr="00AB258D">
        <w:rPr>
          <w:rFonts w:eastAsia="Times New Roman" w:cstheme="minorHAnsi"/>
          <w:bCs/>
          <w:sz w:val="24"/>
          <w:szCs w:val="24"/>
          <w:vertAlign w:val="superscript"/>
          <w:lang w:eastAsia="en-GB"/>
        </w:rPr>
        <w:t>c</w:t>
      </w:r>
      <w:r w:rsidR="0079580A" w:rsidRPr="00AB258D">
        <w:rPr>
          <w:rFonts w:eastAsia="Times New Roman" w:cstheme="minorHAnsi"/>
          <w:bCs/>
          <w:sz w:val="24"/>
          <w:szCs w:val="24"/>
          <w:lang w:eastAsia="en-GB"/>
        </w:rPr>
        <w:t xml:space="preserve">, </w:t>
      </w:r>
      <w:r w:rsidR="004971BF" w:rsidRPr="00AB258D">
        <w:rPr>
          <w:rFonts w:eastAsia="Times New Roman" w:cstheme="minorHAnsi"/>
          <w:bCs/>
          <w:sz w:val="24"/>
          <w:szCs w:val="24"/>
          <w:lang w:eastAsia="en-GB"/>
        </w:rPr>
        <w:t xml:space="preserve">Samson </w:t>
      </w:r>
      <w:proofErr w:type="spellStart"/>
      <w:r w:rsidR="004971BF" w:rsidRPr="00AB258D">
        <w:rPr>
          <w:rFonts w:eastAsia="Times New Roman" w:cstheme="minorHAnsi"/>
          <w:bCs/>
          <w:sz w:val="24"/>
          <w:szCs w:val="24"/>
          <w:lang w:eastAsia="en-GB"/>
        </w:rPr>
        <w:t>Ngambi</w:t>
      </w:r>
      <w:r w:rsidR="004971BF" w:rsidRPr="00AB258D">
        <w:rPr>
          <w:rFonts w:eastAsia="Times New Roman" w:cstheme="minorHAnsi"/>
          <w:bCs/>
          <w:sz w:val="24"/>
          <w:szCs w:val="24"/>
          <w:vertAlign w:val="superscript"/>
          <w:lang w:eastAsia="en-GB"/>
        </w:rPr>
        <w:t>b</w:t>
      </w:r>
      <w:proofErr w:type="spellEnd"/>
    </w:p>
    <w:p w14:paraId="0489727C" w14:textId="77777777" w:rsidR="00BF7094" w:rsidRPr="00AB258D" w:rsidRDefault="00BF7094" w:rsidP="00BF7094">
      <w:pPr>
        <w:spacing w:after="0" w:line="240" w:lineRule="auto"/>
        <w:jc w:val="center"/>
        <w:rPr>
          <w:rFonts w:eastAsia="Times New Roman" w:cstheme="minorHAnsi"/>
          <w:bCs/>
          <w:sz w:val="24"/>
          <w:szCs w:val="24"/>
          <w:lang w:eastAsia="en-GB"/>
        </w:rPr>
      </w:pPr>
      <w:r w:rsidRPr="00AB258D">
        <w:rPr>
          <w:rFonts w:eastAsia="Times New Roman" w:cstheme="minorHAnsi"/>
          <w:sz w:val="24"/>
          <w:szCs w:val="24"/>
          <w:lang w:eastAsia="en-GB"/>
        </w:rPr>
        <w:t xml:space="preserve">(*Corresponding author Email: </w:t>
      </w:r>
      <w:hyperlink r:id="rId8" w:history="1">
        <w:r w:rsidRPr="00AB258D">
          <w:rPr>
            <w:rStyle w:val="Hyperlink"/>
            <w:rFonts w:eastAsia="Times New Roman" w:cstheme="minorHAnsi"/>
            <w:color w:val="auto"/>
            <w:sz w:val="24"/>
            <w:szCs w:val="24"/>
            <w:lang w:eastAsia="en-GB"/>
          </w:rPr>
          <w:t>samuel.abbey@uwe.ac.uk</w:t>
        </w:r>
      </w:hyperlink>
      <w:r w:rsidRPr="00AB258D">
        <w:rPr>
          <w:rFonts w:eastAsia="Times New Roman" w:cstheme="minorHAnsi"/>
          <w:sz w:val="24"/>
          <w:szCs w:val="24"/>
          <w:lang w:eastAsia="en-GB"/>
        </w:rPr>
        <w:t>)</w:t>
      </w:r>
    </w:p>
    <w:p w14:paraId="27F9C149" w14:textId="77777777" w:rsidR="00BF7094" w:rsidRPr="00AB258D" w:rsidRDefault="00BF7094" w:rsidP="00BF7094">
      <w:pPr>
        <w:spacing w:after="0" w:line="240" w:lineRule="auto"/>
        <w:jc w:val="center"/>
        <w:rPr>
          <w:rFonts w:eastAsia="Times New Roman" w:cstheme="minorHAnsi"/>
          <w:i/>
          <w:iCs/>
          <w:sz w:val="20"/>
          <w:szCs w:val="20"/>
          <w:vertAlign w:val="superscript"/>
          <w:lang w:eastAsia="en-GB"/>
        </w:rPr>
      </w:pPr>
    </w:p>
    <w:p w14:paraId="3378D6E0" w14:textId="77777777" w:rsidR="00BF7094" w:rsidRPr="00AB258D" w:rsidRDefault="00704AFB" w:rsidP="00BF7094">
      <w:pPr>
        <w:spacing w:after="0" w:line="240" w:lineRule="auto"/>
        <w:jc w:val="center"/>
        <w:rPr>
          <w:rFonts w:eastAsia="Times New Roman" w:cstheme="minorHAnsi"/>
          <w:bCs/>
          <w:sz w:val="24"/>
          <w:szCs w:val="24"/>
          <w:lang w:eastAsia="en-GB"/>
        </w:rPr>
      </w:pPr>
      <w:proofErr w:type="spellStart"/>
      <w:r w:rsidRPr="00AB258D">
        <w:rPr>
          <w:rFonts w:eastAsia="Times New Roman" w:cstheme="minorHAnsi"/>
          <w:i/>
          <w:iCs/>
          <w:sz w:val="20"/>
          <w:szCs w:val="20"/>
          <w:vertAlign w:val="superscript"/>
          <w:lang w:eastAsia="en-GB"/>
        </w:rPr>
        <w:t>a</w:t>
      </w:r>
      <w:r w:rsidR="00BF7094" w:rsidRPr="00AB258D">
        <w:rPr>
          <w:rFonts w:eastAsia="Times New Roman" w:cstheme="minorHAnsi"/>
          <w:i/>
          <w:iCs/>
          <w:sz w:val="20"/>
          <w:szCs w:val="20"/>
          <w:lang w:eastAsia="en-GB"/>
        </w:rPr>
        <w:t>Faculty</w:t>
      </w:r>
      <w:proofErr w:type="spellEnd"/>
      <w:r w:rsidR="00BF7094" w:rsidRPr="00AB258D">
        <w:rPr>
          <w:rFonts w:eastAsia="Times New Roman" w:cstheme="minorHAnsi"/>
          <w:i/>
          <w:iCs/>
          <w:sz w:val="20"/>
          <w:szCs w:val="20"/>
          <w:lang w:eastAsia="en-GB"/>
        </w:rPr>
        <w:t xml:space="preserve"> of Environment and Technology, Department of Geography and Environmental Management, Civil Engineering Cluster, University of the West of England.</w:t>
      </w:r>
    </w:p>
    <w:p w14:paraId="3DD8228C" w14:textId="77777777" w:rsidR="00BF7094" w:rsidRPr="00AB258D" w:rsidRDefault="00BF7094" w:rsidP="00BF7094">
      <w:pPr>
        <w:spacing w:after="0" w:line="240" w:lineRule="auto"/>
        <w:jc w:val="center"/>
        <w:rPr>
          <w:rFonts w:eastAsia="Times New Roman" w:cstheme="minorHAnsi"/>
          <w:i/>
          <w:iCs/>
          <w:sz w:val="20"/>
          <w:szCs w:val="20"/>
          <w:vertAlign w:val="superscript"/>
          <w:lang w:eastAsia="en-GB"/>
        </w:rPr>
      </w:pPr>
    </w:p>
    <w:p w14:paraId="27B2202A" w14:textId="77777777" w:rsidR="0079580A" w:rsidRPr="00AB258D" w:rsidRDefault="00704AFB" w:rsidP="0079580A">
      <w:pPr>
        <w:spacing w:after="0" w:line="240" w:lineRule="auto"/>
        <w:jc w:val="center"/>
        <w:rPr>
          <w:rFonts w:eastAsia="Times New Roman" w:cstheme="minorHAnsi"/>
          <w:i/>
          <w:iCs/>
          <w:sz w:val="20"/>
          <w:szCs w:val="20"/>
          <w:lang w:eastAsia="en-GB"/>
        </w:rPr>
      </w:pPr>
      <w:proofErr w:type="spellStart"/>
      <w:r w:rsidRPr="00AB258D">
        <w:rPr>
          <w:rFonts w:eastAsia="Times New Roman" w:cstheme="minorHAnsi"/>
          <w:i/>
          <w:iCs/>
          <w:sz w:val="20"/>
          <w:szCs w:val="20"/>
          <w:vertAlign w:val="superscript"/>
          <w:lang w:eastAsia="en-GB"/>
        </w:rPr>
        <w:t>b</w:t>
      </w:r>
      <w:r w:rsidR="00BF7094" w:rsidRPr="00AB258D">
        <w:rPr>
          <w:rFonts w:eastAsia="Times New Roman" w:cstheme="minorHAnsi"/>
          <w:i/>
          <w:iCs/>
          <w:sz w:val="20"/>
          <w:szCs w:val="20"/>
          <w:lang w:eastAsia="en-GB"/>
        </w:rPr>
        <w:t>School</w:t>
      </w:r>
      <w:proofErr w:type="spellEnd"/>
      <w:r w:rsidR="00BF7094" w:rsidRPr="00AB258D">
        <w:rPr>
          <w:rFonts w:eastAsia="Times New Roman" w:cstheme="minorHAnsi"/>
          <w:i/>
          <w:iCs/>
          <w:sz w:val="20"/>
          <w:szCs w:val="20"/>
          <w:lang w:eastAsia="en-GB"/>
        </w:rPr>
        <w:t xml:space="preserve"> of Energy, Construction and Environment, Faculty of Engineering, Environment and Computing, Coventry University, Coventry, United Kingdom.</w:t>
      </w:r>
    </w:p>
    <w:p w14:paraId="7788B3C9" w14:textId="77777777" w:rsidR="0079580A" w:rsidRPr="00AB258D" w:rsidRDefault="0079580A" w:rsidP="0079580A">
      <w:pPr>
        <w:spacing w:after="0" w:line="240" w:lineRule="auto"/>
        <w:jc w:val="center"/>
        <w:rPr>
          <w:rFonts w:eastAsia="Times New Roman" w:cstheme="minorHAnsi"/>
          <w:i/>
          <w:iCs/>
          <w:sz w:val="20"/>
          <w:szCs w:val="20"/>
          <w:lang w:eastAsia="en-GB"/>
        </w:rPr>
      </w:pPr>
    </w:p>
    <w:p w14:paraId="52661FA1" w14:textId="77777777" w:rsidR="00BF7094" w:rsidRPr="00AB258D" w:rsidRDefault="00704AFB" w:rsidP="00BF7094">
      <w:pPr>
        <w:spacing w:after="0" w:line="240" w:lineRule="auto"/>
        <w:jc w:val="center"/>
        <w:rPr>
          <w:rFonts w:eastAsia="Times New Roman" w:cstheme="minorHAnsi"/>
          <w:i/>
          <w:iCs/>
          <w:sz w:val="20"/>
          <w:szCs w:val="20"/>
          <w:lang w:eastAsia="en-GB"/>
        </w:rPr>
      </w:pPr>
      <w:proofErr w:type="spellStart"/>
      <w:proofErr w:type="gramStart"/>
      <w:r w:rsidRPr="00AB258D">
        <w:rPr>
          <w:rFonts w:eastAsia="Times New Roman" w:cstheme="minorHAnsi"/>
          <w:i/>
          <w:iCs/>
          <w:sz w:val="20"/>
          <w:szCs w:val="20"/>
          <w:vertAlign w:val="superscript"/>
          <w:lang w:eastAsia="en-GB"/>
        </w:rPr>
        <w:t>c</w:t>
      </w:r>
      <w:r w:rsidR="00BF7094" w:rsidRPr="00AB258D">
        <w:rPr>
          <w:rFonts w:eastAsia="Times New Roman" w:cstheme="minorHAnsi"/>
          <w:i/>
          <w:iCs/>
          <w:sz w:val="20"/>
          <w:szCs w:val="20"/>
          <w:lang w:eastAsia="en-GB"/>
        </w:rPr>
        <w:t>College</w:t>
      </w:r>
      <w:proofErr w:type="spellEnd"/>
      <w:proofErr w:type="gramEnd"/>
      <w:r w:rsidR="00BF7094" w:rsidRPr="00AB258D">
        <w:rPr>
          <w:rFonts w:eastAsia="Times New Roman" w:cstheme="minorHAnsi"/>
          <w:i/>
          <w:iCs/>
          <w:sz w:val="20"/>
          <w:szCs w:val="20"/>
          <w:lang w:eastAsia="en-GB"/>
        </w:rPr>
        <w:t xml:space="preserve"> of Engineering, Department of Civil Engineering, Covenant University, Ota, Ogun State, Nigeria</w:t>
      </w:r>
    </w:p>
    <w:p w14:paraId="32D835D6" w14:textId="77777777" w:rsidR="00BF7094" w:rsidRPr="00AB258D" w:rsidRDefault="00BF7094" w:rsidP="0048130C">
      <w:pPr>
        <w:spacing w:after="0" w:line="240" w:lineRule="auto"/>
        <w:rPr>
          <w:rFonts w:eastAsia="Times New Roman" w:cstheme="minorHAnsi"/>
          <w:bCs/>
          <w:sz w:val="24"/>
          <w:szCs w:val="24"/>
          <w:lang w:eastAsia="en-GB"/>
        </w:rPr>
      </w:pPr>
    </w:p>
    <w:p w14:paraId="2B961E1F" w14:textId="77777777" w:rsidR="00BF7094" w:rsidRPr="00AB258D" w:rsidRDefault="00BF7094" w:rsidP="00BF7094">
      <w:pPr>
        <w:spacing w:after="0" w:line="240" w:lineRule="auto"/>
        <w:rPr>
          <w:rFonts w:eastAsia="Times New Roman" w:cstheme="minorHAnsi"/>
          <w:bCs/>
          <w:sz w:val="24"/>
          <w:szCs w:val="24"/>
          <w:lang w:eastAsia="en-GB"/>
        </w:rPr>
      </w:pPr>
    </w:p>
    <w:p w14:paraId="390E5AC3" w14:textId="77777777" w:rsidR="00040CAA" w:rsidRPr="00AB258D" w:rsidRDefault="00E52EFB">
      <w:pPr>
        <w:rPr>
          <w:rFonts w:cstheme="minorHAnsi"/>
          <w:b/>
          <w:sz w:val="28"/>
          <w:szCs w:val="28"/>
        </w:rPr>
      </w:pPr>
      <w:r w:rsidRPr="00AB258D">
        <w:rPr>
          <w:rFonts w:cstheme="minorHAnsi"/>
          <w:b/>
          <w:sz w:val="28"/>
          <w:szCs w:val="28"/>
        </w:rPr>
        <w:t xml:space="preserve">Abstract </w:t>
      </w:r>
    </w:p>
    <w:p w14:paraId="76BCB9F6" w14:textId="40524E72" w:rsidR="007F77D8" w:rsidRPr="00AB258D" w:rsidRDefault="00424516" w:rsidP="00B06E0C">
      <w:pPr>
        <w:spacing w:line="240" w:lineRule="auto"/>
        <w:jc w:val="both"/>
        <w:rPr>
          <w:rFonts w:cstheme="minorHAnsi"/>
          <w:sz w:val="24"/>
          <w:szCs w:val="24"/>
        </w:rPr>
      </w:pPr>
      <w:r w:rsidRPr="00AB258D">
        <w:rPr>
          <w:rFonts w:cstheme="minorHAnsi"/>
          <w:sz w:val="24"/>
          <w:szCs w:val="24"/>
        </w:rPr>
        <w:t>This work</w:t>
      </w:r>
      <w:r w:rsidR="0016113F" w:rsidRPr="00AB258D">
        <w:rPr>
          <w:rFonts w:cstheme="minorHAnsi"/>
          <w:sz w:val="24"/>
          <w:szCs w:val="24"/>
        </w:rPr>
        <w:t xml:space="preserve"> </w:t>
      </w:r>
      <w:r w:rsidR="00CA3271" w:rsidRPr="00AB258D">
        <w:rPr>
          <w:rFonts w:cstheme="minorHAnsi"/>
          <w:sz w:val="24"/>
          <w:szCs w:val="24"/>
        </w:rPr>
        <w:t xml:space="preserve">presents </w:t>
      </w:r>
      <w:r w:rsidR="00383666" w:rsidRPr="00AB258D">
        <w:rPr>
          <w:rFonts w:cstheme="minorHAnsi"/>
          <w:sz w:val="24"/>
          <w:szCs w:val="24"/>
        </w:rPr>
        <w:t xml:space="preserve">an experimental study on </w:t>
      </w:r>
      <w:r w:rsidR="00CA3271" w:rsidRPr="00AB258D">
        <w:rPr>
          <w:rFonts w:cstheme="minorHAnsi"/>
          <w:sz w:val="24"/>
          <w:szCs w:val="24"/>
        </w:rPr>
        <w:t xml:space="preserve">the </w:t>
      </w:r>
      <w:r w:rsidR="00383666" w:rsidRPr="00AB258D">
        <w:rPr>
          <w:rFonts w:cstheme="minorHAnsi"/>
          <w:sz w:val="24"/>
          <w:szCs w:val="24"/>
        </w:rPr>
        <w:t xml:space="preserve">physical, </w:t>
      </w:r>
      <w:r w:rsidR="0074444F" w:rsidRPr="00AB258D">
        <w:rPr>
          <w:rFonts w:cstheme="minorHAnsi"/>
          <w:sz w:val="24"/>
          <w:szCs w:val="24"/>
        </w:rPr>
        <w:t xml:space="preserve">mechanical </w:t>
      </w:r>
      <w:r w:rsidR="00B66E39" w:rsidRPr="00AB258D">
        <w:rPr>
          <w:rFonts w:cstheme="minorHAnsi"/>
          <w:sz w:val="24"/>
          <w:szCs w:val="24"/>
        </w:rPr>
        <w:t xml:space="preserve">and </w:t>
      </w:r>
      <w:r w:rsidR="00383666" w:rsidRPr="00AB258D">
        <w:rPr>
          <w:rFonts w:cstheme="minorHAnsi"/>
          <w:sz w:val="24"/>
          <w:szCs w:val="24"/>
        </w:rPr>
        <w:t xml:space="preserve">microstructural characteristics </w:t>
      </w:r>
      <w:r w:rsidR="00CA3271" w:rsidRPr="00AB258D">
        <w:rPr>
          <w:rFonts w:cstheme="minorHAnsi"/>
          <w:sz w:val="24"/>
          <w:szCs w:val="24"/>
        </w:rPr>
        <w:t xml:space="preserve">of two </w:t>
      </w:r>
      <w:r w:rsidR="00383666" w:rsidRPr="00AB258D">
        <w:rPr>
          <w:rFonts w:cstheme="minorHAnsi"/>
          <w:sz w:val="24"/>
          <w:szCs w:val="24"/>
        </w:rPr>
        <w:t xml:space="preserve">clay </w:t>
      </w:r>
      <w:r w:rsidR="00CA3271" w:rsidRPr="00AB258D">
        <w:rPr>
          <w:rFonts w:cstheme="minorHAnsi"/>
          <w:sz w:val="24"/>
          <w:szCs w:val="24"/>
        </w:rPr>
        <w:t>soils treated with</w:t>
      </w:r>
      <w:r w:rsidR="00E22D2A" w:rsidRPr="00AB258D">
        <w:rPr>
          <w:rFonts w:cstheme="minorHAnsi"/>
          <w:sz w:val="24"/>
          <w:szCs w:val="24"/>
        </w:rPr>
        <w:t xml:space="preserve"> </w:t>
      </w:r>
      <w:r w:rsidR="00C54A33" w:rsidRPr="00AB258D">
        <w:rPr>
          <w:rFonts w:cstheme="minorHAnsi"/>
          <w:sz w:val="24"/>
          <w:szCs w:val="24"/>
        </w:rPr>
        <w:t>by-product materials (</w:t>
      </w:r>
      <w:r w:rsidR="00B66E39" w:rsidRPr="00AB258D">
        <w:rPr>
          <w:rFonts w:cstheme="minorHAnsi"/>
          <w:sz w:val="24"/>
          <w:szCs w:val="24"/>
        </w:rPr>
        <w:t>GGBS and PFA</w:t>
      </w:r>
      <w:r w:rsidR="00C54A33" w:rsidRPr="00AB258D">
        <w:rPr>
          <w:rFonts w:cstheme="minorHAnsi"/>
          <w:sz w:val="24"/>
          <w:szCs w:val="24"/>
        </w:rPr>
        <w:t xml:space="preserve">) blended with a </w:t>
      </w:r>
      <w:proofErr w:type="spellStart"/>
      <w:r w:rsidR="00C54A33" w:rsidRPr="00AB258D">
        <w:rPr>
          <w:rFonts w:cstheme="minorHAnsi"/>
          <w:sz w:val="24"/>
          <w:szCs w:val="24"/>
        </w:rPr>
        <w:t>nano</w:t>
      </w:r>
      <w:proofErr w:type="spellEnd"/>
      <w:r w:rsidR="00C54A33" w:rsidRPr="00AB258D">
        <w:rPr>
          <w:rFonts w:cstheme="minorHAnsi"/>
          <w:sz w:val="24"/>
          <w:szCs w:val="24"/>
        </w:rPr>
        <w:t xml:space="preserve"> </w:t>
      </w:r>
      <w:r w:rsidR="002A178C" w:rsidRPr="00AB258D">
        <w:rPr>
          <w:rFonts w:cstheme="minorHAnsi"/>
          <w:sz w:val="24"/>
          <w:szCs w:val="24"/>
        </w:rPr>
        <w:t>technology</w:t>
      </w:r>
      <w:r w:rsidR="00954700" w:rsidRPr="00AB258D">
        <w:rPr>
          <w:rFonts w:cstheme="minorHAnsi"/>
          <w:sz w:val="24"/>
          <w:szCs w:val="24"/>
        </w:rPr>
        <w:t>-</w:t>
      </w:r>
      <w:r w:rsidR="002A178C" w:rsidRPr="00AB258D">
        <w:rPr>
          <w:rFonts w:cstheme="minorHAnsi"/>
          <w:sz w:val="24"/>
          <w:szCs w:val="24"/>
        </w:rPr>
        <w:t xml:space="preserve">based </w:t>
      </w:r>
      <w:r w:rsidR="00C54A33" w:rsidRPr="00AB258D">
        <w:rPr>
          <w:rFonts w:cstheme="minorHAnsi"/>
          <w:sz w:val="24"/>
          <w:szCs w:val="24"/>
        </w:rPr>
        <w:t>additive</w:t>
      </w:r>
      <w:r w:rsidR="00C71DC7" w:rsidRPr="00AB258D">
        <w:rPr>
          <w:rFonts w:cstheme="minorHAnsi"/>
          <w:sz w:val="24"/>
          <w:szCs w:val="24"/>
        </w:rPr>
        <w:t xml:space="preserve"> called </w:t>
      </w:r>
      <w:r w:rsidR="00A430CD" w:rsidRPr="00AB258D">
        <w:rPr>
          <w:rFonts w:cstheme="minorHAnsi"/>
          <w:sz w:val="24"/>
          <w:szCs w:val="24"/>
        </w:rPr>
        <w:t>RC</w:t>
      </w:r>
      <w:r w:rsidR="00C71DC7" w:rsidRPr="00AB258D">
        <w:rPr>
          <w:rFonts w:cstheme="minorHAnsi"/>
          <w:sz w:val="24"/>
          <w:szCs w:val="24"/>
        </w:rPr>
        <w:t xml:space="preserve"> (RC</w:t>
      </w:r>
      <w:r w:rsidR="00C54A33" w:rsidRPr="00AB258D">
        <w:rPr>
          <w:rFonts w:cstheme="minorHAnsi"/>
          <w:sz w:val="24"/>
          <w:szCs w:val="24"/>
        </w:rPr>
        <w:t>)</w:t>
      </w:r>
      <w:r w:rsidR="002A178C" w:rsidRPr="00AB258D">
        <w:rPr>
          <w:rFonts w:cstheme="minorHAnsi"/>
          <w:sz w:val="24"/>
          <w:szCs w:val="24"/>
        </w:rPr>
        <w:t xml:space="preserve">. </w:t>
      </w:r>
      <w:r w:rsidR="00974713" w:rsidRPr="00AB258D">
        <w:rPr>
          <w:rFonts w:cstheme="minorHAnsi"/>
          <w:sz w:val="24"/>
          <w:szCs w:val="24"/>
        </w:rPr>
        <w:t xml:space="preserve">The soils were initially treated with 8% of cement in the first phase of mixing, and in the other phases of mixing, the cement content was reduced by 50%, 60% and 70% and substituted with GGBS or </w:t>
      </w:r>
      <w:r w:rsidR="007266E9" w:rsidRPr="00AB258D">
        <w:rPr>
          <w:rFonts w:cstheme="minorHAnsi"/>
          <w:sz w:val="24"/>
          <w:szCs w:val="24"/>
        </w:rPr>
        <w:t xml:space="preserve">different </w:t>
      </w:r>
      <w:r w:rsidR="00974713" w:rsidRPr="00AB258D">
        <w:rPr>
          <w:rFonts w:cstheme="minorHAnsi"/>
          <w:sz w:val="24"/>
          <w:szCs w:val="24"/>
        </w:rPr>
        <w:t>combination</w:t>
      </w:r>
      <w:r w:rsidR="007266E9" w:rsidRPr="00AB258D">
        <w:rPr>
          <w:rFonts w:cstheme="minorHAnsi"/>
          <w:sz w:val="24"/>
          <w:szCs w:val="24"/>
        </w:rPr>
        <w:t>s</w:t>
      </w:r>
      <w:r w:rsidR="00974713" w:rsidRPr="00AB258D">
        <w:rPr>
          <w:rFonts w:cstheme="minorHAnsi"/>
          <w:sz w:val="24"/>
          <w:szCs w:val="24"/>
        </w:rPr>
        <w:t xml:space="preserve"> of GGBS and </w:t>
      </w:r>
      <w:r w:rsidR="007266E9" w:rsidRPr="00AB258D">
        <w:rPr>
          <w:rFonts w:cstheme="minorHAnsi"/>
          <w:sz w:val="24"/>
          <w:szCs w:val="24"/>
        </w:rPr>
        <w:t>1%</w:t>
      </w:r>
      <w:r w:rsidR="00974713" w:rsidRPr="00AB258D">
        <w:rPr>
          <w:rFonts w:cstheme="minorHAnsi"/>
          <w:sz w:val="24"/>
          <w:szCs w:val="24"/>
        </w:rPr>
        <w:t xml:space="preserve">RC or PFA and </w:t>
      </w:r>
      <w:r w:rsidR="007266E9" w:rsidRPr="00AB258D">
        <w:rPr>
          <w:rFonts w:cstheme="minorHAnsi"/>
          <w:sz w:val="24"/>
          <w:szCs w:val="24"/>
        </w:rPr>
        <w:t>1%</w:t>
      </w:r>
      <w:r w:rsidR="00974713" w:rsidRPr="00AB258D">
        <w:rPr>
          <w:rFonts w:cstheme="minorHAnsi"/>
          <w:sz w:val="24"/>
          <w:szCs w:val="24"/>
        </w:rPr>
        <w:t xml:space="preserve">RC. </w:t>
      </w:r>
      <w:r w:rsidR="002A178C" w:rsidRPr="00AB258D">
        <w:rPr>
          <w:rFonts w:cstheme="minorHAnsi"/>
          <w:sz w:val="24"/>
          <w:szCs w:val="24"/>
        </w:rPr>
        <w:t xml:space="preserve">Further, the </w:t>
      </w:r>
      <w:r w:rsidR="00A45AB6" w:rsidRPr="00AB258D">
        <w:rPr>
          <w:rFonts w:cstheme="minorHAnsi"/>
          <w:sz w:val="24"/>
          <w:szCs w:val="24"/>
        </w:rPr>
        <w:t xml:space="preserve">paper discusses the </w:t>
      </w:r>
      <w:r w:rsidR="00A066AB" w:rsidRPr="00AB258D">
        <w:rPr>
          <w:rFonts w:cstheme="minorHAnsi"/>
          <w:sz w:val="24"/>
          <w:szCs w:val="24"/>
        </w:rPr>
        <w:t xml:space="preserve">shear strength, </w:t>
      </w:r>
      <w:r w:rsidR="00C52F3F" w:rsidRPr="00AB258D">
        <w:rPr>
          <w:rFonts w:cstheme="minorHAnsi"/>
          <w:sz w:val="24"/>
          <w:szCs w:val="24"/>
        </w:rPr>
        <w:t xml:space="preserve">stabilisation mechanism, </w:t>
      </w:r>
      <w:r w:rsidR="00A066AB" w:rsidRPr="00AB258D">
        <w:rPr>
          <w:rFonts w:cstheme="minorHAnsi"/>
          <w:sz w:val="24"/>
          <w:szCs w:val="24"/>
        </w:rPr>
        <w:t xml:space="preserve">microstructural </w:t>
      </w:r>
      <w:r w:rsidR="00CA3271" w:rsidRPr="00AB258D">
        <w:rPr>
          <w:rFonts w:cstheme="minorHAnsi"/>
          <w:sz w:val="24"/>
          <w:szCs w:val="24"/>
        </w:rPr>
        <w:t xml:space="preserve">characteristics, and swell </w:t>
      </w:r>
      <w:r w:rsidR="00A45AB6" w:rsidRPr="00AB258D">
        <w:rPr>
          <w:rFonts w:cstheme="minorHAnsi"/>
          <w:sz w:val="24"/>
          <w:szCs w:val="24"/>
        </w:rPr>
        <w:t xml:space="preserve">of the treated soils based on </w:t>
      </w:r>
      <w:r w:rsidR="00CA3271" w:rsidRPr="00AB258D">
        <w:rPr>
          <w:rFonts w:cstheme="minorHAnsi"/>
          <w:sz w:val="24"/>
          <w:szCs w:val="24"/>
        </w:rPr>
        <w:t xml:space="preserve">results of </w:t>
      </w:r>
      <w:r w:rsidR="002A178C" w:rsidRPr="00AB258D">
        <w:rPr>
          <w:rFonts w:cstheme="minorHAnsi"/>
          <w:sz w:val="24"/>
          <w:szCs w:val="24"/>
        </w:rPr>
        <w:t xml:space="preserve">series of </w:t>
      </w:r>
      <w:r w:rsidR="00CA3271" w:rsidRPr="00AB258D">
        <w:rPr>
          <w:rFonts w:cstheme="minorHAnsi"/>
          <w:sz w:val="24"/>
          <w:szCs w:val="24"/>
        </w:rPr>
        <w:t xml:space="preserve">strength, scanning electron microscope </w:t>
      </w:r>
      <w:r w:rsidR="00C52F3F" w:rsidRPr="00AB258D">
        <w:rPr>
          <w:rFonts w:cstheme="minorHAnsi"/>
          <w:sz w:val="24"/>
          <w:szCs w:val="24"/>
        </w:rPr>
        <w:t xml:space="preserve">and swell test. </w:t>
      </w:r>
      <w:r w:rsidR="007F77D8" w:rsidRPr="00AB258D">
        <w:rPr>
          <w:rFonts w:cstheme="minorHAnsi"/>
          <w:sz w:val="24"/>
          <w:szCs w:val="24"/>
        </w:rPr>
        <w:t>The results show that the inclusion of 1%</w:t>
      </w:r>
      <w:r w:rsidR="00B31B16" w:rsidRPr="00AB258D">
        <w:rPr>
          <w:rFonts w:cstheme="minorHAnsi"/>
          <w:sz w:val="24"/>
          <w:szCs w:val="24"/>
        </w:rPr>
        <w:t>RC</w:t>
      </w:r>
      <w:r w:rsidR="007F77D8" w:rsidRPr="00AB258D">
        <w:rPr>
          <w:rFonts w:cstheme="minorHAnsi"/>
          <w:sz w:val="24"/>
          <w:szCs w:val="24"/>
        </w:rPr>
        <w:t xml:space="preserve"> increases </w:t>
      </w:r>
      <w:r w:rsidR="00E92987" w:rsidRPr="00AB258D">
        <w:rPr>
          <w:rFonts w:cstheme="minorHAnsi"/>
          <w:sz w:val="24"/>
          <w:szCs w:val="24"/>
        </w:rPr>
        <w:t xml:space="preserve">undrained shear strength </w:t>
      </w:r>
      <w:r w:rsidR="007F77D8" w:rsidRPr="00AB258D">
        <w:rPr>
          <w:rFonts w:cstheme="minorHAnsi"/>
          <w:sz w:val="24"/>
          <w:szCs w:val="24"/>
        </w:rPr>
        <w:t xml:space="preserve">and reduces swell of the </w:t>
      </w:r>
      <w:proofErr w:type="gramStart"/>
      <w:r w:rsidR="007F77D8" w:rsidRPr="00AB258D">
        <w:rPr>
          <w:rFonts w:cstheme="minorHAnsi"/>
          <w:sz w:val="24"/>
          <w:szCs w:val="24"/>
        </w:rPr>
        <w:t>treated</w:t>
      </w:r>
      <w:proofErr w:type="gramEnd"/>
      <w:r w:rsidR="007F77D8" w:rsidRPr="00AB258D">
        <w:rPr>
          <w:rFonts w:cstheme="minorHAnsi"/>
          <w:sz w:val="24"/>
          <w:szCs w:val="24"/>
        </w:rPr>
        <w:t xml:space="preserve"> soils due to</w:t>
      </w:r>
      <w:r w:rsidR="00B31B16" w:rsidRPr="00AB258D">
        <w:rPr>
          <w:rFonts w:cstheme="minorHAnsi"/>
          <w:sz w:val="24"/>
          <w:szCs w:val="24"/>
        </w:rPr>
        <w:t xml:space="preserve"> </w:t>
      </w:r>
      <w:r w:rsidR="007F77D8" w:rsidRPr="00AB258D">
        <w:rPr>
          <w:rFonts w:cstheme="minorHAnsi"/>
          <w:sz w:val="24"/>
          <w:szCs w:val="24"/>
        </w:rPr>
        <w:t>encapsulation effects associated with the formation of the crystalline reaction product in the hydration process and the resulting modification of cementitious product to bind very heavy clays together.</w:t>
      </w:r>
      <w:r w:rsidR="00B31B16" w:rsidRPr="00AB258D">
        <w:rPr>
          <w:rFonts w:cstheme="minorHAnsi"/>
          <w:sz w:val="24"/>
          <w:szCs w:val="24"/>
        </w:rPr>
        <w:t xml:space="preserve"> </w:t>
      </w:r>
      <w:r w:rsidR="00C74E97" w:rsidRPr="00AB258D">
        <w:rPr>
          <w:rFonts w:eastAsia="Times New Roman" w:cstheme="minorHAnsi"/>
          <w:sz w:val="24"/>
          <w:szCs w:val="24"/>
        </w:rPr>
        <w:t>The soil treated with 1%</w:t>
      </w:r>
      <w:r w:rsidR="0056662A" w:rsidRPr="00AB258D">
        <w:rPr>
          <w:rFonts w:eastAsia="Times New Roman" w:cstheme="minorHAnsi"/>
          <w:sz w:val="24"/>
          <w:szCs w:val="24"/>
        </w:rPr>
        <w:t xml:space="preserve">RC combined with </w:t>
      </w:r>
      <w:r w:rsidR="00C74E97" w:rsidRPr="00AB258D">
        <w:rPr>
          <w:rFonts w:eastAsia="Times New Roman" w:cstheme="minorHAnsi"/>
          <w:sz w:val="24"/>
          <w:szCs w:val="24"/>
        </w:rPr>
        <w:t>4%Cem and 3%GGBS</w:t>
      </w:r>
      <w:r w:rsidR="0056662A" w:rsidRPr="00AB258D">
        <w:rPr>
          <w:rFonts w:eastAsia="Times New Roman" w:cstheme="minorHAnsi"/>
          <w:sz w:val="24"/>
          <w:szCs w:val="24"/>
        </w:rPr>
        <w:t>,</w:t>
      </w:r>
      <w:r w:rsidR="00C74E97" w:rsidRPr="00AB258D">
        <w:rPr>
          <w:rFonts w:eastAsia="Times New Roman" w:cstheme="minorHAnsi"/>
          <w:sz w:val="24"/>
          <w:szCs w:val="24"/>
        </w:rPr>
        <w:t xml:space="preserve"> produces the best performance in terms of </w:t>
      </w:r>
      <w:r w:rsidR="00E92987" w:rsidRPr="00AB258D">
        <w:rPr>
          <w:rFonts w:eastAsia="Times New Roman" w:cstheme="minorHAnsi"/>
          <w:sz w:val="24"/>
          <w:szCs w:val="24"/>
        </w:rPr>
        <w:t xml:space="preserve">undrained shear strength </w:t>
      </w:r>
      <w:r w:rsidR="00B31B16" w:rsidRPr="00AB258D">
        <w:rPr>
          <w:rFonts w:eastAsia="Times New Roman" w:cstheme="minorHAnsi"/>
          <w:sz w:val="24"/>
          <w:szCs w:val="24"/>
        </w:rPr>
        <w:t xml:space="preserve">and </w:t>
      </w:r>
      <w:r w:rsidR="00C74E97" w:rsidRPr="00AB258D">
        <w:rPr>
          <w:rFonts w:eastAsia="Times New Roman" w:cstheme="minorHAnsi"/>
          <w:sz w:val="24"/>
          <w:szCs w:val="24"/>
        </w:rPr>
        <w:t>microstructural characteristics</w:t>
      </w:r>
      <w:r w:rsidR="0056662A" w:rsidRPr="00AB258D">
        <w:rPr>
          <w:rFonts w:eastAsia="Times New Roman" w:cstheme="minorHAnsi"/>
          <w:sz w:val="24"/>
          <w:szCs w:val="24"/>
        </w:rPr>
        <w:t xml:space="preserve"> and the </w:t>
      </w:r>
      <w:r w:rsidR="00B31B16" w:rsidRPr="00AB258D">
        <w:rPr>
          <w:rFonts w:eastAsia="Times New Roman" w:cstheme="minorHAnsi"/>
          <w:sz w:val="24"/>
          <w:szCs w:val="24"/>
        </w:rPr>
        <w:t xml:space="preserve">stabilisation mechanism of cement, RC and GGBS shows that it is </w:t>
      </w:r>
      <w:r w:rsidR="00583A29" w:rsidRPr="00AB258D">
        <w:rPr>
          <w:rFonts w:eastAsia="Times New Roman" w:cstheme="minorHAnsi"/>
          <w:sz w:val="24"/>
          <w:szCs w:val="24"/>
        </w:rPr>
        <w:t xml:space="preserve">due to </w:t>
      </w:r>
      <w:r w:rsidR="00B31B16" w:rsidRPr="00AB258D">
        <w:rPr>
          <w:rFonts w:eastAsia="Times New Roman" w:cstheme="minorHAnsi"/>
          <w:sz w:val="24"/>
          <w:szCs w:val="24"/>
        </w:rPr>
        <w:t xml:space="preserve">interlocking of particles and wrapping effect. </w:t>
      </w:r>
    </w:p>
    <w:p w14:paraId="41370B60" w14:textId="77777777" w:rsidR="008957EE" w:rsidRPr="00AB258D" w:rsidRDefault="008957EE" w:rsidP="00C56B0D">
      <w:pPr>
        <w:spacing w:line="276" w:lineRule="auto"/>
        <w:jc w:val="both"/>
        <w:rPr>
          <w:rFonts w:cstheme="minorHAnsi"/>
        </w:rPr>
      </w:pPr>
    </w:p>
    <w:p w14:paraId="77BC4933" w14:textId="77777777" w:rsidR="008957EE" w:rsidRPr="00AB258D" w:rsidRDefault="008957EE" w:rsidP="00C56B0D">
      <w:pPr>
        <w:spacing w:line="276" w:lineRule="auto"/>
        <w:jc w:val="both"/>
        <w:rPr>
          <w:rFonts w:cstheme="minorHAnsi"/>
          <w:b/>
          <w:sz w:val="24"/>
          <w:szCs w:val="24"/>
        </w:rPr>
      </w:pPr>
      <w:r w:rsidRPr="00AB258D">
        <w:rPr>
          <w:rFonts w:cstheme="minorHAnsi"/>
          <w:b/>
          <w:sz w:val="24"/>
          <w:szCs w:val="24"/>
        </w:rPr>
        <w:t>Keywords</w:t>
      </w:r>
    </w:p>
    <w:p w14:paraId="0D5115E1" w14:textId="77777777" w:rsidR="008957EE" w:rsidRPr="00AB258D" w:rsidRDefault="008957EE" w:rsidP="00872346">
      <w:pPr>
        <w:spacing w:line="240" w:lineRule="auto"/>
        <w:jc w:val="both"/>
        <w:rPr>
          <w:rFonts w:cstheme="minorHAnsi"/>
          <w:sz w:val="24"/>
          <w:szCs w:val="24"/>
        </w:rPr>
      </w:pPr>
      <w:r w:rsidRPr="00AB258D">
        <w:rPr>
          <w:rFonts w:cstheme="minorHAnsi"/>
          <w:sz w:val="24"/>
          <w:szCs w:val="24"/>
        </w:rPr>
        <w:t xml:space="preserve">Soil-Cement; shear strength; GGBS; fly ash; cement treatment; </w:t>
      </w:r>
      <w:r w:rsidR="00A430CD" w:rsidRPr="00AB258D">
        <w:rPr>
          <w:rFonts w:cstheme="minorHAnsi"/>
          <w:sz w:val="24"/>
          <w:szCs w:val="24"/>
        </w:rPr>
        <w:t>RC</w:t>
      </w:r>
      <w:r w:rsidRPr="00AB258D">
        <w:rPr>
          <w:rFonts w:cstheme="minorHAnsi"/>
          <w:sz w:val="24"/>
          <w:szCs w:val="24"/>
        </w:rPr>
        <w:t xml:space="preserve">; swell; stabilisation; stabilisation mechanism; microstructure </w:t>
      </w:r>
    </w:p>
    <w:p w14:paraId="7AC0FF06" w14:textId="77777777" w:rsidR="00463410" w:rsidRPr="00AB258D" w:rsidRDefault="00463410" w:rsidP="00C56B0D">
      <w:pPr>
        <w:spacing w:line="276" w:lineRule="auto"/>
        <w:jc w:val="both"/>
        <w:rPr>
          <w:rFonts w:cstheme="minorHAnsi"/>
          <w:sz w:val="24"/>
          <w:szCs w:val="24"/>
        </w:rPr>
      </w:pPr>
    </w:p>
    <w:p w14:paraId="5904826A" w14:textId="77777777" w:rsidR="00730F7D" w:rsidRPr="00AB258D" w:rsidRDefault="00730F7D" w:rsidP="00C56B0D">
      <w:pPr>
        <w:spacing w:line="276" w:lineRule="auto"/>
        <w:jc w:val="both"/>
        <w:rPr>
          <w:rFonts w:cstheme="minorHAnsi"/>
          <w:sz w:val="24"/>
          <w:szCs w:val="24"/>
        </w:rPr>
      </w:pPr>
    </w:p>
    <w:p w14:paraId="1D0BF274" w14:textId="77777777" w:rsidR="00730F7D" w:rsidRPr="00AB258D" w:rsidRDefault="00730F7D" w:rsidP="00C56B0D">
      <w:pPr>
        <w:spacing w:line="276" w:lineRule="auto"/>
        <w:jc w:val="both"/>
        <w:rPr>
          <w:rFonts w:cstheme="minorHAnsi"/>
          <w:sz w:val="24"/>
          <w:szCs w:val="24"/>
        </w:rPr>
      </w:pPr>
    </w:p>
    <w:p w14:paraId="6E610CBA" w14:textId="77777777" w:rsidR="005D056C" w:rsidRPr="00AB258D" w:rsidRDefault="005D056C">
      <w:pPr>
        <w:rPr>
          <w:rFonts w:cstheme="minorHAnsi"/>
          <w:sz w:val="24"/>
          <w:szCs w:val="24"/>
        </w:rPr>
      </w:pPr>
    </w:p>
    <w:p w14:paraId="1C322B71" w14:textId="77777777" w:rsidR="00807B2F" w:rsidRPr="00AB258D" w:rsidRDefault="00807B2F">
      <w:pPr>
        <w:rPr>
          <w:rFonts w:cstheme="minorHAnsi"/>
          <w:sz w:val="24"/>
          <w:szCs w:val="24"/>
        </w:rPr>
      </w:pPr>
    </w:p>
    <w:p w14:paraId="4BB948DE" w14:textId="77777777" w:rsidR="00807B2F" w:rsidRPr="00AB258D" w:rsidRDefault="00807B2F">
      <w:pPr>
        <w:rPr>
          <w:rFonts w:cstheme="minorHAnsi"/>
        </w:rPr>
      </w:pPr>
    </w:p>
    <w:p w14:paraId="1E2D5D0B" w14:textId="77777777" w:rsidR="00A836C3" w:rsidRPr="00AB258D" w:rsidRDefault="00A836C3" w:rsidP="00737185">
      <w:pPr>
        <w:pStyle w:val="ListParagraph"/>
        <w:numPr>
          <w:ilvl w:val="0"/>
          <w:numId w:val="13"/>
        </w:numPr>
        <w:spacing w:line="276" w:lineRule="auto"/>
        <w:ind w:left="284" w:hanging="284"/>
        <w:jc w:val="both"/>
        <w:rPr>
          <w:rFonts w:asciiTheme="minorHAnsi" w:hAnsiTheme="minorHAnsi" w:cstheme="minorHAnsi"/>
          <w:b/>
          <w:sz w:val="28"/>
          <w:szCs w:val="28"/>
        </w:rPr>
      </w:pPr>
      <w:r w:rsidRPr="00AB258D">
        <w:rPr>
          <w:rFonts w:asciiTheme="minorHAnsi" w:hAnsiTheme="minorHAnsi" w:cstheme="minorHAnsi"/>
          <w:b/>
          <w:sz w:val="28"/>
          <w:szCs w:val="28"/>
        </w:rPr>
        <w:lastRenderedPageBreak/>
        <w:t xml:space="preserve">Introduction </w:t>
      </w:r>
    </w:p>
    <w:p w14:paraId="4D573428" w14:textId="77777777" w:rsidR="00737185" w:rsidRPr="00AB258D" w:rsidRDefault="00737185" w:rsidP="00737185">
      <w:pPr>
        <w:pStyle w:val="NoSpacing"/>
        <w:rPr>
          <w:rFonts w:cstheme="minorHAnsi"/>
        </w:rPr>
      </w:pPr>
    </w:p>
    <w:p w14:paraId="2578AF1C" w14:textId="77777777" w:rsidR="00F33CBC" w:rsidRPr="00AB258D" w:rsidRDefault="00AB2160" w:rsidP="00872346">
      <w:pPr>
        <w:tabs>
          <w:tab w:val="left" w:pos="930"/>
        </w:tabs>
        <w:spacing w:line="240" w:lineRule="auto"/>
        <w:jc w:val="both"/>
        <w:rPr>
          <w:rFonts w:cstheme="minorHAnsi"/>
          <w:sz w:val="24"/>
          <w:szCs w:val="24"/>
        </w:rPr>
      </w:pPr>
      <w:r w:rsidRPr="00AB258D">
        <w:rPr>
          <w:rFonts w:cstheme="minorHAnsi"/>
          <w:sz w:val="24"/>
          <w:szCs w:val="24"/>
        </w:rPr>
        <w:t xml:space="preserve">One of the key challenges that civil engineers would have to confront is the construction and execution of </w:t>
      </w:r>
      <w:r w:rsidR="00E61255" w:rsidRPr="00AB258D">
        <w:rPr>
          <w:rFonts w:cstheme="minorHAnsi"/>
          <w:sz w:val="24"/>
          <w:szCs w:val="24"/>
        </w:rPr>
        <w:t>very intensive land development</w:t>
      </w:r>
      <w:r w:rsidR="00C04E4F" w:rsidRPr="00AB258D">
        <w:rPr>
          <w:rFonts w:cstheme="minorHAnsi"/>
          <w:sz w:val="24"/>
          <w:szCs w:val="24"/>
        </w:rPr>
        <w:t>al works</w:t>
      </w:r>
      <w:r w:rsidR="00E61255" w:rsidRPr="00AB258D">
        <w:rPr>
          <w:rFonts w:cstheme="minorHAnsi"/>
          <w:sz w:val="24"/>
          <w:szCs w:val="24"/>
        </w:rPr>
        <w:t xml:space="preserve"> on areas</w:t>
      </w:r>
      <w:r w:rsidR="008F0DBA" w:rsidRPr="00AB258D">
        <w:rPr>
          <w:rFonts w:cstheme="minorHAnsi"/>
          <w:sz w:val="24"/>
          <w:szCs w:val="24"/>
        </w:rPr>
        <w:t xml:space="preserve"> of the globe</w:t>
      </w:r>
      <w:r w:rsidR="00E61255" w:rsidRPr="00AB258D">
        <w:rPr>
          <w:rFonts w:cstheme="minorHAnsi"/>
          <w:sz w:val="24"/>
          <w:szCs w:val="24"/>
        </w:rPr>
        <w:t xml:space="preserve"> </w:t>
      </w:r>
      <w:r w:rsidR="008F0DBA" w:rsidRPr="00AB258D">
        <w:rPr>
          <w:rFonts w:cstheme="minorHAnsi"/>
          <w:sz w:val="24"/>
          <w:szCs w:val="24"/>
        </w:rPr>
        <w:t>with</w:t>
      </w:r>
      <w:r w:rsidR="00E61255" w:rsidRPr="00AB258D">
        <w:rPr>
          <w:rFonts w:cstheme="minorHAnsi"/>
          <w:sz w:val="24"/>
          <w:szCs w:val="24"/>
        </w:rPr>
        <w:t xml:space="preserve"> serious concentration of high swelling clayey soils.</w:t>
      </w:r>
      <w:r w:rsidRPr="00AB258D">
        <w:rPr>
          <w:rFonts w:cstheme="minorHAnsi"/>
          <w:sz w:val="24"/>
          <w:szCs w:val="24"/>
        </w:rPr>
        <w:t xml:space="preserve"> </w:t>
      </w:r>
      <w:r w:rsidR="00E61255" w:rsidRPr="00AB258D">
        <w:rPr>
          <w:rFonts w:cstheme="minorHAnsi"/>
          <w:sz w:val="24"/>
          <w:szCs w:val="24"/>
        </w:rPr>
        <w:t xml:space="preserve">This is evidently because structures that are intended on such volume-change soils would </w:t>
      </w:r>
      <w:r w:rsidR="001C7561" w:rsidRPr="00AB258D">
        <w:rPr>
          <w:rFonts w:cstheme="minorHAnsi"/>
          <w:sz w:val="24"/>
          <w:szCs w:val="24"/>
        </w:rPr>
        <w:t>be prone to</w:t>
      </w:r>
      <w:r w:rsidR="00E61255" w:rsidRPr="00AB258D">
        <w:rPr>
          <w:rFonts w:cstheme="minorHAnsi"/>
          <w:sz w:val="24"/>
          <w:szCs w:val="24"/>
        </w:rPr>
        <w:t xml:space="preserve"> failure unless </w:t>
      </w:r>
      <w:r w:rsidR="00417B61" w:rsidRPr="00AB258D">
        <w:rPr>
          <w:rFonts w:cstheme="minorHAnsi"/>
          <w:sz w:val="24"/>
          <w:szCs w:val="24"/>
        </w:rPr>
        <w:t>some significant</w:t>
      </w:r>
      <w:r w:rsidR="00E61255" w:rsidRPr="00AB258D">
        <w:rPr>
          <w:rFonts w:cstheme="minorHAnsi"/>
          <w:sz w:val="24"/>
          <w:szCs w:val="24"/>
        </w:rPr>
        <w:t xml:space="preserve"> measures </w:t>
      </w:r>
      <w:r w:rsidR="00D806C8" w:rsidRPr="00AB258D">
        <w:rPr>
          <w:rFonts w:cstheme="minorHAnsi"/>
          <w:sz w:val="24"/>
          <w:szCs w:val="24"/>
        </w:rPr>
        <w:t xml:space="preserve">are </w:t>
      </w:r>
      <w:r w:rsidR="00417B61" w:rsidRPr="00AB258D">
        <w:rPr>
          <w:rFonts w:cstheme="minorHAnsi"/>
          <w:sz w:val="24"/>
          <w:szCs w:val="24"/>
        </w:rPr>
        <w:t>adopted</w:t>
      </w:r>
      <w:r w:rsidR="00E61255" w:rsidRPr="00AB258D">
        <w:rPr>
          <w:rFonts w:cstheme="minorHAnsi"/>
          <w:sz w:val="24"/>
          <w:szCs w:val="24"/>
        </w:rPr>
        <w:t xml:space="preserve"> to improve the foundation soil. </w:t>
      </w:r>
      <w:r w:rsidR="00C04E4F" w:rsidRPr="00AB258D">
        <w:rPr>
          <w:rFonts w:cstheme="minorHAnsi"/>
          <w:sz w:val="24"/>
          <w:szCs w:val="24"/>
        </w:rPr>
        <w:t xml:space="preserve">Moreover, the resulting disasters and the estimated cost of rehabilitation and repairs of structures that are founded on expansive soils is a global </w:t>
      </w:r>
      <w:r w:rsidR="00C24003" w:rsidRPr="00AB258D">
        <w:rPr>
          <w:rFonts w:cstheme="minorHAnsi"/>
          <w:sz w:val="24"/>
          <w:szCs w:val="24"/>
        </w:rPr>
        <w:t>concern</w:t>
      </w:r>
      <w:r w:rsidR="00C04E4F" w:rsidRPr="00AB258D">
        <w:rPr>
          <w:rFonts w:cstheme="minorHAnsi"/>
          <w:sz w:val="24"/>
          <w:szCs w:val="24"/>
        </w:rPr>
        <w:t>. Financial losses</w:t>
      </w:r>
      <w:r w:rsidR="00C24003" w:rsidRPr="00AB258D">
        <w:rPr>
          <w:rFonts w:cstheme="minorHAnsi"/>
          <w:sz w:val="24"/>
          <w:szCs w:val="24"/>
        </w:rPr>
        <w:t>,</w:t>
      </w:r>
      <w:r w:rsidR="00C04E4F" w:rsidRPr="00AB258D">
        <w:rPr>
          <w:rFonts w:cstheme="minorHAnsi"/>
          <w:sz w:val="24"/>
          <w:szCs w:val="24"/>
        </w:rPr>
        <w:t xml:space="preserve"> </w:t>
      </w:r>
      <w:r w:rsidR="00C24003" w:rsidRPr="00AB258D">
        <w:rPr>
          <w:rFonts w:cstheme="minorHAnsi"/>
          <w:sz w:val="24"/>
          <w:szCs w:val="24"/>
        </w:rPr>
        <w:t>legal claims</w:t>
      </w:r>
      <w:r w:rsidR="00D806C8" w:rsidRPr="00AB258D">
        <w:rPr>
          <w:rFonts w:cstheme="minorHAnsi"/>
          <w:sz w:val="24"/>
          <w:szCs w:val="24"/>
        </w:rPr>
        <w:t>,</w:t>
      </w:r>
      <w:r w:rsidR="00C24003" w:rsidRPr="00AB258D">
        <w:rPr>
          <w:rFonts w:cstheme="minorHAnsi"/>
          <w:sz w:val="24"/>
          <w:szCs w:val="24"/>
        </w:rPr>
        <w:t xml:space="preserve"> cost of </w:t>
      </w:r>
      <w:r w:rsidR="00C04E4F" w:rsidRPr="00AB258D">
        <w:rPr>
          <w:rFonts w:cstheme="minorHAnsi"/>
          <w:sz w:val="24"/>
          <w:szCs w:val="24"/>
        </w:rPr>
        <w:t xml:space="preserve">insurance for </w:t>
      </w:r>
      <w:r w:rsidR="00C24003" w:rsidRPr="00AB258D">
        <w:rPr>
          <w:rFonts w:cstheme="minorHAnsi"/>
          <w:sz w:val="24"/>
          <w:szCs w:val="24"/>
        </w:rPr>
        <w:t xml:space="preserve">infrastructural failures on </w:t>
      </w:r>
      <w:r w:rsidR="00C04E4F" w:rsidRPr="00AB258D">
        <w:rPr>
          <w:rFonts w:cstheme="minorHAnsi"/>
          <w:sz w:val="24"/>
          <w:szCs w:val="24"/>
        </w:rPr>
        <w:t>expansive soils have been reported in literature</w:t>
      </w:r>
      <w:r w:rsidR="00D87AE6" w:rsidRPr="00AB258D">
        <w:rPr>
          <w:rFonts w:cstheme="minorHAnsi"/>
          <w:sz w:val="24"/>
          <w:szCs w:val="24"/>
        </w:rPr>
        <w:t xml:space="preserve"> </w:t>
      </w:r>
      <w:r w:rsidR="00D87AE6" w:rsidRPr="00AB258D">
        <w:rPr>
          <w:rFonts w:cstheme="minorHAnsi"/>
          <w:sz w:val="24"/>
          <w:szCs w:val="24"/>
        </w:rPr>
        <w:fldChar w:fldCharType="begin" w:fldLock="1"/>
      </w:r>
      <w:r w:rsidR="00D87AE6" w:rsidRPr="00AB258D">
        <w:rPr>
          <w:rFonts w:cstheme="minorHAnsi"/>
          <w:sz w:val="24"/>
          <w:szCs w:val="24"/>
        </w:rPr>
        <w:instrText>ADDIN CSL_CITATION {"citationItems":[{"id":"ITEM-1","itemData":{"ISBN":"0471511862","author":[{"dropping-particle":"","family":"Nelson","given":"John D.","non-dropping-particle":"","parse-names":false,"suffix":""},{"dropping-particle":"","family":"Miller","given":"D.J.","non-dropping-particle":"","parse-names":false,"suffix":""}],"id":"ITEM-1","issued":{"date-parts":[["1992"]]},"number-of-pages":"284","publisher":"John Wiley &amp; Sons, Inc","title":"Expansive soils: Problems and practice in foundation and pavement engineering","type":"book"},"uris":["http://www.mendeley.com/documents/?uuid=bd8cef51-f3ac-4abe-97c3-d101ed449b49"]}],"mendeley":{"formattedCitation":"[1]","plainTextFormattedCitation":"[1]","previouslyFormattedCitation":"[1]"},"properties":{"noteIndex":0},"schema":"https://github.com/citation-style-language/schema/raw/master/csl-citation.json"}</w:instrText>
      </w:r>
      <w:r w:rsidR="00D87AE6" w:rsidRPr="00AB258D">
        <w:rPr>
          <w:rFonts w:cstheme="minorHAnsi"/>
          <w:sz w:val="24"/>
          <w:szCs w:val="24"/>
        </w:rPr>
        <w:fldChar w:fldCharType="separate"/>
      </w:r>
      <w:r w:rsidR="00D87AE6" w:rsidRPr="00AB258D">
        <w:rPr>
          <w:rFonts w:cstheme="minorHAnsi"/>
          <w:noProof/>
          <w:sz w:val="24"/>
          <w:szCs w:val="24"/>
        </w:rPr>
        <w:t>[1]</w:t>
      </w:r>
      <w:r w:rsidR="00D87AE6" w:rsidRPr="00AB258D">
        <w:rPr>
          <w:rFonts w:cstheme="minorHAnsi"/>
          <w:sz w:val="24"/>
          <w:szCs w:val="24"/>
        </w:rPr>
        <w:fldChar w:fldCharType="end"/>
      </w:r>
      <w:r w:rsidR="00D87AE6" w:rsidRPr="00AB258D">
        <w:rPr>
          <w:rFonts w:cstheme="minorHAnsi"/>
          <w:sz w:val="24"/>
          <w:szCs w:val="24"/>
        </w:rPr>
        <w:t xml:space="preserve">. </w:t>
      </w:r>
      <w:r w:rsidR="00C24003" w:rsidRPr="00AB258D">
        <w:rPr>
          <w:rFonts w:cstheme="minorHAnsi"/>
          <w:sz w:val="24"/>
          <w:szCs w:val="24"/>
        </w:rPr>
        <w:t xml:space="preserve">What has become even more </w:t>
      </w:r>
      <w:r w:rsidR="00D806C8" w:rsidRPr="00AB258D">
        <w:rPr>
          <w:rFonts w:cstheme="minorHAnsi"/>
          <w:sz w:val="24"/>
          <w:szCs w:val="24"/>
        </w:rPr>
        <w:t>worrisome</w:t>
      </w:r>
      <w:r w:rsidR="00C24003" w:rsidRPr="00AB258D">
        <w:rPr>
          <w:rFonts w:cstheme="minorHAnsi"/>
          <w:sz w:val="24"/>
          <w:szCs w:val="24"/>
        </w:rPr>
        <w:t xml:space="preserve"> is that, progressive housing and </w:t>
      </w:r>
      <w:r w:rsidR="008D4B1B" w:rsidRPr="00AB258D">
        <w:rPr>
          <w:rFonts w:cstheme="minorHAnsi"/>
          <w:sz w:val="24"/>
          <w:szCs w:val="24"/>
        </w:rPr>
        <w:t>related</w:t>
      </w:r>
      <w:r w:rsidR="00C24003" w:rsidRPr="00AB258D">
        <w:rPr>
          <w:rFonts w:cstheme="minorHAnsi"/>
          <w:sz w:val="24"/>
          <w:szCs w:val="24"/>
        </w:rPr>
        <w:t xml:space="preserve"> developments on </w:t>
      </w:r>
      <w:r w:rsidR="003F7DE2" w:rsidRPr="00AB258D">
        <w:rPr>
          <w:rFonts w:cstheme="minorHAnsi"/>
          <w:sz w:val="24"/>
          <w:szCs w:val="24"/>
        </w:rPr>
        <w:t>these</w:t>
      </w:r>
      <w:r w:rsidR="00C24003" w:rsidRPr="00AB258D">
        <w:rPr>
          <w:rFonts w:cstheme="minorHAnsi"/>
          <w:sz w:val="24"/>
          <w:szCs w:val="24"/>
        </w:rPr>
        <w:t xml:space="preserve"> soils seem very unavoidable especially with the continuous rise in world population figures</w:t>
      </w:r>
      <w:r w:rsidR="00D87AE6" w:rsidRPr="00AB258D">
        <w:rPr>
          <w:rFonts w:cstheme="minorHAnsi"/>
          <w:sz w:val="24"/>
          <w:szCs w:val="24"/>
        </w:rPr>
        <w:t xml:space="preserve"> </w:t>
      </w:r>
      <w:r w:rsidR="00D87AE6" w:rsidRPr="00AB258D">
        <w:rPr>
          <w:rFonts w:cstheme="minorHAnsi"/>
          <w:sz w:val="24"/>
          <w:szCs w:val="24"/>
        </w:rPr>
        <w:fldChar w:fldCharType="begin" w:fldLock="1"/>
      </w:r>
      <w:r w:rsidR="003208C7" w:rsidRPr="00AB258D">
        <w:rPr>
          <w:rFonts w:cstheme="minorHAnsi"/>
          <w:sz w:val="24"/>
          <w:szCs w:val="24"/>
        </w:rPr>
        <w:instrText>ADDIN CSL_CITATION {"citationItems":[{"id":"ITEM-1","itemData":{"ISSN":"10893032","abstract":"Laboratory test was conducted on black cotton soil treated with up to 16% Cement Kiln Dust (CKD) by dry weight of soil to assess its suitability for use as road pavement material. Specimens were compacted using the energies of the British Standard Light (BSL) and West African Standard (WAS) or \"intermediate\". The expansive black cotton soil classified as A-7-6 (16) or CL using the America Association of Highway and Transportation Officials (AASHTO) and Unified Soil Classification System (USCS), respectively, Soils under these groups are of poor engineering benefit. The UCS values for the untreated soil are 178 and 381kN/m \\n 2 at energy levels of BSL and WAS respectively. CKD treated black cotton soil gave a peak 7 day UCS value of 394kN/m \\n 2 and 410kN/m \\n 2 at 12% and 8% CKD content at BSL and WAS energy level respectively. These values fall short of the 1710 kN/m \\n 2 specified for base materials stabilization using OPC. And this value also fails to meet the requirement of 687-1373 kN/m \\n 2 for sub-base material. The CBR recorded an improvement in the strength from 2% and 3% for the natural soil for BSL and WAS compactive effort to attain a peak C.B.R. of 12% at 12% CKD and 16% at 12% CKD treatment for BSL and WAS compactive effort respectively. However, soil -CKD mixtures failed to meet the minimum CBR value of 30% specified for use as sub-base course material when determined at MDD and OMC. The peak resistance to loss in strength recorded for BSL and WAS were 13.2 and 16.1% (i.e. loss in strength) was attained at 16% CKD content at both energy levels. The resistance to loss in strength values all fell short of the acceptable conventional minimum of 80%.","author":[{"dropping-particle":"","family":"Moses","given":"G. K.","non-dropping-particle":"","parse-names":false,"suffix":""},{"dropping-particle":"","family":"Saminu","given":"A.","non-dropping-particle":"","parse-names":false,"suffix":""}],"container-title":"Electronic Journal of Geotechnical Engineering","id":"ITEM-1","issued":{"date-parts":[["2012"]]},"page":"825-836","title":"Cement Kiln Dust stabilization of compacted black cotton soil","type":"article-journal","volume":"17 F"},"uris":["http://www.mendeley.com/documents/?uuid=f04f8340-9b95-43fc-be81-27b976c921c9"]},{"id":"ITEM-2","itemData":{"DOI":"https://doi.org/10.1007/s10064-019-01621-z","author":[{"dropping-particle":"","family":"Abbey","given":"S.J.","non-dropping-particle":"","parse-names":false,"suffix":""},{"dropping-particle":"","family":"Eyo","given":"E.U.","non-dropping-particle":"","parse-names":false,"suffix":""},{"dropping-particle":"","family":"Ng'ambi","given":"S.","non-dropping-particle":"","parse-names":false,"suffix":""}],"container-title":"Bulletin of Engineering Geology and the Environment","id":"ITEM-2","issued":{"date-parts":[["2019"]]},"page":"2119–2130","publisher":"Bulletin of Engineering Geology and the Environment","title":"Swell and microstructural characteristics of high-plasticity clay blended with cement","type":"article-journal","volume":"79"},"uris":["http://www.mendeley.com/documents/?uuid=48f5747e-32d2-4c75-805a-3adf6442c533"]},{"id":"ITEM-3","itemData":{"DOI":"10.1016/j.trgeo.2018.11.007","ISSN":"22143912","author":[{"dropping-particle":"","family":"Eyo","given":"E.U.","non-dropping-particle":"","parse-names":false,"suffix":""},{"dropping-particle":"","family":"Ng'ambi","given":"S.","non-dropping-particle":"","parse-names":false,"suffix":""},{"dropping-particle":"","family":"Abbey","given":"S.J.","non-dropping-particle":"","parse-names":false,"suffix":""}],"container-title":"Transportation Geotechnics","id":"ITEM-3","issued":{"date-parts":[["2019"]]},"page":"124-131","title":"Effect of intrinsic microscopic properties and suction on swell characteristics of compacted expansive clays","type":"article-journal","volume":"18"},"uris":["http://www.mendeley.com/documents/?uuid=0510f6d1-efd7-3599-93c9-139b53a72f53"]}],"mendeley":{"formattedCitation":"[2–4]","plainTextFormattedCitation":"[2–4]","previouslyFormattedCitation":"[2–4]"},"properties":{"noteIndex":0},"schema":"https://github.com/citation-style-language/schema/raw/master/csl-citation.json"}</w:instrText>
      </w:r>
      <w:r w:rsidR="00D87AE6" w:rsidRPr="00AB258D">
        <w:rPr>
          <w:rFonts w:cstheme="minorHAnsi"/>
          <w:sz w:val="24"/>
          <w:szCs w:val="24"/>
        </w:rPr>
        <w:fldChar w:fldCharType="separate"/>
      </w:r>
      <w:r w:rsidR="00D87AE6" w:rsidRPr="00AB258D">
        <w:rPr>
          <w:rFonts w:cstheme="minorHAnsi"/>
          <w:noProof/>
          <w:sz w:val="24"/>
          <w:szCs w:val="24"/>
        </w:rPr>
        <w:t>[2–4]</w:t>
      </w:r>
      <w:r w:rsidR="00D87AE6" w:rsidRPr="00AB258D">
        <w:rPr>
          <w:rFonts w:cstheme="minorHAnsi"/>
          <w:sz w:val="24"/>
          <w:szCs w:val="24"/>
        </w:rPr>
        <w:fldChar w:fldCharType="end"/>
      </w:r>
      <w:r w:rsidR="00D87AE6" w:rsidRPr="00AB258D">
        <w:rPr>
          <w:rFonts w:cstheme="minorHAnsi"/>
          <w:sz w:val="24"/>
          <w:szCs w:val="24"/>
        </w:rPr>
        <w:t>.</w:t>
      </w:r>
    </w:p>
    <w:p w14:paraId="21E29114" w14:textId="77777777" w:rsidR="008921E5" w:rsidRPr="00AB258D" w:rsidRDefault="00C24003" w:rsidP="00872346">
      <w:pPr>
        <w:tabs>
          <w:tab w:val="left" w:pos="930"/>
        </w:tabs>
        <w:spacing w:line="240" w:lineRule="auto"/>
        <w:jc w:val="both"/>
        <w:rPr>
          <w:rFonts w:eastAsia="Times New Roman" w:cstheme="minorHAnsi"/>
          <w:sz w:val="24"/>
          <w:szCs w:val="24"/>
        </w:rPr>
      </w:pPr>
      <w:r w:rsidRPr="00AB258D">
        <w:rPr>
          <w:rFonts w:eastAsia="Times New Roman" w:cstheme="minorHAnsi"/>
          <w:sz w:val="24"/>
          <w:szCs w:val="24"/>
        </w:rPr>
        <w:t xml:space="preserve">Soil treatment with additives or </w:t>
      </w:r>
      <w:r w:rsidR="00DE13C3" w:rsidRPr="00AB258D">
        <w:rPr>
          <w:rFonts w:eastAsia="Times New Roman" w:cstheme="minorHAnsi"/>
          <w:sz w:val="24"/>
          <w:szCs w:val="24"/>
        </w:rPr>
        <w:t xml:space="preserve">soil </w:t>
      </w:r>
      <w:r w:rsidRPr="00AB258D">
        <w:rPr>
          <w:rFonts w:eastAsia="Times New Roman" w:cstheme="minorHAnsi"/>
          <w:sz w:val="24"/>
          <w:szCs w:val="24"/>
        </w:rPr>
        <w:t>stabilization is a very cost effective</w:t>
      </w:r>
      <w:r w:rsidR="00F33CBC" w:rsidRPr="00AB258D">
        <w:rPr>
          <w:rFonts w:eastAsia="Times New Roman" w:cstheme="minorHAnsi"/>
          <w:sz w:val="24"/>
          <w:szCs w:val="24"/>
        </w:rPr>
        <w:t xml:space="preserve"> and</w:t>
      </w:r>
      <w:r w:rsidRPr="00AB258D">
        <w:rPr>
          <w:rFonts w:eastAsia="Times New Roman" w:cstheme="minorHAnsi"/>
          <w:sz w:val="24"/>
          <w:szCs w:val="24"/>
        </w:rPr>
        <w:t xml:space="preserve"> well-researched technique that </w:t>
      </w:r>
      <w:r w:rsidR="00520988" w:rsidRPr="00AB258D">
        <w:rPr>
          <w:rFonts w:eastAsia="Times New Roman" w:cstheme="minorHAnsi"/>
          <w:sz w:val="24"/>
          <w:szCs w:val="24"/>
        </w:rPr>
        <w:t>has been</w:t>
      </w:r>
      <w:r w:rsidRPr="00AB258D">
        <w:rPr>
          <w:rFonts w:eastAsia="Times New Roman" w:cstheme="minorHAnsi"/>
          <w:sz w:val="24"/>
          <w:szCs w:val="24"/>
        </w:rPr>
        <w:t xml:space="preserve"> used to improve the mechanical and durability properties of expansive soils</w:t>
      </w:r>
      <w:r w:rsidR="00D87AE6" w:rsidRPr="00AB258D">
        <w:rPr>
          <w:rFonts w:eastAsia="Times New Roman" w:cstheme="minorHAnsi"/>
          <w:sz w:val="24"/>
          <w:szCs w:val="24"/>
        </w:rPr>
        <w:t xml:space="preserve"> </w:t>
      </w:r>
      <w:r w:rsidR="00D87AE6" w:rsidRPr="00AB258D">
        <w:rPr>
          <w:rFonts w:eastAsia="Times New Roman" w:cstheme="minorHAnsi"/>
          <w:sz w:val="24"/>
          <w:szCs w:val="24"/>
        </w:rPr>
        <w:fldChar w:fldCharType="begin" w:fldLock="1"/>
      </w:r>
      <w:r w:rsidR="003208C7" w:rsidRPr="00AB258D">
        <w:rPr>
          <w:rFonts w:eastAsia="Times New Roman" w:cstheme="minorHAnsi"/>
          <w:sz w:val="24"/>
          <w:szCs w:val="24"/>
        </w:rPr>
        <w:instrText>ADDIN CSL_CITATION {"citationItems":[{"id":"ITEM-1","itemData":{"DOI":"10.1016/j.trgeo.2020.100330","ISSN":"22143912","abstract":"RoadCem (RC) is a by-product additive produced based on nanotechnology and comprises of synthetic zeolites and alkali earth metals as some of its components. The geotechnical properties of a soil stabilized by adding RC to partly replaced cementitious materials are studied. Various combinations of the additives were investigated with the objective of reducing the amount of OPC by 50% by an inclusion of RC and ground granulated blast furnace slag (GGBS) in the stabilized soil. Laboratory studies involving index property testing, oedometer swell-deformation, unconfined compression tests and microstructural examinations were carried out on both the natural and 7-&amp; 28- day cured samples of the stabilized soil. The influence of RC on the mechanical properties of the stabilized soil was examined by comparing the performance of the stabilized soil mixtures that contain the RC and the mixtures without the RC added. Results indicated the positive effect of RC as noticed by the tremendous strength gain in 7 days with the OPC reduced by 50% in the stabilized soil. Swelling decreased significantly to 0% after 28 days curing with the settlement also reasonably reduced for nearly all the percentages of the OPC substituted. The stabilized soil's microstructure revealed the mechanism of cementation observed as an encapsulation or “wrapping effect” as a result of the presence of RC. A comparison of the RC-modified soil containing the by-products GGBS and PFA indicated that GGBS was more effective in the enhancement of engineering properties than PFA. Overall, as well as meeting some of the standards set for road pavement applications, the results obtained from this research are very promising for the ongoing discussions on reducing carbon foot-printing by OPC replacement.","author":[{"dropping-particle":"","family":"Eyo","given":"E.U.","non-dropping-particle":"","parse-names":false,"suffix":""},{"dropping-particle":"","family":"Ng'ambi","given":"S.","non-dropping-particle":"","parse-names":false,"suffix":""},{"dropping-particle":"","family":"Abbey","given":"S. J.","non-dropping-particle":"","parse-names":false,"suffix":""}],"container-title":"Transportation Geotechnics","id":"ITEM-1","issue":"August 2019","issued":{"date-parts":[["2020"]]},"page":"100330","publisher":"Elsevier","title":"Performance of clay stabilized by cementitious materials and inclusion of zeolite/alkaline metals-based additive","type":"article-journal","volume":"23"},"uris":["http://www.mendeley.com/documents/?uuid=f7de7e1b-9bda-4a2a-936f-914617c9dc7b"]},{"id":"ITEM-2","itemData":{"ISSN":"00083674","abstract":"The paper presents a series of laboratory tests and evaluates the effect of lime and fly ash on the compressibility and hydraulic characteristics of an expansive soil in Cyprus. The tests were performed at different percentages of lime (0–7%) and fly ash (15 and 25%) by dry weight of soil, and additional tests were also performed on soils treated with 15% fly ash plus 3% lime. Previously published research reveals that few data are available concerning the compressibility and hydraulic conductivity of lime-treated soils. The results of this study indicate an increase in the vertical effective yield stress (apparent preconsolidation pressure) and a decrease in the compressibility characteristics of the treated soils. Moreover, unlike some of the findings in the literature, higher hydraulic conductivity values were obtained with time. This finding has been substantiated by the reduced cation exchange capacity (CEC) values, which indicate that the pozzolanic reaction causes the soils to become more granular ...","author":[{"dropping-particle":"","family":"Nalbantoglu","given":"Zalihe","non-dropping-particle":"","parse-names":false,"suffix":""},{"dropping-particle":"","family":"Tuncer","given":"Erdil R.","non-dropping-particle":"","parse-names":false,"suffix":""}],"container-title":"Canadian Geotechnical Journal","id":"ITEM-2","issue":"1","issued":{"date-parts":[["2001"]]},"page":"154-160","title":"Compressibility and hydraulic conductivity of a chemically treated expansive clay","type":"article-journal","volume":"38"},"uris":["http://www.mendeley.com/documents/?uuid=4ae4953d-bb7c-4cf3-9f73-a2f6217949dd"]},{"id":"ITEM-3","itemData":{"DOI":"10.1061/(ASCE)1090-0241(2004)130:10(1096)","ISBN":"1090-0241","ISSN":"1090-0241","abstract":"We develop empirical relationships to predict nonlinear (i.e., amplitudedependant) amplification factors for 5% damped response spectral acceleration as a continuous function of average shear wave velocity in the upper 30 m, Vs-30 . We evaluate amplification factors as residuals between spectral accelerations from recordings and modified rock attenuation relationships for active regions. Amplification at low- and mid-periods is shown to increase with decreasing Vs-30 and to exhibit nonlinearity that is dependent on Vs-30 . The degree of nonlinearity is large for NEHRP Category E (Vs-30,180 m/s) but decreases rapidly with Vs-30 , and is small for Vs-30.;300 m/s. The results can be used as Vs-30-based site factors with attenuation relationships. The results also provide an independent check of site factors published in the NEHRP Provisions, and apparent bias in some of the existing NEHRP factors is identified. Moreover, the results provide evidence that data dispersion is dependent on Vs-30 .","author":[{"dropping-particle":"","family":"Horpibulsuk","given":"Suksun","non-dropping-particle":"","parse-names":false,"suffix":""},{"dropping-particle":"","family":"Miura","given":"Norihiro","non-dropping-particle":"","parse-names":false,"suffix":""},{"dropping-particle":"","family":"Bergado","given":"D T","non-dropping-particle":"","parse-names":false,"suffix":""}],"container-title":"Journal of Geotechnical and Geoenvironmental Engineering","id":"ITEM-3","issue":"10","issued":{"date-parts":[["2004"]]},"page":"1096-1105","title":"Undrained Shear Behavior of Cement Admixed Clay at High Water Content","type":"article-journal","volume":"130"},"uris":["http://www.mendeley.com/documents/?uuid=c3b9840d-cbb9-4555-b193-f2d7b66699ad"]},{"id":"ITEM-4","itemData":{"ISSN":"03601323","abstract":"In this study, Al-Khod (town in northern Oman) expansive soil was stabilized using lime, cement, combinations of lime and cement, Sarooj (artificial pozzolan) and heat treatment. Initially, the chemical and physical properties of the untreated soil were determined. Then the soil was mixed with lime, cement and Sarooj (produced from Bilad Seet, a town in northern Oman) at 3%, 6% and 9% by dry weight of soil. Fixed percentages of lime (3% and 5%), plus different percentages of cement were also mixed with the soil. The physical results of the treated samples were determined. The untreated soil values were used as control points for comparison purposes. It was found that with the addition of 6% lime, both the swell percent and swell pressure reduced to zero. Heat treatment reduced swelling potential to zero. The use of lime showed superior results when compared with the other stabilizers. ?? 2004 Elsevier Ltd. All rights reserved.","author":[{"dropping-particle":"","family":"Al-Rawas","given":"Amer A.","non-dropping-particle":"","parse-names":false,"suffix":""},{"dropping-particle":"","family":"Hago","given":"A. W.","non-dropping-particle":"","parse-names":false,"suffix":""},{"dropping-particle":"","family":"Al-Sarmi","given":"Hilal","non-dropping-particle":"","parse-names":false,"suffix":""}],"container-title":"Building and Environment","id":"ITEM-4","issue":"5","issued":{"date-parts":[["2005"]]},"page":"681-687","title":"Effect of lime, cement and sarooj (artificial pozzolan) on the swelling potential of an expansive soil from Oman","type":"article-journal","volume":"40"},"uris":["http://www.mendeley.com/documents/?uuid=c8ca13cb-e309-4b13-b55d-ff82ac009cf6"]},{"id":"ITEM-5","itemData":{"DOI":"10.1016/j.clay.2010.12.032","ISSN":"01691317","abstract":"Marl-rich soils are widely distributed throughout the world. They are generally characterized by a low load-bearing capacity, due to the presence of a clay matrix in them. The stabilization of these types of soils by adding lime or cement is a common practice for increasing their usefulness. This article presents an experimental study of the stabilization of a marl-rich soil based on non-conventional additives, mainly of industrial waste materials. In this way two objectives are achieved: reducing the problems of these types of soils, and in addition enhancing the value of additives and eliminating the economic and environmental cost involved in managing them. From the standpoint of improving their mechanical capacities, CBR and unconfined compression tests were examined, carried out for different curing periods. Thus it was possible not only to determine the improvement of the natural soil, but also to establish the evolution of the increased strength of the soil over time. From a period of 7. days, results were obtained for all combinations of additives that gave an improvement of several times those obtained with the natural material. Results over the course of time showed the formation of pozzolanic reactions in the soil, especially between 14 and 28. days of curing. © 2011 Elsevier B.V.","author":[{"dropping-particle":"","family":"Seco","given":"A.","non-dropping-particle":"","parse-names":false,"suffix":""},{"dropping-particle":"","family":"Ramírez","given":"F.","non-dropping-particle":"","parse-names":false,"suffix":""},{"dropping-particle":"","family":"Miqueleiz","given":"L.","non-dropping-particle":"","parse-names":false,"suffix":""},{"dropping-particle":"","family":"Garci","given":"B.","non-dropping-particle":"","parse-names":false,"suffix":""},{"dropping-particle":"","family":"Prieto","given":"E.","non-dropping-particle":"","parse-names":false,"suffix":""}],"container-title":"Applied Clay Science","id":"ITEM-5","issue":"4","issued":{"date-parts":[["2011"]]},"page":"419-423","publisher":"Elsevier B.V.","title":"The use of non-conventional additives in Marls stabilization","type":"article-journal","volume":"51"},"uris":["http://www.mendeley.com/documents/?uuid=bca9ffbd-f3fc-4d59-b5c7-efa2a5d42343"]},{"id":"ITEM-6","itemData":{"DOI":"10.1016/j.jrmge.2014.07.001","ISBN":"1674-7755","ISSN":"16747755","abstract":"This study aims at evidencing the effects of lime treatment on the microstructure and hydraulic conductivity of a compacted expansive clay, with emphasis put on the effect of lime hydration and modification. For this purpose, evolutions of hydraulic conductivity were investigated for both lime-treated and untreated soil specimens over 7d after full saturation of the specimens and their microstructures were observed at the end. Note that for the treated specimen, dry clay powder was mixed with quicklime prior to compaction in order to study the effect of lime hydration. It is observed that lime hydration and modification did not affect the intra-aggregate pores but increased the inter-aggregates pores size. This increase gave rise to an increase of hydraulic conductivity. More precisely, the hydraulic conductivity of lime-treated specimen increased progressively during the first 3d of modification phase and stabilised during the next 4d which correspond to a short period prior to the stabilisation phase. The microstructure observation showed that stabilisation reactions took place after 7d. Under the effect of stabilisation, a decreasing hydraulic conductivity can be expected in longer time due to the formation of cementitious compounds.","author":[{"dropping-particle":"","family":"Tran","given":"Thanh Danh","non-dropping-particle":"","parse-names":false,"suffix":""},{"dropping-particle":"","family":"Cui","given":"Yu Jun","non-dropping-particle":"","parse-names":false,"suffix":""},{"dropping-particle":"","family":"Tang","given":"Anh Minh","non-dropping-particle":"","parse-names":false,"suffix":""},{"dropping-particle":"","family":"Audiguier","given":"Martine","non-dropping-particle":"","parse-names":false,"suffix":""},{"dropping-particle":"","family":"Cojean","given":"Roger","non-dropping-particle":"","parse-names":false,"suffix":""}],"container-title":"Journal of Rock Mechanics and Geotechnical Engineering","id":"ITEM-6","issue":"5","issued":{"date-parts":[["2014"]]},"page":"399-404","publisher":"Elsevier Ltd","title":"Effects of lime treatment on the microstructure and hydraulic conductivity of Héricourt clay","type":"article-journal","volume":"6"},"uris":["http://www.mendeley.com/documents/?uuid=7c73c695-267b-4bf8-815e-39b70574d37a"]},{"id":"ITEM-7","itemData":{"ISSN":"01691317","abstract":"Urban areas of the wilaya of M'sila in Algeria nowadays experience a considerable development because of an unceasingly increasing demography, from where its extension towards virgin zones often less favorable than those already urbanized. This wilaya is located in a zone classified as semi-arid, whose geology comprises clayey formations characterized by a high variation of volume when the conditions of their equilibrium are modified (natural climatic phenomena due to a prolonged dryness, human activity by modification of the ground water level because of excessive pumping, configuration of constructions in their environment). This paper presents and analyzes the results of a series of normal Proctor compaction tests, methylene blue tests, California bearing ratio tests and undrained direct shear tests performed on Sidi-Hadjr??s expansive overconsolidated clay treated with mixture of various cement and lime contents and compacted under the optimum Proctor conditions. These test results show that the geotechnical parameters values are concordant and confirm the bearing capacity improvement of this natural clay, which is translated by a significant increase in soil strength and its durability. However, the best performances are obtained for a mixt treatment corresponding to 8% cement and 4% lime contents. ?? 2014 Elsevier B.V.","author":[{"dropping-particle":"","family":"Khemissa","given":"Mohamed","non-dropping-particle":"","parse-names":false,"suffix":""},{"dropping-particle":"","family":"Mahamedi","given":"Abdelkrim","non-dropping-particle":"","parse-names":false,"suffix":""}],"container-title":"Applied Clay Science","id":"ITEM-7","issued":{"date-parts":[["2014"]]},"page":"104-110","publisher":"Elsevier B.V.","title":"Cement and lime mixture stabilization of an expansive overconsolidated clay","type":"article-journal","volume":"95"},"uris":["http://www.mendeley.com/documents/?uuid=8fb16a0f-8f6f-4bf8-819f-3e64e29e6908"]},{"id":"ITEM-8","itemData":{"DOI":"10.1520/GTJ20160138","ISSN":"01496115","author":[{"dropping-particle":"","family":"Abbey","given":"Samuel Jonah","non-dropping-particle":"","parse-names":false,"suffix":""},{"dropping-particle":"","family":"Ng'ambi","given":"Samson","non-dropping-particle":"","parse-names":false,"suffix":""},{"dropping-particle":"","family":"Ganjian","given":"Eshmaiel","non-dropping-particle":"","parse-names":false,"suffix":""}],"container-title":"Geotechnical Testing Journal","id":"ITEM-8","issued":{"date-parts":[["2017"]]},"page":"928-935","title":"Development of strength models for prediction of unconfined compressive strength of cement/by-product material improved soils","type":"article-journal","volume":"40"},"uris":["http://www.mendeley.com/documents/?uuid=be1a4f7e-7860-4a8d-b183-345dd398c4dc"]},{"id":"ITEM-9","itemData":{"author":[{"dropping-particle":"","family":"Eyo","given":"E.U.","non-dropping-particle":"","parse-names":false,"suffix":""},{"dropping-particle":"","family":"Ngambi","given":"Samson","non-dropping-particle":"","parse-names":false,"suffix":""},{"dropping-particle":"","family":"Abbey","given":"Samuel Jonah","non-dropping-particle":"","parse-names":false,"suffix":""}],"container-title":"International Journal of Applied Engineering Research","id":"ITEM-9","issue":"13","issued":{"date-parts":[["2017"]]},"page":"3828-3836","title":"Investigative modelling of behaviour of expansive soils improved using soil mixing technique.","type":"article-journal","volume":"12"},"uris":["http://www.mendeley.com/documents/?uuid=83b20acf-0541-4f8b-a62b-c42e9f4b3a27"]},{"id":"ITEM-10","itemData":{"author":[{"dropping-particle":"","family":"Eyo","given":"E.U.","non-dropping-particle":"","parse-names":false,"suffix":""},{"dropping-particle":"","family":"Ngambi","given":"S.","non-dropping-particle":"","parse-names":false,"suffix":""},{"dropping-particle":"","family":"Abbey","given":"S.J.","non-dropping-particle":"","parse-names":false,"suffix":""}],"container-title":"International Foundation Congress and Equipment Expo 5-10 March","id":"ITEM-10","issued":{"date-parts":[["2018"]]},"page":"373-384","publisher-place":"Orlando, Florida","title":"Investigative study of behaviour of treated expansive soil using empirical correlations","type":"paper-conference"},"uris":["http://www.mendeley.com/documents/?uuid=fca38092-ff10-4922-b072-b841070adffd"]}],"mendeley":{"formattedCitation":"[5–14]","plainTextFormattedCitation":"[5–14]","previouslyFormattedCitation":"[5–14]"},"properties":{"noteIndex":0},"schema":"https://github.com/citation-style-language/schema/raw/master/csl-citation.json"}</w:instrText>
      </w:r>
      <w:r w:rsidR="00D87AE6" w:rsidRPr="00AB258D">
        <w:rPr>
          <w:rFonts w:eastAsia="Times New Roman" w:cstheme="minorHAnsi"/>
          <w:sz w:val="24"/>
          <w:szCs w:val="24"/>
        </w:rPr>
        <w:fldChar w:fldCharType="separate"/>
      </w:r>
      <w:r w:rsidR="00D87AE6" w:rsidRPr="00AB258D">
        <w:rPr>
          <w:rFonts w:eastAsia="Times New Roman" w:cstheme="minorHAnsi"/>
          <w:noProof/>
          <w:sz w:val="24"/>
          <w:szCs w:val="24"/>
        </w:rPr>
        <w:t>[5–14]</w:t>
      </w:r>
      <w:r w:rsidR="00D87AE6" w:rsidRPr="00AB258D">
        <w:rPr>
          <w:rFonts w:eastAsia="Times New Roman" w:cstheme="minorHAnsi"/>
          <w:sz w:val="24"/>
          <w:szCs w:val="24"/>
        </w:rPr>
        <w:fldChar w:fldCharType="end"/>
      </w:r>
      <w:r w:rsidR="00F33CBC" w:rsidRPr="00AB258D">
        <w:rPr>
          <w:rFonts w:eastAsia="Times New Roman" w:cstheme="minorHAnsi"/>
          <w:sz w:val="24"/>
          <w:szCs w:val="24"/>
        </w:rPr>
        <w:t xml:space="preserve">. Traditionally, </w:t>
      </w:r>
      <w:r w:rsidR="00A36AC3" w:rsidRPr="00AB258D">
        <w:rPr>
          <w:rFonts w:eastAsia="Times New Roman" w:cstheme="minorHAnsi"/>
          <w:sz w:val="24"/>
          <w:szCs w:val="24"/>
        </w:rPr>
        <w:t xml:space="preserve">the </w:t>
      </w:r>
      <w:r w:rsidR="00F33CBC" w:rsidRPr="00AB258D">
        <w:rPr>
          <w:rFonts w:eastAsia="Times New Roman" w:cstheme="minorHAnsi"/>
          <w:sz w:val="24"/>
          <w:szCs w:val="24"/>
        </w:rPr>
        <w:t>use of calcium based stabilising agents such as lime and cement have received high att</w:t>
      </w:r>
      <w:r w:rsidR="009166B5" w:rsidRPr="00AB258D">
        <w:rPr>
          <w:rFonts w:eastAsia="Times New Roman" w:cstheme="minorHAnsi"/>
          <w:sz w:val="24"/>
          <w:szCs w:val="24"/>
        </w:rPr>
        <w:t xml:space="preserve">ention and successfully used in </w:t>
      </w:r>
      <w:r w:rsidR="00F33CBC" w:rsidRPr="00AB258D">
        <w:rPr>
          <w:rFonts w:eastAsia="Times New Roman" w:cstheme="minorHAnsi"/>
          <w:sz w:val="24"/>
          <w:szCs w:val="24"/>
        </w:rPr>
        <w:t xml:space="preserve">improving the engineering </w:t>
      </w:r>
      <w:r w:rsidR="00B07743" w:rsidRPr="00AB258D">
        <w:rPr>
          <w:rFonts w:eastAsia="Times New Roman" w:cstheme="minorHAnsi"/>
          <w:sz w:val="24"/>
          <w:szCs w:val="24"/>
        </w:rPr>
        <w:t xml:space="preserve">characteristics </w:t>
      </w:r>
      <w:r w:rsidR="00F33CBC" w:rsidRPr="00AB258D">
        <w:rPr>
          <w:rFonts w:eastAsia="Times New Roman" w:cstheme="minorHAnsi"/>
          <w:sz w:val="24"/>
          <w:szCs w:val="24"/>
        </w:rPr>
        <w:t>of soft soils</w:t>
      </w:r>
      <w:r w:rsidR="000217C3" w:rsidRPr="00AB258D">
        <w:rPr>
          <w:rFonts w:eastAsia="Times New Roman" w:cstheme="minorHAnsi"/>
          <w:sz w:val="24"/>
          <w:szCs w:val="24"/>
        </w:rPr>
        <w:t xml:space="preserve"> </w:t>
      </w:r>
      <w:r w:rsidR="000217C3" w:rsidRPr="00AB258D">
        <w:rPr>
          <w:rFonts w:eastAsia="Times New Roman" w:cstheme="minorHAnsi"/>
          <w:sz w:val="24"/>
          <w:szCs w:val="24"/>
        </w:rPr>
        <w:fldChar w:fldCharType="begin" w:fldLock="1"/>
      </w:r>
      <w:r w:rsidR="000217C3" w:rsidRPr="00AB258D">
        <w:rPr>
          <w:rFonts w:eastAsia="Times New Roman" w:cstheme="minorHAnsi"/>
          <w:sz w:val="24"/>
          <w:szCs w:val="24"/>
        </w:rPr>
        <w:instrText>ADDIN CSL_CITATION {"citationItems":[{"id":"ITEM-1","itemData":{"DOI":"10.1016/j.enggeo.2015.06.005","ISSN":"00137952","abstract":"It is globally recognized that soft soils will have low strength and high compressibility and that under reduced loads might collapse or suffer large displacements. In order to reduce settlements and increase bearing capacity of structures built on such soils, their stabilization using cementitious materials such as Portland cement and/or quicklime (increasing strength and stiffness) is an efficient technique used worldwide. The focus of this research is to present and check the accuracy of a new testing procedure to evaluate strength gain in very soft soils when using cementation as a means of improvement. This testing procedure was intended to fasten acquiring strength results in artificially cemented soft soils. In short, in the proposed procedure the force applied to embed a flat base rod into a soil mass is measured by using high resolution load rings. The proposed flat base rod embedding test was shown to be adequate for evaluating the gain in strength of cemented soils. Results of embedding flat base rod strength have unique linear relations with both unconfined compressive strength and splitting tensile strength, being independent of type and amount of cementitious material (Portland cement and/or quicklime), as well as of the curing time period. The wrap up of present studies is that the developed testing procedure can be used as a substitute of unconfined compression and splitting tensile tests as a dosage test, being easier to mold specimens (might be molded in the field) and faster in acquiring strength results (can be carried out in a bucket filled with soil and the cementitious material, in which will be attached to the load ring) in artificially cemented soft soils.","author":[{"dropping-particle":"","family":"Consoli","given":"Nilo Cesar","non-dropping-particle":"","parse-names":false,"suffix":""},{"dropping-particle":"","family":"Winter","given":"Daniel","non-dropping-particle":"","parse-names":false,"suffix":""},{"dropping-particle":"","family":"Rilho","given":"Andry Soares","non-dropping-particle":"","parse-names":false,"suffix":""},{"dropping-particle":"","family":"Festugato","given":"Lucas","non-dropping-particle":"","parse-names":false,"suffix":""},{"dropping-particle":"","family":"Teixeira","given":"Bruno dos Santos","non-dropping-particle":"","parse-names":false,"suffix":""}],"container-title":"Engineering Geology","id":"ITEM-1","issued":{"date-parts":[["2015"]]},"page":"327-334","publisher":"Elsevier B.V.","title":"A testing procedure for predicting strength in artificially cemented soft soils","type":"article-journal","volume":"195"},"uris":["http://www.mendeley.com/documents/?uuid=190b8a52-d09d-40f6-ac0c-1210851d9585"]},{"id":"ITEM-2","itemData":{"DOI":"10.1016/j.egypro.2015.12.277","ISSN":"18766102","abstract":"Soil treatment and stabilization by mixing, an economic and eco-friendly method, is a technique that is increasingly being used worldwide in order to improve soft soils. A better understanding of the physical and mechanical properties and behavior of the final product is of vital importance for optimizing the design of the mixing process, thus for further development of the mixing methods, there is a need for more extensive laboratory research. The overall objective of the study presented in this paper is to improve the understanding of some of the important aspects of the strength behavior of stabilized soils. An experimental program was carried out in the laboratory on different artificial soils, comprised of clay and sand stabilized with cement, in order to determine the unconfined compressive strength, flexion strength, porosity, density and dynamic modulus. The results of the tests are presented in relation to results obtained by other researchers, available in the literature.","author":[{"dropping-particle":"","family":"Caraşca","given":"Oana","non-dropping-particle":"","parse-names":false,"suffix":""}],"container-title":"Energy Procedia","id":"ITEM-2","issue":"November 2015","issued":{"date-parts":[["2016"]]},"page":"85-92","title":"Soil Improvement by Mixing: Techniques and Performances","type":"article-journal","volume":"85"},"uris":["http://www.mendeley.com/documents/?uuid=7720bb37-f3bd-4269-adb2-778a2c3113cd"]}],"mendeley":{"formattedCitation":"[15,16]","plainTextFormattedCitation":"[15,16]","previouslyFormattedCitation":"[15,16]"},"properties":{"noteIndex":0},"schema":"https://github.com/citation-style-language/schema/raw/master/csl-citation.json"}</w:instrText>
      </w:r>
      <w:r w:rsidR="000217C3" w:rsidRPr="00AB258D">
        <w:rPr>
          <w:rFonts w:eastAsia="Times New Roman" w:cstheme="minorHAnsi"/>
          <w:sz w:val="24"/>
          <w:szCs w:val="24"/>
        </w:rPr>
        <w:fldChar w:fldCharType="separate"/>
      </w:r>
      <w:r w:rsidR="000217C3" w:rsidRPr="00AB258D">
        <w:rPr>
          <w:rFonts w:eastAsia="Times New Roman" w:cstheme="minorHAnsi"/>
          <w:noProof/>
          <w:sz w:val="24"/>
          <w:szCs w:val="24"/>
        </w:rPr>
        <w:t>[15,16]</w:t>
      </w:r>
      <w:r w:rsidR="000217C3" w:rsidRPr="00AB258D">
        <w:rPr>
          <w:rFonts w:eastAsia="Times New Roman" w:cstheme="minorHAnsi"/>
          <w:sz w:val="24"/>
          <w:szCs w:val="24"/>
        </w:rPr>
        <w:fldChar w:fldCharType="end"/>
      </w:r>
      <w:r w:rsidR="000217C3" w:rsidRPr="00AB258D">
        <w:rPr>
          <w:rFonts w:eastAsia="Times New Roman" w:cstheme="minorHAnsi"/>
          <w:sz w:val="24"/>
          <w:szCs w:val="24"/>
        </w:rPr>
        <w:t xml:space="preserve">. </w:t>
      </w:r>
      <w:r w:rsidR="00F33CBC" w:rsidRPr="00AB258D">
        <w:rPr>
          <w:rFonts w:eastAsia="Times New Roman" w:cstheme="minorHAnsi"/>
          <w:sz w:val="24"/>
          <w:szCs w:val="24"/>
        </w:rPr>
        <w:t>However, the significant negative environmental impacts associated with their usage besides their potential to cause sulphate heaving makes them very contemplative in recent discourse</w:t>
      </w:r>
      <w:r w:rsidR="000217C3" w:rsidRPr="00AB258D">
        <w:rPr>
          <w:rFonts w:eastAsia="Times New Roman" w:cstheme="minorHAnsi"/>
          <w:sz w:val="24"/>
          <w:szCs w:val="24"/>
        </w:rPr>
        <w:t xml:space="preserve"> </w:t>
      </w:r>
      <w:r w:rsidR="00F33CBC" w:rsidRPr="00AB258D">
        <w:rPr>
          <w:rFonts w:cstheme="minorHAnsi"/>
          <w:sz w:val="24"/>
          <w:szCs w:val="24"/>
        </w:rPr>
        <w:fldChar w:fldCharType="begin" w:fldLock="1"/>
      </w:r>
      <w:r w:rsidR="00F9685B" w:rsidRPr="00AB258D">
        <w:rPr>
          <w:rFonts w:cstheme="minorHAnsi"/>
          <w:sz w:val="24"/>
          <w:szCs w:val="24"/>
        </w:rPr>
        <w:instrText>ADDIN CSL_CITATION {"citationItems":[{"id":"ITEM-1","itemData":{"DOI":"10.1680/coma.2007.160.3.99","ISSN":"1747-650X","author":[{"dropping-particle":"","family":"Higgins","given":"D.","non-dropping-particle":"","parse-names":false,"suffix":""}],"container-title":"Proceedings of the Institution of Civil Engineers - Construction Materials","id":"ITEM-1","issue":"3","issued":{"date-parts":[["2007"]]},"page":"99-101","title":"Briefing: GGBS and sustainability","type":"article-journal","volume":"160"},"uris":["http://www.mendeley.com/documents/?uuid=558e4854-04e3-495b-a9bd-3b6d76dea5f9"]},{"id":"ITEM-2","itemData":{"DOI":"https://www.pbl.nl/sites/default/files/cms/publicaties/pbl-2017-trends-in-global-co2-and-total-greenhouse-gas-emissons-2017-report_2674.pdf","abstract":"In 2016, total global greenhouse gas (GHG) emissions (excluding those from land use) continued to increase slowly by about 0.5% (±1%), to about 49.3 gigatonnes in CO2 equivalent (Gt CO2 eq). Taking into account that 2016 was a leap year, and therefore 0.3% longer, and together with the 0.2% increase in 2015, the 2016 emission increase was the slowest since the early 1990s, except for global recession years. This is mainly the result of lower coal consumption from fuel switches to natural gas and increased renewable power generation; in particular, in wind and solar power. Most of the emissions (about 72%) consist of CO2, but methane (CH4), nitrous oxide (N2O) and fluorinated gases (so-called F-gases) also make up substantial shares (19%, 6% and 3%, respectively). These percentages do not include net emissions from land use, land-use change and forestry (LULUCF), which are usually accounted for separately, because they are inherently very uncertain and show large interannual variations. When including LULUCF emissions — for 2016 estimated at about 4.1 Gt CO2 eq — estimated global total GHG emissions come to 53.4 Gt CO2 eq. The trend in global CO2 emissions excluding those from LULUCF has remained more or less flat, over the last two years (±0.5%). Non-CO2 greenhouse gases retained an annual growth rate of about 1%.","author":[{"dropping-particle":"","family":"Olivier","given":"Jos","non-dropping-particle":"","parse-names":false,"suffix":""},{"dropping-particle":"","family":"Peters","given":"Jeroen","non-dropping-particle":"","parse-names":false,"suffix":""}],"container-title":"PBL Netherlands Environmental Assessment Agency","id":"ITEM-2","issue":"December","issued":{"date-parts":[["2018"]]},"number-of-pages":"5","title":"Trendas in global CO2 and total greenhouse gas emissions","type":"report"},"uris":["http://www.mendeley.com/documents/?uuid=a85ec7b2-a81e-4f17-8073-fb10919f757a"]},{"id":"ITEM-3","itemData":{"ISBN":"05.05.2010","abstract":"BATS; MgO; Cements; good for Abstract;","author":[{"dropping-particle":"","family":"European Commission","given":"","non-dropping-particle":"","parse-names":false,"suffix":""}],"id":"ITEM-3","issue":"May","issued":{"date-parts":[["2010"]]},"page":"459","title":"Reference Document on Best Available Techniques in Cement , Lime and Magnesium Oxide Manufacturing Industries","type":"article-journal"},"uris":["http://www.mendeley.com/documents/?uuid=723588cc-0999-42ea-9429-a81ed6259850"]}],"mendeley":{"formattedCitation":"[17–19]","plainTextFormattedCitation":"[17–19]","previouslyFormattedCitation":"[17–19]"},"properties":{"noteIndex":0},"schema":"https://github.com/citation-style-language/schema/raw/master/csl-citation.json"}</w:instrText>
      </w:r>
      <w:r w:rsidR="00F33CBC" w:rsidRPr="00AB258D">
        <w:rPr>
          <w:rFonts w:cstheme="minorHAnsi"/>
          <w:sz w:val="24"/>
          <w:szCs w:val="24"/>
        </w:rPr>
        <w:fldChar w:fldCharType="separate"/>
      </w:r>
      <w:r w:rsidR="000217C3" w:rsidRPr="00AB258D">
        <w:rPr>
          <w:rFonts w:cstheme="minorHAnsi"/>
          <w:noProof/>
          <w:sz w:val="24"/>
          <w:szCs w:val="24"/>
        </w:rPr>
        <w:t>[17–19]</w:t>
      </w:r>
      <w:r w:rsidR="00F33CBC" w:rsidRPr="00AB258D">
        <w:rPr>
          <w:rFonts w:cstheme="minorHAnsi"/>
          <w:sz w:val="24"/>
          <w:szCs w:val="24"/>
        </w:rPr>
        <w:fldChar w:fldCharType="end"/>
      </w:r>
      <w:r w:rsidR="00F33CBC" w:rsidRPr="00AB258D">
        <w:rPr>
          <w:rFonts w:cstheme="minorHAnsi"/>
          <w:sz w:val="24"/>
          <w:szCs w:val="24"/>
        </w:rPr>
        <w:t>. It has been indicated in a study carried out by CEM-Bureau</w:t>
      </w:r>
      <w:r w:rsidR="000217C3" w:rsidRPr="00AB258D">
        <w:rPr>
          <w:rFonts w:cstheme="minorHAnsi"/>
          <w:sz w:val="24"/>
          <w:szCs w:val="24"/>
        </w:rPr>
        <w:t xml:space="preserve"> </w:t>
      </w:r>
      <w:r w:rsidR="000217C3" w:rsidRPr="00AB258D">
        <w:rPr>
          <w:rFonts w:cstheme="minorHAnsi"/>
          <w:sz w:val="24"/>
          <w:szCs w:val="24"/>
        </w:rPr>
        <w:fldChar w:fldCharType="begin" w:fldLock="1"/>
      </w:r>
      <w:r w:rsidR="000217C3" w:rsidRPr="00AB258D">
        <w:rPr>
          <w:rFonts w:cstheme="minorHAnsi"/>
          <w:sz w:val="24"/>
          <w:szCs w:val="24"/>
        </w:rPr>
        <w:instrText>ADDIN CSL_CITATION {"citationItems":[{"id":"ITEM-1","itemData":{"URL":"https://cembureau.eu/media/1828/world-cement-producers-graph.png","author":[{"dropping-particle":"","family":"CEM-Bureau","given":"","non-dropping-particle":"","parse-names":false,"suffix":""}],"container-title":"The European Cement Association","id":"ITEM-1","issued":{"date-parts":[["2017"]]},"title":"Worldwide percentage cement production in year 2017 by country and region","type":"webpage"},"uris":["http://www.mendeley.com/documents/?uuid=e7798dc6-8c26-4e5c-be60-b669f79738eb"]}],"mendeley":{"formattedCitation":"[20]","plainTextFormattedCitation":"[20]","previouslyFormattedCitation":"[20]"},"properties":{"noteIndex":0},"schema":"https://github.com/citation-style-language/schema/raw/master/csl-citation.json"}</w:instrText>
      </w:r>
      <w:r w:rsidR="000217C3" w:rsidRPr="00AB258D">
        <w:rPr>
          <w:rFonts w:cstheme="minorHAnsi"/>
          <w:sz w:val="24"/>
          <w:szCs w:val="24"/>
        </w:rPr>
        <w:fldChar w:fldCharType="separate"/>
      </w:r>
      <w:r w:rsidR="000217C3" w:rsidRPr="00AB258D">
        <w:rPr>
          <w:rFonts w:cstheme="minorHAnsi"/>
          <w:noProof/>
          <w:sz w:val="24"/>
          <w:szCs w:val="24"/>
        </w:rPr>
        <w:t>[20]</w:t>
      </w:r>
      <w:r w:rsidR="000217C3" w:rsidRPr="00AB258D">
        <w:rPr>
          <w:rFonts w:cstheme="minorHAnsi"/>
          <w:sz w:val="24"/>
          <w:szCs w:val="24"/>
        </w:rPr>
        <w:fldChar w:fldCharType="end"/>
      </w:r>
      <w:r w:rsidR="00F33CBC" w:rsidRPr="00AB258D">
        <w:rPr>
          <w:rFonts w:cstheme="minorHAnsi"/>
          <w:sz w:val="24"/>
          <w:szCs w:val="24"/>
        </w:rPr>
        <w:t xml:space="preserve"> that in the year 2017, the global cement produced reached about 4.1 billion tonnes with an annual increase of approximately 6.3% from previous years. Van </w:t>
      </w:r>
      <w:proofErr w:type="spellStart"/>
      <w:r w:rsidR="00F33CBC" w:rsidRPr="00AB258D">
        <w:rPr>
          <w:rFonts w:cstheme="minorHAnsi"/>
          <w:sz w:val="24"/>
          <w:szCs w:val="24"/>
        </w:rPr>
        <w:t>Ruijven</w:t>
      </w:r>
      <w:proofErr w:type="spellEnd"/>
      <w:r w:rsidR="00F33CBC" w:rsidRPr="00AB258D">
        <w:rPr>
          <w:rFonts w:cstheme="minorHAnsi"/>
          <w:sz w:val="24"/>
          <w:szCs w:val="24"/>
        </w:rPr>
        <w:t xml:space="preserve"> et al.</w:t>
      </w:r>
      <w:r w:rsidR="000217C3" w:rsidRPr="00AB258D">
        <w:rPr>
          <w:rFonts w:cstheme="minorHAnsi"/>
          <w:sz w:val="24"/>
          <w:szCs w:val="24"/>
        </w:rPr>
        <w:t xml:space="preserve"> </w:t>
      </w:r>
      <w:r w:rsidR="000217C3" w:rsidRPr="00AB258D">
        <w:rPr>
          <w:rFonts w:cstheme="minorHAnsi"/>
          <w:sz w:val="24"/>
          <w:szCs w:val="24"/>
        </w:rPr>
        <w:fldChar w:fldCharType="begin" w:fldLock="1"/>
      </w:r>
      <w:r w:rsidR="000217C3" w:rsidRPr="00AB258D">
        <w:rPr>
          <w:rFonts w:cstheme="minorHAnsi"/>
          <w:sz w:val="24"/>
          <w:szCs w:val="24"/>
        </w:rPr>
        <w:instrText>ADDIN CSL_CITATION {"citationItems":[{"id":"ITEM-1","itemData":{"DOI":"10.1016/j.resconrec.2016.04.016","ISSN":"18790658","abstract":"This paper presents a global simulation-model for the steel and cement industries. The model covers the full modelling chain from economic activity, to materials consumption, trade, technology choice, production capacity, energy use and CO2 emissions. Without climate policy, the future projections based on the SSP2 scenario show a rapid increase in the consumption of steel and cement over the next few decades, after which demand levels are projected to stabilize. This implies that over the scenario period, CO2 emissions are projected to peak in the next decades followed by a decrease below 2010 levels in 2050. There is considerable scope to mitigate CO2 emissions from steel and cement industries, leading to resp. 80-90% and 40-80% reduction below 2010 in 2050 for a high carbon tax of 100 $/tCO2 + 4%pa depending on the availability of Carbon Capture and Sequestration (CCS).","author":[{"dropping-particle":"","family":"Ruijven","given":"Bas J.","non-dropping-particle":"Van","parse-names":false,"suffix":""},{"dropping-particle":"","family":"Vuuren","given":"Detlef P.","non-dropping-particle":"Van","parse-names":false,"suffix":""},{"dropping-particle":"","family":"Boskaljon","given":"Willem","non-dropping-particle":"","parse-names":false,"suffix":""},{"dropping-particle":"","family":"Neelis","given":"Maarten L.","non-dropping-particle":"","parse-names":false,"suffix":""},{"dropping-particle":"","family":"Saygin","given":"Deger","non-dropping-particle":"","parse-names":false,"suffix":""},{"dropping-particle":"","family":"Patel","given":"Martin K.","non-dropping-particle":"","parse-names":false,"suffix":""}],"container-title":"Resources, Conservation and Recycling","id":"ITEM-1","issued":{"date-parts":[["2016"]]},"page":"15-36","publisher":"Elsevier B.V.","title":"Long-term model-based projections of energy use and CO2 emissions from the global steel and cement industries","type":"article-journal","volume":"112"},"uris":["http://www.mendeley.com/documents/?uuid=7c0ed654-5eee-4042-a4a0-cb58a6444414"]}],"mendeley":{"formattedCitation":"[21]","plainTextFormattedCitation":"[21]","previouslyFormattedCitation":"[21]"},"properties":{"noteIndex":0},"schema":"https://github.com/citation-style-language/schema/raw/master/csl-citation.json"}</w:instrText>
      </w:r>
      <w:r w:rsidR="000217C3" w:rsidRPr="00AB258D">
        <w:rPr>
          <w:rFonts w:cstheme="minorHAnsi"/>
          <w:sz w:val="24"/>
          <w:szCs w:val="24"/>
        </w:rPr>
        <w:fldChar w:fldCharType="separate"/>
      </w:r>
      <w:r w:rsidR="000217C3" w:rsidRPr="00AB258D">
        <w:rPr>
          <w:rFonts w:cstheme="minorHAnsi"/>
          <w:noProof/>
          <w:sz w:val="24"/>
          <w:szCs w:val="24"/>
        </w:rPr>
        <w:t>[21]</w:t>
      </w:r>
      <w:r w:rsidR="000217C3" w:rsidRPr="00AB258D">
        <w:rPr>
          <w:rFonts w:cstheme="minorHAnsi"/>
          <w:sz w:val="24"/>
          <w:szCs w:val="24"/>
        </w:rPr>
        <w:fldChar w:fldCharType="end"/>
      </w:r>
      <w:r w:rsidR="00F33CBC" w:rsidRPr="00AB258D">
        <w:rPr>
          <w:rFonts w:cstheme="minorHAnsi"/>
          <w:sz w:val="24"/>
          <w:szCs w:val="24"/>
        </w:rPr>
        <w:t xml:space="preserve"> also demonstrated the trends in cement production both in the past and </w:t>
      </w:r>
      <w:r w:rsidR="00F47C20" w:rsidRPr="00AB258D">
        <w:rPr>
          <w:rFonts w:cstheme="minorHAnsi"/>
          <w:sz w:val="24"/>
          <w:szCs w:val="24"/>
        </w:rPr>
        <w:t xml:space="preserve">the </w:t>
      </w:r>
      <w:r w:rsidR="00F33CBC" w:rsidRPr="00AB258D">
        <w:rPr>
          <w:rFonts w:cstheme="minorHAnsi"/>
          <w:sz w:val="24"/>
          <w:szCs w:val="24"/>
        </w:rPr>
        <w:t xml:space="preserve">present with a prediction of further consumption </w:t>
      </w:r>
      <w:r w:rsidR="00650783" w:rsidRPr="00AB258D">
        <w:rPr>
          <w:rFonts w:cstheme="minorHAnsi"/>
          <w:sz w:val="24"/>
          <w:szCs w:val="24"/>
        </w:rPr>
        <w:t>and concluded</w:t>
      </w:r>
      <w:r w:rsidR="00F33CBC" w:rsidRPr="00AB258D">
        <w:rPr>
          <w:rFonts w:cstheme="minorHAnsi"/>
          <w:sz w:val="24"/>
          <w:szCs w:val="24"/>
        </w:rPr>
        <w:t xml:space="preserve"> that the global market for cement is estimated to rise at about 5% annually. </w:t>
      </w:r>
      <w:r w:rsidR="002F000A" w:rsidRPr="00AB258D">
        <w:rPr>
          <w:rFonts w:cstheme="minorHAnsi"/>
          <w:sz w:val="24"/>
          <w:szCs w:val="24"/>
        </w:rPr>
        <w:t xml:space="preserve">Advancement </w:t>
      </w:r>
      <w:r w:rsidR="00A836C3" w:rsidRPr="00AB258D">
        <w:rPr>
          <w:rFonts w:cstheme="minorHAnsi"/>
          <w:sz w:val="24"/>
          <w:szCs w:val="24"/>
        </w:rPr>
        <w:t xml:space="preserve">in knowledge and research are </w:t>
      </w:r>
      <w:r w:rsidR="002F000A" w:rsidRPr="00AB258D">
        <w:rPr>
          <w:rFonts w:cstheme="minorHAnsi"/>
          <w:sz w:val="24"/>
          <w:szCs w:val="24"/>
        </w:rPr>
        <w:t>presently causing a paradigm shift in the use of traditional soil stabilisation additives such as cement and lime</w:t>
      </w:r>
      <w:r w:rsidR="00A836C3" w:rsidRPr="00AB258D">
        <w:rPr>
          <w:rFonts w:cstheme="minorHAnsi"/>
          <w:sz w:val="24"/>
          <w:szCs w:val="24"/>
        </w:rPr>
        <w:t xml:space="preserve"> to the production and usage of </w:t>
      </w:r>
      <w:r w:rsidR="002F000A" w:rsidRPr="00AB258D">
        <w:rPr>
          <w:rFonts w:cstheme="minorHAnsi"/>
          <w:sz w:val="24"/>
          <w:szCs w:val="24"/>
        </w:rPr>
        <w:t>more sustainable by</w:t>
      </w:r>
      <w:r w:rsidR="00B42361" w:rsidRPr="00AB258D">
        <w:rPr>
          <w:rFonts w:cstheme="minorHAnsi"/>
          <w:sz w:val="24"/>
          <w:szCs w:val="24"/>
        </w:rPr>
        <w:t>-</w:t>
      </w:r>
      <w:r w:rsidR="002F000A" w:rsidRPr="00AB258D">
        <w:rPr>
          <w:rFonts w:cstheme="minorHAnsi"/>
          <w:sz w:val="24"/>
          <w:szCs w:val="24"/>
        </w:rPr>
        <w:t>product cementitious</w:t>
      </w:r>
      <w:r w:rsidR="00A836C3" w:rsidRPr="00AB258D">
        <w:rPr>
          <w:rFonts w:cstheme="minorHAnsi"/>
          <w:sz w:val="24"/>
          <w:szCs w:val="24"/>
        </w:rPr>
        <w:t xml:space="preserve"> materials</w:t>
      </w:r>
      <w:r w:rsidR="002F000A" w:rsidRPr="00AB258D">
        <w:rPr>
          <w:rFonts w:cstheme="minorHAnsi"/>
          <w:sz w:val="24"/>
          <w:szCs w:val="24"/>
        </w:rPr>
        <w:t xml:space="preserve"> (such as ground granulated blast furnace slag (GGBS), cement kiln duct (CKD), silica fume, fibres and pulverised fuel ash</w:t>
      </w:r>
      <w:r w:rsidR="000217C3" w:rsidRPr="00AB258D">
        <w:rPr>
          <w:rFonts w:cstheme="minorHAnsi"/>
          <w:sz w:val="24"/>
          <w:szCs w:val="24"/>
        </w:rPr>
        <w:t xml:space="preserve"> </w:t>
      </w:r>
      <w:r w:rsidR="000217C3" w:rsidRPr="00AB258D">
        <w:rPr>
          <w:rFonts w:cstheme="minorHAnsi"/>
          <w:sz w:val="24"/>
          <w:szCs w:val="24"/>
        </w:rPr>
        <w:fldChar w:fldCharType="begin" w:fldLock="1"/>
      </w:r>
      <w:r w:rsidR="003208C7" w:rsidRPr="00AB258D">
        <w:rPr>
          <w:rFonts w:cstheme="minorHAnsi"/>
          <w:sz w:val="24"/>
          <w:szCs w:val="24"/>
        </w:rPr>
        <w:instrText>ADDIN CSL_CITATION {"citationItems":[{"id":"ITEM-1","itemData":{"DOI":"https://doi.org/10.1007/s10064-019-01621-z","author":[{"dropping-particle":"","family":"Abbey","given":"S.J.","non-dropping-particle":"","parse-names":false,"suffix":""},{"dropping-particle":"","family":"Eyo","given":"E.U.","non-dropping-particle":"","parse-names":false,"suffix":""},{"dropping-particle":"","family":"Ng'ambi","given":"S.","non-dropping-particle":"","parse-names":false,"suffix":""}],"container-title":"Bulletin of Engineering Geology and the Environment","id":"ITEM-1","issued":{"date-parts":[["2019"]]},"page":"2119–2130","publisher":"Bulletin of Engineering Geology and the Environment","title":"Swell and microstructural characteristics of high-plasticity clay blended with cement","type":"article-journal","volume":"79"},"uris":["http://www.mendeley.com/documents/?uuid=48f5747e-32d2-4c75-805a-3adf6442c533"]},{"id":"ITEM-2","itemData":{"DOI":"10.1016/j.enggeo.2011.06.010","ISBN":"0013-7952","ISSN":"00137952","abstract":"Reducing the high embankments associated with road construction especially in low-land areas to within the design flood level, will offer project overall cost reduction amidst enhancing environmental friendliness. This is necessary to mitigate the global environmental concerns of flooding envisaged to be more critical in low-land areas and to keep up with the pressure exacted on land due to road infrastructural development projects, it is important therefore to develop more sustainable technologies. The utilisation of marginal, waste and/or by-product materials such as Ground Granulated Blastfurnace Slag (GGBS) to modify the engineering properties of locally available geomaterials such as local soils could be handy. Laboratory tests such as Unconfined Compressive and linear expansion tests were carried out to simulate the effects of flooding on the road layers in terms of strength and durability, against existing design criteria for submerged materials. Cylindrical test specimens of 50 mm in diameter and 100 mm in length were produced from Lower Oxford Clay stabilised with lime-GGBS stabiliser materials. Linear expansion tests were conducted and an alternative durability testing regime of soaking in water was also followed. The results obtained demonstrate that with careful selection and research, the local materials are capable of achieving structurally sound and environmentally friendly properties for durability comparable to, and sometimes better than, materials formulated using the more expensive and increasingly unsustainable traditional stabilisers such as Portland Cement (PC) or even lime. These suggest viability and feasibility of enormous savings as more marginal materials are used to replace virgin and classical material. ?? 2011 Elsevier B.V.","author":[{"dropping-particle":"","family":"Obuzor","given":"G. N.","non-dropping-particle":"","parse-names":false,"suffix":""},{"dropping-particle":"","family":"Kinuthia","given":"J. M.","non-dropping-particle":"","parse-names":false,"suffix":""},{"dropping-particle":"","family":"Robinson","given":"R. B.","non-dropping-particle":"","parse-names":false,"suffix":""}],"container-title":"Engineering Geology","id":"ITEM-2","issue":"3-4","issued":{"date-parts":[["2011"]]},"page":"334-338","publisher":"Elsevier B.V.","title":"Utilisation of lime activated GGBS to reduce the deleterious effect of flooding on stabilised road structural materials: A laboratory simulation","type":"article-journal","volume":"122"},"uris":["http://www.mendeley.com/documents/?uuid=0305d247-0ad1-4177-8eea-644782412a93"]},{"id":"ITEM-3","itemData":{"ISBN":"0013-7952 132.%0 Journal Article","ISSN":"00137952","abstract":"The use of calcium-based stabilizers such as calcium oxide (lime) in sulfate-bearing clay soils has historically caused structural distress due to the formation of ettringite, an expansive mineral which develops in the presence of sulfate, calcium, and aluminum compounds of clay fraction. In this work, a research was conducted to study the effectiveness of ground granulated blastfurnace slag (GGBS), an industrial by-product, for providing better stabilization of sulfate bearing soils. Laboratory tests were first performed on the lime-treated expansive soil containing different concentrations of added sulfate and then the same tests were repeated on the lime-treated soil, containing the same concentration of sulfate but this time adding 6% slag. Three different sulfate concentrations (2000, 5000, and 10,000. ppm) were used in the study and the compaction relationships, Atterberg limits, linear shrinkage and swell potentials were investigated. Test results indicated that the presence of sulfate in the soil resulted in abnormal increase in the plasticity and the swell potential of the lime-treated soil with 5000 and 10,000. ppm sulfate concentrations. The swell potential of the lime-treated soil with 10,000. ppm sulfate concentration became three times higher than that of the natural soil. The scanning electron micrograph of this higher swell potential soil confirmed the growth of the ettringite minerals. On the other hand, test results indicated that the use of lime with GGBS in stabilizing sulfate bearing clays produced significant improvements in the plasticity as well as the swell potential. Addition of 6% slag into the lime treated soil eliminated the harmful effect of sulfate in the soils. In the presence of 6% slag, the swell potential of the lime-treated soil with 10,000. ppm sulfate concentration decreased from 8% to 1%, whereas the lime-treated soil with 5000. ppm sulfate concentration showed no swelling. ?? 2013 Elsevier B.V.","author":[{"dropping-particle":"","family":"Celik","given":"Ece","non-dropping-particle":"","parse-names":false,"suffix":""},{"dropping-particle":"","family":"Nalbantoglu","given":"Zalihe","non-dropping-particle":"","parse-names":false,"suffix":""}],"container-title":"Engineering Geology","id":"ITEM-3","issued":{"date-parts":[["2013"]]},"page":"20-25","publisher":"Elsevier B.V.","title":"Effects of ground granulated blastfurnace slag (GGBS) on the swelling properties of lime-stabilized sulfate-bearing soils","type":"article-journal","volume":"163"},"uris":["http://www.mendeley.com/documents/?uuid=4979c7a7-024e-46ba-b68f-f856ba45ac71"]},{"id":"ITEM-4","itemData":{"DOI":"10.1016/j.conbuildmat.2014.12.048","ISBN":"0950-0618","ISSN":"09500618","abstract":"Using by-product and waste materials, such as ground granulated blast furnace (GGBS), cement by-pass dust (BPD), run-of-station ash (ROSA), basic oxygen slag (BOS), plasterboard gypsum (PG), incinerator bottom ash aggregate (IBAA), recycle crushed glass (RCG), recycled concrete aggregate (RCA), recycled bricks (RB), steel fibre (SF) and PVA-Fibre for the production of environmentally friendly paving blocks is explored. The combinations of binary and ternary cementitious blends in different mixes are considered. Paving blocks were tested for split tensile strength at 14 and 28 days, slip/skid resistance (BPN), weathering resistance and density were also measured on some selected mixes. The tests results confirmed that a concrete paving mix containing 6.3% GGBS, 0.7%, BPD and 7.0% OPC by weight can decrease Portland cement content by 30% in comparison to the percentage currently being used in most factories, without having a substantial impact on the strength or durability of the paving blocks produced in accordance with BS EN 1338:2003.","author":[{"dropping-particle":"","family":"Ganjian","given":"Eshmaiel","non-dropping-particle":"","parse-names":false,"suffix":""},{"dropping-particle":"","family":"Jalull","given":"Ghassan","non-dropping-particle":"","parse-names":false,"suffix":""},{"dropping-particle":"","family":"Sadeghi-Pouya","given":"Homayoon","non-dropping-particle":"","parse-names":false,"suffix":""}],"container-title":"Construction and Building Materials","id":"ITEM-4","issued":{"date-parts":[["2015"]]},"page":"270-275","publisher":"Elsevier Ltd","title":"Using waste materials and by-products to produce concrete paving blocks","type":"article-journal","volume":"77"},"uris":["http://www.mendeley.com/documents/?uuid=722c3694-623b-4592-8e8c-4299b23c9eb6"]},{"id":"ITEM-5","itemData":{"DOI":"10.1016/j.jrmge.2016.04.002","ISSN":"16747755","abstract":"Clayey soils in Syria cover a total area of more than 20,000 km2 of the country, most of which are located in the southwestern region. In many places of the country, the clayey soils caused severe damage to infrastructures. Extensive studies have been carried out on the stabilization of clayey soils using lime. Syria is rich in both lime and natural pozzolana. However, few works have been conducted to investigate the influence of adding natural pozzolana on the geotechnical properties of lime-treated clayey soils. The aim of this paper is to understand the effect of adding natural pozzolana on some geotechnical properties of lime-stabilized clayey soils. Natural pozzolana and lime are added to soil within the range of 0%–20% and 0%–8%, respectively. Consistency, compaction, California bearing ratio (CBR) and linear shrinkage properties are particularly investigated. The test results show that the investigated properties of lime-treated clayey soils can be considerably enhanced when the natural pozzolana is added as a stabilizing agent. Analysis results of scanning electron microscopy (SEM) and energy-dispersive X-ray spectroscopy (EDX) show significant changes in the microstructure of the treated clayey soil. A better flocculation of clayey particles and further formation of cementing materials in the natural pozzolana-lime-treated clayey soil are clearly observed.","author":[{"dropping-particle":"","family":"Al-Swaidani","given":"Aref","non-dropping-particle":"","parse-names":false,"suffix":""},{"dropping-particle":"","family":"Hammoud","given":"Ibrahim","non-dropping-particle":"","parse-names":false,"suffix":""},{"dropping-particle":"","family":"Meziab","given":"Ayman","non-dropping-particle":"","parse-names":false,"suffix":""}],"container-title":"Journal of Rock Mechanics and Geotechnical Engineering","id":"ITEM-5","issue":"5","issued":{"date-parts":[["2016"]]},"page":"714-725","publisher":"Elsevier Ltd","title":"Effect of adding natural pozzolana on geotechnical properties of lime-stabilized clayey soil","type":"article-journal","volume":"8"},"uris":["http://www.mendeley.com/documents/?uuid=4793075a-e31e-4345-bea6-1fbc221d6edc"]},{"id":"ITEM-6","itemData":{"ISSN":"1748-6025","author":[{"dropping-particle":"","family":"Sharma","given":"Anil Kumar","non-dropping-particle":"","parse-names":false,"suffix":""},{"dropping-particle":"V.","family":"Sivapullaiah","given":"Puvvadi","non-dropping-particle":"","parse-names":false,"suffix":""}],"container-title":"Geomechanics and Geoengineering","id":"ITEM-6","issue":"August","issued":{"date-parts":[["2016"]]},"page":"1-10","title":"Swelling behaviour of expansive soil treated with fly ash–GGBS based binder","type":"article-journal"},"uris":["http://www.mendeley.com/documents/?uuid=3851e05e-8585-498a-849b-bbe379d92b3b"]},{"id":"ITEM-7","itemData":{"DOI":"10.1016/j.trgeo.2018.08.002","ISSN":"22143912","abstract":"Soil stabilization is a technique to improve the engineering and geotechnical properties of soils such as mechanical strength, permeability, compressibility, durability and plasticity. Much has been learned about soil stabilization techniques and additives over the past century. The state of the practice in stabilization techniques and challenges is presented with a discussion. Moreover, available studies regarding the effects of various types of stabilizing agents on the engineering and geotechnical properties of stabilized soils are reviewed here. These stabilizing agents include both calcium-based and non-calcium-based additives. Eco-friendly additives as alternative materials to conventional stabilizing agents are also discussed in this paper. In addition, the problems associated with the presence of disruptive salts and sulfate as well as the techniques to overcome these problems in soil stabilization projects are reviewed.","author":[{"dropping-particle":"","family":"Behnood","given":"Ali","non-dropping-particle":"","parse-names":false,"suffix":""}],"container-title":"Transportation Geotechnics","id":"ITEM-7","issue":"May","issued":{"date-parts":[["2018"]]},"page":"14-32","publisher":"Elsevier","title":"Soil and clay stabilization with calcium- and non-calcium-based additives: A state-of-the-art review of challenges, approaches and techniques","type":"article-journal","volume":"17"},"uris":["http://www.mendeley.com/documents/?uuid=5aa18470-6317-4cfb-bc0d-899cc2481a4c"]},{"id":"ITEM-8","itemData":{"DOI":"10.1016/j.conbuildmat.2019.01.221","ISSN":"09500618","abstract":"The effectiveness of nano-MgO in strength properties and microstructure characteristics of cement stabilized soft soil were analyzed in this study. Sulfuric acid attack was also taken into account, and the effects nano-MgO content and sulfuric acid concentration were mainly addressed. Based on a series of unconfined compression tests, it shows that nano-MgO content plays a significant role in the strength properties of the stabilized soil. For the cement content of 13%, the optimum nano-MgO content is 15‰ considering both with and without sulphate attack condition. The addition of nano-MgO not only improves the unconfined compressive strength (UCS) of the cement stabilized soil, but also tends to increase its ductility. Scanning electron microscopy (SEM) reveals that the addition of nano-MgO improves the microstructure of the stabilized soil, while overuse of nano-MgO may generate cracks inside of the structure. For the effect of sulfuric acid concentration, specimens under higher concentration solution will have lower strength and stiffness. Finally, the mechanism of sulfuric acid attack on cemented soil was revealed to be outside structure loss caused by sulfuric acid erosion and inside structure distortion caused by ettringite generation.","author":[{"dropping-particle":"","family":"Yao","given":"Kai","non-dropping-particle":"","parse-names":false,"suffix":""},{"dropping-particle":"","family":"Wang","given":"Wei","non-dropping-particle":"","parse-names":false,"suffix":""},{"dropping-particle":"","family":"Li","given":"Na","non-dropping-particle":"","parse-names":false,"suffix":""},{"dropping-particle":"","family":"Zhang","given":"Chen","non-dropping-particle":"","parse-names":false,"suffix":""},{"dropping-particle":"","family":"Wang","given":"Linxia","non-dropping-particle":"","parse-names":false,"suffix":""}],"container-title":"Construction and Building Materials","id":"ITEM-8","issued":{"date-parts":[["2019"]]},"page":"160-168","title":"Investigation on strength and microstructure characteristics of nano-MgO admixed with cemented soft soil","type":"article-journal","volume":"206"},"uris":["http://www.mendeley.com/documents/?uuid=afb854a8-0a96-4cc0-accf-f75f5df7f089"]},{"id":"ITEM-9","itemData":{"DOI":"10.1016/j.conbuildmat.2019.07.011","ISSN":"09500618","abstract":"In this paper, the effects of magnesium slag and cement were investigated on the chemical, mechanical and microstructure parameters of soil. An increase was recorded in pH with increasing the content of both magnesium slag and cement, which is indicating an improvement in soil conditions for better implementation of pozzolanic and hydration reactions. Also, adding both substances led to the granulation of soil particles. An increase in maximum dry density (MDD) and optimum moisture content (OMC) was recorded by adding both additives. The uniaxial compressive strength test was investigated in three curing periods of 7, 28 and 56 days, which showed an increase in this parameter for the simultaneous and separate addition of both substances to the soil. The optimum content of magnesium slag was by 20% in this test and cement had the maximum content of 6%, which resulted in 14.3 MPa strength. The TCLP test was also performed to investigate the environmental issues in the sample with the abovementioned optimum percentages. By studying the microstructure, an improvement in soil structure was observed in the form of filled voids between the particles as well as density and continuity created between the particles.","author":[{"dropping-particle":"","family":"Amini","given":"Omid","non-dropping-particle":"","parse-names":false,"suffix":""},{"dropping-particle":"","family":"Ghasemi","given":"Mojtaba","non-dropping-particle":"","parse-names":false,"suffix":""}],"container-title":"Construction and Building Materials","id":"ITEM-9","issued":{"date-parts":[["2019"]]},"page":"409-420","publisher":"Elsevier Ltd","title":"Laboratory study of the effects of using magnesium slag on the geotechnical properties of cement stabilized soil","type":"article-journal","volume":"223"},"uris":["http://www.mendeley.com/documents/?uuid=24e938ba-31bd-4620-a534-457062d1047a"]}],"mendeley":{"formattedCitation":"[3,22–29]","plainTextFormattedCitation":"[3,22–29]","previouslyFormattedCitation":"[3,22–29]"},"properties":{"noteIndex":0},"schema":"https://github.com/citation-style-language/schema/raw/master/csl-citation.json"}</w:instrText>
      </w:r>
      <w:r w:rsidR="000217C3" w:rsidRPr="00AB258D">
        <w:rPr>
          <w:rFonts w:cstheme="minorHAnsi"/>
          <w:sz w:val="24"/>
          <w:szCs w:val="24"/>
        </w:rPr>
        <w:fldChar w:fldCharType="separate"/>
      </w:r>
      <w:r w:rsidR="00B42361" w:rsidRPr="00AB258D">
        <w:rPr>
          <w:rFonts w:cstheme="minorHAnsi"/>
          <w:noProof/>
          <w:sz w:val="24"/>
          <w:szCs w:val="24"/>
        </w:rPr>
        <w:t>[3,22–29]</w:t>
      </w:r>
      <w:r w:rsidR="000217C3" w:rsidRPr="00AB258D">
        <w:rPr>
          <w:rFonts w:cstheme="minorHAnsi"/>
          <w:sz w:val="24"/>
          <w:szCs w:val="24"/>
        </w:rPr>
        <w:fldChar w:fldCharType="end"/>
      </w:r>
      <w:r w:rsidR="004D3E31" w:rsidRPr="00AB258D">
        <w:rPr>
          <w:rFonts w:cstheme="minorHAnsi"/>
          <w:sz w:val="24"/>
          <w:szCs w:val="24"/>
        </w:rPr>
        <w:t>.</w:t>
      </w:r>
      <w:r w:rsidR="00B42361" w:rsidRPr="00AB258D">
        <w:rPr>
          <w:rFonts w:cstheme="minorHAnsi"/>
          <w:sz w:val="24"/>
          <w:szCs w:val="24"/>
        </w:rPr>
        <w:t xml:space="preserve"> For instance, t</w:t>
      </w:r>
      <w:r w:rsidR="00F658E8" w:rsidRPr="00AB258D">
        <w:rPr>
          <w:rFonts w:cstheme="minorHAnsi"/>
          <w:sz w:val="24"/>
          <w:szCs w:val="24"/>
        </w:rPr>
        <w:t>he t</w:t>
      </w:r>
      <w:r w:rsidR="004D3E31" w:rsidRPr="00AB258D">
        <w:rPr>
          <w:rFonts w:cstheme="minorHAnsi"/>
          <w:sz w:val="24"/>
          <w:szCs w:val="24"/>
        </w:rPr>
        <w:t>wo</w:t>
      </w:r>
      <w:r w:rsidR="002F000A" w:rsidRPr="00AB258D">
        <w:rPr>
          <w:rFonts w:cstheme="minorHAnsi"/>
          <w:sz w:val="24"/>
          <w:szCs w:val="24"/>
        </w:rPr>
        <w:t xml:space="preserve"> </w:t>
      </w:r>
      <w:r w:rsidR="00A836C3" w:rsidRPr="00AB258D">
        <w:rPr>
          <w:rFonts w:cstheme="minorHAnsi"/>
          <w:sz w:val="24"/>
          <w:szCs w:val="24"/>
        </w:rPr>
        <w:t>industrial by-products</w:t>
      </w:r>
      <w:r w:rsidR="00B42361" w:rsidRPr="00AB258D">
        <w:rPr>
          <w:rFonts w:cstheme="minorHAnsi"/>
          <w:sz w:val="24"/>
          <w:szCs w:val="24"/>
        </w:rPr>
        <w:t xml:space="preserve"> that are</w:t>
      </w:r>
      <w:r w:rsidR="00A836C3" w:rsidRPr="00AB258D">
        <w:rPr>
          <w:rFonts w:cstheme="minorHAnsi"/>
          <w:sz w:val="24"/>
          <w:szCs w:val="24"/>
        </w:rPr>
        <w:t xml:space="preserve"> </w:t>
      </w:r>
      <w:r w:rsidR="002F000A" w:rsidRPr="00AB258D">
        <w:rPr>
          <w:rFonts w:cstheme="minorHAnsi"/>
          <w:sz w:val="24"/>
          <w:szCs w:val="24"/>
        </w:rPr>
        <w:t xml:space="preserve">widely used </w:t>
      </w:r>
      <w:r w:rsidR="00C95A88" w:rsidRPr="00AB258D">
        <w:rPr>
          <w:rFonts w:cstheme="minorHAnsi"/>
          <w:sz w:val="24"/>
          <w:szCs w:val="24"/>
        </w:rPr>
        <w:t>as partial replacements for cement</w:t>
      </w:r>
      <w:r w:rsidR="00130B12" w:rsidRPr="00AB258D">
        <w:rPr>
          <w:rFonts w:cstheme="minorHAnsi"/>
          <w:sz w:val="24"/>
          <w:szCs w:val="24"/>
        </w:rPr>
        <w:t xml:space="preserve"> </w:t>
      </w:r>
      <w:r w:rsidR="00B42361" w:rsidRPr="00AB258D">
        <w:rPr>
          <w:rFonts w:cstheme="minorHAnsi"/>
          <w:sz w:val="24"/>
          <w:szCs w:val="24"/>
        </w:rPr>
        <w:t>mainly due to their</w:t>
      </w:r>
      <w:r w:rsidR="002F000A" w:rsidRPr="00AB258D">
        <w:rPr>
          <w:rFonts w:cstheme="minorHAnsi"/>
          <w:sz w:val="24"/>
          <w:szCs w:val="24"/>
        </w:rPr>
        <w:t xml:space="preserve"> </w:t>
      </w:r>
      <w:proofErr w:type="spellStart"/>
      <w:r w:rsidR="002F000A" w:rsidRPr="00AB258D">
        <w:rPr>
          <w:rFonts w:cstheme="minorHAnsi"/>
          <w:sz w:val="24"/>
          <w:szCs w:val="24"/>
        </w:rPr>
        <w:t>pozzolanic</w:t>
      </w:r>
      <w:proofErr w:type="spellEnd"/>
      <w:r w:rsidR="00C95A88" w:rsidRPr="00AB258D">
        <w:rPr>
          <w:rFonts w:cstheme="minorHAnsi"/>
          <w:sz w:val="24"/>
          <w:szCs w:val="24"/>
        </w:rPr>
        <w:t xml:space="preserve"> property</w:t>
      </w:r>
      <w:r w:rsidR="002F000A" w:rsidRPr="00AB258D">
        <w:rPr>
          <w:rFonts w:cstheme="minorHAnsi"/>
          <w:sz w:val="24"/>
          <w:szCs w:val="24"/>
        </w:rPr>
        <w:t xml:space="preserve">, </w:t>
      </w:r>
      <w:r w:rsidR="00C95A88" w:rsidRPr="00AB258D">
        <w:rPr>
          <w:rFonts w:cstheme="minorHAnsi"/>
          <w:sz w:val="24"/>
          <w:szCs w:val="24"/>
        </w:rPr>
        <w:t>cost effectiveness</w:t>
      </w:r>
      <w:r w:rsidR="00A836C3" w:rsidRPr="00AB258D">
        <w:rPr>
          <w:rFonts w:cstheme="minorHAnsi"/>
          <w:sz w:val="24"/>
          <w:szCs w:val="24"/>
        </w:rPr>
        <w:t>, energy saving and environmental friendl</w:t>
      </w:r>
      <w:r w:rsidR="00130B12" w:rsidRPr="00AB258D">
        <w:rPr>
          <w:rFonts w:cstheme="minorHAnsi"/>
          <w:sz w:val="24"/>
          <w:szCs w:val="24"/>
        </w:rPr>
        <w:t>iness</w:t>
      </w:r>
      <w:r w:rsidR="00B42361" w:rsidRPr="00AB258D">
        <w:rPr>
          <w:rFonts w:cstheme="minorHAnsi"/>
          <w:sz w:val="24"/>
          <w:szCs w:val="24"/>
        </w:rPr>
        <w:t xml:space="preserve"> are PFA and GGBS</w:t>
      </w:r>
      <w:r w:rsidR="000217C3" w:rsidRPr="00AB258D">
        <w:rPr>
          <w:rFonts w:cstheme="minorHAnsi"/>
          <w:sz w:val="24"/>
          <w:szCs w:val="24"/>
        </w:rPr>
        <w:t xml:space="preserve"> </w:t>
      </w:r>
      <w:r w:rsidR="000217C3" w:rsidRPr="00AB258D">
        <w:rPr>
          <w:rFonts w:cstheme="minorHAnsi"/>
          <w:sz w:val="24"/>
          <w:szCs w:val="24"/>
        </w:rPr>
        <w:fldChar w:fldCharType="begin" w:fldLock="1"/>
      </w:r>
      <w:r w:rsidR="00EE796F" w:rsidRPr="00AB258D">
        <w:rPr>
          <w:rFonts w:cstheme="minorHAnsi"/>
          <w:sz w:val="24"/>
          <w:szCs w:val="24"/>
        </w:rPr>
        <w:instrText>ADDIN CSL_CITATION {"citationItems":[{"id":"ITEM-1","itemData":{"author":[{"dropping-particle":"","family":"Abbey","given":"Samuel Jonah","non-dropping-particle":"","parse-names":false,"suffix":""},{"dropping-particle":"","family":"Olubanwo","given":"Adegoke Omotayo","non-dropping-particle":"","parse-names":false,"suffix":""}],"container-title":"International Journal of Applied Engineering Research","id":"ITEM-1","issue":"10","issued":{"date-parts":[["2018"]]},"page":"8684-8694","title":"Strength and hydraulic conductivity of cement and by-product cementitious materials improved soil","type":"article-journal","volume":"13"},"uris":["http://www.mendeley.com/documents/?uuid=020a3c4b-2254-41c2-b8fe-5f718d10a410"]},{"id":"ITEM-2","itemData":{"DOI":"10.1016/j.conbuildmat.2016.08.114","ISSN":"09500618","abstract":"The most efficient way for the construction industry to approach sustainability is to reuse waste materials and by-products from other industrial activities. In this research Lower Oxford Clay (LOC) was combined with Pulverised Fly Ash (PFA) as target materials were stabilised with Lime, Portland Cement (PC) and blended binders comprising of Lime and PC blended with Ground Granulated Blast-furnace Slag (GGBS). There are technological, economic as well as environmental advantages and potential of utilising PFA, an industrial by-product from the coal industry, and GGBS a by-product from the steel industry, in the development of eco-friendly Clay-PFA building bricks. The need for sustainability, reduction of material processing costs such as reduction of firing costs is well established within the construction industry. The recycling of GGBS, or PFA as admixtures nowadays is much more than an alternative for reducing costs. In view of the huge demand for building bricks, along with non-availability of suitable soil, there is a need to explore alternative raw materials and energy efficient technologies for making bricks, whose final pricing is relatively low. Results based on the pilot industrial commercial trials from this research illustrated that all the key parameters of compressive strength, and environmental properties were within the acceptable engineering standards for masonry units. From the environmental and sustainability analysis results, the unfired LOC-PFA brick has shown energy-efficiency and suggests a remarkable economical alternative to firing building materials. With new technologies, invention and enhanced waste management, the use of eco-friendly building materials will be a great contribution to the concept of green building.","author":[{"dropping-particle":"","family":"Mohamad","given":"Rahmat","non-dropping-particle":"","parse-names":false,"suffix":""},{"dropping-particle":"","family":"Norsalisma","given":"Ismail","non-dropping-particle":"","parse-names":false,"suffix":""},{"dropping-particle":"","family":"Kinuthia","given":"John Mungai","non-dropping-particle":"","parse-names":false,"suffix":""}],"container-title":"Construction and Building Materials","id":"ITEM-2","issued":{"date-parts":[["2016"]]},"page":"964-973","publisher":"Elsevier Ltd","title":"Strength and environmental evaluation of stabilised Clay-PFA eco-friendly bricks","type":"article-journal","volume":"125"},"uris":["http://www.mendeley.com/documents/?uuid=398b5ea8-11ca-4710-a265-005fd6303540"]},{"id":"ITEM-3","itemData":{"abstract":"SUMMARY This report summarises UK research and practical experience relating to the use of ggbs+lime 1 combinations for soil stabilisation. Laboratory research and field trials have confirmed that sulfides, as well as sulfates, are liable to cause disruptive expansion in stabilised soils. It has been shown that ggbs+lime combinations are practical and effective options for soil stabilisation, and provide technical benefits. In particular the incorporation of ggbs, is very effective at combating the expansion associated with the presence of sulfate or sulfide in soil. Following the extensive program of research and site trials, lime+ggbs stabilisation is now an established technique in the UK and is becoming a preferred option where there are sulfates or sulfides present in the soil.","author":[{"dropping-particle":"","family":"Higgins","given":"D.","non-dropping-particle":"","parse-names":false,"suffix":""}],"container-title":"UK Cementitious Slag Makers Association (CSMA)","id":"ITEM-3","issue":"September","issued":{"date-parts":[["2005"]]},"page":"1-15","title":"Soil stabilisation with ground granulated blastfurnace slag","type":"article-journal"},"uris":["http://www.mendeley.com/documents/?uuid=c64acddf-f74a-4967-b6b0-e681a70a2958"]},{"id":"ITEM-4","itemData":{"DOI":"10.1016/j.conbuildmat.2018.07.207","ISSN":"09500618","abstract":"This study compares the mechanical performance of clayey soil stabilization using volcanic ash (VA) based geopolymer and ordinary Portland cement (OPC). The effects of curing conditions and time, alkali activator/clay and alkali activator molarity, and VA/clay ratio are determined. The compressive strength of the untreated clayey soil specimens could be increased from 0.2 to 4 MPa and 2 to 12 MPa at the OC and DC conditions, respectively, when the soil partially replaced by 15 wt% of the binders. It is observed that geopolymer treatment is more efficient at the dry conditions (DC) while the Portland cement is superb at the wet environments (OC). This difference is associated with the role of water and pH in the kinetics of geopolymerization and the Portland cement hydration. Moreover, increasing the molarity of alkali activator and alkali activator/clay improve the compressive strength of the geopolymer treated soil. Besides, the higher energy absorption in all geopolymer specimens shows the superior ductility of this material in comparison with OPC.","author":[{"dropping-particle":"","family":"Ghadir","given":"Pooria","non-dropping-particle":"","parse-names":false,"suffix":""},{"dropping-particle":"","family":"Ranjbar","given":"Navid","non-dropping-particle":"","parse-names":false,"suffix":""}],"container-title":"Construction and Building Materials","id":"ITEM-4","issued":{"date-parts":[["2018"]]},"page":"361-371","publisher":"Elsevier Ltd","title":"Clayey soil stabilization using geopolymer and Portland cement","type":"article-journal","volume":"188"},"uris":["http://www.mendeley.com/documents/?uuid=d519fe65-1258-4625-a181-458c89c0a933"]},{"id":"ITEM-5","itemData":{"DOI":"10.1016/S0013-7952(98)00069-6","ISSN":"00137952","abstract":"Ettringite related swelling in lime-stabilized sulphate bearing clay soil systems has only been reported within the last decade although similar expansive behaviour has been reported in concrete over many years. The use of ground granulated blastfurnace slag (GGBS), an industrial by-product, is well established as a binder in many cement applications where it provides enhanced durability and high resistance to sulphate attack. This paper reports on efforts to extend the use of GGBS to highway and other foundation layers by determining the beneficial effect of the suppression of swelling of lime-stabilized clay soils, particularly in the presence of gypsum. The paper describes the results of laboratory tests on lime-stabilized kaolinite containing different levels of added gypsum and on lime-stabilized gypsum (selenite) bearing Kimmeridge Clay to which, in both cases, the lime has progressively been substituted with GGBS. The tests determine the linear expansion behaviour of compacted cylinders, during moist curing in a humid environment at 30°C and during subsequent soaking in de-ionized water. The results illustrate that substitution of lime with GGBS produces significant reduction in linear expansion of lime-stabilized clay soils particularly those containing gypsum.","author":[{"dropping-particle":"","family":"Wild","given":"S.","non-dropping-particle":"","parse-names":false,"suffix":""},{"dropping-particle":"","family":"Kinuthia","given":"J. M.","non-dropping-particle":"","parse-names":false,"suffix":""},{"dropping-particle":"","family":"Jones","given":"G. I.","non-dropping-particle":"","parse-names":false,"suffix":""},{"dropping-particle":"","family":"Higgins","given":"D. D.","non-dropping-particle":"","parse-names":false,"suffix":""}],"container-title":"Engineering Geology","id":"ITEM-5","issue":"4","issued":{"date-parts":[["1999"]]},"page":"257-277","title":"Suppression of swelling associated with ettringite formation in lime stabilized sulphate bearing clay soils by partial substitution of lime with ground granulated blastfurnace slag","type":"article-journal","volume":"51"},"uris":["http://www.mendeley.com/documents/?uuid=529bbcbc-faf0-4b9b-bd9c-e983fc5be0d5"]},{"id":"ITEM-6","itemData":{"ISSN":"09766316","abstract":"The stress distribution in deep mixing improved columns is affected by cement content and in-situ soil properties of the surrounding soil. Group of cement improved soil columns can be overlapped to form a shear wall which can support side slopes of embankments to enhance stability of the supported structure. The overlap distance of these columns is one factor that influences the efficacy of the columns and their overall effect on performance of the supported structure. This paper presents a numerical investigation on the effect of overlap distance and chord angle of overlap on the performance of soil-cement columns. The analysis of results show that the total stress on the columns decreases initially from 89.9kPa to 83.1kPa at 0 and 0.16m overlap distance due to development of discontinuities and stress concentration at corners of overlapping columns. The total stress on the column also increases between 0.16 and 0.32m overlaps corresponding to e/d ratio of 0.2 to 0.4m. This implies that values between 0.2-0.4 can be adopted for ratio of overlap distance and column diameter in design of overlapping column.","author":[{"dropping-particle":"","family":"Abbey","given":"S. J.","non-dropping-particle":"","parse-names":false,"suffix":""},{"dropping-particle":"","family":"Ngambi","given":"S.","non-dropping-particle":"","parse-names":false,"suffix":""},{"dropping-particle":"","family":"Olubanwo","given":"A. O.","non-dropping-particle":"","parse-names":false,"suffix":""}],"container-title":"International Journal of Civil Engineering and Technology","id":"ITEM-6","issue":"5","issued":{"date-parts":[["2017"]]},"page":"627-637","title":"Effect of overlap distance and chord angle on performance of overlapping soil-cement columns","type":"article-journal","volume":"8"},"uris":["http://www.mendeley.com/documents/?uuid=a530ea10-58c2-4a48-9502-6b68ac9a06ef"]}],"mendeley":{"formattedCitation":"[30–35]","plainTextFormattedCitation":"[30–35]","previouslyFormattedCitation":"[30–35]"},"properties":{"noteIndex":0},"schema":"https://github.com/citation-style-language/schema/raw/master/csl-citation.json"}</w:instrText>
      </w:r>
      <w:r w:rsidR="000217C3" w:rsidRPr="00AB258D">
        <w:rPr>
          <w:rFonts w:cstheme="minorHAnsi"/>
          <w:sz w:val="24"/>
          <w:szCs w:val="24"/>
        </w:rPr>
        <w:fldChar w:fldCharType="separate"/>
      </w:r>
      <w:r w:rsidR="00B42361" w:rsidRPr="00AB258D">
        <w:rPr>
          <w:rFonts w:cstheme="minorHAnsi"/>
          <w:noProof/>
          <w:sz w:val="24"/>
          <w:szCs w:val="24"/>
        </w:rPr>
        <w:t>[30–35]</w:t>
      </w:r>
      <w:r w:rsidR="000217C3" w:rsidRPr="00AB258D">
        <w:rPr>
          <w:rFonts w:cstheme="minorHAnsi"/>
          <w:sz w:val="24"/>
          <w:szCs w:val="24"/>
        </w:rPr>
        <w:fldChar w:fldCharType="end"/>
      </w:r>
      <w:r w:rsidR="000217C3" w:rsidRPr="00AB258D">
        <w:rPr>
          <w:rFonts w:cstheme="minorHAnsi"/>
          <w:sz w:val="24"/>
          <w:szCs w:val="24"/>
        </w:rPr>
        <w:t xml:space="preserve">. </w:t>
      </w:r>
    </w:p>
    <w:p w14:paraId="0BE45FD2" w14:textId="77777777" w:rsidR="008921E5" w:rsidRPr="00AB258D" w:rsidRDefault="008D6CDD" w:rsidP="00872346">
      <w:pPr>
        <w:tabs>
          <w:tab w:val="left" w:pos="930"/>
        </w:tabs>
        <w:spacing w:line="240" w:lineRule="auto"/>
        <w:jc w:val="both"/>
        <w:rPr>
          <w:rFonts w:cstheme="minorHAnsi"/>
          <w:sz w:val="24"/>
          <w:szCs w:val="24"/>
        </w:rPr>
      </w:pPr>
      <w:proofErr w:type="spellStart"/>
      <w:r w:rsidRPr="00AB258D">
        <w:rPr>
          <w:rFonts w:cstheme="minorHAnsi"/>
          <w:sz w:val="24"/>
          <w:szCs w:val="24"/>
        </w:rPr>
        <w:t>RoadCem</w:t>
      </w:r>
      <w:proofErr w:type="spellEnd"/>
      <w:r w:rsidRPr="00AB258D">
        <w:rPr>
          <w:rFonts w:cstheme="minorHAnsi"/>
          <w:sz w:val="24"/>
          <w:szCs w:val="24"/>
        </w:rPr>
        <w:t xml:space="preserve"> (</w:t>
      </w:r>
      <w:r w:rsidR="00A430CD" w:rsidRPr="00AB258D">
        <w:rPr>
          <w:rFonts w:cstheme="minorHAnsi"/>
          <w:sz w:val="24"/>
          <w:szCs w:val="24"/>
        </w:rPr>
        <w:t>RC</w:t>
      </w:r>
      <w:r w:rsidRPr="00AB258D">
        <w:rPr>
          <w:rFonts w:cstheme="minorHAnsi"/>
          <w:sz w:val="24"/>
          <w:szCs w:val="24"/>
        </w:rPr>
        <w:t>)</w:t>
      </w:r>
      <w:r w:rsidR="00AF2497" w:rsidRPr="00AB258D">
        <w:rPr>
          <w:rFonts w:cstheme="minorHAnsi"/>
          <w:sz w:val="24"/>
          <w:szCs w:val="24"/>
        </w:rPr>
        <w:t xml:space="preserve"> </w:t>
      </w:r>
      <w:r w:rsidR="008921E5" w:rsidRPr="00AB258D">
        <w:rPr>
          <w:rFonts w:eastAsia="Times New Roman" w:cstheme="minorHAnsi"/>
          <w:sz w:val="24"/>
          <w:szCs w:val="24"/>
        </w:rPr>
        <w:t xml:space="preserve">is another </w:t>
      </w:r>
      <w:r w:rsidR="00A836C3" w:rsidRPr="00AB258D">
        <w:rPr>
          <w:rFonts w:eastAsia="Times New Roman" w:cstheme="minorHAnsi"/>
          <w:sz w:val="24"/>
          <w:szCs w:val="24"/>
        </w:rPr>
        <w:t xml:space="preserve">fine-grained by-product additive that is based on synthetic zeolites, alkali earth metals </w:t>
      </w:r>
      <w:r w:rsidR="00AF2497" w:rsidRPr="00AB258D">
        <w:rPr>
          <w:rFonts w:eastAsia="Times New Roman" w:cstheme="minorHAnsi"/>
          <w:sz w:val="24"/>
          <w:szCs w:val="24"/>
        </w:rPr>
        <w:t>substance (</w:t>
      </w:r>
      <w:proofErr w:type="spellStart"/>
      <w:r w:rsidR="00AF2497" w:rsidRPr="00AB258D">
        <w:rPr>
          <w:rFonts w:cstheme="minorHAnsi"/>
          <w:sz w:val="24"/>
          <w:szCs w:val="24"/>
        </w:rPr>
        <w:t>NaCl</w:t>
      </w:r>
      <w:proofErr w:type="spellEnd"/>
      <w:r w:rsidR="00AF2497" w:rsidRPr="00AB258D">
        <w:rPr>
          <w:rFonts w:cstheme="minorHAnsi"/>
          <w:sz w:val="24"/>
          <w:szCs w:val="24"/>
        </w:rPr>
        <w:t xml:space="preserve">, </w:t>
      </w:r>
      <w:proofErr w:type="spellStart"/>
      <w:r w:rsidR="00AF2497" w:rsidRPr="00AB258D">
        <w:rPr>
          <w:rFonts w:cstheme="minorHAnsi"/>
          <w:sz w:val="24"/>
          <w:szCs w:val="24"/>
        </w:rPr>
        <w:t>KCl</w:t>
      </w:r>
      <w:proofErr w:type="spellEnd"/>
      <w:r w:rsidR="00AF2497" w:rsidRPr="00AB258D">
        <w:rPr>
          <w:rFonts w:cstheme="minorHAnsi"/>
          <w:sz w:val="24"/>
          <w:szCs w:val="24"/>
        </w:rPr>
        <w:t>, CaCl</w:t>
      </w:r>
      <w:r w:rsidR="00AF2497" w:rsidRPr="00AB258D">
        <w:rPr>
          <w:rFonts w:cstheme="minorHAnsi"/>
          <w:sz w:val="24"/>
          <w:szCs w:val="24"/>
          <w:vertAlign w:val="subscript"/>
        </w:rPr>
        <w:t>2</w:t>
      </w:r>
      <w:r w:rsidR="00AF2497" w:rsidRPr="00AB258D">
        <w:rPr>
          <w:rFonts w:cstheme="minorHAnsi"/>
          <w:sz w:val="24"/>
          <w:szCs w:val="24"/>
        </w:rPr>
        <w:t xml:space="preserve"> and MgCl</w:t>
      </w:r>
      <w:r w:rsidR="00AF2497" w:rsidRPr="00AB258D">
        <w:rPr>
          <w:rFonts w:cstheme="minorHAnsi"/>
          <w:sz w:val="24"/>
          <w:szCs w:val="24"/>
          <w:vertAlign w:val="subscript"/>
        </w:rPr>
        <w:t>2</w:t>
      </w:r>
      <w:r w:rsidR="00AF2497" w:rsidRPr="00AB258D">
        <w:rPr>
          <w:rFonts w:cstheme="minorHAnsi"/>
          <w:sz w:val="24"/>
          <w:szCs w:val="24"/>
        </w:rPr>
        <w:t xml:space="preserve">) </w:t>
      </w:r>
      <w:r w:rsidR="00A836C3" w:rsidRPr="00AB258D">
        <w:rPr>
          <w:rFonts w:eastAsia="Times New Roman" w:cstheme="minorHAnsi"/>
          <w:sz w:val="24"/>
          <w:szCs w:val="24"/>
        </w:rPr>
        <w:t>and complementary complex activator t</w:t>
      </w:r>
      <w:r w:rsidR="00AF2497" w:rsidRPr="00AB258D">
        <w:rPr>
          <w:rFonts w:eastAsia="Times New Roman" w:cstheme="minorHAnsi"/>
          <w:sz w:val="24"/>
          <w:szCs w:val="24"/>
        </w:rPr>
        <w:t xml:space="preserve">o enhance its unique </w:t>
      </w:r>
      <w:r w:rsidR="00BE6BED" w:rsidRPr="00AB258D">
        <w:rPr>
          <w:rFonts w:eastAsia="Times New Roman" w:cstheme="minorHAnsi"/>
          <w:sz w:val="24"/>
          <w:szCs w:val="24"/>
        </w:rPr>
        <w:t>qualities</w:t>
      </w:r>
      <w:r w:rsidR="000217C3" w:rsidRPr="00AB258D">
        <w:rPr>
          <w:rFonts w:eastAsia="Times New Roman" w:cstheme="minorHAnsi"/>
          <w:sz w:val="24"/>
          <w:szCs w:val="24"/>
        </w:rPr>
        <w:t xml:space="preserve"> </w:t>
      </w:r>
      <w:r w:rsidR="000217C3" w:rsidRPr="00AB258D">
        <w:rPr>
          <w:rFonts w:eastAsia="Times New Roman" w:cstheme="minorHAnsi"/>
          <w:sz w:val="24"/>
          <w:szCs w:val="24"/>
        </w:rPr>
        <w:fldChar w:fldCharType="begin" w:fldLock="1"/>
      </w:r>
      <w:r w:rsidR="00EE796F" w:rsidRPr="00AB258D">
        <w:rPr>
          <w:rFonts w:eastAsia="Times New Roman" w:cstheme="minorHAnsi"/>
          <w:sz w:val="24"/>
          <w:szCs w:val="24"/>
        </w:rPr>
        <w:instrText>ADDIN CSL_CITATION {"citationItems":[{"id":"ITEM-1","itemData":{"author":[{"dropping-particle":"","family":"Ventura","given":"D","non-dropping-particle":"","parse-names":false,"suffix":""},{"dropping-particle":"","family":"Koloane","given":"T","non-dropping-particle":"","parse-names":false,"suffix":""}],"id":"ITEM-1","issue":"March","issued":{"date-parts":[["2005"]]},"publisher-place":"Zwijndrecht, The Netherlands","title":"Laboratory evaluation of PowerCem blend to determine its suitability as a road building material stabilizer","type":"report"},"uris":["http://www.mendeley.com/documents/?uuid=1599de38-2622-43fa-a022-59fc3821d541"]}],"mendeley":{"formattedCitation":"[36]","plainTextFormattedCitation":"[36]","previouslyFormattedCitation":"[36]"},"properties":{"noteIndex":0},"schema":"https://github.com/citation-style-language/schema/raw/master/csl-citation.json"}</w:instrText>
      </w:r>
      <w:r w:rsidR="000217C3" w:rsidRPr="00AB258D">
        <w:rPr>
          <w:rFonts w:eastAsia="Times New Roman" w:cstheme="minorHAnsi"/>
          <w:sz w:val="24"/>
          <w:szCs w:val="24"/>
        </w:rPr>
        <w:fldChar w:fldCharType="separate"/>
      </w:r>
      <w:r w:rsidR="00B42361" w:rsidRPr="00AB258D">
        <w:rPr>
          <w:rFonts w:eastAsia="Times New Roman" w:cstheme="minorHAnsi"/>
          <w:noProof/>
          <w:sz w:val="24"/>
          <w:szCs w:val="24"/>
        </w:rPr>
        <w:t>[36]</w:t>
      </w:r>
      <w:r w:rsidR="000217C3" w:rsidRPr="00AB258D">
        <w:rPr>
          <w:rFonts w:eastAsia="Times New Roman" w:cstheme="minorHAnsi"/>
          <w:sz w:val="24"/>
          <w:szCs w:val="24"/>
        </w:rPr>
        <w:fldChar w:fldCharType="end"/>
      </w:r>
      <w:r w:rsidR="00AF2497" w:rsidRPr="00AB258D">
        <w:rPr>
          <w:rFonts w:cstheme="minorHAnsi"/>
          <w:noProof/>
          <w:sz w:val="24"/>
          <w:szCs w:val="24"/>
        </w:rPr>
        <w:t>.</w:t>
      </w:r>
      <w:r w:rsidR="00A836C3" w:rsidRPr="00AB258D">
        <w:rPr>
          <w:rFonts w:eastAsia="Times New Roman" w:cstheme="minorHAnsi"/>
          <w:sz w:val="24"/>
          <w:szCs w:val="24"/>
        </w:rPr>
        <w:t xml:space="preserve"> </w:t>
      </w:r>
      <w:r w:rsidR="003B59C2" w:rsidRPr="00AB258D">
        <w:rPr>
          <w:rFonts w:eastAsia="Times New Roman" w:cstheme="minorHAnsi"/>
          <w:sz w:val="24"/>
          <w:szCs w:val="24"/>
        </w:rPr>
        <w:t xml:space="preserve">This material is </w:t>
      </w:r>
      <w:r w:rsidR="004B06FC" w:rsidRPr="00AB258D">
        <w:rPr>
          <w:rFonts w:eastAsia="Times New Roman" w:cstheme="minorHAnsi"/>
          <w:sz w:val="24"/>
          <w:szCs w:val="24"/>
        </w:rPr>
        <w:t>mostly</w:t>
      </w:r>
      <w:r w:rsidR="003B59C2" w:rsidRPr="00AB258D">
        <w:rPr>
          <w:rFonts w:eastAsia="Times New Roman" w:cstheme="minorHAnsi"/>
          <w:sz w:val="24"/>
          <w:szCs w:val="24"/>
        </w:rPr>
        <w:t xml:space="preserve"> used in small quantities to improve the mechanical performance of </w:t>
      </w:r>
      <w:r w:rsidR="00E338E5" w:rsidRPr="00AB258D">
        <w:rPr>
          <w:rFonts w:eastAsia="Times New Roman" w:cstheme="minorHAnsi"/>
          <w:sz w:val="24"/>
          <w:szCs w:val="24"/>
        </w:rPr>
        <w:t>cement</w:t>
      </w:r>
      <w:r w:rsidR="000217C3" w:rsidRPr="00AB258D">
        <w:rPr>
          <w:rFonts w:eastAsia="Times New Roman" w:cstheme="minorHAnsi"/>
          <w:sz w:val="24"/>
          <w:szCs w:val="24"/>
        </w:rPr>
        <w:t xml:space="preserve"> </w:t>
      </w:r>
      <w:r w:rsidR="000217C3" w:rsidRPr="00AB258D">
        <w:rPr>
          <w:rFonts w:eastAsia="Times New Roman" w:cstheme="minorHAnsi"/>
          <w:sz w:val="24"/>
          <w:szCs w:val="24"/>
        </w:rPr>
        <w:fldChar w:fldCharType="begin" w:fldLock="1"/>
      </w:r>
      <w:r w:rsidR="003208C7" w:rsidRPr="00AB258D">
        <w:rPr>
          <w:rFonts w:eastAsia="Times New Roman" w:cstheme="minorHAnsi"/>
          <w:sz w:val="24"/>
          <w:szCs w:val="24"/>
        </w:rPr>
        <w:instrText>ADDIN CSL_CITATION {"citationItems":[{"id":"ITEM-1","itemData":{"author":[{"dropping-particle":"","family":"Ventura","given":"D","non-dropping-particle":"","parse-names":false,"suffix":""},{"dropping-particle":"","family":"Koloane","given":"T","non-dropping-particle":"","parse-names":false,"suffix":""}],"id":"ITEM-1","issue":"March","issued":{"date-parts":[["2005"]]},"publisher-place":"Zwijndrecht, The Netherlands","title":"Laboratory evaluation of PowerCem blend to determine its suitability as a road building material stabilizer","type":"report"},"uris":["http://www.mendeley.com/documents/?uuid=1599de38-2622-43fa-a022-59fc3821d541"]},{"id":"ITEM-2","itemData":{"DOI":"10.12968/johv.2014.2.10.569","ISBN":"9789079835010","ISSN":"2050-8719","author":[{"dropping-particle":"","family":"Marjanovic","given":"P","non-dropping-particle":"","parse-names":false,"suffix":""},{"dropping-particle":"","family":"Egyed","given":"C.E.G","non-dropping-particle":"","parse-names":false,"suffix":""},{"dropping-particle":"","family":"La Roij","given":"P","non-dropping-particle":"de","parse-names":false,"suffix":""}],"container-title":"PowerCem Technologies B.V.","id":"ITEM-2","issued":{"date-parts":[["2009"]]},"title":"The road to the future: Manual for working with RoadCem","type":"book","volume":"2"},"uris":["http://www.mendeley.com/documents/?uuid=992103e8-2295-42e3-b17b-f4e8bad9252f"]}],"mendeley":{"formattedCitation":"[36,37]","plainTextFormattedCitation":"[36,37]","previouslyFormattedCitation":"[36,37]"},"properties":{"noteIndex":0},"schema":"https://github.com/citation-style-language/schema/raw/master/csl-citation.json"}</w:instrText>
      </w:r>
      <w:r w:rsidR="000217C3" w:rsidRPr="00AB258D">
        <w:rPr>
          <w:rFonts w:eastAsia="Times New Roman" w:cstheme="minorHAnsi"/>
          <w:sz w:val="24"/>
          <w:szCs w:val="24"/>
        </w:rPr>
        <w:fldChar w:fldCharType="separate"/>
      </w:r>
      <w:r w:rsidR="00B42361" w:rsidRPr="00AB258D">
        <w:rPr>
          <w:rFonts w:eastAsia="Times New Roman" w:cstheme="minorHAnsi"/>
          <w:noProof/>
          <w:sz w:val="24"/>
          <w:szCs w:val="24"/>
        </w:rPr>
        <w:t>[36,37]</w:t>
      </w:r>
      <w:r w:rsidR="000217C3" w:rsidRPr="00AB258D">
        <w:rPr>
          <w:rFonts w:eastAsia="Times New Roman" w:cstheme="minorHAnsi"/>
          <w:sz w:val="24"/>
          <w:szCs w:val="24"/>
        </w:rPr>
        <w:fldChar w:fldCharType="end"/>
      </w:r>
      <w:r w:rsidR="000217C3" w:rsidRPr="00AB258D">
        <w:rPr>
          <w:rFonts w:eastAsia="Times New Roman" w:cstheme="minorHAnsi"/>
          <w:sz w:val="24"/>
          <w:szCs w:val="24"/>
        </w:rPr>
        <w:t xml:space="preserve">. </w:t>
      </w:r>
      <w:r w:rsidR="003B59C2" w:rsidRPr="00AB258D">
        <w:rPr>
          <w:rFonts w:eastAsia="Times New Roman" w:cstheme="minorHAnsi"/>
          <w:sz w:val="24"/>
          <w:szCs w:val="24"/>
        </w:rPr>
        <w:t xml:space="preserve">There are also documented cases of the use of </w:t>
      </w:r>
      <w:r w:rsidR="00A430CD" w:rsidRPr="00AB258D">
        <w:rPr>
          <w:rFonts w:eastAsia="Times New Roman" w:cstheme="minorHAnsi"/>
          <w:sz w:val="24"/>
          <w:szCs w:val="24"/>
        </w:rPr>
        <w:t>RC</w:t>
      </w:r>
      <w:r w:rsidR="003B59C2" w:rsidRPr="00AB258D">
        <w:rPr>
          <w:rFonts w:eastAsia="Times New Roman" w:cstheme="minorHAnsi"/>
          <w:sz w:val="24"/>
          <w:szCs w:val="24"/>
        </w:rPr>
        <w:t xml:space="preserve"> in combination with other cementitious materials and by-products such as lime, PFA, GGBS. </w:t>
      </w:r>
      <w:proofErr w:type="spellStart"/>
      <w:r w:rsidRPr="00AB258D">
        <w:rPr>
          <w:rFonts w:eastAsia="Times New Roman" w:cstheme="minorHAnsi"/>
          <w:sz w:val="24"/>
          <w:szCs w:val="24"/>
        </w:rPr>
        <w:t>RoadCem</w:t>
      </w:r>
      <w:proofErr w:type="spellEnd"/>
      <w:r w:rsidR="004E48FF" w:rsidRPr="00AB258D">
        <w:rPr>
          <w:rFonts w:eastAsia="Times New Roman" w:cstheme="minorHAnsi"/>
          <w:sz w:val="24"/>
          <w:szCs w:val="24"/>
        </w:rPr>
        <w:t xml:space="preserve"> is </w:t>
      </w:r>
      <w:r w:rsidR="00A836C3" w:rsidRPr="00AB258D">
        <w:rPr>
          <w:rFonts w:eastAsia="Times New Roman" w:cstheme="minorHAnsi"/>
          <w:sz w:val="24"/>
          <w:szCs w:val="24"/>
        </w:rPr>
        <w:t xml:space="preserve">manufactured majorly by </w:t>
      </w:r>
      <w:proofErr w:type="spellStart"/>
      <w:r w:rsidR="00A836C3" w:rsidRPr="00AB258D">
        <w:rPr>
          <w:rFonts w:eastAsia="Times New Roman" w:cstheme="minorHAnsi"/>
          <w:sz w:val="24"/>
          <w:szCs w:val="24"/>
        </w:rPr>
        <w:t>Pow</w:t>
      </w:r>
      <w:r w:rsidR="004E48FF" w:rsidRPr="00AB258D">
        <w:rPr>
          <w:rFonts w:eastAsia="Times New Roman" w:cstheme="minorHAnsi"/>
          <w:sz w:val="24"/>
          <w:szCs w:val="24"/>
        </w:rPr>
        <w:t>erCem</w:t>
      </w:r>
      <w:proofErr w:type="spellEnd"/>
      <w:r w:rsidR="004E48FF" w:rsidRPr="00AB258D">
        <w:rPr>
          <w:rFonts w:eastAsia="Times New Roman" w:cstheme="minorHAnsi"/>
          <w:sz w:val="24"/>
          <w:szCs w:val="24"/>
        </w:rPr>
        <w:t xml:space="preserve"> Technologies in </w:t>
      </w:r>
      <w:proofErr w:type="spellStart"/>
      <w:r w:rsidR="004E48FF" w:rsidRPr="00AB258D">
        <w:rPr>
          <w:rFonts w:eastAsia="Times New Roman" w:cstheme="minorHAnsi"/>
          <w:sz w:val="24"/>
          <w:szCs w:val="24"/>
        </w:rPr>
        <w:t>Moerdijk</w:t>
      </w:r>
      <w:proofErr w:type="spellEnd"/>
      <w:r w:rsidR="004E48FF" w:rsidRPr="00AB258D">
        <w:rPr>
          <w:rFonts w:eastAsia="Times New Roman" w:cstheme="minorHAnsi"/>
          <w:sz w:val="24"/>
          <w:szCs w:val="24"/>
        </w:rPr>
        <w:t xml:space="preserve"> and has been tested and found to possess </w:t>
      </w:r>
      <w:r w:rsidR="000B2500" w:rsidRPr="00AB258D">
        <w:rPr>
          <w:rFonts w:eastAsia="Times New Roman" w:cstheme="minorHAnsi"/>
          <w:sz w:val="24"/>
          <w:szCs w:val="24"/>
        </w:rPr>
        <w:t>very good</w:t>
      </w:r>
      <w:r w:rsidR="00A376CE" w:rsidRPr="00AB258D">
        <w:rPr>
          <w:rFonts w:eastAsia="Times New Roman" w:cstheme="minorHAnsi"/>
          <w:sz w:val="24"/>
          <w:szCs w:val="24"/>
        </w:rPr>
        <w:t xml:space="preserve"> environmental credentials</w:t>
      </w:r>
      <w:r w:rsidR="000B2500" w:rsidRPr="00AB258D">
        <w:rPr>
          <w:rFonts w:eastAsia="Times New Roman" w:cstheme="minorHAnsi"/>
          <w:sz w:val="24"/>
          <w:szCs w:val="24"/>
        </w:rPr>
        <w:t xml:space="preserve"> and</w:t>
      </w:r>
      <w:r w:rsidR="00A376CE" w:rsidRPr="00AB258D">
        <w:rPr>
          <w:rFonts w:eastAsia="Times New Roman" w:cstheme="minorHAnsi"/>
          <w:sz w:val="24"/>
          <w:szCs w:val="24"/>
        </w:rPr>
        <w:t xml:space="preserve"> </w:t>
      </w:r>
      <w:r w:rsidR="004E48FF" w:rsidRPr="00AB258D">
        <w:rPr>
          <w:rFonts w:eastAsia="Times New Roman" w:cstheme="minorHAnsi"/>
          <w:sz w:val="24"/>
          <w:szCs w:val="24"/>
        </w:rPr>
        <w:t xml:space="preserve">macro-economic prospects </w:t>
      </w:r>
      <w:r w:rsidR="00A376CE" w:rsidRPr="00AB258D">
        <w:rPr>
          <w:rFonts w:eastAsia="Times New Roman" w:cstheme="minorHAnsi"/>
          <w:sz w:val="24"/>
          <w:szCs w:val="24"/>
        </w:rPr>
        <w:t>with over 80% reduction in CO</w:t>
      </w:r>
      <w:r w:rsidR="00A376CE" w:rsidRPr="00AB258D">
        <w:rPr>
          <w:rFonts w:eastAsia="Times New Roman" w:cstheme="minorHAnsi"/>
          <w:sz w:val="24"/>
          <w:szCs w:val="24"/>
          <w:vertAlign w:val="subscript"/>
        </w:rPr>
        <w:t>2</w:t>
      </w:r>
      <w:r w:rsidR="00A376CE" w:rsidRPr="00AB258D">
        <w:rPr>
          <w:rFonts w:eastAsia="Times New Roman" w:cstheme="minorHAnsi"/>
          <w:sz w:val="24"/>
          <w:szCs w:val="24"/>
        </w:rPr>
        <w:t xml:space="preserve"> emission </w:t>
      </w:r>
      <w:r w:rsidR="004E48FF" w:rsidRPr="00AB258D">
        <w:rPr>
          <w:rFonts w:eastAsia="Times New Roman" w:cstheme="minorHAnsi"/>
          <w:sz w:val="24"/>
          <w:szCs w:val="24"/>
        </w:rPr>
        <w:fldChar w:fldCharType="begin" w:fldLock="1"/>
      </w:r>
      <w:r w:rsidR="003208C7" w:rsidRPr="00AB258D">
        <w:rPr>
          <w:rFonts w:eastAsia="Times New Roman" w:cstheme="minorHAnsi"/>
          <w:sz w:val="24"/>
          <w:szCs w:val="24"/>
        </w:rPr>
        <w:instrText>ADDIN CSL_CITATION {"citationItems":[{"id":"ITEM-1","itemData":{"author":[{"dropping-particle":"","family":"Montero","given":"Rauf","non-dropping-particle":"","parse-names":false,"suffix":""},{"dropping-particle":"","family":"Baneros","given":"Ruffino","non-dropping-particle":"","parse-names":false,"suffix":""},{"dropping-particle":"","family":"Lakerveld","given":"Pascal","non-dropping-particle":"","parse-names":false,"suffix":""},{"dropping-particle":"","family":"Veerbeek","given":"William","non-dropping-particle":"","parse-names":false,"suffix":""}],"id":"ITEM-1","issued":{"date-parts":[["2012"]]},"publisher":"PowerCem Technologies B.V","title":"Macro-economic effects of using the PowerCem technology on road infrastructure in flood risk areas","type":"report"},"uris":["http://www.mendeley.com/documents/?uuid=e48f8ea7-fa58-4c3c-acb1-fee8b2adb379"]},{"id":"ITEM-2","itemData":{"ISSN":"00092460","abstract":"The marine organism Rhodopirellula baltica is a representative of the globally distributed phylum Planctomycetes whose members exhibit an intriguing lifestyle and cell morphology. The analysis of R. baltica's genome has revealed many biotechnologically promising features including a set of unique sulfatases and C1-metabolism genes. Salt resistance and the potential for adhesion in the adult phase of the cell cycle were observed during cultivation. To promote the understanding of this model organism and to specify the functions of potentially useful genes, gene expression throughout a growth curve was monitored using a whole genome microarray approach. Transcriptional profiling suggests that a large number of hypothetical proteins are active within the cell cycle and in the formation of the different cell morphologies. Numerous genes with potential biotechnological applications were found to be differentially regulated, revealing further characteristics of their functions and regulation mechanisms. More specifically, the experiments shed light on the expression patterns of genes belonging to the organism's general stress response, those involved in the reorganization of its genome and those effecting morphological changes. These transcriptomic results contribute to a better understanding of thus far unknown molecular elements of cell biology. Further, they pave the way for the biotechnological exploitation of R. baltica's distinctive metabolic features as a step towards sourcing the phylum Planctomycetes at large.","author":[{"dropping-particle":"","family":"Blass","given":"Jorg","non-dropping-particle":"","parse-names":false,"suffix":""}],"container-title":"PowerCem Technologies BV","id":"ITEM-2","issued":{"date-parts":[["2017"]]},"title":"Environmental impact comparison conventional road construction and RoadCem constructions","type":"report"},"uris":["http://www.mendeley.com/documents/?uuid=4d1694cd-633a-4f86-a0ed-0d42cfb7cb52"]}],"mendeley":{"formattedCitation":"[38,39]","plainTextFormattedCitation":"[38,39]","previouslyFormattedCitation":"[38,39]"},"properties":{"noteIndex":0},"schema":"https://github.com/citation-style-language/schema/raw/master/csl-citation.json"}</w:instrText>
      </w:r>
      <w:r w:rsidR="004E48FF" w:rsidRPr="00AB258D">
        <w:rPr>
          <w:rFonts w:eastAsia="Times New Roman" w:cstheme="minorHAnsi"/>
          <w:sz w:val="24"/>
          <w:szCs w:val="24"/>
        </w:rPr>
        <w:fldChar w:fldCharType="separate"/>
      </w:r>
      <w:r w:rsidR="00B42361" w:rsidRPr="00AB258D">
        <w:rPr>
          <w:rFonts w:eastAsia="Times New Roman" w:cstheme="minorHAnsi"/>
          <w:noProof/>
          <w:sz w:val="24"/>
          <w:szCs w:val="24"/>
        </w:rPr>
        <w:t>[38,39]</w:t>
      </w:r>
      <w:r w:rsidR="004E48FF" w:rsidRPr="00AB258D">
        <w:rPr>
          <w:rFonts w:eastAsia="Times New Roman" w:cstheme="minorHAnsi"/>
          <w:sz w:val="24"/>
          <w:szCs w:val="24"/>
        </w:rPr>
        <w:fldChar w:fldCharType="end"/>
      </w:r>
      <w:r w:rsidR="000A4CA2" w:rsidRPr="00AB258D">
        <w:rPr>
          <w:rFonts w:eastAsia="Times New Roman" w:cstheme="minorHAnsi"/>
          <w:sz w:val="24"/>
          <w:szCs w:val="24"/>
        </w:rPr>
        <w:t xml:space="preserve">. </w:t>
      </w:r>
      <w:r w:rsidR="0076087F" w:rsidRPr="00AB258D">
        <w:rPr>
          <w:rFonts w:eastAsia="Times New Roman" w:cstheme="minorHAnsi"/>
          <w:sz w:val="24"/>
          <w:szCs w:val="24"/>
        </w:rPr>
        <w:t>According to</w:t>
      </w:r>
      <w:r w:rsidR="00092CDC" w:rsidRPr="00AB258D">
        <w:rPr>
          <w:rFonts w:eastAsia="Times New Roman" w:cstheme="minorHAnsi"/>
          <w:sz w:val="24"/>
          <w:szCs w:val="24"/>
        </w:rPr>
        <w:t xml:space="preserve"> </w:t>
      </w:r>
      <w:r w:rsidR="00092CDC" w:rsidRPr="00AB258D">
        <w:rPr>
          <w:rFonts w:cstheme="minorHAnsi"/>
          <w:noProof/>
          <w:sz w:val="24"/>
          <w:szCs w:val="24"/>
        </w:rPr>
        <w:t>Pengpeng</w:t>
      </w:r>
      <w:r w:rsidR="0076087F" w:rsidRPr="00AB258D">
        <w:rPr>
          <w:rFonts w:eastAsia="Times New Roman" w:cstheme="minorHAnsi"/>
          <w:sz w:val="24"/>
          <w:szCs w:val="24"/>
        </w:rPr>
        <w:t xml:space="preserve"> </w:t>
      </w:r>
      <w:r w:rsidR="00A836C3" w:rsidRPr="00AB258D">
        <w:rPr>
          <w:rFonts w:cstheme="minorHAnsi"/>
          <w:sz w:val="24"/>
          <w:szCs w:val="24"/>
        </w:rPr>
        <w:fldChar w:fldCharType="begin" w:fldLock="1"/>
      </w:r>
      <w:r w:rsidR="003208C7" w:rsidRPr="00AB258D">
        <w:rPr>
          <w:rFonts w:cstheme="minorHAnsi"/>
          <w:sz w:val="24"/>
          <w:szCs w:val="24"/>
        </w:rPr>
        <w:instrText>ADDIN CSL_CITATION {"citationItems":[{"id":"ITEM-1","itemData":{"DOI":"10.1021/es305007w","ISBN":"9789462038660","ISSN":"1520-5851","abstract":"End-of-life recycling is promoted by OECD countries as a promising strategy in the current global supply crisis surrounding rare earth elements (REEs) so that dependence on China, the dominant supplier, can be decreased. So far the feasibility and potential yield of REE recycling has not been systematically evaluated. This paper estimates the annual waste flows of neodymium and dysprosium from permanent magnets, the main deployment of these critical REEs, during the 2011-2030 period. The estimates focus on three key permanent magnet waste flows: wind turbines, hybrid and electric vehicles, and hard disk drives (HDDs) in personal computers (PCs). This is a good indication of the end-of-life recycling of neodymium and dysprosium maximum potential yield. Results show that for some time to come, waste flows from permanent magnets will remain small relative to the rapidly growing global REE demand. Policymakers therefore need to be aware that during the next decade recycling is unlikely to substantially contribute to global REE supply security. In the long term, waste flows will increase sharply and will meet a substantial part of the total demand for these metals. Future REE recycling efforts should, therefore, focus on the development of recycling technology and infrastructure.","author":[{"dropping-particle":"","family":"Wu","given":"Pengpeng","non-dropping-particle":"","parse-names":false,"suffix":""}],"container-title":"Ph.D Disseration, Delft University of Technology","id":"ITEM-1","issued":{"date-parts":[["2015"]]},"publisher":"Beijing Jiaotong University","title":"Cement Stabilized Materials with Use of RoadCem Additive","type":"thesis"},"uris":["http://www.mendeley.com/documents/?uuid=e5b98ef2-961c-4ffe-bfe5-b11a35a10ac5"]},{"id":"ITEM-2","itemData":{"ISBN":"7-11-218-1","author":[{"dropping-particle":"","family":"Wu","given":"Pengpeng","non-dropping-particle":"","parse-names":false,"suffix":""}],"id":"ITEM-2","issue":"July","issued":{"date-parts":[["2011"]]},"number-of-pages":"1-115","title":"Cement-bound road base materials","type":"report"},"uris":["http://www.mendeley.com/documents/?uuid=1ecc874f-2eeb-42cf-8e71-413d1d84f802"]}],"mendeley":{"formattedCitation":"[40,41]","plainTextFormattedCitation":"[40,41]","previouslyFormattedCitation":"[40,41]"},"properties":{"noteIndex":0},"schema":"https://github.com/citation-style-language/schema/raw/master/csl-citation.json"}</w:instrText>
      </w:r>
      <w:r w:rsidR="00A836C3" w:rsidRPr="00AB258D">
        <w:rPr>
          <w:rFonts w:cstheme="minorHAnsi"/>
          <w:sz w:val="24"/>
          <w:szCs w:val="24"/>
        </w:rPr>
        <w:fldChar w:fldCharType="separate"/>
      </w:r>
      <w:r w:rsidR="00B42361" w:rsidRPr="00AB258D">
        <w:rPr>
          <w:rFonts w:cstheme="minorHAnsi"/>
          <w:noProof/>
          <w:sz w:val="24"/>
          <w:szCs w:val="24"/>
        </w:rPr>
        <w:t>[40,41]</w:t>
      </w:r>
      <w:r w:rsidR="00A836C3" w:rsidRPr="00AB258D">
        <w:rPr>
          <w:rFonts w:cstheme="minorHAnsi"/>
          <w:sz w:val="24"/>
          <w:szCs w:val="24"/>
        </w:rPr>
        <w:fldChar w:fldCharType="end"/>
      </w:r>
      <w:r w:rsidR="0076087F" w:rsidRPr="00AB258D">
        <w:rPr>
          <w:rFonts w:cstheme="minorHAnsi"/>
          <w:sz w:val="24"/>
          <w:szCs w:val="24"/>
        </w:rPr>
        <w:t>,</w:t>
      </w:r>
      <w:r w:rsidR="00A836C3" w:rsidRPr="00AB258D">
        <w:rPr>
          <w:rFonts w:cstheme="minorHAnsi"/>
          <w:sz w:val="24"/>
          <w:szCs w:val="24"/>
        </w:rPr>
        <w:t xml:space="preserve"> </w:t>
      </w:r>
      <w:r w:rsidR="000A4CA2" w:rsidRPr="00AB258D">
        <w:rPr>
          <w:rFonts w:cstheme="minorHAnsi"/>
          <w:sz w:val="24"/>
          <w:szCs w:val="24"/>
        </w:rPr>
        <w:t>the inclusion of RC</w:t>
      </w:r>
      <w:r w:rsidR="0076087F" w:rsidRPr="00AB258D">
        <w:rPr>
          <w:rFonts w:cstheme="minorHAnsi"/>
          <w:sz w:val="24"/>
          <w:szCs w:val="24"/>
        </w:rPr>
        <w:t xml:space="preserve"> in </w:t>
      </w:r>
      <w:r w:rsidR="000A4CA2" w:rsidRPr="00AB258D">
        <w:rPr>
          <w:rFonts w:cstheme="minorHAnsi"/>
          <w:sz w:val="24"/>
          <w:szCs w:val="24"/>
        </w:rPr>
        <w:t>soil-</w:t>
      </w:r>
      <w:r w:rsidR="0076087F" w:rsidRPr="00AB258D">
        <w:rPr>
          <w:rFonts w:cstheme="minorHAnsi"/>
          <w:sz w:val="24"/>
          <w:szCs w:val="24"/>
        </w:rPr>
        <w:t xml:space="preserve">cement mixtures reduces </w:t>
      </w:r>
      <w:r w:rsidR="00A836C3" w:rsidRPr="00AB258D">
        <w:rPr>
          <w:rFonts w:cstheme="minorHAnsi"/>
          <w:sz w:val="24"/>
          <w:szCs w:val="24"/>
        </w:rPr>
        <w:t xml:space="preserve">drying shrinkage </w:t>
      </w:r>
      <w:r w:rsidR="0089214D" w:rsidRPr="00AB258D">
        <w:rPr>
          <w:rFonts w:cstheme="minorHAnsi"/>
          <w:sz w:val="24"/>
          <w:szCs w:val="24"/>
        </w:rPr>
        <w:t>and tensile stresses (by up to 50%</w:t>
      </w:r>
      <w:r w:rsidR="00400221" w:rsidRPr="00AB258D">
        <w:rPr>
          <w:rFonts w:cstheme="minorHAnsi"/>
          <w:sz w:val="24"/>
          <w:szCs w:val="24"/>
        </w:rPr>
        <w:t>)</w:t>
      </w:r>
      <w:r w:rsidR="0089214D" w:rsidRPr="00AB258D">
        <w:rPr>
          <w:rFonts w:cstheme="minorHAnsi"/>
          <w:sz w:val="24"/>
          <w:szCs w:val="24"/>
        </w:rPr>
        <w:t xml:space="preserve"> of the </w:t>
      </w:r>
      <w:r w:rsidR="0076087F" w:rsidRPr="00AB258D">
        <w:rPr>
          <w:rFonts w:cstheme="minorHAnsi"/>
          <w:sz w:val="24"/>
          <w:szCs w:val="24"/>
        </w:rPr>
        <w:t xml:space="preserve">stabilised </w:t>
      </w:r>
      <w:r w:rsidR="00400221" w:rsidRPr="00AB258D">
        <w:rPr>
          <w:rFonts w:cstheme="minorHAnsi"/>
          <w:sz w:val="24"/>
          <w:szCs w:val="24"/>
        </w:rPr>
        <w:t xml:space="preserve">soil </w:t>
      </w:r>
      <w:r w:rsidR="0076087F" w:rsidRPr="00AB258D">
        <w:rPr>
          <w:rFonts w:cstheme="minorHAnsi"/>
          <w:sz w:val="24"/>
          <w:szCs w:val="24"/>
        </w:rPr>
        <w:t>after 28 days</w:t>
      </w:r>
      <w:r w:rsidR="00A836C3" w:rsidRPr="00AB258D">
        <w:rPr>
          <w:rFonts w:cstheme="minorHAnsi"/>
          <w:sz w:val="24"/>
          <w:szCs w:val="24"/>
        </w:rPr>
        <w:t xml:space="preserve"> </w:t>
      </w:r>
      <w:r w:rsidR="0076087F" w:rsidRPr="00AB258D">
        <w:rPr>
          <w:rFonts w:cstheme="minorHAnsi"/>
          <w:sz w:val="24"/>
          <w:szCs w:val="24"/>
        </w:rPr>
        <w:t>of curing.</w:t>
      </w:r>
      <w:r w:rsidR="00092CDC" w:rsidRPr="00AB258D">
        <w:rPr>
          <w:rFonts w:cstheme="minorHAnsi"/>
          <w:sz w:val="24"/>
          <w:szCs w:val="24"/>
        </w:rPr>
        <w:t xml:space="preserve"> </w:t>
      </w:r>
      <w:r w:rsidR="00092CDC" w:rsidRPr="00AB258D">
        <w:rPr>
          <w:rFonts w:cstheme="minorHAnsi"/>
          <w:sz w:val="24"/>
          <w:szCs w:val="24"/>
        </w:rPr>
        <w:fldChar w:fldCharType="begin" w:fldLock="1"/>
      </w:r>
      <w:r w:rsidR="00EE796F" w:rsidRPr="00AB258D">
        <w:rPr>
          <w:rFonts w:cstheme="minorHAnsi"/>
          <w:sz w:val="24"/>
          <w:szCs w:val="24"/>
        </w:rPr>
        <w:instrText>ADDIN CSL_CITATION {"citationItems":[{"id":"ITEM-1","itemData":{"author":[{"dropping-particle":"","family":"Ventura","given":"D","non-dropping-particle":"","parse-names":false,"suffix":""},{"dropping-particle":"","family":"Koloane","given":"T","non-dropping-particle":"","parse-names":false,"suffix":""}],"id":"ITEM-1","issue":"March","issued":{"date-parts":[["2005"]]},"publisher-place":"Zwijndrecht, The Netherlands","title":"Laboratory evaluation of PowerCem blend to determine its suitability as a road building material stabilizer","type":"report"},"uris":["http://www.mendeley.com/documents/?uuid=1599de38-2622-43fa-a022-59fc3821d541"]}],"mendeley":{"formattedCitation":"[36]","manualFormatting":"Ventura and Koloane ","plainTextFormattedCitation":"[36]","previouslyFormattedCitation":"[36]"},"properties":{"noteIndex":0},"schema":"https://github.com/citation-style-language/schema/raw/master/csl-citation.json"}</w:instrText>
      </w:r>
      <w:r w:rsidR="00092CDC" w:rsidRPr="00AB258D">
        <w:rPr>
          <w:rFonts w:cstheme="minorHAnsi"/>
          <w:sz w:val="24"/>
          <w:szCs w:val="24"/>
        </w:rPr>
        <w:fldChar w:fldCharType="separate"/>
      </w:r>
      <w:r w:rsidR="00092CDC" w:rsidRPr="00AB258D">
        <w:rPr>
          <w:rFonts w:cstheme="minorHAnsi"/>
          <w:noProof/>
          <w:sz w:val="24"/>
          <w:szCs w:val="24"/>
        </w:rPr>
        <w:t xml:space="preserve">Ventura and Koloane </w:t>
      </w:r>
      <w:r w:rsidR="00092CDC" w:rsidRPr="00AB258D">
        <w:rPr>
          <w:rFonts w:cstheme="minorHAnsi"/>
          <w:sz w:val="24"/>
          <w:szCs w:val="24"/>
        </w:rPr>
        <w:fldChar w:fldCharType="end"/>
      </w:r>
      <w:r w:rsidR="00092CDC" w:rsidRPr="00AB258D">
        <w:rPr>
          <w:rFonts w:cstheme="minorHAnsi"/>
          <w:sz w:val="24"/>
          <w:szCs w:val="24"/>
        </w:rPr>
        <w:fldChar w:fldCharType="begin" w:fldLock="1"/>
      </w:r>
      <w:r w:rsidR="00EE796F" w:rsidRPr="00AB258D">
        <w:rPr>
          <w:rFonts w:cstheme="minorHAnsi"/>
          <w:sz w:val="24"/>
          <w:szCs w:val="24"/>
        </w:rPr>
        <w:instrText>ADDIN CSL_CITATION {"citationItems":[{"id":"ITEM-1","itemData":{"author":[{"dropping-particle":"","family":"Ventura","given":"D","non-dropping-particle":"","parse-names":false,"suffix":""},{"dropping-particle":"","family":"Koloane","given":"T","non-dropping-particle":"","parse-names":false,"suffix":""}],"id":"ITEM-1","issue":"March","issued":{"date-parts":[["2005"]]},"publisher-place":"Zwijndrecht, The Netherlands","title":"Laboratory evaluation of PowerCem blend to determine its suitability as a road building material stabilizer","type":"report"},"uris":["http://www.mendeley.com/documents/?uuid=1599de38-2622-43fa-a022-59fc3821d541"]}],"mendeley":{"formattedCitation":"[36]","plainTextFormattedCitation":"[36]","previouslyFormattedCitation":"[36]"},"properties":{"noteIndex":0},"schema":"https://github.com/citation-style-language/schema/raw/master/csl-citation.json"}</w:instrText>
      </w:r>
      <w:r w:rsidR="00092CDC" w:rsidRPr="00AB258D">
        <w:rPr>
          <w:rFonts w:cstheme="minorHAnsi"/>
          <w:sz w:val="24"/>
          <w:szCs w:val="24"/>
        </w:rPr>
        <w:fldChar w:fldCharType="separate"/>
      </w:r>
      <w:r w:rsidR="00B42361" w:rsidRPr="00AB258D">
        <w:rPr>
          <w:rFonts w:cstheme="minorHAnsi"/>
          <w:noProof/>
          <w:sz w:val="24"/>
          <w:szCs w:val="24"/>
        </w:rPr>
        <w:t>[36]</w:t>
      </w:r>
      <w:r w:rsidR="00092CDC" w:rsidRPr="00AB258D">
        <w:rPr>
          <w:rFonts w:cstheme="minorHAnsi"/>
          <w:sz w:val="24"/>
          <w:szCs w:val="24"/>
        </w:rPr>
        <w:fldChar w:fldCharType="end"/>
      </w:r>
      <w:r w:rsidR="00896E5F" w:rsidRPr="00AB258D">
        <w:rPr>
          <w:rFonts w:cstheme="minorHAnsi"/>
          <w:sz w:val="24"/>
          <w:szCs w:val="24"/>
        </w:rPr>
        <w:t xml:space="preserve"> examined the addition 1% of RC to cement replaced by fly ash in both fine-grained san</w:t>
      </w:r>
      <w:r w:rsidR="00237B02" w:rsidRPr="00AB258D">
        <w:rPr>
          <w:rFonts w:cstheme="minorHAnsi"/>
          <w:sz w:val="24"/>
          <w:szCs w:val="24"/>
        </w:rPr>
        <w:t xml:space="preserve">d and fine-grained clayey sand. </w:t>
      </w:r>
      <w:r w:rsidR="00896E5F" w:rsidRPr="00AB258D">
        <w:rPr>
          <w:rFonts w:cstheme="minorHAnsi"/>
          <w:sz w:val="24"/>
          <w:szCs w:val="24"/>
        </w:rPr>
        <w:t>The</w:t>
      </w:r>
      <w:r w:rsidR="005D79FC" w:rsidRPr="00AB258D">
        <w:rPr>
          <w:rFonts w:cstheme="minorHAnsi"/>
          <w:sz w:val="24"/>
          <w:szCs w:val="24"/>
        </w:rPr>
        <w:t xml:space="preserve"> investigated engineering properties such as the </w:t>
      </w:r>
      <w:r w:rsidR="00896E5F" w:rsidRPr="00AB258D">
        <w:rPr>
          <w:rFonts w:cstheme="minorHAnsi"/>
          <w:sz w:val="24"/>
          <w:szCs w:val="24"/>
        </w:rPr>
        <w:t>California bearing rati</w:t>
      </w:r>
      <w:r w:rsidR="00152A28" w:rsidRPr="00AB258D">
        <w:rPr>
          <w:rFonts w:cstheme="minorHAnsi"/>
          <w:sz w:val="24"/>
          <w:szCs w:val="24"/>
        </w:rPr>
        <w:t xml:space="preserve">o, </w:t>
      </w:r>
      <w:r w:rsidR="00AE55F8" w:rsidRPr="00AB258D">
        <w:rPr>
          <w:rFonts w:cstheme="minorHAnsi"/>
          <w:sz w:val="24"/>
          <w:szCs w:val="24"/>
        </w:rPr>
        <w:t>UCT</w:t>
      </w:r>
      <w:r w:rsidR="00152A28" w:rsidRPr="00AB258D">
        <w:rPr>
          <w:rFonts w:cstheme="minorHAnsi"/>
          <w:sz w:val="24"/>
          <w:szCs w:val="24"/>
        </w:rPr>
        <w:t xml:space="preserve">, durability </w:t>
      </w:r>
      <w:r w:rsidR="00896E5F" w:rsidRPr="00AB258D">
        <w:rPr>
          <w:rFonts w:cstheme="minorHAnsi"/>
          <w:sz w:val="24"/>
          <w:szCs w:val="24"/>
        </w:rPr>
        <w:t xml:space="preserve">and flexibility/stiffness) showed satisfactory performance thus complying with the standards used. </w:t>
      </w:r>
      <w:r w:rsidR="000701F3" w:rsidRPr="00AB258D">
        <w:rPr>
          <w:rFonts w:cstheme="minorHAnsi"/>
          <w:sz w:val="24"/>
          <w:szCs w:val="24"/>
        </w:rPr>
        <w:t>T</w:t>
      </w:r>
      <w:r w:rsidR="00A836C3" w:rsidRPr="00AB258D">
        <w:rPr>
          <w:rFonts w:cstheme="minorHAnsi"/>
          <w:sz w:val="24"/>
          <w:szCs w:val="24"/>
        </w:rPr>
        <w:t xml:space="preserve">he strength and free swell index of a </w:t>
      </w:r>
      <w:r w:rsidR="000701F3" w:rsidRPr="00AB258D">
        <w:rPr>
          <w:rFonts w:cstheme="minorHAnsi"/>
          <w:sz w:val="24"/>
          <w:szCs w:val="24"/>
        </w:rPr>
        <w:t>cement-RC and cement-RC-lime-</w:t>
      </w:r>
      <w:r w:rsidR="00A836C3" w:rsidRPr="00AB258D">
        <w:rPr>
          <w:rFonts w:cstheme="minorHAnsi"/>
          <w:sz w:val="24"/>
          <w:szCs w:val="24"/>
        </w:rPr>
        <w:t xml:space="preserve">GGBS </w:t>
      </w:r>
      <w:r w:rsidR="000701F3" w:rsidRPr="00AB258D">
        <w:rPr>
          <w:rFonts w:cstheme="minorHAnsi"/>
          <w:sz w:val="24"/>
          <w:szCs w:val="24"/>
        </w:rPr>
        <w:t xml:space="preserve">stabilised soils was studied by </w:t>
      </w:r>
      <w:r w:rsidR="000701F3" w:rsidRPr="00AB258D">
        <w:rPr>
          <w:rFonts w:cstheme="minorHAnsi"/>
          <w:noProof/>
          <w:sz w:val="24"/>
          <w:szCs w:val="24"/>
        </w:rPr>
        <w:t>Ouf</w:t>
      </w:r>
      <w:r w:rsidR="00092CDC" w:rsidRPr="00AB258D">
        <w:rPr>
          <w:rFonts w:cstheme="minorHAnsi"/>
          <w:noProof/>
          <w:sz w:val="24"/>
          <w:szCs w:val="24"/>
        </w:rPr>
        <w:t xml:space="preserve"> </w:t>
      </w:r>
      <w:r w:rsidR="00092CDC" w:rsidRPr="00AB258D">
        <w:rPr>
          <w:rFonts w:cstheme="minorHAnsi"/>
          <w:noProof/>
          <w:sz w:val="24"/>
          <w:szCs w:val="24"/>
        </w:rPr>
        <w:fldChar w:fldCharType="begin" w:fldLock="1"/>
      </w:r>
      <w:r w:rsidR="00EE796F" w:rsidRPr="00AB258D">
        <w:rPr>
          <w:rFonts w:cstheme="minorHAnsi"/>
          <w:noProof/>
          <w:sz w:val="24"/>
          <w:szCs w:val="24"/>
        </w:rPr>
        <w:instrText>ADDIN CSL_CITATION {"citationItems":[{"id":"ITEM-1","itemData":{"ISSN":"10978135","abstract":"The possibility to use a large amount of waste materials as a replacement for the imported virgin material in road construction has been recognized. RoadCem is a soil stabiliser provides cheap and more environmentally friendly source of materials for road construction to use with in-situ material. This results in reduction in the required thickness of the pavement consequently reducing costs and contributes to the solution of declining resource of imported materials. An extensive study was carried out on a sample of Egyptian soil. RoadCem as a primary stabiliser with ground granulated blast furnace slag (GGBS), lime and ordinary Portland cement (OPC) were employed. The results revealed that the unconfined compressive strength (UCS) and the modulus of elasticity (E40) of the test soil increased while the free swelling percent (FSP) decreased with an increase in the total stabiliser and the curing period.","author":[{"dropping-particle":"","family":"Ouf","given":"M. S.","non-dropping-particle":"","parse-names":false,"suffix":""}],"container-title":"Life Science Journal","id":"ITEM-1","issue":"1","issued":{"date-parts":[["2012"]]},"page":"554-560","title":"Effect of using pozzolanic materials on the properties of Egyptian soils","type":"article-journal","volume":"9"},"uris":["http://www.mendeley.com/documents/?uuid=0c499954-d1f7-4764-a72e-7634f5e84568"]}],"mendeley":{"formattedCitation":"[42]","plainTextFormattedCitation":"[42]","previouslyFormattedCitation":"[42]"},"properties":{"noteIndex":0},"schema":"https://github.com/citation-style-language/schema/raw/master/csl-citation.json"}</w:instrText>
      </w:r>
      <w:r w:rsidR="00092CDC" w:rsidRPr="00AB258D">
        <w:rPr>
          <w:rFonts w:cstheme="minorHAnsi"/>
          <w:noProof/>
          <w:sz w:val="24"/>
          <w:szCs w:val="24"/>
        </w:rPr>
        <w:fldChar w:fldCharType="separate"/>
      </w:r>
      <w:r w:rsidR="00B42361" w:rsidRPr="00AB258D">
        <w:rPr>
          <w:rFonts w:cstheme="minorHAnsi"/>
          <w:noProof/>
          <w:sz w:val="24"/>
          <w:szCs w:val="24"/>
        </w:rPr>
        <w:t>[42]</w:t>
      </w:r>
      <w:r w:rsidR="00092CDC" w:rsidRPr="00AB258D">
        <w:rPr>
          <w:rFonts w:cstheme="minorHAnsi"/>
          <w:noProof/>
          <w:sz w:val="24"/>
          <w:szCs w:val="24"/>
        </w:rPr>
        <w:fldChar w:fldCharType="end"/>
      </w:r>
      <w:r w:rsidR="000701F3" w:rsidRPr="00AB258D">
        <w:rPr>
          <w:rFonts w:cstheme="minorHAnsi"/>
          <w:sz w:val="24"/>
          <w:szCs w:val="24"/>
        </w:rPr>
        <w:t xml:space="preserve">, and it was stated </w:t>
      </w:r>
      <w:r w:rsidR="00A836C3" w:rsidRPr="00AB258D">
        <w:rPr>
          <w:rFonts w:cstheme="minorHAnsi"/>
          <w:sz w:val="24"/>
          <w:szCs w:val="24"/>
        </w:rPr>
        <w:t xml:space="preserve">that while </w:t>
      </w:r>
      <w:r w:rsidR="00A836C3" w:rsidRPr="00AB258D">
        <w:rPr>
          <w:rFonts w:cstheme="minorHAnsi"/>
          <w:sz w:val="24"/>
          <w:szCs w:val="24"/>
        </w:rPr>
        <w:lastRenderedPageBreak/>
        <w:t xml:space="preserve">the </w:t>
      </w:r>
      <w:r w:rsidR="00AE55F8" w:rsidRPr="00AB258D">
        <w:rPr>
          <w:rFonts w:cstheme="minorHAnsi"/>
          <w:sz w:val="24"/>
          <w:szCs w:val="24"/>
        </w:rPr>
        <w:t>UCT</w:t>
      </w:r>
      <w:r w:rsidR="00A836C3" w:rsidRPr="00AB258D">
        <w:rPr>
          <w:rFonts w:cstheme="minorHAnsi"/>
          <w:sz w:val="24"/>
          <w:szCs w:val="24"/>
        </w:rPr>
        <w:t xml:space="preserve"> and </w:t>
      </w:r>
      <w:proofErr w:type="spellStart"/>
      <w:r w:rsidR="00A836C3" w:rsidRPr="00AB258D">
        <w:rPr>
          <w:rFonts w:cstheme="minorHAnsi"/>
          <w:sz w:val="24"/>
          <w:szCs w:val="24"/>
        </w:rPr>
        <w:t>E</w:t>
      </w:r>
      <w:r w:rsidR="00A836C3" w:rsidRPr="00AB258D">
        <w:rPr>
          <w:rFonts w:cstheme="minorHAnsi"/>
          <w:sz w:val="24"/>
          <w:szCs w:val="24"/>
          <w:vertAlign w:val="subscript"/>
        </w:rPr>
        <w:t>mod</w:t>
      </w:r>
      <w:proofErr w:type="spellEnd"/>
      <w:r w:rsidR="00A836C3" w:rsidRPr="00AB258D">
        <w:rPr>
          <w:rFonts w:cstheme="minorHAnsi"/>
          <w:sz w:val="24"/>
          <w:szCs w:val="24"/>
        </w:rPr>
        <w:t xml:space="preserve"> increased, the free swelling index reduced with an increase in the total binder content. </w:t>
      </w:r>
    </w:p>
    <w:p w14:paraId="533CAD91" w14:textId="77777777" w:rsidR="005E0832" w:rsidRPr="00AB258D" w:rsidRDefault="00237B02" w:rsidP="00872346">
      <w:pPr>
        <w:tabs>
          <w:tab w:val="left" w:pos="930"/>
        </w:tabs>
        <w:spacing w:line="240" w:lineRule="auto"/>
        <w:jc w:val="both"/>
        <w:rPr>
          <w:rFonts w:cstheme="minorHAnsi"/>
          <w:sz w:val="24"/>
          <w:szCs w:val="24"/>
          <w:shd w:val="clear" w:color="auto" w:fill="FFFFFF"/>
        </w:rPr>
      </w:pPr>
      <w:r w:rsidRPr="00AB258D">
        <w:rPr>
          <w:rFonts w:cstheme="minorHAnsi"/>
          <w:sz w:val="24"/>
          <w:szCs w:val="24"/>
          <w:shd w:val="clear" w:color="auto" w:fill="FFFFFF"/>
        </w:rPr>
        <w:t>Undoubtedly, the use of cement and other calcium</w:t>
      </w:r>
      <w:r w:rsidR="00BC1A73" w:rsidRPr="00AB258D">
        <w:rPr>
          <w:rFonts w:cstheme="minorHAnsi"/>
          <w:sz w:val="24"/>
          <w:szCs w:val="24"/>
          <w:shd w:val="clear" w:color="auto" w:fill="FFFFFF"/>
        </w:rPr>
        <w:t>-</w:t>
      </w:r>
      <w:r w:rsidRPr="00AB258D">
        <w:rPr>
          <w:rFonts w:cstheme="minorHAnsi"/>
          <w:sz w:val="24"/>
          <w:szCs w:val="24"/>
          <w:shd w:val="clear" w:color="auto" w:fill="FFFFFF"/>
        </w:rPr>
        <w:t xml:space="preserve">based additives for soil stabilisation of similar soil types have been studied widely in literature but the </w:t>
      </w:r>
      <w:r w:rsidR="008921E5" w:rsidRPr="00AB258D">
        <w:rPr>
          <w:rFonts w:eastAsia="Times New Roman" w:cstheme="minorHAnsi"/>
          <w:sz w:val="24"/>
          <w:szCs w:val="24"/>
        </w:rPr>
        <w:t xml:space="preserve">use of RC as a </w:t>
      </w:r>
      <w:r w:rsidRPr="00AB258D">
        <w:rPr>
          <w:rFonts w:eastAsia="Times New Roman" w:cstheme="minorHAnsi"/>
          <w:sz w:val="24"/>
          <w:szCs w:val="24"/>
        </w:rPr>
        <w:t xml:space="preserve">partial replacement of cement to ascertain the effect of RC on the engineering properties of stabilised soils have received limited attention in spite of its potential merits. </w:t>
      </w:r>
      <w:r w:rsidR="008921E5" w:rsidRPr="00AB258D">
        <w:rPr>
          <w:rFonts w:cstheme="minorHAnsi"/>
          <w:sz w:val="24"/>
          <w:szCs w:val="24"/>
          <w:shd w:val="clear" w:color="auto" w:fill="FFFFFF"/>
        </w:rPr>
        <w:t>Therefore, with concerns about the environmental impact of the built environment becoming increasingly urgent</w:t>
      </w:r>
      <w:r w:rsidR="008921E5" w:rsidRPr="00AB258D">
        <w:rPr>
          <w:rFonts w:cstheme="minorHAnsi"/>
          <w:sz w:val="24"/>
          <w:szCs w:val="24"/>
        </w:rPr>
        <w:t>. T</w:t>
      </w:r>
      <w:r w:rsidR="000B3E52" w:rsidRPr="00AB258D">
        <w:rPr>
          <w:rFonts w:cstheme="minorHAnsi"/>
          <w:sz w:val="24"/>
          <w:szCs w:val="24"/>
        </w:rPr>
        <w:t>his research proposes that the properties of stabilised soils achieved by the partial replacement of cement with industrial by-products could be further enhanced by incorporating minimal quantities of a nanotechnology-based</w:t>
      </w:r>
      <w:r w:rsidR="008921E5" w:rsidRPr="00AB258D">
        <w:rPr>
          <w:rFonts w:cstheme="minorHAnsi"/>
          <w:sz w:val="24"/>
          <w:szCs w:val="24"/>
        </w:rPr>
        <w:t xml:space="preserve"> additive called “</w:t>
      </w:r>
      <w:r w:rsidR="00A430CD" w:rsidRPr="00AB258D">
        <w:rPr>
          <w:rFonts w:cstheme="minorHAnsi"/>
          <w:sz w:val="24"/>
          <w:szCs w:val="24"/>
        </w:rPr>
        <w:t>RC</w:t>
      </w:r>
      <w:r w:rsidR="008921E5" w:rsidRPr="00AB258D">
        <w:rPr>
          <w:rFonts w:cstheme="minorHAnsi"/>
          <w:sz w:val="24"/>
          <w:szCs w:val="24"/>
        </w:rPr>
        <w:t xml:space="preserve"> (RC)”. </w:t>
      </w:r>
      <w:r w:rsidR="008921E5" w:rsidRPr="00AB258D">
        <w:rPr>
          <w:rFonts w:eastAsia="Times New Roman" w:cstheme="minorHAnsi"/>
          <w:sz w:val="24"/>
          <w:szCs w:val="24"/>
        </w:rPr>
        <w:t>The</w:t>
      </w:r>
      <w:r w:rsidR="003E7CA8" w:rsidRPr="00AB258D">
        <w:rPr>
          <w:rFonts w:eastAsia="Times New Roman" w:cstheme="minorHAnsi"/>
          <w:sz w:val="24"/>
          <w:szCs w:val="24"/>
        </w:rPr>
        <w:t>refore,</w:t>
      </w:r>
      <w:r w:rsidR="008921E5" w:rsidRPr="00AB258D">
        <w:rPr>
          <w:rFonts w:eastAsia="Times New Roman" w:cstheme="minorHAnsi"/>
          <w:sz w:val="24"/>
          <w:szCs w:val="24"/>
        </w:rPr>
        <w:t xml:space="preserve"> </w:t>
      </w:r>
      <w:r w:rsidR="003E7CA8" w:rsidRPr="00AB258D">
        <w:rPr>
          <w:rFonts w:eastAsia="Times New Roman" w:cstheme="minorHAnsi"/>
          <w:sz w:val="24"/>
          <w:szCs w:val="24"/>
        </w:rPr>
        <w:t xml:space="preserve">the present study has investigated into the </w:t>
      </w:r>
      <w:r w:rsidR="008921E5" w:rsidRPr="00AB258D">
        <w:rPr>
          <w:rFonts w:eastAsia="Times New Roman" w:cstheme="minorHAnsi"/>
          <w:sz w:val="24"/>
          <w:szCs w:val="24"/>
        </w:rPr>
        <w:t xml:space="preserve">application of RC blended with GGBS, PFA and less than 4% cement content with the aim of expanding the understanding of the application of RC in combination with </w:t>
      </w:r>
      <w:proofErr w:type="spellStart"/>
      <w:r w:rsidR="008921E5" w:rsidRPr="00AB258D">
        <w:rPr>
          <w:rFonts w:eastAsia="Times New Roman" w:cstheme="minorHAnsi"/>
          <w:sz w:val="24"/>
          <w:szCs w:val="24"/>
        </w:rPr>
        <w:t>pozzolanic</w:t>
      </w:r>
      <w:proofErr w:type="spellEnd"/>
      <w:r w:rsidR="008921E5" w:rsidRPr="00AB258D">
        <w:rPr>
          <w:rFonts w:eastAsia="Times New Roman" w:cstheme="minorHAnsi"/>
          <w:sz w:val="24"/>
          <w:szCs w:val="24"/>
        </w:rPr>
        <w:t xml:space="preserve"> by-product materials.</w:t>
      </w:r>
      <w:r w:rsidR="008921E5" w:rsidRPr="00AB258D">
        <w:rPr>
          <w:rFonts w:cstheme="minorHAnsi"/>
          <w:sz w:val="24"/>
          <w:szCs w:val="24"/>
          <w:shd w:val="clear" w:color="auto" w:fill="FFFFFF"/>
        </w:rPr>
        <w:t xml:space="preserve"> The</w:t>
      </w:r>
      <w:r w:rsidR="00B44E7D" w:rsidRPr="00AB258D">
        <w:rPr>
          <w:rFonts w:cstheme="minorHAnsi"/>
          <w:sz w:val="24"/>
          <w:szCs w:val="24"/>
          <w:shd w:val="clear" w:color="auto" w:fill="FFFFFF"/>
        </w:rPr>
        <w:t xml:space="preserve"> originality of this work lies in the study of the physical and microstructural characteristics of</w:t>
      </w:r>
      <w:r w:rsidR="007E0C14" w:rsidRPr="00AB258D">
        <w:rPr>
          <w:rFonts w:cstheme="minorHAnsi"/>
          <w:sz w:val="24"/>
          <w:szCs w:val="24"/>
          <w:shd w:val="clear" w:color="auto" w:fill="FFFFFF"/>
        </w:rPr>
        <w:t xml:space="preserve"> a medium swelling</w:t>
      </w:r>
      <w:r w:rsidR="00B44E7D" w:rsidRPr="00AB258D">
        <w:rPr>
          <w:rFonts w:cstheme="minorHAnsi"/>
          <w:sz w:val="24"/>
          <w:szCs w:val="24"/>
          <w:shd w:val="clear" w:color="auto" w:fill="FFFFFF"/>
        </w:rPr>
        <w:t xml:space="preserve"> kaolin clay and </w:t>
      </w:r>
      <w:r w:rsidR="007E0C14" w:rsidRPr="00AB258D">
        <w:rPr>
          <w:rFonts w:cstheme="minorHAnsi"/>
          <w:sz w:val="24"/>
          <w:szCs w:val="24"/>
          <w:shd w:val="clear" w:color="auto" w:fill="FFFFFF"/>
        </w:rPr>
        <w:t xml:space="preserve">a very high swelling </w:t>
      </w:r>
      <w:r w:rsidR="00B44E7D" w:rsidRPr="00AB258D">
        <w:rPr>
          <w:rFonts w:cstheme="minorHAnsi"/>
          <w:sz w:val="24"/>
          <w:szCs w:val="24"/>
          <w:shd w:val="clear" w:color="auto" w:fill="FFFFFF"/>
        </w:rPr>
        <w:t xml:space="preserve">kaolin-bentonite mixtures treated with RC in </w:t>
      </w:r>
      <w:r w:rsidR="00C35304" w:rsidRPr="00AB258D">
        <w:rPr>
          <w:rFonts w:cstheme="minorHAnsi"/>
          <w:sz w:val="24"/>
          <w:szCs w:val="24"/>
          <w:shd w:val="clear" w:color="auto" w:fill="FFFFFF"/>
        </w:rPr>
        <w:t>combination wi</w:t>
      </w:r>
      <w:r w:rsidR="00B44E7D" w:rsidRPr="00AB258D">
        <w:rPr>
          <w:rFonts w:cstheme="minorHAnsi"/>
          <w:sz w:val="24"/>
          <w:szCs w:val="24"/>
          <w:shd w:val="clear" w:color="auto" w:fill="FFFFFF"/>
        </w:rPr>
        <w:t>th GGBS and PFA</w:t>
      </w:r>
      <w:r w:rsidR="004B06FC" w:rsidRPr="00AB258D">
        <w:rPr>
          <w:rFonts w:cstheme="minorHAnsi"/>
          <w:sz w:val="24"/>
          <w:szCs w:val="24"/>
          <w:shd w:val="clear" w:color="auto" w:fill="FFFFFF"/>
        </w:rPr>
        <w:t xml:space="preserve">, </w:t>
      </w:r>
      <w:r w:rsidR="003741B2" w:rsidRPr="00AB258D">
        <w:rPr>
          <w:rFonts w:cstheme="minorHAnsi"/>
          <w:sz w:val="24"/>
          <w:szCs w:val="24"/>
        </w:rPr>
        <w:t xml:space="preserve">to </w:t>
      </w:r>
      <w:r w:rsidR="00F457F7" w:rsidRPr="00AB258D">
        <w:rPr>
          <w:rFonts w:cstheme="minorHAnsi"/>
          <w:sz w:val="24"/>
          <w:szCs w:val="24"/>
        </w:rPr>
        <w:t>contribute to the understanding of sustainable and environmentally friendly</w:t>
      </w:r>
      <w:r w:rsidR="003741B2" w:rsidRPr="00AB258D">
        <w:rPr>
          <w:rFonts w:cstheme="minorHAnsi"/>
          <w:sz w:val="24"/>
          <w:szCs w:val="24"/>
        </w:rPr>
        <w:t xml:space="preserve"> approach to soil stabilisation.</w:t>
      </w:r>
    </w:p>
    <w:p w14:paraId="59DB68F1" w14:textId="77777777" w:rsidR="0069731E" w:rsidRPr="00AB258D" w:rsidRDefault="0069731E" w:rsidP="00872346">
      <w:pPr>
        <w:pStyle w:val="NoSpacing"/>
        <w:rPr>
          <w:rFonts w:cstheme="minorHAnsi"/>
        </w:rPr>
      </w:pPr>
    </w:p>
    <w:p w14:paraId="5155DA83" w14:textId="77777777" w:rsidR="00FB71BE" w:rsidRPr="00AB258D" w:rsidRDefault="00737185" w:rsidP="00737185">
      <w:pPr>
        <w:tabs>
          <w:tab w:val="left" w:pos="930"/>
        </w:tabs>
        <w:jc w:val="both"/>
        <w:rPr>
          <w:rFonts w:cstheme="minorHAnsi"/>
          <w:sz w:val="24"/>
          <w:szCs w:val="24"/>
        </w:rPr>
      </w:pPr>
      <w:r w:rsidRPr="00AB258D">
        <w:rPr>
          <w:rFonts w:cstheme="minorHAnsi"/>
          <w:b/>
          <w:sz w:val="28"/>
          <w:szCs w:val="28"/>
        </w:rPr>
        <w:t xml:space="preserve">2. </w:t>
      </w:r>
      <w:r w:rsidR="000A0F6B" w:rsidRPr="00AB258D">
        <w:rPr>
          <w:rFonts w:cstheme="minorHAnsi"/>
          <w:b/>
          <w:sz w:val="28"/>
          <w:szCs w:val="28"/>
        </w:rPr>
        <w:t>Materials and methods</w:t>
      </w:r>
    </w:p>
    <w:p w14:paraId="65ACC22F" w14:textId="77777777" w:rsidR="00FB71BE" w:rsidRPr="00AB258D" w:rsidRDefault="000A0F6B" w:rsidP="00872346">
      <w:pPr>
        <w:tabs>
          <w:tab w:val="left" w:pos="930"/>
        </w:tabs>
        <w:spacing w:line="240" w:lineRule="auto"/>
        <w:jc w:val="both"/>
        <w:rPr>
          <w:rFonts w:cstheme="minorHAnsi"/>
          <w:sz w:val="24"/>
          <w:szCs w:val="24"/>
        </w:rPr>
      </w:pPr>
      <w:r w:rsidRPr="00AB258D">
        <w:rPr>
          <w:rFonts w:cstheme="minorHAnsi"/>
          <w:sz w:val="24"/>
        </w:rPr>
        <w:t>T</w:t>
      </w:r>
      <w:r w:rsidR="00572621" w:rsidRPr="00AB258D">
        <w:rPr>
          <w:rFonts w:cstheme="minorHAnsi"/>
          <w:sz w:val="24"/>
        </w:rPr>
        <w:t xml:space="preserve">he materials used in this study consisted of </w:t>
      </w:r>
      <w:r w:rsidR="00A430CD" w:rsidRPr="00AB258D">
        <w:rPr>
          <w:rFonts w:cstheme="minorHAnsi"/>
          <w:sz w:val="24"/>
        </w:rPr>
        <w:t>RC</w:t>
      </w:r>
      <w:r w:rsidR="009F0451" w:rsidRPr="00AB258D">
        <w:rPr>
          <w:rFonts w:cstheme="minorHAnsi"/>
          <w:sz w:val="24"/>
        </w:rPr>
        <w:t xml:space="preserve">, cement, </w:t>
      </w:r>
      <w:r w:rsidR="00A45D8F" w:rsidRPr="00AB258D">
        <w:rPr>
          <w:rFonts w:eastAsia="Times New Roman" w:cstheme="minorHAnsi"/>
          <w:sz w:val="24"/>
        </w:rPr>
        <w:t>ground granulated blast furnace slag (GGBS)</w:t>
      </w:r>
      <w:r w:rsidR="00A45D8F" w:rsidRPr="00AB258D">
        <w:rPr>
          <w:rFonts w:cstheme="minorHAnsi"/>
          <w:sz w:val="24"/>
        </w:rPr>
        <w:t>,</w:t>
      </w:r>
      <w:r w:rsidR="00A45D8F" w:rsidRPr="00AB258D">
        <w:rPr>
          <w:rFonts w:eastAsia="Times New Roman" w:cstheme="minorHAnsi"/>
          <w:sz w:val="24"/>
        </w:rPr>
        <w:t xml:space="preserve"> pulverised fuel ash (PFA)</w:t>
      </w:r>
      <w:r w:rsidR="009F0451" w:rsidRPr="00AB258D">
        <w:rPr>
          <w:rFonts w:cstheme="minorHAnsi"/>
          <w:sz w:val="24"/>
        </w:rPr>
        <w:t xml:space="preserve"> and </w:t>
      </w:r>
      <w:r w:rsidR="00BC5258" w:rsidRPr="00AB258D">
        <w:rPr>
          <w:rFonts w:cstheme="minorHAnsi"/>
          <w:sz w:val="24"/>
        </w:rPr>
        <w:t xml:space="preserve">Kaolinite clay (Soil I) and </w:t>
      </w:r>
      <w:r w:rsidR="00EB23DE" w:rsidRPr="00AB258D">
        <w:rPr>
          <w:rFonts w:cstheme="minorHAnsi"/>
          <w:sz w:val="24"/>
        </w:rPr>
        <w:t>a</w:t>
      </w:r>
      <w:r w:rsidR="00115EB6" w:rsidRPr="00AB258D">
        <w:rPr>
          <w:rFonts w:cstheme="minorHAnsi"/>
          <w:sz w:val="24"/>
        </w:rPr>
        <w:t xml:space="preserve"> mixture of kaolinite-bentonite </w:t>
      </w:r>
      <w:r w:rsidR="00EB23DE" w:rsidRPr="00AB258D">
        <w:rPr>
          <w:rFonts w:cstheme="minorHAnsi"/>
          <w:sz w:val="24"/>
        </w:rPr>
        <w:t>consisting of 25% kaolinite and 75% bentonite</w:t>
      </w:r>
      <w:r w:rsidR="003718F3" w:rsidRPr="00AB258D">
        <w:rPr>
          <w:rFonts w:cstheme="minorHAnsi"/>
          <w:sz w:val="24"/>
        </w:rPr>
        <w:t xml:space="preserve"> </w:t>
      </w:r>
      <w:r w:rsidR="00BC5258" w:rsidRPr="00AB258D">
        <w:rPr>
          <w:rFonts w:cstheme="minorHAnsi"/>
          <w:sz w:val="24"/>
        </w:rPr>
        <w:t>(Soil II</w:t>
      </w:r>
      <w:r w:rsidR="00742150" w:rsidRPr="00AB258D">
        <w:rPr>
          <w:rFonts w:cstheme="minorHAnsi"/>
          <w:sz w:val="24"/>
        </w:rPr>
        <w:t>)</w:t>
      </w:r>
      <w:r w:rsidR="001C47C9" w:rsidRPr="00AB258D">
        <w:rPr>
          <w:rFonts w:cstheme="minorHAnsi"/>
          <w:sz w:val="24"/>
        </w:rPr>
        <w:t xml:space="preserve">. </w:t>
      </w:r>
      <w:r w:rsidR="00EA1D7B" w:rsidRPr="00AB258D">
        <w:rPr>
          <w:rFonts w:cstheme="minorHAnsi"/>
          <w:sz w:val="24"/>
        </w:rPr>
        <w:t>The cement (CEM I) used</w:t>
      </w:r>
      <w:r w:rsidR="00A45D8F" w:rsidRPr="00AB258D">
        <w:rPr>
          <w:rFonts w:cstheme="minorHAnsi"/>
          <w:sz w:val="24"/>
        </w:rPr>
        <w:t xml:space="preserve"> </w:t>
      </w:r>
      <w:r w:rsidRPr="00AB258D">
        <w:rPr>
          <w:rFonts w:cstheme="minorHAnsi"/>
          <w:sz w:val="24"/>
        </w:rPr>
        <w:t>was sourced from the Hanson Heidelberg group in the UK</w:t>
      </w:r>
      <w:r w:rsidR="00742150" w:rsidRPr="00AB258D">
        <w:rPr>
          <w:rFonts w:cstheme="minorHAnsi"/>
          <w:sz w:val="24"/>
        </w:rPr>
        <w:t xml:space="preserve"> and complies </w:t>
      </w:r>
      <w:r w:rsidRPr="00AB258D">
        <w:rPr>
          <w:rFonts w:cstheme="minorHAnsi"/>
          <w:sz w:val="24"/>
        </w:rPr>
        <w:t xml:space="preserve">with the requirements of BS EN 197-1 CEM I Portland cement </w:t>
      </w:r>
      <w:r w:rsidR="00EA1D7B" w:rsidRPr="00AB258D">
        <w:rPr>
          <w:rFonts w:cstheme="minorHAnsi"/>
          <w:sz w:val="24"/>
        </w:rPr>
        <w:t xml:space="preserve">with a strength class of 52.5N. </w:t>
      </w:r>
      <w:r w:rsidR="00A45D8F" w:rsidRPr="00AB258D">
        <w:rPr>
          <w:rFonts w:eastAsia="Times New Roman" w:cstheme="minorHAnsi"/>
          <w:sz w:val="24"/>
        </w:rPr>
        <w:t xml:space="preserve">The GGBS used was produced and tested following the methods outlined in BS EN 196-2:2013 by the Hanson Heidelberg cement group UK. The PFA </w:t>
      </w:r>
      <w:r w:rsidR="009535CC" w:rsidRPr="00AB258D">
        <w:rPr>
          <w:rFonts w:eastAsia="Times New Roman" w:cstheme="minorHAnsi"/>
          <w:sz w:val="24"/>
        </w:rPr>
        <w:t>was sourced from CEMEX Cement UK and complies</w:t>
      </w:r>
      <w:r w:rsidR="00A45D8F" w:rsidRPr="00AB258D">
        <w:rPr>
          <w:rFonts w:eastAsia="Times New Roman" w:cstheme="minorHAnsi"/>
          <w:sz w:val="24"/>
        </w:rPr>
        <w:t xml:space="preserve"> with the standard</w:t>
      </w:r>
      <w:r w:rsidR="009535CC" w:rsidRPr="00AB258D">
        <w:rPr>
          <w:rFonts w:eastAsia="Times New Roman" w:cstheme="minorHAnsi"/>
          <w:sz w:val="24"/>
        </w:rPr>
        <w:t xml:space="preserve"> regulations of the BS EN 450-1</w:t>
      </w:r>
      <w:r w:rsidR="0074145B" w:rsidRPr="00AB258D">
        <w:rPr>
          <w:rFonts w:eastAsia="Times New Roman" w:cstheme="minorHAnsi"/>
          <w:sz w:val="24"/>
        </w:rPr>
        <w:t xml:space="preserve"> and the RC additive was supplied by </w:t>
      </w:r>
      <w:proofErr w:type="spellStart"/>
      <w:r w:rsidR="0074145B" w:rsidRPr="00AB258D">
        <w:rPr>
          <w:rFonts w:eastAsia="Times New Roman" w:cstheme="minorHAnsi"/>
          <w:sz w:val="24"/>
        </w:rPr>
        <w:t>PowerCem</w:t>
      </w:r>
      <w:proofErr w:type="spellEnd"/>
      <w:r w:rsidR="0074145B" w:rsidRPr="00AB258D">
        <w:rPr>
          <w:rFonts w:eastAsia="Times New Roman" w:cstheme="minorHAnsi"/>
          <w:sz w:val="24"/>
        </w:rPr>
        <w:t xml:space="preserve"> Technologies, Netherlands. </w:t>
      </w:r>
    </w:p>
    <w:p w14:paraId="2FA262D0" w14:textId="77777777" w:rsidR="00FB71BE" w:rsidRPr="00AB258D" w:rsidRDefault="00FB71BE" w:rsidP="00872346">
      <w:pPr>
        <w:pStyle w:val="NoSpacing"/>
        <w:rPr>
          <w:rFonts w:cstheme="minorHAnsi"/>
        </w:rPr>
      </w:pPr>
    </w:p>
    <w:p w14:paraId="03B581F5" w14:textId="77777777" w:rsidR="00926750" w:rsidRPr="00AB258D" w:rsidRDefault="00F91DEF" w:rsidP="00872346">
      <w:pPr>
        <w:tabs>
          <w:tab w:val="left" w:pos="930"/>
        </w:tabs>
        <w:spacing w:line="240" w:lineRule="auto"/>
        <w:jc w:val="both"/>
        <w:rPr>
          <w:rFonts w:cstheme="minorHAnsi"/>
          <w:sz w:val="28"/>
          <w:szCs w:val="28"/>
        </w:rPr>
      </w:pPr>
      <w:r w:rsidRPr="00AB258D">
        <w:rPr>
          <w:rFonts w:eastAsia="Times New Roman" w:cstheme="minorHAnsi"/>
          <w:sz w:val="28"/>
          <w:szCs w:val="28"/>
        </w:rPr>
        <w:t xml:space="preserve">2.1 </w:t>
      </w:r>
      <w:r w:rsidR="00926750" w:rsidRPr="00AB258D">
        <w:rPr>
          <w:rFonts w:eastAsia="Times New Roman" w:cstheme="minorHAnsi"/>
          <w:sz w:val="28"/>
          <w:szCs w:val="28"/>
        </w:rPr>
        <w:t xml:space="preserve">Laser diffractometric and </w:t>
      </w:r>
      <w:proofErr w:type="spellStart"/>
      <w:r w:rsidR="00926750" w:rsidRPr="00AB258D">
        <w:rPr>
          <w:rFonts w:eastAsia="Times New Roman" w:cstheme="minorHAnsi"/>
          <w:sz w:val="28"/>
          <w:szCs w:val="28"/>
        </w:rPr>
        <w:t>Atterberg</w:t>
      </w:r>
      <w:proofErr w:type="spellEnd"/>
      <w:r w:rsidR="00926750" w:rsidRPr="00AB258D">
        <w:rPr>
          <w:rFonts w:eastAsia="Times New Roman" w:cstheme="minorHAnsi"/>
          <w:sz w:val="28"/>
          <w:szCs w:val="28"/>
        </w:rPr>
        <w:t xml:space="preserve"> limit test </w:t>
      </w:r>
    </w:p>
    <w:p w14:paraId="654756EA" w14:textId="487102F6" w:rsidR="00F91DEF" w:rsidRPr="00AB258D" w:rsidRDefault="009B59AF" w:rsidP="00872346">
      <w:pPr>
        <w:spacing w:line="240" w:lineRule="auto"/>
        <w:jc w:val="both"/>
        <w:rPr>
          <w:rFonts w:eastAsia="Times New Roman" w:cstheme="minorHAnsi"/>
          <w:sz w:val="24"/>
        </w:rPr>
      </w:pPr>
      <w:r w:rsidRPr="00AB258D">
        <w:rPr>
          <w:rFonts w:cstheme="minorHAnsi"/>
          <w:sz w:val="24"/>
          <w:szCs w:val="24"/>
        </w:rPr>
        <w:t xml:space="preserve">The untreated clays were subjected to laser diffractometric and </w:t>
      </w:r>
      <w:proofErr w:type="spellStart"/>
      <w:r w:rsidRPr="00AB258D">
        <w:rPr>
          <w:rFonts w:cstheme="minorHAnsi"/>
          <w:sz w:val="24"/>
          <w:szCs w:val="24"/>
        </w:rPr>
        <w:t>Atterberg</w:t>
      </w:r>
      <w:proofErr w:type="spellEnd"/>
      <w:r w:rsidRPr="00AB258D">
        <w:rPr>
          <w:rFonts w:cstheme="minorHAnsi"/>
          <w:sz w:val="24"/>
          <w:szCs w:val="24"/>
        </w:rPr>
        <w:t xml:space="preserve"> limit test to analyse the</w:t>
      </w:r>
      <w:r w:rsidR="00EE128B" w:rsidRPr="00AB258D">
        <w:rPr>
          <w:rFonts w:cstheme="minorHAnsi"/>
          <w:sz w:val="24"/>
          <w:szCs w:val="24"/>
        </w:rPr>
        <w:t>ir</w:t>
      </w:r>
      <w:r w:rsidRPr="00AB258D">
        <w:rPr>
          <w:rFonts w:cstheme="minorHAnsi"/>
          <w:sz w:val="24"/>
          <w:szCs w:val="24"/>
        </w:rPr>
        <w:t xml:space="preserve"> grain size distribution (GSD) </w:t>
      </w:r>
      <w:r w:rsidR="00EE128B" w:rsidRPr="00AB258D">
        <w:rPr>
          <w:rFonts w:cstheme="minorHAnsi"/>
          <w:sz w:val="24"/>
          <w:szCs w:val="24"/>
        </w:rPr>
        <w:t xml:space="preserve">and geotechnical properties. The grain size distribution </w:t>
      </w:r>
      <w:r w:rsidRPr="00AB258D">
        <w:rPr>
          <w:rFonts w:cstheme="minorHAnsi"/>
          <w:sz w:val="24"/>
          <w:szCs w:val="24"/>
        </w:rPr>
        <w:t xml:space="preserve">test was performed using the Malvern </w:t>
      </w:r>
      <w:proofErr w:type="spellStart"/>
      <w:r w:rsidRPr="00AB258D">
        <w:rPr>
          <w:rFonts w:cstheme="minorHAnsi"/>
          <w:sz w:val="24"/>
          <w:szCs w:val="24"/>
        </w:rPr>
        <w:t>Mastersizer</w:t>
      </w:r>
      <w:proofErr w:type="spellEnd"/>
      <w:r w:rsidRPr="00AB258D">
        <w:rPr>
          <w:rFonts w:cstheme="minorHAnsi"/>
          <w:sz w:val="24"/>
          <w:szCs w:val="24"/>
        </w:rPr>
        <w:t xml:space="preserve"> 2000, which operates the Hydro 2000G module of sample dispersion based on laser diffraction technology for soil particle sizing, IS0 13320-1 (1999) and ASTM E1458 (1992). The </w:t>
      </w:r>
      <w:proofErr w:type="spellStart"/>
      <w:r w:rsidRPr="00AB258D">
        <w:rPr>
          <w:rFonts w:cstheme="minorHAnsi"/>
          <w:sz w:val="24"/>
          <w:szCs w:val="24"/>
        </w:rPr>
        <w:t>Mastersizer</w:t>
      </w:r>
      <w:proofErr w:type="spellEnd"/>
      <w:r w:rsidRPr="00AB258D">
        <w:rPr>
          <w:rFonts w:cstheme="minorHAnsi"/>
          <w:sz w:val="24"/>
          <w:szCs w:val="24"/>
        </w:rPr>
        <w:t xml:space="preserve"> 2000 is capable of analysing particles in the range of 0.02 </w:t>
      </w:r>
      <w:proofErr w:type="spellStart"/>
      <w:r w:rsidRPr="00AB258D">
        <w:rPr>
          <w:rFonts w:cstheme="minorHAnsi"/>
          <w:sz w:val="24"/>
          <w:szCs w:val="24"/>
        </w:rPr>
        <w:t>μm</w:t>
      </w:r>
      <w:proofErr w:type="spellEnd"/>
      <w:r w:rsidRPr="00AB258D">
        <w:rPr>
          <w:rFonts w:cstheme="minorHAnsi"/>
          <w:sz w:val="24"/>
          <w:szCs w:val="24"/>
        </w:rPr>
        <w:t xml:space="preserve"> to 2000 </w:t>
      </w:r>
      <w:proofErr w:type="spellStart"/>
      <w:r w:rsidRPr="00AB258D">
        <w:rPr>
          <w:rFonts w:cstheme="minorHAnsi"/>
          <w:sz w:val="24"/>
          <w:szCs w:val="24"/>
        </w:rPr>
        <w:t>μm</w:t>
      </w:r>
      <w:proofErr w:type="spellEnd"/>
      <w:r w:rsidR="00AD20E4" w:rsidRPr="00AB258D">
        <w:rPr>
          <w:rFonts w:cstheme="minorHAnsi"/>
          <w:sz w:val="24"/>
          <w:szCs w:val="24"/>
        </w:rPr>
        <w:t xml:space="preserve">. </w:t>
      </w:r>
      <w:r w:rsidRPr="00AB258D">
        <w:rPr>
          <w:rFonts w:cstheme="minorHAnsi"/>
          <w:sz w:val="24"/>
          <w:szCs w:val="24"/>
        </w:rPr>
        <w:t>During measurement, particles passing through a focused laser beam scatter light at an angle inversely proportional to their size</w:t>
      </w:r>
      <w:r w:rsidR="00092CDC" w:rsidRPr="00AB258D">
        <w:rPr>
          <w:rFonts w:cstheme="minorHAnsi"/>
          <w:sz w:val="24"/>
          <w:szCs w:val="24"/>
        </w:rPr>
        <w:t xml:space="preserve"> </w:t>
      </w:r>
      <w:r w:rsidR="00092CDC" w:rsidRPr="00AB258D">
        <w:rPr>
          <w:rFonts w:cstheme="minorHAnsi"/>
          <w:sz w:val="24"/>
          <w:szCs w:val="24"/>
        </w:rPr>
        <w:fldChar w:fldCharType="begin" w:fldLock="1"/>
      </w:r>
      <w:r w:rsidR="00EE796F" w:rsidRPr="00AB258D">
        <w:rPr>
          <w:rFonts w:cstheme="minorHAnsi"/>
          <w:sz w:val="24"/>
          <w:szCs w:val="24"/>
        </w:rPr>
        <w:instrText>ADDIN CSL_CITATION {"citationItems":[{"id":"ITEM-1","itemData":{"author":[{"dropping-particle":"","family":"Malvern","given":"","non-dropping-particle":"","parse-names":false,"suffix":""}],"id":"ITEM-1","issued":{"date-parts":[["2007"]]},"publisher":"Malvern Instruments Ltd.","publisher-place":"Worcestershire, United Kingdom","title":"Mastersizer 2000 essentials user manual","type":"article"},"uris":["http://www.mendeley.com/documents/?uuid=b773c1cc-4d63-41ac-9083-1e19b4b19253"]}],"mendeley":{"formattedCitation":"[43]","plainTextFormattedCitation":"[43]","previouslyFormattedCitation":"[43]"},"properties":{"noteIndex":0},"schema":"https://github.com/citation-style-language/schema/raw/master/csl-citation.json"}</w:instrText>
      </w:r>
      <w:r w:rsidR="00092CDC" w:rsidRPr="00AB258D">
        <w:rPr>
          <w:rFonts w:cstheme="minorHAnsi"/>
          <w:sz w:val="24"/>
          <w:szCs w:val="24"/>
        </w:rPr>
        <w:fldChar w:fldCharType="separate"/>
      </w:r>
      <w:r w:rsidR="00B42361" w:rsidRPr="00AB258D">
        <w:rPr>
          <w:rFonts w:cstheme="minorHAnsi"/>
          <w:noProof/>
          <w:sz w:val="24"/>
          <w:szCs w:val="24"/>
        </w:rPr>
        <w:t>[43]</w:t>
      </w:r>
      <w:r w:rsidR="00092CDC" w:rsidRPr="00AB258D">
        <w:rPr>
          <w:rFonts w:cstheme="minorHAnsi"/>
          <w:sz w:val="24"/>
          <w:szCs w:val="24"/>
        </w:rPr>
        <w:fldChar w:fldCharType="end"/>
      </w:r>
      <w:r w:rsidRPr="00AB258D">
        <w:rPr>
          <w:rFonts w:cstheme="minorHAnsi"/>
          <w:sz w:val="24"/>
          <w:szCs w:val="24"/>
        </w:rPr>
        <w:t>. A series of photosensitive detectors then measures the angular intensity of the scattered light, and following this, the map showing the scattering intensity versus angle becomes the primary source of information for calculating the particle size. In this study, the wet method of sample dispersion was used to study the particle size</w:t>
      </w:r>
      <w:r w:rsidR="00926750" w:rsidRPr="00AB258D">
        <w:rPr>
          <w:rFonts w:cstheme="minorHAnsi"/>
          <w:sz w:val="24"/>
          <w:szCs w:val="24"/>
        </w:rPr>
        <w:t xml:space="preserve"> dist</w:t>
      </w:r>
      <w:r w:rsidR="00E53771" w:rsidRPr="00AB258D">
        <w:rPr>
          <w:rFonts w:cstheme="minorHAnsi"/>
          <w:sz w:val="24"/>
          <w:szCs w:val="24"/>
        </w:rPr>
        <w:t xml:space="preserve">ribution for both kaolin clay and bentonite. </w:t>
      </w:r>
      <w:r w:rsidRPr="00AB258D">
        <w:rPr>
          <w:rFonts w:cstheme="minorHAnsi"/>
          <w:sz w:val="24"/>
          <w:szCs w:val="24"/>
        </w:rPr>
        <w:t xml:space="preserve">The soil samples in their powdered form were first dispersed into a non-reactive liquid and then fed into the system for particle size analysis. </w:t>
      </w:r>
      <w:proofErr w:type="spellStart"/>
      <w:r w:rsidR="00E53771" w:rsidRPr="00AB258D">
        <w:rPr>
          <w:rFonts w:cstheme="minorHAnsi"/>
          <w:sz w:val="24"/>
        </w:rPr>
        <w:t>Atterberg</w:t>
      </w:r>
      <w:proofErr w:type="spellEnd"/>
      <w:r w:rsidR="00E53771" w:rsidRPr="00AB258D">
        <w:rPr>
          <w:rFonts w:cstheme="minorHAnsi"/>
          <w:sz w:val="24"/>
        </w:rPr>
        <w:t xml:space="preserve"> limits test were conducted on the samples following the procedure as outlined in ASTM D 4318-17.</w:t>
      </w:r>
      <w:r w:rsidR="00B86634" w:rsidRPr="00AB258D">
        <w:rPr>
          <w:rFonts w:cstheme="minorHAnsi"/>
          <w:sz w:val="24"/>
        </w:rPr>
        <w:t xml:space="preserve"> </w:t>
      </w:r>
      <w:r w:rsidR="005A22F7" w:rsidRPr="00AB258D">
        <w:rPr>
          <w:rFonts w:cstheme="minorHAnsi"/>
          <w:sz w:val="24"/>
        </w:rPr>
        <w:t>Table 1 and Fig.</w:t>
      </w:r>
      <w:r w:rsidR="00E53771" w:rsidRPr="00AB258D">
        <w:rPr>
          <w:rFonts w:cstheme="minorHAnsi"/>
          <w:sz w:val="24"/>
        </w:rPr>
        <w:t xml:space="preserve"> 1 show </w:t>
      </w:r>
      <w:r w:rsidR="00E53771" w:rsidRPr="00AB258D">
        <w:rPr>
          <w:rFonts w:cstheme="minorHAnsi"/>
          <w:sz w:val="24"/>
        </w:rPr>
        <w:lastRenderedPageBreak/>
        <w:t xml:space="preserve">results of preliminary studies conducted on the </w:t>
      </w:r>
      <w:r w:rsidR="00E53771" w:rsidRPr="00AB258D">
        <w:rPr>
          <w:rFonts w:eastAsia="Times New Roman" w:cstheme="minorHAnsi"/>
          <w:sz w:val="24"/>
        </w:rPr>
        <w:t xml:space="preserve">investigated materials as used </w:t>
      </w:r>
      <w:r w:rsidR="002E0DC9" w:rsidRPr="00AB258D">
        <w:rPr>
          <w:rFonts w:eastAsia="Times New Roman" w:cstheme="minorHAnsi"/>
          <w:sz w:val="24"/>
        </w:rPr>
        <w:t xml:space="preserve">in this study, while the oxide compositions of the materials </w:t>
      </w:r>
      <w:r w:rsidR="0078493B" w:rsidRPr="00AB258D">
        <w:rPr>
          <w:rFonts w:eastAsia="Times New Roman" w:cstheme="minorHAnsi"/>
          <w:sz w:val="24"/>
        </w:rPr>
        <w:t>are</w:t>
      </w:r>
      <w:r w:rsidR="002E0DC9" w:rsidRPr="00AB258D">
        <w:rPr>
          <w:rFonts w:eastAsia="Times New Roman" w:cstheme="minorHAnsi"/>
          <w:sz w:val="24"/>
        </w:rPr>
        <w:t xml:space="preserve"> presented in Table 2.</w:t>
      </w:r>
      <w:r w:rsidR="008D445C" w:rsidRPr="00AB258D">
        <w:rPr>
          <w:rFonts w:eastAsia="Times New Roman" w:cstheme="minorHAnsi"/>
          <w:sz w:val="24"/>
        </w:rPr>
        <w:t xml:space="preserve"> </w:t>
      </w:r>
    </w:p>
    <w:p w14:paraId="7CDE30B6" w14:textId="1B45A9E2" w:rsidR="002B17B2" w:rsidRPr="00AB258D" w:rsidRDefault="002B17B2" w:rsidP="002B17B2">
      <w:pPr>
        <w:spacing w:line="240" w:lineRule="auto"/>
        <w:jc w:val="both"/>
        <w:rPr>
          <w:sz w:val="24"/>
          <w:szCs w:val="24"/>
          <w:shd w:val="clear" w:color="auto" w:fill="FFFFFF"/>
        </w:rPr>
      </w:pPr>
      <w:r w:rsidRPr="00AB258D">
        <w:rPr>
          <w:sz w:val="24"/>
          <w:szCs w:val="24"/>
          <w:shd w:val="clear" w:color="auto" w:fill="FFFFFF"/>
        </w:rPr>
        <w:t xml:space="preserve">Table 1 shows that the liquid limit of soil II exceeded 100% as expected due to the high amount of bentonite (consisting mostly of montmorillonite) present in the soil mixture. It is well known that the bond between the layers of montmorillonite is weak and large amounts of water can easily infiltrate the spaces between the layers. While in the case of soil I (kaolinite), the layers are held relatively </w:t>
      </w:r>
      <w:r w:rsidR="0078493B" w:rsidRPr="00AB258D">
        <w:rPr>
          <w:sz w:val="24"/>
          <w:szCs w:val="24"/>
          <w:shd w:val="clear" w:color="auto" w:fill="FFFFFF"/>
        </w:rPr>
        <w:t>tightly,</w:t>
      </w:r>
      <w:r w:rsidRPr="00AB258D">
        <w:rPr>
          <w:sz w:val="24"/>
          <w:szCs w:val="24"/>
          <w:shd w:val="clear" w:color="auto" w:fill="FFFFFF"/>
        </w:rPr>
        <w:t xml:space="preserve"> and water cannot easily infiltrate between the layers in comparison with soil II. Therefore, the </w:t>
      </w:r>
      <w:proofErr w:type="spellStart"/>
      <w:r w:rsidRPr="00AB258D">
        <w:rPr>
          <w:sz w:val="24"/>
          <w:szCs w:val="24"/>
          <w:shd w:val="clear" w:color="auto" w:fill="FFFFFF"/>
        </w:rPr>
        <w:t>Atterberg</w:t>
      </w:r>
      <w:proofErr w:type="spellEnd"/>
      <w:r w:rsidRPr="00AB258D">
        <w:rPr>
          <w:sz w:val="24"/>
          <w:szCs w:val="24"/>
          <w:shd w:val="clear" w:color="auto" w:fill="FFFFFF"/>
        </w:rPr>
        <w:t xml:space="preserve"> limits for soil I were found to be much lower than those for soil II. </w:t>
      </w:r>
    </w:p>
    <w:p w14:paraId="72FFB0EC" w14:textId="77777777" w:rsidR="002B17B2" w:rsidRPr="00AB258D" w:rsidRDefault="002B17B2" w:rsidP="00872346">
      <w:pPr>
        <w:spacing w:line="240" w:lineRule="auto"/>
        <w:jc w:val="both"/>
        <w:rPr>
          <w:rFonts w:eastAsia="Times New Roman" w:cstheme="minorHAnsi"/>
          <w:sz w:val="24"/>
        </w:rPr>
      </w:pPr>
    </w:p>
    <w:p w14:paraId="563342D9" w14:textId="77777777" w:rsidR="00AD20E4" w:rsidRPr="00AB258D" w:rsidRDefault="00AD20E4" w:rsidP="00872346">
      <w:pPr>
        <w:spacing w:line="240" w:lineRule="auto"/>
        <w:jc w:val="center"/>
        <w:rPr>
          <w:rFonts w:cstheme="minorHAnsi"/>
          <w:sz w:val="24"/>
        </w:rPr>
      </w:pPr>
      <w:r w:rsidRPr="00AB258D">
        <w:rPr>
          <w:rFonts w:cstheme="minorHAnsi"/>
          <w:b/>
          <w:sz w:val="24"/>
        </w:rPr>
        <w:t>Table 1.</w:t>
      </w:r>
      <w:r w:rsidRPr="00AB258D">
        <w:rPr>
          <w:rFonts w:cstheme="minorHAnsi"/>
          <w:sz w:val="24"/>
        </w:rPr>
        <w:t xml:space="preserve"> Geotechnical properties of the clays</w:t>
      </w:r>
    </w:p>
    <w:tbl>
      <w:tblPr>
        <w:tblStyle w:val="PlainTable2"/>
        <w:tblW w:w="7070" w:type="dxa"/>
        <w:jc w:val="center"/>
        <w:tblLayout w:type="fixed"/>
        <w:tblLook w:val="04A0" w:firstRow="1" w:lastRow="0" w:firstColumn="1" w:lastColumn="0" w:noHBand="0" w:noVBand="1"/>
      </w:tblPr>
      <w:tblGrid>
        <w:gridCol w:w="3928"/>
        <w:gridCol w:w="1571"/>
        <w:gridCol w:w="1571"/>
      </w:tblGrid>
      <w:tr w:rsidR="00AB258D" w:rsidRPr="00AB258D" w14:paraId="1D094D2C" w14:textId="77777777" w:rsidTr="00393751">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928" w:type="dxa"/>
            <w:vMerge w:val="restart"/>
            <w:tcBorders>
              <w:top w:val="single" w:sz="4" w:space="0" w:color="auto"/>
              <w:bottom w:val="single" w:sz="4" w:space="0" w:color="auto"/>
            </w:tcBorders>
            <w:vAlign w:val="center"/>
          </w:tcPr>
          <w:p w14:paraId="07985514"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Soil property</w:t>
            </w:r>
          </w:p>
        </w:tc>
        <w:tc>
          <w:tcPr>
            <w:tcW w:w="3142" w:type="dxa"/>
            <w:gridSpan w:val="2"/>
            <w:tcBorders>
              <w:top w:val="single" w:sz="4" w:space="0" w:color="auto"/>
              <w:bottom w:val="single" w:sz="4" w:space="0" w:color="auto"/>
            </w:tcBorders>
          </w:tcPr>
          <w:p w14:paraId="7A04965C" w14:textId="77777777" w:rsidR="00AD20E4" w:rsidRPr="00AB258D" w:rsidRDefault="00AD20E4" w:rsidP="0087234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4"/>
                <w:szCs w:val="24"/>
              </w:rPr>
            </w:pPr>
            <w:r w:rsidRPr="00AB258D">
              <w:rPr>
                <w:rFonts w:asciiTheme="minorHAnsi" w:hAnsiTheme="minorHAnsi" w:cstheme="minorHAnsi"/>
                <w:b w:val="0"/>
                <w:sz w:val="24"/>
                <w:szCs w:val="24"/>
              </w:rPr>
              <w:t xml:space="preserve">                Soil types</w:t>
            </w:r>
          </w:p>
        </w:tc>
      </w:tr>
      <w:tr w:rsidR="00AB258D" w:rsidRPr="00AB258D" w14:paraId="4283B9E8" w14:textId="77777777" w:rsidTr="0039375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928" w:type="dxa"/>
            <w:vMerge/>
            <w:tcBorders>
              <w:bottom w:val="single" w:sz="4" w:space="0" w:color="auto"/>
            </w:tcBorders>
          </w:tcPr>
          <w:p w14:paraId="08E24D4E" w14:textId="77777777" w:rsidR="00AD20E4" w:rsidRPr="00AB258D" w:rsidRDefault="00AD20E4" w:rsidP="00872346">
            <w:pPr>
              <w:rPr>
                <w:rFonts w:asciiTheme="minorHAnsi" w:hAnsiTheme="minorHAnsi" w:cstheme="minorHAnsi"/>
                <w:b w:val="0"/>
                <w:sz w:val="24"/>
                <w:szCs w:val="24"/>
              </w:rPr>
            </w:pPr>
          </w:p>
        </w:tc>
        <w:tc>
          <w:tcPr>
            <w:tcW w:w="1571" w:type="dxa"/>
            <w:tcBorders>
              <w:top w:val="single" w:sz="4" w:space="0" w:color="auto"/>
              <w:bottom w:val="single" w:sz="4" w:space="0" w:color="auto"/>
            </w:tcBorders>
          </w:tcPr>
          <w:p w14:paraId="6CBC6547"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Soil I</w:t>
            </w:r>
          </w:p>
        </w:tc>
        <w:tc>
          <w:tcPr>
            <w:tcW w:w="1570" w:type="dxa"/>
            <w:tcBorders>
              <w:top w:val="single" w:sz="4" w:space="0" w:color="auto"/>
              <w:bottom w:val="single" w:sz="4" w:space="0" w:color="auto"/>
            </w:tcBorders>
          </w:tcPr>
          <w:p w14:paraId="12863AA0"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Soil II</w:t>
            </w:r>
          </w:p>
        </w:tc>
      </w:tr>
      <w:tr w:rsidR="00AB258D" w:rsidRPr="00AB258D" w14:paraId="287AC162" w14:textId="77777777" w:rsidTr="00393751">
        <w:trPr>
          <w:trHeight w:val="350"/>
          <w:jc w:val="center"/>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auto"/>
              <w:bottom w:val="nil"/>
            </w:tcBorders>
          </w:tcPr>
          <w:p w14:paraId="527FD272"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 xml:space="preserve">Liquid limit, </w:t>
            </w:r>
            <w:proofErr w:type="spellStart"/>
            <w:r w:rsidRPr="00AB258D">
              <w:rPr>
                <w:rFonts w:asciiTheme="minorHAnsi" w:hAnsiTheme="minorHAnsi" w:cstheme="minorHAnsi"/>
                <w:b w:val="0"/>
                <w:sz w:val="24"/>
                <w:szCs w:val="24"/>
              </w:rPr>
              <w:t>w</w:t>
            </w:r>
            <w:r w:rsidRPr="00AB258D">
              <w:rPr>
                <w:rFonts w:asciiTheme="minorHAnsi" w:hAnsiTheme="minorHAnsi" w:cstheme="minorHAnsi"/>
                <w:b w:val="0"/>
                <w:sz w:val="24"/>
                <w:szCs w:val="24"/>
                <w:vertAlign w:val="subscript"/>
              </w:rPr>
              <w:t>L</w:t>
            </w:r>
            <w:proofErr w:type="spellEnd"/>
            <w:r w:rsidRPr="00AB258D">
              <w:rPr>
                <w:rFonts w:asciiTheme="minorHAnsi" w:hAnsiTheme="minorHAnsi" w:cstheme="minorHAnsi"/>
                <w:b w:val="0"/>
                <w:sz w:val="24"/>
                <w:szCs w:val="24"/>
                <w:vertAlign w:val="subscript"/>
              </w:rPr>
              <w:t xml:space="preserve"> </w:t>
            </w:r>
            <w:r w:rsidRPr="00AB258D">
              <w:rPr>
                <w:rFonts w:asciiTheme="minorHAnsi" w:hAnsiTheme="minorHAnsi" w:cstheme="minorHAnsi"/>
                <w:b w:val="0"/>
                <w:sz w:val="24"/>
                <w:szCs w:val="24"/>
              </w:rPr>
              <w:t>(%)</w:t>
            </w:r>
          </w:p>
        </w:tc>
        <w:tc>
          <w:tcPr>
            <w:tcW w:w="1571" w:type="dxa"/>
            <w:tcBorders>
              <w:top w:val="single" w:sz="4" w:space="0" w:color="auto"/>
              <w:bottom w:val="nil"/>
            </w:tcBorders>
          </w:tcPr>
          <w:p w14:paraId="0CB93F1A"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58</w:t>
            </w:r>
          </w:p>
        </w:tc>
        <w:tc>
          <w:tcPr>
            <w:tcW w:w="1570" w:type="dxa"/>
            <w:tcBorders>
              <w:top w:val="single" w:sz="4" w:space="0" w:color="auto"/>
              <w:bottom w:val="nil"/>
            </w:tcBorders>
          </w:tcPr>
          <w:p w14:paraId="39B67A33"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285</w:t>
            </w:r>
          </w:p>
        </w:tc>
      </w:tr>
      <w:tr w:rsidR="00AB258D" w:rsidRPr="00AB258D" w14:paraId="7385FBA3" w14:textId="77777777" w:rsidTr="0039375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928" w:type="dxa"/>
            <w:tcBorders>
              <w:top w:val="nil"/>
              <w:bottom w:val="nil"/>
            </w:tcBorders>
          </w:tcPr>
          <w:p w14:paraId="085991B0"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 xml:space="preserve">Plastic limit, </w:t>
            </w:r>
            <w:proofErr w:type="spellStart"/>
            <w:r w:rsidRPr="00AB258D">
              <w:rPr>
                <w:rFonts w:asciiTheme="minorHAnsi" w:hAnsiTheme="minorHAnsi" w:cstheme="minorHAnsi"/>
                <w:b w:val="0"/>
                <w:sz w:val="24"/>
                <w:szCs w:val="24"/>
              </w:rPr>
              <w:t>w</w:t>
            </w:r>
            <w:r w:rsidRPr="00AB258D">
              <w:rPr>
                <w:rFonts w:asciiTheme="minorHAnsi" w:hAnsiTheme="minorHAnsi" w:cstheme="minorHAnsi"/>
                <w:b w:val="0"/>
                <w:sz w:val="24"/>
                <w:szCs w:val="24"/>
                <w:vertAlign w:val="subscript"/>
              </w:rPr>
              <w:t>p</w:t>
            </w:r>
            <w:proofErr w:type="spellEnd"/>
            <w:r w:rsidRPr="00AB258D">
              <w:rPr>
                <w:rFonts w:asciiTheme="minorHAnsi" w:hAnsiTheme="minorHAnsi" w:cstheme="minorHAnsi"/>
                <w:b w:val="0"/>
                <w:sz w:val="24"/>
                <w:szCs w:val="24"/>
                <w:vertAlign w:val="subscript"/>
              </w:rPr>
              <w:t xml:space="preserve"> </w:t>
            </w:r>
            <w:r w:rsidRPr="00AB258D">
              <w:rPr>
                <w:rFonts w:asciiTheme="minorHAnsi" w:hAnsiTheme="minorHAnsi" w:cstheme="minorHAnsi"/>
                <w:b w:val="0"/>
                <w:sz w:val="24"/>
                <w:szCs w:val="24"/>
              </w:rPr>
              <w:t>(%)</w:t>
            </w:r>
          </w:p>
        </w:tc>
        <w:tc>
          <w:tcPr>
            <w:tcW w:w="1571" w:type="dxa"/>
            <w:tcBorders>
              <w:top w:val="nil"/>
              <w:bottom w:val="nil"/>
            </w:tcBorders>
          </w:tcPr>
          <w:p w14:paraId="6F36D28B"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30</w:t>
            </w:r>
          </w:p>
        </w:tc>
        <w:tc>
          <w:tcPr>
            <w:tcW w:w="1570" w:type="dxa"/>
            <w:tcBorders>
              <w:top w:val="nil"/>
              <w:bottom w:val="nil"/>
            </w:tcBorders>
          </w:tcPr>
          <w:p w14:paraId="253814E2"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72</w:t>
            </w:r>
          </w:p>
        </w:tc>
      </w:tr>
      <w:tr w:rsidR="00AB258D" w:rsidRPr="00AB258D" w14:paraId="29C14BA1" w14:textId="77777777" w:rsidTr="00393751">
        <w:trPr>
          <w:trHeight w:val="383"/>
          <w:jc w:val="center"/>
        </w:trPr>
        <w:tc>
          <w:tcPr>
            <w:cnfStyle w:val="001000000000" w:firstRow="0" w:lastRow="0" w:firstColumn="1" w:lastColumn="0" w:oddVBand="0" w:evenVBand="0" w:oddHBand="0" w:evenHBand="0" w:firstRowFirstColumn="0" w:firstRowLastColumn="0" w:lastRowFirstColumn="0" w:lastRowLastColumn="0"/>
            <w:tcW w:w="3928" w:type="dxa"/>
            <w:tcBorders>
              <w:top w:val="nil"/>
              <w:bottom w:val="nil"/>
            </w:tcBorders>
          </w:tcPr>
          <w:p w14:paraId="76139EBD"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Plasticity index (</w:t>
            </w:r>
            <w:proofErr w:type="spellStart"/>
            <w:r w:rsidRPr="00AB258D">
              <w:rPr>
                <w:rFonts w:asciiTheme="minorHAnsi" w:hAnsiTheme="minorHAnsi" w:cstheme="minorHAnsi"/>
                <w:b w:val="0"/>
                <w:sz w:val="24"/>
                <w:szCs w:val="24"/>
              </w:rPr>
              <w:t>I</w:t>
            </w:r>
            <w:r w:rsidRPr="00AB258D">
              <w:rPr>
                <w:rFonts w:asciiTheme="minorHAnsi" w:hAnsiTheme="minorHAnsi" w:cstheme="minorHAnsi"/>
                <w:b w:val="0"/>
                <w:sz w:val="24"/>
                <w:szCs w:val="24"/>
                <w:vertAlign w:val="subscript"/>
              </w:rPr>
              <w:t>p</w:t>
            </w:r>
            <w:proofErr w:type="spellEnd"/>
            <w:r w:rsidRPr="00AB258D">
              <w:rPr>
                <w:rFonts w:asciiTheme="minorHAnsi" w:hAnsiTheme="minorHAnsi" w:cstheme="minorHAnsi"/>
                <w:b w:val="0"/>
                <w:sz w:val="24"/>
                <w:szCs w:val="24"/>
              </w:rPr>
              <w:t>)</w:t>
            </w:r>
          </w:p>
        </w:tc>
        <w:tc>
          <w:tcPr>
            <w:tcW w:w="1571" w:type="dxa"/>
            <w:tcBorders>
              <w:top w:val="nil"/>
              <w:bottom w:val="nil"/>
            </w:tcBorders>
          </w:tcPr>
          <w:p w14:paraId="69BDA2AE"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28</w:t>
            </w:r>
          </w:p>
        </w:tc>
        <w:tc>
          <w:tcPr>
            <w:tcW w:w="1570" w:type="dxa"/>
            <w:tcBorders>
              <w:top w:val="nil"/>
              <w:bottom w:val="nil"/>
            </w:tcBorders>
          </w:tcPr>
          <w:p w14:paraId="2B16EE50"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213</w:t>
            </w:r>
          </w:p>
        </w:tc>
      </w:tr>
      <w:tr w:rsidR="00AB258D" w:rsidRPr="00AB258D" w14:paraId="44C6BB04" w14:textId="77777777" w:rsidTr="00393751">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928" w:type="dxa"/>
            <w:tcBorders>
              <w:top w:val="nil"/>
              <w:bottom w:val="nil"/>
            </w:tcBorders>
          </w:tcPr>
          <w:p w14:paraId="777F2DC9"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Silt content (%)</w:t>
            </w:r>
          </w:p>
        </w:tc>
        <w:tc>
          <w:tcPr>
            <w:tcW w:w="1571" w:type="dxa"/>
            <w:tcBorders>
              <w:top w:val="nil"/>
              <w:bottom w:val="nil"/>
            </w:tcBorders>
          </w:tcPr>
          <w:p w14:paraId="650C711A"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74</w:t>
            </w:r>
          </w:p>
        </w:tc>
        <w:tc>
          <w:tcPr>
            <w:tcW w:w="1570" w:type="dxa"/>
            <w:tcBorders>
              <w:top w:val="nil"/>
              <w:bottom w:val="nil"/>
            </w:tcBorders>
          </w:tcPr>
          <w:p w14:paraId="295BE0AB"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48</w:t>
            </w:r>
          </w:p>
        </w:tc>
      </w:tr>
      <w:tr w:rsidR="00AB258D" w:rsidRPr="00AB258D" w14:paraId="60A2C723" w14:textId="77777777" w:rsidTr="00393751">
        <w:trPr>
          <w:trHeight w:val="396"/>
          <w:jc w:val="center"/>
        </w:trPr>
        <w:tc>
          <w:tcPr>
            <w:cnfStyle w:val="001000000000" w:firstRow="0" w:lastRow="0" w:firstColumn="1" w:lastColumn="0" w:oddVBand="0" w:evenVBand="0" w:oddHBand="0" w:evenHBand="0" w:firstRowFirstColumn="0" w:firstRowLastColumn="0" w:lastRowFirstColumn="0" w:lastRowLastColumn="0"/>
            <w:tcW w:w="3928" w:type="dxa"/>
            <w:tcBorders>
              <w:top w:val="nil"/>
              <w:bottom w:val="nil"/>
            </w:tcBorders>
          </w:tcPr>
          <w:p w14:paraId="17015974"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Clay content (%)</w:t>
            </w:r>
          </w:p>
        </w:tc>
        <w:tc>
          <w:tcPr>
            <w:tcW w:w="1571" w:type="dxa"/>
            <w:tcBorders>
              <w:top w:val="nil"/>
              <w:bottom w:val="nil"/>
            </w:tcBorders>
          </w:tcPr>
          <w:p w14:paraId="29D1782E"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26</w:t>
            </w:r>
          </w:p>
        </w:tc>
        <w:tc>
          <w:tcPr>
            <w:tcW w:w="1570" w:type="dxa"/>
            <w:tcBorders>
              <w:top w:val="nil"/>
              <w:bottom w:val="nil"/>
            </w:tcBorders>
          </w:tcPr>
          <w:p w14:paraId="63FC49A9"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52</w:t>
            </w:r>
          </w:p>
        </w:tc>
      </w:tr>
      <w:tr w:rsidR="00AB258D" w:rsidRPr="00AB258D" w14:paraId="39A8ADA2" w14:textId="77777777" w:rsidTr="00393751">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928" w:type="dxa"/>
            <w:tcBorders>
              <w:top w:val="nil"/>
              <w:bottom w:val="nil"/>
            </w:tcBorders>
          </w:tcPr>
          <w:p w14:paraId="5FBE7563"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Specific gravity (G)</w:t>
            </w:r>
          </w:p>
        </w:tc>
        <w:tc>
          <w:tcPr>
            <w:tcW w:w="1571" w:type="dxa"/>
            <w:tcBorders>
              <w:top w:val="nil"/>
              <w:bottom w:val="nil"/>
            </w:tcBorders>
          </w:tcPr>
          <w:p w14:paraId="28AA317B"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2.60</w:t>
            </w:r>
          </w:p>
        </w:tc>
        <w:tc>
          <w:tcPr>
            <w:tcW w:w="1570" w:type="dxa"/>
            <w:tcBorders>
              <w:top w:val="nil"/>
              <w:bottom w:val="nil"/>
            </w:tcBorders>
          </w:tcPr>
          <w:p w14:paraId="2438FF59"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2.76</w:t>
            </w:r>
          </w:p>
        </w:tc>
      </w:tr>
      <w:tr w:rsidR="00AB258D" w:rsidRPr="00AB258D" w14:paraId="42D9EDC1" w14:textId="77777777" w:rsidTr="00393751">
        <w:trPr>
          <w:trHeight w:val="394"/>
          <w:jc w:val="center"/>
        </w:trPr>
        <w:tc>
          <w:tcPr>
            <w:cnfStyle w:val="001000000000" w:firstRow="0" w:lastRow="0" w:firstColumn="1" w:lastColumn="0" w:oddVBand="0" w:evenVBand="0" w:oddHBand="0" w:evenHBand="0" w:firstRowFirstColumn="0" w:firstRowLastColumn="0" w:lastRowFirstColumn="0" w:lastRowLastColumn="0"/>
            <w:tcW w:w="3928" w:type="dxa"/>
            <w:tcBorders>
              <w:top w:val="nil"/>
              <w:bottom w:val="nil"/>
            </w:tcBorders>
          </w:tcPr>
          <w:p w14:paraId="1719F174"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Max. dry density (MDD) (</w:t>
            </w:r>
            <w:proofErr w:type="spellStart"/>
            <w:r w:rsidRPr="00AB258D">
              <w:rPr>
                <w:rFonts w:asciiTheme="minorHAnsi" w:hAnsiTheme="minorHAnsi" w:cstheme="minorHAnsi"/>
                <w:b w:val="0"/>
                <w:sz w:val="24"/>
                <w:szCs w:val="24"/>
              </w:rPr>
              <w:t>kN</w:t>
            </w:r>
            <w:proofErr w:type="spellEnd"/>
            <w:r w:rsidRPr="00AB258D">
              <w:rPr>
                <w:rFonts w:asciiTheme="minorHAnsi" w:hAnsiTheme="minorHAnsi" w:cstheme="minorHAnsi"/>
                <w:b w:val="0"/>
                <w:sz w:val="24"/>
                <w:szCs w:val="24"/>
              </w:rPr>
              <w:t>/m</w:t>
            </w:r>
            <w:r w:rsidRPr="00AB258D">
              <w:rPr>
                <w:rFonts w:asciiTheme="minorHAnsi" w:hAnsiTheme="minorHAnsi" w:cstheme="minorHAnsi"/>
                <w:b w:val="0"/>
                <w:sz w:val="24"/>
                <w:szCs w:val="24"/>
                <w:vertAlign w:val="superscript"/>
              </w:rPr>
              <w:t>3</w:t>
            </w:r>
            <w:r w:rsidRPr="00AB258D">
              <w:rPr>
                <w:rFonts w:asciiTheme="minorHAnsi" w:hAnsiTheme="minorHAnsi" w:cstheme="minorHAnsi"/>
                <w:b w:val="0"/>
                <w:sz w:val="24"/>
                <w:szCs w:val="24"/>
              </w:rPr>
              <w:t>)</w:t>
            </w:r>
          </w:p>
        </w:tc>
        <w:tc>
          <w:tcPr>
            <w:tcW w:w="1571" w:type="dxa"/>
            <w:tcBorders>
              <w:top w:val="nil"/>
              <w:bottom w:val="nil"/>
            </w:tcBorders>
          </w:tcPr>
          <w:p w14:paraId="59509B32"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15.0</w:t>
            </w:r>
          </w:p>
        </w:tc>
        <w:tc>
          <w:tcPr>
            <w:tcW w:w="1570" w:type="dxa"/>
            <w:tcBorders>
              <w:top w:val="nil"/>
              <w:bottom w:val="nil"/>
            </w:tcBorders>
          </w:tcPr>
          <w:p w14:paraId="045EC5E1"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12.9</w:t>
            </w:r>
          </w:p>
        </w:tc>
      </w:tr>
      <w:tr w:rsidR="00AB258D" w:rsidRPr="00AB258D" w14:paraId="33E2FA63" w14:textId="77777777" w:rsidTr="00393751">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928" w:type="dxa"/>
            <w:tcBorders>
              <w:top w:val="nil"/>
              <w:bottom w:val="nil"/>
            </w:tcBorders>
          </w:tcPr>
          <w:p w14:paraId="3D82D49D"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OMC (%)</w:t>
            </w:r>
          </w:p>
        </w:tc>
        <w:tc>
          <w:tcPr>
            <w:tcW w:w="1571" w:type="dxa"/>
            <w:tcBorders>
              <w:top w:val="nil"/>
              <w:bottom w:val="nil"/>
            </w:tcBorders>
          </w:tcPr>
          <w:p w14:paraId="5F235A28"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17</w:t>
            </w:r>
          </w:p>
        </w:tc>
        <w:tc>
          <w:tcPr>
            <w:tcW w:w="1570" w:type="dxa"/>
            <w:tcBorders>
              <w:top w:val="nil"/>
              <w:bottom w:val="nil"/>
            </w:tcBorders>
          </w:tcPr>
          <w:p w14:paraId="6A46A98A"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30</w:t>
            </w:r>
          </w:p>
        </w:tc>
      </w:tr>
      <w:tr w:rsidR="00AB258D" w:rsidRPr="00AB258D" w14:paraId="60068C08" w14:textId="77777777" w:rsidTr="00393751">
        <w:trPr>
          <w:trHeight w:val="394"/>
          <w:jc w:val="center"/>
        </w:trPr>
        <w:tc>
          <w:tcPr>
            <w:cnfStyle w:val="001000000000" w:firstRow="0" w:lastRow="0" w:firstColumn="1" w:lastColumn="0" w:oddVBand="0" w:evenVBand="0" w:oddHBand="0" w:evenHBand="0" w:firstRowFirstColumn="0" w:firstRowLastColumn="0" w:lastRowFirstColumn="0" w:lastRowLastColumn="0"/>
            <w:tcW w:w="3928" w:type="dxa"/>
            <w:tcBorders>
              <w:top w:val="nil"/>
              <w:bottom w:val="nil"/>
            </w:tcBorders>
          </w:tcPr>
          <w:p w14:paraId="25AC66FB" w14:textId="77777777" w:rsidR="00AD20E4" w:rsidRPr="00AB258D" w:rsidRDefault="00AD20E4" w:rsidP="00872346">
            <w:pPr>
              <w:jc w:val="center"/>
              <w:rPr>
                <w:rFonts w:asciiTheme="minorHAnsi" w:hAnsiTheme="minorHAnsi" w:cstheme="minorHAnsi"/>
                <w:b w:val="0"/>
                <w:sz w:val="24"/>
                <w:szCs w:val="24"/>
              </w:rPr>
            </w:pPr>
            <w:r w:rsidRPr="00AB258D">
              <w:rPr>
                <w:rFonts w:asciiTheme="minorHAnsi" w:hAnsiTheme="minorHAnsi" w:cstheme="minorHAnsi"/>
                <w:b w:val="0"/>
                <w:sz w:val="24"/>
                <w:szCs w:val="24"/>
              </w:rPr>
              <w:t>USCS Classification</w:t>
            </w:r>
          </w:p>
        </w:tc>
        <w:tc>
          <w:tcPr>
            <w:tcW w:w="1571" w:type="dxa"/>
            <w:tcBorders>
              <w:top w:val="nil"/>
              <w:bottom w:val="nil"/>
            </w:tcBorders>
          </w:tcPr>
          <w:p w14:paraId="61F77BCE"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CL</w:t>
            </w:r>
          </w:p>
        </w:tc>
        <w:tc>
          <w:tcPr>
            <w:tcW w:w="1570" w:type="dxa"/>
            <w:tcBorders>
              <w:top w:val="nil"/>
              <w:bottom w:val="nil"/>
            </w:tcBorders>
          </w:tcPr>
          <w:p w14:paraId="6E5578C2" w14:textId="77777777" w:rsidR="00AD20E4" w:rsidRPr="00AB258D" w:rsidRDefault="00AD20E4" w:rsidP="00872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CH</w:t>
            </w:r>
          </w:p>
        </w:tc>
      </w:tr>
      <w:tr w:rsidR="00AB258D" w:rsidRPr="00AB258D" w14:paraId="20D7F2FB" w14:textId="77777777" w:rsidTr="00393751">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928" w:type="dxa"/>
            <w:tcBorders>
              <w:top w:val="nil"/>
              <w:bottom w:val="single" w:sz="4" w:space="0" w:color="auto"/>
            </w:tcBorders>
          </w:tcPr>
          <w:p w14:paraId="7636FBED" w14:textId="77777777" w:rsidR="00AD20E4" w:rsidRPr="00AB258D" w:rsidRDefault="00AD20E4" w:rsidP="00872346">
            <w:pPr>
              <w:jc w:val="center"/>
              <w:rPr>
                <w:rFonts w:asciiTheme="minorHAnsi" w:hAnsiTheme="minorHAnsi" w:cstheme="minorHAnsi"/>
                <w:b w:val="0"/>
                <w:szCs w:val="24"/>
              </w:rPr>
            </w:pPr>
            <w:r w:rsidRPr="00AB258D">
              <w:rPr>
                <w:rFonts w:asciiTheme="minorHAnsi" w:hAnsiTheme="minorHAnsi" w:cstheme="minorHAnsi"/>
                <w:b w:val="0"/>
                <w:sz w:val="24"/>
                <w:szCs w:val="24"/>
              </w:rPr>
              <w:t>Max swell percent (%)</w:t>
            </w:r>
          </w:p>
        </w:tc>
        <w:tc>
          <w:tcPr>
            <w:tcW w:w="1571" w:type="dxa"/>
            <w:tcBorders>
              <w:top w:val="nil"/>
              <w:bottom w:val="single" w:sz="4" w:space="0" w:color="auto"/>
            </w:tcBorders>
          </w:tcPr>
          <w:p w14:paraId="366B97F4"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12.6</w:t>
            </w:r>
          </w:p>
        </w:tc>
        <w:tc>
          <w:tcPr>
            <w:tcW w:w="1570" w:type="dxa"/>
            <w:tcBorders>
              <w:top w:val="nil"/>
              <w:bottom w:val="single" w:sz="4" w:space="0" w:color="auto"/>
            </w:tcBorders>
          </w:tcPr>
          <w:p w14:paraId="58B131FF" w14:textId="77777777" w:rsidR="00AD20E4" w:rsidRPr="00AB258D" w:rsidRDefault="00AD20E4" w:rsidP="00872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37.0</w:t>
            </w:r>
          </w:p>
        </w:tc>
      </w:tr>
    </w:tbl>
    <w:p w14:paraId="17915DE1" w14:textId="77777777" w:rsidR="009B59AF" w:rsidRPr="00AB258D" w:rsidRDefault="009B59AF" w:rsidP="0093020F">
      <w:pPr>
        <w:spacing w:line="276" w:lineRule="auto"/>
        <w:jc w:val="both"/>
        <w:rPr>
          <w:rFonts w:eastAsia="Times New Roman" w:cstheme="minorHAnsi"/>
          <w:b/>
          <w:sz w:val="24"/>
        </w:rPr>
      </w:pPr>
    </w:p>
    <w:p w14:paraId="3ECB3A49" w14:textId="77777777" w:rsidR="00FA31D7" w:rsidRPr="00AB258D" w:rsidRDefault="00FA31D7" w:rsidP="0093020F">
      <w:pPr>
        <w:spacing w:line="276" w:lineRule="auto"/>
        <w:jc w:val="both"/>
        <w:rPr>
          <w:rFonts w:eastAsia="Times New Roman" w:cstheme="minorHAnsi"/>
          <w:b/>
          <w:sz w:val="24"/>
        </w:rPr>
      </w:pPr>
    </w:p>
    <w:p w14:paraId="1587C92E" w14:textId="77777777" w:rsidR="00FA31D7" w:rsidRPr="00AB258D" w:rsidRDefault="00FA31D7" w:rsidP="0093020F">
      <w:pPr>
        <w:spacing w:line="276" w:lineRule="auto"/>
        <w:jc w:val="both"/>
        <w:rPr>
          <w:rFonts w:eastAsia="Times New Roman" w:cstheme="minorHAnsi"/>
          <w:b/>
          <w:sz w:val="24"/>
        </w:rPr>
      </w:pPr>
    </w:p>
    <w:p w14:paraId="153DA834" w14:textId="77777777" w:rsidR="00FA31D7" w:rsidRPr="00AB258D" w:rsidRDefault="00FA31D7" w:rsidP="0093020F">
      <w:pPr>
        <w:spacing w:line="276" w:lineRule="auto"/>
        <w:jc w:val="both"/>
        <w:rPr>
          <w:rFonts w:eastAsia="Times New Roman" w:cstheme="minorHAnsi"/>
          <w:b/>
          <w:sz w:val="24"/>
        </w:rPr>
      </w:pPr>
    </w:p>
    <w:p w14:paraId="796A9918" w14:textId="77777777" w:rsidR="000A0F6B" w:rsidRPr="00AB258D" w:rsidRDefault="000A0F6B" w:rsidP="002B17B2">
      <w:pPr>
        <w:pStyle w:val="NormalWeb"/>
        <w:shd w:val="clear" w:color="auto" w:fill="FFFFFF"/>
        <w:spacing w:before="0" w:beforeAutospacing="0" w:after="0" w:afterAutospacing="0" w:line="360" w:lineRule="atLeast"/>
        <w:jc w:val="center"/>
        <w:rPr>
          <w:rFonts w:asciiTheme="minorHAnsi" w:hAnsiTheme="minorHAnsi" w:cstheme="minorHAnsi"/>
        </w:rPr>
      </w:pPr>
      <w:r w:rsidRPr="00AB258D">
        <w:rPr>
          <w:rFonts w:asciiTheme="minorHAnsi" w:hAnsiTheme="minorHAnsi" w:cstheme="minorHAnsi"/>
          <w:noProof/>
        </w:rPr>
        <w:lastRenderedPageBreak/>
        <w:drawing>
          <wp:inline distT="0" distB="0" distL="0" distR="0" wp14:anchorId="03072D32" wp14:editId="455D785C">
            <wp:extent cx="4391025" cy="3495675"/>
            <wp:effectExtent l="0" t="0" r="9525" b="9525"/>
            <wp:docPr id="18" name="Chart 18">
              <a:extLst xmlns:a="http://schemas.openxmlformats.org/drawingml/2006/main">
                <a:ext uri="{FF2B5EF4-FFF2-40B4-BE49-F238E27FC236}">
                  <a16:creationId xmlns:a16="http://schemas.microsoft.com/office/drawing/2014/main" id="{6FA0CE58-8DBC-4000-A5CA-F648D2743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80357E" w14:textId="77777777" w:rsidR="000A0F6B" w:rsidRPr="00AB258D" w:rsidRDefault="000A0F6B" w:rsidP="000A0F6B">
      <w:pPr>
        <w:pStyle w:val="NormalWeb"/>
        <w:shd w:val="clear" w:color="auto" w:fill="FFFFFF"/>
        <w:spacing w:before="0" w:beforeAutospacing="0" w:after="0" w:afterAutospacing="0" w:line="360" w:lineRule="atLeast"/>
        <w:rPr>
          <w:rFonts w:asciiTheme="minorHAnsi" w:hAnsiTheme="minorHAnsi" w:cstheme="minorHAnsi"/>
        </w:rPr>
      </w:pPr>
    </w:p>
    <w:p w14:paraId="1690DB59" w14:textId="24B9B784" w:rsidR="00FA31D7" w:rsidRPr="00AB258D" w:rsidRDefault="005A22F7" w:rsidP="00FA31D7">
      <w:pPr>
        <w:spacing w:line="480" w:lineRule="auto"/>
        <w:jc w:val="center"/>
        <w:rPr>
          <w:rFonts w:cstheme="minorHAnsi"/>
          <w:sz w:val="24"/>
        </w:rPr>
      </w:pPr>
      <w:r w:rsidRPr="00AB258D">
        <w:rPr>
          <w:rFonts w:cstheme="minorHAnsi"/>
          <w:b/>
          <w:sz w:val="24"/>
        </w:rPr>
        <w:t>Fig.</w:t>
      </w:r>
      <w:r w:rsidR="00067023" w:rsidRPr="00AB258D">
        <w:rPr>
          <w:rFonts w:cstheme="minorHAnsi"/>
          <w:b/>
          <w:sz w:val="24"/>
        </w:rPr>
        <w:t xml:space="preserve"> 1</w:t>
      </w:r>
      <w:r w:rsidR="00625BA3" w:rsidRPr="00AB258D">
        <w:rPr>
          <w:rFonts w:cstheme="minorHAnsi"/>
          <w:b/>
          <w:sz w:val="24"/>
        </w:rPr>
        <w:t>.</w:t>
      </w:r>
      <w:r w:rsidR="000A0F6B" w:rsidRPr="00AB258D">
        <w:rPr>
          <w:rFonts w:cstheme="minorHAnsi"/>
          <w:b/>
          <w:sz w:val="24"/>
        </w:rPr>
        <w:t xml:space="preserve"> </w:t>
      </w:r>
      <w:r w:rsidR="000A0F6B" w:rsidRPr="00AB258D">
        <w:rPr>
          <w:rFonts w:cstheme="minorHAnsi"/>
          <w:sz w:val="24"/>
        </w:rPr>
        <w:t>Analysis of material grain size.</w:t>
      </w:r>
    </w:p>
    <w:p w14:paraId="4E3B9E21" w14:textId="7B5D5E09" w:rsidR="000A0F6B" w:rsidRPr="00AB258D" w:rsidRDefault="00F750DA" w:rsidP="00872346">
      <w:pPr>
        <w:spacing w:line="240" w:lineRule="auto"/>
        <w:jc w:val="both"/>
        <w:rPr>
          <w:rFonts w:eastAsia="Times New Roman" w:cstheme="minorHAnsi"/>
          <w:sz w:val="24"/>
        </w:rPr>
      </w:pPr>
      <w:r w:rsidRPr="00AB258D">
        <w:rPr>
          <w:rFonts w:eastAsia="Times New Roman" w:cstheme="minorHAnsi"/>
          <w:b/>
          <w:sz w:val="24"/>
        </w:rPr>
        <w:t>Table 2</w:t>
      </w:r>
      <w:r w:rsidR="000A0F6B" w:rsidRPr="00AB258D">
        <w:rPr>
          <w:rFonts w:eastAsia="Times New Roman" w:cstheme="minorHAnsi"/>
          <w:sz w:val="24"/>
        </w:rPr>
        <w:t xml:space="preserve"> Chemical composition of materials used </w:t>
      </w:r>
    </w:p>
    <w:tbl>
      <w:tblPr>
        <w:tblStyle w:val="TableGrid"/>
        <w:tblW w:w="9633" w:type="dxa"/>
        <w:jc w:val="center"/>
        <w:tblLook w:val="04A0" w:firstRow="1" w:lastRow="0" w:firstColumn="1" w:lastColumn="0" w:noHBand="0" w:noVBand="1"/>
      </w:tblPr>
      <w:tblGrid>
        <w:gridCol w:w="1310"/>
        <w:gridCol w:w="642"/>
        <w:gridCol w:w="764"/>
        <w:gridCol w:w="767"/>
        <w:gridCol w:w="642"/>
        <w:gridCol w:w="694"/>
        <w:gridCol w:w="642"/>
        <w:gridCol w:w="642"/>
        <w:gridCol w:w="726"/>
        <w:gridCol w:w="642"/>
        <w:gridCol w:w="869"/>
        <w:gridCol w:w="642"/>
        <w:gridCol w:w="697"/>
      </w:tblGrid>
      <w:tr w:rsidR="00AB258D" w:rsidRPr="00AB258D" w14:paraId="397313E5" w14:textId="77777777" w:rsidTr="00D221DC">
        <w:trPr>
          <w:trHeight w:val="620"/>
          <w:jc w:val="center"/>
        </w:trPr>
        <w:tc>
          <w:tcPr>
            <w:tcW w:w="1310" w:type="dxa"/>
            <w:vMerge w:val="restart"/>
            <w:tcBorders>
              <w:left w:val="nil"/>
              <w:right w:val="nil"/>
            </w:tcBorders>
            <w:vAlign w:val="center"/>
            <w:hideMark/>
          </w:tcPr>
          <w:p w14:paraId="602E25B0" w14:textId="77777777" w:rsidR="000A0F6B" w:rsidRPr="00AB258D" w:rsidRDefault="00D221DC" w:rsidP="00872346">
            <w:pPr>
              <w:jc w:val="center"/>
              <w:rPr>
                <w:rFonts w:asciiTheme="minorHAnsi" w:hAnsiTheme="minorHAnsi" w:cstheme="minorHAnsi"/>
                <w:sz w:val="24"/>
              </w:rPr>
            </w:pPr>
            <w:r w:rsidRPr="00AB258D">
              <w:rPr>
                <w:rFonts w:asciiTheme="minorHAnsi" w:hAnsiTheme="minorHAnsi" w:cstheme="minorHAnsi"/>
                <w:sz w:val="24"/>
              </w:rPr>
              <w:t>Materials used</w:t>
            </w:r>
          </w:p>
        </w:tc>
        <w:tc>
          <w:tcPr>
            <w:tcW w:w="596" w:type="dxa"/>
            <w:tcBorders>
              <w:left w:val="nil"/>
              <w:right w:val="nil"/>
            </w:tcBorders>
          </w:tcPr>
          <w:p w14:paraId="6568B8A3" w14:textId="77777777" w:rsidR="000A0F6B" w:rsidRPr="00AB258D" w:rsidRDefault="000A0F6B" w:rsidP="00872346">
            <w:pPr>
              <w:jc w:val="center"/>
              <w:rPr>
                <w:rFonts w:asciiTheme="minorHAnsi" w:hAnsiTheme="minorHAnsi" w:cstheme="minorHAnsi"/>
                <w:sz w:val="24"/>
              </w:rPr>
            </w:pPr>
          </w:p>
        </w:tc>
        <w:tc>
          <w:tcPr>
            <w:tcW w:w="7727" w:type="dxa"/>
            <w:gridSpan w:val="11"/>
            <w:tcBorders>
              <w:left w:val="nil"/>
              <w:bottom w:val="single" w:sz="4" w:space="0" w:color="auto"/>
              <w:right w:val="nil"/>
            </w:tcBorders>
            <w:noWrap/>
            <w:vAlign w:val="center"/>
            <w:hideMark/>
          </w:tcPr>
          <w:p w14:paraId="7D802E09"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Oxide composition (%)</w:t>
            </w:r>
          </w:p>
        </w:tc>
      </w:tr>
      <w:tr w:rsidR="00AB258D" w:rsidRPr="00AB258D" w14:paraId="5EABE3EC" w14:textId="77777777" w:rsidTr="00D221DC">
        <w:trPr>
          <w:trHeight w:val="737"/>
          <w:jc w:val="center"/>
        </w:trPr>
        <w:tc>
          <w:tcPr>
            <w:tcW w:w="1310" w:type="dxa"/>
            <w:vMerge/>
            <w:tcBorders>
              <w:left w:val="nil"/>
              <w:bottom w:val="single" w:sz="4" w:space="0" w:color="auto"/>
              <w:right w:val="nil"/>
            </w:tcBorders>
            <w:vAlign w:val="center"/>
            <w:hideMark/>
          </w:tcPr>
          <w:p w14:paraId="0ECEFF27" w14:textId="77777777" w:rsidR="000A0F6B" w:rsidRPr="00AB258D" w:rsidRDefault="000A0F6B" w:rsidP="00872346">
            <w:pPr>
              <w:rPr>
                <w:rFonts w:asciiTheme="minorHAnsi" w:hAnsiTheme="minorHAnsi" w:cstheme="minorHAnsi"/>
                <w:sz w:val="24"/>
              </w:rPr>
            </w:pPr>
          </w:p>
        </w:tc>
        <w:tc>
          <w:tcPr>
            <w:tcW w:w="596" w:type="dxa"/>
            <w:tcBorders>
              <w:left w:val="nil"/>
              <w:bottom w:val="single" w:sz="4" w:space="0" w:color="auto"/>
              <w:right w:val="nil"/>
            </w:tcBorders>
            <w:vAlign w:val="center"/>
            <w:hideMark/>
          </w:tcPr>
          <w:p w14:paraId="361F2F2B" w14:textId="77777777" w:rsidR="000A0F6B" w:rsidRPr="00AB258D" w:rsidRDefault="000A0F6B" w:rsidP="00872346">
            <w:pPr>
              <w:rPr>
                <w:rFonts w:asciiTheme="minorHAnsi" w:hAnsiTheme="minorHAnsi" w:cstheme="minorHAnsi"/>
                <w:sz w:val="24"/>
              </w:rPr>
            </w:pPr>
            <w:r w:rsidRPr="00AB258D">
              <w:rPr>
                <w:rFonts w:asciiTheme="minorHAnsi" w:hAnsiTheme="minorHAnsi" w:cstheme="minorHAnsi"/>
                <w:bCs/>
                <w:sz w:val="24"/>
              </w:rPr>
              <w:t>SiO</w:t>
            </w:r>
            <w:r w:rsidRPr="00AB258D">
              <w:rPr>
                <w:rFonts w:asciiTheme="minorHAnsi" w:hAnsiTheme="minorHAnsi" w:cstheme="minorHAnsi"/>
                <w:sz w:val="24"/>
                <w:vertAlign w:val="subscript"/>
              </w:rPr>
              <w:t>2</w:t>
            </w:r>
          </w:p>
        </w:tc>
        <w:tc>
          <w:tcPr>
            <w:tcW w:w="703" w:type="dxa"/>
            <w:tcBorders>
              <w:left w:val="nil"/>
              <w:bottom w:val="single" w:sz="4" w:space="0" w:color="auto"/>
              <w:right w:val="nil"/>
            </w:tcBorders>
            <w:vAlign w:val="center"/>
            <w:hideMark/>
          </w:tcPr>
          <w:p w14:paraId="656160B5" w14:textId="77777777" w:rsidR="000A0F6B" w:rsidRPr="00AB258D" w:rsidRDefault="000A0F6B" w:rsidP="00872346">
            <w:pPr>
              <w:rPr>
                <w:rFonts w:asciiTheme="minorHAnsi" w:hAnsiTheme="minorHAnsi" w:cstheme="minorHAnsi"/>
                <w:sz w:val="24"/>
              </w:rPr>
            </w:pPr>
            <w:r w:rsidRPr="00AB258D">
              <w:rPr>
                <w:rFonts w:asciiTheme="minorHAnsi" w:hAnsiTheme="minorHAnsi" w:cstheme="minorHAnsi"/>
                <w:bCs/>
                <w:sz w:val="24"/>
              </w:rPr>
              <w:t>Al</w:t>
            </w:r>
            <w:r w:rsidRPr="00AB258D">
              <w:rPr>
                <w:rFonts w:asciiTheme="minorHAnsi" w:hAnsiTheme="minorHAnsi" w:cstheme="minorHAnsi"/>
                <w:sz w:val="24"/>
                <w:vertAlign w:val="subscript"/>
              </w:rPr>
              <w:t>2</w:t>
            </w:r>
            <w:r w:rsidRPr="00AB258D">
              <w:rPr>
                <w:rFonts w:asciiTheme="minorHAnsi" w:hAnsiTheme="minorHAnsi" w:cstheme="minorHAnsi"/>
                <w:sz w:val="24"/>
              </w:rPr>
              <w:t>O</w:t>
            </w:r>
            <w:r w:rsidRPr="00AB258D">
              <w:rPr>
                <w:rFonts w:asciiTheme="minorHAnsi" w:hAnsiTheme="minorHAnsi" w:cstheme="minorHAnsi"/>
                <w:sz w:val="24"/>
                <w:vertAlign w:val="subscript"/>
              </w:rPr>
              <w:t>3</w:t>
            </w:r>
          </w:p>
        </w:tc>
        <w:tc>
          <w:tcPr>
            <w:tcW w:w="730" w:type="dxa"/>
            <w:tcBorders>
              <w:left w:val="nil"/>
              <w:bottom w:val="single" w:sz="4" w:space="0" w:color="auto"/>
              <w:right w:val="nil"/>
            </w:tcBorders>
            <w:vAlign w:val="center"/>
            <w:hideMark/>
          </w:tcPr>
          <w:p w14:paraId="63C7E2A8" w14:textId="77777777" w:rsidR="000A0F6B" w:rsidRPr="00AB258D" w:rsidRDefault="000A0F6B" w:rsidP="00872346">
            <w:pPr>
              <w:rPr>
                <w:rFonts w:asciiTheme="minorHAnsi" w:hAnsiTheme="minorHAnsi" w:cstheme="minorHAnsi"/>
                <w:sz w:val="24"/>
              </w:rPr>
            </w:pPr>
            <w:r w:rsidRPr="00AB258D">
              <w:rPr>
                <w:rFonts w:asciiTheme="minorHAnsi" w:hAnsiTheme="minorHAnsi" w:cstheme="minorHAnsi"/>
                <w:bCs/>
                <w:sz w:val="24"/>
              </w:rPr>
              <w:t>Fe</w:t>
            </w:r>
            <w:r w:rsidRPr="00AB258D">
              <w:rPr>
                <w:rFonts w:asciiTheme="minorHAnsi" w:hAnsiTheme="minorHAnsi" w:cstheme="minorHAnsi"/>
                <w:sz w:val="24"/>
                <w:vertAlign w:val="subscript"/>
              </w:rPr>
              <w:t>2</w:t>
            </w:r>
            <w:r w:rsidRPr="00AB258D">
              <w:rPr>
                <w:rFonts w:asciiTheme="minorHAnsi" w:hAnsiTheme="minorHAnsi" w:cstheme="minorHAnsi"/>
                <w:sz w:val="24"/>
              </w:rPr>
              <w:t>O</w:t>
            </w:r>
            <w:r w:rsidRPr="00AB258D">
              <w:rPr>
                <w:rFonts w:asciiTheme="minorHAnsi" w:hAnsiTheme="minorHAnsi" w:cstheme="minorHAnsi"/>
                <w:sz w:val="24"/>
                <w:vertAlign w:val="subscript"/>
              </w:rPr>
              <w:t>3</w:t>
            </w:r>
          </w:p>
        </w:tc>
        <w:tc>
          <w:tcPr>
            <w:tcW w:w="613" w:type="dxa"/>
            <w:tcBorders>
              <w:left w:val="nil"/>
              <w:bottom w:val="single" w:sz="4" w:space="0" w:color="auto"/>
              <w:right w:val="nil"/>
            </w:tcBorders>
            <w:vAlign w:val="center"/>
            <w:hideMark/>
          </w:tcPr>
          <w:p w14:paraId="064F3E3F" w14:textId="77777777" w:rsidR="000A0F6B" w:rsidRPr="00AB258D" w:rsidRDefault="000A0F6B" w:rsidP="00872346">
            <w:pPr>
              <w:rPr>
                <w:rFonts w:asciiTheme="minorHAnsi" w:hAnsiTheme="minorHAnsi" w:cstheme="minorHAnsi"/>
                <w:sz w:val="24"/>
              </w:rPr>
            </w:pPr>
            <w:proofErr w:type="spellStart"/>
            <w:r w:rsidRPr="00AB258D">
              <w:rPr>
                <w:rFonts w:asciiTheme="minorHAnsi" w:hAnsiTheme="minorHAnsi" w:cstheme="minorHAnsi"/>
                <w:bCs/>
                <w:sz w:val="24"/>
              </w:rPr>
              <w:t>CaO</w:t>
            </w:r>
            <w:proofErr w:type="spellEnd"/>
          </w:p>
        </w:tc>
        <w:tc>
          <w:tcPr>
            <w:tcW w:w="667" w:type="dxa"/>
            <w:tcBorders>
              <w:left w:val="nil"/>
              <w:bottom w:val="single" w:sz="4" w:space="0" w:color="auto"/>
              <w:right w:val="nil"/>
            </w:tcBorders>
            <w:vAlign w:val="center"/>
            <w:hideMark/>
          </w:tcPr>
          <w:p w14:paraId="2913A9FD" w14:textId="77777777" w:rsidR="000A0F6B" w:rsidRPr="00AB258D" w:rsidRDefault="000A0F6B" w:rsidP="00872346">
            <w:pPr>
              <w:rPr>
                <w:rFonts w:asciiTheme="minorHAnsi" w:hAnsiTheme="minorHAnsi" w:cstheme="minorHAnsi"/>
                <w:sz w:val="24"/>
              </w:rPr>
            </w:pPr>
            <w:proofErr w:type="spellStart"/>
            <w:r w:rsidRPr="00AB258D">
              <w:rPr>
                <w:rFonts w:asciiTheme="minorHAnsi" w:hAnsiTheme="minorHAnsi" w:cstheme="minorHAnsi"/>
                <w:bCs/>
                <w:sz w:val="24"/>
              </w:rPr>
              <w:t>MgO</w:t>
            </w:r>
            <w:proofErr w:type="spellEnd"/>
          </w:p>
        </w:tc>
        <w:tc>
          <w:tcPr>
            <w:tcW w:w="596" w:type="dxa"/>
            <w:tcBorders>
              <w:left w:val="nil"/>
              <w:bottom w:val="single" w:sz="4" w:space="0" w:color="auto"/>
              <w:right w:val="nil"/>
            </w:tcBorders>
            <w:vAlign w:val="center"/>
            <w:hideMark/>
          </w:tcPr>
          <w:p w14:paraId="726D241A" w14:textId="77777777" w:rsidR="000A0F6B" w:rsidRPr="00AB258D" w:rsidRDefault="000A0F6B" w:rsidP="00872346">
            <w:pPr>
              <w:rPr>
                <w:rFonts w:asciiTheme="minorHAnsi" w:hAnsiTheme="minorHAnsi" w:cstheme="minorHAnsi"/>
                <w:sz w:val="24"/>
              </w:rPr>
            </w:pPr>
            <w:r w:rsidRPr="00AB258D">
              <w:rPr>
                <w:rFonts w:asciiTheme="minorHAnsi" w:hAnsiTheme="minorHAnsi" w:cstheme="minorHAnsi"/>
                <w:bCs/>
                <w:sz w:val="24"/>
              </w:rPr>
              <w:t>K</w:t>
            </w:r>
            <w:r w:rsidRPr="00AB258D">
              <w:rPr>
                <w:rFonts w:asciiTheme="minorHAnsi" w:hAnsiTheme="minorHAnsi" w:cstheme="minorHAnsi"/>
                <w:sz w:val="24"/>
                <w:vertAlign w:val="subscript"/>
              </w:rPr>
              <w:t>2</w:t>
            </w:r>
            <w:r w:rsidRPr="00AB258D">
              <w:rPr>
                <w:rFonts w:asciiTheme="minorHAnsi" w:hAnsiTheme="minorHAnsi" w:cstheme="minorHAnsi"/>
                <w:sz w:val="24"/>
              </w:rPr>
              <w:t>O</w:t>
            </w:r>
          </w:p>
        </w:tc>
        <w:tc>
          <w:tcPr>
            <w:tcW w:w="627" w:type="dxa"/>
            <w:tcBorders>
              <w:left w:val="nil"/>
              <w:bottom w:val="single" w:sz="4" w:space="0" w:color="auto"/>
              <w:right w:val="nil"/>
            </w:tcBorders>
            <w:vAlign w:val="center"/>
            <w:hideMark/>
          </w:tcPr>
          <w:p w14:paraId="600EE770" w14:textId="77777777" w:rsidR="000A0F6B" w:rsidRPr="00AB258D" w:rsidRDefault="000A0F6B" w:rsidP="00872346">
            <w:pPr>
              <w:rPr>
                <w:rFonts w:asciiTheme="minorHAnsi" w:hAnsiTheme="minorHAnsi" w:cstheme="minorHAnsi"/>
                <w:sz w:val="24"/>
              </w:rPr>
            </w:pPr>
            <w:r w:rsidRPr="00AB258D">
              <w:rPr>
                <w:rFonts w:asciiTheme="minorHAnsi" w:hAnsiTheme="minorHAnsi" w:cstheme="minorHAnsi"/>
                <w:bCs/>
                <w:sz w:val="24"/>
              </w:rPr>
              <w:t>TiO</w:t>
            </w:r>
            <w:r w:rsidRPr="00AB258D">
              <w:rPr>
                <w:rFonts w:asciiTheme="minorHAnsi" w:hAnsiTheme="minorHAnsi" w:cstheme="minorHAnsi"/>
                <w:sz w:val="24"/>
                <w:vertAlign w:val="subscript"/>
              </w:rPr>
              <w:t>2</w:t>
            </w:r>
          </w:p>
        </w:tc>
        <w:tc>
          <w:tcPr>
            <w:tcW w:w="680" w:type="dxa"/>
            <w:tcBorders>
              <w:left w:val="nil"/>
              <w:bottom w:val="single" w:sz="4" w:space="0" w:color="auto"/>
              <w:right w:val="nil"/>
            </w:tcBorders>
            <w:vAlign w:val="center"/>
            <w:hideMark/>
          </w:tcPr>
          <w:p w14:paraId="36D1A667" w14:textId="77777777" w:rsidR="000A0F6B" w:rsidRPr="00AB258D" w:rsidRDefault="000A0F6B" w:rsidP="00872346">
            <w:pPr>
              <w:rPr>
                <w:rFonts w:asciiTheme="minorHAnsi" w:hAnsiTheme="minorHAnsi" w:cstheme="minorHAnsi"/>
                <w:sz w:val="24"/>
              </w:rPr>
            </w:pPr>
            <w:r w:rsidRPr="00AB258D">
              <w:rPr>
                <w:rFonts w:asciiTheme="minorHAnsi" w:hAnsiTheme="minorHAnsi" w:cstheme="minorHAnsi"/>
                <w:bCs/>
                <w:sz w:val="24"/>
              </w:rPr>
              <w:t>Na</w:t>
            </w:r>
            <w:r w:rsidRPr="00AB258D">
              <w:rPr>
                <w:rFonts w:asciiTheme="minorHAnsi" w:hAnsiTheme="minorHAnsi" w:cstheme="minorHAnsi"/>
                <w:sz w:val="24"/>
                <w:vertAlign w:val="subscript"/>
              </w:rPr>
              <w:t>2</w:t>
            </w:r>
            <w:r w:rsidRPr="00AB258D">
              <w:rPr>
                <w:rFonts w:asciiTheme="minorHAnsi" w:hAnsiTheme="minorHAnsi" w:cstheme="minorHAnsi"/>
                <w:sz w:val="24"/>
              </w:rPr>
              <w:t>O</w:t>
            </w:r>
          </w:p>
        </w:tc>
        <w:tc>
          <w:tcPr>
            <w:tcW w:w="566" w:type="dxa"/>
            <w:tcBorders>
              <w:left w:val="nil"/>
              <w:bottom w:val="single" w:sz="4" w:space="0" w:color="auto"/>
              <w:right w:val="nil"/>
            </w:tcBorders>
            <w:vAlign w:val="center"/>
            <w:hideMark/>
          </w:tcPr>
          <w:p w14:paraId="23E99AC8" w14:textId="77777777" w:rsidR="000A0F6B" w:rsidRPr="00AB258D" w:rsidRDefault="000A0F6B" w:rsidP="00872346">
            <w:pPr>
              <w:rPr>
                <w:rFonts w:asciiTheme="minorHAnsi" w:hAnsiTheme="minorHAnsi" w:cstheme="minorHAnsi"/>
                <w:sz w:val="24"/>
              </w:rPr>
            </w:pPr>
            <w:r w:rsidRPr="00AB258D">
              <w:rPr>
                <w:rFonts w:asciiTheme="minorHAnsi" w:hAnsiTheme="minorHAnsi" w:cstheme="minorHAnsi"/>
                <w:bCs/>
                <w:sz w:val="24"/>
              </w:rPr>
              <w:t>SO</w:t>
            </w:r>
            <w:r w:rsidRPr="00AB258D">
              <w:rPr>
                <w:rFonts w:asciiTheme="minorHAnsi" w:hAnsiTheme="minorHAnsi" w:cstheme="minorHAnsi"/>
                <w:sz w:val="24"/>
                <w:vertAlign w:val="subscript"/>
              </w:rPr>
              <w:t>3</w:t>
            </w:r>
          </w:p>
        </w:tc>
        <w:tc>
          <w:tcPr>
            <w:tcW w:w="787" w:type="dxa"/>
            <w:tcBorders>
              <w:left w:val="nil"/>
              <w:bottom w:val="single" w:sz="4" w:space="0" w:color="auto"/>
              <w:right w:val="nil"/>
            </w:tcBorders>
            <w:vAlign w:val="center"/>
            <w:hideMark/>
          </w:tcPr>
          <w:p w14:paraId="53E3AA92" w14:textId="77777777" w:rsidR="000A0F6B" w:rsidRPr="00AB258D" w:rsidRDefault="000A0F6B" w:rsidP="00872346">
            <w:pPr>
              <w:rPr>
                <w:rFonts w:asciiTheme="minorHAnsi" w:hAnsiTheme="minorHAnsi" w:cstheme="minorHAnsi"/>
                <w:sz w:val="24"/>
              </w:rPr>
            </w:pPr>
            <w:r w:rsidRPr="00AB258D">
              <w:rPr>
                <w:rFonts w:asciiTheme="minorHAnsi" w:hAnsiTheme="minorHAnsi" w:cstheme="minorHAnsi"/>
                <w:bCs/>
                <w:sz w:val="24"/>
              </w:rPr>
              <w:t>Mn</w:t>
            </w:r>
            <w:r w:rsidRPr="00AB258D">
              <w:rPr>
                <w:rFonts w:asciiTheme="minorHAnsi" w:hAnsiTheme="minorHAnsi" w:cstheme="minorHAnsi"/>
                <w:sz w:val="24"/>
                <w:vertAlign w:val="subscript"/>
              </w:rPr>
              <w:t>2</w:t>
            </w:r>
            <w:r w:rsidRPr="00AB258D">
              <w:rPr>
                <w:rFonts w:asciiTheme="minorHAnsi" w:hAnsiTheme="minorHAnsi" w:cstheme="minorHAnsi"/>
                <w:sz w:val="24"/>
              </w:rPr>
              <w:t>O</w:t>
            </w:r>
            <w:r w:rsidRPr="00AB258D">
              <w:rPr>
                <w:rFonts w:asciiTheme="minorHAnsi" w:hAnsiTheme="minorHAnsi" w:cstheme="minorHAnsi"/>
                <w:sz w:val="24"/>
                <w:vertAlign w:val="subscript"/>
              </w:rPr>
              <w:t>3</w:t>
            </w:r>
          </w:p>
        </w:tc>
        <w:tc>
          <w:tcPr>
            <w:tcW w:w="573" w:type="dxa"/>
            <w:tcBorders>
              <w:left w:val="nil"/>
              <w:bottom w:val="single" w:sz="4" w:space="0" w:color="auto"/>
              <w:right w:val="nil"/>
            </w:tcBorders>
            <w:vAlign w:val="center"/>
            <w:hideMark/>
          </w:tcPr>
          <w:p w14:paraId="60137A8E" w14:textId="77777777" w:rsidR="000A0F6B" w:rsidRPr="00AB258D" w:rsidRDefault="000A0F6B" w:rsidP="00872346">
            <w:pPr>
              <w:rPr>
                <w:rFonts w:asciiTheme="minorHAnsi" w:hAnsiTheme="minorHAnsi" w:cstheme="minorHAnsi"/>
                <w:sz w:val="24"/>
              </w:rPr>
            </w:pPr>
            <w:r w:rsidRPr="00AB258D">
              <w:rPr>
                <w:rFonts w:asciiTheme="minorHAnsi" w:hAnsiTheme="minorHAnsi" w:cstheme="minorHAnsi"/>
                <w:bCs/>
                <w:sz w:val="24"/>
              </w:rPr>
              <w:t>LOI</w:t>
            </w:r>
          </w:p>
        </w:tc>
        <w:tc>
          <w:tcPr>
            <w:tcW w:w="1180" w:type="dxa"/>
            <w:tcBorders>
              <w:left w:val="nil"/>
              <w:bottom w:val="single" w:sz="4" w:space="0" w:color="auto"/>
              <w:right w:val="nil"/>
            </w:tcBorders>
          </w:tcPr>
          <w:p w14:paraId="6651796B" w14:textId="77777777" w:rsidR="000A0F6B" w:rsidRPr="00AB258D" w:rsidRDefault="000A0F6B" w:rsidP="00872346">
            <w:pPr>
              <w:rPr>
                <w:rFonts w:asciiTheme="minorHAnsi" w:hAnsiTheme="minorHAnsi" w:cstheme="minorHAnsi"/>
                <w:bCs/>
                <w:sz w:val="24"/>
              </w:rPr>
            </w:pPr>
          </w:p>
        </w:tc>
      </w:tr>
      <w:tr w:rsidR="00AB258D" w:rsidRPr="00AB258D" w14:paraId="66363987" w14:textId="77777777" w:rsidTr="00D221DC">
        <w:trPr>
          <w:trHeight w:val="620"/>
          <w:jc w:val="center"/>
        </w:trPr>
        <w:tc>
          <w:tcPr>
            <w:tcW w:w="1310" w:type="dxa"/>
            <w:tcBorders>
              <w:top w:val="nil"/>
              <w:left w:val="nil"/>
              <w:bottom w:val="nil"/>
              <w:right w:val="nil"/>
            </w:tcBorders>
            <w:noWrap/>
            <w:vAlign w:val="center"/>
          </w:tcPr>
          <w:p w14:paraId="0353BDB7"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Kaolinite</w:t>
            </w:r>
          </w:p>
        </w:tc>
        <w:tc>
          <w:tcPr>
            <w:tcW w:w="596" w:type="dxa"/>
            <w:tcBorders>
              <w:top w:val="nil"/>
              <w:left w:val="nil"/>
              <w:bottom w:val="nil"/>
              <w:right w:val="nil"/>
            </w:tcBorders>
            <w:vAlign w:val="center"/>
          </w:tcPr>
          <w:p w14:paraId="3EA1B4F3"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49</w:t>
            </w:r>
          </w:p>
        </w:tc>
        <w:tc>
          <w:tcPr>
            <w:tcW w:w="703" w:type="dxa"/>
            <w:tcBorders>
              <w:top w:val="nil"/>
              <w:left w:val="nil"/>
              <w:bottom w:val="nil"/>
              <w:right w:val="nil"/>
            </w:tcBorders>
            <w:vAlign w:val="center"/>
          </w:tcPr>
          <w:p w14:paraId="5CA7B335"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36</w:t>
            </w:r>
          </w:p>
        </w:tc>
        <w:tc>
          <w:tcPr>
            <w:tcW w:w="730" w:type="dxa"/>
            <w:tcBorders>
              <w:top w:val="nil"/>
              <w:left w:val="nil"/>
              <w:bottom w:val="nil"/>
              <w:right w:val="nil"/>
            </w:tcBorders>
            <w:vAlign w:val="center"/>
          </w:tcPr>
          <w:p w14:paraId="2892DC6F"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0.75</w:t>
            </w:r>
          </w:p>
        </w:tc>
        <w:tc>
          <w:tcPr>
            <w:tcW w:w="613" w:type="dxa"/>
            <w:tcBorders>
              <w:top w:val="nil"/>
              <w:left w:val="nil"/>
              <w:bottom w:val="nil"/>
              <w:right w:val="nil"/>
            </w:tcBorders>
            <w:vAlign w:val="center"/>
          </w:tcPr>
          <w:p w14:paraId="251F628C"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0.06</w:t>
            </w:r>
          </w:p>
        </w:tc>
        <w:tc>
          <w:tcPr>
            <w:tcW w:w="667" w:type="dxa"/>
            <w:tcBorders>
              <w:top w:val="nil"/>
              <w:left w:val="nil"/>
              <w:bottom w:val="nil"/>
              <w:right w:val="nil"/>
            </w:tcBorders>
            <w:vAlign w:val="center"/>
          </w:tcPr>
          <w:p w14:paraId="40144EA1"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0.3</w:t>
            </w:r>
          </w:p>
        </w:tc>
        <w:tc>
          <w:tcPr>
            <w:tcW w:w="596" w:type="dxa"/>
            <w:tcBorders>
              <w:top w:val="nil"/>
              <w:left w:val="nil"/>
              <w:bottom w:val="nil"/>
              <w:right w:val="nil"/>
            </w:tcBorders>
            <w:vAlign w:val="center"/>
          </w:tcPr>
          <w:p w14:paraId="6619520C"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1.85</w:t>
            </w:r>
          </w:p>
        </w:tc>
        <w:tc>
          <w:tcPr>
            <w:tcW w:w="627" w:type="dxa"/>
            <w:tcBorders>
              <w:top w:val="nil"/>
              <w:left w:val="nil"/>
              <w:bottom w:val="nil"/>
              <w:right w:val="nil"/>
            </w:tcBorders>
            <w:vAlign w:val="center"/>
          </w:tcPr>
          <w:p w14:paraId="746D9536"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0.02</w:t>
            </w:r>
          </w:p>
        </w:tc>
        <w:tc>
          <w:tcPr>
            <w:tcW w:w="680" w:type="dxa"/>
            <w:tcBorders>
              <w:top w:val="nil"/>
              <w:left w:val="nil"/>
              <w:bottom w:val="nil"/>
              <w:right w:val="nil"/>
            </w:tcBorders>
            <w:vAlign w:val="center"/>
          </w:tcPr>
          <w:p w14:paraId="2B022650"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0.1</w:t>
            </w:r>
          </w:p>
        </w:tc>
        <w:tc>
          <w:tcPr>
            <w:tcW w:w="566" w:type="dxa"/>
            <w:tcBorders>
              <w:top w:val="nil"/>
              <w:left w:val="nil"/>
              <w:bottom w:val="nil"/>
              <w:right w:val="nil"/>
            </w:tcBorders>
            <w:vAlign w:val="center"/>
          </w:tcPr>
          <w:p w14:paraId="0C84A1E8"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w:t>
            </w:r>
          </w:p>
        </w:tc>
        <w:tc>
          <w:tcPr>
            <w:tcW w:w="787" w:type="dxa"/>
            <w:tcBorders>
              <w:top w:val="nil"/>
              <w:left w:val="nil"/>
              <w:bottom w:val="nil"/>
              <w:right w:val="nil"/>
            </w:tcBorders>
            <w:vAlign w:val="center"/>
          </w:tcPr>
          <w:p w14:paraId="574408C3"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w:t>
            </w:r>
          </w:p>
        </w:tc>
        <w:tc>
          <w:tcPr>
            <w:tcW w:w="573" w:type="dxa"/>
            <w:tcBorders>
              <w:top w:val="nil"/>
              <w:left w:val="nil"/>
              <w:bottom w:val="nil"/>
              <w:right w:val="nil"/>
            </w:tcBorders>
            <w:vAlign w:val="center"/>
          </w:tcPr>
          <w:p w14:paraId="6811059E"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12</w:t>
            </w:r>
          </w:p>
        </w:tc>
        <w:tc>
          <w:tcPr>
            <w:tcW w:w="1180" w:type="dxa"/>
            <w:tcBorders>
              <w:top w:val="nil"/>
              <w:left w:val="nil"/>
              <w:bottom w:val="nil"/>
              <w:right w:val="nil"/>
            </w:tcBorders>
          </w:tcPr>
          <w:p w14:paraId="70116400" w14:textId="77777777" w:rsidR="000A0F6B" w:rsidRPr="00AB258D" w:rsidRDefault="000A0F6B" w:rsidP="00872346">
            <w:pPr>
              <w:rPr>
                <w:rFonts w:asciiTheme="minorHAnsi" w:hAnsiTheme="minorHAnsi" w:cstheme="minorHAnsi"/>
                <w:sz w:val="18"/>
              </w:rPr>
            </w:pPr>
          </w:p>
        </w:tc>
      </w:tr>
      <w:tr w:rsidR="00AB258D" w:rsidRPr="00AB258D" w14:paraId="2C69E34B" w14:textId="77777777" w:rsidTr="00D221DC">
        <w:trPr>
          <w:trHeight w:val="620"/>
          <w:jc w:val="center"/>
        </w:trPr>
        <w:tc>
          <w:tcPr>
            <w:tcW w:w="1310" w:type="dxa"/>
            <w:tcBorders>
              <w:top w:val="nil"/>
              <w:left w:val="nil"/>
              <w:bottom w:val="nil"/>
              <w:right w:val="nil"/>
            </w:tcBorders>
            <w:noWrap/>
            <w:vAlign w:val="center"/>
          </w:tcPr>
          <w:p w14:paraId="4949CEAD"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Bentonite</w:t>
            </w:r>
          </w:p>
        </w:tc>
        <w:tc>
          <w:tcPr>
            <w:tcW w:w="596" w:type="dxa"/>
            <w:tcBorders>
              <w:top w:val="nil"/>
              <w:left w:val="nil"/>
              <w:bottom w:val="nil"/>
              <w:right w:val="nil"/>
            </w:tcBorders>
            <w:vAlign w:val="center"/>
          </w:tcPr>
          <w:p w14:paraId="2F8AAC7F"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57.1</w:t>
            </w:r>
          </w:p>
        </w:tc>
        <w:tc>
          <w:tcPr>
            <w:tcW w:w="703" w:type="dxa"/>
            <w:tcBorders>
              <w:top w:val="nil"/>
              <w:left w:val="nil"/>
              <w:bottom w:val="nil"/>
              <w:right w:val="nil"/>
            </w:tcBorders>
            <w:vAlign w:val="center"/>
          </w:tcPr>
          <w:p w14:paraId="76086252"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17.79</w:t>
            </w:r>
          </w:p>
        </w:tc>
        <w:tc>
          <w:tcPr>
            <w:tcW w:w="730" w:type="dxa"/>
            <w:tcBorders>
              <w:top w:val="nil"/>
              <w:left w:val="nil"/>
              <w:bottom w:val="nil"/>
              <w:right w:val="nil"/>
            </w:tcBorders>
            <w:vAlign w:val="center"/>
          </w:tcPr>
          <w:p w14:paraId="3AB0C9FE"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4.64</w:t>
            </w:r>
          </w:p>
        </w:tc>
        <w:tc>
          <w:tcPr>
            <w:tcW w:w="613" w:type="dxa"/>
            <w:tcBorders>
              <w:top w:val="nil"/>
              <w:left w:val="nil"/>
              <w:bottom w:val="nil"/>
              <w:right w:val="nil"/>
            </w:tcBorders>
            <w:vAlign w:val="center"/>
          </w:tcPr>
          <w:p w14:paraId="2B41E5D3"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3.98</w:t>
            </w:r>
          </w:p>
        </w:tc>
        <w:tc>
          <w:tcPr>
            <w:tcW w:w="667" w:type="dxa"/>
            <w:tcBorders>
              <w:top w:val="nil"/>
              <w:left w:val="nil"/>
              <w:bottom w:val="nil"/>
              <w:right w:val="nil"/>
            </w:tcBorders>
            <w:vAlign w:val="center"/>
          </w:tcPr>
          <w:p w14:paraId="1A1A8D3F"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3.68</w:t>
            </w:r>
          </w:p>
        </w:tc>
        <w:tc>
          <w:tcPr>
            <w:tcW w:w="596" w:type="dxa"/>
            <w:tcBorders>
              <w:top w:val="nil"/>
              <w:left w:val="nil"/>
              <w:bottom w:val="nil"/>
              <w:right w:val="nil"/>
            </w:tcBorders>
            <w:vAlign w:val="center"/>
          </w:tcPr>
          <w:p w14:paraId="07A96934"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0.9</w:t>
            </w:r>
          </w:p>
        </w:tc>
        <w:tc>
          <w:tcPr>
            <w:tcW w:w="627" w:type="dxa"/>
            <w:tcBorders>
              <w:top w:val="nil"/>
              <w:left w:val="nil"/>
              <w:bottom w:val="nil"/>
              <w:right w:val="nil"/>
            </w:tcBorders>
            <w:vAlign w:val="center"/>
          </w:tcPr>
          <w:p w14:paraId="0935B607"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0.77</w:t>
            </w:r>
          </w:p>
        </w:tc>
        <w:tc>
          <w:tcPr>
            <w:tcW w:w="680" w:type="dxa"/>
            <w:tcBorders>
              <w:top w:val="nil"/>
              <w:left w:val="nil"/>
              <w:bottom w:val="nil"/>
              <w:right w:val="nil"/>
            </w:tcBorders>
            <w:vAlign w:val="center"/>
          </w:tcPr>
          <w:p w14:paraId="6C94DE9E"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3.27</w:t>
            </w:r>
          </w:p>
        </w:tc>
        <w:tc>
          <w:tcPr>
            <w:tcW w:w="566" w:type="dxa"/>
            <w:tcBorders>
              <w:top w:val="nil"/>
              <w:left w:val="nil"/>
              <w:bottom w:val="nil"/>
              <w:right w:val="nil"/>
            </w:tcBorders>
            <w:vAlign w:val="center"/>
          </w:tcPr>
          <w:p w14:paraId="262D3675"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0.11</w:t>
            </w:r>
          </w:p>
        </w:tc>
        <w:tc>
          <w:tcPr>
            <w:tcW w:w="787" w:type="dxa"/>
            <w:tcBorders>
              <w:top w:val="nil"/>
              <w:left w:val="nil"/>
              <w:bottom w:val="nil"/>
              <w:right w:val="nil"/>
            </w:tcBorders>
            <w:vAlign w:val="center"/>
          </w:tcPr>
          <w:p w14:paraId="2F8EDF13"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0.06</w:t>
            </w:r>
          </w:p>
        </w:tc>
        <w:tc>
          <w:tcPr>
            <w:tcW w:w="573" w:type="dxa"/>
            <w:tcBorders>
              <w:top w:val="nil"/>
              <w:left w:val="nil"/>
              <w:bottom w:val="nil"/>
              <w:right w:val="nil"/>
            </w:tcBorders>
            <w:vAlign w:val="center"/>
          </w:tcPr>
          <w:p w14:paraId="1710BB10"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7.85</w:t>
            </w:r>
          </w:p>
        </w:tc>
        <w:tc>
          <w:tcPr>
            <w:tcW w:w="1180" w:type="dxa"/>
            <w:tcBorders>
              <w:top w:val="nil"/>
              <w:left w:val="nil"/>
              <w:bottom w:val="nil"/>
              <w:right w:val="nil"/>
            </w:tcBorders>
          </w:tcPr>
          <w:p w14:paraId="77E52283" w14:textId="77777777" w:rsidR="000A0F6B" w:rsidRPr="00AB258D" w:rsidRDefault="000A0F6B" w:rsidP="00872346">
            <w:pPr>
              <w:rPr>
                <w:rFonts w:asciiTheme="minorHAnsi" w:hAnsiTheme="minorHAnsi" w:cstheme="minorHAnsi"/>
                <w:sz w:val="18"/>
              </w:rPr>
            </w:pPr>
          </w:p>
        </w:tc>
      </w:tr>
      <w:tr w:rsidR="00AB258D" w:rsidRPr="00AB258D" w14:paraId="7844134C" w14:textId="77777777" w:rsidTr="00D221DC">
        <w:trPr>
          <w:trHeight w:val="620"/>
          <w:jc w:val="center"/>
        </w:trPr>
        <w:tc>
          <w:tcPr>
            <w:tcW w:w="1310" w:type="dxa"/>
            <w:tcBorders>
              <w:top w:val="nil"/>
              <w:left w:val="nil"/>
              <w:bottom w:val="nil"/>
              <w:right w:val="nil"/>
            </w:tcBorders>
            <w:noWrap/>
            <w:vAlign w:val="center"/>
          </w:tcPr>
          <w:p w14:paraId="754176B4"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CEM I</w:t>
            </w:r>
          </w:p>
        </w:tc>
        <w:tc>
          <w:tcPr>
            <w:tcW w:w="596" w:type="dxa"/>
            <w:tcBorders>
              <w:top w:val="nil"/>
              <w:left w:val="nil"/>
              <w:bottom w:val="nil"/>
              <w:right w:val="nil"/>
            </w:tcBorders>
            <w:vAlign w:val="center"/>
          </w:tcPr>
          <w:p w14:paraId="6B73DC03"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20.7</w:t>
            </w:r>
          </w:p>
        </w:tc>
        <w:tc>
          <w:tcPr>
            <w:tcW w:w="703" w:type="dxa"/>
            <w:tcBorders>
              <w:top w:val="nil"/>
              <w:left w:val="nil"/>
              <w:bottom w:val="nil"/>
              <w:right w:val="nil"/>
            </w:tcBorders>
            <w:vAlign w:val="center"/>
          </w:tcPr>
          <w:p w14:paraId="56CC4C69"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4.6</w:t>
            </w:r>
          </w:p>
        </w:tc>
        <w:tc>
          <w:tcPr>
            <w:tcW w:w="730" w:type="dxa"/>
            <w:tcBorders>
              <w:top w:val="nil"/>
              <w:left w:val="nil"/>
              <w:bottom w:val="nil"/>
              <w:right w:val="nil"/>
            </w:tcBorders>
            <w:vAlign w:val="center"/>
          </w:tcPr>
          <w:p w14:paraId="769C3294"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2.3</w:t>
            </w:r>
          </w:p>
        </w:tc>
        <w:tc>
          <w:tcPr>
            <w:tcW w:w="613" w:type="dxa"/>
            <w:tcBorders>
              <w:top w:val="nil"/>
              <w:left w:val="nil"/>
              <w:bottom w:val="nil"/>
              <w:right w:val="nil"/>
            </w:tcBorders>
            <w:vAlign w:val="center"/>
          </w:tcPr>
          <w:p w14:paraId="614D612F"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64.0</w:t>
            </w:r>
          </w:p>
        </w:tc>
        <w:tc>
          <w:tcPr>
            <w:tcW w:w="667" w:type="dxa"/>
            <w:tcBorders>
              <w:top w:val="nil"/>
              <w:left w:val="nil"/>
              <w:bottom w:val="nil"/>
              <w:right w:val="nil"/>
            </w:tcBorders>
            <w:vAlign w:val="center"/>
          </w:tcPr>
          <w:p w14:paraId="70962701"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1.7</w:t>
            </w:r>
          </w:p>
        </w:tc>
        <w:tc>
          <w:tcPr>
            <w:tcW w:w="596" w:type="dxa"/>
            <w:tcBorders>
              <w:top w:val="nil"/>
              <w:left w:val="nil"/>
              <w:bottom w:val="nil"/>
              <w:right w:val="nil"/>
            </w:tcBorders>
            <w:vAlign w:val="center"/>
          </w:tcPr>
          <w:p w14:paraId="4B6356E3"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0.4</w:t>
            </w:r>
          </w:p>
        </w:tc>
        <w:tc>
          <w:tcPr>
            <w:tcW w:w="627" w:type="dxa"/>
            <w:tcBorders>
              <w:top w:val="nil"/>
              <w:left w:val="nil"/>
              <w:bottom w:val="nil"/>
              <w:right w:val="nil"/>
            </w:tcBorders>
            <w:vAlign w:val="center"/>
          </w:tcPr>
          <w:p w14:paraId="3D091051"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0.3</w:t>
            </w:r>
          </w:p>
        </w:tc>
        <w:tc>
          <w:tcPr>
            <w:tcW w:w="680" w:type="dxa"/>
            <w:tcBorders>
              <w:top w:val="nil"/>
              <w:left w:val="nil"/>
              <w:bottom w:val="nil"/>
              <w:right w:val="nil"/>
            </w:tcBorders>
            <w:vAlign w:val="center"/>
          </w:tcPr>
          <w:p w14:paraId="1FC3C2B4"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0.1</w:t>
            </w:r>
          </w:p>
        </w:tc>
        <w:tc>
          <w:tcPr>
            <w:tcW w:w="566" w:type="dxa"/>
            <w:tcBorders>
              <w:top w:val="nil"/>
              <w:left w:val="nil"/>
              <w:bottom w:val="nil"/>
              <w:right w:val="nil"/>
            </w:tcBorders>
            <w:vAlign w:val="center"/>
          </w:tcPr>
          <w:p w14:paraId="34112D9C"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2.9</w:t>
            </w:r>
          </w:p>
        </w:tc>
        <w:tc>
          <w:tcPr>
            <w:tcW w:w="787" w:type="dxa"/>
            <w:tcBorders>
              <w:top w:val="nil"/>
              <w:left w:val="nil"/>
              <w:bottom w:val="nil"/>
              <w:right w:val="nil"/>
            </w:tcBorders>
            <w:vAlign w:val="center"/>
          </w:tcPr>
          <w:p w14:paraId="120F98AF"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0.1</w:t>
            </w:r>
          </w:p>
        </w:tc>
        <w:tc>
          <w:tcPr>
            <w:tcW w:w="573" w:type="dxa"/>
            <w:tcBorders>
              <w:top w:val="nil"/>
              <w:left w:val="nil"/>
              <w:bottom w:val="nil"/>
              <w:right w:val="nil"/>
            </w:tcBorders>
            <w:vAlign w:val="center"/>
          </w:tcPr>
          <w:p w14:paraId="7B613156"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2.9</w:t>
            </w:r>
          </w:p>
        </w:tc>
        <w:tc>
          <w:tcPr>
            <w:tcW w:w="1180" w:type="dxa"/>
            <w:tcBorders>
              <w:top w:val="nil"/>
              <w:left w:val="nil"/>
              <w:bottom w:val="nil"/>
              <w:right w:val="nil"/>
            </w:tcBorders>
          </w:tcPr>
          <w:p w14:paraId="5AAEA02F" w14:textId="77777777" w:rsidR="000A0F6B" w:rsidRPr="00AB258D" w:rsidRDefault="000A0F6B" w:rsidP="00872346">
            <w:pPr>
              <w:rPr>
                <w:rFonts w:asciiTheme="minorHAnsi" w:hAnsiTheme="minorHAnsi" w:cstheme="minorHAnsi"/>
                <w:sz w:val="18"/>
              </w:rPr>
            </w:pPr>
          </w:p>
        </w:tc>
      </w:tr>
      <w:tr w:rsidR="00AB258D" w:rsidRPr="00AB258D" w14:paraId="0C25A99B" w14:textId="77777777" w:rsidTr="00D221DC">
        <w:trPr>
          <w:trHeight w:val="620"/>
          <w:jc w:val="center"/>
        </w:trPr>
        <w:tc>
          <w:tcPr>
            <w:tcW w:w="1310" w:type="dxa"/>
            <w:tcBorders>
              <w:top w:val="nil"/>
              <w:left w:val="nil"/>
              <w:bottom w:val="nil"/>
              <w:right w:val="nil"/>
            </w:tcBorders>
            <w:noWrap/>
            <w:vAlign w:val="center"/>
          </w:tcPr>
          <w:p w14:paraId="66A53DD9"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GGBS</w:t>
            </w:r>
          </w:p>
        </w:tc>
        <w:tc>
          <w:tcPr>
            <w:tcW w:w="596" w:type="dxa"/>
            <w:tcBorders>
              <w:top w:val="nil"/>
              <w:left w:val="nil"/>
              <w:bottom w:val="nil"/>
              <w:right w:val="nil"/>
            </w:tcBorders>
            <w:vAlign w:val="center"/>
          </w:tcPr>
          <w:p w14:paraId="6C4295C1"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34.1</w:t>
            </w:r>
          </w:p>
        </w:tc>
        <w:tc>
          <w:tcPr>
            <w:tcW w:w="703" w:type="dxa"/>
            <w:tcBorders>
              <w:top w:val="nil"/>
              <w:left w:val="nil"/>
              <w:bottom w:val="nil"/>
              <w:right w:val="nil"/>
            </w:tcBorders>
            <w:vAlign w:val="center"/>
          </w:tcPr>
          <w:p w14:paraId="51780AD8"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13.0</w:t>
            </w:r>
          </w:p>
        </w:tc>
        <w:tc>
          <w:tcPr>
            <w:tcW w:w="730" w:type="dxa"/>
            <w:tcBorders>
              <w:top w:val="nil"/>
              <w:left w:val="nil"/>
              <w:bottom w:val="nil"/>
              <w:right w:val="nil"/>
            </w:tcBorders>
            <w:vAlign w:val="center"/>
          </w:tcPr>
          <w:p w14:paraId="0544D285"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0.51</w:t>
            </w:r>
          </w:p>
        </w:tc>
        <w:tc>
          <w:tcPr>
            <w:tcW w:w="613" w:type="dxa"/>
            <w:tcBorders>
              <w:top w:val="nil"/>
              <w:left w:val="nil"/>
              <w:bottom w:val="nil"/>
              <w:right w:val="nil"/>
            </w:tcBorders>
            <w:vAlign w:val="center"/>
          </w:tcPr>
          <w:p w14:paraId="3C4CE7D2"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39.0</w:t>
            </w:r>
          </w:p>
        </w:tc>
        <w:tc>
          <w:tcPr>
            <w:tcW w:w="667" w:type="dxa"/>
            <w:tcBorders>
              <w:top w:val="nil"/>
              <w:left w:val="nil"/>
              <w:bottom w:val="nil"/>
              <w:right w:val="nil"/>
            </w:tcBorders>
            <w:vAlign w:val="center"/>
          </w:tcPr>
          <w:p w14:paraId="6D664345"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9.5</w:t>
            </w:r>
          </w:p>
        </w:tc>
        <w:tc>
          <w:tcPr>
            <w:tcW w:w="596" w:type="dxa"/>
            <w:tcBorders>
              <w:top w:val="nil"/>
              <w:left w:val="nil"/>
              <w:bottom w:val="nil"/>
              <w:right w:val="nil"/>
            </w:tcBorders>
            <w:vAlign w:val="center"/>
          </w:tcPr>
          <w:p w14:paraId="072FA20F"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0.5</w:t>
            </w:r>
          </w:p>
        </w:tc>
        <w:tc>
          <w:tcPr>
            <w:tcW w:w="627" w:type="dxa"/>
            <w:tcBorders>
              <w:top w:val="nil"/>
              <w:left w:val="nil"/>
              <w:bottom w:val="nil"/>
              <w:right w:val="nil"/>
            </w:tcBorders>
            <w:vAlign w:val="center"/>
          </w:tcPr>
          <w:p w14:paraId="4968D3D1"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1.3</w:t>
            </w:r>
          </w:p>
        </w:tc>
        <w:tc>
          <w:tcPr>
            <w:tcW w:w="680" w:type="dxa"/>
            <w:tcBorders>
              <w:top w:val="nil"/>
              <w:left w:val="nil"/>
              <w:bottom w:val="nil"/>
              <w:right w:val="nil"/>
            </w:tcBorders>
            <w:vAlign w:val="center"/>
          </w:tcPr>
          <w:p w14:paraId="5592E5DF"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0.3</w:t>
            </w:r>
          </w:p>
        </w:tc>
        <w:tc>
          <w:tcPr>
            <w:tcW w:w="566" w:type="dxa"/>
            <w:tcBorders>
              <w:top w:val="nil"/>
              <w:left w:val="nil"/>
              <w:bottom w:val="nil"/>
              <w:right w:val="nil"/>
            </w:tcBorders>
            <w:vAlign w:val="center"/>
          </w:tcPr>
          <w:p w14:paraId="7F8979E5"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0.3</w:t>
            </w:r>
          </w:p>
        </w:tc>
        <w:tc>
          <w:tcPr>
            <w:tcW w:w="787" w:type="dxa"/>
            <w:tcBorders>
              <w:top w:val="nil"/>
              <w:left w:val="nil"/>
              <w:bottom w:val="nil"/>
              <w:right w:val="nil"/>
            </w:tcBorders>
            <w:vAlign w:val="center"/>
          </w:tcPr>
          <w:p w14:paraId="581636E2"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0.7</w:t>
            </w:r>
          </w:p>
        </w:tc>
        <w:tc>
          <w:tcPr>
            <w:tcW w:w="573" w:type="dxa"/>
            <w:tcBorders>
              <w:top w:val="nil"/>
              <w:left w:val="nil"/>
              <w:bottom w:val="nil"/>
              <w:right w:val="nil"/>
            </w:tcBorders>
            <w:vAlign w:val="center"/>
          </w:tcPr>
          <w:p w14:paraId="67445D22"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1.9</w:t>
            </w:r>
          </w:p>
        </w:tc>
        <w:tc>
          <w:tcPr>
            <w:tcW w:w="1180" w:type="dxa"/>
            <w:tcBorders>
              <w:top w:val="nil"/>
              <w:left w:val="nil"/>
              <w:bottom w:val="nil"/>
              <w:right w:val="nil"/>
            </w:tcBorders>
          </w:tcPr>
          <w:p w14:paraId="44B5C3CF" w14:textId="77777777" w:rsidR="000A0F6B" w:rsidRPr="00AB258D" w:rsidRDefault="000A0F6B" w:rsidP="00872346">
            <w:pPr>
              <w:rPr>
                <w:rFonts w:asciiTheme="minorHAnsi" w:hAnsiTheme="minorHAnsi" w:cstheme="minorHAnsi"/>
                <w:sz w:val="24"/>
              </w:rPr>
            </w:pPr>
          </w:p>
        </w:tc>
      </w:tr>
      <w:tr w:rsidR="00AB258D" w:rsidRPr="00AB258D" w14:paraId="34CDB958" w14:textId="77777777" w:rsidTr="00D221DC">
        <w:trPr>
          <w:trHeight w:val="620"/>
          <w:jc w:val="center"/>
        </w:trPr>
        <w:tc>
          <w:tcPr>
            <w:tcW w:w="1310" w:type="dxa"/>
            <w:tcBorders>
              <w:top w:val="nil"/>
              <w:left w:val="nil"/>
              <w:bottom w:val="nil"/>
              <w:right w:val="nil"/>
            </w:tcBorders>
            <w:noWrap/>
            <w:vAlign w:val="center"/>
          </w:tcPr>
          <w:p w14:paraId="1BE844C6"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PFA</w:t>
            </w:r>
          </w:p>
        </w:tc>
        <w:tc>
          <w:tcPr>
            <w:tcW w:w="596" w:type="dxa"/>
            <w:tcBorders>
              <w:top w:val="nil"/>
              <w:left w:val="nil"/>
              <w:bottom w:val="nil"/>
              <w:right w:val="nil"/>
            </w:tcBorders>
            <w:vAlign w:val="center"/>
          </w:tcPr>
          <w:p w14:paraId="38A332E0"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52.1</w:t>
            </w:r>
          </w:p>
        </w:tc>
        <w:tc>
          <w:tcPr>
            <w:tcW w:w="703" w:type="dxa"/>
            <w:tcBorders>
              <w:top w:val="nil"/>
              <w:left w:val="nil"/>
              <w:bottom w:val="nil"/>
              <w:right w:val="nil"/>
            </w:tcBorders>
            <w:vAlign w:val="center"/>
          </w:tcPr>
          <w:p w14:paraId="67E39822"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30.1</w:t>
            </w:r>
          </w:p>
        </w:tc>
        <w:tc>
          <w:tcPr>
            <w:tcW w:w="730" w:type="dxa"/>
            <w:tcBorders>
              <w:top w:val="nil"/>
              <w:left w:val="nil"/>
              <w:bottom w:val="nil"/>
              <w:right w:val="nil"/>
            </w:tcBorders>
            <w:vAlign w:val="center"/>
          </w:tcPr>
          <w:p w14:paraId="21504B9C"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4.0</w:t>
            </w:r>
          </w:p>
        </w:tc>
        <w:tc>
          <w:tcPr>
            <w:tcW w:w="613" w:type="dxa"/>
            <w:tcBorders>
              <w:top w:val="nil"/>
              <w:left w:val="nil"/>
              <w:bottom w:val="nil"/>
              <w:right w:val="nil"/>
            </w:tcBorders>
            <w:vAlign w:val="center"/>
          </w:tcPr>
          <w:p w14:paraId="207171CC"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3.0</w:t>
            </w:r>
          </w:p>
        </w:tc>
        <w:tc>
          <w:tcPr>
            <w:tcW w:w="667" w:type="dxa"/>
            <w:tcBorders>
              <w:top w:val="nil"/>
              <w:left w:val="nil"/>
              <w:bottom w:val="nil"/>
              <w:right w:val="nil"/>
            </w:tcBorders>
            <w:vAlign w:val="center"/>
          </w:tcPr>
          <w:p w14:paraId="3B275595"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1.0</w:t>
            </w:r>
          </w:p>
        </w:tc>
        <w:tc>
          <w:tcPr>
            <w:tcW w:w="596" w:type="dxa"/>
            <w:tcBorders>
              <w:top w:val="nil"/>
              <w:left w:val="nil"/>
              <w:bottom w:val="nil"/>
              <w:right w:val="nil"/>
            </w:tcBorders>
            <w:vAlign w:val="center"/>
          </w:tcPr>
          <w:p w14:paraId="6F0B10FD"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2.1</w:t>
            </w:r>
          </w:p>
        </w:tc>
        <w:tc>
          <w:tcPr>
            <w:tcW w:w="627" w:type="dxa"/>
            <w:tcBorders>
              <w:top w:val="nil"/>
              <w:left w:val="nil"/>
              <w:bottom w:val="nil"/>
              <w:right w:val="nil"/>
            </w:tcBorders>
            <w:vAlign w:val="center"/>
          </w:tcPr>
          <w:p w14:paraId="1697AE47"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1.0</w:t>
            </w:r>
          </w:p>
        </w:tc>
        <w:tc>
          <w:tcPr>
            <w:tcW w:w="680" w:type="dxa"/>
            <w:tcBorders>
              <w:top w:val="nil"/>
              <w:left w:val="nil"/>
              <w:bottom w:val="nil"/>
              <w:right w:val="nil"/>
            </w:tcBorders>
            <w:vAlign w:val="center"/>
          </w:tcPr>
          <w:p w14:paraId="540590B7"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2.1</w:t>
            </w:r>
          </w:p>
        </w:tc>
        <w:tc>
          <w:tcPr>
            <w:tcW w:w="566" w:type="dxa"/>
            <w:tcBorders>
              <w:top w:val="nil"/>
              <w:left w:val="nil"/>
              <w:bottom w:val="nil"/>
              <w:right w:val="nil"/>
            </w:tcBorders>
            <w:vAlign w:val="center"/>
          </w:tcPr>
          <w:p w14:paraId="748D9BC9"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1.2</w:t>
            </w:r>
          </w:p>
        </w:tc>
        <w:tc>
          <w:tcPr>
            <w:tcW w:w="787" w:type="dxa"/>
            <w:tcBorders>
              <w:top w:val="nil"/>
              <w:left w:val="nil"/>
              <w:bottom w:val="nil"/>
              <w:right w:val="nil"/>
            </w:tcBorders>
            <w:vAlign w:val="center"/>
          </w:tcPr>
          <w:p w14:paraId="779E7004"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w:t>
            </w:r>
          </w:p>
        </w:tc>
        <w:tc>
          <w:tcPr>
            <w:tcW w:w="573" w:type="dxa"/>
            <w:tcBorders>
              <w:top w:val="nil"/>
              <w:left w:val="nil"/>
              <w:bottom w:val="nil"/>
              <w:right w:val="nil"/>
            </w:tcBorders>
            <w:vAlign w:val="center"/>
          </w:tcPr>
          <w:p w14:paraId="143C4F5A"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4.0</w:t>
            </w:r>
          </w:p>
        </w:tc>
        <w:tc>
          <w:tcPr>
            <w:tcW w:w="1180" w:type="dxa"/>
            <w:tcBorders>
              <w:top w:val="nil"/>
              <w:left w:val="nil"/>
              <w:bottom w:val="nil"/>
              <w:right w:val="nil"/>
            </w:tcBorders>
          </w:tcPr>
          <w:p w14:paraId="68BCF9F2" w14:textId="77777777" w:rsidR="000A0F6B" w:rsidRPr="00AB258D" w:rsidRDefault="000A0F6B" w:rsidP="00872346">
            <w:pPr>
              <w:rPr>
                <w:rFonts w:asciiTheme="minorHAnsi" w:hAnsiTheme="minorHAnsi" w:cstheme="minorHAnsi"/>
                <w:sz w:val="24"/>
              </w:rPr>
            </w:pPr>
          </w:p>
        </w:tc>
      </w:tr>
      <w:tr w:rsidR="00AB258D" w:rsidRPr="00AB258D" w14:paraId="26A3A3AF" w14:textId="77777777" w:rsidTr="00D221DC">
        <w:trPr>
          <w:trHeight w:val="620"/>
          <w:jc w:val="center"/>
        </w:trPr>
        <w:tc>
          <w:tcPr>
            <w:tcW w:w="1310" w:type="dxa"/>
            <w:tcBorders>
              <w:top w:val="nil"/>
              <w:left w:val="nil"/>
              <w:bottom w:val="single" w:sz="4" w:space="0" w:color="auto"/>
              <w:right w:val="nil"/>
            </w:tcBorders>
            <w:noWrap/>
            <w:vAlign w:val="center"/>
          </w:tcPr>
          <w:p w14:paraId="534C252E"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RC</w:t>
            </w:r>
            <w:r w:rsidRPr="00AB258D">
              <w:rPr>
                <w:rFonts w:asciiTheme="minorHAnsi" w:hAnsiTheme="minorHAnsi" w:cstheme="minorHAnsi"/>
                <w:sz w:val="24"/>
                <w:vertAlign w:val="superscript"/>
              </w:rPr>
              <w:t>1</w:t>
            </w:r>
          </w:p>
        </w:tc>
        <w:tc>
          <w:tcPr>
            <w:tcW w:w="596" w:type="dxa"/>
            <w:tcBorders>
              <w:top w:val="nil"/>
              <w:left w:val="nil"/>
              <w:bottom w:val="single" w:sz="4" w:space="0" w:color="auto"/>
              <w:right w:val="nil"/>
            </w:tcBorders>
            <w:vAlign w:val="center"/>
          </w:tcPr>
          <w:p w14:paraId="2B3B491A"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21.2</w:t>
            </w:r>
          </w:p>
        </w:tc>
        <w:tc>
          <w:tcPr>
            <w:tcW w:w="703" w:type="dxa"/>
            <w:tcBorders>
              <w:top w:val="nil"/>
              <w:left w:val="nil"/>
              <w:bottom w:val="single" w:sz="4" w:space="0" w:color="auto"/>
              <w:right w:val="nil"/>
            </w:tcBorders>
            <w:vAlign w:val="center"/>
          </w:tcPr>
          <w:p w14:paraId="1C7039CC"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1.7</w:t>
            </w:r>
          </w:p>
        </w:tc>
        <w:tc>
          <w:tcPr>
            <w:tcW w:w="730" w:type="dxa"/>
            <w:tcBorders>
              <w:top w:val="nil"/>
              <w:left w:val="nil"/>
              <w:bottom w:val="single" w:sz="4" w:space="0" w:color="auto"/>
              <w:right w:val="nil"/>
            </w:tcBorders>
            <w:vAlign w:val="center"/>
          </w:tcPr>
          <w:p w14:paraId="1866084D"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0.63</w:t>
            </w:r>
          </w:p>
        </w:tc>
        <w:tc>
          <w:tcPr>
            <w:tcW w:w="613" w:type="dxa"/>
            <w:tcBorders>
              <w:top w:val="nil"/>
              <w:left w:val="nil"/>
              <w:bottom w:val="single" w:sz="4" w:space="0" w:color="auto"/>
              <w:right w:val="nil"/>
            </w:tcBorders>
            <w:vAlign w:val="center"/>
          </w:tcPr>
          <w:p w14:paraId="1D592680"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47.1</w:t>
            </w:r>
          </w:p>
        </w:tc>
        <w:tc>
          <w:tcPr>
            <w:tcW w:w="667" w:type="dxa"/>
            <w:tcBorders>
              <w:top w:val="nil"/>
              <w:left w:val="nil"/>
              <w:bottom w:val="single" w:sz="4" w:space="0" w:color="auto"/>
              <w:right w:val="nil"/>
            </w:tcBorders>
            <w:vAlign w:val="center"/>
          </w:tcPr>
          <w:p w14:paraId="0026BCA5"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4.0</w:t>
            </w:r>
          </w:p>
        </w:tc>
        <w:tc>
          <w:tcPr>
            <w:tcW w:w="596" w:type="dxa"/>
            <w:tcBorders>
              <w:top w:val="nil"/>
              <w:left w:val="nil"/>
              <w:bottom w:val="single" w:sz="4" w:space="0" w:color="auto"/>
              <w:right w:val="nil"/>
            </w:tcBorders>
            <w:vAlign w:val="center"/>
          </w:tcPr>
          <w:p w14:paraId="691FA5A2"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7.46</w:t>
            </w:r>
          </w:p>
        </w:tc>
        <w:tc>
          <w:tcPr>
            <w:tcW w:w="627" w:type="dxa"/>
            <w:tcBorders>
              <w:top w:val="nil"/>
              <w:left w:val="nil"/>
              <w:bottom w:val="single" w:sz="4" w:space="0" w:color="auto"/>
              <w:right w:val="nil"/>
            </w:tcBorders>
            <w:vAlign w:val="center"/>
          </w:tcPr>
          <w:p w14:paraId="7E2231AF"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w:t>
            </w:r>
          </w:p>
        </w:tc>
        <w:tc>
          <w:tcPr>
            <w:tcW w:w="680" w:type="dxa"/>
            <w:tcBorders>
              <w:top w:val="nil"/>
              <w:left w:val="nil"/>
              <w:bottom w:val="single" w:sz="4" w:space="0" w:color="auto"/>
              <w:right w:val="nil"/>
            </w:tcBorders>
            <w:vAlign w:val="center"/>
          </w:tcPr>
          <w:p w14:paraId="00D8FC24"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w:t>
            </w:r>
          </w:p>
        </w:tc>
        <w:tc>
          <w:tcPr>
            <w:tcW w:w="566" w:type="dxa"/>
            <w:tcBorders>
              <w:top w:val="nil"/>
              <w:left w:val="nil"/>
              <w:bottom w:val="single" w:sz="4" w:space="0" w:color="auto"/>
              <w:right w:val="nil"/>
            </w:tcBorders>
            <w:vAlign w:val="center"/>
          </w:tcPr>
          <w:p w14:paraId="1F4DA468"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w:t>
            </w:r>
          </w:p>
        </w:tc>
        <w:tc>
          <w:tcPr>
            <w:tcW w:w="787" w:type="dxa"/>
            <w:tcBorders>
              <w:top w:val="nil"/>
              <w:left w:val="nil"/>
              <w:bottom w:val="single" w:sz="4" w:space="0" w:color="auto"/>
              <w:right w:val="nil"/>
            </w:tcBorders>
            <w:vAlign w:val="center"/>
          </w:tcPr>
          <w:p w14:paraId="00A8ED86" w14:textId="77777777" w:rsidR="000A0F6B" w:rsidRPr="00AB258D" w:rsidRDefault="000A0F6B" w:rsidP="00872346">
            <w:pPr>
              <w:jc w:val="center"/>
              <w:rPr>
                <w:rFonts w:asciiTheme="minorHAnsi" w:hAnsiTheme="minorHAnsi" w:cstheme="minorHAnsi"/>
                <w:sz w:val="24"/>
              </w:rPr>
            </w:pPr>
            <w:r w:rsidRPr="00AB258D">
              <w:rPr>
                <w:rFonts w:asciiTheme="minorHAnsi" w:hAnsiTheme="minorHAnsi" w:cstheme="minorHAnsi"/>
                <w:sz w:val="24"/>
              </w:rPr>
              <w:t>-</w:t>
            </w:r>
          </w:p>
        </w:tc>
        <w:tc>
          <w:tcPr>
            <w:tcW w:w="573" w:type="dxa"/>
            <w:tcBorders>
              <w:top w:val="nil"/>
              <w:left w:val="nil"/>
              <w:bottom w:val="single" w:sz="4" w:space="0" w:color="auto"/>
              <w:right w:val="nil"/>
            </w:tcBorders>
            <w:vAlign w:val="center"/>
          </w:tcPr>
          <w:p w14:paraId="6BACCE15" w14:textId="77777777" w:rsidR="000A0F6B" w:rsidRPr="00AB258D" w:rsidRDefault="000A0F6B" w:rsidP="00872346">
            <w:pPr>
              <w:jc w:val="center"/>
              <w:rPr>
                <w:rFonts w:asciiTheme="minorHAnsi" w:hAnsiTheme="minorHAnsi" w:cstheme="minorHAnsi"/>
                <w:sz w:val="24"/>
              </w:rPr>
            </w:pPr>
          </w:p>
        </w:tc>
        <w:tc>
          <w:tcPr>
            <w:tcW w:w="1180" w:type="dxa"/>
            <w:tcBorders>
              <w:top w:val="nil"/>
              <w:left w:val="nil"/>
              <w:bottom w:val="single" w:sz="4" w:space="0" w:color="auto"/>
              <w:right w:val="nil"/>
            </w:tcBorders>
          </w:tcPr>
          <w:p w14:paraId="5F6AFE1E" w14:textId="77777777" w:rsidR="000A0F6B" w:rsidRPr="00AB258D" w:rsidRDefault="000A0F6B" w:rsidP="00872346">
            <w:pPr>
              <w:rPr>
                <w:rFonts w:asciiTheme="minorHAnsi" w:hAnsiTheme="minorHAnsi" w:cstheme="minorHAnsi"/>
              </w:rPr>
            </w:pPr>
          </w:p>
        </w:tc>
      </w:tr>
    </w:tbl>
    <w:p w14:paraId="6ECB41CB" w14:textId="77777777" w:rsidR="008A2846" w:rsidRPr="00AB258D" w:rsidRDefault="000A0F6B" w:rsidP="00872346">
      <w:pPr>
        <w:pStyle w:val="ListParagraph"/>
        <w:numPr>
          <w:ilvl w:val="0"/>
          <w:numId w:val="3"/>
        </w:numPr>
        <w:rPr>
          <w:rFonts w:asciiTheme="minorHAnsi" w:hAnsiTheme="minorHAnsi" w:cstheme="minorHAnsi"/>
          <w:sz w:val="18"/>
        </w:rPr>
      </w:pPr>
      <w:r w:rsidRPr="00AB258D">
        <w:rPr>
          <w:rFonts w:asciiTheme="minorHAnsi" w:hAnsiTheme="minorHAnsi" w:cstheme="minorHAnsi"/>
          <w:sz w:val="18"/>
        </w:rPr>
        <w:t>The oxide component not included in the table is H</w:t>
      </w:r>
      <w:r w:rsidRPr="00AB258D">
        <w:rPr>
          <w:rFonts w:asciiTheme="minorHAnsi" w:hAnsiTheme="minorHAnsi" w:cstheme="minorHAnsi"/>
          <w:sz w:val="18"/>
          <w:vertAlign w:val="subscript"/>
        </w:rPr>
        <w:t>2</w:t>
      </w:r>
      <w:r w:rsidRPr="00AB258D">
        <w:rPr>
          <w:rFonts w:asciiTheme="minorHAnsi" w:hAnsiTheme="minorHAnsi" w:cstheme="minorHAnsi"/>
          <w:sz w:val="18"/>
        </w:rPr>
        <w:t xml:space="preserve">O which is 17.9 for RC </w:t>
      </w:r>
    </w:p>
    <w:p w14:paraId="06A8050E" w14:textId="77777777" w:rsidR="008A2846" w:rsidRPr="00AB258D" w:rsidRDefault="008A2846" w:rsidP="009B3B6E">
      <w:pPr>
        <w:pStyle w:val="NoSpacing"/>
        <w:rPr>
          <w:rFonts w:cstheme="minorHAnsi"/>
        </w:rPr>
      </w:pPr>
    </w:p>
    <w:p w14:paraId="76D6AABF" w14:textId="77777777" w:rsidR="00165929" w:rsidRPr="00AB258D" w:rsidRDefault="00165929" w:rsidP="009B3B6E">
      <w:pPr>
        <w:pStyle w:val="NoSpacing"/>
        <w:rPr>
          <w:rFonts w:cstheme="minorHAnsi"/>
        </w:rPr>
      </w:pPr>
    </w:p>
    <w:p w14:paraId="2461583A" w14:textId="77777777" w:rsidR="003641B1" w:rsidRPr="00AB258D" w:rsidRDefault="003641B1" w:rsidP="009B3B6E">
      <w:pPr>
        <w:pStyle w:val="NoSpacing"/>
        <w:rPr>
          <w:rFonts w:cstheme="minorHAnsi"/>
        </w:rPr>
      </w:pPr>
    </w:p>
    <w:p w14:paraId="45825FD8" w14:textId="77777777" w:rsidR="003641B1" w:rsidRPr="00AB258D" w:rsidRDefault="003641B1" w:rsidP="009B3B6E">
      <w:pPr>
        <w:pStyle w:val="NoSpacing"/>
        <w:rPr>
          <w:rFonts w:cstheme="minorHAnsi"/>
        </w:rPr>
      </w:pPr>
    </w:p>
    <w:p w14:paraId="35A3B2D8" w14:textId="77777777" w:rsidR="003641B1" w:rsidRPr="00AB258D" w:rsidRDefault="003641B1" w:rsidP="009B3B6E">
      <w:pPr>
        <w:pStyle w:val="NoSpacing"/>
        <w:rPr>
          <w:rFonts w:cstheme="minorHAnsi"/>
        </w:rPr>
      </w:pPr>
    </w:p>
    <w:p w14:paraId="6410C5FC" w14:textId="77777777" w:rsidR="008A2846" w:rsidRPr="00AB258D" w:rsidRDefault="00F91DEF" w:rsidP="005E0832">
      <w:pPr>
        <w:spacing w:line="276" w:lineRule="auto"/>
        <w:jc w:val="both"/>
        <w:rPr>
          <w:rFonts w:cstheme="minorHAnsi"/>
          <w:sz w:val="28"/>
          <w:szCs w:val="28"/>
        </w:rPr>
      </w:pPr>
      <w:r w:rsidRPr="00AB258D">
        <w:rPr>
          <w:rFonts w:cstheme="minorHAnsi"/>
          <w:sz w:val="28"/>
          <w:szCs w:val="28"/>
        </w:rPr>
        <w:lastRenderedPageBreak/>
        <w:t xml:space="preserve">2.2 </w:t>
      </w:r>
      <w:r w:rsidR="000A0F6B" w:rsidRPr="00AB258D">
        <w:rPr>
          <w:rFonts w:cstheme="minorHAnsi"/>
          <w:sz w:val="28"/>
          <w:szCs w:val="28"/>
        </w:rPr>
        <w:t>Sample preparation</w:t>
      </w:r>
    </w:p>
    <w:p w14:paraId="72883341" w14:textId="5341D3E3" w:rsidR="000A0F6B" w:rsidRPr="00AB258D" w:rsidRDefault="000A0F6B" w:rsidP="00872346">
      <w:pPr>
        <w:spacing w:line="240" w:lineRule="auto"/>
        <w:jc w:val="both"/>
        <w:rPr>
          <w:rFonts w:cstheme="minorHAnsi"/>
          <w:sz w:val="24"/>
        </w:rPr>
      </w:pPr>
      <w:r w:rsidRPr="00AB258D">
        <w:rPr>
          <w:rFonts w:cstheme="minorHAnsi"/>
          <w:sz w:val="24"/>
        </w:rPr>
        <w:t xml:space="preserve">The </w:t>
      </w:r>
      <w:r w:rsidR="00A55E4C" w:rsidRPr="00AB258D">
        <w:rPr>
          <w:rFonts w:cstheme="minorHAnsi"/>
          <w:sz w:val="24"/>
        </w:rPr>
        <w:t xml:space="preserve">investigated clay samples (Soil I and Soil II) </w:t>
      </w:r>
      <w:r w:rsidRPr="00AB258D">
        <w:rPr>
          <w:rFonts w:cstheme="minorHAnsi"/>
          <w:sz w:val="24"/>
        </w:rPr>
        <w:t xml:space="preserve">were sampled in their natural state and thoroughly mixed </w:t>
      </w:r>
      <w:r w:rsidR="00A55E4C" w:rsidRPr="00AB258D">
        <w:rPr>
          <w:rFonts w:cstheme="minorHAnsi"/>
          <w:sz w:val="24"/>
        </w:rPr>
        <w:t xml:space="preserve">with </w:t>
      </w:r>
      <w:r w:rsidRPr="00AB258D">
        <w:rPr>
          <w:rFonts w:cstheme="minorHAnsi"/>
          <w:sz w:val="24"/>
        </w:rPr>
        <w:t xml:space="preserve">dry </w:t>
      </w:r>
      <w:r w:rsidR="00A55E4C" w:rsidRPr="00AB258D">
        <w:rPr>
          <w:rFonts w:cstheme="minorHAnsi"/>
          <w:sz w:val="24"/>
        </w:rPr>
        <w:t xml:space="preserve">cement and </w:t>
      </w:r>
      <w:r w:rsidR="00D155DE" w:rsidRPr="00AB258D">
        <w:rPr>
          <w:rFonts w:cstheme="minorHAnsi"/>
          <w:sz w:val="24"/>
        </w:rPr>
        <w:t xml:space="preserve">different combinations of </w:t>
      </w:r>
      <w:r w:rsidR="00A55E4C" w:rsidRPr="00AB258D">
        <w:rPr>
          <w:rFonts w:cstheme="minorHAnsi"/>
          <w:sz w:val="24"/>
        </w:rPr>
        <w:t xml:space="preserve">GGBS, PFA and </w:t>
      </w:r>
      <w:r w:rsidR="00212932" w:rsidRPr="00AB258D">
        <w:rPr>
          <w:rFonts w:cstheme="minorHAnsi"/>
          <w:sz w:val="24"/>
        </w:rPr>
        <w:t xml:space="preserve">1% of </w:t>
      </w:r>
      <w:r w:rsidR="00A55E4C" w:rsidRPr="00AB258D">
        <w:rPr>
          <w:rFonts w:cstheme="minorHAnsi"/>
          <w:sz w:val="24"/>
        </w:rPr>
        <w:t xml:space="preserve">RC. </w:t>
      </w:r>
      <w:r w:rsidRPr="00AB258D">
        <w:rPr>
          <w:rFonts w:cstheme="minorHAnsi"/>
          <w:sz w:val="24"/>
        </w:rPr>
        <w:t>In keeping with the primary object</w:t>
      </w:r>
      <w:r w:rsidR="00A55E4C" w:rsidRPr="00AB258D">
        <w:rPr>
          <w:rFonts w:cstheme="minorHAnsi"/>
          <w:sz w:val="24"/>
        </w:rPr>
        <w:t xml:space="preserve">ive of this research, 8% </w:t>
      </w:r>
      <w:r w:rsidR="00C33650" w:rsidRPr="00AB258D">
        <w:rPr>
          <w:rFonts w:cstheme="minorHAnsi"/>
          <w:sz w:val="24"/>
        </w:rPr>
        <w:t xml:space="preserve">of </w:t>
      </w:r>
      <w:r w:rsidR="00A55E4C" w:rsidRPr="00AB258D">
        <w:rPr>
          <w:rFonts w:cstheme="minorHAnsi"/>
          <w:sz w:val="24"/>
        </w:rPr>
        <w:t xml:space="preserve">cement </w:t>
      </w:r>
      <w:r w:rsidR="00C33650" w:rsidRPr="00AB258D">
        <w:rPr>
          <w:rFonts w:cstheme="minorHAnsi"/>
          <w:sz w:val="24"/>
        </w:rPr>
        <w:t xml:space="preserve">by weight of dry soil </w:t>
      </w:r>
      <w:r w:rsidR="00A55E4C" w:rsidRPr="00AB258D">
        <w:rPr>
          <w:rFonts w:cstheme="minorHAnsi"/>
          <w:sz w:val="24"/>
        </w:rPr>
        <w:t xml:space="preserve">was used as the control </w:t>
      </w:r>
      <w:r w:rsidRPr="00AB258D">
        <w:rPr>
          <w:rFonts w:cstheme="minorHAnsi"/>
          <w:sz w:val="24"/>
        </w:rPr>
        <w:t xml:space="preserve">binder </w:t>
      </w:r>
      <w:r w:rsidR="00A55E4C" w:rsidRPr="00AB258D">
        <w:rPr>
          <w:rFonts w:cstheme="minorHAnsi"/>
          <w:sz w:val="24"/>
        </w:rPr>
        <w:t xml:space="preserve">content and was </w:t>
      </w:r>
      <w:r w:rsidRPr="00AB258D">
        <w:rPr>
          <w:rFonts w:cstheme="minorHAnsi"/>
          <w:sz w:val="24"/>
        </w:rPr>
        <w:t>pa</w:t>
      </w:r>
      <w:r w:rsidR="00A55E4C" w:rsidRPr="00AB258D">
        <w:rPr>
          <w:rFonts w:cstheme="minorHAnsi"/>
          <w:sz w:val="24"/>
        </w:rPr>
        <w:t xml:space="preserve">rtially replaced and mixed with the </w:t>
      </w:r>
      <w:r w:rsidRPr="00AB258D">
        <w:rPr>
          <w:rFonts w:cstheme="minorHAnsi"/>
          <w:sz w:val="24"/>
        </w:rPr>
        <w:t>stabilised soils</w:t>
      </w:r>
      <w:r w:rsidR="00A55E4C" w:rsidRPr="00AB258D">
        <w:rPr>
          <w:rFonts w:cstheme="minorHAnsi"/>
          <w:sz w:val="24"/>
        </w:rPr>
        <w:t xml:space="preserve"> in four phases</w:t>
      </w:r>
      <w:r w:rsidR="0013528A" w:rsidRPr="00AB258D">
        <w:rPr>
          <w:rFonts w:cstheme="minorHAnsi"/>
          <w:sz w:val="24"/>
        </w:rPr>
        <w:t xml:space="preserve">. </w:t>
      </w:r>
      <w:r w:rsidR="00E67499" w:rsidRPr="00AB258D">
        <w:rPr>
          <w:rFonts w:cstheme="minorHAnsi"/>
          <w:sz w:val="24"/>
        </w:rPr>
        <w:t>The adopted control amount of cement was selected based on some already established procedures and recommendations in literature for the enhancement of the engineering properties of soil-cement mixtures</w:t>
      </w:r>
      <w:r w:rsidR="00092CDC" w:rsidRPr="00AB258D">
        <w:rPr>
          <w:rFonts w:cstheme="minorHAnsi"/>
          <w:sz w:val="24"/>
        </w:rPr>
        <w:t xml:space="preserve"> </w:t>
      </w:r>
      <w:r w:rsidR="00092CDC" w:rsidRPr="00AB258D">
        <w:rPr>
          <w:rFonts w:cstheme="minorHAnsi"/>
          <w:sz w:val="24"/>
        </w:rPr>
        <w:fldChar w:fldCharType="begin" w:fldLock="1"/>
      </w:r>
      <w:r w:rsidR="00EE796F" w:rsidRPr="00AB258D">
        <w:rPr>
          <w:rFonts w:cstheme="minorHAnsi"/>
          <w:sz w:val="24"/>
        </w:rPr>
        <w:instrText>ADDIN CSL_CITATION {"citationItems":[{"id":"ITEM-1","itemData":{"DOI":"10.1016/j.clay.2014.03.020","ISSN":"01691317","abstract":"The presence of soft clays underlying foundations has been responsible for failures in several geotechnical and geo-environmental projects. The three aspects of this study dealing with the stabilization of a soft clay through the addition of cement and lime include: (a) determination of the optimum proportions of both cement and lime needed to obtain a stabilized soil, (b) the phenomenon of pozzolanic consolidation which occurs in the cement-lime stabilized soft clay, and (c) using knowledge of the pre-consolidation stress and compression index of the stabilized soft clay as a practical criterion for determination of the optimum additive percentage in soft clays stabilization. The experimental research program designed to investigate the behavior of the soft clay before and after stabilization involved a series of tests that included sedimentation testing, cation exchange capacity measurement, X-ray diffractometry, unconfined compression and consolidation tests. The results indicate that pozzolanic reaction creates a form of pre-consolidation in the cement-lime stabilized soft clay. The reduction in soil settlement is attributed to the pozzolanic reaction in soil-additive interaction resulting in an increase in pre-consolidation stress of stabilized soil. The test results show that pozzolanic consolidation causes an increase in initial pre-consolidation stress of 70kN/m2 for a soft clay soil to 375kN/m2 for the stabilized soil with 6% lime, and to 385kN/m2 for stabilized soil with 6% cement. The series of XRD experiments conducted are used to study the micro-structural aspects of the stabilized soil. The results show that pozzolanic consolidation not only improves strength behavior of clay soils in general, but also reduces the potential for large settlements of the stabilized soft clays - indicating that there is considerable merit in using the consolidation behavior of the stabilized soft clays as a means for determining the required percentages of additives for cement-lime stabilization of soft clays and soft soils in general. ?? 2014 Elsevier B.V.","author":[{"dropping-particle":"","family":"Ouhadi","given":"","non-dropping-particle":"","parse-names":false,"suffix":""},{"dropping-particle":"","family":"Yong","given":"R","non-dropping-particle":"","parse-names":false,"suffix":""},{"dropping-particle":"","family":"Amiri","given":"M","non-dropping-particle":"","parse-names":false,"suffix":""},{"dropping-particle":"","family":"Ouhadi","given":"M","non-dropping-particle":"","parse-names":false,"suffix":""}],"container-title":"Applied Clay Science","id":"ITEM-1","issued":{"date-parts":[["2014"]]},"page":"111-118","publisher":"Elsevier B.V.","title":"Pozzolanic consolidation of stabilized soft clays","type":"article-journal","volume":"95"},"uris":["http://www.mendeley.com/documents/?uuid=6ce86e01-11d7-4b69-8c3f-dc816dcf5db8"]},{"id":"ITEM-2","itemData":{"DOI":"10.1016/j.trgeo.2018.08.002","ISSN":"22143912","abstract":"Soil stabilization is a technique to improve the engineering and geotechnical properties of soils such as mechanical strength, permeability, compressibility, durability and plasticity. Much has been learned about soil stabilization techniques and additives over the past century. The state of the practice in stabilization techniques and challenges is presented with a discussion. Moreover, available studies regarding the effects of various types of stabilizing agents on the engineering and geotechnical properties of stabilized soils are reviewed here. These stabilizing agents include both calcium-based and non-calcium-based additives. Eco-friendly additives as alternative materials to conventional stabilizing agents are also discussed in this paper. In addition, the problems associated with the presence of disruptive salts and sulfate as well as the techniques to overcome these problems in soil stabilization projects are reviewed.","author":[{"dropping-particle":"","family":"Behnood","given":"Ali","non-dropping-particle":"","parse-names":false,"suffix":""}],"container-title":"Transportation Geotechnics","id":"ITEM-2","issue":"May","issued":{"date-parts":[["2018"]]},"page":"14-32","publisher":"Elsevier","title":"Soil and clay stabilization with calcium- and non-calcium-based additives: A state-of-the-art review of challenges, approaches and techniques","type":"article-journal","volume":"17"},"uris":["http://www.mendeley.com/documents/?uuid=5aa18470-6317-4cfb-bc0d-899cc2481a4c"]}],"mendeley":{"formattedCitation":"[27,44]","plainTextFormattedCitation":"[27,44]","previouslyFormattedCitation":"[27,44]"},"properties":{"noteIndex":0},"schema":"https://github.com/citation-style-language/schema/raw/master/csl-citation.json"}</w:instrText>
      </w:r>
      <w:r w:rsidR="00092CDC" w:rsidRPr="00AB258D">
        <w:rPr>
          <w:rFonts w:cstheme="minorHAnsi"/>
          <w:sz w:val="24"/>
        </w:rPr>
        <w:fldChar w:fldCharType="separate"/>
      </w:r>
      <w:r w:rsidR="00B42361" w:rsidRPr="00AB258D">
        <w:rPr>
          <w:rFonts w:cstheme="minorHAnsi"/>
          <w:noProof/>
          <w:sz w:val="24"/>
        </w:rPr>
        <w:t>[27,44]</w:t>
      </w:r>
      <w:r w:rsidR="00092CDC" w:rsidRPr="00AB258D">
        <w:rPr>
          <w:rFonts w:cstheme="minorHAnsi"/>
          <w:sz w:val="24"/>
        </w:rPr>
        <w:fldChar w:fldCharType="end"/>
      </w:r>
      <w:r w:rsidR="00092CDC" w:rsidRPr="00AB258D">
        <w:rPr>
          <w:rFonts w:cstheme="minorHAnsi"/>
          <w:sz w:val="24"/>
        </w:rPr>
        <w:t xml:space="preserve">. </w:t>
      </w:r>
      <w:r w:rsidR="00F672AC" w:rsidRPr="00AB258D">
        <w:rPr>
          <w:rFonts w:cstheme="minorHAnsi"/>
          <w:sz w:val="24"/>
        </w:rPr>
        <w:t>In phase 1, the soils were mixed with 8% cement by dry weight of soils, and in phase 2</w:t>
      </w:r>
      <w:r w:rsidR="00D6709A" w:rsidRPr="00AB258D">
        <w:rPr>
          <w:rFonts w:cstheme="minorHAnsi"/>
          <w:sz w:val="24"/>
        </w:rPr>
        <w:t>, the cement content was redu</w:t>
      </w:r>
      <w:r w:rsidR="007A4816" w:rsidRPr="00AB258D">
        <w:rPr>
          <w:rFonts w:cstheme="minorHAnsi"/>
          <w:sz w:val="24"/>
        </w:rPr>
        <w:t>ced by 50% and replaced with by-</w:t>
      </w:r>
      <w:r w:rsidR="00D6709A" w:rsidRPr="00AB258D">
        <w:rPr>
          <w:rFonts w:cstheme="minorHAnsi"/>
          <w:sz w:val="24"/>
        </w:rPr>
        <w:t xml:space="preserve">product cementitious material (BPCM) and </w:t>
      </w:r>
      <w:proofErr w:type="spellStart"/>
      <w:r w:rsidR="00D6709A" w:rsidRPr="00AB258D">
        <w:rPr>
          <w:rFonts w:cstheme="minorHAnsi"/>
          <w:sz w:val="24"/>
        </w:rPr>
        <w:t>nano</w:t>
      </w:r>
      <w:proofErr w:type="spellEnd"/>
      <w:r w:rsidR="00D6709A" w:rsidRPr="00AB258D">
        <w:rPr>
          <w:rFonts w:cstheme="minorHAnsi"/>
          <w:sz w:val="24"/>
        </w:rPr>
        <w:t xml:space="preserve"> </w:t>
      </w:r>
      <w:r w:rsidR="00800F15" w:rsidRPr="00AB258D">
        <w:rPr>
          <w:rFonts w:cstheme="minorHAnsi"/>
          <w:sz w:val="24"/>
        </w:rPr>
        <w:t>technology-based</w:t>
      </w:r>
      <w:r w:rsidR="00D6709A" w:rsidRPr="00AB258D">
        <w:rPr>
          <w:rFonts w:cstheme="minorHAnsi"/>
          <w:sz w:val="24"/>
        </w:rPr>
        <w:t xml:space="preserve"> additive (NTBA), RC. In phase 3 and 4, the original cement content was further reduced to 60</w:t>
      </w:r>
      <w:r w:rsidR="007A4816" w:rsidRPr="00AB258D">
        <w:rPr>
          <w:rFonts w:cstheme="minorHAnsi"/>
          <w:sz w:val="24"/>
        </w:rPr>
        <w:t>%</w:t>
      </w:r>
      <w:r w:rsidR="00D6709A" w:rsidRPr="00AB258D">
        <w:rPr>
          <w:rFonts w:cstheme="minorHAnsi"/>
          <w:sz w:val="24"/>
        </w:rPr>
        <w:t xml:space="preserve"> and 70% and replaced with </w:t>
      </w:r>
      <w:r w:rsidR="007A4816" w:rsidRPr="00AB258D">
        <w:rPr>
          <w:rFonts w:cstheme="minorHAnsi"/>
          <w:sz w:val="24"/>
        </w:rPr>
        <w:t xml:space="preserve">combinations of </w:t>
      </w:r>
      <w:r w:rsidR="00D6709A" w:rsidRPr="00AB258D">
        <w:rPr>
          <w:rFonts w:cstheme="minorHAnsi"/>
          <w:sz w:val="24"/>
        </w:rPr>
        <w:t xml:space="preserve">BPCM and NTBA respectively. </w:t>
      </w:r>
      <w:r w:rsidR="00CF2E75" w:rsidRPr="00AB258D">
        <w:rPr>
          <w:rFonts w:cstheme="minorHAnsi"/>
          <w:sz w:val="24"/>
        </w:rPr>
        <w:t>Fig. 2</w:t>
      </w:r>
      <w:r w:rsidR="007A4816" w:rsidRPr="00AB258D">
        <w:rPr>
          <w:rFonts w:cstheme="minorHAnsi"/>
          <w:sz w:val="24"/>
        </w:rPr>
        <w:t xml:space="preserve"> shows a schematic illustration of </w:t>
      </w:r>
      <w:r w:rsidR="00A11694" w:rsidRPr="00AB258D">
        <w:rPr>
          <w:rFonts w:cstheme="minorHAnsi"/>
          <w:sz w:val="24"/>
        </w:rPr>
        <w:t xml:space="preserve">the </w:t>
      </w:r>
      <w:r w:rsidR="00C33650" w:rsidRPr="00AB258D">
        <w:rPr>
          <w:rFonts w:cstheme="minorHAnsi"/>
          <w:sz w:val="24"/>
        </w:rPr>
        <w:t xml:space="preserve">actual amount of cement, GGBS, PFA </w:t>
      </w:r>
      <w:r w:rsidR="00A11694" w:rsidRPr="00AB258D">
        <w:rPr>
          <w:rFonts w:cstheme="minorHAnsi"/>
          <w:sz w:val="24"/>
        </w:rPr>
        <w:t xml:space="preserve">and RC that were mixed with </w:t>
      </w:r>
      <w:r w:rsidR="00172B2C" w:rsidRPr="00AB258D">
        <w:rPr>
          <w:rFonts w:cstheme="minorHAnsi"/>
          <w:sz w:val="24"/>
        </w:rPr>
        <w:t xml:space="preserve">each reconstituted </w:t>
      </w:r>
      <w:r w:rsidR="00092CDC" w:rsidRPr="00AB258D">
        <w:rPr>
          <w:rFonts w:cstheme="minorHAnsi"/>
          <w:sz w:val="24"/>
        </w:rPr>
        <w:t>sample</w:t>
      </w:r>
      <w:r w:rsidR="00172B2C" w:rsidRPr="00AB258D">
        <w:rPr>
          <w:rFonts w:cstheme="minorHAnsi"/>
          <w:sz w:val="24"/>
        </w:rPr>
        <w:t xml:space="preserve"> of </w:t>
      </w:r>
      <w:r w:rsidR="00C33650" w:rsidRPr="00AB258D">
        <w:rPr>
          <w:rFonts w:cstheme="minorHAnsi"/>
          <w:sz w:val="24"/>
        </w:rPr>
        <w:t xml:space="preserve">Soil I and Soil II at the different soil mixing and stabilisation phases. </w:t>
      </w:r>
      <w:r w:rsidRPr="00AB258D">
        <w:rPr>
          <w:rFonts w:cstheme="minorHAnsi"/>
          <w:sz w:val="24"/>
        </w:rPr>
        <w:t xml:space="preserve">In order to study the influence of RC, the clay-binder mixtures were prepared by substituting either the GBBS or PFA in their respective mixes with 1% of the RC also determined by dry weight of the cement. </w:t>
      </w:r>
      <w:r w:rsidR="00A11694" w:rsidRPr="00AB258D">
        <w:rPr>
          <w:rFonts w:cstheme="minorHAnsi"/>
          <w:sz w:val="24"/>
        </w:rPr>
        <w:t xml:space="preserve">The 1% of RC content used is what is regarded by </w:t>
      </w:r>
      <w:r w:rsidRPr="00AB258D">
        <w:rPr>
          <w:rFonts w:cstheme="minorHAnsi"/>
          <w:sz w:val="24"/>
        </w:rPr>
        <w:t>i</w:t>
      </w:r>
      <w:r w:rsidR="00A11694" w:rsidRPr="00AB258D">
        <w:rPr>
          <w:rFonts w:cstheme="minorHAnsi"/>
          <w:sz w:val="24"/>
        </w:rPr>
        <w:t>ts manufacturers as the design</w:t>
      </w:r>
      <w:r w:rsidRPr="00AB258D">
        <w:rPr>
          <w:rFonts w:cstheme="minorHAnsi"/>
          <w:sz w:val="24"/>
        </w:rPr>
        <w:t xml:space="preserve"> quantity for soil stabilisation</w:t>
      </w:r>
      <w:r w:rsidR="00092CDC" w:rsidRPr="00AB258D">
        <w:rPr>
          <w:rFonts w:cstheme="minorHAnsi"/>
          <w:sz w:val="24"/>
        </w:rPr>
        <w:t xml:space="preserve"> </w:t>
      </w:r>
      <w:r w:rsidR="00092CDC" w:rsidRPr="00AB258D">
        <w:rPr>
          <w:rFonts w:cstheme="minorHAnsi"/>
          <w:sz w:val="24"/>
        </w:rPr>
        <w:fldChar w:fldCharType="begin" w:fldLock="1"/>
      </w:r>
      <w:r w:rsidR="003208C7" w:rsidRPr="00AB258D">
        <w:rPr>
          <w:rFonts w:cstheme="minorHAnsi"/>
          <w:sz w:val="24"/>
        </w:rPr>
        <w:instrText>ADDIN CSL_CITATION {"citationItems":[{"id":"ITEM-1","itemData":{"author":[{"dropping-particle":"","family":"PowerCem Technologies","given":"B.V","non-dropping-particle":"","parse-names":false,"suffix":""}],"id":"ITEM-1","issued":{"date-parts":[["2015"]]},"page":"1-39","publisher":"PowerCem Technologies B.V","publisher-place":"4782 SK Moerdijk","title":"Manual for laboratory research RoadCem™","type":"article"},"uris":["http://www.mendeley.com/documents/?uuid=036b762e-9c17-4245-b93f-d9618a95bab4"]},{"id":"ITEM-2","itemData":{"author":[{"dropping-particle":"","family":"Faux","given":"David","non-dropping-particle":"","parse-names":false,"suffix":""}],"id":"ITEM-2","issued":{"date-parts":[["2015"]]},"publisher":"University of Birmingham","title":"Stabilising the future of working platforms","type":"thesis"},"uris":["http://www.mendeley.com/documents/?uuid=126fca32-1a32-46d1-870b-bb614101e5e8"]},{"id":"ITEM-3","itemData":{"DOI":"10.12968/johv.2014.2.10.569","ISBN":"9789079835010","ISSN":"2050-8719","author":[{"dropping-particle":"","family":"Marjanovic","given":"P","non-dropping-particle":"","parse-names":false,"suffix":""},{"dropping-particle":"","family":"Egyed","given":"C.E.G","non-dropping-particle":"","parse-names":false,"suffix":""},{"dropping-particle":"","family":"La Roij","given":"P","non-dropping-particle":"de","parse-names":false,"suffix":""}],"container-title":"PowerCem Technologies B.V.","id":"ITEM-3","issued":{"date-parts":[["2009"]]},"title":"The road to the future: Manual for working with RoadCem","type":"book","volume":"2"},"uris":["http://www.mendeley.com/documents/?uuid=992103e8-2295-42e3-b17b-f4e8bad9252f"]},{"id":"ITEM-4","itemData":{"DOI":"10.1021/es305007w","ISBN":"9789462038660","ISSN":"1520-5851","abstract":"End-of-life recycling is promoted by OECD countries as a promising strategy in the current global supply crisis surrounding rare earth elements (REEs) so that dependence on China, the dominant supplier, can be decreased. So far the feasibility and potential yield of REE recycling has not been systematically evaluated. This paper estimates the annual waste flows of neodymium and dysprosium from permanent magnets, the main deployment of these critical REEs, during the 2011-2030 period. The estimates focus on three key permanent magnet waste flows: wind turbines, hybrid and electric vehicles, and hard disk drives (HDDs) in personal computers (PCs). This is a good indication of the end-of-life recycling of neodymium and dysprosium maximum potential yield. Results show that for some time to come, waste flows from permanent magnets will remain small relative to the rapidly growing global REE demand. Policymakers therefore need to be aware that during the next decade recycling is unlikely to substantially contribute to global REE supply security. In the long term, waste flows will increase sharply and will meet a substantial part of the total demand for these metals. Future REE recycling efforts should, therefore, focus on the development of recycling technology and infrastructure.","author":[{"dropping-particle":"","family":"Wu","given":"Pengpeng","non-dropping-particle":"","parse-names":false,"suffix":""}],"container-title":"Ph.D Disseration, Delft University of Technology","id":"ITEM-4","issued":{"date-parts":[["2015"]]},"publisher":"Beijing Jiaotong University","title":"Cement Stabilized Materials with Use of RoadCem Additive","type":"thesis"},"uris":["http://www.mendeley.com/documents/?uuid=e5b98ef2-961c-4ffe-bfe5-b11a35a10ac5"]}],"mendeley":{"formattedCitation":"[37,40,45,46]","plainTextFormattedCitation":"[37,40,45,46]","previouslyFormattedCitation":"[37,40,45,46]"},"properties":{"noteIndex":0},"schema":"https://github.com/citation-style-language/schema/raw/master/csl-citation.json"}</w:instrText>
      </w:r>
      <w:r w:rsidR="00092CDC" w:rsidRPr="00AB258D">
        <w:rPr>
          <w:rFonts w:cstheme="minorHAnsi"/>
          <w:sz w:val="24"/>
        </w:rPr>
        <w:fldChar w:fldCharType="separate"/>
      </w:r>
      <w:r w:rsidR="00B42361" w:rsidRPr="00AB258D">
        <w:rPr>
          <w:rFonts w:cstheme="minorHAnsi"/>
          <w:noProof/>
          <w:sz w:val="24"/>
        </w:rPr>
        <w:t>[37,40,45,46]</w:t>
      </w:r>
      <w:r w:rsidR="00092CDC" w:rsidRPr="00AB258D">
        <w:rPr>
          <w:rFonts w:cstheme="minorHAnsi"/>
          <w:sz w:val="24"/>
        </w:rPr>
        <w:fldChar w:fldCharType="end"/>
      </w:r>
      <w:r w:rsidR="00735901" w:rsidRPr="00AB258D">
        <w:rPr>
          <w:rFonts w:cstheme="minorHAnsi"/>
          <w:sz w:val="24"/>
        </w:rPr>
        <w:t xml:space="preserve">. </w:t>
      </w:r>
      <w:r w:rsidR="00E25371" w:rsidRPr="00AB258D">
        <w:rPr>
          <w:rFonts w:cstheme="minorHAnsi"/>
          <w:sz w:val="24"/>
        </w:rPr>
        <w:t xml:space="preserve">All stabilised samples of Soil I and II were </w:t>
      </w:r>
      <w:r w:rsidR="00DB0063" w:rsidRPr="00AB258D">
        <w:rPr>
          <w:rFonts w:cstheme="minorHAnsi"/>
          <w:sz w:val="24"/>
        </w:rPr>
        <w:t xml:space="preserve">mixed at optimum moisture, </w:t>
      </w:r>
      <w:r w:rsidR="008A2846" w:rsidRPr="00AB258D">
        <w:rPr>
          <w:rFonts w:cstheme="minorHAnsi"/>
          <w:sz w:val="24"/>
        </w:rPr>
        <w:t>w</w:t>
      </w:r>
      <w:r w:rsidR="00E25371" w:rsidRPr="00AB258D">
        <w:rPr>
          <w:rFonts w:cstheme="minorHAnsi"/>
          <w:sz w:val="24"/>
        </w:rPr>
        <w:t>rapped to prevent moisture loss, a</w:t>
      </w:r>
      <w:r w:rsidR="005F6C80" w:rsidRPr="00AB258D">
        <w:rPr>
          <w:rFonts w:cstheme="minorHAnsi"/>
          <w:sz w:val="24"/>
        </w:rPr>
        <w:t xml:space="preserve">nd cured under moist condition </w:t>
      </w:r>
      <w:r w:rsidR="00DB0063" w:rsidRPr="00AB258D">
        <w:rPr>
          <w:rFonts w:cstheme="minorHAnsi"/>
          <w:sz w:val="24"/>
        </w:rPr>
        <w:t xml:space="preserve">for 7 and 28 days before testing. </w:t>
      </w:r>
    </w:p>
    <w:p w14:paraId="6E23353A" w14:textId="77777777" w:rsidR="000A0F6B" w:rsidRPr="00AB258D" w:rsidRDefault="000A0F6B" w:rsidP="000A0F6B">
      <w:pPr>
        <w:spacing w:line="240" w:lineRule="auto"/>
        <w:jc w:val="both"/>
        <w:rPr>
          <w:rFonts w:cstheme="minorHAnsi"/>
          <w:b/>
        </w:rPr>
      </w:pPr>
    </w:p>
    <w:p w14:paraId="57BDF292" w14:textId="77777777" w:rsidR="000A0F6B" w:rsidRPr="00AB258D" w:rsidRDefault="00F05F06" w:rsidP="00E7586D">
      <w:pPr>
        <w:spacing w:line="240" w:lineRule="auto"/>
        <w:jc w:val="center"/>
        <w:rPr>
          <w:rFonts w:cstheme="minorHAnsi"/>
          <w:b/>
        </w:rPr>
      </w:pPr>
      <w:r w:rsidRPr="00AB258D">
        <w:rPr>
          <w:rFonts w:cstheme="minorHAnsi"/>
          <w:noProof/>
          <w:lang w:eastAsia="en-GB"/>
        </w:rPr>
        <w:lastRenderedPageBreak/>
        <w:drawing>
          <wp:inline distT="0" distB="0" distL="0" distR="0" wp14:anchorId="2DDF324E" wp14:editId="6699B380">
            <wp:extent cx="4400550" cy="4867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0550" cy="4867275"/>
                    </a:xfrm>
                    <a:prstGeom prst="rect">
                      <a:avLst/>
                    </a:prstGeom>
                  </pic:spPr>
                </pic:pic>
              </a:graphicData>
            </a:graphic>
          </wp:inline>
        </w:drawing>
      </w:r>
    </w:p>
    <w:p w14:paraId="2D0FB8A9" w14:textId="37CD72F6" w:rsidR="000A0F6B" w:rsidRPr="00AB258D" w:rsidRDefault="00CF2E75" w:rsidP="00E7586D">
      <w:pPr>
        <w:spacing w:line="240" w:lineRule="auto"/>
        <w:jc w:val="center"/>
        <w:rPr>
          <w:rFonts w:cstheme="minorHAnsi"/>
          <w:b/>
          <w:sz w:val="24"/>
        </w:rPr>
      </w:pPr>
      <w:r w:rsidRPr="00AB258D">
        <w:rPr>
          <w:rFonts w:cstheme="minorHAnsi"/>
          <w:b/>
          <w:sz w:val="24"/>
        </w:rPr>
        <w:t>Fig. 2</w:t>
      </w:r>
      <w:r w:rsidR="00625BA3" w:rsidRPr="00AB258D">
        <w:rPr>
          <w:rFonts w:cstheme="minorHAnsi"/>
          <w:b/>
          <w:sz w:val="24"/>
        </w:rPr>
        <w:t>.</w:t>
      </w:r>
      <w:r w:rsidR="000A0F6B" w:rsidRPr="00AB258D">
        <w:rPr>
          <w:rFonts w:cstheme="minorHAnsi"/>
          <w:b/>
          <w:sz w:val="24"/>
        </w:rPr>
        <w:t xml:space="preserve"> </w:t>
      </w:r>
      <w:r w:rsidR="000A0F6B" w:rsidRPr="00AB258D">
        <w:rPr>
          <w:rFonts w:cstheme="minorHAnsi"/>
          <w:sz w:val="24"/>
        </w:rPr>
        <w:t>S</w:t>
      </w:r>
      <w:r w:rsidR="004E5D3A" w:rsidRPr="00AB258D">
        <w:rPr>
          <w:rFonts w:cstheme="minorHAnsi"/>
          <w:sz w:val="24"/>
        </w:rPr>
        <w:t xml:space="preserve">chematic illustration of </w:t>
      </w:r>
      <w:r w:rsidR="00C818F8" w:rsidRPr="00AB258D">
        <w:rPr>
          <w:rFonts w:cstheme="minorHAnsi"/>
          <w:sz w:val="24"/>
        </w:rPr>
        <w:t>sample preparation and stabilisation</w:t>
      </w:r>
      <w:r w:rsidR="00DB3CCA" w:rsidRPr="00AB258D">
        <w:rPr>
          <w:rFonts w:cstheme="minorHAnsi"/>
          <w:sz w:val="24"/>
        </w:rPr>
        <w:t xml:space="preserve"> phases</w:t>
      </w:r>
    </w:p>
    <w:p w14:paraId="4F2BFB44" w14:textId="77777777" w:rsidR="00283FB0" w:rsidRPr="00AB258D" w:rsidRDefault="00283FB0" w:rsidP="00EE441F">
      <w:pPr>
        <w:spacing w:line="240" w:lineRule="auto"/>
        <w:jc w:val="both"/>
        <w:rPr>
          <w:rFonts w:cstheme="minorHAnsi"/>
          <w:b/>
          <w:sz w:val="24"/>
        </w:rPr>
      </w:pPr>
    </w:p>
    <w:p w14:paraId="655351AB" w14:textId="77777777" w:rsidR="00F91DEF" w:rsidRPr="00AB258D" w:rsidRDefault="00F91DEF" w:rsidP="00F91DEF">
      <w:pPr>
        <w:spacing w:line="276" w:lineRule="auto"/>
        <w:jc w:val="both"/>
        <w:rPr>
          <w:rFonts w:cstheme="minorHAnsi"/>
          <w:b/>
          <w:sz w:val="28"/>
          <w:szCs w:val="28"/>
        </w:rPr>
      </w:pPr>
      <w:r w:rsidRPr="00AB258D">
        <w:rPr>
          <w:rFonts w:cstheme="minorHAnsi"/>
          <w:b/>
          <w:sz w:val="28"/>
          <w:szCs w:val="28"/>
        </w:rPr>
        <w:t>2.3 Testing methods</w:t>
      </w:r>
    </w:p>
    <w:p w14:paraId="4870F186" w14:textId="77777777" w:rsidR="004E5D3A" w:rsidRPr="00AB258D" w:rsidRDefault="00F91DEF" w:rsidP="00F91DEF">
      <w:pPr>
        <w:spacing w:line="276" w:lineRule="auto"/>
        <w:jc w:val="both"/>
        <w:rPr>
          <w:rFonts w:cstheme="minorHAnsi"/>
          <w:sz w:val="28"/>
          <w:szCs w:val="28"/>
        </w:rPr>
      </w:pPr>
      <w:r w:rsidRPr="00AB258D">
        <w:rPr>
          <w:rFonts w:cstheme="minorHAnsi"/>
          <w:sz w:val="28"/>
          <w:szCs w:val="28"/>
        </w:rPr>
        <w:t xml:space="preserve">2.3.1 </w:t>
      </w:r>
      <w:r w:rsidR="00C84722" w:rsidRPr="00AB258D">
        <w:rPr>
          <w:rFonts w:cstheme="minorHAnsi"/>
          <w:sz w:val="28"/>
          <w:szCs w:val="28"/>
        </w:rPr>
        <w:t xml:space="preserve">Unconfined compression test (UCT) and swell test  </w:t>
      </w:r>
    </w:p>
    <w:p w14:paraId="2FEE8ACE" w14:textId="77777777" w:rsidR="00467FB9" w:rsidRPr="00AB258D" w:rsidRDefault="00C84722" w:rsidP="00872346">
      <w:pPr>
        <w:pStyle w:val="Default"/>
        <w:jc w:val="both"/>
        <w:rPr>
          <w:rFonts w:asciiTheme="minorHAnsi" w:hAnsiTheme="minorHAnsi" w:cstheme="minorHAnsi"/>
          <w:color w:val="auto"/>
        </w:rPr>
      </w:pPr>
      <w:r w:rsidRPr="00AB258D">
        <w:rPr>
          <w:rFonts w:asciiTheme="minorHAnsi" w:hAnsiTheme="minorHAnsi" w:cstheme="minorHAnsi"/>
          <w:color w:val="auto"/>
        </w:rPr>
        <w:t xml:space="preserve">The </w:t>
      </w:r>
      <w:r w:rsidR="00E92987" w:rsidRPr="00AB258D">
        <w:rPr>
          <w:rFonts w:asciiTheme="minorHAnsi" w:hAnsiTheme="minorHAnsi" w:cstheme="minorHAnsi"/>
          <w:color w:val="auto"/>
        </w:rPr>
        <w:t xml:space="preserve">undrained shear strength </w:t>
      </w:r>
      <w:r w:rsidRPr="00AB258D">
        <w:rPr>
          <w:rFonts w:asciiTheme="minorHAnsi" w:hAnsiTheme="minorHAnsi" w:cstheme="minorHAnsi"/>
          <w:color w:val="auto"/>
        </w:rPr>
        <w:t xml:space="preserve">of the treated soils was obtained from results of </w:t>
      </w:r>
      <w:r w:rsidR="00AE55F8" w:rsidRPr="00AB258D">
        <w:rPr>
          <w:rFonts w:asciiTheme="minorHAnsi" w:hAnsiTheme="minorHAnsi" w:cstheme="minorHAnsi"/>
          <w:color w:val="auto"/>
        </w:rPr>
        <w:t xml:space="preserve">unconfined compression </w:t>
      </w:r>
      <w:r w:rsidRPr="00AB258D">
        <w:rPr>
          <w:rFonts w:asciiTheme="minorHAnsi" w:hAnsiTheme="minorHAnsi" w:cstheme="minorHAnsi"/>
          <w:color w:val="auto"/>
        </w:rPr>
        <w:t>(</w:t>
      </w:r>
      <w:r w:rsidR="00AE55F8" w:rsidRPr="00AB258D">
        <w:rPr>
          <w:rFonts w:asciiTheme="minorHAnsi" w:hAnsiTheme="minorHAnsi" w:cstheme="minorHAnsi"/>
          <w:color w:val="auto"/>
        </w:rPr>
        <w:t>UCT</w:t>
      </w:r>
      <w:r w:rsidRPr="00AB258D">
        <w:rPr>
          <w:rFonts w:asciiTheme="minorHAnsi" w:hAnsiTheme="minorHAnsi" w:cstheme="minorHAnsi"/>
          <w:color w:val="auto"/>
        </w:rPr>
        <w:t xml:space="preserve">) test conducted according to ASTM D 2166. Two representative samples from each mix of the treated and untreated soils of height 76mmm and diameter 38mm were subject to UCT after 7 and 28 days of curing, and the average </w:t>
      </w:r>
      <w:r w:rsidR="00E92987" w:rsidRPr="00AB258D">
        <w:rPr>
          <w:rFonts w:asciiTheme="minorHAnsi" w:hAnsiTheme="minorHAnsi" w:cstheme="minorHAnsi"/>
          <w:color w:val="auto"/>
        </w:rPr>
        <w:t xml:space="preserve">undrained shear strength </w:t>
      </w:r>
      <w:r w:rsidRPr="00AB258D">
        <w:rPr>
          <w:rFonts w:asciiTheme="minorHAnsi" w:hAnsiTheme="minorHAnsi" w:cstheme="minorHAnsi"/>
          <w:color w:val="auto"/>
        </w:rPr>
        <w:t xml:space="preserve">value was obtained. </w:t>
      </w:r>
      <w:r w:rsidR="00FF0D7D" w:rsidRPr="00AB258D">
        <w:rPr>
          <w:rFonts w:asciiTheme="minorHAnsi" w:hAnsiTheme="minorHAnsi" w:cstheme="minorHAnsi"/>
          <w:color w:val="auto"/>
        </w:rPr>
        <w:t xml:space="preserve">The rate of axial deformation maintained through unconfined compression testing was 1mm/min. </w:t>
      </w:r>
      <w:r w:rsidR="00293E97" w:rsidRPr="00AB258D">
        <w:rPr>
          <w:rFonts w:asciiTheme="minorHAnsi" w:hAnsiTheme="minorHAnsi" w:cstheme="minorHAnsi"/>
          <w:color w:val="auto"/>
        </w:rPr>
        <w:t xml:space="preserve">To study the swell potential of the treated soils, the </w:t>
      </w:r>
      <w:r w:rsidR="00FF0D7D" w:rsidRPr="00AB258D">
        <w:rPr>
          <w:rFonts w:asciiTheme="minorHAnsi" w:hAnsiTheme="minorHAnsi" w:cstheme="minorHAnsi"/>
          <w:color w:val="auto"/>
        </w:rPr>
        <w:t>conventional one-dimensional</w:t>
      </w:r>
      <w:r w:rsidR="00293E97" w:rsidRPr="00AB258D">
        <w:rPr>
          <w:rFonts w:asciiTheme="minorHAnsi" w:hAnsiTheme="minorHAnsi" w:cstheme="minorHAnsi"/>
          <w:color w:val="auto"/>
        </w:rPr>
        <w:t xml:space="preserve"> </w:t>
      </w:r>
      <w:proofErr w:type="spellStart"/>
      <w:r w:rsidR="00293E97" w:rsidRPr="00AB258D">
        <w:rPr>
          <w:rFonts w:asciiTheme="minorHAnsi" w:hAnsiTheme="minorHAnsi" w:cstheme="minorHAnsi"/>
          <w:color w:val="auto"/>
        </w:rPr>
        <w:t>oedometer</w:t>
      </w:r>
      <w:proofErr w:type="spellEnd"/>
      <w:r w:rsidR="00E62CDC" w:rsidRPr="00AB258D">
        <w:rPr>
          <w:rFonts w:asciiTheme="minorHAnsi" w:hAnsiTheme="minorHAnsi" w:cstheme="minorHAnsi"/>
          <w:color w:val="auto"/>
        </w:rPr>
        <w:t xml:space="preserve"> (1-D)</w:t>
      </w:r>
      <w:r w:rsidR="00293E97" w:rsidRPr="00AB258D">
        <w:rPr>
          <w:rFonts w:asciiTheme="minorHAnsi" w:hAnsiTheme="minorHAnsi" w:cstheme="minorHAnsi"/>
          <w:color w:val="auto"/>
        </w:rPr>
        <w:t xml:space="preserve"> testing was utilized </w:t>
      </w:r>
      <w:r w:rsidR="00FF0D7D" w:rsidRPr="00AB258D">
        <w:rPr>
          <w:rFonts w:asciiTheme="minorHAnsi" w:hAnsiTheme="minorHAnsi" w:cstheme="minorHAnsi"/>
          <w:color w:val="auto"/>
        </w:rPr>
        <w:t xml:space="preserve">in accordance to </w:t>
      </w:r>
      <w:r w:rsidR="00293E97" w:rsidRPr="00AB258D">
        <w:rPr>
          <w:rFonts w:asciiTheme="minorHAnsi" w:hAnsiTheme="minorHAnsi" w:cstheme="minorHAnsi"/>
          <w:color w:val="auto"/>
        </w:rPr>
        <w:t xml:space="preserve">the </w:t>
      </w:r>
      <w:r w:rsidR="00FF0D7D" w:rsidRPr="00AB258D">
        <w:rPr>
          <w:rFonts w:asciiTheme="minorHAnsi" w:hAnsiTheme="minorHAnsi" w:cstheme="minorHAnsi"/>
          <w:color w:val="auto"/>
        </w:rPr>
        <w:t xml:space="preserve">ASTM D-4546 after 7 days of curing. The samples were placed in the </w:t>
      </w:r>
      <w:proofErr w:type="spellStart"/>
      <w:r w:rsidR="00FF0D7D" w:rsidRPr="00AB258D">
        <w:rPr>
          <w:rFonts w:asciiTheme="minorHAnsi" w:hAnsiTheme="minorHAnsi" w:cstheme="minorHAnsi"/>
          <w:color w:val="auto"/>
        </w:rPr>
        <w:t>oedometer</w:t>
      </w:r>
      <w:proofErr w:type="spellEnd"/>
      <w:r w:rsidR="00FF0D7D" w:rsidRPr="00AB258D">
        <w:rPr>
          <w:rFonts w:asciiTheme="minorHAnsi" w:hAnsiTheme="minorHAnsi" w:cstheme="minorHAnsi"/>
          <w:color w:val="auto"/>
        </w:rPr>
        <w:t xml:space="preserve"> apparatus having ring 20 mm t</w:t>
      </w:r>
      <w:r w:rsidR="00293E97" w:rsidRPr="00AB258D">
        <w:rPr>
          <w:rFonts w:asciiTheme="minorHAnsi" w:hAnsiTheme="minorHAnsi" w:cstheme="minorHAnsi"/>
          <w:color w:val="auto"/>
        </w:rPr>
        <w:t>hickness and 76 mm as dimeter</w:t>
      </w:r>
      <w:r w:rsidR="00FF0D7D" w:rsidRPr="00AB258D">
        <w:rPr>
          <w:rFonts w:asciiTheme="minorHAnsi" w:hAnsiTheme="minorHAnsi" w:cstheme="minorHAnsi"/>
          <w:color w:val="auto"/>
        </w:rPr>
        <w:t xml:space="preserve"> and were made to sit in between two porous stones lined with filter papers. The automated load variable displacement transducer (LVDT) was set to zero after recording the initial </w:t>
      </w:r>
      <w:r w:rsidR="00293E97" w:rsidRPr="00AB258D">
        <w:rPr>
          <w:rFonts w:asciiTheme="minorHAnsi" w:hAnsiTheme="minorHAnsi" w:cstheme="minorHAnsi"/>
          <w:color w:val="auto"/>
        </w:rPr>
        <w:t xml:space="preserve">compression under a </w:t>
      </w:r>
      <w:r w:rsidR="00FF0D7D" w:rsidRPr="00AB258D">
        <w:rPr>
          <w:rFonts w:asciiTheme="minorHAnsi" w:hAnsiTheme="minorHAnsi" w:cstheme="minorHAnsi"/>
          <w:color w:val="auto"/>
        </w:rPr>
        <w:t xml:space="preserve">seating load of 5kPa. Water was then gradually introduced into the </w:t>
      </w:r>
      <w:proofErr w:type="spellStart"/>
      <w:r w:rsidR="00FF0D7D" w:rsidRPr="00AB258D">
        <w:rPr>
          <w:rFonts w:asciiTheme="minorHAnsi" w:hAnsiTheme="minorHAnsi" w:cstheme="minorHAnsi"/>
          <w:color w:val="auto"/>
        </w:rPr>
        <w:t>oedometer</w:t>
      </w:r>
      <w:proofErr w:type="spellEnd"/>
      <w:r w:rsidR="00FF0D7D" w:rsidRPr="00AB258D">
        <w:rPr>
          <w:rFonts w:asciiTheme="minorHAnsi" w:hAnsiTheme="minorHAnsi" w:cstheme="minorHAnsi"/>
          <w:color w:val="auto"/>
        </w:rPr>
        <w:t xml:space="preserve"> and the samples inundated and then allowed to undergo free vertical swelling for a minimum time period of 24 hrs until equilibrium was </w:t>
      </w:r>
      <w:r w:rsidR="00FF0D7D" w:rsidRPr="00AB258D">
        <w:rPr>
          <w:rFonts w:asciiTheme="minorHAnsi" w:hAnsiTheme="minorHAnsi" w:cstheme="minorHAnsi"/>
          <w:color w:val="auto"/>
        </w:rPr>
        <w:lastRenderedPageBreak/>
        <w:t>reached. The swell percent was then calculated as the increase in sample height (</w:t>
      </w:r>
      <w:proofErr w:type="spellStart"/>
      <w:proofErr w:type="gramStart"/>
      <w:r w:rsidR="00FF0D7D" w:rsidRPr="00AB258D">
        <w:rPr>
          <w:rFonts w:asciiTheme="minorHAnsi" w:hAnsiTheme="minorHAnsi" w:cstheme="minorHAnsi"/>
          <w:color w:val="auto"/>
        </w:rPr>
        <w:t>Δh</w:t>
      </w:r>
      <w:proofErr w:type="spellEnd"/>
      <w:proofErr w:type="gramEnd"/>
      <w:r w:rsidR="00FF0D7D" w:rsidRPr="00AB258D">
        <w:rPr>
          <w:rFonts w:asciiTheme="minorHAnsi" w:hAnsiTheme="minorHAnsi" w:cstheme="minorHAnsi"/>
          <w:color w:val="auto"/>
        </w:rPr>
        <w:t>) div</w:t>
      </w:r>
      <w:r w:rsidR="00293E97" w:rsidRPr="00AB258D">
        <w:rPr>
          <w:rFonts w:asciiTheme="minorHAnsi" w:hAnsiTheme="minorHAnsi" w:cstheme="minorHAnsi"/>
          <w:color w:val="auto"/>
        </w:rPr>
        <w:t xml:space="preserve">ided by the original height (H) of the samples. </w:t>
      </w:r>
    </w:p>
    <w:p w14:paraId="6D4FD49A" w14:textId="77777777" w:rsidR="00F91DEF" w:rsidRPr="00AB258D" w:rsidRDefault="00F91DEF" w:rsidP="00872346">
      <w:pPr>
        <w:pStyle w:val="Default"/>
        <w:jc w:val="both"/>
        <w:rPr>
          <w:rFonts w:asciiTheme="minorHAnsi" w:hAnsiTheme="minorHAnsi" w:cstheme="minorHAnsi"/>
          <w:color w:val="auto"/>
        </w:rPr>
      </w:pPr>
    </w:p>
    <w:p w14:paraId="2A9C1AFF" w14:textId="77777777" w:rsidR="00467FB9" w:rsidRPr="00AB258D" w:rsidRDefault="00F91DEF" w:rsidP="00872346">
      <w:pPr>
        <w:spacing w:line="240" w:lineRule="auto"/>
        <w:jc w:val="both"/>
        <w:rPr>
          <w:rFonts w:cstheme="minorHAnsi"/>
          <w:sz w:val="28"/>
          <w:szCs w:val="28"/>
        </w:rPr>
      </w:pPr>
      <w:r w:rsidRPr="00AB258D">
        <w:rPr>
          <w:rFonts w:cstheme="minorHAnsi"/>
          <w:sz w:val="28"/>
          <w:szCs w:val="28"/>
        </w:rPr>
        <w:t xml:space="preserve">3.1 </w:t>
      </w:r>
      <w:r w:rsidR="00467FB9" w:rsidRPr="00AB258D">
        <w:rPr>
          <w:rFonts w:cstheme="minorHAnsi"/>
          <w:sz w:val="28"/>
          <w:szCs w:val="28"/>
        </w:rPr>
        <w:t xml:space="preserve">Scanning electron microscope (SEM) </w:t>
      </w:r>
    </w:p>
    <w:p w14:paraId="41C476A3" w14:textId="77777777" w:rsidR="00B83C62" w:rsidRPr="00AB258D" w:rsidRDefault="006661AE" w:rsidP="00872346">
      <w:pPr>
        <w:spacing w:line="240" w:lineRule="auto"/>
        <w:jc w:val="both"/>
        <w:rPr>
          <w:rFonts w:cstheme="minorHAnsi"/>
          <w:sz w:val="24"/>
          <w:szCs w:val="28"/>
        </w:rPr>
      </w:pPr>
      <w:r w:rsidRPr="00AB258D">
        <w:rPr>
          <w:rFonts w:cstheme="minorHAnsi"/>
          <w:sz w:val="24"/>
          <w:szCs w:val="24"/>
        </w:rPr>
        <w:t xml:space="preserve">The scanning electron microscope test was conducted </w:t>
      </w:r>
      <w:r w:rsidR="00C320DB" w:rsidRPr="00AB258D">
        <w:rPr>
          <w:rFonts w:cstheme="minorHAnsi"/>
          <w:sz w:val="24"/>
          <w:szCs w:val="24"/>
        </w:rPr>
        <w:t xml:space="preserve">on representative samples </w:t>
      </w:r>
      <w:r w:rsidRPr="00AB258D">
        <w:rPr>
          <w:rFonts w:cstheme="minorHAnsi"/>
          <w:sz w:val="24"/>
          <w:szCs w:val="24"/>
        </w:rPr>
        <w:t xml:space="preserve">to study the microstructural characteristics of the treated soils. </w:t>
      </w:r>
      <w:r w:rsidR="00C320DB" w:rsidRPr="00AB258D">
        <w:rPr>
          <w:rFonts w:cstheme="minorHAnsi"/>
          <w:sz w:val="24"/>
          <w:szCs w:val="24"/>
        </w:rPr>
        <w:t>Due to cost and time constraints, the SEM test was conduc</w:t>
      </w:r>
      <w:r w:rsidR="007906D1" w:rsidRPr="00AB258D">
        <w:rPr>
          <w:rFonts w:cstheme="minorHAnsi"/>
          <w:sz w:val="24"/>
          <w:szCs w:val="24"/>
        </w:rPr>
        <w:t xml:space="preserve">ted on </w:t>
      </w:r>
      <w:r w:rsidR="00855E59" w:rsidRPr="00AB258D">
        <w:rPr>
          <w:rFonts w:cstheme="minorHAnsi"/>
          <w:sz w:val="24"/>
          <w:szCs w:val="24"/>
        </w:rPr>
        <w:t xml:space="preserve">selected mixtures of soil I and </w:t>
      </w:r>
      <w:r w:rsidR="007906D1" w:rsidRPr="00AB258D">
        <w:rPr>
          <w:rFonts w:cstheme="minorHAnsi"/>
          <w:sz w:val="24"/>
          <w:szCs w:val="24"/>
        </w:rPr>
        <w:t xml:space="preserve">II only. </w:t>
      </w:r>
      <w:r w:rsidR="00467FB9" w:rsidRPr="00AB258D">
        <w:rPr>
          <w:rFonts w:cstheme="minorHAnsi"/>
          <w:sz w:val="24"/>
          <w:szCs w:val="24"/>
        </w:rPr>
        <w:t>Microscopic examination and measurement of soil pores has gained much interest in recent years, partly because the analysis of images of soil fabric provides a straightforward investigation and analysis of soil void and porosity including clay particle degree of arrangement</w:t>
      </w:r>
      <w:r w:rsidR="003E5AC4" w:rsidRPr="00AB258D">
        <w:rPr>
          <w:rFonts w:cstheme="minorHAnsi"/>
          <w:sz w:val="24"/>
          <w:szCs w:val="24"/>
        </w:rPr>
        <w:t xml:space="preserve"> </w:t>
      </w:r>
      <w:r w:rsidR="003E5AC4" w:rsidRPr="00AB258D">
        <w:rPr>
          <w:rFonts w:cstheme="minorHAnsi"/>
          <w:sz w:val="24"/>
          <w:szCs w:val="24"/>
        </w:rPr>
        <w:fldChar w:fldCharType="begin" w:fldLock="1"/>
      </w:r>
      <w:r w:rsidR="003208C7" w:rsidRPr="00AB258D">
        <w:rPr>
          <w:rFonts w:cstheme="minorHAnsi"/>
          <w:sz w:val="24"/>
          <w:szCs w:val="24"/>
        </w:rPr>
        <w:instrText>ADDIN CSL_CITATION {"citationItems":[{"id":"ITEM-1","itemData":{"DOI":"https://doi.org/10.1007/s10064-019-01621-z","author":[{"dropping-particle":"","family":"Abbey","given":"S.J.","non-dropping-particle":"","parse-names":false,"suffix":""},{"dropping-particle":"","family":"Eyo","given":"E.U.","non-dropping-particle":"","parse-names":false,"suffix":""},{"dropping-particle":"","family":"Ng'ambi","given":"S.","non-dropping-particle":"","parse-names":false,"suffix":""}],"container-title":"Bulletin of Engineering Geology and the Environment","id":"ITEM-1","issued":{"date-parts":[["2019"]]},"page":"2119–2130","publisher":"Bulletin of Engineering Geology and the Environment","title":"Swell and microstructural characteristics of high-plasticity clay blended with cement","type":"article-journal","volume":"79"},"uris":["http://www.mendeley.com/documents/?uuid=48f5747e-32d2-4c75-805a-3adf6442c533"]},{"id":"ITEM-2","itemData":{"DOI":"10.1016/j.clay.2015.07.017","ISSN":"01691317","abstract":"The role of gypsum on the strength of lime treated soils after a long period of interaction is not well understood yet. The present study is performed to scrutinize the physical and strength behavior of lime treated soil with varying gypsum content. Lime and gypsum contents varying from 0 to 6% are considered in the present study for curing periods up to 28. days. To understand the long-term effects, the work has been extended up to 365. days, particularly with the use of 6% lime content and varying gypsum contents. Atterberg's limits turned out to be marginally affected by cation exchange. Unconfined compressive strength behavior of lime treated soil varies considerably with gypsum content and curing period. However, trivial alteration in strength is observed in the soil treated with lower lime content (up to 4%) and gypsum content up to 6%. On the contrary, strength of soil-6% lime mixture with addition of varying gypsum content shows acceleration in early strength at 14. days curing period. However, the strength at 28. days of curing declines but regains afterwards for 90. days. The trend at longer curing period for 180 and 365. days is, however, not unique but varies with gypsum contents. An attempt has been made to explain these changes on the basis of the form of gypsum, formation and conversion of reacted compounds (CASHH, CASH, CSH and Ettringite). The proposed explanations were supported by detailed characterization through thermal analysis, XRD, SEM and EDAX studies of soil-lime-gypsum mixtures.","author":[{"dropping-particle":"","family":"Jha","given":"Arvind Kumar","non-dropping-particle":"","parse-names":false,"suffix":""},{"dropping-particle":"V.","family":"Sivapullaiah","given":"Puvvadi","non-dropping-particle":"","parse-names":false,"suffix":""}],"container-title":"Applied Clay Science","id":"ITEM-2","issued":{"date-parts":[["2015"]]},"page":"39-50","publisher":"Elsevier B.V.","title":"Susceptibility of strength development by lime in gypsiferous soil-A micro mechanistic study","type":"article-journal","volume":"115"},"uris":["http://www.mendeley.com/documents/?uuid=bbd5eebf-405b-488d-93a9-19498e2cf2de"]},{"id":"ITEM-3","itemData":{"DOI":"10.1016/j.clay.2017.08.013","ISSN":"0169-1317","author":[{"dropping-particle":"","family":"Jamsawang","given":"Pitthaya","non-dropping-particle":"","parse-names":false,"suffix":""},{"dropping-particle":"","family":"Nuansrithong","given":"Nuttapong","non-dropping-particle":"","parse-names":false,"suffix":""},{"dropping-particle":"","family":"Voottipruex","given":"Panich","non-dropping-particle":"","parse-names":false,"suffix":""},{"dropping-particle":"","family":"Songpiriyakij","given":"Smith","non-dropping-particle":"","parse-names":false,"suffix":""}],"container-title":"Applied Clay Science","id":"ITEM-3","issue":"August","issued":{"date-parts":[["2017"]]},"page":"83-94","publisher":"Elsevier","title":"Laboratory investigations on the swelling behavior of composite expansive clays stabilized with shallow and deep clay-cement mixing methods","type":"article-journal","volume":"148"},"uris":["http://www.mendeley.com/documents/?uuid=aff1926c-d22c-4b63-9e66-207a36f30b43"]}],"mendeley":{"formattedCitation":"[3,47,48]","plainTextFormattedCitation":"[3,47,48]","previouslyFormattedCitation":"[3,47,48]"},"properties":{"noteIndex":0},"schema":"https://github.com/citation-style-language/schema/raw/master/csl-citation.json"}</w:instrText>
      </w:r>
      <w:r w:rsidR="003E5AC4" w:rsidRPr="00AB258D">
        <w:rPr>
          <w:rFonts w:cstheme="minorHAnsi"/>
          <w:sz w:val="24"/>
          <w:szCs w:val="24"/>
        </w:rPr>
        <w:fldChar w:fldCharType="separate"/>
      </w:r>
      <w:r w:rsidR="00B42361" w:rsidRPr="00AB258D">
        <w:rPr>
          <w:rFonts w:cstheme="minorHAnsi"/>
          <w:noProof/>
          <w:sz w:val="24"/>
          <w:szCs w:val="24"/>
        </w:rPr>
        <w:t>[3,47,48]</w:t>
      </w:r>
      <w:r w:rsidR="003E5AC4" w:rsidRPr="00AB258D">
        <w:rPr>
          <w:rFonts w:cstheme="minorHAnsi"/>
          <w:sz w:val="24"/>
          <w:szCs w:val="24"/>
        </w:rPr>
        <w:fldChar w:fldCharType="end"/>
      </w:r>
      <w:r w:rsidR="00467FB9" w:rsidRPr="00AB258D">
        <w:rPr>
          <w:rFonts w:cstheme="minorHAnsi"/>
          <w:sz w:val="24"/>
          <w:szCs w:val="24"/>
        </w:rPr>
        <w:t xml:space="preserve">. </w:t>
      </w:r>
      <w:r w:rsidR="00735064" w:rsidRPr="00AB258D">
        <w:rPr>
          <w:rFonts w:cstheme="minorHAnsi"/>
          <w:sz w:val="24"/>
          <w:szCs w:val="24"/>
        </w:rPr>
        <w:t>T</w:t>
      </w:r>
      <w:r w:rsidR="00467FB9" w:rsidRPr="00AB258D">
        <w:rPr>
          <w:rFonts w:cstheme="minorHAnsi"/>
          <w:sz w:val="24"/>
          <w:szCs w:val="24"/>
        </w:rPr>
        <w:t xml:space="preserve">he microstructural </w:t>
      </w:r>
      <w:r w:rsidR="00735064" w:rsidRPr="00AB258D">
        <w:rPr>
          <w:rFonts w:cstheme="minorHAnsi"/>
          <w:sz w:val="24"/>
          <w:szCs w:val="24"/>
        </w:rPr>
        <w:t xml:space="preserve">analysis allows for the </w:t>
      </w:r>
      <w:r w:rsidR="00467FB9" w:rsidRPr="00AB258D">
        <w:rPr>
          <w:rFonts w:cstheme="minorHAnsi"/>
          <w:sz w:val="24"/>
          <w:szCs w:val="24"/>
        </w:rPr>
        <w:t>examination and measurement</w:t>
      </w:r>
      <w:r w:rsidR="00723E46" w:rsidRPr="00AB258D">
        <w:rPr>
          <w:rFonts w:cstheme="minorHAnsi"/>
          <w:sz w:val="24"/>
          <w:szCs w:val="24"/>
        </w:rPr>
        <w:t xml:space="preserve"> of soil pores and orientation and </w:t>
      </w:r>
      <w:r w:rsidR="006B36DF" w:rsidRPr="00AB258D">
        <w:rPr>
          <w:rFonts w:cstheme="minorHAnsi"/>
          <w:sz w:val="24"/>
          <w:szCs w:val="28"/>
        </w:rPr>
        <w:t>to support the description of the mechanism of change occurrin</w:t>
      </w:r>
      <w:r w:rsidR="00723E46" w:rsidRPr="00AB258D">
        <w:rPr>
          <w:rFonts w:cstheme="minorHAnsi"/>
          <w:sz w:val="24"/>
          <w:szCs w:val="28"/>
        </w:rPr>
        <w:t>g in the fabric of the treated and untreated soils</w:t>
      </w:r>
      <w:r w:rsidR="006B36DF" w:rsidRPr="00AB258D">
        <w:rPr>
          <w:rFonts w:cstheme="minorHAnsi"/>
          <w:sz w:val="24"/>
          <w:szCs w:val="28"/>
        </w:rPr>
        <w:t xml:space="preserve">. Scanning electron micrographs (SEMs) using the Zeiss apparatus were conducted and obtained from the cured, dry and fully vacuumed specimens working at a voltage of acceleration of up to 5.00kV, minimum distance of 2µm and minimum </w:t>
      </w:r>
      <w:r w:rsidR="001B4287" w:rsidRPr="00AB258D">
        <w:rPr>
          <w:rFonts w:cstheme="minorHAnsi"/>
          <w:sz w:val="24"/>
          <w:szCs w:val="28"/>
        </w:rPr>
        <w:t xml:space="preserve">degree of magnification of 900x </w:t>
      </w:r>
      <w:r w:rsidR="001B4287" w:rsidRPr="00AB258D">
        <w:rPr>
          <w:rFonts w:cstheme="minorHAnsi"/>
          <w:sz w:val="24"/>
          <w:szCs w:val="24"/>
        </w:rPr>
        <w:fldChar w:fldCharType="begin" w:fldLock="1"/>
      </w:r>
      <w:r w:rsidR="003208C7" w:rsidRPr="00AB258D">
        <w:rPr>
          <w:rFonts w:cstheme="minorHAnsi"/>
          <w:sz w:val="24"/>
          <w:szCs w:val="24"/>
        </w:rPr>
        <w:instrText>ADDIN CSL_CITATION {"citationItems":[{"id":"ITEM-1","itemData":{"DOI":"https://doi.org/10.1007/s10064-019-01621-z","author":[{"dropping-particle":"","family":"Abbey","given":"S.J.","non-dropping-particle":"","parse-names":false,"suffix":""},{"dropping-particle":"","family":"Eyo","given":"E.U.","non-dropping-particle":"","parse-names":false,"suffix":""},{"dropping-particle":"","family":"Ng'ambi","given":"S.","non-dropping-particle":"","parse-names":false,"suffix":""}],"container-title":"Bulletin of Engineering Geology and the Environment","id":"ITEM-1","issued":{"date-parts":[["2019"]]},"page":"2119–2130","publisher":"Bulletin of Engineering Geology and the Environment","title":"Swell and microstructural characteristics of high-plasticity clay blended with cement","type":"article-journal","volume":"79"},"uris":["http://www.mendeley.com/documents/?uuid=48f5747e-32d2-4c75-805a-3adf6442c533"]},{"id":"ITEM-2","itemData":{"DOI":"10.1016/j.clay.2015.07.017","ISSN":"01691317","abstract":"The role of gypsum on the strength of lime treated soils after a long period of interaction is not well understood yet. The present study is performed to scrutinize the physical and strength behavior of lime treated soil with varying gypsum content. Lime and gypsum contents varying from 0 to 6% are considered in the present study for curing periods up to 28. days. To understand the long-term effects, the work has been extended up to 365. days, particularly with the use of 6% lime content and varying gypsum contents. Atterberg's limits turned out to be marginally affected by cation exchange. Unconfined compressive strength behavior of lime treated soil varies considerably with gypsum content and curing period. However, trivial alteration in strength is observed in the soil treated with lower lime content (up to 4%) and gypsum content up to 6%. On the contrary, strength of soil-6% lime mixture with addition of varying gypsum content shows acceleration in early strength at 14. days curing period. However, the strength at 28. days of curing declines but regains afterwards for 90. days. The trend at longer curing period for 180 and 365. days is, however, not unique but varies with gypsum contents. An attempt has been made to explain these changes on the basis of the form of gypsum, formation and conversion of reacted compounds (CASHH, CASH, CSH and Ettringite). The proposed explanations were supported by detailed characterization through thermal analysis, XRD, SEM and EDAX studies of soil-lime-gypsum mixtures.","author":[{"dropping-particle":"","family":"Jha","given":"Arvind Kumar","non-dropping-particle":"","parse-names":false,"suffix":""},{"dropping-particle":"V.","family":"Sivapullaiah","given":"Puvvadi","non-dropping-particle":"","parse-names":false,"suffix":""}],"container-title":"Applied Clay Science","id":"ITEM-2","issued":{"date-parts":[["2015"]]},"page":"39-50","publisher":"Elsevier B.V.","title":"Susceptibility of strength development by lime in gypsiferous soil-A micro mechanistic study","type":"article-journal","volume":"115"},"uris":["http://www.mendeley.com/documents/?uuid=bbd5eebf-405b-488d-93a9-19498e2cf2de"]},{"id":"ITEM-3","itemData":{"DOI":"10.1016/j.clay.2017.08.013","ISSN":"0169-1317","author":[{"dropping-particle":"","family":"Jamsawang","given":"Pitthaya","non-dropping-particle":"","parse-names":false,"suffix":""},{"dropping-particle":"","family":"Nuansrithong","given":"Nuttapong","non-dropping-particle":"","parse-names":false,"suffix":""},{"dropping-particle":"","family":"Voottipruex","given":"Panich","non-dropping-particle":"","parse-names":false,"suffix":""},{"dropping-particle":"","family":"Songpiriyakij","given":"Smith","non-dropping-particle":"","parse-names":false,"suffix":""}],"container-title":"Applied Clay Science","id":"ITEM-3","issue":"August","issued":{"date-parts":[["2017"]]},"page":"83-94","publisher":"Elsevier","title":"Laboratory investigations on the swelling behavior of composite expansive clays stabilized with shallow and deep clay-cement mixing methods","type":"article-journal","volume":"148"},"uris":["http://www.mendeley.com/documents/?uuid=aff1926c-d22c-4b63-9e66-207a36f30b43"]}],"mendeley":{"formattedCitation":"[3,47,48]","manualFormatting":"[3]","plainTextFormattedCitation":"[3,47,48]","previouslyFormattedCitation":"[3,47,48]"},"properties":{"noteIndex":0},"schema":"https://github.com/citation-style-language/schema/raw/master/csl-citation.json"}</w:instrText>
      </w:r>
      <w:r w:rsidR="001B4287" w:rsidRPr="00AB258D">
        <w:rPr>
          <w:rFonts w:cstheme="minorHAnsi"/>
          <w:sz w:val="24"/>
          <w:szCs w:val="24"/>
        </w:rPr>
        <w:fldChar w:fldCharType="separate"/>
      </w:r>
      <w:r w:rsidR="001B4287" w:rsidRPr="00AB258D">
        <w:rPr>
          <w:rFonts w:cstheme="minorHAnsi"/>
          <w:noProof/>
          <w:sz w:val="24"/>
          <w:szCs w:val="24"/>
        </w:rPr>
        <w:t>[</w:t>
      </w:r>
      <w:r w:rsidR="007167D4" w:rsidRPr="00AB258D">
        <w:rPr>
          <w:rFonts w:cstheme="minorHAnsi"/>
          <w:noProof/>
          <w:sz w:val="24"/>
          <w:szCs w:val="24"/>
        </w:rPr>
        <w:t>3</w:t>
      </w:r>
      <w:r w:rsidR="001B4287" w:rsidRPr="00AB258D">
        <w:rPr>
          <w:rFonts w:cstheme="minorHAnsi"/>
          <w:noProof/>
          <w:sz w:val="24"/>
          <w:szCs w:val="24"/>
        </w:rPr>
        <w:t>]</w:t>
      </w:r>
      <w:r w:rsidR="001B4287" w:rsidRPr="00AB258D">
        <w:rPr>
          <w:rFonts w:cstheme="minorHAnsi"/>
          <w:sz w:val="24"/>
          <w:szCs w:val="24"/>
        </w:rPr>
        <w:fldChar w:fldCharType="end"/>
      </w:r>
      <w:r w:rsidR="001B4287" w:rsidRPr="00AB258D">
        <w:rPr>
          <w:rFonts w:cstheme="minorHAnsi"/>
          <w:sz w:val="24"/>
          <w:szCs w:val="24"/>
        </w:rPr>
        <w:t>.</w:t>
      </w:r>
    </w:p>
    <w:p w14:paraId="2908286D" w14:textId="77777777" w:rsidR="00983D61" w:rsidRPr="00AB258D" w:rsidRDefault="00983D61" w:rsidP="00983D61">
      <w:pPr>
        <w:jc w:val="both"/>
        <w:rPr>
          <w:rFonts w:cstheme="minorHAnsi"/>
          <w:sz w:val="24"/>
          <w:szCs w:val="28"/>
        </w:rPr>
      </w:pPr>
    </w:p>
    <w:p w14:paraId="3903B5F0" w14:textId="77777777" w:rsidR="00C53E7E" w:rsidRPr="00AB258D" w:rsidRDefault="00E62474" w:rsidP="00E62474">
      <w:pPr>
        <w:pStyle w:val="ListParagraph"/>
        <w:ind w:left="284" w:hanging="284"/>
        <w:jc w:val="both"/>
        <w:rPr>
          <w:rFonts w:asciiTheme="minorHAnsi" w:hAnsiTheme="minorHAnsi" w:cstheme="minorHAnsi"/>
          <w:b/>
          <w:sz w:val="28"/>
          <w:szCs w:val="28"/>
        </w:rPr>
      </w:pPr>
      <w:r w:rsidRPr="00AB258D">
        <w:rPr>
          <w:rFonts w:asciiTheme="minorHAnsi" w:hAnsiTheme="minorHAnsi" w:cstheme="minorHAnsi"/>
          <w:b/>
          <w:sz w:val="28"/>
          <w:szCs w:val="28"/>
        </w:rPr>
        <w:t xml:space="preserve">3. </w:t>
      </w:r>
      <w:r w:rsidR="00C53E7E" w:rsidRPr="00AB258D">
        <w:rPr>
          <w:rFonts w:asciiTheme="minorHAnsi" w:hAnsiTheme="minorHAnsi" w:cstheme="minorHAnsi"/>
          <w:b/>
          <w:sz w:val="28"/>
          <w:szCs w:val="28"/>
        </w:rPr>
        <w:t xml:space="preserve">Results and Discussion </w:t>
      </w:r>
    </w:p>
    <w:p w14:paraId="5E6797F2" w14:textId="77777777" w:rsidR="00F91DEF" w:rsidRPr="00AB258D" w:rsidRDefault="00F91DEF" w:rsidP="00FF094F">
      <w:pPr>
        <w:pStyle w:val="NoSpacing"/>
        <w:rPr>
          <w:rFonts w:cstheme="minorHAnsi"/>
        </w:rPr>
      </w:pPr>
    </w:p>
    <w:p w14:paraId="473CFDFF" w14:textId="77777777" w:rsidR="00DA6BF6" w:rsidRPr="00AB258D" w:rsidRDefault="00F91DEF" w:rsidP="00872346">
      <w:pPr>
        <w:spacing w:line="240" w:lineRule="auto"/>
        <w:jc w:val="both"/>
        <w:rPr>
          <w:rFonts w:cstheme="minorHAnsi"/>
          <w:sz w:val="28"/>
          <w:szCs w:val="28"/>
        </w:rPr>
      </w:pPr>
      <w:r w:rsidRPr="00AB258D">
        <w:rPr>
          <w:rFonts w:cstheme="minorHAnsi"/>
          <w:sz w:val="28"/>
          <w:szCs w:val="28"/>
        </w:rPr>
        <w:t xml:space="preserve">3.1 </w:t>
      </w:r>
      <w:r w:rsidR="00DA6BF6" w:rsidRPr="00AB258D">
        <w:rPr>
          <w:rFonts w:cstheme="minorHAnsi"/>
          <w:sz w:val="28"/>
          <w:szCs w:val="28"/>
        </w:rPr>
        <w:t>Stress-strain characteristics of treated soils</w:t>
      </w:r>
    </w:p>
    <w:p w14:paraId="09E90CBC" w14:textId="4547F813" w:rsidR="0019276C" w:rsidRPr="00AB258D" w:rsidRDefault="00BE7F1C" w:rsidP="00872346">
      <w:pPr>
        <w:spacing w:line="240" w:lineRule="auto"/>
        <w:jc w:val="both"/>
        <w:rPr>
          <w:rFonts w:cstheme="minorHAnsi"/>
          <w:sz w:val="24"/>
          <w:szCs w:val="24"/>
        </w:rPr>
      </w:pPr>
      <w:r w:rsidRPr="00AB258D">
        <w:rPr>
          <w:rFonts w:cstheme="minorHAnsi"/>
          <w:sz w:val="24"/>
          <w:szCs w:val="24"/>
        </w:rPr>
        <w:t xml:space="preserve">It is well known that the strength gain and stability in treated soils are due to complex chemical reactions that take place between the soil-additive systems in the presence of water, and this constitutes the ability of the treated soil to support applied load. </w:t>
      </w:r>
      <w:r w:rsidR="003C4FA4" w:rsidRPr="00AB258D">
        <w:rPr>
          <w:rFonts w:cstheme="minorHAnsi"/>
          <w:sz w:val="24"/>
          <w:szCs w:val="24"/>
        </w:rPr>
        <w:t>Studies on t</w:t>
      </w:r>
      <w:r w:rsidR="00A13C12" w:rsidRPr="00AB258D">
        <w:rPr>
          <w:rFonts w:cstheme="minorHAnsi"/>
          <w:sz w:val="24"/>
          <w:szCs w:val="24"/>
        </w:rPr>
        <w:t xml:space="preserve">he stress-strain behaviour of </w:t>
      </w:r>
      <w:r w:rsidR="003C4FA4" w:rsidRPr="00AB258D">
        <w:rPr>
          <w:rFonts w:cstheme="minorHAnsi"/>
          <w:sz w:val="24"/>
          <w:szCs w:val="24"/>
        </w:rPr>
        <w:t xml:space="preserve">cement treated </w:t>
      </w:r>
      <w:r w:rsidR="00A13C12" w:rsidRPr="00AB258D">
        <w:rPr>
          <w:rFonts w:cstheme="minorHAnsi"/>
          <w:sz w:val="24"/>
          <w:szCs w:val="24"/>
        </w:rPr>
        <w:t xml:space="preserve">soils </w:t>
      </w:r>
      <w:r w:rsidR="003C4FA4" w:rsidRPr="00AB258D">
        <w:rPr>
          <w:rFonts w:cstheme="minorHAnsi"/>
          <w:sz w:val="24"/>
          <w:szCs w:val="24"/>
        </w:rPr>
        <w:t xml:space="preserve">reveal that soil-cement mixtures show brittleness behaviour as curing time increases </w:t>
      </w:r>
      <w:r w:rsidR="003E5AC4" w:rsidRPr="00AB258D">
        <w:rPr>
          <w:rFonts w:cstheme="minorHAnsi"/>
          <w:sz w:val="24"/>
          <w:szCs w:val="24"/>
        </w:rPr>
        <w:fldChar w:fldCharType="begin" w:fldLock="1"/>
      </w:r>
      <w:r w:rsidR="00EE796F" w:rsidRPr="00AB258D">
        <w:rPr>
          <w:rFonts w:cstheme="minorHAnsi"/>
          <w:sz w:val="24"/>
          <w:szCs w:val="24"/>
        </w:rPr>
        <w:instrText>ADDIN CSL_CITATION {"citationItems":[{"id":"ITEM-1","itemData":{"author":[{"dropping-particle":"","family":"Khattab","given":"S A A","non-dropping-particle":"","parse-names":false,"suffix":""},{"dropping-particle":"","family":"Fleureau","given":"J","non-dropping-particle":"","parse-names":false,"suffix":""}],"container-title":"Journal of Materials in Civil Engineering","id":"ITEM-1","issue":"4","issued":{"date-parts":[["2007"]]},"page":"358-366","title":"Long-term stability characteristics of a lime-treated plastic soil.","type":"article-journal","volume":"19"},"uris":["http://www.mendeley.com/documents/?uuid=daa860b2-5030-47a6-a5c1-5772e60c1a8f"]},{"id":"ITEM-2","itemData":{"DOI":"10.1061/(ASCE)1090-0241(2009)135:4(573)","ISBN":"10.1061/(ASCE)1090-0241(2009)135:4(573)","ISSN":"1090-0241","abstract":"This paper examines the structuration and destructuration characteristics of cement-treated Singapore marine clay and their relation to the observed microstructural behavior. The pozzolanic reaction is found to be very significant up to curing periods of 1 year , and thus the unconfined compressive strength increases notably leading to the formation of more structured treated clay. Due to the effect of structuration (existing of cementation bond), the yield stress increases resulting in an expansion of the yield surface and failure envelope under compression and shearing. The microstructural observation of treated clay structure at various stress levels from one-dimensional consolidation shows that destructuration (breaking of cementation bond) is progressive; the largest intercluster voids being the first affected. As the consolidation proceeds, both inter and intracluster voids are affected. Consolidated undrained triaxial results reveal that complete destructuration only takes place on the shear plane ...","author":[{"dropping-particle":"","family":"Kamruzzaman","given":"A. H. M.","non-dropping-particle":"","parse-names":false,"suffix":""},{"dropping-particle":"","family":"Chew","given":"S. H.","non-dropping-particle":"","parse-names":false,"suffix":""},{"dropping-particle":"","family":"Lee","given":"F. H.","non-dropping-particle":"","parse-names":false,"suffix":""}],"container-title":"Journal of Geotechnical and Geoenvironmental Engineering","id":"ITEM-2","issue":"4","issued":{"date-parts":[["2009"]]},"page":"573-589","title":"Structuration and Destructuration Behavior of Cement-Treated Singapore Marine Clay","type":"article-journal","volume":"135"},"uris":["http://www.mendeley.com/documents/?uuid=5b67708d-3140-47c6-8219-3076375e5cea"]}],"mendeley":{"formattedCitation":"[49,50]","plainTextFormattedCitation":"[49,50]","previouslyFormattedCitation":"[49,50]"},"properties":{"noteIndex":0},"schema":"https://github.com/citation-style-language/schema/raw/master/csl-citation.json"}</w:instrText>
      </w:r>
      <w:r w:rsidR="003E5AC4" w:rsidRPr="00AB258D">
        <w:rPr>
          <w:rFonts w:cstheme="minorHAnsi"/>
          <w:sz w:val="24"/>
          <w:szCs w:val="24"/>
        </w:rPr>
        <w:fldChar w:fldCharType="separate"/>
      </w:r>
      <w:r w:rsidR="00B42361" w:rsidRPr="00AB258D">
        <w:rPr>
          <w:rFonts w:cstheme="minorHAnsi"/>
          <w:noProof/>
          <w:sz w:val="24"/>
          <w:szCs w:val="24"/>
        </w:rPr>
        <w:t>[49,50]</w:t>
      </w:r>
      <w:r w:rsidR="003E5AC4" w:rsidRPr="00AB258D">
        <w:rPr>
          <w:rFonts w:cstheme="minorHAnsi"/>
          <w:sz w:val="24"/>
          <w:szCs w:val="24"/>
        </w:rPr>
        <w:fldChar w:fldCharType="end"/>
      </w:r>
      <w:r w:rsidR="000816E4" w:rsidRPr="00AB258D">
        <w:rPr>
          <w:rFonts w:cstheme="minorHAnsi"/>
          <w:sz w:val="24"/>
          <w:szCs w:val="24"/>
        </w:rPr>
        <w:t>. T</w:t>
      </w:r>
      <w:r w:rsidR="002C109F" w:rsidRPr="00AB258D">
        <w:rPr>
          <w:rFonts w:cstheme="minorHAnsi"/>
          <w:sz w:val="24"/>
          <w:szCs w:val="24"/>
        </w:rPr>
        <w:t>he</w:t>
      </w:r>
      <w:r w:rsidR="000816E4" w:rsidRPr="00AB258D">
        <w:rPr>
          <w:rFonts w:cstheme="minorHAnsi"/>
          <w:sz w:val="24"/>
          <w:szCs w:val="24"/>
        </w:rPr>
        <w:t>refore, the</w:t>
      </w:r>
      <w:r w:rsidR="002C109F" w:rsidRPr="00AB258D">
        <w:rPr>
          <w:rFonts w:cstheme="minorHAnsi"/>
          <w:sz w:val="24"/>
          <w:szCs w:val="24"/>
        </w:rPr>
        <w:t xml:space="preserve"> present study has </w:t>
      </w:r>
      <w:r w:rsidR="000816E4" w:rsidRPr="00AB258D">
        <w:rPr>
          <w:rFonts w:cstheme="minorHAnsi"/>
          <w:sz w:val="24"/>
          <w:szCs w:val="24"/>
        </w:rPr>
        <w:t xml:space="preserve">also investigated </w:t>
      </w:r>
      <w:r w:rsidR="00A13C12" w:rsidRPr="00AB258D">
        <w:rPr>
          <w:rFonts w:cstheme="minorHAnsi"/>
          <w:sz w:val="24"/>
          <w:szCs w:val="24"/>
        </w:rPr>
        <w:t>the stress-strai</w:t>
      </w:r>
      <w:r w:rsidR="0061239A" w:rsidRPr="00AB258D">
        <w:rPr>
          <w:rFonts w:cstheme="minorHAnsi"/>
          <w:sz w:val="24"/>
          <w:szCs w:val="24"/>
        </w:rPr>
        <w:t>n behaviour</w:t>
      </w:r>
      <w:r w:rsidR="00A13C12" w:rsidRPr="00AB258D">
        <w:rPr>
          <w:rFonts w:cstheme="minorHAnsi"/>
          <w:sz w:val="24"/>
          <w:szCs w:val="24"/>
        </w:rPr>
        <w:t xml:space="preserve"> of </w:t>
      </w:r>
      <w:r w:rsidR="000816E4" w:rsidRPr="00AB258D">
        <w:rPr>
          <w:rFonts w:cstheme="minorHAnsi"/>
          <w:sz w:val="24"/>
          <w:szCs w:val="24"/>
        </w:rPr>
        <w:t xml:space="preserve">the </w:t>
      </w:r>
      <w:r w:rsidR="00A13C12" w:rsidRPr="00AB258D">
        <w:rPr>
          <w:rFonts w:cstheme="minorHAnsi"/>
          <w:sz w:val="24"/>
          <w:szCs w:val="24"/>
        </w:rPr>
        <w:t>soils tre</w:t>
      </w:r>
      <w:r w:rsidR="000816E4" w:rsidRPr="00AB258D">
        <w:rPr>
          <w:rFonts w:cstheme="minorHAnsi"/>
          <w:sz w:val="24"/>
          <w:szCs w:val="24"/>
        </w:rPr>
        <w:t xml:space="preserve">ated with </w:t>
      </w:r>
      <w:r w:rsidR="00A430CD" w:rsidRPr="00AB258D">
        <w:rPr>
          <w:rFonts w:cstheme="minorHAnsi"/>
          <w:sz w:val="24"/>
          <w:szCs w:val="24"/>
        </w:rPr>
        <w:t>RC</w:t>
      </w:r>
      <w:r w:rsidR="000816E4" w:rsidRPr="00AB258D">
        <w:rPr>
          <w:rFonts w:cstheme="minorHAnsi"/>
          <w:sz w:val="24"/>
          <w:szCs w:val="24"/>
        </w:rPr>
        <w:t xml:space="preserve"> blended</w:t>
      </w:r>
      <w:r w:rsidR="00A13C12" w:rsidRPr="00AB258D">
        <w:rPr>
          <w:rFonts w:cstheme="minorHAnsi"/>
          <w:sz w:val="24"/>
          <w:szCs w:val="24"/>
        </w:rPr>
        <w:t xml:space="preserve"> with GGBS and reduced amount of cement. </w:t>
      </w:r>
      <w:r w:rsidR="00C67D9A" w:rsidRPr="00AB258D">
        <w:rPr>
          <w:rFonts w:cstheme="minorHAnsi"/>
          <w:sz w:val="24"/>
          <w:szCs w:val="24"/>
        </w:rPr>
        <w:t xml:space="preserve">The </w:t>
      </w:r>
      <w:r w:rsidR="00547D34" w:rsidRPr="00AB258D">
        <w:rPr>
          <w:rFonts w:cstheme="minorHAnsi"/>
          <w:sz w:val="24"/>
          <w:szCs w:val="24"/>
        </w:rPr>
        <w:t xml:space="preserve">stress-strain characteristics </w:t>
      </w:r>
      <w:r w:rsidR="001C742F" w:rsidRPr="00AB258D">
        <w:rPr>
          <w:rFonts w:cstheme="minorHAnsi"/>
          <w:sz w:val="24"/>
          <w:szCs w:val="24"/>
        </w:rPr>
        <w:t xml:space="preserve">of the treated soils </w:t>
      </w:r>
      <w:r w:rsidR="00C67D9A" w:rsidRPr="00AB258D">
        <w:rPr>
          <w:rFonts w:cstheme="minorHAnsi"/>
          <w:sz w:val="24"/>
          <w:szCs w:val="24"/>
        </w:rPr>
        <w:t xml:space="preserve">have been </w:t>
      </w:r>
      <w:r w:rsidRPr="00AB258D">
        <w:rPr>
          <w:rFonts w:cstheme="minorHAnsi"/>
          <w:sz w:val="24"/>
          <w:szCs w:val="24"/>
        </w:rPr>
        <w:t xml:space="preserve">captured by monitoring the stress and strain response of the </w:t>
      </w:r>
      <w:r w:rsidR="00C67D9A" w:rsidRPr="00AB258D">
        <w:rPr>
          <w:rFonts w:cstheme="minorHAnsi"/>
          <w:sz w:val="24"/>
          <w:szCs w:val="24"/>
        </w:rPr>
        <w:t xml:space="preserve">treated </w:t>
      </w:r>
      <w:r w:rsidRPr="00AB258D">
        <w:rPr>
          <w:rFonts w:cstheme="minorHAnsi"/>
          <w:sz w:val="24"/>
          <w:szCs w:val="24"/>
        </w:rPr>
        <w:t>material</w:t>
      </w:r>
      <w:r w:rsidR="00C67D9A" w:rsidRPr="00AB258D">
        <w:rPr>
          <w:rFonts w:cstheme="minorHAnsi"/>
          <w:sz w:val="24"/>
          <w:szCs w:val="24"/>
        </w:rPr>
        <w:t xml:space="preserve">s </w:t>
      </w:r>
      <w:r w:rsidR="00547D34" w:rsidRPr="00AB258D">
        <w:rPr>
          <w:rFonts w:cstheme="minorHAnsi"/>
          <w:sz w:val="24"/>
          <w:szCs w:val="24"/>
        </w:rPr>
        <w:t xml:space="preserve">through </w:t>
      </w:r>
      <w:r w:rsidRPr="00AB258D">
        <w:rPr>
          <w:rFonts w:cstheme="minorHAnsi"/>
          <w:sz w:val="24"/>
          <w:szCs w:val="24"/>
        </w:rPr>
        <w:t xml:space="preserve">series of </w:t>
      </w:r>
      <w:r w:rsidR="003C4FA4" w:rsidRPr="00AB258D">
        <w:rPr>
          <w:rFonts w:cstheme="minorHAnsi"/>
          <w:sz w:val="24"/>
          <w:szCs w:val="24"/>
        </w:rPr>
        <w:t xml:space="preserve">unconfined compression </w:t>
      </w:r>
      <w:r w:rsidRPr="00AB258D">
        <w:rPr>
          <w:rFonts w:cstheme="minorHAnsi"/>
          <w:sz w:val="24"/>
          <w:szCs w:val="24"/>
        </w:rPr>
        <w:t xml:space="preserve">test </w:t>
      </w:r>
      <w:r w:rsidR="00547D34" w:rsidRPr="00AB258D">
        <w:rPr>
          <w:rFonts w:cstheme="minorHAnsi"/>
          <w:sz w:val="24"/>
          <w:szCs w:val="24"/>
        </w:rPr>
        <w:t>on samples tested after 7 and 28days curing peri</w:t>
      </w:r>
      <w:r w:rsidR="001C742F" w:rsidRPr="00AB258D">
        <w:rPr>
          <w:rFonts w:cstheme="minorHAnsi"/>
          <w:sz w:val="24"/>
          <w:szCs w:val="24"/>
        </w:rPr>
        <w:t xml:space="preserve">ods as shown in </w:t>
      </w:r>
      <w:r w:rsidR="00960D4D">
        <w:rPr>
          <w:rFonts w:cstheme="minorHAnsi"/>
          <w:sz w:val="24"/>
          <w:szCs w:val="24"/>
        </w:rPr>
        <w:t>Fig. 3(a-f)</w:t>
      </w:r>
      <w:r w:rsidR="001C742F" w:rsidRPr="00AB258D">
        <w:rPr>
          <w:rFonts w:cstheme="minorHAnsi"/>
          <w:sz w:val="24"/>
          <w:szCs w:val="24"/>
        </w:rPr>
        <w:t xml:space="preserve"> and </w:t>
      </w:r>
      <w:r w:rsidR="00960D4D">
        <w:rPr>
          <w:rFonts w:cstheme="minorHAnsi"/>
          <w:sz w:val="24"/>
          <w:szCs w:val="24"/>
        </w:rPr>
        <w:t>Fig. 4(a-f)</w:t>
      </w:r>
      <w:r w:rsidR="001C742F" w:rsidRPr="00AB258D">
        <w:rPr>
          <w:rFonts w:cstheme="minorHAnsi"/>
          <w:sz w:val="24"/>
          <w:szCs w:val="24"/>
        </w:rPr>
        <w:t xml:space="preserve"> respectively. The results show that the samples treated with 8% cement exhibits brittle failure </w:t>
      </w:r>
      <w:r w:rsidR="0013366C" w:rsidRPr="00AB258D">
        <w:rPr>
          <w:rFonts w:cstheme="minorHAnsi"/>
          <w:sz w:val="24"/>
          <w:szCs w:val="24"/>
        </w:rPr>
        <w:t xml:space="preserve">characteristics </w:t>
      </w:r>
      <w:r w:rsidR="001C742F" w:rsidRPr="00AB258D">
        <w:rPr>
          <w:rFonts w:cstheme="minorHAnsi"/>
          <w:sz w:val="24"/>
          <w:szCs w:val="24"/>
        </w:rPr>
        <w:t xml:space="preserve">achieving </w:t>
      </w:r>
      <w:r w:rsidR="0024428F" w:rsidRPr="00AB258D">
        <w:rPr>
          <w:rFonts w:cstheme="minorHAnsi"/>
          <w:sz w:val="24"/>
          <w:szCs w:val="24"/>
        </w:rPr>
        <w:t xml:space="preserve">high </w:t>
      </w:r>
      <w:r w:rsidR="001C742F" w:rsidRPr="00AB258D">
        <w:rPr>
          <w:rFonts w:cstheme="minorHAnsi"/>
          <w:sz w:val="24"/>
          <w:szCs w:val="24"/>
        </w:rPr>
        <w:t>peak stress at lower st</w:t>
      </w:r>
      <w:r w:rsidR="004B6D8D" w:rsidRPr="00AB258D">
        <w:rPr>
          <w:rFonts w:cstheme="minorHAnsi"/>
          <w:sz w:val="24"/>
          <w:szCs w:val="24"/>
        </w:rPr>
        <w:t>r</w:t>
      </w:r>
      <w:r w:rsidR="001C742F" w:rsidRPr="00AB258D">
        <w:rPr>
          <w:rFonts w:cstheme="minorHAnsi"/>
          <w:sz w:val="24"/>
          <w:szCs w:val="24"/>
        </w:rPr>
        <w:t>ain</w:t>
      </w:r>
      <w:r w:rsidR="0024428F" w:rsidRPr="00AB258D">
        <w:rPr>
          <w:rFonts w:cstheme="minorHAnsi"/>
          <w:sz w:val="24"/>
          <w:szCs w:val="24"/>
        </w:rPr>
        <w:t xml:space="preserve"> due to cementation effect</w:t>
      </w:r>
      <w:r w:rsidR="001C742F" w:rsidRPr="00AB258D">
        <w:rPr>
          <w:rFonts w:cstheme="minorHAnsi"/>
          <w:sz w:val="24"/>
          <w:szCs w:val="24"/>
        </w:rPr>
        <w:t xml:space="preserve"> irrespective of soil type. </w:t>
      </w:r>
      <w:r w:rsidR="00DD738F" w:rsidRPr="00AB258D">
        <w:rPr>
          <w:rFonts w:cstheme="minorHAnsi"/>
          <w:sz w:val="24"/>
          <w:szCs w:val="24"/>
        </w:rPr>
        <w:t xml:space="preserve">With reduction in cement and inclusion of GGBS, the attainment of peak deviator stress occurs at slightly higher strain levels in most cases compared to </w:t>
      </w:r>
      <w:r w:rsidR="00315D25" w:rsidRPr="00AB258D">
        <w:rPr>
          <w:rFonts w:cstheme="minorHAnsi"/>
          <w:sz w:val="24"/>
          <w:szCs w:val="24"/>
        </w:rPr>
        <w:t xml:space="preserve">the </w:t>
      </w:r>
      <w:r w:rsidR="00DD738F" w:rsidRPr="00AB258D">
        <w:rPr>
          <w:rFonts w:cstheme="minorHAnsi"/>
          <w:sz w:val="24"/>
          <w:szCs w:val="24"/>
        </w:rPr>
        <w:t xml:space="preserve">failure strain of samples treated with </w:t>
      </w:r>
      <w:r w:rsidR="007A5E8A" w:rsidRPr="00AB258D">
        <w:rPr>
          <w:rFonts w:cstheme="minorHAnsi"/>
          <w:sz w:val="24"/>
          <w:szCs w:val="24"/>
        </w:rPr>
        <w:t xml:space="preserve">8% </w:t>
      </w:r>
      <w:r w:rsidR="00DD738F" w:rsidRPr="00AB258D">
        <w:rPr>
          <w:rFonts w:cstheme="minorHAnsi"/>
          <w:sz w:val="24"/>
          <w:szCs w:val="24"/>
        </w:rPr>
        <w:t>cement only.</w:t>
      </w:r>
      <w:r w:rsidR="00D67BC3" w:rsidRPr="00AB258D">
        <w:rPr>
          <w:rFonts w:cstheme="minorHAnsi"/>
          <w:sz w:val="24"/>
          <w:szCs w:val="24"/>
        </w:rPr>
        <w:t xml:space="preserve"> However, the inclusion of 1% </w:t>
      </w:r>
      <w:r w:rsidR="00A430CD" w:rsidRPr="00AB258D">
        <w:rPr>
          <w:rFonts w:cstheme="minorHAnsi"/>
          <w:sz w:val="24"/>
          <w:szCs w:val="24"/>
        </w:rPr>
        <w:t>RC</w:t>
      </w:r>
      <w:r w:rsidR="00D67BC3" w:rsidRPr="00AB258D">
        <w:rPr>
          <w:rFonts w:cstheme="minorHAnsi"/>
          <w:sz w:val="24"/>
          <w:szCs w:val="24"/>
        </w:rPr>
        <w:t xml:space="preserve"> in combination with </w:t>
      </w:r>
      <w:r w:rsidR="007A5E8A" w:rsidRPr="00AB258D">
        <w:rPr>
          <w:rFonts w:cstheme="minorHAnsi"/>
          <w:sz w:val="24"/>
          <w:szCs w:val="24"/>
        </w:rPr>
        <w:t>3%-4%Cem and 3%-4%</w:t>
      </w:r>
      <w:r w:rsidR="00D67BC3" w:rsidRPr="00AB258D">
        <w:rPr>
          <w:rFonts w:cstheme="minorHAnsi"/>
          <w:sz w:val="24"/>
          <w:szCs w:val="24"/>
        </w:rPr>
        <w:t xml:space="preserve">GGBS increases the peak deviator stress </w:t>
      </w:r>
      <w:r w:rsidR="0000599F" w:rsidRPr="00AB258D">
        <w:rPr>
          <w:rFonts w:cstheme="minorHAnsi"/>
          <w:sz w:val="24"/>
          <w:szCs w:val="24"/>
        </w:rPr>
        <w:t xml:space="preserve">at lower failure strain compared to </w:t>
      </w:r>
      <w:r w:rsidR="00695CFC" w:rsidRPr="00AB258D">
        <w:rPr>
          <w:rFonts w:cstheme="minorHAnsi"/>
          <w:sz w:val="24"/>
          <w:szCs w:val="24"/>
        </w:rPr>
        <w:t xml:space="preserve">the peak stress and </w:t>
      </w:r>
      <w:r w:rsidR="0000599F" w:rsidRPr="00AB258D">
        <w:rPr>
          <w:rFonts w:cstheme="minorHAnsi"/>
          <w:sz w:val="24"/>
          <w:szCs w:val="24"/>
        </w:rPr>
        <w:t xml:space="preserve">failure strains of samples treated with </w:t>
      </w:r>
      <w:r w:rsidR="00D66729" w:rsidRPr="00AB258D">
        <w:rPr>
          <w:rFonts w:cstheme="minorHAnsi"/>
          <w:sz w:val="24"/>
          <w:szCs w:val="24"/>
        </w:rPr>
        <w:t xml:space="preserve">combination of RC, </w:t>
      </w:r>
      <w:r w:rsidR="000318AF" w:rsidRPr="00AB258D">
        <w:rPr>
          <w:rFonts w:cstheme="minorHAnsi"/>
          <w:sz w:val="24"/>
          <w:szCs w:val="24"/>
        </w:rPr>
        <w:t xml:space="preserve">cement and PFA. After 28days curing, all treated samples attained peak </w:t>
      </w:r>
      <w:r w:rsidR="0019276C" w:rsidRPr="00AB258D">
        <w:rPr>
          <w:rFonts w:cstheme="minorHAnsi"/>
          <w:sz w:val="24"/>
          <w:szCs w:val="24"/>
        </w:rPr>
        <w:t xml:space="preserve">deviator </w:t>
      </w:r>
      <w:r w:rsidR="000318AF" w:rsidRPr="00AB258D">
        <w:rPr>
          <w:rFonts w:cstheme="minorHAnsi"/>
          <w:sz w:val="24"/>
          <w:szCs w:val="24"/>
        </w:rPr>
        <w:t>stre</w:t>
      </w:r>
      <w:r w:rsidR="008E581D" w:rsidRPr="00AB258D">
        <w:rPr>
          <w:rFonts w:cstheme="minorHAnsi"/>
          <w:sz w:val="24"/>
          <w:szCs w:val="24"/>
        </w:rPr>
        <w:t xml:space="preserve">ss at low strain values within </w:t>
      </w:r>
      <w:r w:rsidR="000318AF" w:rsidRPr="00AB258D">
        <w:rPr>
          <w:rFonts w:cstheme="minorHAnsi"/>
          <w:sz w:val="24"/>
          <w:szCs w:val="24"/>
        </w:rPr>
        <w:t xml:space="preserve">1 to 1.5% </w:t>
      </w:r>
      <w:r w:rsidR="0019276C" w:rsidRPr="00AB258D">
        <w:rPr>
          <w:rFonts w:cstheme="minorHAnsi"/>
          <w:sz w:val="24"/>
          <w:szCs w:val="24"/>
        </w:rPr>
        <w:t xml:space="preserve">irrespective of soil type. According </w:t>
      </w:r>
      <w:r w:rsidR="00804DC0" w:rsidRPr="00AB258D">
        <w:rPr>
          <w:rFonts w:cstheme="minorHAnsi"/>
          <w:sz w:val="24"/>
          <w:szCs w:val="24"/>
        </w:rPr>
        <w:t xml:space="preserve">to </w:t>
      </w:r>
      <w:proofErr w:type="spellStart"/>
      <w:r w:rsidR="00691CB0" w:rsidRPr="00AB258D">
        <w:rPr>
          <w:rFonts w:eastAsia="Times New Roman" w:cstheme="minorHAnsi"/>
          <w:sz w:val="24"/>
          <w:szCs w:val="24"/>
          <w:lang w:eastAsia="en-GB"/>
        </w:rPr>
        <w:t>Phanikumar</w:t>
      </w:r>
      <w:proofErr w:type="spellEnd"/>
      <w:r w:rsidR="00691CB0" w:rsidRPr="00AB258D">
        <w:rPr>
          <w:rFonts w:eastAsia="Times New Roman" w:cstheme="minorHAnsi"/>
          <w:sz w:val="24"/>
          <w:szCs w:val="24"/>
          <w:lang w:eastAsia="en-GB"/>
        </w:rPr>
        <w:t xml:space="preserve"> and </w:t>
      </w:r>
      <w:proofErr w:type="spellStart"/>
      <w:r w:rsidR="00691CB0" w:rsidRPr="00AB258D">
        <w:rPr>
          <w:rFonts w:eastAsia="Times New Roman" w:cstheme="minorHAnsi"/>
          <w:sz w:val="24"/>
          <w:szCs w:val="24"/>
          <w:lang w:eastAsia="en-GB"/>
        </w:rPr>
        <w:t>Vamsi</w:t>
      </w:r>
      <w:proofErr w:type="spellEnd"/>
      <w:r w:rsidR="00691CB0" w:rsidRPr="00AB258D">
        <w:rPr>
          <w:rFonts w:eastAsia="Times New Roman" w:cstheme="minorHAnsi"/>
          <w:sz w:val="24"/>
          <w:szCs w:val="24"/>
          <w:lang w:eastAsia="en-GB"/>
        </w:rPr>
        <w:t xml:space="preserve"> </w:t>
      </w:r>
      <w:proofErr w:type="spellStart"/>
      <w:r w:rsidR="00691CB0" w:rsidRPr="00AB258D">
        <w:rPr>
          <w:rFonts w:eastAsia="Times New Roman" w:cstheme="minorHAnsi"/>
          <w:sz w:val="24"/>
          <w:szCs w:val="24"/>
          <w:lang w:eastAsia="en-GB"/>
        </w:rPr>
        <w:t>Nagaraju</w:t>
      </w:r>
      <w:proofErr w:type="spellEnd"/>
      <w:r w:rsidR="00EE796F" w:rsidRPr="00AB258D">
        <w:rPr>
          <w:rFonts w:eastAsia="Times New Roman" w:cstheme="minorHAnsi"/>
          <w:sz w:val="24"/>
          <w:szCs w:val="24"/>
          <w:lang w:eastAsia="en-GB"/>
        </w:rPr>
        <w:t xml:space="preserve"> </w:t>
      </w:r>
      <w:r w:rsidR="00EE796F" w:rsidRPr="00AB258D">
        <w:rPr>
          <w:rFonts w:eastAsia="Times New Roman" w:cstheme="minorHAnsi"/>
          <w:sz w:val="24"/>
          <w:szCs w:val="24"/>
          <w:lang w:eastAsia="en-GB"/>
        </w:rPr>
        <w:fldChar w:fldCharType="begin" w:fldLock="1"/>
      </w:r>
      <w:r w:rsidR="003208C7" w:rsidRPr="00AB258D">
        <w:rPr>
          <w:rFonts w:eastAsia="Times New Roman" w:cstheme="minorHAnsi"/>
          <w:sz w:val="24"/>
          <w:szCs w:val="24"/>
          <w:lang w:eastAsia="en-GB"/>
        </w:rPr>
        <w:instrText>ADDIN CSL_CITATION {"citationItems":[{"id":"ITEM-1","itemData":{"DOI":"10.1680/jgrim.17.00054","ISSN":"17550769","abstract":"This paper presents experimental data on the liquid limit (LL), plastic limit, plasticity index (PI), free swell index (FSI), optimum moisture content, maximum dry density (MDD), stress-strain behaviour and unconfined compressive strength (UCS) of an expansive clay blended with varying amounts of cement and ground granulated blast furnace slag (GGBS). Both cement and GGBS were independently added to the expansive clay up to 15% in increments of 5%. FSI, respectively, decreased from 145 to 100% and from 145 to 80% when cement and GGBS contents increased from 0 to 15%. LL and PI, respectively, decreased by 23 and 41% when cement content increased from 0 to 15%. Similarly, LL and PI, respectively, decreased by 14 and 30% when GGBS content increased from 0 to 15%. MDD increased, respectively, by 11 and 9·5% when cement content and GGBS content increased from 0 to 15%. The UCS of the cement-clay blends and the GGBS-clay blends increased with increasing additive contents. For a given additive content, UCS increased significantly with increasing curing period.","author":[{"dropping-particle":"","family":"Phanikumar","given":"B. Ramachandra","non-dropping-particle":"","parse-names":false,"suffix":""},{"dropping-particle":"","family":"Nagaraju","given":"T. Vamsi","non-dropping-particle":"","parse-names":false,"suffix":""}],"container-title":"Proceedings of the Institution of Civil Engineers: Ground Improvement","id":"ITEM-1","issue":"3","issued":{"date-parts":[["2018"]]},"page":"167-173","title":"Engineering behaviour of expansive clays blended with cement and GGBS","type":"article-journal","volume":"171"},"uris":["http://www.mendeley.com/documents/?uuid=3c6698b2-791b-460a-b8ca-1e0016949449"]}],"mendeley":{"formattedCitation":"[51]","plainTextFormattedCitation":"[51]","previouslyFormattedCitation":"[51]"},"properties":{"noteIndex":0},"schema":"https://github.com/citation-style-language/schema/raw/master/csl-citation.json"}</w:instrText>
      </w:r>
      <w:r w:rsidR="00EE796F" w:rsidRPr="00AB258D">
        <w:rPr>
          <w:rFonts w:eastAsia="Times New Roman" w:cstheme="minorHAnsi"/>
          <w:sz w:val="24"/>
          <w:szCs w:val="24"/>
          <w:lang w:eastAsia="en-GB"/>
        </w:rPr>
        <w:fldChar w:fldCharType="separate"/>
      </w:r>
      <w:r w:rsidR="00EE796F" w:rsidRPr="00AB258D">
        <w:rPr>
          <w:rFonts w:eastAsia="Times New Roman" w:cstheme="minorHAnsi"/>
          <w:noProof/>
          <w:sz w:val="24"/>
          <w:szCs w:val="24"/>
          <w:lang w:eastAsia="en-GB"/>
        </w:rPr>
        <w:t>[51]</w:t>
      </w:r>
      <w:r w:rsidR="00EE796F" w:rsidRPr="00AB258D">
        <w:rPr>
          <w:rFonts w:eastAsia="Times New Roman" w:cstheme="minorHAnsi"/>
          <w:sz w:val="24"/>
          <w:szCs w:val="24"/>
          <w:lang w:eastAsia="en-GB"/>
        </w:rPr>
        <w:fldChar w:fldCharType="end"/>
      </w:r>
      <w:r w:rsidR="00804DC0" w:rsidRPr="00AB258D">
        <w:rPr>
          <w:rFonts w:cstheme="minorHAnsi"/>
        </w:rPr>
        <w:t xml:space="preserve">, </w:t>
      </w:r>
      <w:r w:rsidR="00804DC0" w:rsidRPr="00AB258D">
        <w:rPr>
          <w:rFonts w:cstheme="minorHAnsi"/>
          <w:sz w:val="24"/>
          <w:szCs w:val="24"/>
        </w:rPr>
        <w:t xml:space="preserve">the treatment of soils with </w:t>
      </w:r>
      <w:r w:rsidR="0019276C" w:rsidRPr="00AB258D">
        <w:rPr>
          <w:rFonts w:cstheme="minorHAnsi"/>
          <w:sz w:val="24"/>
          <w:szCs w:val="24"/>
        </w:rPr>
        <w:t>either lime</w:t>
      </w:r>
      <w:r w:rsidR="00804DC0" w:rsidRPr="00AB258D">
        <w:rPr>
          <w:rFonts w:cstheme="minorHAnsi"/>
          <w:sz w:val="24"/>
          <w:szCs w:val="24"/>
        </w:rPr>
        <w:t xml:space="preserve"> </w:t>
      </w:r>
      <w:r w:rsidR="0019276C" w:rsidRPr="00AB258D">
        <w:rPr>
          <w:rFonts w:cstheme="minorHAnsi"/>
          <w:sz w:val="24"/>
          <w:szCs w:val="24"/>
        </w:rPr>
        <w:t xml:space="preserve">or cement </w:t>
      </w:r>
      <w:r w:rsidR="00804DC0" w:rsidRPr="00AB258D">
        <w:rPr>
          <w:rFonts w:cstheme="minorHAnsi"/>
          <w:sz w:val="24"/>
          <w:szCs w:val="24"/>
        </w:rPr>
        <w:t xml:space="preserve">additives </w:t>
      </w:r>
      <w:r w:rsidR="0019276C" w:rsidRPr="00AB258D">
        <w:rPr>
          <w:rFonts w:cstheme="minorHAnsi"/>
          <w:sz w:val="24"/>
          <w:szCs w:val="24"/>
        </w:rPr>
        <w:t xml:space="preserve">results in brittle behaviour </w:t>
      </w:r>
      <w:r w:rsidR="00804DC0" w:rsidRPr="00AB258D">
        <w:rPr>
          <w:rFonts w:cstheme="minorHAnsi"/>
          <w:sz w:val="24"/>
          <w:szCs w:val="24"/>
        </w:rPr>
        <w:t xml:space="preserve">of the treated soils </w:t>
      </w:r>
      <w:r w:rsidR="0019276C" w:rsidRPr="00AB258D">
        <w:rPr>
          <w:rFonts w:cstheme="minorHAnsi"/>
          <w:sz w:val="24"/>
          <w:szCs w:val="24"/>
        </w:rPr>
        <w:t>associated with low strain and high strength than those</w:t>
      </w:r>
      <w:r w:rsidR="00804DC0" w:rsidRPr="00AB258D">
        <w:rPr>
          <w:rFonts w:cstheme="minorHAnsi"/>
          <w:sz w:val="24"/>
          <w:szCs w:val="24"/>
        </w:rPr>
        <w:t xml:space="preserve"> of the non-treated soils.</w:t>
      </w:r>
    </w:p>
    <w:p w14:paraId="4C9A4DC1" w14:textId="77777777" w:rsidR="00300A37" w:rsidRPr="00AB258D" w:rsidRDefault="00300A37" w:rsidP="00300A37">
      <w:pPr>
        <w:spacing w:line="276" w:lineRule="auto"/>
        <w:jc w:val="both"/>
        <w:rPr>
          <w:rFonts w:cstheme="minorHAnsi"/>
          <w:sz w:val="24"/>
          <w:szCs w:val="28"/>
        </w:rPr>
      </w:pPr>
    </w:p>
    <w:p w14:paraId="56A5CD90" w14:textId="77777777" w:rsidR="00E24E6B" w:rsidRPr="00AB258D" w:rsidRDefault="00CC5DAE" w:rsidP="00FB6598">
      <w:pPr>
        <w:spacing w:line="360" w:lineRule="auto"/>
        <w:jc w:val="both"/>
        <w:rPr>
          <w:rFonts w:cstheme="minorHAnsi"/>
          <w:sz w:val="24"/>
        </w:rPr>
      </w:pPr>
      <w:r w:rsidRPr="00AB258D">
        <w:rPr>
          <w:rFonts w:cstheme="minorHAnsi"/>
          <w:noProof/>
          <w:lang w:eastAsia="en-GB"/>
        </w:rPr>
        <w:lastRenderedPageBreak/>
        <mc:AlternateContent>
          <mc:Choice Requires="wps">
            <w:drawing>
              <wp:anchor distT="0" distB="0" distL="114300" distR="114300" simplePos="0" relativeHeight="251665408" behindDoc="0" locked="0" layoutInCell="1" allowOverlap="1" wp14:anchorId="3188152F" wp14:editId="4CA18430">
                <wp:simplePos x="0" y="0"/>
                <wp:positionH relativeFrom="column">
                  <wp:posOffset>3486150</wp:posOffset>
                </wp:positionH>
                <wp:positionV relativeFrom="paragraph">
                  <wp:posOffset>352425</wp:posOffset>
                </wp:positionV>
                <wp:extent cx="381000" cy="2571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chemeClr val="lt1"/>
                        </a:solidFill>
                        <a:ln w="6350">
                          <a:noFill/>
                        </a:ln>
                      </wps:spPr>
                      <wps:txbx>
                        <w:txbxContent>
                          <w:p w14:paraId="55A5CC0D" w14:textId="77777777" w:rsidR="004350C0" w:rsidRDefault="004350C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88152F" id="_x0000_t202" coordsize="21600,21600" o:spt="202" path="m,l,21600r21600,l21600,xe">
                <v:stroke joinstyle="miter"/>
                <v:path gradientshapeok="t" o:connecttype="rect"/>
              </v:shapetype>
              <v:shape id="Text Box 21" o:spid="_x0000_s1026" type="#_x0000_t202" style="position:absolute;left:0;text-align:left;margin-left:274.5pt;margin-top:27.75pt;width:30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" fillcolor="white [3201]" stroked="f" strokeweight=".5pt">
                <v:textbox>
                  <w:txbxContent>
                    <w:p w14:paraId="55A5CC0D" w14:textId="77777777" w:rsidR="004350C0" w:rsidRDefault="004350C0">
                      <w:r>
                        <w:t>(b)</w:t>
                      </w:r>
                    </w:p>
                  </w:txbxContent>
                </v:textbox>
              </v:shape>
            </w:pict>
          </mc:Fallback>
        </mc:AlternateContent>
      </w:r>
      <w:r w:rsidRPr="00AB258D">
        <w:rPr>
          <w:rFonts w:cstheme="minorHAnsi"/>
          <w:noProof/>
          <w:lang w:eastAsia="en-GB"/>
        </w:rPr>
        <mc:AlternateContent>
          <mc:Choice Requires="wps">
            <w:drawing>
              <wp:anchor distT="0" distB="0" distL="114300" distR="114300" simplePos="0" relativeHeight="251664384" behindDoc="0" locked="0" layoutInCell="1" allowOverlap="1" wp14:anchorId="6B5916A7" wp14:editId="53C6F01D">
                <wp:simplePos x="0" y="0"/>
                <wp:positionH relativeFrom="column">
                  <wp:posOffset>638175</wp:posOffset>
                </wp:positionH>
                <wp:positionV relativeFrom="paragraph">
                  <wp:posOffset>352425</wp:posOffset>
                </wp:positionV>
                <wp:extent cx="352425" cy="2571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noFill/>
                        </a:ln>
                      </wps:spPr>
                      <wps:txbx>
                        <w:txbxContent>
                          <w:p w14:paraId="7BADB854" w14:textId="77777777" w:rsidR="004350C0" w:rsidRDefault="004350C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916A7" id="Text Box 19" o:spid="_x0000_s1027" type="#_x0000_t202" style="position:absolute;left:0;text-align:left;margin-left:50.25pt;margin-top:27.75pt;width:27.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" fillcolor="white [3201]" stroked="f" strokeweight=".5pt">
                <v:textbox>
                  <w:txbxContent>
                    <w:p w14:paraId="7BADB854" w14:textId="77777777" w:rsidR="004350C0" w:rsidRDefault="004350C0">
                      <w:r>
                        <w:t>(a)</w:t>
                      </w:r>
                    </w:p>
                  </w:txbxContent>
                </v:textbox>
              </v:shape>
            </w:pict>
          </mc:Fallback>
        </mc:AlternateContent>
      </w:r>
      <w:r w:rsidRPr="00AB258D">
        <w:rPr>
          <w:rFonts w:cstheme="minorHAnsi"/>
          <w:noProof/>
          <w:lang w:eastAsia="en-GB"/>
        </w:rPr>
        <mc:AlternateContent>
          <mc:Choice Requires="wps">
            <w:drawing>
              <wp:anchor distT="0" distB="0" distL="114300" distR="114300" simplePos="0" relativeHeight="251660288" behindDoc="0" locked="0" layoutInCell="1" allowOverlap="1" wp14:anchorId="11F674A9" wp14:editId="36E62EFE">
                <wp:simplePos x="0" y="0"/>
                <wp:positionH relativeFrom="column">
                  <wp:posOffset>514350</wp:posOffset>
                </wp:positionH>
                <wp:positionV relativeFrom="paragraph">
                  <wp:posOffset>95250</wp:posOffset>
                </wp:positionV>
                <wp:extent cx="904875" cy="257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04875" cy="257175"/>
                        </a:xfrm>
                        <a:prstGeom prst="rect">
                          <a:avLst/>
                        </a:prstGeom>
                        <a:noFill/>
                        <a:ln w="6350">
                          <a:noFill/>
                        </a:ln>
                      </wps:spPr>
                      <wps:txbx>
                        <w:txbxContent>
                          <w:p w14:paraId="618E3644" w14:textId="77777777" w:rsidR="004350C0" w:rsidRDefault="004350C0">
                            <w:r>
                              <w:t>Soil I-7days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F674A9" id="Text Box 10" o:spid="_x0000_s1028" type="#_x0000_t202" style="position:absolute;left:0;text-align:left;margin-left:40.5pt;margin-top:7.5pt;width:71.25pt;height:2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" filled="f" stroked="f" strokeweight=".5pt">
                <v:textbox>
                  <w:txbxContent>
                    <w:p w14:paraId="618E3644" w14:textId="77777777" w:rsidR="004350C0" w:rsidRDefault="004350C0">
                      <w:r>
                        <w:t>Soil I-7days</w:t>
                      </w:r>
                    </w:p>
                  </w:txbxContent>
                </v:textbox>
              </v:shape>
            </w:pict>
          </mc:Fallback>
        </mc:AlternateContent>
      </w:r>
      <w:r w:rsidR="00A350D9" w:rsidRPr="00AB258D">
        <w:rPr>
          <w:rFonts w:cstheme="minorHAnsi"/>
          <w:noProof/>
          <w:lang w:eastAsia="en-GB"/>
        </w:rPr>
        <w:drawing>
          <wp:inline distT="0" distB="0" distL="0" distR="0" wp14:anchorId="37A59792" wp14:editId="66B498F3">
            <wp:extent cx="2847975" cy="3209925"/>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257DF" w:rsidRPr="00AB258D">
        <w:rPr>
          <w:rFonts w:cstheme="minorHAnsi"/>
          <w:noProof/>
          <w:lang w:eastAsia="en-GB"/>
        </w:rPr>
        <w:drawing>
          <wp:inline distT="0" distB="0" distL="0" distR="0" wp14:anchorId="395C851C" wp14:editId="2D6B4D0D">
            <wp:extent cx="2847975" cy="3209925"/>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CBEF18" w14:textId="77777777" w:rsidR="00E24E6B" w:rsidRPr="00AB258D" w:rsidRDefault="00CC5DAE" w:rsidP="00FB6598">
      <w:pPr>
        <w:spacing w:line="360" w:lineRule="auto"/>
        <w:jc w:val="both"/>
        <w:rPr>
          <w:rFonts w:cstheme="minorHAnsi"/>
          <w:sz w:val="24"/>
        </w:rPr>
      </w:pPr>
      <w:r w:rsidRPr="00AB258D">
        <w:rPr>
          <w:rFonts w:cstheme="minorHAnsi"/>
          <w:noProof/>
          <w:lang w:eastAsia="en-GB"/>
        </w:rPr>
        <mc:AlternateContent>
          <mc:Choice Requires="wps">
            <w:drawing>
              <wp:anchor distT="0" distB="0" distL="114300" distR="114300" simplePos="0" relativeHeight="251667456" behindDoc="0" locked="0" layoutInCell="1" allowOverlap="1" wp14:anchorId="0877C950" wp14:editId="7672B084">
                <wp:simplePos x="0" y="0"/>
                <wp:positionH relativeFrom="column">
                  <wp:posOffset>3486150</wp:posOffset>
                </wp:positionH>
                <wp:positionV relativeFrom="paragraph">
                  <wp:posOffset>307975</wp:posOffset>
                </wp:positionV>
                <wp:extent cx="428625" cy="3143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chemeClr val="lt1"/>
                        </a:solidFill>
                        <a:ln w="6350">
                          <a:noFill/>
                        </a:ln>
                      </wps:spPr>
                      <wps:txbx>
                        <w:txbxContent>
                          <w:p w14:paraId="3F6B83B1" w14:textId="77777777" w:rsidR="004350C0" w:rsidRDefault="004350C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77C950" id="Text Box 25" o:spid="_x0000_s1029" type="#_x0000_t202" style="position:absolute;left:0;text-align:left;margin-left:274.5pt;margin-top:24.25pt;width:33.75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" fillcolor="white [3201]" stroked="f" strokeweight=".5pt">
                <v:textbox>
                  <w:txbxContent>
                    <w:p w14:paraId="3F6B83B1" w14:textId="77777777" w:rsidR="004350C0" w:rsidRDefault="004350C0">
                      <w:r>
                        <w:t>(d)</w:t>
                      </w:r>
                    </w:p>
                  </w:txbxContent>
                </v:textbox>
              </v:shape>
            </w:pict>
          </mc:Fallback>
        </mc:AlternateContent>
      </w:r>
      <w:r w:rsidRPr="00AB258D">
        <w:rPr>
          <w:rFonts w:cstheme="minorHAnsi"/>
          <w:noProof/>
          <w:lang w:eastAsia="en-GB"/>
        </w:rPr>
        <mc:AlternateContent>
          <mc:Choice Requires="wps">
            <w:drawing>
              <wp:anchor distT="0" distB="0" distL="114300" distR="114300" simplePos="0" relativeHeight="251666432" behindDoc="0" locked="0" layoutInCell="1" allowOverlap="1" wp14:anchorId="28EAA979" wp14:editId="4D7441A0">
                <wp:simplePos x="0" y="0"/>
                <wp:positionH relativeFrom="column">
                  <wp:posOffset>638175</wp:posOffset>
                </wp:positionH>
                <wp:positionV relativeFrom="paragraph">
                  <wp:posOffset>307975</wp:posOffset>
                </wp:positionV>
                <wp:extent cx="352425" cy="2571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noFill/>
                        </a:ln>
                      </wps:spPr>
                      <wps:txbx>
                        <w:txbxContent>
                          <w:p w14:paraId="3A677EBD" w14:textId="77777777" w:rsidR="004350C0" w:rsidRDefault="004350C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AA979" id="Text Box 22" o:spid="_x0000_s1030" type="#_x0000_t202" style="position:absolute;left:0;text-align:left;margin-left:50.25pt;margin-top:24.25pt;width:27.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" fillcolor="white [3201]" stroked="f" strokeweight=".5pt">
                <v:textbox>
                  <w:txbxContent>
                    <w:p w14:paraId="3A677EBD" w14:textId="77777777" w:rsidR="004350C0" w:rsidRDefault="004350C0">
                      <w:r>
                        <w:t>(c)</w:t>
                      </w:r>
                    </w:p>
                  </w:txbxContent>
                </v:textbox>
              </v:shape>
            </w:pict>
          </mc:Fallback>
        </mc:AlternateContent>
      </w:r>
      <w:r w:rsidR="00FB6598" w:rsidRPr="00AB258D">
        <w:rPr>
          <w:rFonts w:cstheme="minorHAnsi"/>
          <w:noProof/>
          <w:lang w:eastAsia="en-GB"/>
        </w:rPr>
        <w:drawing>
          <wp:inline distT="0" distB="0" distL="0" distR="0" wp14:anchorId="00067996" wp14:editId="13731688">
            <wp:extent cx="2847975" cy="32004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E24E6B" w:rsidRPr="00AB258D">
        <w:rPr>
          <w:rFonts w:cstheme="minorHAnsi"/>
          <w:noProof/>
          <w:lang w:eastAsia="en-GB"/>
        </w:rPr>
        <w:drawing>
          <wp:inline distT="0" distB="0" distL="0" distR="0" wp14:anchorId="41342B3C" wp14:editId="096B7D67">
            <wp:extent cx="283845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A04721" w14:textId="77777777" w:rsidR="00E24E6B" w:rsidRPr="00AB258D" w:rsidRDefault="00CC5DAE" w:rsidP="00FB6598">
      <w:pPr>
        <w:spacing w:line="360" w:lineRule="auto"/>
        <w:jc w:val="both"/>
        <w:rPr>
          <w:rFonts w:cstheme="minorHAnsi"/>
          <w:sz w:val="24"/>
        </w:rPr>
      </w:pPr>
      <w:r w:rsidRPr="00AB258D">
        <w:rPr>
          <w:rFonts w:cstheme="minorHAnsi"/>
          <w:noProof/>
          <w:lang w:eastAsia="en-GB"/>
        </w:rPr>
        <w:lastRenderedPageBreak/>
        <mc:AlternateContent>
          <mc:Choice Requires="wps">
            <w:drawing>
              <wp:anchor distT="0" distB="0" distL="114300" distR="114300" simplePos="0" relativeHeight="251668480" behindDoc="0" locked="0" layoutInCell="1" allowOverlap="1" wp14:anchorId="7BB68931" wp14:editId="24BA2685">
                <wp:simplePos x="0" y="0"/>
                <wp:positionH relativeFrom="column">
                  <wp:posOffset>619125</wp:posOffset>
                </wp:positionH>
                <wp:positionV relativeFrom="paragraph">
                  <wp:posOffset>438150</wp:posOffset>
                </wp:positionV>
                <wp:extent cx="361950" cy="30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61950" cy="304800"/>
                        </a:xfrm>
                        <a:prstGeom prst="rect">
                          <a:avLst/>
                        </a:prstGeom>
                        <a:solidFill>
                          <a:schemeClr val="lt1"/>
                        </a:solidFill>
                        <a:ln w="6350">
                          <a:noFill/>
                        </a:ln>
                      </wps:spPr>
                      <wps:txbx>
                        <w:txbxContent>
                          <w:p w14:paraId="5C073D1C" w14:textId="77777777" w:rsidR="004350C0" w:rsidRDefault="004350C0">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B68931" id="Text Box 26" o:spid="_x0000_s1031" type="#_x0000_t202" style="position:absolute;left:0;text-align:left;margin-left:48.75pt;margin-top:34.5pt;width:28.5pt;height:2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" fillcolor="white [3201]" stroked="f" strokeweight=".5pt">
                <v:textbox>
                  <w:txbxContent>
                    <w:p w14:paraId="5C073D1C" w14:textId="77777777" w:rsidR="004350C0" w:rsidRDefault="004350C0">
                      <w:r>
                        <w:t>(e)</w:t>
                      </w:r>
                    </w:p>
                  </w:txbxContent>
                </v:textbox>
              </v:shape>
            </w:pict>
          </mc:Fallback>
        </mc:AlternateContent>
      </w:r>
      <w:r w:rsidR="00E24E6B" w:rsidRPr="00AB258D">
        <w:rPr>
          <w:rFonts w:cstheme="minorHAnsi"/>
          <w:noProof/>
          <w:lang w:eastAsia="en-GB"/>
        </w:rPr>
        <w:drawing>
          <wp:inline distT="0" distB="0" distL="0" distR="0" wp14:anchorId="146490C3" wp14:editId="71125783">
            <wp:extent cx="2781300" cy="3124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E02B3" w:rsidRPr="00AB258D">
        <w:rPr>
          <w:rFonts w:cstheme="minorHAnsi"/>
          <w:noProof/>
          <w:lang w:eastAsia="en-GB"/>
        </w:rPr>
        <w:drawing>
          <wp:inline distT="0" distB="0" distL="0" distR="0" wp14:anchorId="67B43226" wp14:editId="06F4DBDC">
            <wp:extent cx="2781300" cy="32385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D5ADE7" w14:textId="12328B04" w:rsidR="000B5CAA" w:rsidRPr="00AB258D" w:rsidRDefault="00CF2E75" w:rsidP="00FB6598">
      <w:pPr>
        <w:spacing w:line="360" w:lineRule="auto"/>
        <w:jc w:val="both"/>
        <w:rPr>
          <w:rFonts w:cstheme="minorHAnsi"/>
          <w:sz w:val="24"/>
        </w:rPr>
      </w:pPr>
      <w:r w:rsidRPr="00AB258D">
        <w:rPr>
          <w:rFonts w:cstheme="minorHAnsi"/>
          <w:b/>
          <w:sz w:val="24"/>
        </w:rPr>
        <w:t>Fig. 3</w:t>
      </w:r>
      <w:r w:rsidR="003471A8">
        <w:rPr>
          <w:rFonts w:cstheme="minorHAnsi"/>
          <w:b/>
          <w:sz w:val="24"/>
        </w:rPr>
        <w:t>(a-f)</w:t>
      </w:r>
      <w:r w:rsidR="00625BA3" w:rsidRPr="00AB258D">
        <w:rPr>
          <w:rFonts w:cstheme="minorHAnsi"/>
          <w:b/>
          <w:sz w:val="24"/>
        </w:rPr>
        <w:t>.</w:t>
      </w:r>
      <w:r w:rsidR="000B5CAA" w:rsidRPr="00AB258D">
        <w:rPr>
          <w:rFonts w:cstheme="minorHAnsi"/>
          <w:sz w:val="24"/>
        </w:rPr>
        <w:t xml:space="preserve"> Stress and strain response of treated soils after 7days curing period </w:t>
      </w:r>
    </w:p>
    <w:p w14:paraId="527D6CEE" w14:textId="77777777" w:rsidR="00FB6598" w:rsidRPr="00AB258D" w:rsidRDefault="00735901" w:rsidP="00FB6598">
      <w:pPr>
        <w:spacing w:line="360" w:lineRule="auto"/>
        <w:jc w:val="both"/>
        <w:rPr>
          <w:rFonts w:cstheme="minorHAnsi"/>
          <w:sz w:val="24"/>
        </w:rPr>
      </w:pPr>
      <w:r w:rsidRPr="00AB258D">
        <w:rPr>
          <w:rFonts w:cstheme="minorHAnsi"/>
          <w:noProof/>
          <w:lang w:eastAsia="en-GB"/>
        </w:rPr>
        <mc:AlternateContent>
          <mc:Choice Requires="wps">
            <w:drawing>
              <wp:anchor distT="0" distB="0" distL="114300" distR="114300" simplePos="0" relativeHeight="251661312" behindDoc="0" locked="0" layoutInCell="1" allowOverlap="1" wp14:anchorId="7AA34AA7" wp14:editId="6573F0A9">
                <wp:simplePos x="0" y="0"/>
                <wp:positionH relativeFrom="column">
                  <wp:posOffset>3403084</wp:posOffset>
                </wp:positionH>
                <wp:positionV relativeFrom="paragraph">
                  <wp:posOffset>172085</wp:posOffset>
                </wp:positionV>
                <wp:extent cx="931653" cy="276046"/>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931653" cy="276046"/>
                        </a:xfrm>
                        <a:prstGeom prst="rect">
                          <a:avLst/>
                        </a:prstGeom>
                        <a:solidFill>
                          <a:schemeClr val="bg1"/>
                        </a:solidFill>
                        <a:ln w="6350">
                          <a:noFill/>
                        </a:ln>
                      </wps:spPr>
                      <wps:txbx>
                        <w:txbxContent>
                          <w:p w14:paraId="158A9C95" w14:textId="77777777" w:rsidR="004350C0" w:rsidRDefault="004350C0">
                            <w:r>
                              <w:t>Soil I-28days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34AA7" id="Text Box 11" o:spid="_x0000_s1032" type="#_x0000_t202" style="position:absolute;left:0;text-align:left;margin-left:267.95pt;margin-top:13.55pt;width:73.3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" fillcolor="white [3212]" stroked="f" strokeweight=".5pt">
                <v:textbox>
                  <w:txbxContent>
                    <w:p w14:paraId="158A9C95" w14:textId="77777777" w:rsidR="004350C0" w:rsidRDefault="004350C0">
                      <w:r>
                        <w:t>Soil I-28days</w:t>
                      </w:r>
                    </w:p>
                  </w:txbxContent>
                </v:textbox>
              </v:shape>
            </w:pict>
          </mc:Fallback>
        </mc:AlternateContent>
      </w:r>
      <w:r w:rsidR="00CC5DAE" w:rsidRPr="00AB258D">
        <w:rPr>
          <w:rFonts w:cstheme="minorHAnsi"/>
          <w:noProof/>
          <w:lang w:eastAsia="en-GB"/>
        </w:rPr>
        <mc:AlternateContent>
          <mc:Choice Requires="wps">
            <w:drawing>
              <wp:anchor distT="0" distB="0" distL="114300" distR="114300" simplePos="0" relativeHeight="251670528" behindDoc="0" locked="0" layoutInCell="1" allowOverlap="1" wp14:anchorId="2BE4774F" wp14:editId="76C1EB76">
                <wp:simplePos x="0" y="0"/>
                <wp:positionH relativeFrom="column">
                  <wp:posOffset>3400425</wp:posOffset>
                </wp:positionH>
                <wp:positionV relativeFrom="paragraph">
                  <wp:posOffset>450850</wp:posOffset>
                </wp:positionV>
                <wp:extent cx="419100" cy="33401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419100" cy="334010"/>
                        </a:xfrm>
                        <a:prstGeom prst="rect">
                          <a:avLst/>
                        </a:prstGeom>
                        <a:solidFill>
                          <a:schemeClr val="lt1"/>
                        </a:solidFill>
                        <a:ln w="6350">
                          <a:noFill/>
                        </a:ln>
                      </wps:spPr>
                      <wps:txbx>
                        <w:txbxContent>
                          <w:p w14:paraId="4EFBDB0E" w14:textId="77777777" w:rsidR="004350C0" w:rsidRDefault="004350C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4774F" id="Text Box 28" o:spid="_x0000_s1033" type="#_x0000_t202" style="position:absolute;left:0;text-align:left;margin-left:267.75pt;margin-top:35.5pt;width:33pt;height:26.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" fillcolor="white [3201]" stroked="f" strokeweight=".5pt">
                <v:textbox>
                  <w:txbxContent>
                    <w:p w14:paraId="4EFBDB0E" w14:textId="77777777" w:rsidR="004350C0" w:rsidRDefault="004350C0">
                      <w:r>
                        <w:t>(b)</w:t>
                      </w:r>
                    </w:p>
                  </w:txbxContent>
                </v:textbox>
              </v:shape>
            </w:pict>
          </mc:Fallback>
        </mc:AlternateContent>
      </w:r>
      <w:r w:rsidR="00CC5DAE" w:rsidRPr="00AB258D">
        <w:rPr>
          <w:rFonts w:cstheme="minorHAnsi"/>
          <w:noProof/>
          <w:lang w:eastAsia="en-GB"/>
        </w:rPr>
        <mc:AlternateContent>
          <mc:Choice Requires="wps">
            <w:drawing>
              <wp:anchor distT="0" distB="0" distL="114300" distR="114300" simplePos="0" relativeHeight="251669504" behindDoc="0" locked="0" layoutInCell="1" allowOverlap="1" wp14:anchorId="0872FEF0" wp14:editId="3EAAF469">
                <wp:simplePos x="0" y="0"/>
                <wp:positionH relativeFrom="column">
                  <wp:posOffset>619125</wp:posOffset>
                </wp:positionH>
                <wp:positionV relativeFrom="paragraph">
                  <wp:posOffset>384810</wp:posOffset>
                </wp:positionV>
                <wp:extent cx="361950" cy="3143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61950" cy="314325"/>
                        </a:xfrm>
                        <a:prstGeom prst="rect">
                          <a:avLst/>
                        </a:prstGeom>
                        <a:solidFill>
                          <a:schemeClr val="lt1"/>
                        </a:solidFill>
                        <a:ln w="6350">
                          <a:noFill/>
                        </a:ln>
                      </wps:spPr>
                      <wps:txbx>
                        <w:txbxContent>
                          <w:p w14:paraId="01A1D69C" w14:textId="77777777" w:rsidR="004350C0" w:rsidRDefault="004350C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2FEF0" id="Text Box 27" o:spid="_x0000_s1034" type="#_x0000_t202" style="position:absolute;left:0;text-align:left;margin-left:48.75pt;margin-top:30.3pt;width:28.5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" fillcolor="white [3201]" stroked="f" strokeweight=".5pt">
                <v:textbox>
                  <w:txbxContent>
                    <w:p w14:paraId="01A1D69C" w14:textId="77777777" w:rsidR="004350C0" w:rsidRDefault="004350C0">
                      <w:r>
                        <w:t>(a)</w:t>
                      </w:r>
                    </w:p>
                  </w:txbxContent>
                </v:textbox>
              </v:shape>
            </w:pict>
          </mc:Fallback>
        </mc:AlternateContent>
      </w:r>
      <w:r w:rsidR="00FB6598" w:rsidRPr="00AB258D">
        <w:rPr>
          <w:rFonts w:cstheme="minorHAnsi"/>
          <w:noProof/>
          <w:lang w:eastAsia="en-GB"/>
        </w:rPr>
        <w:drawing>
          <wp:inline distT="0" distB="0" distL="0" distR="0" wp14:anchorId="3F6F34F7" wp14:editId="284FB2E3">
            <wp:extent cx="2781300" cy="3276600"/>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463410" w:rsidRPr="00AB258D">
        <w:rPr>
          <w:rFonts w:cstheme="minorHAnsi"/>
          <w:noProof/>
          <w:lang w:eastAsia="en-GB"/>
        </w:rPr>
        <w:drawing>
          <wp:inline distT="0" distB="0" distL="0" distR="0" wp14:anchorId="148E6910" wp14:editId="36613FF0">
            <wp:extent cx="2781300" cy="3238500"/>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C8C386" w14:textId="77777777" w:rsidR="00FB6598" w:rsidRPr="00AB258D" w:rsidRDefault="004B29E2" w:rsidP="00FB6598">
      <w:pPr>
        <w:spacing w:line="360" w:lineRule="auto"/>
        <w:jc w:val="both"/>
        <w:rPr>
          <w:rFonts w:cstheme="minorHAnsi"/>
          <w:sz w:val="24"/>
        </w:rPr>
      </w:pPr>
      <w:r w:rsidRPr="00AB258D">
        <w:rPr>
          <w:rFonts w:cstheme="minorHAnsi"/>
          <w:noProof/>
          <w:lang w:eastAsia="en-GB"/>
        </w:rPr>
        <w:lastRenderedPageBreak/>
        <mc:AlternateContent>
          <mc:Choice Requires="wps">
            <w:drawing>
              <wp:anchor distT="0" distB="0" distL="114300" distR="114300" simplePos="0" relativeHeight="251672576" behindDoc="0" locked="0" layoutInCell="1" allowOverlap="1" wp14:anchorId="4BDEABB6" wp14:editId="386E3092">
                <wp:simplePos x="0" y="0"/>
                <wp:positionH relativeFrom="column">
                  <wp:posOffset>3467100</wp:posOffset>
                </wp:positionH>
                <wp:positionV relativeFrom="paragraph">
                  <wp:posOffset>447675</wp:posOffset>
                </wp:positionV>
                <wp:extent cx="400050" cy="323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00050" cy="323850"/>
                        </a:xfrm>
                        <a:prstGeom prst="rect">
                          <a:avLst/>
                        </a:prstGeom>
                        <a:solidFill>
                          <a:schemeClr val="lt1"/>
                        </a:solidFill>
                        <a:ln w="6350">
                          <a:noFill/>
                        </a:ln>
                      </wps:spPr>
                      <wps:txbx>
                        <w:txbxContent>
                          <w:p w14:paraId="3BFEB277" w14:textId="77777777" w:rsidR="004350C0" w:rsidRDefault="004350C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EABB6" id="Text Box 30" o:spid="_x0000_s1035" type="#_x0000_t202" style="position:absolute;left:0;text-align:left;margin-left:273pt;margin-top:35.25pt;width:31.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" fillcolor="white [3201]" stroked="f" strokeweight=".5pt">
                <v:textbox>
                  <w:txbxContent>
                    <w:p w14:paraId="3BFEB277" w14:textId="77777777" w:rsidR="004350C0" w:rsidRDefault="004350C0">
                      <w:r>
                        <w:t>(d)</w:t>
                      </w:r>
                    </w:p>
                  </w:txbxContent>
                </v:textbox>
              </v:shape>
            </w:pict>
          </mc:Fallback>
        </mc:AlternateContent>
      </w:r>
      <w:r w:rsidR="00CC5DAE" w:rsidRPr="00AB258D">
        <w:rPr>
          <w:rFonts w:cstheme="minorHAnsi"/>
          <w:noProof/>
          <w:lang w:eastAsia="en-GB"/>
        </w:rPr>
        <mc:AlternateContent>
          <mc:Choice Requires="wps">
            <w:drawing>
              <wp:anchor distT="0" distB="0" distL="114300" distR="114300" simplePos="0" relativeHeight="251671552" behindDoc="0" locked="0" layoutInCell="1" allowOverlap="1" wp14:anchorId="764A2781" wp14:editId="15DA713C">
                <wp:simplePos x="0" y="0"/>
                <wp:positionH relativeFrom="column">
                  <wp:posOffset>628651</wp:posOffset>
                </wp:positionH>
                <wp:positionV relativeFrom="paragraph">
                  <wp:posOffset>447675</wp:posOffset>
                </wp:positionV>
                <wp:extent cx="342900" cy="3238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2900" cy="323850"/>
                        </a:xfrm>
                        <a:prstGeom prst="rect">
                          <a:avLst/>
                        </a:prstGeom>
                        <a:solidFill>
                          <a:schemeClr val="lt1"/>
                        </a:solidFill>
                        <a:ln w="6350">
                          <a:noFill/>
                        </a:ln>
                      </wps:spPr>
                      <wps:txbx>
                        <w:txbxContent>
                          <w:p w14:paraId="75A13890" w14:textId="77777777" w:rsidR="004350C0" w:rsidRDefault="004350C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4A2781" id="Text Box 29" o:spid="_x0000_s1036" type="#_x0000_t202" style="position:absolute;left:0;text-align:left;margin-left:49.5pt;margin-top:35.25pt;width:27pt;height:2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" fillcolor="white [3201]" stroked="f" strokeweight=".5pt">
                <v:textbox>
                  <w:txbxContent>
                    <w:p w14:paraId="75A13890" w14:textId="77777777" w:rsidR="004350C0" w:rsidRDefault="004350C0">
                      <w:r>
                        <w:t>(c)</w:t>
                      </w:r>
                    </w:p>
                  </w:txbxContent>
                </v:textbox>
              </v:shape>
            </w:pict>
          </mc:Fallback>
        </mc:AlternateContent>
      </w:r>
      <w:r w:rsidR="00E24E6B" w:rsidRPr="00AB258D">
        <w:rPr>
          <w:rFonts w:cstheme="minorHAnsi"/>
          <w:noProof/>
          <w:lang w:eastAsia="en-GB"/>
        </w:rPr>
        <mc:AlternateContent>
          <mc:Choice Requires="wps">
            <w:drawing>
              <wp:anchor distT="0" distB="0" distL="114300" distR="114300" simplePos="0" relativeHeight="251659264" behindDoc="0" locked="0" layoutInCell="1" allowOverlap="1" wp14:anchorId="7836B787" wp14:editId="662BA0BD">
                <wp:simplePos x="0" y="0"/>
                <wp:positionH relativeFrom="column">
                  <wp:posOffset>523875</wp:posOffset>
                </wp:positionH>
                <wp:positionV relativeFrom="paragraph">
                  <wp:posOffset>119152</wp:posOffset>
                </wp:positionV>
                <wp:extent cx="942975" cy="276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942975" cy="276225"/>
                        </a:xfrm>
                        <a:prstGeom prst="rect">
                          <a:avLst/>
                        </a:prstGeom>
                        <a:noFill/>
                        <a:ln w="6350">
                          <a:noFill/>
                        </a:ln>
                      </wps:spPr>
                      <wps:txbx>
                        <w:txbxContent>
                          <w:p w14:paraId="3F6D9A1E" w14:textId="77777777" w:rsidR="004350C0" w:rsidRDefault="004350C0">
                            <w:r>
                              <w:t>Soil I-28days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6B787" id="Text Box 9" o:spid="_x0000_s1037" type="#_x0000_t202" style="position:absolute;left:0;text-align:left;margin-left:41.25pt;margin-top:9.4pt;width:74.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" filled="f" stroked="f" strokeweight=".5pt">
                <v:textbox>
                  <w:txbxContent>
                    <w:p w14:paraId="3F6D9A1E" w14:textId="77777777" w:rsidR="004350C0" w:rsidRDefault="004350C0">
                      <w:r>
                        <w:t>Soil I-28days</w:t>
                      </w:r>
                    </w:p>
                  </w:txbxContent>
                </v:textbox>
              </v:shape>
            </w:pict>
          </mc:Fallback>
        </mc:AlternateContent>
      </w:r>
      <w:r w:rsidR="00FB6598" w:rsidRPr="00AB258D">
        <w:rPr>
          <w:rFonts w:cstheme="minorHAnsi"/>
          <w:noProof/>
          <w:lang w:eastAsia="en-GB"/>
        </w:rPr>
        <w:drawing>
          <wp:inline distT="0" distB="0" distL="0" distR="0" wp14:anchorId="32C265AD" wp14:editId="66C370B7">
            <wp:extent cx="2790825" cy="325755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277CF" w:rsidRPr="00AB258D">
        <w:rPr>
          <w:rFonts w:cstheme="minorHAnsi"/>
          <w:noProof/>
          <w:lang w:eastAsia="en-GB"/>
        </w:rPr>
        <w:drawing>
          <wp:inline distT="0" distB="0" distL="0" distR="0" wp14:anchorId="72C818A2" wp14:editId="0165FE3C">
            <wp:extent cx="2790825" cy="31908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01B616" w14:textId="77777777" w:rsidR="00FB6598" w:rsidRPr="00AB258D" w:rsidRDefault="004678B1" w:rsidP="00FB6598">
      <w:pPr>
        <w:spacing w:line="360" w:lineRule="auto"/>
        <w:jc w:val="both"/>
        <w:rPr>
          <w:rFonts w:cstheme="minorHAnsi"/>
          <w:sz w:val="24"/>
        </w:rPr>
      </w:pPr>
      <w:r w:rsidRPr="00AB258D">
        <w:rPr>
          <w:rFonts w:cstheme="minorHAnsi"/>
          <w:noProof/>
          <w:lang w:eastAsia="en-GB"/>
        </w:rPr>
        <mc:AlternateContent>
          <mc:Choice Requires="wps">
            <w:drawing>
              <wp:anchor distT="0" distB="0" distL="114300" distR="114300" simplePos="0" relativeHeight="251673600" behindDoc="0" locked="0" layoutInCell="1" allowOverlap="1" wp14:anchorId="40D6EF2E" wp14:editId="10A29813">
                <wp:simplePos x="0" y="0"/>
                <wp:positionH relativeFrom="column">
                  <wp:posOffset>628650</wp:posOffset>
                </wp:positionH>
                <wp:positionV relativeFrom="paragraph">
                  <wp:posOffset>489585</wp:posOffset>
                </wp:positionV>
                <wp:extent cx="400050" cy="266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0050" cy="266700"/>
                        </a:xfrm>
                        <a:prstGeom prst="rect">
                          <a:avLst/>
                        </a:prstGeom>
                        <a:solidFill>
                          <a:schemeClr val="lt1"/>
                        </a:solidFill>
                        <a:ln w="6350">
                          <a:noFill/>
                        </a:ln>
                      </wps:spPr>
                      <wps:txbx>
                        <w:txbxContent>
                          <w:p w14:paraId="1E9CC4FC" w14:textId="77777777" w:rsidR="004350C0" w:rsidRDefault="004350C0">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6EF2E" id="Text Box 31" o:spid="_x0000_s1038" type="#_x0000_t202" style="position:absolute;left:0;text-align:left;margin-left:49.5pt;margin-top:38.55pt;width:31.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BPRA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" fillcolor="white [3201]" stroked="f" strokeweight=".5pt">
                <v:textbox>
                  <w:txbxContent>
                    <w:p w14:paraId="1E9CC4FC" w14:textId="77777777" w:rsidR="004350C0" w:rsidRDefault="004350C0">
                      <w:r>
                        <w:t>(e)</w:t>
                      </w:r>
                    </w:p>
                  </w:txbxContent>
                </v:textbox>
              </v:shape>
            </w:pict>
          </mc:Fallback>
        </mc:AlternateContent>
      </w:r>
      <w:r w:rsidR="00132753" w:rsidRPr="00AB258D">
        <w:rPr>
          <w:rFonts w:cstheme="minorHAnsi"/>
          <w:noProof/>
          <w:lang w:eastAsia="en-GB"/>
        </w:rPr>
        <w:drawing>
          <wp:inline distT="0" distB="0" distL="0" distR="0" wp14:anchorId="48B0C01B" wp14:editId="3FC6B648">
            <wp:extent cx="2790825" cy="3390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33672" w:rsidRPr="00AB258D">
        <w:rPr>
          <w:rFonts w:cstheme="minorHAnsi"/>
          <w:noProof/>
          <w:lang w:eastAsia="en-GB"/>
        </w:rPr>
        <w:drawing>
          <wp:inline distT="0" distB="0" distL="0" distR="0" wp14:anchorId="454BC644" wp14:editId="0701FDF1">
            <wp:extent cx="2800350" cy="32385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B32BA1" w14:textId="27F6450F" w:rsidR="000B5CAA" w:rsidRPr="00AB258D" w:rsidRDefault="00960D4D" w:rsidP="00FB6598">
      <w:pPr>
        <w:spacing w:line="360" w:lineRule="auto"/>
        <w:jc w:val="both"/>
        <w:rPr>
          <w:rFonts w:cstheme="minorHAnsi"/>
          <w:sz w:val="24"/>
        </w:rPr>
      </w:pPr>
      <w:r>
        <w:rPr>
          <w:rFonts w:cstheme="minorHAnsi"/>
          <w:b/>
          <w:sz w:val="24"/>
        </w:rPr>
        <w:t>Fig. 4(a-f)</w:t>
      </w:r>
      <w:r w:rsidR="00D72FDF" w:rsidRPr="00AB258D">
        <w:rPr>
          <w:rFonts w:cstheme="minorHAnsi"/>
          <w:sz w:val="24"/>
        </w:rPr>
        <w:t xml:space="preserve">. </w:t>
      </w:r>
      <w:r w:rsidR="000B5CAA" w:rsidRPr="00AB258D">
        <w:rPr>
          <w:rFonts w:cstheme="minorHAnsi"/>
          <w:sz w:val="24"/>
        </w:rPr>
        <w:t xml:space="preserve">Stress and strain response of treated soils after 28days curing period </w:t>
      </w:r>
    </w:p>
    <w:p w14:paraId="499D9DD3" w14:textId="77777777" w:rsidR="00872346" w:rsidRPr="00AB258D" w:rsidRDefault="00872346" w:rsidP="00FB6598">
      <w:pPr>
        <w:spacing w:line="360" w:lineRule="auto"/>
        <w:jc w:val="both"/>
        <w:rPr>
          <w:rFonts w:cstheme="minorHAnsi"/>
          <w:sz w:val="24"/>
        </w:rPr>
      </w:pPr>
    </w:p>
    <w:p w14:paraId="3EBC756E" w14:textId="77777777" w:rsidR="000C0D22" w:rsidRPr="00AB258D" w:rsidRDefault="00FF094F" w:rsidP="000C0D22">
      <w:pPr>
        <w:spacing w:line="360" w:lineRule="auto"/>
        <w:jc w:val="both"/>
        <w:rPr>
          <w:rFonts w:cstheme="minorHAnsi"/>
          <w:b/>
          <w:sz w:val="28"/>
          <w:szCs w:val="28"/>
        </w:rPr>
      </w:pPr>
      <w:r w:rsidRPr="00AB258D">
        <w:rPr>
          <w:rFonts w:cstheme="minorHAnsi"/>
          <w:sz w:val="28"/>
          <w:szCs w:val="28"/>
        </w:rPr>
        <w:t xml:space="preserve">3.2 </w:t>
      </w:r>
      <w:r w:rsidR="00E92987" w:rsidRPr="00AB258D">
        <w:rPr>
          <w:rFonts w:cstheme="minorHAnsi"/>
          <w:sz w:val="28"/>
          <w:szCs w:val="28"/>
        </w:rPr>
        <w:t xml:space="preserve">Undrained shear strength </w:t>
      </w:r>
      <w:r w:rsidR="000C0D22" w:rsidRPr="00AB258D">
        <w:rPr>
          <w:rFonts w:cstheme="minorHAnsi"/>
          <w:sz w:val="28"/>
          <w:szCs w:val="28"/>
        </w:rPr>
        <w:t>of cemented soils</w:t>
      </w:r>
    </w:p>
    <w:p w14:paraId="5EF1C544" w14:textId="15E863A8" w:rsidR="00F53D45" w:rsidRPr="00AB258D" w:rsidRDefault="00127039" w:rsidP="00872346">
      <w:pPr>
        <w:spacing w:line="240" w:lineRule="auto"/>
        <w:jc w:val="both"/>
        <w:rPr>
          <w:rFonts w:cstheme="minorHAnsi"/>
          <w:sz w:val="24"/>
          <w:szCs w:val="24"/>
        </w:rPr>
      </w:pPr>
      <w:r w:rsidRPr="00AB258D">
        <w:rPr>
          <w:rFonts w:cstheme="minorHAnsi"/>
          <w:sz w:val="24"/>
          <w:szCs w:val="24"/>
        </w:rPr>
        <w:t xml:space="preserve">The properties and change in the engineering properties of clays stabilised by cement alone and combination of cement and GGBS or cement and PFA are well established </w:t>
      </w:r>
      <w:r w:rsidRPr="00AB258D">
        <w:rPr>
          <w:rFonts w:cstheme="minorHAnsi"/>
          <w:sz w:val="24"/>
          <w:szCs w:val="24"/>
        </w:rPr>
        <w:fldChar w:fldCharType="begin" w:fldLock="1"/>
      </w:r>
      <w:r w:rsidR="003208C7" w:rsidRPr="00AB258D">
        <w:rPr>
          <w:rFonts w:cstheme="minorHAnsi"/>
          <w:sz w:val="24"/>
          <w:szCs w:val="24"/>
        </w:rPr>
        <w:instrText>ADDIN CSL_CITATION {"citationItems":[{"id":"ITEM-1","itemData":{"DOI":"10.1016/j.enggeo.2018.09.020","ISSN":"00137952","abstract":"In order to ascertain the contaminant-encapsulation potential of stabilized soil, an understanding of its unsaturated hydraulic behaviour, specifically the Soil Water Retention Curve (SWRC), is paramount. In this paper, centrifuge testing was used to obtain SWRCs for sediment dredged from an Irish harbour, stabilized with Ordinary Portland cement (OPC) and Ground Granulated Blast Furnace Slag (GGBS) binders. The effects of the different binder proportions and different curing times on both the Unconfined Compressive Strength (UCS) and SWRC were investigated, with the support of Scanning Electron Microscope (SEM) data. The Fredlund and Xing (1994) empirical model was found to provide the best fit to the stabilized sediment SWRCs. The water holding capacity was found to increase with increased binder content, increased GGBS proportion in the binder and increased curing time, suggesting that high-GGBS binders are most suitable for locking in contaminants. An examination of relationships between one of the model parameters (Air Entry Value, AEV) and UCS further highlights differences in strength and water retention mechanisms between the two binder combinations. In addition to its well-known environmental credentials, this research highlights the technical merits in using GGBS in contaminated sediment reuse projects.","author":[{"dropping-particle":"","family":"Zhang","given":"Wan lu","non-dropping-particle":"","parse-names":false,"suffix":""},{"dropping-particle":"","family":"McCabe","given":"Bryan A.","non-dropping-particle":"","parse-names":false,"suffix":""},{"dropping-particle":"","family":"Chen","given":"Yong hui","non-dropping-particle":"","parse-names":false,"suffix":""},{"dropping-particle":"","family":"Forkan","given":"Thomas J.","non-dropping-particle":"","parse-names":false,"suffix":""}],"container-title":"Engineering Geology","id":"ITEM-1","issue":"September","issued":{"date-parts":[["2018"]]},"page":"57-68","publisher":"Elsevier","title":"Unsaturated behaviour of a stabilized marine sediment: A comparison of cement and GGBS binders","type":"article-journal","volume":"246"},"uris":["http://www.mendeley.com/documents/?uuid=60211f48-47a5-4f8d-b5a7-8117dd216cc6"]},{"id":"ITEM-2","itemData":{"DOI":"10.1016/j.sandf.2017.01.005","ISSN":"00380806","abstract":"The consolidation of a fine-grained lateritic soil, treated with compound Portland cement (CEMII/BM 32.5 N) up to 9% by weight of the dry soil and prepared at three different molding water contents (ωDRY, OMC, and ωWET), was investigated by means of a one-dimensional consolidation test. The physicochemical and microstructural properties of the compacted lateritic soil-cement mixture were investigated using Raman spectroscopy, polarized light microscopy (PLM), scanning electron microscopy (SEM), and pH measurement. The results show that cement admixtures resulted in the formation of tobermorite, afwillite, ettringite, portlandite, and calcite. However, tobermorite and afwilite, which are calcium silicate hydrates (CSH) whose mechanisms of formation are the pozzolanic and alkali silica reactions, appear from 6% added cement. The fixing point of the pH (12.4) is also obtained from 6% added cement. It is the threshold value at which the material begins to develop an adequate mechanical performance. In general, as the content of cement in the soil is increased, the yield stress increases from 1 to 3 times in comparison to untreated soil. For effective vertical stresses smaller than the cement-induced yield stress, the primary consolidation process for specimens treated with cement is 2–7 times faster than that for specimens not treated with cement, while for effective vertical stresses higher than the cement-induced yield stress, the primary consolidation process for specimens treated with cement is about 0.5–1.5 times faster than that for specimens not treated with cement. Permeability and secondary compression are reduced 1–9 times and 2–11 times that of the untreated samples, respectively. These changes are attributed to the creation of chemical bonds and aggregation that accompany the addition of cement. The results also show that it would be desirable for soil samples to be prepared at the dry side of optimum (ωDRY) when the optimum moisture content (OMC) is not reached at the site. These results indicate that significant and desirable changes in soil behavior can be achieved when the soil is admixed with CEM II/BM 32.5 N cement, thus providing the possibility of using the tested lateritic soil in road construction.","author":[{"dropping-particle":"","family":"Mengue","given":"Emmanuel","non-dropping-particle":"","parse-names":false,"suffix":""},{"dropping-particle":"","family":"Mroueh","given":"Hussein","non-dropping-particle":"","parse-names":false,"suffix":""},{"dropping-particle":"","family":"Lancelot","given":"Laurent","non-dropping-particle":"","parse-names":false,"suffix":""},{"dropping-particle":"","family":"Medjo Eko","given":"Robert","non-dropping-particle":"","parse-names":false,"suffix":""}],"container-title":"Soils and Foundations","id":"ITEM-2","issue":"1","issued":{"date-parts":[["2017"]]},"page":"60-79","publisher":"Japanese Geotechnical Society","title":"Physicochemical and consolidation properties of compacted lateritic soil treated with cement","type":"article-journal","volume":"57"},"uris":["http://www.mendeley.com/documents/?uuid=981641eb-7e65-49f8-89fa-faadcf354014"]},{"id":"ITEM-3","itemData":{"author":[{"dropping-particle":"","family":"Sarkar","given":"G","non-dropping-particle":"","parse-names":false,"suffix":""},{"dropping-particle":"","family":"Islam","given":"Mdr","non-dropping-particle":"","parse-names":false,"suffix":""}],"container-title":"International Journal of Advanced Structures and Geotechnical Engineering","id":"ITEM-3","issue":"02","issued":{"date-parts":[["2012"]]},"title":"Study on the Geotechnical Properties of Cement based Composite Fine-grained Soil","type":"article-journal","volume":"01"},"uris":["http://www.mendeley.com/documents/?uuid=b3be67a6-31be-4ada-9190-f5f480e38453"]},{"id":"ITEM-4","itemData":{"author":[{"dropping-particle":"","family":"Kaniraj","given":"By Shenbaga R","non-dropping-particle":"","parse-names":false,"suffix":""},{"dropping-particle":"","family":"Havanagi","given":"Vasant G","non-dropping-particle":"","parse-names":false,"suffix":""}],"container-title":"Journal of Geotechnical and Geoenvironmental Engineering","id":"ITEM-4","issue":"7","issued":{"date-parts":[["2001"]]},"title":"Behaviour of cement-stabilized fibre-reinforced fly ash-soil mixtures","type":"article-journal","volume":"127"},"uris":["http://www.mendeley.com/documents/?uuid=2f788592-b8d3-499e-873d-f99b2e2c55ad"]},{"id":"ITEM-5","itemData":{"DOI":"10.1016/j.clay.2016.03.040","ISSN":"01691317","abstract":"Metakaolin, widely applied in concretes and cement-stabilized soft clays to improve their macro performance, was evaluated for use in compacted soils in highway and backfill engineering. The compactability and strength performance of cement-modified soils with metakaolin were evaluated in the terms of their applicability and effectiveness. The cement-based modified soil with metakaolin was more insensitive to water and more convenient in the field rolling compaction. The strengths, in addition to the unconfined compressive strength and splitting tension strength, were improved significantly. Up to a threshold ratio of metakaolin to cement ranging from 1/3 to 1/2 in this case, the strengths increased gradually, while they unexpectedly decreased thereafter. This phenomenon was different from the previously reported metakaolin applications in concrete and cement-stabilized soft clays, which was probably due to the water content and the ratio of metakaolin to hydrated calcium hydroxides of the cements. Microstructure analysis by X-ray diffraction, scanning electronic microscopy, thermo-gravimetric analysis and mercury intrusion porosimetry, demonstrated that the addition of metakaolin led to a higher quantity of hydration products and a denser micro-porosity distribution.","author":[{"dropping-particle":"","family":"Wu","given":"Zilong","non-dropping-particle":"","parse-names":false,"suffix":""},{"dropping-particle":"","family":"Deng","given":"Yongfeng","non-dropping-particle":"","parse-names":false,"suffix":""},{"dropping-particle":"","family":"Liu","given":"Songyu","non-dropping-particle":"","parse-names":false,"suffix":""},{"dropping-particle":"","family":"Liu","given":"Qianwen","non-dropping-particle":"","parse-names":false,"suffix":""},{"dropping-particle":"","family":"Chen","given":"Yonggui","non-dropping-particle":"","parse-names":false,"suffix":""},{"dropping-particle":"","family":"Zha","given":"Fusheng","non-dropping-particle":"","parse-names":false,"suffix":""}],"container-title":"Applied Clay Science","id":"ITEM-5","issued":{"date-parts":[["2016"]]},"page":"44-51","publisher":"Elsevier B.V.","title":"Strength and micro-structure evolution of compacted soils modified by admixtures of cement and metakaolin","type":"article-journal","volume":"127-128"},"uris":["http://www.mendeley.com/documents/?uuid=d2ad1aff-410f-48b4-8e87-86d3f67dee9c"]},{"id":"ITEM-6","itemData":{"DOI":"10.1016/j.conbuildmat.2010.03.011","ISBN":"09500618","ISSN":"09500618","abstract":"This paper analyzes the strength development in cement-stabilized silty clay based on microstructural considerations. A qualitative and quantitative study on the microstructure is carried out using a scanning electron microscope, mercury intrusion pore size distribution measurements, and thermal gravity analysis. Three influential factors in this investigation are water content, curing time, and cement content. Cement stabilization improves the soil structure by increasing inter-cluster cementation bonding and reducing the pore space. As the cement content increases for a given water content, three zones of improvement are observed: active, inert and deterioration zones. The active zone is the most effective for stabilization where the cementitious products increase with cement content and fill the pore space. In the active zone, the effective mixing state is achieved when the water content is 1.2 times the optimum water content. In this state, the strength is the greatest because of the highest quantity of cementitious products. In the short stabilization period, the volume of large pores (larger than 0.1 ??m) increases because of the input of coarser particles (unhydrated cement particles) while the volume of small pores (smaller than 0.1 ??m) decreases because of the solidification of the cement gel (hydrated cement). With time, the large pores are filled with the cementitious products; thus, the small pore volume increases, and the total pore volume decreases. This causes the strength development over time. ?? 2010 Elsevier Ltd. All rights reserved.","author":[{"dropping-particle":"","family":"Horpibulsuk","given":"Suksun","non-dropping-particle":"","parse-names":false,"suffix":""},{"dropping-particle":"","family":"Rachan","given":"Runglawan","non-dropping-particle":"","parse-names":false,"suffix":""},{"dropping-particle":"","family":"Chinkulkijniwat","given":"Avirut","non-dropping-particle":"","parse-names":false,"suffix":""},{"dropping-particle":"","family":"Raksachon","given":"Yuttana","non-dropping-particle":"","parse-names":false,"suffix":""},{"dropping-particle":"","family":"Suddeepong","given":"Apichat","non-dropping-particle":"","parse-names":false,"suffix":""}],"container-title":"Construction and Building Materials","id":"ITEM-6","issue":"10","issued":{"date-parts":[["2010"]]},"page":"2011-2021","publisher":"Elsevier Ltd","title":"Analysis of strength development in cement-stabilized silty clay from microstructural considerations","type":"article-journal","volume":"24"},"uris":["http://www.mendeley.com/documents/?uuid=f2d2330b-350c-4e20-8dfe-0ad773e62e97"]},{"id":"ITEM-7","itemData":{"DOI":"10.1016/j.trgeo.2015.01.002","ISSN":"22143912","abstract":"Palm oil fuel ash (POFA) in both cost-effective and environmentally friendly ways has potential applications in soft soil stabilization. This study investigates the possible uses of POFA (individually and in combination with cement) on several basic characteristics of clayey soil behavior, such as proctor compaction, Atterberg limit, and unconfined compression strength (UCS). These properties are compared with those of unstabilized clay and stabilized clay with cement. Scanning electron microscopy with X-ray microanalysis is conducted on untreated and treated soil to elucidate their strength development, and the observed test results are then explained. Findings show that POFA and POFA/cement mixture treatments result in significant reductions in the soil plasticity index (PI). The results of the compaction test indicate that the utilization of POFA and POFA/cement mixture in soft soil stabilization decreases the optimum moisture content and increases the maximum dry density across selected binder dosages. The results show that using POFA alone to stabilize clayey soil results in a slight increase in the UCS of the specimens until the 28. days of curing, whereas combining POFA with cement results in a sharp increase in the UCS of the samples in the same curing time. The results demonstrate the environmental, technological, and economic advantages of utilizing this well known agricultural waste as a partial substitute for cement in stabilizing soils, particularly soft soils that usually demand high quantities of stabilizer to reach satisfactory results.","author":[{"dropping-particle":"","family":"Pourakbar","given":"Shahram","non-dropping-particle":"","parse-names":false,"suffix":""},{"dropping-particle":"","family":"Asadi","given":"Afshin","non-dropping-particle":"","parse-names":false,"suffix":""},{"dropping-particle":"","family":"Huat","given":"Bujang B K","non-dropping-particle":"","parse-names":false,"suffix":""},{"dropping-particle":"","family":"Fasihnikoutalab","given":"Mohammad Hamed","non-dropping-particle":"","parse-names":false,"suffix":""}],"container-title":"Transportation Geotechnics","id":"ITEM-7","issued":{"date-parts":[["2015"]]},"page":"24-35","publisher":"Elsevier Ltd","title":"Stabilization of clayey soil using ultrafine palm oil fuel ash (POFA) and cement","type":"article-journal","volume":"3"},"uris":["http://www.mendeley.com/documents/?uuid=30fd099a-cad0-41c6-8713-a3e0dd4f7a9a"]},{"id":"ITEM-8","itemData":{"DOI":"10.1016/j.enggeo.2008.09.003","ISBN":"9788578110796","ISSN":"00137952","PMID":"25246403","abstract":"This study presents experimental results on the use of Portland cement in the modification and stabilization of soils in the state of Washington, USA. Cement was added in percentages of 2.5, 5, 7.5, and 10%, by dry weight of the soils. Laboratory tests to determine the drying rate of the soil, Atterberg limits, compaction characteristics, unconfined compressive strength, and consolidated-undrained triaxial behaviour were performed. Results of the investigation showed significant improvement in drying rate, workability, unconfined compressive strength, and shear strength. The improvement is dependent on the type of soil. Results of undrained triaxial tests showed that while cement treatment improved shear strength significantly, the type of failure behavior varied greatly. Non-treated, 5%, and 10% cement treated soils displayed ductile, planar, and splitting type of failure, respectively. Treated soils with 10% cement content split during failure with rapid rise in pore pressures equaling confining pressures resulting in effective pressure at failure near zero. Therefore, while increased strength is achieved by cement treatment, high percentages of cement should be used with caution in field applications. ?? 2008 Elsevier B.V. All rights reserved.","author":[{"dropping-particle":"","family":"Sariosseiri","given":"Farid","non-dropping-particle":"","parse-names":false,"suffix":""},{"dropping-particle":"","family":"Muhunthan","given":"Balasingam","non-dropping-particle":"","parse-names":false,"suffix":""}],"container-title":"Engineering Geology","id":"ITEM-8","issue":"1-2","issued":{"date-parts":[["2009"]]},"page":"119-125","publisher":"Elsevier B.V.","title":"Effect of cement treatment on geotechnical properties of some Washington State soils","type":"article-journal","volume":"104"},"uris":["http://www.mendeley.com/documents/?uuid=b9e0fa27-610f-4140-aa51-3013ad918b1a"]},{"id":"ITEM-9","itemData":{"DOI":"10.1016/j.clay.2017.06.022","ISSN":"0169-1317","author":[{"dropping-particle":"","family":"Por","given":"Sopheap","non-dropping-particle":"","parse-names":false,"suffix":""},{"dropping-particle":"","family":"Nishimura","given":"Satoshi","non-dropping-particle":"","parse-names":false,"suffix":""},{"dropping-particle":"","family":"Likitlersuang","given":"Suched","non-dropping-particle":"","parse-names":false,"suffix":""}],"container-title":"Applied Clay Science","id":"ITEM-9","issue":"June","issued":{"date-parts":[["2017"]]},"page":"316-324","publisher":"Elsevier","title":"Deformation characteristics and stress responses of cement-treated expnsive clay under con fi ned one-dimensional swelling","type":"article-journal","volume":"146"},"uris":["http://www.mendeley.com/documents/?uuid=b3b4b90e-e43d-4756-910b-9e662f046df2"]},{"id":"ITEM-10","itemData":{"DOI":"10.1016/j.clay.2014.03.020","ISSN":"01691317","abstract":"The presence of soft clays underlying foundations has been responsible for failures in several geotechnical and geo-environmental projects. The three aspects of this study dealing with the stabilization of a soft clay through the addition of cement and lime include: (a) determination of the optimum proportions of both cement and lime needed to obtain a stabilized soil, (b) the phenomenon of pozzolanic consolidation which occurs in the cement-lime stabilized soft clay, and (c) using knowledge of the pre-consolidation stress and compression index of the stabilized soft clay as a practical criterion for determination of the optimum additive percentage in soft clays stabilization. The experimental research program designed to investigate the behavior of the soft clay before and after stabilization involved a series of tests that included sedimentation testing, cation exchange capacity measurement, X-ray diffractometry, unconfined compression and consolidation tests. The results indicate that pozzolanic reaction creates a form of pre-consolidation in the cement-lime stabilized soft clay. The reduction in soil settlement is attributed to the pozzolanic reaction in soil-additive interaction resulting in an increase in pre-consolidation stress of stabilized soil. The test results show that pozzolanic consolidation causes an increase in initial pre-consolidation stress of 70kN/m2 for a soft clay soil to 375kN/m2 for the stabilized soil with 6% lime, and to 385kN/m2 for stabilized soil with 6% cement. The series of XRD experiments conducted are used to study the micro-structural aspects of the stabilized soil. The results show that pozzolanic consolidation not only improves strength behavior of clay soils in general, but also reduces the potential for large settlements of the stabilized soft clays - indicating that there is considerable merit in using the consolidation behavior of the stabilized soft clays as a means for determining the required percentages of additives for cement-lime stabilization of soft clays and soft soils in general. ?? 2014 Elsevier B.V.","author":[{"dropping-particle":"","family":"Ouhadi","given":"","non-dropping-particle":"","parse-names":false,"suffix":""},{"dropping-particle":"","family":"Yong","given":"R","non-dropping-particle":"","parse-names":false,"suffix":""},{"dropping-particle":"","family":"Amiri","given":"M","non-dropping-particle":"","parse-names":false,"suffix":""},{"dropping-particle":"","family":"Ouhadi","given":"M","non-dropping-particle":"","parse-names":false,"suffix":""}],"container-title":"Applied Clay Science","id":"ITEM-10","issued":{"date-parts":[["2014"]]},"page":"111-118","publisher":"Elsevier B.V.","title":"Pozzolanic consolidation of stabilized soft clays","type":"article-journal","volume":"95"},"uris":["http://www.mendeley.com/documents/?uuid=6ce86e01-11d7-4b69-8c3f-dc816dcf5db8"]}],"mendeley":{"formattedCitation":"[44,52–60]","plainTextFormattedCitation":"[44,52–60]","previouslyFormattedCitation":"[44,52–60]"},"properties":{"noteIndex":0},"schema":"https://github.com/citation-style-language/schema/raw/master/csl-citation.json"}</w:instrText>
      </w:r>
      <w:r w:rsidRPr="00AB258D">
        <w:rPr>
          <w:rFonts w:cstheme="minorHAnsi"/>
          <w:sz w:val="24"/>
          <w:szCs w:val="24"/>
        </w:rPr>
        <w:fldChar w:fldCharType="separate"/>
      </w:r>
      <w:r w:rsidR="00EE796F" w:rsidRPr="00AB258D">
        <w:rPr>
          <w:rFonts w:cstheme="minorHAnsi"/>
          <w:noProof/>
          <w:sz w:val="24"/>
          <w:szCs w:val="24"/>
        </w:rPr>
        <w:t>[44,52–60]</w:t>
      </w:r>
      <w:r w:rsidRPr="00AB258D">
        <w:rPr>
          <w:rFonts w:cstheme="minorHAnsi"/>
          <w:sz w:val="24"/>
          <w:szCs w:val="24"/>
        </w:rPr>
        <w:fldChar w:fldCharType="end"/>
      </w:r>
      <w:r w:rsidRPr="00AB258D">
        <w:rPr>
          <w:rFonts w:cstheme="minorHAnsi"/>
          <w:sz w:val="24"/>
          <w:szCs w:val="24"/>
        </w:rPr>
        <w:t>.</w:t>
      </w:r>
      <w:r w:rsidR="00E822AE" w:rsidRPr="00AB258D">
        <w:rPr>
          <w:rFonts w:cstheme="minorHAnsi"/>
          <w:sz w:val="24"/>
          <w:szCs w:val="24"/>
        </w:rPr>
        <w:t xml:space="preserve"> But</w:t>
      </w:r>
      <w:r w:rsidRPr="00AB258D">
        <w:rPr>
          <w:rFonts w:cstheme="minorHAnsi"/>
          <w:sz w:val="24"/>
          <w:szCs w:val="24"/>
        </w:rPr>
        <w:t xml:space="preserve"> the </w:t>
      </w:r>
      <w:r w:rsidR="00E92987" w:rsidRPr="00AB258D">
        <w:rPr>
          <w:rFonts w:cstheme="minorHAnsi"/>
          <w:sz w:val="24"/>
          <w:szCs w:val="24"/>
        </w:rPr>
        <w:t xml:space="preserve">undrained shear strength </w:t>
      </w:r>
      <w:r w:rsidRPr="00AB258D">
        <w:rPr>
          <w:rFonts w:cstheme="minorHAnsi"/>
          <w:sz w:val="24"/>
          <w:szCs w:val="24"/>
        </w:rPr>
        <w:t>of</w:t>
      </w:r>
      <w:r w:rsidR="005F61A3" w:rsidRPr="00AB258D">
        <w:rPr>
          <w:rFonts w:cstheme="minorHAnsi"/>
          <w:sz w:val="24"/>
          <w:szCs w:val="24"/>
        </w:rPr>
        <w:t xml:space="preserve"> soils treated with 1% of RC </w:t>
      </w:r>
      <w:r w:rsidRPr="00AB258D">
        <w:rPr>
          <w:rFonts w:cstheme="minorHAnsi"/>
          <w:sz w:val="24"/>
          <w:szCs w:val="24"/>
        </w:rPr>
        <w:t xml:space="preserve">blended with different </w:t>
      </w:r>
      <w:r w:rsidRPr="00AB258D">
        <w:rPr>
          <w:rFonts w:cstheme="minorHAnsi"/>
          <w:sz w:val="24"/>
          <w:szCs w:val="24"/>
        </w:rPr>
        <w:lastRenderedPageBreak/>
        <w:t>combinations of cement, GGBS and PFA</w:t>
      </w:r>
      <w:r w:rsidR="00E822AE" w:rsidRPr="00AB258D">
        <w:rPr>
          <w:rFonts w:cstheme="minorHAnsi"/>
          <w:sz w:val="24"/>
          <w:szCs w:val="24"/>
        </w:rPr>
        <w:t xml:space="preserve"> have</w:t>
      </w:r>
      <w:r w:rsidR="001316CA" w:rsidRPr="00AB258D">
        <w:rPr>
          <w:rFonts w:cstheme="minorHAnsi"/>
          <w:sz w:val="24"/>
          <w:szCs w:val="24"/>
        </w:rPr>
        <w:t xml:space="preserve"> not been looked into by many.</w:t>
      </w:r>
      <w:r w:rsidR="000E01C6" w:rsidRPr="00AB258D">
        <w:rPr>
          <w:rFonts w:cstheme="minorHAnsi"/>
          <w:sz w:val="24"/>
          <w:szCs w:val="24"/>
        </w:rPr>
        <w:t xml:space="preserve"> </w:t>
      </w:r>
      <w:r w:rsidR="00E92987" w:rsidRPr="00AB258D">
        <w:rPr>
          <w:rFonts w:cstheme="minorHAnsi"/>
          <w:sz w:val="24"/>
          <w:szCs w:val="24"/>
        </w:rPr>
        <w:t xml:space="preserve">The undrained shear strength </w:t>
      </w:r>
      <w:r w:rsidR="00924F81" w:rsidRPr="00AB258D">
        <w:rPr>
          <w:rFonts w:cstheme="minorHAnsi"/>
          <w:sz w:val="24"/>
          <w:szCs w:val="24"/>
        </w:rPr>
        <w:t>w</w:t>
      </w:r>
      <w:r w:rsidR="009E2039" w:rsidRPr="00AB258D">
        <w:rPr>
          <w:rFonts w:cstheme="minorHAnsi"/>
          <w:sz w:val="24"/>
          <w:szCs w:val="24"/>
        </w:rPr>
        <w:t xml:space="preserve">as obtained from results of </w:t>
      </w:r>
      <w:r w:rsidR="00B91A8E" w:rsidRPr="00AB258D">
        <w:rPr>
          <w:rFonts w:cstheme="minorHAnsi"/>
          <w:sz w:val="24"/>
          <w:szCs w:val="24"/>
        </w:rPr>
        <w:t xml:space="preserve">UCT </w:t>
      </w:r>
      <w:r w:rsidR="00924F81" w:rsidRPr="00AB258D">
        <w:rPr>
          <w:rFonts w:cstheme="minorHAnsi"/>
          <w:sz w:val="24"/>
          <w:szCs w:val="24"/>
        </w:rPr>
        <w:t>conducted on representative samples</w:t>
      </w:r>
      <w:r w:rsidR="00C71650" w:rsidRPr="00AB258D">
        <w:rPr>
          <w:rFonts w:cstheme="minorHAnsi"/>
          <w:sz w:val="24"/>
          <w:szCs w:val="24"/>
        </w:rPr>
        <w:t xml:space="preserve"> </w:t>
      </w:r>
      <w:r w:rsidR="005F61A3" w:rsidRPr="00AB258D">
        <w:rPr>
          <w:rFonts w:cstheme="minorHAnsi"/>
          <w:sz w:val="24"/>
          <w:szCs w:val="24"/>
        </w:rPr>
        <w:t xml:space="preserve">of soil I and II </w:t>
      </w:r>
      <w:r w:rsidR="0019408D" w:rsidRPr="00AB258D">
        <w:rPr>
          <w:rFonts w:cstheme="minorHAnsi"/>
          <w:sz w:val="24"/>
          <w:szCs w:val="24"/>
        </w:rPr>
        <w:t>af</w:t>
      </w:r>
      <w:r w:rsidR="005F61A3" w:rsidRPr="00AB258D">
        <w:rPr>
          <w:rFonts w:cstheme="minorHAnsi"/>
          <w:sz w:val="24"/>
          <w:szCs w:val="24"/>
        </w:rPr>
        <w:t>ter 7 and 28days curing period. T</w:t>
      </w:r>
      <w:r w:rsidR="00924F81" w:rsidRPr="00AB258D">
        <w:rPr>
          <w:rFonts w:cstheme="minorHAnsi"/>
          <w:sz w:val="24"/>
          <w:szCs w:val="24"/>
        </w:rPr>
        <w:t xml:space="preserve">he results obtained show variation in </w:t>
      </w:r>
      <w:r w:rsidR="005F61A3" w:rsidRPr="00AB258D">
        <w:rPr>
          <w:rFonts w:cstheme="minorHAnsi"/>
          <w:sz w:val="24"/>
          <w:szCs w:val="24"/>
        </w:rPr>
        <w:t xml:space="preserve">undrained shear strength due to </w:t>
      </w:r>
      <w:proofErr w:type="spellStart"/>
      <w:r w:rsidR="000C0D22" w:rsidRPr="00AB258D">
        <w:rPr>
          <w:rFonts w:cstheme="minorHAnsi"/>
          <w:sz w:val="24"/>
          <w:szCs w:val="24"/>
        </w:rPr>
        <w:t>physico</w:t>
      </w:r>
      <w:proofErr w:type="spellEnd"/>
      <w:r w:rsidR="000C0D22" w:rsidRPr="00AB258D">
        <w:rPr>
          <w:rFonts w:cstheme="minorHAnsi"/>
          <w:sz w:val="24"/>
          <w:szCs w:val="24"/>
        </w:rPr>
        <w:t>-chemical mechan</w:t>
      </w:r>
      <w:r w:rsidR="005F61A3" w:rsidRPr="00AB258D">
        <w:rPr>
          <w:rFonts w:cstheme="minorHAnsi"/>
          <w:sz w:val="24"/>
          <w:szCs w:val="24"/>
        </w:rPr>
        <w:t xml:space="preserve">isms and microstructural characteristics </w:t>
      </w:r>
      <w:r w:rsidR="00924F81" w:rsidRPr="00AB258D">
        <w:rPr>
          <w:rFonts w:cstheme="minorHAnsi"/>
          <w:sz w:val="24"/>
          <w:szCs w:val="24"/>
        </w:rPr>
        <w:t>as cement was</w:t>
      </w:r>
      <w:r w:rsidR="00EE740C" w:rsidRPr="00AB258D">
        <w:rPr>
          <w:rFonts w:cstheme="minorHAnsi"/>
          <w:sz w:val="24"/>
          <w:szCs w:val="24"/>
        </w:rPr>
        <w:t xml:space="preserve"> partial</w:t>
      </w:r>
      <w:r w:rsidR="00924F81" w:rsidRPr="00AB258D">
        <w:rPr>
          <w:rFonts w:cstheme="minorHAnsi"/>
          <w:sz w:val="24"/>
          <w:szCs w:val="24"/>
        </w:rPr>
        <w:t>ly</w:t>
      </w:r>
      <w:r w:rsidR="00EE740C" w:rsidRPr="00AB258D">
        <w:rPr>
          <w:rFonts w:cstheme="minorHAnsi"/>
          <w:sz w:val="24"/>
          <w:szCs w:val="24"/>
        </w:rPr>
        <w:t xml:space="preserve"> r</w:t>
      </w:r>
      <w:r w:rsidR="005F61A3" w:rsidRPr="00AB258D">
        <w:rPr>
          <w:rFonts w:cstheme="minorHAnsi"/>
          <w:sz w:val="24"/>
          <w:szCs w:val="24"/>
        </w:rPr>
        <w:t xml:space="preserve">eplaced with different amounts </w:t>
      </w:r>
      <w:r w:rsidR="00EE740C" w:rsidRPr="00AB258D">
        <w:rPr>
          <w:rFonts w:cstheme="minorHAnsi"/>
          <w:sz w:val="24"/>
          <w:szCs w:val="24"/>
        </w:rPr>
        <w:t>of GGBS, PFA and 1%RC.</w:t>
      </w:r>
      <w:r w:rsidR="007C1006" w:rsidRPr="00AB258D">
        <w:rPr>
          <w:rFonts w:cstheme="minorHAnsi"/>
          <w:sz w:val="24"/>
          <w:szCs w:val="24"/>
        </w:rPr>
        <w:t xml:space="preserve"> </w:t>
      </w:r>
      <w:r w:rsidR="005F61A3" w:rsidRPr="00AB258D">
        <w:rPr>
          <w:rFonts w:cstheme="minorHAnsi"/>
          <w:sz w:val="24"/>
          <w:szCs w:val="24"/>
        </w:rPr>
        <w:t xml:space="preserve">The results show that </w:t>
      </w:r>
      <w:r w:rsidR="00D840B0" w:rsidRPr="00AB258D">
        <w:rPr>
          <w:rFonts w:cstheme="minorHAnsi"/>
          <w:sz w:val="24"/>
          <w:szCs w:val="24"/>
        </w:rPr>
        <w:t xml:space="preserve">in mixing phase 1, </w:t>
      </w:r>
      <w:r w:rsidR="005F61A3" w:rsidRPr="00AB258D">
        <w:rPr>
          <w:rFonts w:cstheme="minorHAnsi"/>
          <w:sz w:val="24"/>
          <w:szCs w:val="24"/>
        </w:rPr>
        <w:t xml:space="preserve">the </w:t>
      </w:r>
      <w:r w:rsidR="00E92987" w:rsidRPr="00AB258D">
        <w:rPr>
          <w:rFonts w:cstheme="minorHAnsi"/>
          <w:sz w:val="24"/>
          <w:szCs w:val="24"/>
        </w:rPr>
        <w:t xml:space="preserve">undrained shear strength </w:t>
      </w:r>
      <w:r w:rsidR="00D8058A" w:rsidRPr="00AB258D">
        <w:rPr>
          <w:rFonts w:cstheme="minorHAnsi"/>
          <w:sz w:val="24"/>
          <w:szCs w:val="24"/>
        </w:rPr>
        <w:t xml:space="preserve">of </w:t>
      </w:r>
      <w:r w:rsidR="005F61A3" w:rsidRPr="00AB258D">
        <w:rPr>
          <w:rFonts w:cstheme="minorHAnsi"/>
          <w:sz w:val="24"/>
          <w:szCs w:val="24"/>
        </w:rPr>
        <w:t>soil 1</w:t>
      </w:r>
      <w:r w:rsidR="00D8058A" w:rsidRPr="00AB258D">
        <w:rPr>
          <w:rFonts w:cstheme="minorHAnsi"/>
          <w:sz w:val="24"/>
          <w:szCs w:val="24"/>
        </w:rPr>
        <w:t xml:space="preserve"> </w:t>
      </w:r>
      <w:r w:rsidR="005F61A3" w:rsidRPr="00AB258D">
        <w:rPr>
          <w:rFonts w:cstheme="minorHAnsi"/>
          <w:sz w:val="24"/>
          <w:szCs w:val="24"/>
        </w:rPr>
        <w:t xml:space="preserve">was lower than that of soil II after </w:t>
      </w:r>
      <w:r w:rsidR="00042104" w:rsidRPr="00AB258D">
        <w:rPr>
          <w:rFonts w:cstheme="minorHAnsi"/>
          <w:sz w:val="24"/>
          <w:szCs w:val="24"/>
        </w:rPr>
        <w:t xml:space="preserve">7 </w:t>
      </w:r>
      <w:r w:rsidR="00D8058A" w:rsidRPr="00AB258D">
        <w:rPr>
          <w:rFonts w:cstheme="minorHAnsi"/>
          <w:sz w:val="24"/>
          <w:szCs w:val="24"/>
        </w:rPr>
        <w:t>days</w:t>
      </w:r>
      <w:r w:rsidR="005974A3" w:rsidRPr="00AB258D">
        <w:rPr>
          <w:rFonts w:cstheme="minorHAnsi"/>
          <w:sz w:val="24"/>
          <w:szCs w:val="24"/>
        </w:rPr>
        <w:t>.</w:t>
      </w:r>
      <w:r w:rsidR="00D8058A" w:rsidRPr="00AB258D">
        <w:rPr>
          <w:rFonts w:cstheme="minorHAnsi"/>
          <w:sz w:val="24"/>
          <w:szCs w:val="24"/>
        </w:rPr>
        <w:t xml:space="preserve"> </w:t>
      </w:r>
      <w:r w:rsidR="005974A3" w:rsidRPr="00AB258D">
        <w:rPr>
          <w:rFonts w:cstheme="minorHAnsi"/>
          <w:sz w:val="24"/>
          <w:szCs w:val="24"/>
        </w:rPr>
        <w:t>C</w:t>
      </w:r>
      <w:r w:rsidR="00042104" w:rsidRPr="00AB258D">
        <w:rPr>
          <w:rFonts w:cstheme="minorHAnsi"/>
          <w:sz w:val="24"/>
          <w:szCs w:val="24"/>
        </w:rPr>
        <w:t xml:space="preserve">ompared to </w:t>
      </w:r>
      <w:r w:rsidR="0066495A" w:rsidRPr="00AB258D">
        <w:rPr>
          <w:rFonts w:cstheme="minorHAnsi"/>
          <w:sz w:val="24"/>
          <w:szCs w:val="24"/>
        </w:rPr>
        <w:t xml:space="preserve">samples </w:t>
      </w:r>
      <w:r w:rsidR="000C0D22" w:rsidRPr="00AB258D">
        <w:rPr>
          <w:rFonts w:cstheme="minorHAnsi"/>
          <w:sz w:val="24"/>
          <w:szCs w:val="24"/>
        </w:rPr>
        <w:t>trea</w:t>
      </w:r>
      <w:r w:rsidR="00D8058A" w:rsidRPr="00AB258D">
        <w:rPr>
          <w:rFonts w:cstheme="minorHAnsi"/>
          <w:sz w:val="24"/>
          <w:szCs w:val="24"/>
        </w:rPr>
        <w:t>ted with all the proportions and combinations of C/GGBS/RC for soil</w:t>
      </w:r>
      <w:r w:rsidR="00042104" w:rsidRPr="00AB258D">
        <w:rPr>
          <w:rFonts w:cstheme="minorHAnsi"/>
          <w:sz w:val="24"/>
          <w:szCs w:val="24"/>
        </w:rPr>
        <w:t xml:space="preserve"> </w:t>
      </w:r>
      <w:r w:rsidR="00D8058A" w:rsidRPr="00AB258D">
        <w:rPr>
          <w:rFonts w:cstheme="minorHAnsi"/>
          <w:sz w:val="24"/>
          <w:szCs w:val="24"/>
        </w:rPr>
        <w:t xml:space="preserve">II for the same curing period </w:t>
      </w:r>
      <w:r w:rsidR="007C1006" w:rsidRPr="00AB258D">
        <w:rPr>
          <w:rFonts w:cstheme="minorHAnsi"/>
          <w:sz w:val="24"/>
          <w:szCs w:val="24"/>
        </w:rPr>
        <w:t xml:space="preserve">as shown in </w:t>
      </w:r>
      <w:r w:rsidR="008336EA">
        <w:rPr>
          <w:rFonts w:cstheme="minorHAnsi"/>
          <w:sz w:val="24"/>
          <w:szCs w:val="24"/>
        </w:rPr>
        <w:t>Fig. 5</w:t>
      </w:r>
      <w:r w:rsidR="007C1006" w:rsidRPr="00AB258D">
        <w:rPr>
          <w:rFonts w:cstheme="minorHAnsi"/>
          <w:sz w:val="24"/>
          <w:szCs w:val="24"/>
        </w:rPr>
        <w:t>(a-b</w:t>
      </w:r>
      <w:r w:rsidR="0066495A" w:rsidRPr="00AB258D">
        <w:rPr>
          <w:rFonts w:cstheme="minorHAnsi"/>
          <w:sz w:val="24"/>
          <w:szCs w:val="24"/>
        </w:rPr>
        <w:t xml:space="preserve">). </w:t>
      </w:r>
      <w:r w:rsidR="00E06CD4" w:rsidRPr="00AB258D">
        <w:rPr>
          <w:rFonts w:cstheme="minorHAnsi"/>
          <w:sz w:val="24"/>
          <w:szCs w:val="24"/>
        </w:rPr>
        <w:t>At 50%</w:t>
      </w:r>
      <w:r w:rsidR="00D840B0" w:rsidRPr="00AB258D">
        <w:rPr>
          <w:rFonts w:cstheme="minorHAnsi"/>
          <w:sz w:val="24"/>
          <w:szCs w:val="24"/>
        </w:rPr>
        <w:t xml:space="preserve"> cement reduction in phase 2, the inclusion of 3%GGBS and 1%RC increases </w:t>
      </w:r>
      <w:r w:rsidR="009D602F" w:rsidRPr="00AB258D">
        <w:rPr>
          <w:rFonts w:cstheme="minorHAnsi"/>
          <w:sz w:val="24"/>
          <w:szCs w:val="24"/>
        </w:rPr>
        <w:t xml:space="preserve">the </w:t>
      </w:r>
      <w:r w:rsidR="00E92987" w:rsidRPr="00AB258D">
        <w:rPr>
          <w:rFonts w:cstheme="minorHAnsi"/>
          <w:sz w:val="24"/>
          <w:szCs w:val="24"/>
        </w:rPr>
        <w:t xml:space="preserve">undrained shear strength </w:t>
      </w:r>
      <w:r w:rsidR="00325D0C" w:rsidRPr="00AB258D">
        <w:rPr>
          <w:rFonts w:cstheme="minorHAnsi"/>
          <w:sz w:val="24"/>
          <w:szCs w:val="24"/>
        </w:rPr>
        <w:t xml:space="preserve">of the </w:t>
      </w:r>
      <w:r w:rsidR="009D602F" w:rsidRPr="00AB258D">
        <w:rPr>
          <w:rFonts w:cstheme="minorHAnsi"/>
          <w:sz w:val="24"/>
          <w:szCs w:val="24"/>
        </w:rPr>
        <w:t xml:space="preserve">treated </w:t>
      </w:r>
      <w:r w:rsidR="00325D0C" w:rsidRPr="00AB258D">
        <w:rPr>
          <w:rFonts w:cstheme="minorHAnsi"/>
          <w:sz w:val="24"/>
          <w:szCs w:val="24"/>
        </w:rPr>
        <w:t>soil</w:t>
      </w:r>
      <w:r w:rsidR="009D602F" w:rsidRPr="00AB258D">
        <w:rPr>
          <w:rFonts w:cstheme="minorHAnsi"/>
          <w:sz w:val="24"/>
          <w:szCs w:val="24"/>
        </w:rPr>
        <w:t xml:space="preserve">s </w:t>
      </w:r>
      <w:r w:rsidR="00D840B0" w:rsidRPr="00AB258D">
        <w:rPr>
          <w:rFonts w:cstheme="minorHAnsi"/>
          <w:sz w:val="24"/>
          <w:szCs w:val="24"/>
        </w:rPr>
        <w:t>to</w:t>
      </w:r>
      <w:r w:rsidR="00325D0C" w:rsidRPr="00AB258D">
        <w:rPr>
          <w:rFonts w:cstheme="minorHAnsi"/>
          <w:sz w:val="24"/>
          <w:szCs w:val="24"/>
        </w:rPr>
        <w:t xml:space="preserve"> 0.45</w:t>
      </w:r>
      <w:r w:rsidR="00737902" w:rsidRPr="00AB258D">
        <w:rPr>
          <w:rFonts w:cstheme="minorHAnsi"/>
          <w:sz w:val="24"/>
          <w:szCs w:val="24"/>
        </w:rPr>
        <w:t>MPa</w:t>
      </w:r>
      <w:r w:rsidR="00997AD0" w:rsidRPr="00AB258D">
        <w:rPr>
          <w:rFonts w:cstheme="minorHAnsi"/>
          <w:sz w:val="24"/>
          <w:szCs w:val="24"/>
        </w:rPr>
        <w:t xml:space="preserve"> </w:t>
      </w:r>
      <w:r w:rsidR="009D602F" w:rsidRPr="00AB258D">
        <w:rPr>
          <w:rFonts w:cstheme="minorHAnsi"/>
          <w:sz w:val="24"/>
          <w:szCs w:val="24"/>
        </w:rPr>
        <w:t xml:space="preserve">and 0.58MPa for soil I and II </w:t>
      </w:r>
      <w:r w:rsidR="00534F43" w:rsidRPr="00AB258D">
        <w:rPr>
          <w:rFonts w:cstheme="minorHAnsi"/>
          <w:sz w:val="24"/>
          <w:szCs w:val="24"/>
        </w:rPr>
        <w:t>respectively after 7 days</w:t>
      </w:r>
      <w:r w:rsidR="00D840B0" w:rsidRPr="00AB258D">
        <w:rPr>
          <w:rFonts w:cstheme="minorHAnsi"/>
          <w:sz w:val="24"/>
          <w:szCs w:val="24"/>
        </w:rPr>
        <w:t xml:space="preserve">. </w:t>
      </w:r>
      <w:r w:rsidR="00954594" w:rsidRPr="00AB258D">
        <w:rPr>
          <w:rFonts w:cstheme="minorHAnsi"/>
          <w:sz w:val="24"/>
          <w:szCs w:val="24"/>
        </w:rPr>
        <w:t xml:space="preserve">It has been reported that the </w:t>
      </w:r>
      <w:r w:rsidR="00E92987" w:rsidRPr="00AB258D">
        <w:rPr>
          <w:rFonts w:cstheme="minorHAnsi"/>
          <w:sz w:val="24"/>
          <w:szCs w:val="24"/>
        </w:rPr>
        <w:t xml:space="preserve">undrained shear strength </w:t>
      </w:r>
      <w:r w:rsidR="00F372B7" w:rsidRPr="00AB258D">
        <w:rPr>
          <w:rFonts w:cstheme="minorHAnsi"/>
          <w:sz w:val="24"/>
          <w:szCs w:val="24"/>
        </w:rPr>
        <w:t xml:space="preserve">and other properties of cement </w:t>
      </w:r>
      <w:r w:rsidR="00CD43CF" w:rsidRPr="00AB258D">
        <w:rPr>
          <w:rFonts w:cstheme="minorHAnsi"/>
          <w:sz w:val="24"/>
          <w:szCs w:val="24"/>
        </w:rPr>
        <w:t>treated soil</w:t>
      </w:r>
      <w:r w:rsidR="00F372B7" w:rsidRPr="00AB258D">
        <w:rPr>
          <w:rFonts w:cstheme="minorHAnsi"/>
          <w:sz w:val="24"/>
          <w:szCs w:val="24"/>
        </w:rPr>
        <w:t>s</w:t>
      </w:r>
      <w:r w:rsidR="00CD43CF" w:rsidRPr="00AB258D">
        <w:rPr>
          <w:rFonts w:cstheme="minorHAnsi"/>
          <w:sz w:val="24"/>
          <w:szCs w:val="24"/>
        </w:rPr>
        <w:t xml:space="preserve"> can be influenced by both cementation and consolidation during the early stages of strength gain due to cement hydration</w:t>
      </w:r>
      <w:r w:rsidR="00D806C8" w:rsidRPr="00AB258D">
        <w:rPr>
          <w:rFonts w:cstheme="minorHAnsi"/>
          <w:sz w:val="24"/>
          <w:szCs w:val="24"/>
        </w:rPr>
        <w:t xml:space="preserve"> </w:t>
      </w:r>
      <w:r w:rsidR="00D806C8" w:rsidRPr="00AB258D">
        <w:rPr>
          <w:rFonts w:cstheme="minorHAnsi"/>
          <w:sz w:val="24"/>
          <w:szCs w:val="24"/>
        </w:rPr>
        <w:fldChar w:fldCharType="begin" w:fldLock="1"/>
      </w:r>
      <w:r w:rsidR="003208C7" w:rsidRPr="00AB258D">
        <w:rPr>
          <w:rFonts w:cstheme="minorHAnsi"/>
          <w:sz w:val="24"/>
          <w:szCs w:val="24"/>
        </w:rPr>
        <w:instrText>ADDIN CSL_CITATION {"citationItems":[{"id":"ITEM-1","itemData":{"DOI":"10.1016/j.sandf.2014.06.023","ISSN":"00380806","abstract":"The shear strength of cement-treated soil can be changed by both cementation and consolidation during the early stages of hardening because of cement hydration. Based on the results of triaxial and unconfined compression tests, this paper describes the effects of isotropic and one-dimensional consolidation stress, applied during the curing period, on the undrained peak and residual shear strengths of cement-treated soil. The sample used was a mixture of fine-grained sand and ordinary Portland cement. A consolidated undrained triaxial compression test (ICU) was conducted on the specimens immediately after the cement treatment. Each test was conducted under different consolidation pressures, curing times and delayed loading times. The following conclusions were developed from the results and discussions: (1) the undrained peak shear strength of cement-treated soil, cured under different consolidation conditions, increases with an increase in either the consolidation pressure or the curing time, whereas it gradually decreases with an increase in the delayed loading time. (2) The rate of undrained strength increase resulting from consolidation differs significantly between isotropic and one-dimensional consolidations. (3) For a curing time of between one and seven days, the rate of strength increase by isotropic consolidation exceeds that by one-dimensional consolidation. The simultaneous volumetric change of cement-treated soil during consolidation depends on the stress conditions of the specimen, that is, the difference between isotropic and one-dimensional consolidations. (4) When the test is not conducted under nearly in-situ conditions, the undrained shear strength may be underestimated, depending on the time interval between the cement treatment and the start of consolidation. (5) The shear strength in the residual state is influenced by the consolidation pressure during curing. (6) As the consolidation pressure during curing increases, the specimens exhibit a higher residual strength.","author":[{"dropping-particle":"","family":"Suzuki","given":"Motoyuki","non-dropping-particle":"","parse-names":false,"suffix":""},{"dropping-particle":"","family":"Fujimoto","given":"Tetsuo","non-dropping-particle":"","parse-names":false,"suffix":""},{"dropping-particle":"","family":"Taguchi","given":"Takeshi","non-dropping-particle":"","parse-names":false,"suffix":""}],"container-title":"Soils and Foundations","id":"ITEM-1","issue":"4","issued":{"date-parts":[["2014"]]},"page":"687-698","publisher":"Elsevier","title":"Peak and residual strength characteristics of cement-treated soil cured under different consolidation conditions","type":"article-journal","volume":"54"},"uris":["http://www.mendeley.com/documents/?uuid=0ede4794-92a1-4e5a-b5c4-4a00fcfd7d20"]}],"mendeley":{"formattedCitation":"[61]","plainTextFormattedCitation":"[61]","previouslyFormattedCitation":"[61]"},"properties":{"noteIndex":0},"schema":"https://github.com/citation-style-language/schema/raw/master/csl-citation.json"}</w:instrText>
      </w:r>
      <w:r w:rsidR="00D806C8" w:rsidRPr="00AB258D">
        <w:rPr>
          <w:rFonts w:cstheme="minorHAnsi"/>
          <w:sz w:val="24"/>
          <w:szCs w:val="24"/>
        </w:rPr>
        <w:fldChar w:fldCharType="separate"/>
      </w:r>
      <w:r w:rsidR="00EE796F" w:rsidRPr="00AB258D">
        <w:rPr>
          <w:rFonts w:cstheme="minorHAnsi"/>
          <w:noProof/>
          <w:sz w:val="24"/>
          <w:szCs w:val="24"/>
        </w:rPr>
        <w:t>[61]</w:t>
      </w:r>
      <w:r w:rsidR="00D806C8" w:rsidRPr="00AB258D">
        <w:rPr>
          <w:rFonts w:cstheme="minorHAnsi"/>
          <w:sz w:val="24"/>
          <w:szCs w:val="24"/>
        </w:rPr>
        <w:fldChar w:fldCharType="end"/>
      </w:r>
      <w:r w:rsidR="00CD43CF" w:rsidRPr="00AB258D">
        <w:rPr>
          <w:rFonts w:cstheme="minorHAnsi"/>
          <w:sz w:val="24"/>
          <w:szCs w:val="24"/>
        </w:rPr>
        <w:t xml:space="preserve">. </w:t>
      </w:r>
      <w:r w:rsidR="00F83F52" w:rsidRPr="00AB258D">
        <w:rPr>
          <w:rFonts w:cstheme="minorHAnsi"/>
          <w:sz w:val="24"/>
          <w:szCs w:val="24"/>
        </w:rPr>
        <w:t xml:space="preserve">There is a significant increase in </w:t>
      </w:r>
      <w:r w:rsidR="00E92987" w:rsidRPr="00AB258D">
        <w:rPr>
          <w:rFonts w:cstheme="minorHAnsi"/>
          <w:sz w:val="24"/>
          <w:szCs w:val="24"/>
        </w:rPr>
        <w:t xml:space="preserve">undrained shear strength </w:t>
      </w:r>
      <w:r w:rsidR="00F83F52" w:rsidRPr="00AB258D">
        <w:rPr>
          <w:rFonts w:cstheme="minorHAnsi"/>
          <w:sz w:val="24"/>
          <w:szCs w:val="24"/>
        </w:rPr>
        <w:t xml:space="preserve">after 28days </w:t>
      </w:r>
      <w:r w:rsidR="00DB3CCA" w:rsidRPr="00AB258D">
        <w:rPr>
          <w:rFonts w:cstheme="minorHAnsi"/>
          <w:sz w:val="24"/>
          <w:szCs w:val="24"/>
        </w:rPr>
        <w:t xml:space="preserve">as shown in </w:t>
      </w:r>
      <w:r w:rsidR="00E72F6E">
        <w:rPr>
          <w:rFonts w:cstheme="minorHAnsi"/>
          <w:sz w:val="24"/>
          <w:szCs w:val="24"/>
        </w:rPr>
        <w:t>Fig. 6</w:t>
      </w:r>
      <w:r w:rsidR="00DB3CCA" w:rsidRPr="00AB258D">
        <w:rPr>
          <w:rFonts w:cstheme="minorHAnsi"/>
          <w:sz w:val="24"/>
          <w:szCs w:val="24"/>
        </w:rPr>
        <w:t>(a-b),</w:t>
      </w:r>
      <w:r w:rsidR="00F83F52" w:rsidRPr="00AB258D">
        <w:rPr>
          <w:rFonts w:cstheme="minorHAnsi"/>
          <w:sz w:val="24"/>
          <w:szCs w:val="24"/>
        </w:rPr>
        <w:t xml:space="preserve"> irrespective of soil type due to hydration and </w:t>
      </w:r>
      <w:proofErr w:type="spellStart"/>
      <w:r w:rsidR="00F83F52" w:rsidRPr="00AB258D">
        <w:rPr>
          <w:rFonts w:cstheme="minorHAnsi"/>
          <w:sz w:val="24"/>
          <w:szCs w:val="24"/>
        </w:rPr>
        <w:t>pozzolanic</w:t>
      </w:r>
      <w:proofErr w:type="spellEnd"/>
      <w:r w:rsidR="00F83F52" w:rsidRPr="00AB258D">
        <w:rPr>
          <w:rFonts w:cstheme="minorHAnsi"/>
          <w:sz w:val="24"/>
          <w:szCs w:val="24"/>
        </w:rPr>
        <w:t xml:space="preserve"> reactions. The </w:t>
      </w:r>
      <w:r w:rsidR="00E92987" w:rsidRPr="00AB258D">
        <w:rPr>
          <w:rFonts w:cstheme="minorHAnsi"/>
          <w:sz w:val="24"/>
          <w:szCs w:val="24"/>
        </w:rPr>
        <w:t xml:space="preserve">undrained shear strength </w:t>
      </w:r>
      <w:r w:rsidR="00F83F52" w:rsidRPr="00AB258D">
        <w:rPr>
          <w:rFonts w:cstheme="minorHAnsi"/>
          <w:sz w:val="24"/>
          <w:szCs w:val="24"/>
        </w:rPr>
        <w:t xml:space="preserve">of samples treated in phase 2 increases up to </w:t>
      </w:r>
      <w:r w:rsidR="006A5105" w:rsidRPr="00AB258D">
        <w:rPr>
          <w:rFonts w:cstheme="minorHAnsi"/>
          <w:sz w:val="24"/>
          <w:szCs w:val="24"/>
        </w:rPr>
        <w:t xml:space="preserve">a </w:t>
      </w:r>
      <w:r w:rsidR="00E02BA2" w:rsidRPr="00AB258D">
        <w:rPr>
          <w:rFonts w:cstheme="minorHAnsi"/>
          <w:sz w:val="24"/>
          <w:szCs w:val="24"/>
        </w:rPr>
        <w:t>maximum value</w:t>
      </w:r>
      <w:r w:rsidR="006A5105" w:rsidRPr="00AB258D">
        <w:rPr>
          <w:rFonts w:cstheme="minorHAnsi"/>
          <w:sz w:val="24"/>
          <w:szCs w:val="24"/>
        </w:rPr>
        <w:t xml:space="preserve"> of </w:t>
      </w:r>
      <w:r w:rsidR="00F83F52" w:rsidRPr="00AB258D">
        <w:rPr>
          <w:rFonts w:cstheme="minorHAnsi"/>
          <w:sz w:val="24"/>
          <w:szCs w:val="24"/>
        </w:rPr>
        <w:t>0.6MPa and 0.74MPa for soil I and II compared to</w:t>
      </w:r>
      <w:r w:rsidR="006A5105" w:rsidRPr="00AB258D">
        <w:rPr>
          <w:rFonts w:cstheme="minorHAnsi"/>
          <w:sz w:val="24"/>
          <w:szCs w:val="24"/>
        </w:rPr>
        <w:t xml:space="preserve"> </w:t>
      </w:r>
      <w:r w:rsidR="0044508F" w:rsidRPr="00AB258D">
        <w:rPr>
          <w:rFonts w:cstheme="minorHAnsi"/>
          <w:sz w:val="24"/>
          <w:szCs w:val="24"/>
        </w:rPr>
        <w:t xml:space="preserve">lower </w:t>
      </w:r>
      <w:r w:rsidR="006A5105" w:rsidRPr="00AB258D">
        <w:rPr>
          <w:rFonts w:cstheme="minorHAnsi"/>
          <w:sz w:val="24"/>
          <w:szCs w:val="24"/>
        </w:rPr>
        <w:t xml:space="preserve">strength </w:t>
      </w:r>
      <w:r w:rsidR="0044508F" w:rsidRPr="00AB258D">
        <w:rPr>
          <w:rFonts w:cstheme="minorHAnsi"/>
          <w:sz w:val="24"/>
          <w:szCs w:val="24"/>
        </w:rPr>
        <w:t xml:space="preserve">values </w:t>
      </w:r>
      <w:r w:rsidR="006A5105" w:rsidRPr="00AB258D">
        <w:rPr>
          <w:rFonts w:cstheme="minorHAnsi"/>
          <w:sz w:val="24"/>
          <w:szCs w:val="24"/>
        </w:rPr>
        <w:t>of</w:t>
      </w:r>
      <w:r w:rsidR="00910B4C" w:rsidRPr="00AB258D">
        <w:rPr>
          <w:rFonts w:cstheme="minorHAnsi"/>
          <w:sz w:val="24"/>
          <w:szCs w:val="24"/>
        </w:rPr>
        <w:t xml:space="preserve"> samples treated </w:t>
      </w:r>
      <w:r w:rsidR="00F83F52" w:rsidRPr="00AB258D">
        <w:rPr>
          <w:rFonts w:cstheme="minorHAnsi"/>
          <w:sz w:val="24"/>
          <w:szCs w:val="24"/>
        </w:rPr>
        <w:t>in phase 3</w:t>
      </w:r>
      <w:r w:rsidR="00910B4C" w:rsidRPr="00AB258D">
        <w:rPr>
          <w:rFonts w:cstheme="minorHAnsi"/>
          <w:sz w:val="24"/>
          <w:szCs w:val="24"/>
        </w:rPr>
        <w:t xml:space="preserve"> and 4</w:t>
      </w:r>
      <w:r w:rsidR="00A87C56" w:rsidRPr="00AB258D">
        <w:rPr>
          <w:rFonts w:cstheme="minorHAnsi"/>
          <w:sz w:val="24"/>
          <w:szCs w:val="24"/>
        </w:rPr>
        <w:t xml:space="preserve"> respectively.</w:t>
      </w:r>
      <w:r w:rsidR="00910B4C" w:rsidRPr="00AB258D">
        <w:rPr>
          <w:rFonts w:cstheme="minorHAnsi"/>
          <w:sz w:val="24"/>
          <w:szCs w:val="24"/>
        </w:rPr>
        <w:t xml:space="preserve"> </w:t>
      </w:r>
      <w:r w:rsidR="00003EEA" w:rsidRPr="00AB258D">
        <w:rPr>
          <w:rFonts w:cstheme="minorHAnsi"/>
          <w:sz w:val="24"/>
          <w:szCs w:val="24"/>
        </w:rPr>
        <w:t xml:space="preserve">The soils treated with </w:t>
      </w:r>
      <w:r w:rsidR="00A07BDC" w:rsidRPr="00AB258D">
        <w:rPr>
          <w:rFonts w:cstheme="minorHAnsi"/>
          <w:sz w:val="24"/>
          <w:szCs w:val="24"/>
        </w:rPr>
        <w:t>cement</w:t>
      </w:r>
      <w:r w:rsidR="00003EEA" w:rsidRPr="00AB258D">
        <w:rPr>
          <w:rFonts w:cstheme="minorHAnsi"/>
          <w:sz w:val="24"/>
          <w:szCs w:val="24"/>
        </w:rPr>
        <w:t xml:space="preserve">/GGBS/RC mixtures </w:t>
      </w:r>
      <w:r w:rsidR="00BB4CEC" w:rsidRPr="00AB258D">
        <w:rPr>
          <w:rFonts w:cstheme="minorHAnsi"/>
          <w:sz w:val="24"/>
          <w:szCs w:val="24"/>
        </w:rPr>
        <w:t xml:space="preserve">does seem to have higher </w:t>
      </w:r>
      <w:r w:rsidR="00E92987" w:rsidRPr="00AB258D">
        <w:rPr>
          <w:rFonts w:cstheme="minorHAnsi"/>
          <w:sz w:val="24"/>
          <w:szCs w:val="24"/>
        </w:rPr>
        <w:t xml:space="preserve">undrained shear strength </w:t>
      </w:r>
      <w:r w:rsidR="00BB4CEC" w:rsidRPr="00AB258D">
        <w:rPr>
          <w:rFonts w:cstheme="minorHAnsi"/>
          <w:sz w:val="24"/>
          <w:szCs w:val="24"/>
        </w:rPr>
        <w:t xml:space="preserve">values as </w:t>
      </w:r>
      <w:r w:rsidR="00003EEA" w:rsidRPr="00AB258D">
        <w:rPr>
          <w:rFonts w:cstheme="minorHAnsi"/>
          <w:sz w:val="24"/>
          <w:szCs w:val="24"/>
        </w:rPr>
        <w:t>compared with mixtures</w:t>
      </w:r>
      <w:r w:rsidR="00A07BDC" w:rsidRPr="00AB258D">
        <w:rPr>
          <w:rFonts w:cstheme="minorHAnsi"/>
          <w:sz w:val="24"/>
          <w:szCs w:val="24"/>
        </w:rPr>
        <w:t xml:space="preserve"> containing cement</w:t>
      </w:r>
      <w:r w:rsidR="00BB4CEC" w:rsidRPr="00AB258D">
        <w:rPr>
          <w:rFonts w:cstheme="minorHAnsi"/>
          <w:sz w:val="24"/>
          <w:szCs w:val="24"/>
        </w:rPr>
        <w:t>/PFA/RC</w:t>
      </w:r>
      <w:r w:rsidR="00A07BDC" w:rsidRPr="00AB258D">
        <w:rPr>
          <w:rFonts w:cstheme="minorHAnsi"/>
          <w:sz w:val="24"/>
          <w:szCs w:val="24"/>
        </w:rPr>
        <w:t>.</w:t>
      </w:r>
      <w:r w:rsidR="00E54DB6" w:rsidRPr="00AB258D">
        <w:rPr>
          <w:rFonts w:cstheme="minorHAnsi"/>
          <w:sz w:val="24"/>
          <w:szCs w:val="24"/>
        </w:rPr>
        <w:t xml:space="preserve"> This is because the cement/GGBS mixture produces more cementation and binding </w:t>
      </w:r>
      <w:r w:rsidR="009612DA" w:rsidRPr="00AB258D">
        <w:rPr>
          <w:rFonts w:cstheme="minorHAnsi"/>
          <w:sz w:val="24"/>
          <w:szCs w:val="24"/>
        </w:rPr>
        <w:t>effect than cement/PFA mixture. T</w:t>
      </w:r>
      <w:r w:rsidR="00781DCC" w:rsidRPr="00AB258D">
        <w:rPr>
          <w:rFonts w:cstheme="minorHAnsi"/>
          <w:sz w:val="24"/>
          <w:szCs w:val="24"/>
        </w:rPr>
        <w:t xml:space="preserve">he inclusion of 1% </w:t>
      </w:r>
      <w:r w:rsidR="003571FC" w:rsidRPr="00AB258D">
        <w:rPr>
          <w:rFonts w:cstheme="minorHAnsi"/>
          <w:sz w:val="24"/>
          <w:szCs w:val="24"/>
        </w:rPr>
        <w:t xml:space="preserve">RC </w:t>
      </w:r>
      <w:r w:rsidR="009612DA" w:rsidRPr="00AB258D">
        <w:rPr>
          <w:rFonts w:cstheme="minorHAnsi"/>
          <w:sz w:val="24"/>
          <w:szCs w:val="24"/>
        </w:rPr>
        <w:t>causes additional particle</w:t>
      </w:r>
      <w:r w:rsidR="00E37317" w:rsidRPr="00AB258D">
        <w:rPr>
          <w:rFonts w:cstheme="minorHAnsi"/>
          <w:sz w:val="24"/>
          <w:szCs w:val="24"/>
        </w:rPr>
        <w:t xml:space="preserve"> </w:t>
      </w:r>
      <w:r w:rsidR="002057A0" w:rsidRPr="00AB258D">
        <w:rPr>
          <w:rFonts w:cstheme="minorHAnsi"/>
          <w:sz w:val="24"/>
          <w:szCs w:val="24"/>
        </w:rPr>
        <w:t>ceme</w:t>
      </w:r>
      <w:r w:rsidR="00E37317" w:rsidRPr="00AB258D">
        <w:rPr>
          <w:rFonts w:cstheme="minorHAnsi"/>
          <w:sz w:val="24"/>
          <w:szCs w:val="24"/>
        </w:rPr>
        <w:t>ntation, hydration</w:t>
      </w:r>
      <w:r w:rsidR="002057A0" w:rsidRPr="00AB258D">
        <w:rPr>
          <w:rFonts w:cstheme="minorHAnsi"/>
          <w:sz w:val="24"/>
          <w:szCs w:val="24"/>
        </w:rPr>
        <w:t xml:space="preserve"> and creat</w:t>
      </w:r>
      <w:r w:rsidR="00E37317" w:rsidRPr="00AB258D">
        <w:rPr>
          <w:rFonts w:cstheme="minorHAnsi"/>
          <w:sz w:val="24"/>
          <w:szCs w:val="24"/>
        </w:rPr>
        <w:t>ion</w:t>
      </w:r>
      <w:r w:rsidR="002057A0" w:rsidRPr="00AB258D">
        <w:rPr>
          <w:rFonts w:cstheme="minorHAnsi"/>
          <w:sz w:val="24"/>
          <w:szCs w:val="24"/>
        </w:rPr>
        <w:t xml:space="preserve"> </w:t>
      </w:r>
      <w:r w:rsidR="00E37317" w:rsidRPr="00AB258D">
        <w:rPr>
          <w:rFonts w:cstheme="minorHAnsi"/>
          <w:sz w:val="24"/>
          <w:szCs w:val="24"/>
        </w:rPr>
        <w:t xml:space="preserve">of </w:t>
      </w:r>
      <w:proofErr w:type="spellStart"/>
      <w:r w:rsidR="00E37317" w:rsidRPr="00AB258D">
        <w:rPr>
          <w:rFonts w:cstheme="minorHAnsi"/>
          <w:sz w:val="24"/>
          <w:szCs w:val="24"/>
        </w:rPr>
        <w:t>nano</w:t>
      </w:r>
      <w:proofErr w:type="spellEnd"/>
      <w:r w:rsidR="00E37317" w:rsidRPr="00AB258D">
        <w:rPr>
          <w:rFonts w:cstheme="minorHAnsi"/>
          <w:sz w:val="24"/>
          <w:szCs w:val="24"/>
        </w:rPr>
        <w:t xml:space="preserve"> crystals in form of </w:t>
      </w:r>
      <w:r w:rsidR="002057A0" w:rsidRPr="00AB258D">
        <w:rPr>
          <w:rFonts w:cstheme="minorHAnsi"/>
          <w:sz w:val="24"/>
          <w:szCs w:val="24"/>
        </w:rPr>
        <w:t xml:space="preserve">a spider </w:t>
      </w:r>
      <w:r w:rsidR="0053140A" w:rsidRPr="00AB258D">
        <w:rPr>
          <w:rFonts w:cstheme="minorHAnsi"/>
          <w:sz w:val="24"/>
          <w:szCs w:val="24"/>
        </w:rPr>
        <w:t xml:space="preserve">web, </w:t>
      </w:r>
      <w:r w:rsidR="007144F2" w:rsidRPr="00AB258D">
        <w:rPr>
          <w:rFonts w:cstheme="minorHAnsi"/>
          <w:sz w:val="24"/>
          <w:szCs w:val="24"/>
        </w:rPr>
        <w:t>interlocking</w:t>
      </w:r>
      <w:r w:rsidR="00512B4A" w:rsidRPr="00AB258D">
        <w:rPr>
          <w:rFonts w:cstheme="minorHAnsi"/>
          <w:sz w:val="24"/>
          <w:szCs w:val="24"/>
        </w:rPr>
        <w:t xml:space="preserve"> the particle</w:t>
      </w:r>
      <w:r w:rsidR="00E37317" w:rsidRPr="00AB258D">
        <w:rPr>
          <w:rFonts w:cstheme="minorHAnsi"/>
          <w:sz w:val="24"/>
          <w:szCs w:val="24"/>
        </w:rPr>
        <w:t>s together and causing strength increase</w:t>
      </w:r>
      <w:r w:rsidR="0053140A" w:rsidRPr="00AB258D">
        <w:rPr>
          <w:rFonts w:cstheme="minorHAnsi"/>
          <w:sz w:val="24"/>
          <w:szCs w:val="24"/>
        </w:rPr>
        <w:t>.</w:t>
      </w:r>
      <w:r w:rsidR="009A18C7" w:rsidRPr="00AB258D">
        <w:rPr>
          <w:rFonts w:cstheme="minorHAnsi"/>
          <w:sz w:val="24"/>
          <w:szCs w:val="24"/>
        </w:rPr>
        <w:t xml:space="preserve"> </w:t>
      </w:r>
      <w:r w:rsidR="00E37317" w:rsidRPr="00AB258D">
        <w:rPr>
          <w:rFonts w:cstheme="minorHAnsi"/>
          <w:sz w:val="24"/>
          <w:szCs w:val="24"/>
        </w:rPr>
        <w:t>The presence of RC causes</w:t>
      </w:r>
      <w:r w:rsidR="00F53D45" w:rsidRPr="00AB258D">
        <w:rPr>
          <w:rFonts w:cstheme="minorHAnsi"/>
          <w:sz w:val="24"/>
          <w:szCs w:val="24"/>
        </w:rPr>
        <w:t xml:space="preserve"> changes </w:t>
      </w:r>
      <w:r w:rsidR="00E37317" w:rsidRPr="00AB258D">
        <w:rPr>
          <w:rFonts w:cstheme="minorHAnsi"/>
          <w:sz w:val="24"/>
          <w:szCs w:val="24"/>
        </w:rPr>
        <w:t xml:space="preserve">in </w:t>
      </w:r>
      <w:r w:rsidR="00F53D45" w:rsidRPr="00AB258D">
        <w:rPr>
          <w:rFonts w:cstheme="minorHAnsi"/>
          <w:sz w:val="24"/>
          <w:szCs w:val="24"/>
        </w:rPr>
        <w:t xml:space="preserve">the mineralogical structure </w:t>
      </w:r>
      <w:r w:rsidR="00964E0C" w:rsidRPr="00AB258D">
        <w:rPr>
          <w:rFonts w:cstheme="minorHAnsi"/>
          <w:sz w:val="24"/>
          <w:szCs w:val="24"/>
        </w:rPr>
        <w:t xml:space="preserve">of the soil </w:t>
      </w:r>
      <w:r w:rsidR="00F53D45" w:rsidRPr="00AB258D">
        <w:rPr>
          <w:rFonts w:cstheme="minorHAnsi"/>
          <w:sz w:val="24"/>
          <w:szCs w:val="24"/>
        </w:rPr>
        <w:t xml:space="preserve">leading to a </w:t>
      </w:r>
      <w:r w:rsidR="00E37317" w:rsidRPr="00AB258D">
        <w:rPr>
          <w:rFonts w:cstheme="minorHAnsi"/>
          <w:sz w:val="24"/>
          <w:szCs w:val="24"/>
        </w:rPr>
        <w:t xml:space="preserve">treated soil with higher </w:t>
      </w:r>
      <w:r w:rsidR="00F53D45" w:rsidRPr="00AB258D">
        <w:rPr>
          <w:rFonts w:cstheme="minorHAnsi"/>
          <w:sz w:val="24"/>
          <w:szCs w:val="24"/>
        </w:rPr>
        <w:t>strength</w:t>
      </w:r>
      <w:r w:rsidR="00E37317" w:rsidRPr="00AB258D">
        <w:rPr>
          <w:rFonts w:cstheme="minorHAnsi"/>
          <w:sz w:val="24"/>
          <w:szCs w:val="24"/>
        </w:rPr>
        <w:t>,</w:t>
      </w:r>
      <w:r w:rsidR="00F53D45" w:rsidRPr="00AB258D">
        <w:rPr>
          <w:rFonts w:cstheme="minorHAnsi"/>
          <w:sz w:val="24"/>
          <w:szCs w:val="24"/>
        </w:rPr>
        <w:t xml:space="preserve"> </w:t>
      </w:r>
      <w:r w:rsidR="00E37317" w:rsidRPr="00AB258D">
        <w:rPr>
          <w:rFonts w:cstheme="minorHAnsi"/>
          <w:sz w:val="24"/>
          <w:szCs w:val="24"/>
        </w:rPr>
        <w:t xml:space="preserve">strong and </w:t>
      </w:r>
      <w:r w:rsidR="00F53D45" w:rsidRPr="00AB258D">
        <w:rPr>
          <w:rFonts w:cstheme="minorHAnsi"/>
          <w:sz w:val="24"/>
          <w:szCs w:val="24"/>
        </w:rPr>
        <w:t xml:space="preserve">durable crystalline structure which is fibrous in nature </w:t>
      </w:r>
      <w:r w:rsidR="00F9685B" w:rsidRPr="00AB258D">
        <w:rPr>
          <w:rFonts w:cstheme="minorHAnsi"/>
          <w:sz w:val="24"/>
          <w:szCs w:val="24"/>
        </w:rPr>
        <w:fldChar w:fldCharType="begin" w:fldLock="1"/>
      </w:r>
      <w:r w:rsidR="003208C7" w:rsidRPr="00AB258D">
        <w:rPr>
          <w:rFonts w:cstheme="minorHAnsi"/>
          <w:sz w:val="24"/>
          <w:szCs w:val="24"/>
        </w:rPr>
        <w:instrText>ADDIN CSL_CITATION {"citationItems":[{"id":"ITEM-1","itemData":{"DOI":"10.1016/j.clay.2016.03.040","ISSN":"01691317","abstract":"Metakaolin, widely applied in concretes and cement-stabilized soft clays to improve their macro performance, was evaluated for use in compacted soils in highway and backfill engineering. The compactability and strength performance of cement-modified soils with metakaolin were evaluated in the terms of their applicability and effectiveness. The cement-based modified soil with metakaolin was more insensitive to water and more convenient in the field rolling compaction. The strengths, in addition to the unconfined compressive strength and splitting tension strength, were improved significantly. Up to a threshold ratio of metakaolin to cement ranging from 1/3 to 1/2 in this case, the strengths increased gradually, while they unexpectedly decreased thereafter. This phenomenon was different from the previously reported metakaolin applications in concrete and cement-stabilized soft clays, which was probably due to the water content and the ratio of metakaolin to hydrated calcium hydroxides of the cements. Microstructure analysis by X-ray diffraction, scanning electronic microscopy, thermo-gravimetric analysis and mercury intrusion porosimetry, demonstrated that the addition of metakaolin led to a higher quantity of hydration products and a denser micro-porosity distribution.","author":[{"dropping-particle":"","family":"Wu","given":"Zilong","non-dropping-particle":"","parse-names":false,"suffix":""},{"dropping-particle":"","family":"Deng","given":"Yongfeng","non-dropping-particle":"","parse-names":false,"suffix":""},{"dropping-particle":"","family":"Liu","given":"Songyu","non-dropping-particle":"","parse-names":false,"suffix":""},{"dropping-particle":"","family":"Liu","given":"Qianwen","non-dropping-particle":"","parse-names":false,"suffix":""},{"dropping-particle":"","family":"Chen","given":"Yonggui","non-dropping-particle":"","parse-names":false,"suffix":""},{"dropping-particle":"","family":"Zha","given":"Fusheng","non-dropping-particle":"","parse-names":false,"suffix":""}],"container-title":"Applied Clay Science","id":"ITEM-1","issued":{"date-parts":[["2016"]]},"page":"44-51","publisher":"Elsevier B.V.","title":"Strength and micro-structure evolution of compacted soils modified by admixtures of cement and metakaolin","type":"article-journal","volume":"127-128"},"uris":["http://www.mendeley.com/documents/?uuid=d2ad1aff-410f-48b4-8e87-86d3f67dee9c"]}],"mendeley":{"formattedCitation":"[56]","plainTextFormattedCitation":"[56]","previouslyFormattedCitation":"[56]"},"properties":{"noteIndex":0},"schema":"https://github.com/citation-style-language/schema/raw/master/csl-citation.json"}</w:instrText>
      </w:r>
      <w:r w:rsidR="00F9685B" w:rsidRPr="00AB258D">
        <w:rPr>
          <w:rFonts w:cstheme="minorHAnsi"/>
          <w:sz w:val="24"/>
          <w:szCs w:val="24"/>
        </w:rPr>
        <w:fldChar w:fldCharType="separate"/>
      </w:r>
      <w:r w:rsidR="00EE796F" w:rsidRPr="00AB258D">
        <w:rPr>
          <w:rFonts w:cstheme="minorHAnsi"/>
          <w:noProof/>
          <w:sz w:val="24"/>
          <w:szCs w:val="24"/>
        </w:rPr>
        <w:t>[56]</w:t>
      </w:r>
      <w:r w:rsidR="00F9685B" w:rsidRPr="00AB258D">
        <w:rPr>
          <w:rFonts w:cstheme="minorHAnsi"/>
          <w:sz w:val="24"/>
          <w:szCs w:val="24"/>
        </w:rPr>
        <w:fldChar w:fldCharType="end"/>
      </w:r>
      <w:r w:rsidR="00F9685B" w:rsidRPr="00AB258D">
        <w:rPr>
          <w:rFonts w:cstheme="minorHAnsi"/>
          <w:sz w:val="24"/>
          <w:szCs w:val="24"/>
        </w:rPr>
        <w:t>.</w:t>
      </w:r>
    </w:p>
    <w:p w14:paraId="7C29A667" w14:textId="77777777" w:rsidR="00CD43CF" w:rsidRPr="00AB258D" w:rsidRDefault="00CD43CF" w:rsidP="0053140A">
      <w:pPr>
        <w:spacing w:line="276" w:lineRule="auto"/>
        <w:jc w:val="both"/>
        <w:rPr>
          <w:rFonts w:cstheme="minorHAnsi"/>
          <w:sz w:val="24"/>
        </w:rPr>
      </w:pPr>
    </w:p>
    <w:p w14:paraId="64E1C26A" w14:textId="77777777" w:rsidR="00972A24" w:rsidRPr="00AB258D" w:rsidRDefault="00972A24" w:rsidP="00825A81">
      <w:pPr>
        <w:spacing w:line="276" w:lineRule="auto"/>
        <w:jc w:val="both"/>
        <w:rPr>
          <w:rFonts w:cstheme="minorHAnsi"/>
          <w:sz w:val="24"/>
        </w:rPr>
      </w:pPr>
    </w:p>
    <w:p w14:paraId="43EC463B" w14:textId="77777777" w:rsidR="00CD43CF" w:rsidRPr="00AB258D" w:rsidRDefault="00CD43CF" w:rsidP="00825A81">
      <w:pPr>
        <w:spacing w:line="276" w:lineRule="auto"/>
        <w:jc w:val="both"/>
        <w:rPr>
          <w:rFonts w:cstheme="minorHAnsi"/>
          <w:sz w:val="24"/>
          <w:szCs w:val="24"/>
        </w:rPr>
      </w:pPr>
    </w:p>
    <w:p w14:paraId="5A4F2A96" w14:textId="77777777" w:rsidR="000C0D22" w:rsidRPr="00AB258D" w:rsidRDefault="00D27F1E" w:rsidP="000C0D22">
      <w:pPr>
        <w:spacing w:line="360" w:lineRule="auto"/>
        <w:jc w:val="both"/>
        <w:rPr>
          <w:rFonts w:cstheme="minorHAnsi"/>
          <w:sz w:val="24"/>
        </w:rPr>
      </w:pPr>
      <w:r w:rsidRPr="00AB258D">
        <w:rPr>
          <w:rFonts w:cstheme="minorHAnsi"/>
          <w:noProof/>
          <w:lang w:eastAsia="en-GB"/>
        </w:rPr>
        <w:lastRenderedPageBreak/>
        <mc:AlternateContent>
          <mc:Choice Requires="wps">
            <w:drawing>
              <wp:anchor distT="0" distB="0" distL="114300" distR="114300" simplePos="0" relativeHeight="251675648" behindDoc="0" locked="0" layoutInCell="1" allowOverlap="1" wp14:anchorId="7277B4DB" wp14:editId="75621923">
                <wp:simplePos x="0" y="0"/>
                <wp:positionH relativeFrom="column">
                  <wp:posOffset>3668233</wp:posOffset>
                </wp:positionH>
                <wp:positionV relativeFrom="paragraph">
                  <wp:posOffset>130840</wp:posOffset>
                </wp:positionV>
                <wp:extent cx="393404" cy="414655"/>
                <wp:effectExtent l="0" t="0" r="6985" b="4445"/>
                <wp:wrapNone/>
                <wp:docPr id="13" name="Text Box 13"/>
                <wp:cNvGraphicFramePr/>
                <a:graphic xmlns:a="http://schemas.openxmlformats.org/drawingml/2006/main">
                  <a:graphicData uri="http://schemas.microsoft.com/office/word/2010/wordprocessingShape">
                    <wps:wsp>
                      <wps:cNvSpPr txBox="1"/>
                      <wps:spPr>
                        <a:xfrm>
                          <a:off x="0" y="0"/>
                          <a:ext cx="393404" cy="414655"/>
                        </a:xfrm>
                        <a:prstGeom prst="rect">
                          <a:avLst/>
                        </a:prstGeom>
                        <a:solidFill>
                          <a:schemeClr val="lt1"/>
                        </a:solidFill>
                        <a:ln w="6350">
                          <a:noFill/>
                        </a:ln>
                      </wps:spPr>
                      <wps:txbx>
                        <w:txbxContent>
                          <w:p w14:paraId="7E69193C" w14:textId="77777777" w:rsidR="004350C0" w:rsidRPr="00D27F1E" w:rsidRDefault="004350C0">
                            <w:pPr>
                              <w:rPr>
                                <w:sz w:val="24"/>
                                <w:szCs w:val="24"/>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77B4DB" id="Text Box 13" o:spid="_x0000_s1039" type="#_x0000_t202" style="position:absolute;left:0;text-align:left;margin-left:288.85pt;margin-top:10.3pt;width:31pt;height:32.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" fillcolor="white [3201]" stroked="f" strokeweight=".5pt">
                <v:textbox>
                  <w:txbxContent>
                    <w:p w14:paraId="7E69193C" w14:textId="77777777" w:rsidR="004350C0" w:rsidRPr="00D27F1E" w:rsidRDefault="004350C0">
                      <w:pPr>
                        <w:rPr>
                          <w:sz w:val="24"/>
                          <w:szCs w:val="24"/>
                        </w:rPr>
                      </w:pPr>
                      <w:r>
                        <w:t>(b)</w:t>
                      </w:r>
                    </w:p>
                  </w:txbxContent>
                </v:textbox>
              </v:shape>
            </w:pict>
          </mc:Fallback>
        </mc:AlternateContent>
      </w:r>
      <w:r w:rsidRPr="00AB258D">
        <w:rPr>
          <w:rFonts w:cstheme="minorHAnsi"/>
          <w:noProof/>
          <w:lang w:eastAsia="en-GB"/>
        </w:rPr>
        <mc:AlternateContent>
          <mc:Choice Requires="wps">
            <w:drawing>
              <wp:anchor distT="0" distB="0" distL="114300" distR="114300" simplePos="0" relativeHeight="251674624" behindDoc="0" locked="0" layoutInCell="1" allowOverlap="1" wp14:anchorId="4F6B3CFD" wp14:editId="600F97B1">
                <wp:simplePos x="0" y="0"/>
                <wp:positionH relativeFrom="column">
                  <wp:posOffset>659219</wp:posOffset>
                </wp:positionH>
                <wp:positionV relativeFrom="paragraph">
                  <wp:posOffset>130840</wp:posOffset>
                </wp:positionV>
                <wp:extent cx="499730" cy="414669"/>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499730" cy="414669"/>
                        </a:xfrm>
                        <a:prstGeom prst="rect">
                          <a:avLst/>
                        </a:prstGeom>
                        <a:solidFill>
                          <a:schemeClr val="lt1"/>
                        </a:solidFill>
                        <a:ln w="6350">
                          <a:noFill/>
                        </a:ln>
                      </wps:spPr>
                      <wps:txbx>
                        <w:txbxContent>
                          <w:p w14:paraId="3136E119" w14:textId="77777777" w:rsidR="004350C0" w:rsidRPr="00D27F1E" w:rsidRDefault="004350C0">
                            <w:pPr>
                              <w:rPr>
                                <w:sz w:val="24"/>
                                <w:szCs w:val="24"/>
                              </w:rPr>
                            </w:pPr>
                            <w:r w:rsidRPr="00D27F1E">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B3CFD" id="Text Box 12" o:spid="_x0000_s1040" type="#_x0000_t202" style="position:absolute;left:0;text-align:left;margin-left:51.9pt;margin-top:10.3pt;width:39.35pt;height:32.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" fillcolor="white [3201]" stroked="f" strokeweight=".5pt">
                <v:textbox>
                  <w:txbxContent>
                    <w:p w14:paraId="3136E119" w14:textId="77777777" w:rsidR="004350C0" w:rsidRPr="00D27F1E" w:rsidRDefault="004350C0">
                      <w:pPr>
                        <w:rPr>
                          <w:sz w:val="24"/>
                          <w:szCs w:val="24"/>
                        </w:rPr>
                      </w:pPr>
                      <w:r w:rsidRPr="00D27F1E">
                        <w:rPr>
                          <w:sz w:val="24"/>
                          <w:szCs w:val="24"/>
                        </w:rPr>
                        <w:t>(a)</w:t>
                      </w:r>
                    </w:p>
                  </w:txbxContent>
                </v:textbox>
              </v:shape>
            </w:pict>
          </mc:Fallback>
        </mc:AlternateContent>
      </w:r>
      <w:r w:rsidR="000C0D22" w:rsidRPr="00AB258D">
        <w:rPr>
          <w:rFonts w:cstheme="minorHAnsi"/>
          <w:noProof/>
          <w:lang w:eastAsia="en-GB"/>
        </w:rPr>
        <w:drawing>
          <wp:inline distT="0" distB="0" distL="0" distR="0" wp14:anchorId="513B3CB6" wp14:editId="68950308">
            <wp:extent cx="2790825" cy="3629025"/>
            <wp:effectExtent l="0" t="0" r="9525" b="9525"/>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0C0D22" w:rsidRPr="00AB258D">
        <w:rPr>
          <w:rFonts w:cstheme="minorHAnsi"/>
          <w:sz w:val="24"/>
        </w:rPr>
        <w:t xml:space="preserve">    </w:t>
      </w:r>
      <w:r w:rsidR="000C0D22" w:rsidRPr="00AB258D">
        <w:rPr>
          <w:rFonts w:cstheme="minorHAnsi"/>
          <w:noProof/>
          <w:lang w:eastAsia="en-GB"/>
        </w:rPr>
        <w:drawing>
          <wp:inline distT="0" distB="0" distL="0" distR="0" wp14:anchorId="37A23FD8" wp14:editId="6678178F">
            <wp:extent cx="2790825" cy="3629025"/>
            <wp:effectExtent l="0" t="0" r="9525" b="9525"/>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0C0D22" w:rsidRPr="00AB258D">
        <w:rPr>
          <w:rFonts w:cstheme="minorHAnsi"/>
          <w:sz w:val="24"/>
        </w:rPr>
        <w:t xml:space="preserve"> </w:t>
      </w:r>
    </w:p>
    <w:p w14:paraId="2A219E93" w14:textId="4BD472C3" w:rsidR="002A0B32" w:rsidRPr="00AB258D" w:rsidRDefault="008336EA" w:rsidP="000C0D22">
      <w:pPr>
        <w:spacing w:line="360" w:lineRule="auto"/>
        <w:jc w:val="both"/>
        <w:rPr>
          <w:rFonts w:cstheme="minorHAnsi"/>
          <w:sz w:val="24"/>
        </w:rPr>
      </w:pPr>
      <w:r>
        <w:rPr>
          <w:rFonts w:cstheme="minorHAnsi"/>
          <w:b/>
          <w:sz w:val="24"/>
        </w:rPr>
        <w:t>Fig. 5</w:t>
      </w:r>
      <w:r w:rsidR="00AB2F6A" w:rsidRPr="00AB258D">
        <w:rPr>
          <w:rFonts w:cstheme="minorHAnsi"/>
          <w:b/>
          <w:sz w:val="24"/>
        </w:rPr>
        <w:t>(a-b)</w:t>
      </w:r>
      <w:r w:rsidR="00D72FDF" w:rsidRPr="00AB258D">
        <w:rPr>
          <w:rFonts w:cstheme="minorHAnsi"/>
          <w:sz w:val="24"/>
        </w:rPr>
        <w:t>.</w:t>
      </w:r>
      <w:r w:rsidR="00342B00" w:rsidRPr="00AB258D">
        <w:rPr>
          <w:rFonts w:cstheme="minorHAnsi"/>
          <w:sz w:val="24"/>
        </w:rPr>
        <w:t xml:space="preserve"> </w:t>
      </w:r>
      <w:r w:rsidR="00E92987" w:rsidRPr="00AB258D">
        <w:rPr>
          <w:rFonts w:cstheme="minorHAnsi"/>
          <w:sz w:val="24"/>
        </w:rPr>
        <w:t xml:space="preserve">Undrained shear strength </w:t>
      </w:r>
      <w:r w:rsidR="00342B00" w:rsidRPr="00AB258D">
        <w:rPr>
          <w:rFonts w:cstheme="minorHAnsi"/>
          <w:sz w:val="24"/>
        </w:rPr>
        <w:t>of treated soils after 7days</w:t>
      </w:r>
    </w:p>
    <w:p w14:paraId="66CD3E53" w14:textId="77777777" w:rsidR="000C0D22" w:rsidRPr="00AB258D" w:rsidRDefault="00AB2F6A" w:rsidP="000C0D22">
      <w:pPr>
        <w:spacing w:line="360" w:lineRule="auto"/>
        <w:jc w:val="both"/>
        <w:rPr>
          <w:rFonts w:cstheme="minorHAnsi"/>
          <w:sz w:val="24"/>
        </w:rPr>
      </w:pPr>
      <w:r w:rsidRPr="00AB258D">
        <w:rPr>
          <w:rFonts w:cstheme="minorHAnsi"/>
          <w:noProof/>
          <w:lang w:eastAsia="en-GB"/>
        </w:rPr>
        <mc:AlternateContent>
          <mc:Choice Requires="wps">
            <w:drawing>
              <wp:anchor distT="0" distB="0" distL="114300" distR="114300" simplePos="0" relativeHeight="251676672" behindDoc="0" locked="0" layoutInCell="1" allowOverlap="1" wp14:anchorId="282CBDD7" wp14:editId="577BA25E">
                <wp:simplePos x="0" y="0"/>
                <wp:positionH relativeFrom="column">
                  <wp:posOffset>595423</wp:posOffset>
                </wp:positionH>
                <wp:positionV relativeFrom="paragraph">
                  <wp:posOffset>110579</wp:posOffset>
                </wp:positionV>
                <wp:extent cx="499730" cy="297711"/>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99730" cy="297711"/>
                        </a:xfrm>
                        <a:prstGeom prst="rect">
                          <a:avLst/>
                        </a:prstGeom>
                        <a:solidFill>
                          <a:schemeClr val="lt1"/>
                        </a:solidFill>
                        <a:ln w="6350">
                          <a:noFill/>
                        </a:ln>
                      </wps:spPr>
                      <wps:txbx>
                        <w:txbxContent>
                          <w:p w14:paraId="6C2C453A" w14:textId="77777777" w:rsidR="004350C0" w:rsidRPr="00AB2F6A" w:rsidRDefault="004350C0">
                            <w:pPr>
                              <w:rPr>
                                <w:sz w:val="24"/>
                                <w:szCs w:val="24"/>
                              </w:rPr>
                            </w:pPr>
                            <w:r w:rsidRPr="00AB2F6A">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CBDD7" id="Text Box 14" o:spid="_x0000_s1041" type="#_x0000_t202" style="position:absolute;left:0;text-align:left;margin-left:46.9pt;margin-top:8.7pt;width:39.35pt;height:23.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" fillcolor="white [3201]" stroked="f" strokeweight=".5pt">
                <v:textbox>
                  <w:txbxContent>
                    <w:p w14:paraId="6C2C453A" w14:textId="77777777" w:rsidR="004350C0" w:rsidRPr="00AB2F6A" w:rsidRDefault="004350C0">
                      <w:pPr>
                        <w:rPr>
                          <w:sz w:val="24"/>
                          <w:szCs w:val="24"/>
                        </w:rPr>
                      </w:pPr>
                      <w:r w:rsidRPr="00AB2F6A">
                        <w:rPr>
                          <w:sz w:val="24"/>
                          <w:szCs w:val="24"/>
                        </w:rPr>
                        <w:t>(a)</w:t>
                      </w:r>
                    </w:p>
                  </w:txbxContent>
                </v:textbox>
              </v:shape>
            </w:pict>
          </mc:Fallback>
        </mc:AlternateContent>
      </w:r>
      <w:r w:rsidR="000C0D22" w:rsidRPr="00AB258D">
        <w:rPr>
          <w:rFonts w:cstheme="minorHAnsi"/>
          <w:noProof/>
          <w:lang w:eastAsia="en-GB"/>
        </w:rPr>
        <w:drawing>
          <wp:inline distT="0" distB="0" distL="0" distR="0" wp14:anchorId="3D10D201" wp14:editId="495552BE">
            <wp:extent cx="2705100" cy="3762375"/>
            <wp:effectExtent l="0" t="0" r="0" b="952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C0D22" w:rsidRPr="00AB258D">
        <w:rPr>
          <w:rFonts w:cstheme="minorHAnsi"/>
          <w:sz w:val="24"/>
        </w:rPr>
        <w:t xml:space="preserve">     </w:t>
      </w:r>
      <w:r w:rsidR="000C0D22" w:rsidRPr="00AB258D">
        <w:rPr>
          <w:rFonts w:cstheme="minorHAnsi"/>
          <w:noProof/>
          <w:lang w:eastAsia="en-GB"/>
        </w:rPr>
        <w:drawing>
          <wp:inline distT="0" distB="0" distL="0" distR="0" wp14:anchorId="69542FD1" wp14:editId="5DBB5B3C">
            <wp:extent cx="2790825" cy="3771900"/>
            <wp:effectExtent l="0" t="0" r="9525" b="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DCD695" w14:textId="6C3C502F" w:rsidR="00342B00" w:rsidRPr="00AB258D" w:rsidRDefault="008336EA" w:rsidP="00342B00">
      <w:pPr>
        <w:spacing w:line="360" w:lineRule="auto"/>
        <w:jc w:val="both"/>
        <w:rPr>
          <w:rFonts w:cstheme="minorHAnsi"/>
          <w:sz w:val="24"/>
        </w:rPr>
      </w:pPr>
      <w:r>
        <w:rPr>
          <w:rFonts w:cstheme="minorHAnsi"/>
          <w:b/>
          <w:sz w:val="24"/>
        </w:rPr>
        <w:t>Fig. 6</w:t>
      </w:r>
      <w:r w:rsidR="00AB2F6A" w:rsidRPr="00AB258D">
        <w:rPr>
          <w:rFonts w:cstheme="minorHAnsi"/>
          <w:b/>
          <w:sz w:val="24"/>
        </w:rPr>
        <w:t>(a-b)</w:t>
      </w:r>
      <w:r w:rsidR="00367DC4" w:rsidRPr="00AB258D">
        <w:rPr>
          <w:rFonts w:cstheme="minorHAnsi"/>
          <w:sz w:val="24"/>
        </w:rPr>
        <w:t>.</w:t>
      </w:r>
      <w:r w:rsidR="00342B00" w:rsidRPr="00AB258D">
        <w:rPr>
          <w:rFonts w:cstheme="minorHAnsi"/>
          <w:sz w:val="24"/>
        </w:rPr>
        <w:t xml:space="preserve"> </w:t>
      </w:r>
      <w:r w:rsidR="00E92987" w:rsidRPr="00AB258D">
        <w:rPr>
          <w:rFonts w:cstheme="minorHAnsi"/>
          <w:sz w:val="24"/>
        </w:rPr>
        <w:t xml:space="preserve">Undrained shear strength </w:t>
      </w:r>
      <w:r w:rsidR="00342B00" w:rsidRPr="00AB258D">
        <w:rPr>
          <w:rFonts w:cstheme="minorHAnsi"/>
          <w:sz w:val="24"/>
        </w:rPr>
        <w:t>of treated soils after 28days</w:t>
      </w:r>
    </w:p>
    <w:p w14:paraId="35210991" w14:textId="77777777" w:rsidR="00F83F52" w:rsidRPr="00AB258D" w:rsidRDefault="00F83F52" w:rsidP="000C0D22">
      <w:pPr>
        <w:spacing w:line="360" w:lineRule="auto"/>
        <w:jc w:val="both"/>
        <w:rPr>
          <w:rFonts w:cstheme="minorHAnsi"/>
          <w:sz w:val="24"/>
        </w:rPr>
      </w:pPr>
    </w:p>
    <w:p w14:paraId="4F78C7D5" w14:textId="77777777" w:rsidR="00A62117" w:rsidRPr="00AB258D" w:rsidRDefault="00A87883" w:rsidP="00A62117">
      <w:pPr>
        <w:spacing w:line="276" w:lineRule="auto"/>
        <w:jc w:val="both"/>
        <w:rPr>
          <w:rFonts w:cstheme="minorHAnsi"/>
          <w:sz w:val="28"/>
          <w:szCs w:val="28"/>
        </w:rPr>
      </w:pPr>
      <w:r w:rsidRPr="00AB258D">
        <w:rPr>
          <w:rFonts w:cstheme="minorHAnsi"/>
          <w:sz w:val="28"/>
          <w:szCs w:val="28"/>
        </w:rPr>
        <w:lastRenderedPageBreak/>
        <w:t xml:space="preserve">3.3 </w:t>
      </w:r>
      <w:r w:rsidR="0022515E" w:rsidRPr="00AB258D">
        <w:rPr>
          <w:rFonts w:cstheme="minorHAnsi"/>
          <w:sz w:val="28"/>
          <w:szCs w:val="28"/>
        </w:rPr>
        <w:t xml:space="preserve">Microstructure and </w:t>
      </w:r>
      <w:r w:rsidR="00A62117" w:rsidRPr="00AB258D">
        <w:rPr>
          <w:rFonts w:cstheme="minorHAnsi"/>
          <w:sz w:val="28"/>
          <w:szCs w:val="28"/>
        </w:rPr>
        <w:t xml:space="preserve">Stabilisation mechanisms </w:t>
      </w:r>
    </w:p>
    <w:p w14:paraId="67970D25" w14:textId="77777777" w:rsidR="003208C7" w:rsidRPr="00AB258D" w:rsidRDefault="005B56E3" w:rsidP="00872346">
      <w:pPr>
        <w:spacing w:line="240" w:lineRule="auto"/>
        <w:jc w:val="both"/>
        <w:rPr>
          <w:rFonts w:cstheme="minorHAnsi"/>
          <w:sz w:val="24"/>
          <w:szCs w:val="24"/>
        </w:rPr>
      </w:pPr>
      <w:r w:rsidRPr="00AB258D">
        <w:rPr>
          <w:rFonts w:cstheme="minorHAnsi"/>
          <w:sz w:val="24"/>
          <w:szCs w:val="24"/>
        </w:rPr>
        <w:t>The properties of natural and stabilised soils at the macroscopic level (strength) were largely considered in the foregoing. Moreover, an adequate scientific basis involving a thorough description of the microstructural activities and mechanisms of changes occurring in the stabilised soil is very needful to justify or corroborate the claims of improvement in mechanical behaviour</w:t>
      </w:r>
      <w:r w:rsidR="00462AF2" w:rsidRPr="00AB258D">
        <w:rPr>
          <w:rFonts w:cstheme="minorHAnsi"/>
          <w:sz w:val="24"/>
          <w:szCs w:val="24"/>
        </w:rPr>
        <w:t xml:space="preserve"> </w:t>
      </w:r>
      <w:r w:rsidR="00462AF2" w:rsidRPr="00AB258D">
        <w:rPr>
          <w:rFonts w:cstheme="minorHAnsi"/>
          <w:sz w:val="24"/>
          <w:szCs w:val="24"/>
        </w:rPr>
        <w:fldChar w:fldCharType="begin" w:fldLock="1"/>
      </w:r>
      <w:r w:rsidR="00416EC1" w:rsidRPr="00AB258D">
        <w:rPr>
          <w:rFonts w:cstheme="minorHAnsi"/>
          <w:sz w:val="24"/>
          <w:szCs w:val="24"/>
        </w:rPr>
        <w:instrText>ADDIN CSL_CITATION {"citationItems":[{"id":"ITEM-1","itemData":{"DOI":"10.1016/j.clay.2015.10.001","ISSN":"01691317","abstract":"Although the effects of chemical additives on the geotechnical properties of soils have been investigated in recent years, the strength properties and micro-structural characteristics of clayey soils stabilized with magnesium chloride (MgCl2) solution, a green soil stabilizer, have not been clearly brought out. The objective of this study is therefore to investigate the time-dependent engineering properties, mineralogy, morphology and molecular characteristics of MgCl2stabilized tropical fine-grained soils. Bentonite and kaolin, which represent high and low swelling clays, respectively were employed as the soils tested in this study. Compaction, unconfined compression strength (UCS) and standard direct shear tests were undertaken to assess the engineering properties of the stabilized clayey soils. The mechanisms that may have contributed to the stabilization process were discussed based on the micro-structural analysis using different spectroscopic and microscopic techniques such as X-ray diffractometry (XRD), field emission scanning electron microscopy (FESEM), energy-dispersive X-ray spectrometry (EDAX), Fourier transform infrared spectroscopy (FTIR) and Brunauer, Emmett and Teller (N2-BET) surface area analysis. From an engineering point of view, the MgCl2improved the compressive strength of the bentonite and kaolin significantly. The 7-day UCS of MgCl2stabilized bentonite and kaolin were approximately 2 times higher than that of unstabilized ones. The micro-structural study revealed that the stabilization process modified the porous network of the tested clayey soils. The pores of the soils had been filled by newly formed crystalline compounds known as magnesium silicate hydrate (M-S-H) and magnesium aluminate hydrate (M-A-H) for the bentonite and kaolin, respectively.","author":[{"dropping-particle":"","family":"Latifi","given":"Nima","non-dropping-particle":"","parse-names":false,"suffix":""},{"dropping-particle":"","family":"Rashid","given":"Ahmad Safuan A.","non-dropping-particle":"","parse-names":false,"suffix":""},{"dropping-particle":"","family":"Siddiqua","given":"Sumi","non-dropping-particle":"","parse-names":false,"suffix":""},{"dropping-particle":"","family":"Horpibulsuk","given":"Suksun","non-dropping-particle":"","parse-names":false,"suffix":""}],"container-title":"Applied Clay Science","id":"ITEM-1","issued":{"date-parts":[["2015"]]},"page":"195-206","title":"Micro-structural analysis of strength development in low- and high swelling clays stabilized with magnesium chloride solution - A green soil stabilizer","type":"article-journal","volume":"118"},"uris":["http://www.mendeley.com/documents/?uuid=4fbc4162-e1a6-444b-a78d-221f870072e7"]},{"id":"ITEM-2","itemData":{"DOI":"10.1016/j.conbuildmat.2010.03.011","ISBN":"09500618","ISSN":"09500618","abstract":"This paper analyzes the strength development in cement-stabilized silty clay based on microstructural considerations. A qualitative and quantitative study on the microstructure is carried out using a scanning electron microscope, mercury intrusion pore size distribution measurements, and thermal gravity analysis. Three influential factors in this investigation are water content, curing time, and cement content. Cement stabilization improves the soil structure by increasing inter-cluster cementation bonding and reducing the pore space. As the cement content increases for a given water content, three zones of improvement are observed: active, inert and deterioration zones. The active zone is the most effective for stabilization where the cementitious products increase with cement content and fill the pore space. In the active zone, the effective mixing state is achieved when the water content is 1.2 times the optimum water content. In this state, the strength is the greatest because of the highest quantity of cementitious products. In the short stabilization period, the volume of large pores (larger than 0.1 ??m) increases because of the input of coarser particles (unhydrated cement particles) while the volume of small pores (smaller than 0.1 ??m) decreases because of the solidification of the cement gel (hydrated cement). With time, the large pores are filled with the cementitious products; thus, the small pore volume increases, and the total pore volume decreases. This causes the strength development over time. ?? 2010 Elsevier Ltd. All rights reserved.","author":[{"dropping-particle":"","family":"Horpibulsuk","given":"Suksun","non-dropping-particle":"","parse-names":false,"suffix":""},{"dropping-particle":"","family":"Rachan","given":"Runglawan","non-dropping-particle":"","parse-names":false,"suffix":""},{"dropping-particle":"","family":"Chinkulkijniwat","given":"Avirut","non-dropping-particle":"","parse-names":false,"suffix":""},{"dropping-particle":"","family":"Raksachon","given":"Yuttana","non-dropping-particle":"","parse-names":false,"suffix":""},{"dropping-particle":"","family":"Suddeepong","given":"Apichat","non-dropping-particle":"","parse-names":false,"suffix":""}],"container-title":"Construction and Building Materials","id":"ITEM-2","issue":"10","issued":{"date-parts":[["2010"]]},"page":"2011-2021","publisher":"Elsevier Ltd","title":"Analysis of strength development in cement-stabilized silty clay from microstructural considerations","type":"article-journal","volume":"24"},"uris":["http://www.mendeley.com/documents/?uuid=f2d2330b-350c-4e20-8dfe-0ad773e62e97"]},{"id":"ITEM-3","itemData":{"author":[{"dropping-particle":"","family":"Mirzababaei","given":"M.","non-dropping-particle":"","parse-names":false,"suffix":""},{"dropping-particle":"","family":"Yasrobi","given":"S.","non-dropping-particle":"","parse-names":false,"suffix":""}],"container-title":"First Srilankan Geotechnical Society International Conference on Soil &amp; Rock Engineering, 7-11 August","id":"ITEM-3","issued":{"date-parts":[["2007"]]},"publisher-place":"Colombo, Sri Lanka","title":"Assessment of Clay Soil Fabric Using Scanning Electron Microscope","type":"paper-conference"},"uris":["http://www.mendeley.com/documents/?uuid=301a4542-19dd-43fa-baec-882f7087d938"]}],"mendeley":{"formattedCitation":"[57,62,63]","plainTextFormattedCitation":"[57,62,63]","previouslyFormattedCitation":"[57,62]"},"properties":{"noteIndex":0},"schema":"https://github.com/citation-style-language/schema/raw/master/csl-citation.json"}</w:instrText>
      </w:r>
      <w:r w:rsidR="00462AF2" w:rsidRPr="00AB258D">
        <w:rPr>
          <w:rFonts w:cstheme="minorHAnsi"/>
          <w:sz w:val="24"/>
          <w:szCs w:val="24"/>
        </w:rPr>
        <w:fldChar w:fldCharType="separate"/>
      </w:r>
      <w:r w:rsidR="00416EC1" w:rsidRPr="00AB258D">
        <w:rPr>
          <w:rFonts w:cstheme="minorHAnsi"/>
          <w:noProof/>
          <w:sz w:val="24"/>
          <w:szCs w:val="24"/>
        </w:rPr>
        <w:t>[57,62,63]</w:t>
      </w:r>
      <w:r w:rsidR="00462AF2" w:rsidRPr="00AB258D">
        <w:rPr>
          <w:rFonts w:cstheme="minorHAnsi"/>
          <w:sz w:val="24"/>
          <w:szCs w:val="24"/>
        </w:rPr>
        <w:fldChar w:fldCharType="end"/>
      </w:r>
      <w:r w:rsidRPr="00AB258D">
        <w:rPr>
          <w:rFonts w:cstheme="minorHAnsi"/>
          <w:sz w:val="24"/>
          <w:szCs w:val="24"/>
        </w:rPr>
        <w:t xml:space="preserve">. </w:t>
      </w:r>
      <w:r w:rsidR="00A62117" w:rsidRPr="00AB258D">
        <w:rPr>
          <w:rFonts w:cstheme="minorHAnsi"/>
          <w:sz w:val="24"/>
          <w:szCs w:val="24"/>
        </w:rPr>
        <w:t xml:space="preserve">In the present study, the stabilisation mechanism of the additives with the incorporated </w:t>
      </w:r>
      <w:r w:rsidR="00A430CD" w:rsidRPr="00AB258D">
        <w:rPr>
          <w:rFonts w:cstheme="minorHAnsi"/>
          <w:sz w:val="24"/>
          <w:szCs w:val="24"/>
        </w:rPr>
        <w:t>RC</w:t>
      </w:r>
      <w:r w:rsidR="00A62117" w:rsidRPr="00AB258D">
        <w:rPr>
          <w:rFonts w:cstheme="minorHAnsi"/>
          <w:sz w:val="24"/>
          <w:szCs w:val="24"/>
        </w:rPr>
        <w:t xml:space="preserve"> was studied to support the understanding of the basic stabilisation mechanis</w:t>
      </w:r>
      <w:r w:rsidR="00EE6738" w:rsidRPr="00AB258D">
        <w:rPr>
          <w:rFonts w:cstheme="minorHAnsi"/>
          <w:sz w:val="24"/>
          <w:szCs w:val="24"/>
        </w:rPr>
        <w:t xml:space="preserve">ms associated with the investigated </w:t>
      </w:r>
      <w:r w:rsidR="00A62117" w:rsidRPr="00AB258D">
        <w:rPr>
          <w:rFonts w:cstheme="minorHAnsi"/>
          <w:sz w:val="24"/>
          <w:szCs w:val="24"/>
        </w:rPr>
        <w:t>additives and soils.</w:t>
      </w:r>
      <w:r w:rsidR="003208C7" w:rsidRPr="00AB258D">
        <w:rPr>
          <w:rFonts w:cstheme="minorHAnsi"/>
          <w:sz w:val="24"/>
          <w:szCs w:val="24"/>
        </w:rPr>
        <w:t xml:space="preserve"> </w:t>
      </w:r>
    </w:p>
    <w:p w14:paraId="28E02B52" w14:textId="7A63EAFB" w:rsidR="00C62819" w:rsidRPr="00AB258D" w:rsidRDefault="003208C7" w:rsidP="00872346">
      <w:pPr>
        <w:spacing w:line="240" w:lineRule="auto"/>
        <w:jc w:val="both"/>
        <w:rPr>
          <w:sz w:val="23"/>
          <w:szCs w:val="23"/>
        </w:rPr>
      </w:pPr>
      <w:r w:rsidRPr="00AB258D">
        <w:rPr>
          <w:rFonts w:cstheme="minorHAnsi"/>
          <w:sz w:val="24"/>
          <w:szCs w:val="24"/>
        </w:rPr>
        <w:t>Chemically hydraulic binders such as</w:t>
      </w:r>
      <w:r w:rsidR="00A62117" w:rsidRPr="00AB258D">
        <w:rPr>
          <w:rFonts w:cstheme="minorHAnsi"/>
          <w:sz w:val="24"/>
          <w:szCs w:val="24"/>
        </w:rPr>
        <w:t xml:space="preserve"> Portland cement </w:t>
      </w:r>
      <w:r w:rsidRPr="00AB258D">
        <w:rPr>
          <w:rFonts w:cstheme="minorHAnsi"/>
          <w:sz w:val="24"/>
          <w:szCs w:val="24"/>
        </w:rPr>
        <w:t>and GGBS are</w:t>
      </w:r>
      <w:r w:rsidR="00A62117" w:rsidRPr="00AB258D">
        <w:rPr>
          <w:rFonts w:cstheme="minorHAnsi"/>
          <w:sz w:val="24"/>
          <w:szCs w:val="24"/>
        </w:rPr>
        <w:t xml:space="preserve"> comp</w:t>
      </w:r>
      <w:r w:rsidRPr="00AB258D">
        <w:rPr>
          <w:rFonts w:cstheme="minorHAnsi"/>
          <w:sz w:val="24"/>
          <w:szCs w:val="24"/>
        </w:rPr>
        <w:t>osed</w:t>
      </w:r>
      <w:r w:rsidR="00A62117" w:rsidRPr="00AB258D">
        <w:rPr>
          <w:rFonts w:cstheme="minorHAnsi"/>
          <w:sz w:val="24"/>
          <w:szCs w:val="24"/>
        </w:rPr>
        <w:t xml:space="preserve"> of </w:t>
      </w:r>
      <w:r w:rsidRPr="00AB258D">
        <w:rPr>
          <w:rFonts w:cstheme="minorHAnsi"/>
          <w:sz w:val="24"/>
          <w:szCs w:val="24"/>
        </w:rPr>
        <w:t>compounds each of which can react with moist clayey soils to form complex hydration products.</w:t>
      </w:r>
      <w:r w:rsidRPr="00AB258D">
        <w:rPr>
          <w:rFonts w:eastAsia="Times New Roman" w:cstheme="minorHAnsi"/>
          <w:sz w:val="24"/>
          <w:szCs w:val="24"/>
        </w:rPr>
        <w:t xml:space="preserve"> The </w:t>
      </w:r>
      <w:r w:rsidRPr="00AB258D">
        <w:rPr>
          <w:sz w:val="23"/>
          <w:szCs w:val="23"/>
        </w:rPr>
        <w:t xml:space="preserve">process of hydration is even much more complicated when cement and GGBS are used together to stabilise the same soil </w:t>
      </w:r>
      <w:r w:rsidRPr="00AB258D">
        <w:rPr>
          <w:sz w:val="23"/>
          <w:szCs w:val="23"/>
        </w:rPr>
        <w:fldChar w:fldCharType="begin" w:fldLock="1"/>
      </w:r>
      <w:r w:rsidR="00416EC1" w:rsidRPr="00AB258D">
        <w:rPr>
          <w:sz w:val="23"/>
          <w:szCs w:val="23"/>
        </w:rPr>
        <w:instrText>ADDIN CSL_CITATION {"citationItems":[{"id":"ITEM-1","itemData":{"author":[{"dropping-particle":"","family":"Ouf","given":"M. S.","non-dropping-particle":"","parse-names":false,"suffix":""}],"id":"ITEM-1","issued":{"date-parts":[["2001"]]},"publisher":"School of Civil Engineering University of Leeds","title":"Stabilisation of clay subgrade soils using ground granulated blastfurnace slag. PhD Thesis","type":"thesis"},"uris":["http://www.mendeley.com/documents/?uuid=98022946-cf86-4429-971b-976426823982"]},{"id":"ITEM-2","itemData":{"DOI":"10.1180/claymin.1996.031.3.12","ISSN":"0009-8558","author":[{"dropping-particle":"","family":"Wild","given":"S.","non-dropping-particle":"","parse-names":false,"suffix":""}],"container-title":"Clay Minerals","id":"ITEM-2","issue":"3","issued":{"date-parts":[["1996"]]},"page":"423-433","title":"Effects of Ground Granulated Blast Furnace Slag (GGBS) on the Strength and Swelling Properties of Lime-Stabilized Kaolinite in the Presence of Sulphates","type":"article-journal","volume":"31"},"uris":["http://www.mendeley.com/documents/?uuid=274a2ff2-b595-4a92-9a01-86a926743a94"]}],"mendeley":{"formattedCitation":"[64,65]","plainTextFormattedCitation":"[64,65]","previouslyFormattedCitation":"[63,64]"},"properties":{"noteIndex":0},"schema":"https://github.com/citation-style-language/schema/raw/master/csl-citation.json"}</w:instrText>
      </w:r>
      <w:r w:rsidRPr="00AB258D">
        <w:rPr>
          <w:sz w:val="23"/>
          <w:szCs w:val="23"/>
        </w:rPr>
        <w:fldChar w:fldCharType="separate"/>
      </w:r>
      <w:r w:rsidR="00416EC1" w:rsidRPr="00AB258D">
        <w:rPr>
          <w:noProof/>
          <w:sz w:val="23"/>
          <w:szCs w:val="23"/>
        </w:rPr>
        <w:t>[64,65]</w:t>
      </w:r>
      <w:r w:rsidRPr="00AB258D">
        <w:rPr>
          <w:sz w:val="23"/>
          <w:szCs w:val="23"/>
        </w:rPr>
        <w:fldChar w:fldCharType="end"/>
      </w:r>
      <w:r w:rsidRPr="00AB258D">
        <w:rPr>
          <w:sz w:val="23"/>
          <w:szCs w:val="23"/>
        </w:rPr>
        <w:t>. The mechanism of reactions that ensues with the addition of GGBS to cement-soil system has two fundamental phases namely, hydration of GGBS by hydrated lime from the cement and soil-hydrated lime reactions. Firstly, the hydration of GGBS proceeds with the consumption of very little amounts of lime and commences soon after water is introduced and used to mix the soil-binder materials.</w:t>
      </w:r>
      <w:r w:rsidR="00494533" w:rsidRPr="00AB258D">
        <w:rPr>
          <w:sz w:val="23"/>
          <w:szCs w:val="23"/>
        </w:rPr>
        <w:t xml:space="preserve"> This reaction tends to lead to the production of the calcium </w:t>
      </w:r>
      <w:proofErr w:type="spellStart"/>
      <w:r w:rsidR="00494533" w:rsidRPr="00AB258D">
        <w:rPr>
          <w:sz w:val="23"/>
          <w:szCs w:val="23"/>
        </w:rPr>
        <w:t>aluminosilicate</w:t>
      </w:r>
      <w:proofErr w:type="spellEnd"/>
      <w:r w:rsidR="00494533" w:rsidRPr="00AB258D">
        <w:rPr>
          <w:sz w:val="23"/>
          <w:szCs w:val="23"/>
        </w:rPr>
        <w:t xml:space="preserve"> hydrates (CASH) having low calcium to silicon ion ratio, aluminium to silicon ion ratio and calcium to </w:t>
      </w:r>
      <w:proofErr w:type="spellStart"/>
      <w:r w:rsidR="00494533" w:rsidRPr="00AB258D">
        <w:rPr>
          <w:sz w:val="23"/>
          <w:szCs w:val="23"/>
        </w:rPr>
        <w:t>aluminosilica</w:t>
      </w:r>
      <w:proofErr w:type="spellEnd"/>
      <w:r w:rsidR="00494533" w:rsidRPr="00AB258D">
        <w:rPr>
          <w:sz w:val="23"/>
          <w:szCs w:val="23"/>
        </w:rPr>
        <w:t xml:space="preserve"> ions ratio. The second phase involves the soil-cement (or hydrated lime from the cement) reaction and leads to the production of colloidal CASH again with values of the calcium to silicon ion ratio, aluminium to silicon ion ratio and calcium to </w:t>
      </w:r>
      <w:proofErr w:type="spellStart"/>
      <w:r w:rsidR="00494533" w:rsidRPr="00AB258D">
        <w:rPr>
          <w:sz w:val="23"/>
          <w:szCs w:val="23"/>
        </w:rPr>
        <w:t>aluminosilica</w:t>
      </w:r>
      <w:proofErr w:type="spellEnd"/>
      <w:r w:rsidR="00494533" w:rsidRPr="00AB258D">
        <w:rPr>
          <w:sz w:val="23"/>
          <w:szCs w:val="23"/>
        </w:rPr>
        <w:t xml:space="preserve"> ions ratio. Replacement of cement by a higher percentage of GGBS whereby only a small amount of cement is available to activate the hydration of GGBS may prevent the second phase of the soil-cement reaction to start. However, with the cement/GGBS ratio increased, the availability of OPC ensures the progress of the soil-cement phase and the production of more calcium </w:t>
      </w:r>
      <w:proofErr w:type="spellStart"/>
      <w:r w:rsidR="00494533" w:rsidRPr="00AB258D">
        <w:rPr>
          <w:sz w:val="23"/>
          <w:szCs w:val="23"/>
        </w:rPr>
        <w:t>alumino</w:t>
      </w:r>
      <w:proofErr w:type="spellEnd"/>
      <w:r w:rsidR="00494533" w:rsidRPr="00AB258D">
        <w:rPr>
          <w:sz w:val="23"/>
          <w:szCs w:val="23"/>
        </w:rPr>
        <w:t xml:space="preserve"> hydrates (CAH) and calcium </w:t>
      </w:r>
      <w:proofErr w:type="spellStart"/>
      <w:r w:rsidR="00494533" w:rsidRPr="00AB258D">
        <w:rPr>
          <w:sz w:val="23"/>
          <w:szCs w:val="23"/>
        </w:rPr>
        <w:t>aluminosilicate</w:t>
      </w:r>
      <w:proofErr w:type="spellEnd"/>
      <w:r w:rsidR="00494533" w:rsidRPr="00AB258D">
        <w:rPr>
          <w:sz w:val="23"/>
          <w:szCs w:val="23"/>
        </w:rPr>
        <w:t xml:space="preserve"> hydrates (CASH). This resulting crystalline products of hydration proceeds much slower than cement hydration and thus possesses some ‘pore-blocking’ effects leading further to the increase in long-term hardening of the cement paste and by extension an enhancement of the stabilised soil’s engineeri</w:t>
      </w:r>
      <w:r w:rsidR="00CE1419" w:rsidRPr="00AB258D">
        <w:rPr>
          <w:sz w:val="23"/>
          <w:szCs w:val="23"/>
        </w:rPr>
        <w:t xml:space="preserve">ng properties such as strength. </w:t>
      </w:r>
      <w:r w:rsidR="004C2A32" w:rsidRPr="00AB258D">
        <w:rPr>
          <w:rFonts w:eastAsia="Times New Roman" w:cstheme="minorHAnsi"/>
          <w:sz w:val="24"/>
          <w:szCs w:val="24"/>
        </w:rPr>
        <w:t xml:space="preserve">Soil II </w:t>
      </w:r>
      <w:r w:rsidR="00494533" w:rsidRPr="00AB258D">
        <w:rPr>
          <w:rFonts w:eastAsia="Times New Roman" w:cstheme="minorHAnsi"/>
          <w:sz w:val="24"/>
          <w:szCs w:val="24"/>
        </w:rPr>
        <w:t xml:space="preserve">used in this research </w:t>
      </w:r>
      <w:r w:rsidR="004C2A32" w:rsidRPr="00AB258D">
        <w:rPr>
          <w:rFonts w:eastAsia="Times New Roman" w:cstheme="minorHAnsi"/>
          <w:sz w:val="24"/>
          <w:szCs w:val="24"/>
        </w:rPr>
        <w:t xml:space="preserve">is an expansive </w:t>
      </w:r>
      <w:r w:rsidR="0046457F" w:rsidRPr="00AB258D">
        <w:rPr>
          <w:rFonts w:eastAsia="Times New Roman" w:cstheme="minorHAnsi"/>
          <w:sz w:val="24"/>
          <w:szCs w:val="24"/>
        </w:rPr>
        <w:t xml:space="preserve">flocculent </w:t>
      </w:r>
      <w:r w:rsidR="004C2A32" w:rsidRPr="00AB258D">
        <w:rPr>
          <w:rFonts w:eastAsia="Times New Roman" w:cstheme="minorHAnsi"/>
          <w:sz w:val="24"/>
          <w:szCs w:val="24"/>
        </w:rPr>
        <w:t xml:space="preserve">clay </w:t>
      </w:r>
      <w:r w:rsidR="0046457F" w:rsidRPr="00AB258D">
        <w:rPr>
          <w:rFonts w:eastAsia="Times New Roman" w:cstheme="minorHAnsi"/>
          <w:sz w:val="24"/>
          <w:szCs w:val="24"/>
        </w:rPr>
        <w:t xml:space="preserve">with randomly distributed aggregates within the soil matrix, and the addition of </w:t>
      </w:r>
      <w:r w:rsidR="004C2A32" w:rsidRPr="00AB258D">
        <w:rPr>
          <w:rFonts w:eastAsia="Times New Roman" w:cstheme="minorHAnsi"/>
          <w:sz w:val="24"/>
          <w:szCs w:val="24"/>
        </w:rPr>
        <w:t xml:space="preserve">8%Cem (control mix) </w:t>
      </w:r>
      <w:r w:rsidR="00F64311" w:rsidRPr="00AB258D">
        <w:rPr>
          <w:rFonts w:eastAsia="Times New Roman" w:cstheme="minorHAnsi"/>
          <w:sz w:val="24"/>
          <w:szCs w:val="24"/>
        </w:rPr>
        <w:t xml:space="preserve">to </w:t>
      </w:r>
      <w:r w:rsidR="0046457F" w:rsidRPr="00AB258D">
        <w:rPr>
          <w:rFonts w:eastAsia="Times New Roman" w:cstheme="minorHAnsi"/>
          <w:sz w:val="24"/>
          <w:szCs w:val="24"/>
        </w:rPr>
        <w:t xml:space="preserve">soil </w:t>
      </w:r>
      <w:r w:rsidR="00812692" w:rsidRPr="00AB258D">
        <w:rPr>
          <w:rFonts w:eastAsia="Times New Roman" w:cstheme="minorHAnsi"/>
          <w:sz w:val="24"/>
          <w:szCs w:val="24"/>
        </w:rPr>
        <w:t>II</w:t>
      </w:r>
      <w:r w:rsidR="00707C09" w:rsidRPr="00AB258D">
        <w:rPr>
          <w:rFonts w:eastAsia="Times New Roman" w:cstheme="minorHAnsi"/>
          <w:sz w:val="24"/>
          <w:szCs w:val="24"/>
        </w:rPr>
        <w:t xml:space="preserve"> causes a gluing effect and </w:t>
      </w:r>
      <w:r w:rsidR="004C2A32" w:rsidRPr="00AB258D">
        <w:rPr>
          <w:rFonts w:eastAsia="Times New Roman" w:cstheme="minorHAnsi"/>
          <w:sz w:val="24"/>
          <w:szCs w:val="24"/>
        </w:rPr>
        <w:t xml:space="preserve">formation of </w:t>
      </w:r>
      <w:r w:rsidR="003C54A3" w:rsidRPr="00AB258D">
        <w:rPr>
          <w:sz w:val="24"/>
        </w:rPr>
        <w:t>complex calcium silicate aluminate hydrate compound or mineral called “</w:t>
      </w:r>
      <w:proofErr w:type="spellStart"/>
      <w:r w:rsidR="003C54A3" w:rsidRPr="00AB258D">
        <w:rPr>
          <w:sz w:val="24"/>
        </w:rPr>
        <w:t>ettringite</w:t>
      </w:r>
      <w:proofErr w:type="spellEnd"/>
      <w:r w:rsidR="003C54A3" w:rsidRPr="00AB258D">
        <w:rPr>
          <w:sz w:val="24"/>
        </w:rPr>
        <w:t xml:space="preserve">” including the cementitious compounds of hydration (CSH and CASH) </w:t>
      </w:r>
      <w:r w:rsidR="00E72F6E">
        <w:rPr>
          <w:rFonts w:eastAsia="Times New Roman" w:cstheme="minorHAnsi"/>
          <w:sz w:val="24"/>
          <w:szCs w:val="24"/>
        </w:rPr>
        <w:t>as shown in Figures 7</w:t>
      </w:r>
      <w:r w:rsidR="00D43614" w:rsidRPr="00AB258D">
        <w:rPr>
          <w:rFonts w:eastAsia="Times New Roman" w:cstheme="minorHAnsi"/>
          <w:sz w:val="24"/>
          <w:szCs w:val="24"/>
        </w:rPr>
        <w:t>(</w:t>
      </w:r>
      <w:r w:rsidR="005D7B9A" w:rsidRPr="00AB258D">
        <w:rPr>
          <w:rFonts w:eastAsia="Times New Roman" w:cstheme="minorHAnsi"/>
          <w:sz w:val="24"/>
          <w:szCs w:val="24"/>
        </w:rPr>
        <w:t>a</w:t>
      </w:r>
      <w:r w:rsidR="00D43614" w:rsidRPr="00AB258D">
        <w:rPr>
          <w:rFonts w:eastAsia="Times New Roman" w:cstheme="minorHAnsi"/>
          <w:sz w:val="24"/>
          <w:szCs w:val="24"/>
        </w:rPr>
        <w:t>-d)</w:t>
      </w:r>
      <w:r w:rsidR="003C54A3" w:rsidRPr="00AB258D">
        <w:rPr>
          <w:rFonts w:eastAsia="Times New Roman" w:cstheme="minorHAnsi"/>
          <w:sz w:val="24"/>
          <w:szCs w:val="24"/>
        </w:rPr>
        <w:t xml:space="preserve">. The presence of </w:t>
      </w:r>
      <w:proofErr w:type="spellStart"/>
      <w:r w:rsidR="003C54A3" w:rsidRPr="00AB258D">
        <w:rPr>
          <w:rFonts w:eastAsia="Times New Roman" w:cstheme="minorHAnsi"/>
          <w:sz w:val="24"/>
          <w:szCs w:val="24"/>
        </w:rPr>
        <w:t>ettringite</w:t>
      </w:r>
      <w:proofErr w:type="spellEnd"/>
      <w:r w:rsidR="003C54A3" w:rsidRPr="00AB258D">
        <w:rPr>
          <w:rFonts w:eastAsia="Times New Roman" w:cstheme="minorHAnsi"/>
          <w:sz w:val="24"/>
          <w:szCs w:val="24"/>
        </w:rPr>
        <w:t xml:space="preserve"> </w:t>
      </w:r>
      <w:r w:rsidR="005D7B9A" w:rsidRPr="00AB258D">
        <w:rPr>
          <w:rFonts w:eastAsia="Times New Roman" w:cstheme="minorHAnsi"/>
          <w:sz w:val="24"/>
          <w:szCs w:val="24"/>
        </w:rPr>
        <w:t xml:space="preserve">can </w:t>
      </w:r>
      <w:r w:rsidR="00812692" w:rsidRPr="00AB258D">
        <w:rPr>
          <w:rFonts w:eastAsia="Times New Roman" w:cstheme="minorHAnsi"/>
          <w:sz w:val="24"/>
          <w:szCs w:val="24"/>
        </w:rPr>
        <w:t>induc</w:t>
      </w:r>
      <w:r w:rsidR="005D7B9A" w:rsidRPr="00AB258D">
        <w:rPr>
          <w:rFonts w:eastAsia="Times New Roman" w:cstheme="minorHAnsi"/>
          <w:sz w:val="24"/>
          <w:szCs w:val="24"/>
        </w:rPr>
        <w:t xml:space="preserve">e </w:t>
      </w:r>
      <w:r w:rsidR="00812692" w:rsidRPr="00AB258D">
        <w:rPr>
          <w:rFonts w:eastAsia="Times New Roman" w:cstheme="minorHAnsi"/>
          <w:sz w:val="24"/>
          <w:szCs w:val="24"/>
        </w:rPr>
        <w:t>expansion of the treated soil</w:t>
      </w:r>
      <w:r w:rsidR="00D43614" w:rsidRPr="00AB258D">
        <w:rPr>
          <w:rFonts w:eastAsia="Times New Roman" w:cstheme="minorHAnsi"/>
          <w:sz w:val="24"/>
          <w:szCs w:val="24"/>
        </w:rPr>
        <w:t>s</w:t>
      </w:r>
      <w:r w:rsidR="00B56330" w:rsidRPr="00AB258D">
        <w:rPr>
          <w:rFonts w:eastAsia="Times New Roman" w:cstheme="minorHAnsi"/>
          <w:sz w:val="24"/>
          <w:szCs w:val="24"/>
        </w:rPr>
        <w:t xml:space="preserve">. According to </w:t>
      </w:r>
      <w:r w:rsidR="00B56330" w:rsidRPr="00AB258D">
        <w:rPr>
          <w:rFonts w:eastAsia="Times New Roman" w:cstheme="minorHAnsi"/>
          <w:sz w:val="24"/>
          <w:szCs w:val="24"/>
        </w:rPr>
        <w:fldChar w:fldCharType="begin" w:fldLock="1"/>
      </w:r>
      <w:r w:rsidR="00416EC1" w:rsidRPr="00AB258D">
        <w:rPr>
          <w:rFonts w:eastAsia="Times New Roman" w:cstheme="minorHAnsi"/>
          <w:sz w:val="24"/>
          <w:szCs w:val="24"/>
        </w:rPr>
        <w:instrText>ADDIN CSL_CITATION {"citationItems":[{"id":"ITEM-1","itemData":{"DOI":"10.1180/claymin.1996.031.3.12","ISSN":"0009-8558","author":[{"dropping-particle":"","family":"Wild","given":"S.","non-dropping-particle":"","parse-names":false,"suffix":""}],"container-title":"Clay Minerals","id":"ITEM-1","issue":"3","issued":{"date-parts":[["1996"]]},"page":"423-433","title":"Effects of Ground Granulated Blast Furnace Slag (GGBS) on the Strength and Swelling Properties of Lime-Stabilized Kaolinite in the Presence of Sulphates","type":"article-journal","volume":"31"},"uris":["http://www.mendeley.com/documents/?uuid=274a2ff2-b595-4a92-9a01-86a926743a94"]},{"id":"ITEM-2","itemData":{"DOI":"10.1016/S0013-7952(98)00069-6","ISSN":"00137952","abstract":"Ettringite related swelling in lime-stabilized sulphate bearing clay soil systems has only been reported within the last decade although similar expansive behaviour has been reported in concrete over many years. The use of ground granulated blastfurnace slag (GGBS), an industrial by-product, is well established as a binder in many cement applications where it provides enhanced durability and high resistance to sulphate attack. This paper reports on efforts to extend the use of GGBS to highway and other foundation layers by determining the beneficial effect of the suppression of swelling of lime-stabilized clay soils, particularly in the presence of gypsum. The paper describes the results of laboratory tests on lime-stabilized kaolinite containing different levels of added gypsum and on lime-stabilized gypsum (selenite) bearing Kimmeridge Clay to which, in both cases, the lime has progressively been substituted with GGBS. The tests determine the linear expansion behaviour of compacted cylinders, during moist curing in a humid environment at 30°C and during subsequent soaking in de-ionized water. The results illustrate that substitution of lime with GGBS produces significant reduction in linear expansion of lime-stabilized clay soils particularly those containing gypsum.","author":[{"dropping-particle":"","family":"Wild","given":"S.","non-dropping-particle":"","parse-names":false,"suffix":""},{"dropping-particle":"","family":"Kinuthia","given":"J. M.","non-dropping-particle":"","parse-names":false,"suffix":""},{"dropping-particle":"","family":"Jones","given":"G. I.","non-dropping-particle":"","parse-names":false,"suffix":""},{"dropping-particle":"","family":"Higgins","given":"D. D.","non-dropping-particle":"","parse-names":false,"suffix":""}],"container-title":"Engineering Geology","id":"ITEM-2","issue":"4","issued":{"date-parts":[["1999"]]},"page":"257-277","title":"Suppression of swelling associated with ettringite formation in lime stabilized sulphate bearing clay soils by partial substitution of lime with ground granulated blastfurnace slag","type":"article-journal","volume":"51"},"uris":["http://www.mendeley.com/documents/?uuid=529bbcbc-faf0-4b9b-bd9c-e983fc5be0d5"]},{"id":"ITEM-3","itemData":{"ISBN":"0013-7952 132.%0 Journal Article","ISSN":"00137952","abstract":"The use of calcium-based stabilizers such as calcium oxide (lime) in sulfate-bearing clay soils has historically caused structural distress due to the formation of ettringite, an expansive mineral which develops in the presence of sulfate, calcium, and aluminum compounds of clay fraction. In this work, a research was conducted to study the effectiveness of ground granulated blastfurnace slag (GGBS), an industrial by-product, for providing better stabilization of sulfate bearing soils. Laboratory tests were first performed on the lime-treated expansive soil containing different concentrations of added sulfate and then the same tests were repeated on the lime-treated soil, containing the same concentration of sulfate but this time adding 6% slag. Three different sulfate concentrations (2000, 5000, and 10,000. ppm) were used in the study and the compaction relationships, Atterberg limits, linear shrinkage and swell potentials were investigated. Test results indicated that the presence of sulfate in the soil resulted in abnormal increase in the plasticity and the swell potential of the lime-treated soil with 5000 and 10,000. ppm sulfate concentrations. The swell potential of the lime-treated soil with 10,000. ppm sulfate concentration became three times higher than that of the natural soil. The scanning electron micrograph of this higher swell potential soil confirmed the growth of the ettringite minerals. On the other hand, test results indicated that the use of lime with GGBS in stabilizing sulfate bearing clays produced significant improvements in the plasticity as well as the swell potential. Addition of 6% slag into the lime treated soil eliminated the harmful effect of sulfate in the soils. In the presence of 6% slag, the swell potential of the lime-treated soil with 10,000. ppm sulfate concentration decreased from 8% to 1%, whereas the lime-treated soil with 5000. ppm sulfate concentration showed no swelling. ?? 2013 Elsevier B.V.","author":[{"dropping-particle":"","family":"Celik","given":"Ece","non-dropping-particle":"","parse-names":false,"suffix":""},{"dropping-particle":"","family":"Nalbantoglu","given":"Zalihe","non-dropping-particle":"","parse-names":false,"suffix":""}],"container-title":"Engineering Geology","id":"ITEM-3","issued":{"date-parts":[["2013"]]},"page":"20-25","publisher":"Elsevier B.V.","title":"Effects of ground granulated blastfurnace slag (GGBS) on the swelling properties of lime-stabilized sulfate-bearing soils","type":"article-journal","volume":"163"},"uris":["http://www.mendeley.com/documents/?uuid=4979c7a7-024e-46ba-b68f-f856ba45ac71"]}],"mendeley":{"formattedCitation":"[23,34,65]","plainTextFormattedCitation":"[23,34,65]","previouslyFormattedCitation":"[23,34,64]"},"properties":{"noteIndex":0},"schema":"https://github.com/citation-style-language/schema/raw/master/csl-citation.json"}</w:instrText>
      </w:r>
      <w:r w:rsidR="00B56330" w:rsidRPr="00AB258D">
        <w:rPr>
          <w:rFonts w:eastAsia="Times New Roman" w:cstheme="minorHAnsi"/>
          <w:sz w:val="24"/>
          <w:szCs w:val="24"/>
        </w:rPr>
        <w:fldChar w:fldCharType="separate"/>
      </w:r>
      <w:r w:rsidR="00416EC1" w:rsidRPr="00AB258D">
        <w:rPr>
          <w:rFonts w:eastAsia="Times New Roman" w:cstheme="minorHAnsi"/>
          <w:noProof/>
          <w:sz w:val="24"/>
          <w:szCs w:val="24"/>
        </w:rPr>
        <w:t>[23,34,65]</w:t>
      </w:r>
      <w:r w:rsidR="00B56330" w:rsidRPr="00AB258D">
        <w:rPr>
          <w:rFonts w:eastAsia="Times New Roman" w:cstheme="minorHAnsi"/>
          <w:sz w:val="24"/>
          <w:szCs w:val="24"/>
        </w:rPr>
        <w:fldChar w:fldCharType="end"/>
      </w:r>
      <w:r w:rsidR="00B56330" w:rsidRPr="00AB258D">
        <w:rPr>
          <w:rFonts w:eastAsia="Times New Roman" w:cstheme="minorHAnsi"/>
          <w:sz w:val="24"/>
          <w:szCs w:val="24"/>
        </w:rPr>
        <w:t xml:space="preserve">, </w:t>
      </w:r>
      <w:proofErr w:type="spellStart"/>
      <w:r w:rsidR="003E5AC4" w:rsidRPr="00AB258D">
        <w:rPr>
          <w:rFonts w:eastAsia="Times New Roman" w:cstheme="minorHAnsi"/>
          <w:sz w:val="24"/>
          <w:szCs w:val="24"/>
        </w:rPr>
        <w:t>ettringite</w:t>
      </w:r>
      <w:proofErr w:type="spellEnd"/>
      <w:r w:rsidR="00B56330" w:rsidRPr="00AB258D">
        <w:rPr>
          <w:rFonts w:eastAsia="Times New Roman" w:cstheme="minorHAnsi"/>
          <w:sz w:val="24"/>
          <w:szCs w:val="24"/>
        </w:rPr>
        <w:t xml:space="preserve"> formation and expansion of treated soils can be reduced by partially replacing cement with by-product materials such as GBBS</w:t>
      </w:r>
      <w:r w:rsidR="003C54A3" w:rsidRPr="00AB258D">
        <w:rPr>
          <w:rFonts w:eastAsia="Times New Roman" w:cstheme="minorHAnsi"/>
          <w:sz w:val="24"/>
          <w:szCs w:val="24"/>
        </w:rPr>
        <w:t>.</w:t>
      </w:r>
      <w:r w:rsidR="00C62819" w:rsidRPr="00AB258D">
        <w:rPr>
          <w:rFonts w:eastAsia="Times New Roman" w:cstheme="minorHAnsi"/>
          <w:sz w:val="24"/>
          <w:szCs w:val="24"/>
        </w:rPr>
        <w:t xml:space="preserve"> The soil stabilised by cement and GGBS or both, enables a modification of the created electrical double-diffused layer by causing a reduction of its thickness through the production of the CAH or CASH gels. It is believed that the complex hydrates formed from stabilisation with cementitious binders such as cement or GGBS or both, can result in a complete spherical barrier (</w:t>
      </w:r>
      <w:r w:rsidR="004350C0">
        <w:rPr>
          <w:rFonts w:eastAsia="Times New Roman" w:cstheme="minorHAnsi"/>
          <w:sz w:val="24"/>
          <w:szCs w:val="24"/>
        </w:rPr>
        <w:t>Fig. 8</w:t>
      </w:r>
      <w:r w:rsidR="00C62819" w:rsidRPr="00AB258D">
        <w:rPr>
          <w:rFonts w:eastAsia="Times New Roman" w:cstheme="minorHAnsi"/>
          <w:sz w:val="24"/>
          <w:szCs w:val="24"/>
        </w:rPr>
        <w:t xml:space="preserve">) that could most times prevent further reaction of the binder materials as time progresses </w:t>
      </w:r>
      <w:r w:rsidR="00C62819" w:rsidRPr="00AB258D">
        <w:rPr>
          <w:rFonts w:eastAsia="Times New Roman" w:cstheme="minorHAnsi"/>
          <w:sz w:val="24"/>
          <w:szCs w:val="24"/>
        </w:rPr>
        <w:fldChar w:fldCharType="begin" w:fldLock="1"/>
      </w:r>
      <w:r w:rsidR="00416EC1" w:rsidRPr="00AB258D">
        <w:rPr>
          <w:rFonts w:eastAsia="Times New Roman" w:cstheme="minorHAnsi"/>
          <w:sz w:val="24"/>
          <w:szCs w:val="24"/>
        </w:rPr>
        <w:instrText>ADDIN CSL_CITATION {"citationItems":[{"id":"ITEM-1","itemData":{"DOI":"10.1016/j.jmps.2016.10.010","ISSN":"00225096","abstract":"Although a few good models for cement hydration exist, they have some limitations. Some do not take into account the complete range of variation of pore relative humidity and temperature, and apply over durations limited from up a few months to up to about a year. The ones that are applicable for long durations are either computationally too intensive for use in finite element programs or predict the hydration to terminate after few months. However, recent tests of autogenous shrinkage and swelling in water imply that the hydration may continue, at decaying rate, for decades, provided that a not too low relative pore humidity (above 0.7) persists for a long time, as expected for the cores of thick concrete structural members. Therefore, and because design lifetimes of over hundred years are required for large concrete structures, a new hydration model for a hundred year lifespan and beyond is developed. The new model considers that, after the first day of hydration, the remnants of anhydrous cement grains, gradually consumed by hydration, are enveloped by contiguous, gradually thickening, spherical barrier shells of calcium-silicate hydrate (C-S-H). The hydration progress is controlled by transport of water from capillary pores through the barrier shells toward the interface with anhydrous cement. The transport is driven by a difference of humidity, defined by equivalence with the difference in chemical potential of water. Although, during the period of 4–24 h, the C-S-H forms discontinuous nano-globules around the cement grain, an equivalent barrier shell control was formulated for this period, too, for ease and effectiveness of calculation. The entire model is calibrated and validated by published test data on the evolution of hydration degree for various cement types, particle size distributions, water-cement ratios and temperatures. Computationally, this model is sufficiently effective for calculating the evolution of hydration degree (or aging) at every integration point of every finite element in a large structure.","author":[{"dropping-particle":"","family":"Rahimi-Aghdam","given":"Saeed","non-dropping-particle":"","parse-names":false,"suffix":""},{"dropping-particle":"","family":"Bažant","given":"Zdeněk P.","non-dropping-particle":"","parse-names":false,"suffix":""},{"dropping-particle":"","family":"Abdolhosseini Qomi","given":"M. J.","non-dropping-particle":"","parse-names":false,"suffix":""}],"container-title":"Journal of the Mechanics and Physics of Solids","id":"ITEM-1","issue":"August 2016","issued":{"date-parts":[["2017"]]},"page":"211-224","title":"Cement hydration from hours to centuries controlled by diffusion through barrier shells of C-S-H","type":"article-journal","volume":"99"},"uris":["http://www.mendeley.com/documents/?uuid=a42adde9-8387-49fa-b334-356ed15d5d07"]}],"mendeley":{"formattedCitation":"[66]","plainTextFormattedCitation":"[66]","previouslyFormattedCitation":"[65]"},"properties":{"noteIndex":0},"schema":"https://github.com/citation-style-language/schema/raw/master/csl-citation.json"}</w:instrText>
      </w:r>
      <w:r w:rsidR="00C62819" w:rsidRPr="00AB258D">
        <w:rPr>
          <w:rFonts w:eastAsia="Times New Roman" w:cstheme="minorHAnsi"/>
          <w:sz w:val="24"/>
          <w:szCs w:val="24"/>
        </w:rPr>
        <w:fldChar w:fldCharType="separate"/>
      </w:r>
      <w:r w:rsidR="00416EC1" w:rsidRPr="00AB258D">
        <w:rPr>
          <w:rFonts w:eastAsia="Times New Roman" w:cstheme="minorHAnsi"/>
          <w:noProof/>
          <w:sz w:val="24"/>
          <w:szCs w:val="24"/>
        </w:rPr>
        <w:t>[66]</w:t>
      </w:r>
      <w:r w:rsidR="00C62819" w:rsidRPr="00AB258D">
        <w:rPr>
          <w:rFonts w:eastAsia="Times New Roman" w:cstheme="minorHAnsi"/>
          <w:sz w:val="24"/>
          <w:szCs w:val="24"/>
        </w:rPr>
        <w:fldChar w:fldCharType="end"/>
      </w:r>
      <w:r w:rsidR="00C62819" w:rsidRPr="00AB258D">
        <w:rPr>
          <w:rFonts w:eastAsia="Times New Roman" w:cstheme="minorHAnsi"/>
          <w:sz w:val="24"/>
          <w:szCs w:val="24"/>
        </w:rPr>
        <w:t>.</w:t>
      </w:r>
    </w:p>
    <w:p w14:paraId="3AEAAB53" w14:textId="6C0D6A59" w:rsidR="00292D76" w:rsidRPr="00AB258D" w:rsidRDefault="00A62117" w:rsidP="00872346">
      <w:pPr>
        <w:spacing w:line="240" w:lineRule="auto"/>
        <w:jc w:val="both"/>
        <w:rPr>
          <w:rFonts w:eastAsia="Times New Roman" w:cstheme="minorHAnsi"/>
          <w:sz w:val="24"/>
          <w:szCs w:val="24"/>
        </w:rPr>
      </w:pPr>
      <w:r w:rsidRPr="00AB258D">
        <w:rPr>
          <w:rFonts w:eastAsia="Times New Roman" w:cstheme="minorHAnsi"/>
          <w:sz w:val="24"/>
          <w:szCs w:val="24"/>
        </w:rPr>
        <w:t xml:space="preserve">However, </w:t>
      </w:r>
      <w:r w:rsidR="005F321F" w:rsidRPr="00AB258D">
        <w:rPr>
          <w:rFonts w:eastAsia="Times New Roman" w:cstheme="minorHAnsi"/>
          <w:sz w:val="24"/>
          <w:szCs w:val="24"/>
        </w:rPr>
        <w:t xml:space="preserve">the </w:t>
      </w:r>
      <w:proofErr w:type="spellStart"/>
      <w:r w:rsidR="003E5AC4" w:rsidRPr="00AB258D">
        <w:rPr>
          <w:rFonts w:eastAsia="Times New Roman" w:cstheme="minorHAnsi"/>
          <w:sz w:val="24"/>
          <w:szCs w:val="24"/>
        </w:rPr>
        <w:t>ettringite</w:t>
      </w:r>
      <w:proofErr w:type="spellEnd"/>
      <w:r w:rsidR="005F321F" w:rsidRPr="00AB258D">
        <w:rPr>
          <w:rFonts w:eastAsia="Times New Roman" w:cstheme="minorHAnsi"/>
          <w:sz w:val="24"/>
          <w:szCs w:val="24"/>
        </w:rPr>
        <w:t xml:space="preserve"> formation </w:t>
      </w:r>
      <w:r w:rsidR="005C6A71" w:rsidRPr="00AB258D">
        <w:rPr>
          <w:rFonts w:eastAsia="Times New Roman" w:cstheme="minorHAnsi"/>
          <w:sz w:val="24"/>
          <w:szCs w:val="24"/>
        </w:rPr>
        <w:t xml:space="preserve">reduces or disappears when the </w:t>
      </w:r>
      <w:r w:rsidR="005F321F" w:rsidRPr="00AB258D">
        <w:rPr>
          <w:rFonts w:eastAsia="Times New Roman" w:cstheme="minorHAnsi"/>
          <w:sz w:val="24"/>
          <w:szCs w:val="24"/>
        </w:rPr>
        <w:t>cement</w:t>
      </w:r>
      <w:r w:rsidR="005C6A71" w:rsidRPr="00AB258D">
        <w:rPr>
          <w:rFonts w:eastAsia="Times New Roman" w:cstheme="minorHAnsi"/>
          <w:sz w:val="24"/>
          <w:szCs w:val="24"/>
        </w:rPr>
        <w:t xml:space="preserve"> content</w:t>
      </w:r>
      <w:r w:rsidR="005F321F" w:rsidRPr="00AB258D">
        <w:rPr>
          <w:rFonts w:eastAsia="Times New Roman" w:cstheme="minorHAnsi"/>
          <w:sz w:val="24"/>
          <w:szCs w:val="24"/>
        </w:rPr>
        <w:t xml:space="preserve"> </w:t>
      </w:r>
      <w:r w:rsidR="00C85972" w:rsidRPr="00AB258D">
        <w:rPr>
          <w:rFonts w:eastAsia="Times New Roman" w:cstheme="minorHAnsi"/>
          <w:sz w:val="24"/>
          <w:szCs w:val="24"/>
        </w:rPr>
        <w:t xml:space="preserve">was reduced </w:t>
      </w:r>
      <w:r w:rsidR="002D0B11" w:rsidRPr="00AB258D">
        <w:rPr>
          <w:rFonts w:eastAsia="Times New Roman" w:cstheme="minorHAnsi"/>
          <w:sz w:val="24"/>
          <w:szCs w:val="24"/>
        </w:rPr>
        <w:t xml:space="preserve">and partially replaced with </w:t>
      </w:r>
      <w:r w:rsidR="008E788B" w:rsidRPr="00AB258D">
        <w:rPr>
          <w:rFonts w:eastAsia="Times New Roman" w:cstheme="minorHAnsi"/>
          <w:sz w:val="24"/>
          <w:szCs w:val="24"/>
        </w:rPr>
        <w:t xml:space="preserve">3-5% of </w:t>
      </w:r>
      <w:r w:rsidR="002D0B11" w:rsidRPr="00AB258D">
        <w:rPr>
          <w:rFonts w:eastAsia="Times New Roman" w:cstheme="minorHAnsi"/>
          <w:sz w:val="24"/>
          <w:szCs w:val="24"/>
        </w:rPr>
        <w:t xml:space="preserve">GGBS and </w:t>
      </w:r>
      <w:r w:rsidR="008E788B" w:rsidRPr="00AB258D">
        <w:rPr>
          <w:rFonts w:eastAsia="Times New Roman" w:cstheme="minorHAnsi"/>
          <w:sz w:val="24"/>
          <w:szCs w:val="24"/>
        </w:rPr>
        <w:t xml:space="preserve">1% of </w:t>
      </w:r>
      <w:r w:rsidR="002D0B11" w:rsidRPr="00AB258D">
        <w:rPr>
          <w:rFonts w:eastAsia="Times New Roman" w:cstheme="minorHAnsi"/>
          <w:sz w:val="24"/>
          <w:szCs w:val="24"/>
        </w:rPr>
        <w:t xml:space="preserve">RC as shown in </w:t>
      </w:r>
      <w:r w:rsidR="004350C0">
        <w:rPr>
          <w:rFonts w:eastAsia="Times New Roman" w:cstheme="minorHAnsi"/>
          <w:sz w:val="24"/>
          <w:szCs w:val="24"/>
        </w:rPr>
        <w:t>Fig. 9</w:t>
      </w:r>
      <w:r w:rsidR="002D0B11" w:rsidRPr="00AB258D">
        <w:rPr>
          <w:rFonts w:eastAsia="Times New Roman" w:cstheme="minorHAnsi"/>
          <w:sz w:val="24"/>
          <w:szCs w:val="24"/>
        </w:rPr>
        <w:t>(a-d)</w:t>
      </w:r>
      <w:r w:rsidR="006B4447" w:rsidRPr="00AB258D">
        <w:rPr>
          <w:rFonts w:eastAsia="Times New Roman" w:cstheme="minorHAnsi"/>
          <w:sz w:val="24"/>
          <w:szCs w:val="24"/>
        </w:rPr>
        <w:t xml:space="preserve"> </w:t>
      </w:r>
      <w:r w:rsidR="0087720D" w:rsidRPr="00AB258D">
        <w:rPr>
          <w:rFonts w:eastAsia="Times New Roman" w:cstheme="minorHAnsi"/>
          <w:sz w:val="24"/>
          <w:szCs w:val="24"/>
        </w:rPr>
        <w:t xml:space="preserve">compared to </w:t>
      </w:r>
      <w:r w:rsidR="008336EA">
        <w:rPr>
          <w:rFonts w:eastAsia="Times New Roman" w:cstheme="minorHAnsi"/>
          <w:sz w:val="24"/>
          <w:szCs w:val="24"/>
        </w:rPr>
        <w:t>Fig. 7</w:t>
      </w:r>
      <w:r w:rsidR="00C0616F" w:rsidRPr="00AB258D">
        <w:rPr>
          <w:rFonts w:eastAsia="Times New Roman" w:cstheme="minorHAnsi"/>
          <w:sz w:val="24"/>
          <w:szCs w:val="24"/>
        </w:rPr>
        <w:t xml:space="preserve">d which clearly indicates </w:t>
      </w:r>
      <w:proofErr w:type="spellStart"/>
      <w:r w:rsidR="00C0616F" w:rsidRPr="00AB258D">
        <w:rPr>
          <w:rFonts w:eastAsia="Times New Roman" w:cstheme="minorHAnsi"/>
          <w:sz w:val="24"/>
          <w:szCs w:val="24"/>
        </w:rPr>
        <w:t>ettringites</w:t>
      </w:r>
      <w:proofErr w:type="spellEnd"/>
      <w:r w:rsidR="00C0616F" w:rsidRPr="00AB258D">
        <w:rPr>
          <w:rFonts w:eastAsia="Times New Roman" w:cstheme="minorHAnsi"/>
          <w:sz w:val="24"/>
          <w:szCs w:val="24"/>
        </w:rPr>
        <w:t xml:space="preserve"> when cement alone is used</w:t>
      </w:r>
      <w:r w:rsidR="00595EFA" w:rsidRPr="00AB258D">
        <w:rPr>
          <w:rFonts w:eastAsia="Times New Roman" w:cstheme="minorHAnsi"/>
          <w:sz w:val="24"/>
          <w:szCs w:val="24"/>
        </w:rPr>
        <w:t>.</w:t>
      </w:r>
      <w:r w:rsidR="00C85972" w:rsidRPr="00AB258D">
        <w:rPr>
          <w:rFonts w:eastAsia="Times New Roman" w:cstheme="minorHAnsi"/>
          <w:sz w:val="24"/>
          <w:szCs w:val="24"/>
        </w:rPr>
        <w:t xml:space="preserve"> The reduction or disappearance of </w:t>
      </w:r>
      <w:proofErr w:type="spellStart"/>
      <w:r w:rsidR="003E5AC4" w:rsidRPr="00AB258D">
        <w:rPr>
          <w:rFonts w:eastAsia="Times New Roman" w:cstheme="minorHAnsi"/>
          <w:sz w:val="24"/>
          <w:szCs w:val="24"/>
        </w:rPr>
        <w:t>ettringite</w:t>
      </w:r>
      <w:proofErr w:type="spellEnd"/>
      <w:r w:rsidR="00C85972" w:rsidRPr="00AB258D">
        <w:rPr>
          <w:rFonts w:eastAsia="Times New Roman" w:cstheme="minorHAnsi"/>
          <w:sz w:val="24"/>
          <w:szCs w:val="24"/>
        </w:rPr>
        <w:t xml:space="preserve"> formation with decrease in cement content and repl</w:t>
      </w:r>
      <w:r w:rsidR="005F0D28" w:rsidRPr="00AB258D">
        <w:rPr>
          <w:rFonts w:eastAsia="Times New Roman" w:cstheme="minorHAnsi"/>
          <w:sz w:val="24"/>
          <w:szCs w:val="24"/>
        </w:rPr>
        <w:t xml:space="preserve">acement with by-product materials such as GGBS </w:t>
      </w:r>
      <w:r w:rsidR="006B4447" w:rsidRPr="00AB258D">
        <w:rPr>
          <w:rFonts w:eastAsia="Times New Roman" w:cstheme="minorHAnsi"/>
          <w:sz w:val="24"/>
          <w:szCs w:val="24"/>
        </w:rPr>
        <w:t xml:space="preserve">is made possible when a substantial </w:t>
      </w:r>
      <w:r w:rsidR="006B4447" w:rsidRPr="00AB258D">
        <w:rPr>
          <w:rFonts w:eastAsia="Times New Roman" w:cstheme="minorHAnsi"/>
          <w:sz w:val="24"/>
          <w:szCs w:val="24"/>
        </w:rPr>
        <w:lastRenderedPageBreak/>
        <w:t xml:space="preserve">amount of the GGBS is used to replace cement in the stabilised soil, the percentage of GGBS being greater than approximately 50% </w:t>
      </w:r>
      <w:r w:rsidR="00C85972" w:rsidRPr="00AB258D">
        <w:rPr>
          <w:rFonts w:eastAsia="Times New Roman" w:cstheme="minorHAnsi"/>
          <w:sz w:val="24"/>
          <w:szCs w:val="24"/>
        </w:rPr>
        <w:fldChar w:fldCharType="begin" w:fldLock="1"/>
      </w:r>
      <w:r w:rsidR="00416EC1" w:rsidRPr="00AB258D">
        <w:rPr>
          <w:rFonts w:eastAsia="Times New Roman" w:cstheme="minorHAnsi"/>
          <w:sz w:val="24"/>
          <w:szCs w:val="24"/>
        </w:rPr>
        <w:instrText>ADDIN CSL_CITATION {"citationItems":[{"id":"ITEM-1","itemData":{"DOI":"10.1180/claymin.1996.031.3.12","ISSN":"0009-8558","author":[{"dropping-particle":"","family":"Wild","given":"S.","non-dropping-particle":"","parse-names":false,"suffix":""}],"container-title":"Clay Minerals","id":"ITEM-1","issue":"3","issued":{"date-parts":[["1996"]]},"page":"423-433","title":"Effects of Ground Granulated Blast Furnace Slag (GGBS) on the Strength and Swelling Properties of Lime-Stabilized Kaolinite in the Presence of Sulphates","type":"article-journal","volume":"31"},"uris":["http://www.mendeley.com/documents/?uuid=274a2ff2-b595-4a92-9a01-86a926743a94"]},{"id":"ITEM-2","itemData":{"DOI":"10.1016/S0013-7952(98)00069-6","ISSN":"00137952","abstract":"Ettringite related swelling in lime-stabilized sulphate bearing clay soil systems has only been reported within the last decade although similar expansive behaviour has been reported in concrete over many years. The use of ground granulated blastfurnace slag (GGBS), an industrial by-product, is well established as a binder in many cement applications where it provides enhanced durability and high resistance to sulphate attack. This paper reports on efforts to extend the use of GGBS to highway and other foundation layers by determining the beneficial effect of the suppression of swelling of lime-stabilized clay soils, particularly in the presence of gypsum. The paper describes the results of laboratory tests on lime-stabilized kaolinite containing different levels of added gypsum and on lime-stabilized gypsum (selenite) bearing Kimmeridge Clay to which, in both cases, the lime has progressively been substituted with GGBS. The tests determine the linear expansion behaviour of compacted cylinders, during moist curing in a humid environment at 30°C and during subsequent soaking in de-ionized water. The results illustrate that substitution of lime with GGBS produces significant reduction in linear expansion of lime-stabilized clay soils particularly those containing gypsum.","author":[{"dropping-particle":"","family":"Wild","given":"S.","non-dropping-particle":"","parse-names":false,"suffix":""},{"dropping-particle":"","family":"Kinuthia","given":"J. M.","non-dropping-particle":"","parse-names":false,"suffix":""},{"dropping-particle":"","family":"Jones","given":"G. I.","non-dropping-particle":"","parse-names":false,"suffix":""},{"dropping-particle":"","family":"Higgins","given":"D. D.","non-dropping-particle":"","parse-names":false,"suffix":""}],"container-title":"Engineering Geology","id":"ITEM-2","issue":"4","issued":{"date-parts":[["1999"]]},"page":"257-277","title":"Suppression of swelling associated with ettringite formation in lime stabilized sulphate bearing clay soils by partial substitution of lime with ground granulated blastfurnace slag","type":"article-journal","volume":"51"},"uris":["http://www.mendeley.com/documents/?uuid=529bbcbc-faf0-4b9b-bd9c-e983fc5be0d5"]},{"id":"ITEM-3","itemData":{"ISBN":"0013-7952 132.%0 Journal Article","ISSN":"00137952","abstract":"The use of calcium-based stabilizers such as calcium oxide (lime) in sulfate-bearing clay soils has historically caused structural distress due to the formation of ettringite, an expansive mineral which develops in the presence of sulfate, calcium, and aluminum compounds of clay fraction. In this work, a research was conducted to study the effectiveness of ground granulated blastfurnace slag (GGBS), an industrial by-product, for providing better stabilization of sulfate bearing soils. Laboratory tests were first performed on the lime-treated expansive soil containing different concentrations of added sulfate and then the same tests were repeated on the lime-treated soil, containing the same concentration of sulfate but this time adding 6% slag. Three different sulfate concentrations (2000, 5000, and 10,000. ppm) were used in the study and the compaction relationships, Atterberg limits, linear shrinkage and swell potentials were investigated. Test results indicated that the presence of sulfate in the soil resulted in abnormal increase in the plasticity and the swell potential of the lime-treated soil with 5000 and 10,000. ppm sulfate concentrations. The swell potential of the lime-treated soil with 10,000. ppm sulfate concentration became three times higher than that of the natural soil. The scanning electron micrograph of this higher swell potential soil confirmed the growth of the ettringite minerals. On the other hand, test results indicated that the use of lime with GGBS in stabilizing sulfate bearing clays produced significant improvements in the plasticity as well as the swell potential. Addition of 6% slag into the lime treated soil eliminated the harmful effect of sulfate in the soils. In the presence of 6% slag, the swell potential of the lime-treated soil with 10,000. ppm sulfate concentration decreased from 8% to 1%, whereas the lime-treated soil with 5000. ppm sulfate concentration showed no swelling. ?? 2013 Elsevier B.V.","author":[{"dropping-particle":"","family":"Celik","given":"Ece","non-dropping-particle":"","parse-names":false,"suffix":""},{"dropping-particle":"","family":"Nalbantoglu","given":"Zalihe","non-dropping-particle":"","parse-names":false,"suffix":""}],"container-title":"Engineering Geology","id":"ITEM-3","issued":{"date-parts":[["2013"]]},"page":"20-25","publisher":"Elsevier B.V.","title":"Effects of ground granulated blastfurnace slag (GGBS) on the swelling properties of lime-stabilized sulfate-bearing soils","type":"article-journal","volume":"163"},"uris":["http://www.mendeley.com/documents/?uuid=4979c7a7-024e-46ba-b68f-f856ba45ac71"]}],"mendeley":{"formattedCitation":"[23,34,65]","plainTextFormattedCitation":"[23,34,65]","previouslyFormattedCitation":"[23,34,64]"},"properties":{"noteIndex":0},"schema":"https://github.com/citation-style-language/schema/raw/master/csl-citation.json"}</w:instrText>
      </w:r>
      <w:r w:rsidR="00C85972" w:rsidRPr="00AB258D">
        <w:rPr>
          <w:rFonts w:eastAsia="Times New Roman" w:cstheme="minorHAnsi"/>
          <w:sz w:val="24"/>
          <w:szCs w:val="24"/>
        </w:rPr>
        <w:fldChar w:fldCharType="separate"/>
      </w:r>
      <w:r w:rsidR="00416EC1" w:rsidRPr="00AB258D">
        <w:rPr>
          <w:rFonts w:eastAsia="Times New Roman" w:cstheme="minorHAnsi"/>
          <w:noProof/>
          <w:sz w:val="24"/>
          <w:szCs w:val="24"/>
        </w:rPr>
        <w:t>[23,34,65]</w:t>
      </w:r>
      <w:r w:rsidR="00C85972" w:rsidRPr="00AB258D">
        <w:rPr>
          <w:rFonts w:eastAsia="Times New Roman" w:cstheme="minorHAnsi"/>
          <w:sz w:val="24"/>
          <w:szCs w:val="24"/>
        </w:rPr>
        <w:fldChar w:fldCharType="end"/>
      </w:r>
      <w:r w:rsidR="00C85972" w:rsidRPr="00AB258D">
        <w:rPr>
          <w:rFonts w:eastAsia="Times New Roman" w:cstheme="minorHAnsi"/>
          <w:sz w:val="24"/>
          <w:szCs w:val="24"/>
        </w:rPr>
        <w:t>.</w:t>
      </w:r>
      <w:r w:rsidR="003B6FD9" w:rsidRPr="00AB258D">
        <w:rPr>
          <w:rFonts w:eastAsia="Times New Roman" w:cstheme="minorHAnsi"/>
          <w:sz w:val="24"/>
          <w:szCs w:val="24"/>
        </w:rPr>
        <w:t xml:space="preserve"> Also</w:t>
      </w:r>
      <w:r w:rsidR="00066C5B" w:rsidRPr="00AB258D">
        <w:rPr>
          <w:rFonts w:eastAsia="Times New Roman" w:cstheme="minorHAnsi"/>
          <w:sz w:val="24"/>
          <w:szCs w:val="24"/>
        </w:rPr>
        <w:t>, the inclusion of 1%</w:t>
      </w:r>
      <w:r w:rsidR="008E788B" w:rsidRPr="00AB258D">
        <w:rPr>
          <w:rFonts w:eastAsia="Times New Roman" w:cstheme="minorHAnsi"/>
          <w:sz w:val="24"/>
          <w:szCs w:val="24"/>
        </w:rPr>
        <w:t xml:space="preserve"> of </w:t>
      </w:r>
      <w:r w:rsidRPr="00AB258D">
        <w:rPr>
          <w:rFonts w:eastAsia="Times New Roman" w:cstheme="minorHAnsi"/>
          <w:sz w:val="24"/>
          <w:szCs w:val="24"/>
        </w:rPr>
        <w:t xml:space="preserve">RC to </w:t>
      </w:r>
      <w:r w:rsidR="00066C5B" w:rsidRPr="00AB258D">
        <w:rPr>
          <w:rFonts w:eastAsia="Times New Roman" w:cstheme="minorHAnsi"/>
          <w:sz w:val="24"/>
          <w:szCs w:val="24"/>
        </w:rPr>
        <w:t>the cementitious binders (4%Cem+3%GGBS) enabled</w:t>
      </w:r>
      <w:r w:rsidRPr="00AB258D">
        <w:rPr>
          <w:rFonts w:eastAsia="Times New Roman" w:cstheme="minorHAnsi"/>
          <w:sz w:val="24"/>
          <w:szCs w:val="24"/>
        </w:rPr>
        <w:t xml:space="preserve"> further and deep</w:t>
      </w:r>
      <w:r w:rsidR="00292D76" w:rsidRPr="00AB258D">
        <w:rPr>
          <w:rFonts w:eastAsia="Times New Roman" w:cstheme="minorHAnsi"/>
          <w:sz w:val="24"/>
          <w:szCs w:val="24"/>
        </w:rPr>
        <w:t>er</w:t>
      </w:r>
      <w:r w:rsidRPr="00AB258D">
        <w:rPr>
          <w:rFonts w:eastAsia="Times New Roman" w:cstheme="minorHAnsi"/>
          <w:sz w:val="24"/>
          <w:szCs w:val="24"/>
        </w:rPr>
        <w:t xml:space="preserve"> penetration of it and the water of hydration by brea</w:t>
      </w:r>
      <w:r w:rsidR="00066C5B" w:rsidRPr="00AB258D">
        <w:rPr>
          <w:rFonts w:eastAsia="Times New Roman" w:cstheme="minorHAnsi"/>
          <w:sz w:val="24"/>
          <w:szCs w:val="24"/>
        </w:rPr>
        <w:t>king the CSH or CASH barrier</w:t>
      </w:r>
      <w:r w:rsidRPr="00AB258D">
        <w:rPr>
          <w:rFonts w:eastAsia="Times New Roman" w:cstheme="minorHAnsi"/>
          <w:sz w:val="24"/>
          <w:szCs w:val="24"/>
        </w:rPr>
        <w:t xml:space="preserve"> </w:t>
      </w:r>
      <w:r w:rsidR="006B4447" w:rsidRPr="00AB258D">
        <w:rPr>
          <w:rFonts w:eastAsia="Times New Roman" w:cstheme="minorHAnsi"/>
          <w:sz w:val="24"/>
          <w:szCs w:val="24"/>
        </w:rPr>
        <w:t xml:space="preserve">and </w:t>
      </w:r>
      <w:r w:rsidRPr="00AB258D">
        <w:rPr>
          <w:rFonts w:eastAsia="Times New Roman" w:cstheme="minorHAnsi"/>
          <w:sz w:val="24"/>
          <w:szCs w:val="24"/>
        </w:rPr>
        <w:t xml:space="preserve">causing most of the cementitious materials to react </w:t>
      </w:r>
      <w:r w:rsidR="00292D76" w:rsidRPr="00AB258D">
        <w:rPr>
          <w:rFonts w:eastAsia="Times New Roman" w:cstheme="minorHAnsi"/>
          <w:sz w:val="24"/>
          <w:szCs w:val="24"/>
        </w:rPr>
        <w:t xml:space="preserve">in a </w:t>
      </w:r>
      <w:r w:rsidR="006B4447" w:rsidRPr="00AB258D">
        <w:rPr>
          <w:rFonts w:eastAsia="Times New Roman" w:cstheme="minorHAnsi"/>
          <w:sz w:val="24"/>
          <w:szCs w:val="24"/>
        </w:rPr>
        <w:t xml:space="preserve">much </w:t>
      </w:r>
      <w:r w:rsidR="00292D76" w:rsidRPr="00AB258D">
        <w:rPr>
          <w:rFonts w:eastAsia="Times New Roman" w:cstheme="minorHAnsi"/>
          <w:sz w:val="24"/>
          <w:szCs w:val="24"/>
        </w:rPr>
        <w:t xml:space="preserve">higher </w:t>
      </w:r>
      <w:r w:rsidRPr="00AB258D">
        <w:rPr>
          <w:rFonts w:eastAsia="Times New Roman" w:cstheme="minorHAnsi"/>
          <w:sz w:val="24"/>
          <w:szCs w:val="24"/>
        </w:rPr>
        <w:t xml:space="preserve">pH </w:t>
      </w:r>
      <w:r w:rsidR="00292D76" w:rsidRPr="00AB258D">
        <w:rPr>
          <w:rFonts w:eastAsia="Times New Roman" w:cstheme="minorHAnsi"/>
          <w:sz w:val="24"/>
          <w:szCs w:val="24"/>
        </w:rPr>
        <w:t>environment</w:t>
      </w:r>
      <w:r w:rsidR="006B4447" w:rsidRPr="00AB258D">
        <w:rPr>
          <w:rFonts w:eastAsia="Times New Roman" w:cstheme="minorHAnsi"/>
          <w:sz w:val="24"/>
          <w:szCs w:val="24"/>
        </w:rPr>
        <w:t xml:space="preserve"> (now made possible with the RC added)</w:t>
      </w:r>
      <w:r w:rsidR="00292D76" w:rsidRPr="00AB258D">
        <w:rPr>
          <w:rFonts w:eastAsia="Times New Roman" w:cstheme="minorHAnsi"/>
          <w:sz w:val="24"/>
          <w:szCs w:val="24"/>
        </w:rPr>
        <w:t xml:space="preserve"> due to the conversion </w:t>
      </w:r>
      <w:r w:rsidR="009B75F7" w:rsidRPr="00AB258D">
        <w:rPr>
          <w:rFonts w:eastAsia="Times New Roman" w:cstheme="minorHAnsi"/>
          <w:sz w:val="24"/>
          <w:szCs w:val="24"/>
        </w:rPr>
        <w:t xml:space="preserve">of a </w:t>
      </w:r>
      <w:r w:rsidRPr="00AB258D">
        <w:rPr>
          <w:rFonts w:eastAsia="Times New Roman" w:cstheme="minorHAnsi"/>
          <w:sz w:val="24"/>
          <w:szCs w:val="24"/>
        </w:rPr>
        <w:t xml:space="preserve">larger proportion of the water </w:t>
      </w:r>
      <w:r w:rsidR="009B75F7" w:rsidRPr="00AB258D">
        <w:rPr>
          <w:rFonts w:eastAsia="Times New Roman" w:cstheme="minorHAnsi"/>
          <w:sz w:val="24"/>
          <w:szCs w:val="24"/>
        </w:rPr>
        <w:t>of hydration in</w:t>
      </w:r>
      <w:r w:rsidRPr="00AB258D">
        <w:rPr>
          <w:rFonts w:eastAsia="Times New Roman" w:cstheme="minorHAnsi"/>
          <w:sz w:val="24"/>
          <w:szCs w:val="24"/>
        </w:rPr>
        <w:t xml:space="preserve">to crystalline water with more </w:t>
      </w:r>
      <w:r w:rsidR="00EC5100" w:rsidRPr="00AB258D">
        <w:rPr>
          <w:rFonts w:eastAsia="Times New Roman" w:cstheme="minorHAnsi"/>
          <w:sz w:val="24"/>
          <w:szCs w:val="24"/>
        </w:rPr>
        <w:t>nano</w:t>
      </w:r>
      <w:r w:rsidRPr="00AB258D">
        <w:rPr>
          <w:rFonts w:eastAsia="Times New Roman" w:cstheme="minorHAnsi"/>
          <w:sz w:val="24"/>
          <w:szCs w:val="24"/>
        </w:rPr>
        <w:t>crystals growing into the spaces left in the hydration process.</w:t>
      </w:r>
      <w:r w:rsidR="009B75F7" w:rsidRPr="00AB258D">
        <w:rPr>
          <w:rFonts w:eastAsia="Times New Roman" w:cstheme="minorHAnsi"/>
          <w:sz w:val="24"/>
          <w:szCs w:val="24"/>
        </w:rPr>
        <w:t xml:space="preserve"> This results to the formation of a</w:t>
      </w:r>
      <w:r w:rsidR="00867A39" w:rsidRPr="00AB258D">
        <w:rPr>
          <w:rFonts w:eastAsia="Times New Roman" w:cstheme="minorHAnsi"/>
          <w:sz w:val="24"/>
          <w:szCs w:val="24"/>
        </w:rPr>
        <w:t xml:space="preserve"> </w:t>
      </w:r>
      <w:r w:rsidR="009B75F7" w:rsidRPr="00AB258D">
        <w:rPr>
          <w:rFonts w:eastAsia="Times New Roman" w:cstheme="minorHAnsi"/>
          <w:sz w:val="24"/>
          <w:szCs w:val="24"/>
        </w:rPr>
        <w:t>treated soil matrix with interlocking filaments</w:t>
      </w:r>
      <w:r w:rsidR="00867A39" w:rsidRPr="00AB258D">
        <w:rPr>
          <w:rFonts w:eastAsia="Times New Roman" w:cstheme="minorHAnsi"/>
          <w:sz w:val="24"/>
          <w:szCs w:val="24"/>
        </w:rPr>
        <w:t xml:space="preserve"> (</w:t>
      </w:r>
      <w:r w:rsidR="00063071" w:rsidRPr="00AB258D">
        <w:rPr>
          <w:rFonts w:eastAsia="Times New Roman" w:cstheme="minorHAnsi"/>
          <w:sz w:val="24"/>
          <w:szCs w:val="24"/>
        </w:rPr>
        <w:t>w</w:t>
      </w:r>
      <w:r w:rsidR="00867A39" w:rsidRPr="00AB258D">
        <w:rPr>
          <w:rFonts w:eastAsia="Times New Roman" w:cstheme="minorHAnsi"/>
          <w:sz w:val="24"/>
          <w:szCs w:val="24"/>
        </w:rPr>
        <w:t xml:space="preserve">rapping effect), a phenomenon which is only made possible by the presence of the RC additive as a </w:t>
      </w:r>
      <w:proofErr w:type="spellStart"/>
      <w:r w:rsidR="00EC5100" w:rsidRPr="00AB258D">
        <w:rPr>
          <w:rFonts w:eastAsia="Times New Roman" w:cstheme="minorHAnsi"/>
          <w:sz w:val="24"/>
          <w:szCs w:val="24"/>
        </w:rPr>
        <w:t>n</w:t>
      </w:r>
      <w:r w:rsidR="00867A39" w:rsidRPr="00AB258D">
        <w:rPr>
          <w:rFonts w:eastAsia="Times New Roman" w:cstheme="minorHAnsi"/>
          <w:sz w:val="24"/>
          <w:szCs w:val="24"/>
        </w:rPr>
        <w:t>ano</w:t>
      </w:r>
      <w:proofErr w:type="spellEnd"/>
      <w:r w:rsidR="00867A39" w:rsidRPr="00AB258D">
        <w:rPr>
          <w:rFonts w:eastAsia="Times New Roman" w:cstheme="minorHAnsi"/>
          <w:sz w:val="24"/>
          <w:szCs w:val="24"/>
        </w:rPr>
        <w:t xml:space="preserve">-additive in the stabilisation process as shown in </w:t>
      </w:r>
      <w:r w:rsidR="004350C0">
        <w:rPr>
          <w:rFonts w:eastAsia="Times New Roman" w:cstheme="minorHAnsi"/>
          <w:sz w:val="24"/>
          <w:szCs w:val="24"/>
        </w:rPr>
        <w:t>Fig. 9</w:t>
      </w:r>
      <w:r w:rsidR="00867A39" w:rsidRPr="00AB258D">
        <w:rPr>
          <w:rFonts w:eastAsia="Times New Roman" w:cstheme="minorHAnsi"/>
          <w:sz w:val="24"/>
          <w:szCs w:val="24"/>
        </w:rPr>
        <w:t xml:space="preserve">b. This is because the </w:t>
      </w:r>
      <w:r w:rsidRPr="00AB258D">
        <w:rPr>
          <w:rFonts w:eastAsia="Times New Roman" w:cstheme="minorHAnsi"/>
          <w:sz w:val="24"/>
          <w:szCs w:val="24"/>
        </w:rPr>
        <w:t xml:space="preserve">extended crystallisation process </w:t>
      </w:r>
      <w:r w:rsidR="00D916E7" w:rsidRPr="00AB258D">
        <w:rPr>
          <w:rFonts w:eastAsia="Times New Roman" w:cstheme="minorHAnsi"/>
          <w:sz w:val="24"/>
          <w:szCs w:val="24"/>
        </w:rPr>
        <w:t xml:space="preserve">(see </w:t>
      </w:r>
      <w:r w:rsidR="004350C0">
        <w:rPr>
          <w:rFonts w:eastAsia="Times New Roman" w:cstheme="minorHAnsi"/>
          <w:sz w:val="24"/>
          <w:szCs w:val="24"/>
        </w:rPr>
        <w:t>Fig. 10</w:t>
      </w:r>
      <w:r w:rsidR="00D916E7" w:rsidRPr="00AB258D">
        <w:rPr>
          <w:rFonts w:eastAsia="Times New Roman" w:cstheme="minorHAnsi"/>
          <w:sz w:val="24"/>
          <w:szCs w:val="24"/>
        </w:rPr>
        <w:t>)</w:t>
      </w:r>
      <w:r w:rsidR="002F2D26" w:rsidRPr="00AB258D">
        <w:rPr>
          <w:rFonts w:eastAsia="Times New Roman" w:cstheme="minorHAnsi"/>
          <w:sz w:val="24"/>
          <w:szCs w:val="24"/>
        </w:rPr>
        <w:t xml:space="preserve">, </w:t>
      </w:r>
      <w:r w:rsidRPr="00AB258D">
        <w:rPr>
          <w:rFonts w:eastAsia="Times New Roman" w:cstheme="minorHAnsi"/>
          <w:sz w:val="24"/>
          <w:szCs w:val="24"/>
        </w:rPr>
        <w:t>coupled with a drastic decrease in the evolution of h</w:t>
      </w:r>
      <w:r w:rsidR="002F2D26" w:rsidRPr="00AB258D">
        <w:rPr>
          <w:rFonts w:eastAsia="Times New Roman" w:cstheme="minorHAnsi"/>
          <w:sz w:val="24"/>
          <w:szCs w:val="24"/>
        </w:rPr>
        <w:t>eat of hydration</w:t>
      </w:r>
      <w:r w:rsidR="00D916E7" w:rsidRPr="00AB258D">
        <w:rPr>
          <w:rFonts w:eastAsia="Times New Roman" w:cstheme="minorHAnsi"/>
          <w:sz w:val="24"/>
          <w:szCs w:val="24"/>
        </w:rPr>
        <w:t>,</w:t>
      </w:r>
      <w:r w:rsidR="002F2D26" w:rsidRPr="00AB258D">
        <w:rPr>
          <w:rFonts w:eastAsia="Times New Roman" w:cstheme="minorHAnsi"/>
          <w:sz w:val="24"/>
          <w:szCs w:val="24"/>
        </w:rPr>
        <w:t xml:space="preserve"> </w:t>
      </w:r>
      <w:r w:rsidR="00D916E7" w:rsidRPr="00AB258D">
        <w:rPr>
          <w:rFonts w:eastAsia="Times New Roman" w:cstheme="minorHAnsi"/>
          <w:sz w:val="24"/>
          <w:szCs w:val="24"/>
        </w:rPr>
        <w:t>and changes</w:t>
      </w:r>
      <w:r w:rsidR="002F2D26" w:rsidRPr="00AB258D">
        <w:rPr>
          <w:rFonts w:eastAsia="Times New Roman" w:cstheme="minorHAnsi"/>
          <w:sz w:val="24"/>
          <w:szCs w:val="24"/>
        </w:rPr>
        <w:t xml:space="preserve"> </w:t>
      </w:r>
      <w:r w:rsidR="006B4447" w:rsidRPr="00AB258D">
        <w:rPr>
          <w:rFonts w:eastAsia="Times New Roman" w:cstheme="minorHAnsi"/>
          <w:sz w:val="24"/>
          <w:szCs w:val="24"/>
        </w:rPr>
        <w:t xml:space="preserve">in </w:t>
      </w:r>
      <w:r w:rsidR="002F2D26" w:rsidRPr="00AB258D">
        <w:rPr>
          <w:rFonts w:eastAsia="Times New Roman" w:cstheme="minorHAnsi"/>
          <w:sz w:val="24"/>
          <w:szCs w:val="24"/>
        </w:rPr>
        <w:t xml:space="preserve">the soil-additive stabilisation </w:t>
      </w:r>
      <w:r w:rsidRPr="00AB258D">
        <w:rPr>
          <w:rFonts w:eastAsia="Times New Roman" w:cstheme="minorHAnsi"/>
          <w:sz w:val="24"/>
          <w:szCs w:val="24"/>
        </w:rPr>
        <w:t xml:space="preserve">mechanism </w:t>
      </w:r>
      <w:r w:rsidR="00F61124" w:rsidRPr="00AB258D">
        <w:rPr>
          <w:rFonts w:eastAsia="Times New Roman" w:cstheme="minorHAnsi"/>
          <w:sz w:val="24"/>
          <w:szCs w:val="24"/>
        </w:rPr>
        <w:t xml:space="preserve">from </w:t>
      </w:r>
      <w:proofErr w:type="spellStart"/>
      <w:r w:rsidR="00F61124" w:rsidRPr="00AB258D">
        <w:rPr>
          <w:rFonts w:eastAsia="Times New Roman" w:cstheme="minorHAnsi"/>
          <w:sz w:val="24"/>
          <w:szCs w:val="24"/>
        </w:rPr>
        <w:t>glu</w:t>
      </w:r>
      <w:r w:rsidR="006B4447" w:rsidRPr="00AB258D">
        <w:rPr>
          <w:rFonts w:eastAsia="Times New Roman" w:cstheme="minorHAnsi"/>
          <w:sz w:val="24"/>
          <w:szCs w:val="24"/>
        </w:rPr>
        <w:t>e</w:t>
      </w:r>
      <w:r w:rsidR="00F61124" w:rsidRPr="00AB258D">
        <w:rPr>
          <w:rFonts w:eastAsia="Times New Roman" w:cstheme="minorHAnsi"/>
          <w:sz w:val="24"/>
          <w:szCs w:val="24"/>
        </w:rPr>
        <w:t>ing</w:t>
      </w:r>
      <w:proofErr w:type="spellEnd"/>
      <w:r w:rsidR="00F61124" w:rsidRPr="00AB258D">
        <w:rPr>
          <w:rFonts w:eastAsia="Times New Roman" w:cstheme="minorHAnsi"/>
          <w:sz w:val="24"/>
          <w:szCs w:val="24"/>
        </w:rPr>
        <w:t xml:space="preserve"> to wrapping</w:t>
      </w:r>
      <w:r w:rsidR="00323B04" w:rsidRPr="00AB258D">
        <w:rPr>
          <w:rFonts w:eastAsia="Times New Roman" w:cstheme="minorHAnsi"/>
          <w:sz w:val="24"/>
          <w:szCs w:val="24"/>
        </w:rPr>
        <w:t xml:space="preserve"> effect. The composition of </w:t>
      </w:r>
      <w:r w:rsidR="00F61124" w:rsidRPr="00AB258D">
        <w:rPr>
          <w:rFonts w:eastAsia="Times New Roman" w:cstheme="minorHAnsi"/>
          <w:sz w:val="24"/>
          <w:szCs w:val="24"/>
        </w:rPr>
        <w:t>RC (mainly alkali and zeolites)</w:t>
      </w:r>
      <w:r w:rsidR="006B4447" w:rsidRPr="00AB258D">
        <w:rPr>
          <w:rFonts w:eastAsia="Times New Roman" w:cstheme="minorHAnsi"/>
          <w:sz w:val="24"/>
          <w:szCs w:val="24"/>
        </w:rPr>
        <w:t xml:space="preserve"> may also</w:t>
      </w:r>
      <w:r w:rsidR="00F61124" w:rsidRPr="00AB258D">
        <w:rPr>
          <w:rFonts w:eastAsia="Times New Roman" w:cstheme="minorHAnsi"/>
          <w:sz w:val="24"/>
          <w:szCs w:val="24"/>
        </w:rPr>
        <w:t xml:space="preserve"> enable other processes to occur simultaneously in the clays and probably other similar materials through ionic exchanges, modifications, charge neutralization and replacements</w:t>
      </w:r>
      <w:r w:rsidR="006B4447" w:rsidRPr="00AB258D">
        <w:rPr>
          <w:rFonts w:eastAsia="Times New Roman" w:cstheme="minorHAnsi"/>
          <w:sz w:val="24"/>
          <w:szCs w:val="24"/>
        </w:rPr>
        <w:t xml:space="preserve"> as reported in literature </w:t>
      </w:r>
      <w:r w:rsidR="006B4447" w:rsidRPr="00AB258D">
        <w:rPr>
          <w:rFonts w:eastAsia="Times New Roman" w:cstheme="minorHAnsi"/>
          <w:sz w:val="24"/>
          <w:szCs w:val="24"/>
        </w:rPr>
        <w:fldChar w:fldCharType="begin" w:fldLock="1"/>
      </w:r>
      <w:r w:rsidR="00416EC1" w:rsidRPr="00AB258D">
        <w:rPr>
          <w:rFonts w:eastAsia="Times New Roman" w:cstheme="minorHAnsi"/>
          <w:sz w:val="24"/>
          <w:szCs w:val="24"/>
        </w:rPr>
        <w:instrText>ADDIN CSL_CITATION {"citationItems":[{"id":"ITEM-1","itemData":{"DOI":"10.1016/j.jrmge.2019.12.018","ISSN":"16747755","author":[{"dropping-particle":"","family":"Eyo","given":"E.U.","non-dropping-particle":"","parse-names":false,"suffix":""},{"dropping-particle":"","family":"Ng’ambi","given":"S.","non-dropping-particle":"","parse-names":false,"suffix":""},{"dropping-particle":"","family":"Abbey","given":"S.J.","non-dropping-particle":"","parse-names":false,"suffix":""}],"container-title":"Journal of Rock Mechanics and Geotechnical Engineering","id":"ITEM-1","issue":"xxxx","issued":{"date-parts":[["2020"]]},"publisher":"Elsevier Ltd","title":"Incorporation of a nanotechnology-based additive in cementitious products for clay stabilisation","type":"article-journal"},"uris":["http://www.mendeley.com/documents/?uuid=a4ec54ea-6952-4127-ad89-a7dc18fa2472"]},{"id":"ITEM-2","itemData":{"DOI":"10.12968/johv.2014.2.10.569","ISBN":"9789079835010","ISSN":"2050-8719","author":[{"dropping-particle":"","family":"Marjanovic","given":"P","non-dropping-particle":"","parse-names":false,"suffix":""},{"dropping-particle":"","family":"Egyed","given":"C.E.G","non-dropping-particle":"","parse-names":false,"suffix":""},{"dropping-particle":"","family":"La Roij","given":"P","non-dropping-particle":"de","parse-names":false,"suffix":""}],"container-title":"PowerCem Technologies B.V.","id":"ITEM-2","issued":{"date-parts":[["2009"]]},"title":"The road to the future: Manual for working with RoadCem","type":"book","volume":"2"},"uris":["http://www.mendeley.com/documents/?uuid=992103e8-2295-42e3-b17b-f4e8bad9252f"]}],"mendeley":{"formattedCitation":"[37,67]","plainTextFormattedCitation":"[37,67]","previouslyFormattedCitation":"[37,66]"},"properties":{"noteIndex":0},"schema":"https://github.com/citation-style-language/schema/raw/master/csl-citation.json"}</w:instrText>
      </w:r>
      <w:r w:rsidR="006B4447" w:rsidRPr="00AB258D">
        <w:rPr>
          <w:rFonts w:eastAsia="Times New Roman" w:cstheme="minorHAnsi"/>
          <w:sz w:val="24"/>
          <w:szCs w:val="24"/>
        </w:rPr>
        <w:fldChar w:fldCharType="separate"/>
      </w:r>
      <w:r w:rsidR="00416EC1" w:rsidRPr="00AB258D">
        <w:rPr>
          <w:rFonts w:eastAsia="Times New Roman" w:cstheme="minorHAnsi"/>
          <w:noProof/>
          <w:sz w:val="24"/>
          <w:szCs w:val="24"/>
        </w:rPr>
        <w:t>[37,67]</w:t>
      </w:r>
      <w:r w:rsidR="006B4447" w:rsidRPr="00AB258D">
        <w:rPr>
          <w:rFonts w:eastAsia="Times New Roman" w:cstheme="minorHAnsi"/>
          <w:sz w:val="24"/>
          <w:szCs w:val="24"/>
        </w:rPr>
        <w:fldChar w:fldCharType="end"/>
      </w:r>
      <w:r w:rsidR="006B4447" w:rsidRPr="00AB258D">
        <w:rPr>
          <w:rFonts w:eastAsia="Times New Roman" w:cstheme="minorHAnsi"/>
          <w:sz w:val="24"/>
          <w:szCs w:val="24"/>
        </w:rPr>
        <w:t>.</w:t>
      </w:r>
    </w:p>
    <w:p w14:paraId="57BB7461" w14:textId="77777777" w:rsidR="00E7092F" w:rsidRPr="00AB258D" w:rsidRDefault="00E7092F" w:rsidP="00E7092F">
      <w:pPr>
        <w:rPr>
          <w:rFonts w:cstheme="minorHAnsi"/>
        </w:rPr>
      </w:pPr>
    </w:p>
    <w:p w14:paraId="4D6C964A" w14:textId="77777777" w:rsidR="00FA31D7" w:rsidRPr="00AB258D" w:rsidRDefault="00FA31D7" w:rsidP="00E7092F">
      <w:pPr>
        <w:rPr>
          <w:rFonts w:cstheme="minorHAnsi"/>
        </w:rPr>
      </w:pPr>
    </w:p>
    <w:p w14:paraId="59CE61AF" w14:textId="77777777" w:rsidR="00FA31D7" w:rsidRPr="00AB258D" w:rsidRDefault="00FA31D7" w:rsidP="00E7092F">
      <w:pPr>
        <w:rPr>
          <w:rFonts w:cstheme="minorHAnsi"/>
        </w:rPr>
      </w:pPr>
    </w:p>
    <w:p w14:paraId="5D865761" w14:textId="77777777" w:rsidR="00FA31D7" w:rsidRPr="00AB258D" w:rsidRDefault="00FA31D7" w:rsidP="00E7092F">
      <w:pPr>
        <w:rPr>
          <w:rFonts w:cstheme="minorHAnsi"/>
        </w:rPr>
      </w:pPr>
    </w:p>
    <w:p w14:paraId="05D31828" w14:textId="77777777" w:rsidR="00FA31D7" w:rsidRPr="00AB258D" w:rsidRDefault="00FA31D7" w:rsidP="00E7092F">
      <w:pPr>
        <w:rPr>
          <w:rFonts w:cstheme="minorHAnsi"/>
        </w:rPr>
      </w:pPr>
    </w:p>
    <w:p w14:paraId="0E5269EF" w14:textId="77777777" w:rsidR="00FA31D7" w:rsidRPr="00AB258D" w:rsidRDefault="00FA31D7" w:rsidP="00E7092F">
      <w:pPr>
        <w:rPr>
          <w:rFonts w:cstheme="minorHAnsi"/>
        </w:rPr>
      </w:pPr>
    </w:p>
    <w:p w14:paraId="0AB6C088" w14:textId="77777777" w:rsidR="00FA31D7" w:rsidRPr="00AB258D" w:rsidRDefault="00FA31D7" w:rsidP="00E7092F">
      <w:pPr>
        <w:rPr>
          <w:rFonts w:cstheme="minorHAnsi"/>
        </w:rPr>
      </w:pPr>
    </w:p>
    <w:p w14:paraId="2004D88E" w14:textId="77777777" w:rsidR="00FA31D7" w:rsidRPr="00AB258D" w:rsidRDefault="00FA31D7" w:rsidP="00E7092F">
      <w:pPr>
        <w:rPr>
          <w:rFonts w:cstheme="minorHAnsi"/>
        </w:rPr>
      </w:pPr>
    </w:p>
    <w:p w14:paraId="74F48D6F" w14:textId="77777777" w:rsidR="00FA31D7" w:rsidRPr="00AB258D" w:rsidRDefault="00FA31D7" w:rsidP="00E7092F">
      <w:pPr>
        <w:rPr>
          <w:rFonts w:cstheme="minorHAnsi"/>
        </w:rPr>
      </w:pPr>
    </w:p>
    <w:p w14:paraId="64E2D0F6" w14:textId="77777777" w:rsidR="00FA31D7" w:rsidRPr="00AB258D" w:rsidRDefault="00FA31D7" w:rsidP="00E7092F">
      <w:pPr>
        <w:rPr>
          <w:rFonts w:cstheme="minorHAnsi"/>
        </w:rPr>
      </w:pPr>
    </w:p>
    <w:p w14:paraId="6C774E19" w14:textId="77777777" w:rsidR="00E7092F" w:rsidRPr="00AB258D" w:rsidRDefault="00E7092F" w:rsidP="00E7092F">
      <w:pPr>
        <w:rPr>
          <w:rFonts w:cstheme="minorHAnsi"/>
        </w:rPr>
      </w:pPr>
      <w:r w:rsidRPr="00AB258D">
        <w:rPr>
          <w:rFonts w:cstheme="minorHAnsi"/>
          <w:noProof/>
          <w:lang w:eastAsia="en-GB"/>
        </w:rPr>
        <w:lastRenderedPageBreak/>
        <w:drawing>
          <wp:inline distT="0" distB="0" distL="0" distR="0" wp14:anchorId="77A805BA" wp14:editId="03F0B738">
            <wp:extent cx="2847975" cy="31242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7975" cy="3124200"/>
                    </a:xfrm>
                    <a:prstGeom prst="rect">
                      <a:avLst/>
                    </a:prstGeom>
                  </pic:spPr>
                </pic:pic>
              </a:graphicData>
            </a:graphic>
          </wp:inline>
        </w:drawing>
      </w:r>
      <w:r w:rsidRPr="00AB258D">
        <w:rPr>
          <w:rFonts w:cstheme="minorHAnsi"/>
          <w:noProof/>
          <w:lang w:eastAsia="en-GB"/>
        </w:rPr>
        <w:drawing>
          <wp:inline distT="0" distB="0" distL="0" distR="0" wp14:anchorId="44B1A28E" wp14:editId="6DB5F8CD">
            <wp:extent cx="2828925" cy="3114675"/>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8925" cy="3114675"/>
                    </a:xfrm>
                    <a:prstGeom prst="rect">
                      <a:avLst/>
                    </a:prstGeom>
                  </pic:spPr>
                </pic:pic>
              </a:graphicData>
            </a:graphic>
          </wp:inline>
        </w:drawing>
      </w:r>
    </w:p>
    <w:p w14:paraId="37FC0207" w14:textId="77777777" w:rsidR="006C6E36" w:rsidRPr="00AB258D" w:rsidRDefault="00E7092F" w:rsidP="00E7092F">
      <w:pPr>
        <w:rPr>
          <w:rFonts w:cstheme="minorHAnsi"/>
          <w:sz w:val="24"/>
        </w:rPr>
      </w:pPr>
      <w:r w:rsidRPr="00AB258D">
        <w:rPr>
          <w:rFonts w:cstheme="minorHAnsi"/>
          <w:sz w:val="24"/>
        </w:rPr>
        <w:t xml:space="preserve"> </w:t>
      </w:r>
      <w:r w:rsidRPr="00AB258D">
        <w:rPr>
          <w:rFonts w:cstheme="minorHAnsi"/>
          <w:noProof/>
          <w:lang w:eastAsia="en-GB"/>
        </w:rPr>
        <w:t xml:space="preserve">  (</w:t>
      </w:r>
      <w:proofErr w:type="gramStart"/>
      <w:r w:rsidRPr="00AB258D">
        <w:rPr>
          <w:rFonts w:cstheme="minorHAnsi"/>
          <w:sz w:val="24"/>
        </w:rPr>
        <w:t>a</w:t>
      </w:r>
      <w:proofErr w:type="gramEnd"/>
      <w:r w:rsidRPr="00AB258D">
        <w:rPr>
          <w:rFonts w:cstheme="minorHAnsi"/>
          <w:sz w:val="24"/>
        </w:rPr>
        <w:t>). SEM of untreated soil</w:t>
      </w:r>
      <w:r w:rsidR="000B322F" w:rsidRPr="00AB258D">
        <w:rPr>
          <w:rFonts w:cstheme="minorHAnsi"/>
          <w:sz w:val="24"/>
        </w:rPr>
        <w:t xml:space="preserve"> I</w:t>
      </w:r>
      <w:r w:rsidRPr="00AB258D">
        <w:rPr>
          <w:rFonts w:cstheme="minorHAnsi"/>
          <w:sz w:val="24"/>
        </w:rPr>
        <w:tab/>
      </w:r>
      <w:r w:rsidRPr="00AB258D">
        <w:rPr>
          <w:rFonts w:cstheme="minorHAnsi"/>
          <w:sz w:val="24"/>
        </w:rPr>
        <w:tab/>
      </w:r>
      <w:r w:rsidRPr="00AB258D">
        <w:rPr>
          <w:rFonts w:cstheme="minorHAnsi"/>
          <w:sz w:val="24"/>
        </w:rPr>
        <w:tab/>
        <w:t xml:space="preserve">      (b). </w:t>
      </w:r>
      <w:r w:rsidR="000B322F" w:rsidRPr="00AB258D">
        <w:rPr>
          <w:rFonts w:cstheme="minorHAnsi"/>
          <w:sz w:val="24"/>
        </w:rPr>
        <w:t>SEM of untreated soil II</w:t>
      </w:r>
    </w:p>
    <w:p w14:paraId="59E6A494" w14:textId="77777777" w:rsidR="00E7092F" w:rsidRPr="00AB258D" w:rsidRDefault="00E7092F" w:rsidP="00E7092F">
      <w:pPr>
        <w:rPr>
          <w:rFonts w:cstheme="minorHAnsi"/>
        </w:rPr>
      </w:pPr>
      <w:r w:rsidRPr="00AB258D">
        <w:rPr>
          <w:rFonts w:cstheme="minorHAnsi"/>
          <w:noProof/>
          <w:lang w:eastAsia="en-GB"/>
        </w:rPr>
        <w:drawing>
          <wp:inline distT="0" distB="0" distL="0" distR="0" wp14:anchorId="7916BACB" wp14:editId="7808F45B">
            <wp:extent cx="2819400" cy="32385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9400" cy="3238500"/>
                    </a:xfrm>
                    <a:prstGeom prst="rect">
                      <a:avLst/>
                    </a:prstGeom>
                  </pic:spPr>
                </pic:pic>
              </a:graphicData>
            </a:graphic>
          </wp:inline>
        </w:drawing>
      </w:r>
      <w:r w:rsidRPr="00AB258D">
        <w:rPr>
          <w:rFonts w:cstheme="minorHAnsi"/>
          <w:noProof/>
          <w:lang w:eastAsia="en-GB"/>
        </w:rPr>
        <w:drawing>
          <wp:inline distT="0" distB="0" distL="0" distR="0" wp14:anchorId="0A933595" wp14:editId="4C7B459B">
            <wp:extent cx="2867025" cy="32385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67025" cy="3238500"/>
                    </a:xfrm>
                    <a:prstGeom prst="rect">
                      <a:avLst/>
                    </a:prstGeom>
                  </pic:spPr>
                </pic:pic>
              </a:graphicData>
            </a:graphic>
          </wp:inline>
        </w:drawing>
      </w:r>
    </w:p>
    <w:p w14:paraId="00449A09" w14:textId="77777777" w:rsidR="00E7092F" w:rsidRPr="00AB258D" w:rsidRDefault="002E0CA2" w:rsidP="00E7092F">
      <w:pPr>
        <w:rPr>
          <w:rFonts w:cstheme="minorHAnsi"/>
          <w:sz w:val="24"/>
        </w:rPr>
      </w:pPr>
      <w:r w:rsidRPr="00AB258D">
        <w:rPr>
          <w:rFonts w:cstheme="minorHAnsi"/>
          <w:sz w:val="24"/>
        </w:rPr>
        <w:t xml:space="preserve"> </w:t>
      </w:r>
      <w:r w:rsidR="00E7092F" w:rsidRPr="00AB258D">
        <w:rPr>
          <w:rFonts w:cstheme="minorHAnsi"/>
          <w:noProof/>
          <w:lang w:eastAsia="en-GB"/>
        </w:rPr>
        <w:t xml:space="preserve">  (</w:t>
      </w:r>
      <w:r w:rsidR="00E7092F" w:rsidRPr="00AB258D">
        <w:rPr>
          <w:rFonts w:cstheme="minorHAnsi"/>
          <w:sz w:val="24"/>
        </w:rPr>
        <w:t xml:space="preserve">c). SEM of untreated soil </w:t>
      </w:r>
      <w:r w:rsidR="00E7092F" w:rsidRPr="00AB258D">
        <w:rPr>
          <w:rFonts w:cstheme="minorHAnsi"/>
          <w:sz w:val="24"/>
        </w:rPr>
        <w:tab/>
      </w:r>
      <w:r w:rsidR="00E7092F" w:rsidRPr="00AB258D">
        <w:rPr>
          <w:rFonts w:cstheme="minorHAnsi"/>
          <w:sz w:val="24"/>
        </w:rPr>
        <w:tab/>
        <w:t xml:space="preserve">      </w:t>
      </w:r>
      <w:r w:rsidR="00E7092F" w:rsidRPr="00AB258D">
        <w:rPr>
          <w:rFonts w:cstheme="minorHAnsi"/>
          <w:sz w:val="24"/>
        </w:rPr>
        <w:tab/>
        <w:t xml:space="preserve">    (d). SEM of soil treated with 8%Cem</w:t>
      </w:r>
    </w:p>
    <w:p w14:paraId="62D5FDB2" w14:textId="2C839CA9" w:rsidR="00AD18E0" w:rsidRPr="00AB258D" w:rsidRDefault="008336EA" w:rsidP="006B768B">
      <w:pPr>
        <w:jc w:val="center"/>
        <w:rPr>
          <w:rFonts w:cstheme="minorHAnsi"/>
          <w:sz w:val="24"/>
        </w:rPr>
      </w:pPr>
      <w:r>
        <w:rPr>
          <w:rFonts w:cstheme="minorHAnsi"/>
          <w:b/>
          <w:sz w:val="24"/>
        </w:rPr>
        <w:t>Fig. 7</w:t>
      </w:r>
      <w:r w:rsidR="006B768B" w:rsidRPr="00AB258D">
        <w:rPr>
          <w:rFonts w:cstheme="minorHAnsi"/>
          <w:b/>
          <w:sz w:val="24"/>
        </w:rPr>
        <w:t>(a-d).</w:t>
      </w:r>
      <w:r w:rsidR="006B768B" w:rsidRPr="00AB258D">
        <w:rPr>
          <w:rFonts w:cstheme="minorHAnsi"/>
          <w:sz w:val="24"/>
        </w:rPr>
        <w:t xml:space="preserve"> SEM of the untreated and cement treated soils</w:t>
      </w:r>
    </w:p>
    <w:p w14:paraId="467278DF" w14:textId="77777777" w:rsidR="001C0591" w:rsidRPr="00AB258D" w:rsidRDefault="001C0591" w:rsidP="001C0591">
      <w:pPr>
        <w:spacing w:line="276" w:lineRule="auto"/>
        <w:jc w:val="both"/>
        <w:rPr>
          <w:rFonts w:cstheme="minorHAnsi"/>
          <w:b/>
          <w:sz w:val="28"/>
        </w:rPr>
      </w:pPr>
    </w:p>
    <w:p w14:paraId="3093D7C2" w14:textId="77777777" w:rsidR="001C0591" w:rsidRPr="00AB258D" w:rsidRDefault="001C0591" w:rsidP="001C0591">
      <w:pPr>
        <w:spacing w:line="276" w:lineRule="auto"/>
        <w:jc w:val="both"/>
        <w:rPr>
          <w:rFonts w:eastAsia="Times New Roman" w:cstheme="minorHAnsi"/>
          <w:sz w:val="24"/>
          <w:szCs w:val="24"/>
        </w:rPr>
      </w:pPr>
      <w:r w:rsidRPr="00AB258D">
        <w:rPr>
          <w:rFonts w:eastAsia="Times New Roman" w:cstheme="minorHAnsi"/>
          <w:noProof/>
          <w:sz w:val="24"/>
          <w:szCs w:val="24"/>
          <w:lang w:eastAsia="en-GB"/>
        </w:rPr>
        <w:lastRenderedPageBreak/>
        <w:drawing>
          <wp:inline distT="0" distB="0" distL="0" distR="0" wp14:anchorId="302A3928" wp14:editId="5EDF71F2">
            <wp:extent cx="6145619" cy="281749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57575" cy="2822976"/>
                    </a:xfrm>
                    <a:prstGeom prst="rect">
                      <a:avLst/>
                    </a:prstGeom>
                  </pic:spPr>
                </pic:pic>
              </a:graphicData>
            </a:graphic>
          </wp:inline>
        </w:drawing>
      </w:r>
    </w:p>
    <w:p w14:paraId="32C8F1AA" w14:textId="4F002734" w:rsidR="00E356FA" w:rsidRPr="00AB258D" w:rsidRDefault="004350C0" w:rsidP="00E356FA">
      <w:pPr>
        <w:spacing w:line="276" w:lineRule="auto"/>
        <w:jc w:val="center"/>
        <w:rPr>
          <w:rFonts w:eastAsia="Times New Roman" w:cstheme="minorHAnsi"/>
          <w:sz w:val="24"/>
          <w:szCs w:val="24"/>
        </w:rPr>
      </w:pPr>
      <w:r>
        <w:rPr>
          <w:rFonts w:eastAsia="Times New Roman" w:cstheme="minorHAnsi"/>
          <w:b/>
          <w:sz w:val="24"/>
          <w:szCs w:val="24"/>
        </w:rPr>
        <w:t>Fig. 8</w:t>
      </w:r>
      <w:r w:rsidR="00E356FA" w:rsidRPr="00AB258D">
        <w:rPr>
          <w:rFonts w:eastAsia="Times New Roman" w:cstheme="minorHAnsi"/>
          <w:b/>
          <w:sz w:val="24"/>
          <w:szCs w:val="24"/>
        </w:rPr>
        <w:t>.</w:t>
      </w:r>
      <w:r w:rsidR="00E356FA" w:rsidRPr="00AB258D">
        <w:rPr>
          <w:rFonts w:eastAsia="Times New Roman" w:cstheme="minorHAnsi"/>
          <w:sz w:val="24"/>
          <w:szCs w:val="24"/>
        </w:rPr>
        <w:t xml:space="preserve"> Mechanism of stabilisation without </w:t>
      </w:r>
      <w:r w:rsidR="00A430CD" w:rsidRPr="00AB258D">
        <w:rPr>
          <w:rFonts w:eastAsia="Times New Roman" w:cstheme="minorHAnsi"/>
          <w:sz w:val="24"/>
          <w:szCs w:val="24"/>
        </w:rPr>
        <w:t>RC</w:t>
      </w:r>
    </w:p>
    <w:p w14:paraId="61EBC579" w14:textId="77777777" w:rsidR="001C0591" w:rsidRPr="00AB258D" w:rsidRDefault="001C0591" w:rsidP="006713EC">
      <w:pPr>
        <w:rPr>
          <w:rFonts w:cstheme="minorHAnsi"/>
          <w:sz w:val="24"/>
        </w:rPr>
      </w:pPr>
    </w:p>
    <w:p w14:paraId="2D038E12" w14:textId="77777777" w:rsidR="00927BD8" w:rsidRPr="00AB258D" w:rsidRDefault="00E32964" w:rsidP="0050480C">
      <w:pPr>
        <w:rPr>
          <w:rFonts w:cstheme="minorHAnsi"/>
          <w:noProof/>
          <w:lang w:eastAsia="en-GB"/>
        </w:rPr>
      </w:pPr>
      <w:r w:rsidRPr="00AB258D">
        <w:rPr>
          <w:rFonts w:cstheme="minorHAnsi"/>
          <w:noProof/>
          <w:lang w:eastAsia="en-GB"/>
        </w:rPr>
        <w:drawing>
          <wp:inline distT="0" distB="0" distL="0" distR="0" wp14:anchorId="3D233684" wp14:editId="0AEF4B7C">
            <wp:extent cx="2943225" cy="32956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3225" cy="3295650"/>
                    </a:xfrm>
                    <a:prstGeom prst="rect">
                      <a:avLst/>
                    </a:prstGeom>
                  </pic:spPr>
                </pic:pic>
              </a:graphicData>
            </a:graphic>
          </wp:inline>
        </w:drawing>
      </w:r>
      <w:r w:rsidR="0050480C" w:rsidRPr="00AB258D">
        <w:rPr>
          <w:rFonts w:cstheme="minorHAnsi"/>
          <w:noProof/>
          <w:lang w:eastAsia="en-GB"/>
        </w:rPr>
        <w:t xml:space="preserve"> </w:t>
      </w:r>
      <w:r w:rsidR="0050480C" w:rsidRPr="00AB258D">
        <w:rPr>
          <w:rFonts w:cstheme="minorHAnsi"/>
          <w:noProof/>
          <w:lang w:eastAsia="en-GB"/>
        </w:rPr>
        <w:drawing>
          <wp:inline distT="0" distB="0" distL="0" distR="0" wp14:anchorId="192F8C3F" wp14:editId="50240934">
            <wp:extent cx="2733675" cy="32956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3675" cy="3295650"/>
                    </a:xfrm>
                    <a:prstGeom prst="rect">
                      <a:avLst/>
                    </a:prstGeom>
                  </pic:spPr>
                </pic:pic>
              </a:graphicData>
            </a:graphic>
          </wp:inline>
        </w:drawing>
      </w:r>
    </w:p>
    <w:p w14:paraId="7C6E1D94" w14:textId="77777777" w:rsidR="009615EF" w:rsidRPr="00AB258D" w:rsidRDefault="00C5642C" w:rsidP="0050480C">
      <w:pPr>
        <w:rPr>
          <w:rFonts w:cstheme="minorHAnsi"/>
          <w:sz w:val="24"/>
        </w:rPr>
      </w:pPr>
      <w:r w:rsidRPr="00AB258D">
        <w:rPr>
          <w:rFonts w:cstheme="minorHAnsi"/>
          <w:sz w:val="24"/>
        </w:rPr>
        <w:t>(</w:t>
      </w:r>
      <w:proofErr w:type="gramStart"/>
      <w:r w:rsidR="009615EF" w:rsidRPr="00AB258D">
        <w:rPr>
          <w:rFonts w:cstheme="minorHAnsi"/>
          <w:sz w:val="24"/>
        </w:rPr>
        <w:t>a</w:t>
      </w:r>
      <w:proofErr w:type="gramEnd"/>
      <w:r w:rsidRPr="00AB258D">
        <w:rPr>
          <w:rFonts w:cstheme="minorHAnsi"/>
          <w:sz w:val="24"/>
        </w:rPr>
        <w:t>)</w:t>
      </w:r>
      <w:r w:rsidR="00E356FA" w:rsidRPr="00AB258D">
        <w:rPr>
          <w:rFonts w:cstheme="minorHAnsi"/>
          <w:sz w:val="24"/>
        </w:rPr>
        <w:t xml:space="preserve">. SEM of soil treated with </w:t>
      </w:r>
      <w:proofErr w:type="spellStart"/>
      <w:r w:rsidR="009615EF" w:rsidRPr="00AB258D">
        <w:rPr>
          <w:rFonts w:cstheme="minorHAnsi"/>
          <w:sz w:val="24"/>
        </w:rPr>
        <w:t>Cem</w:t>
      </w:r>
      <w:proofErr w:type="spellEnd"/>
      <w:r w:rsidR="00E356FA" w:rsidRPr="00AB258D">
        <w:rPr>
          <w:rFonts w:cstheme="minorHAnsi"/>
          <w:sz w:val="24"/>
        </w:rPr>
        <w:t>/GGBS</w:t>
      </w:r>
      <w:r w:rsidR="00E356FA" w:rsidRPr="00AB258D">
        <w:rPr>
          <w:rFonts w:cstheme="minorHAnsi"/>
          <w:sz w:val="24"/>
        </w:rPr>
        <w:tab/>
        <w:t xml:space="preserve">     </w:t>
      </w:r>
      <w:r w:rsidRPr="00AB258D">
        <w:rPr>
          <w:rFonts w:cstheme="minorHAnsi"/>
          <w:sz w:val="24"/>
        </w:rPr>
        <w:t>(</w:t>
      </w:r>
      <w:r w:rsidR="009615EF" w:rsidRPr="00AB258D">
        <w:rPr>
          <w:rFonts w:cstheme="minorHAnsi"/>
          <w:sz w:val="24"/>
        </w:rPr>
        <w:t>b</w:t>
      </w:r>
      <w:r w:rsidRPr="00AB258D">
        <w:rPr>
          <w:rFonts w:cstheme="minorHAnsi"/>
          <w:sz w:val="24"/>
        </w:rPr>
        <w:t>)</w:t>
      </w:r>
      <w:r w:rsidR="00E356FA" w:rsidRPr="00AB258D">
        <w:rPr>
          <w:rFonts w:cstheme="minorHAnsi"/>
          <w:sz w:val="24"/>
        </w:rPr>
        <w:t xml:space="preserve">. SEM of soil treated with </w:t>
      </w:r>
      <w:proofErr w:type="spellStart"/>
      <w:r w:rsidR="009615EF" w:rsidRPr="00AB258D">
        <w:rPr>
          <w:rFonts w:cstheme="minorHAnsi"/>
          <w:sz w:val="24"/>
        </w:rPr>
        <w:t>Cem</w:t>
      </w:r>
      <w:proofErr w:type="spellEnd"/>
      <w:r w:rsidR="00E356FA" w:rsidRPr="00AB258D">
        <w:rPr>
          <w:rFonts w:cstheme="minorHAnsi"/>
          <w:sz w:val="24"/>
        </w:rPr>
        <w:t>/GGBS/RC</w:t>
      </w:r>
    </w:p>
    <w:p w14:paraId="2771BD30" w14:textId="77777777" w:rsidR="00AD18E0" w:rsidRPr="00AB258D" w:rsidRDefault="00AD18E0" w:rsidP="001C0591">
      <w:pPr>
        <w:rPr>
          <w:rFonts w:cstheme="minorHAnsi"/>
          <w:sz w:val="24"/>
        </w:rPr>
      </w:pPr>
      <w:r w:rsidRPr="00AB258D">
        <w:rPr>
          <w:rFonts w:cstheme="minorHAnsi"/>
          <w:noProof/>
          <w:lang w:eastAsia="en-GB"/>
        </w:rPr>
        <w:lastRenderedPageBreak/>
        <w:drawing>
          <wp:inline distT="0" distB="0" distL="0" distR="0" wp14:anchorId="1181F233" wp14:editId="41354DFE">
            <wp:extent cx="2817304" cy="3295650"/>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2962" cy="3302269"/>
                    </a:xfrm>
                    <a:prstGeom prst="rect">
                      <a:avLst/>
                    </a:prstGeom>
                  </pic:spPr>
                </pic:pic>
              </a:graphicData>
            </a:graphic>
          </wp:inline>
        </w:drawing>
      </w:r>
      <w:r w:rsidR="001C0591" w:rsidRPr="00AB258D">
        <w:rPr>
          <w:rFonts w:cstheme="minorHAnsi"/>
          <w:sz w:val="24"/>
        </w:rPr>
        <w:t xml:space="preserve"> </w:t>
      </w:r>
      <w:r w:rsidR="001C0591" w:rsidRPr="00AB258D">
        <w:rPr>
          <w:rFonts w:cstheme="minorHAnsi"/>
          <w:noProof/>
          <w:lang w:eastAsia="en-GB"/>
        </w:rPr>
        <w:drawing>
          <wp:inline distT="0" distB="0" distL="0" distR="0" wp14:anchorId="34FDDD58" wp14:editId="0A214B2B">
            <wp:extent cx="2816860" cy="3285539"/>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6883" cy="3297229"/>
                    </a:xfrm>
                    <a:prstGeom prst="rect">
                      <a:avLst/>
                    </a:prstGeom>
                  </pic:spPr>
                </pic:pic>
              </a:graphicData>
            </a:graphic>
          </wp:inline>
        </w:drawing>
      </w:r>
    </w:p>
    <w:p w14:paraId="5173AF2E" w14:textId="77777777" w:rsidR="009615EF" w:rsidRPr="00AB258D" w:rsidRDefault="009615EF" w:rsidP="009615EF">
      <w:pPr>
        <w:rPr>
          <w:rFonts w:cstheme="minorHAnsi"/>
          <w:sz w:val="24"/>
        </w:rPr>
      </w:pPr>
      <w:r w:rsidRPr="00AB258D">
        <w:rPr>
          <w:rFonts w:cstheme="minorHAnsi"/>
          <w:sz w:val="24"/>
        </w:rPr>
        <w:t xml:space="preserve">(c). SEM of soil treated with </w:t>
      </w:r>
      <w:proofErr w:type="spellStart"/>
      <w:r w:rsidRPr="00AB258D">
        <w:rPr>
          <w:rFonts w:cstheme="minorHAnsi"/>
          <w:sz w:val="24"/>
        </w:rPr>
        <w:t>Cem</w:t>
      </w:r>
      <w:proofErr w:type="spellEnd"/>
      <w:r w:rsidRPr="00AB258D">
        <w:rPr>
          <w:rFonts w:cstheme="minorHAnsi"/>
          <w:sz w:val="24"/>
        </w:rPr>
        <w:t>/GGBS</w:t>
      </w:r>
      <w:r w:rsidRPr="00AB258D">
        <w:rPr>
          <w:rFonts w:cstheme="minorHAnsi"/>
          <w:sz w:val="24"/>
        </w:rPr>
        <w:tab/>
        <w:t xml:space="preserve">   (d). SEM of soil treated with </w:t>
      </w:r>
      <w:proofErr w:type="spellStart"/>
      <w:r w:rsidRPr="00AB258D">
        <w:rPr>
          <w:rFonts w:cstheme="minorHAnsi"/>
          <w:sz w:val="24"/>
        </w:rPr>
        <w:t>Cem</w:t>
      </w:r>
      <w:proofErr w:type="spellEnd"/>
      <w:r w:rsidRPr="00AB258D">
        <w:rPr>
          <w:rFonts w:cstheme="minorHAnsi"/>
          <w:sz w:val="24"/>
        </w:rPr>
        <w:t>/GGBS/RC</w:t>
      </w:r>
    </w:p>
    <w:p w14:paraId="5E146242" w14:textId="04F94CCF" w:rsidR="006713EC" w:rsidRPr="00AB258D" w:rsidRDefault="004350C0" w:rsidP="009615EF">
      <w:pPr>
        <w:jc w:val="center"/>
        <w:rPr>
          <w:rFonts w:cstheme="minorHAnsi"/>
          <w:sz w:val="24"/>
        </w:rPr>
      </w:pPr>
      <w:r>
        <w:rPr>
          <w:rFonts w:cstheme="minorHAnsi"/>
          <w:b/>
          <w:sz w:val="24"/>
        </w:rPr>
        <w:t>Fig. 9</w:t>
      </w:r>
      <w:r w:rsidR="00385507" w:rsidRPr="00AB258D">
        <w:rPr>
          <w:rFonts w:cstheme="minorHAnsi"/>
          <w:b/>
          <w:sz w:val="24"/>
        </w:rPr>
        <w:t>(</w:t>
      </w:r>
      <w:r w:rsidR="001C0591" w:rsidRPr="00AB258D">
        <w:rPr>
          <w:rFonts w:cstheme="minorHAnsi"/>
          <w:b/>
          <w:sz w:val="24"/>
        </w:rPr>
        <w:t>a</w:t>
      </w:r>
      <w:r w:rsidR="009615EF" w:rsidRPr="00AB258D">
        <w:rPr>
          <w:rFonts w:cstheme="minorHAnsi"/>
          <w:b/>
          <w:sz w:val="24"/>
        </w:rPr>
        <w:t>-d).</w:t>
      </w:r>
      <w:r w:rsidR="009615EF" w:rsidRPr="00AB258D">
        <w:rPr>
          <w:rFonts w:cstheme="minorHAnsi"/>
          <w:sz w:val="24"/>
        </w:rPr>
        <w:t xml:space="preserve"> SEM of </w:t>
      </w:r>
      <w:r w:rsidR="00C96FA0" w:rsidRPr="00AB258D">
        <w:rPr>
          <w:rFonts w:cstheme="minorHAnsi"/>
          <w:sz w:val="24"/>
        </w:rPr>
        <w:t>the treated soils</w:t>
      </w:r>
    </w:p>
    <w:p w14:paraId="4F0A630E" w14:textId="77777777" w:rsidR="00D916E7" w:rsidRPr="00AB258D" w:rsidRDefault="00D916E7" w:rsidP="00A62117">
      <w:pPr>
        <w:spacing w:line="276" w:lineRule="auto"/>
        <w:jc w:val="both"/>
        <w:rPr>
          <w:rFonts w:eastAsia="Times New Roman" w:cstheme="minorHAnsi"/>
          <w:sz w:val="24"/>
          <w:szCs w:val="24"/>
        </w:rPr>
      </w:pPr>
    </w:p>
    <w:p w14:paraId="5C86EB33" w14:textId="77777777" w:rsidR="00A62117" w:rsidRPr="00AB258D" w:rsidRDefault="00247E7F" w:rsidP="00B24095">
      <w:pPr>
        <w:spacing w:line="276" w:lineRule="auto"/>
        <w:rPr>
          <w:rFonts w:eastAsia="Times New Roman" w:cstheme="minorHAnsi"/>
          <w:sz w:val="24"/>
          <w:szCs w:val="24"/>
        </w:rPr>
      </w:pPr>
      <w:r w:rsidRPr="00AB258D">
        <w:rPr>
          <w:rFonts w:cstheme="minorHAnsi"/>
          <w:noProof/>
          <w:lang w:eastAsia="en-GB"/>
        </w:rPr>
        <w:drawing>
          <wp:inline distT="0" distB="0" distL="0" distR="0" wp14:anchorId="3A4D6E10" wp14:editId="4784338E">
            <wp:extent cx="6370320" cy="29146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2910" cy="2915835"/>
                    </a:xfrm>
                    <a:prstGeom prst="rect">
                      <a:avLst/>
                    </a:prstGeom>
                  </pic:spPr>
                </pic:pic>
              </a:graphicData>
            </a:graphic>
          </wp:inline>
        </w:drawing>
      </w:r>
    </w:p>
    <w:p w14:paraId="3EF9D892" w14:textId="2B63EEA2" w:rsidR="00A66D4D" w:rsidRPr="00AB258D" w:rsidRDefault="004350C0" w:rsidP="00C5642C">
      <w:pPr>
        <w:spacing w:line="276" w:lineRule="auto"/>
        <w:jc w:val="center"/>
        <w:rPr>
          <w:rFonts w:eastAsia="Times New Roman" w:cstheme="minorHAnsi"/>
          <w:sz w:val="24"/>
          <w:szCs w:val="24"/>
        </w:rPr>
      </w:pPr>
      <w:r>
        <w:rPr>
          <w:rFonts w:eastAsia="Times New Roman" w:cstheme="minorHAnsi"/>
          <w:b/>
          <w:sz w:val="24"/>
          <w:szCs w:val="24"/>
        </w:rPr>
        <w:t>Fig. 10</w:t>
      </w:r>
      <w:r w:rsidR="00385507" w:rsidRPr="00AB258D">
        <w:rPr>
          <w:rFonts w:eastAsia="Times New Roman" w:cstheme="minorHAnsi"/>
          <w:b/>
          <w:sz w:val="24"/>
          <w:szCs w:val="24"/>
        </w:rPr>
        <w:t>.</w:t>
      </w:r>
      <w:r w:rsidR="00385507" w:rsidRPr="00AB258D">
        <w:rPr>
          <w:rFonts w:eastAsia="Times New Roman" w:cstheme="minorHAnsi"/>
          <w:sz w:val="24"/>
          <w:szCs w:val="24"/>
        </w:rPr>
        <w:t xml:space="preserve"> </w:t>
      </w:r>
      <w:r w:rsidR="00E53A8E" w:rsidRPr="00AB258D">
        <w:rPr>
          <w:rFonts w:eastAsia="Times New Roman" w:cstheme="minorHAnsi"/>
          <w:sz w:val="24"/>
          <w:szCs w:val="24"/>
        </w:rPr>
        <w:t xml:space="preserve">Mechanism of stabilisation with the inclusion of </w:t>
      </w:r>
      <w:r w:rsidR="00A430CD" w:rsidRPr="00AB258D">
        <w:rPr>
          <w:rFonts w:eastAsia="Times New Roman" w:cstheme="minorHAnsi"/>
          <w:sz w:val="24"/>
          <w:szCs w:val="24"/>
        </w:rPr>
        <w:t>RC</w:t>
      </w:r>
    </w:p>
    <w:p w14:paraId="11F6391A" w14:textId="77777777" w:rsidR="00E95430" w:rsidRPr="00AB258D" w:rsidRDefault="00E95430" w:rsidP="00053914">
      <w:pPr>
        <w:spacing w:line="276" w:lineRule="auto"/>
        <w:rPr>
          <w:rFonts w:cstheme="minorHAnsi"/>
          <w:b/>
          <w:sz w:val="28"/>
          <w:szCs w:val="28"/>
        </w:rPr>
      </w:pPr>
      <w:bookmarkStart w:id="0" w:name="_GoBack"/>
      <w:bookmarkEnd w:id="0"/>
    </w:p>
    <w:p w14:paraId="2DF948AD" w14:textId="77777777" w:rsidR="00053914" w:rsidRPr="00AB258D" w:rsidRDefault="003A5BC5" w:rsidP="00053914">
      <w:pPr>
        <w:spacing w:line="276" w:lineRule="auto"/>
        <w:rPr>
          <w:rFonts w:cstheme="minorHAnsi"/>
          <w:sz w:val="28"/>
          <w:szCs w:val="28"/>
        </w:rPr>
      </w:pPr>
      <w:r w:rsidRPr="00AB258D">
        <w:rPr>
          <w:rFonts w:cstheme="minorHAnsi"/>
          <w:sz w:val="28"/>
          <w:szCs w:val="28"/>
        </w:rPr>
        <w:t xml:space="preserve">3.4 </w:t>
      </w:r>
      <w:r w:rsidR="00053914" w:rsidRPr="00AB258D">
        <w:rPr>
          <w:rFonts w:cstheme="minorHAnsi"/>
          <w:sz w:val="28"/>
          <w:szCs w:val="28"/>
        </w:rPr>
        <w:t xml:space="preserve">Swell </w:t>
      </w:r>
      <w:r w:rsidR="00AB20E9" w:rsidRPr="00AB258D">
        <w:rPr>
          <w:rFonts w:cstheme="minorHAnsi"/>
          <w:sz w:val="28"/>
          <w:szCs w:val="28"/>
        </w:rPr>
        <w:t xml:space="preserve">Potential of the treated </w:t>
      </w:r>
      <w:r w:rsidR="00053914" w:rsidRPr="00AB258D">
        <w:rPr>
          <w:rFonts w:cstheme="minorHAnsi"/>
          <w:sz w:val="28"/>
          <w:szCs w:val="28"/>
        </w:rPr>
        <w:t>soils</w:t>
      </w:r>
    </w:p>
    <w:p w14:paraId="4F65F175" w14:textId="231B6E98" w:rsidR="00DC3B08" w:rsidRPr="00AB258D" w:rsidRDefault="000E427A" w:rsidP="00DC3B08">
      <w:pPr>
        <w:spacing w:line="240" w:lineRule="auto"/>
        <w:jc w:val="both"/>
        <w:rPr>
          <w:rFonts w:cstheme="minorHAnsi"/>
          <w:sz w:val="24"/>
          <w:szCs w:val="24"/>
        </w:rPr>
      </w:pPr>
      <w:r w:rsidRPr="00AB258D">
        <w:rPr>
          <w:rFonts w:cstheme="minorHAnsi"/>
          <w:sz w:val="24"/>
          <w:szCs w:val="24"/>
        </w:rPr>
        <w:t xml:space="preserve">The </w:t>
      </w:r>
      <w:r w:rsidR="00162F98" w:rsidRPr="00AB258D">
        <w:rPr>
          <w:rFonts w:cstheme="minorHAnsi"/>
        </w:rPr>
        <w:t xml:space="preserve">1-D </w:t>
      </w:r>
      <w:proofErr w:type="spellStart"/>
      <w:r w:rsidR="00162F98" w:rsidRPr="00AB258D">
        <w:rPr>
          <w:rFonts w:cstheme="minorHAnsi"/>
        </w:rPr>
        <w:t>oedometer</w:t>
      </w:r>
      <w:proofErr w:type="spellEnd"/>
      <w:r w:rsidR="00162F98" w:rsidRPr="00AB258D">
        <w:rPr>
          <w:rFonts w:cstheme="minorHAnsi"/>
        </w:rPr>
        <w:t xml:space="preserve"> test was utilized to study the swell potential of the soil mixtures treated with cement, GGBS PFA and </w:t>
      </w:r>
      <w:r w:rsidR="00A430CD" w:rsidRPr="00AB258D">
        <w:rPr>
          <w:rFonts w:cstheme="minorHAnsi"/>
        </w:rPr>
        <w:t>RC</w:t>
      </w:r>
      <w:r w:rsidR="00162F98" w:rsidRPr="00AB258D">
        <w:rPr>
          <w:rFonts w:cstheme="minorHAnsi"/>
        </w:rPr>
        <w:t xml:space="preserve"> to determine the extent of swell after treatment in comparison with the </w:t>
      </w:r>
      <w:r w:rsidR="00162F98" w:rsidRPr="00AB258D">
        <w:rPr>
          <w:rFonts w:cstheme="minorHAnsi"/>
        </w:rPr>
        <w:lastRenderedPageBreak/>
        <w:t xml:space="preserve">recommendation of the </w:t>
      </w:r>
      <w:r w:rsidR="00A01D80" w:rsidRPr="00AB258D">
        <w:rPr>
          <w:rFonts w:cstheme="minorHAnsi"/>
          <w:noProof/>
          <w:sz w:val="24"/>
          <w:szCs w:val="24"/>
        </w:rPr>
        <w:t>Ohio Department of transport, U.S.</w:t>
      </w:r>
      <w:r w:rsidR="00A01D80" w:rsidRPr="00AB258D">
        <w:rPr>
          <w:rFonts w:cstheme="minorHAnsi"/>
          <w:sz w:val="24"/>
          <w:szCs w:val="24"/>
        </w:rPr>
        <w:t xml:space="preserve"> </w:t>
      </w:r>
      <w:r w:rsidR="00E62CDC" w:rsidRPr="00AB258D">
        <w:rPr>
          <w:rFonts w:cstheme="minorHAnsi"/>
          <w:sz w:val="24"/>
          <w:szCs w:val="24"/>
        </w:rPr>
        <w:t>T</w:t>
      </w:r>
      <w:r w:rsidRPr="00AB258D">
        <w:rPr>
          <w:rFonts w:cstheme="minorHAnsi"/>
          <w:sz w:val="24"/>
          <w:szCs w:val="24"/>
        </w:rPr>
        <w:t xml:space="preserve">he effect of reduced cement content and incorporation </w:t>
      </w:r>
      <w:r w:rsidR="00C34C50" w:rsidRPr="00AB258D">
        <w:rPr>
          <w:rFonts w:cstheme="minorHAnsi"/>
          <w:sz w:val="24"/>
          <w:szCs w:val="24"/>
        </w:rPr>
        <w:t xml:space="preserve">of GGBS, PFA </w:t>
      </w:r>
      <w:r w:rsidR="00A901BD" w:rsidRPr="00AB258D">
        <w:rPr>
          <w:rFonts w:cstheme="minorHAnsi"/>
          <w:sz w:val="24"/>
          <w:szCs w:val="24"/>
        </w:rPr>
        <w:t xml:space="preserve">and RC </w:t>
      </w:r>
      <w:r w:rsidR="00E62CDC" w:rsidRPr="00AB258D">
        <w:rPr>
          <w:rFonts w:cstheme="minorHAnsi"/>
          <w:sz w:val="24"/>
          <w:szCs w:val="24"/>
        </w:rPr>
        <w:t xml:space="preserve">was investigated </w:t>
      </w:r>
      <w:r w:rsidR="00A901BD" w:rsidRPr="00AB258D">
        <w:rPr>
          <w:rFonts w:cstheme="minorHAnsi"/>
          <w:sz w:val="24"/>
          <w:szCs w:val="24"/>
        </w:rPr>
        <w:t>afte</w:t>
      </w:r>
      <w:r w:rsidR="00C34C50" w:rsidRPr="00AB258D">
        <w:rPr>
          <w:rFonts w:cstheme="minorHAnsi"/>
          <w:sz w:val="24"/>
          <w:szCs w:val="24"/>
        </w:rPr>
        <w:t xml:space="preserve">r 7days </w:t>
      </w:r>
      <w:r w:rsidR="00E62CDC" w:rsidRPr="00AB258D">
        <w:rPr>
          <w:rFonts w:cstheme="minorHAnsi"/>
          <w:sz w:val="24"/>
          <w:szCs w:val="24"/>
        </w:rPr>
        <w:t xml:space="preserve">of </w:t>
      </w:r>
      <w:r w:rsidR="00C34C50" w:rsidRPr="00AB258D">
        <w:rPr>
          <w:rFonts w:cstheme="minorHAnsi"/>
          <w:sz w:val="24"/>
          <w:szCs w:val="24"/>
        </w:rPr>
        <w:t xml:space="preserve">curing period. The </w:t>
      </w:r>
      <w:r w:rsidR="00A901BD" w:rsidRPr="00AB258D">
        <w:rPr>
          <w:rFonts w:cstheme="minorHAnsi"/>
          <w:sz w:val="24"/>
          <w:szCs w:val="24"/>
        </w:rPr>
        <w:t xml:space="preserve">results revealed a reduction in swell for both soils </w:t>
      </w:r>
      <w:r w:rsidR="00E95678" w:rsidRPr="00AB258D">
        <w:rPr>
          <w:rFonts w:cstheme="minorHAnsi"/>
          <w:sz w:val="24"/>
          <w:szCs w:val="24"/>
        </w:rPr>
        <w:t xml:space="preserve">compared to the untreated soils </w:t>
      </w:r>
      <w:r w:rsidR="00B03365" w:rsidRPr="00AB258D">
        <w:rPr>
          <w:rFonts w:cstheme="minorHAnsi"/>
          <w:sz w:val="24"/>
          <w:szCs w:val="24"/>
        </w:rPr>
        <w:t xml:space="preserve">irrespective of the additive type or combinations </w:t>
      </w:r>
      <w:r w:rsidR="00C34C50" w:rsidRPr="00AB258D">
        <w:rPr>
          <w:rFonts w:cstheme="minorHAnsi"/>
          <w:sz w:val="24"/>
          <w:szCs w:val="24"/>
        </w:rPr>
        <w:t xml:space="preserve">as shown in </w:t>
      </w:r>
      <w:r w:rsidR="004350C0">
        <w:rPr>
          <w:rFonts w:cstheme="minorHAnsi"/>
          <w:sz w:val="24"/>
          <w:szCs w:val="24"/>
        </w:rPr>
        <w:t>Fig. 11</w:t>
      </w:r>
      <w:r w:rsidR="00A901BD" w:rsidRPr="00AB258D">
        <w:rPr>
          <w:rFonts w:cstheme="minorHAnsi"/>
          <w:sz w:val="24"/>
          <w:szCs w:val="24"/>
        </w:rPr>
        <w:t xml:space="preserve">(a and b). </w:t>
      </w:r>
      <w:r w:rsidR="00B77566" w:rsidRPr="00AB258D">
        <w:rPr>
          <w:rFonts w:cstheme="minorHAnsi"/>
          <w:sz w:val="24"/>
          <w:szCs w:val="24"/>
        </w:rPr>
        <w:t>The acceptable limits of expansion for untreated and treated soils may vary depending on the country</w:t>
      </w:r>
      <w:r w:rsidR="002B112C" w:rsidRPr="00AB258D">
        <w:rPr>
          <w:rFonts w:cstheme="minorHAnsi"/>
          <w:sz w:val="24"/>
          <w:szCs w:val="24"/>
        </w:rPr>
        <w:t xml:space="preserve">. For example, </w:t>
      </w:r>
      <w:r w:rsidR="00B77566" w:rsidRPr="00AB258D">
        <w:rPr>
          <w:rFonts w:cstheme="minorHAnsi"/>
          <w:sz w:val="24"/>
          <w:szCs w:val="24"/>
        </w:rPr>
        <w:t>t</w:t>
      </w:r>
      <w:r w:rsidR="007407D0" w:rsidRPr="00AB258D">
        <w:rPr>
          <w:rFonts w:cstheme="minorHAnsi"/>
          <w:sz w:val="24"/>
          <w:szCs w:val="24"/>
        </w:rPr>
        <w:t xml:space="preserve">he French standard </w:t>
      </w:r>
      <w:r w:rsidR="00053914" w:rsidRPr="00AB258D">
        <w:rPr>
          <w:rFonts w:cstheme="minorHAnsi"/>
          <w:sz w:val="24"/>
          <w:szCs w:val="24"/>
        </w:rPr>
        <w:fldChar w:fldCharType="begin" w:fldLock="1"/>
      </w:r>
      <w:r w:rsidR="00416EC1" w:rsidRPr="00AB258D">
        <w:rPr>
          <w:rFonts w:cstheme="minorHAnsi"/>
          <w:sz w:val="24"/>
          <w:szCs w:val="24"/>
        </w:rPr>
        <w:instrText>ADDIN CSL_CITATION {"citationItems":[{"id":"ITEM-1","itemData":{"author":[{"dropping-particle":"","family":"Association Française de Normalisation","given":"NF P 94–100","non-dropping-particle":"","parse-names":false,"suffix":""}],"id":"ITEM-1","issued":{"date-parts":[["1999"]]},"publisher-place":"La Plaine Saint-Denis Cedex, France","title":"Soils: Investigation and testing—Lime and/or hydraulic binder treated materials—Test for determining the treatment ability of soil","type":"article"},"uris":["http://www.mendeley.com/documents/?uuid=cb631341-412b-49dd-ac43-98b7fcf330a1"]}],"mendeley":{"formattedCitation":"[68]","plainTextFormattedCitation":"[68]","previouslyFormattedCitation":"[67]"},"properties":{"noteIndex":0},"schema":"https://github.com/citation-style-language/schema/raw/master/csl-citation.json"}</w:instrText>
      </w:r>
      <w:r w:rsidR="00053914" w:rsidRPr="00AB258D">
        <w:rPr>
          <w:rFonts w:cstheme="minorHAnsi"/>
          <w:sz w:val="24"/>
          <w:szCs w:val="24"/>
        </w:rPr>
        <w:fldChar w:fldCharType="separate"/>
      </w:r>
      <w:r w:rsidR="00416EC1" w:rsidRPr="00AB258D">
        <w:rPr>
          <w:rFonts w:cstheme="minorHAnsi"/>
          <w:noProof/>
          <w:sz w:val="24"/>
          <w:szCs w:val="24"/>
        </w:rPr>
        <w:t>[68]</w:t>
      </w:r>
      <w:r w:rsidR="00053914" w:rsidRPr="00AB258D">
        <w:rPr>
          <w:rFonts w:cstheme="minorHAnsi"/>
          <w:sz w:val="24"/>
          <w:szCs w:val="24"/>
        </w:rPr>
        <w:fldChar w:fldCharType="end"/>
      </w:r>
      <w:r w:rsidR="00B77566" w:rsidRPr="00AB258D">
        <w:rPr>
          <w:rFonts w:cstheme="minorHAnsi"/>
          <w:sz w:val="24"/>
          <w:szCs w:val="24"/>
        </w:rPr>
        <w:t xml:space="preserve"> </w:t>
      </w:r>
      <w:r w:rsidR="00053914" w:rsidRPr="00AB258D">
        <w:rPr>
          <w:rFonts w:cstheme="minorHAnsi"/>
          <w:sz w:val="24"/>
          <w:szCs w:val="24"/>
        </w:rPr>
        <w:t>suggests a minimum of 5% swell as an acc</w:t>
      </w:r>
      <w:r w:rsidR="00B77566" w:rsidRPr="00AB258D">
        <w:rPr>
          <w:rFonts w:cstheme="minorHAnsi"/>
          <w:sz w:val="24"/>
          <w:szCs w:val="24"/>
        </w:rPr>
        <w:t>eptable limit for construction while the</w:t>
      </w:r>
      <w:r w:rsidR="00053914" w:rsidRPr="00AB258D">
        <w:rPr>
          <w:rFonts w:cstheme="minorHAnsi"/>
        </w:rPr>
        <w:t xml:space="preserve"> </w:t>
      </w:r>
      <w:r w:rsidR="00053914" w:rsidRPr="00AB258D">
        <w:rPr>
          <w:rFonts w:cstheme="minorHAnsi"/>
          <w:sz w:val="24"/>
          <w:szCs w:val="24"/>
        </w:rPr>
        <w:fldChar w:fldCharType="begin" w:fldLock="1"/>
      </w:r>
      <w:r w:rsidR="00416EC1" w:rsidRPr="00AB258D">
        <w:rPr>
          <w:rFonts w:cstheme="minorHAnsi"/>
          <w:sz w:val="24"/>
          <w:szCs w:val="24"/>
        </w:rPr>
        <w:instrText>ADDIN CSL_CITATION {"citationItems":[{"id":"ITEM-1","itemData":{"author":[{"dropping-particle":"","family":"Ohio Department of transport","given":"Supplement 1120","non-dropping-particle":"","parse-names":false,"suffix":""}],"id":"ITEM-1","issued":{"date-parts":[["2011"]]},"page":"1-7","publisher-place":"City of Columbus, Ohio","title":"Mixture design for chemically stabilized soils","type":"article"},"uris":["http://www.mendeley.com/documents/?uuid=b53c3b95-e289-49aa-8511-c313f174745d"]}],"mendeley":{"formattedCitation":"[69]","manualFormatting":"Ohio Department of transport, U.S. ","plainTextFormattedCitation":"[69]","previouslyFormattedCitation":"[68]"},"properties":{"noteIndex":0},"schema":"https://github.com/citation-style-language/schema/raw/master/csl-citation.json"}</w:instrText>
      </w:r>
      <w:r w:rsidR="00053914" w:rsidRPr="00AB258D">
        <w:rPr>
          <w:rFonts w:cstheme="minorHAnsi"/>
          <w:sz w:val="24"/>
          <w:szCs w:val="24"/>
        </w:rPr>
        <w:fldChar w:fldCharType="separate"/>
      </w:r>
      <w:r w:rsidR="00053914" w:rsidRPr="00AB258D">
        <w:rPr>
          <w:rFonts w:cstheme="minorHAnsi"/>
          <w:noProof/>
          <w:sz w:val="24"/>
          <w:szCs w:val="24"/>
        </w:rPr>
        <w:t>Ohio Department of transport</w:t>
      </w:r>
      <w:r w:rsidR="002B112C" w:rsidRPr="00AB258D">
        <w:rPr>
          <w:rFonts w:cstheme="minorHAnsi"/>
          <w:noProof/>
          <w:sz w:val="24"/>
          <w:szCs w:val="24"/>
        </w:rPr>
        <w:t>, U.S.</w:t>
      </w:r>
      <w:r w:rsidR="00053914" w:rsidRPr="00AB258D">
        <w:rPr>
          <w:rFonts w:cstheme="minorHAnsi"/>
          <w:noProof/>
          <w:sz w:val="24"/>
          <w:szCs w:val="24"/>
        </w:rPr>
        <w:t xml:space="preserve"> </w:t>
      </w:r>
      <w:r w:rsidR="00053914" w:rsidRPr="00AB258D">
        <w:rPr>
          <w:rFonts w:cstheme="minorHAnsi"/>
          <w:sz w:val="24"/>
          <w:szCs w:val="24"/>
        </w:rPr>
        <w:fldChar w:fldCharType="end"/>
      </w:r>
      <w:r w:rsidR="00F9685B" w:rsidRPr="00AB258D">
        <w:rPr>
          <w:rFonts w:cstheme="minorHAnsi"/>
          <w:sz w:val="24"/>
          <w:szCs w:val="24"/>
        </w:rPr>
        <w:fldChar w:fldCharType="begin" w:fldLock="1"/>
      </w:r>
      <w:r w:rsidR="00416EC1" w:rsidRPr="00AB258D">
        <w:rPr>
          <w:rFonts w:cstheme="minorHAnsi"/>
          <w:sz w:val="24"/>
          <w:szCs w:val="24"/>
        </w:rPr>
        <w:instrText>ADDIN CSL_CITATION {"citationItems":[{"id":"ITEM-1","itemData":{"author":[{"dropping-particle":"","family":"Ohio Department of transport","given":"Supplement 1120","non-dropping-particle":"","parse-names":false,"suffix":""}],"id":"ITEM-1","issued":{"date-parts":[["2011"]]},"page":"1-7","publisher-place":"City of Columbus, Ohio","title":"Mixture design for chemically stabilized soils","type":"article"},"uris":["http://www.mendeley.com/documents/?uuid=b53c3b95-e289-49aa-8511-c313f174745d"]}],"mendeley":{"formattedCitation":"[69]","plainTextFormattedCitation":"[69]","previouslyFormattedCitation":"[68]"},"properties":{"noteIndex":0},"schema":"https://github.com/citation-style-language/schema/raw/master/csl-citation.json"}</w:instrText>
      </w:r>
      <w:r w:rsidR="00F9685B" w:rsidRPr="00AB258D">
        <w:rPr>
          <w:rFonts w:cstheme="minorHAnsi"/>
          <w:sz w:val="24"/>
          <w:szCs w:val="24"/>
        </w:rPr>
        <w:fldChar w:fldCharType="separate"/>
      </w:r>
      <w:r w:rsidR="00416EC1" w:rsidRPr="00AB258D">
        <w:rPr>
          <w:rFonts w:cstheme="minorHAnsi"/>
          <w:noProof/>
          <w:sz w:val="24"/>
          <w:szCs w:val="24"/>
        </w:rPr>
        <w:t>[69]</w:t>
      </w:r>
      <w:r w:rsidR="00F9685B" w:rsidRPr="00AB258D">
        <w:rPr>
          <w:rFonts w:cstheme="minorHAnsi"/>
          <w:sz w:val="24"/>
          <w:szCs w:val="24"/>
        </w:rPr>
        <w:fldChar w:fldCharType="end"/>
      </w:r>
      <w:r w:rsidR="00053914" w:rsidRPr="00AB258D">
        <w:rPr>
          <w:rFonts w:cstheme="minorHAnsi"/>
          <w:sz w:val="24"/>
          <w:szCs w:val="24"/>
        </w:rPr>
        <w:t xml:space="preserve"> recommends swell of 1.5% for chemically treated soils. Soil I and soil II treated with cement meets the requirements above. However, </w:t>
      </w:r>
      <w:r w:rsidR="00522175" w:rsidRPr="00AB258D">
        <w:rPr>
          <w:rFonts w:cstheme="minorHAnsi"/>
          <w:sz w:val="24"/>
          <w:szCs w:val="24"/>
        </w:rPr>
        <w:t xml:space="preserve">the present study shows that for the treated soils, </w:t>
      </w:r>
      <w:r w:rsidR="00053914" w:rsidRPr="00AB258D">
        <w:rPr>
          <w:rFonts w:cstheme="minorHAnsi"/>
          <w:sz w:val="24"/>
          <w:szCs w:val="24"/>
        </w:rPr>
        <w:t xml:space="preserve">the replacement of cement </w:t>
      </w:r>
      <w:r w:rsidR="00522175" w:rsidRPr="00AB258D">
        <w:rPr>
          <w:rFonts w:cstheme="minorHAnsi"/>
          <w:sz w:val="24"/>
          <w:szCs w:val="24"/>
        </w:rPr>
        <w:t xml:space="preserve">by up to 50% </w:t>
      </w:r>
      <w:r w:rsidR="00053914" w:rsidRPr="00AB258D">
        <w:rPr>
          <w:rFonts w:cstheme="minorHAnsi"/>
          <w:sz w:val="24"/>
          <w:szCs w:val="24"/>
        </w:rPr>
        <w:t xml:space="preserve">in the mixes </w:t>
      </w:r>
      <w:r w:rsidR="00522175" w:rsidRPr="00AB258D">
        <w:rPr>
          <w:rFonts w:cstheme="minorHAnsi"/>
          <w:sz w:val="24"/>
          <w:szCs w:val="24"/>
        </w:rPr>
        <w:t>and the inclusion of by-product</w:t>
      </w:r>
      <w:r w:rsidR="00053914" w:rsidRPr="00AB258D">
        <w:rPr>
          <w:rFonts w:cstheme="minorHAnsi"/>
          <w:sz w:val="24"/>
          <w:szCs w:val="24"/>
        </w:rPr>
        <w:t xml:space="preserve"> </w:t>
      </w:r>
      <w:r w:rsidR="00522175" w:rsidRPr="00AB258D">
        <w:rPr>
          <w:rFonts w:cstheme="minorHAnsi"/>
          <w:sz w:val="24"/>
          <w:szCs w:val="24"/>
        </w:rPr>
        <w:t xml:space="preserve">materials (GGBS and PFA) resulted to a significant reduction in swell potential below the </w:t>
      </w:r>
      <w:r w:rsidR="00053914" w:rsidRPr="00AB258D">
        <w:rPr>
          <w:rFonts w:cstheme="minorHAnsi"/>
          <w:sz w:val="24"/>
          <w:szCs w:val="24"/>
        </w:rPr>
        <w:t>recommended values for swelling</w:t>
      </w:r>
      <w:r w:rsidR="00522175" w:rsidRPr="00AB258D">
        <w:rPr>
          <w:rFonts w:cstheme="minorHAnsi"/>
          <w:sz w:val="24"/>
          <w:szCs w:val="24"/>
        </w:rPr>
        <w:t xml:space="preserve"> of treated soils. </w:t>
      </w:r>
      <w:r w:rsidR="00282A37" w:rsidRPr="00AB258D">
        <w:rPr>
          <w:rFonts w:cstheme="minorHAnsi"/>
          <w:sz w:val="24"/>
          <w:szCs w:val="24"/>
        </w:rPr>
        <w:t xml:space="preserve">This signifies a huge success in the application of </w:t>
      </w:r>
      <w:r w:rsidR="0095026B" w:rsidRPr="00AB258D">
        <w:rPr>
          <w:rFonts w:cstheme="minorHAnsi"/>
          <w:sz w:val="24"/>
          <w:szCs w:val="24"/>
        </w:rPr>
        <w:t xml:space="preserve">1% of </w:t>
      </w:r>
      <w:proofErr w:type="spellStart"/>
      <w:r w:rsidR="00282A37" w:rsidRPr="00AB258D">
        <w:rPr>
          <w:rFonts w:cstheme="minorHAnsi"/>
          <w:sz w:val="24"/>
          <w:szCs w:val="24"/>
        </w:rPr>
        <w:t>nano</w:t>
      </w:r>
      <w:proofErr w:type="spellEnd"/>
      <w:r w:rsidR="00282A37" w:rsidRPr="00AB258D">
        <w:rPr>
          <w:rFonts w:cstheme="minorHAnsi"/>
          <w:sz w:val="24"/>
          <w:szCs w:val="24"/>
        </w:rPr>
        <w:t xml:space="preserve"> </w:t>
      </w:r>
      <w:r w:rsidR="00793C40" w:rsidRPr="00AB258D">
        <w:rPr>
          <w:rFonts w:cstheme="minorHAnsi"/>
          <w:sz w:val="24"/>
          <w:szCs w:val="24"/>
        </w:rPr>
        <w:t>additive-based</w:t>
      </w:r>
      <w:r w:rsidR="00282A37" w:rsidRPr="00AB258D">
        <w:rPr>
          <w:rFonts w:cstheme="minorHAnsi"/>
          <w:sz w:val="24"/>
          <w:szCs w:val="24"/>
        </w:rPr>
        <w:t xml:space="preserve"> material (</w:t>
      </w:r>
      <w:r w:rsidR="00A430CD" w:rsidRPr="00AB258D">
        <w:rPr>
          <w:rFonts w:cstheme="minorHAnsi"/>
          <w:sz w:val="24"/>
          <w:szCs w:val="24"/>
        </w:rPr>
        <w:t>RC</w:t>
      </w:r>
      <w:r w:rsidR="00282A37" w:rsidRPr="00AB258D">
        <w:rPr>
          <w:rFonts w:cstheme="minorHAnsi"/>
          <w:sz w:val="24"/>
          <w:szCs w:val="24"/>
        </w:rPr>
        <w:t xml:space="preserve">) in stabilisation of clay soils in combination with 4% </w:t>
      </w:r>
      <w:r w:rsidR="0095026B" w:rsidRPr="00AB258D">
        <w:rPr>
          <w:rFonts w:cstheme="minorHAnsi"/>
          <w:sz w:val="24"/>
          <w:szCs w:val="24"/>
        </w:rPr>
        <w:t xml:space="preserve">of </w:t>
      </w:r>
      <w:r w:rsidR="00282A37" w:rsidRPr="00AB258D">
        <w:rPr>
          <w:rFonts w:cstheme="minorHAnsi"/>
          <w:sz w:val="24"/>
          <w:szCs w:val="24"/>
        </w:rPr>
        <w:t xml:space="preserve">cement and </w:t>
      </w:r>
      <w:r w:rsidR="0095026B" w:rsidRPr="00AB258D">
        <w:rPr>
          <w:rFonts w:cstheme="minorHAnsi"/>
          <w:sz w:val="24"/>
          <w:szCs w:val="24"/>
        </w:rPr>
        <w:t xml:space="preserve">3% of </w:t>
      </w:r>
      <w:r w:rsidR="00282A37" w:rsidRPr="00AB258D">
        <w:rPr>
          <w:rFonts w:cstheme="minorHAnsi"/>
          <w:sz w:val="24"/>
          <w:szCs w:val="24"/>
        </w:rPr>
        <w:t>by-product ma</w:t>
      </w:r>
      <w:r w:rsidR="00DE3143" w:rsidRPr="00AB258D">
        <w:rPr>
          <w:rFonts w:cstheme="minorHAnsi"/>
          <w:sz w:val="24"/>
          <w:szCs w:val="24"/>
        </w:rPr>
        <w:t xml:space="preserve">terials (GGBS and PFA). </w:t>
      </w:r>
    </w:p>
    <w:p w14:paraId="14ED02D4" w14:textId="77777777" w:rsidR="0043577E" w:rsidRPr="00AB258D" w:rsidRDefault="0043577E" w:rsidP="00DC3B08">
      <w:pPr>
        <w:spacing w:line="240" w:lineRule="auto"/>
        <w:jc w:val="both"/>
        <w:rPr>
          <w:rFonts w:cstheme="minorHAnsi"/>
          <w:sz w:val="24"/>
          <w:szCs w:val="24"/>
        </w:rPr>
      </w:pPr>
    </w:p>
    <w:p w14:paraId="63923304" w14:textId="77777777" w:rsidR="00F53D45" w:rsidRPr="00AB258D" w:rsidRDefault="00A66D4D" w:rsidP="00F53D45">
      <w:pPr>
        <w:spacing w:line="360" w:lineRule="auto"/>
        <w:jc w:val="both"/>
        <w:rPr>
          <w:rFonts w:cstheme="minorHAnsi"/>
          <w:sz w:val="24"/>
          <w:szCs w:val="24"/>
        </w:rPr>
      </w:pPr>
      <w:r w:rsidRPr="00AB258D">
        <w:rPr>
          <w:rFonts w:cstheme="minorHAnsi"/>
          <w:noProof/>
          <w:lang w:eastAsia="en-GB"/>
        </w:rPr>
        <w:drawing>
          <wp:inline distT="0" distB="0" distL="0" distR="0" wp14:anchorId="35BA9CF6" wp14:editId="5324630E">
            <wp:extent cx="2743200" cy="3971925"/>
            <wp:effectExtent l="0" t="0" r="0" b="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AB258D">
        <w:rPr>
          <w:rFonts w:cstheme="minorHAnsi"/>
          <w:sz w:val="24"/>
          <w:szCs w:val="24"/>
        </w:rPr>
        <w:t xml:space="preserve">        </w:t>
      </w:r>
      <w:r w:rsidR="00CA3D0E" w:rsidRPr="00AB258D">
        <w:rPr>
          <w:rFonts w:cstheme="minorHAnsi"/>
          <w:noProof/>
          <w:lang w:eastAsia="en-GB"/>
        </w:rPr>
        <w:drawing>
          <wp:inline distT="0" distB="0" distL="0" distR="0" wp14:anchorId="35F8FA2F" wp14:editId="2BA2BEB5">
            <wp:extent cx="2743200" cy="397129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BBFC89" w14:textId="77777777" w:rsidR="00856DA0" w:rsidRPr="00AB258D" w:rsidRDefault="002153CC" w:rsidP="00856DA0">
      <w:pPr>
        <w:spacing w:line="360" w:lineRule="auto"/>
        <w:jc w:val="both"/>
        <w:rPr>
          <w:rFonts w:cstheme="minorHAnsi"/>
          <w:sz w:val="24"/>
          <w:szCs w:val="24"/>
        </w:rPr>
      </w:pPr>
      <w:r w:rsidRPr="00AB258D">
        <w:rPr>
          <w:rFonts w:cstheme="minorHAnsi"/>
          <w:sz w:val="24"/>
          <w:szCs w:val="24"/>
        </w:rPr>
        <w:t xml:space="preserve">        </w:t>
      </w:r>
      <w:r w:rsidR="00856DA0" w:rsidRPr="00AB258D">
        <w:rPr>
          <w:rFonts w:cstheme="minorHAnsi"/>
          <w:sz w:val="24"/>
          <w:szCs w:val="24"/>
        </w:rPr>
        <w:t>(</w:t>
      </w:r>
      <w:proofErr w:type="gramStart"/>
      <w:r w:rsidR="00856DA0" w:rsidRPr="00AB258D">
        <w:rPr>
          <w:rFonts w:cstheme="minorHAnsi"/>
          <w:sz w:val="24"/>
          <w:szCs w:val="24"/>
        </w:rPr>
        <w:t>a</w:t>
      </w:r>
      <w:proofErr w:type="gramEnd"/>
      <w:r w:rsidR="00856DA0" w:rsidRPr="00AB258D">
        <w:rPr>
          <w:rFonts w:cstheme="minorHAnsi"/>
          <w:sz w:val="24"/>
          <w:szCs w:val="24"/>
        </w:rPr>
        <w:t>). Swell percent of treated soil I</w:t>
      </w:r>
      <w:r w:rsidR="00856DA0" w:rsidRPr="00AB258D">
        <w:rPr>
          <w:rFonts w:cstheme="minorHAnsi"/>
          <w:sz w:val="24"/>
          <w:szCs w:val="24"/>
        </w:rPr>
        <w:tab/>
      </w:r>
      <w:r w:rsidR="00856DA0" w:rsidRPr="00AB258D">
        <w:rPr>
          <w:rFonts w:cstheme="minorHAnsi"/>
          <w:sz w:val="24"/>
          <w:szCs w:val="24"/>
        </w:rPr>
        <w:tab/>
      </w:r>
      <w:r w:rsidR="00856DA0" w:rsidRPr="00AB258D">
        <w:rPr>
          <w:rFonts w:cstheme="minorHAnsi"/>
          <w:sz w:val="24"/>
          <w:szCs w:val="24"/>
        </w:rPr>
        <w:tab/>
        <w:t>(b). Swell percent of treated soil II</w:t>
      </w:r>
    </w:p>
    <w:p w14:paraId="18D41D0A" w14:textId="223E9C4A" w:rsidR="00D357AD" w:rsidRPr="00AB258D" w:rsidRDefault="004350C0" w:rsidP="00AB0076">
      <w:pPr>
        <w:spacing w:line="360" w:lineRule="auto"/>
        <w:jc w:val="center"/>
        <w:rPr>
          <w:rFonts w:cstheme="minorHAnsi"/>
          <w:sz w:val="24"/>
          <w:szCs w:val="24"/>
        </w:rPr>
      </w:pPr>
      <w:r>
        <w:rPr>
          <w:rFonts w:cstheme="minorHAnsi"/>
          <w:b/>
          <w:sz w:val="24"/>
          <w:szCs w:val="24"/>
        </w:rPr>
        <w:t>Fig. 11</w:t>
      </w:r>
      <w:r w:rsidR="00445BE2">
        <w:rPr>
          <w:rFonts w:cstheme="minorHAnsi"/>
          <w:b/>
          <w:sz w:val="24"/>
          <w:szCs w:val="24"/>
        </w:rPr>
        <w:t>(a-b)</w:t>
      </w:r>
      <w:r w:rsidR="00FC7CD1" w:rsidRPr="00AB258D">
        <w:rPr>
          <w:rFonts w:cstheme="minorHAnsi"/>
          <w:b/>
          <w:sz w:val="24"/>
          <w:szCs w:val="24"/>
        </w:rPr>
        <w:t>.</w:t>
      </w:r>
      <w:r w:rsidR="00FC7CD1" w:rsidRPr="00AB258D">
        <w:rPr>
          <w:rFonts w:cstheme="minorHAnsi"/>
          <w:sz w:val="24"/>
          <w:szCs w:val="24"/>
        </w:rPr>
        <w:t xml:space="preserve"> </w:t>
      </w:r>
      <w:r w:rsidR="002274A5" w:rsidRPr="00AB258D">
        <w:rPr>
          <w:rFonts w:cstheme="minorHAnsi"/>
          <w:sz w:val="24"/>
          <w:szCs w:val="24"/>
        </w:rPr>
        <w:t>Swell potentials of the treated soils</w:t>
      </w:r>
    </w:p>
    <w:p w14:paraId="1C6AD97C" w14:textId="6EC8638C" w:rsidR="00AB0076" w:rsidRPr="00AB258D" w:rsidRDefault="00AB0076" w:rsidP="00AB0076">
      <w:pPr>
        <w:spacing w:line="360" w:lineRule="auto"/>
        <w:jc w:val="center"/>
        <w:rPr>
          <w:rFonts w:cstheme="minorHAnsi"/>
          <w:sz w:val="24"/>
          <w:szCs w:val="24"/>
        </w:rPr>
      </w:pPr>
    </w:p>
    <w:p w14:paraId="189FDA89" w14:textId="77777777" w:rsidR="006C58C6" w:rsidRPr="00AB258D" w:rsidRDefault="006C58C6" w:rsidP="00AB0076">
      <w:pPr>
        <w:spacing w:line="360" w:lineRule="auto"/>
        <w:jc w:val="center"/>
        <w:rPr>
          <w:rFonts w:cstheme="minorHAnsi"/>
          <w:sz w:val="24"/>
          <w:szCs w:val="24"/>
        </w:rPr>
      </w:pPr>
    </w:p>
    <w:p w14:paraId="4A261D26" w14:textId="77777777" w:rsidR="001D6152" w:rsidRPr="00AB258D" w:rsidRDefault="003521D6" w:rsidP="001D6152">
      <w:pPr>
        <w:spacing w:line="480" w:lineRule="auto"/>
        <w:ind w:left="360"/>
        <w:jc w:val="both"/>
        <w:rPr>
          <w:rFonts w:cstheme="minorHAnsi"/>
          <w:sz w:val="28"/>
          <w:szCs w:val="28"/>
        </w:rPr>
      </w:pPr>
      <w:r w:rsidRPr="00AB258D">
        <w:rPr>
          <w:rFonts w:cstheme="minorHAnsi"/>
          <w:sz w:val="28"/>
          <w:szCs w:val="28"/>
        </w:rPr>
        <w:lastRenderedPageBreak/>
        <w:t xml:space="preserve">3.5 Typical </w:t>
      </w:r>
      <w:r w:rsidR="00E92987" w:rsidRPr="00AB258D">
        <w:rPr>
          <w:rFonts w:cstheme="minorHAnsi"/>
          <w:sz w:val="28"/>
          <w:szCs w:val="28"/>
        </w:rPr>
        <w:t xml:space="preserve">undrained shear strength </w:t>
      </w:r>
      <w:r w:rsidRPr="00AB258D">
        <w:rPr>
          <w:rFonts w:cstheme="minorHAnsi"/>
          <w:sz w:val="28"/>
          <w:szCs w:val="28"/>
        </w:rPr>
        <w:t>requirement</w:t>
      </w:r>
    </w:p>
    <w:p w14:paraId="33391000" w14:textId="644EF37A" w:rsidR="00870FCF" w:rsidRPr="00AB258D" w:rsidRDefault="00526C85" w:rsidP="009D0BA9">
      <w:pPr>
        <w:spacing w:line="240" w:lineRule="auto"/>
        <w:jc w:val="both"/>
        <w:rPr>
          <w:sz w:val="24"/>
          <w:szCs w:val="24"/>
        </w:rPr>
      </w:pPr>
      <w:r w:rsidRPr="00AB258D">
        <w:rPr>
          <w:sz w:val="24"/>
          <w:szCs w:val="24"/>
        </w:rPr>
        <w:t>In road base construction, </w:t>
      </w:r>
      <w:r w:rsidR="00A430CD" w:rsidRPr="00AB258D">
        <w:rPr>
          <w:sz w:val="24"/>
          <w:szCs w:val="24"/>
        </w:rPr>
        <w:t>RC</w:t>
      </w:r>
      <w:r w:rsidR="004C7EF7" w:rsidRPr="00AB258D">
        <w:rPr>
          <w:sz w:val="24"/>
          <w:szCs w:val="24"/>
        </w:rPr>
        <w:t xml:space="preserve"> additive has been mixed with in-situ soils, cement and water to increase strength and stiffness of stabilised clays to reduce the amount of swell and shrinkage of the stabilised clay</w:t>
      </w:r>
      <w:r w:rsidR="00DE7475" w:rsidRPr="00AB258D">
        <w:rPr>
          <w:sz w:val="24"/>
          <w:szCs w:val="24"/>
        </w:rPr>
        <w:t xml:space="preserve">, </w:t>
      </w:r>
      <w:r w:rsidR="00DE7475" w:rsidRPr="00AB258D">
        <w:rPr>
          <w:rFonts w:eastAsia="Times New Roman" w:cstheme="minorHAnsi"/>
          <w:sz w:val="24"/>
          <w:szCs w:val="24"/>
        </w:rPr>
        <w:fldChar w:fldCharType="begin" w:fldLock="1"/>
      </w:r>
      <w:r w:rsidR="00DE7475" w:rsidRPr="00AB258D">
        <w:rPr>
          <w:rFonts w:eastAsia="Times New Roman" w:cstheme="minorHAnsi"/>
          <w:sz w:val="24"/>
          <w:szCs w:val="24"/>
        </w:rPr>
        <w:instrText>ADDIN CSL_CITATION {"citationItems":[{"id":"ITEM-1","itemData":{"author":[{"dropping-particle":"","family":"Ventura","given":"D","non-dropping-particle":"","parse-names":false,"suffix":""},{"dropping-particle":"","family":"Koloane","given":"T","non-dropping-particle":"","parse-names":false,"suffix":""}],"id":"ITEM-1","issue":"March","issued":{"date-parts":[["2005"]]},"publisher-place":"Zwijndrecht, The Netherlands","title":"Laboratory evaluation of PowerCem blend to determine its suitability as a road building material stabilizer","type":"report"},"uris":["http://www.mendeley.com/documents/?uuid=1599de38-2622-43fa-a022-59fc3821d541"]}],"mendeley":{"formattedCitation":"[36]","plainTextFormattedCitation":"[36]","previouslyFormattedCitation":"[36]"},"properties":{"noteIndex":0},"schema":"https://github.com/citation-style-language/schema/raw/master/csl-citation.json"}</w:instrText>
      </w:r>
      <w:r w:rsidR="00DE7475" w:rsidRPr="00AB258D">
        <w:rPr>
          <w:rFonts w:eastAsia="Times New Roman" w:cstheme="minorHAnsi"/>
          <w:sz w:val="24"/>
          <w:szCs w:val="24"/>
        </w:rPr>
        <w:fldChar w:fldCharType="separate"/>
      </w:r>
      <w:r w:rsidR="00DE7475" w:rsidRPr="00AB258D">
        <w:rPr>
          <w:rFonts w:eastAsia="Times New Roman" w:cstheme="minorHAnsi"/>
          <w:noProof/>
          <w:sz w:val="24"/>
          <w:szCs w:val="24"/>
        </w:rPr>
        <w:t>[36]</w:t>
      </w:r>
      <w:r w:rsidR="00DE7475" w:rsidRPr="00AB258D">
        <w:rPr>
          <w:rFonts w:eastAsia="Times New Roman" w:cstheme="minorHAnsi"/>
          <w:sz w:val="24"/>
          <w:szCs w:val="24"/>
        </w:rPr>
        <w:fldChar w:fldCharType="end"/>
      </w:r>
      <w:r w:rsidR="004C7EF7" w:rsidRPr="00AB258D">
        <w:rPr>
          <w:sz w:val="24"/>
          <w:szCs w:val="24"/>
        </w:rPr>
        <w:t>. As earlier stated, the main focus of the present study was to investigate the possible reduction in the amount of cemen</w:t>
      </w:r>
      <w:r w:rsidRPr="00AB258D">
        <w:rPr>
          <w:sz w:val="24"/>
          <w:szCs w:val="24"/>
        </w:rPr>
        <w:t xml:space="preserve">t used in combination with </w:t>
      </w:r>
      <w:r w:rsidR="00A430CD" w:rsidRPr="00AB258D">
        <w:rPr>
          <w:sz w:val="24"/>
          <w:szCs w:val="24"/>
        </w:rPr>
        <w:t>RC</w:t>
      </w:r>
      <w:r w:rsidR="004C7EF7" w:rsidRPr="00AB258D">
        <w:rPr>
          <w:sz w:val="24"/>
          <w:szCs w:val="24"/>
        </w:rPr>
        <w:t xml:space="preserve"> additive for stabilisation of clay soils. Following the results obtained from the present study, the </w:t>
      </w:r>
      <w:r w:rsidR="00E92987" w:rsidRPr="00AB258D">
        <w:rPr>
          <w:sz w:val="24"/>
          <w:szCs w:val="24"/>
        </w:rPr>
        <w:t xml:space="preserve">undrained shear strength </w:t>
      </w:r>
      <w:r w:rsidR="004C7EF7" w:rsidRPr="00AB258D">
        <w:rPr>
          <w:sz w:val="24"/>
          <w:szCs w:val="24"/>
        </w:rPr>
        <w:t xml:space="preserve">of the stabilised clay (soil I) stabilised with 8%cement increases from 0.24MPa to 0.55MPa after curing for 7 and 28 days respectively, but for soil II, the </w:t>
      </w:r>
      <w:r w:rsidR="00E92987" w:rsidRPr="00AB258D">
        <w:rPr>
          <w:sz w:val="24"/>
          <w:szCs w:val="24"/>
        </w:rPr>
        <w:t xml:space="preserve">undrained shear strength </w:t>
      </w:r>
      <w:r w:rsidR="004C7EF7" w:rsidRPr="00AB258D">
        <w:rPr>
          <w:sz w:val="24"/>
          <w:szCs w:val="24"/>
        </w:rPr>
        <w:t xml:space="preserve">increases from 0.57MPa to 0.81MPa. However, after </w:t>
      </w:r>
      <w:r w:rsidR="004C7EF7" w:rsidRPr="00AB258D">
        <w:rPr>
          <w:rFonts w:cstheme="minorHAnsi"/>
          <w:sz w:val="24"/>
          <w:szCs w:val="24"/>
        </w:rPr>
        <w:t xml:space="preserve">50% reduction in cement content and inclusion of 3%GGBS and 1%RC, the </w:t>
      </w:r>
      <w:r w:rsidR="00E92987" w:rsidRPr="00AB258D">
        <w:rPr>
          <w:rFonts w:cstheme="minorHAnsi"/>
          <w:sz w:val="24"/>
          <w:szCs w:val="24"/>
        </w:rPr>
        <w:t xml:space="preserve">undrained shear strength </w:t>
      </w:r>
      <w:r w:rsidR="004C7EF7" w:rsidRPr="00AB258D">
        <w:rPr>
          <w:rFonts w:cstheme="minorHAnsi"/>
          <w:sz w:val="24"/>
          <w:szCs w:val="24"/>
        </w:rPr>
        <w:t xml:space="preserve">of the treated clays increases from 0.45MPa to 0.6MPa for soil I, and 0.58MPa to 0.74MPa for soil II after </w:t>
      </w:r>
      <w:r w:rsidR="005C55A1" w:rsidRPr="00AB258D">
        <w:rPr>
          <w:rFonts w:cstheme="minorHAnsi"/>
          <w:sz w:val="24"/>
          <w:szCs w:val="24"/>
        </w:rPr>
        <w:t>7- and 28-days</w:t>
      </w:r>
      <w:r w:rsidR="004C7EF7" w:rsidRPr="00AB258D">
        <w:rPr>
          <w:rFonts w:cstheme="minorHAnsi"/>
          <w:sz w:val="24"/>
          <w:szCs w:val="24"/>
        </w:rPr>
        <w:t xml:space="preserve"> curing period respectively. </w:t>
      </w:r>
      <w:r w:rsidR="00A63171" w:rsidRPr="00AB258D">
        <w:rPr>
          <w:rFonts w:cstheme="minorHAnsi"/>
          <w:sz w:val="24"/>
          <w:szCs w:val="24"/>
        </w:rPr>
        <w:t xml:space="preserve">The standard  guide  for  evaluation  of  the effectiveness  of  binders  used  in  soil  stabilisation  as  contained  in  ASTM D4609-08 </w:t>
      </w:r>
      <w:r w:rsidR="00A63171" w:rsidRPr="00AB258D">
        <w:rPr>
          <w:rFonts w:cstheme="minorHAnsi"/>
          <w:sz w:val="24"/>
          <w:szCs w:val="24"/>
        </w:rPr>
        <w:fldChar w:fldCharType="begin" w:fldLock="1"/>
      </w:r>
      <w:r w:rsidR="00416EC1" w:rsidRPr="00AB258D">
        <w:rPr>
          <w:rFonts w:cstheme="minorHAnsi"/>
          <w:sz w:val="24"/>
          <w:szCs w:val="24"/>
        </w:rPr>
        <w:instrText>ADDIN CSL_CITATION {"citationItems":[{"id":"ITEM-1","itemData":{"author":[{"dropping-particle":"","family":"Ohio Department of transport","given":"Supplement 1120","non-dropping-particle":"","parse-names":false,"suffix":""}],"id":"ITEM-1","issued":{"date-parts":[["2011"]]},"page":"1-7","publisher-place":"City of Columbus, Ohio","title":"Mixture design for chemically stabilized soils","type":"article"},"uris":["http://www.mendeley.com/documents/?uuid=b53c3b95-e289-49aa-8511-c313f174745d"]}],"mendeley":{"formattedCitation":"[69]","manualFormatting":"[66]","plainTextFormattedCitation":"[69]","previouslyFormattedCitation":"[68]"},"properties":{"noteIndex":0},"schema":"https://github.com/citation-style-language/schema/raw/master/csl-citation.json"}</w:instrText>
      </w:r>
      <w:r w:rsidR="00A63171" w:rsidRPr="00AB258D">
        <w:rPr>
          <w:rFonts w:cstheme="minorHAnsi"/>
          <w:sz w:val="24"/>
          <w:szCs w:val="24"/>
        </w:rPr>
        <w:fldChar w:fldCharType="separate"/>
      </w:r>
      <w:r w:rsidR="00A63171" w:rsidRPr="00AB258D">
        <w:rPr>
          <w:rFonts w:cstheme="minorHAnsi"/>
          <w:noProof/>
          <w:sz w:val="24"/>
          <w:szCs w:val="24"/>
        </w:rPr>
        <w:t>[66]</w:t>
      </w:r>
      <w:r w:rsidR="00A63171" w:rsidRPr="00AB258D">
        <w:rPr>
          <w:rFonts w:cstheme="minorHAnsi"/>
          <w:sz w:val="24"/>
          <w:szCs w:val="24"/>
        </w:rPr>
        <w:fldChar w:fldCharType="end"/>
      </w:r>
      <w:r w:rsidR="00A63171" w:rsidRPr="00AB258D">
        <w:rPr>
          <w:rFonts w:cstheme="minorHAnsi"/>
          <w:sz w:val="24"/>
          <w:szCs w:val="24"/>
        </w:rPr>
        <w:t xml:space="preserve">, sets  a  minimum  target  of  </w:t>
      </w:r>
      <w:r w:rsidR="00E92987" w:rsidRPr="00AB258D">
        <w:rPr>
          <w:rFonts w:cstheme="minorHAnsi"/>
          <w:sz w:val="24"/>
          <w:szCs w:val="24"/>
        </w:rPr>
        <w:t xml:space="preserve">undrained shear strength </w:t>
      </w:r>
      <w:r w:rsidR="00A63171" w:rsidRPr="00AB258D">
        <w:rPr>
          <w:rFonts w:cstheme="minorHAnsi"/>
          <w:sz w:val="24"/>
          <w:szCs w:val="24"/>
        </w:rPr>
        <w:t xml:space="preserve">of  0.17  MPa for  treatment  to  be  considered  as  effective. </w:t>
      </w:r>
      <w:r w:rsidR="006E4AEE" w:rsidRPr="00AB258D">
        <w:rPr>
          <w:rFonts w:cstheme="minorHAnsi"/>
          <w:sz w:val="24"/>
          <w:szCs w:val="24"/>
        </w:rPr>
        <w:t xml:space="preserve">Comparing the minimum target of </w:t>
      </w:r>
      <w:r w:rsidR="00E92987" w:rsidRPr="00AB258D">
        <w:rPr>
          <w:rFonts w:cstheme="minorHAnsi"/>
          <w:sz w:val="24"/>
          <w:szCs w:val="24"/>
        </w:rPr>
        <w:t xml:space="preserve">undrained shear strength </w:t>
      </w:r>
      <w:r w:rsidR="006E4AEE" w:rsidRPr="00AB258D">
        <w:rPr>
          <w:rFonts w:cstheme="minorHAnsi"/>
          <w:sz w:val="24"/>
          <w:szCs w:val="24"/>
        </w:rPr>
        <w:t xml:space="preserve">with the values obtained from the present study, it </w:t>
      </w:r>
      <w:r w:rsidR="00A63171" w:rsidRPr="00AB258D">
        <w:rPr>
          <w:rFonts w:cstheme="minorHAnsi"/>
          <w:sz w:val="24"/>
          <w:szCs w:val="24"/>
        </w:rPr>
        <w:t xml:space="preserve">shows that the </w:t>
      </w:r>
      <w:r w:rsidR="00E92987" w:rsidRPr="00AB258D">
        <w:rPr>
          <w:rFonts w:cstheme="minorHAnsi"/>
          <w:sz w:val="24"/>
          <w:szCs w:val="24"/>
        </w:rPr>
        <w:t xml:space="preserve">undrained shear strength </w:t>
      </w:r>
      <w:r w:rsidR="00606E55" w:rsidRPr="00AB258D">
        <w:rPr>
          <w:rFonts w:cstheme="minorHAnsi"/>
          <w:sz w:val="24"/>
          <w:szCs w:val="24"/>
        </w:rPr>
        <w:t xml:space="preserve">of the stabilised clays can find </w:t>
      </w:r>
      <w:r w:rsidR="002E49B7" w:rsidRPr="00AB258D">
        <w:rPr>
          <w:rFonts w:cstheme="minorHAnsi"/>
          <w:sz w:val="24"/>
          <w:szCs w:val="24"/>
        </w:rPr>
        <w:t xml:space="preserve">a </w:t>
      </w:r>
      <w:r w:rsidR="00C666C8" w:rsidRPr="00AB258D">
        <w:rPr>
          <w:rFonts w:cstheme="minorHAnsi"/>
          <w:sz w:val="24"/>
          <w:szCs w:val="24"/>
        </w:rPr>
        <w:t xml:space="preserve">range of </w:t>
      </w:r>
      <w:r w:rsidR="00606E55" w:rsidRPr="00AB258D">
        <w:rPr>
          <w:rFonts w:cstheme="minorHAnsi"/>
          <w:sz w:val="24"/>
          <w:szCs w:val="24"/>
        </w:rPr>
        <w:t xml:space="preserve">application in civil engineering activities such as </w:t>
      </w:r>
      <w:r w:rsidR="002E49B7" w:rsidRPr="00AB258D">
        <w:rPr>
          <w:rFonts w:cstheme="minorHAnsi"/>
          <w:sz w:val="24"/>
          <w:szCs w:val="24"/>
        </w:rPr>
        <w:t xml:space="preserve">in </w:t>
      </w:r>
      <w:r w:rsidR="00606E55" w:rsidRPr="00AB258D">
        <w:rPr>
          <w:rFonts w:cstheme="minorHAnsi"/>
          <w:sz w:val="24"/>
          <w:szCs w:val="24"/>
        </w:rPr>
        <w:t xml:space="preserve">road constructions. </w:t>
      </w:r>
      <w:r w:rsidR="00AC3ADA" w:rsidRPr="00AB258D">
        <w:rPr>
          <w:sz w:val="24"/>
          <w:szCs w:val="24"/>
        </w:rPr>
        <w:t>Table 3</w:t>
      </w:r>
      <w:r w:rsidR="00C666C8" w:rsidRPr="00AB258D">
        <w:rPr>
          <w:sz w:val="24"/>
          <w:szCs w:val="24"/>
        </w:rPr>
        <w:t xml:space="preserve"> presents the </w:t>
      </w:r>
      <w:r w:rsidR="00606E55" w:rsidRPr="00AB258D">
        <w:rPr>
          <w:sz w:val="24"/>
          <w:szCs w:val="24"/>
        </w:rPr>
        <w:t xml:space="preserve">strength criteria </w:t>
      </w:r>
      <w:r w:rsidR="00C666C8" w:rsidRPr="00AB258D">
        <w:rPr>
          <w:sz w:val="24"/>
          <w:szCs w:val="24"/>
        </w:rPr>
        <w:t>for soil-cement mixture</w:t>
      </w:r>
      <w:r w:rsidR="00B30FEE" w:rsidRPr="00AB258D">
        <w:rPr>
          <w:sz w:val="24"/>
          <w:szCs w:val="24"/>
        </w:rPr>
        <w:t>s</w:t>
      </w:r>
      <w:r w:rsidR="00C666C8" w:rsidRPr="00AB258D">
        <w:rPr>
          <w:sz w:val="24"/>
          <w:szCs w:val="24"/>
        </w:rPr>
        <w:t xml:space="preserve"> for </w:t>
      </w:r>
      <w:r w:rsidR="00AC3ADA" w:rsidRPr="00AB258D">
        <w:rPr>
          <w:sz w:val="24"/>
          <w:szCs w:val="24"/>
        </w:rPr>
        <w:t xml:space="preserve">use in </w:t>
      </w:r>
      <w:r w:rsidR="00C666C8" w:rsidRPr="00AB258D">
        <w:rPr>
          <w:sz w:val="24"/>
          <w:szCs w:val="24"/>
        </w:rPr>
        <w:t xml:space="preserve">road pavement base and sub base layers according to the </w:t>
      </w:r>
      <w:r w:rsidR="00606E55" w:rsidRPr="00AB258D">
        <w:rPr>
          <w:sz w:val="24"/>
          <w:szCs w:val="24"/>
        </w:rPr>
        <w:t xml:space="preserve">U. S. Army Corps of Engineers and the </w:t>
      </w:r>
      <w:r w:rsidR="00C666C8" w:rsidRPr="00AB258D">
        <w:rPr>
          <w:sz w:val="24"/>
          <w:szCs w:val="24"/>
        </w:rPr>
        <w:t>American Concrete Institute (</w:t>
      </w:r>
      <w:r w:rsidR="00606E55" w:rsidRPr="00AB258D">
        <w:rPr>
          <w:sz w:val="24"/>
          <w:szCs w:val="24"/>
        </w:rPr>
        <w:t>ACI</w:t>
      </w:r>
      <w:r w:rsidR="00C666C8" w:rsidRPr="00AB258D">
        <w:rPr>
          <w:sz w:val="24"/>
          <w:szCs w:val="24"/>
        </w:rPr>
        <w:t>)</w:t>
      </w:r>
      <w:r w:rsidR="004F0F74" w:rsidRPr="00AB258D">
        <w:rPr>
          <w:sz w:val="24"/>
          <w:szCs w:val="24"/>
        </w:rPr>
        <w:t xml:space="preserve">, </w:t>
      </w:r>
      <w:r w:rsidR="004F0F74" w:rsidRPr="00AB258D">
        <w:rPr>
          <w:rFonts w:cstheme="minorHAnsi"/>
          <w:sz w:val="24"/>
          <w:szCs w:val="24"/>
        </w:rPr>
        <w:fldChar w:fldCharType="begin" w:fldLock="1"/>
      </w:r>
      <w:r w:rsidR="00416EC1" w:rsidRPr="00AB258D">
        <w:rPr>
          <w:rFonts w:cstheme="minorHAnsi"/>
          <w:sz w:val="24"/>
          <w:szCs w:val="24"/>
        </w:rPr>
        <w:instrText>ADDIN CSL_CITATION {"citationItems":[{"id":"ITEM-1","itemData":{"author":[{"dropping-particle":"","family":"Ohio Department of transport","given":"Supplement 1120","non-dropping-particle":"","parse-names":false,"suffix":""}],"id":"ITEM-1","issued":{"date-parts":[["2011"]]},"page":"1-7","publisher-place":"City of Columbus, Ohio","title":"Mixture design for chemically stabilized soils","type":"article"},"uris":["http://www.mendeley.com/documents/?uuid=b53c3b95-e289-49aa-8511-c313f174745d"]}],"mendeley":{"formattedCitation":"[69]","manualFormatting":"[66, 67]","plainTextFormattedCitation":"[69]","previouslyFormattedCitation":"[68]"},"properties":{"noteIndex":0},"schema":"https://github.com/citation-style-language/schema/raw/master/csl-citation.json"}</w:instrText>
      </w:r>
      <w:r w:rsidR="004F0F74" w:rsidRPr="00AB258D">
        <w:rPr>
          <w:rFonts w:cstheme="minorHAnsi"/>
          <w:sz w:val="24"/>
          <w:szCs w:val="24"/>
        </w:rPr>
        <w:fldChar w:fldCharType="separate"/>
      </w:r>
      <w:r w:rsidR="004F0F74" w:rsidRPr="00AB258D">
        <w:rPr>
          <w:rFonts w:cstheme="minorHAnsi"/>
          <w:noProof/>
          <w:sz w:val="24"/>
          <w:szCs w:val="24"/>
        </w:rPr>
        <w:t>[66, 67]</w:t>
      </w:r>
      <w:r w:rsidR="004F0F74" w:rsidRPr="00AB258D">
        <w:rPr>
          <w:rFonts w:cstheme="minorHAnsi"/>
          <w:sz w:val="24"/>
          <w:szCs w:val="24"/>
        </w:rPr>
        <w:fldChar w:fldCharType="end"/>
      </w:r>
      <w:r w:rsidR="00843B77" w:rsidRPr="00AB258D">
        <w:rPr>
          <w:rFonts w:cstheme="minorHAnsi"/>
          <w:sz w:val="24"/>
          <w:szCs w:val="24"/>
        </w:rPr>
        <w:t>.</w:t>
      </w:r>
      <w:r w:rsidR="004F0F74" w:rsidRPr="00AB258D">
        <w:rPr>
          <w:rFonts w:cstheme="minorHAnsi"/>
          <w:sz w:val="24"/>
          <w:szCs w:val="24"/>
        </w:rPr>
        <w:t xml:space="preserve"> </w:t>
      </w:r>
      <w:r w:rsidR="005C1525" w:rsidRPr="00AB258D">
        <w:rPr>
          <w:rFonts w:cstheme="minorHAnsi"/>
          <w:sz w:val="24"/>
          <w:szCs w:val="24"/>
        </w:rPr>
        <w:t xml:space="preserve">Table </w:t>
      </w:r>
      <w:r w:rsidR="00755416" w:rsidRPr="00AB258D">
        <w:rPr>
          <w:rFonts w:cstheme="minorHAnsi"/>
          <w:sz w:val="24"/>
          <w:szCs w:val="24"/>
        </w:rPr>
        <w:t xml:space="preserve">3 shows that the </w:t>
      </w:r>
      <w:r w:rsidR="005C1525" w:rsidRPr="00AB258D">
        <w:rPr>
          <w:rFonts w:cstheme="minorHAnsi"/>
          <w:sz w:val="24"/>
          <w:szCs w:val="24"/>
        </w:rPr>
        <w:t xml:space="preserve">mix </w:t>
      </w:r>
      <w:r w:rsidR="00755416" w:rsidRPr="00AB258D">
        <w:rPr>
          <w:rFonts w:cstheme="minorHAnsi"/>
          <w:sz w:val="24"/>
          <w:szCs w:val="24"/>
        </w:rPr>
        <w:t xml:space="preserve">combination </w:t>
      </w:r>
      <w:r w:rsidR="005C1525" w:rsidRPr="00AB258D">
        <w:rPr>
          <w:rFonts w:cstheme="minorHAnsi"/>
          <w:sz w:val="24"/>
          <w:szCs w:val="24"/>
        </w:rPr>
        <w:t xml:space="preserve">comprising </w:t>
      </w:r>
      <w:r w:rsidR="00755416" w:rsidRPr="00AB258D">
        <w:rPr>
          <w:rFonts w:cstheme="minorHAnsi"/>
          <w:sz w:val="24"/>
          <w:szCs w:val="24"/>
        </w:rPr>
        <w:t xml:space="preserve">of </w:t>
      </w:r>
      <w:r w:rsidR="00755416" w:rsidRPr="00AB258D">
        <w:rPr>
          <w:sz w:val="24"/>
          <w:szCs w:val="24"/>
        </w:rPr>
        <w:t xml:space="preserve">4%CEM+3%GGBS+1%RC </w:t>
      </w:r>
      <w:r w:rsidR="00755416" w:rsidRPr="00AB258D">
        <w:rPr>
          <w:rFonts w:cstheme="minorHAnsi"/>
          <w:sz w:val="24"/>
          <w:szCs w:val="24"/>
        </w:rPr>
        <w:t>is suita</w:t>
      </w:r>
      <w:r w:rsidR="004F0F74" w:rsidRPr="00AB258D">
        <w:rPr>
          <w:rFonts w:cstheme="minorHAnsi"/>
          <w:sz w:val="24"/>
          <w:szCs w:val="24"/>
        </w:rPr>
        <w:t xml:space="preserve">ble </w:t>
      </w:r>
      <w:r w:rsidR="005C55A1" w:rsidRPr="00AB258D">
        <w:rPr>
          <w:rFonts w:cstheme="minorHAnsi"/>
          <w:sz w:val="24"/>
          <w:szCs w:val="24"/>
        </w:rPr>
        <w:t>for stabilisation</w:t>
      </w:r>
      <w:r w:rsidR="004F0F74" w:rsidRPr="00AB258D">
        <w:rPr>
          <w:rFonts w:cstheme="minorHAnsi"/>
          <w:sz w:val="24"/>
          <w:szCs w:val="24"/>
        </w:rPr>
        <w:t xml:space="preserve"> of </w:t>
      </w:r>
      <w:r w:rsidR="00755416" w:rsidRPr="00AB258D">
        <w:rPr>
          <w:rFonts w:cstheme="minorHAnsi"/>
          <w:sz w:val="24"/>
          <w:szCs w:val="24"/>
        </w:rPr>
        <w:t>ro</w:t>
      </w:r>
      <w:r w:rsidR="00751F64" w:rsidRPr="00AB258D">
        <w:rPr>
          <w:rFonts w:cstheme="minorHAnsi"/>
          <w:sz w:val="24"/>
          <w:szCs w:val="24"/>
        </w:rPr>
        <w:t xml:space="preserve">ad </w:t>
      </w:r>
      <w:r w:rsidR="00B4589B" w:rsidRPr="00AB258D">
        <w:rPr>
          <w:rFonts w:cstheme="minorHAnsi"/>
          <w:sz w:val="24"/>
          <w:szCs w:val="24"/>
        </w:rPr>
        <w:t xml:space="preserve">sub-base </w:t>
      </w:r>
      <w:r w:rsidR="001934DC" w:rsidRPr="00AB258D">
        <w:rPr>
          <w:rFonts w:cstheme="minorHAnsi"/>
          <w:sz w:val="24"/>
          <w:szCs w:val="24"/>
        </w:rPr>
        <w:t>and subgrade materials</w:t>
      </w:r>
      <w:r w:rsidR="004F0F74" w:rsidRPr="00AB258D">
        <w:rPr>
          <w:rFonts w:cstheme="minorHAnsi"/>
          <w:sz w:val="24"/>
          <w:szCs w:val="24"/>
        </w:rPr>
        <w:t xml:space="preserve"> </w:t>
      </w:r>
      <w:r w:rsidR="00A179DF" w:rsidRPr="00AB258D">
        <w:rPr>
          <w:rFonts w:cstheme="minorHAnsi"/>
          <w:sz w:val="24"/>
          <w:szCs w:val="24"/>
        </w:rPr>
        <w:t xml:space="preserve">for rigid pavements </w:t>
      </w:r>
      <w:r w:rsidR="001934DC" w:rsidRPr="00AB258D">
        <w:rPr>
          <w:rFonts w:cstheme="minorHAnsi"/>
          <w:sz w:val="24"/>
          <w:szCs w:val="24"/>
        </w:rPr>
        <w:t>under light and heavy traffic</w:t>
      </w:r>
      <w:r w:rsidR="00755416" w:rsidRPr="00AB258D">
        <w:rPr>
          <w:rFonts w:cstheme="minorHAnsi"/>
          <w:sz w:val="24"/>
          <w:szCs w:val="24"/>
        </w:rPr>
        <w:t xml:space="preserve"> based on the </w:t>
      </w:r>
      <w:r w:rsidR="004F0F74" w:rsidRPr="00AB258D">
        <w:rPr>
          <w:rFonts w:cstheme="minorHAnsi"/>
          <w:sz w:val="24"/>
          <w:szCs w:val="24"/>
        </w:rPr>
        <w:t xml:space="preserve">28-day </w:t>
      </w:r>
      <w:r w:rsidR="00E92987" w:rsidRPr="00AB258D">
        <w:rPr>
          <w:rFonts w:cstheme="minorHAnsi"/>
          <w:sz w:val="24"/>
          <w:szCs w:val="24"/>
        </w:rPr>
        <w:t xml:space="preserve">undrained shear strength </w:t>
      </w:r>
      <w:r w:rsidR="00755416" w:rsidRPr="00AB258D">
        <w:rPr>
          <w:rFonts w:cstheme="minorHAnsi"/>
          <w:sz w:val="24"/>
          <w:szCs w:val="24"/>
        </w:rPr>
        <w:t>values of the stabilised clay</w:t>
      </w:r>
      <w:r w:rsidR="005C1525" w:rsidRPr="00AB258D">
        <w:rPr>
          <w:rFonts w:cstheme="minorHAnsi"/>
          <w:sz w:val="24"/>
          <w:szCs w:val="24"/>
        </w:rPr>
        <w:t>s</w:t>
      </w:r>
      <w:r w:rsidR="00755416" w:rsidRPr="00AB258D">
        <w:rPr>
          <w:rFonts w:cstheme="minorHAnsi"/>
          <w:sz w:val="24"/>
          <w:szCs w:val="24"/>
        </w:rPr>
        <w:t xml:space="preserve">. </w:t>
      </w:r>
      <w:r w:rsidR="006E4AEE" w:rsidRPr="00AB258D">
        <w:rPr>
          <w:rFonts w:cstheme="minorHAnsi"/>
          <w:sz w:val="24"/>
          <w:szCs w:val="24"/>
        </w:rPr>
        <w:t xml:space="preserve">It has been said that </w:t>
      </w:r>
      <w:r w:rsidR="00606E55" w:rsidRPr="00AB258D">
        <w:rPr>
          <w:sz w:val="24"/>
          <w:szCs w:val="24"/>
        </w:rPr>
        <w:t xml:space="preserve">if the selected samples strength does not meet the recommended strength values, then higher cement contents may be added to </w:t>
      </w:r>
      <w:r w:rsidR="00AC3ADA" w:rsidRPr="00AB258D">
        <w:rPr>
          <w:sz w:val="24"/>
          <w:szCs w:val="24"/>
        </w:rPr>
        <w:t xml:space="preserve">the </w:t>
      </w:r>
      <w:r w:rsidR="00606E55" w:rsidRPr="00AB258D">
        <w:rPr>
          <w:sz w:val="24"/>
          <w:szCs w:val="24"/>
        </w:rPr>
        <w:t>s</w:t>
      </w:r>
      <w:r w:rsidR="00843B77" w:rsidRPr="00AB258D">
        <w:rPr>
          <w:sz w:val="24"/>
          <w:szCs w:val="24"/>
        </w:rPr>
        <w:t>oil and strength test</w:t>
      </w:r>
      <w:r w:rsidR="00606E55" w:rsidRPr="00AB258D">
        <w:rPr>
          <w:sz w:val="24"/>
          <w:szCs w:val="24"/>
        </w:rPr>
        <w:t xml:space="preserve"> may be repeated till the strength values confirm to the</w:t>
      </w:r>
      <w:r w:rsidR="001F1883" w:rsidRPr="00AB258D">
        <w:rPr>
          <w:sz w:val="24"/>
          <w:szCs w:val="24"/>
        </w:rPr>
        <w:t xml:space="preserve"> requirements</w:t>
      </w:r>
      <w:r w:rsidR="00843B77" w:rsidRPr="00AB258D">
        <w:rPr>
          <w:sz w:val="24"/>
          <w:szCs w:val="24"/>
        </w:rPr>
        <w:t xml:space="preserve">, </w:t>
      </w:r>
      <w:r w:rsidR="00843B77" w:rsidRPr="00AB258D">
        <w:rPr>
          <w:rFonts w:cstheme="minorHAnsi"/>
          <w:sz w:val="24"/>
          <w:szCs w:val="24"/>
        </w:rPr>
        <w:fldChar w:fldCharType="begin" w:fldLock="1"/>
      </w:r>
      <w:r w:rsidR="00416EC1" w:rsidRPr="00AB258D">
        <w:rPr>
          <w:rFonts w:cstheme="minorHAnsi"/>
          <w:sz w:val="24"/>
          <w:szCs w:val="24"/>
        </w:rPr>
        <w:instrText>ADDIN CSL_CITATION {"citationItems":[{"id":"ITEM-1","itemData":{"author":[{"dropping-particle":"","family":"Ohio Department of transport","given":"Supplement 1120","non-dropping-particle":"","parse-names":false,"suffix":""}],"id":"ITEM-1","issued":{"date-parts":[["2011"]]},"page":"1-7","publisher-place":"City of Columbus, Ohio","title":"Mixture design for chemically stabilized soils","type":"article"},"uris":["http://www.mendeley.com/documents/?uuid=b53c3b95-e289-49aa-8511-c313f174745d"]}],"mendeley":{"formattedCitation":"[69]","manualFormatting":"[66]","plainTextFormattedCitation":"[69]","previouslyFormattedCitation":"[68]"},"properties":{"noteIndex":0},"schema":"https://github.com/citation-style-language/schema/raw/master/csl-citation.json"}</w:instrText>
      </w:r>
      <w:r w:rsidR="00843B77" w:rsidRPr="00AB258D">
        <w:rPr>
          <w:rFonts w:cstheme="minorHAnsi"/>
          <w:sz w:val="24"/>
          <w:szCs w:val="24"/>
        </w:rPr>
        <w:fldChar w:fldCharType="separate"/>
      </w:r>
      <w:r w:rsidR="004F0F74" w:rsidRPr="00AB258D">
        <w:rPr>
          <w:rFonts w:cstheme="minorHAnsi"/>
          <w:noProof/>
          <w:sz w:val="24"/>
          <w:szCs w:val="24"/>
        </w:rPr>
        <w:t>[66</w:t>
      </w:r>
      <w:r w:rsidR="00843B77" w:rsidRPr="00AB258D">
        <w:rPr>
          <w:rFonts w:cstheme="minorHAnsi"/>
          <w:noProof/>
          <w:sz w:val="24"/>
          <w:szCs w:val="24"/>
        </w:rPr>
        <w:t>]</w:t>
      </w:r>
      <w:r w:rsidR="00843B77" w:rsidRPr="00AB258D">
        <w:rPr>
          <w:rFonts w:cstheme="minorHAnsi"/>
          <w:sz w:val="24"/>
          <w:szCs w:val="24"/>
        </w:rPr>
        <w:fldChar w:fldCharType="end"/>
      </w:r>
      <w:r w:rsidR="00843B77" w:rsidRPr="00AB258D">
        <w:rPr>
          <w:sz w:val="24"/>
          <w:szCs w:val="24"/>
        </w:rPr>
        <w:t>.</w:t>
      </w:r>
      <w:r w:rsidR="001F1883" w:rsidRPr="00AB258D">
        <w:rPr>
          <w:sz w:val="24"/>
          <w:szCs w:val="24"/>
        </w:rPr>
        <w:t xml:space="preserve"> </w:t>
      </w:r>
      <w:r w:rsidR="00606E55" w:rsidRPr="00AB258D">
        <w:rPr>
          <w:sz w:val="24"/>
          <w:szCs w:val="24"/>
        </w:rPr>
        <w:t xml:space="preserve">Therefore, following the </w:t>
      </w:r>
      <w:r w:rsidR="00E92987" w:rsidRPr="00AB258D">
        <w:rPr>
          <w:sz w:val="24"/>
          <w:szCs w:val="24"/>
        </w:rPr>
        <w:t xml:space="preserve">undrained shear strength </w:t>
      </w:r>
      <w:r w:rsidR="00606E55" w:rsidRPr="00AB258D">
        <w:rPr>
          <w:sz w:val="24"/>
          <w:szCs w:val="24"/>
        </w:rPr>
        <w:t xml:space="preserve">values obtained from </w:t>
      </w:r>
      <w:r w:rsidR="001F1883" w:rsidRPr="00AB258D">
        <w:rPr>
          <w:sz w:val="24"/>
          <w:szCs w:val="24"/>
        </w:rPr>
        <w:t>t</w:t>
      </w:r>
      <w:r w:rsidR="00AC3ADA" w:rsidRPr="00AB258D">
        <w:rPr>
          <w:sz w:val="24"/>
          <w:szCs w:val="24"/>
        </w:rPr>
        <w:t>his study</w:t>
      </w:r>
      <w:r w:rsidR="001F1883" w:rsidRPr="00AB258D">
        <w:rPr>
          <w:sz w:val="24"/>
          <w:szCs w:val="24"/>
        </w:rPr>
        <w:t xml:space="preserve">, </w:t>
      </w:r>
      <w:r w:rsidR="00B722BC" w:rsidRPr="00AB258D">
        <w:rPr>
          <w:sz w:val="24"/>
          <w:szCs w:val="24"/>
        </w:rPr>
        <w:t xml:space="preserve">it is recommended that </w:t>
      </w:r>
      <w:r w:rsidR="00870FCF" w:rsidRPr="00AB258D">
        <w:rPr>
          <w:sz w:val="24"/>
          <w:szCs w:val="24"/>
        </w:rPr>
        <w:t xml:space="preserve">higher cement and GGBS </w:t>
      </w:r>
      <w:r w:rsidR="00B722BC" w:rsidRPr="00AB258D">
        <w:rPr>
          <w:sz w:val="24"/>
          <w:szCs w:val="24"/>
        </w:rPr>
        <w:t>content</w:t>
      </w:r>
      <w:r w:rsidR="00870FCF" w:rsidRPr="00AB258D">
        <w:rPr>
          <w:sz w:val="24"/>
          <w:szCs w:val="24"/>
        </w:rPr>
        <w:t>s</w:t>
      </w:r>
      <w:r w:rsidR="00B722BC" w:rsidRPr="00AB258D">
        <w:rPr>
          <w:sz w:val="24"/>
          <w:szCs w:val="24"/>
        </w:rPr>
        <w:t xml:space="preserve"> be </w:t>
      </w:r>
      <w:r w:rsidR="00755416" w:rsidRPr="00AB258D">
        <w:rPr>
          <w:sz w:val="24"/>
          <w:szCs w:val="24"/>
        </w:rPr>
        <w:t xml:space="preserve">investigated </w:t>
      </w:r>
      <w:r w:rsidR="00870FCF" w:rsidRPr="00AB258D">
        <w:rPr>
          <w:sz w:val="24"/>
          <w:szCs w:val="24"/>
        </w:rPr>
        <w:t xml:space="preserve">to establish a mixture composition comprising of p%CEM+q%GGBS+1%RC </w:t>
      </w:r>
      <w:r w:rsidR="001C2D4D" w:rsidRPr="00AB258D">
        <w:rPr>
          <w:sz w:val="24"/>
          <w:szCs w:val="24"/>
        </w:rPr>
        <w:t>to meet the 7-day</w:t>
      </w:r>
      <w:r w:rsidR="00870FCF" w:rsidRPr="00AB258D">
        <w:rPr>
          <w:sz w:val="24"/>
          <w:szCs w:val="24"/>
        </w:rPr>
        <w:t xml:space="preserve"> strength requirements</w:t>
      </w:r>
      <w:r w:rsidR="00B73520" w:rsidRPr="00AB258D">
        <w:rPr>
          <w:sz w:val="24"/>
          <w:szCs w:val="24"/>
        </w:rPr>
        <w:t xml:space="preserve"> as stated in Table 3, where p and q are the required amount of cement and GGBS respectively. </w:t>
      </w:r>
    </w:p>
    <w:p w14:paraId="2F2797A2" w14:textId="77777777" w:rsidR="00140D67" w:rsidRPr="00AB258D" w:rsidRDefault="00F65507" w:rsidP="00140D67">
      <w:pPr>
        <w:spacing w:line="276" w:lineRule="auto"/>
        <w:jc w:val="both"/>
        <w:rPr>
          <w:sz w:val="24"/>
          <w:szCs w:val="24"/>
        </w:rPr>
      </w:pPr>
      <w:r w:rsidRPr="00AB258D">
        <w:rPr>
          <w:sz w:val="24"/>
          <w:szCs w:val="24"/>
        </w:rPr>
        <w:t xml:space="preserve">According to BS EN 16907-4:2018 </w:t>
      </w:r>
      <w:r w:rsidRPr="00AB258D">
        <w:rPr>
          <w:rFonts w:cstheme="minorHAnsi"/>
          <w:sz w:val="24"/>
          <w:szCs w:val="24"/>
        </w:rPr>
        <w:fldChar w:fldCharType="begin" w:fldLock="1"/>
      </w:r>
      <w:r w:rsidRPr="00AB258D">
        <w:rPr>
          <w:rFonts w:cstheme="minorHAnsi"/>
          <w:sz w:val="24"/>
          <w:szCs w:val="24"/>
        </w:rPr>
        <w:instrText>ADDIN CSL_CITATION {"citationItems":[{"id":"ITEM-1","itemData":{"author":[{"dropping-particle":"","family":"Ohio Department of transport","given":"Supplement 1120","non-dropping-particle":"","parse-names":false,"suffix":""}],"id":"ITEM-1","issued":{"date-parts":[["2011"]]},"page":"1-7","publisher-place":"City of Columbus, Ohio","title":"Mixture design for chemically stabilized soils","type":"article"},"uris":["http://www.mendeley.com/documents/?uuid=b53c3b95-e289-49aa-8511-c313f174745d"]}],"mendeley":{"formattedCitation":"[69]","manualFormatting":"[66]","plainTextFormattedCitation":"[69]","previouslyFormattedCitation":"[68]"},"properties":{"noteIndex":0},"schema":"https://github.com/citation-style-language/schema/raw/master/csl-citation.json"}</w:instrText>
      </w:r>
      <w:r w:rsidRPr="00AB258D">
        <w:rPr>
          <w:rFonts w:cstheme="minorHAnsi"/>
          <w:sz w:val="24"/>
          <w:szCs w:val="24"/>
        </w:rPr>
        <w:fldChar w:fldCharType="separate"/>
      </w:r>
      <w:r w:rsidRPr="00AB258D">
        <w:rPr>
          <w:rFonts w:cstheme="minorHAnsi"/>
          <w:noProof/>
          <w:sz w:val="24"/>
          <w:szCs w:val="24"/>
        </w:rPr>
        <w:t>[70]</w:t>
      </w:r>
      <w:r w:rsidRPr="00AB258D">
        <w:rPr>
          <w:rFonts w:cstheme="minorHAnsi"/>
          <w:sz w:val="24"/>
          <w:szCs w:val="24"/>
        </w:rPr>
        <w:fldChar w:fldCharType="end"/>
      </w:r>
      <w:r w:rsidR="00F3172C" w:rsidRPr="00AB258D">
        <w:rPr>
          <w:rFonts w:cstheme="minorHAnsi"/>
          <w:sz w:val="24"/>
          <w:szCs w:val="24"/>
        </w:rPr>
        <w:t xml:space="preserve">, soils can be stabilised to for use as </w:t>
      </w:r>
      <w:r w:rsidRPr="00AB258D">
        <w:rPr>
          <w:rFonts w:cstheme="minorHAnsi"/>
          <w:sz w:val="24"/>
          <w:szCs w:val="24"/>
        </w:rPr>
        <w:t xml:space="preserve">filling in narrow places (such as </w:t>
      </w:r>
      <w:r w:rsidRPr="00AB258D">
        <w:rPr>
          <w:sz w:val="24"/>
          <w:szCs w:val="24"/>
        </w:rPr>
        <w:t>earthworks close to bridges, backfill to trenches, backfill around buried pipes)</w:t>
      </w:r>
      <w:r w:rsidR="00F3172C" w:rsidRPr="00AB258D">
        <w:rPr>
          <w:rFonts w:cstheme="minorHAnsi"/>
          <w:sz w:val="24"/>
          <w:szCs w:val="24"/>
        </w:rPr>
        <w:t xml:space="preserve"> and for </w:t>
      </w:r>
      <w:r w:rsidRPr="00AB258D">
        <w:rPr>
          <w:rFonts w:cstheme="minorHAnsi"/>
          <w:sz w:val="24"/>
          <w:szCs w:val="24"/>
        </w:rPr>
        <w:t xml:space="preserve">the </w:t>
      </w:r>
      <w:r w:rsidRPr="00AB258D">
        <w:rPr>
          <w:sz w:val="24"/>
          <w:szCs w:val="24"/>
        </w:rPr>
        <w:t>construction of the lower layers in high embankments built with water sensitive soils susceptible to occasional flooding. For this purpose, the undrained shear strength of the stabilised soil should be in the range o</w:t>
      </w:r>
      <w:r w:rsidR="00245957" w:rsidRPr="00AB258D">
        <w:rPr>
          <w:sz w:val="24"/>
          <w:szCs w:val="24"/>
        </w:rPr>
        <w:t xml:space="preserve">f 0.25 to </w:t>
      </w:r>
      <w:r w:rsidR="00450AE6" w:rsidRPr="00AB258D">
        <w:rPr>
          <w:sz w:val="24"/>
          <w:szCs w:val="24"/>
        </w:rPr>
        <w:t xml:space="preserve">0.5 MPa after 28 days </w:t>
      </w:r>
      <w:r w:rsidR="00245957" w:rsidRPr="00AB258D">
        <w:rPr>
          <w:sz w:val="24"/>
          <w:szCs w:val="24"/>
        </w:rPr>
        <w:t xml:space="preserve">of </w:t>
      </w:r>
      <w:r w:rsidR="00450AE6" w:rsidRPr="00AB258D">
        <w:rPr>
          <w:sz w:val="24"/>
          <w:szCs w:val="24"/>
        </w:rPr>
        <w:t xml:space="preserve">curing </w:t>
      </w:r>
      <w:r w:rsidR="00487DEB" w:rsidRPr="00AB258D">
        <w:rPr>
          <w:sz w:val="24"/>
          <w:szCs w:val="24"/>
        </w:rPr>
        <w:t xml:space="preserve">following equal </w:t>
      </w:r>
      <w:r w:rsidR="00450AE6" w:rsidRPr="00AB258D">
        <w:rPr>
          <w:sz w:val="24"/>
          <w:szCs w:val="24"/>
        </w:rPr>
        <w:t>periods of moist curing and</w:t>
      </w:r>
      <w:r w:rsidR="00B85AAB" w:rsidRPr="00AB258D">
        <w:rPr>
          <w:sz w:val="24"/>
          <w:szCs w:val="24"/>
        </w:rPr>
        <w:t xml:space="preserve"> soaking </w:t>
      </w:r>
      <w:r w:rsidRPr="00AB258D">
        <w:rPr>
          <w:rFonts w:cstheme="minorHAnsi"/>
          <w:sz w:val="24"/>
          <w:szCs w:val="24"/>
        </w:rPr>
        <w:fldChar w:fldCharType="begin" w:fldLock="1"/>
      </w:r>
      <w:r w:rsidRPr="00AB258D">
        <w:rPr>
          <w:rFonts w:cstheme="minorHAnsi"/>
          <w:sz w:val="24"/>
          <w:szCs w:val="24"/>
        </w:rPr>
        <w:instrText>ADDIN CSL_CITATION {"citationItems":[{"id":"ITEM-1","itemData":{"author":[{"dropping-particle":"","family":"Ohio Department of transport","given":"Supplement 1120","non-dropping-particle":"","parse-names":false,"suffix":""}],"id":"ITEM-1","issued":{"date-parts":[["2011"]]},"page":"1-7","publisher-place":"City of Columbus, Ohio","title":"Mixture design for chemically stabilized soils","type":"article"},"uris":["http://www.mendeley.com/documents/?uuid=b53c3b95-e289-49aa-8511-c313f174745d"]}],"mendeley":{"formattedCitation":"[69]","manualFormatting":"[66]","plainTextFormattedCitation":"[69]","previouslyFormattedCitation":"[68]"},"properties":{"noteIndex":0},"schema":"https://github.com/citation-style-language/schema/raw/master/csl-citation.json"}</w:instrText>
      </w:r>
      <w:r w:rsidRPr="00AB258D">
        <w:rPr>
          <w:rFonts w:cstheme="minorHAnsi"/>
          <w:sz w:val="24"/>
          <w:szCs w:val="24"/>
        </w:rPr>
        <w:fldChar w:fldCharType="separate"/>
      </w:r>
      <w:r w:rsidRPr="00AB258D">
        <w:rPr>
          <w:rFonts w:cstheme="minorHAnsi"/>
          <w:noProof/>
          <w:sz w:val="24"/>
          <w:szCs w:val="24"/>
        </w:rPr>
        <w:t>[70]</w:t>
      </w:r>
      <w:r w:rsidRPr="00AB258D">
        <w:rPr>
          <w:rFonts w:cstheme="minorHAnsi"/>
          <w:sz w:val="24"/>
          <w:szCs w:val="24"/>
        </w:rPr>
        <w:fldChar w:fldCharType="end"/>
      </w:r>
      <w:r w:rsidRPr="00AB258D">
        <w:rPr>
          <w:sz w:val="24"/>
          <w:szCs w:val="24"/>
        </w:rPr>
        <w:t xml:space="preserve">. This implies that the </w:t>
      </w:r>
      <w:r w:rsidRPr="00AB258D">
        <w:rPr>
          <w:rFonts w:cstheme="minorHAnsi"/>
          <w:sz w:val="24"/>
          <w:szCs w:val="24"/>
        </w:rPr>
        <w:t xml:space="preserve">mix combination comprising of </w:t>
      </w:r>
      <w:r w:rsidRPr="00AB258D">
        <w:rPr>
          <w:sz w:val="24"/>
          <w:szCs w:val="24"/>
        </w:rPr>
        <w:t xml:space="preserve">4%CEM+3%GGBS+1%RC can also be used in the stabilisation of </w:t>
      </w:r>
      <w:r w:rsidR="00753B6E" w:rsidRPr="00AB258D">
        <w:rPr>
          <w:sz w:val="24"/>
          <w:szCs w:val="24"/>
        </w:rPr>
        <w:t xml:space="preserve">the </w:t>
      </w:r>
      <w:r w:rsidRPr="00AB258D">
        <w:rPr>
          <w:sz w:val="24"/>
          <w:szCs w:val="24"/>
        </w:rPr>
        <w:t xml:space="preserve">lower layers in high embankments in areas where the hydrological conditions at the site </w:t>
      </w:r>
      <w:r w:rsidR="00753B6E" w:rsidRPr="00AB258D">
        <w:rPr>
          <w:sz w:val="24"/>
          <w:szCs w:val="24"/>
        </w:rPr>
        <w:t xml:space="preserve">show </w:t>
      </w:r>
      <w:r w:rsidR="00B57508" w:rsidRPr="00AB258D">
        <w:rPr>
          <w:sz w:val="24"/>
          <w:szCs w:val="24"/>
        </w:rPr>
        <w:t>that the</w:t>
      </w:r>
      <w:r w:rsidRPr="00AB258D">
        <w:rPr>
          <w:sz w:val="24"/>
          <w:szCs w:val="24"/>
        </w:rPr>
        <w:t xml:space="preserve"> lower part of the emba</w:t>
      </w:r>
      <w:r w:rsidR="00450AE6" w:rsidRPr="00AB258D">
        <w:rPr>
          <w:sz w:val="24"/>
          <w:szCs w:val="24"/>
        </w:rPr>
        <w:t>nkment may experience flooding</w:t>
      </w:r>
      <w:r w:rsidR="00753B6E" w:rsidRPr="00AB258D">
        <w:rPr>
          <w:sz w:val="24"/>
          <w:szCs w:val="24"/>
        </w:rPr>
        <w:t>.</w:t>
      </w:r>
      <w:r w:rsidR="00B57508" w:rsidRPr="00AB258D">
        <w:rPr>
          <w:sz w:val="24"/>
          <w:szCs w:val="24"/>
        </w:rPr>
        <w:t xml:space="preserve"> </w:t>
      </w:r>
      <w:r w:rsidR="00140D67" w:rsidRPr="00AB258D">
        <w:rPr>
          <w:sz w:val="24"/>
          <w:szCs w:val="24"/>
        </w:rPr>
        <w:t>The investigated mixture combination can also find application in the stabilisation of soil</w:t>
      </w:r>
      <w:r w:rsidR="002A577A" w:rsidRPr="00AB258D">
        <w:rPr>
          <w:sz w:val="24"/>
          <w:szCs w:val="24"/>
        </w:rPr>
        <w:t xml:space="preserve">s for </w:t>
      </w:r>
      <w:r w:rsidR="00140D67" w:rsidRPr="00AB258D">
        <w:rPr>
          <w:sz w:val="24"/>
          <w:szCs w:val="24"/>
        </w:rPr>
        <w:t xml:space="preserve">filling in narrow places to introduce and confer permanent cohesion in the system of compacted fill in order to compensate for any localised </w:t>
      </w:r>
      <w:r w:rsidR="0007215D" w:rsidRPr="00AB258D">
        <w:rPr>
          <w:sz w:val="24"/>
          <w:szCs w:val="24"/>
        </w:rPr>
        <w:t xml:space="preserve">region of inadequate compaction caused by the tight boundaries. </w:t>
      </w:r>
      <w:r w:rsidR="00140D67" w:rsidRPr="00AB258D">
        <w:rPr>
          <w:sz w:val="24"/>
          <w:szCs w:val="24"/>
        </w:rPr>
        <w:t xml:space="preserve"> </w:t>
      </w:r>
    </w:p>
    <w:p w14:paraId="1CF0EE35" w14:textId="77777777" w:rsidR="00F65507" w:rsidRPr="00AB258D" w:rsidRDefault="00F65507" w:rsidP="00F65507">
      <w:pPr>
        <w:spacing w:line="276" w:lineRule="auto"/>
        <w:jc w:val="both"/>
        <w:rPr>
          <w:sz w:val="24"/>
          <w:szCs w:val="24"/>
        </w:rPr>
      </w:pPr>
    </w:p>
    <w:p w14:paraId="61EF1E40" w14:textId="77777777" w:rsidR="00B57508" w:rsidRPr="00AB258D" w:rsidRDefault="00B57508" w:rsidP="00F65507">
      <w:pPr>
        <w:spacing w:line="276" w:lineRule="auto"/>
        <w:jc w:val="both"/>
      </w:pPr>
    </w:p>
    <w:p w14:paraId="2D686387" w14:textId="77777777" w:rsidR="00FC153B" w:rsidRPr="00AB258D" w:rsidRDefault="00701281" w:rsidP="00EA05BE">
      <w:pPr>
        <w:rPr>
          <w:rFonts w:cstheme="minorHAnsi"/>
          <w:sz w:val="24"/>
          <w:szCs w:val="24"/>
        </w:rPr>
      </w:pPr>
      <w:r w:rsidRPr="00AB258D">
        <w:rPr>
          <w:rFonts w:cstheme="minorHAnsi"/>
          <w:sz w:val="24"/>
          <w:szCs w:val="24"/>
        </w:rPr>
        <w:t xml:space="preserve">Table 3. Values of </w:t>
      </w:r>
      <w:r w:rsidR="00E92987" w:rsidRPr="00AB258D">
        <w:rPr>
          <w:rFonts w:cstheme="minorHAnsi"/>
          <w:sz w:val="24"/>
          <w:szCs w:val="24"/>
        </w:rPr>
        <w:t xml:space="preserve">undrained shear strength </w:t>
      </w:r>
      <w:r w:rsidRPr="00AB258D">
        <w:rPr>
          <w:rFonts w:cstheme="minorHAnsi"/>
          <w:sz w:val="24"/>
          <w:szCs w:val="24"/>
        </w:rPr>
        <w:t xml:space="preserve">and typical practical requirements and application </w:t>
      </w:r>
    </w:p>
    <w:tbl>
      <w:tblPr>
        <w:tblStyle w:val="PlainTable2"/>
        <w:tblW w:w="9116" w:type="dxa"/>
        <w:tblLook w:val="04A0" w:firstRow="1" w:lastRow="0" w:firstColumn="1" w:lastColumn="0" w:noHBand="0" w:noVBand="1"/>
      </w:tblPr>
      <w:tblGrid>
        <w:gridCol w:w="4424"/>
        <w:gridCol w:w="2345"/>
        <w:gridCol w:w="2347"/>
      </w:tblGrid>
      <w:tr w:rsidR="00AB258D" w:rsidRPr="00AB258D" w14:paraId="103950E2" w14:textId="77777777" w:rsidTr="007A1FC2">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424" w:type="dxa"/>
          </w:tcPr>
          <w:p w14:paraId="18BF0990" w14:textId="77777777" w:rsidR="004C7EF7" w:rsidRPr="00AB258D" w:rsidRDefault="004C7EF7" w:rsidP="00606E55">
            <w:pPr>
              <w:rPr>
                <w:rFonts w:asciiTheme="minorHAnsi" w:hAnsiTheme="minorHAnsi" w:cstheme="minorHAnsi"/>
                <w:sz w:val="24"/>
                <w:szCs w:val="24"/>
              </w:rPr>
            </w:pPr>
            <w:r w:rsidRPr="00AB258D">
              <w:rPr>
                <w:rFonts w:asciiTheme="minorHAnsi" w:hAnsiTheme="minorHAnsi" w:cstheme="minorHAnsi"/>
                <w:sz w:val="24"/>
                <w:szCs w:val="24"/>
              </w:rPr>
              <w:t>Soil used</w:t>
            </w:r>
          </w:p>
        </w:tc>
        <w:tc>
          <w:tcPr>
            <w:tcW w:w="2345" w:type="dxa"/>
          </w:tcPr>
          <w:p w14:paraId="73DE92C8" w14:textId="77777777" w:rsidR="004C7EF7" w:rsidRPr="00AB258D" w:rsidRDefault="004C7EF7" w:rsidP="00606E5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CL (Soil I)</w:t>
            </w:r>
          </w:p>
        </w:tc>
        <w:tc>
          <w:tcPr>
            <w:tcW w:w="2346" w:type="dxa"/>
          </w:tcPr>
          <w:p w14:paraId="3CB1E8B6" w14:textId="77777777" w:rsidR="004C7EF7" w:rsidRPr="00AB258D" w:rsidRDefault="004C7EF7" w:rsidP="00606E5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CH (Soil II)</w:t>
            </w:r>
          </w:p>
        </w:tc>
      </w:tr>
      <w:tr w:rsidR="00AB258D" w:rsidRPr="00AB258D" w14:paraId="6FA2BA11" w14:textId="77777777" w:rsidTr="007A1FC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424" w:type="dxa"/>
          </w:tcPr>
          <w:p w14:paraId="01E09B83" w14:textId="77777777" w:rsidR="004C7EF7" w:rsidRPr="00AB258D" w:rsidRDefault="004C7EF7" w:rsidP="00606E55">
            <w:pPr>
              <w:rPr>
                <w:rFonts w:asciiTheme="minorHAnsi" w:hAnsiTheme="minorHAnsi" w:cstheme="minorHAnsi"/>
                <w:b w:val="0"/>
                <w:sz w:val="24"/>
                <w:szCs w:val="24"/>
              </w:rPr>
            </w:pPr>
            <w:r w:rsidRPr="00AB258D">
              <w:rPr>
                <w:rFonts w:asciiTheme="minorHAnsi" w:hAnsiTheme="minorHAnsi" w:cstheme="minorHAnsi"/>
                <w:b w:val="0"/>
                <w:sz w:val="24"/>
                <w:szCs w:val="24"/>
              </w:rPr>
              <w:t>Typical range of cement requirement (%)</w:t>
            </w:r>
          </w:p>
        </w:tc>
        <w:tc>
          <w:tcPr>
            <w:tcW w:w="2345" w:type="dxa"/>
          </w:tcPr>
          <w:p w14:paraId="20BAA6EA" w14:textId="77777777" w:rsidR="004C7EF7" w:rsidRPr="00AB258D" w:rsidRDefault="004C7EF7" w:rsidP="00606E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7 to 12</w:t>
            </w:r>
          </w:p>
        </w:tc>
        <w:tc>
          <w:tcPr>
            <w:tcW w:w="2346" w:type="dxa"/>
          </w:tcPr>
          <w:p w14:paraId="33A22CF0" w14:textId="77777777" w:rsidR="004C7EF7" w:rsidRPr="00AB258D" w:rsidRDefault="004C7EF7" w:rsidP="00606E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8 to 13</w:t>
            </w:r>
          </w:p>
        </w:tc>
      </w:tr>
      <w:tr w:rsidR="00AB258D" w:rsidRPr="00AB258D" w14:paraId="726D13F2" w14:textId="77777777" w:rsidTr="007A1FC2">
        <w:trPr>
          <w:trHeight w:val="630"/>
        </w:trPr>
        <w:tc>
          <w:tcPr>
            <w:cnfStyle w:val="001000000000" w:firstRow="0" w:lastRow="0" w:firstColumn="1" w:lastColumn="0" w:oddVBand="0" w:evenVBand="0" w:oddHBand="0" w:evenHBand="0" w:firstRowFirstColumn="0" w:firstRowLastColumn="0" w:lastRowFirstColumn="0" w:lastRowLastColumn="0"/>
            <w:tcW w:w="4424" w:type="dxa"/>
          </w:tcPr>
          <w:p w14:paraId="50C917EF" w14:textId="77777777" w:rsidR="004C7EF7" w:rsidRPr="00AB258D" w:rsidRDefault="004C7EF7" w:rsidP="00606E55">
            <w:pPr>
              <w:rPr>
                <w:rFonts w:asciiTheme="minorHAnsi" w:hAnsiTheme="minorHAnsi" w:cstheme="minorHAnsi"/>
                <w:b w:val="0"/>
                <w:sz w:val="24"/>
                <w:szCs w:val="24"/>
              </w:rPr>
            </w:pPr>
            <w:r w:rsidRPr="00AB258D">
              <w:rPr>
                <w:rFonts w:asciiTheme="minorHAnsi" w:hAnsiTheme="minorHAnsi" w:cstheme="minorHAnsi"/>
                <w:b w:val="0"/>
                <w:sz w:val="24"/>
                <w:szCs w:val="24"/>
              </w:rPr>
              <w:t>Cement content used in the present study blended with 3%GGBS and 1%RC</w:t>
            </w:r>
          </w:p>
        </w:tc>
        <w:tc>
          <w:tcPr>
            <w:tcW w:w="2345" w:type="dxa"/>
          </w:tcPr>
          <w:p w14:paraId="4DA80C1B" w14:textId="77777777"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4</w:t>
            </w:r>
          </w:p>
        </w:tc>
        <w:tc>
          <w:tcPr>
            <w:tcW w:w="2346" w:type="dxa"/>
          </w:tcPr>
          <w:p w14:paraId="42E5514F" w14:textId="77777777"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4</w:t>
            </w:r>
          </w:p>
        </w:tc>
      </w:tr>
      <w:tr w:rsidR="00AB258D" w:rsidRPr="00AB258D" w14:paraId="64AD16E9" w14:textId="77777777" w:rsidTr="007A1FC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424" w:type="dxa"/>
            <w:vMerge w:val="restart"/>
          </w:tcPr>
          <w:p w14:paraId="5DA3195B" w14:textId="36BC70AC" w:rsidR="004C7EF7" w:rsidRPr="00AB258D" w:rsidRDefault="004C7EF7" w:rsidP="00606E55">
            <w:pPr>
              <w:rPr>
                <w:rFonts w:asciiTheme="minorHAnsi" w:hAnsiTheme="minorHAnsi" w:cstheme="minorHAnsi"/>
                <w:b w:val="0"/>
                <w:sz w:val="24"/>
                <w:szCs w:val="24"/>
              </w:rPr>
            </w:pPr>
            <w:r w:rsidRPr="00AB258D">
              <w:rPr>
                <w:rFonts w:asciiTheme="minorHAnsi" w:hAnsiTheme="minorHAnsi" w:cstheme="minorHAnsi"/>
                <w:b w:val="0"/>
                <w:sz w:val="24"/>
                <w:szCs w:val="24"/>
              </w:rPr>
              <w:t xml:space="preserve">Typical </w:t>
            </w:r>
            <w:r w:rsidR="00E92987" w:rsidRPr="00AB258D">
              <w:rPr>
                <w:rFonts w:asciiTheme="minorHAnsi" w:hAnsiTheme="minorHAnsi" w:cstheme="minorHAnsi"/>
                <w:b w:val="0"/>
                <w:sz w:val="24"/>
                <w:szCs w:val="24"/>
              </w:rPr>
              <w:t xml:space="preserve">undrained shear </w:t>
            </w:r>
            <w:r w:rsidR="005C55A1" w:rsidRPr="00AB258D">
              <w:rPr>
                <w:rFonts w:asciiTheme="minorHAnsi" w:hAnsiTheme="minorHAnsi" w:cstheme="minorHAnsi"/>
                <w:b w:val="0"/>
                <w:sz w:val="24"/>
                <w:szCs w:val="24"/>
              </w:rPr>
              <w:t>strength requirement</w:t>
            </w:r>
            <w:r w:rsidRPr="00AB258D">
              <w:rPr>
                <w:rFonts w:asciiTheme="minorHAnsi" w:hAnsiTheme="minorHAnsi" w:cstheme="minorHAnsi"/>
                <w:b w:val="0"/>
                <w:sz w:val="24"/>
                <w:szCs w:val="24"/>
              </w:rPr>
              <w:t xml:space="preserve"> in (MPa) for moist cured samples (ACI)</w:t>
            </w:r>
          </w:p>
        </w:tc>
        <w:tc>
          <w:tcPr>
            <w:tcW w:w="2345" w:type="dxa"/>
          </w:tcPr>
          <w:p w14:paraId="5510AE5F" w14:textId="77777777" w:rsidR="004C7EF7" w:rsidRPr="00AB258D" w:rsidRDefault="004C7EF7" w:rsidP="00606E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0.86 to 1.72 (7-day)</w:t>
            </w:r>
          </w:p>
        </w:tc>
        <w:tc>
          <w:tcPr>
            <w:tcW w:w="2346" w:type="dxa"/>
          </w:tcPr>
          <w:p w14:paraId="7BFE4514" w14:textId="77777777" w:rsidR="004C7EF7" w:rsidRPr="00AB258D" w:rsidRDefault="007513F5" w:rsidP="00606E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0.69 to 1.38</w:t>
            </w:r>
            <w:r w:rsidR="004C7EF7" w:rsidRPr="00AB258D">
              <w:rPr>
                <w:rFonts w:asciiTheme="minorHAnsi" w:hAnsiTheme="minorHAnsi" w:cstheme="minorHAnsi"/>
                <w:sz w:val="24"/>
                <w:szCs w:val="24"/>
              </w:rPr>
              <w:t xml:space="preserve"> (7-day)</w:t>
            </w:r>
          </w:p>
        </w:tc>
      </w:tr>
      <w:tr w:rsidR="00AB258D" w:rsidRPr="00AB258D" w14:paraId="3B93B29B" w14:textId="77777777" w:rsidTr="007A1FC2">
        <w:trPr>
          <w:trHeight w:val="547"/>
        </w:trPr>
        <w:tc>
          <w:tcPr>
            <w:cnfStyle w:val="001000000000" w:firstRow="0" w:lastRow="0" w:firstColumn="1" w:lastColumn="0" w:oddVBand="0" w:evenVBand="0" w:oddHBand="0" w:evenHBand="0" w:firstRowFirstColumn="0" w:firstRowLastColumn="0" w:lastRowFirstColumn="0" w:lastRowLastColumn="0"/>
            <w:tcW w:w="4424" w:type="dxa"/>
            <w:vMerge/>
          </w:tcPr>
          <w:p w14:paraId="5F54D238" w14:textId="77777777" w:rsidR="004C7EF7" w:rsidRPr="00AB258D" w:rsidRDefault="004C7EF7" w:rsidP="00606E55">
            <w:pPr>
              <w:rPr>
                <w:rFonts w:asciiTheme="minorHAnsi" w:hAnsiTheme="minorHAnsi" w:cstheme="minorHAnsi"/>
                <w:b w:val="0"/>
                <w:sz w:val="24"/>
                <w:szCs w:val="24"/>
              </w:rPr>
            </w:pPr>
          </w:p>
        </w:tc>
        <w:tc>
          <w:tcPr>
            <w:tcW w:w="2345" w:type="dxa"/>
          </w:tcPr>
          <w:p w14:paraId="5411858F" w14:textId="04D34486"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 xml:space="preserve">1 to </w:t>
            </w:r>
            <w:r w:rsidR="005C55A1" w:rsidRPr="00AB258D">
              <w:rPr>
                <w:rFonts w:asciiTheme="minorHAnsi" w:hAnsiTheme="minorHAnsi" w:cstheme="minorHAnsi"/>
                <w:sz w:val="24"/>
                <w:szCs w:val="24"/>
              </w:rPr>
              <w:t>3.10 (</w:t>
            </w:r>
            <w:r w:rsidRPr="00AB258D">
              <w:rPr>
                <w:rFonts w:asciiTheme="minorHAnsi" w:hAnsiTheme="minorHAnsi" w:cstheme="minorHAnsi"/>
                <w:sz w:val="24"/>
                <w:szCs w:val="24"/>
              </w:rPr>
              <w:t>28-day)</w:t>
            </w:r>
          </w:p>
        </w:tc>
        <w:tc>
          <w:tcPr>
            <w:tcW w:w="2346" w:type="dxa"/>
          </w:tcPr>
          <w:p w14:paraId="3F3DA946" w14:textId="5F37986C"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 xml:space="preserve">0.86 to </w:t>
            </w:r>
            <w:r w:rsidR="005C55A1" w:rsidRPr="00AB258D">
              <w:rPr>
                <w:rFonts w:asciiTheme="minorHAnsi" w:hAnsiTheme="minorHAnsi" w:cstheme="minorHAnsi"/>
                <w:sz w:val="24"/>
                <w:szCs w:val="24"/>
              </w:rPr>
              <w:t>2.1 (</w:t>
            </w:r>
            <w:r w:rsidRPr="00AB258D">
              <w:rPr>
                <w:rFonts w:asciiTheme="minorHAnsi" w:hAnsiTheme="minorHAnsi" w:cstheme="minorHAnsi"/>
                <w:sz w:val="24"/>
                <w:szCs w:val="24"/>
              </w:rPr>
              <w:t>28-day)</w:t>
            </w:r>
          </w:p>
        </w:tc>
      </w:tr>
      <w:tr w:rsidR="00AB258D" w:rsidRPr="00AB258D" w14:paraId="00C43F82" w14:textId="77777777" w:rsidTr="007A1FC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424" w:type="dxa"/>
            <w:vMerge w:val="restart"/>
          </w:tcPr>
          <w:p w14:paraId="2C37A56C" w14:textId="77777777" w:rsidR="004C7EF7" w:rsidRPr="00AB258D" w:rsidRDefault="004C7EF7" w:rsidP="00606E55">
            <w:pPr>
              <w:rPr>
                <w:rFonts w:asciiTheme="minorHAnsi" w:hAnsiTheme="minorHAnsi" w:cstheme="minorHAnsi"/>
                <w:b w:val="0"/>
                <w:sz w:val="24"/>
                <w:szCs w:val="24"/>
              </w:rPr>
            </w:pPr>
            <w:r w:rsidRPr="00AB258D">
              <w:rPr>
                <w:rFonts w:asciiTheme="minorHAnsi" w:hAnsiTheme="minorHAnsi" w:cstheme="minorHAnsi"/>
                <w:b w:val="0"/>
                <w:sz w:val="24"/>
                <w:szCs w:val="24"/>
              </w:rPr>
              <w:t>Measured value</w:t>
            </w:r>
            <w:r w:rsidR="00B722BC" w:rsidRPr="00AB258D">
              <w:rPr>
                <w:rFonts w:asciiTheme="minorHAnsi" w:hAnsiTheme="minorHAnsi" w:cstheme="minorHAnsi"/>
                <w:b w:val="0"/>
                <w:sz w:val="24"/>
                <w:szCs w:val="24"/>
              </w:rPr>
              <w:t>s</w:t>
            </w:r>
            <w:r w:rsidRPr="00AB258D">
              <w:rPr>
                <w:rFonts w:asciiTheme="minorHAnsi" w:hAnsiTheme="minorHAnsi" w:cstheme="minorHAnsi"/>
                <w:b w:val="0"/>
                <w:sz w:val="24"/>
                <w:szCs w:val="24"/>
              </w:rPr>
              <w:t xml:space="preserve"> of </w:t>
            </w:r>
            <w:r w:rsidR="00E92987" w:rsidRPr="00AB258D">
              <w:rPr>
                <w:rFonts w:asciiTheme="minorHAnsi" w:hAnsiTheme="minorHAnsi" w:cstheme="minorHAnsi"/>
                <w:b w:val="0"/>
                <w:sz w:val="24"/>
                <w:szCs w:val="24"/>
              </w:rPr>
              <w:t xml:space="preserve">undrained shear strength </w:t>
            </w:r>
            <w:r w:rsidRPr="00AB258D">
              <w:rPr>
                <w:rFonts w:asciiTheme="minorHAnsi" w:hAnsiTheme="minorHAnsi" w:cstheme="minorHAnsi"/>
                <w:b w:val="0"/>
                <w:sz w:val="24"/>
                <w:szCs w:val="24"/>
              </w:rPr>
              <w:t xml:space="preserve">from the present study in (MPa) for moist cured samples </w:t>
            </w:r>
          </w:p>
        </w:tc>
        <w:tc>
          <w:tcPr>
            <w:tcW w:w="2345" w:type="dxa"/>
          </w:tcPr>
          <w:p w14:paraId="6DD1F427" w14:textId="77777777" w:rsidR="004C7EF7" w:rsidRPr="00AB258D" w:rsidRDefault="004C7EF7" w:rsidP="00606E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0.45 (7-day)</w:t>
            </w:r>
          </w:p>
        </w:tc>
        <w:tc>
          <w:tcPr>
            <w:tcW w:w="2346" w:type="dxa"/>
          </w:tcPr>
          <w:p w14:paraId="2A9066CB" w14:textId="77777777" w:rsidR="004C7EF7" w:rsidRPr="00AB258D" w:rsidRDefault="004C7EF7" w:rsidP="00606E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0.58 (7-day)</w:t>
            </w:r>
          </w:p>
        </w:tc>
      </w:tr>
      <w:tr w:rsidR="00AB258D" w:rsidRPr="00AB258D" w14:paraId="1D557D73" w14:textId="77777777" w:rsidTr="007A1FC2">
        <w:trPr>
          <w:trHeight w:val="547"/>
        </w:trPr>
        <w:tc>
          <w:tcPr>
            <w:cnfStyle w:val="001000000000" w:firstRow="0" w:lastRow="0" w:firstColumn="1" w:lastColumn="0" w:oddVBand="0" w:evenVBand="0" w:oddHBand="0" w:evenHBand="0" w:firstRowFirstColumn="0" w:firstRowLastColumn="0" w:lastRowFirstColumn="0" w:lastRowLastColumn="0"/>
            <w:tcW w:w="4424" w:type="dxa"/>
            <w:vMerge/>
          </w:tcPr>
          <w:p w14:paraId="03C515D4" w14:textId="77777777" w:rsidR="004C7EF7" w:rsidRPr="00AB258D" w:rsidRDefault="004C7EF7" w:rsidP="00606E55">
            <w:pPr>
              <w:rPr>
                <w:rFonts w:asciiTheme="minorHAnsi" w:hAnsiTheme="minorHAnsi" w:cstheme="minorHAnsi"/>
                <w:b w:val="0"/>
                <w:sz w:val="24"/>
                <w:szCs w:val="24"/>
              </w:rPr>
            </w:pPr>
          </w:p>
        </w:tc>
        <w:tc>
          <w:tcPr>
            <w:tcW w:w="2345" w:type="dxa"/>
          </w:tcPr>
          <w:p w14:paraId="3AE310F4" w14:textId="77777777"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0.6</w:t>
            </w:r>
            <w:r w:rsidR="007513F5" w:rsidRPr="00AB258D">
              <w:rPr>
                <w:rFonts w:asciiTheme="minorHAnsi" w:hAnsiTheme="minorHAnsi" w:cstheme="minorHAnsi"/>
                <w:sz w:val="24"/>
                <w:szCs w:val="24"/>
              </w:rPr>
              <w:t>0</w:t>
            </w:r>
            <w:r w:rsidRPr="00AB258D">
              <w:rPr>
                <w:rFonts w:asciiTheme="minorHAnsi" w:hAnsiTheme="minorHAnsi" w:cstheme="minorHAnsi"/>
                <w:sz w:val="24"/>
                <w:szCs w:val="24"/>
              </w:rPr>
              <w:t xml:space="preserve"> (28-day)</w:t>
            </w:r>
          </w:p>
        </w:tc>
        <w:tc>
          <w:tcPr>
            <w:tcW w:w="2346" w:type="dxa"/>
          </w:tcPr>
          <w:p w14:paraId="340E22B0" w14:textId="77777777"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0.74 (28-day)</w:t>
            </w:r>
          </w:p>
        </w:tc>
      </w:tr>
      <w:tr w:rsidR="00AB258D" w:rsidRPr="00AB258D" w14:paraId="0E7C3A24" w14:textId="77777777" w:rsidTr="007A1FC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116" w:type="dxa"/>
            <w:gridSpan w:val="3"/>
          </w:tcPr>
          <w:p w14:paraId="73BA7180" w14:textId="77777777" w:rsidR="00E942A0" w:rsidRPr="00AB258D" w:rsidRDefault="00E942A0" w:rsidP="00EE6E10">
            <w:pPr>
              <w:rPr>
                <w:rFonts w:asciiTheme="minorHAnsi" w:hAnsiTheme="minorHAnsi" w:cstheme="minorHAnsi"/>
                <w:sz w:val="24"/>
                <w:szCs w:val="24"/>
              </w:rPr>
            </w:pPr>
          </w:p>
          <w:p w14:paraId="52A13BB4" w14:textId="625A32CA" w:rsidR="00EE6E10" w:rsidRPr="00AB258D" w:rsidRDefault="00EE6E10" w:rsidP="00E942A0">
            <w:pPr>
              <w:jc w:val="center"/>
              <w:rPr>
                <w:rFonts w:asciiTheme="minorHAnsi" w:hAnsiTheme="minorHAnsi" w:cstheme="minorHAnsi"/>
                <w:sz w:val="24"/>
                <w:szCs w:val="24"/>
              </w:rPr>
            </w:pPr>
            <w:r w:rsidRPr="00AB258D">
              <w:rPr>
                <w:rFonts w:asciiTheme="minorHAnsi" w:hAnsiTheme="minorHAnsi" w:cstheme="minorHAnsi"/>
                <w:sz w:val="24"/>
                <w:szCs w:val="24"/>
              </w:rPr>
              <w:t xml:space="preserve">Minimum </w:t>
            </w:r>
            <w:r w:rsidR="005C55A1" w:rsidRPr="00AB258D">
              <w:rPr>
                <w:rFonts w:asciiTheme="minorHAnsi" w:hAnsiTheme="minorHAnsi" w:cstheme="minorHAnsi"/>
                <w:sz w:val="24"/>
                <w:szCs w:val="24"/>
              </w:rPr>
              <w:t>7-day</w:t>
            </w:r>
            <w:r w:rsidRPr="00AB258D">
              <w:rPr>
                <w:rFonts w:asciiTheme="minorHAnsi" w:hAnsiTheme="minorHAnsi" w:cstheme="minorHAnsi"/>
                <w:sz w:val="24"/>
                <w:szCs w:val="24"/>
              </w:rPr>
              <w:t xml:space="preserve"> Undrained shear strength (MPa)</w:t>
            </w:r>
          </w:p>
        </w:tc>
      </w:tr>
      <w:tr w:rsidR="00AB258D" w:rsidRPr="00AB258D" w14:paraId="13714204" w14:textId="77777777" w:rsidTr="007A1FC2">
        <w:trPr>
          <w:trHeight w:val="630"/>
        </w:trPr>
        <w:tc>
          <w:tcPr>
            <w:cnfStyle w:val="001000000000" w:firstRow="0" w:lastRow="0" w:firstColumn="1" w:lastColumn="0" w:oddVBand="0" w:evenVBand="0" w:oddHBand="0" w:evenHBand="0" w:firstRowFirstColumn="0" w:firstRowLastColumn="0" w:lastRowFirstColumn="0" w:lastRowLastColumn="0"/>
            <w:tcW w:w="4424" w:type="dxa"/>
          </w:tcPr>
          <w:p w14:paraId="4ECF3112" w14:textId="77777777" w:rsidR="004C7EF7" w:rsidRPr="00AB258D" w:rsidRDefault="004C7EF7" w:rsidP="00606E55">
            <w:pPr>
              <w:rPr>
                <w:rFonts w:asciiTheme="minorHAnsi" w:hAnsiTheme="minorHAnsi" w:cstheme="minorHAnsi"/>
                <w:b w:val="0"/>
                <w:sz w:val="24"/>
                <w:szCs w:val="24"/>
              </w:rPr>
            </w:pPr>
            <w:r w:rsidRPr="00AB258D">
              <w:rPr>
                <w:rFonts w:asciiTheme="minorHAnsi" w:hAnsiTheme="minorHAnsi" w:cstheme="minorHAnsi"/>
                <w:b w:val="0"/>
                <w:sz w:val="24"/>
                <w:szCs w:val="24"/>
              </w:rPr>
              <w:t xml:space="preserve">Practical application of soil-cement mixtures </w:t>
            </w:r>
          </w:p>
        </w:tc>
        <w:tc>
          <w:tcPr>
            <w:tcW w:w="2345" w:type="dxa"/>
          </w:tcPr>
          <w:p w14:paraId="7D9A7001" w14:textId="77777777"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Flexible Pavement</w:t>
            </w:r>
          </w:p>
        </w:tc>
        <w:tc>
          <w:tcPr>
            <w:tcW w:w="2346" w:type="dxa"/>
          </w:tcPr>
          <w:p w14:paraId="28C7C8DB" w14:textId="77777777"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Rigid Pavement</w:t>
            </w:r>
          </w:p>
        </w:tc>
      </w:tr>
      <w:tr w:rsidR="00AB258D" w:rsidRPr="00AB258D" w14:paraId="4667213C" w14:textId="77777777" w:rsidTr="007A1FC2">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424" w:type="dxa"/>
          </w:tcPr>
          <w:p w14:paraId="7AFE5FBA" w14:textId="77777777" w:rsidR="004C7EF7" w:rsidRPr="00AB258D" w:rsidRDefault="004C7EF7" w:rsidP="00606E55">
            <w:pPr>
              <w:rPr>
                <w:rFonts w:asciiTheme="minorHAnsi" w:hAnsiTheme="minorHAnsi" w:cstheme="minorHAnsi"/>
                <w:b w:val="0"/>
                <w:sz w:val="24"/>
                <w:szCs w:val="24"/>
              </w:rPr>
            </w:pPr>
            <w:r w:rsidRPr="00AB258D">
              <w:rPr>
                <w:rFonts w:asciiTheme="minorHAnsi" w:hAnsiTheme="minorHAnsi" w:cstheme="minorHAnsi"/>
                <w:b w:val="0"/>
                <w:sz w:val="24"/>
                <w:szCs w:val="24"/>
              </w:rPr>
              <w:t>Base Course</w:t>
            </w:r>
          </w:p>
        </w:tc>
        <w:tc>
          <w:tcPr>
            <w:tcW w:w="2345" w:type="dxa"/>
          </w:tcPr>
          <w:p w14:paraId="0BAB5F54" w14:textId="77777777" w:rsidR="004C7EF7" w:rsidRPr="00AB258D" w:rsidRDefault="004C7EF7" w:rsidP="00606E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2.58</w:t>
            </w:r>
          </w:p>
        </w:tc>
        <w:tc>
          <w:tcPr>
            <w:tcW w:w="2346" w:type="dxa"/>
          </w:tcPr>
          <w:p w14:paraId="4874DDA0" w14:textId="77777777" w:rsidR="004C7EF7" w:rsidRPr="00AB258D" w:rsidRDefault="004C7EF7" w:rsidP="00606E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1.72</w:t>
            </w:r>
          </w:p>
        </w:tc>
      </w:tr>
      <w:tr w:rsidR="00AB258D" w:rsidRPr="00AB258D" w14:paraId="53600920" w14:textId="77777777" w:rsidTr="007A1FC2">
        <w:trPr>
          <w:trHeight w:val="568"/>
        </w:trPr>
        <w:tc>
          <w:tcPr>
            <w:cnfStyle w:val="001000000000" w:firstRow="0" w:lastRow="0" w:firstColumn="1" w:lastColumn="0" w:oddVBand="0" w:evenVBand="0" w:oddHBand="0" w:evenHBand="0" w:firstRowFirstColumn="0" w:firstRowLastColumn="0" w:lastRowFirstColumn="0" w:lastRowLastColumn="0"/>
            <w:tcW w:w="4424" w:type="dxa"/>
          </w:tcPr>
          <w:p w14:paraId="7D72DA07" w14:textId="06F36100" w:rsidR="004C7EF7" w:rsidRPr="00AB258D" w:rsidRDefault="005C55A1" w:rsidP="00606E55">
            <w:pPr>
              <w:rPr>
                <w:rFonts w:asciiTheme="minorHAnsi" w:hAnsiTheme="minorHAnsi" w:cstheme="minorHAnsi"/>
                <w:b w:val="0"/>
                <w:sz w:val="24"/>
                <w:szCs w:val="24"/>
              </w:rPr>
            </w:pPr>
            <w:r w:rsidRPr="00AB258D">
              <w:rPr>
                <w:rFonts w:asciiTheme="minorHAnsi" w:hAnsiTheme="minorHAnsi" w:cstheme="minorHAnsi"/>
                <w:b w:val="0"/>
                <w:sz w:val="24"/>
                <w:szCs w:val="24"/>
              </w:rPr>
              <w:t>Subbase</w:t>
            </w:r>
            <w:r w:rsidR="004C7EF7" w:rsidRPr="00AB258D">
              <w:rPr>
                <w:rFonts w:asciiTheme="minorHAnsi" w:hAnsiTheme="minorHAnsi" w:cstheme="minorHAnsi"/>
                <w:b w:val="0"/>
                <w:sz w:val="24"/>
                <w:szCs w:val="24"/>
              </w:rPr>
              <w:t xml:space="preserve"> or subgrade material </w:t>
            </w:r>
          </w:p>
        </w:tc>
        <w:tc>
          <w:tcPr>
            <w:tcW w:w="2345" w:type="dxa"/>
          </w:tcPr>
          <w:p w14:paraId="3A233993" w14:textId="77777777"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0.86</w:t>
            </w:r>
          </w:p>
        </w:tc>
        <w:tc>
          <w:tcPr>
            <w:tcW w:w="2346" w:type="dxa"/>
          </w:tcPr>
          <w:p w14:paraId="7464A021" w14:textId="77777777" w:rsidR="004C7EF7" w:rsidRPr="00AB258D" w:rsidRDefault="004C7EF7" w:rsidP="00606E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0.69</w:t>
            </w:r>
          </w:p>
        </w:tc>
      </w:tr>
      <w:tr w:rsidR="00AB258D" w:rsidRPr="00AB258D" w14:paraId="43AF8F0A" w14:textId="77777777" w:rsidTr="007A1FC2">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424" w:type="dxa"/>
            <w:vMerge w:val="restart"/>
          </w:tcPr>
          <w:p w14:paraId="264AE346" w14:textId="4F12BF5B" w:rsidR="004762A8" w:rsidRPr="00AB258D" w:rsidRDefault="004762A8" w:rsidP="004762A8">
            <w:pPr>
              <w:rPr>
                <w:rFonts w:asciiTheme="minorHAnsi" w:hAnsiTheme="minorHAnsi" w:cstheme="minorHAnsi"/>
                <w:b w:val="0"/>
                <w:sz w:val="24"/>
                <w:szCs w:val="24"/>
              </w:rPr>
            </w:pPr>
            <w:r w:rsidRPr="00AB258D">
              <w:rPr>
                <w:rFonts w:asciiTheme="minorHAnsi" w:hAnsiTheme="minorHAnsi" w:cstheme="minorHAnsi"/>
                <w:b w:val="0"/>
                <w:sz w:val="24"/>
                <w:szCs w:val="24"/>
              </w:rPr>
              <w:t>Construction of lower</w:t>
            </w:r>
            <w:r w:rsidR="004546CA" w:rsidRPr="00AB258D">
              <w:rPr>
                <w:rFonts w:asciiTheme="minorHAnsi" w:hAnsiTheme="minorHAnsi" w:cstheme="minorHAnsi"/>
                <w:b w:val="0"/>
                <w:sz w:val="24"/>
                <w:szCs w:val="24"/>
              </w:rPr>
              <w:t xml:space="preserve"> layers in high embankments (</w:t>
            </w:r>
            <w:r w:rsidRPr="00AB258D">
              <w:rPr>
                <w:rFonts w:asciiTheme="minorHAnsi" w:hAnsiTheme="minorHAnsi" w:cstheme="minorHAnsi"/>
                <w:b w:val="0"/>
                <w:sz w:val="24"/>
                <w:szCs w:val="24"/>
              </w:rPr>
              <w:t>EN 16907-4:2018)</w:t>
            </w:r>
          </w:p>
          <w:p w14:paraId="21FDB552" w14:textId="77777777" w:rsidR="004762A8" w:rsidRPr="00AB258D" w:rsidRDefault="004762A8" w:rsidP="004762A8">
            <w:pPr>
              <w:rPr>
                <w:rFonts w:asciiTheme="minorHAnsi" w:hAnsiTheme="minorHAnsi" w:cstheme="minorHAnsi"/>
                <w:bCs w:val="0"/>
                <w:sz w:val="24"/>
                <w:szCs w:val="24"/>
              </w:rPr>
            </w:pPr>
          </w:p>
          <w:p w14:paraId="1D21C9CE" w14:textId="77777777" w:rsidR="004762A8" w:rsidRPr="00AB258D" w:rsidRDefault="004762A8" w:rsidP="004D1AA2">
            <w:pPr>
              <w:rPr>
                <w:rFonts w:asciiTheme="minorHAnsi" w:hAnsiTheme="minorHAnsi" w:cstheme="minorHAnsi"/>
                <w:b w:val="0"/>
                <w:sz w:val="24"/>
                <w:szCs w:val="24"/>
              </w:rPr>
            </w:pPr>
            <w:r w:rsidRPr="00AB258D">
              <w:rPr>
                <w:rFonts w:asciiTheme="minorHAnsi" w:hAnsiTheme="minorHAnsi" w:cstheme="minorHAnsi"/>
                <w:b w:val="0"/>
                <w:sz w:val="24"/>
                <w:szCs w:val="24"/>
              </w:rPr>
              <w:t>Filling in narrow places (BS EN 16907-4:2018)</w:t>
            </w:r>
          </w:p>
        </w:tc>
        <w:tc>
          <w:tcPr>
            <w:tcW w:w="4691" w:type="dxa"/>
            <w:gridSpan w:val="2"/>
          </w:tcPr>
          <w:p w14:paraId="3447B476" w14:textId="77777777" w:rsidR="004762A8" w:rsidRPr="00AB258D" w:rsidRDefault="004762A8" w:rsidP="002951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3DE2D76D" w14:textId="77777777" w:rsidR="00FF369D" w:rsidRPr="00AB258D" w:rsidRDefault="00FF369D" w:rsidP="002951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426F5228" w14:textId="77777777" w:rsidR="004762A8" w:rsidRPr="00AB258D" w:rsidRDefault="004762A8" w:rsidP="002951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B258D">
              <w:rPr>
                <w:rFonts w:asciiTheme="minorHAnsi" w:hAnsiTheme="minorHAnsi" w:cstheme="minorHAnsi"/>
                <w:sz w:val="24"/>
                <w:szCs w:val="24"/>
              </w:rPr>
              <w:t>0.25 to 0.5 MPa after 28 days curing</w:t>
            </w:r>
          </w:p>
        </w:tc>
      </w:tr>
      <w:tr w:rsidR="00AB258D" w:rsidRPr="00AB258D" w14:paraId="42530A0F" w14:textId="77777777" w:rsidTr="007A1FC2">
        <w:trPr>
          <w:trHeight w:val="647"/>
        </w:trPr>
        <w:tc>
          <w:tcPr>
            <w:cnfStyle w:val="001000000000" w:firstRow="0" w:lastRow="0" w:firstColumn="1" w:lastColumn="0" w:oddVBand="0" w:evenVBand="0" w:oddHBand="0" w:evenHBand="0" w:firstRowFirstColumn="0" w:firstRowLastColumn="0" w:lastRowFirstColumn="0" w:lastRowLastColumn="0"/>
            <w:tcW w:w="4424" w:type="dxa"/>
            <w:vMerge/>
          </w:tcPr>
          <w:p w14:paraId="410F498D" w14:textId="77777777" w:rsidR="004762A8" w:rsidRPr="00AB258D" w:rsidRDefault="004762A8" w:rsidP="004D1AA2">
            <w:pPr>
              <w:rPr>
                <w:rFonts w:cstheme="minorHAnsi"/>
                <w:b w:val="0"/>
                <w:sz w:val="24"/>
                <w:szCs w:val="24"/>
              </w:rPr>
            </w:pPr>
          </w:p>
        </w:tc>
        <w:tc>
          <w:tcPr>
            <w:tcW w:w="2345" w:type="dxa"/>
          </w:tcPr>
          <w:p w14:paraId="028574AD" w14:textId="77777777" w:rsidR="004762A8" w:rsidRPr="00AB258D" w:rsidRDefault="004762A8" w:rsidP="002951D3">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346" w:type="dxa"/>
          </w:tcPr>
          <w:p w14:paraId="54D9CB24" w14:textId="77777777" w:rsidR="004762A8" w:rsidRPr="00AB258D" w:rsidRDefault="004762A8" w:rsidP="002951D3">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06B5B419" w14:textId="77777777" w:rsidR="00E942A0" w:rsidRPr="00AB258D" w:rsidRDefault="00E942A0" w:rsidP="0042244B">
      <w:pPr>
        <w:spacing w:line="480" w:lineRule="auto"/>
        <w:jc w:val="both"/>
        <w:rPr>
          <w:rFonts w:cstheme="minorHAnsi"/>
          <w:b/>
          <w:sz w:val="28"/>
          <w:szCs w:val="28"/>
        </w:rPr>
      </w:pPr>
    </w:p>
    <w:p w14:paraId="03CAE3F9" w14:textId="77777777" w:rsidR="00A67437" w:rsidRPr="00AB258D" w:rsidRDefault="00E62474" w:rsidP="0042244B">
      <w:pPr>
        <w:spacing w:line="480" w:lineRule="auto"/>
        <w:jc w:val="both"/>
        <w:rPr>
          <w:rFonts w:cstheme="minorHAnsi"/>
          <w:b/>
          <w:sz w:val="28"/>
          <w:szCs w:val="28"/>
        </w:rPr>
      </w:pPr>
      <w:r w:rsidRPr="00AB258D">
        <w:rPr>
          <w:rFonts w:cstheme="minorHAnsi"/>
          <w:b/>
          <w:sz w:val="28"/>
          <w:szCs w:val="28"/>
        </w:rPr>
        <w:t xml:space="preserve">4. </w:t>
      </w:r>
      <w:r w:rsidR="00A67437" w:rsidRPr="00AB258D">
        <w:rPr>
          <w:rFonts w:cstheme="minorHAnsi"/>
          <w:b/>
          <w:sz w:val="28"/>
          <w:szCs w:val="28"/>
        </w:rPr>
        <w:t>Conclusion</w:t>
      </w:r>
    </w:p>
    <w:p w14:paraId="19988679" w14:textId="77777777" w:rsidR="009D2B43" w:rsidRPr="00AB258D" w:rsidRDefault="00A67437" w:rsidP="00262F82">
      <w:pPr>
        <w:jc w:val="both"/>
        <w:rPr>
          <w:rFonts w:cstheme="minorHAnsi"/>
          <w:sz w:val="24"/>
          <w:szCs w:val="24"/>
        </w:rPr>
      </w:pPr>
      <w:r w:rsidRPr="00AB258D">
        <w:rPr>
          <w:rFonts w:cstheme="minorHAnsi"/>
          <w:sz w:val="24"/>
          <w:szCs w:val="24"/>
        </w:rPr>
        <w:t xml:space="preserve">The </w:t>
      </w:r>
      <w:r w:rsidR="00262F82" w:rsidRPr="00AB258D">
        <w:rPr>
          <w:rFonts w:cstheme="minorHAnsi"/>
          <w:sz w:val="24"/>
          <w:szCs w:val="24"/>
        </w:rPr>
        <w:t xml:space="preserve">experimental study on the use of RC blended with by-product cementitious materials for stabilisation of clay soils </w:t>
      </w:r>
      <w:r w:rsidR="00187EC0" w:rsidRPr="00AB258D">
        <w:rPr>
          <w:rFonts w:cstheme="minorHAnsi"/>
          <w:sz w:val="24"/>
          <w:szCs w:val="24"/>
        </w:rPr>
        <w:t>has been investigated</w:t>
      </w:r>
      <w:r w:rsidR="00262F82" w:rsidRPr="00AB258D">
        <w:rPr>
          <w:rFonts w:cstheme="minorHAnsi"/>
          <w:sz w:val="24"/>
          <w:szCs w:val="24"/>
        </w:rPr>
        <w:t xml:space="preserve"> in terms of </w:t>
      </w:r>
      <w:r w:rsidRPr="00AB258D">
        <w:rPr>
          <w:rFonts w:cstheme="minorHAnsi"/>
          <w:sz w:val="24"/>
          <w:szCs w:val="24"/>
        </w:rPr>
        <w:t>mechanical</w:t>
      </w:r>
      <w:r w:rsidR="00262F82" w:rsidRPr="00AB258D">
        <w:rPr>
          <w:rFonts w:cstheme="minorHAnsi"/>
          <w:sz w:val="24"/>
          <w:szCs w:val="24"/>
        </w:rPr>
        <w:t xml:space="preserve"> and microstructural characteristics</w:t>
      </w:r>
      <w:r w:rsidR="00187EC0" w:rsidRPr="00AB258D">
        <w:rPr>
          <w:rFonts w:cstheme="minorHAnsi"/>
          <w:sz w:val="24"/>
          <w:szCs w:val="24"/>
        </w:rPr>
        <w:t xml:space="preserve"> of the treated soils</w:t>
      </w:r>
      <w:r w:rsidR="00262F82" w:rsidRPr="00AB258D">
        <w:rPr>
          <w:rFonts w:cstheme="minorHAnsi"/>
          <w:sz w:val="24"/>
          <w:szCs w:val="24"/>
        </w:rPr>
        <w:t xml:space="preserve">. The </w:t>
      </w:r>
      <w:r w:rsidR="00F649C6" w:rsidRPr="00AB258D">
        <w:rPr>
          <w:rFonts w:cstheme="minorHAnsi"/>
          <w:sz w:val="24"/>
          <w:szCs w:val="24"/>
        </w:rPr>
        <w:t xml:space="preserve">study focused on the </w:t>
      </w:r>
      <w:r w:rsidR="00187EC0" w:rsidRPr="00AB258D">
        <w:rPr>
          <w:rFonts w:cstheme="minorHAnsi"/>
          <w:sz w:val="24"/>
          <w:szCs w:val="24"/>
        </w:rPr>
        <w:t>use of reduced amount of cement wit</w:t>
      </w:r>
      <w:r w:rsidR="00F649C6" w:rsidRPr="00AB258D">
        <w:rPr>
          <w:rFonts w:cstheme="minorHAnsi"/>
          <w:sz w:val="24"/>
          <w:szCs w:val="24"/>
        </w:rPr>
        <w:t xml:space="preserve">h RC blended with GGBS and PFA, and possible engineering applications. </w:t>
      </w:r>
      <w:r w:rsidR="00187EC0" w:rsidRPr="00AB258D">
        <w:rPr>
          <w:rFonts w:cstheme="minorHAnsi"/>
          <w:sz w:val="24"/>
          <w:szCs w:val="24"/>
        </w:rPr>
        <w:t>The experimental testing and analysis was mainly</w:t>
      </w:r>
      <w:r w:rsidR="00262F82" w:rsidRPr="00AB258D">
        <w:rPr>
          <w:rFonts w:cstheme="minorHAnsi"/>
          <w:sz w:val="24"/>
          <w:szCs w:val="24"/>
        </w:rPr>
        <w:t xml:space="preserve"> </w:t>
      </w:r>
      <w:r w:rsidRPr="00AB258D">
        <w:rPr>
          <w:rFonts w:cstheme="minorHAnsi"/>
          <w:sz w:val="24"/>
          <w:szCs w:val="24"/>
        </w:rPr>
        <w:t xml:space="preserve">on </w:t>
      </w:r>
      <w:r w:rsidR="00EC7197" w:rsidRPr="00AB258D">
        <w:rPr>
          <w:rFonts w:cstheme="minorHAnsi"/>
          <w:sz w:val="24"/>
          <w:szCs w:val="24"/>
        </w:rPr>
        <w:t xml:space="preserve">the </w:t>
      </w:r>
      <w:r w:rsidRPr="00AB258D">
        <w:rPr>
          <w:rFonts w:cstheme="minorHAnsi"/>
          <w:sz w:val="24"/>
          <w:szCs w:val="24"/>
        </w:rPr>
        <w:t>stress-strain</w:t>
      </w:r>
      <w:r w:rsidR="00262F82" w:rsidRPr="00AB258D">
        <w:rPr>
          <w:rFonts w:cstheme="minorHAnsi"/>
          <w:sz w:val="24"/>
          <w:szCs w:val="24"/>
        </w:rPr>
        <w:t xml:space="preserve"> behaviour</w:t>
      </w:r>
      <w:r w:rsidRPr="00AB258D">
        <w:rPr>
          <w:rFonts w:cstheme="minorHAnsi"/>
          <w:sz w:val="24"/>
          <w:szCs w:val="24"/>
        </w:rPr>
        <w:t xml:space="preserve">, </w:t>
      </w:r>
      <w:r w:rsidR="00262F82" w:rsidRPr="00AB258D">
        <w:rPr>
          <w:rFonts w:cstheme="minorHAnsi"/>
          <w:sz w:val="24"/>
          <w:szCs w:val="24"/>
        </w:rPr>
        <w:t xml:space="preserve">undrained </w:t>
      </w:r>
      <w:r w:rsidRPr="00AB258D">
        <w:rPr>
          <w:rFonts w:cstheme="minorHAnsi"/>
          <w:sz w:val="24"/>
          <w:szCs w:val="24"/>
        </w:rPr>
        <w:t xml:space="preserve">shear strength, </w:t>
      </w:r>
      <w:r w:rsidR="00262F82" w:rsidRPr="00AB258D">
        <w:rPr>
          <w:rFonts w:cstheme="minorHAnsi"/>
          <w:sz w:val="24"/>
          <w:szCs w:val="24"/>
        </w:rPr>
        <w:t xml:space="preserve">swell potential, </w:t>
      </w:r>
      <w:r w:rsidRPr="00AB258D">
        <w:rPr>
          <w:rFonts w:cstheme="minorHAnsi"/>
          <w:sz w:val="24"/>
          <w:szCs w:val="24"/>
        </w:rPr>
        <w:t>stabilisation mechanism and microstruc</w:t>
      </w:r>
      <w:r w:rsidR="00262F82" w:rsidRPr="00AB258D">
        <w:rPr>
          <w:rFonts w:cstheme="minorHAnsi"/>
          <w:sz w:val="24"/>
          <w:szCs w:val="24"/>
        </w:rPr>
        <w:t xml:space="preserve">tural characteristics </w:t>
      </w:r>
      <w:r w:rsidR="00187EC0" w:rsidRPr="00AB258D">
        <w:rPr>
          <w:rFonts w:cstheme="minorHAnsi"/>
          <w:sz w:val="24"/>
          <w:szCs w:val="24"/>
        </w:rPr>
        <w:t>of the treated soils</w:t>
      </w:r>
      <w:r w:rsidRPr="00AB258D">
        <w:rPr>
          <w:rFonts w:cstheme="minorHAnsi"/>
          <w:sz w:val="24"/>
          <w:szCs w:val="24"/>
        </w:rPr>
        <w:t>.</w:t>
      </w:r>
      <w:r w:rsidR="00567F82" w:rsidRPr="00AB258D">
        <w:rPr>
          <w:rFonts w:cstheme="minorHAnsi"/>
          <w:sz w:val="24"/>
          <w:szCs w:val="24"/>
        </w:rPr>
        <w:t xml:space="preserve"> </w:t>
      </w:r>
    </w:p>
    <w:p w14:paraId="0B6BA095" w14:textId="77777777" w:rsidR="00567F82" w:rsidRPr="00AB258D" w:rsidRDefault="00567F82" w:rsidP="009D2B43">
      <w:pPr>
        <w:pStyle w:val="ListParagraph"/>
        <w:numPr>
          <w:ilvl w:val="0"/>
          <w:numId w:val="17"/>
        </w:numPr>
        <w:jc w:val="both"/>
        <w:rPr>
          <w:rFonts w:cstheme="minorHAnsi"/>
          <w:sz w:val="24"/>
          <w:szCs w:val="24"/>
        </w:rPr>
      </w:pPr>
      <w:r w:rsidRPr="00AB258D">
        <w:rPr>
          <w:rFonts w:cstheme="minorHAnsi"/>
          <w:sz w:val="24"/>
          <w:szCs w:val="24"/>
        </w:rPr>
        <w:t>T</w:t>
      </w:r>
      <w:r w:rsidR="00A67437" w:rsidRPr="00AB258D">
        <w:rPr>
          <w:rFonts w:cstheme="minorHAnsi"/>
          <w:sz w:val="24"/>
          <w:szCs w:val="24"/>
        </w:rPr>
        <w:t xml:space="preserve">he </w:t>
      </w:r>
      <w:r w:rsidRPr="00AB258D">
        <w:rPr>
          <w:rFonts w:cstheme="minorHAnsi"/>
          <w:sz w:val="24"/>
          <w:szCs w:val="24"/>
        </w:rPr>
        <w:t xml:space="preserve">study on the stress-strain behaviour of the treated soils show that the </w:t>
      </w:r>
      <w:r w:rsidR="00A67437" w:rsidRPr="00AB258D">
        <w:rPr>
          <w:rFonts w:cstheme="minorHAnsi"/>
          <w:sz w:val="24"/>
          <w:szCs w:val="24"/>
        </w:rPr>
        <w:t>inclusion o</w:t>
      </w:r>
      <w:r w:rsidRPr="00AB258D">
        <w:rPr>
          <w:rFonts w:cstheme="minorHAnsi"/>
          <w:sz w:val="24"/>
          <w:szCs w:val="24"/>
        </w:rPr>
        <w:t xml:space="preserve">f 1% of RC to the mixtures containing up to 4% of cement and up to </w:t>
      </w:r>
      <w:r w:rsidR="00A67437" w:rsidRPr="00AB258D">
        <w:rPr>
          <w:rFonts w:cstheme="minorHAnsi"/>
          <w:sz w:val="24"/>
          <w:szCs w:val="24"/>
        </w:rPr>
        <w:t>5% of GGBS or PFA</w:t>
      </w:r>
      <w:r w:rsidRPr="00AB258D">
        <w:rPr>
          <w:rFonts w:cstheme="minorHAnsi"/>
          <w:sz w:val="24"/>
          <w:szCs w:val="24"/>
        </w:rPr>
        <w:t>,</w:t>
      </w:r>
      <w:r w:rsidR="00A67437" w:rsidRPr="00AB258D">
        <w:rPr>
          <w:rFonts w:cstheme="minorHAnsi"/>
          <w:sz w:val="24"/>
          <w:szCs w:val="24"/>
        </w:rPr>
        <w:t xml:space="preserve"> changes the behaviour of the treated soils from ductile to brittle response with </w:t>
      </w:r>
      <w:r w:rsidR="00A67437" w:rsidRPr="00AB258D">
        <w:rPr>
          <w:rFonts w:cstheme="minorHAnsi"/>
          <w:sz w:val="24"/>
          <w:szCs w:val="24"/>
        </w:rPr>
        <w:lastRenderedPageBreak/>
        <w:t>peak stress occurring at low strain values due to increased hydration and cementation effect.</w:t>
      </w:r>
      <w:r w:rsidR="00BB4865" w:rsidRPr="00AB258D">
        <w:rPr>
          <w:rFonts w:cstheme="minorHAnsi"/>
          <w:sz w:val="24"/>
          <w:szCs w:val="24"/>
        </w:rPr>
        <w:t xml:space="preserve"> </w:t>
      </w:r>
    </w:p>
    <w:p w14:paraId="3AFC38B0" w14:textId="77777777" w:rsidR="009D2B43" w:rsidRPr="00AB258D" w:rsidRDefault="00A67437" w:rsidP="009D2B43">
      <w:pPr>
        <w:pStyle w:val="ListParagraph"/>
        <w:numPr>
          <w:ilvl w:val="0"/>
          <w:numId w:val="17"/>
        </w:numPr>
        <w:jc w:val="both"/>
        <w:rPr>
          <w:rFonts w:eastAsia="PalatinoLinotype-Roman-Identity" w:cstheme="minorHAnsi"/>
          <w:sz w:val="24"/>
          <w:szCs w:val="24"/>
        </w:rPr>
      </w:pPr>
      <w:r w:rsidRPr="00AB258D">
        <w:rPr>
          <w:rFonts w:eastAsia="PalatinoLinotype-Roman-Identity" w:cstheme="minorHAnsi"/>
          <w:sz w:val="24"/>
          <w:szCs w:val="24"/>
        </w:rPr>
        <w:t xml:space="preserve">The </w:t>
      </w:r>
      <w:r w:rsidR="00E92987" w:rsidRPr="00AB258D">
        <w:rPr>
          <w:rFonts w:eastAsia="PalatinoLinotype-Roman-Identity" w:cstheme="minorHAnsi"/>
          <w:sz w:val="24"/>
          <w:szCs w:val="24"/>
        </w:rPr>
        <w:t xml:space="preserve">undrained shear strength </w:t>
      </w:r>
      <w:r w:rsidR="00D25986" w:rsidRPr="00AB258D">
        <w:rPr>
          <w:rFonts w:eastAsia="PalatinoLinotype-Roman-Identity" w:cstheme="minorHAnsi"/>
          <w:sz w:val="24"/>
          <w:szCs w:val="24"/>
        </w:rPr>
        <w:t xml:space="preserve">of the </w:t>
      </w:r>
      <w:r w:rsidR="00B13FF5" w:rsidRPr="00AB258D">
        <w:rPr>
          <w:rFonts w:eastAsia="PalatinoLinotype-Roman-Identity" w:cstheme="minorHAnsi"/>
          <w:sz w:val="24"/>
          <w:szCs w:val="24"/>
        </w:rPr>
        <w:t>treated</w:t>
      </w:r>
      <w:r w:rsidR="00D25986" w:rsidRPr="00AB258D">
        <w:rPr>
          <w:rFonts w:eastAsia="PalatinoLinotype-Roman-Identity" w:cstheme="minorHAnsi"/>
          <w:sz w:val="24"/>
          <w:szCs w:val="24"/>
        </w:rPr>
        <w:t xml:space="preserve"> soils </w:t>
      </w:r>
      <w:r w:rsidR="00BB4865" w:rsidRPr="00AB258D">
        <w:rPr>
          <w:rFonts w:eastAsia="PalatinoLinotype-Roman-Identity" w:cstheme="minorHAnsi"/>
          <w:sz w:val="24"/>
          <w:szCs w:val="24"/>
        </w:rPr>
        <w:t xml:space="preserve">after 28days, </w:t>
      </w:r>
      <w:r w:rsidR="00D25986" w:rsidRPr="00AB258D">
        <w:rPr>
          <w:rFonts w:eastAsia="PalatinoLinotype-Roman-Identity" w:cstheme="minorHAnsi"/>
          <w:sz w:val="24"/>
          <w:szCs w:val="24"/>
        </w:rPr>
        <w:t xml:space="preserve">increases as the cement content in the mixtures increases from 3% to 8% as expected due to the formation of </w:t>
      </w:r>
      <w:r w:rsidRPr="00AB258D">
        <w:rPr>
          <w:rFonts w:eastAsia="PalatinoLinotype-Roman-Identity" w:cstheme="minorHAnsi"/>
          <w:sz w:val="24"/>
          <w:szCs w:val="24"/>
        </w:rPr>
        <w:t>C</w:t>
      </w:r>
      <w:r w:rsidRPr="00AB258D">
        <w:rPr>
          <w:rFonts w:ascii="Cambria Math" w:eastAsia="PalatinoLinotype-Roman-Identity" w:hAnsi="Cambria Math" w:cs="Cambria Math"/>
          <w:sz w:val="24"/>
          <w:szCs w:val="24"/>
        </w:rPr>
        <w:t>‑</w:t>
      </w:r>
      <w:r w:rsidRPr="00AB258D">
        <w:rPr>
          <w:rFonts w:eastAsia="PalatinoLinotype-Roman-Identity" w:cstheme="minorHAnsi"/>
          <w:sz w:val="24"/>
          <w:szCs w:val="24"/>
        </w:rPr>
        <w:t>S</w:t>
      </w:r>
      <w:r w:rsidRPr="00AB258D">
        <w:rPr>
          <w:rFonts w:ascii="Cambria Math" w:eastAsia="PalatinoLinotype-Roman-Identity" w:hAnsi="Cambria Math" w:cs="Cambria Math"/>
          <w:sz w:val="24"/>
          <w:szCs w:val="24"/>
        </w:rPr>
        <w:t>‑</w:t>
      </w:r>
      <w:r w:rsidR="00D25986" w:rsidRPr="00AB258D">
        <w:rPr>
          <w:rFonts w:eastAsia="PalatinoLinotype-Roman-Identity" w:cstheme="minorHAnsi"/>
          <w:sz w:val="24"/>
          <w:szCs w:val="24"/>
        </w:rPr>
        <w:t xml:space="preserve">H gel </w:t>
      </w:r>
      <w:r w:rsidR="00D25986" w:rsidRPr="00AB258D">
        <w:rPr>
          <w:rFonts w:eastAsia="PalatinoLinotype-Roman" w:cstheme="minorHAnsi"/>
          <w:sz w:val="24"/>
          <w:szCs w:val="24"/>
        </w:rPr>
        <w:t>and the binding of the material particles together</w:t>
      </w:r>
      <w:r w:rsidR="00711072" w:rsidRPr="00AB258D">
        <w:rPr>
          <w:rFonts w:eastAsia="PalatinoLinotype-Roman" w:cstheme="minorHAnsi"/>
          <w:sz w:val="24"/>
          <w:szCs w:val="24"/>
        </w:rPr>
        <w:t>.</w:t>
      </w:r>
      <w:r w:rsidR="00D25986" w:rsidRPr="00AB258D">
        <w:rPr>
          <w:rFonts w:eastAsia="PalatinoLinotype-Roman-Identity" w:cstheme="minorHAnsi"/>
          <w:sz w:val="24"/>
          <w:szCs w:val="24"/>
        </w:rPr>
        <w:t xml:space="preserve"> </w:t>
      </w:r>
    </w:p>
    <w:p w14:paraId="7917997E" w14:textId="77777777" w:rsidR="009D2B43" w:rsidRPr="00AB258D" w:rsidRDefault="009D2B43" w:rsidP="009D2B43">
      <w:pPr>
        <w:pStyle w:val="ListParagraph"/>
        <w:numPr>
          <w:ilvl w:val="0"/>
          <w:numId w:val="17"/>
        </w:numPr>
        <w:jc w:val="both"/>
        <w:rPr>
          <w:rFonts w:cstheme="minorHAnsi"/>
          <w:sz w:val="24"/>
          <w:szCs w:val="24"/>
        </w:rPr>
      </w:pPr>
      <w:r w:rsidRPr="00AB258D">
        <w:rPr>
          <w:rFonts w:cstheme="minorHAnsi"/>
          <w:sz w:val="24"/>
          <w:szCs w:val="24"/>
        </w:rPr>
        <w:t>T</w:t>
      </w:r>
      <w:r w:rsidR="00663B71" w:rsidRPr="00AB258D">
        <w:rPr>
          <w:rFonts w:cstheme="minorHAnsi"/>
          <w:sz w:val="24"/>
          <w:szCs w:val="24"/>
        </w:rPr>
        <w:t>he</w:t>
      </w:r>
      <w:r w:rsidR="00A67437" w:rsidRPr="00AB258D">
        <w:rPr>
          <w:rFonts w:cstheme="minorHAnsi"/>
          <w:sz w:val="24"/>
          <w:szCs w:val="24"/>
        </w:rPr>
        <w:t xml:space="preserve"> partial replacement of cement</w:t>
      </w:r>
      <w:r w:rsidRPr="00AB258D">
        <w:rPr>
          <w:rFonts w:cstheme="minorHAnsi"/>
          <w:sz w:val="24"/>
          <w:szCs w:val="24"/>
        </w:rPr>
        <w:t xml:space="preserve"> from 8% to </w:t>
      </w:r>
      <w:r w:rsidR="00A67437" w:rsidRPr="00AB258D">
        <w:rPr>
          <w:rFonts w:cstheme="minorHAnsi"/>
          <w:sz w:val="24"/>
          <w:szCs w:val="24"/>
        </w:rPr>
        <w:t xml:space="preserve">4% </w:t>
      </w:r>
      <w:r w:rsidR="00714852" w:rsidRPr="00AB258D">
        <w:rPr>
          <w:rFonts w:cstheme="minorHAnsi"/>
          <w:sz w:val="24"/>
          <w:szCs w:val="24"/>
        </w:rPr>
        <w:t xml:space="preserve">in the mixtures </w:t>
      </w:r>
      <w:r w:rsidR="00A67437" w:rsidRPr="00AB258D">
        <w:rPr>
          <w:rFonts w:cstheme="minorHAnsi"/>
          <w:sz w:val="24"/>
          <w:szCs w:val="24"/>
        </w:rPr>
        <w:t>and the inclusion of 3</w:t>
      </w:r>
      <w:r w:rsidR="00663B71" w:rsidRPr="00AB258D">
        <w:rPr>
          <w:rFonts w:cstheme="minorHAnsi"/>
          <w:sz w:val="24"/>
          <w:szCs w:val="24"/>
        </w:rPr>
        <w:t xml:space="preserve">-5% of GGBS and 1% of RC causes deeper penetration and breakage of the CSH or CASH barrier </w:t>
      </w:r>
      <w:r w:rsidR="00446E8A" w:rsidRPr="00AB258D">
        <w:rPr>
          <w:rFonts w:cstheme="minorHAnsi"/>
          <w:sz w:val="24"/>
          <w:szCs w:val="24"/>
        </w:rPr>
        <w:t xml:space="preserve">and </w:t>
      </w:r>
      <w:r w:rsidR="00F303A9" w:rsidRPr="00AB258D">
        <w:rPr>
          <w:rFonts w:cstheme="minorHAnsi"/>
          <w:sz w:val="24"/>
          <w:szCs w:val="24"/>
        </w:rPr>
        <w:t>evokes</w:t>
      </w:r>
      <w:r w:rsidR="00663B71" w:rsidRPr="00AB258D">
        <w:rPr>
          <w:rFonts w:cstheme="minorHAnsi"/>
          <w:sz w:val="24"/>
          <w:szCs w:val="24"/>
        </w:rPr>
        <w:t xml:space="preserve"> </w:t>
      </w:r>
      <w:r w:rsidR="00446E8A" w:rsidRPr="00AB258D">
        <w:rPr>
          <w:rFonts w:cstheme="minorHAnsi"/>
          <w:sz w:val="24"/>
          <w:szCs w:val="24"/>
        </w:rPr>
        <w:t xml:space="preserve">further </w:t>
      </w:r>
      <w:r w:rsidR="00663B71" w:rsidRPr="00AB258D">
        <w:rPr>
          <w:rFonts w:cstheme="minorHAnsi"/>
          <w:sz w:val="24"/>
          <w:szCs w:val="24"/>
        </w:rPr>
        <w:t xml:space="preserve">reaction </w:t>
      </w:r>
      <w:r w:rsidR="00446E8A" w:rsidRPr="00AB258D">
        <w:rPr>
          <w:rFonts w:cstheme="minorHAnsi"/>
          <w:sz w:val="24"/>
          <w:szCs w:val="24"/>
        </w:rPr>
        <w:t xml:space="preserve">of the cementitious materials </w:t>
      </w:r>
      <w:r w:rsidR="00663B71" w:rsidRPr="00AB258D">
        <w:rPr>
          <w:rFonts w:cstheme="minorHAnsi"/>
          <w:sz w:val="24"/>
          <w:szCs w:val="24"/>
        </w:rPr>
        <w:t>leading to the formation of a treated soil matrix with interlocking filaments</w:t>
      </w:r>
      <w:r w:rsidR="00446E8A" w:rsidRPr="00AB258D">
        <w:rPr>
          <w:rFonts w:cstheme="minorHAnsi"/>
          <w:sz w:val="24"/>
          <w:szCs w:val="24"/>
        </w:rPr>
        <w:t>.</w:t>
      </w:r>
      <w:r w:rsidR="00B51AAB" w:rsidRPr="00AB258D">
        <w:rPr>
          <w:rFonts w:cstheme="minorHAnsi"/>
          <w:sz w:val="24"/>
          <w:szCs w:val="24"/>
        </w:rPr>
        <w:t xml:space="preserve"> </w:t>
      </w:r>
    </w:p>
    <w:p w14:paraId="196863A6" w14:textId="1C95F396" w:rsidR="00A31D76" w:rsidRPr="00AB258D" w:rsidRDefault="00B2793B" w:rsidP="009D2B43">
      <w:pPr>
        <w:pStyle w:val="ListParagraph"/>
        <w:numPr>
          <w:ilvl w:val="0"/>
          <w:numId w:val="17"/>
        </w:numPr>
        <w:jc w:val="both"/>
        <w:rPr>
          <w:rFonts w:cstheme="minorHAnsi"/>
          <w:sz w:val="24"/>
          <w:szCs w:val="24"/>
        </w:rPr>
      </w:pPr>
      <w:r w:rsidRPr="00AB258D">
        <w:rPr>
          <w:rFonts w:cstheme="minorHAnsi"/>
          <w:sz w:val="24"/>
          <w:szCs w:val="24"/>
        </w:rPr>
        <w:t>T</w:t>
      </w:r>
      <w:r w:rsidR="002203EE" w:rsidRPr="00AB258D">
        <w:rPr>
          <w:rFonts w:cstheme="minorHAnsi"/>
          <w:sz w:val="24"/>
          <w:szCs w:val="24"/>
        </w:rPr>
        <w:t>h</w:t>
      </w:r>
      <w:r w:rsidR="009D2B43" w:rsidRPr="00AB258D">
        <w:rPr>
          <w:rFonts w:cstheme="minorHAnsi"/>
          <w:sz w:val="24"/>
          <w:szCs w:val="24"/>
        </w:rPr>
        <w:t xml:space="preserve">e </w:t>
      </w:r>
      <w:r w:rsidR="00446E8A" w:rsidRPr="00AB258D">
        <w:rPr>
          <w:rFonts w:cstheme="minorHAnsi"/>
          <w:sz w:val="24"/>
          <w:szCs w:val="24"/>
        </w:rPr>
        <w:t xml:space="preserve">microstructural characteristics of the </w:t>
      </w:r>
      <w:r w:rsidR="002203EE" w:rsidRPr="00AB258D">
        <w:rPr>
          <w:rFonts w:cstheme="minorHAnsi"/>
          <w:sz w:val="24"/>
          <w:szCs w:val="24"/>
        </w:rPr>
        <w:t xml:space="preserve">Cement/GGBS </w:t>
      </w:r>
      <w:r w:rsidR="00446E8A" w:rsidRPr="00AB258D">
        <w:rPr>
          <w:rFonts w:cstheme="minorHAnsi"/>
          <w:sz w:val="24"/>
          <w:szCs w:val="24"/>
        </w:rPr>
        <w:t>treated soils showed a change in stabilisation mechanism</w:t>
      </w:r>
      <w:r w:rsidR="00B51AAB" w:rsidRPr="00AB258D">
        <w:rPr>
          <w:rFonts w:cstheme="minorHAnsi"/>
          <w:sz w:val="24"/>
          <w:szCs w:val="24"/>
        </w:rPr>
        <w:t>,</w:t>
      </w:r>
      <w:r w:rsidR="00446E8A" w:rsidRPr="00AB258D">
        <w:rPr>
          <w:rFonts w:cstheme="minorHAnsi"/>
          <w:sz w:val="24"/>
          <w:szCs w:val="24"/>
        </w:rPr>
        <w:t xml:space="preserve"> from glue to a wrapping effect due to</w:t>
      </w:r>
      <w:r w:rsidR="00663B71" w:rsidRPr="00AB258D">
        <w:rPr>
          <w:rFonts w:cstheme="minorHAnsi"/>
          <w:sz w:val="24"/>
          <w:szCs w:val="24"/>
        </w:rPr>
        <w:t xml:space="preserve"> the extended crystallisation process</w:t>
      </w:r>
      <w:r w:rsidR="001502FE" w:rsidRPr="00AB258D">
        <w:rPr>
          <w:rFonts w:cstheme="minorHAnsi"/>
          <w:sz w:val="24"/>
          <w:szCs w:val="24"/>
        </w:rPr>
        <w:t xml:space="preserve"> caused by the presence of the </w:t>
      </w:r>
      <w:r w:rsidR="005C55A1" w:rsidRPr="00AB258D">
        <w:rPr>
          <w:rFonts w:cstheme="minorHAnsi"/>
          <w:sz w:val="24"/>
          <w:szCs w:val="24"/>
        </w:rPr>
        <w:t>nanotechnology-based</w:t>
      </w:r>
      <w:r w:rsidR="009D2B43" w:rsidRPr="00AB258D">
        <w:rPr>
          <w:rFonts w:cstheme="minorHAnsi"/>
          <w:sz w:val="24"/>
          <w:szCs w:val="24"/>
        </w:rPr>
        <w:t xml:space="preserve"> additive </w:t>
      </w:r>
      <w:r w:rsidR="001502FE" w:rsidRPr="00AB258D">
        <w:rPr>
          <w:rFonts w:cstheme="minorHAnsi"/>
          <w:sz w:val="24"/>
          <w:szCs w:val="24"/>
        </w:rPr>
        <w:t xml:space="preserve">(RC). </w:t>
      </w:r>
    </w:p>
    <w:p w14:paraId="54C387EF" w14:textId="77777777" w:rsidR="00141148" w:rsidRPr="00AB258D" w:rsidRDefault="00663B71" w:rsidP="009D2B43">
      <w:pPr>
        <w:pStyle w:val="ListParagraph"/>
        <w:numPr>
          <w:ilvl w:val="0"/>
          <w:numId w:val="17"/>
        </w:numPr>
        <w:jc w:val="both"/>
        <w:rPr>
          <w:rFonts w:cstheme="minorHAnsi"/>
          <w:sz w:val="24"/>
          <w:szCs w:val="24"/>
        </w:rPr>
      </w:pPr>
      <w:r w:rsidRPr="00AB258D">
        <w:rPr>
          <w:rFonts w:cstheme="minorHAnsi"/>
          <w:sz w:val="24"/>
          <w:szCs w:val="24"/>
        </w:rPr>
        <w:t>The partial replacemen</w:t>
      </w:r>
      <w:r w:rsidR="009D2B43" w:rsidRPr="00AB258D">
        <w:rPr>
          <w:rFonts w:cstheme="minorHAnsi"/>
          <w:sz w:val="24"/>
          <w:szCs w:val="24"/>
        </w:rPr>
        <w:t xml:space="preserve">t of cement from 8% to </w:t>
      </w:r>
      <w:r w:rsidRPr="00AB258D">
        <w:rPr>
          <w:rFonts w:cstheme="minorHAnsi"/>
          <w:sz w:val="24"/>
          <w:szCs w:val="24"/>
        </w:rPr>
        <w:t xml:space="preserve">4% and the inclusion of 3-5% of GGBS and 1% of RC reduces the swell potential of the treated soils up to 1.5% swell due to </w:t>
      </w:r>
      <w:r w:rsidR="006D27CF" w:rsidRPr="00AB258D">
        <w:rPr>
          <w:rFonts w:cstheme="minorHAnsi"/>
          <w:sz w:val="24"/>
          <w:szCs w:val="24"/>
        </w:rPr>
        <w:t xml:space="preserve">cementation effect and </w:t>
      </w:r>
      <w:r w:rsidRPr="00AB258D">
        <w:rPr>
          <w:rFonts w:cstheme="minorHAnsi"/>
          <w:sz w:val="24"/>
          <w:szCs w:val="24"/>
        </w:rPr>
        <w:t>the formation</w:t>
      </w:r>
      <w:r w:rsidR="00A90F3B" w:rsidRPr="00AB258D">
        <w:rPr>
          <w:rFonts w:cstheme="minorHAnsi"/>
          <w:sz w:val="24"/>
          <w:szCs w:val="24"/>
        </w:rPr>
        <w:t xml:space="preserve"> </w:t>
      </w:r>
      <w:r w:rsidR="009D2B43" w:rsidRPr="00AB258D">
        <w:rPr>
          <w:rFonts w:cstheme="minorHAnsi"/>
          <w:sz w:val="24"/>
          <w:szCs w:val="24"/>
        </w:rPr>
        <w:t xml:space="preserve">of fibrous </w:t>
      </w:r>
      <w:proofErr w:type="spellStart"/>
      <w:r w:rsidR="009D2B43" w:rsidRPr="00AB258D">
        <w:rPr>
          <w:rFonts w:cstheme="minorHAnsi"/>
          <w:sz w:val="24"/>
          <w:szCs w:val="24"/>
        </w:rPr>
        <w:t>pozzolanic</w:t>
      </w:r>
      <w:proofErr w:type="spellEnd"/>
      <w:r w:rsidR="009D2B43" w:rsidRPr="00AB258D">
        <w:rPr>
          <w:rFonts w:cstheme="minorHAnsi"/>
          <w:sz w:val="24"/>
          <w:szCs w:val="24"/>
        </w:rPr>
        <w:t xml:space="preserve"> products and hence, meeting the acceptable limit of 1.5% swell according to the </w:t>
      </w:r>
      <w:r w:rsidR="009D2B43" w:rsidRPr="00AB258D">
        <w:rPr>
          <w:rFonts w:cstheme="minorHAnsi"/>
          <w:noProof/>
          <w:sz w:val="24"/>
          <w:szCs w:val="24"/>
        </w:rPr>
        <w:t>Ohio Department of transport, U.S.</w:t>
      </w:r>
    </w:p>
    <w:p w14:paraId="6C42B13D" w14:textId="6E4C9F60" w:rsidR="006C6CEE" w:rsidRPr="00AB258D" w:rsidRDefault="00A90F3B" w:rsidP="009D2B43">
      <w:pPr>
        <w:pStyle w:val="ListParagraph"/>
        <w:numPr>
          <w:ilvl w:val="0"/>
          <w:numId w:val="17"/>
        </w:numPr>
        <w:jc w:val="both"/>
        <w:rPr>
          <w:rFonts w:cstheme="minorHAnsi"/>
          <w:sz w:val="24"/>
          <w:szCs w:val="24"/>
        </w:rPr>
      </w:pPr>
      <w:r w:rsidRPr="00AB258D">
        <w:rPr>
          <w:rFonts w:cstheme="minorHAnsi"/>
          <w:sz w:val="24"/>
          <w:szCs w:val="24"/>
        </w:rPr>
        <w:t xml:space="preserve">This </w:t>
      </w:r>
      <w:r w:rsidR="0043577E" w:rsidRPr="00AB258D">
        <w:rPr>
          <w:rFonts w:cstheme="minorHAnsi"/>
          <w:sz w:val="24"/>
          <w:szCs w:val="24"/>
        </w:rPr>
        <w:t xml:space="preserve">study has also revealed </w:t>
      </w:r>
      <w:r w:rsidRPr="00AB258D">
        <w:rPr>
          <w:rFonts w:cstheme="minorHAnsi"/>
          <w:sz w:val="24"/>
          <w:szCs w:val="24"/>
        </w:rPr>
        <w:t xml:space="preserve">that </w:t>
      </w:r>
      <w:r w:rsidR="0043577E" w:rsidRPr="00AB258D">
        <w:rPr>
          <w:rFonts w:cstheme="minorHAnsi"/>
          <w:sz w:val="24"/>
          <w:szCs w:val="24"/>
        </w:rPr>
        <w:t xml:space="preserve">cement/GGBS mixtures and 1% of </w:t>
      </w:r>
      <w:r w:rsidRPr="00AB258D">
        <w:rPr>
          <w:rFonts w:cstheme="minorHAnsi"/>
          <w:sz w:val="24"/>
          <w:szCs w:val="24"/>
        </w:rPr>
        <w:t xml:space="preserve">RC can be incorporated in stabilisation of soils for construction purposes as an efficient and </w:t>
      </w:r>
      <w:r w:rsidR="005C55A1" w:rsidRPr="00AB258D">
        <w:rPr>
          <w:rFonts w:cstheme="minorHAnsi"/>
          <w:sz w:val="24"/>
          <w:szCs w:val="24"/>
        </w:rPr>
        <w:t>environmentally</w:t>
      </w:r>
      <w:r w:rsidRPr="00AB258D">
        <w:rPr>
          <w:rFonts w:cstheme="minorHAnsi"/>
          <w:sz w:val="24"/>
          <w:szCs w:val="24"/>
        </w:rPr>
        <w:t xml:space="preserve"> friendly </w:t>
      </w:r>
      <w:r w:rsidR="00141148" w:rsidRPr="00AB258D">
        <w:rPr>
          <w:rFonts w:cstheme="minorHAnsi"/>
          <w:sz w:val="24"/>
          <w:szCs w:val="24"/>
        </w:rPr>
        <w:t>approach to soil stabilisation.</w:t>
      </w:r>
      <w:r w:rsidR="00663CD9" w:rsidRPr="00AB258D">
        <w:rPr>
          <w:rFonts w:cstheme="minorHAnsi"/>
          <w:sz w:val="24"/>
          <w:szCs w:val="24"/>
        </w:rPr>
        <w:t xml:space="preserve"> </w:t>
      </w:r>
    </w:p>
    <w:p w14:paraId="5596740F" w14:textId="0C620745" w:rsidR="009D2B43" w:rsidRPr="00AB258D" w:rsidRDefault="009D2B43" w:rsidP="00262F82">
      <w:pPr>
        <w:jc w:val="both"/>
        <w:rPr>
          <w:rFonts w:cstheme="minorHAnsi"/>
          <w:sz w:val="24"/>
          <w:szCs w:val="24"/>
        </w:rPr>
      </w:pPr>
    </w:p>
    <w:p w14:paraId="14B2361F" w14:textId="77777777" w:rsidR="000C330D" w:rsidRPr="00AB258D" w:rsidRDefault="000C330D" w:rsidP="000C330D">
      <w:pPr>
        <w:rPr>
          <w:rFonts w:cstheme="minorHAnsi"/>
          <w:b/>
          <w:sz w:val="24"/>
          <w:szCs w:val="24"/>
        </w:rPr>
      </w:pPr>
      <w:proofErr w:type="spellStart"/>
      <w:r w:rsidRPr="00AB258D">
        <w:rPr>
          <w:rFonts w:cstheme="minorHAnsi"/>
          <w:b/>
          <w:sz w:val="24"/>
          <w:szCs w:val="24"/>
        </w:rPr>
        <w:t>CRediT</w:t>
      </w:r>
      <w:proofErr w:type="spellEnd"/>
      <w:r w:rsidRPr="00AB258D">
        <w:rPr>
          <w:rFonts w:cstheme="minorHAnsi"/>
          <w:b/>
          <w:sz w:val="24"/>
          <w:szCs w:val="24"/>
        </w:rPr>
        <w:t xml:space="preserve"> authorship contribution statement </w:t>
      </w:r>
    </w:p>
    <w:p w14:paraId="22921CD4" w14:textId="6D2266AE" w:rsidR="000C330D" w:rsidRPr="00AB258D" w:rsidRDefault="00596105" w:rsidP="00B96FCB">
      <w:pPr>
        <w:spacing w:line="240" w:lineRule="auto"/>
        <w:jc w:val="both"/>
        <w:rPr>
          <w:rFonts w:cstheme="minorHAnsi"/>
          <w:sz w:val="24"/>
          <w:szCs w:val="24"/>
        </w:rPr>
      </w:pPr>
      <w:r w:rsidRPr="00AB258D">
        <w:rPr>
          <w:rFonts w:cstheme="minorHAnsi"/>
          <w:b/>
          <w:sz w:val="24"/>
          <w:szCs w:val="24"/>
        </w:rPr>
        <w:t>Samuel J. Abbey:</w:t>
      </w:r>
      <w:r w:rsidRPr="00AB258D">
        <w:rPr>
          <w:rFonts w:cstheme="minorHAnsi"/>
          <w:sz w:val="24"/>
          <w:szCs w:val="24"/>
        </w:rPr>
        <w:t xml:space="preserve"> Conceptualization, Methodology, Investigation, Writing - original draft, Writing - review &amp; editing</w:t>
      </w:r>
      <w:r w:rsidRPr="00AB258D">
        <w:rPr>
          <w:rFonts w:cstheme="minorHAnsi"/>
          <w:b/>
          <w:sz w:val="24"/>
          <w:szCs w:val="24"/>
        </w:rPr>
        <w:t xml:space="preserve"> Eyo U. Eyo:</w:t>
      </w:r>
      <w:r w:rsidRPr="00AB258D">
        <w:rPr>
          <w:rFonts w:cstheme="minorHAnsi"/>
          <w:sz w:val="24"/>
          <w:szCs w:val="24"/>
        </w:rPr>
        <w:t xml:space="preserve"> Investigation, Writing - review &amp; editing </w:t>
      </w:r>
      <w:r w:rsidRPr="00AB258D">
        <w:rPr>
          <w:rFonts w:eastAsia="Times New Roman" w:cstheme="minorHAnsi"/>
          <w:b/>
          <w:bCs/>
          <w:sz w:val="24"/>
          <w:szCs w:val="24"/>
          <w:lang w:val="en-US"/>
        </w:rPr>
        <w:t xml:space="preserve">Chukwueloka A.U. </w:t>
      </w:r>
      <w:proofErr w:type="spellStart"/>
      <w:r w:rsidRPr="00AB258D">
        <w:rPr>
          <w:rFonts w:eastAsia="Times New Roman" w:cstheme="minorHAnsi"/>
          <w:b/>
          <w:bCs/>
          <w:sz w:val="24"/>
          <w:szCs w:val="24"/>
          <w:lang w:val="en-US"/>
        </w:rPr>
        <w:t>Okeke</w:t>
      </w:r>
      <w:proofErr w:type="spellEnd"/>
      <w:r w:rsidRPr="00AB258D">
        <w:rPr>
          <w:rFonts w:eastAsia="Times New Roman" w:cstheme="minorHAnsi"/>
          <w:bCs/>
          <w:sz w:val="24"/>
          <w:szCs w:val="24"/>
          <w:lang w:eastAsia="en-GB"/>
        </w:rPr>
        <w:t xml:space="preserve">: </w:t>
      </w:r>
      <w:r w:rsidRPr="00AB258D">
        <w:rPr>
          <w:rFonts w:cstheme="minorHAnsi"/>
          <w:sz w:val="24"/>
          <w:szCs w:val="24"/>
        </w:rPr>
        <w:t xml:space="preserve">Writing - review &amp; editing, Visualization </w:t>
      </w:r>
      <w:r w:rsidRPr="00AB258D">
        <w:rPr>
          <w:rFonts w:cstheme="minorHAnsi"/>
          <w:b/>
          <w:sz w:val="24"/>
          <w:szCs w:val="24"/>
        </w:rPr>
        <w:t>Samson Ngambi</w:t>
      </w:r>
      <w:r w:rsidRPr="00AB258D">
        <w:rPr>
          <w:rFonts w:cstheme="minorHAnsi"/>
          <w:sz w:val="24"/>
          <w:szCs w:val="24"/>
        </w:rPr>
        <w:t>: Writing - review &amp; editing, Visualization, Supervision.</w:t>
      </w:r>
    </w:p>
    <w:p w14:paraId="5BCA0E61" w14:textId="77777777" w:rsidR="00B96FCB" w:rsidRPr="00AB258D" w:rsidRDefault="00B96FCB" w:rsidP="00B96FCB">
      <w:pPr>
        <w:spacing w:line="240" w:lineRule="auto"/>
        <w:jc w:val="both"/>
        <w:rPr>
          <w:rFonts w:cstheme="minorHAnsi"/>
          <w:sz w:val="24"/>
          <w:szCs w:val="24"/>
        </w:rPr>
      </w:pPr>
    </w:p>
    <w:p w14:paraId="5A68C48F" w14:textId="77777777" w:rsidR="000C330D" w:rsidRPr="00AB258D" w:rsidRDefault="000C330D" w:rsidP="000C330D">
      <w:pPr>
        <w:rPr>
          <w:rFonts w:cstheme="minorHAnsi"/>
          <w:b/>
          <w:sz w:val="24"/>
          <w:szCs w:val="24"/>
        </w:rPr>
      </w:pPr>
      <w:r w:rsidRPr="00AB258D">
        <w:rPr>
          <w:rFonts w:cstheme="minorHAnsi"/>
          <w:b/>
          <w:sz w:val="24"/>
          <w:szCs w:val="24"/>
        </w:rPr>
        <w:t>Declaration of Competing Interest</w:t>
      </w:r>
    </w:p>
    <w:p w14:paraId="00499019" w14:textId="1341AD71" w:rsidR="000C330D" w:rsidRPr="00AB258D" w:rsidRDefault="000C330D" w:rsidP="00D74FBD">
      <w:pPr>
        <w:spacing w:line="276" w:lineRule="auto"/>
        <w:jc w:val="both"/>
        <w:rPr>
          <w:rFonts w:cstheme="minorHAnsi"/>
          <w:sz w:val="24"/>
          <w:szCs w:val="24"/>
        </w:rPr>
      </w:pPr>
      <w:r w:rsidRPr="00AB258D">
        <w:rPr>
          <w:rFonts w:cstheme="minorHAnsi"/>
          <w:sz w:val="24"/>
          <w:szCs w:val="24"/>
        </w:rPr>
        <w:t>The authors declare that they have no known competing financial interests or personal relationships that could have appeared to influence the work reported in this paper.</w:t>
      </w:r>
    </w:p>
    <w:p w14:paraId="752C05A9" w14:textId="77777777" w:rsidR="00343262" w:rsidRPr="00AB258D" w:rsidRDefault="00343262" w:rsidP="00343262">
      <w:pPr>
        <w:rPr>
          <w:rFonts w:cstheme="minorHAnsi"/>
          <w:b/>
          <w:sz w:val="24"/>
          <w:szCs w:val="24"/>
        </w:rPr>
      </w:pPr>
      <w:r w:rsidRPr="00AB258D">
        <w:rPr>
          <w:rFonts w:cstheme="minorHAnsi"/>
          <w:b/>
          <w:sz w:val="24"/>
          <w:szCs w:val="24"/>
        </w:rPr>
        <w:t>Acknowledgements</w:t>
      </w:r>
    </w:p>
    <w:p w14:paraId="59A795D3" w14:textId="0078FAA4" w:rsidR="00343262" w:rsidRPr="00AB258D" w:rsidRDefault="00343262" w:rsidP="00343262">
      <w:pPr>
        <w:rPr>
          <w:rFonts w:cstheme="minorHAnsi"/>
          <w:sz w:val="24"/>
          <w:szCs w:val="24"/>
        </w:rPr>
      </w:pPr>
      <w:r w:rsidRPr="00AB258D">
        <w:rPr>
          <w:rFonts w:cstheme="minorHAnsi"/>
          <w:sz w:val="24"/>
          <w:szCs w:val="24"/>
        </w:rPr>
        <w:t>This research did not receive any specific grant from funding agencies in the public, commercial, or not-for-profit sectors.</w:t>
      </w:r>
    </w:p>
    <w:p w14:paraId="27BDA728" w14:textId="77777777" w:rsidR="00625BA3" w:rsidRPr="00AB258D" w:rsidRDefault="00625BA3" w:rsidP="00262F82">
      <w:pPr>
        <w:jc w:val="both"/>
        <w:rPr>
          <w:rFonts w:cstheme="minorHAnsi"/>
          <w:sz w:val="24"/>
          <w:szCs w:val="24"/>
        </w:rPr>
      </w:pPr>
    </w:p>
    <w:p w14:paraId="07EF49E1" w14:textId="77777777" w:rsidR="00E151B6" w:rsidRPr="00AB258D" w:rsidRDefault="00E151B6" w:rsidP="00B52E4C">
      <w:pPr>
        <w:rPr>
          <w:rFonts w:cstheme="minorHAnsi"/>
          <w:b/>
          <w:sz w:val="28"/>
          <w:szCs w:val="28"/>
        </w:rPr>
      </w:pPr>
      <w:r w:rsidRPr="00AB258D">
        <w:rPr>
          <w:rFonts w:cstheme="minorHAnsi"/>
          <w:b/>
          <w:sz w:val="28"/>
          <w:szCs w:val="28"/>
        </w:rPr>
        <w:t>Reference</w:t>
      </w:r>
    </w:p>
    <w:p w14:paraId="01F1FBD5" w14:textId="77777777" w:rsidR="00E151B6" w:rsidRPr="00AB258D" w:rsidRDefault="00E151B6" w:rsidP="00E151B6">
      <w:pPr>
        <w:pStyle w:val="ListParagraph"/>
        <w:rPr>
          <w:rFonts w:asciiTheme="minorHAnsi" w:hAnsiTheme="minorHAnsi" w:cstheme="minorHAnsi"/>
          <w:b/>
          <w:sz w:val="24"/>
        </w:rPr>
      </w:pPr>
    </w:p>
    <w:bookmarkStart w:id="1" w:name="_Hlk15827863"/>
    <w:p w14:paraId="3B56CB9B" w14:textId="77777777" w:rsidR="00416EC1" w:rsidRPr="00AB258D" w:rsidRDefault="00E151B6" w:rsidP="00416EC1">
      <w:pPr>
        <w:widowControl w:val="0"/>
        <w:autoSpaceDE w:val="0"/>
        <w:autoSpaceDN w:val="0"/>
        <w:adjustRightInd w:val="0"/>
        <w:spacing w:line="240" w:lineRule="auto"/>
        <w:ind w:left="640" w:hanging="640"/>
        <w:rPr>
          <w:rFonts w:ascii="Calibri" w:hAnsi="Calibri" w:cs="Calibri"/>
          <w:noProof/>
          <w:szCs w:val="24"/>
        </w:rPr>
      </w:pPr>
      <w:r w:rsidRPr="00AB258D">
        <w:rPr>
          <w:rFonts w:cstheme="minorHAnsi"/>
          <w:b/>
        </w:rPr>
        <w:fldChar w:fldCharType="begin" w:fldLock="1"/>
      </w:r>
      <w:r w:rsidRPr="00AB258D">
        <w:rPr>
          <w:rFonts w:cstheme="minorHAnsi"/>
          <w:b/>
        </w:rPr>
        <w:instrText xml:space="preserve">ADDIN Mendeley Bibliography CSL_BIBLIOGRAPHY </w:instrText>
      </w:r>
      <w:r w:rsidRPr="00AB258D">
        <w:rPr>
          <w:rFonts w:cstheme="minorHAnsi"/>
          <w:b/>
        </w:rPr>
        <w:fldChar w:fldCharType="separate"/>
      </w:r>
      <w:r w:rsidR="00416EC1" w:rsidRPr="00AB258D">
        <w:rPr>
          <w:rFonts w:ascii="Calibri" w:hAnsi="Calibri" w:cs="Calibri"/>
          <w:noProof/>
          <w:szCs w:val="24"/>
        </w:rPr>
        <w:t>[1]</w:t>
      </w:r>
      <w:r w:rsidR="00416EC1" w:rsidRPr="00AB258D">
        <w:rPr>
          <w:rFonts w:ascii="Calibri" w:hAnsi="Calibri" w:cs="Calibri"/>
          <w:noProof/>
          <w:szCs w:val="24"/>
        </w:rPr>
        <w:tab/>
        <w:t>J.D. Nelson, D.J. Miller, Expansive soils: Problems and practice in foundation and pavement engineering, John Wiley &amp; Sons, Inc, 1992.</w:t>
      </w:r>
    </w:p>
    <w:p w14:paraId="0BCDE01E"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w:t>
      </w:r>
      <w:r w:rsidRPr="00AB258D">
        <w:rPr>
          <w:rFonts w:ascii="Calibri" w:hAnsi="Calibri" w:cs="Calibri"/>
          <w:noProof/>
          <w:szCs w:val="24"/>
        </w:rPr>
        <w:tab/>
        <w:t>G.K. Moses, A. Saminu, Cement Kiln Dust stabilization of compacted black cotton soil, Electron. J. Geotech. Eng. 17 F (2012) 825–836.</w:t>
      </w:r>
    </w:p>
    <w:p w14:paraId="741B8B1A"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w:t>
      </w:r>
      <w:r w:rsidRPr="00AB258D">
        <w:rPr>
          <w:rFonts w:ascii="Calibri" w:hAnsi="Calibri" w:cs="Calibri"/>
          <w:noProof/>
          <w:szCs w:val="24"/>
        </w:rPr>
        <w:tab/>
        <w:t xml:space="preserve">S.J. Abbey, E.U. Eyo, S. Ng’ambi, Swell and microstructural characteristics of high-plasticity </w:t>
      </w:r>
      <w:r w:rsidRPr="00AB258D">
        <w:rPr>
          <w:rFonts w:ascii="Calibri" w:hAnsi="Calibri" w:cs="Calibri"/>
          <w:noProof/>
          <w:szCs w:val="24"/>
        </w:rPr>
        <w:lastRenderedPageBreak/>
        <w:t>clay blended with cement, Bull. Eng. Geol. Environ. 79 (2019) 2119–2130. https://doi.org/https://doi.org/10.1007/s10064-019-01621-z.</w:t>
      </w:r>
    </w:p>
    <w:p w14:paraId="5FB46B17"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w:t>
      </w:r>
      <w:r w:rsidRPr="00AB258D">
        <w:rPr>
          <w:rFonts w:ascii="Calibri" w:hAnsi="Calibri" w:cs="Calibri"/>
          <w:noProof/>
          <w:szCs w:val="24"/>
        </w:rPr>
        <w:tab/>
        <w:t>E.U. Eyo, S. Ng’ambi, S.J. Abbey, Effect of intrinsic microscopic properties and suction on swell characteristics of compacted expansive clays, Transp. Geotech. 18 (2019) 124–131. https://doi.org/10.1016/j.trgeo.2018.11.007.</w:t>
      </w:r>
    </w:p>
    <w:p w14:paraId="277D3AEE"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w:t>
      </w:r>
      <w:r w:rsidRPr="00AB258D">
        <w:rPr>
          <w:rFonts w:ascii="Calibri" w:hAnsi="Calibri" w:cs="Calibri"/>
          <w:noProof/>
          <w:szCs w:val="24"/>
        </w:rPr>
        <w:tab/>
        <w:t>E.U. Eyo, S. Ng’ambi, S.J. Abbey, Performance of clay stabilized by cementitious materials and inclusion of zeolite/alkaline metals-based additive, Transp. Geotech. 23 (2020) 100330. https://doi.org/10.1016/j.trgeo.2020.100330.</w:t>
      </w:r>
    </w:p>
    <w:p w14:paraId="0A4A93AE"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w:t>
      </w:r>
      <w:r w:rsidRPr="00AB258D">
        <w:rPr>
          <w:rFonts w:ascii="Calibri" w:hAnsi="Calibri" w:cs="Calibri"/>
          <w:noProof/>
          <w:szCs w:val="24"/>
        </w:rPr>
        <w:tab/>
        <w:t>Z. Nalbantoglu, E.R. Tuncer, Compressibility and hydraulic conductivity of a chemically treated expansive clay, Can. Geotech. J. 38 (2001) 154–160.</w:t>
      </w:r>
    </w:p>
    <w:p w14:paraId="6A103E2B"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[7]</w:t>
      </w:r>
      <w:r w:rsidRPr="00AB258D">
        <w:rPr>
          <w:rFonts w:ascii="Calibri" w:hAnsi="Calibri" w:cs="Calibri"/>
          <w:noProof/>
          <w:szCs w:val="24"/>
        </w:rPr>
        <w:tab/>
        <w:t>S. Horpibulsuk, N. Miura, D.T. Bergado, Undrained Shear Behavior of Cement Admixed Clay at High Water Content, J. Geotech. Geoenvironmental Eng. 130 (2004) 1096–1105. https://doi.org/10.1061/(ASCE)1090-0241(2004)130:10(1096).</w:t>
      </w:r>
    </w:p>
    <w:p w14:paraId="0C2DEE29"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[8]</w:t>
      </w:r>
      <w:r w:rsidRPr="00AB258D">
        <w:rPr>
          <w:rFonts w:ascii="Calibri" w:hAnsi="Calibri" w:cs="Calibri"/>
          <w:noProof/>
          <w:szCs w:val="24"/>
        </w:rPr>
        <w:tab/>
        <w:t>A.A. Al-Rawas, A.W. Hago, H. Al-Sarmi, Effect of lime, cement and sarooj (artificial pozzolan) on the swelling potential of an expansive soil from Oman, Build. Environ. 40 (2005) 681–687.</w:t>
      </w:r>
    </w:p>
    <w:p w14:paraId="59165C02"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[9]</w:t>
      </w:r>
      <w:r w:rsidRPr="00AB258D">
        <w:rPr>
          <w:rFonts w:ascii="Calibri" w:hAnsi="Calibri" w:cs="Calibri"/>
          <w:noProof/>
          <w:szCs w:val="24"/>
        </w:rPr>
        <w:tab/>
        <w:t>A. Seco, F. Ramírez, L. Miqueleiz, B. Garci, E. Prieto, The use of non-conventional additives in Marls stabilization, Appl. Clay Sci. 51 (2011) 419–423. https://doi.org/10.1016/j.clay.2010.12.032.</w:t>
      </w:r>
    </w:p>
    <w:p w14:paraId="49D48CA5"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[10]</w:t>
      </w:r>
      <w:r w:rsidRPr="00AB258D">
        <w:rPr>
          <w:rFonts w:ascii="Calibri" w:hAnsi="Calibri" w:cs="Calibri"/>
          <w:noProof/>
          <w:szCs w:val="24"/>
        </w:rPr>
        <w:tab/>
        <w:t>T.D. Tran, Y.J. Cui, A.M. Tang, M. Audiguier, R. Cojean, Effects of lime treatment on the microstructure and hydraulic conductivity of Héricourt clay, J. Rock Mech. Geotech. Eng. 6 (2014) 399–404. https://doi.org/10.1016/j.jrmge.2014.07.001.</w:t>
      </w:r>
    </w:p>
    <w:p w14:paraId="7A248090"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[11]</w:t>
      </w:r>
      <w:r w:rsidRPr="00AB258D">
        <w:rPr>
          <w:rFonts w:ascii="Calibri" w:hAnsi="Calibri" w:cs="Calibri"/>
          <w:noProof/>
          <w:szCs w:val="24"/>
        </w:rPr>
        <w:tab/>
        <w:t>M. Khemissa, A. Mahamedi, Cement and lime mixture stabilization of an expansive overconsolidated clay, Appl. Clay Sci. 95 (2014) 104–110.</w:t>
      </w:r>
    </w:p>
    <w:p w14:paraId="6565005B"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[12]</w:t>
      </w:r>
      <w:r w:rsidRPr="00AB258D">
        <w:rPr>
          <w:rFonts w:ascii="Calibri" w:hAnsi="Calibri" w:cs="Calibri"/>
          <w:noProof/>
          <w:szCs w:val="24"/>
        </w:rPr>
        <w:tab/>
        <w:t>S.J. Abbey, S. Ng’ambi, E. Ganjian, Development of strength models for prediction of unconfined compressive strength of cement/by-product material improved soils, Geotech. Test. J. 40 (2017) 928–935. https://doi.org/10.1520/GTJ20160138.</w:t>
      </w:r>
    </w:p>
    <w:p w14:paraId="6ECBA090"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[13]</w:t>
      </w:r>
      <w:r w:rsidRPr="00AB258D">
        <w:rPr>
          <w:rFonts w:ascii="Calibri" w:hAnsi="Calibri" w:cs="Calibri"/>
          <w:noProof/>
          <w:szCs w:val="24"/>
        </w:rPr>
        <w:tab/>
        <w:t>E.U. Eyo, S. Ngambi, S.J. Abbey, Investigative modelling of behaviour of expansive soils improved using soil mixing technique., Int. J. Appl. Eng. Res. 12 (2017) 3828–3836.</w:t>
      </w:r>
    </w:p>
    <w:p w14:paraId="14DB97AC"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[14]</w:t>
      </w:r>
      <w:r w:rsidRPr="00AB258D">
        <w:rPr>
          <w:rFonts w:ascii="Calibri" w:hAnsi="Calibri" w:cs="Calibri"/>
          <w:noProof/>
          <w:szCs w:val="24"/>
        </w:rPr>
        <w:tab/>
        <w:t>E.U. Eyo, S. Ngambi, S.J. Abbey, Investigative study of behaviour of treated expansive soil using empirical correlations, in: Int. Found. Congr. Equip. Expo 5-10 March, Orlando, Florida, 2018: pp. 373–384.</w:t>
      </w:r>
    </w:p>
    <w:p w14:paraId="47564F91"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[15]</w:t>
      </w:r>
      <w:r w:rsidRPr="00AB258D">
        <w:rPr>
          <w:rFonts w:ascii="Calibri" w:hAnsi="Calibri" w:cs="Calibri"/>
          <w:noProof/>
          <w:szCs w:val="24"/>
        </w:rPr>
        <w:tab/>
        <w:t>N.C. Consoli, D. Winter, A.S. Rilho, L. Festugato, B. dos S. Teixeira, A testing procedure for predicting strength in artificially cemented soft soils, Eng. Geol. 195 (2015) 327–334. https://doi.org/10.1016/j.enggeo.2015.06.005.</w:t>
      </w:r>
    </w:p>
    <w:p w14:paraId="55373C59"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[16]</w:t>
      </w:r>
      <w:r w:rsidRPr="00AB258D">
        <w:rPr>
          <w:rFonts w:ascii="Calibri" w:hAnsi="Calibri" w:cs="Calibri"/>
          <w:noProof/>
          <w:szCs w:val="24"/>
        </w:rPr>
        <w:tab/>
        <w:t>O. Caraşca, Soil Improvement by Mixing: Techniques and Performances, Energy Procedia. 85 (2016) 85–92. https://doi.org/10.1016/j.egypro.2015.12.277.</w:t>
      </w:r>
    </w:p>
    <w:p w14:paraId="431317E5"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[17]</w:t>
      </w:r>
      <w:r w:rsidRPr="00AB258D">
        <w:rPr>
          <w:rFonts w:ascii="Calibri" w:hAnsi="Calibri" w:cs="Calibri"/>
          <w:noProof/>
          <w:szCs w:val="24"/>
        </w:rPr>
        <w:tab/>
        <w:t>D. Higgins, Briefing: GGBS and sustainability, Proc. Inst. Civ. Eng. - Constr. Mater. 160 (2007) 99–101. https://doi.org/10.1680/coma.2007.160.3.99.</w:t>
      </w:r>
    </w:p>
    <w:p w14:paraId="4E8885CE"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[18]</w:t>
      </w:r>
      <w:r w:rsidRPr="00AB258D">
        <w:rPr>
          <w:rFonts w:ascii="Calibri" w:hAnsi="Calibri" w:cs="Calibri"/>
          <w:noProof/>
          <w:szCs w:val="24"/>
        </w:rPr>
        <w:tab/>
        <w:t>J. Olivier, J. Peters, Trendas in global CO2 and total greenhouse gas emissions, 2018. https://doi.org/https://www.pbl.nl/sites/default/files/cms/publicaties/pbl-2017-trends-in-global-co2-and-total-greenhouse-gas-emissons-2017-report_2674.pdf.</w:t>
      </w:r>
    </w:p>
    <w:p w14:paraId="668212F7"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[19]</w:t>
      </w:r>
      <w:r w:rsidRPr="00AB258D">
        <w:rPr>
          <w:rFonts w:ascii="Calibri" w:hAnsi="Calibri" w:cs="Calibri"/>
          <w:noProof/>
          <w:szCs w:val="24"/>
        </w:rPr>
        <w:tab/>
        <w:t xml:space="preserve">European Commission, Reference Document on Best Available Techniques in Cement , Lime </w:t>
      </w:r>
      <w:r w:rsidRPr="00AB258D">
        <w:rPr>
          <w:rFonts w:ascii="Calibri" w:hAnsi="Calibri" w:cs="Calibri"/>
          <w:noProof/>
          <w:szCs w:val="24"/>
        </w:rPr>
        <w:lastRenderedPageBreak/>
        <w:t>and Magnesium Oxide Manufacturing Industries, (2010) 459.</w:t>
      </w:r>
    </w:p>
    <w:p w14:paraId="271E737C"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[20]</w:t>
      </w:r>
      <w:r w:rsidRPr="00AB258D">
        <w:rPr>
          <w:rFonts w:ascii="Calibri" w:hAnsi="Calibri" w:cs="Calibri"/>
          <w:noProof/>
          <w:szCs w:val="24"/>
        </w:rPr>
        <w:tab/>
        <w:t>CEM-Bureau, Worldwide percentage cement production in year 2017 by country and region, Eur. Cem. Assoc. (2017). https://cembureau.eu/media/1828/world-cement-producers-graph.png.</w:t>
      </w:r>
    </w:p>
    <w:p w14:paraId="56412926"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[21]</w:t>
      </w:r>
      <w:r w:rsidRPr="00AB258D">
        <w:rPr>
          <w:rFonts w:ascii="Calibri" w:hAnsi="Calibri" w:cs="Calibri"/>
          <w:noProof/>
          <w:szCs w:val="24"/>
        </w:rPr>
        <w:tab/>
        <w:t>B.J. Van Ruijven, D.P. Van Vuuren, W. Boskaljon, M.L. Neelis, D. Saygin, M.K. Patel, Long-term model-based projections of energy use and CO2 emissions from the global steel and cement industries, Resour. Conserv. Recycl. 112 (2016) 15–36. https://doi.org/10.1016/j.resconrec.2016.04.016.</w:t>
      </w:r>
    </w:p>
    <w:p w14:paraId="1CD46D20"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[22]</w:t>
      </w:r>
      <w:r w:rsidRPr="00AB258D">
        <w:rPr>
          <w:rFonts w:ascii="Calibri" w:hAnsi="Calibri" w:cs="Calibri"/>
          <w:noProof/>
          <w:szCs w:val="24"/>
        </w:rPr>
        <w:tab/>
        <w:t>G.N. Obuzor, J.M. Kinuthia, R.B. Robinson, Utilisation of lime activated GGBS to reduce the deleterious effect of flooding on stabilised road structural materials: A laboratory simulation, Eng. Geol. 122 (2011) 334–338. https://doi.org/10.1016/j.enggeo.2011.06.010.</w:t>
      </w:r>
    </w:p>
    <w:p w14:paraId="1C6B21B2"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[23]</w:t>
      </w:r>
      <w:r w:rsidRPr="00AB258D">
        <w:rPr>
          <w:rFonts w:ascii="Calibri" w:hAnsi="Calibri" w:cs="Calibri"/>
          <w:noProof/>
          <w:szCs w:val="24"/>
        </w:rPr>
        <w:tab/>
        <w:t>E. Celik, Z. Nalbantoglu, Effects of ground granulated blastfurnace slag (GGBS) on the swelling properties of lime-stabilized sulfate-bearing soils, Eng. Geol. 163 (2013) 20–25.</w:t>
      </w:r>
    </w:p>
    <w:p w14:paraId="54F85E90"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[24]</w:t>
      </w:r>
      <w:r w:rsidRPr="00AB258D">
        <w:rPr>
          <w:rFonts w:ascii="Calibri" w:hAnsi="Calibri" w:cs="Calibri"/>
          <w:noProof/>
          <w:szCs w:val="24"/>
        </w:rPr>
        <w:tab/>
        <w:t>E. Ganjian, G. Jalull, H. Sadeghi-Pouya, Using waste materials and by-products to produce concrete paving blocks, Constr. Build. Mater. 77 (2015) 270–275. https://doi.org/10.1016/j.conbuildmat.2014.12.048.</w:t>
      </w:r>
    </w:p>
    <w:p w14:paraId="57509D4B"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[25]</w:t>
      </w:r>
      <w:r w:rsidRPr="00AB258D">
        <w:rPr>
          <w:rFonts w:ascii="Calibri" w:hAnsi="Calibri" w:cs="Calibri"/>
          <w:noProof/>
          <w:szCs w:val="24"/>
        </w:rPr>
        <w:tab/>
        <w:t>A. Al-Swaidani, I. Hammoud, A. Meziab, Effect of adding natural pozzolana on geotechnical properties of lime-stabilized clayey soil, J. Rock Mech. Geotech. Eng. 8 (2016) 714–725. https://doi.org/10.1016/j.jrmge.2016.04.002.</w:t>
      </w:r>
    </w:p>
    <w:p w14:paraId="4AAF1E10"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[26]</w:t>
      </w:r>
      <w:r w:rsidRPr="00AB258D">
        <w:rPr>
          <w:rFonts w:ascii="Calibri" w:hAnsi="Calibri" w:cs="Calibri"/>
          <w:noProof/>
          <w:szCs w:val="24"/>
        </w:rPr>
        <w:tab/>
        <w:t>A.K. Sharma, P. V. Sivapullaiah, Swelling behaviour of expansive soil treated with fly ash–GGBS based binder, Geomech. Geoengin. (2016) 1–10.</w:t>
      </w:r>
    </w:p>
    <w:p w14:paraId="3B212128"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[27]</w:t>
      </w:r>
      <w:r w:rsidRPr="00AB258D">
        <w:rPr>
          <w:rFonts w:ascii="Calibri" w:hAnsi="Calibri" w:cs="Calibri"/>
          <w:noProof/>
          <w:szCs w:val="24"/>
        </w:rPr>
        <w:tab/>
        <w:t>A. Behnood, Soil and clay stabilization with calcium- and non-calcium-based additives: A state-of-the-art review of challenges, approaches and techniques, Transp. Geotech. 17 (2018) 14–32. https://doi.org/10.1016/j.trgeo.2018.08.002.</w:t>
      </w:r>
    </w:p>
    <w:p w14:paraId="0101D11B"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[28]</w:t>
      </w:r>
      <w:r w:rsidRPr="00AB258D">
        <w:rPr>
          <w:rFonts w:ascii="Calibri" w:hAnsi="Calibri" w:cs="Calibri"/>
          <w:noProof/>
          <w:szCs w:val="24"/>
        </w:rPr>
        <w:tab/>
        <w:t>K. Yao, W. Wang, N. Li, C. Zhang, L. Wang, Investigation on strength and microstructure characteristics of nano-MgO admixed with cemented soft soil, Constr. Build. Mater. 206 (2019) 160–168. https://doi.org/10.1016/j.conbuildmat.2019.01.221.</w:t>
      </w:r>
    </w:p>
    <w:p w14:paraId="3DBF968E"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[29]</w:t>
      </w:r>
      <w:r w:rsidRPr="00AB258D">
        <w:rPr>
          <w:rFonts w:ascii="Calibri" w:hAnsi="Calibri" w:cs="Calibri"/>
          <w:noProof/>
          <w:szCs w:val="24"/>
        </w:rPr>
        <w:tab/>
        <w:t>O. Amini, M. Ghasemi, Laboratory study of the effects of using magnesium slag on the geotechnical properties of cement stabilized soil, Constr. Build. Mater. 223 (2019) 409–420. https://doi.org/10.1016/j.conbuildmat.2019.07.011.</w:t>
      </w:r>
    </w:p>
    <w:p w14:paraId="79FFA3B2"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[30]</w:t>
      </w:r>
      <w:r w:rsidRPr="00AB258D">
        <w:rPr>
          <w:rFonts w:ascii="Calibri" w:hAnsi="Calibri" w:cs="Calibri"/>
          <w:noProof/>
          <w:szCs w:val="24"/>
        </w:rPr>
        <w:tab/>
        <w:t>S.J. Abbey, A.O. Olubanwo, Strength and hydraulic conductivity of cement and by-product cementitious materials improved soil, Int. J. Appl. Eng. Res. 13 (2018) 8684–8694.</w:t>
      </w:r>
    </w:p>
    <w:p w14:paraId="5F37CE5C"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[31]</w:t>
      </w:r>
      <w:r w:rsidRPr="00AB258D">
        <w:rPr>
          <w:rFonts w:ascii="Calibri" w:hAnsi="Calibri" w:cs="Calibri"/>
          <w:noProof/>
          <w:szCs w:val="24"/>
        </w:rPr>
        <w:tab/>
        <w:t>R. Mohamad, I. Norsalisma, J.M. Kinuthia, Strength and environmental evaluation of stabilised Clay-PFA eco-friendly bricks, Constr. Build. Mater. 125 (2016) 964–973. https://doi.org/10.1016/j.conbuildmat.2016.08.114.</w:t>
      </w:r>
    </w:p>
    <w:p w14:paraId="7AF4926F"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[32]</w:t>
      </w:r>
      <w:r w:rsidRPr="00AB258D">
        <w:rPr>
          <w:rFonts w:ascii="Calibri" w:hAnsi="Calibri" w:cs="Calibri"/>
          <w:noProof/>
          <w:szCs w:val="24"/>
        </w:rPr>
        <w:tab/>
        <w:t>D. Higgins, Soil stabilisation with ground granulated blastfurnace slag, UK Cem. Slag Makers Assoc. (2005) 1–15. http://www.ukcsma.co.uk/files/csma_report_on_soil_stabilisation.pdf.</w:t>
      </w:r>
    </w:p>
    <w:p w14:paraId="13A2A590"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[33]</w:t>
      </w:r>
      <w:r w:rsidRPr="00AB258D">
        <w:rPr>
          <w:rFonts w:ascii="Calibri" w:hAnsi="Calibri" w:cs="Calibri"/>
          <w:noProof/>
          <w:szCs w:val="24"/>
        </w:rPr>
        <w:tab/>
        <w:t>P. Ghadir, N. Ranjbar, Clayey soil stabilization using geopolymer and Portland cement, Constr. Build. Mater. 188 (2018) 361–371. https://doi.org/10.1016/j.conbuildmat.2018.07.207.</w:t>
      </w:r>
    </w:p>
    <w:p w14:paraId="61B634E4"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[34]</w:t>
      </w:r>
      <w:r w:rsidRPr="00AB258D">
        <w:rPr>
          <w:rFonts w:ascii="Calibri" w:hAnsi="Calibri" w:cs="Calibri"/>
          <w:noProof/>
          <w:szCs w:val="24"/>
        </w:rPr>
        <w:tab/>
        <w:t>S. Wild, J.M. Kinuthia, G.I. Jones, D.D. Higgins, Suppression of swelling associated with ettringite formation in lime stabilized sulphate bearing clay soils by partial substitution of lime with ground granulated blastfurnace slag, Eng. Geol. 51 (1999) 257–277. https://doi.org/10.1016/S0013-7952(98)00069-6.</w:t>
      </w:r>
    </w:p>
    <w:p w14:paraId="2617F5C8"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lastRenderedPageBreak/>
        <w:t>[35]</w:t>
      </w:r>
      <w:r w:rsidRPr="00AB258D">
        <w:rPr>
          <w:rFonts w:ascii="Calibri" w:hAnsi="Calibri" w:cs="Calibri"/>
          <w:noProof/>
          <w:szCs w:val="24"/>
        </w:rPr>
        <w:tab/>
        <w:t>S.J. Abbey, S. Ngambi, A.O. Olubanwo, Effect of overlap distance and chord angle on performance of overlapping soil-cement columns, Int. J. Civ. Eng. Technol. 8 (2017) 627–637.</w:t>
      </w:r>
    </w:p>
    <w:p w14:paraId="003CC32A"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[36]</w:t>
      </w:r>
      <w:r w:rsidRPr="00AB258D">
        <w:rPr>
          <w:rFonts w:ascii="Calibri" w:hAnsi="Calibri" w:cs="Calibri"/>
          <w:noProof/>
          <w:szCs w:val="24"/>
        </w:rPr>
        <w:tab/>
        <w:t>D. Ventura, T. Koloane, Laboratory evaluation of PowerCem blend to determine its suitability as a road building material stabilizer, Zwijndrecht, The Netherlands, 2005.</w:t>
      </w:r>
    </w:p>
    <w:p w14:paraId="3617DD01"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[37]</w:t>
      </w:r>
      <w:r w:rsidRPr="00AB258D">
        <w:rPr>
          <w:rFonts w:ascii="Calibri" w:hAnsi="Calibri" w:cs="Calibri"/>
          <w:noProof/>
          <w:szCs w:val="24"/>
        </w:rPr>
        <w:tab/>
        <w:t xml:space="preserve">P. Marjanovic, C.E.. Egyed, P. de La Roij, The road to the future: Manual for working with </w:t>
      </w:r>
      <w:r w:rsidR="00A430CD" w:rsidRPr="00AB258D">
        <w:rPr>
          <w:rFonts w:ascii="Calibri" w:hAnsi="Calibri" w:cs="Calibri"/>
          <w:noProof/>
          <w:szCs w:val="24"/>
        </w:rPr>
        <w:t>RC</w:t>
      </w:r>
      <w:r w:rsidRPr="00AB258D">
        <w:rPr>
          <w:rFonts w:ascii="Calibri" w:hAnsi="Calibri" w:cs="Calibri"/>
          <w:noProof/>
          <w:szCs w:val="24"/>
        </w:rPr>
        <w:t>, 2009. https://doi.org/10.12968/johv.2014.2.10.569.</w:t>
      </w:r>
    </w:p>
    <w:p w14:paraId="4C86326D"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[38]</w:t>
      </w:r>
      <w:r w:rsidRPr="00AB258D">
        <w:rPr>
          <w:rFonts w:ascii="Calibri" w:hAnsi="Calibri" w:cs="Calibri"/>
          <w:noProof/>
          <w:szCs w:val="24"/>
        </w:rPr>
        <w:tab/>
        <w:t>R. Montero, R. Baneros, P. Lakerveld, W. Veerbeek, Macro-economic effects of using the PowerCem technology on road infrastructure in flood risk areas, PowerCem Technologies B.V, 2012.</w:t>
      </w:r>
    </w:p>
    <w:p w14:paraId="53495743"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[39]</w:t>
      </w:r>
      <w:r w:rsidRPr="00AB258D">
        <w:rPr>
          <w:rFonts w:ascii="Calibri" w:hAnsi="Calibri" w:cs="Calibri"/>
          <w:noProof/>
          <w:szCs w:val="24"/>
        </w:rPr>
        <w:tab/>
        <w:t xml:space="preserve">J. Blass, Environmental impact comparison conventional road construction and </w:t>
      </w:r>
      <w:r w:rsidR="00A430CD" w:rsidRPr="00AB258D">
        <w:rPr>
          <w:rFonts w:ascii="Calibri" w:hAnsi="Calibri" w:cs="Calibri"/>
          <w:noProof/>
          <w:szCs w:val="24"/>
        </w:rPr>
        <w:t>RC</w:t>
      </w:r>
      <w:r w:rsidRPr="00AB258D">
        <w:rPr>
          <w:rFonts w:ascii="Calibri" w:hAnsi="Calibri" w:cs="Calibri"/>
          <w:noProof/>
          <w:szCs w:val="24"/>
        </w:rPr>
        <w:t xml:space="preserve"> constructions, 2017.</w:t>
      </w:r>
    </w:p>
    <w:p w14:paraId="3FA5931C"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[40]</w:t>
      </w:r>
      <w:r w:rsidRPr="00AB258D">
        <w:rPr>
          <w:rFonts w:ascii="Calibri" w:hAnsi="Calibri" w:cs="Calibri"/>
          <w:noProof/>
          <w:szCs w:val="24"/>
        </w:rPr>
        <w:tab/>
        <w:t xml:space="preserve">P. Wu, Cement Stabilized Materials with Use of </w:t>
      </w:r>
      <w:r w:rsidR="00A430CD" w:rsidRPr="00AB258D">
        <w:rPr>
          <w:rFonts w:ascii="Calibri" w:hAnsi="Calibri" w:cs="Calibri"/>
          <w:noProof/>
          <w:szCs w:val="24"/>
        </w:rPr>
        <w:t>RC</w:t>
      </w:r>
      <w:r w:rsidRPr="00AB258D">
        <w:rPr>
          <w:rFonts w:ascii="Calibri" w:hAnsi="Calibri" w:cs="Calibri"/>
          <w:noProof/>
          <w:szCs w:val="24"/>
        </w:rPr>
        <w:t xml:space="preserve"> Additive, Beijing Jiaotong University, 2015. https://doi.org/10.1021/es305007w.</w:t>
      </w:r>
    </w:p>
    <w:p w14:paraId="4E0976FB"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[41]</w:t>
      </w:r>
      <w:r w:rsidRPr="00AB258D">
        <w:rPr>
          <w:rFonts w:ascii="Calibri" w:hAnsi="Calibri" w:cs="Calibri"/>
          <w:noProof/>
          <w:szCs w:val="24"/>
        </w:rPr>
        <w:tab/>
        <w:t>P. Wu, Cement-bound road base materials, 2011.</w:t>
      </w:r>
    </w:p>
    <w:p w14:paraId="5C2664E8"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[42]</w:t>
      </w:r>
      <w:r w:rsidRPr="00AB258D">
        <w:rPr>
          <w:rFonts w:ascii="Calibri" w:hAnsi="Calibri" w:cs="Calibri"/>
          <w:noProof/>
          <w:szCs w:val="24"/>
        </w:rPr>
        <w:tab/>
        <w:t>M.S. Ouf, Effect of using pozzolanic materials on the properties of Egyptian soils, Life Sci. J. 9 (2012) 554–560.</w:t>
      </w:r>
    </w:p>
    <w:p w14:paraId="47F9FD6F"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[43]</w:t>
      </w:r>
      <w:r w:rsidRPr="00AB258D">
        <w:rPr>
          <w:rFonts w:ascii="Calibri" w:hAnsi="Calibri" w:cs="Calibri"/>
          <w:noProof/>
          <w:szCs w:val="24"/>
        </w:rPr>
        <w:tab/>
        <w:t>Malvern, Mastersizer 2000 essentials user manual, (2007).</w:t>
      </w:r>
    </w:p>
    <w:p w14:paraId="5C7C6D67"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[44]</w:t>
      </w:r>
      <w:r w:rsidRPr="00AB258D">
        <w:rPr>
          <w:rFonts w:ascii="Calibri" w:hAnsi="Calibri" w:cs="Calibri"/>
          <w:noProof/>
          <w:szCs w:val="24"/>
        </w:rPr>
        <w:tab/>
        <w:t>Ouhadi, R. Yong, M. Amiri, M. Ouhadi, Pozzolanic consolidation of stabilized soft clays, Appl. Clay Sci. 95 (2014) 111–118. https://doi.org/10.1016/j.clay.2014.03.020.</w:t>
      </w:r>
    </w:p>
    <w:p w14:paraId="2C7DFFB5"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[45]</w:t>
      </w:r>
      <w:r w:rsidRPr="00AB258D">
        <w:rPr>
          <w:rFonts w:ascii="Calibri" w:hAnsi="Calibri" w:cs="Calibri"/>
          <w:noProof/>
          <w:szCs w:val="24"/>
        </w:rPr>
        <w:tab/>
        <w:t xml:space="preserve">B.. PowerCem Technologies, Manual for laboratory research </w:t>
      </w:r>
      <w:r w:rsidR="00A430CD" w:rsidRPr="00AB258D">
        <w:rPr>
          <w:rFonts w:ascii="Calibri" w:hAnsi="Calibri" w:cs="Calibri"/>
          <w:noProof/>
          <w:szCs w:val="24"/>
        </w:rPr>
        <w:t>RC</w:t>
      </w:r>
      <w:r w:rsidRPr="00AB258D">
        <w:rPr>
          <w:rFonts w:ascii="Calibri" w:hAnsi="Calibri" w:cs="Calibri"/>
          <w:noProof/>
          <w:szCs w:val="24"/>
          <w:vertAlign w:val="superscript"/>
        </w:rPr>
        <w:t>TM</w:t>
      </w:r>
      <w:r w:rsidRPr="00AB258D">
        <w:rPr>
          <w:rFonts w:ascii="Calibri" w:hAnsi="Calibri" w:cs="Calibri"/>
          <w:noProof/>
          <w:szCs w:val="24"/>
        </w:rPr>
        <w:t>, (2015) 1–39.</w:t>
      </w:r>
    </w:p>
    <w:p w14:paraId="78C77CD2"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[46]</w:t>
      </w:r>
      <w:r w:rsidRPr="00AB258D">
        <w:rPr>
          <w:rFonts w:ascii="Calibri" w:hAnsi="Calibri" w:cs="Calibri"/>
          <w:noProof/>
          <w:szCs w:val="24"/>
        </w:rPr>
        <w:tab/>
        <w:t>D. Faux, Stabilising the future of working platforms, University of Birmingham, 2015.</w:t>
      </w:r>
    </w:p>
    <w:p w14:paraId="180C7BBA"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[47]</w:t>
      </w:r>
      <w:r w:rsidRPr="00AB258D">
        <w:rPr>
          <w:rFonts w:ascii="Calibri" w:hAnsi="Calibri" w:cs="Calibri"/>
          <w:noProof/>
          <w:szCs w:val="24"/>
        </w:rPr>
        <w:tab/>
        <w:t>A.K. Jha, P. V. Sivapullaiah, Susceptibility of strength development by lime in gypsiferous soil-A micro mechanistic study, Appl. Clay Sci. 115 (2015) 39–50. https://doi.org/10.1016/j.clay.2015.07.017.</w:t>
      </w:r>
    </w:p>
    <w:p w14:paraId="31F356BA"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[48]</w:t>
      </w:r>
      <w:r w:rsidRPr="00AB258D">
        <w:rPr>
          <w:rFonts w:ascii="Calibri" w:hAnsi="Calibri" w:cs="Calibri"/>
          <w:noProof/>
          <w:szCs w:val="24"/>
        </w:rPr>
        <w:tab/>
        <w:t>P. Jamsawang, N. Nuansrithong, P. Voottipruex, S. Songpiriyakij, Laboratory investigations on the swelling behavior of composite expansive clays stabilized with shallow and deep clay-cement mixing methods, Appl. Clay Sci. 148 (2017) 83–94. https://doi.org/10.1016/j.clay.2017.08.013.</w:t>
      </w:r>
    </w:p>
    <w:p w14:paraId="5F52F456"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[49]</w:t>
      </w:r>
      <w:r w:rsidRPr="00AB258D">
        <w:rPr>
          <w:rFonts w:ascii="Calibri" w:hAnsi="Calibri" w:cs="Calibri"/>
          <w:noProof/>
          <w:szCs w:val="24"/>
        </w:rPr>
        <w:tab/>
        <w:t>S.A.A. Khattab, J. Fleureau, Long-term stability characteristics of a lime-treated plastic soil., J. Mater. Civ. Eng. 19 (2007) 358–366.</w:t>
      </w:r>
    </w:p>
    <w:p w14:paraId="0C746E1F"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[50]</w:t>
      </w:r>
      <w:r w:rsidRPr="00AB258D">
        <w:rPr>
          <w:rFonts w:ascii="Calibri" w:hAnsi="Calibri" w:cs="Calibri"/>
          <w:noProof/>
          <w:szCs w:val="24"/>
        </w:rPr>
        <w:tab/>
        <w:t>A.H.M. Kamruzzaman, S.H. Chew, F.H. Lee, Structuration and Destructuration Behavior of Cement-Treated Singapore Marine Clay, J. Geotech. Geoenvironmental Eng. 135 (2009) 573–589. https://doi.org/10.1061/(ASCE)1090-0241(2009)135:4(573).</w:t>
      </w:r>
    </w:p>
    <w:p w14:paraId="69B15DCC"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[51]</w:t>
      </w:r>
      <w:r w:rsidRPr="00AB258D">
        <w:rPr>
          <w:rFonts w:ascii="Calibri" w:hAnsi="Calibri" w:cs="Calibri"/>
          <w:noProof/>
          <w:szCs w:val="24"/>
        </w:rPr>
        <w:tab/>
        <w:t>B.R. Phanikumar, T.V. Nagaraju, Engineering behaviour of expansive clays blended with cement and GGBS, Proc. Inst. Civ. Eng. Gr. Improv. 171 (2018) 167–173. https://doi.org/10.1680/jgrim.17.00054.</w:t>
      </w:r>
    </w:p>
    <w:p w14:paraId="54684056"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[52]</w:t>
      </w:r>
      <w:r w:rsidRPr="00AB258D">
        <w:rPr>
          <w:rFonts w:ascii="Calibri" w:hAnsi="Calibri" w:cs="Calibri"/>
          <w:noProof/>
          <w:szCs w:val="24"/>
        </w:rPr>
        <w:tab/>
        <w:t>W. lu Zhang, B.A. McCabe, Y. hui Chen, T.J. Forkan, Unsaturated behaviour of a stabilized marine sediment: A comparison of cement and GGBS binders, Eng. Geol. 246 (2018) 57–68. https://doi.org/10.1016/j.enggeo.2018.09.020.</w:t>
      </w:r>
    </w:p>
    <w:p w14:paraId="3E790C4B"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[53]</w:t>
      </w:r>
      <w:r w:rsidRPr="00AB258D">
        <w:rPr>
          <w:rFonts w:ascii="Calibri" w:hAnsi="Calibri" w:cs="Calibri"/>
          <w:noProof/>
          <w:szCs w:val="24"/>
        </w:rPr>
        <w:tab/>
        <w:t xml:space="preserve">E. Mengue, H. Mroueh, L. Lancelot, R. Medjo Eko, Physicochemical and consolidation properties of compacted lateritic soil treated with cement, Soils Found. 57 (2017) 60–79. </w:t>
      </w:r>
      <w:r w:rsidRPr="00AB258D">
        <w:rPr>
          <w:rFonts w:ascii="Calibri" w:hAnsi="Calibri" w:cs="Calibri"/>
          <w:noProof/>
          <w:szCs w:val="24"/>
        </w:rPr>
        <w:lastRenderedPageBreak/>
        <w:t>https://doi.org/10.1016/j.sandf.2017.01.005.</w:t>
      </w:r>
    </w:p>
    <w:p w14:paraId="44D9660C"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[54]</w:t>
      </w:r>
      <w:r w:rsidRPr="00AB258D">
        <w:rPr>
          <w:rFonts w:ascii="Calibri" w:hAnsi="Calibri" w:cs="Calibri"/>
          <w:noProof/>
          <w:szCs w:val="24"/>
        </w:rPr>
        <w:tab/>
        <w:t>G. Sarkar, M. Islam, Study on the Geotechnical Properties of Cement based Composite Fine-grained Soil, Int. J. Adv. Struct. Geotech. Eng. 01 (2012). http://www.basharesearch.com/IJASGE/1010202.pdf.</w:t>
      </w:r>
    </w:p>
    <w:p w14:paraId="632CBB2A"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[55]</w:t>
      </w:r>
      <w:r w:rsidRPr="00AB258D">
        <w:rPr>
          <w:rFonts w:ascii="Calibri" w:hAnsi="Calibri" w:cs="Calibri"/>
          <w:noProof/>
          <w:szCs w:val="24"/>
        </w:rPr>
        <w:tab/>
        <w:t>B.S.R. Kaniraj, V.G. Havanagi, Behaviour of cement-stabilized fibre-reinforced fly ash-soil mixtures, J. Geotech. Geoenvironmental Eng. 127 (2001).</w:t>
      </w:r>
    </w:p>
    <w:p w14:paraId="46152E2C"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[56]</w:t>
      </w:r>
      <w:r w:rsidRPr="00AB258D">
        <w:rPr>
          <w:rFonts w:ascii="Calibri" w:hAnsi="Calibri" w:cs="Calibri"/>
          <w:noProof/>
          <w:szCs w:val="24"/>
        </w:rPr>
        <w:tab/>
        <w:t>Z. Wu, Y. Deng, S. Liu, Q. Liu, Y. Chen, F. Zha, Strength and micro-structure evolution of compacted soils modified by admixtures of cement and metakaolin, Appl. Clay Sci. 127–128 (2016) 44–51. https://doi.org/10.1016/j.clay.2016.03.040.</w:t>
      </w:r>
    </w:p>
    <w:p w14:paraId="359927C0"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[57]</w:t>
      </w:r>
      <w:r w:rsidRPr="00AB258D">
        <w:rPr>
          <w:rFonts w:ascii="Calibri" w:hAnsi="Calibri" w:cs="Calibri"/>
          <w:noProof/>
          <w:szCs w:val="24"/>
        </w:rPr>
        <w:tab/>
        <w:t>S. Horpibulsuk, R. Rachan, A. Chinkulkijniwat, Y. Raksachon, A. Suddeepong, Analysis of strength development in cement-stabilized silty clay from microstructural considerations, Constr. Build. Mater. 24 (2010) 2011–2021. https://doi.org/10.1016/j.conbuildmat.2010.03.011.</w:t>
      </w:r>
    </w:p>
    <w:p w14:paraId="4F96BB74"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[58]</w:t>
      </w:r>
      <w:r w:rsidRPr="00AB258D">
        <w:rPr>
          <w:rFonts w:ascii="Calibri" w:hAnsi="Calibri" w:cs="Calibri"/>
          <w:noProof/>
          <w:szCs w:val="24"/>
        </w:rPr>
        <w:tab/>
        <w:t>S. Pourakbar, A. Asadi, B.B.K. Huat, M.H. Fasihnikoutalab, Stabilization of clayey soil using ultrafine palm oil fuel ash (POFA) and cement, Transp. Geotech. 3 (2015) 24–35. https://doi.org/10.1016/j.trgeo.2015.01.002.</w:t>
      </w:r>
    </w:p>
    <w:p w14:paraId="64A22EA6"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[59]</w:t>
      </w:r>
      <w:r w:rsidRPr="00AB258D">
        <w:rPr>
          <w:rFonts w:ascii="Calibri" w:hAnsi="Calibri" w:cs="Calibri"/>
          <w:noProof/>
          <w:szCs w:val="24"/>
        </w:rPr>
        <w:tab/>
        <w:t>F. Sariosseiri, B. Muhunthan, Effect of cement treatment on geotechnical properties of some Washington State soils, Eng. Geol. 104 (2009) 119–125. https://doi.org/10.1016/j.enggeo.2008.09.003.</w:t>
      </w:r>
    </w:p>
    <w:p w14:paraId="3CE48A85"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[60]</w:t>
      </w:r>
      <w:r w:rsidRPr="00AB258D">
        <w:rPr>
          <w:rFonts w:ascii="Calibri" w:hAnsi="Calibri" w:cs="Calibri"/>
          <w:noProof/>
          <w:szCs w:val="24"/>
        </w:rPr>
        <w:tab/>
        <w:t>S. Por, S. Nishimura, S. Likitlersuang, Deformation characteristics and stress responses of cement-treated expnsive clay under con fi ned one-dimensional swelling, Appl. Clay Sci. 146 (2017) 316–324. https://doi.org/10.1016/j.clay.2017.06.022.</w:t>
      </w:r>
    </w:p>
    <w:p w14:paraId="26A2DF98"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[61]</w:t>
      </w:r>
      <w:r w:rsidRPr="00AB258D">
        <w:rPr>
          <w:rFonts w:ascii="Calibri" w:hAnsi="Calibri" w:cs="Calibri"/>
          <w:noProof/>
          <w:szCs w:val="24"/>
        </w:rPr>
        <w:tab/>
        <w:t>M. Suzuki, T. Fujimoto, T. Taguchi, Peak and residual strength characteristics of cement-treated soil cured under different consolidation conditions, Soils Found. 54 (2014) 687–698. https://doi.org/10.1016/j.sandf.2014.06.023.</w:t>
      </w:r>
    </w:p>
    <w:p w14:paraId="51688470"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[62]</w:t>
      </w:r>
      <w:r w:rsidRPr="00AB258D">
        <w:rPr>
          <w:rFonts w:ascii="Calibri" w:hAnsi="Calibri" w:cs="Calibri"/>
          <w:noProof/>
          <w:szCs w:val="24"/>
        </w:rPr>
        <w:tab/>
        <w:t>N. Latifi, A.S.A. Rashid, S. Siddiqua, S. Horpibulsuk, Micro-structural analysis of strength development in low- and high swelling clays stabilized with magnesium chloride solution - A green soil stabilizer, Appl. Clay Sci. 118 (2015) 195–206. https://doi.org/10.1016/j.clay.2015.10.001.</w:t>
      </w:r>
    </w:p>
    <w:p w14:paraId="31AD9BB3"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[63]</w:t>
      </w:r>
      <w:r w:rsidRPr="00AB258D">
        <w:rPr>
          <w:rFonts w:ascii="Calibri" w:hAnsi="Calibri" w:cs="Calibri"/>
          <w:noProof/>
          <w:szCs w:val="24"/>
        </w:rPr>
        <w:tab/>
        <w:t>M. Mirzababaei, S. Yasrobi, Assessment of Clay Soil Fabric Using Scanning Electron Microscope, in: First Srilankan Geotech. Soc. Int. Conf. Soil Rock Eng. 7-11 August, Colombo, Sri Lanka, 2007.</w:t>
      </w:r>
    </w:p>
    <w:p w14:paraId="6C3AE1CA"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[64]</w:t>
      </w:r>
      <w:r w:rsidRPr="00AB258D">
        <w:rPr>
          <w:rFonts w:ascii="Calibri" w:hAnsi="Calibri" w:cs="Calibri"/>
          <w:noProof/>
          <w:szCs w:val="24"/>
        </w:rPr>
        <w:tab/>
        <w:t>M.S. Ouf, Stabilisation of clay subgrade soils using ground granulated blastfurnace slag. PhD Thesis, School of Civil Engineering University of Leeds, 2001.</w:t>
      </w:r>
    </w:p>
    <w:p w14:paraId="29F4F254"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[65]</w:t>
      </w:r>
      <w:r w:rsidRPr="00AB258D">
        <w:rPr>
          <w:rFonts w:ascii="Calibri" w:hAnsi="Calibri" w:cs="Calibri"/>
          <w:noProof/>
          <w:szCs w:val="24"/>
        </w:rPr>
        <w:tab/>
        <w:t>S. Wild, Effects of Ground Granulated Blast Furnace Slag (GGBS) on the Strength and Swelling Properties of Lime-Stabilized Kaolinite in the Presence of Sulphates, Clay Miner. 31 (1996) 423–433. https://doi.org/10.1180/claymin.1996.031.3.12.</w:t>
      </w:r>
    </w:p>
    <w:p w14:paraId="35014261"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[66]</w:t>
      </w:r>
      <w:r w:rsidRPr="00AB258D">
        <w:rPr>
          <w:rFonts w:ascii="Calibri" w:hAnsi="Calibri" w:cs="Calibri"/>
          <w:noProof/>
          <w:szCs w:val="24"/>
        </w:rPr>
        <w:tab/>
        <w:t>S. Rahimi-Aghdam, Z.P. Bažant, M.J. Abdolhosseini Qomi, Cement hydration from hours to centuries controlled by diffusion through barrier shells of C-S-H, J. Mech. Phys. Solids. 99 (2017) 211–224. https://doi.org/10.1016/j.jmps.2016.10.010.</w:t>
      </w:r>
    </w:p>
    <w:p w14:paraId="0C5C501E"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[67]</w:t>
      </w:r>
      <w:r w:rsidRPr="00AB258D">
        <w:rPr>
          <w:rFonts w:ascii="Calibri" w:hAnsi="Calibri" w:cs="Calibri"/>
          <w:noProof/>
          <w:szCs w:val="24"/>
        </w:rPr>
        <w:tab/>
        <w:t>E.U. Eyo, S. Ng’ambi, S.J. Abbey, Incorporation of a nanotechnology-based additive in cementitious products for clay stabilisation, J. Rock Mech. Geotech. Eng. (2020). https://doi.org/10.1016/j.jrmge.2019.12.018.</w:t>
      </w:r>
    </w:p>
    <w:p w14:paraId="4C7A504F" w14:textId="7777777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lastRenderedPageBreak/>
        <w:t>[68]</w:t>
      </w:r>
      <w:r w:rsidRPr="00AB258D">
        <w:rPr>
          <w:rFonts w:ascii="Calibri" w:hAnsi="Calibri" w:cs="Calibri"/>
          <w:noProof/>
          <w:szCs w:val="24"/>
        </w:rPr>
        <w:tab/>
        <w:t>N.P. 94–100 Association Française de Normalisation, Soils: Investigation and testing—Lime and/or hydraulic binder treated materials—Test for determining the treatment ability of soil, (1999).</w:t>
      </w:r>
    </w:p>
    <w:p w14:paraId="0B67D67F" w14:textId="26AD20E7" w:rsidR="00416EC1" w:rsidRPr="00AB258D" w:rsidRDefault="00416EC1" w:rsidP="00416EC1">
      <w:pPr>
        <w:widowControl w:val="0"/>
        <w:autoSpaceDE w:val="0"/>
        <w:autoSpaceDN w:val="0"/>
        <w:adjustRightInd w:val="0"/>
        <w:spacing w:line="240" w:lineRule="auto"/>
        <w:ind w:left="640" w:hanging="640"/>
        <w:rPr>
          <w:rFonts w:ascii="Calibri" w:hAnsi="Calibri" w:cs="Calibri"/>
          <w:noProof/>
          <w:szCs w:val="24"/>
        </w:rPr>
      </w:pPr>
      <w:r w:rsidRPr="00AB258D">
        <w:rPr>
          <w:rFonts w:ascii="Calibri" w:hAnsi="Calibri" w:cs="Calibri"/>
          <w:noProof/>
          <w:szCs w:val="24"/>
        </w:rPr>
        <w:t>[69]</w:t>
      </w:r>
      <w:r w:rsidRPr="00AB258D">
        <w:rPr>
          <w:rFonts w:ascii="Calibri" w:hAnsi="Calibri" w:cs="Calibri"/>
          <w:noProof/>
          <w:szCs w:val="24"/>
        </w:rPr>
        <w:tab/>
        <w:t>S. 1120 Ohio Department of transport, Mixture design for chemically stabilized soils, (2011) 1–7.</w:t>
      </w:r>
    </w:p>
    <w:p w14:paraId="524D90BA" w14:textId="2C628D16" w:rsidR="004546CA" w:rsidRPr="00AB258D" w:rsidRDefault="004546CA" w:rsidP="004546CA">
      <w:pPr>
        <w:shd w:val="clear" w:color="auto" w:fill="FFFFFF"/>
        <w:spacing w:line="276" w:lineRule="auto"/>
        <w:ind w:left="709" w:hanging="709"/>
        <w:jc w:val="both"/>
        <w:rPr>
          <w:rFonts w:eastAsia="Times New Roman" w:cstheme="minorHAnsi"/>
          <w:sz w:val="24"/>
          <w:szCs w:val="24"/>
          <w:lang w:eastAsia="en-GB"/>
        </w:rPr>
      </w:pPr>
      <w:r w:rsidRPr="00AB258D">
        <w:rPr>
          <w:rFonts w:ascii="Calibri" w:hAnsi="Calibri" w:cs="Calibri"/>
          <w:noProof/>
          <w:szCs w:val="24"/>
        </w:rPr>
        <w:t xml:space="preserve">[70]   </w:t>
      </w:r>
      <w:r w:rsidRPr="00AB258D">
        <w:t>CEN (European Committee for Standardization) (2018) EN 16907- 4:2018: Earthworks. Soil treatment with lime and/or hydraulic binders. CEN, Brussels, Belgium.</w:t>
      </w:r>
    </w:p>
    <w:p w14:paraId="5AD40D7E" w14:textId="77777777" w:rsidR="004546CA" w:rsidRPr="00AB258D" w:rsidRDefault="004546CA" w:rsidP="00416EC1">
      <w:pPr>
        <w:widowControl w:val="0"/>
        <w:autoSpaceDE w:val="0"/>
        <w:autoSpaceDN w:val="0"/>
        <w:adjustRightInd w:val="0"/>
        <w:spacing w:line="240" w:lineRule="auto"/>
        <w:ind w:left="640" w:hanging="640"/>
        <w:rPr>
          <w:rFonts w:ascii="Calibri" w:hAnsi="Calibri" w:cs="Calibri"/>
          <w:noProof/>
        </w:rPr>
      </w:pPr>
    </w:p>
    <w:p w14:paraId="299C79EA" w14:textId="77777777" w:rsidR="00B951CE" w:rsidRPr="00AB258D" w:rsidRDefault="00E151B6" w:rsidP="00B951CE">
      <w:pPr>
        <w:rPr>
          <w:rFonts w:cstheme="minorHAnsi"/>
          <w:b/>
        </w:rPr>
      </w:pPr>
      <w:r w:rsidRPr="00AB258D">
        <w:rPr>
          <w:rFonts w:cstheme="minorHAnsi"/>
          <w:b/>
        </w:rPr>
        <w:fldChar w:fldCharType="end"/>
      </w:r>
      <w:bookmarkEnd w:id="1"/>
    </w:p>
    <w:p w14:paraId="72FDCD30" w14:textId="77777777" w:rsidR="00E151B6" w:rsidRPr="00AB258D" w:rsidRDefault="00E151B6" w:rsidP="00E151B6">
      <w:pPr>
        <w:rPr>
          <w:rFonts w:cstheme="minorHAnsi"/>
        </w:rPr>
      </w:pPr>
    </w:p>
    <w:p w14:paraId="0DB599B6" w14:textId="77777777" w:rsidR="00E151B6" w:rsidRPr="00AB258D" w:rsidRDefault="00E151B6" w:rsidP="00E151B6">
      <w:pPr>
        <w:rPr>
          <w:rFonts w:cstheme="minorHAnsi"/>
          <w:sz w:val="28"/>
          <w:szCs w:val="28"/>
        </w:rPr>
      </w:pPr>
    </w:p>
    <w:p w14:paraId="0AD6848E" w14:textId="77777777" w:rsidR="00E151B6" w:rsidRPr="00AB258D" w:rsidRDefault="00E151B6" w:rsidP="00E151B6">
      <w:pPr>
        <w:rPr>
          <w:rFonts w:cstheme="minorHAnsi"/>
          <w:sz w:val="28"/>
          <w:szCs w:val="28"/>
        </w:rPr>
      </w:pPr>
    </w:p>
    <w:p w14:paraId="62A80038" w14:textId="77777777" w:rsidR="00E151B6" w:rsidRPr="00AB258D" w:rsidRDefault="00E151B6" w:rsidP="00E151B6">
      <w:pPr>
        <w:rPr>
          <w:rFonts w:cstheme="minorHAnsi"/>
          <w:sz w:val="28"/>
          <w:szCs w:val="28"/>
        </w:rPr>
      </w:pPr>
    </w:p>
    <w:p w14:paraId="621D4CDE" w14:textId="77777777" w:rsidR="00E151B6" w:rsidRPr="00AB258D" w:rsidRDefault="00E151B6" w:rsidP="00E151B6">
      <w:pPr>
        <w:rPr>
          <w:rFonts w:cstheme="minorHAnsi"/>
          <w:sz w:val="28"/>
          <w:szCs w:val="28"/>
        </w:rPr>
      </w:pPr>
    </w:p>
    <w:p w14:paraId="191AC967" w14:textId="77777777" w:rsidR="00E151B6" w:rsidRPr="00AB258D" w:rsidRDefault="00E151B6" w:rsidP="00E151B6">
      <w:pPr>
        <w:rPr>
          <w:rFonts w:cstheme="minorHAnsi"/>
          <w:sz w:val="28"/>
          <w:szCs w:val="28"/>
        </w:rPr>
      </w:pPr>
    </w:p>
    <w:p w14:paraId="33AD2559" w14:textId="77777777" w:rsidR="00E151B6" w:rsidRPr="00AB258D" w:rsidRDefault="00E151B6" w:rsidP="00E151B6">
      <w:pPr>
        <w:rPr>
          <w:rFonts w:cstheme="minorHAnsi"/>
          <w:sz w:val="28"/>
          <w:szCs w:val="28"/>
        </w:rPr>
      </w:pPr>
    </w:p>
    <w:p w14:paraId="147E9243" w14:textId="77777777" w:rsidR="00E151B6" w:rsidRPr="00AB258D" w:rsidRDefault="00E151B6" w:rsidP="00E151B6">
      <w:pPr>
        <w:rPr>
          <w:rFonts w:cstheme="minorHAnsi"/>
          <w:sz w:val="28"/>
          <w:szCs w:val="28"/>
        </w:rPr>
      </w:pPr>
    </w:p>
    <w:p w14:paraId="56BDE064" w14:textId="77777777" w:rsidR="00E151B6" w:rsidRPr="00AB258D" w:rsidRDefault="00E151B6" w:rsidP="00E151B6">
      <w:pPr>
        <w:rPr>
          <w:rFonts w:cstheme="minorHAnsi"/>
          <w:sz w:val="28"/>
          <w:szCs w:val="28"/>
        </w:rPr>
      </w:pPr>
    </w:p>
    <w:sectPr w:rsidR="00E151B6" w:rsidRPr="00AB258D" w:rsidSect="009A22A6">
      <w:footerReference w:type="default" r:id="rId3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69E39" w14:textId="77777777" w:rsidR="008B176D" w:rsidRDefault="008B176D" w:rsidP="004E5D3A">
      <w:pPr>
        <w:spacing w:after="0" w:line="240" w:lineRule="auto"/>
      </w:pPr>
      <w:r>
        <w:separator/>
      </w:r>
    </w:p>
  </w:endnote>
  <w:endnote w:type="continuationSeparator" w:id="0">
    <w:p w14:paraId="7CC42DB3" w14:textId="77777777" w:rsidR="008B176D" w:rsidRDefault="008B176D" w:rsidP="004E5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Linotype-Roman-Identity">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PalatinoLinotype-Roman">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331472"/>
      <w:docPartObj>
        <w:docPartGallery w:val="Page Numbers (Bottom of Page)"/>
        <w:docPartUnique/>
      </w:docPartObj>
    </w:sdtPr>
    <w:sdtEndPr>
      <w:rPr>
        <w:noProof/>
      </w:rPr>
    </w:sdtEndPr>
    <w:sdtContent>
      <w:p w14:paraId="5005A660" w14:textId="54F5CFFB" w:rsidR="004350C0" w:rsidRDefault="004350C0">
        <w:pPr>
          <w:pStyle w:val="Footer"/>
          <w:jc w:val="center"/>
        </w:pPr>
        <w:r>
          <w:fldChar w:fldCharType="begin"/>
        </w:r>
        <w:r>
          <w:instrText xml:space="preserve"> PAGE   \* MERGEFORMAT </w:instrText>
        </w:r>
        <w:r>
          <w:fldChar w:fldCharType="separate"/>
        </w:r>
        <w:r w:rsidR="00E72F6E">
          <w:rPr>
            <w:noProof/>
          </w:rPr>
          <w:t>26</w:t>
        </w:r>
        <w:r>
          <w:rPr>
            <w:noProof/>
          </w:rPr>
          <w:fldChar w:fldCharType="end"/>
        </w:r>
      </w:p>
    </w:sdtContent>
  </w:sdt>
  <w:p w14:paraId="03CC979B" w14:textId="77777777" w:rsidR="004350C0" w:rsidRDefault="00435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B54C8" w14:textId="77777777" w:rsidR="008B176D" w:rsidRDefault="008B176D" w:rsidP="004E5D3A">
      <w:pPr>
        <w:spacing w:after="0" w:line="240" w:lineRule="auto"/>
      </w:pPr>
      <w:r>
        <w:separator/>
      </w:r>
    </w:p>
  </w:footnote>
  <w:footnote w:type="continuationSeparator" w:id="0">
    <w:p w14:paraId="751EEC8F" w14:textId="77777777" w:rsidR="008B176D" w:rsidRDefault="008B176D" w:rsidP="004E5D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93E"/>
    <w:multiLevelType w:val="hybridMultilevel"/>
    <w:tmpl w:val="D66A4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F1DEE"/>
    <w:multiLevelType w:val="multilevel"/>
    <w:tmpl w:val="BAD62820"/>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0E13FF5"/>
    <w:multiLevelType w:val="hybridMultilevel"/>
    <w:tmpl w:val="ABE60E64"/>
    <w:lvl w:ilvl="0" w:tplc="D4009DE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4369A"/>
    <w:multiLevelType w:val="hybridMultilevel"/>
    <w:tmpl w:val="96967344"/>
    <w:lvl w:ilvl="0" w:tplc="3758995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8559D"/>
    <w:multiLevelType w:val="multilevel"/>
    <w:tmpl w:val="0E00607A"/>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77579B"/>
    <w:multiLevelType w:val="hybridMultilevel"/>
    <w:tmpl w:val="FE00CC3C"/>
    <w:lvl w:ilvl="0" w:tplc="929603C2">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7953C0"/>
    <w:multiLevelType w:val="hybridMultilevel"/>
    <w:tmpl w:val="80083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ED3F9A"/>
    <w:multiLevelType w:val="hybridMultilevel"/>
    <w:tmpl w:val="3C3670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2119A3"/>
    <w:multiLevelType w:val="multilevel"/>
    <w:tmpl w:val="7A5232C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0934749"/>
    <w:multiLevelType w:val="hybridMultilevel"/>
    <w:tmpl w:val="76120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C5C35"/>
    <w:multiLevelType w:val="hybridMultilevel"/>
    <w:tmpl w:val="484031F8"/>
    <w:lvl w:ilvl="0" w:tplc="08090019">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F44BF3"/>
    <w:multiLevelType w:val="multilevel"/>
    <w:tmpl w:val="D18ECFB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4A913E3"/>
    <w:multiLevelType w:val="multilevel"/>
    <w:tmpl w:val="84F2D8E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A537E89"/>
    <w:multiLevelType w:val="hybridMultilevel"/>
    <w:tmpl w:val="2E109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343771"/>
    <w:multiLevelType w:val="multilevel"/>
    <w:tmpl w:val="505C43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7707D35"/>
    <w:multiLevelType w:val="hybridMultilevel"/>
    <w:tmpl w:val="B88452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4D58F5"/>
    <w:multiLevelType w:val="hybridMultilevel"/>
    <w:tmpl w:val="DEDAF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0"/>
  </w:num>
  <w:num w:numId="4">
    <w:abstractNumId w:val="14"/>
  </w:num>
  <w:num w:numId="5">
    <w:abstractNumId w:val="7"/>
  </w:num>
  <w:num w:numId="6">
    <w:abstractNumId w:val="10"/>
  </w:num>
  <w:num w:numId="7">
    <w:abstractNumId w:val="15"/>
  </w:num>
  <w:num w:numId="8">
    <w:abstractNumId w:val="5"/>
  </w:num>
  <w:num w:numId="9">
    <w:abstractNumId w:val="8"/>
  </w:num>
  <w:num w:numId="10">
    <w:abstractNumId w:val="11"/>
  </w:num>
  <w:num w:numId="11">
    <w:abstractNumId w:val="1"/>
  </w:num>
  <w:num w:numId="12">
    <w:abstractNumId w:val="6"/>
  </w:num>
  <w:num w:numId="13">
    <w:abstractNumId w:val="9"/>
  </w:num>
  <w:num w:numId="14">
    <w:abstractNumId w:val="2"/>
  </w:num>
  <w:num w:numId="15">
    <w:abstractNumId w:val="3"/>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598"/>
    <w:rsid w:val="00000BE4"/>
    <w:rsid w:val="00001DB5"/>
    <w:rsid w:val="000036E4"/>
    <w:rsid w:val="00003EEA"/>
    <w:rsid w:val="00004F02"/>
    <w:rsid w:val="000054E3"/>
    <w:rsid w:val="0000599F"/>
    <w:rsid w:val="00005A1E"/>
    <w:rsid w:val="00010CE6"/>
    <w:rsid w:val="000217C3"/>
    <w:rsid w:val="00022B03"/>
    <w:rsid w:val="00025E48"/>
    <w:rsid w:val="000318AF"/>
    <w:rsid w:val="00034D06"/>
    <w:rsid w:val="0003551D"/>
    <w:rsid w:val="00040CAA"/>
    <w:rsid w:val="00042104"/>
    <w:rsid w:val="00043670"/>
    <w:rsid w:val="00050EB8"/>
    <w:rsid w:val="0005232B"/>
    <w:rsid w:val="00052AFB"/>
    <w:rsid w:val="00053914"/>
    <w:rsid w:val="00060E7E"/>
    <w:rsid w:val="000624BD"/>
    <w:rsid w:val="00063071"/>
    <w:rsid w:val="000665A2"/>
    <w:rsid w:val="00066C5B"/>
    <w:rsid w:val="00067023"/>
    <w:rsid w:val="000701F3"/>
    <w:rsid w:val="0007215D"/>
    <w:rsid w:val="0007349A"/>
    <w:rsid w:val="000760E3"/>
    <w:rsid w:val="000816E4"/>
    <w:rsid w:val="000823CC"/>
    <w:rsid w:val="00083049"/>
    <w:rsid w:val="00083505"/>
    <w:rsid w:val="0008522D"/>
    <w:rsid w:val="00087953"/>
    <w:rsid w:val="00092CDC"/>
    <w:rsid w:val="000A0F6B"/>
    <w:rsid w:val="000A4CA2"/>
    <w:rsid w:val="000A6312"/>
    <w:rsid w:val="000B2500"/>
    <w:rsid w:val="000B322F"/>
    <w:rsid w:val="000B3E52"/>
    <w:rsid w:val="000B5681"/>
    <w:rsid w:val="000B5CAA"/>
    <w:rsid w:val="000C0D22"/>
    <w:rsid w:val="000C330D"/>
    <w:rsid w:val="000D6E0C"/>
    <w:rsid w:val="000E01C6"/>
    <w:rsid w:val="000E060F"/>
    <w:rsid w:val="000E3635"/>
    <w:rsid w:val="000E3722"/>
    <w:rsid w:val="000E427A"/>
    <w:rsid w:val="000F271D"/>
    <w:rsid w:val="000F5A19"/>
    <w:rsid w:val="000F6747"/>
    <w:rsid w:val="000F6D09"/>
    <w:rsid w:val="00101079"/>
    <w:rsid w:val="001112D2"/>
    <w:rsid w:val="00115EB6"/>
    <w:rsid w:val="00120D88"/>
    <w:rsid w:val="00127039"/>
    <w:rsid w:val="00130B12"/>
    <w:rsid w:val="0013109C"/>
    <w:rsid w:val="001316CA"/>
    <w:rsid w:val="0013234E"/>
    <w:rsid w:val="00132753"/>
    <w:rsid w:val="0013366C"/>
    <w:rsid w:val="0013528A"/>
    <w:rsid w:val="00135BA6"/>
    <w:rsid w:val="00135D4F"/>
    <w:rsid w:val="00140D67"/>
    <w:rsid w:val="00141148"/>
    <w:rsid w:val="001413C0"/>
    <w:rsid w:val="00141F3E"/>
    <w:rsid w:val="00145DA4"/>
    <w:rsid w:val="001502FE"/>
    <w:rsid w:val="001528D3"/>
    <w:rsid w:val="00152A28"/>
    <w:rsid w:val="0015307C"/>
    <w:rsid w:val="00153C41"/>
    <w:rsid w:val="0016113F"/>
    <w:rsid w:val="00162F98"/>
    <w:rsid w:val="0016390C"/>
    <w:rsid w:val="00165929"/>
    <w:rsid w:val="00165D94"/>
    <w:rsid w:val="001703DB"/>
    <w:rsid w:val="001729B6"/>
    <w:rsid w:val="00172B2C"/>
    <w:rsid w:val="00174BF1"/>
    <w:rsid w:val="001816B5"/>
    <w:rsid w:val="00186CCC"/>
    <w:rsid w:val="00187EC0"/>
    <w:rsid w:val="00191758"/>
    <w:rsid w:val="00192285"/>
    <w:rsid w:val="0019276C"/>
    <w:rsid w:val="001934DC"/>
    <w:rsid w:val="0019408D"/>
    <w:rsid w:val="00196B93"/>
    <w:rsid w:val="00197594"/>
    <w:rsid w:val="001A27D8"/>
    <w:rsid w:val="001A3F21"/>
    <w:rsid w:val="001B4287"/>
    <w:rsid w:val="001C0591"/>
    <w:rsid w:val="001C2D4D"/>
    <w:rsid w:val="001C47C9"/>
    <w:rsid w:val="001C695C"/>
    <w:rsid w:val="001C742F"/>
    <w:rsid w:val="001C7561"/>
    <w:rsid w:val="001C7DCA"/>
    <w:rsid w:val="001D1C1E"/>
    <w:rsid w:val="001D6152"/>
    <w:rsid w:val="001D7DAC"/>
    <w:rsid w:val="001E4F84"/>
    <w:rsid w:val="001E5E59"/>
    <w:rsid w:val="001F06F9"/>
    <w:rsid w:val="001F1883"/>
    <w:rsid w:val="00203EF5"/>
    <w:rsid w:val="002057A0"/>
    <w:rsid w:val="002062CE"/>
    <w:rsid w:val="00210254"/>
    <w:rsid w:val="00211779"/>
    <w:rsid w:val="00212932"/>
    <w:rsid w:val="002153CC"/>
    <w:rsid w:val="00217AA8"/>
    <w:rsid w:val="002203EE"/>
    <w:rsid w:val="0022348E"/>
    <w:rsid w:val="00224266"/>
    <w:rsid w:val="0022515E"/>
    <w:rsid w:val="002274A5"/>
    <w:rsid w:val="00237B02"/>
    <w:rsid w:val="0024428F"/>
    <w:rsid w:val="00245957"/>
    <w:rsid w:val="00247E7F"/>
    <w:rsid w:val="00251B81"/>
    <w:rsid w:val="00254916"/>
    <w:rsid w:val="0025752D"/>
    <w:rsid w:val="00262F82"/>
    <w:rsid w:val="00265E42"/>
    <w:rsid w:val="00267A1D"/>
    <w:rsid w:val="0027019D"/>
    <w:rsid w:val="002702E7"/>
    <w:rsid w:val="00270AE5"/>
    <w:rsid w:val="00270F93"/>
    <w:rsid w:val="00277EE4"/>
    <w:rsid w:val="0028081B"/>
    <w:rsid w:val="00282A37"/>
    <w:rsid w:val="00283FB0"/>
    <w:rsid w:val="00285DAE"/>
    <w:rsid w:val="00292D76"/>
    <w:rsid w:val="00293E97"/>
    <w:rsid w:val="002951D3"/>
    <w:rsid w:val="002972C0"/>
    <w:rsid w:val="002976BF"/>
    <w:rsid w:val="002A0B32"/>
    <w:rsid w:val="002A178C"/>
    <w:rsid w:val="002A40BE"/>
    <w:rsid w:val="002A478C"/>
    <w:rsid w:val="002A577A"/>
    <w:rsid w:val="002A62AA"/>
    <w:rsid w:val="002B112C"/>
    <w:rsid w:val="002B17B2"/>
    <w:rsid w:val="002B3D04"/>
    <w:rsid w:val="002B5578"/>
    <w:rsid w:val="002B725B"/>
    <w:rsid w:val="002C109F"/>
    <w:rsid w:val="002C79D0"/>
    <w:rsid w:val="002C7AD3"/>
    <w:rsid w:val="002D0B11"/>
    <w:rsid w:val="002D6EE8"/>
    <w:rsid w:val="002E0CA2"/>
    <w:rsid w:val="002E0DC9"/>
    <w:rsid w:val="002E1FBB"/>
    <w:rsid w:val="002E2D52"/>
    <w:rsid w:val="002E49B7"/>
    <w:rsid w:val="002E5F82"/>
    <w:rsid w:val="002E651A"/>
    <w:rsid w:val="002E77DF"/>
    <w:rsid w:val="002E7D74"/>
    <w:rsid w:val="002F000A"/>
    <w:rsid w:val="002F0D63"/>
    <w:rsid w:val="002F186B"/>
    <w:rsid w:val="002F2D26"/>
    <w:rsid w:val="00300A37"/>
    <w:rsid w:val="003034AF"/>
    <w:rsid w:val="003070E8"/>
    <w:rsid w:val="00311827"/>
    <w:rsid w:val="0031412F"/>
    <w:rsid w:val="00315D25"/>
    <w:rsid w:val="0031767E"/>
    <w:rsid w:val="003208C7"/>
    <w:rsid w:val="003229A9"/>
    <w:rsid w:val="00323B04"/>
    <w:rsid w:val="00323DF9"/>
    <w:rsid w:val="00325D0C"/>
    <w:rsid w:val="00332DE7"/>
    <w:rsid w:val="00336ACE"/>
    <w:rsid w:val="00342935"/>
    <w:rsid w:val="00342B00"/>
    <w:rsid w:val="00343262"/>
    <w:rsid w:val="003471A8"/>
    <w:rsid w:val="003478A4"/>
    <w:rsid w:val="00347D6B"/>
    <w:rsid w:val="003521D6"/>
    <w:rsid w:val="00353218"/>
    <w:rsid w:val="003571FC"/>
    <w:rsid w:val="0036359E"/>
    <w:rsid w:val="003641B1"/>
    <w:rsid w:val="00365F59"/>
    <w:rsid w:val="00367DC4"/>
    <w:rsid w:val="00370DB9"/>
    <w:rsid w:val="003718F3"/>
    <w:rsid w:val="003741B2"/>
    <w:rsid w:val="00381443"/>
    <w:rsid w:val="00383666"/>
    <w:rsid w:val="00385507"/>
    <w:rsid w:val="003923EA"/>
    <w:rsid w:val="00393751"/>
    <w:rsid w:val="00395417"/>
    <w:rsid w:val="003A30A5"/>
    <w:rsid w:val="003A4CB8"/>
    <w:rsid w:val="003A5BC5"/>
    <w:rsid w:val="003B16D6"/>
    <w:rsid w:val="003B350B"/>
    <w:rsid w:val="003B59C2"/>
    <w:rsid w:val="003B64D8"/>
    <w:rsid w:val="003B653D"/>
    <w:rsid w:val="003B6FD9"/>
    <w:rsid w:val="003C1C6D"/>
    <w:rsid w:val="003C4FA4"/>
    <w:rsid w:val="003C54A3"/>
    <w:rsid w:val="003D0224"/>
    <w:rsid w:val="003D2AD6"/>
    <w:rsid w:val="003D3675"/>
    <w:rsid w:val="003D4C5D"/>
    <w:rsid w:val="003E05B6"/>
    <w:rsid w:val="003E0DAA"/>
    <w:rsid w:val="003E4070"/>
    <w:rsid w:val="003E5AC4"/>
    <w:rsid w:val="003E7CA8"/>
    <w:rsid w:val="003F0983"/>
    <w:rsid w:val="003F11CB"/>
    <w:rsid w:val="003F7DE2"/>
    <w:rsid w:val="00400038"/>
    <w:rsid w:val="00400221"/>
    <w:rsid w:val="00400C52"/>
    <w:rsid w:val="00402E81"/>
    <w:rsid w:val="00403C7A"/>
    <w:rsid w:val="00413979"/>
    <w:rsid w:val="004148D3"/>
    <w:rsid w:val="004158C9"/>
    <w:rsid w:val="00416EC1"/>
    <w:rsid w:val="00417B61"/>
    <w:rsid w:val="0042244B"/>
    <w:rsid w:val="004225D7"/>
    <w:rsid w:val="00424516"/>
    <w:rsid w:val="00424D58"/>
    <w:rsid w:val="004350C0"/>
    <w:rsid w:val="0043577E"/>
    <w:rsid w:val="00436877"/>
    <w:rsid w:val="0044508F"/>
    <w:rsid w:val="004456A2"/>
    <w:rsid w:val="00445BE2"/>
    <w:rsid w:val="00446E8A"/>
    <w:rsid w:val="00446ED2"/>
    <w:rsid w:val="00450A50"/>
    <w:rsid w:val="00450AE6"/>
    <w:rsid w:val="00453D5D"/>
    <w:rsid w:val="004546CA"/>
    <w:rsid w:val="00461929"/>
    <w:rsid w:val="00462AF2"/>
    <w:rsid w:val="00463410"/>
    <w:rsid w:val="0046457F"/>
    <w:rsid w:val="004647FC"/>
    <w:rsid w:val="004659FA"/>
    <w:rsid w:val="004678B1"/>
    <w:rsid w:val="00467AC3"/>
    <w:rsid w:val="00467FB9"/>
    <w:rsid w:val="004762A8"/>
    <w:rsid w:val="0048130C"/>
    <w:rsid w:val="00483525"/>
    <w:rsid w:val="00484DE3"/>
    <w:rsid w:val="0048623C"/>
    <w:rsid w:val="00487DEB"/>
    <w:rsid w:val="004912DB"/>
    <w:rsid w:val="00492EFB"/>
    <w:rsid w:val="00493B53"/>
    <w:rsid w:val="00494533"/>
    <w:rsid w:val="004947E4"/>
    <w:rsid w:val="004971BF"/>
    <w:rsid w:val="004A07F9"/>
    <w:rsid w:val="004A20A3"/>
    <w:rsid w:val="004A22DE"/>
    <w:rsid w:val="004A2FCE"/>
    <w:rsid w:val="004A5101"/>
    <w:rsid w:val="004A6146"/>
    <w:rsid w:val="004A7342"/>
    <w:rsid w:val="004B06FC"/>
    <w:rsid w:val="004B24BE"/>
    <w:rsid w:val="004B29E2"/>
    <w:rsid w:val="004B33C5"/>
    <w:rsid w:val="004B6D8D"/>
    <w:rsid w:val="004C2A32"/>
    <w:rsid w:val="004C426B"/>
    <w:rsid w:val="004C7EF7"/>
    <w:rsid w:val="004D0D95"/>
    <w:rsid w:val="004D1AA2"/>
    <w:rsid w:val="004D3BB3"/>
    <w:rsid w:val="004D3E31"/>
    <w:rsid w:val="004D7221"/>
    <w:rsid w:val="004E3109"/>
    <w:rsid w:val="004E48FF"/>
    <w:rsid w:val="004E5D3A"/>
    <w:rsid w:val="004E5D4B"/>
    <w:rsid w:val="004E71D9"/>
    <w:rsid w:val="004F0F74"/>
    <w:rsid w:val="004F7311"/>
    <w:rsid w:val="00502B84"/>
    <w:rsid w:val="0050480C"/>
    <w:rsid w:val="005128DD"/>
    <w:rsid w:val="00512B4A"/>
    <w:rsid w:val="00520988"/>
    <w:rsid w:val="00522175"/>
    <w:rsid w:val="00523871"/>
    <w:rsid w:val="00525B8A"/>
    <w:rsid w:val="00526C85"/>
    <w:rsid w:val="0053140A"/>
    <w:rsid w:val="00532ADA"/>
    <w:rsid w:val="00534F43"/>
    <w:rsid w:val="00542856"/>
    <w:rsid w:val="00547D34"/>
    <w:rsid w:val="005507FE"/>
    <w:rsid w:val="005539FF"/>
    <w:rsid w:val="00555556"/>
    <w:rsid w:val="005631AF"/>
    <w:rsid w:val="0056582D"/>
    <w:rsid w:val="0056662A"/>
    <w:rsid w:val="00566835"/>
    <w:rsid w:val="00567F82"/>
    <w:rsid w:val="00572621"/>
    <w:rsid w:val="00580C2D"/>
    <w:rsid w:val="00583A29"/>
    <w:rsid w:val="00595EFA"/>
    <w:rsid w:val="00596105"/>
    <w:rsid w:val="0059623E"/>
    <w:rsid w:val="005974A3"/>
    <w:rsid w:val="005A22F7"/>
    <w:rsid w:val="005B0677"/>
    <w:rsid w:val="005B1571"/>
    <w:rsid w:val="005B4296"/>
    <w:rsid w:val="005B56E3"/>
    <w:rsid w:val="005B5C96"/>
    <w:rsid w:val="005C050F"/>
    <w:rsid w:val="005C1525"/>
    <w:rsid w:val="005C28D0"/>
    <w:rsid w:val="005C5389"/>
    <w:rsid w:val="005C55A1"/>
    <w:rsid w:val="005C6A71"/>
    <w:rsid w:val="005D056C"/>
    <w:rsid w:val="005D1D69"/>
    <w:rsid w:val="005D4477"/>
    <w:rsid w:val="005D54ED"/>
    <w:rsid w:val="005D5790"/>
    <w:rsid w:val="005D79FC"/>
    <w:rsid w:val="005D7B9A"/>
    <w:rsid w:val="005E081D"/>
    <w:rsid w:val="005E0832"/>
    <w:rsid w:val="005E4CD9"/>
    <w:rsid w:val="005F0D28"/>
    <w:rsid w:val="005F321F"/>
    <w:rsid w:val="005F61A3"/>
    <w:rsid w:val="005F6C80"/>
    <w:rsid w:val="00601062"/>
    <w:rsid w:val="00606E55"/>
    <w:rsid w:val="006103B7"/>
    <w:rsid w:val="006111A5"/>
    <w:rsid w:val="0061239A"/>
    <w:rsid w:val="006128C0"/>
    <w:rsid w:val="0061740F"/>
    <w:rsid w:val="0062076E"/>
    <w:rsid w:val="0062153F"/>
    <w:rsid w:val="00621D94"/>
    <w:rsid w:val="00624EB6"/>
    <w:rsid w:val="006257DC"/>
    <w:rsid w:val="00625BA3"/>
    <w:rsid w:val="00630804"/>
    <w:rsid w:val="00631D07"/>
    <w:rsid w:val="006331D9"/>
    <w:rsid w:val="00637147"/>
    <w:rsid w:val="00650783"/>
    <w:rsid w:val="006613EC"/>
    <w:rsid w:val="00663B71"/>
    <w:rsid w:val="00663CD9"/>
    <w:rsid w:val="0066495A"/>
    <w:rsid w:val="00664F9F"/>
    <w:rsid w:val="006654E1"/>
    <w:rsid w:val="006661AE"/>
    <w:rsid w:val="00670313"/>
    <w:rsid w:val="006713EC"/>
    <w:rsid w:val="00677A95"/>
    <w:rsid w:val="00683FBF"/>
    <w:rsid w:val="006860AF"/>
    <w:rsid w:val="00691CB0"/>
    <w:rsid w:val="00694DEC"/>
    <w:rsid w:val="00695CFC"/>
    <w:rsid w:val="00696C81"/>
    <w:rsid w:val="0069731E"/>
    <w:rsid w:val="006A1710"/>
    <w:rsid w:val="006A2496"/>
    <w:rsid w:val="006A3AA2"/>
    <w:rsid w:val="006A5105"/>
    <w:rsid w:val="006B36DF"/>
    <w:rsid w:val="006B3A46"/>
    <w:rsid w:val="006B4447"/>
    <w:rsid w:val="006B768B"/>
    <w:rsid w:val="006C0326"/>
    <w:rsid w:val="006C3B7C"/>
    <w:rsid w:val="006C58C6"/>
    <w:rsid w:val="006C6CEE"/>
    <w:rsid w:val="006C6E36"/>
    <w:rsid w:val="006D0F3E"/>
    <w:rsid w:val="006D27CF"/>
    <w:rsid w:val="006E4366"/>
    <w:rsid w:val="006E4AEE"/>
    <w:rsid w:val="006F4F8A"/>
    <w:rsid w:val="006F674D"/>
    <w:rsid w:val="006F6A9D"/>
    <w:rsid w:val="006F722A"/>
    <w:rsid w:val="00700D65"/>
    <w:rsid w:val="00701281"/>
    <w:rsid w:val="00703160"/>
    <w:rsid w:val="00704AFB"/>
    <w:rsid w:val="00704F07"/>
    <w:rsid w:val="00707C09"/>
    <w:rsid w:val="00711072"/>
    <w:rsid w:val="007120C3"/>
    <w:rsid w:val="007144F2"/>
    <w:rsid w:val="00714852"/>
    <w:rsid w:val="00715F67"/>
    <w:rsid w:val="007167D4"/>
    <w:rsid w:val="007169EE"/>
    <w:rsid w:val="00722458"/>
    <w:rsid w:val="00723E46"/>
    <w:rsid w:val="007257DF"/>
    <w:rsid w:val="007266E9"/>
    <w:rsid w:val="0073075C"/>
    <w:rsid w:val="00730F7D"/>
    <w:rsid w:val="007325D3"/>
    <w:rsid w:val="00735064"/>
    <w:rsid w:val="00735901"/>
    <w:rsid w:val="00737185"/>
    <w:rsid w:val="00737902"/>
    <w:rsid w:val="00740336"/>
    <w:rsid w:val="007407D0"/>
    <w:rsid w:val="0074145B"/>
    <w:rsid w:val="00742150"/>
    <w:rsid w:val="0074444F"/>
    <w:rsid w:val="007444F9"/>
    <w:rsid w:val="00745631"/>
    <w:rsid w:val="007513F5"/>
    <w:rsid w:val="00751F64"/>
    <w:rsid w:val="00753B6E"/>
    <w:rsid w:val="00755416"/>
    <w:rsid w:val="0076087F"/>
    <w:rsid w:val="00762C8D"/>
    <w:rsid w:val="00773EEF"/>
    <w:rsid w:val="00774109"/>
    <w:rsid w:val="007751AC"/>
    <w:rsid w:val="007816C1"/>
    <w:rsid w:val="00781DCC"/>
    <w:rsid w:val="007820F5"/>
    <w:rsid w:val="0078493B"/>
    <w:rsid w:val="007906D1"/>
    <w:rsid w:val="00793C40"/>
    <w:rsid w:val="0079580A"/>
    <w:rsid w:val="007964C1"/>
    <w:rsid w:val="007A1FC2"/>
    <w:rsid w:val="007A2C3A"/>
    <w:rsid w:val="007A4816"/>
    <w:rsid w:val="007A5E8A"/>
    <w:rsid w:val="007B0AA9"/>
    <w:rsid w:val="007B0B94"/>
    <w:rsid w:val="007B1A46"/>
    <w:rsid w:val="007C1006"/>
    <w:rsid w:val="007C2D46"/>
    <w:rsid w:val="007C39C0"/>
    <w:rsid w:val="007D350D"/>
    <w:rsid w:val="007D4F20"/>
    <w:rsid w:val="007E0695"/>
    <w:rsid w:val="007E0C14"/>
    <w:rsid w:val="007E7D90"/>
    <w:rsid w:val="007F3D8B"/>
    <w:rsid w:val="007F77D8"/>
    <w:rsid w:val="00800F15"/>
    <w:rsid w:val="00800F61"/>
    <w:rsid w:val="00801AEB"/>
    <w:rsid w:val="00804DC0"/>
    <w:rsid w:val="00807B2F"/>
    <w:rsid w:val="00812692"/>
    <w:rsid w:val="00815828"/>
    <w:rsid w:val="00820207"/>
    <w:rsid w:val="00825A81"/>
    <w:rsid w:val="008277CF"/>
    <w:rsid w:val="00827DF2"/>
    <w:rsid w:val="008336EA"/>
    <w:rsid w:val="00840354"/>
    <w:rsid w:val="0084186B"/>
    <w:rsid w:val="00843B77"/>
    <w:rsid w:val="00853284"/>
    <w:rsid w:val="00855E59"/>
    <w:rsid w:val="00856DA0"/>
    <w:rsid w:val="00867A39"/>
    <w:rsid w:val="00867DA2"/>
    <w:rsid w:val="00870FCF"/>
    <w:rsid w:val="00872346"/>
    <w:rsid w:val="0087720D"/>
    <w:rsid w:val="00880EBF"/>
    <w:rsid w:val="00881EB1"/>
    <w:rsid w:val="00882F45"/>
    <w:rsid w:val="0088309B"/>
    <w:rsid w:val="0089214D"/>
    <w:rsid w:val="008921E5"/>
    <w:rsid w:val="00893ACC"/>
    <w:rsid w:val="008957EE"/>
    <w:rsid w:val="00895AB7"/>
    <w:rsid w:val="00896E5F"/>
    <w:rsid w:val="008A04CB"/>
    <w:rsid w:val="008A2846"/>
    <w:rsid w:val="008B176D"/>
    <w:rsid w:val="008D445C"/>
    <w:rsid w:val="008D4B1B"/>
    <w:rsid w:val="008D4E48"/>
    <w:rsid w:val="008D6CDD"/>
    <w:rsid w:val="008E581D"/>
    <w:rsid w:val="008E788B"/>
    <w:rsid w:val="008F0DBA"/>
    <w:rsid w:val="0090062C"/>
    <w:rsid w:val="00905142"/>
    <w:rsid w:val="00910B4C"/>
    <w:rsid w:val="009124BB"/>
    <w:rsid w:val="00914F79"/>
    <w:rsid w:val="009150B7"/>
    <w:rsid w:val="009166B5"/>
    <w:rsid w:val="009206A3"/>
    <w:rsid w:val="00922CD2"/>
    <w:rsid w:val="00924F81"/>
    <w:rsid w:val="00926750"/>
    <w:rsid w:val="00927BD8"/>
    <w:rsid w:val="0093020F"/>
    <w:rsid w:val="00930214"/>
    <w:rsid w:val="0093136D"/>
    <w:rsid w:val="009329E2"/>
    <w:rsid w:val="00935F0E"/>
    <w:rsid w:val="00937CD3"/>
    <w:rsid w:val="0094084E"/>
    <w:rsid w:val="00941298"/>
    <w:rsid w:val="00942DAF"/>
    <w:rsid w:val="0095026B"/>
    <w:rsid w:val="0095308B"/>
    <w:rsid w:val="009535CC"/>
    <w:rsid w:val="00954594"/>
    <w:rsid w:val="00954700"/>
    <w:rsid w:val="00960D4D"/>
    <w:rsid w:val="009612DA"/>
    <w:rsid w:val="009615EF"/>
    <w:rsid w:val="00964E0C"/>
    <w:rsid w:val="00971735"/>
    <w:rsid w:val="00972A24"/>
    <w:rsid w:val="00974713"/>
    <w:rsid w:val="00975A9B"/>
    <w:rsid w:val="00975D3E"/>
    <w:rsid w:val="009764B1"/>
    <w:rsid w:val="00980005"/>
    <w:rsid w:val="00980114"/>
    <w:rsid w:val="00981E0B"/>
    <w:rsid w:val="009823DE"/>
    <w:rsid w:val="00982DC0"/>
    <w:rsid w:val="00983049"/>
    <w:rsid w:val="0098376B"/>
    <w:rsid w:val="00983D61"/>
    <w:rsid w:val="00991D94"/>
    <w:rsid w:val="00993E8F"/>
    <w:rsid w:val="00994BD2"/>
    <w:rsid w:val="009953B1"/>
    <w:rsid w:val="00997AD0"/>
    <w:rsid w:val="009A18C7"/>
    <w:rsid w:val="009A22A6"/>
    <w:rsid w:val="009B02E5"/>
    <w:rsid w:val="009B2ECA"/>
    <w:rsid w:val="009B3B6E"/>
    <w:rsid w:val="009B59AF"/>
    <w:rsid w:val="009B6E4F"/>
    <w:rsid w:val="009B75F7"/>
    <w:rsid w:val="009C3C48"/>
    <w:rsid w:val="009C4186"/>
    <w:rsid w:val="009D0BA9"/>
    <w:rsid w:val="009D15C5"/>
    <w:rsid w:val="009D2B43"/>
    <w:rsid w:val="009D602F"/>
    <w:rsid w:val="009E02B3"/>
    <w:rsid w:val="009E2039"/>
    <w:rsid w:val="009E28CB"/>
    <w:rsid w:val="009F0451"/>
    <w:rsid w:val="009F0B0E"/>
    <w:rsid w:val="00A01D80"/>
    <w:rsid w:val="00A02401"/>
    <w:rsid w:val="00A02EAE"/>
    <w:rsid w:val="00A04256"/>
    <w:rsid w:val="00A066AB"/>
    <w:rsid w:val="00A07BDC"/>
    <w:rsid w:val="00A10B3A"/>
    <w:rsid w:val="00A11694"/>
    <w:rsid w:val="00A13C12"/>
    <w:rsid w:val="00A179DF"/>
    <w:rsid w:val="00A31D76"/>
    <w:rsid w:val="00A34DBD"/>
    <w:rsid w:val="00A350D9"/>
    <w:rsid w:val="00A351B8"/>
    <w:rsid w:val="00A36AC3"/>
    <w:rsid w:val="00A376CE"/>
    <w:rsid w:val="00A430CD"/>
    <w:rsid w:val="00A45AB6"/>
    <w:rsid w:val="00A45D8F"/>
    <w:rsid w:val="00A46ACD"/>
    <w:rsid w:val="00A47DB0"/>
    <w:rsid w:val="00A47EBA"/>
    <w:rsid w:val="00A51513"/>
    <w:rsid w:val="00A55E4C"/>
    <w:rsid w:val="00A600B5"/>
    <w:rsid w:val="00A62117"/>
    <w:rsid w:val="00A63171"/>
    <w:rsid w:val="00A634A0"/>
    <w:rsid w:val="00A66D4D"/>
    <w:rsid w:val="00A67437"/>
    <w:rsid w:val="00A71351"/>
    <w:rsid w:val="00A71B72"/>
    <w:rsid w:val="00A755FF"/>
    <w:rsid w:val="00A836C3"/>
    <w:rsid w:val="00A87883"/>
    <w:rsid w:val="00A879F1"/>
    <w:rsid w:val="00A87C56"/>
    <w:rsid w:val="00A901BD"/>
    <w:rsid w:val="00A90F3B"/>
    <w:rsid w:val="00A96D20"/>
    <w:rsid w:val="00AA377F"/>
    <w:rsid w:val="00AA487C"/>
    <w:rsid w:val="00AA5590"/>
    <w:rsid w:val="00AA63BD"/>
    <w:rsid w:val="00AB0076"/>
    <w:rsid w:val="00AB20E9"/>
    <w:rsid w:val="00AB2160"/>
    <w:rsid w:val="00AB258D"/>
    <w:rsid w:val="00AB2F6A"/>
    <w:rsid w:val="00AC0049"/>
    <w:rsid w:val="00AC3ADA"/>
    <w:rsid w:val="00AD18E0"/>
    <w:rsid w:val="00AD20E4"/>
    <w:rsid w:val="00AD2DE8"/>
    <w:rsid w:val="00AD399B"/>
    <w:rsid w:val="00AD5768"/>
    <w:rsid w:val="00AE55F8"/>
    <w:rsid w:val="00AE7313"/>
    <w:rsid w:val="00AE7E23"/>
    <w:rsid w:val="00AF1630"/>
    <w:rsid w:val="00AF1647"/>
    <w:rsid w:val="00AF2497"/>
    <w:rsid w:val="00AF3B05"/>
    <w:rsid w:val="00AF4884"/>
    <w:rsid w:val="00B00A44"/>
    <w:rsid w:val="00B03365"/>
    <w:rsid w:val="00B06E0C"/>
    <w:rsid w:val="00B07743"/>
    <w:rsid w:val="00B114DD"/>
    <w:rsid w:val="00B1223F"/>
    <w:rsid w:val="00B13C08"/>
    <w:rsid w:val="00B13FF5"/>
    <w:rsid w:val="00B14E26"/>
    <w:rsid w:val="00B20D62"/>
    <w:rsid w:val="00B22285"/>
    <w:rsid w:val="00B22743"/>
    <w:rsid w:val="00B24095"/>
    <w:rsid w:val="00B2793B"/>
    <w:rsid w:val="00B27C8E"/>
    <w:rsid w:val="00B30FEE"/>
    <w:rsid w:val="00B31B16"/>
    <w:rsid w:val="00B36DE5"/>
    <w:rsid w:val="00B42361"/>
    <w:rsid w:val="00B44D6C"/>
    <w:rsid w:val="00B44E7D"/>
    <w:rsid w:val="00B4589B"/>
    <w:rsid w:val="00B50706"/>
    <w:rsid w:val="00B51A77"/>
    <w:rsid w:val="00B51AAB"/>
    <w:rsid w:val="00B52E4C"/>
    <w:rsid w:val="00B53A36"/>
    <w:rsid w:val="00B56330"/>
    <w:rsid w:val="00B5638F"/>
    <w:rsid w:val="00B56CCE"/>
    <w:rsid w:val="00B57508"/>
    <w:rsid w:val="00B60873"/>
    <w:rsid w:val="00B66B62"/>
    <w:rsid w:val="00B66E39"/>
    <w:rsid w:val="00B716A4"/>
    <w:rsid w:val="00B719A3"/>
    <w:rsid w:val="00B722BC"/>
    <w:rsid w:val="00B73520"/>
    <w:rsid w:val="00B77566"/>
    <w:rsid w:val="00B82F25"/>
    <w:rsid w:val="00B83C62"/>
    <w:rsid w:val="00B85AAB"/>
    <w:rsid w:val="00B86634"/>
    <w:rsid w:val="00B87463"/>
    <w:rsid w:val="00B91A8E"/>
    <w:rsid w:val="00B92CE8"/>
    <w:rsid w:val="00B932F1"/>
    <w:rsid w:val="00B93D48"/>
    <w:rsid w:val="00B951CE"/>
    <w:rsid w:val="00B96FCB"/>
    <w:rsid w:val="00BA42C3"/>
    <w:rsid w:val="00BA4538"/>
    <w:rsid w:val="00BA67A8"/>
    <w:rsid w:val="00BB4865"/>
    <w:rsid w:val="00BB4CEC"/>
    <w:rsid w:val="00BC00E4"/>
    <w:rsid w:val="00BC1A73"/>
    <w:rsid w:val="00BC5258"/>
    <w:rsid w:val="00BD0061"/>
    <w:rsid w:val="00BD51A4"/>
    <w:rsid w:val="00BE0119"/>
    <w:rsid w:val="00BE5210"/>
    <w:rsid w:val="00BE6BED"/>
    <w:rsid w:val="00BE7F1C"/>
    <w:rsid w:val="00BF39EF"/>
    <w:rsid w:val="00BF6351"/>
    <w:rsid w:val="00BF7094"/>
    <w:rsid w:val="00BF7A8B"/>
    <w:rsid w:val="00C02DCC"/>
    <w:rsid w:val="00C04E4F"/>
    <w:rsid w:val="00C0616F"/>
    <w:rsid w:val="00C07D3F"/>
    <w:rsid w:val="00C103A7"/>
    <w:rsid w:val="00C106C9"/>
    <w:rsid w:val="00C1241E"/>
    <w:rsid w:val="00C21C5F"/>
    <w:rsid w:val="00C24003"/>
    <w:rsid w:val="00C320DB"/>
    <w:rsid w:val="00C33650"/>
    <w:rsid w:val="00C34C50"/>
    <w:rsid w:val="00C35304"/>
    <w:rsid w:val="00C35E61"/>
    <w:rsid w:val="00C424DF"/>
    <w:rsid w:val="00C52F3F"/>
    <w:rsid w:val="00C53E7E"/>
    <w:rsid w:val="00C54A33"/>
    <w:rsid w:val="00C54BA6"/>
    <w:rsid w:val="00C5642C"/>
    <w:rsid w:val="00C56B0D"/>
    <w:rsid w:val="00C605B8"/>
    <w:rsid w:val="00C61E6E"/>
    <w:rsid w:val="00C62819"/>
    <w:rsid w:val="00C62F72"/>
    <w:rsid w:val="00C64ED9"/>
    <w:rsid w:val="00C666C8"/>
    <w:rsid w:val="00C66B01"/>
    <w:rsid w:val="00C67D9A"/>
    <w:rsid w:val="00C71650"/>
    <w:rsid w:val="00C71DC7"/>
    <w:rsid w:val="00C74E97"/>
    <w:rsid w:val="00C760DB"/>
    <w:rsid w:val="00C818F8"/>
    <w:rsid w:val="00C83F15"/>
    <w:rsid w:val="00C84722"/>
    <w:rsid w:val="00C85972"/>
    <w:rsid w:val="00C87265"/>
    <w:rsid w:val="00C95A88"/>
    <w:rsid w:val="00C96FA0"/>
    <w:rsid w:val="00CA1911"/>
    <w:rsid w:val="00CA2D4C"/>
    <w:rsid w:val="00CA3271"/>
    <w:rsid w:val="00CA3D0E"/>
    <w:rsid w:val="00CB2E3F"/>
    <w:rsid w:val="00CB45F0"/>
    <w:rsid w:val="00CB5B3A"/>
    <w:rsid w:val="00CB60BB"/>
    <w:rsid w:val="00CB6527"/>
    <w:rsid w:val="00CB7D73"/>
    <w:rsid w:val="00CC1A7D"/>
    <w:rsid w:val="00CC5DAE"/>
    <w:rsid w:val="00CC69B3"/>
    <w:rsid w:val="00CC7182"/>
    <w:rsid w:val="00CD43CF"/>
    <w:rsid w:val="00CD4668"/>
    <w:rsid w:val="00CE1419"/>
    <w:rsid w:val="00CE3087"/>
    <w:rsid w:val="00CE3EDF"/>
    <w:rsid w:val="00CE40FE"/>
    <w:rsid w:val="00CE7624"/>
    <w:rsid w:val="00CE7E5C"/>
    <w:rsid w:val="00CF1E93"/>
    <w:rsid w:val="00CF2E75"/>
    <w:rsid w:val="00CF4966"/>
    <w:rsid w:val="00D03B2C"/>
    <w:rsid w:val="00D13AF8"/>
    <w:rsid w:val="00D155DE"/>
    <w:rsid w:val="00D17B0F"/>
    <w:rsid w:val="00D221DC"/>
    <w:rsid w:val="00D248E2"/>
    <w:rsid w:val="00D25986"/>
    <w:rsid w:val="00D27F1E"/>
    <w:rsid w:val="00D33672"/>
    <w:rsid w:val="00D357AD"/>
    <w:rsid w:val="00D40EB8"/>
    <w:rsid w:val="00D4358E"/>
    <w:rsid w:val="00D43614"/>
    <w:rsid w:val="00D438DD"/>
    <w:rsid w:val="00D4485B"/>
    <w:rsid w:val="00D46EEF"/>
    <w:rsid w:val="00D500F7"/>
    <w:rsid w:val="00D52879"/>
    <w:rsid w:val="00D538D6"/>
    <w:rsid w:val="00D55B24"/>
    <w:rsid w:val="00D63AF4"/>
    <w:rsid w:val="00D63CED"/>
    <w:rsid w:val="00D66729"/>
    <w:rsid w:val="00D6709A"/>
    <w:rsid w:val="00D67BC3"/>
    <w:rsid w:val="00D72FDF"/>
    <w:rsid w:val="00D7323C"/>
    <w:rsid w:val="00D74C98"/>
    <w:rsid w:val="00D74FBD"/>
    <w:rsid w:val="00D8058A"/>
    <w:rsid w:val="00D806C8"/>
    <w:rsid w:val="00D80B07"/>
    <w:rsid w:val="00D80C67"/>
    <w:rsid w:val="00D840B0"/>
    <w:rsid w:val="00D85823"/>
    <w:rsid w:val="00D87317"/>
    <w:rsid w:val="00D87AE6"/>
    <w:rsid w:val="00D90160"/>
    <w:rsid w:val="00D916E7"/>
    <w:rsid w:val="00D9279A"/>
    <w:rsid w:val="00D93805"/>
    <w:rsid w:val="00DA2323"/>
    <w:rsid w:val="00DA4ABB"/>
    <w:rsid w:val="00DA57D6"/>
    <w:rsid w:val="00DA6BF6"/>
    <w:rsid w:val="00DB0063"/>
    <w:rsid w:val="00DB1899"/>
    <w:rsid w:val="00DB22C1"/>
    <w:rsid w:val="00DB3CCA"/>
    <w:rsid w:val="00DC0413"/>
    <w:rsid w:val="00DC3B08"/>
    <w:rsid w:val="00DC4C70"/>
    <w:rsid w:val="00DC554A"/>
    <w:rsid w:val="00DC6824"/>
    <w:rsid w:val="00DC6B34"/>
    <w:rsid w:val="00DD14A3"/>
    <w:rsid w:val="00DD4504"/>
    <w:rsid w:val="00DD738F"/>
    <w:rsid w:val="00DE13C3"/>
    <w:rsid w:val="00DE3143"/>
    <w:rsid w:val="00DE34DF"/>
    <w:rsid w:val="00DE3691"/>
    <w:rsid w:val="00DE7475"/>
    <w:rsid w:val="00DF1D0E"/>
    <w:rsid w:val="00DF2B06"/>
    <w:rsid w:val="00DF32D7"/>
    <w:rsid w:val="00DF74F9"/>
    <w:rsid w:val="00E00C24"/>
    <w:rsid w:val="00E02BA2"/>
    <w:rsid w:val="00E06C76"/>
    <w:rsid w:val="00E06CD4"/>
    <w:rsid w:val="00E110E0"/>
    <w:rsid w:val="00E12521"/>
    <w:rsid w:val="00E142AF"/>
    <w:rsid w:val="00E151B6"/>
    <w:rsid w:val="00E177AF"/>
    <w:rsid w:val="00E22D2A"/>
    <w:rsid w:val="00E24E6B"/>
    <w:rsid w:val="00E25371"/>
    <w:rsid w:val="00E32034"/>
    <w:rsid w:val="00E32964"/>
    <w:rsid w:val="00E32A6A"/>
    <w:rsid w:val="00E338E5"/>
    <w:rsid w:val="00E34764"/>
    <w:rsid w:val="00E356FA"/>
    <w:rsid w:val="00E37317"/>
    <w:rsid w:val="00E41005"/>
    <w:rsid w:val="00E43814"/>
    <w:rsid w:val="00E43BD0"/>
    <w:rsid w:val="00E51D4F"/>
    <w:rsid w:val="00E52B1C"/>
    <w:rsid w:val="00E52EFB"/>
    <w:rsid w:val="00E53771"/>
    <w:rsid w:val="00E53A8E"/>
    <w:rsid w:val="00E54DB6"/>
    <w:rsid w:val="00E61255"/>
    <w:rsid w:val="00E62474"/>
    <w:rsid w:val="00E62CDC"/>
    <w:rsid w:val="00E64514"/>
    <w:rsid w:val="00E67209"/>
    <w:rsid w:val="00E67499"/>
    <w:rsid w:val="00E7092F"/>
    <w:rsid w:val="00E72F6E"/>
    <w:rsid w:val="00E73EFD"/>
    <w:rsid w:val="00E74CD2"/>
    <w:rsid w:val="00E754C0"/>
    <w:rsid w:val="00E7586D"/>
    <w:rsid w:val="00E76074"/>
    <w:rsid w:val="00E820B4"/>
    <w:rsid w:val="00E822AE"/>
    <w:rsid w:val="00E826A8"/>
    <w:rsid w:val="00E83395"/>
    <w:rsid w:val="00E8355A"/>
    <w:rsid w:val="00E90810"/>
    <w:rsid w:val="00E92987"/>
    <w:rsid w:val="00E93EC5"/>
    <w:rsid w:val="00E942A0"/>
    <w:rsid w:val="00E94859"/>
    <w:rsid w:val="00E95430"/>
    <w:rsid w:val="00E95678"/>
    <w:rsid w:val="00EA05BE"/>
    <w:rsid w:val="00EA1D7B"/>
    <w:rsid w:val="00EB0755"/>
    <w:rsid w:val="00EB23DE"/>
    <w:rsid w:val="00EB5BCD"/>
    <w:rsid w:val="00EB7D53"/>
    <w:rsid w:val="00EC5100"/>
    <w:rsid w:val="00EC64E9"/>
    <w:rsid w:val="00EC7197"/>
    <w:rsid w:val="00ED1D66"/>
    <w:rsid w:val="00ED32D6"/>
    <w:rsid w:val="00ED3E40"/>
    <w:rsid w:val="00EE128B"/>
    <w:rsid w:val="00EE368D"/>
    <w:rsid w:val="00EE441F"/>
    <w:rsid w:val="00EE6226"/>
    <w:rsid w:val="00EE6738"/>
    <w:rsid w:val="00EE6E10"/>
    <w:rsid w:val="00EE740C"/>
    <w:rsid w:val="00EE796F"/>
    <w:rsid w:val="00EF170F"/>
    <w:rsid w:val="00EF3827"/>
    <w:rsid w:val="00EF3A06"/>
    <w:rsid w:val="00EF7095"/>
    <w:rsid w:val="00EF776A"/>
    <w:rsid w:val="00F0282A"/>
    <w:rsid w:val="00F05F06"/>
    <w:rsid w:val="00F076E2"/>
    <w:rsid w:val="00F102A4"/>
    <w:rsid w:val="00F12CFA"/>
    <w:rsid w:val="00F200D8"/>
    <w:rsid w:val="00F21DEE"/>
    <w:rsid w:val="00F23CE2"/>
    <w:rsid w:val="00F303A9"/>
    <w:rsid w:val="00F3172C"/>
    <w:rsid w:val="00F33973"/>
    <w:rsid w:val="00F33CBC"/>
    <w:rsid w:val="00F372B7"/>
    <w:rsid w:val="00F44523"/>
    <w:rsid w:val="00F457F7"/>
    <w:rsid w:val="00F47C20"/>
    <w:rsid w:val="00F53210"/>
    <w:rsid w:val="00F53D45"/>
    <w:rsid w:val="00F56BFD"/>
    <w:rsid w:val="00F61124"/>
    <w:rsid w:val="00F64311"/>
    <w:rsid w:val="00F649C6"/>
    <w:rsid w:val="00F65507"/>
    <w:rsid w:val="00F658E8"/>
    <w:rsid w:val="00F672AC"/>
    <w:rsid w:val="00F750DA"/>
    <w:rsid w:val="00F83F52"/>
    <w:rsid w:val="00F87858"/>
    <w:rsid w:val="00F91DEF"/>
    <w:rsid w:val="00F9685B"/>
    <w:rsid w:val="00FA1924"/>
    <w:rsid w:val="00FA31D7"/>
    <w:rsid w:val="00FA7839"/>
    <w:rsid w:val="00FB2100"/>
    <w:rsid w:val="00FB6598"/>
    <w:rsid w:val="00FB71BE"/>
    <w:rsid w:val="00FC05E4"/>
    <w:rsid w:val="00FC153B"/>
    <w:rsid w:val="00FC2CB6"/>
    <w:rsid w:val="00FC3380"/>
    <w:rsid w:val="00FC7CD1"/>
    <w:rsid w:val="00FD22D7"/>
    <w:rsid w:val="00FD466E"/>
    <w:rsid w:val="00FD5428"/>
    <w:rsid w:val="00FD68F8"/>
    <w:rsid w:val="00FF03BA"/>
    <w:rsid w:val="00FF060F"/>
    <w:rsid w:val="00FF094F"/>
    <w:rsid w:val="00FF0D7D"/>
    <w:rsid w:val="00FF369D"/>
    <w:rsid w:val="00FF483F"/>
    <w:rsid w:val="00FF4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1F2DA"/>
  <w15:chartTrackingRefBased/>
  <w15:docId w15:val="{45D6428A-0352-4D11-A834-3C3EB93CB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7094"/>
    <w:rPr>
      <w:color w:val="0563C1" w:themeColor="hyperlink"/>
      <w:u w:val="single"/>
    </w:rPr>
  </w:style>
  <w:style w:type="paragraph" w:styleId="ListParagraph">
    <w:name w:val="List Paragraph"/>
    <w:basedOn w:val="Normal"/>
    <w:uiPriority w:val="34"/>
    <w:qFormat/>
    <w:rsid w:val="005D056C"/>
    <w:pPr>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39"/>
    <w:rsid w:val="000A0F6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A0F6B"/>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0A0F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E5D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D3A"/>
  </w:style>
  <w:style w:type="paragraph" w:styleId="Footer">
    <w:name w:val="footer"/>
    <w:basedOn w:val="Normal"/>
    <w:link w:val="FooterChar"/>
    <w:uiPriority w:val="99"/>
    <w:unhideWhenUsed/>
    <w:rsid w:val="004E5D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D3A"/>
  </w:style>
  <w:style w:type="paragraph" w:styleId="NoSpacing">
    <w:name w:val="No Spacing"/>
    <w:uiPriority w:val="1"/>
    <w:qFormat/>
    <w:rsid w:val="0079580A"/>
    <w:pPr>
      <w:spacing w:after="0" w:line="240" w:lineRule="auto"/>
    </w:pPr>
  </w:style>
  <w:style w:type="paragraph" w:customStyle="1" w:styleId="Default">
    <w:name w:val="Default"/>
    <w:rsid w:val="00FF0D7D"/>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9A2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uel.abbey@uwe.ac.uk"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8.png"/><Relationship Id="rId38"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7.png"/><Relationship Id="rId37" Type="http://schemas.openxmlformats.org/officeDocument/2006/relationships/chart" Target="charts/chart1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chart" Target="charts/chart10.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yowh\Desktop\Research\Papers%20for%20publishing\08%20Journal%20of%20Rock%20Mechanics%20and%20Geotechnical%20Engineering\Data%205%25C%20formatt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0.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j-abbey\Desktop\Copy%20of%20data-UCS.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j-abbey\Documents\New%20December%20manuscript\Copy%20of%20data-UC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Kaolinite</c:v>
          </c:tx>
          <c:spPr>
            <a:ln w="22225" cap="rnd">
              <a:solidFill>
                <a:schemeClr val="tx1"/>
              </a:solidFill>
              <a:round/>
            </a:ln>
            <a:effectLst/>
          </c:spPr>
          <c:marker>
            <c:symbol val="diamond"/>
            <c:size val="6"/>
            <c:spPr>
              <a:solidFill>
                <a:schemeClr val="tx1"/>
              </a:solidFill>
              <a:ln w="9525">
                <a:solidFill>
                  <a:schemeClr val="tx1"/>
                </a:solidFill>
                <a:round/>
              </a:ln>
              <a:effectLst/>
            </c:spPr>
          </c:marker>
          <c:xVal>
            <c:numRef>
              <c:f>'Grain size distribution'!$A$3:$A$59</c:f>
              <c:numCache>
                <c:formatCode>General</c:formatCode>
                <c:ptCount val="57"/>
                <c:pt idx="0">
                  <c:v>5.5999999999999992E-5</c:v>
                </c:pt>
                <c:pt idx="1">
                  <c:v>6.4499999999999996E-5</c:v>
                </c:pt>
                <c:pt idx="2">
                  <c:v>7.400000000000001E-5</c:v>
                </c:pt>
                <c:pt idx="3">
                  <c:v>8.5000000000000006E-5</c:v>
                </c:pt>
                <c:pt idx="4">
                  <c:v>9.800000000000001E-5</c:v>
                </c:pt>
                <c:pt idx="5">
                  <c:v>1.125E-4</c:v>
                </c:pt>
                <c:pt idx="6">
                  <c:v>1.2899999999999999E-4</c:v>
                </c:pt>
                <c:pt idx="7">
                  <c:v>1.4800000000000002E-4</c:v>
                </c:pt>
                <c:pt idx="8">
                  <c:v>1.7000000000000001E-4</c:v>
                </c:pt>
                <c:pt idx="9">
                  <c:v>1.9550000000000001E-4</c:v>
                </c:pt>
                <c:pt idx="10">
                  <c:v>2.2449999999999998E-4</c:v>
                </c:pt>
                <c:pt idx="11">
                  <c:v>2.5750000000000002E-4</c:v>
                </c:pt>
                <c:pt idx="12">
                  <c:v>2.9549999999999997E-4</c:v>
                </c:pt>
                <c:pt idx="13">
                  <c:v>3.3950000000000001E-4</c:v>
                </c:pt>
                <c:pt idx="14">
                  <c:v>3.8999999999999999E-4</c:v>
                </c:pt>
                <c:pt idx="15">
                  <c:v>4.4799999999999994E-4</c:v>
                </c:pt>
                <c:pt idx="16">
                  <c:v>5.1449999999999998E-4</c:v>
                </c:pt>
                <c:pt idx="17">
                  <c:v>5.9049999999999999E-4</c:v>
                </c:pt>
                <c:pt idx="18">
                  <c:v>6.7750000000000004E-4</c:v>
                </c:pt>
                <c:pt idx="19">
                  <c:v>7.7800000000000005E-4</c:v>
                </c:pt>
                <c:pt idx="20">
                  <c:v>8.9349999999999998E-4</c:v>
                </c:pt>
                <c:pt idx="21">
                  <c:v>1.0255000000000002E-3</c:v>
                </c:pt>
                <c:pt idx="22">
                  <c:v>1.1774999999999999E-3</c:v>
                </c:pt>
                <c:pt idx="23">
                  <c:v>1.3519999999999999E-3</c:v>
                </c:pt>
                <c:pt idx="24">
                  <c:v>1.5525000000000001E-3</c:v>
                </c:pt>
                <c:pt idx="25">
                  <c:v>1.7825E-3</c:v>
                </c:pt>
                <c:pt idx="26">
                  <c:v>2.0465000000000001E-3</c:v>
                </c:pt>
                <c:pt idx="27">
                  <c:v>2.3500000000000001E-3</c:v>
                </c:pt>
                <c:pt idx="28">
                  <c:v>2.6979999999999999E-3</c:v>
                </c:pt>
                <c:pt idx="29">
                  <c:v>3.0975E-3</c:v>
                </c:pt>
                <c:pt idx="30">
                  <c:v>3.5564999999999998E-3</c:v>
                </c:pt>
                <c:pt idx="31">
                  <c:v>4.0835000000000003E-3</c:v>
                </c:pt>
                <c:pt idx="32">
                  <c:v>4.6884999999999991E-3</c:v>
                </c:pt>
                <c:pt idx="33">
                  <c:v>5.3829999999999989E-3</c:v>
                </c:pt>
                <c:pt idx="34">
                  <c:v>6.1805000000000002E-3</c:v>
                </c:pt>
                <c:pt idx="35">
                  <c:v>7.0965000000000004E-3</c:v>
                </c:pt>
                <c:pt idx="36">
                  <c:v>8.147999999999999E-3</c:v>
                </c:pt>
                <c:pt idx="37">
                  <c:v>9.3550000000000005E-3</c:v>
                </c:pt>
                <c:pt idx="38">
                  <c:v>1.0740999999999999E-2</c:v>
                </c:pt>
                <c:pt idx="39">
                  <c:v>1.23325E-2</c:v>
                </c:pt>
                <c:pt idx="40">
                  <c:v>1.41595E-2</c:v>
                </c:pt>
                <c:pt idx="41">
                  <c:v>1.6256999999999997E-2</c:v>
                </c:pt>
                <c:pt idx="42">
                  <c:v>1.8665500000000002E-2</c:v>
                </c:pt>
                <c:pt idx="43">
                  <c:v>2.1430999999999999E-2</c:v>
                </c:pt>
                <c:pt idx="44">
                  <c:v>2.4606000000000003E-2</c:v>
                </c:pt>
                <c:pt idx="45">
                  <c:v>2.8251499999999999E-2</c:v>
                </c:pt>
                <c:pt idx="46">
                  <c:v>3.2437000000000001E-2</c:v>
                </c:pt>
                <c:pt idx="47">
                  <c:v>3.7242499999999998E-2</c:v>
                </c:pt>
                <c:pt idx="48">
                  <c:v>4.2759999999999999E-2</c:v>
                </c:pt>
                <c:pt idx="49">
                  <c:v>4.9095E-2</c:v>
                </c:pt>
                <c:pt idx="50">
                  <c:v>5.6368499999999995E-2</c:v>
                </c:pt>
                <c:pt idx="51">
                  <c:v>6.4719500000000013E-2</c:v>
                </c:pt>
                <c:pt idx="52">
                  <c:v>7.4308000000000013E-2</c:v>
                </c:pt>
                <c:pt idx="53">
                  <c:v>8.5317000000000004E-2</c:v>
                </c:pt>
                <c:pt idx="54">
                  <c:v>9.7956999999999989E-2</c:v>
                </c:pt>
                <c:pt idx="55">
                  <c:v>0.1124695</c:v>
                </c:pt>
                <c:pt idx="56">
                  <c:v>0.129132</c:v>
                </c:pt>
              </c:numCache>
            </c:numRef>
          </c:xVal>
          <c:yVal>
            <c:numRef>
              <c:f>'Grain size distribution'!$B$3:$B$59</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7.7939999999999997E-3</c:v>
                </c:pt>
                <c:pt idx="14">
                  <c:v>0.137242</c:v>
                </c:pt>
                <c:pt idx="15">
                  <c:v>0.49626899999999996</c:v>
                </c:pt>
                <c:pt idx="16">
                  <c:v>1.0793949999999999</c:v>
                </c:pt>
                <c:pt idx="17">
                  <c:v>1.856182</c:v>
                </c:pt>
                <c:pt idx="18">
                  <c:v>2.794222</c:v>
                </c:pt>
                <c:pt idx="19">
                  <c:v>3.8553009999999999</c:v>
                </c:pt>
                <c:pt idx="20">
                  <c:v>5.0105050000000002</c:v>
                </c:pt>
                <c:pt idx="21">
                  <c:v>6.2501290000000003</c:v>
                </c:pt>
                <c:pt idx="22">
                  <c:v>7.5873200000000001</c:v>
                </c:pt>
                <c:pt idx="23">
                  <c:v>9.0629229999999996</c:v>
                </c:pt>
                <c:pt idx="24">
                  <c:v>10.737587</c:v>
                </c:pt>
                <c:pt idx="25">
                  <c:v>12.688298</c:v>
                </c:pt>
                <c:pt idx="26">
                  <c:v>14.996008999999999</c:v>
                </c:pt>
                <c:pt idx="27">
                  <c:v>17.744910999999998</c:v>
                </c:pt>
                <c:pt idx="28">
                  <c:v>21.015367999999999</c:v>
                </c:pt>
                <c:pt idx="29">
                  <c:v>24.873791999999998</c:v>
                </c:pt>
                <c:pt idx="30">
                  <c:v>29.362849999999998</c:v>
                </c:pt>
                <c:pt idx="31">
                  <c:v>34.483948999999996</c:v>
                </c:pt>
                <c:pt idx="32">
                  <c:v>40.200208999999994</c:v>
                </c:pt>
                <c:pt idx="33">
                  <c:v>46.417922999999995</c:v>
                </c:pt>
                <c:pt idx="34">
                  <c:v>53.003584999999994</c:v>
                </c:pt>
                <c:pt idx="35">
                  <c:v>59.774404999999994</c:v>
                </c:pt>
                <c:pt idx="36">
                  <c:v>66.518041999999994</c:v>
                </c:pt>
                <c:pt idx="37">
                  <c:v>73.004835</c:v>
                </c:pt>
                <c:pt idx="38">
                  <c:v>78.999027999999996</c:v>
                </c:pt>
                <c:pt idx="39">
                  <c:v>84.310486999999995</c:v>
                </c:pt>
                <c:pt idx="40">
                  <c:v>88.789274999999989</c:v>
                </c:pt>
                <c:pt idx="41">
                  <c:v>92.386150999999984</c:v>
                </c:pt>
                <c:pt idx="42">
                  <c:v>95.114610999999982</c:v>
                </c:pt>
                <c:pt idx="43">
                  <c:v>97.073082999999983</c:v>
                </c:pt>
                <c:pt idx="44">
                  <c:v>98.388676999999987</c:v>
                </c:pt>
                <c:pt idx="45">
                  <c:v>99.208397999999988</c:v>
                </c:pt>
                <c:pt idx="46">
                  <c:v>99.675323999999989</c:v>
                </c:pt>
                <c:pt idx="47">
                  <c:v>99.897618999999992</c:v>
                </c:pt>
                <c:pt idx="48">
                  <c:v>99.991238999999993</c:v>
                </c:pt>
                <c:pt idx="49">
                  <c:v>100.000001</c:v>
                </c:pt>
                <c:pt idx="50">
                  <c:v>100.000001</c:v>
                </c:pt>
                <c:pt idx="51">
                  <c:v>100.000001</c:v>
                </c:pt>
                <c:pt idx="52">
                  <c:v>100.000001</c:v>
                </c:pt>
                <c:pt idx="53">
                  <c:v>100.000001</c:v>
                </c:pt>
                <c:pt idx="54">
                  <c:v>100.000001</c:v>
                </c:pt>
                <c:pt idx="55">
                  <c:v>100.000001</c:v>
                </c:pt>
                <c:pt idx="56">
                  <c:v>100.000001</c:v>
                </c:pt>
              </c:numCache>
            </c:numRef>
          </c:yVal>
          <c:smooth val="1"/>
          <c:extLst>
            <c:ext xmlns:c16="http://schemas.microsoft.com/office/drawing/2014/chart" uri="{C3380CC4-5D6E-409C-BE32-E72D297353CC}">
              <c16:uniqueId val="{00000000-EF0B-4037-9310-1BCBF8763249}"/>
            </c:ext>
          </c:extLst>
        </c:ser>
        <c:ser>
          <c:idx val="1"/>
          <c:order val="1"/>
          <c:tx>
            <c:v>Bentonite</c:v>
          </c:tx>
          <c:spPr>
            <a:ln w="6350" cap="rnd">
              <a:solidFill>
                <a:schemeClr val="tx1"/>
              </a:solidFill>
              <a:round/>
            </a:ln>
            <a:effectLst/>
          </c:spPr>
          <c:marker>
            <c:symbol val="square"/>
            <c:size val="6"/>
            <c:spPr>
              <a:noFill/>
              <a:ln w="6350">
                <a:solidFill>
                  <a:schemeClr val="tx1"/>
                </a:solidFill>
                <a:round/>
              </a:ln>
              <a:effectLst/>
            </c:spPr>
          </c:marker>
          <c:xVal>
            <c:numRef>
              <c:f>'Grain size distribution'!$A$3:$A$59</c:f>
              <c:numCache>
                <c:formatCode>General</c:formatCode>
                <c:ptCount val="57"/>
                <c:pt idx="0">
                  <c:v>5.5999999999999992E-5</c:v>
                </c:pt>
                <c:pt idx="1">
                  <c:v>6.4499999999999996E-5</c:v>
                </c:pt>
                <c:pt idx="2">
                  <c:v>7.400000000000001E-5</c:v>
                </c:pt>
                <c:pt idx="3">
                  <c:v>8.5000000000000006E-5</c:v>
                </c:pt>
                <c:pt idx="4">
                  <c:v>9.800000000000001E-5</c:v>
                </c:pt>
                <c:pt idx="5">
                  <c:v>1.125E-4</c:v>
                </c:pt>
                <c:pt idx="6">
                  <c:v>1.2899999999999999E-4</c:v>
                </c:pt>
                <c:pt idx="7">
                  <c:v>1.4800000000000002E-4</c:v>
                </c:pt>
                <c:pt idx="8">
                  <c:v>1.7000000000000001E-4</c:v>
                </c:pt>
                <c:pt idx="9">
                  <c:v>1.9550000000000001E-4</c:v>
                </c:pt>
                <c:pt idx="10">
                  <c:v>2.2449999999999998E-4</c:v>
                </c:pt>
                <c:pt idx="11">
                  <c:v>2.5750000000000002E-4</c:v>
                </c:pt>
                <c:pt idx="12">
                  <c:v>2.9549999999999997E-4</c:v>
                </c:pt>
                <c:pt idx="13">
                  <c:v>3.3950000000000001E-4</c:v>
                </c:pt>
                <c:pt idx="14">
                  <c:v>3.8999999999999999E-4</c:v>
                </c:pt>
                <c:pt idx="15">
                  <c:v>4.4799999999999994E-4</c:v>
                </c:pt>
                <c:pt idx="16">
                  <c:v>5.1449999999999998E-4</c:v>
                </c:pt>
                <c:pt idx="17">
                  <c:v>5.9049999999999999E-4</c:v>
                </c:pt>
                <c:pt idx="18">
                  <c:v>6.7750000000000004E-4</c:v>
                </c:pt>
                <c:pt idx="19">
                  <c:v>7.7800000000000005E-4</c:v>
                </c:pt>
                <c:pt idx="20">
                  <c:v>8.9349999999999998E-4</c:v>
                </c:pt>
                <c:pt idx="21">
                  <c:v>1.0255000000000002E-3</c:v>
                </c:pt>
                <c:pt idx="22">
                  <c:v>1.1774999999999999E-3</c:v>
                </c:pt>
                <c:pt idx="23">
                  <c:v>1.3519999999999999E-3</c:v>
                </c:pt>
                <c:pt idx="24">
                  <c:v>1.5525000000000001E-3</c:v>
                </c:pt>
                <c:pt idx="25">
                  <c:v>1.7825E-3</c:v>
                </c:pt>
                <c:pt idx="26">
                  <c:v>2.0465000000000001E-3</c:v>
                </c:pt>
                <c:pt idx="27">
                  <c:v>2.3500000000000001E-3</c:v>
                </c:pt>
                <c:pt idx="28">
                  <c:v>2.6979999999999999E-3</c:v>
                </c:pt>
                <c:pt idx="29">
                  <c:v>3.0975E-3</c:v>
                </c:pt>
                <c:pt idx="30">
                  <c:v>3.5564999999999998E-3</c:v>
                </c:pt>
                <c:pt idx="31">
                  <c:v>4.0835000000000003E-3</c:v>
                </c:pt>
                <c:pt idx="32">
                  <c:v>4.6884999999999991E-3</c:v>
                </c:pt>
                <c:pt idx="33">
                  <c:v>5.3829999999999989E-3</c:v>
                </c:pt>
                <c:pt idx="34">
                  <c:v>6.1805000000000002E-3</c:v>
                </c:pt>
                <c:pt idx="35">
                  <c:v>7.0965000000000004E-3</c:v>
                </c:pt>
                <c:pt idx="36">
                  <c:v>8.147999999999999E-3</c:v>
                </c:pt>
                <c:pt idx="37">
                  <c:v>9.3550000000000005E-3</c:v>
                </c:pt>
                <c:pt idx="38">
                  <c:v>1.0740999999999999E-2</c:v>
                </c:pt>
                <c:pt idx="39">
                  <c:v>1.23325E-2</c:v>
                </c:pt>
                <c:pt idx="40">
                  <c:v>1.41595E-2</c:v>
                </c:pt>
                <c:pt idx="41">
                  <c:v>1.6256999999999997E-2</c:v>
                </c:pt>
                <c:pt idx="42">
                  <c:v>1.8665500000000002E-2</c:v>
                </c:pt>
                <c:pt idx="43">
                  <c:v>2.1430999999999999E-2</c:v>
                </c:pt>
                <c:pt idx="44">
                  <c:v>2.4606000000000003E-2</c:v>
                </c:pt>
                <c:pt idx="45">
                  <c:v>2.8251499999999999E-2</c:v>
                </c:pt>
                <c:pt idx="46">
                  <c:v>3.2437000000000001E-2</c:v>
                </c:pt>
                <c:pt idx="47">
                  <c:v>3.7242499999999998E-2</c:v>
                </c:pt>
                <c:pt idx="48">
                  <c:v>4.2759999999999999E-2</c:v>
                </c:pt>
                <c:pt idx="49">
                  <c:v>4.9095E-2</c:v>
                </c:pt>
                <c:pt idx="50">
                  <c:v>5.6368499999999995E-2</c:v>
                </c:pt>
                <c:pt idx="51">
                  <c:v>6.4719500000000013E-2</c:v>
                </c:pt>
                <c:pt idx="52">
                  <c:v>7.4308000000000013E-2</c:v>
                </c:pt>
                <c:pt idx="53">
                  <c:v>8.5317000000000004E-2</c:v>
                </c:pt>
                <c:pt idx="54">
                  <c:v>9.7956999999999989E-2</c:v>
                </c:pt>
                <c:pt idx="55">
                  <c:v>0.1124695</c:v>
                </c:pt>
                <c:pt idx="56">
                  <c:v>0.129132</c:v>
                </c:pt>
              </c:numCache>
            </c:numRef>
          </c:xVal>
          <c:yVal>
            <c:numRef>
              <c:f>'Grain size distribution'!$G$3:$G$59</c:f>
              <c:numCache>
                <c:formatCode>General</c:formatCode>
                <c:ptCount val="57"/>
                <c:pt idx="0">
                  <c:v>0.225411</c:v>
                </c:pt>
                <c:pt idx="1">
                  <c:v>0.77668900000000007</c:v>
                </c:pt>
                <c:pt idx="2">
                  <c:v>1.9665840000000001</c:v>
                </c:pt>
                <c:pt idx="3">
                  <c:v>4.0375250000000005</c:v>
                </c:pt>
                <c:pt idx="4">
                  <c:v>7.117090000000001</c:v>
                </c:pt>
                <c:pt idx="5">
                  <c:v>11.190660000000001</c:v>
                </c:pt>
                <c:pt idx="6">
                  <c:v>16.101467</c:v>
                </c:pt>
                <c:pt idx="7">
                  <c:v>21.553421999999998</c:v>
                </c:pt>
                <c:pt idx="8">
                  <c:v>27.155128999999999</c:v>
                </c:pt>
                <c:pt idx="9">
                  <c:v>32.480741999999999</c:v>
                </c:pt>
                <c:pt idx="10">
                  <c:v>37.146540000000002</c:v>
                </c:pt>
                <c:pt idx="11">
                  <c:v>40.872157999999999</c:v>
                </c:pt>
                <c:pt idx="12">
                  <c:v>43.547894999999997</c:v>
                </c:pt>
                <c:pt idx="13">
                  <c:v>45.220549999999996</c:v>
                </c:pt>
                <c:pt idx="14">
                  <c:v>46.097704999999998</c:v>
                </c:pt>
                <c:pt idx="15">
                  <c:v>46.445056999999998</c:v>
                </c:pt>
                <c:pt idx="16">
                  <c:v>46.531157</c:v>
                </c:pt>
                <c:pt idx="17">
                  <c:v>46.536076999999999</c:v>
                </c:pt>
                <c:pt idx="18">
                  <c:v>46.536076999999999</c:v>
                </c:pt>
                <c:pt idx="19">
                  <c:v>46.536076999999999</c:v>
                </c:pt>
                <c:pt idx="20">
                  <c:v>46.536076999999999</c:v>
                </c:pt>
                <c:pt idx="21">
                  <c:v>46.536076999999999</c:v>
                </c:pt>
                <c:pt idx="22">
                  <c:v>46.589579000000001</c:v>
                </c:pt>
                <c:pt idx="23">
                  <c:v>47.022303000000001</c:v>
                </c:pt>
                <c:pt idx="24">
                  <c:v>47.947893000000001</c:v>
                </c:pt>
                <c:pt idx="25">
                  <c:v>49.371969</c:v>
                </c:pt>
                <c:pt idx="26">
                  <c:v>51.267012000000001</c:v>
                </c:pt>
                <c:pt idx="27">
                  <c:v>53.581986000000001</c:v>
                </c:pt>
                <c:pt idx="28">
                  <c:v>56.246229</c:v>
                </c:pt>
                <c:pt idx="29">
                  <c:v>59.174759000000002</c:v>
                </c:pt>
                <c:pt idx="30">
                  <c:v>62.282138000000003</c:v>
                </c:pt>
                <c:pt idx="31">
                  <c:v>65.485876000000005</c:v>
                </c:pt>
                <c:pt idx="32">
                  <c:v>68.710807000000003</c:v>
                </c:pt>
                <c:pt idx="33">
                  <c:v>71.886828000000008</c:v>
                </c:pt>
                <c:pt idx="34">
                  <c:v>74.947472000000005</c:v>
                </c:pt>
                <c:pt idx="35">
                  <c:v>77.838266000000004</c:v>
                </c:pt>
                <c:pt idx="36">
                  <c:v>80.515754999999999</c:v>
                </c:pt>
                <c:pt idx="37">
                  <c:v>82.958780000000004</c:v>
                </c:pt>
                <c:pt idx="38">
                  <c:v>85.154679000000002</c:v>
                </c:pt>
                <c:pt idx="39">
                  <c:v>87.112403</c:v>
                </c:pt>
                <c:pt idx="40">
                  <c:v>88.845742000000001</c:v>
                </c:pt>
                <c:pt idx="41">
                  <c:v>90.383379000000005</c:v>
                </c:pt>
                <c:pt idx="42">
                  <c:v>91.753551000000002</c:v>
                </c:pt>
                <c:pt idx="43">
                  <c:v>92.986914999999996</c:v>
                </c:pt>
                <c:pt idx="44">
                  <c:v>94.106098000000003</c:v>
                </c:pt>
                <c:pt idx="45">
                  <c:v>95.126969000000003</c:v>
                </c:pt>
                <c:pt idx="46">
                  <c:v>96.055206999999996</c:v>
                </c:pt>
                <c:pt idx="47">
                  <c:v>96.889972</c:v>
                </c:pt>
                <c:pt idx="48">
                  <c:v>97.626022000000006</c:v>
                </c:pt>
                <c:pt idx="49">
                  <c:v>98.257384000000002</c:v>
                </c:pt>
                <c:pt idx="50">
                  <c:v>98.779984999999996</c:v>
                </c:pt>
                <c:pt idx="51">
                  <c:v>99.192813999999998</c:v>
                </c:pt>
                <c:pt idx="52">
                  <c:v>99.501667999999995</c:v>
                </c:pt>
                <c:pt idx="53">
                  <c:v>99.718136000000001</c:v>
                </c:pt>
                <c:pt idx="54">
                  <c:v>99.863530999999995</c:v>
                </c:pt>
                <c:pt idx="55">
                  <c:v>99.958486999999991</c:v>
                </c:pt>
                <c:pt idx="56">
                  <c:v>100.00000199999999</c:v>
                </c:pt>
              </c:numCache>
            </c:numRef>
          </c:yVal>
          <c:smooth val="1"/>
          <c:extLst>
            <c:ext xmlns:c16="http://schemas.microsoft.com/office/drawing/2014/chart" uri="{C3380CC4-5D6E-409C-BE32-E72D297353CC}">
              <c16:uniqueId val="{00000001-EF0B-4037-9310-1BCBF8763249}"/>
            </c:ext>
          </c:extLst>
        </c:ser>
        <c:ser>
          <c:idx val="2"/>
          <c:order val="2"/>
          <c:tx>
            <c:v>CEM I</c:v>
          </c:tx>
          <c:spPr>
            <a:ln w="6350" cap="rnd">
              <a:solidFill>
                <a:schemeClr val="tx1"/>
              </a:solidFill>
              <a:round/>
            </a:ln>
            <a:effectLst/>
          </c:spPr>
          <c:marker>
            <c:symbol val="triangle"/>
            <c:size val="6"/>
            <c:spPr>
              <a:noFill/>
              <a:ln w="6350">
                <a:solidFill>
                  <a:schemeClr val="tx1"/>
                </a:solidFill>
                <a:round/>
              </a:ln>
              <a:effectLst/>
            </c:spPr>
          </c:marker>
          <c:xVal>
            <c:numRef>
              <c:f>'Grain size distribution'!$H$4:$H$116</c:f>
              <c:numCache>
                <c:formatCode>General</c:formatCode>
                <c:ptCount val="113"/>
                <c:pt idx="0">
                  <c:v>0.7544359545499616</c:v>
                </c:pt>
                <c:pt idx="1">
                  <c:v>0.66861301346527546</c:v>
                </c:pt>
                <c:pt idx="2">
                  <c:v>0.56917360951771179</c:v>
                </c:pt>
                <c:pt idx="3">
                  <c:v>0.48452332103500934</c:v>
                </c:pt>
                <c:pt idx="4">
                  <c:v>0.429405035401142</c:v>
                </c:pt>
                <c:pt idx="5">
                  <c:v>0.35111917342151305</c:v>
                </c:pt>
                <c:pt idx="6">
                  <c:v>0.27577788752900534</c:v>
                </c:pt>
                <c:pt idx="7">
                  <c:v>0.21660293429393462</c:v>
                </c:pt>
                <c:pt idx="8">
                  <c:v>0.17012542798525887</c:v>
                </c:pt>
                <c:pt idx="9">
                  <c:v>0.13910945314454121</c:v>
                </c:pt>
                <c:pt idx="10">
                  <c:v>0.1184204135572447</c:v>
                </c:pt>
                <c:pt idx="11">
                  <c:v>0.10494917307002513</c:v>
                </c:pt>
                <c:pt idx="12">
                  <c:v>9.3010390668478368E-2</c:v>
                </c:pt>
                <c:pt idx="13">
                  <c:v>8.2429737359919944E-2</c:v>
                </c:pt>
                <c:pt idx="14">
                  <c:v>7.3052715426644529E-2</c:v>
                </c:pt>
                <c:pt idx="15">
                  <c:v>6.4742402464589024E-2</c:v>
                </c:pt>
                <c:pt idx="16">
                  <c:v>5.9734299652165243E-2</c:v>
                </c:pt>
                <c:pt idx="17">
                  <c:v>5.5113595095367271E-2</c:v>
                </c:pt>
                <c:pt idx="18">
                  <c:v>5.085032187576654E-2</c:v>
                </c:pt>
                <c:pt idx="19">
                  <c:v>4.6916831144742613E-2</c:v>
                </c:pt>
                <c:pt idx="20">
                  <c:v>4.15796777244535E-2</c:v>
                </c:pt>
                <c:pt idx="21">
                  <c:v>3.8363311123516729E-2</c:v>
                </c:pt>
                <c:pt idx="22">
                  <c:v>3.3999186945035481E-2</c:v>
                </c:pt>
                <c:pt idx="23">
                  <c:v>3.2657731491128134E-2</c:v>
                </c:pt>
                <c:pt idx="24">
                  <c:v>3.1369203853927843E-2</c:v>
                </c:pt>
                <c:pt idx="25">
                  <c:v>3.0131515739132281E-2</c:v>
                </c:pt>
                <c:pt idx="26">
                  <c:v>2.7800713622261872E-2</c:v>
                </c:pt>
                <c:pt idx="27">
                  <c:v>2.6703822129786153E-2</c:v>
                </c:pt>
                <c:pt idx="28">
                  <c:v>2.4638166830945593E-2</c:v>
                </c:pt>
                <c:pt idx="29">
                  <c:v>2.3666055253010392E-2</c:v>
                </c:pt>
                <c:pt idx="30">
                  <c:v>2.1835384265222999E-2</c:v>
                </c:pt>
                <c:pt idx="31">
                  <c:v>2.0973857918781254E-2</c:v>
                </c:pt>
                <c:pt idx="32">
                  <c:v>1.9351439954173311E-2</c:v>
                </c:pt>
                <c:pt idx="33">
                  <c:v>2.014632353861761E-2</c:v>
                </c:pt>
                <c:pt idx="34">
                  <c:v>1.7854522985237029E-2</c:v>
                </c:pt>
                <c:pt idx="35">
                  <c:v>1.6473398971098726E-2</c:v>
                </c:pt>
                <c:pt idx="36">
                  <c:v>1.4599422073743026E-2</c:v>
                </c:pt>
                <c:pt idx="37">
                  <c:v>1.2938624582652165E-2</c:v>
                </c:pt>
                <c:pt idx="38">
                  <c:v>1.1937766417144368E-2</c:v>
                </c:pt>
                <c:pt idx="39">
                  <c:v>1.1014328928082101E-2</c:v>
                </c:pt>
                <c:pt idx="40">
                  <c:v>1.0162323293724311E-2</c:v>
                </c:pt>
                <c:pt idx="41">
                  <c:v>9.376223953405623E-3</c:v>
                </c:pt>
                <c:pt idx="42">
                  <c:v>9.0062802021127885E-3</c:v>
                </c:pt>
                <c:pt idx="43">
                  <c:v>8.3096057585848766E-3</c:v>
                </c:pt>
                <c:pt idx="44">
                  <c:v>7.3643236559027304E-3</c:v>
                </c:pt>
                <c:pt idx="45">
                  <c:v>6.5265747238199261E-3</c:v>
                </c:pt>
                <c:pt idx="46">
                  <c:v>6.2690653524118383E-3</c:v>
                </c:pt>
                <c:pt idx="47">
                  <c:v>6.0217161460472818E-3</c:v>
                </c:pt>
                <c:pt idx="48">
                  <c:v>5.3366992312063079E-3</c:v>
                </c:pt>
                <c:pt idx="49">
                  <c:v>4.7296083032829167E-3</c:v>
                </c:pt>
                <c:pt idx="50">
                  <c:v>4.1915786768868283E-3</c:v>
                </c:pt>
                <c:pt idx="51">
                  <c:v>3.8673420690208461E-3</c:v>
                </c:pt>
                <c:pt idx="52">
                  <c:v>3.7147540933436503E-3</c:v>
                </c:pt>
                <c:pt idx="53">
                  <c:v>3.4274019143368155E-3</c:v>
                </c:pt>
                <c:pt idx="54">
                  <c:v>3.1622776601683794E-3</c:v>
                </c:pt>
                <c:pt idx="55">
                  <c:v>2.9176619054129662E-3</c:v>
                </c:pt>
                <c:pt idx="56">
                  <c:v>2.6919682295844767E-3</c:v>
                </c:pt>
                <c:pt idx="57">
                  <c:v>2.4837329286329663E-3</c:v>
                </c:pt>
                <c:pt idx="58">
                  <c:v>2.2916055223013935E-3</c:v>
                </c:pt>
                <c:pt idx="59">
                  <c:v>2.1143399957791018E-3</c:v>
                </c:pt>
                <c:pt idx="60">
                  <c:v>1.8738174228603837E-3</c:v>
                </c:pt>
                <c:pt idx="61">
                  <c:v>1.6606561580562228E-3</c:v>
                </c:pt>
                <c:pt idx="62">
                  <c:v>1.532197273939602E-3</c:v>
                </c:pt>
                <c:pt idx="63">
                  <c:v>1.3578979506128437E-3</c:v>
                </c:pt>
                <c:pt idx="64">
                  <c:v>1.3043213867190053E-3</c:v>
                </c:pt>
                <c:pt idx="65">
                  <c:v>1.2528587137824183E-3</c:v>
                </c:pt>
                <c:pt idx="66">
                  <c:v>1.1103363181676382E-3</c:v>
                </c:pt>
                <c:pt idx="67">
                  <c:v>1.0665274261466211E-3</c:v>
                </c:pt>
                <c:pt idx="68">
                  <c:v>1.0244470365520374E-3</c:v>
                </c:pt>
                <c:pt idx="69">
                  <c:v>9.4520165964867586E-4</c:v>
                </c:pt>
                <c:pt idx="70">
                  <c:v>9.8402695042928241E-4</c:v>
                </c:pt>
                <c:pt idx="71">
                  <c:v>7.7287967790701576E-4</c:v>
                </c:pt>
                <c:pt idx="72">
                  <c:v>7.4238531165000347E-4</c:v>
                </c:pt>
                <c:pt idx="73">
                  <c:v>6.8495862024462925E-4</c:v>
                </c:pt>
                <c:pt idx="74">
                  <c:v>6.0703926478950757E-4</c:v>
                </c:pt>
                <c:pt idx="75">
                  <c:v>5.3798384034436865E-4</c:v>
                </c:pt>
                <c:pt idx="76">
                  <c:v>4.9636848037466666E-4</c:v>
                </c:pt>
                <c:pt idx="77">
                  <c:v>4.57972247180779E-4</c:v>
                </c:pt>
                <c:pt idx="78">
                  <c:v>4.2254612748476384E-4</c:v>
                </c:pt>
                <c:pt idx="79">
                  <c:v>3.7447822829997563E-4</c:v>
                </c:pt>
                <c:pt idx="80">
                  <c:v>3.597029966882701E-4</c:v>
                </c:pt>
                <c:pt idx="81">
                  <c:v>3.4551072945922202E-4</c:v>
                </c:pt>
                <c:pt idx="82">
                  <c:v>3.0620620427100463E-4</c:v>
                </c:pt>
                <c:pt idx="83">
                  <c:v>2.8251983962567054E-4</c:v>
                </c:pt>
                <c:pt idx="84">
                  <c:v>2.7137287366099677E-4</c:v>
                </c:pt>
                <c:pt idx="85">
                  <c:v>2.4050210456823425E-4</c:v>
                </c:pt>
                <c:pt idx="86">
                  <c:v>2.1314312488729484E-4</c:v>
                </c:pt>
                <c:pt idx="87">
                  <c:v>2.2189823414589711E-4</c:v>
                </c:pt>
                <c:pt idx="88">
                  <c:v>1.9665558901340297E-4</c:v>
                </c:pt>
                <c:pt idx="89">
                  <c:v>1.8144343483121058E-4</c:v>
                </c:pt>
                <c:pt idx="90">
                  <c:v>1.6740800609081085E-4</c:v>
                </c:pt>
                <c:pt idx="91">
                  <c:v>1.5445827802682349E-4</c:v>
                </c:pt>
                <c:pt idx="92">
                  <c:v>1.4251026703029985E-4</c:v>
                </c:pt>
                <c:pt idx="93">
                  <c:v>1.2629861887442667E-4</c:v>
                </c:pt>
                <c:pt idx="94">
                  <c:v>1.1652887842130995E-4</c:v>
                </c:pt>
                <c:pt idx="95">
                  <c:v>1.0327281472617182E-4</c:v>
                </c:pt>
                <c:pt idx="96">
                  <c:v>9.528421908886988E-5</c:v>
                </c:pt>
                <c:pt idx="97">
                  <c:v>8.7913575624417391E-5</c:v>
                </c:pt>
                <c:pt idx="98">
                  <c:v>7.7912724557000791E-5</c:v>
                </c:pt>
                <c:pt idx="99">
                  <c:v>7.1885840781859235E-5</c:v>
                </c:pt>
                <c:pt idx="100">
                  <c:v>6.6325162344107585E-5</c:v>
                </c:pt>
                <c:pt idx="101">
                  <c:v>6.1194626259172108E-5</c:v>
                </c:pt>
                <c:pt idx="102">
                  <c:v>5.6460959169177912E-5</c:v>
                </c:pt>
                <c:pt idx="103">
                  <c:v>5.2093461553346287E-5</c:v>
                </c:pt>
                <c:pt idx="104">
                  <c:v>4.8063808630643908E-5</c:v>
                </c:pt>
                <c:pt idx="105">
                  <c:v>4.4345866663467408E-5</c:v>
                </c:pt>
                <c:pt idx="106">
                  <c:v>3.9301180392810534E-5</c:v>
                </c:pt>
                <c:pt idx="107">
                  <c:v>3.4830366311020339E-5</c:v>
                </c:pt>
                <c:pt idx="108">
                  <c:v>3.2136087927153147E-5</c:v>
                </c:pt>
                <c:pt idx="109">
                  <c:v>2.8480358684358018E-5</c:v>
                </c:pt>
                <c:pt idx="110">
                  <c:v>2.6277280655179455E-5</c:v>
                </c:pt>
                <c:pt idx="111">
                  <c:v>2.5240496996036914E-5</c:v>
                </c:pt>
                <c:pt idx="112">
                  <c:v>2.1486606589958931E-5</c:v>
                </c:pt>
              </c:numCache>
            </c:numRef>
          </c:xVal>
          <c:yVal>
            <c:numRef>
              <c:f>'Grain size distribution'!$I$4:$I$116</c:f>
              <c:numCache>
                <c:formatCode>General</c:formatCode>
                <c:ptCount val="113"/>
                <c:pt idx="0">
                  <c:v>100</c:v>
                </c:pt>
                <c:pt idx="1">
                  <c:v>100</c:v>
                </c:pt>
                <c:pt idx="2">
                  <c:v>100</c:v>
                </c:pt>
                <c:pt idx="3">
                  <c:v>100</c:v>
                </c:pt>
                <c:pt idx="4">
                  <c:v>100</c:v>
                </c:pt>
                <c:pt idx="5">
                  <c:v>100</c:v>
                </c:pt>
                <c:pt idx="6">
                  <c:v>100</c:v>
                </c:pt>
                <c:pt idx="7">
                  <c:v>100</c:v>
                </c:pt>
                <c:pt idx="8">
                  <c:v>100</c:v>
                </c:pt>
                <c:pt idx="9">
                  <c:v>100</c:v>
                </c:pt>
                <c:pt idx="10">
                  <c:v>100</c:v>
                </c:pt>
                <c:pt idx="11">
                  <c:v>100</c:v>
                </c:pt>
                <c:pt idx="12">
                  <c:v>99.415204678362571</c:v>
                </c:pt>
                <c:pt idx="13">
                  <c:v>98.245614035087712</c:v>
                </c:pt>
                <c:pt idx="14">
                  <c:v>96.491228070175438</c:v>
                </c:pt>
                <c:pt idx="15">
                  <c:v>94.73684210526315</c:v>
                </c:pt>
                <c:pt idx="16">
                  <c:v>92.982456140350877</c:v>
                </c:pt>
                <c:pt idx="17">
                  <c:v>91.228070175438589</c:v>
                </c:pt>
                <c:pt idx="18">
                  <c:v>88.888888888888886</c:v>
                </c:pt>
                <c:pt idx="19">
                  <c:v>85.964912280701753</c:v>
                </c:pt>
                <c:pt idx="20">
                  <c:v>81.871345029239762</c:v>
                </c:pt>
                <c:pt idx="21">
                  <c:v>77.777777777777786</c:v>
                </c:pt>
                <c:pt idx="22">
                  <c:v>73.68421052631578</c:v>
                </c:pt>
                <c:pt idx="23">
                  <c:v>71.929824561403507</c:v>
                </c:pt>
                <c:pt idx="24">
                  <c:v>70.175438596491219</c:v>
                </c:pt>
                <c:pt idx="25">
                  <c:v>68.421052631578945</c:v>
                </c:pt>
                <c:pt idx="26">
                  <c:v>65.497076023391813</c:v>
                </c:pt>
                <c:pt idx="27">
                  <c:v>63.742690058479532</c:v>
                </c:pt>
                <c:pt idx="28">
                  <c:v>60.23391812865497</c:v>
                </c:pt>
                <c:pt idx="29">
                  <c:v>59.064327485380119</c:v>
                </c:pt>
                <c:pt idx="30">
                  <c:v>55.555555555555557</c:v>
                </c:pt>
                <c:pt idx="31">
                  <c:v>54.385964912280706</c:v>
                </c:pt>
                <c:pt idx="32">
                  <c:v>51.461988304093566</c:v>
                </c:pt>
                <c:pt idx="33">
                  <c:v>52.631578947368418</c:v>
                </c:pt>
                <c:pt idx="34">
                  <c:v>48.538011695906427</c:v>
                </c:pt>
                <c:pt idx="35">
                  <c:v>46.198830409356724</c:v>
                </c:pt>
                <c:pt idx="36">
                  <c:v>42.690058479532162</c:v>
                </c:pt>
                <c:pt idx="37">
                  <c:v>39.76608187134503</c:v>
                </c:pt>
                <c:pt idx="38">
                  <c:v>38.011695906432749</c:v>
                </c:pt>
                <c:pt idx="39">
                  <c:v>36.257309941520468</c:v>
                </c:pt>
                <c:pt idx="40">
                  <c:v>34.502923976608187</c:v>
                </c:pt>
                <c:pt idx="41">
                  <c:v>33.333333333333329</c:v>
                </c:pt>
                <c:pt idx="42">
                  <c:v>32.748538011695906</c:v>
                </c:pt>
                <c:pt idx="43">
                  <c:v>30.994152046783626</c:v>
                </c:pt>
                <c:pt idx="44">
                  <c:v>29.82456140350877</c:v>
                </c:pt>
                <c:pt idx="45">
                  <c:v>28.07017543859649</c:v>
                </c:pt>
                <c:pt idx="46">
                  <c:v>27.485380116959064</c:v>
                </c:pt>
                <c:pt idx="47">
                  <c:v>26.315789473684209</c:v>
                </c:pt>
                <c:pt idx="48">
                  <c:v>25.146198830409354</c:v>
                </c:pt>
                <c:pt idx="49">
                  <c:v>23.976608187134502</c:v>
                </c:pt>
                <c:pt idx="50">
                  <c:v>22.807017543859647</c:v>
                </c:pt>
                <c:pt idx="51">
                  <c:v>22.222222222222221</c:v>
                </c:pt>
                <c:pt idx="52">
                  <c:v>21.637426900584796</c:v>
                </c:pt>
                <c:pt idx="53">
                  <c:v>21.052631578947366</c:v>
                </c:pt>
                <c:pt idx="54">
                  <c:v>20.467836257309941</c:v>
                </c:pt>
                <c:pt idx="55">
                  <c:v>19.883040935672515</c:v>
                </c:pt>
                <c:pt idx="56">
                  <c:v>19.298245614035086</c:v>
                </c:pt>
                <c:pt idx="57">
                  <c:v>18.71345029239766</c:v>
                </c:pt>
                <c:pt idx="58">
                  <c:v>18.128654970760234</c:v>
                </c:pt>
                <c:pt idx="59">
                  <c:v>17.543859649122805</c:v>
                </c:pt>
                <c:pt idx="60">
                  <c:v>16.959064327485379</c:v>
                </c:pt>
                <c:pt idx="61">
                  <c:v>16.374269005847953</c:v>
                </c:pt>
                <c:pt idx="62">
                  <c:v>16.374269005847953</c:v>
                </c:pt>
                <c:pt idx="63">
                  <c:v>15.789473684210526</c:v>
                </c:pt>
                <c:pt idx="64">
                  <c:v>15.789473684210526</c:v>
                </c:pt>
                <c:pt idx="65">
                  <c:v>15.789473684210526</c:v>
                </c:pt>
                <c:pt idx="66">
                  <c:v>15.204678362573098</c:v>
                </c:pt>
                <c:pt idx="67">
                  <c:v>15.204678362573098</c:v>
                </c:pt>
                <c:pt idx="68">
                  <c:v>15.204678362573098</c:v>
                </c:pt>
                <c:pt idx="69">
                  <c:v>15.204678362573098</c:v>
                </c:pt>
                <c:pt idx="70">
                  <c:v>15.204678362573098</c:v>
                </c:pt>
                <c:pt idx="71">
                  <c:v>14.619883040935672</c:v>
                </c:pt>
                <c:pt idx="72">
                  <c:v>14.619883040935672</c:v>
                </c:pt>
                <c:pt idx="73">
                  <c:v>14.619883040935672</c:v>
                </c:pt>
                <c:pt idx="74">
                  <c:v>14.035087719298245</c:v>
                </c:pt>
                <c:pt idx="75">
                  <c:v>14.035087719298245</c:v>
                </c:pt>
                <c:pt idx="76">
                  <c:v>14.035087719298245</c:v>
                </c:pt>
                <c:pt idx="77">
                  <c:v>13.450292397660817</c:v>
                </c:pt>
                <c:pt idx="78">
                  <c:v>13.450292397660817</c:v>
                </c:pt>
                <c:pt idx="79">
                  <c:v>12.865497076023392</c:v>
                </c:pt>
                <c:pt idx="80">
                  <c:v>12.865497076023392</c:v>
                </c:pt>
                <c:pt idx="81">
                  <c:v>12.865497076023392</c:v>
                </c:pt>
                <c:pt idx="82">
                  <c:v>12.280701754385964</c:v>
                </c:pt>
                <c:pt idx="83">
                  <c:v>11.695906432748536</c:v>
                </c:pt>
                <c:pt idx="84">
                  <c:v>11.695906432748536</c:v>
                </c:pt>
                <c:pt idx="85">
                  <c:v>11.111111111111111</c:v>
                </c:pt>
                <c:pt idx="86">
                  <c:v>9.9415204678362574</c:v>
                </c:pt>
                <c:pt idx="87">
                  <c:v>10.526315789473683</c:v>
                </c:pt>
                <c:pt idx="88">
                  <c:v>9.9415204678362574</c:v>
                </c:pt>
                <c:pt idx="89">
                  <c:v>9.3567251461988299</c:v>
                </c:pt>
                <c:pt idx="90">
                  <c:v>8.7719298245614024</c:v>
                </c:pt>
                <c:pt idx="91">
                  <c:v>8.1871345029239766</c:v>
                </c:pt>
                <c:pt idx="92">
                  <c:v>7.6023391812865491</c:v>
                </c:pt>
                <c:pt idx="93">
                  <c:v>6.4327485380116958</c:v>
                </c:pt>
                <c:pt idx="94">
                  <c:v>5.8479532163742682</c:v>
                </c:pt>
                <c:pt idx="95">
                  <c:v>5.2631578947368416</c:v>
                </c:pt>
                <c:pt idx="96">
                  <c:v>4.0935672514619883</c:v>
                </c:pt>
                <c:pt idx="97">
                  <c:v>3.5087719298245612</c:v>
                </c:pt>
                <c:pt idx="98">
                  <c:v>2.9239766081871341</c:v>
                </c:pt>
                <c:pt idx="99">
                  <c:v>2.3391812865497075</c:v>
                </c:pt>
                <c:pt idx="100">
                  <c:v>1.7543859649122806</c:v>
                </c:pt>
                <c:pt idx="101">
                  <c:v>1.1695906432748537</c:v>
                </c:pt>
                <c:pt idx="102">
                  <c:v>1.1695906432748537</c:v>
                </c:pt>
                <c:pt idx="103">
                  <c:v>0.58479532163742687</c:v>
                </c:pt>
                <c:pt idx="104">
                  <c:v>0.58479532163742687</c:v>
                </c:pt>
                <c:pt idx="105">
                  <c:v>0.58479532163742687</c:v>
                </c:pt>
                <c:pt idx="106">
                  <c:v>0</c:v>
                </c:pt>
                <c:pt idx="107">
                  <c:v>0</c:v>
                </c:pt>
                <c:pt idx="108">
                  <c:v>0</c:v>
                </c:pt>
                <c:pt idx="109">
                  <c:v>0</c:v>
                </c:pt>
                <c:pt idx="110">
                  <c:v>0</c:v>
                </c:pt>
                <c:pt idx="111">
                  <c:v>0</c:v>
                </c:pt>
                <c:pt idx="112">
                  <c:v>0</c:v>
                </c:pt>
              </c:numCache>
            </c:numRef>
          </c:yVal>
          <c:smooth val="1"/>
          <c:extLst>
            <c:ext xmlns:c16="http://schemas.microsoft.com/office/drawing/2014/chart" uri="{C3380CC4-5D6E-409C-BE32-E72D297353CC}">
              <c16:uniqueId val="{00000002-EF0B-4037-9310-1BCBF8763249}"/>
            </c:ext>
          </c:extLst>
        </c:ser>
        <c:ser>
          <c:idx val="3"/>
          <c:order val="3"/>
          <c:tx>
            <c:v>GGBS</c:v>
          </c:tx>
          <c:spPr>
            <a:ln w="6350" cap="rnd">
              <a:solidFill>
                <a:schemeClr val="tx1"/>
              </a:solidFill>
              <a:round/>
            </a:ln>
            <a:effectLst/>
          </c:spPr>
          <c:marker>
            <c:symbol val="x"/>
            <c:size val="6"/>
            <c:spPr>
              <a:solidFill>
                <a:schemeClr val="tx1"/>
              </a:solidFill>
              <a:ln w="6350">
                <a:solidFill>
                  <a:schemeClr val="tx1"/>
                </a:solidFill>
                <a:round/>
              </a:ln>
              <a:effectLst/>
            </c:spPr>
          </c:marker>
          <c:xVal>
            <c:numRef>
              <c:f>'Grain size distribution'!$J$4:$J$56</c:f>
              <c:numCache>
                <c:formatCode>General</c:formatCode>
                <c:ptCount val="53"/>
                <c:pt idx="0">
                  <c:v>0.32600699999999999</c:v>
                </c:pt>
                <c:pt idx="1">
                  <c:v>0.281667</c:v>
                </c:pt>
                <c:pt idx="2">
                  <c:v>0.24335699999999999</c:v>
                </c:pt>
                <c:pt idx="3">
                  <c:v>0.213701</c:v>
                </c:pt>
                <c:pt idx="4">
                  <c:v>0.18765899999999999</c:v>
                </c:pt>
                <c:pt idx="5">
                  <c:v>0.162135</c:v>
                </c:pt>
                <c:pt idx="6">
                  <c:v>0.14008299999999999</c:v>
                </c:pt>
                <c:pt idx="7">
                  <c:v>0.125026</c:v>
                </c:pt>
                <c:pt idx="8">
                  <c:v>0.10802100000000001</c:v>
                </c:pt>
                <c:pt idx="9">
                  <c:v>9.3332999999999999E-2</c:v>
                </c:pt>
                <c:pt idx="10">
                  <c:v>7.9336000000000004E-2</c:v>
                </c:pt>
                <c:pt idx="11">
                  <c:v>6.1177999999999996E-2</c:v>
                </c:pt>
                <c:pt idx="12">
                  <c:v>5.2857000000000001E-2</c:v>
                </c:pt>
                <c:pt idx="13">
                  <c:v>4.7176000000000003E-2</c:v>
                </c:pt>
                <c:pt idx="14">
                  <c:v>4.0103E-2</c:v>
                </c:pt>
                <c:pt idx="15">
                  <c:v>3.4648000000000005E-2</c:v>
                </c:pt>
                <c:pt idx="16">
                  <c:v>3.0425999999999998E-2</c:v>
                </c:pt>
                <c:pt idx="17">
                  <c:v>2.6287999999999999E-2</c:v>
                </c:pt>
                <c:pt idx="18">
                  <c:v>2.3084E-2</c:v>
                </c:pt>
                <c:pt idx="19">
                  <c:v>1.9945000000000001E-2</c:v>
                </c:pt>
                <c:pt idx="20">
                  <c:v>1.7232000000000001E-2</c:v>
                </c:pt>
                <c:pt idx="21">
                  <c:v>1.5132E-2</c:v>
                </c:pt>
                <c:pt idx="22">
                  <c:v>1.3074000000000001E-2</c:v>
                </c:pt>
                <c:pt idx="23">
                  <c:v>1.1295999999999999E-2</c:v>
                </c:pt>
                <c:pt idx="24">
                  <c:v>1.0246999999999999E-2</c:v>
                </c:pt>
                <c:pt idx="25">
                  <c:v>8.7100000000000007E-3</c:v>
                </c:pt>
                <c:pt idx="26">
                  <c:v>7.5259999999999997E-3</c:v>
                </c:pt>
                <c:pt idx="27">
                  <c:v>6.7168000000000002E-3</c:v>
                </c:pt>
                <c:pt idx="28">
                  <c:v>5.8979999999999996E-3</c:v>
                </c:pt>
                <c:pt idx="29">
                  <c:v>5.0140000000000002E-3</c:v>
                </c:pt>
                <c:pt idx="30">
                  <c:v>4.3319999999999999E-3</c:v>
                </c:pt>
                <c:pt idx="31">
                  <c:v>3.8660000000000001E-3</c:v>
                </c:pt>
                <c:pt idx="32">
                  <c:v>3.3399999999999997E-3</c:v>
                </c:pt>
                <c:pt idx="33">
                  <c:v>2.8860000000000001E-3</c:v>
                </c:pt>
                <c:pt idx="34">
                  <c:v>2.5339999999999998E-3</c:v>
                </c:pt>
                <c:pt idx="35">
                  <c:v>2.1540000000000001E-3</c:v>
                </c:pt>
                <c:pt idx="36">
                  <c:v>1.923E-3</c:v>
                </c:pt>
                <c:pt idx="37">
                  <c:v>1.6609999999999999E-3</c:v>
                </c:pt>
                <c:pt idx="38">
                  <c:v>1.4350000000000001E-3</c:v>
                </c:pt>
                <c:pt idx="39">
                  <c:v>1.2600000000000001E-3</c:v>
                </c:pt>
                <c:pt idx="40">
                  <c:v>1.1249999999999999E-3</c:v>
                </c:pt>
                <c:pt idx="41">
                  <c:v>1.1249999999999999E-3</c:v>
                </c:pt>
                <c:pt idx="42">
                  <c:v>9.5599999999999993E-4</c:v>
                </c:pt>
                <c:pt idx="43">
                  <c:v>8.2599999999999991E-4</c:v>
                </c:pt>
                <c:pt idx="44">
                  <c:v>7.2599999999999997E-4</c:v>
                </c:pt>
                <c:pt idx="45">
                  <c:v>6.2699999999999995E-4</c:v>
                </c:pt>
                <c:pt idx="46">
                  <c:v>5.4200000000000006E-4</c:v>
                </c:pt>
                <c:pt idx="47">
                  <c:v>4.7599999999999997E-4</c:v>
                </c:pt>
                <c:pt idx="48">
                  <c:v>4.1799999999999997E-4</c:v>
                </c:pt>
                <c:pt idx="49">
                  <c:v>3.6600000000000001E-4</c:v>
                </c:pt>
                <c:pt idx="50">
                  <c:v>3.2200000000000002E-4</c:v>
                </c:pt>
                <c:pt idx="51">
                  <c:v>2.7400000000000005E-4</c:v>
                </c:pt>
                <c:pt idx="52">
                  <c:v>2.3699999999999999E-4</c:v>
                </c:pt>
              </c:numCache>
            </c:numRef>
          </c:xVal>
          <c:yVal>
            <c:numRef>
              <c:f>'Grain size distribution'!$K$4:$K$56</c:f>
              <c:numCache>
                <c:formatCode>General</c:formatCode>
                <c:ptCount val="53"/>
                <c:pt idx="0">
                  <c:v>100</c:v>
                </c:pt>
                <c:pt idx="1">
                  <c:v>100</c:v>
                </c:pt>
                <c:pt idx="2">
                  <c:v>100</c:v>
                </c:pt>
                <c:pt idx="3">
                  <c:v>100</c:v>
                </c:pt>
                <c:pt idx="4">
                  <c:v>100</c:v>
                </c:pt>
                <c:pt idx="5">
                  <c:v>100</c:v>
                </c:pt>
                <c:pt idx="6">
                  <c:v>100</c:v>
                </c:pt>
                <c:pt idx="7">
                  <c:v>100</c:v>
                </c:pt>
                <c:pt idx="8">
                  <c:v>100</c:v>
                </c:pt>
                <c:pt idx="9">
                  <c:v>100</c:v>
                </c:pt>
                <c:pt idx="10">
                  <c:v>100</c:v>
                </c:pt>
                <c:pt idx="11">
                  <c:v>100</c:v>
                </c:pt>
                <c:pt idx="12">
                  <c:v>99.298000000000002</c:v>
                </c:pt>
                <c:pt idx="13">
                  <c:v>97.543999999999997</c:v>
                </c:pt>
                <c:pt idx="14">
                  <c:v>94.385999999999996</c:v>
                </c:pt>
                <c:pt idx="15">
                  <c:v>90.525999999999996</c:v>
                </c:pt>
                <c:pt idx="16">
                  <c:v>85.965000000000003</c:v>
                </c:pt>
                <c:pt idx="17">
                  <c:v>80</c:v>
                </c:pt>
                <c:pt idx="18">
                  <c:v>74.385999999999996</c:v>
                </c:pt>
                <c:pt idx="19">
                  <c:v>67.367999999999995</c:v>
                </c:pt>
                <c:pt idx="20">
                  <c:v>61.052999999999997</c:v>
                </c:pt>
                <c:pt idx="21">
                  <c:v>53.683999999999997</c:v>
                </c:pt>
                <c:pt idx="22">
                  <c:v>48.420999999999999</c:v>
                </c:pt>
                <c:pt idx="23">
                  <c:v>42.456000000000003</c:v>
                </c:pt>
                <c:pt idx="24">
                  <c:v>36.14</c:v>
                </c:pt>
                <c:pt idx="25">
                  <c:v>31.579000000000001</c:v>
                </c:pt>
                <c:pt idx="26">
                  <c:v>26.667000000000002</c:v>
                </c:pt>
                <c:pt idx="27">
                  <c:v>22.456</c:v>
                </c:pt>
                <c:pt idx="28">
                  <c:v>19.297999999999998</c:v>
                </c:pt>
                <c:pt idx="29">
                  <c:v>15.798999999999999</c:v>
                </c:pt>
                <c:pt idx="30">
                  <c:v>13.333</c:v>
                </c:pt>
                <c:pt idx="31">
                  <c:v>11.228</c:v>
                </c:pt>
                <c:pt idx="32">
                  <c:v>9.1229999999999993</c:v>
                </c:pt>
                <c:pt idx="33">
                  <c:v>7.0179999999999998</c:v>
                </c:pt>
                <c:pt idx="34">
                  <c:v>4.9130000000000003</c:v>
                </c:pt>
                <c:pt idx="35">
                  <c:v>3.5089999999999999</c:v>
                </c:pt>
                <c:pt idx="36">
                  <c:v>2.8069999999999999</c:v>
                </c:pt>
                <c:pt idx="37">
                  <c:v>1.4039999999999999</c:v>
                </c:pt>
                <c:pt idx="38">
                  <c:v>0.35099999999999998</c:v>
                </c:pt>
                <c:pt idx="39">
                  <c:v>0.35099999999999998</c:v>
                </c:pt>
                <c:pt idx="40">
                  <c:v>0</c:v>
                </c:pt>
                <c:pt idx="41">
                  <c:v>0</c:v>
                </c:pt>
                <c:pt idx="42">
                  <c:v>0</c:v>
                </c:pt>
                <c:pt idx="43">
                  <c:v>0</c:v>
                </c:pt>
                <c:pt idx="44">
                  <c:v>0</c:v>
                </c:pt>
                <c:pt idx="45">
                  <c:v>0</c:v>
                </c:pt>
                <c:pt idx="46">
                  <c:v>0</c:v>
                </c:pt>
                <c:pt idx="47">
                  <c:v>0</c:v>
                </c:pt>
                <c:pt idx="48">
                  <c:v>0</c:v>
                </c:pt>
                <c:pt idx="49">
                  <c:v>0</c:v>
                </c:pt>
                <c:pt idx="50">
                  <c:v>0</c:v>
                </c:pt>
                <c:pt idx="51">
                  <c:v>0</c:v>
                </c:pt>
                <c:pt idx="52">
                  <c:v>0</c:v>
                </c:pt>
              </c:numCache>
            </c:numRef>
          </c:yVal>
          <c:smooth val="1"/>
          <c:extLst>
            <c:ext xmlns:c16="http://schemas.microsoft.com/office/drawing/2014/chart" uri="{C3380CC4-5D6E-409C-BE32-E72D297353CC}">
              <c16:uniqueId val="{00000003-EF0B-4037-9310-1BCBF8763249}"/>
            </c:ext>
          </c:extLst>
        </c:ser>
        <c:ser>
          <c:idx val="4"/>
          <c:order val="4"/>
          <c:tx>
            <c:v>PFA</c:v>
          </c:tx>
          <c:spPr>
            <a:ln w="6350" cap="rnd">
              <a:solidFill>
                <a:schemeClr val="tx1"/>
              </a:solidFill>
              <a:round/>
            </a:ln>
            <a:effectLst/>
          </c:spPr>
          <c:marker>
            <c:symbol val="star"/>
            <c:size val="6"/>
            <c:spPr>
              <a:noFill/>
              <a:ln w="6350">
                <a:solidFill>
                  <a:schemeClr val="tx1"/>
                </a:solidFill>
                <a:round/>
              </a:ln>
              <a:effectLst/>
            </c:spPr>
          </c:marker>
          <c:xVal>
            <c:numRef>
              <c:f>'Grain size distribution'!$L$4:$L$55</c:f>
              <c:numCache>
                <c:formatCode>General</c:formatCode>
                <c:ptCount val="52"/>
                <c:pt idx="0">
                  <c:v>0.95371099999999998</c:v>
                </c:pt>
                <c:pt idx="1">
                  <c:v>0.84048199999999995</c:v>
                </c:pt>
                <c:pt idx="2">
                  <c:v>0.71765800000000002</c:v>
                </c:pt>
                <c:pt idx="3">
                  <c:v>0.62254100000000001</c:v>
                </c:pt>
                <c:pt idx="4">
                  <c:v>0.54862999999999995</c:v>
                </c:pt>
                <c:pt idx="5">
                  <c:v>0.46845600000000004</c:v>
                </c:pt>
                <c:pt idx="6">
                  <c:v>0.426091</c:v>
                </c:pt>
                <c:pt idx="7">
                  <c:v>0.36382400000000004</c:v>
                </c:pt>
                <c:pt idx="8">
                  <c:v>0.320629</c:v>
                </c:pt>
                <c:pt idx="9">
                  <c:v>0.27813399999999999</c:v>
                </c:pt>
                <c:pt idx="10">
                  <c:v>0.24127099999999999</c:v>
                </c:pt>
                <c:pt idx="11">
                  <c:v>0.206013</c:v>
                </c:pt>
                <c:pt idx="12">
                  <c:v>0.18155399999999999</c:v>
                </c:pt>
                <c:pt idx="13">
                  <c:v>8.9177999999999993E-2</c:v>
                </c:pt>
                <c:pt idx="14">
                  <c:v>5.9137999999999996E-2</c:v>
                </c:pt>
                <c:pt idx="15">
                  <c:v>4.5929999999999999E-2</c:v>
                </c:pt>
                <c:pt idx="16">
                  <c:v>3.4561999999999996E-2</c:v>
                </c:pt>
                <c:pt idx="17">
                  <c:v>2.6421E-2</c:v>
                </c:pt>
                <c:pt idx="18">
                  <c:v>1.9882E-2</c:v>
                </c:pt>
                <c:pt idx="19">
                  <c:v>1.7246999999999998E-2</c:v>
                </c:pt>
                <c:pt idx="20">
                  <c:v>1.5441E-2</c:v>
                </c:pt>
                <c:pt idx="21">
                  <c:v>1.3394999999999999E-2</c:v>
                </c:pt>
                <c:pt idx="22">
                  <c:v>1.1436999999999999E-2</c:v>
                </c:pt>
                <c:pt idx="23">
                  <c:v>9.9209999999999993E-3</c:v>
                </c:pt>
                <c:pt idx="24">
                  <c:v>8.7430000000000008E-3</c:v>
                </c:pt>
                <c:pt idx="25">
                  <c:v>7.5849999999999997E-3</c:v>
                </c:pt>
                <c:pt idx="26">
                  <c:v>6.6839999999999998E-3</c:v>
                </c:pt>
                <c:pt idx="27">
                  <c:v>5.7980000000000002E-3</c:v>
                </c:pt>
                <c:pt idx="28">
                  <c:v>4.3630000000000006E-3</c:v>
                </c:pt>
                <c:pt idx="29">
                  <c:v>3.7850000000000002E-3</c:v>
                </c:pt>
                <c:pt idx="30">
                  <c:v>3.3349999999999999E-3</c:v>
                </c:pt>
                <c:pt idx="31">
                  <c:v>2.8929999999999997E-3</c:v>
                </c:pt>
                <c:pt idx="32">
                  <c:v>2.5099999999999996E-3</c:v>
                </c:pt>
                <c:pt idx="33">
                  <c:v>2.1779999999999998E-3</c:v>
                </c:pt>
                <c:pt idx="34">
                  <c:v>1.9190000000000001E-3</c:v>
                </c:pt>
                <c:pt idx="35">
                  <c:v>1.6379999999999999E-3</c:v>
                </c:pt>
                <c:pt idx="36">
                  <c:v>1.444E-3</c:v>
                </c:pt>
                <c:pt idx="37">
                  <c:v>1.2520000000000001E-3</c:v>
                </c:pt>
                <c:pt idx="38">
                  <c:v>1.0860000000000002E-3</c:v>
                </c:pt>
                <c:pt idx="39">
                  <c:v>9.7300000000000002E-4</c:v>
                </c:pt>
                <c:pt idx="40">
                  <c:v>8.1799999999999993E-4</c:v>
                </c:pt>
                <c:pt idx="41">
                  <c:v>7.1999999999999994E-4</c:v>
                </c:pt>
                <c:pt idx="42">
                  <c:v>6.3500000000000004E-4</c:v>
                </c:pt>
                <c:pt idx="43">
                  <c:v>3.6499999999999998E-4</c:v>
                </c:pt>
                <c:pt idx="44">
                  <c:v>2.7900000000000001E-4</c:v>
                </c:pt>
                <c:pt idx="45">
                  <c:v>2.3799999999999998E-4</c:v>
                </c:pt>
                <c:pt idx="46">
                  <c:v>2.0999999999999998E-4</c:v>
                </c:pt>
                <c:pt idx="47">
                  <c:v>1.7899999999999999E-4</c:v>
                </c:pt>
                <c:pt idx="48">
                  <c:v>1.5559999999999999E-4</c:v>
                </c:pt>
                <c:pt idx="49">
                  <c:v>1.4199999999999998E-4</c:v>
                </c:pt>
                <c:pt idx="50">
                  <c:v>1.21E-4</c:v>
                </c:pt>
                <c:pt idx="51">
                  <c:v>1.0499999999999999E-4</c:v>
                </c:pt>
              </c:numCache>
            </c:numRef>
          </c:xVal>
          <c:yVal>
            <c:numRef>
              <c:f>'Grain size distribution'!$M$4:$M$55</c:f>
              <c:numCache>
                <c:formatCode>General</c:formatCode>
                <c:ptCount val="5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98.591999999999999</c:v>
                </c:pt>
                <c:pt idx="16">
                  <c:v>97.183000000000007</c:v>
                </c:pt>
                <c:pt idx="17">
                  <c:v>93.897000000000006</c:v>
                </c:pt>
                <c:pt idx="18">
                  <c:v>88.966999999999999</c:v>
                </c:pt>
                <c:pt idx="19">
                  <c:v>85.445999999999998</c:v>
                </c:pt>
                <c:pt idx="20">
                  <c:v>81.221000000000004</c:v>
                </c:pt>
                <c:pt idx="21">
                  <c:v>76.290999999999997</c:v>
                </c:pt>
                <c:pt idx="22">
                  <c:v>70.891999999999996</c:v>
                </c:pt>
                <c:pt idx="23">
                  <c:v>65.727999999999994</c:v>
                </c:pt>
                <c:pt idx="24">
                  <c:v>60.909399999999998</c:v>
                </c:pt>
                <c:pt idx="25">
                  <c:v>54.695</c:v>
                </c:pt>
                <c:pt idx="26">
                  <c:v>49.530999999999999</c:v>
                </c:pt>
                <c:pt idx="27">
                  <c:v>45.07</c:v>
                </c:pt>
                <c:pt idx="28">
                  <c:v>36.854999999999997</c:v>
                </c:pt>
                <c:pt idx="29">
                  <c:v>33.332999999999998</c:v>
                </c:pt>
                <c:pt idx="30">
                  <c:v>30.282</c:v>
                </c:pt>
                <c:pt idx="31">
                  <c:v>27.465</c:v>
                </c:pt>
                <c:pt idx="32">
                  <c:v>25.117000000000001</c:v>
                </c:pt>
                <c:pt idx="33">
                  <c:v>22.535</c:v>
                </c:pt>
                <c:pt idx="34">
                  <c:v>20.422999999999998</c:v>
                </c:pt>
                <c:pt idx="35">
                  <c:v>18.309999999999999</c:v>
                </c:pt>
                <c:pt idx="36">
                  <c:v>16.667000000000002</c:v>
                </c:pt>
                <c:pt idx="37">
                  <c:v>15.023</c:v>
                </c:pt>
                <c:pt idx="38">
                  <c:v>13.38</c:v>
                </c:pt>
                <c:pt idx="39">
                  <c:v>12.207000000000001</c:v>
                </c:pt>
                <c:pt idx="40">
                  <c:v>10.798</c:v>
                </c:pt>
                <c:pt idx="41">
                  <c:v>9.6240000000000006</c:v>
                </c:pt>
                <c:pt idx="42">
                  <c:v>8.4510000000000005</c:v>
                </c:pt>
                <c:pt idx="43">
                  <c:v>4.2249999999999996</c:v>
                </c:pt>
                <c:pt idx="44">
                  <c:v>2.5819999999999999</c:v>
                </c:pt>
                <c:pt idx="45">
                  <c:v>2.113</c:v>
                </c:pt>
                <c:pt idx="46">
                  <c:v>1.8779999999999999</c:v>
                </c:pt>
                <c:pt idx="47">
                  <c:v>1.8779999999999999</c:v>
                </c:pt>
                <c:pt idx="48">
                  <c:v>1.8779999999999999</c:v>
                </c:pt>
                <c:pt idx="49">
                  <c:v>1.8779999999999999</c:v>
                </c:pt>
                <c:pt idx="50">
                  <c:v>1.8779999999999999</c:v>
                </c:pt>
                <c:pt idx="51">
                  <c:v>1.8779999999999999</c:v>
                </c:pt>
              </c:numCache>
            </c:numRef>
          </c:yVal>
          <c:smooth val="1"/>
          <c:extLst>
            <c:ext xmlns:c16="http://schemas.microsoft.com/office/drawing/2014/chart" uri="{C3380CC4-5D6E-409C-BE32-E72D297353CC}">
              <c16:uniqueId val="{00000004-EF0B-4037-9310-1BCBF8763249}"/>
            </c:ext>
          </c:extLst>
        </c:ser>
        <c:ser>
          <c:idx val="5"/>
          <c:order val="5"/>
          <c:tx>
            <c:v>RoadCem</c:v>
          </c:tx>
          <c:spPr>
            <a:ln w="6350" cap="rnd">
              <a:solidFill>
                <a:schemeClr val="tx1"/>
              </a:solidFill>
              <a:round/>
            </a:ln>
            <a:effectLst/>
          </c:spPr>
          <c:marker>
            <c:symbol val="circle"/>
            <c:size val="6"/>
            <c:spPr>
              <a:noFill/>
              <a:ln w="6350">
                <a:solidFill>
                  <a:schemeClr val="tx1"/>
                </a:solidFill>
                <a:round/>
              </a:ln>
              <a:effectLst/>
            </c:spPr>
          </c:marker>
          <c:xVal>
            <c:numRef>
              <c:f>'Grain size distribution'!$N$4:$N$36</c:f>
              <c:numCache>
                <c:formatCode>General</c:formatCode>
                <c:ptCount val="33"/>
                <c:pt idx="0">
                  <c:v>10</c:v>
                </c:pt>
                <c:pt idx="1">
                  <c:v>8.4420000000000002</c:v>
                </c:pt>
                <c:pt idx="2">
                  <c:v>7.3156600000000003</c:v>
                </c:pt>
                <c:pt idx="3">
                  <c:v>6.6782199999999996</c:v>
                </c:pt>
                <c:pt idx="4">
                  <c:v>6.17624</c:v>
                </c:pt>
                <c:pt idx="5">
                  <c:v>5.7119900000000001</c:v>
                </c:pt>
                <c:pt idx="6">
                  <c:v>5.2826399999999998</c:v>
                </c:pt>
                <c:pt idx="7">
                  <c:v>5.0144799999999998</c:v>
                </c:pt>
                <c:pt idx="8">
                  <c:v>4.1787000000000001</c:v>
                </c:pt>
                <c:pt idx="9">
                  <c:v>3.4371499999999999</c:v>
                </c:pt>
                <c:pt idx="10">
                  <c:v>2.9783900000000001</c:v>
                </c:pt>
                <c:pt idx="11">
                  <c:v>2.5474700000000001</c:v>
                </c:pt>
                <c:pt idx="12">
                  <c:v>2.3559800000000002</c:v>
                </c:pt>
                <c:pt idx="13">
                  <c:v>1.91282</c:v>
                </c:pt>
                <c:pt idx="14">
                  <c:v>1.5940000000000001</c:v>
                </c:pt>
                <c:pt idx="15">
                  <c:v>1.3111299999999999</c:v>
                </c:pt>
                <c:pt idx="16">
                  <c:v>1.07846</c:v>
                </c:pt>
                <c:pt idx="17">
                  <c:v>0.95918099999999995</c:v>
                </c:pt>
                <c:pt idx="18">
                  <c:v>0.75873599999999997</c:v>
                </c:pt>
                <c:pt idx="19">
                  <c:v>0.69262400000000002</c:v>
                </c:pt>
                <c:pt idx="20">
                  <c:v>0.62409199999999998</c:v>
                </c:pt>
                <c:pt idx="21">
                  <c:v>0.57718100000000006</c:v>
                </c:pt>
                <c:pt idx="22">
                  <c:v>0.540794</c:v>
                </c:pt>
                <c:pt idx="23">
                  <c:v>0.493672</c:v>
                </c:pt>
                <c:pt idx="24">
                  <c:v>0.456565</c:v>
                </c:pt>
                <c:pt idx="25">
                  <c:v>0.39562599999999998</c:v>
                </c:pt>
                <c:pt idx="26">
                  <c:v>0.34282099999999999</c:v>
                </c:pt>
                <c:pt idx="27">
                  <c:v>0.27833599999999997</c:v>
                </c:pt>
                <c:pt idx="28">
                  <c:v>0.21451000000000001</c:v>
                </c:pt>
                <c:pt idx="29">
                  <c:v>0.14513300000000001</c:v>
                </c:pt>
                <c:pt idx="30">
                  <c:v>0.102106</c:v>
                </c:pt>
                <c:pt idx="31">
                  <c:v>8.3986199999999997E-2</c:v>
                </c:pt>
                <c:pt idx="32">
                  <c:v>5.8322600000000002E-2</c:v>
                </c:pt>
              </c:numCache>
            </c:numRef>
          </c:xVal>
          <c:yVal>
            <c:numRef>
              <c:f>'Grain size distribution'!$O$4:$O$36</c:f>
              <c:numCache>
                <c:formatCode>General</c:formatCode>
                <c:ptCount val="33"/>
                <c:pt idx="0">
                  <c:v>100</c:v>
                </c:pt>
                <c:pt idx="1">
                  <c:v>99.762500000000003</c:v>
                </c:pt>
                <c:pt idx="2">
                  <c:v>99.762500000000003</c:v>
                </c:pt>
                <c:pt idx="3">
                  <c:v>99.524900000000002</c:v>
                </c:pt>
                <c:pt idx="4">
                  <c:v>98.812399999999997</c:v>
                </c:pt>
                <c:pt idx="5">
                  <c:v>97.387199999999993</c:v>
                </c:pt>
                <c:pt idx="6">
                  <c:v>95.724500000000006</c:v>
                </c:pt>
                <c:pt idx="7">
                  <c:v>94.061799999999991</c:v>
                </c:pt>
                <c:pt idx="8">
                  <c:v>89.786200000000008</c:v>
                </c:pt>
                <c:pt idx="9">
                  <c:v>85.5107</c:v>
                </c:pt>
                <c:pt idx="10">
                  <c:v>82.422799999999995</c:v>
                </c:pt>
                <c:pt idx="11">
                  <c:v>78.85990000000001</c:v>
                </c:pt>
                <c:pt idx="12">
                  <c:v>76.959599999999995</c:v>
                </c:pt>
                <c:pt idx="13">
                  <c:v>71.971500000000006</c:v>
                </c:pt>
                <c:pt idx="14">
                  <c:v>67.933500000000009</c:v>
                </c:pt>
                <c:pt idx="15">
                  <c:v>62.945399999999992</c:v>
                </c:pt>
                <c:pt idx="16">
                  <c:v>57.482200000000006</c:v>
                </c:pt>
                <c:pt idx="17">
                  <c:v>55.106900000000003</c:v>
                </c:pt>
                <c:pt idx="18">
                  <c:v>50.356299999999997</c:v>
                </c:pt>
                <c:pt idx="19">
                  <c:v>46.793300000000002</c:v>
                </c:pt>
                <c:pt idx="20">
                  <c:v>43.942999999999998</c:v>
                </c:pt>
                <c:pt idx="21">
                  <c:v>41.092600000000004</c:v>
                </c:pt>
                <c:pt idx="22">
                  <c:v>38.954899999999995</c:v>
                </c:pt>
                <c:pt idx="23">
                  <c:v>34.204299999999996</c:v>
                </c:pt>
                <c:pt idx="24">
                  <c:v>30.403799999999997</c:v>
                </c:pt>
                <c:pt idx="25">
                  <c:v>24.227999999999998</c:v>
                </c:pt>
                <c:pt idx="26">
                  <c:v>18.5273</c:v>
                </c:pt>
                <c:pt idx="27">
                  <c:v>11.8765</c:v>
                </c:pt>
                <c:pt idx="28">
                  <c:v>6.17577</c:v>
                </c:pt>
                <c:pt idx="29">
                  <c:v>1.6627099999999999</c:v>
                </c:pt>
                <c:pt idx="30">
                  <c:v>0.47505900000000001</c:v>
                </c:pt>
                <c:pt idx="31">
                  <c:v>0.23752999999999999</c:v>
                </c:pt>
                <c:pt idx="32">
                  <c:v>0.23752999999999999</c:v>
                </c:pt>
              </c:numCache>
            </c:numRef>
          </c:yVal>
          <c:smooth val="1"/>
          <c:extLst>
            <c:ext xmlns:c16="http://schemas.microsoft.com/office/drawing/2014/chart" uri="{C3380CC4-5D6E-409C-BE32-E72D297353CC}">
              <c16:uniqueId val="{00000005-EF0B-4037-9310-1BCBF8763249}"/>
            </c:ext>
          </c:extLst>
        </c:ser>
        <c:dLbls>
          <c:showLegendKey val="0"/>
          <c:showVal val="0"/>
          <c:showCatName val="0"/>
          <c:showSerName val="0"/>
          <c:showPercent val="0"/>
          <c:showBubbleSize val="0"/>
        </c:dLbls>
        <c:axId val="707015272"/>
        <c:axId val="707020848"/>
      </c:scatterChart>
      <c:valAx>
        <c:axId val="707015272"/>
        <c:scaling>
          <c:logBase val="10"/>
          <c:orientation val="minMax"/>
          <c:max val="10"/>
          <c:min val="1.0000000000000003E-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a:solidFill>
                      <a:sysClr val="windowText" lastClr="000000"/>
                    </a:solidFill>
                  </a:rPr>
                  <a:t>Grain size (mm)</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07020848"/>
        <c:crossesAt val="0"/>
        <c:crossBetween val="midCat"/>
      </c:valAx>
      <c:valAx>
        <c:axId val="70702084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a:solidFill>
                      <a:sysClr val="windowText" lastClr="000000"/>
                    </a:solidFill>
                  </a:rPr>
                  <a:t>Percent passing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015272"/>
        <c:crossesAt val="1.0000000000000003E-4"/>
        <c:crossBetween val="midCat"/>
        <c:majorUnit val="20"/>
      </c:valAx>
      <c:spPr>
        <a:solidFill>
          <a:schemeClr val="lt1"/>
        </a:solidFill>
        <a:ln w="12700" cap="flat" cmpd="sng" algn="ctr">
          <a:solidFill>
            <a:schemeClr val="dk1"/>
          </a:solidFill>
          <a:prstDash val="solid"/>
          <a:miter lim="800000"/>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84713274477053"/>
          <c:y val="3.6761927601689386E-2"/>
          <c:w val="0.75365026470667273"/>
          <c:h val="0.83438133685066007"/>
        </c:manualLayout>
      </c:layout>
      <c:scatterChart>
        <c:scatterStyle val="smoothMarker"/>
        <c:varyColors val="0"/>
        <c:ser>
          <c:idx val="0"/>
          <c:order val="0"/>
          <c:tx>
            <c:v>8%Cem</c:v>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Sheet3!$A$5:$A$17</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Sheet3!$B$5:$B$17</c:f>
              <c:numCache>
                <c:formatCode>General</c:formatCode>
                <c:ptCount val="13"/>
                <c:pt idx="0">
                  <c:v>2.0821840299879765E-2</c:v>
                </c:pt>
                <c:pt idx="1">
                  <c:v>0.105160195204752</c:v>
                </c:pt>
                <c:pt idx="2">
                  <c:v>0.19851050286441799</c:v>
                </c:pt>
                <c:pt idx="3">
                  <c:v>0.36796803168540898</c:v>
                </c:pt>
                <c:pt idx="4">
                  <c:v>0.57890232689723498</c:v>
                </c:pt>
                <c:pt idx="5">
                  <c:v>0.84638234670061496</c:v>
                </c:pt>
                <c:pt idx="6">
                  <c:v>1.107</c:v>
                </c:pt>
                <c:pt idx="7">
                  <c:v>1.1071787255109979</c:v>
                </c:pt>
                <c:pt idx="8">
                  <c:v>0.89072777424149996</c:v>
                </c:pt>
                <c:pt idx="9">
                  <c:v>0.72777424145979996</c:v>
                </c:pt>
                <c:pt idx="10">
                  <c:v>0.61099999999999999</c:v>
                </c:pt>
                <c:pt idx="11">
                  <c:v>0.56000000000000005</c:v>
                </c:pt>
                <c:pt idx="12">
                  <c:v>0.55000000000000004</c:v>
                </c:pt>
              </c:numCache>
            </c:numRef>
          </c:yVal>
          <c:smooth val="1"/>
          <c:extLst>
            <c:ext xmlns:c16="http://schemas.microsoft.com/office/drawing/2014/chart" uri="{C3380CC4-5D6E-409C-BE32-E72D297353CC}">
              <c16:uniqueId val="{00000000-A348-4D97-888E-73670DE9C98B}"/>
            </c:ext>
          </c:extLst>
        </c:ser>
        <c:ser>
          <c:idx val="1"/>
          <c:order val="1"/>
          <c:tx>
            <c:v>2%Cem+6%GGBS</c:v>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Sheet3!$O$5:$O$20</c:f>
              <c:numCache>
                <c:formatCode>General</c:formatCode>
                <c:ptCount val="1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Sheet3!$P$5:$P$20</c:f>
              <c:numCache>
                <c:formatCode>General</c:formatCode>
                <c:ptCount val="16"/>
                <c:pt idx="0">
                  <c:v>0</c:v>
                </c:pt>
                <c:pt idx="1">
                  <c:v>0.16</c:v>
                </c:pt>
                <c:pt idx="2">
                  <c:v>0.3023693330504279</c:v>
                </c:pt>
                <c:pt idx="3">
                  <c:v>0.44</c:v>
                </c:pt>
                <c:pt idx="4">
                  <c:v>0.6</c:v>
                </c:pt>
                <c:pt idx="5">
                  <c:v>0.74</c:v>
                </c:pt>
                <c:pt idx="6">
                  <c:v>0.85</c:v>
                </c:pt>
                <c:pt idx="7">
                  <c:v>0.9</c:v>
                </c:pt>
                <c:pt idx="8">
                  <c:v>0.76769219888252349</c:v>
                </c:pt>
                <c:pt idx="9">
                  <c:v>0.64095056227455971</c:v>
                </c:pt>
                <c:pt idx="10">
                  <c:v>0.61</c:v>
                </c:pt>
                <c:pt idx="11">
                  <c:v>0.6</c:v>
                </c:pt>
                <c:pt idx="12">
                  <c:v>0.57999999999999996</c:v>
                </c:pt>
              </c:numCache>
            </c:numRef>
          </c:yVal>
          <c:smooth val="1"/>
          <c:extLst>
            <c:ext xmlns:c16="http://schemas.microsoft.com/office/drawing/2014/chart" uri="{C3380CC4-5D6E-409C-BE32-E72D297353CC}">
              <c16:uniqueId val="{00000001-A348-4D97-888E-73670DE9C98B}"/>
            </c:ext>
          </c:extLst>
        </c:ser>
        <c:ser>
          <c:idx val="2"/>
          <c:order val="2"/>
          <c:tx>
            <c:v>2%Cem+5%GGBS+1%RC</c:v>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Sheet3!$Q$5:$Q$20</c:f>
              <c:numCache>
                <c:formatCode>General</c:formatCode>
                <c:ptCount val="1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Sheet3!$R$5:$R$20</c:f>
              <c:numCache>
                <c:formatCode>General</c:formatCode>
                <c:ptCount val="16"/>
                <c:pt idx="0">
                  <c:v>0</c:v>
                </c:pt>
                <c:pt idx="1">
                  <c:v>0.2</c:v>
                </c:pt>
                <c:pt idx="2">
                  <c:v>0.4</c:v>
                </c:pt>
                <c:pt idx="3">
                  <c:v>0.55000000000000004</c:v>
                </c:pt>
                <c:pt idx="4">
                  <c:v>0.7</c:v>
                </c:pt>
                <c:pt idx="5">
                  <c:v>0.9</c:v>
                </c:pt>
                <c:pt idx="6">
                  <c:v>1.2</c:v>
                </c:pt>
                <c:pt idx="7">
                  <c:v>1.2</c:v>
                </c:pt>
                <c:pt idx="8">
                  <c:v>1</c:v>
                </c:pt>
                <c:pt idx="9">
                  <c:v>0.8</c:v>
                </c:pt>
                <c:pt idx="10">
                  <c:v>0.75</c:v>
                </c:pt>
                <c:pt idx="11">
                  <c:v>0.7</c:v>
                </c:pt>
                <c:pt idx="12">
                  <c:v>0.7</c:v>
                </c:pt>
              </c:numCache>
            </c:numRef>
          </c:yVal>
          <c:smooth val="1"/>
          <c:extLst>
            <c:ext xmlns:c16="http://schemas.microsoft.com/office/drawing/2014/chart" uri="{C3380CC4-5D6E-409C-BE32-E72D297353CC}">
              <c16:uniqueId val="{00000002-A348-4D97-888E-73670DE9C98B}"/>
            </c:ext>
          </c:extLst>
        </c:ser>
        <c:ser>
          <c:idx val="3"/>
          <c:order val="3"/>
          <c:tx>
            <c:v>2%Cem+5%PFA+1%RC</c:v>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Sheet3!$S$5:$S$20</c:f>
              <c:numCache>
                <c:formatCode>General</c:formatCode>
                <c:ptCount val="1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Sheet3!$T$5:$T$20</c:f>
              <c:numCache>
                <c:formatCode>General</c:formatCode>
                <c:ptCount val="16"/>
                <c:pt idx="0">
                  <c:v>0</c:v>
                </c:pt>
                <c:pt idx="1">
                  <c:v>1.4999999999999999E-2</c:v>
                </c:pt>
                <c:pt idx="2">
                  <c:v>0.13</c:v>
                </c:pt>
                <c:pt idx="3">
                  <c:v>0.2</c:v>
                </c:pt>
                <c:pt idx="4">
                  <c:v>0.3</c:v>
                </c:pt>
                <c:pt idx="5">
                  <c:v>0.4</c:v>
                </c:pt>
                <c:pt idx="6">
                  <c:v>0.5</c:v>
                </c:pt>
                <c:pt idx="7">
                  <c:v>0.56000000000000005</c:v>
                </c:pt>
                <c:pt idx="8">
                  <c:v>0.5</c:v>
                </c:pt>
                <c:pt idx="9">
                  <c:v>0.4</c:v>
                </c:pt>
                <c:pt idx="10">
                  <c:v>0.35</c:v>
                </c:pt>
                <c:pt idx="11">
                  <c:v>0.35</c:v>
                </c:pt>
                <c:pt idx="12">
                  <c:v>0.35</c:v>
                </c:pt>
              </c:numCache>
            </c:numRef>
          </c:yVal>
          <c:smooth val="1"/>
          <c:extLst>
            <c:ext xmlns:c16="http://schemas.microsoft.com/office/drawing/2014/chart" uri="{C3380CC4-5D6E-409C-BE32-E72D297353CC}">
              <c16:uniqueId val="{00000003-A348-4D97-888E-73670DE9C98B}"/>
            </c:ext>
          </c:extLst>
        </c:ser>
        <c:dLbls>
          <c:showLegendKey val="0"/>
          <c:showVal val="0"/>
          <c:showCatName val="0"/>
          <c:showSerName val="0"/>
          <c:showPercent val="0"/>
          <c:showBubbleSize val="0"/>
        </c:dLbls>
        <c:axId val="576781616"/>
        <c:axId val="576775712"/>
      </c:scatterChart>
      <c:valAx>
        <c:axId val="576781616"/>
        <c:scaling>
          <c:orientation val="minMax"/>
          <c:max val="3"/>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t>Axial</a:t>
                </a:r>
                <a:r>
                  <a:rPr lang="en-GB" sz="1200" cap="none" baseline="0"/>
                  <a:t> strain (%)</a:t>
                </a:r>
                <a:endParaRPr lang="en-GB" sz="1200" cap="none"/>
              </a:p>
            </c:rich>
          </c:tx>
          <c:layout>
            <c:manualLayout>
              <c:xMode val="edge"/>
              <c:yMode val="edge"/>
              <c:x val="0.42173029184360089"/>
              <c:y val="0.9397196797100869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76775712"/>
        <c:crosses val="autoZero"/>
        <c:crossBetween val="midCat"/>
        <c:majorUnit val="0.5"/>
      </c:valAx>
      <c:valAx>
        <c:axId val="576775712"/>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baseline="0"/>
                  <a:t>Deviator stress </a:t>
                </a:r>
                <a:r>
                  <a:rPr lang="en-GB" baseline="0"/>
                  <a:t>(</a:t>
                </a:r>
                <a:r>
                  <a:rPr lang="en-GB" cap="none" baseline="0"/>
                  <a:t>MPa</a:t>
                </a:r>
                <a:r>
                  <a:rPr lang="en-GB" baseline="0"/>
                  <a:t>)</a:t>
                </a:r>
                <a:endParaRPr lang="en-GB"/>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6781616"/>
        <c:crosses val="autoZero"/>
        <c:crossBetween val="midCat"/>
        <c:majorUnit val="0.2"/>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0666397928927828"/>
          <c:y val="0.10086537428435481"/>
          <c:w val="0.54719235364396657"/>
          <c:h val="0.171714325183036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28608074476129"/>
          <c:y val="2.2327845382963493E-2"/>
          <c:w val="0.76057895675661902"/>
          <c:h val="0.84966541198690537"/>
        </c:manualLayout>
      </c:layout>
      <c:scatterChart>
        <c:scatterStyle val="smoothMarker"/>
        <c:varyColors val="0"/>
        <c:ser>
          <c:idx val="0"/>
          <c:order val="0"/>
          <c:tx>
            <c:strRef>
              <c:f>Sheet5!$C$4</c:f>
              <c:strCache>
                <c:ptCount val="1"/>
                <c:pt idx="0">
                  <c:v>8%Cem</c:v>
                </c:pt>
              </c:strCache>
            </c:strRef>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Sheet5!$B$6:$B$18</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Sheet5!$C$6:$C$18</c:f>
              <c:numCache>
                <c:formatCode>General</c:formatCode>
                <c:ptCount val="13"/>
                <c:pt idx="0">
                  <c:v>0</c:v>
                </c:pt>
                <c:pt idx="1">
                  <c:v>0.3</c:v>
                </c:pt>
                <c:pt idx="2">
                  <c:v>0.55000000000000004</c:v>
                </c:pt>
                <c:pt idx="3">
                  <c:v>0.8</c:v>
                </c:pt>
                <c:pt idx="4">
                  <c:v>1</c:v>
                </c:pt>
                <c:pt idx="5">
                  <c:v>1.4</c:v>
                </c:pt>
                <c:pt idx="6">
                  <c:v>1.62</c:v>
                </c:pt>
                <c:pt idx="7">
                  <c:v>1.2</c:v>
                </c:pt>
                <c:pt idx="8">
                  <c:v>0.89072777424149996</c:v>
                </c:pt>
                <c:pt idx="9">
                  <c:v>0.72777424145979996</c:v>
                </c:pt>
                <c:pt idx="10">
                  <c:v>0.61099999999999999</c:v>
                </c:pt>
                <c:pt idx="11">
                  <c:v>0.56000000000000005</c:v>
                </c:pt>
                <c:pt idx="12">
                  <c:v>0.55000000000000004</c:v>
                </c:pt>
              </c:numCache>
            </c:numRef>
          </c:yVal>
          <c:smooth val="1"/>
          <c:extLst>
            <c:ext xmlns:c16="http://schemas.microsoft.com/office/drawing/2014/chart" uri="{C3380CC4-5D6E-409C-BE32-E72D297353CC}">
              <c16:uniqueId val="{00000000-18E3-4B87-B5DC-F078B75098AF}"/>
            </c:ext>
          </c:extLst>
        </c:ser>
        <c:ser>
          <c:idx val="1"/>
          <c:order val="1"/>
          <c:tx>
            <c:strRef>
              <c:f>Sheet5!$E$4</c:f>
              <c:strCache>
                <c:ptCount val="1"/>
                <c:pt idx="0">
                  <c:v>4%Cem+4%GGBS</c:v>
                </c:pt>
              </c:strCache>
            </c:strRef>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Sheet5!$D$7:$D$18</c:f>
              <c:numCache>
                <c:formatCode>General</c:formatCode>
                <c:ptCount val="12"/>
                <c:pt idx="0">
                  <c:v>0</c:v>
                </c:pt>
                <c:pt idx="1">
                  <c:v>0.2</c:v>
                </c:pt>
                <c:pt idx="2">
                  <c:v>0.4</c:v>
                </c:pt>
                <c:pt idx="3">
                  <c:v>0.6</c:v>
                </c:pt>
                <c:pt idx="4">
                  <c:v>0.8</c:v>
                </c:pt>
                <c:pt idx="5">
                  <c:v>1</c:v>
                </c:pt>
                <c:pt idx="6">
                  <c:v>1.2</c:v>
                </c:pt>
                <c:pt idx="7">
                  <c:v>1.4</c:v>
                </c:pt>
                <c:pt idx="8">
                  <c:v>1.6</c:v>
                </c:pt>
                <c:pt idx="9">
                  <c:v>1.8</c:v>
                </c:pt>
                <c:pt idx="10">
                  <c:v>2</c:v>
                </c:pt>
                <c:pt idx="11">
                  <c:v>2.2000000000000002</c:v>
                </c:pt>
              </c:numCache>
            </c:numRef>
          </c:xVal>
          <c:yVal>
            <c:numRef>
              <c:f>Sheet5!$E$7:$E$18</c:f>
              <c:numCache>
                <c:formatCode>General</c:formatCode>
                <c:ptCount val="12"/>
                <c:pt idx="0">
                  <c:v>0</c:v>
                </c:pt>
                <c:pt idx="1">
                  <c:v>0.18</c:v>
                </c:pt>
                <c:pt idx="2">
                  <c:v>0.35</c:v>
                </c:pt>
                <c:pt idx="3">
                  <c:v>0.5</c:v>
                </c:pt>
                <c:pt idx="4">
                  <c:v>0.67848504137492105</c:v>
                </c:pt>
                <c:pt idx="5">
                  <c:v>0.90801329655562635</c:v>
                </c:pt>
                <c:pt idx="6">
                  <c:v>1.2</c:v>
                </c:pt>
                <c:pt idx="7">
                  <c:v>1.4</c:v>
                </c:pt>
                <c:pt idx="8">
                  <c:v>1.2</c:v>
                </c:pt>
                <c:pt idx="9">
                  <c:v>0.8</c:v>
                </c:pt>
                <c:pt idx="10">
                  <c:v>0.6</c:v>
                </c:pt>
                <c:pt idx="11">
                  <c:v>0.6</c:v>
                </c:pt>
              </c:numCache>
            </c:numRef>
          </c:yVal>
          <c:smooth val="1"/>
          <c:extLst>
            <c:ext xmlns:c16="http://schemas.microsoft.com/office/drawing/2014/chart" uri="{C3380CC4-5D6E-409C-BE32-E72D297353CC}">
              <c16:uniqueId val="{00000001-18E3-4B87-B5DC-F078B75098AF}"/>
            </c:ext>
          </c:extLst>
        </c:ser>
        <c:ser>
          <c:idx val="2"/>
          <c:order val="2"/>
          <c:tx>
            <c:strRef>
              <c:f>Sheet5!$F$4:$G$4</c:f>
              <c:strCache>
                <c:ptCount val="1"/>
                <c:pt idx="0">
                  <c:v>4%Cem+3%GGBS+1%RC</c:v>
                </c:pt>
              </c:strCache>
            </c:strRef>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Sheet5!$F$7:$F$17</c:f>
              <c:numCache>
                <c:formatCode>General</c:formatCode>
                <c:ptCount val="11"/>
                <c:pt idx="0">
                  <c:v>0</c:v>
                </c:pt>
                <c:pt idx="1">
                  <c:v>0.2</c:v>
                </c:pt>
                <c:pt idx="2">
                  <c:v>0.4</c:v>
                </c:pt>
                <c:pt idx="3">
                  <c:v>0.6</c:v>
                </c:pt>
                <c:pt idx="4">
                  <c:v>0.8</c:v>
                </c:pt>
                <c:pt idx="5">
                  <c:v>1</c:v>
                </c:pt>
                <c:pt idx="6">
                  <c:v>1.2</c:v>
                </c:pt>
                <c:pt idx="7">
                  <c:v>1.4</c:v>
                </c:pt>
                <c:pt idx="8">
                  <c:v>1.6</c:v>
                </c:pt>
                <c:pt idx="9">
                  <c:v>1.8</c:v>
                </c:pt>
                <c:pt idx="10">
                  <c:v>2</c:v>
                </c:pt>
              </c:numCache>
            </c:numRef>
          </c:xVal>
          <c:yVal>
            <c:numRef>
              <c:f>Sheet5!$G$7:$G$17</c:f>
              <c:numCache>
                <c:formatCode>General</c:formatCode>
                <c:ptCount val="11"/>
                <c:pt idx="0">
                  <c:v>9.0529740434259858E-4</c:v>
                </c:pt>
                <c:pt idx="1">
                  <c:v>0.18</c:v>
                </c:pt>
                <c:pt idx="2">
                  <c:v>0.4</c:v>
                </c:pt>
                <c:pt idx="3">
                  <c:v>0.57999999999999996</c:v>
                </c:pt>
                <c:pt idx="4">
                  <c:v>0.8</c:v>
                </c:pt>
                <c:pt idx="5">
                  <c:v>1</c:v>
                </c:pt>
                <c:pt idx="6">
                  <c:v>1.48</c:v>
                </c:pt>
                <c:pt idx="7">
                  <c:v>1.3</c:v>
                </c:pt>
                <c:pt idx="8">
                  <c:v>1</c:v>
                </c:pt>
                <c:pt idx="9">
                  <c:v>0.7</c:v>
                </c:pt>
                <c:pt idx="10">
                  <c:v>0.6</c:v>
                </c:pt>
              </c:numCache>
            </c:numRef>
          </c:yVal>
          <c:smooth val="1"/>
          <c:extLst>
            <c:ext xmlns:c16="http://schemas.microsoft.com/office/drawing/2014/chart" uri="{C3380CC4-5D6E-409C-BE32-E72D297353CC}">
              <c16:uniqueId val="{00000002-18E3-4B87-B5DC-F078B75098AF}"/>
            </c:ext>
          </c:extLst>
        </c:ser>
        <c:ser>
          <c:idx val="3"/>
          <c:order val="3"/>
          <c:tx>
            <c:strRef>
              <c:f>Sheet5!$H$4:$I$4</c:f>
              <c:strCache>
                <c:ptCount val="1"/>
                <c:pt idx="0">
                  <c:v>4%Cem+3%PFA+1%RC</c:v>
                </c:pt>
              </c:strCache>
            </c:strRef>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Sheet5!$H$7:$H$18</c:f>
              <c:numCache>
                <c:formatCode>General</c:formatCode>
                <c:ptCount val="12"/>
                <c:pt idx="0">
                  <c:v>0</c:v>
                </c:pt>
                <c:pt idx="1">
                  <c:v>0.2</c:v>
                </c:pt>
                <c:pt idx="2">
                  <c:v>0.4</c:v>
                </c:pt>
                <c:pt idx="3">
                  <c:v>0.6</c:v>
                </c:pt>
                <c:pt idx="4">
                  <c:v>0.8</c:v>
                </c:pt>
                <c:pt idx="5">
                  <c:v>1</c:v>
                </c:pt>
                <c:pt idx="6">
                  <c:v>1.2</c:v>
                </c:pt>
                <c:pt idx="7">
                  <c:v>1.4</c:v>
                </c:pt>
                <c:pt idx="8">
                  <c:v>1.6</c:v>
                </c:pt>
                <c:pt idx="9">
                  <c:v>1.8</c:v>
                </c:pt>
                <c:pt idx="10">
                  <c:v>2</c:v>
                </c:pt>
                <c:pt idx="11">
                  <c:v>2.2000000000000002</c:v>
                </c:pt>
              </c:numCache>
            </c:numRef>
          </c:xVal>
          <c:yVal>
            <c:numRef>
              <c:f>Sheet5!$I$6:$I$18</c:f>
              <c:numCache>
                <c:formatCode>General</c:formatCode>
                <c:ptCount val="13"/>
                <c:pt idx="0">
                  <c:v>0</c:v>
                </c:pt>
                <c:pt idx="1">
                  <c:v>0.08</c:v>
                </c:pt>
                <c:pt idx="2">
                  <c:v>0.25</c:v>
                </c:pt>
                <c:pt idx="3">
                  <c:v>0.36</c:v>
                </c:pt>
                <c:pt idx="4">
                  <c:v>0.5</c:v>
                </c:pt>
                <c:pt idx="5">
                  <c:v>0.65</c:v>
                </c:pt>
                <c:pt idx="6">
                  <c:v>0.8</c:v>
                </c:pt>
                <c:pt idx="7">
                  <c:v>0.88</c:v>
                </c:pt>
                <c:pt idx="8">
                  <c:v>0.74</c:v>
                </c:pt>
                <c:pt idx="9">
                  <c:v>0.7</c:v>
                </c:pt>
                <c:pt idx="10">
                  <c:v>0.5</c:v>
                </c:pt>
                <c:pt idx="11">
                  <c:v>0.4</c:v>
                </c:pt>
                <c:pt idx="12">
                  <c:v>0.4</c:v>
                </c:pt>
              </c:numCache>
            </c:numRef>
          </c:yVal>
          <c:smooth val="1"/>
          <c:extLst>
            <c:ext xmlns:c16="http://schemas.microsoft.com/office/drawing/2014/chart" uri="{C3380CC4-5D6E-409C-BE32-E72D297353CC}">
              <c16:uniqueId val="{00000003-18E3-4B87-B5DC-F078B75098AF}"/>
            </c:ext>
          </c:extLst>
        </c:ser>
        <c:dLbls>
          <c:showLegendKey val="0"/>
          <c:showVal val="0"/>
          <c:showCatName val="0"/>
          <c:showSerName val="0"/>
          <c:showPercent val="0"/>
          <c:showBubbleSize val="0"/>
        </c:dLbls>
        <c:axId val="576781616"/>
        <c:axId val="576775712"/>
      </c:scatterChart>
      <c:valAx>
        <c:axId val="576781616"/>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t>Axial</a:t>
                </a:r>
                <a:r>
                  <a:rPr lang="en-GB" sz="1200" cap="none" baseline="0"/>
                  <a:t> strain (%)</a:t>
                </a:r>
                <a:endParaRPr lang="en-GB" sz="1200" cap="none"/>
              </a:p>
            </c:rich>
          </c:tx>
          <c:layout>
            <c:manualLayout>
              <c:xMode val="edge"/>
              <c:yMode val="edge"/>
              <c:x val="0.43490224436231179"/>
              <c:y val="0.9444536559490878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76775712"/>
        <c:crosses val="autoZero"/>
        <c:crossBetween val="midCat"/>
        <c:majorUnit val="0.5"/>
      </c:valAx>
      <c:valAx>
        <c:axId val="576775712"/>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baseline="0"/>
                  <a:t>Deviator stress </a:t>
                </a:r>
                <a:r>
                  <a:rPr lang="en-GB" baseline="0"/>
                  <a:t>(</a:t>
                </a:r>
                <a:r>
                  <a:rPr lang="en-GB" cap="none" baseline="0"/>
                  <a:t>MPa</a:t>
                </a:r>
                <a:r>
                  <a:rPr lang="en-GB" baseline="0"/>
                  <a:t>)</a:t>
                </a:r>
                <a:endParaRPr lang="en-GB"/>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6781616"/>
        <c:crosses val="autoZero"/>
        <c:crossBetween val="midCat"/>
        <c:majorUnit val="0.2"/>
      </c:valAx>
      <c:spPr>
        <a:solidFill>
          <a:schemeClr val="lt1"/>
        </a:solidFill>
        <a:ln w="12700" cap="flat" cmpd="sng" algn="ctr">
          <a:solidFill>
            <a:schemeClr val="dk1"/>
          </a:solidFill>
          <a:prstDash val="solid"/>
          <a:miter lim="800000"/>
        </a:ln>
        <a:effectLst/>
      </c:spPr>
    </c:plotArea>
    <c:legend>
      <c:legendPos val="t"/>
      <c:layout>
        <c:manualLayout>
          <c:xMode val="edge"/>
          <c:yMode val="edge"/>
          <c:x val="0.32826386462784307"/>
          <c:y val="0.7006028791855563"/>
          <c:w val="0.54842206157677387"/>
          <c:h val="0.161083667960308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957413773982"/>
          <c:y val="7.0602945465150183E-2"/>
          <c:w val="0.76560718642564041"/>
          <c:h val="0.77582017488455657"/>
        </c:manualLayout>
      </c:layout>
      <c:scatterChart>
        <c:scatterStyle val="smoothMarker"/>
        <c:varyColors val="0"/>
        <c:ser>
          <c:idx val="0"/>
          <c:order val="0"/>
          <c:tx>
            <c:strRef>
              <c:f>Sheet5!$C$4</c:f>
              <c:strCache>
                <c:ptCount val="1"/>
                <c:pt idx="0">
                  <c:v>8%Cem</c:v>
                </c:pt>
              </c:strCache>
            </c:strRef>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Sheet5!$B$6:$B$18</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Sheet5!$C$6:$C$18</c:f>
              <c:numCache>
                <c:formatCode>General</c:formatCode>
                <c:ptCount val="13"/>
                <c:pt idx="0">
                  <c:v>0</c:v>
                </c:pt>
                <c:pt idx="1">
                  <c:v>0.3</c:v>
                </c:pt>
                <c:pt idx="2">
                  <c:v>0.55000000000000004</c:v>
                </c:pt>
                <c:pt idx="3">
                  <c:v>0.8</c:v>
                </c:pt>
                <c:pt idx="4">
                  <c:v>1</c:v>
                </c:pt>
                <c:pt idx="5">
                  <c:v>1.4</c:v>
                </c:pt>
                <c:pt idx="6">
                  <c:v>1.62</c:v>
                </c:pt>
                <c:pt idx="7">
                  <c:v>1.2</c:v>
                </c:pt>
                <c:pt idx="8">
                  <c:v>0.89072777424149996</c:v>
                </c:pt>
                <c:pt idx="9">
                  <c:v>0.72777424145979996</c:v>
                </c:pt>
                <c:pt idx="10">
                  <c:v>0.61099999999999999</c:v>
                </c:pt>
                <c:pt idx="11">
                  <c:v>0.56000000000000005</c:v>
                </c:pt>
                <c:pt idx="12">
                  <c:v>0.55000000000000004</c:v>
                </c:pt>
              </c:numCache>
            </c:numRef>
          </c:yVal>
          <c:smooth val="1"/>
          <c:extLst>
            <c:ext xmlns:c16="http://schemas.microsoft.com/office/drawing/2014/chart" uri="{C3380CC4-5D6E-409C-BE32-E72D297353CC}">
              <c16:uniqueId val="{00000000-84AE-4572-8405-4DC13D956BDB}"/>
            </c:ext>
          </c:extLst>
        </c:ser>
        <c:ser>
          <c:idx val="1"/>
          <c:order val="1"/>
          <c:tx>
            <c:strRef>
              <c:f>Sheet5!$K$4</c:f>
              <c:strCache>
                <c:ptCount val="1"/>
                <c:pt idx="0">
                  <c:v>3%Cem+5%GGBS</c:v>
                </c:pt>
              </c:strCache>
            </c:strRef>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Sheet5!$J$6:$J$23</c:f>
              <c:numCache>
                <c:formatCode>General</c:formatCode>
                <c:ptCount val="18"/>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numCache>
            </c:numRef>
          </c:xVal>
          <c:yVal>
            <c:numRef>
              <c:f>Sheet5!$K$6:$K$23</c:f>
              <c:numCache>
                <c:formatCode>General</c:formatCode>
                <c:ptCount val="18"/>
                <c:pt idx="0">
                  <c:v>0</c:v>
                </c:pt>
                <c:pt idx="1">
                  <c:v>0.19</c:v>
                </c:pt>
                <c:pt idx="2">
                  <c:v>0.36</c:v>
                </c:pt>
                <c:pt idx="3">
                  <c:v>0.6</c:v>
                </c:pt>
                <c:pt idx="4">
                  <c:v>0.83</c:v>
                </c:pt>
                <c:pt idx="5">
                  <c:v>1.1000000000000001</c:v>
                </c:pt>
                <c:pt idx="6">
                  <c:v>1.3</c:v>
                </c:pt>
                <c:pt idx="7">
                  <c:v>1.32</c:v>
                </c:pt>
                <c:pt idx="8">
                  <c:v>0.95</c:v>
                </c:pt>
                <c:pt idx="9">
                  <c:v>0.75</c:v>
                </c:pt>
                <c:pt idx="10">
                  <c:v>0.65</c:v>
                </c:pt>
                <c:pt idx="11">
                  <c:v>0.6</c:v>
                </c:pt>
                <c:pt idx="12">
                  <c:v>0.55000000000000004</c:v>
                </c:pt>
              </c:numCache>
            </c:numRef>
          </c:yVal>
          <c:smooth val="1"/>
          <c:extLst>
            <c:ext xmlns:c16="http://schemas.microsoft.com/office/drawing/2014/chart" uri="{C3380CC4-5D6E-409C-BE32-E72D297353CC}">
              <c16:uniqueId val="{00000001-84AE-4572-8405-4DC13D956BDB}"/>
            </c:ext>
          </c:extLst>
        </c:ser>
        <c:ser>
          <c:idx val="2"/>
          <c:order val="2"/>
          <c:tx>
            <c:strRef>
              <c:f>Sheet5!$L$4:$M$4</c:f>
              <c:strCache>
                <c:ptCount val="1"/>
                <c:pt idx="0">
                  <c:v>3%Cem+4%GGBS+1%RC</c:v>
                </c:pt>
              </c:strCache>
            </c:strRef>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Sheet5!$L$6:$L$18</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Sheet5!$M$6:$M$18</c:f>
              <c:numCache>
                <c:formatCode>General</c:formatCode>
                <c:ptCount val="13"/>
                <c:pt idx="0">
                  <c:v>0</c:v>
                </c:pt>
                <c:pt idx="1">
                  <c:v>0.15</c:v>
                </c:pt>
                <c:pt idx="2">
                  <c:v>0.3</c:v>
                </c:pt>
                <c:pt idx="3">
                  <c:v>0.5</c:v>
                </c:pt>
                <c:pt idx="4">
                  <c:v>0.7</c:v>
                </c:pt>
                <c:pt idx="5">
                  <c:v>0.85</c:v>
                </c:pt>
                <c:pt idx="6">
                  <c:v>1</c:v>
                </c:pt>
                <c:pt idx="7">
                  <c:v>1.1000000000000001</c:v>
                </c:pt>
                <c:pt idx="8">
                  <c:v>0.8</c:v>
                </c:pt>
                <c:pt idx="9">
                  <c:v>0.6</c:v>
                </c:pt>
                <c:pt idx="10">
                  <c:v>0.55000000000000004</c:v>
                </c:pt>
                <c:pt idx="11">
                  <c:v>0.46</c:v>
                </c:pt>
                <c:pt idx="12">
                  <c:v>0.45</c:v>
                </c:pt>
              </c:numCache>
            </c:numRef>
          </c:yVal>
          <c:smooth val="1"/>
          <c:extLst>
            <c:ext xmlns:c16="http://schemas.microsoft.com/office/drawing/2014/chart" uri="{C3380CC4-5D6E-409C-BE32-E72D297353CC}">
              <c16:uniqueId val="{00000002-84AE-4572-8405-4DC13D956BDB}"/>
            </c:ext>
          </c:extLst>
        </c:ser>
        <c:ser>
          <c:idx val="3"/>
          <c:order val="3"/>
          <c:tx>
            <c:strRef>
              <c:f>Sheet5!$N$4:$O$4</c:f>
              <c:strCache>
                <c:ptCount val="1"/>
                <c:pt idx="0">
                  <c:v>3%Cem+4%PFA+1%RC</c:v>
                </c:pt>
              </c:strCache>
            </c:strRef>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Sheet5!$N$6:$N$18</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Sheet5!$O$6:$O$18</c:f>
              <c:numCache>
                <c:formatCode>General</c:formatCode>
                <c:ptCount val="13"/>
                <c:pt idx="0">
                  <c:v>0</c:v>
                </c:pt>
                <c:pt idx="1">
                  <c:v>0.12</c:v>
                </c:pt>
                <c:pt idx="2">
                  <c:v>0.26</c:v>
                </c:pt>
                <c:pt idx="3">
                  <c:v>0.4</c:v>
                </c:pt>
                <c:pt idx="4">
                  <c:v>0.5</c:v>
                </c:pt>
                <c:pt idx="5">
                  <c:v>0.56999999999999995</c:v>
                </c:pt>
                <c:pt idx="6">
                  <c:v>0.65</c:v>
                </c:pt>
                <c:pt idx="7">
                  <c:v>0.76</c:v>
                </c:pt>
                <c:pt idx="8">
                  <c:v>0.66</c:v>
                </c:pt>
                <c:pt idx="9">
                  <c:v>0.44888605983449997</c:v>
                </c:pt>
                <c:pt idx="10">
                  <c:v>0.36560223495296701</c:v>
                </c:pt>
                <c:pt idx="11">
                  <c:v>0.38</c:v>
                </c:pt>
                <c:pt idx="12">
                  <c:v>0.39</c:v>
                </c:pt>
              </c:numCache>
            </c:numRef>
          </c:yVal>
          <c:smooth val="1"/>
          <c:extLst>
            <c:ext xmlns:c16="http://schemas.microsoft.com/office/drawing/2014/chart" uri="{C3380CC4-5D6E-409C-BE32-E72D297353CC}">
              <c16:uniqueId val="{00000003-84AE-4572-8405-4DC13D956BDB}"/>
            </c:ext>
          </c:extLst>
        </c:ser>
        <c:dLbls>
          <c:showLegendKey val="0"/>
          <c:showVal val="0"/>
          <c:showCatName val="0"/>
          <c:showSerName val="0"/>
          <c:showPercent val="0"/>
          <c:showBubbleSize val="0"/>
        </c:dLbls>
        <c:axId val="576781616"/>
        <c:axId val="576775712"/>
      </c:scatterChart>
      <c:valAx>
        <c:axId val="576781616"/>
        <c:scaling>
          <c:orientation val="minMax"/>
          <c:max val="3"/>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t>Axial</a:t>
                </a:r>
                <a:r>
                  <a:rPr lang="en-GB" sz="1200" cap="none" baseline="0"/>
                  <a:t> strain (%)</a:t>
                </a:r>
                <a:endParaRPr lang="en-GB" sz="1200" cap="none"/>
              </a:p>
            </c:rich>
          </c:tx>
          <c:layout>
            <c:manualLayout>
              <c:xMode val="edge"/>
              <c:yMode val="edge"/>
              <c:x val="0.40394134493872025"/>
              <c:y val="0.9210436930677783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76775712"/>
        <c:crosses val="autoZero"/>
        <c:crossBetween val="midCat"/>
        <c:majorUnit val="0.5"/>
      </c:valAx>
      <c:valAx>
        <c:axId val="576775712"/>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baseline="0"/>
                  <a:t>Deviator stress </a:t>
                </a:r>
                <a:r>
                  <a:rPr lang="en-GB" baseline="0"/>
                  <a:t>(</a:t>
                </a:r>
                <a:r>
                  <a:rPr lang="en-GB" cap="none" baseline="0"/>
                  <a:t>MPa</a:t>
                </a:r>
                <a:r>
                  <a:rPr lang="en-GB" baseline="0"/>
                  <a:t>)</a:t>
                </a:r>
                <a:endParaRPr lang="en-GB"/>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6781616"/>
        <c:crosses val="autoZero"/>
        <c:crossBetween val="midCat"/>
        <c:majorUnit val="0.2"/>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4122401082117296"/>
          <c:y val="7.0209271969346079E-2"/>
          <c:w val="0.52075676547257532"/>
          <c:h val="0.152852470981234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17658506972344"/>
          <c:y val="2.0015790709088193E-2"/>
          <c:w val="0.79227239452211329"/>
          <c:h val="0.84265938302427656"/>
        </c:manualLayout>
      </c:layout>
      <c:scatterChart>
        <c:scatterStyle val="smoothMarker"/>
        <c:varyColors val="0"/>
        <c:ser>
          <c:idx val="0"/>
          <c:order val="0"/>
          <c:tx>
            <c:strRef>
              <c:f>Sheet5!$C$4</c:f>
              <c:strCache>
                <c:ptCount val="1"/>
                <c:pt idx="0">
                  <c:v>8%Cem</c:v>
                </c:pt>
              </c:strCache>
            </c:strRef>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Sheet5!$B$6:$B$18</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Sheet5!$C$6:$C$18</c:f>
              <c:numCache>
                <c:formatCode>General</c:formatCode>
                <c:ptCount val="13"/>
                <c:pt idx="0">
                  <c:v>0</c:v>
                </c:pt>
                <c:pt idx="1">
                  <c:v>0.3</c:v>
                </c:pt>
                <c:pt idx="2">
                  <c:v>0.55000000000000004</c:v>
                </c:pt>
                <c:pt idx="3">
                  <c:v>0.8</c:v>
                </c:pt>
                <c:pt idx="4">
                  <c:v>1</c:v>
                </c:pt>
                <c:pt idx="5">
                  <c:v>1.4</c:v>
                </c:pt>
                <c:pt idx="6">
                  <c:v>1.62</c:v>
                </c:pt>
                <c:pt idx="7">
                  <c:v>1.2</c:v>
                </c:pt>
                <c:pt idx="8">
                  <c:v>0.89072777424149996</c:v>
                </c:pt>
                <c:pt idx="9">
                  <c:v>0.72777424145979996</c:v>
                </c:pt>
                <c:pt idx="10">
                  <c:v>0.61099999999999999</c:v>
                </c:pt>
                <c:pt idx="11">
                  <c:v>0.56000000000000005</c:v>
                </c:pt>
                <c:pt idx="12">
                  <c:v>0.55000000000000004</c:v>
                </c:pt>
              </c:numCache>
            </c:numRef>
          </c:yVal>
          <c:smooth val="1"/>
          <c:extLst>
            <c:ext xmlns:c16="http://schemas.microsoft.com/office/drawing/2014/chart" uri="{C3380CC4-5D6E-409C-BE32-E72D297353CC}">
              <c16:uniqueId val="{00000000-BBCD-4E1A-8546-AA7708D0D712}"/>
            </c:ext>
          </c:extLst>
        </c:ser>
        <c:ser>
          <c:idx val="1"/>
          <c:order val="1"/>
          <c:tx>
            <c:strRef>
              <c:f>Sheet5!$Q$4</c:f>
              <c:strCache>
                <c:ptCount val="1"/>
                <c:pt idx="0">
                  <c:v>2%Cem+6%GGBS</c:v>
                </c:pt>
              </c:strCache>
            </c:strRef>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Sheet5!$P$6:$P$19</c:f>
              <c:numCache>
                <c:formatCode>General</c:formatCode>
                <c:ptCount val="14"/>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numCache>
            </c:numRef>
          </c:xVal>
          <c:yVal>
            <c:numRef>
              <c:f>Sheet5!$Q$6:$Q$18</c:f>
              <c:numCache>
                <c:formatCode>General</c:formatCode>
                <c:ptCount val="13"/>
                <c:pt idx="0">
                  <c:v>0</c:v>
                </c:pt>
                <c:pt idx="1">
                  <c:v>0.18</c:v>
                </c:pt>
                <c:pt idx="2">
                  <c:v>0.42</c:v>
                </c:pt>
                <c:pt idx="3">
                  <c:v>0.6</c:v>
                </c:pt>
                <c:pt idx="4">
                  <c:v>0.8</c:v>
                </c:pt>
                <c:pt idx="5">
                  <c:v>0.95</c:v>
                </c:pt>
                <c:pt idx="6">
                  <c:v>1.1200000000000001</c:v>
                </c:pt>
                <c:pt idx="7">
                  <c:v>1.1599999999999999</c:v>
                </c:pt>
                <c:pt idx="8">
                  <c:v>0.76769219888252349</c:v>
                </c:pt>
                <c:pt idx="9">
                  <c:v>0.64095056227455971</c:v>
                </c:pt>
                <c:pt idx="10">
                  <c:v>0.61</c:v>
                </c:pt>
                <c:pt idx="11">
                  <c:v>0.6</c:v>
                </c:pt>
                <c:pt idx="12">
                  <c:v>0.6</c:v>
                </c:pt>
              </c:numCache>
            </c:numRef>
          </c:yVal>
          <c:smooth val="1"/>
          <c:extLst>
            <c:ext xmlns:c16="http://schemas.microsoft.com/office/drawing/2014/chart" uri="{C3380CC4-5D6E-409C-BE32-E72D297353CC}">
              <c16:uniqueId val="{00000001-BBCD-4E1A-8546-AA7708D0D712}"/>
            </c:ext>
          </c:extLst>
        </c:ser>
        <c:ser>
          <c:idx val="2"/>
          <c:order val="2"/>
          <c:tx>
            <c:strRef>
              <c:f>Sheet5!$R$4:$S$4</c:f>
              <c:strCache>
                <c:ptCount val="1"/>
                <c:pt idx="0">
                  <c:v>2%Cem+5%GGBS+1%RC</c:v>
                </c:pt>
              </c:strCache>
            </c:strRef>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Sheet5!$R$6:$R$18</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Sheet5!$S$6:$S$18</c:f>
              <c:numCache>
                <c:formatCode>General</c:formatCode>
                <c:ptCount val="13"/>
                <c:pt idx="0">
                  <c:v>0</c:v>
                </c:pt>
                <c:pt idx="1">
                  <c:v>0.16</c:v>
                </c:pt>
                <c:pt idx="2">
                  <c:v>0.35</c:v>
                </c:pt>
                <c:pt idx="3">
                  <c:v>0.5</c:v>
                </c:pt>
                <c:pt idx="4">
                  <c:v>0.65</c:v>
                </c:pt>
                <c:pt idx="5">
                  <c:v>0.8</c:v>
                </c:pt>
                <c:pt idx="6">
                  <c:v>0.93</c:v>
                </c:pt>
                <c:pt idx="7">
                  <c:v>1</c:v>
                </c:pt>
                <c:pt idx="8">
                  <c:v>0.88</c:v>
                </c:pt>
                <c:pt idx="9">
                  <c:v>0.65</c:v>
                </c:pt>
                <c:pt idx="10">
                  <c:v>0.57999999999999996</c:v>
                </c:pt>
                <c:pt idx="11">
                  <c:v>0.45</c:v>
                </c:pt>
                <c:pt idx="12">
                  <c:v>0.4</c:v>
                </c:pt>
              </c:numCache>
            </c:numRef>
          </c:yVal>
          <c:smooth val="1"/>
          <c:extLst>
            <c:ext xmlns:c16="http://schemas.microsoft.com/office/drawing/2014/chart" uri="{C3380CC4-5D6E-409C-BE32-E72D297353CC}">
              <c16:uniqueId val="{00000002-BBCD-4E1A-8546-AA7708D0D712}"/>
            </c:ext>
          </c:extLst>
        </c:ser>
        <c:ser>
          <c:idx val="3"/>
          <c:order val="3"/>
          <c:tx>
            <c:strRef>
              <c:f>Sheet5!$T$4:$U$4</c:f>
              <c:strCache>
                <c:ptCount val="1"/>
                <c:pt idx="0">
                  <c:v>2%Cem+5%PFA+1%RC</c:v>
                </c:pt>
              </c:strCache>
            </c:strRef>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Sheet5!$T$6:$T$18</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Sheet5!$U$6:$U$18</c:f>
              <c:numCache>
                <c:formatCode>General</c:formatCode>
                <c:ptCount val="13"/>
                <c:pt idx="0">
                  <c:v>0</c:v>
                </c:pt>
                <c:pt idx="1">
                  <c:v>0.09</c:v>
                </c:pt>
                <c:pt idx="2">
                  <c:v>0.13</c:v>
                </c:pt>
                <c:pt idx="3">
                  <c:v>0.2</c:v>
                </c:pt>
                <c:pt idx="4">
                  <c:v>0.28000000000000003</c:v>
                </c:pt>
                <c:pt idx="5">
                  <c:v>0.4</c:v>
                </c:pt>
                <c:pt idx="6">
                  <c:v>0.45</c:v>
                </c:pt>
                <c:pt idx="7">
                  <c:v>0.48</c:v>
                </c:pt>
                <c:pt idx="8">
                  <c:v>0.36</c:v>
                </c:pt>
                <c:pt idx="9">
                  <c:v>0.28000000000000003</c:v>
                </c:pt>
                <c:pt idx="10">
                  <c:v>0.2</c:v>
                </c:pt>
                <c:pt idx="11">
                  <c:v>0.2</c:v>
                </c:pt>
                <c:pt idx="12">
                  <c:v>0.23</c:v>
                </c:pt>
              </c:numCache>
            </c:numRef>
          </c:yVal>
          <c:smooth val="1"/>
          <c:extLst>
            <c:ext xmlns:c16="http://schemas.microsoft.com/office/drawing/2014/chart" uri="{C3380CC4-5D6E-409C-BE32-E72D297353CC}">
              <c16:uniqueId val="{00000003-BBCD-4E1A-8546-AA7708D0D712}"/>
            </c:ext>
          </c:extLst>
        </c:ser>
        <c:dLbls>
          <c:showLegendKey val="0"/>
          <c:showVal val="0"/>
          <c:showCatName val="0"/>
          <c:showSerName val="0"/>
          <c:showPercent val="0"/>
          <c:showBubbleSize val="0"/>
        </c:dLbls>
        <c:axId val="576781616"/>
        <c:axId val="576775712"/>
      </c:scatterChart>
      <c:valAx>
        <c:axId val="576781616"/>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t>Axial</a:t>
                </a:r>
                <a:r>
                  <a:rPr lang="en-GB" sz="1200" cap="none" baseline="0"/>
                  <a:t> strain (%)</a:t>
                </a:r>
                <a:endParaRPr lang="en-GB" sz="1200" cap="none"/>
              </a:p>
            </c:rich>
          </c:tx>
          <c:layout>
            <c:manualLayout>
              <c:xMode val="edge"/>
              <c:yMode val="edge"/>
              <c:x val="0.42787284922717994"/>
              <c:y val="0.9296467166956241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76775712"/>
        <c:crosses val="autoZero"/>
        <c:crossBetween val="midCat"/>
        <c:majorUnit val="0.5"/>
      </c:valAx>
      <c:valAx>
        <c:axId val="576775712"/>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baseline="0"/>
                  <a:t>Deviator stress </a:t>
                </a:r>
                <a:r>
                  <a:rPr lang="en-GB" baseline="0"/>
                  <a:t>(</a:t>
                </a:r>
                <a:r>
                  <a:rPr lang="en-GB" cap="none" baseline="0"/>
                  <a:t>MPa</a:t>
                </a:r>
                <a:r>
                  <a:rPr lang="en-GB" baseline="0"/>
                  <a:t>)</a:t>
                </a:r>
                <a:endParaRPr lang="en-GB"/>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6781616"/>
        <c:crosses val="autoZero"/>
        <c:crossBetween val="midCat"/>
        <c:majorUnit val="0.2"/>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2780116771117904"/>
          <c:y val="2.8691678246101596E-2"/>
          <c:w val="0.53421679432928026"/>
          <c:h val="0.158221707580670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Soil I - 7days</a:t>
            </a:r>
          </a:p>
        </c:rich>
      </c:tx>
      <c:layout>
        <c:manualLayout>
          <c:xMode val="edge"/>
          <c:yMode val="edge"/>
          <c:x val="0.43964204133186424"/>
          <c:y val="0.1449405832144997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20459935682101166"/>
          <c:y val="1.799351248170146E-2"/>
          <c:w val="0.76484516227280452"/>
          <c:h val="0.71756325734873694"/>
        </c:manualLayout>
      </c:layout>
      <c:barChart>
        <c:barDir val="col"/>
        <c:grouping val="clustered"/>
        <c:varyColors val="0"/>
        <c:ser>
          <c:idx val="0"/>
          <c:order val="0"/>
          <c:tx>
            <c:strRef>
              <c:f>'UCS - PFA-GGBS + RC (2)'!$U$4</c:f>
              <c:strCache>
                <c:ptCount val="1"/>
                <c:pt idx="0">
                  <c:v>Cem</c:v>
                </c:pt>
              </c:strCache>
            </c:strRef>
          </c:tx>
          <c:spPr>
            <a:solidFill>
              <a:schemeClr val="lt1"/>
            </a:solidFill>
            <a:ln w="19050" cap="flat" cmpd="sng" algn="ctr">
              <a:solidFill>
                <a:schemeClr val="dk1"/>
              </a:solidFill>
              <a:prstDash val="solid"/>
              <a:miter lim="800000"/>
            </a:ln>
            <a:effectLst/>
          </c:spPr>
          <c:invertIfNegative val="0"/>
          <c:cat>
            <c:strRef>
              <c:f>'UCS - PFA-GGBS + RC (2)'!$T$5:$T$8</c:f>
              <c:strCache>
                <c:ptCount val="4"/>
                <c:pt idx="0">
                  <c:v>Phase 1</c:v>
                </c:pt>
                <c:pt idx="1">
                  <c:v>Phase 2</c:v>
                </c:pt>
                <c:pt idx="2">
                  <c:v>Phase 3</c:v>
                </c:pt>
                <c:pt idx="3">
                  <c:v>Phase 4</c:v>
                </c:pt>
              </c:strCache>
            </c:strRef>
          </c:cat>
          <c:val>
            <c:numRef>
              <c:f>'UCS - PFA-GGBS + RC (2)'!$U$5:$U$8</c:f>
              <c:numCache>
                <c:formatCode>General</c:formatCode>
                <c:ptCount val="4"/>
                <c:pt idx="0">
                  <c:v>0.24</c:v>
                </c:pt>
                <c:pt idx="1">
                  <c:v>0</c:v>
                </c:pt>
                <c:pt idx="2">
                  <c:v>0</c:v>
                </c:pt>
                <c:pt idx="3">
                  <c:v>0</c:v>
                </c:pt>
              </c:numCache>
            </c:numRef>
          </c:val>
          <c:extLst>
            <c:ext xmlns:c16="http://schemas.microsoft.com/office/drawing/2014/chart" uri="{C3380CC4-5D6E-409C-BE32-E72D297353CC}">
              <c16:uniqueId val="{00000000-DD68-46AF-94B5-3C4FE1C67607}"/>
            </c:ext>
          </c:extLst>
        </c:ser>
        <c:ser>
          <c:idx val="1"/>
          <c:order val="1"/>
          <c:tx>
            <c:strRef>
              <c:f>'UCS - PFA-GGBS + RC (2)'!$V$4</c:f>
              <c:strCache>
                <c:ptCount val="1"/>
                <c:pt idx="0">
                  <c:v>Cem+GGBS</c:v>
                </c:pt>
              </c:strCache>
            </c:strRef>
          </c:tx>
          <c:spPr>
            <a:pattFill prst="dkDnDiag">
              <a:fgClr>
                <a:schemeClr val="tx1"/>
              </a:fgClr>
              <a:bgClr>
                <a:schemeClr val="bg1"/>
              </a:bgClr>
            </a:pattFill>
            <a:ln>
              <a:solidFill>
                <a:schemeClr val="tx1"/>
              </a:solidFill>
            </a:ln>
            <a:effectLst/>
          </c:spPr>
          <c:invertIfNegative val="0"/>
          <c:cat>
            <c:strRef>
              <c:f>'UCS - PFA-GGBS + RC (2)'!$T$5:$T$8</c:f>
              <c:strCache>
                <c:ptCount val="4"/>
                <c:pt idx="0">
                  <c:v>Phase 1</c:v>
                </c:pt>
                <c:pt idx="1">
                  <c:v>Phase 2</c:v>
                </c:pt>
                <c:pt idx="2">
                  <c:v>Phase 3</c:v>
                </c:pt>
                <c:pt idx="3">
                  <c:v>Phase 4</c:v>
                </c:pt>
              </c:strCache>
            </c:strRef>
          </c:cat>
          <c:val>
            <c:numRef>
              <c:f>'UCS - PFA-GGBS + RC (2)'!$V$5:$V$8</c:f>
              <c:numCache>
                <c:formatCode>0.00</c:formatCode>
                <c:ptCount val="4"/>
                <c:pt idx="0">
                  <c:v>0</c:v>
                </c:pt>
                <c:pt idx="1">
                  <c:v>0.43</c:v>
                </c:pt>
                <c:pt idx="2">
                  <c:v>0.41</c:v>
                </c:pt>
                <c:pt idx="3">
                  <c:v>0.39</c:v>
                </c:pt>
              </c:numCache>
            </c:numRef>
          </c:val>
          <c:extLst>
            <c:ext xmlns:c16="http://schemas.microsoft.com/office/drawing/2014/chart" uri="{C3380CC4-5D6E-409C-BE32-E72D297353CC}">
              <c16:uniqueId val="{00000001-DD68-46AF-94B5-3C4FE1C67607}"/>
            </c:ext>
          </c:extLst>
        </c:ser>
        <c:dLbls>
          <c:showLegendKey val="0"/>
          <c:showVal val="0"/>
          <c:showCatName val="0"/>
          <c:showSerName val="0"/>
          <c:showPercent val="0"/>
          <c:showBubbleSize val="0"/>
        </c:dLbls>
        <c:gapWidth val="219"/>
        <c:overlap val="-27"/>
        <c:axId val="503524128"/>
        <c:axId val="503517240"/>
      </c:barChart>
      <c:lineChart>
        <c:grouping val="standard"/>
        <c:varyColors val="0"/>
        <c:ser>
          <c:idx val="2"/>
          <c:order val="2"/>
          <c:tx>
            <c:strRef>
              <c:f>'UCS - PFA-GGBS + RC (2)'!$W$4</c:f>
              <c:strCache>
                <c:ptCount val="1"/>
                <c:pt idx="0">
                  <c:v>Soil I + CEM+GGBS+RC</c:v>
                </c:pt>
              </c:strCache>
            </c:strRef>
          </c:tx>
          <c:spPr>
            <a:ln w="12700" cap="rnd">
              <a:solidFill>
                <a:schemeClr val="tx1"/>
              </a:solidFill>
              <a:round/>
            </a:ln>
            <a:effectLst/>
          </c:spPr>
          <c:marker>
            <c:symbol val="circle"/>
            <c:size val="5"/>
            <c:spPr>
              <a:solidFill>
                <a:schemeClr val="tx1"/>
              </a:solidFill>
              <a:ln w="12700">
                <a:solidFill>
                  <a:schemeClr val="tx1"/>
                </a:solidFill>
              </a:ln>
              <a:effectLst/>
            </c:spPr>
          </c:marker>
          <c:cat>
            <c:strRef>
              <c:f>'UCS - PFA-GGBS + RC (2)'!$T$5:$T$8</c:f>
              <c:strCache>
                <c:ptCount val="4"/>
                <c:pt idx="0">
                  <c:v>Phase 1</c:v>
                </c:pt>
                <c:pt idx="1">
                  <c:v>Phase 2</c:v>
                </c:pt>
                <c:pt idx="2">
                  <c:v>Phase 3</c:v>
                </c:pt>
                <c:pt idx="3">
                  <c:v>Phase 4</c:v>
                </c:pt>
              </c:strCache>
            </c:strRef>
          </c:cat>
          <c:val>
            <c:numRef>
              <c:f>'UCS - PFA-GGBS + RC (2)'!$W$5:$W$8</c:f>
              <c:numCache>
                <c:formatCode>0.00</c:formatCode>
                <c:ptCount val="4"/>
                <c:pt idx="0">
                  <c:v>0</c:v>
                </c:pt>
                <c:pt idx="1">
                  <c:v>0.45</c:v>
                </c:pt>
                <c:pt idx="2">
                  <c:v>0.37</c:v>
                </c:pt>
                <c:pt idx="3">
                  <c:v>0.34</c:v>
                </c:pt>
              </c:numCache>
            </c:numRef>
          </c:val>
          <c:smooth val="0"/>
          <c:extLst>
            <c:ext xmlns:c16="http://schemas.microsoft.com/office/drawing/2014/chart" uri="{C3380CC4-5D6E-409C-BE32-E72D297353CC}">
              <c16:uniqueId val="{00000002-DD68-46AF-94B5-3C4FE1C67607}"/>
            </c:ext>
          </c:extLst>
        </c:ser>
        <c:ser>
          <c:idx val="3"/>
          <c:order val="3"/>
          <c:tx>
            <c:strRef>
              <c:f>'UCS - PFA-GGBS + RC (2)'!$X$4</c:f>
              <c:strCache>
                <c:ptCount val="1"/>
                <c:pt idx="0">
                  <c:v>Soil I + C+PFA+RC</c:v>
                </c:pt>
              </c:strCache>
            </c:strRef>
          </c:tx>
          <c:spPr>
            <a:ln w="12700" cap="rnd">
              <a:solidFill>
                <a:schemeClr val="tx1"/>
              </a:solidFill>
              <a:prstDash val="dash"/>
              <a:round/>
            </a:ln>
            <a:effectLst/>
          </c:spPr>
          <c:marker>
            <c:symbol val="circle"/>
            <c:size val="5"/>
            <c:spPr>
              <a:solidFill>
                <a:schemeClr val="tx1"/>
              </a:solidFill>
              <a:ln w="12700">
                <a:solidFill>
                  <a:schemeClr val="tx1"/>
                </a:solidFill>
                <a:prstDash val="dash"/>
              </a:ln>
              <a:effectLst/>
            </c:spPr>
          </c:marker>
          <c:cat>
            <c:strRef>
              <c:f>'UCS - PFA-GGBS + RC (2)'!$T$5:$T$8</c:f>
              <c:strCache>
                <c:ptCount val="4"/>
                <c:pt idx="0">
                  <c:v>Phase 1</c:v>
                </c:pt>
                <c:pt idx="1">
                  <c:v>Phase 2</c:v>
                </c:pt>
                <c:pt idx="2">
                  <c:v>Phase 3</c:v>
                </c:pt>
                <c:pt idx="3">
                  <c:v>Phase 4</c:v>
                </c:pt>
              </c:strCache>
            </c:strRef>
          </c:cat>
          <c:val>
            <c:numRef>
              <c:f>'UCS - PFA-GGBS + RC (2)'!$X$5:$X$8</c:f>
              <c:numCache>
                <c:formatCode>0.00</c:formatCode>
                <c:ptCount val="4"/>
                <c:pt idx="0">
                  <c:v>0</c:v>
                </c:pt>
                <c:pt idx="1">
                  <c:v>0.31</c:v>
                </c:pt>
                <c:pt idx="2">
                  <c:v>0.21</c:v>
                </c:pt>
                <c:pt idx="3">
                  <c:v>0.2</c:v>
                </c:pt>
              </c:numCache>
            </c:numRef>
          </c:val>
          <c:smooth val="0"/>
          <c:extLst>
            <c:ext xmlns:c16="http://schemas.microsoft.com/office/drawing/2014/chart" uri="{C3380CC4-5D6E-409C-BE32-E72D297353CC}">
              <c16:uniqueId val="{00000003-DD68-46AF-94B5-3C4FE1C67607}"/>
            </c:ext>
          </c:extLst>
        </c:ser>
        <c:dLbls>
          <c:showLegendKey val="0"/>
          <c:showVal val="0"/>
          <c:showCatName val="0"/>
          <c:showSerName val="0"/>
          <c:showPercent val="0"/>
          <c:showBubbleSize val="0"/>
        </c:dLbls>
        <c:marker val="1"/>
        <c:smooth val="0"/>
        <c:axId val="503524128"/>
        <c:axId val="503517240"/>
      </c:lineChart>
      <c:catAx>
        <c:axId val="503524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Soil treatment phase</a:t>
                </a:r>
              </a:p>
            </c:rich>
          </c:tx>
          <c:layout>
            <c:manualLayout>
              <c:xMode val="edge"/>
              <c:yMode val="edge"/>
              <c:x val="0.34944331032694986"/>
              <c:y val="0.805715623575221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3517240"/>
        <c:crosses val="autoZero"/>
        <c:auto val="1"/>
        <c:lblAlgn val="ctr"/>
        <c:lblOffset val="100"/>
        <c:noMultiLvlLbl val="0"/>
      </c:catAx>
      <c:valAx>
        <c:axId val="503517240"/>
        <c:scaling>
          <c:orientation val="minMax"/>
          <c:max val="0.9"/>
        </c:scaling>
        <c:delete val="0"/>
        <c:axPos val="l"/>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sz="1000" b="0" i="0" u="none" strike="noStrike" kern="1200" baseline="0">
                    <a:solidFill>
                      <a:sysClr val="windowText" lastClr="000000"/>
                    </a:solidFill>
                    <a:latin typeface="+mn-lt"/>
                    <a:ea typeface="+mn-ea"/>
                    <a:cs typeface="+mn-cs"/>
                  </a:rPr>
                  <a:t>Undrained shear strenght </a:t>
                </a:r>
                <a:r>
                  <a:rPr lang="en-GB"/>
                  <a:t>(MPa)</a:t>
                </a:r>
              </a:p>
            </c:rich>
          </c:tx>
          <c:layout>
            <c:manualLayout>
              <c:xMode val="edge"/>
              <c:yMode val="edge"/>
              <c:x val="9.4721095016706541E-3"/>
              <c:y val="0.104804734053912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03524128"/>
        <c:crosses val="autoZero"/>
        <c:crossBetween val="between"/>
      </c:valAx>
      <c:spPr>
        <a:solidFill>
          <a:schemeClr val="lt1"/>
        </a:solidFill>
        <a:ln w="12700" cap="flat" cmpd="sng" algn="ctr">
          <a:solidFill>
            <a:schemeClr val="dk1"/>
          </a:solidFill>
          <a:prstDash val="solid"/>
          <a:miter lim="800000"/>
        </a:ln>
        <a:effectLst/>
      </c:spPr>
    </c:plotArea>
    <c:legend>
      <c:legendPos val="b"/>
      <c:layout>
        <c:manualLayout>
          <c:xMode val="edge"/>
          <c:yMode val="edge"/>
          <c:x val="0.1818444366809098"/>
          <c:y val="0.85442177995467106"/>
          <c:w val="0.7904035545044924"/>
          <c:h val="0.135079532381287"/>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bg1">
          <a:lumMod val="9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Soil II - 7ays</a:t>
            </a:r>
          </a:p>
        </c:rich>
      </c:tx>
      <c:layout>
        <c:manualLayout>
          <c:xMode val="edge"/>
          <c:yMode val="edge"/>
          <c:x val="0.48336961292807684"/>
          <c:y val="0.1035291848361474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20221174817936494"/>
          <c:y val="2.5428331875182269E-2"/>
          <c:w val="0.76723263465306268"/>
          <c:h val="0.70088608375650174"/>
        </c:manualLayout>
      </c:layout>
      <c:barChart>
        <c:barDir val="col"/>
        <c:grouping val="clustered"/>
        <c:varyColors val="0"/>
        <c:ser>
          <c:idx val="0"/>
          <c:order val="0"/>
          <c:tx>
            <c:strRef>
              <c:f>'UCS - PFA-GGBS + RC (2)'!$U$10</c:f>
              <c:strCache>
                <c:ptCount val="1"/>
                <c:pt idx="0">
                  <c:v>Cem</c:v>
                </c:pt>
              </c:strCache>
            </c:strRef>
          </c:tx>
          <c:spPr>
            <a:solidFill>
              <a:schemeClr val="lt1"/>
            </a:solidFill>
            <a:ln w="19050" cap="flat" cmpd="sng" algn="ctr">
              <a:solidFill>
                <a:schemeClr val="dk1"/>
              </a:solidFill>
              <a:prstDash val="solid"/>
              <a:miter lim="800000"/>
            </a:ln>
            <a:effectLst/>
          </c:spPr>
          <c:invertIfNegative val="0"/>
          <c:cat>
            <c:strRef>
              <c:f>'UCS - PFA-GGBS + RC (2)'!$T$11:$T$14</c:f>
              <c:strCache>
                <c:ptCount val="4"/>
                <c:pt idx="0">
                  <c:v>Phase 1</c:v>
                </c:pt>
                <c:pt idx="1">
                  <c:v>Phase 2</c:v>
                </c:pt>
                <c:pt idx="2">
                  <c:v>Phase 3</c:v>
                </c:pt>
                <c:pt idx="3">
                  <c:v>Phase 4</c:v>
                </c:pt>
              </c:strCache>
            </c:strRef>
          </c:cat>
          <c:val>
            <c:numRef>
              <c:f>'UCS - PFA-GGBS + RC (2)'!$U$11:$U$14</c:f>
              <c:numCache>
                <c:formatCode>General</c:formatCode>
                <c:ptCount val="4"/>
                <c:pt idx="0">
                  <c:v>0.56999999999999995</c:v>
                </c:pt>
                <c:pt idx="1">
                  <c:v>0</c:v>
                </c:pt>
                <c:pt idx="2">
                  <c:v>0</c:v>
                </c:pt>
                <c:pt idx="3">
                  <c:v>0</c:v>
                </c:pt>
              </c:numCache>
            </c:numRef>
          </c:val>
          <c:extLst>
            <c:ext xmlns:c16="http://schemas.microsoft.com/office/drawing/2014/chart" uri="{C3380CC4-5D6E-409C-BE32-E72D297353CC}">
              <c16:uniqueId val="{00000000-A52B-4E94-ACFF-523585DF8C75}"/>
            </c:ext>
          </c:extLst>
        </c:ser>
        <c:ser>
          <c:idx val="1"/>
          <c:order val="1"/>
          <c:tx>
            <c:strRef>
              <c:f>'UCS - PFA-GGBS + RC (2)'!$V$10</c:f>
              <c:strCache>
                <c:ptCount val="1"/>
                <c:pt idx="0">
                  <c:v>Cem+GGBS</c:v>
                </c:pt>
              </c:strCache>
            </c:strRef>
          </c:tx>
          <c:spPr>
            <a:pattFill prst="dkDnDiag">
              <a:fgClr>
                <a:sysClr val="windowText" lastClr="000000"/>
              </a:fgClr>
              <a:bgClr>
                <a:schemeClr val="bg1"/>
              </a:bgClr>
            </a:pattFill>
            <a:ln>
              <a:solidFill>
                <a:schemeClr val="tx1"/>
              </a:solidFill>
            </a:ln>
            <a:effectLst/>
          </c:spPr>
          <c:invertIfNegative val="0"/>
          <c:cat>
            <c:strRef>
              <c:f>'UCS - PFA-GGBS + RC (2)'!$T$11:$T$14</c:f>
              <c:strCache>
                <c:ptCount val="4"/>
                <c:pt idx="0">
                  <c:v>Phase 1</c:v>
                </c:pt>
                <c:pt idx="1">
                  <c:v>Phase 2</c:v>
                </c:pt>
                <c:pt idx="2">
                  <c:v>Phase 3</c:v>
                </c:pt>
                <c:pt idx="3">
                  <c:v>Phase 4</c:v>
                </c:pt>
              </c:strCache>
            </c:strRef>
          </c:cat>
          <c:val>
            <c:numRef>
              <c:f>'UCS - PFA-GGBS + RC (2)'!$V$11:$V$14</c:f>
              <c:numCache>
                <c:formatCode>0.00</c:formatCode>
                <c:ptCount val="4"/>
                <c:pt idx="0">
                  <c:v>0</c:v>
                </c:pt>
                <c:pt idx="1">
                  <c:v>0.56000000000000005</c:v>
                </c:pt>
                <c:pt idx="2">
                  <c:v>0.52</c:v>
                </c:pt>
                <c:pt idx="3">
                  <c:v>0.45</c:v>
                </c:pt>
              </c:numCache>
            </c:numRef>
          </c:val>
          <c:extLst>
            <c:ext xmlns:c16="http://schemas.microsoft.com/office/drawing/2014/chart" uri="{C3380CC4-5D6E-409C-BE32-E72D297353CC}">
              <c16:uniqueId val="{00000001-A52B-4E94-ACFF-523585DF8C75}"/>
            </c:ext>
          </c:extLst>
        </c:ser>
        <c:dLbls>
          <c:showLegendKey val="0"/>
          <c:showVal val="0"/>
          <c:showCatName val="0"/>
          <c:showSerName val="0"/>
          <c:showPercent val="0"/>
          <c:showBubbleSize val="0"/>
        </c:dLbls>
        <c:gapWidth val="219"/>
        <c:overlap val="-27"/>
        <c:axId val="491845168"/>
        <c:axId val="491844840"/>
      </c:barChart>
      <c:lineChart>
        <c:grouping val="standard"/>
        <c:varyColors val="0"/>
        <c:ser>
          <c:idx val="2"/>
          <c:order val="2"/>
          <c:tx>
            <c:strRef>
              <c:f>'UCS - PFA-GGBS + RC (2)'!$W$10</c:f>
              <c:strCache>
                <c:ptCount val="1"/>
                <c:pt idx="0">
                  <c:v>Soil II + CEM+GGBS+RC</c:v>
                </c:pt>
              </c:strCache>
            </c:strRef>
          </c:tx>
          <c:spPr>
            <a:ln w="12700" cap="rnd">
              <a:solidFill>
                <a:schemeClr val="tx1"/>
              </a:solidFill>
              <a:round/>
            </a:ln>
            <a:effectLst/>
          </c:spPr>
          <c:marker>
            <c:symbol val="circle"/>
            <c:size val="5"/>
            <c:spPr>
              <a:solidFill>
                <a:schemeClr val="tx1"/>
              </a:solidFill>
              <a:ln w="12700">
                <a:solidFill>
                  <a:schemeClr val="tx1"/>
                </a:solidFill>
              </a:ln>
              <a:effectLst/>
            </c:spPr>
          </c:marker>
          <c:cat>
            <c:strRef>
              <c:f>'UCS - PFA-GGBS + RC (2)'!$T$11:$T$14</c:f>
              <c:strCache>
                <c:ptCount val="4"/>
                <c:pt idx="0">
                  <c:v>Phase 1</c:v>
                </c:pt>
                <c:pt idx="1">
                  <c:v>Phase 2</c:v>
                </c:pt>
                <c:pt idx="2">
                  <c:v>Phase 3</c:v>
                </c:pt>
                <c:pt idx="3">
                  <c:v>Phase 4</c:v>
                </c:pt>
              </c:strCache>
            </c:strRef>
          </c:cat>
          <c:val>
            <c:numRef>
              <c:f>'UCS - PFA-GGBS + RC (2)'!$W$11:$W$14</c:f>
              <c:numCache>
                <c:formatCode>0.00</c:formatCode>
                <c:ptCount val="4"/>
                <c:pt idx="0">
                  <c:v>0</c:v>
                </c:pt>
                <c:pt idx="1">
                  <c:v>0.57999999999999996</c:v>
                </c:pt>
                <c:pt idx="2">
                  <c:v>0.46</c:v>
                </c:pt>
                <c:pt idx="3">
                  <c:v>0.4</c:v>
                </c:pt>
              </c:numCache>
            </c:numRef>
          </c:val>
          <c:smooth val="0"/>
          <c:extLst>
            <c:ext xmlns:c16="http://schemas.microsoft.com/office/drawing/2014/chart" uri="{C3380CC4-5D6E-409C-BE32-E72D297353CC}">
              <c16:uniqueId val="{00000002-A52B-4E94-ACFF-523585DF8C75}"/>
            </c:ext>
          </c:extLst>
        </c:ser>
        <c:ser>
          <c:idx val="3"/>
          <c:order val="3"/>
          <c:tx>
            <c:strRef>
              <c:f>'UCS - PFA-GGBS + RC (2)'!$X$10</c:f>
              <c:strCache>
                <c:ptCount val="1"/>
                <c:pt idx="0">
                  <c:v>Soil II + C+PFA+RC</c:v>
                </c:pt>
              </c:strCache>
            </c:strRef>
          </c:tx>
          <c:spPr>
            <a:ln w="12700" cap="rnd">
              <a:solidFill>
                <a:schemeClr val="tx1"/>
              </a:solidFill>
              <a:prstDash val="dash"/>
              <a:round/>
            </a:ln>
            <a:effectLst/>
          </c:spPr>
          <c:marker>
            <c:symbol val="circle"/>
            <c:size val="5"/>
            <c:spPr>
              <a:solidFill>
                <a:schemeClr val="tx1"/>
              </a:solidFill>
              <a:ln w="12700">
                <a:solidFill>
                  <a:schemeClr val="tx1"/>
                </a:solidFill>
                <a:prstDash val="dash"/>
              </a:ln>
              <a:effectLst/>
            </c:spPr>
          </c:marker>
          <c:cat>
            <c:strRef>
              <c:f>'UCS - PFA-GGBS + RC (2)'!$T$11:$T$14</c:f>
              <c:strCache>
                <c:ptCount val="4"/>
                <c:pt idx="0">
                  <c:v>Phase 1</c:v>
                </c:pt>
                <c:pt idx="1">
                  <c:v>Phase 2</c:v>
                </c:pt>
                <c:pt idx="2">
                  <c:v>Phase 3</c:v>
                </c:pt>
                <c:pt idx="3">
                  <c:v>Phase 4</c:v>
                </c:pt>
              </c:strCache>
            </c:strRef>
          </c:cat>
          <c:val>
            <c:numRef>
              <c:f>'UCS - PFA-GGBS + RC (2)'!$X$11:$X$14</c:f>
              <c:numCache>
                <c:formatCode>0.00</c:formatCode>
                <c:ptCount val="4"/>
                <c:pt idx="0">
                  <c:v>0</c:v>
                </c:pt>
                <c:pt idx="1">
                  <c:v>0.3</c:v>
                </c:pt>
                <c:pt idx="2">
                  <c:v>0.27</c:v>
                </c:pt>
                <c:pt idx="3">
                  <c:v>0.17</c:v>
                </c:pt>
              </c:numCache>
            </c:numRef>
          </c:val>
          <c:smooth val="0"/>
          <c:extLst>
            <c:ext xmlns:c16="http://schemas.microsoft.com/office/drawing/2014/chart" uri="{C3380CC4-5D6E-409C-BE32-E72D297353CC}">
              <c16:uniqueId val="{00000003-A52B-4E94-ACFF-523585DF8C75}"/>
            </c:ext>
          </c:extLst>
        </c:ser>
        <c:dLbls>
          <c:showLegendKey val="0"/>
          <c:showVal val="0"/>
          <c:showCatName val="0"/>
          <c:showSerName val="0"/>
          <c:showPercent val="0"/>
          <c:showBubbleSize val="0"/>
        </c:dLbls>
        <c:marker val="1"/>
        <c:smooth val="0"/>
        <c:axId val="491845168"/>
        <c:axId val="491844840"/>
      </c:lineChart>
      <c:catAx>
        <c:axId val="491845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Soil treatment phase</a:t>
                </a:r>
              </a:p>
            </c:rich>
          </c:tx>
          <c:layout>
            <c:manualLayout>
              <c:xMode val="edge"/>
              <c:yMode val="edge"/>
              <c:x val="0.37380503493401351"/>
              <c:y val="0.793159131870918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91844840"/>
        <c:crosses val="autoZero"/>
        <c:auto val="1"/>
        <c:lblAlgn val="ctr"/>
        <c:lblOffset val="100"/>
        <c:noMultiLvlLbl val="0"/>
      </c:catAx>
      <c:valAx>
        <c:axId val="491844840"/>
        <c:scaling>
          <c:orientation val="minMax"/>
          <c:max val="0.9"/>
        </c:scaling>
        <c:delete val="0"/>
        <c:axPos val="l"/>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sz="1000" b="0" i="0" u="none" strike="noStrike" kern="1200" baseline="0">
                    <a:solidFill>
                      <a:sysClr val="windowText" lastClr="000000"/>
                    </a:solidFill>
                    <a:latin typeface="+mn-lt"/>
                    <a:ea typeface="+mn-ea"/>
                    <a:cs typeface="+mn-cs"/>
                  </a:rPr>
                  <a:t>Undrained shear strenght </a:t>
                </a:r>
                <a:r>
                  <a:rPr lang="en-GB"/>
                  <a:t>(MPa)</a:t>
                </a:r>
              </a:p>
            </c:rich>
          </c:tx>
          <c:layout>
            <c:manualLayout>
              <c:xMode val="edge"/>
              <c:yMode val="edge"/>
              <c:x val="1.9444429514570063E-2"/>
              <c:y val="7.608600106089101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91845168"/>
        <c:crosses val="autoZero"/>
        <c:crossBetween val="between"/>
      </c:valAx>
      <c:spPr>
        <a:solidFill>
          <a:schemeClr val="lt1"/>
        </a:solidFill>
        <a:ln w="12700" cap="flat" cmpd="sng" algn="ctr">
          <a:solidFill>
            <a:schemeClr val="dk1"/>
          </a:solidFill>
          <a:prstDash val="solid"/>
          <a:miter lim="800000"/>
        </a:ln>
        <a:effectLst/>
      </c:spPr>
    </c:plotArea>
    <c:legend>
      <c:legendPos val="b"/>
      <c:layout>
        <c:manualLayout>
          <c:xMode val="edge"/>
          <c:yMode val="edge"/>
          <c:x val="0.19464817751023442"/>
          <c:y val="0.84826888764888642"/>
          <c:w val="0.75311374810543052"/>
          <c:h val="0.14123242468707162"/>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bg1">
          <a:lumMod val="9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sz="1200">
                <a:solidFill>
                  <a:sysClr val="windowText" lastClr="000000"/>
                </a:solidFill>
              </a:rPr>
              <a:t>Soil</a:t>
            </a:r>
            <a:r>
              <a:rPr lang="en-GB" sz="1200" baseline="0">
                <a:solidFill>
                  <a:sysClr val="windowText" lastClr="000000"/>
                </a:solidFill>
              </a:rPr>
              <a:t> I - 28 Days</a:t>
            </a:r>
            <a:endParaRPr lang="en-GB" sz="1200">
              <a:solidFill>
                <a:sysClr val="windowText" lastClr="000000"/>
              </a:solidFill>
            </a:endParaRPr>
          </a:p>
        </c:rich>
      </c:tx>
      <c:layout>
        <c:manualLayout>
          <c:xMode val="edge"/>
          <c:yMode val="edge"/>
          <c:x val="0.20187793427230047"/>
          <c:y val="0.11129858134821756"/>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343240545636022"/>
          <c:y val="2.5428331875182269E-2"/>
          <c:w val="0.78601197737606721"/>
          <c:h val="0.66959062408865555"/>
        </c:manualLayout>
      </c:layout>
      <c:barChart>
        <c:barDir val="col"/>
        <c:grouping val="clustered"/>
        <c:varyColors val="0"/>
        <c:ser>
          <c:idx val="0"/>
          <c:order val="0"/>
          <c:tx>
            <c:strRef>
              <c:f>'UCS - PFA-GGBS + RC (2)'!$U$16</c:f>
              <c:strCache>
                <c:ptCount val="1"/>
                <c:pt idx="0">
                  <c:v>Cem</c:v>
                </c:pt>
              </c:strCache>
            </c:strRef>
          </c:tx>
          <c:spPr>
            <a:solidFill>
              <a:schemeClr val="lt1"/>
            </a:solidFill>
            <a:ln w="19050" cap="flat" cmpd="sng" algn="ctr">
              <a:solidFill>
                <a:schemeClr val="dk1"/>
              </a:solidFill>
              <a:prstDash val="solid"/>
              <a:miter lim="800000"/>
            </a:ln>
            <a:effectLst/>
          </c:spPr>
          <c:invertIfNegative val="0"/>
          <c:cat>
            <c:strRef>
              <c:f>'UCS - PFA-GGBS + RC (2)'!$T$17:$T$20</c:f>
              <c:strCache>
                <c:ptCount val="4"/>
                <c:pt idx="0">
                  <c:v>Phase 1</c:v>
                </c:pt>
                <c:pt idx="1">
                  <c:v>Phase 2</c:v>
                </c:pt>
                <c:pt idx="2">
                  <c:v>Phase 3</c:v>
                </c:pt>
                <c:pt idx="3">
                  <c:v>Phase 4</c:v>
                </c:pt>
              </c:strCache>
            </c:strRef>
          </c:cat>
          <c:val>
            <c:numRef>
              <c:f>'UCS - PFA-GGBS + RC (2)'!$U$17:$U$20</c:f>
              <c:numCache>
                <c:formatCode>General</c:formatCode>
                <c:ptCount val="4"/>
                <c:pt idx="0">
                  <c:v>0.55000000000000004</c:v>
                </c:pt>
                <c:pt idx="1">
                  <c:v>0</c:v>
                </c:pt>
                <c:pt idx="2">
                  <c:v>0</c:v>
                </c:pt>
                <c:pt idx="3">
                  <c:v>0</c:v>
                </c:pt>
              </c:numCache>
            </c:numRef>
          </c:val>
          <c:extLst>
            <c:ext xmlns:c16="http://schemas.microsoft.com/office/drawing/2014/chart" uri="{C3380CC4-5D6E-409C-BE32-E72D297353CC}">
              <c16:uniqueId val="{00000000-8889-4598-910C-69E944AAFF1D}"/>
            </c:ext>
          </c:extLst>
        </c:ser>
        <c:ser>
          <c:idx val="1"/>
          <c:order val="1"/>
          <c:tx>
            <c:strRef>
              <c:f>'UCS - PFA-GGBS + RC (2)'!$V$16</c:f>
              <c:strCache>
                <c:ptCount val="1"/>
                <c:pt idx="0">
                  <c:v>Cem+GGBS</c:v>
                </c:pt>
              </c:strCache>
            </c:strRef>
          </c:tx>
          <c:spPr>
            <a:pattFill prst="dkDnDiag">
              <a:fgClr>
                <a:sysClr val="windowText" lastClr="000000"/>
              </a:fgClr>
              <a:bgClr>
                <a:schemeClr val="bg1"/>
              </a:bgClr>
            </a:pattFill>
            <a:ln>
              <a:solidFill>
                <a:schemeClr val="tx1"/>
              </a:solidFill>
            </a:ln>
            <a:effectLst/>
          </c:spPr>
          <c:invertIfNegative val="0"/>
          <c:cat>
            <c:strRef>
              <c:f>'UCS - PFA-GGBS + RC (2)'!$T$17:$T$20</c:f>
              <c:strCache>
                <c:ptCount val="4"/>
                <c:pt idx="0">
                  <c:v>Phase 1</c:v>
                </c:pt>
                <c:pt idx="1">
                  <c:v>Phase 2</c:v>
                </c:pt>
                <c:pt idx="2">
                  <c:v>Phase 3</c:v>
                </c:pt>
                <c:pt idx="3">
                  <c:v>Phase 4</c:v>
                </c:pt>
              </c:strCache>
            </c:strRef>
          </c:cat>
          <c:val>
            <c:numRef>
              <c:f>'UCS - PFA-GGBS + RC (2)'!$V$17:$V$20</c:f>
              <c:numCache>
                <c:formatCode>0.00</c:formatCode>
                <c:ptCount val="4"/>
                <c:pt idx="0">
                  <c:v>0</c:v>
                </c:pt>
                <c:pt idx="1">
                  <c:v>0.57999999999999996</c:v>
                </c:pt>
                <c:pt idx="2">
                  <c:v>0.56999999999999995</c:v>
                </c:pt>
                <c:pt idx="3">
                  <c:v>0.45</c:v>
                </c:pt>
              </c:numCache>
            </c:numRef>
          </c:val>
          <c:extLst>
            <c:ext xmlns:c16="http://schemas.microsoft.com/office/drawing/2014/chart" uri="{C3380CC4-5D6E-409C-BE32-E72D297353CC}">
              <c16:uniqueId val="{00000001-8889-4598-910C-69E944AAFF1D}"/>
            </c:ext>
          </c:extLst>
        </c:ser>
        <c:dLbls>
          <c:showLegendKey val="0"/>
          <c:showVal val="0"/>
          <c:showCatName val="0"/>
          <c:showSerName val="0"/>
          <c:showPercent val="0"/>
          <c:showBubbleSize val="0"/>
        </c:dLbls>
        <c:gapWidth val="219"/>
        <c:overlap val="-27"/>
        <c:axId val="512501112"/>
        <c:axId val="512501768"/>
      </c:barChart>
      <c:lineChart>
        <c:grouping val="standard"/>
        <c:varyColors val="0"/>
        <c:ser>
          <c:idx val="2"/>
          <c:order val="2"/>
          <c:tx>
            <c:strRef>
              <c:f>'UCS - PFA-GGBS + RC (2)'!$W$16</c:f>
              <c:strCache>
                <c:ptCount val="1"/>
                <c:pt idx="0">
                  <c:v>Soil I + CEM+GGBS+RC</c:v>
                </c:pt>
              </c:strCache>
            </c:strRef>
          </c:tx>
          <c:spPr>
            <a:ln w="12700" cap="rnd">
              <a:solidFill>
                <a:schemeClr val="tx1"/>
              </a:solidFill>
              <a:round/>
            </a:ln>
            <a:effectLst/>
          </c:spPr>
          <c:marker>
            <c:symbol val="circle"/>
            <c:size val="5"/>
            <c:spPr>
              <a:solidFill>
                <a:schemeClr val="tx1"/>
              </a:solidFill>
              <a:ln w="12700">
                <a:solidFill>
                  <a:schemeClr val="tx1"/>
                </a:solidFill>
              </a:ln>
              <a:effectLst/>
            </c:spPr>
          </c:marker>
          <c:cat>
            <c:strRef>
              <c:f>'UCS - PFA-GGBS + RC (2)'!$T$17:$T$20</c:f>
              <c:strCache>
                <c:ptCount val="4"/>
                <c:pt idx="0">
                  <c:v>Phase 1</c:v>
                </c:pt>
                <c:pt idx="1">
                  <c:v>Phase 2</c:v>
                </c:pt>
                <c:pt idx="2">
                  <c:v>Phase 3</c:v>
                </c:pt>
                <c:pt idx="3">
                  <c:v>Phase 4</c:v>
                </c:pt>
              </c:strCache>
            </c:strRef>
          </c:cat>
          <c:val>
            <c:numRef>
              <c:f>'UCS - PFA-GGBS + RC (2)'!$W$17:$W$20</c:f>
              <c:numCache>
                <c:formatCode>0.00</c:formatCode>
                <c:ptCount val="4"/>
                <c:pt idx="0">
                  <c:v>0</c:v>
                </c:pt>
                <c:pt idx="1">
                  <c:v>0.6</c:v>
                </c:pt>
                <c:pt idx="2">
                  <c:v>0.54</c:v>
                </c:pt>
                <c:pt idx="3">
                  <c:v>0.51</c:v>
                </c:pt>
              </c:numCache>
            </c:numRef>
          </c:val>
          <c:smooth val="0"/>
          <c:extLst>
            <c:ext xmlns:c16="http://schemas.microsoft.com/office/drawing/2014/chart" uri="{C3380CC4-5D6E-409C-BE32-E72D297353CC}">
              <c16:uniqueId val="{00000002-8889-4598-910C-69E944AAFF1D}"/>
            </c:ext>
          </c:extLst>
        </c:ser>
        <c:ser>
          <c:idx val="3"/>
          <c:order val="3"/>
          <c:tx>
            <c:strRef>
              <c:f>'UCS - PFA-GGBS + RC (2)'!$X$16</c:f>
              <c:strCache>
                <c:ptCount val="1"/>
                <c:pt idx="0">
                  <c:v>Soil I + C+PFA+RC</c:v>
                </c:pt>
              </c:strCache>
            </c:strRef>
          </c:tx>
          <c:spPr>
            <a:ln w="12700" cap="rnd">
              <a:solidFill>
                <a:schemeClr val="tx1"/>
              </a:solidFill>
              <a:prstDash val="dash"/>
              <a:round/>
            </a:ln>
            <a:effectLst/>
          </c:spPr>
          <c:marker>
            <c:symbol val="circle"/>
            <c:size val="5"/>
            <c:spPr>
              <a:solidFill>
                <a:schemeClr val="tx1"/>
              </a:solidFill>
              <a:ln w="12700">
                <a:solidFill>
                  <a:schemeClr val="tx1"/>
                </a:solidFill>
                <a:prstDash val="dash"/>
              </a:ln>
              <a:effectLst/>
            </c:spPr>
          </c:marker>
          <c:cat>
            <c:strRef>
              <c:f>'UCS - PFA-GGBS + RC (2)'!$T$17:$T$20</c:f>
              <c:strCache>
                <c:ptCount val="4"/>
                <c:pt idx="0">
                  <c:v>Phase 1</c:v>
                </c:pt>
                <c:pt idx="1">
                  <c:v>Phase 2</c:v>
                </c:pt>
                <c:pt idx="2">
                  <c:v>Phase 3</c:v>
                </c:pt>
                <c:pt idx="3">
                  <c:v>Phase 4</c:v>
                </c:pt>
              </c:strCache>
            </c:strRef>
          </c:cat>
          <c:val>
            <c:numRef>
              <c:f>'UCS - PFA-GGBS + RC (2)'!$X$17:$X$20</c:f>
              <c:numCache>
                <c:formatCode>0.00</c:formatCode>
                <c:ptCount val="4"/>
                <c:pt idx="0">
                  <c:v>0</c:v>
                </c:pt>
                <c:pt idx="1">
                  <c:v>0.44</c:v>
                </c:pt>
                <c:pt idx="2">
                  <c:v>0.35</c:v>
                </c:pt>
                <c:pt idx="3">
                  <c:v>0.28000000000000003</c:v>
                </c:pt>
              </c:numCache>
            </c:numRef>
          </c:val>
          <c:smooth val="0"/>
          <c:extLst>
            <c:ext xmlns:c16="http://schemas.microsoft.com/office/drawing/2014/chart" uri="{C3380CC4-5D6E-409C-BE32-E72D297353CC}">
              <c16:uniqueId val="{00000003-8889-4598-910C-69E944AAFF1D}"/>
            </c:ext>
          </c:extLst>
        </c:ser>
        <c:dLbls>
          <c:showLegendKey val="0"/>
          <c:showVal val="0"/>
          <c:showCatName val="0"/>
          <c:showSerName val="0"/>
          <c:showPercent val="0"/>
          <c:showBubbleSize val="0"/>
        </c:dLbls>
        <c:marker val="1"/>
        <c:smooth val="0"/>
        <c:axId val="512501112"/>
        <c:axId val="512501768"/>
      </c:lineChart>
      <c:catAx>
        <c:axId val="5125011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Soil</a:t>
                </a:r>
                <a:r>
                  <a:rPr lang="en-GB" baseline="0">
                    <a:solidFill>
                      <a:sysClr val="windowText" lastClr="000000"/>
                    </a:solidFill>
                  </a:rPr>
                  <a:t> treatment phase</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2501768"/>
        <c:crosses val="autoZero"/>
        <c:auto val="1"/>
        <c:lblAlgn val="ctr"/>
        <c:lblOffset val="100"/>
        <c:noMultiLvlLbl val="0"/>
      </c:catAx>
      <c:valAx>
        <c:axId val="512501768"/>
        <c:scaling>
          <c:orientation val="minMax"/>
          <c:max val="0.9"/>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u="none" strike="noStrike" kern="1200" baseline="0">
                    <a:solidFill>
                      <a:sysClr val="windowText" lastClr="000000"/>
                    </a:solidFill>
                    <a:latin typeface="+mn-lt"/>
                    <a:ea typeface="+mn-ea"/>
                    <a:cs typeface="+mn-cs"/>
                  </a:rPr>
                  <a:t>Undrained shear strenght </a:t>
                </a:r>
                <a:r>
                  <a:rPr lang="en-GB" baseline="0">
                    <a:solidFill>
                      <a:sysClr val="windowText" lastClr="000000"/>
                    </a:solidFill>
                  </a:rPr>
                  <a:t>(MPa)</a:t>
                </a:r>
                <a:endParaRPr lang="en-GB">
                  <a:solidFill>
                    <a:sysClr val="windowText" lastClr="000000"/>
                  </a:solidFill>
                </a:endParaRPr>
              </a:p>
            </c:rich>
          </c:tx>
          <c:layout>
            <c:manualLayout>
              <c:xMode val="edge"/>
              <c:yMode val="edge"/>
              <c:x val="9.1941148201545222E-3"/>
              <c:y val="9.753812419017243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2501112"/>
        <c:crosses val="autoZero"/>
        <c:crossBetween val="between"/>
      </c:valAx>
      <c:spPr>
        <a:solidFill>
          <a:schemeClr val="lt1"/>
        </a:solidFill>
        <a:ln w="12700" cap="flat" cmpd="sng" algn="ctr">
          <a:solidFill>
            <a:schemeClr val="dk1"/>
          </a:solidFill>
          <a:prstDash val="solid"/>
          <a:miter lim="800000"/>
        </a:ln>
        <a:effectLst/>
      </c:spPr>
    </c:plotArea>
    <c:legend>
      <c:legendPos val="b"/>
      <c:layout>
        <c:manualLayout>
          <c:xMode val="edge"/>
          <c:yMode val="edge"/>
          <c:x val="0.21179106132860154"/>
          <c:y val="0.85406877304893847"/>
          <c:w val="0.68271708994122215"/>
          <c:h val="0.13242911724642012"/>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sz="1200">
                <a:solidFill>
                  <a:sysClr val="windowText" lastClr="000000"/>
                </a:solidFill>
              </a:rPr>
              <a:t>Soil</a:t>
            </a:r>
            <a:r>
              <a:rPr lang="en-GB" sz="1200" baseline="0">
                <a:solidFill>
                  <a:sysClr val="windowText" lastClr="000000"/>
                </a:solidFill>
              </a:rPr>
              <a:t> II - 28 Days</a:t>
            </a:r>
            <a:endParaRPr lang="en-GB" sz="1200">
              <a:solidFill>
                <a:sysClr val="windowText" lastClr="000000"/>
              </a:solidFill>
            </a:endParaRPr>
          </a:p>
        </c:rich>
      </c:tx>
      <c:layout>
        <c:manualLayout>
          <c:xMode val="edge"/>
          <c:yMode val="edge"/>
          <c:x val="0.57771626669533205"/>
          <c:y val="5.303030303030303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812724113711138"/>
          <c:y val="2.5428331875182269E-2"/>
          <c:w val="0.7813171416953163"/>
          <c:h val="0.66959062408865555"/>
        </c:manualLayout>
      </c:layout>
      <c:barChart>
        <c:barDir val="col"/>
        <c:grouping val="clustered"/>
        <c:varyColors val="0"/>
        <c:ser>
          <c:idx val="0"/>
          <c:order val="0"/>
          <c:tx>
            <c:strRef>
              <c:f>'UCS - PFA-GGBS + RC (2)'!$U$23</c:f>
              <c:strCache>
                <c:ptCount val="1"/>
                <c:pt idx="0">
                  <c:v>Cem</c:v>
                </c:pt>
              </c:strCache>
            </c:strRef>
          </c:tx>
          <c:spPr>
            <a:solidFill>
              <a:schemeClr val="lt1"/>
            </a:solidFill>
            <a:ln w="19050" cap="flat" cmpd="sng" algn="ctr">
              <a:solidFill>
                <a:schemeClr val="dk1"/>
              </a:solidFill>
              <a:prstDash val="solid"/>
              <a:miter lim="800000"/>
            </a:ln>
            <a:effectLst/>
          </c:spPr>
          <c:invertIfNegative val="0"/>
          <c:cat>
            <c:strRef>
              <c:f>'UCS - PFA-GGBS + RC (2)'!$T$24:$T$27</c:f>
              <c:strCache>
                <c:ptCount val="4"/>
                <c:pt idx="0">
                  <c:v>Phase 1</c:v>
                </c:pt>
                <c:pt idx="1">
                  <c:v>Phase 2</c:v>
                </c:pt>
                <c:pt idx="2">
                  <c:v>Phase 3</c:v>
                </c:pt>
                <c:pt idx="3">
                  <c:v>Phase 4</c:v>
                </c:pt>
              </c:strCache>
            </c:strRef>
          </c:cat>
          <c:val>
            <c:numRef>
              <c:f>'UCS - PFA-GGBS + RC (2)'!$U$24:$U$27</c:f>
              <c:numCache>
                <c:formatCode>General</c:formatCode>
                <c:ptCount val="4"/>
                <c:pt idx="0">
                  <c:v>0.81</c:v>
                </c:pt>
                <c:pt idx="1">
                  <c:v>0</c:v>
                </c:pt>
                <c:pt idx="2">
                  <c:v>0</c:v>
                </c:pt>
                <c:pt idx="3">
                  <c:v>0</c:v>
                </c:pt>
              </c:numCache>
            </c:numRef>
          </c:val>
          <c:extLst>
            <c:ext xmlns:c16="http://schemas.microsoft.com/office/drawing/2014/chart" uri="{C3380CC4-5D6E-409C-BE32-E72D297353CC}">
              <c16:uniqueId val="{00000000-6A81-4694-B3D6-308BD3C09143}"/>
            </c:ext>
          </c:extLst>
        </c:ser>
        <c:ser>
          <c:idx val="1"/>
          <c:order val="1"/>
          <c:tx>
            <c:strRef>
              <c:f>'UCS - PFA-GGBS + RC (2)'!$V$23</c:f>
              <c:strCache>
                <c:ptCount val="1"/>
                <c:pt idx="0">
                  <c:v>Cem+GGBS</c:v>
                </c:pt>
              </c:strCache>
            </c:strRef>
          </c:tx>
          <c:spPr>
            <a:pattFill prst="dkDnDiag">
              <a:fgClr>
                <a:sysClr val="windowText" lastClr="000000"/>
              </a:fgClr>
              <a:bgClr>
                <a:schemeClr val="bg1"/>
              </a:bgClr>
            </a:pattFill>
            <a:ln>
              <a:solidFill>
                <a:schemeClr val="tx1"/>
              </a:solidFill>
            </a:ln>
            <a:effectLst/>
          </c:spPr>
          <c:invertIfNegative val="0"/>
          <c:cat>
            <c:strRef>
              <c:f>'UCS - PFA-GGBS + RC (2)'!$T$24:$T$27</c:f>
              <c:strCache>
                <c:ptCount val="4"/>
                <c:pt idx="0">
                  <c:v>Phase 1</c:v>
                </c:pt>
                <c:pt idx="1">
                  <c:v>Phase 2</c:v>
                </c:pt>
                <c:pt idx="2">
                  <c:v>Phase 3</c:v>
                </c:pt>
                <c:pt idx="3">
                  <c:v>Phase 4</c:v>
                </c:pt>
              </c:strCache>
            </c:strRef>
          </c:cat>
          <c:val>
            <c:numRef>
              <c:f>'UCS - PFA-GGBS + RC (2)'!$V$24:$V$27</c:f>
              <c:numCache>
                <c:formatCode>0.00</c:formatCode>
                <c:ptCount val="4"/>
                <c:pt idx="0">
                  <c:v>0</c:v>
                </c:pt>
                <c:pt idx="1">
                  <c:v>0.7</c:v>
                </c:pt>
                <c:pt idx="2">
                  <c:v>0.66</c:v>
                </c:pt>
                <c:pt idx="3">
                  <c:v>0.57999999999999996</c:v>
                </c:pt>
              </c:numCache>
            </c:numRef>
          </c:val>
          <c:extLst>
            <c:ext xmlns:c16="http://schemas.microsoft.com/office/drawing/2014/chart" uri="{C3380CC4-5D6E-409C-BE32-E72D297353CC}">
              <c16:uniqueId val="{00000001-6A81-4694-B3D6-308BD3C09143}"/>
            </c:ext>
          </c:extLst>
        </c:ser>
        <c:dLbls>
          <c:showLegendKey val="0"/>
          <c:showVal val="0"/>
          <c:showCatName val="0"/>
          <c:showSerName val="0"/>
          <c:showPercent val="0"/>
          <c:showBubbleSize val="0"/>
        </c:dLbls>
        <c:gapWidth val="219"/>
        <c:overlap val="-27"/>
        <c:axId val="491838280"/>
        <c:axId val="491838608"/>
      </c:barChart>
      <c:lineChart>
        <c:grouping val="standard"/>
        <c:varyColors val="0"/>
        <c:ser>
          <c:idx val="2"/>
          <c:order val="2"/>
          <c:tx>
            <c:strRef>
              <c:f>'UCS - PFA-GGBS + RC (2)'!$W$23</c:f>
              <c:strCache>
                <c:ptCount val="1"/>
                <c:pt idx="0">
                  <c:v>Soil II + CEM+GGBS+RC</c:v>
                </c:pt>
              </c:strCache>
            </c:strRef>
          </c:tx>
          <c:spPr>
            <a:ln w="12700" cap="rnd">
              <a:solidFill>
                <a:schemeClr val="tx1"/>
              </a:solidFill>
              <a:round/>
            </a:ln>
            <a:effectLst/>
          </c:spPr>
          <c:marker>
            <c:symbol val="circle"/>
            <c:size val="5"/>
            <c:spPr>
              <a:solidFill>
                <a:schemeClr val="tx1"/>
              </a:solidFill>
              <a:ln w="12700">
                <a:solidFill>
                  <a:schemeClr val="tx1"/>
                </a:solidFill>
              </a:ln>
              <a:effectLst/>
            </c:spPr>
          </c:marker>
          <c:cat>
            <c:strRef>
              <c:f>'UCS - PFA-GGBS + RC (2)'!$T$24:$T$27</c:f>
              <c:strCache>
                <c:ptCount val="4"/>
                <c:pt idx="0">
                  <c:v>Phase 1</c:v>
                </c:pt>
                <c:pt idx="1">
                  <c:v>Phase 2</c:v>
                </c:pt>
                <c:pt idx="2">
                  <c:v>Phase 3</c:v>
                </c:pt>
                <c:pt idx="3">
                  <c:v>Phase 4</c:v>
                </c:pt>
              </c:strCache>
            </c:strRef>
          </c:cat>
          <c:val>
            <c:numRef>
              <c:f>'UCS - PFA-GGBS + RC (2)'!$W$24:$W$27</c:f>
              <c:numCache>
                <c:formatCode>0.00</c:formatCode>
                <c:ptCount val="4"/>
                <c:pt idx="0">
                  <c:v>0</c:v>
                </c:pt>
                <c:pt idx="1">
                  <c:v>0.74</c:v>
                </c:pt>
                <c:pt idx="2">
                  <c:v>0.55000000000000004</c:v>
                </c:pt>
                <c:pt idx="3">
                  <c:v>0.5</c:v>
                </c:pt>
              </c:numCache>
            </c:numRef>
          </c:val>
          <c:smooth val="0"/>
          <c:extLst>
            <c:ext xmlns:c16="http://schemas.microsoft.com/office/drawing/2014/chart" uri="{C3380CC4-5D6E-409C-BE32-E72D297353CC}">
              <c16:uniqueId val="{00000002-6A81-4694-B3D6-308BD3C09143}"/>
            </c:ext>
          </c:extLst>
        </c:ser>
        <c:ser>
          <c:idx val="3"/>
          <c:order val="3"/>
          <c:tx>
            <c:strRef>
              <c:f>'UCS - PFA-GGBS + RC (2)'!$X$23</c:f>
              <c:strCache>
                <c:ptCount val="1"/>
                <c:pt idx="0">
                  <c:v>Soil I + C+PFA+RC</c:v>
                </c:pt>
              </c:strCache>
            </c:strRef>
          </c:tx>
          <c:spPr>
            <a:ln w="12700" cap="rnd">
              <a:solidFill>
                <a:schemeClr val="tx1"/>
              </a:solidFill>
              <a:prstDash val="dash"/>
              <a:round/>
            </a:ln>
            <a:effectLst/>
          </c:spPr>
          <c:marker>
            <c:symbol val="circle"/>
            <c:size val="5"/>
            <c:spPr>
              <a:solidFill>
                <a:schemeClr val="tx1"/>
              </a:solidFill>
              <a:ln w="12700">
                <a:solidFill>
                  <a:schemeClr val="tx1"/>
                </a:solidFill>
                <a:prstDash val="dash"/>
              </a:ln>
              <a:effectLst/>
            </c:spPr>
          </c:marker>
          <c:cat>
            <c:strRef>
              <c:f>'UCS - PFA-GGBS + RC (2)'!$T$24:$T$27</c:f>
              <c:strCache>
                <c:ptCount val="4"/>
                <c:pt idx="0">
                  <c:v>Phase 1</c:v>
                </c:pt>
                <c:pt idx="1">
                  <c:v>Phase 2</c:v>
                </c:pt>
                <c:pt idx="2">
                  <c:v>Phase 3</c:v>
                </c:pt>
                <c:pt idx="3">
                  <c:v>Phase 4</c:v>
                </c:pt>
              </c:strCache>
            </c:strRef>
          </c:cat>
          <c:val>
            <c:numRef>
              <c:f>'UCS - PFA-GGBS + RC (2)'!$X$24:$X$27</c:f>
              <c:numCache>
                <c:formatCode>0.00</c:formatCode>
                <c:ptCount val="4"/>
                <c:pt idx="0">
                  <c:v>0</c:v>
                </c:pt>
                <c:pt idx="1">
                  <c:v>0.44</c:v>
                </c:pt>
                <c:pt idx="2">
                  <c:v>0.38</c:v>
                </c:pt>
                <c:pt idx="3">
                  <c:v>0.24</c:v>
                </c:pt>
              </c:numCache>
            </c:numRef>
          </c:val>
          <c:smooth val="0"/>
          <c:extLst>
            <c:ext xmlns:c16="http://schemas.microsoft.com/office/drawing/2014/chart" uri="{C3380CC4-5D6E-409C-BE32-E72D297353CC}">
              <c16:uniqueId val="{00000003-6A81-4694-B3D6-308BD3C09143}"/>
            </c:ext>
          </c:extLst>
        </c:ser>
        <c:dLbls>
          <c:showLegendKey val="0"/>
          <c:showVal val="0"/>
          <c:showCatName val="0"/>
          <c:showSerName val="0"/>
          <c:showPercent val="0"/>
          <c:showBubbleSize val="0"/>
        </c:dLbls>
        <c:marker val="1"/>
        <c:smooth val="0"/>
        <c:axId val="491838280"/>
        <c:axId val="491838608"/>
      </c:lineChart>
      <c:catAx>
        <c:axId val="4918382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Soil</a:t>
                </a:r>
                <a:r>
                  <a:rPr lang="en-GB" baseline="0">
                    <a:solidFill>
                      <a:sysClr val="windowText" lastClr="000000"/>
                    </a:solidFill>
                  </a:rPr>
                  <a:t> trestment phase</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1838608"/>
        <c:crosses val="autoZero"/>
        <c:auto val="1"/>
        <c:lblAlgn val="ctr"/>
        <c:lblOffset val="100"/>
        <c:noMultiLvlLbl val="0"/>
      </c:catAx>
      <c:valAx>
        <c:axId val="4918386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u="none" strike="noStrike" kern="1200" baseline="0">
                    <a:solidFill>
                      <a:sysClr val="windowText" lastClr="000000"/>
                    </a:solidFill>
                    <a:latin typeface="+mn-lt"/>
                    <a:ea typeface="+mn-ea"/>
                    <a:cs typeface="+mn-cs"/>
                  </a:rPr>
                  <a:t>Undrained shear strenght </a:t>
                </a:r>
                <a:r>
                  <a:rPr lang="en-GB" baseline="0">
                    <a:solidFill>
                      <a:sysClr val="windowText" lastClr="000000"/>
                    </a:solidFill>
                  </a:rPr>
                  <a:t>(MPa)</a:t>
                </a:r>
                <a:endParaRPr lang="en-GB">
                  <a:solidFill>
                    <a:sysClr val="windowText" lastClr="000000"/>
                  </a:solidFill>
                </a:endParaRPr>
              </a:p>
            </c:rich>
          </c:tx>
          <c:layout>
            <c:manualLayout>
              <c:xMode val="edge"/>
              <c:yMode val="edge"/>
              <c:x val="1.6666756245912948E-2"/>
              <c:y val="0.11169145523476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1838280"/>
        <c:crosses val="autoZero"/>
        <c:crossBetween val="between"/>
      </c:valAx>
      <c:spPr>
        <a:solidFill>
          <a:schemeClr val="lt1"/>
        </a:solidFill>
        <a:ln w="12700" cap="flat" cmpd="sng" algn="ctr">
          <a:solidFill>
            <a:schemeClr val="dk1"/>
          </a:solidFill>
          <a:prstDash val="solid"/>
          <a:miter lim="800000"/>
        </a:ln>
        <a:effectLst/>
      </c:spPr>
    </c:plotArea>
    <c:legend>
      <c:legendPos val="b"/>
      <c:layout>
        <c:manualLayout>
          <c:xMode val="edge"/>
          <c:yMode val="edge"/>
          <c:x val="0.23064183529959778"/>
          <c:y val="0.8443802857976086"/>
          <c:w val="0.71711988466230459"/>
          <c:h val="0.13541769400037115"/>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79793006946686851"/>
          <c:h val="0.64868038945242712"/>
        </c:manualLayout>
      </c:layout>
      <c:barChart>
        <c:barDir val="col"/>
        <c:grouping val="clustered"/>
        <c:varyColors val="0"/>
        <c:ser>
          <c:idx val="0"/>
          <c:order val="0"/>
          <c:tx>
            <c:v>Swell percent (%)</c:v>
          </c:tx>
          <c:spPr>
            <a:solidFill>
              <a:schemeClr val="bg2">
                <a:lumMod val="50000"/>
              </a:schemeClr>
            </a:solidFill>
            <a:ln>
              <a:noFill/>
            </a:ln>
            <a:effectLst/>
          </c:spPr>
          <c:invertIfNegative val="0"/>
          <c:cat>
            <c:strRef>
              <c:f>Sheet2!$B$3:$B$13</c:f>
              <c:strCache>
                <c:ptCount val="11"/>
                <c:pt idx="0">
                  <c:v>Untreated soil I</c:v>
                </c:pt>
                <c:pt idx="1">
                  <c:v>8%Cem</c:v>
                </c:pt>
                <c:pt idx="2">
                  <c:v>4%Cem+4%GGBS</c:v>
                </c:pt>
                <c:pt idx="3">
                  <c:v>4%Cem+3%GGBS+1%RC</c:v>
                </c:pt>
                <c:pt idx="4">
                  <c:v>4%Cem+3%PFA+1%RC</c:v>
                </c:pt>
                <c:pt idx="5">
                  <c:v>3%Cem+5%GGBS</c:v>
                </c:pt>
                <c:pt idx="6">
                  <c:v>3%Cem+4%GGBS+1%RC</c:v>
                </c:pt>
                <c:pt idx="7">
                  <c:v>3%Cem+4%PFA+1%RC</c:v>
                </c:pt>
                <c:pt idx="8">
                  <c:v>2%Cem+6%GGBS</c:v>
                </c:pt>
                <c:pt idx="9">
                  <c:v>2%Cem+5%GGBS+1%RC</c:v>
                </c:pt>
                <c:pt idx="10">
                  <c:v>2%Cem+5%PFA+1%RC</c:v>
                </c:pt>
              </c:strCache>
            </c:strRef>
          </c:cat>
          <c:val>
            <c:numRef>
              <c:f>Sheet2!$C$3:$C$13</c:f>
              <c:numCache>
                <c:formatCode>General</c:formatCode>
                <c:ptCount val="11"/>
                <c:pt idx="0">
                  <c:v>12.6</c:v>
                </c:pt>
                <c:pt idx="1">
                  <c:v>0.57999999999999996</c:v>
                </c:pt>
                <c:pt idx="2">
                  <c:v>1.1000000000000001</c:v>
                </c:pt>
                <c:pt idx="3">
                  <c:v>0.61</c:v>
                </c:pt>
                <c:pt idx="4">
                  <c:v>0.92</c:v>
                </c:pt>
                <c:pt idx="5">
                  <c:v>2.2000000000000002</c:v>
                </c:pt>
                <c:pt idx="6">
                  <c:v>1.2</c:v>
                </c:pt>
                <c:pt idx="7">
                  <c:v>2.2999999999999998</c:v>
                </c:pt>
                <c:pt idx="8">
                  <c:v>4.5999999999999996</c:v>
                </c:pt>
                <c:pt idx="9">
                  <c:v>1.83</c:v>
                </c:pt>
                <c:pt idx="10">
                  <c:v>2.1</c:v>
                </c:pt>
              </c:numCache>
            </c:numRef>
          </c:val>
          <c:extLst>
            <c:ext xmlns:c16="http://schemas.microsoft.com/office/drawing/2014/chart" uri="{C3380CC4-5D6E-409C-BE32-E72D297353CC}">
              <c16:uniqueId val="{00000000-6376-4CEB-BCE8-13C83D3497B1}"/>
            </c:ext>
          </c:extLst>
        </c:ser>
        <c:dLbls>
          <c:showLegendKey val="0"/>
          <c:showVal val="0"/>
          <c:showCatName val="0"/>
          <c:showSerName val="0"/>
          <c:showPercent val="0"/>
          <c:showBubbleSize val="0"/>
        </c:dLbls>
        <c:gapWidth val="219"/>
        <c:overlap val="-27"/>
        <c:axId val="562063488"/>
        <c:axId val="562066112"/>
      </c:barChart>
      <c:lineChart>
        <c:grouping val="percentStacked"/>
        <c:varyColors val="0"/>
        <c:ser>
          <c:idx val="2"/>
          <c:order val="1"/>
          <c:tx>
            <c:v>1.5% Max Swell ( Ohio department of transport, 2011) </c:v>
          </c:tx>
          <c:spPr>
            <a:ln w="12700" cap="flat" cmpd="sng" algn="ctr">
              <a:solidFill>
                <a:schemeClr val="dk1"/>
              </a:solidFill>
              <a:prstDash val="dash"/>
              <a:miter lim="800000"/>
            </a:ln>
            <a:effectLst/>
          </c:spPr>
          <c:marker>
            <c:symbol val="none"/>
          </c:marker>
          <c:cat>
            <c:strRef>
              <c:f>Sheet2!$B$3:$B$13</c:f>
              <c:strCache>
                <c:ptCount val="11"/>
                <c:pt idx="0">
                  <c:v>Untreated soil I</c:v>
                </c:pt>
                <c:pt idx="1">
                  <c:v>8%Cem</c:v>
                </c:pt>
                <c:pt idx="2">
                  <c:v>4%Cem+4%GGBS</c:v>
                </c:pt>
                <c:pt idx="3">
                  <c:v>4%Cem+3%GGBS+1%RC</c:v>
                </c:pt>
                <c:pt idx="4">
                  <c:v>4%Cem+3%PFA+1%RC</c:v>
                </c:pt>
                <c:pt idx="5">
                  <c:v>3%Cem+5%GGBS</c:v>
                </c:pt>
                <c:pt idx="6">
                  <c:v>3%Cem+4%GGBS+1%RC</c:v>
                </c:pt>
                <c:pt idx="7">
                  <c:v>3%Cem+4%PFA+1%RC</c:v>
                </c:pt>
                <c:pt idx="8">
                  <c:v>2%Cem+6%GGBS</c:v>
                </c:pt>
                <c:pt idx="9">
                  <c:v>2%Cem+5%GGBS+1%RC</c:v>
                </c:pt>
                <c:pt idx="10">
                  <c:v>2%Cem+5%PFA+1%RC</c:v>
                </c:pt>
              </c:strCache>
            </c:strRef>
          </c:cat>
          <c:val>
            <c:numRef>
              <c:f>Sheet2!$E$3:$E$13</c:f>
              <c:numCache>
                <c:formatCode>General</c:formatCode>
                <c:ptCount val="11"/>
                <c:pt idx="0">
                  <c:v>1.5</c:v>
                </c:pt>
                <c:pt idx="1">
                  <c:v>1.5</c:v>
                </c:pt>
                <c:pt idx="2">
                  <c:v>1.5</c:v>
                </c:pt>
                <c:pt idx="3">
                  <c:v>1.5</c:v>
                </c:pt>
                <c:pt idx="4">
                  <c:v>1.5</c:v>
                </c:pt>
                <c:pt idx="5">
                  <c:v>1.5</c:v>
                </c:pt>
                <c:pt idx="6">
                  <c:v>1.5</c:v>
                </c:pt>
                <c:pt idx="7">
                  <c:v>1.5</c:v>
                </c:pt>
                <c:pt idx="8">
                  <c:v>1.5</c:v>
                </c:pt>
                <c:pt idx="9">
                  <c:v>1.5</c:v>
                </c:pt>
                <c:pt idx="10">
                  <c:v>1.5</c:v>
                </c:pt>
              </c:numCache>
            </c:numRef>
          </c:val>
          <c:smooth val="0"/>
          <c:extLst>
            <c:ext xmlns:c16="http://schemas.microsoft.com/office/drawing/2014/chart" uri="{C3380CC4-5D6E-409C-BE32-E72D297353CC}">
              <c16:uniqueId val="{00000001-6376-4CEB-BCE8-13C83D3497B1}"/>
            </c:ext>
          </c:extLst>
        </c:ser>
        <c:dLbls>
          <c:showLegendKey val="0"/>
          <c:showVal val="0"/>
          <c:showCatName val="0"/>
          <c:showSerName val="0"/>
          <c:showPercent val="0"/>
          <c:showBubbleSize val="0"/>
        </c:dLbls>
        <c:marker val="1"/>
        <c:smooth val="0"/>
        <c:axId val="562063488"/>
        <c:axId val="562066112"/>
      </c:lineChart>
      <c:catAx>
        <c:axId val="56206348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a:solidFill>
                      <a:sysClr val="windowText" lastClr="000000"/>
                    </a:solidFill>
                  </a:rPr>
                  <a:t>Additives</a:t>
                </a:r>
              </a:p>
            </c:rich>
          </c:tx>
          <c:layout>
            <c:manualLayout>
              <c:xMode val="edge"/>
              <c:yMode val="edge"/>
              <c:x val="0.37738253306571973"/>
              <c:y val="0.9459645814783128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2066112"/>
        <c:crosses val="autoZero"/>
        <c:auto val="1"/>
        <c:lblAlgn val="ctr"/>
        <c:lblOffset val="100"/>
        <c:noMultiLvlLbl val="0"/>
      </c:catAx>
      <c:valAx>
        <c:axId val="562066112"/>
        <c:scaling>
          <c:orientation val="minMax"/>
          <c:max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a:solidFill>
                      <a:schemeClr val="tx1"/>
                    </a:solidFill>
                  </a:rPr>
                  <a:t>Swell</a:t>
                </a:r>
                <a:r>
                  <a:rPr lang="en-GB" sz="1200" baseline="0">
                    <a:solidFill>
                      <a:schemeClr val="tx1"/>
                    </a:solidFill>
                  </a:rPr>
                  <a:t> percent (%)</a:t>
                </a:r>
                <a:endParaRPr lang="en-GB" sz="1200">
                  <a:solidFill>
                    <a:schemeClr val="tx1"/>
                  </a:solidFill>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62063488"/>
        <c:crosses val="autoZero"/>
        <c:crossBetween val="between"/>
      </c:valAx>
      <c:spPr>
        <a:solidFill>
          <a:schemeClr val="lt1"/>
        </a:solidFill>
        <a:ln w="12700" cap="flat" cmpd="sng" algn="ctr">
          <a:solidFill>
            <a:schemeClr val="dk1"/>
          </a:solidFill>
          <a:prstDash val="solid"/>
          <a:miter lim="800000"/>
        </a:ln>
        <a:effectLst/>
      </c:spPr>
    </c:plotArea>
    <c:legend>
      <c:legendPos val="b"/>
      <c:layout>
        <c:manualLayout>
          <c:xMode val="edge"/>
          <c:yMode val="edge"/>
          <c:x val="0.22037547389909595"/>
          <c:y val="0.17863070564455305"/>
          <c:w val="0.704187055482418"/>
          <c:h val="0.131497149063263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4396062992125986"/>
          <c:h val="0.65309595556969591"/>
        </c:manualLayout>
      </c:layout>
      <c:barChart>
        <c:barDir val="col"/>
        <c:grouping val="clustered"/>
        <c:varyColors val="0"/>
        <c:ser>
          <c:idx val="0"/>
          <c:order val="0"/>
          <c:tx>
            <c:v>Swell percent (%)</c:v>
          </c:tx>
          <c:spPr>
            <a:solidFill>
              <a:schemeClr val="bg2">
                <a:lumMod val="50000"/>
              </a:schemeClr>
            </a:solidFill>
            <a:ln>
              <a:noFill/>
            </a:ln>
            <a:effectLst/>
          </c:spPr>
          <c:invertIfNegative val="0"/>
          <c:cat>
            <c:strRef>
              <c:f>Sheet2!$F$3:$F$13</c:f>
              <c:strCache>
                <c:ptCount val="11"/>
                <c:pt idx="0">
                  <c:v>Untreated soil II</c:v>
                </c:pt>
                <c:pt idx="1">
                  <c:v>8%Cem</c:v>
                </c:pt>
                <c:pt idx="2">
                  <c:v>4%Cem+4%GGBS</c:v>
                </c:pt>
                <c:pt idx="3">
                  <c:v>4%Cem+3%GGBS+1%RC</c:v>
                </c:pt>
                <c:pt idx="4">
                  <c:v>4%Cem+3%PFA+1%RC</c:v>
                </c:pt>
                <c:pt idx="5">
                  <c:v>3%Cem+5%GGBS</c:v>
                </c:pt>
                <c:pt idx="6">
                  <c:v>3%Cem+4%GGBS+1%RC</c:v>
                </c:pt>
                <c:pt idx="7">
                  <c:v>3%Cem+4%PFA+1%RC</c:v>
                </c:pt>
                <c:pt idx="8">
                  <c:v>2%Cem+6%GGBS</c:v>
                </c:pt>
                <c:pt idx="9">
                  <c:v>2%Cem+5%GGBS+1%RC</c:v>
                </c:pt>
                <c:pt idx="10">
                  <c:v>2%Cem+5%PFA+1%RC</c:v>
                </c:pt>
              </c:strCache>
            </c:strRef>
          </c:cat>
          <c:val>
            <c:numRef>
              <c:f>Sheet2!$G$3:$G$13</c:f>
              <c:numCache>
                <c:formatCode>General</c:formatCode>
                <c:ptCount val="11"/>
                <c:pt idx="0">
                  <c:v>37</c:v>
                </c:pt>
                <c:pt idx="1">
                  <c:v>0.72</c:v>
                </c:pt>
                <c:pt idx="2">
                  <c:v>1.4</c:v>
                </c:pt>
                <c:pt idx="3">
                  <c:v>1.4</c:v>
                </c:pt>
                <c:pt idx="4">
                  <c:v>3.3</c:v>
                </c:pt>
                <c:pt idx="5">
                  <c:v>5.2</c:v>
                </c:pt>
                <c:pt idx="6">
                  <c:v>3.5</c:v>
                </c:pt>
                <c:pt idx="7">
                  <c:v>7.3</c:v>
                </c:pt>
                <c:pt idx="8">
                  <c:v>4.8</c:v>
                </c:pt>
                <c:pt idx="9">
                  <c:v>4.2</c:v>
                </c:pt>
                <c:pt idx="10">
                  <c:v>4</c:v>
                </c:pt>
              </c:numCache>
            </c:numRef>
          </c:val>
          <c:extLst>
            <c:ext xmlns:c16="http://schemas.microsoft.com/office/drawing/2014/chart" uri="{C3380CC4-5D6E-409C-BE32-E72D297353CC}">
              <c16:uniqueId val="{00000000-5781-4D57-854F-8855E85AEDD1}"/>
            </c:ext>
          </c:extLst>
        </c:ser>
        <c:dLbls>
          <c:showLegendKey val="0"/>
          <c:showVal val="0"/>
          <c:showCatName val="0"/>
          <c:showSerName val="0"/>
          <c:showPercent val="0"/>
          <c:showBubbleSize val="0"/>
        </c:dLbls>
        <c:gapWidth val="219"/>
        <c:overlap val="-27"/>
        <c:axId val="460763384"/>
        <c:axId val="460761416"/>
      </c:barChart>
      <c:lineChart>
        <c:grouping val="percentStacked"/>
        <c:varyColors val="0"/>
        <c:ser>
          <c:idx val="1"/>
          <c:order val="1"/>
          <c:tx>
            <c:v>1.5% Max Swell (Ohio Department of transport, 2011)</c:v>
          </c:tx>
          <c:spPr>
            <a:ln w="12700" cap="rnd">
              <a:solidFill>
                <a:schemeClr val="tx1"/>
              </a:solidFill>
              <a:prstDash val="dash"/>
              <a:round/>
            </a:ln>
            <a:effectLst/>
          </c:spPr>
          <c:marker>
            <c:symbol val="none"/>
          </c:marker>
          <c:cat>
            <c:strRef>
              <c:f>Sheet2!$F$3:$F$13</c:f>
              <c:strCache>
                <c:ptCount val="11"/>
                <c:pt idx="0">
                  <c:v>Untreated soil II</c:v>
                </c:pt>
                <c:pt idx="1">
                  <c:v>8%Cem</c:v>
                </c:pt>
                <c:pt idx="2">
                  <c:v>4%Cem+4%GGBS</c:v>
                </c:pt>
                <c:pt idx="3">
                  <c:v>4%Cem+3%GGBS+1%RC</c:v>
                </c:pt>
                <c:pt idx="4">
                  <c:v>4%Cem+3%PFA+1%RC</c:v>
                </c:pt>
                <c:pt idx="5">
                  <c:v>3%Cem+5%GGBS</c:v>
                </c:pt>
                <c:pt idx="6">
                  <c:v>3%Cem+4%GGBS+1%RC</c:v>
                </c:pt>
                <c:pt idx="7">
                  <c:v>3%Cem+4%PFA+1%RC</c:v>
                </c:pt>
                <c:pt idx="8">
                  <c:v>2%Cem+6%GGBS</c:v>
                </c:pt>
                <c:pt idx="9">
                  <c:v>2%Cem+5%GGBS+1%RC</c:v>
                </c:pt>
                <c:pt idx="10">
                  <c:v>2%Cem+5%PFA+1%RC</c:v>
                </c:pt>
              </c:strCache>
            </c:strRef>
          </c:cat>
          <c:val>
            <c:numRef>
              <c:f>Sheet2!$H$3:$H$13</c:f>
              <c:numCache>
                <c:formatCode>General</c:formatCode>
                <c:ptCount val="11"/>
                <c:pt idx="0">
                  <c:v>1.5</c:v>
                </c:pt>
                <c:pt idx="1">
                  <c:v>1.5</c:v>
                </c:pt>
                <c:pt idx="2">
                  <c:v>1.5</c:v>
                </c:pt>
                <c:pt idx="3">
                  <c:v>1.5</c:v>
                </c:pt>
                <c:pt idx="4">
                  <c:v>1.5</c:v>
                </c:pt>
                <c:pt idx="5">
                  <c:v>1.5</c:v>
                </c:pt>
                <c:pt idx="6">
                  <c:v>1.5</c:v>
                </c:pt>
                <c:pt idx="7">
                  <c:v>1.5</c:v>
                </c:pt>
                <c:pt idx="8">
                  <c:v>1.5</c:v>
                </c:pt>
                <c:pt idx="9">
                  <c:v>1.5</c:v>
                </c:pt>
                <c:pt idx="10">
                  <c:v>1.5</c:v>
                </c:pt>
              </c:numCache>
            </c:numRef>
          </c:val>
          <c:smooth val="0"/>
          <c:extLst>
            <c:ext xmlns:c16="http://schemas.microsoft.com/office/drawing/2014/chart" uri="{C3380CC4-5D6E-409C-BE32-E72D297353CC}">
              <c16:uniqueId val="{00000001-5781-4D57-854F-8855E85AEDD1}"/>
            </c:ext>
          </c:extLst>
        </c:ser>
        <c:dLbls>
          <c:showLegendKey val="0"/>
          <c:showVal val="0"/>
          <c:showCatName val="0"/>
          <c:showSerName val="0"/>
          <c:showPercent val="0"/>
          <c:showBubbleSize val="0"/>
        </c:dLbls>
        <c:marker val="1"/>
        <c:smooth val="0"/>
        <c:axId val="460763384"/>
        <c:axId val="460761416"/>
      </c:lineChart>
      <c:catAx>
        <c:axId val="460763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Additives</a:t>
                </a:r>
              </a:p>
            </c:rich>
          </c:tx>
          <c:layout>
            <c:manualLayout>
              <c:xMode val="edge"/>
              <c:yMode val="edge"/>
              <c:x val="0.42933551400293379"/>
              <c:y val="0.942160843916917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0761416"/>
        <c:crosses val="autoZero"/>
        <c:auto val="1"/>
        <c:lblAlgn val="ctr"/>
        <c:lblOffset val="100"/>
        <c:noMultiLvlLbl val="0"/>
      </c:catAx>
      <c:valAx>
        <c:axId val="46076141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Swell</a:t>
                </a:r>
                <a:r>
                  <a:rPr lang="en-GB" baseline="0">
                    <a:solidFill>
                      <a:schemeClr val="tx1"/>
                    </a:solidFill>
                  </a:rPr>
                  <a:t> percent (%)</a:t>
                </a:r>
                <a:endParaRPr lang="en-GB">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0763384"/>
        <c:crosses val="autoZero"/>
        <c:crossBetween val="between"/>
      </c:valAx>
      <c:spPr>
        <a:solidFill>
          <a:schemeClr val="lt1"/>
        </a:solidFill>
        <a:ln w="12700" cap="flat" cmpd="sng" algn="ctr">
          <a:solidFill>
            <a:schemeClr val="dk1"/>
          </a:solidFill>
          <a:prstDash val="solid"/>
          <a:miter lim="800000"/>
        </a:ln>
        <a:effectLst/>
      </c:spPr>
    </c:plotArea>
    <c:legend>
      <c:legendPos val="b"/>
      <c:layout>
        <c:manualLayout>
          <c:xMode val="edge"/>
          <c:yMode val="edge"/>
          <c:x val="0.23680263925342662"/>
          <c:y val="0.16081065224044722"/>
          <c:w val="0.71781423155438906"/>
          <c:h val="0.125628354682734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8650950839734"/>
          <c:y val="2.5428331875182269E-2"/>
          <c:w val="0.79724618778480916"/>
          <c:h val="0.82611509909599545"/>
        </c:manualLayout>
      </c:layout>
      <c:scatterChart>
        <c:scatterStyle val="smoothMarker"/>
        <c:varyColors val="0"/>
        <c:ser>
          <c:idx val="0"/>
          <c:order val="0"/>
          <c:tx>
            <c:v>8% Cem</c:v>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Sheet1!$A$4:$A$16</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Sheet1!$B$4:$B$16</c:f>
              <c:numCache>
                <c:formatCode>General</c:formatCode>
                <c:ptCount val="13"/>
                <c:pt idx="0">
                  <c:v>0</c:v>
                </c:pt>
                <c:pt idx="1">
                  <c:v>4.0740000000000005E-2</c:v>
                </c:pt>
                <c:pt idx="2">
                  <c:v>0.11600000000000001</c:v>
                </c:pt>
                <c:pt idx="3">
                  <c:v>0.23799999999999999</c:v>
                </c:pt>
                <c:pt idx="4">
                  <c:v>0.38900000000000001</c:v>
                </c:pt>
                <c:pt idx="5">
                  <c:v>0.45</c:v>
                </c:pt>
                <c:pt idx="6">
                  <c:v>0.48</c:v>
                </c:pt>
                <c:pt idx="7">
                  <c:v>0.40799999999999997</c:v>
                </c:pt>
                <c:pt idx="8">
                  <c:v>0.34200000000000003</c:v>
                </c:pt>
                <c:pt idx="9">
                  <c:v>0.34200000000000003</c:v>
                </c:pt>
                <c:pt idx="10">
                  <c:v>0.34</c:v>
                </c:pt>
                <c:pt idx="11">
                  <c:v>0.34100000000000003</c:v>
                </c:pt>
                <c:pt idx="12">
                  <c:v>0.34100000000000003</c:v>
                </c:pt>
              </c:numCache>
            </c:numRef>
          </c:yVal>
          <c:smooth val="1"/>
          <c:extLst>
            <c:ext xmlns:c16="http://schemas.microsoft.com/office/drawing/2014/chart" uri="{C3380CC4-5D6E-409C-BE32-E72D297353CC}">
              <c16:uniqueId val="{00000000-728C-457F-85B8-5958E5C54BDD}"/>
            </c:ext>
          </c:extLst>
        </c:ser>
        <c:ser>
          <c:idx val="1"/>
          <c:order val="1"/>
          <c:tx>
            <c:v>4%Cem+4%GGBS</c:v>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Sheet1!$C$4:$C$16</c:f>
              <c:numCache>
                <c:formatCode>General</c:formatCode>
                <c:ptCount val="13"/>
                <c:pt idx="0">
                  <c:v>0</c:v>
                </c:pt>
                <c:pt idx="1">
                  <c:v>0</c:v>
                </c:pt>
                <c:pt idx="2">
                  <c:v>0.2</c:v>
                </c:pt>
                <c:pt idx="3">
                  <c:v>0.4</c:v>
                </c:pt>
                <c:pt idx="4">
                  <c:v>0.6</c:v>
                </c:pt>
                <c:pt idx="5">
                  <c:v>0.8</c:v>
                </c:pt>
                <c:pt idx="6">
                  <c:v>1</c:v>
                </c:pt>
                <c:pt idx="7">
                  <c:v>1.2</c:v>
                </c:pt>
                <c:pt idx="8">
                  <c:v>1.4</c:v>
                </c:pt>
                <c:pt idx="9">
                  <c:v>1.6</c:v>
                </c:pt>
                <c:pt idx="10">
                  <c:v>1.8</c:v>
                </c:pt>
                <c:pt idx="11">
                  <c:v>2</c:v>
                </c:pt>
                <c:pt idx="12">
                  <c:v>2.2000000000000002</c:v>
                </c:pt>
              </c:numCache>
            </c:numRef>
          </c:xVal>
          <c:yVal>
            <c:numRef>
              <c:f>Sheet1!$D$4:$D$16</c:f>
              <c:numCache>
                <c:formatCode>General</c:formatCode>
                <c:ptCount val="13"/>
                <c:pt idx="0">
                  <c:v>0</c:v>
                </c:pt>
                <c:pt idx="1">
                  <c:v>8.7158922130277997E-3</c:v>
                </c:pt>
                <c:pt idx="2">
                  <c:v>0.100526487021712</c:v>
                </c:pt>
                <c:pt idx="3">
                  <c:v>0.169089963929557</c:v>
                </c:pt>
                <c:pt idx="4">
                  <c:v>0.33677063441544663</c:v>
                </c:pt>
                <c:pt idx="5">
                  <c:v>0.53231487375344799</c:v>
                </c:pt>
                <c:pt idx="6">
                  <c:v>0.69345781172643051</c:v>
                </c:pt>
                <c:pt idx="7">
                  <c:v>0.80571468986491268</c:v>
                </c:pt>
                <c:pt idx="8">
                  <c:v>0.8663696159558667</c:v>
                </c:pt>
                <c:pt idx="9">
                  <c:v>0.80752528467359785</c:v>
                </c:pt>
                <c:pt idx="10">
                  <c:v>0.75682863003041234</c:v>
                </c:pt>
                <c:pt idx="11">
                  <c:v>0.62465520899639293</c:v>
                </c:pt>
                <c:pt idx="12">
                  <c:v>0.57939033877926305</c:v>
                </c:pt>
              </c:numCache>
            </c:numRef>
          </c:yVal>
          <c:smooth val="1"/>
          <c:extLst>
            <c:ext xmlns:c16="http://schemas.microsoft.com/office/drawing/2014/chart" uri="{C3380CC4-5D6E-409C-BE32-E72D297353CC}">
              <c16:uniqueId val="{00000001-728C-457F-85B8-5958E5C54BDD}"/>
            </c:ext>
          </c:extLst>
        </c:ser>
        <c:ser>
          <c:idx val="2"/>
          <c:order val="2"/>
          <c:tx>
            <c:v>4%Cem+3%GGBS+1%</c:v>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Sheet1!$E$4:$E$17</c:f>
              <c:numCache>
                <c:formatCode>General</c:formatCode>
                <c:ptCount val="14"/>
                <c:pt idx="0">
                  <c:v>0</c:v>
                </c:pt>
                <c:pt idx="1">
                  <c:v>1.2738853503184715E-3</c:v>
                </c:pt>
                <c:pt idx="2">
                  <c:v>2.0382165605095544E-2</c:v>
                </c:pt>
                <c:pt idx="3">
                  <c:v>0.21019108280254778</c:v>
                </c:pt>
                <c:pt idx="4">
                  <c:v>0.41783439490445862</c:v>
                </c:pt>
                <c:pt idx="5">
                  <c:v>0.61910828025477704</c:v>
                </c:pt>
                <c:pt idx="6">
                  <c:v>0.819108280254777</c:v>
                </c:pt>
                <c:pt idx="7">
                  <c:v>1.0318471337579618</c:v>
                </c:pt>
                <c:pt idx="8">
                  <c:v>1.243312101910828</c:v>
                </c:pt>
                <c:pt idx="9">
                  <c:v>1.4547770700636942</c:v>
                </c:pt>
                <c:pt idx="10">
                  <c:v>1.6636942675159236</c:v>
                </c:pt>
                <c:pt idx="11">
                  <c:v>1.8853503184713376</c:v>
                </c:pt>
                <c:pt idx="12">
                  <c:v>2.1031847133757964</c:v>
                </c:pt>
                <c:pt idx="13">
                  <c:v>2.2929936305732488</c:v>
                </c:pt>
              </c:numCache>
            </c:numRef>
          </c:xVal>
          <c:yVal>
            <c:numRef>
              <c:f>Sheet1!$F$4:$F$17</c:f>
              <c:numCache>
                <c:formatCode>General</c:formatCode>
                <c:ptCount val="14"/>
                <c:pt idx="0">
                  <c:v>0</c:v>
                </c:pt>
                <c:pt idx="1">
                  <c:v>9.0529740434259858E-4</c:v>
                </c:pt>
                <c:pt idx="2">
                  <c:v>1.6295353278166773E-2</c:v>
                </c:pt>
                <c:pt idx="3">
                  <c:v>0.14756347690784355</c:v>
                </c:pt>
                <c:pt idx="4">
                  <c:v>0.30327463045477049</c:v>
                </c:pt>
                <c:pt idx="5">
                  <c:v>0.46622816323643823</c:v>
                </c:pt>
                <c:pt idx="6">
                  <c:v>0.62012872197467994</c:v>
                </c:pt>
                <c:pt idx="7">
                  <c:v>0.76316571186081061</c:v>
                </c:pt>
                <c:pt idx="8">
                  <c:v>0.86093783152981118</c:v>
                </c:pt>
                <c:pt idx="9">
                  <c:v>0.89805502510785762</c:v>
                </c:pt>
                <c:pt idx="10">
                  <c:v>0.79122993139543107</c:v>
                </c:pt>
                <c:pt idx="11">
                  <c:v>0.53322017115779052</c:v>
                </c:pt>
                <c:pt idx="12">
                  <c:v>0.39833085791074335</c:v>
                </c:pt>
                <c:pt idx="13">
                  <c:v>0.24624089398118679</c:v>
                </c:pt>
              </c:numCache>
            </c:numRef>
          </c:yVal>
          <c:smooth val="1"/>
          <c:extLst>
            <c:ext xmlns:c16="http://schemas.microsoft.com/office/drawing/2014/chart" uri="{C3380CC4-5D6E-409C-BE32-E72D297353CC}">
              <c16:uniqueId val="{00000002-728C-457F-85B8-5958E5C54BDD}"/>
            </c:ext>
          </c:extLst>
        </c:ser>
        <c:ser>
          <c:idx val="3"/>
          <c:order val="3"/>
          <c:tx>
            <c:v>4%Cem+3%PFA+1%</c:v>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Sheet1!$G$4:$G$19</c:f>
              <c:numCache>
                <c:formatCode>General</c:formatCode>
                <c:ptCount val="16"/>
                <c:pt idx="0">
                  <c:v>0</c:v>
                </c:pt>
                <c:pt idx="1">
                  <c:v>1.2738853503184715E-3</c:v>
                </c:pt>
                <c:pt idx="2">
                  <c:v>2.0382165605095544E-2</c:v>
                </c:pt>
                <c:pt idx="3">
                  <c:v>0.21019108280254778</c:v>
                </c:pt>
                <c:pt idx="4">
                  <c:v>0.41783439490445862</c:v>
                </c:pt>
                <c:pt idx="5">
                  <c:v>0.61910828025477704</c:v>
                </c:pt>
                <c:pt idx="6">
                  <c:v>0.819108280254777</c:v>
                </c:pt>
                <c:pt idx="7">
                  <c:v>1.0318471337579618</c:v>
                </c:pt>
                <c:pt idx="8">
                  <c:v>1.243312101910828</c:v>
                </c:pt>
                <c:pt idx="9">
                  <c:v>1.4547770700636942</c:v>
                </c:pt>
                <c:pt idx="10">
                  <c:v>1.6636942675159236</c:v>
                </c:pt>
                <c:pt idx="11">
                  <c:v>1.8853503184713376</c:v>
                </c:pt>
                <c:pt idx="12">
                  <c:v>2.1031847133757964</c:v>
                </c:pt>
                <c:pt idx="13">
                  <c:v>2.2929936305732488</c:v>
                </c:pt>
              </c:numCache>
            </c:numRef>
          </c:xVal>
          <c:yVal>
            <c:numRef>
              <c:f>Sheet1!$H$4:$H$19</c:f>
              <c:numCache>
                <c:formatCode>General</c:formatCode>
                <c:ptCount val="16"/>
                <c:pt idx="0">
                  <c:v>0</c:v>
                </c:pt>
                <c:pt idx="1">
                  <c:v>8.7158922130277997E-3</c:v>
                </c:pt>
                <c:pt idx="2">
                  <c:v>5.4317844260555907E-2</c:v>
                </c:pt>
                <c:pt idx="3">
                  <c:v>0.15933234316429734</c:v>
                </c:pt>
                <c:pt idx="4">
                  <c:v>0.25529386802461279</c:v>
                </c:pt>
                <c:pt idx="5">
                  <c:v>0.36030836692835416</c:v>
                </c:pt>
                <c:pt idx="6">
                  <c:v>0.44902751255392881</c:v>
                </c:pt>
                <c:pt idx="7">
                  <c:v>0.5133036282622534</c:v>
                </c:pt>
                <c:pt idx="8">
                  <c:v>0.56309498550109627</c:v>
                </c:pt>
                <c:pt idx="9">
                  <c:v>0.59840158427045764</c:v>
                </c:pt>
                <c:pt idx="10">
                  <c:v>0.61560223495296706</c:v>
                </c:pt>
                <c:pt idx="11">
                  <c:v>0.60292807129217052</c:v>
                </c:pt>
                <c:pt idx="12">
                  <c:v>0.55313671405332765</c:v>
                </c:pt>
                <c:pt idx="13">
                  <c:v>0.50515595162316995</c:v>
                </c:pt>
                <c:pt idx="14">
                  <c:v>0.45174340476695662</c:v>
                </c:pt>
              </c:numCache>
            </c:numRef>
          </c:yVal>
          <c:smooth val="1"/>
          <c:extLst>
            <c:ext xmlns:c16="http://schemas.microsoft.com/office/drawing/2014/chart" uri="{C3380CC4-5D6E-409C-BE32-E72D297353CC}">
              <c16:uniqueId val="{00000003-728C-457F-85B8-5958E5C54BDD}"/>
            </c:ext>
          </c:extLst>
        </c:ser>
        <c:dLbls>
          <c:showLegendKey val="0"/>
          <c:showVal val="0"/>
          <c:showCatName val="0"/>
          <c:showSerName val="0"/>
          <c:showPercent val="0"/>
          <c:showBubbleSize val="0"/>
        </c:dLbls>
        <c:axId val="535175456"/>
        <c:axId val="535173160"/>
      </c:scatterChart>
      <c:valAx>
        <c:axId val="535175456"/>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en-GB" sz="1200" cap="none">
                    <a:solidFill>
                      <a:sysClr val="windowText" lastClr="000000"/>
                    </a:solidFill>
                  </a:rPr>
                  <a:t>Axial</a:t>
                </a:r>
                <a:r>
                  <a:rPr lang="en-GB" sz="1200" cap="none" baseline="0">
                    <a:solidFill>
                      <a:sysClr val="windowText" lastClr="000000"/>
                    </a:solidFill>
                  </a:rPr>
                  <a:t> strain (%)</a:t>
                </a:r>
                <a:endParaRPr lang="en-GB" sz="1200" cap="none">
                  <a:solidFill>
                    <a:sysClr val="windowText" lastClr="000000"/>
                  </a:solidFill>
                </a:endParaRPr>
              </a:p>
            </c:rich>
          </c:tx>
          <c:layout>
            <c:manualLayout>
              <c:xMode val="edge"/>
              <c:yMode val="edge"/>
              <c:x val="0.44328346456692919"/>
              <c:y val="0.92389632932400068"/>
            </c:manualLayout>
          </c:layout>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5173160"/>
        <c:crosses val="autoZero"/>
        <c:crossBetween val="midCat"/>
      </c:valAx>
      <c:valAx>
        <c:axId val="535173160"/>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en-GB" sz="1200" cap="none">
                    <a:solidFill>
                      <a:sysClr val="windowText" lastClr="000000"/>
                    </a:solidFill>
                    <a:latin typeface="+mn-lt"/>
                  </a:rPr>
                  <a:t>Deviator</a:t>
                </a:r>
                <a:r>
                  <a:rPr lang="en-GB" sz="1200" cap="none" baseline="0">
                    <a:solidFill>
                      <a:sysClr val="windowText" lastClr="000000"/>
                    </a:solidFill>
                    <a:latin typeface="+mn-lt"/>
                  </a:rPr>
                  <a:t> stress (MPa)</a:t>
                </a:r>
                <a:endParaRPr lang="en-GB" sz="1200" cap="none">
                  <a:solidFill>
                    <a:sysClr val="windowText" lastClr="000000"/>
                  </a:solidFill>
                  <a:latin typeface="+mn-lt"/>
                </a:endParaRPr>
              </a:p>
            </c:rich>
          </c:tx>
          <c:layout>
            <c:manualLayout>
              <c:xMode val="edge"/>
              <c:yMode val="edge"/>
              <c:x val="0"/>
              <c:y val="0.23628994446910753"/>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5175456"/>
        <c:crosses val="autoZero"/>
        <c:crossBetween val="midCat"/>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4401864482658732"/>
          <c:y val="8.7859685195136983E-2"/>
          <c:w val="0.52049987299974609"/>
          <c:h val="0.181714056576261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85544992494667"/>
          <c:y val="2.9288381205870396E-2"/>
          <c:w val="0.79022147315197622"/>
          <c:h val="0.82994182107058578"/>
        </c:manualLayout>
      </c:layout>
      <c:scatterChart>
        <c:scatterStyle val="smoothMarker"/>
        <c:varyColors val="0"/>
        <c:ser>
          <c:idx val="0"/>
          <c:order val="0"/>
          <c:tx>
            <c:v>8% Cem</c:v>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Sheet1!$A$4:$A$16</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Sheet1!$B$4:$B$16</c:f>
              <c:numCache>
                <c:formatCode>General</c:formatCode>
                <c:ptCount val="13"/>
                <c:pt idx="0">
                  <c:v>0</c:v>
                </c:pt>
                <c:pt idx="1">
                  <c:v>4.0740000000000005E-2</c:v>
                </c:pt>
                <c:pt idx="2">
                  <c:v>0.11600000000000001</c:v>
                </c:pt>
                <c:pt idx="3">
                  <c:v>0.23799999999999999</c:v>
                </c:pt>
                <c:pt idx="4">
                  <c:v>0.38900000000000001</c:v>
                </c:pt>
                <c:pt idx="5">
                  <c:v>0.45</c:v>
                </c:pt>
                <c:pt idx="6">
                  <c:v>0.48</c:v>
                </c:pt>
                <c:pt idx="7">
                  <c:v>0.40799999999999997</c:v>
                </c:pt>
                <c:pt idx="8">
                  <c:v>0.34200000000000003</c:v>
                </c:pt>
                <c:pt idx="9">
                  <c:v>0.34200000000000003</c:v>
                </c:pt>
                <c:pt idx="10">
                  <c:v>0.34</c:v>
                </c:pt>
                <c:pt idx="11">
                  <c:v>0.34100000000000003</c:v>
                </c:pt>
                <c:pt idx="12">
                  <c:v>0.34100000000000003</c:v>
                </c:pt>
              </c:numCache>
            </c:numRef>
          </c:yVal>
          <c:smooth val="1"/>
          <c:extLst>
            <c:ext xmlns:c16="http://schemas.microsoft.com/office/drawing/2014/chart" uri="{C3380CC4-5D6E-409C-BE32-E72D297353CC}">
              <c16:uniqueId val="{00000000-4504-4C9A-9A95-7F87E12F012C}"/>
            </c:ext>
          </c:extLst>
        </c:ser>
        <c:ser>
          <c:idx val="4"/>
          <c:order val="1"/>
          <c:tx>
            <c:v>3%Cem+5%GGBS</c:v>
          </c:tx>
          <c:spPr>
            <a:ln w="12700" cap="flat" cmpd="sng" algn="ctr">
              <a:solidFill>
                <a:schemeClr val="dk1"/>
              </a:solidFill>
              <a:prstDash val="solid"/>
              <a:miter lim="800000"/>
            </a:ln>
            <a:effectLst/>
          </c:spPr>
          <c:marker>
            <c:symbol val="star"/>
            <c:size val="6"/>
            <c:spPr>
              <a:solidFill>
                <a:schemeClr val="lt1"/>
              </a:solidFill>
              <a:ln w="12700" cap="flat" cmpd="sng" algn="ctr">
                <a:solidFill>
                  <a:schemeClr val="dk1"/>
                </a:solidFill>
                <a:prstDash val="solid"/>
                <a:miter lim="800000"/>
              </a:ln>
              <a:effectLst/>
            </c:spPr>
          </c:marker>
          <c:xVal>
            <c:numRef>
              <c:f>Sheet1!$I$4:$I$16</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Sheet1!$J$4:$J$16</c:f>
              <c:numCache>
                <c:formatCode>General</c:formatCode>
                <c:ptCount val="13"/>
                <c:pt idx="0">
                  <c:v>0</c:v>
                </c:pt>
                <c:pt idx="1">
                  <c:v>7.6950279369120883E-2</c:v>
                </c:pt>
                <c:pt idx="2">
                  <c:v>0.2380932173421034</c:v>
                </c:pt>
                <c:pt idx="3">
                  <c:v>0.43092156446707691</c:v>
                </c:pt>
                <c:pt idx="4">
                  <c:v>0.58120093358794822</c:v>
                </c:pt>
                <c:pt idx="5">
                  <c:v>0.7007001909611712</c:v>
                </c:pt>
                <c:pt idx="6">
                  <c:v>0.7894193365867459</c:v>
                </c:pt>
                <c:pt idx="7">
                  <c:v>0.83106301718650533</c:v>
                </c:pt>
                <c:pt idx="8">
                  <c:v>0.83287361199519061</c:v>
                </c:pt>
                <c:pt idx="9">
                  <c:v>0.8084305820779405</c:v>
                </c:pt>
                <c:pt idx="10">
                  <c:v>0.70884786760025464</c:v>
                </c:pt>
                <c:pt idx="11">
                  <c:v>0.6237499115920504</c:v>
                </c:pt>
                <c:pt idx="12">
                  <c:v>0.57939033877926305</c:v>
                </c:pt>
              </c:numCache>
            </c:numRef>
          </c:yVal>
          <c:smooth val="1"/>
          <c:extLst>
            <c:ext xmlns:c16="http://schemas.microsoft.com/office/drawing/2014/chart" uri="{C3380CC4-5D6E-409C-BE32-E72D297353CC}">
              <c16:uniqueId val="{00000001-4504-4C9A-9A95-7F87E12F012C}"/>
            </c:ext>
          </c:extLst>
        </c:ser>
        <c:ser>
          <c:idx val="5"/>
          <c:order val="2"/>
          <c:tx>
            <c:v>3%Cem+4%GGBS+1%</c:v>
          </c:tx>
          <c:spPr>
            <a:ln w="12700" cap="flat" cmpd="sng" algn="ctr">
              <a:solidFill>
                <a:schemeClr val="dk1"/>
              </a:solidFill>
              <a:prstDash val="solid"/>
              <a:miter lim="800000"/>
            </a:ln>
            <a:effectLst/>
          </c:spPr>
          <c:marker>
            <c:symbol val="circle"/>
            <c:size val="6"/>
            <c:spPr>
              <a:solidFill>
                <a:schemeClr val="lt1"/>
              </a:solidFill>
              <a:ln w="12700" cap="flat" cmpd="sng" algn="ctr">
                <a:solidFill>
                  <a:schemeClr val="dk1"/>
                </a:solidFill>
                <a:prstDash val="solid"/>
                <a:miter lim="800000"/>
              </a:ln>
              <a:effectLst/>
            </c:spPr>
          </c:marker>
          <c:xVal>
            <c:numRef>
              <c:f>Sheet1!$K$4:$K$16</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Sheet1!$L$4:$L$16</c:f>
              <c:numCache>
                <c:formatCode>General</c:formatCode>
                <c:ptCount val="13"/>
                <c:pt idx="0">
                  <c:v>0</c:v>
                </c:pt>
                <c:pt idx="1">
                  <c:v>2.695027936912088E-2</c:v>
                </c:pt>
                <c:pt idx="2">
                  <c:v>0.18809321734210338</c:v>
                </c:pt>
                <c:pt idx="3">
                  <c:v>0.38092156446707692</c:v>
                </c:pt>
                <c:pt idx="4">
                  <c:v>0.53120093358794818</c:v>
                </c:pt>
                <c:pt idx="5">
                  <c:v>0.65070019096117115</c:v>
                </c:pt>
                <c:pt idx="6">
                  <c:v>0.73941933658674586</c:v>
                </c:pt>
                <c:pt idx="7">
                  <c:v>0.74106301718650502</c:v>
                </c:pt>
                <c:pt idx="8">
                  <c:v>0.69228736119951884</c:v>
                </c:pt>
                <c:pt idx="9">
                  <c:v>0.65843058207794036</c:v>
                </c:pt>
                <c:pt idx="10">
                  <c:v>0.55884786760025451</c:v>
                </c:pt>
                <c:pt idx="11">
                  <c:v>0.47374991159205032</c:v>
                </c:pt>
                <c:pt idx="12">
                  <c:v>0.42939033877926303</c:v>
                </c:pt>
              </c:numCache>
            </c:numRef>
          </c:yVal>
          <c:smooth val="1"/>
          <c:extLst>
            <c:ext xmlns:c16="http://schemas.microsoft.com/office/drawing/2014/chart" uri="{C3380CC4-5D6E-409C-BE32-E72D297353CC}">
              <c16:uniqueId val="{00000002-4504-4C9A-9A95-7F87E12F012C}"/>
            </c:ext>
          </c:extLst>
        </c:ser>
        <c:ser>
          <c:idx val="6"/>
          <c:order val="3"/>
          <c:tx>
            <c:v>3%Cem+4%PFA+1%RC</c:v>
          </c:tx>
          <c:spPr>
            <a:ln w="12700" cap="flat" cmpd="sng" algn="ctr">
              <a:solidFill>
                <a:schemeClr val="dk1"/>
              </a:solidFill>
              <a:prstDash val="solid"/>
              <a:miter lim="800000"/>
            </a:ln>
            <a:effectLst/>
          </c:spPr>
          <c:marker>
            <c:symbol val="plus"/>
            <c:size val="6"/>
            <c:spPr>
              <a:solidFill>
                <a:schemeClr val="lt1"/>
              </a:solidFill>
              <a:ln w="12700" cap="flat" cmpd="sng" algn="ctr">
                <a:solidFill>
                  <a:schemeClr val="dk1"/>
                </a:solidFill>
                <a:prstDash val="solid"/>
                <a:miter lim="800000"/>
              </a:ln>
              <a:effectLst/>
            </c:spPr>
          </c:marker>
          <c:xVal>
            <c:numRef>
              <c:f>Sheet1!$M$4:$M$16</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Sheet1!$N$4:$N$16</c:f>
              <c:numCache>
                <c:formatCode>General</c:formatCode>
                <c:ptCount val="13"/>
                <c:pt idx="0">
                  <c:v>0</c:v>
                </c:pt>
                <c:pt idx="1">
                  <c:v>1.9740000000000001E-2</c:v>
                </c:pt>
                <c:pt idx="2">
                  <c:v>9.1600000000000001E-2</c:v>
                </c:pt>
                <c:pt idx="3">
                  <c:v>0.13</c:v>
                </c:pt>
                <c:pt idx="4">
                  <c:v>0.18</c:v>
                </c:pt>
                <c:pt idx="5">
                  <c:v>0.28799999999999998</c:v>
                </c:pt>
                <c:pt idx="6">
                  <c:v>0.42</c:v>
                </c:pt>
                <c:pt idx="7">
                  <c:v>0.42</c:v>
                </c:pt>
                <c:pt idx="8">
                  <c:v>0.38</c:v>
                </c:pt>
                <c:pt idx="9">
                  <c:v>0.24199999999999999</c:v>
                </c:pt>
                <c:pt idx="10">
                  <c:v>0.20200000000000001</c:v>
                </c:pt>
                <c:pt idx="11">
                  <c:v>0.20100000000000001</c:v>
                </c:pt>
                <c:pt idx="12">
                  <c:v>0.19800000000000001</c:v>
                </c:pt>
              </c:numCache>
            </c:numRef>
          </c:yVal>
          <c:smooth val="1"/>
          <c:extLst>
            <c:ext xmlns:c16="http://schemas.microsoft.com/office/drawing/2014/chart" uri="{C3380CC4-5D6E-409C-BE32-E72D297353CC}">
              <c16:uniqueId val="{00000003-4504-4C9A-9A95-7F87E12F012C}"/>
            </c:ext>
          </c:extLst>
        </c:ser>
        <c:dLbls>
          <c:showLegendKey val="0"/>
          <c:showVal val="0"/>
          <c:showCatName val="0"/>
          <c:showSerName val="0"/>
          <c:showPercent val="0"/>
          <c:showBubbleSize val="0"/>
        </c:dLbls>
        <c:axId val="535175456"/>
        <c:axId val="535173160"/>
      </c:scatterChart>
      <c:valAx>
        <c:axId val="53517545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sz="1200" cap="none">
                    <a:solidFill>
                      <a:sysClr val="windowText" lastClr="000000"/>
                    </a:solidFill>
                  </a:rPr>
                  <a:t>Axial</a:t>
                </a:r>
                <a:r>
                  <a:rPr lang="en-GB" sz="1200" cap="none" baseline="0">
                    <a:solidFill>
                      <a:sysClr val="windowText" lastClr="000000"/>
                    </a:solidFill>
                  </a:rPr>
                  <a:t> strain (%)</a:t>
                </a:r>
                <a:endParaRPr lang="en-GB" sz="1200" cap="none">
                  <a:solidFill>
                    <a:sysClr val="windowText" lastClr="000000"/>
                  </a:solidFill>
                </a:endParaRPr>
              </a:p>
            </c:rich>
          </c:tx>
          <c:layout>
            <c:manualLayout>
              <c:xMode val="edge"/>
              <c:yMode val="edge"/>
              <c:x val="0.37262743058018649"/>
              <c:y val="0.9115540275775386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5173160"/>
        <c:crosses val="autoZero"/>
        <c:crossBetween val="midCat"/>
        <c:majorUnit val="0.5"/>
      </c:valAx>
      <c:valAx>
        <c:axId val="535173160"/>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solidFill>
                      <a:sysClr val="windowText" lastClr="000000"/>
                    </a:solidFill>
                  </a:rPr>
                  <a:t>Deviator</a:t>
                </a:r>
                <a:r>
                  <a:rPr lang="en-GB" sz="1200" cap="none" baseline="0">
                    <a:solidFill>
                      <a:sysClr val="windowText" lastClr="000000"/>
                    </a:solidFill>
                  </a:rPr>
                  <a:t> stress (MPa)</a:t>
                </a:r>
                <a:endParaRPr lang="en-GB" sz="1200" cap="none">
                  <a:solidFill>
                    <a:sysClr val="windowText" lastClr="000000"/>
                  </a:solidFill>
                </a:endParaRPr>
              </a:p>
            </c:rich>
          </c:tx>
          <c:layout>
            <c:manualLayout>
              <c:xMode val="edge"/>
              <c:yMode val="edge"/>
              <c:x val="2.8885578491877717E-3"/>
              <c:y val="0.216236590144541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5175456"/>
        <c:crosses val="autoZero"/>
        <c:crossBetween val="midCat"/>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538445737761041"/>
          <c:y val="7.7362866733646438E-2"/>
          <c:w val="0.49715359158700478"/>
          <c:h val="0.181714056576261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67868397721189"/>
          <c:y val="2.5428331875182269E-2"/>
          <c:w val="0.76739823909971117"/>
          <c:h val="0.85425933474936888"/>
        </c:manualLayout>
      </c:layout>
      <c:scatterChart>
        <c:scatterStyle val="smoothMarker"/>
        <c:varyColors val="0"/>
        <c:ser>
          <c:idx val="0"/>
          <c:order val="0"/>
          <c:tx>
            <c:v>8% Cem</c:v>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Sheet1!$A$4:$A$16</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Sheet1!$B$4:$B$16</c:f>
              <c:numCache>
                <c:formatCode>General</c:formatCode>
                <c:ptCount val="13"/>
                <c:pt idx="0">
                  <c:v>0</c:v>
                </c:pt>
                <c:pt idx="1">
                  <c:v>4.0740000000000005E-2</c:v>
                </c:pt>
                <c:pt idx="2">
                  <c:v>0.11600000000000001</c:v>
                </c:pt>
                <c:pt idx="3">
                  <c:v>0.23799999999999999</c:v>
                </c:pt>
                <c:pt idx="4">
                  <c:v>0.38900000000000001</c:v>
                </c:pt>
                <c:pt idx="5">
                  <c:v>0.45</c:v>
                </c:pt>
                <c:pt idx="6">
                  <c:v>0.48</c:v>
                </c:pt>
                <c:pt idx="7">
                  <c:v>0.40799999999999997</c:v>
                </c:pt>
                <c:pt idx="8">
                  <c:v>0.34200000000000003</c:v>
                </c:pt>
                <c:pt idx="9">
                  <c:v>0.34200000000000003</c:v>
                </c:pt>
                <c:pt idx="10">
                  <c:v>0.34</c:v>
                </c:pt>
                <c:pt idx="11">
                  <c:v>0.34100000000000003</c:v>
                </c:pt>
                <c:pt idx="12">
                  <c:v>0.34100000000000003</c:v>
                </c:pt>
              </c:numCache>
            </c:numRef>
          </c:yVal>
          <c:smooth val="1"/>
          <c:extLst>
            <c:ext xmlns:c16="http://schemas.microsoft.com/office/drawing/2014/chart" uri="{C3380CC4-5D6E-409C-BE32-E72D297353CC}">
              <c16:uniqueId val="{00000000-AB57-4F97-831B-576853A3977A}"/>
            </c:ext>
          </c:extLst>
        </c:ser>
        <c:ser>
          <c:idx val="1"/>
          <c:order val="1"/>
          <c:tx>
            <c:v>2%Cem+6%GGBS</c:v>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Sheet1!$O$4:$O$19</c:f>
              <c:numCache>
                <c:formatCode>General</c:formatCode>
                <c:ptCount val="1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Sheet1!$P$4:$P$19</c:f>
              <c:numCache>
                <c:formatCode>General</c:formatCode>
                <c:ptCount val="16"/>
                <c:pt idx="0">
                  <c:v>0</c:v>
                </c:pt>
                <c:pt idx="1">
                  <c:v>0.12855223141664898</c:v>
                </c:pt>
                <c:pt idx="2">
                  <c:v>0.3023693330504279</c:v>
                </c:pt>
                <c:pt idx="3">
                  <c:v>0.45989108140604001</c:v>
                </c:pt>
                <c:pt idx="4">
                  <c:v>0.57486385175755006</c:v>
                </c:pt>
                <c:pt idx="5">
                  <c:v>0.67354126883089327</c:v>
                </c:pt>
                <c:pt idx="6">
                  <c:v>0.74053327675224556</c:v>
                </c:pt>
                <c:pt idx="7">
                  <c:v>0.78036636254331992</c:v>
                </c:pt>
                <c:pt idx="8">
                  <c:v>0.76769219888252349</c:v>
                </c:pt>
                <c:pt idx="9">
                  <c:v>0.64095056227455971</c:v>
                </c:pt>
              </c:numCache>
            </c:numRef>
          </c:yVal>
          <c:smooth val="1"/>
          <c:extLst>
            <c:ext xmlns:c16="http://schemas.microsoft.com/office/drawing/2014/chart" uri="{C3380CC4-5D6E-409C-BE32-E72D297353CC}">
              <c16:uniqueId val="{00000001-AB57-4F97-831B-576853A3977A}"/>
            </c:ext>
          </c:extLst>
        </c:ser>
        <c:ser>
          <c:idx val="2"/>
          <c:order val="2"/>
          <c:tx>
            <c:v>2%Cem+5%GGBS+1%RC</c:v>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Sheet1!$Q$4:$Q$16</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Sheet1!$R$4:$R$16</c:f>
              <c:numCache>
                <c:formatCode>General</c:formatCode>
                <c:ptCount val="13"/>
                <c:pt idx="0">
                  <c:v>0</c:v>
                </c:pt>
                <c:pt idx="1">
                  <c:v>2.8969516938963154E-2</c:v>
                </c:pt>
                <c:pt idx="2">
                  <c:v>0.15480585614258432</c:v>
                </c:pt>
                <c:pt idx="3">
                  <c:v>0.30689582007214089</c:v>
                </c:pt>
                <c:pt idx="4">
                  <c:v>0.44269043072353065</c:v>
                </c:pt>
                <c:pt idx="5">
                  <c:v>0.54770492962727213</c:v>
                </c:pt>
                <c:pt idx="6">
                  <c:v>0.62556050640073557</c:v>
                </c:pt>
                <c:pt idx="7">
                  <c:v>0.68983662210906005</c:v>
                </c:pt>
                <c:pt idx="8">
                  <c:v>0.68436310913077303</c:v>
                </c:pt>
                <c:pt idx="9">
                  <c:v>0.66539359219180993</c:v>
                </c:pt>
                <c:pt idx="10">
                  <c:v>0.61831812716599477</c:v>
                </c:pt>
                <c:pt idx="11">
                  <c:v>0.53865195558384604</c:v>
                </c:pt>
                <c:pt idx="12">
                  <c:v>0.50425065421882742</c:v>
                </c:pt>
              </c:numCache>
            </c:numRef>
          </c:yVal>
          <c:smooth val="1"/>
          <c:extLst>
            <c:ext xmlns:c16="http://schemas.microsoft.com/office/drawing/2014/chart" uri="{C3380CC4-5D6E-409C-BE32-E72D297353CC}">
              <c16:uniqueId val="{00000002-AB57-4F97-831B-576853A3977A}"/>
            </c:ext>
          </c:extLst>
        </c:ser>
        <c:ser>
          <c:idx val="3"/>
          <c:order val="3"/>
          <c:tx>
            <c:v>2%Cem+5%PFA+1%RC</c:v>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Sheet1!$S$4:$S$16</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Sheet1!$T$4:$T$16</c:f>
              <c:numCache>
                <c:formatCode>General</c:formatCode>
                <c:ptCount val="13"/>
                <c:pt idx="0">
                  <c:v>0</c:v>
                </c:pt>
                <c:pt idx="1">
                  <c:v>2.8969516938963154E-2</c:v>
                </c:pt>
                <c:pt idx="2">
                  <c:v>8.1051941438574096E-2</c:v>
                </c:pt>
                <c:pt idx="3">
                  <c:v>0.122689582007214</c:v>
                </c:pt>
                <c:pt idx="4">
                  <c:v>0.182690430723531</c:v>
                </c:pt>
                <c:pt idx="5">
                  <c:v>0.2677049296272721</c:v>
                </c:pt>
                <c:pt idx="6">
                  <c:v>0.34556050640073599</c:v>
                </c:pt>
                <c:pt idx="7">
                  <c:v>0.40983662210906002</c:v>
                </c:pt>
                <c:pt idx="8">
                  <c:v>0.41436310913077301</c:v>
                </c:pt>
                <c:pt idx="9">
                  <c:v>0.38539359219180991</c:v>
                </c:pt>
                <c:pt idx="10">
                  <c:v>0.33831812716599474</c:v>
                </c:pt>
                <c:pt idx="11">
                  <c:v>0.25865195558384602</c:v>
                </c:pt>
                <c:pt idx="12">
                  <c:v>0.22425065421882739</c:v>
                </c:pt>
              </c:numCache>
            </c:numRef>
          </c:yVal>
          <c:smooth val="1"/>
          <c:extLst>
            <c:ext xmlns:c16="http://schemas.microsoft.com/office/drawing/2014/chart" uri="{C3380CC4-5D6E-409C-BE32-E72D297353CC}">
              <c16:uniqueId val="{00000003-AB57-4F97-831B-576853A3977A}"/>
            </c:ext>
          </c:extLst>
        </c:ser>
        <c:dLbls>
          <c:showLegendKey val="0"/>
          <c:showVal val="0"/>
          <c:showCatName val="0"/>
          <c:showSerName val="0"/>
          <c:showPercent val="0"/>
          <c:showBubbleSize val="0"/>
        </c:dLbls>
        <c:axId val="535175456"/>
        <c:axId val="535173160"/>
      </c:scatterChart>
      <c:valAx>
        <c:axId val="535175456"/>
        <c:scaling>
          <c:orientation val="minMax"/>
          <c:max val="3"/>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sz="1200" cap="none">
                    <a:solidFill>
                      <a:sysClr val="windowText" lastClr="000000"/>
                    </a:solidFill>
                  </a:rPr>
                  <a:t>Axial</a:t>
                </a:r>
                <a:r>
                  <a:rPr lang="en-GB" sz="1200" cap="none" baseline="0">
                    <a:solidFill>
                      <a:sysClr val="windowText" lastClr="000000"/>
                    </a:solidFill>
                  </a:rPr>
                  <a:t> strain(%)</a:t>
                </a:r>
                <a:endParaRPr lang="en-GB" sz="1200" cap="none">
                  <a:solidFill>
                    <a:sysClr val="windowText" lastClr="000000"/>
                  </a:solidFill>
                </a:endParaRPr>
              </a:p>
            </c:rich>
          </c:tx>
          <c:layout>
            <c:manualLayout>
              <c:xMode val="edge"/>
              <c:yMode val="edge"/>
              <c:x val="0.41570013123359578"/>
              <c:y val="0.934903845466183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5173160"/>
        <c:crosses val="autoZero"/>
        <c:crossBetween val="midCat"/>
        <c:majorUnit val="0.5"/>
      </c:valAx>
      <c:valAx>
        <c:axId val="535173160"/>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sz="1200" cap="none">
                    <a:solidFill>
                      <a:sysClr val="windowText" lastClr="000000"/>
                    </a:solidFill>
                  </a:rPr>
                  <a:t>Deviator</a:t>
                </a:r>
                <a:r>
                  <a:rPr lang="en-GB" sz="1200" cap="none" baseline="0">
                    <a:solidFill>
                      <a:sysClr val="windowText" lastClr="000000"/>
                    </a:solidFill>
                  </a:rPr>
                  <a:t> stress (MPa)</a:t>
                </a:r>
                <a:endParaRPr lang="en-GB" sz="12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5175456"/>
        <c:crosses val="autoZero"/>
        <c:crossBetween val="midCat"/>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4431292862585725"/>
          <c:y val="3.4110436467921071E-2"/>
          <c:w val="0.51128439590212515"/>
          <c:h val="0.15628254915002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14176637011284"/>
          <c:y val="2.2154730658667663E-2"/>
          <c:w val="0.78101407778573129"/>
          <c:h val="0.84853018372703415"/>
        </c:manualLayout>
      </c:layout>
      <c:scatterChart>
        <c:scatterStyle val="smoothMarker"/>
        <c:varyColors val="0"/>
        <c:ser>
          <c:idx val="0"/>
          <c:order val="0"/>
          <c:tx>
            <c:strRef>
              <c:f>Sheet4!$B$5</c:f>
              <c:strCache>
                <c:ptCount val="1"/>
                <c:pt idx="0">
                  <c:v>8%Cem</c:v>
                </c:pt>
              </c:strCache>
            </c:strRef>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Sheet4!$A$7:$A$19</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Sheet4!$B$7:$B$19</c:f>
              <c:numCache>
                <c:formatCode>General</c:formatCode>
                <c:ptCount val="13"/>
                <c:pt idx="0">
                  <c:v>0</c:v>
                </c:pt>
                <c:pt idx="1">
                  <c:v>0.12</c:v>
                </c:pt>
                <c:pt idx="2">
                  <c:v>0.28000000000000003</c:v>
                </c:pt>
                <c:pt idx="3">
                  <c:v>0.45</c:v>
                </c:pt>
                <c:pt idx="4">
                  <c:v>0.64</c:v>
                </c:pt>
                <c:pt idx="5">
                  <c:v>0.85</c:v>
                </c:pt>
                <c:pt idx="6">
                  <c:v>1</c:v>
                </c:pt>
                <c:pt idx="7">
                  <c:v>1.1399999999999999</c:v>
                </c:pt>
                <c:pt idx="8">
                  <c:v>1.1000000000000001</c:v>
                </c:pt>
                <c:pt idx="9">
                  <c:v>0.65</c:v>
                </c:pt>
                <c:pt idx="10">
                  <c:v>0.45</c:v>
                </c:pt>
                <c:pt idx="11">
                  <c:v>0.34100000000000003</c:v>
                </c:pt>
                <c:pt idx="12">
                  <c:v>0.34100000000000003</c:v>
                </c:pt>
              </c:numCache>
            </c:numRef>
          </c:yVal>
          <c:smooth val="1"/>
          <c:extLst>
            <c:ext xmlns:c16="http://schemas.microsoft.com/office/drawing/2014/chart" uri="{C3380CC4-5D6E-409C-BE32-E72D297353CC}">
              <c16:uniqueId val="{00000000-797E-4274-AE7E-14B8261F847C}"/>
            </c:ext>
          </c:extLst>
        </c:ser>
        <c:ser>
          <c:idx val="1"/>
          <c:order val="1"/>
          <c:tx>
            <c:strRef>
              <c:f>Sheet4!$D$5</c:f>
              <c:strCache>
                <c:ptCount val="1"/>
                <c:pt idx="0">
                  <c:v>4%Cem+4%GGBS</c:v>
                </c:pt>
              </c:strCache>
            </c:strRef>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Sheet4!$C$7:$C$19</c:f>
              <c:numCache>
                <c:formatCode>General</c:formatCode>
                <c:ptCount val="13"/>
                <c:pt idx="0">
                  <c:v>0</c:v>
                </c:pt>
                <c:pt idx="1">
                  <c:v>0</c:v>
                </c:pt>
                <c:pt idx="2">
                  <c:v>0.2</c:v>
                </c:pt>
                <c:pt idx="3">
                  <c:v>0.4</c:v>
                </c:pt>
                <c:pt idx="4">
                  <c:v>0.6</c:v>
                </c:pt>
                <c:pt idx="5">
                  <c:v>0.8</c:v>
                </c:pt>
                <c:pt idx="6">
                  <c:v>1</c:v>
                </c:pt>
                <c:pt idx="7">
                  <c:v>1.2</c:v>
                </c:pt>
                <c:pt idx="8">
                  <c:v>1.4</c:v>
                </c:pt>
                <c:pt idx="9">
                  <c:v>1.6</c:v>
                </c:pt>
                <c:pt idx="10">
                  <c:v>1.8</c:v>
                </c:pt>
                <c:pt idx="11">
                  <c:v>2</c:v>
                </c:pt>
                <c:pt idx="12">
                  <c:v>2.2000000000000002</c:v>
                </c:pt>
              </c:numCache>
            </c:numRef>
          </c:xVal>
          <c:yVal>
            <c:numRef>
              <c:f>Sheet4!$D$7:$D$19</c:f>
              <c:numCache>
                <c:formatCode>General</c:formatCode>
                <c:ptCount val="13"/>
                <c:pt idx="0">
                  <c:v>0</c:v>
                </c:pt>
                <c:pt idx="1">
                  <c:v>0</c:v>
                </c:pt>
                <c:pt idx="2">
                  <c:v>0.08</c:v>
                </c:pt>
                <c:pt idx="3">
                  <c:v>0.21</c:v>
                </c:pt>
                <c:pt idx="4">
                  <c:v>0.33677063441544663</c:v>
                </c:pt>
                <c:pt idx="5">
                  <c:v>0.53231487375344799</c:v>
                </c:pt>
                <c:pt idx="6">
                  <c:v>0.69345781172643051</c:v>
                </c:pt>
                <c:pt idx="7">
                  <c:v>0.8</c:v>
                </c:pt>
                <c:pt idx="8">
                  <c:v>0.92</c:v>
                </c:pt>
                <c:pt idx="9">
                  <c:v>0.79</c:v>
                </c:pt>
                <c:pt idx="10">
                  <c:v>0.65</c:v>
                </c:pt>
                <c:pt idx="11">
                  <c:v>0.6</c:v>
                </c:pt>
                <c:pt idx="12">
                  <c:v>0.6</c:v>
                </c:pt>
              </c:numCache>
            </c:numRef>
          </c:yVal>
          <c:smooth val="1"/>
          <c:extLst>
            <c:ext xmlns:c16="http://schemas.microsoft.com/office/drawing/2014/chart" uri="{C3380CC4-5D6E-409C-BE32-E72D297353CC}">
              <c16:uniqueId val="{00000001-797E-4274-AE7E-14B8261F847C}"/>
            </c:ext>
          </c:extLst>
        </c:ser>
        <c:ser>
          <c:idx val="2"/>
          <c:order val="2"/>
          <c:tx>
            <c:strRef>
              <c:f>Sheet4!$E$5:$F$5</c:f>
              <c:strCache>
                <c:ptCount val="1"/>
                <c:pt idx="0">
                  <c:v>4%Cem+3%GGBS+1%RC</c:v>
                </c:pt>
              </c:strCache>
            </c:strRef>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Sheet4!$E$7:$E$19</c:f>
              <c:numCache>
                <c:formatCode>General</c:formatCode>
                <c:ptCount val="13"/>
                <c:pt idx="0">
                  <c:v>0</c:v>
                </c:pt>
                <c:pt idx="1">
                  <c:v>0</c:v>
                </c:pt>
                <c:pt idx="2">
                  <c:v>0.2</c:v>
                </c:pt>
                <c:pt idx="3">
                  <c:v>0.4</c:v>
                </c:pt>
                <c:pt idx="4">
                  <c:v>0.6</c:v>
                </c:pt>
                <c:pt idx="5">
                  <c:v>0.8</c:v>
                </c:pt>
                <c:pt idx="6">
                  <c:v>1</c:v>
                </c:pt>
                <c:pt idx="7">
                  <c:v>1.2</c:v>
                </c:pt>
                <c:pt idx="8">
                  <c:v>1.4</c:v>
                </c:pt>
                <c:pt idx="9">
                  <c:v>1.6</c:v>
                </c:pt>
                <c:pt idx="10">
                  <c:v>1.8</c:v>
                </c:pt>
                <c:pt idx="11">
                  <c:v>2</c:v>
                </c:pt>
                <c:pt idx="12">
                  <c:v>2.2000000000000002</c:v>
                </c:pt>
              </c:numCache>
            </c:numRef>
          </c:xVal>
          <c:yVal>
            <c:numRef>
              <c:f>Sheet4!$F$7:$F$19</c:f>
              <c:numCache>
                <c:formatCode>General</c:formatCode>
                <c:ptCount val="13"/>
                <c:pt idx="0">
                  <c:v>0</c:v>
                </c:pt>
                <c:pt idx="1">
                  <c:v>0</c:v>
                </c:pt>
                <c:pt idx="2">
                  <c:v>0.1</c:v>
                </c:pt>
                <c:pt idx="3">
                  <c:v>0.3</c:v>
                </c:pt>
                <c:pt idx="4">
                  <c:v>0.55000000000000004</c:v>
                </c:pt>
                <c:pt idx="5">
                  <c:v>0.76</c:v>
                </c:pt>
                <c:pt idx="6">
                  <c:v>0.94</c:v>
                </c:pt>
                <c:pt idx="7">
                  <c:v>1.1399999999999999</c:v>
                </c:pt>
                <c:pt idx="8">
                  <c:v>1.1599999999999999</c:v>
                </c:pt>
                <c:pt idx="9">
                  <c:v>0.89805502510785762</c:v>
                </c:pt>
                <c:pt idx="10">
                  <c:v>0.68</c:v>
                </c:pt>
                <c:pt idx="11">
                  <c:v>0.53322017115779052</c:v>
                </c:pt>
                <c:pt idx="12">
                  <c:v>0.39833085791074335</c:v>
                </c:pt>
              </c:numCache>
            </c:numRef>
          </c:yVal>
          <c:smooth val="1"/>
          <c:extLst>
            <c:ext xmlns:c16="http://schemas.microsoft.com/office/drawing/2014/chart" uri="{C3380CC4-5D6E-409C-BE32-E72D297353CC}">
              <c16:uniqueId val="{00000002-797E-4274-AE7E-14B8261F847C}"/>
            </c:ext>
          </c:extLst>
        </c:ser>
        <c:ser>
          <c:idx val="3"/>
          <c:order val="3"/>
          <c:tx>
            <c:strRef>
              <c:f>Sheet4!$G$5:$H$5</c:f>
              <c:strCache>
                <c:ptCount val="1"/>
                <c:pt idx="0">
                  <c:v>4%Cem+3%PFA+1%RC</c:v>
                </c:pt>
              </c:strCache>
            </c:strRef>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Sheet4!$G$7:$G$20</c:f>
              <c:numCache>
                <c:formatCode>General</c:formatCode>
                <c:ptCount val="14"/>
                <c:pt idx="0">
                  <c:v>0</c:v>
                </c:pt>
                <c:pt idx="1">
                  <c:v>0</c:v>
                </c:pt>
                <c:pt idx="2">
                  <c:v>0</c:v>
                </c:pt>
                <c:pt idx="3">
                  <c:v>0.2</c:v>
                </c:pt>
                <c:pt idx="4">
                  <c:v>0.4</c:v>
                </c:pt>
                <c:pt idx="5">
                  <c:v>0.6</c:v>
                </c:pt>
                <c:pt idx="6">
                  <c:v>0.8</c:v>
                </c:pt>
                <c:pt idx="7">
                  <c:v>1</c:v>
                </c:pt>
                <c:pt idx="8">
                  <c:v>1.2</c:v>
                </c:pt>
                <c:pt idx="9">
                  <c:v>1.4</c:v>
                </c:pt>
                <c:pt idx="10">
                  <c:v>1.6</c:v>
                </c:pt>
                <c:pt idx="11">
                  <c:v>1.8</c:v>
                </c:pt>
                <c:pt idx="12">
                  <c:v>2</c:v>
                </c:pt>
                <c:pt idx="13">
                  <c:v>2.2000000000000002</c:v>
                </c:pt>
              </c:numCache>
            </c:numRef>
          </c:xVal>
          <c:yVal>
            <c:numRef>
              <c:f>Sheet4!$H$7:$H$20</c:f>
              <c:numCache>
                <c:formatCode>General</c:formatCode>
                <c:ptCount val="14"/>
                <c:pt idx="0">
                  <c:v>0</c:v>
                </c:pt>
                <c:pt idx="1">
                  <c:v>0</c:v>
                </c:pt>
                <c:pt idx="2">
                  <c:v>0</c:v>
                </c:pt>
                <c:pt idx="3">
                  <c:v>0.09</c:v>
                </c:pt>
                <c:pt idx="4">
                  <c:v>0.18</c:v>
                </c:pt>
                <c:pt idx="5">
                  <c:v>0.28000000000000003</c:v>
                </c:pt>
                <c:pt idx="6">
                  <c:v>0.35</c:v>
                </c:pt>
                <c:pt idx="7">
                  <c:v>0.45</c:v>
                </c:pt>
                <c:pt idx="8">
                  <c:v>0.55000000000000004</c:v>
                </c:pt>
                <c:pt idx="9">
                  <c:v>0.6</c:v>
                </c:pt>
                <c:pt idx="10">
                  <c:v>0.54</c:v>
                </c:pt>
                <c:pt idx="11">
                  <c:v>0.45</c:v>
                </c:pt>
                <c:pt idx="12">
                  <c:v>0.35599999999999998</c:v>
                </c:pt>
                <c:pt idx="13">
                  <c:v>0.3</c:v>
                </c:pt>
              </c:numCache>
            </c:numRef>
          </c:yVal>
          <c:smooth val="1"/>
          <c:extLst>
            <c:ext xmlns:c16="http://schemas.microsoft.com/office/drawing/2014/chart" uri="{C3380CC4-5D6E-409C-BE32-E72D297353CC}">
              <c16:uniqueId val="{00000003-797E-4274-AE7E-14B8261F847C}"/>
            </c:ext>
          </c:extLst>
        </c:ser>
        <c:dLbls>
          <c:showLegendKey val="0"/>
          <c:showVal val="0"/>
          <c:showCatName val="0"/>
          <c:showSerName val="0"/>
          <c:showPercent val="0"/>
          <c:showBubbleSize val="0"/>
        </c:dLbls>
        <c:axId val="452276392"/>
        <c:axId val="452275408"/>
      </c:scatterChart>
      <c:valAx>
        <c:axId val="452276392"/>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cap="all" baseline="0">
                    <a:solidFill>
                      <a:sysClr val="windowText" lastClr="000000"/>
                    </a:solidFill>
                    <a:latin typeface="+mn-lt"/>
                    <a:ea typeface="+mn-ea"/>
                    <a:cs typeface="+mn-cs"/>
                  </a:defRPr>
                </a:pPr>
                <a:r>
                  <a:rPr lang="en-GB" sz="1200" cap="none">
                    <a:solidFill>
                      <a:sysClr val="windowText" lastClr="000000"/>
                    </a:solidFill>
                  </a:rPr>
                  <a:t>Axial</a:t>
                </a:r>
                <a:r>
                  <a:rPr lang="en-GB" sz="1200" cap="none" baseline="0">
                    <a:solidFill>
                      <a:sysClr val="windowText" lastClr="000000"/>
                    </a:solidFill>
                  </a:rPr>
                  <a:t> strain (%)</a:t>
                </a:r>
                <a:endParaRPr lang="en-GB" sz="1200" cap="none">
                  <a:solidFill>
                    <a:sysClr val="windowText" lastClr="000000"/>
                  </a:solidFill>
                </a:endParaRPr>
              </a:p>
            </c:rich>
          </c:tx>
          <c:layout>
            <c:manualLayout>
              <c:xMode val="edge"/>
              <c:yMode val="edge"/>
              <c:x val="0.41507715381731131"/>
              <c:y val="0.9277192410690952"/>
            </c:manualLayout>
          </c:layout>
          <c:overlay val="0"/>
          <c:spPr>
            <a:noFill/>
            <a:ln>
              <a:noFill/>
            </a:ln>
            <a:effectLst/>
          </c:spPr>
          <c:txPr>
            <a:bodyPr rot="0" spcFirstLastPara="1" vertOverflow="ellipsis" vert="horz" wrap="square" anchor="ctr" anchorCtr="1"/>
            <a:lstStyle/>
            <a:p>
              <a:pPr>
                <a:defRPr sz="12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2275408"/>
        <c:crosses val="autoZero"/>
        <c:crossBetween val="midCat"/>
        <c:majorUnit val="0.5"/>
        <c:minorUnit val="0.1"/>
      </c:valAx>
      <c:valAx>
        <c:axId val="452275408"/>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solidFill>
                      <a:sysClr val="windowText" lastClr="000000"/>
                    </a:solidFill>
                  </a:rPr>
                  <a:t>Deviator</a:t>
                </a:r>
                <a:r>
                  <a:rPr lang="en-GB" cap="none" baseline="0">
                    <a:solidFill>
                      <a:sysClr val="windowText" lastClr="000000"/>
                    </a:solidFill>
                  </a:rPr>
                  <a:t> stress (MPa)</a:t>
                </a:r>
                <a:endParaRPr lang="en-GB" cap="none">
                  <a:solidFill>
                    <a:sysClr val="windowText" lastClr="000000"/>
                  </a:solidFill>
                </a:endParaRPr>
              </a:p>
            </c:rich>
          </c:tx>
          <c:layout>
            <c:manualLayout>
              <c:xMode val="edge"/>
              <c:yMode val="edge"/>
              <c:x val="1.4790537546443059E-2"/>
              <c:y val="0.2561220472440944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2276392"/>
        <c:crosses val="autoZero"/>
        <c:crossBetween val="midCat"/>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4285402244182565"/>
          <c:y val="4.7502812148481441E-2"/>
          <c:w val="0.51178539137457313"/>
          <c:h val="0.155597737782777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90184880736063"/>
          <c:y val="2.419345622435802E-2"/>
          <c:w val="0.78676848086296902"/>
          <c:h val="0.84757232932090387"/>
        </c:manualLayout>
      </c:layout>
      <c:scatterChart>
        <c:scatterStyle val="smoothMarker"/>
        <c:varyColors val="0"/>
        <c:ser>
          <c:idx val="0"/>
          <c:order val="0"/>
          <c:tx>
            <c:strRef>
              <c:f>Sheet4!$B$5</c:f>
              <c:strCache>
                <c:ptCount val="1"/>
                <c:pt idx="0">
                  <c:v>8%Cem</c:v>
                </c:pt>
              </c:strCache>
            </c:strRef>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Sheet4!$A$7:$A$19</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Sheet4!$B$7:$B$19</c:f>
              <c:numCache>
                <c:formatCode>General</c:formatCode>
                <c:ptCount val="13"/>
                <c:pt idx="0">
                  <c:v>0</c:v>
                </c:pt>
                <c:pt idx="1">
                  <c:v>0.12</c:v>
                </c:pt>
                <c:pt idx="2">
                  <c:v>0.28000000000000003</c:v>
                </c:pt>
                <c:pt idx="3">
                  <c:v>0.45</c:v>
                </c:pt>
                <c:pt idx="4">
                  <c:v>0.64</c:v>
                </c:pt>
                <c:pt idx="5">
                  <c:v>0.85</c:v>
                </c:pt>
                <c:pt idx="6">
                  <c:v>1</c:v>
                </c:pt>
                <c:pt idx="7">
                  <c:v>1.1399999999999999</c:v>
                </c:pt>
                <c:pt idx="8">
                  <c:v>1.1000000000000001</c:v>
                </c:pt>
                <c:pt idx="9">
                  <c:v>0.65</c:v>
                </c:pt>
                <c:pt idx="10">
                  <c:v>0.45</c:v>
                </c:pt>
                <c:pt idx="11">
                  <c:v>0.34100000000000003</c:v>
                </c:pt>
                <c:pt idx="12">
                  <c:v>0.34100000000000003</c:v>
                </c:pt>
              </c:numCache>
            </c:numRef>
          </c:yVal>
          <c:smooth val="1"/>
          <c:extLst>
            <c:ext xmlns:c16="http://schemas.microsoft.com/office/drawing/2014/chart" uri="{C3380CC4-5D6E-409C-BE32-E72D297353CC}">
              <c16:uniqueId val="{00000000-16D7-4371-8316-BBA08AF604B9}"/>
            </c:ext>
          </c:extLst>
        </c:ser>
        <c:ser>
          <c:idx val="1"/>
          <c:order val="1"/>
          <c:tx>
            <c:strRef>
              <c:f>Sheet4!$J$5</c:f>
              <c:strCache>
                <c:ptCount val="1"/>
                <c:pt idx="0">
                  <c:v>3%Cem+5%GGBS</c:v>
                </c:pt>
              </c:strCache>
            </c:strRef>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Sheet4!$I$7:$I$22</c:f>
              <c:numCache>
                <c:formatCode>General</c:formatCode>
                <c:ptCount val="1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numCache>
            </c:numRef>
          </c:xVal>
          <c:yVal>
            <c:numRef>
              <c:f>Sheet4!$J$7:$J$22</c:f>
              <c:numCache>
                <c:formatCode>General</c:formatCode>
                <c:ptCount val="16"/>
                <c:pt idx="0">
                  <c:v>0</c:v>
                </c:pt>
                <c:pt idx="1">
                  <c:v>0.08</c:v>
                </c:pt>
                <c:pt idx="2">
                  <c:v>0.21</c:v>
                </c:pt>
                <c:pt idx="3">
                  <c:v>0.4</c:v>
                </c:pt>
                <c:pt idx="4">
                  <c:v>0.55000000000000004</c:v>
                </c:pt>
                <c:pt idx="5">
                  <c:v>0.75</c:v>
                </c:pt>
                <c:pt idx="6">
                  <c:v>0.9</c:v>
                </c:pt>
                <c:pt idx="7">
                  <c:v>1.04</c:v>
                </c:pt>
                <c:pt idx="8">
                  <c:v>1</c:v>
                </c:pt>
                <c:pt idx="9">
                  <c:v>0.84084305820779404</c:v>
                </c:pt>
                <c:pt idx="10">
                  <c:v>0.70884786760025464</c:v>
                </c:pt>
                <c:pt idx="11">
                  <c:v>0.6237499115920504</c:v>
                </c:pt>
                <c:pt idx="12">
                  <c:v>0.57939033877926305</c:v>
                </c:pt>
              </c:numCache>
            </c:numRef>
          </c:yVal>
          <c:smooth val="1"/>
          <c:extLst>
            <c:ext xmlns:c16="http://schemas.microsoft.com/office/drawing/2014/chart" uri="{C3380CC4-5D6E-409C-BE32-E72D297353CC}">
              <c16:uniqueId val="{00000001-16D7-4371-8316-BBA08AF604B9}"/>
            </c:ext>
          </c:extLst>
        </c:ser>
        <c:ser>
          <c:idx val="2"/>
          <c:order val="2"/>
          <c:tx>
            <c:strRef>
              <c:f>Sheet4!$K$5:$L$5</c:f>
              <c:strCache>
                <c:ptCount val="1"/>
                <c:pt idx="0">
                  <c:v>3%Cem+4%GGBS+1%RC</c:v>
                </c:pt>
              </c:strCache>
            </c:strRef>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Sheet4!$K$7:$K$19</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Sheet4!$L$7:$L$19</c:f>
              <c:numCache>
                <c:formatCode>General</c:formatCode>
                <c:ptCount val="13"/>
                <c:pt idx="0">
                  <c:v>0</c:v>
                </c:pt>
                <c:pt idx="1">
                  <c:v>0.03</c:v>
                </c:pt>
                <c:pt idx="2">
                  <c:v>0.18</c:v>
                </c:pt>
                <c:pt idx="3">
                  <c:v>0.35092156446707701</c:v>
                </c:pt>
                <c:pt idx="4">
                  <c:v>0.53120093358794818</c:v>
                </c:pt>
                <c:pt idx="5">
                  <c:v>0.8</c:v>
                </c:pt>
                <c:pt idx="6">
                  <c:v>0.92</c:v>
                </c:pt>
                <c:pt idx="7">
                  <c:v>0.92</c:v>
                </c:pt>
                <c:pt idx="8">
                  <c:v>0.8</c:v>
                </c:pt>
                <c:pt idx="9">
                  <c:v>0.7</c:v>
                </c:pt>
                <c:pt idx="10">
                  <c:v>0.55884786760025451</c:v>
                </c:pt>
                <c:pt idx="11">
                  <c:v>0.47374991159205032</c:v>
                </c:pt>
                <c:pt idx="12">
                  <c:v>0.42939033877926303</c:v>
                </c:pt>
              </c:numCache>
            </c:numRef>
          </c:yVal>
          <c:smooth val="1"/>
          <c:extLst>
            <c:ext xmlns:c16="http://schemas.microsoft.com/office/drawing/2014/chart" uri="{C3380CC4-5D6E-409C-BE32-E72D297353CC}">
              <c16:uniqueId val="{00000002-16D7-4371-8316-BBA08AF604B9}"/>
            </c:ext>
          </c:extLst>
        </c:ser>
        <c:ser>
          <c:idx val="3"/>
          <c:order val="3"/>
          <c:tx>
            <c:strRef>
              <c:f>Sheet4!$M$5:$N$5</c:f>
              <c:strCache>
                <c:ptCount val="1"/>
                <c:pt idx="0">
                  <c:v>3%Cem+4%PFA+1%RC</c:v>
                </c:pt>
              </c:strCache>
            </c:strRef>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Sheet4!$M$7:$M$19</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Sheet4!$N$7:$N$19</c:f>
              <c:numCache>
                <c:formatCode>General</c:formatCode>
                <c:ptCount val="13"/>
                <c:pt idx="0">
                  <c:v>0</c:v>
                </c:pt>
                <c:pt idx="1">
                  <c:v>1.9740000000000001E-2</c:v>
                </c:pt>
                <c:pt idx="2">
                  <c:v>9.1600000000000001E-2</c:v>
                </c:pt>
                <c:pt idx="3">
                  <c:v>0.2</c:v>
                </c:pt>
                <c:pt idx="4">
                  <c:v>0.28000000000000003</c:v>
                </c:pt>
                <c:pt idx="5">
                  <c:v>0.42</c:v>
                </c:pt>
                <c:pt idx="6">
                  <c:v>0.51</c:v>
                </c:pt>
                <c:pt idx="7">
                  <c:v>0.54</c:v>
                </c:pt>
                <c:pt idx="8">
                  <c:v>0.5</c:v>
                </c:pt>
                <c:pt idx="9">
                  <c:v>0.36</c:v>
                </c:pt>
                <c:pt idx="10">
                  <c:v>0.3</c:v>
                </c:pt>
                <c:pt idx="11">
                  <c:v>0.20100000000000001</c:v>
                </c:pt>
                <c:pt idx="12">
                  <c:v>0.18</c:v>
                </c:pt>
              </c:numCache>
            </c:numRef>
          </c:yVal>
          <c:smooth val="1"/>
          <c:extLst>
            <c:ext xmlns:c16="http://schemas.microsoft.com/office/drawing/2014/chart" uri="{C3380CC4-5D6E-409C-BE32-E72D297353CC}">
              <c16:uniqueId val="{00000003-16D7-4371-8316-BBA08AF604B9}"/>
            </c:ext>
          </c:extLst>
        </c:ser>
        <c:dLbls>
          <c:showLegendKey val="0"/>
          <c:showVal val="0"/>
          <c:showCatName val="0"/>
          <c:showSerName val="0"/>
          <c:showPercent val="0"/>
          <c:showBubbleSize val="0"/>
        </c:dLbls>
        <c:axId val="452276392"/>
        <c:axId val="452275408"/>
      </c:scatterChart>
      <c:valAx>
        <c:axId val="452276392"/>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cap="all" baseline="0">
                    <a:solidFill>
                      <a:sysClr val="windowText" lastClr="000000"/>
                    </a:solidFill>
                    <a:latin typeface="+mn-lt"/>
                    <a:ea typeface="+mn-ea"/>
                    <a:cs typeface="+mn-cs"/>
                  </a:defRPr>
                </a:pPr>
                <a:r>
                  <a:rPr lang="en-GB" sz="1200" cap="none">
                    <a:solidFill>
                      <a:sysClr val="windowText" lastClr="000000"/>
                    </a:solidFill>
                  </a:rPr>
                  <a:t>Axial</a:t>
                </a:r>
                <a:r>
                  <a:rPr lang="en-GB" sz="1200" cap="none" baseline="0">
                    <a:solidFill>
                      <a:sysClr val="windowText" lastClr="000000"/>
                    </a:solidFill>
                  </a:rPr>
                  <a:t> strain (%)</a:t>
                </a:r>
                <a:endParaRPr lang="en-GB" sz="1200" cap="none">
                  <a:solidFill>
                    <a:sysClr val="windowText" lastClr="000000"/>
                  </a:solidFill>
                </a:endParaRPr>
              </a:p>
            </c:rich>
          </c:tx>
          <c:layout>
            <c:manualLayout>
              <c:xMode val="edge"/>
              <c:yMode val="edge"/>
              <c:x val="0.41507715381731131"/>
              <c:y val="0.9277192410690952"/>
            </c:manualLayout>
          </c:layout>
          <c:overlay val="0"/>
          <c:spPr>
            <a:noFill/>
            <a:ln>
              <a:noFill/>
            </a:ln>
            <a:effectLst/>
          </c:spPr>
          <c:txPr>
            <a:bodyPr rot="0" spcFirstLastPara="1" vertOverflow="ellipsis" vert="horz" wrap="square" anchor="ctr" anchorCtr="1"/>
            <a:lstStyle/>
            <a:p>
              <a:pPr>
                <a:defRPr sz="12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2275408"/>
        <c:crosses val="autoZero"/>
        <c:crossBetween val="midCat"/>
      </c:valAx>
      <c:valAx>
        <c:axId val="452275408"/>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solidFill>
                      <a:sysClr val="windowText" lastClr="000000"/>
                    </a:solidFill>
                  </a:rPr>
                  <a:t>Deviator</a:t>
                </a:r>
                <a:r>
                  <a:rPr lang="en-GB" cap="none" baseline="0">
                    <a:solidFill>
                      <a:sysClr val="windowText" lastClr="000000"/>
                    </a:solidFill>
                  </a:rPr>
                  <a:t> stress (MPa)</a:t>
                </a:r>
                <a:endParaRPr lang="en-GB" cap="none">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2276392"/>
        <c:crosses val="autoZero"/>
        <c:crossBetween val="midCat"/>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1812102254341493"/>
          <c:y val="5.970840535177005E-2"/>
          <c:w val="0.54690648258008845"/>
          <c:h val="0.19026342743742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90184880736063"/>
          <c:y val="4.5964150930837798E-2"/>
          <c:w val="0.78676848086296902"/>
          <c:h val="0.83283710382123699"/>
        </c:manualLayout>
      </c:layout>
      <c:scatterChart>
        <c:scatterStyle val="smoothMarker"/>
        <c:varyColors val="0"/>
        <c:ser>
          <c:idx val="0"/>
          <c:order val="0"/>
          <c:tx>
            <c:strRef>
              <c:f>Sheet4!$B$5</c:f>
              <c:strCache>
                <c:ptCount val="1"/>
                <c:pt idx="0">
                  <c:v>8%Cem</c:v>
                </c:pt>
              </c:strCache>
            </c:strRef>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Sheet4!$A$7:$A$19</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Sheet4!$B$7:$B$19</c:f>
              <c:numCache>
                <c:formatCode>General</c:formatCode>
                <c:ptCount val="13"/>
                <c:pt idx="0">
                  <c:v>0</c:v>
                </c:pt>
                <c:pt idx="1">
                  <c:v>0.12</c:v>
                </c:pt>
                <c:pt idx="2">
                  <c:v>0.28000000000000003</c:v>
                </c:pt>
                <c:pt idx="3">
                  <c:v>0.45</c:v>
                </c:pt>
                <c:pt idx="4">
                  <c:v>0.64</c:v>
                </c:pt>
                <c:pt idx="5">
                  <c:v>0.85</c:v>
                </c:pt>
                <c:pt idx="6">
                  <c:v>1</c:v>
                </c:pt>
                <c:pt idx="7">
                  <c:v>1.1399999999999999</c:v>
                </c:pt>
                <c:pt idx="8">
                  <c:v>1.1000000000000001</c:v>
                </c:pt>
                <c:pt idx="9">
                  <c:v>0.65</c:v>
                </c:pt>
                <c:pt idx="10">
                  <c:v>0.45</c:v>
                </c:pt>
                <c:pt idx="11">
                  <c:v>0.34100000000000003</c:v>
                </c:pt>
                <c:pt idx="12">
                  <c:v>0.34100000000000003</c:v>
                </c:pt>
              </c:numCache>
            </c:numRef>
          </c:yVal>
          <c:smooth val="1"/>
          <c:extLst>
            <c:ext xmlns:c16="http://schemas.microsoft.com/office/drawing/2014/chart" uri="{C3380CC4-5D6E-409C-BE32-E72D297353CC}">
              <c16:uniqueId val="{00000000-40D8-456E-9F95-F2CFD0E63988}"/>
            </c:ext>
          </c:extLst>
        </c:ser>
        <c:ser>
          <c:idx val="1"/>
          <c:order val="1"/>
          <c:tx>
            <c:strRef>
              <c:f>Sheet4!$P$5</c:f>
              <c:strCache>
                <c:ptCount val="1"/>
                <c:pt idx="0">
                  <c:v>2%Cem+6%GGBS</c:v>
                </c:pt>
              </c:strCache>
            </c:strRef>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Sheet4!$O$7:$O$17</c:f>
              <c:numCache>
                <c:formatCode>General</c:formatCode>
                <c:ptCount val="11"/>
                <c:pt idx="0">
                  <c:v>0</c:v>
                </c:pt>
                <c:pt idx="1">
                  <c:v>0.2</c:v>
                </c:pt>
                <c:pt idx="2">
                  <c:v>0.4</c:v>
                </c:pt>
                <c:pt idx="3">
                  <c:v>0.6</c:v>
                </c:pt>
                <c:pt idx="4">
                  <c:v>0.8</c:v>
                </c:pt>
                <c:pt idx="5">
                  <c:v>1</c:v>
                </c:pt>
                <c:pt idx="6">
                  <c:v>1.2</c:v>
                </c:pt>
                <c:pt idx="7">
                  <c:v>1.4</c:v>
                </c:pt>
                <c:pt idx="8">
                  <c:v>1.6</c:v>
                </c:pt>
                <c:pt idx="9">
                  <c:v>1.8</c:v>
                </c:pt>
                <c:pt idx="10">
                  <c:v>2</c:v>
                </c:pt>
              </c:numCache>
            </c:numRef>
          </c:xVal>
          <c:yVal>
            <c:numRef>
              <c:f>Sheet4!$P$7:$P$16</c:f>
              <c:numCache>
                <c:formatCode>General</c:formatCode>
                <c:ptCount val="10"/>
                <c:pt idx="0">
                  <c:v>0</c:v>
                </c:pt>
                <c:pt idx="1">
                  <c:v>0.08</c:v>
                </c:pt>
                <c:pt idx="2">
                  <c:v>0.2</c:v>
                </c:pt>
                <c:pt idx="3">
                  <c:v>0.32</c:v>
                </c:pt>
                <c:pt idx="4">
                  <c:v>0.42</c:v>
                </c:pt>
                <c:pt idx="5">
                  <c:v>0.6</c:v>
                </c:pt>
                <c:pt idx="6">
                  <c:v>0.75</c:v>
                </c:pt>
                <c:pt idx="7">
                  <c:v>0.9</c:v>
                </c:pt>
                <c:pt idx="8">
                  <c:v>0.8</c:v>
                </c:pt>
                <c:pt idx="9">
                  <c:v>0.64095056227455971</c:v>
                </c:pt>
              </c:numCache>
            </c:numRef>
          </c:yVal>
          <c:smooth val="1"/>
          <c:extLst>
            <c:ext xmlns:c16="http://schemas.microsoft.com/office/drawing/2014/chart" uri="{C3380CC4-5D6E-409C-BE32-E72D297353CC}">
              <c16:uniqueId val="{00000001-40D8-456E-9F95-F2CFD0E63988}"/>
            </c:ext>
          </c:extLst>
        </c:ser>
        <c:ser>
          <c:idx val="2"/>
          <c:order val="2"/>
          <c:tx>
            <c:strRef>
              <c:f>Sheet4!$Q$5:$R$5</c:f>
              <c:strCache>
                <c:ptCount val="1"/>
                <c:pt idx="0">
                  <c:v>2%Cem+5%GGBS+1%RC</c:v>
                </c:pt>
              </c:strCache>
            </c:strRef>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Sheet4!$Q$7:$Q$19</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Sheet4!$R$7:$R$19</c:f>
              <c:numCache>
                <c:formatCode>General</c:formatCode>
                <c:ptCount val="13"/>
                <c:pt idx="0">
                  <c:v>0</c:v>
                </c:pt>
                <c:pt idx="1">
                  <c:v>2.8969516938963154E-2</c:v>
                </c:pt>
                <c:pt idx="2">
                  <c:v>0.15480585614258432</c:v>
                </c:pt>
                <c:pt idx="3">
                  <c:v>0.30689582007214089</c:v>
                </c:pt>
                <c:pt idx="4">
                  <c:v>0.44269043072353065</c:v>
                </c:pt>
                <c:pt idx="5">
                  <c:v>0.54770492962727213</c:v>
                </c:pt>
                <c:pt idx="6">
                  <c:v>0.7</c:v>
                </c:pt>
                <c:pt idx="7">
                  <c:v>0.8</c:v>
                </c:pt>
                <c:pt idx="8">
                  <c:v>0.75</c:v>
                </c:pt>
                <c:pt idx="9">
                  <c:v>0.6</c:v>
                </c:pt>
                <c:pt idx="10">
                  <c:v>0.35</c:v>
                </c:pt>
                <c:pt idx="11">
                  <c:v>0.3</c:v>
                </c:pt>
                <c:pt idx="12">
                  <c:v>0.3</c:v>
                </c:pt>
              </c:numCache>
            </c:numRef>
          </c:yVal>
          <c:smooth val="1"/>
          <c:extLst>
            <c:ext xmlns:c16="http://schemas.microsoft.com/office/drawing/2014/chart" uri="{C3380CC4-5D6E-409C-BE32-E72D297353CC}">
              <c16:uniqueId val="{00000002-40D8-456E-9F95-F2CFD0E63988}"/>
            </c:ext>
          </c:extLst>
        </c:ser>
        <c:ser>
          <c:idx val="3"/>
          <c:order val="3"/>
          <c:tx>
            <c:strRef>
              <c:f>Sheet4!$S$5:$U$5</c:f>
              <c:strCache>
                <c:ptCount val="1"/>
                <c:pt idx="0">
                  <c:v>2%Cem+5%PFA+1%RC</c:v>
                </c:pt>
              </c:strCache>
            </c:strRef>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Sheet4!$S$7:$S$19</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Sheet4!$T$7:$T$20</c:f>
              <c:numCache>
                <c:formatCode>General</c:formatCode>
                <c:ptCount val="14"/>
                <c:pt idx="0">
                  <c:v>0</c:v>
                </c:pt>
                <c:pt idx="1">
                  <c:v>2.8969516938963154E-2</c:v>
                </c:pt>
                <c:pt idx="2">
                  <c:v>8.1051941438574096E-2</c:v>
                </c:pt>
                <c:pt idx="3">
                  <c:v>0.122689582007214</c:v>
                </c:pt>
                <c:pt idx="4">
                  <c:v>0.2</c:v>
                </c:pt>
                <c:pt idx="5">
                  <c:v>0.28000000000000003</c:v>
                </c:pt>
                <c:pt idx="6">
                  <c:v>0.32556050640073603</c:v>
                </c:pt>
                <c:pt idx="7">
                  <c:v>0.34</c:v>
                </c:pt>
                <c:pt idx="8">
                  <c:v>0.28000000000000003</c:v>
                </c:pt>
                <c:pt idx="9">
                  <c:v>0.2</c:v>
                </c:pt>
                <c:pt idx="10">
                  <c:v>0.18</c:v>
                </c:pt>
                <c:pt idx="11">
                  <c:v>0.15</c:v>
                </c:pt>
                <c:pt idx="12">
                  <c:v>0.14000000000000001</c:v>
                </c:pt>
              </c:numCache>
            </c:numRef>
          </c:yVal>
          <c:smooth val="1"/>
          <c:extLst>
            <c:ext xmlns:c16="http://schemas.microsoft.com/office/drawing/2014/chart" uri="{C3380CC4-5D6E-409C-BE32-E72D297353CC}">
              <c16:uniqueId val="{00000003-40D8-456E-9F95-F2CFD0E63988}"/>
            </c:ext>
          </c:extLst>
        </c:ser>
        <c:dLbls>
          <c:showLegendKey val="0"/>
          <c:showVal val="0"/>
          <c:showCatName val="0"/>
          <c:showSerName val="0"/>
          <c:showPercent val="0"/>
          <c:showBubbleSize val="0"/>
        </c:dLbls>
        <c:axId val="452276392"/>
        <c:axId val="452275408"/>
      </c:scatterChart>
      <c:valAx>
        <c:axId val="452276392"/>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cap="all" baseline="0">
                    <a:solidFill>
                      <a:sysClr val="windowText" lastClr="000000"/>
                    </a:solidFill>
                    <a:latin typeface="+mn-lt"/>
                    <a:ea typeface="+mn-ea"/>
                    <a:cs typeface="+mn-cs"/>
                  </a:defRPr>
                </a:pPr>
                <a:r>
                  <a:rPr lang="en-GB" sz="1200" cap="none">
                    <a:solidFill>
                      <a:sysClr val="windowText" lastClr="000000"/>
                    </a:solidFill>
                  </a:rPr>
                  <a:t>Axial</a:t>
                </a:r>
                <a:r>
                  <a:rPr lang="en-GB" sz="1200" cap="none" baseline="0">
                    <a:solidFill>
                      <a:sysClr val="windowText" lastClr="000000"/>
                    </a:solidFill>
                  </a:rPr>
                  <a:t> strain (%)</a:t>
                </a:r>
                <a:endParaRPr lang="en-GB" sz="1200" cap="none">
                  <a:solidFill>
                    <a:sysClr val="windowText" lastClr="000000"/>
                  </a:solidFill>
                </a:endParaRPr>
              </a:p>
            </c:rich>
          </c:tx>
          <c:layout>
            <c:manualLayout>
              <c:xMode val="edge"/>
              <c:yMode val="edge"/>
              <c:x val="0.41507715381731131"/>
              <c:y val="0.9277192410690952"/>
            </c:manualLayout>
          </c:layout>
          <c:overlay val="0"/>
          <c:spPr>
            <a:noFill/>
            <a:ln>
              <a:noFill/>
            </a:ln>
            <a:effectLst/>
          </c:spPr>
          <c:txPr>
            <a:bodyPr rot="0" spcFirstLastPara="1" vertOverflow="ellipsis" vert="horz" wrap="square" anchor="ctr" anchorCtr="1"/>
            <a:lstStyle/>
            <a:p>
              <a:pPr>
                <a:defRPr sz="12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2275408"/>
        <c:crosses val="autoZero"/>
        <c:crossBetween val="midCat"/>
        <c:majorUnit val="0.5"/>
        <c:minorUnit val="0.1"/>
      </c:valAx>
      <c:valAx>
        <c:axId val="452275408"/>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solidFill>
                      <a:sysClr val="windowText" lastClr="000000"/>
                    </a:solidFill>
                  </a:rPr>
                  <a:t>Deviator</a:t>
                </a:r>
                <a:r>
                  <a:rPr lang="en-GB" cap="none" baseline="0">
                    <a:solidFill>
                      <a:sysClr val="windowText" lastClr="000000"/>
                    </a:solidFill>
                  </a:rPr>
                  <a:t> stress (MPa)</a:t>
                </a:r>
                <a:endParaRPr lang="en-GB" cap="none">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2276392"/>
        <c:crosses val="autoZero"/>
        <c:crossBetween val="midCat"/>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1151044475604931"/>
          <c:y val="0.10342411610313415"/>
          <c:w val="0.54739366483299179"/>
          <c:h val="0.165653543307086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55424938079923"/>
          <c:y val="3.2507754712479117E-2"/>
          <c:w val="0.77357251118258108"/>
          <c:h val="0.84029696287964006"/>
        </c:manualLayout>
      </c:layout>
      <c:scatterChart>
        <c:scatterStyle val="smoothMarker"/>
        <c:varyColors val="0"/>
        <c:ser>
          <c:idx val="0"/>
          <c:order val="0"/>
          <c:tx>
            <c:v>8%Cem</c:v>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Sheet3!$A$5:$A$17</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Sheet3!$B$5:$B$17</c:f>
              <c:numCache>
                <c:formatCode>General</c:formatCode>
                <c:ptCount val="13"/>
                <c:pt idx="0">
                  <c:v>2.0821840299879765E-2</c:v>
                </c:pt>
                <c:pt idx="1">
                  <c:v>0.105160195204752</c:v>
                </c:pt>
                <c:pt idx="2">
                  <c:v>0.19851050286441799</c:v>
                </c:pt>
                <c:pt idx="3">
                  <c:v>0.36796803168540898</c:v>
                </c:pt>
                <c:pt idx="4">
                  <c:v>0.57890232689723498</c:v>
                </c:pt>
                <c:pt idx="5">
                  <c:v>0.84638234670061496</c:v>
                </c:pt>
                <c:pt idx="6">
                  <c:v>1.107</c:v>
                </c:pt>
                <c:pt idx="7">
                  <c:v>1.1071787255109979</c:v>
                </c:pt>
                <c:pt idx="8">
                  <c:v>0.89072777424149996</c:v>
                </c:pt>
                <c:pt idx="9">
                  <c:v>0.72777424145979996</c:v>
                </c:pt>
                <c:pt idx="10">
                  <c:v>0.61099999999999999</c:v>
                </c:pt>
                <c:pt idx="11">
                  <c:v>0.56000000000000005</c:v>
                </c:pt>
                <c:pt idx="12">
                  <c:v>0.55000000000000004</c:v>
                </c:pt>
              </c:numCache>
            </c:numRef>
          </c:yVal>
          <c:smooth val="1"/>
          <c:extLst>
            <c:ext xmlns:c16="http://schemas.microsoft.com/office/drawing/2014/chart" uri="{C3380CC4-5D6E-409C-BE32-E72D297353CC}">
              <c16:uniqueId val="{00000000-BB69-40B0-89B2-0A6338F4CBA3}"/>
            </c:ext>
          </c:extLst>
        </c:ser>
        <c:ser>
          <c:idx val="1"/>
          <c:order val="1"/>
          <c:tx>
            <c:v>4%Cem+4%GGBS</c:v>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Sheet3!$C$6:$C$17</c:f>
              <c:numCache>
                <c:formatCode>General</c:formatCode>
                <c:ptCount val="12"/>
                <c:pt idx="0">
                  <c:v>0</c:v>
                </c:pt>
                <c:pt idx="1">
                  <c:v>0.2</c:v>
                </c:pt>
                <c:pt idx="2">
                  <c:v>0.4</c:v>
                </c:pt>
                <c:pt idx="3">
                  <c:v>0.6</c:v>
                </c:pt>
                <c:pt idx="4">
                  <c:v>0.8</c:v>
                </c:pt>
                <c:pt idx="5">
                  <c:v>1</c:v>
                </c:pt>
                <c:pt idx="6">
                  <c:v>1.2</c:v>
                </c:pt>
                <c:pt idx="7">
                  <c:v>1.4</c:v>
                </c:pt>
                <c:pt idx="8">
                  <c:v>1.6</c:v>
                </c:pt>
                <c:pt idx="9">
                  <c:v>1.8</c:v>
                </c:pt>
                <c:pt idx="10">
                  <c:v>2</c:v>
                </c:pt>
                <c:pt idx="11">
                  <c:v>2.2000000000000002</c:v>
                </c:pt>
              </c:numCache>
            </c:numRef>
          </c:xVal>
          <c:yVal>
            <c:numRef>
              <c:f>Sheet3!$D$6:$D$17</c:f>
              <c:numCache>
                <c:formatCode>General</c:formatCode>
                <c:ptCount val="12"/>
                <c:pt idx="0">
                  <c:v>0</c:v>
                </c:pt>
                <c:pt idx="1">
                  <c:v>0.12526487021712901</c:v>
                </c:pt>
                <c:pt idx="2">
                  <c:v>0.27876087417780598</c:v>
                </c:pt>
                <c:pt idx="3">
                  <c:v>0.47883160053752</c:v>
                </c:pt>
                <c:pt idx="4">
                  <c:v>0.67848504137492105</c:v>
                </c:pt>
                <c:pt idx="5">
                  <c:v>0.90801329655562635</c:v>
                </c:pt>
                <c:pt idx="6">
                  <c:v>1.0819171087064099</c:v>
                </c:pt>
                <c:pt idx="7">
                  <c:v>1.0815814414032101</c:v>
                </c:pt>
                <c:pt idx="8">
                  <c:v>0.82841785133319001</c:v>
                </c:pt>
                <c:pt idx="9">
                  <c:v>0.61435037838602402</c:v>
                </c:pt>
                <c:pt idx="10">
                  <c:v>0.5010149232619</c:v>
                </c:pt>
                <c:pt idx="11">
                  <c:v>0.46539359219180998</c:v>
                </c:pt>
              </c:numCache>
            </c:numRef>
          </c:yVal>
          <c:smooth val="1"/>
          <c:extLst>
            <c:ext xmlns:c16="http://schemas.microsoft.com/office/drawing/2014/chart" uri="{C3380CC4-5D6E-409C-BE32-E72D297353CC}">
              <c16:uniqueId val="{00000001-BB69-40B0-89B2-0A6338F4CBA3}"/>
            </c:ext>
          </c:extLst>
        </c:ser>
        <c:ser>
          <c:idx val="2"/>
          <c:order val="2"/>
          <c:tx>
            <c:v>4%Cem+3%GGBS+1%RC</c:v>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Sheet3!$E$5:$E$18</c:f>
              <c:numCache>
                <c:formatCode>General</c:formatCode>
                <c:ptCount val="14"/>
                <c:pt idx="0">
                  <c:v>0</c:v>
                </c:pt>
                <c:pt idx="1">
                  <c:v>1.2738853503184715E-3</c:v>
                </c:pt>
                <c:pt idx="2">
                  <c:v>2.0382165605095544E-2</c:v>
                </c:pt>
                <c:pt idx="3">
                  <c:v>0.21019108280254778</c:v>
                </c:pt>
                <c:pt idx="4">
                  <c:v>0.41783439490445862</c:v>
                </c:pt>
                <c:pt idx="5">
                  <c:v>0.61910828025477704</c:v>
                </c:pt>
                <c:pt idx="6">
                  <c:v>0.819108280254777</c:v>
                </c:pt>
                <c:pt idx="7">
                  <c:v>1.0318471337579618</c:v>
                </c:pt>
                <c:pt idx="8">
                  <c:v>1.243312101910828</c:v>
                </c:pt>
                <c:pt idx="9">
                  <c:v>1.4547770700636942</c:v>
                </c:pt>
                <c:pt idx="10">
                  <c:v>1.6636942675159236</c:v>
                </c:pt>
                <c:pt idx="11">
                  <c:v>1.8853503184713376</c:v>
                </c:pt>
                <c:pt idx="12">
                  <c:v>2.1031847133757964</c:v>
                </c:pt>
              </c:numCache>
            </c:numRef>
          </c:xVal>
          <c:yVal>
            <c:numRef>
              <c:f>Sheet3!$F$5:$F$18</c:f>
              <c:numCache>
                <c:formatCode>General</c:formatCode>
                <c:ptCount val="14"/>
                <c:pt idx="0">
                  <c:v>0</c:v>
                </c:pt>
                <c:pt idx="1">
                  <c:v>9.0529740434259858E-4</c:v>
                </c:pt>
                <c:pt idx="2">
                  <c:v>4.1643680599759529E-2</c:v>
                </c:pt>
                <c:pt idx="3">
                  <c:v>0.15480585614258432</c:v>
                </c:pt>
                <c:pt idx="4">
                  <c:v>0.28788457458094635</c:v>
                </c:pt>
                <c:pt idx="5">
                  <c:v>0.4390692411061603</c:v>
                </c:pt>
                <c:pt idx="6">
                  <c:v>0.63280288563547626</c:v>
                </c:pt>
                <c:pt idx="7">
                  <c:v>0.79394582360845889</c:v>
                </c:pt>
                <c:pt idx="8">
                  <c:v>1.0089185939599601</c:v>
                </c:pt>
                <c:pt idx="9">
                  <c:v>1.23426692128156</c:v>
                </c:pt>
                <c:pt idx="10">
                  <c:v>1.20769219888252</c:v>
                </c:pt>
                <c:pt idx="11">
                  <c:v>1</c:v>
                </c:pt>
                <c:pt idx="12">
                  <c:v>0.8</c:v>
                </c:pt>
              </c:numCache>
            </c:numRef>
          </c:yVal>
          <c:smooth val="1"/>
          <c:extLst>
            <c:ext xmlns:c16="http://schemas.microsoft.com/office/drawing/2014/chart" uri="{C3380CC4-5D6E-409C-BE32-E72D297353CC}">
              <c16:uniqueId val="{00000002-BB69-40B0-89B2-0A6338F4CBA3}"/>
            </c:ext>
          </c:extLst>
        </c:ser>
        <c:ser>
          <c:idx val="3"/>
          <c:order val="3"/>
          <c:tx>
            <c:v>4%Cem+3%PFA+1%RC</c:v>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Sheet3!$G$5:$G$18</c:f>
              <c:numCache>
                <c:formatCode>General</c:formatCode>
                <c:ptCount val="14"/>
                <c:pt idx="0">
                  <c:v>0</c:v>
                </c:pt>
                <c:pt idx="1">
                  <c:v>1.2738853503184715E-3</c:v>
                </c:pt>
                <c:pt idx="2">
                  <c:v>2.0382165605095544E-2</c:v>
                </c:pt>
                <c:pt idx="3">
                  <c:v>0.21019108280254778</c:v>
                </c:pt>
                <c:pt idx="4">
                  <c:v>0.41783439490445862</c:v>
                </c:pt>
                <c:pt idx="5">
                  <c:v>0.61910828025477704</c:v>
                </c:pt>
                <c:pt idx="6">
                  <c:v>0.819108280254777</c:v>
                </c:pt>
                <c:pt idx="7">
                  <c:v>1.0318471337579618</c:v>
                </c:pt>
                <c:pt idx="8">
                  <c:v>1.243312101910828</c:v>
                </c:pt>
                <c:pt idx="9">
                  <c:v>1.4547770700636942</c:v>
                </c:pt>
                <c:pt idx="10">
                  <c:v>1.6636942675159236</c:v>
                </c:pt>
                <c:pt idx="11">
                  <c:v>1.8853503184713376</c:v>
                </c:pt>
                <c:pt idx="12">
                  <c:v>2.1031847133757964</c:v>
                </c:pt>
                <c:pt idx="13">
                  <c:v>2.2929936305732488</c:v>
                </c:pt>
              </c:numCache>
            </c:numRef>
          </c:xVal>
          <c:yVal>
            <c:numRef>
              <c:f>Sheet3!$H$5:$H$18</c:f>
              <c:numCache>
                <c:formatCode>General</c:formatCode>
                <c:ptCount val="14"/>
                <c:pt idx="0">
                  <c:v>0</c:v>
                </c:pt>
                <c:pt idx="1">
                  <c:v>1.6295353278166773E-2</c:v>
                </c:pt>
                <c:pt idx="2">
                  <c:v>7.966617158214867E-2</c:v>
                </c:pt>
                <c:pt idx="3">
                  <c:v>0.16838531720772332</c:v>
                </c:pt>
                <c:pt idx="4">
                  <c:v>0.29422165641134451</c:v>
                </c:pt>
                <c:pt idx="5">
                  <c:v>0.41191031897588232</c:v>
                </c:pt>
                <c:pt idx="6">
                  <c:v>0.59972416719711397</c:v>
                </c:pt>
                <c:pt idx="7">
                  <c:v>0.75626989178866999</c:v>
                </c:pt>
                <c:pt idx="8">
                  <c:v>0.88468067048589005</c:v>
                </c:pt>
                <c:pt idx="9">
                  <c:v>0.74888605983449996</c:v>
                </c:pt>
                <c:pt idx="10">
                  <c:v>0.61560223495296706</c:v>
                </c:pt>
                <c:pt idx="11">
                  <c:v>0.60292807129217052</c:v>
                </c:pt>
                <c:pt idx="12">
                  <c:v>0.55313671405332765</c:v>
                </c:pt>
              </c:numCache>
            </c:numRef>
          </c:yVal>
          <c:smooth val="1"/>
          <c:extLst>
            <c:ext xmlns:c16="http://schemas.microsoft.com/office/drawing/2014/chart" uri="{C3380CC4-5D6E-409C-BE32-E72D297353CC}">
              <c16:uniqueId val="{00000003-BB69-40B0-89B2-0A6338F4CBA3}"/>
            </c:ext>
          </c:extLst>
        </c:ser>
        <c:dLbls>
          <c:showLegendKey val="0"/>
          <c:showVal val="0"/>
          <c:showCatName val="0"/>
          <c:showSerName val="0"/>
          <c:showPercent val="0"/>
          <c:showBubbleSize val="0"/>
        </c:dLbls>
        <c:axId val="576781616"/>
        <c:axId val="576775712"/>
      </c:scatterChart>
      <c:valAx>
        <c:axId val="576781616"/>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t>Axial</a:t>
                </a:r>
                <a:r>
                  <a:rPr lang="en-GB" sz="1200" cap="none" baseline="0"/>
                  <a:t> strain (%)</a:t>
                </a:r>
                <a:endParaRPr lang="en-GB" sz="1200" cap="none"/>
              </a:p>
            </c:rich>
          </c:tx>
          <c:layout>
            <c:manualLayout>
              <c:xMode val="edge"/>
              <c:yMode val="edge"/>
              <c:x val="0.43976164333229373"/>
              <c:y val="0.9374430923407303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76775712"/>
        <c:crosses val="autoZero"/>
        <c:crossBetween val="midCat"/>
        <c:majorUnit val="0.5"/>
      </c:valAx>
      <c:valAx>
        <c:axId val="576775712"/>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baseline="0"/>
                  <a:t>Deviator stress </a:t>
                </a:r>
                <a:r>
                  <a:rPr lang="en-GB" baseline="0"/>
                  <a:t>(</a:t>
                </a:r>
                <a:r>
                  <a:rPr lang="en-GB" cap="none" baseline="0"/>
                  <a:t>MPa</a:t>
                </a:r>
                <a:r>
                  <a:rPr lang="en-GB" baseline="0"/>
                  <a:t>)</a:t>
                </a:r>
                <a:endParaRPr lang="en-GB"/>
              </a:p>
            </c:rich>
          </c:tx>
          <c:layout>
            <c:manualLayout>
              <c:xMode val="edge"/>
              <c:yMode val="edge"/>
              <c:x val="0"/>
              <c:y val="0.2673055868016497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6781616"/>
        <c:crosses val="autoZero"/>
        <c:crossBetween val="midCat"/>
        <c:majorUnit val="0.2"/>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155984611512602"/>
          <c:y val="9.8201794543123971E-2"/>
          <c:w val="0.53761311293042013"/>
          <c:h val="0.167677470548739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09343832020999"/>
          <c:y val="2.7269553805774283E-2"/>
          <c:w val="0.78143972003499562"/>
          <c:h val="0.83614094488188972"/>
        </c:manualLayout>
      </c:layout>
      <c:scatterChart>
        <c:scatterStyle val="smoothMarker"/>
        <c:varyColors val="0"/>
        <c:ser>
          <c:idx val="0"/>
          <c:order val="0"/>
          <c:tx>
            <c:v>8%Cem</c:v>
          </c:tx>
          <c:spPr>
            <a:ln w="12700" cap="flat" cmpd="sng" algn="ctr">
              <a:solidFill>
                <a:schemeClr val="dk1"/>
              </a:solidFill>
              <a:prstDash val="solid"/>
              <a:miter lim="800000"/>
            </a:ln>
            <a:effectLst/>
          </c:spPr>
          <c:marker>
            <c:symbol val="diamond"/>
            <c:size val="6"/>
            <c:spPr>
              <a:solidFill>
                <a:schemeClr val="lt1"/>
              </a:solidFill>
              <a:ln w="12700" cap="flat" cmpd="sng" algn="ctr">
                <a:solidFill>
                  <a:schemeClr val="dk1"/>
                </a:solidFill>
                <a:prstDash val="solid"/>
                <a:miter lim="800000"/>
              </a:ln>
              <a:effectLst/>
            </c:spPr>
          </c:marker>
          <c:xVal>
            <c:numRef>
              <c:f>Sheet3!$A$5:$A$17</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Sheet3!$B$5:$B$17</c:f>
              <c:numCache>
                <c:formatCode>General</c:formatCode>
                <c:ptCount val="13"/>
                <c:pt idx="0">
                  <c:v>2.0821840299879765E-2</c:v>
                </c:pt>
                <c:pt idx="1">
                  <c:v>0.105160195204752</c:v>
                </c:pt>
                <c:pt idx="2">
                  <c:v>0.19851050286441799</c:v>
                </c:pt>
                <c:pt idx="3">
                  <c:v>0.36796803168540898</c:v>
                </c:pt>
                <c:pt idx="4">
                  <c:v>0.57890232689723498</c:v>
                </c:pt>
                <c:pt idx="5">
                  <c:v>0.84638234670061496</c:v>
                </c:pt>
                <c:pt idx="6">
                  <c:v>1.107</c:v>
                </c:pt>
                <c:pt idx="7">
                  <c:v>1.1071787255109979</c:v>
                </c:pt>
                <c:pt idx="8">
                  <c:v>0.89072777424149996</c:v>
                </c:pt>
                <c:pt idx="9">
                  <c:v>0.72777424145979996</c:v>
                </c:pt>
                <c:pt idx="10">
                  <c:v>0.61099999999999999</c:v>
                </c:pt>
                <c:pt idx="11">
                  <c:v>0.56000000000000005</c:v>
                </c:pt>
                <c:pt idx="12">
                  <c:v>0.55000000000000004</c:v>
                </c:pt>
              </c:numCache>
            </c:numRef>
          </c:yVal>
          <c:smooth val="1"/>
          <c:extLst>
            <c:ext xmlns:c16="http://schemas.microsoft.com/office/drawing/2014/chart" uri="{C3380CC4-5D6E-409C-BE32-E72D297353CC}">
              <c16:uniqueId val="{00000000-9253-4764-BA21-58E14DA28D0B}"/>
            </c:ext>
          </c:extLst>
        </c:ser>
        <c:ser>
          <c:idx val="1"/>
          <c:order val="1"/>
          <c:tx>
            <c:v>3%Cem+5%GGBS</c:v>
          </c:tx>
          <c:spPr>
            <a:ln w="12700" cap="flat" cmpd="sng" algn="ctr">
              <a:solidFill>
                <a:schemeClr val="dk1"/>
              </a:solidFill>
              <a:prstDash val="solid"/>
              <a:miter lim="800000"/>
            </a:ln>
            <a:effectLst/>
          </c:spPr>
          <c:marker>
            <c:symbol val="square"/>
            <c:size val="6"/>
            <c:spPr>
              <a:solidFill>
                <a:schemeClr val="lt1"/>
              </a:solidFill>
              <a:ln w="12700" cap="flat" cmpd="sng" algn="ctr">
                <a:solidFill>
                  <a:schemeClr val="dk1"/>
                </a:solidFill>
                <a:prstDash val="solid"/>
                <a:miter lim="800000"/>
              </a:ln>
              <a:effectLst/>
            </c:spPr>
          </c:marker>
          <c:xVal>
            <c:numRef>
              <c:f>Sheet3!$I$5:$I$17</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Sheet3!$J$5:$J$17</c:f>
              <c:numCache>
                <c:formatCode>General</c:formatCode>
                <c:ptCount val="13"/>
                <c:pt idx="0">
                  <c:v>0</c:v>
                </c:pt>
                <c:pt idx="1">
                  <c:v>0.16950279369120899</c:v>
                </c:pt>
                <c:pt idx="2">
                  <c:v>0.33809321734210301</c:v>
                </c:pt>
                <c:pt idx="3">
                  <c:v>0.53092156446707695</c:v>
                </c:pt>
                <c:pt idx="4">
                  <c:v>0.78120093358794795</c:v>
                </c:pt>
                <c:pt idx="5">
                  <c:v>1.00700190961171</c:v>
                </c:pt>
                <c:pt idx="6">
                  <c:v>1.1419336586746001</c:v>
                </c:pt>
                <c:pt idx="7">
                  <c:v>1.1310630171864999</c:v>
                </c:pt>
                <c:pt idx="8">
                  <c:v>0.63287361199519099</c:v>
                </c:pt>
                <c:pt idx="9">
                  <c:v>0.50843058207794001</c:v>
                </c:pt>
                <c:pt idx="10">
                  <c:v>0.50884786760025502</c:v>
                </c:pt>
                <c:pt idx="11">
                  <c:v>0.52374991159204998</c:v>
                </c:pt>
                <c:pt idx="12">
                  <c:v>0.529390338779263</c:v>
                </c:pt>
              </c:numCache>
            </c:numRef>
          </c:yVal>
          <c:smooth val="1"/>
          <c:extLst>
            <c:ext xmlns:c16="http://schemas.microsoft.com/office/drawing/2014/chart" uri="{C3380CC4-5D6E-409C-BE32-E72D297353CC}">
              <c16:uniqueId val="{00000001-9253-4764-BA21-58E14DA28D0B}"/>
            </c:ext>
          </c:extLst>
        </c:ser>
        <c:ser>
          <c:idx val="2"/>
          <c:order val="2"/>
          <c:tx>
            <c:v>3%Cem+4%GGBS+1%RC</c:v>
          </c:tx>
          <c:spPr>
            <a:ln w="12700" cap="flat" cmpd="sng" algn="ctr">
              <a:solidFill>
                <a:schemeClr val="dk1"/>
              </a:solidFill>
              <a:prstDash val="solid"/>
              <a:miter lim="800000"/>
            </a:ln>
            <a:effectLst/>
          </c:spPr>
          <c:marker>
            <c:symbol val="triangle"/>
            <c:size val="6"/>
            <c:spPr>
              <a:solidFill>
                <a:schemeClr val="lt1"/>
              </a:solidFill>
              <a:ln w="12700" cap="flat" cmpd="sng" algn="ctr">
                <a:solidFill>
                  <a:schemeClr val="dk1"/>
                </a:solidFill>
                <a:prstDash val="solid"/>
                <a:miter lim="800000"/>
              </a:ln>
              <a:effectLst/>
            </c:spPr>
          </c:marker>
          <c:xVal>
            <c:numRef>
              <c:f>Sheet3!$K$5:$K$17</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Sheet3!$L$5:$L$17</c:f>
              <c:numCache>
                <c:formatCode>General</c:formatCode>
                <c:ptCount val="13"/>
                <c:pt idx="0">
                  <c:v>0</c:v>
                </c:pt>
                <c:pt idx="1">
                  <c:v>7.6950279369120883E-2</c:v>
                </c:pt>
                <c:pt idx="2">
                  <c:v>0.2380932173421034</c:v>
                </c:pt>
                <c:pt idx="3">
                  <c:v>0.43092156446707691</c:v>
                </c:pt>
                <c:pt idx="4">
                  <c:v>0.78120093358794795</c:v>
                </c:pt>
                <c:pt idx="5">
                  <c:v>1.0800700190961099</c:v>
                </c:pt>
                <c:pt idx="6">
                  <c:v>1.0789419336586701</c:v>
                </c:pt>
                <c:pt idx="7">
                  <c:v>0.83106301718650533</c:v>
                </c:pt>
                <c:pt idx="8">
                  <c:v>0.83287361199519061</c:v>
                </c:pt>
                <c:pt idx="9">
                  <c:v>0.8084305820779405</c:v>
                </c:pt>
                <c:pt idx="10">
                  <c:v>0.70884786760025464</c:v>
                </c:pt>
                <c:pt idx="11">
                  <c:v>0.6237499115920504</c:v>
                </c:pt>
                <c:pt idx="12">
                  <c:v>0.57939033877926305</c:v>
                </c:pt>
              </c:numCache>
            </c:numRef>
          </c:yVal>
          <c:smooth val="1"/>
          <c:extLst>
            <c:ext xmlns:c16="http://schemas.microsoft.com/office/drawing/2014/chart" uri="{C3380CC4-5D6E-409C-BE32-E72D297353CC}">
              <c16:uniqueId val="{00000002-9253-4764-BA21-58E14DA28D0B}"/>
            </c:ext>
          </c:extLst>
        </c:ser>
        <c:ser>
          <c:idx val="3"/>
          <c:order val="3"/>
          <c:tx>
            <c:v>3%Cem+4%PFA+1%RC</c:v>
          </c:tx>
          <c:spPr>
            <a:ln w="12700" cap="flat" cmpd="sng" algn="ctr">
              <a:solidFill>
                <a:schemeClr val="dk1"/>
              </a:solidFill>
              <a:prstDash val="solid"/>
              <a:miter lim="800000"/>
            </a:ln>
            <a:effectLst/>
          </c:spPr>
          <c:marker>
            <c:symbol val="x"/>
            <c:size val="6"/>
            <c:spPr>
              <a:solidFill>
                <a:schemeClr val="lt1"/>
              </a:solidFill>
              <a:ln w="12700" cap="flat" cmpd="sng" algn="ctr">
                <a:solidFill>
                  <a:schemeClr val="dk1"/>
                </a:solidFill>
                <a:prstDash val="solid"/>
                <a:miter lim="800000"/>
              </a:ln>
              <a:effectLst/>
            </c:spPr>
          </c:marker>
          <c:xVal>
            <c:numRef>
              <c:f>Sheet3!$M$5:$M$17</c:f>
              <c:numCache>
                <c:formatCode>General</c:formatCode>
                <c:ptCount val="13"/>
                <c:pt idx="0">
                  <c:v>0</c:v>
                </c:pt>
                <c:pt idx="1">
                  <c:v>0.2</c:v>
                </c:pt>
                <c:pt idx="2">
                  <c:v>0.4</c:v>
                </c:pt>
                <c:pt idx="3">
                  <c:v>0.6</c:v>
                </c:pt>
                <c:pt idx="4">
                  <c:v>0.8</c:v>
                </c:pt>
                <c:pt idx="5">
                  <c:v>1</c:v>
                </c:pt>
                <c:pt idx="6">
                  <c:v>1.2</c:v>
                </c:pt>
                <c:pt idx="7">
                  <c:v>1.4</c:v>
                </c:pt>
                <c:pt idx="8">
                  <c:v>1.6</c:v>
                </c:pt>
                <c:pt idx="9">
                  <c:v>1.8</c:v>
                </c:pt>
                <c:pt idx="10">
                  <c:v>2</c:v>
                </c:pt>
                <c:pt idx="11">
                  <c:v>2.2000000000000002</c:v>
                </c:pt>
                <c:pt idx="12">
                  <c:v>2.4</c:v>
                </c:pt>
              </c:numCache>
            </c:numRef>
          </c:xVal>
          <c:yVal>
            <c:numRef>
              <c:f>Sheet3!$N$5:$N$21</c:f>
              <c:numCache>
                <c:formatCode>General</c:formatCode>
                <c:ptCount val="17"/>
                <c:pt idx="0">
                  <c:v>0</c:v>
                </c:pt>
                <c:pt idx="1">
                  <c:v>1.92953532781668E-2</c:v>
                </c:pt>
                <c:pt idx="2">
                  <c:v>9.9666171582148702E-2</c:v>
                </c:pt>
                <c:pt idx="3">
                  <c:v>0.20883853172077199</c:v>
                </c:pt>
                <c:pt idx="4">
                  <c:v>0.39422165641134499</c:v>
                </c:pt>
                <c:pt idx="5">
                  <c:v>0.51191031897588202</c:v>
                </c:pt>
                <c:pt idx="6">
                  <c:v>0.64724167197114002</c:v>
                </c:pt>
                <c:pt idx="7">
                  <c:v>0.70062698917886701</c:v>
                </c:pt>
                <c:pt idx="8">
                  <c:v>0.58468067048589001</c:v>
                </c:pt>
                <c:pt idx="9">
                  <c:v>0.44888605983449997</c:v>
                </c:pt>
                <c:pt idx="10">
                  <c:v>0.36560223495296701</c:v>
                </c:pt>
                <c:pt idx="11">
                  <c:v>0.38</c:v>
                </c:pt>
                <c:pt idx="12">
                  <c:v>0.39</c:v>
                </c:pt>
              </c:numCache>
            </c:numRef>
          </c:yVal>
          <c:smooth val="1"/>
          <c:extLst>
            <c:ext xmlns:c16="http://schemas.microsoft.com/office/drawing/2014/chart" uri="{C3380CC4-5D6E-409C-BE32-E72D297353CC}">
              <c16:uniqueId val="{00000003-9253-4764-BA21-58E14DA28D0B}"/>
            </c:ext>
          </c:extLst>
        </c:ser>
        <c:dLbls>
          <c:showLegendKey val="0"/>
          <c:showVal val="0"/>
          <c:showCatName val="0"/>
          <c:showSerName val="0"/>
          <c:showPercent val="0"/>
          <c:showBubbleSize val="0"/>
        </c:dLbls>
        <c:axId val="576781616"/>
        <c:axId val="576775712"/>
      </c:scatterChart>
      <c:valAx>
        <c:axId val="576781616"/>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a:t>Axial</a:t>
                </a:r>
                <a:r>
                  <a:rPr lang="en-GB" sz="1200" cap="none" baseline="0"/>
                  <a:t> strain (%)</a:t>
                </a:r>
                <a:endParaRPr lang="en-GB" sz="1200" cap="none"/>
              </a:p>
            </c:rich>
          </c:tx>
          <c:layout>
            <c:manualLayout>
              <c:xMode val="edge"/>
              <c:yMode val="edge"/>
              <c:x val="0.43976164333229373"/>
              <c:y val="0.9256249343832021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76775712"/>
        <c:crosses val="autoZero"/>
        <c:crossBetween val="midCat"/>
        <c:majorUnit val="0.5"/>
      </c:valAx>
      <c:valAx>
        <c:axId val="576775712"/>
        <c:scaling>
          <c:orientation val="minMax"/>
          <c:max val="1.8"/>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1200" cap="none" baseline="0"/>
                  <a:t>Deviator stress </a:t>
                </a:r>
                <a:r>
                  <a:rPr lang="en-GB" baseline="0"/>
                  <a:t>(</a:t>
                </a:r>
                <a:r>
                  <a:rPr lang="en-GB" cap="none" baseline="0"/>
                  <a:t>MPa</a:t>
                </a:r>
                <a:r>
                  <a:rPr lang="en-GB" baseline="0"/>
                  <a:t>)</a:t>
                </a:r>
                <a:endParaRPr lang="en-GB"/>
              </a:p>
            </c:rich>
          </c:tx>
          <c:layout>
            <c:manualLayout>
              <c:xMode val="edge"/>
              <c:yMode val="edge"/>
              <c:x val="1.061472579085509E-2"/>
              <c:y val="0.2303847460243939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6781616"/>
        <c:crosses val="autoZero"/>
        <c:crossBetween val="midCat"/>
        <c:majorUnit val="0.2"/>
      </c:valAx>
      <c:spPr>
        <a:solidFill>
          <a:schemeClr val="lt1"/>
        </a:solidFill>
        <a:ln w="12700" cap="flat" cmpd="sng" algn="ctr">
          <a:solidFill>
            <a:schemeClr val="dk1"/>
          </a:solidFill>
          <a:prstDash val="solid"/>
          <a:miter lim="800000"/>
        </a:ln>
        <a:effectLst/>
      </c:spPr>
    </c:plotArea>
    <c:legend>
      <c:legendPos val="t"/>
      <c:layout>
        <c:manualLayout>
          <c:xMode val="edge"/>
          <c:yMode val="edge"/>
          <c:x val="0.43746341638802"/>
          <c:y val="0.13045885440790489"/>
          <c:w val="0.5225117750692122"/>
          <c:h val="0.157601976223560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0.14476</cdr:x>
      <cdr:y>0.01918</cdr:y>
    </cdr:from>
    <cdr:to>
      <cdr:x>0.44816</cdr:x>
      <cdr:y>0.10087</cdr:y>
    </cdr:to>
    <cdr:sp macro="" textlink="">
      <cdr:nvSpPr>
        <cdr:cNvPr id="2" name="Text Box 1"/>
        <cdr:cNvSpPr txBox="1"/>
      </cdr:nvSpPr>
      <cdr:spPr>
        <a:xfrm xmlns:a="http://schemas.openxmlformats.org/drawingml/2006/main">
          <a:off x="412270" y="66675"/>
          <a:ext cx="864080" cy="284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I-7days</a:t>
          </a:r>
        </a:p>
      </cdr:txBody>
    </cdr:sp>
  </cdr:relSizeAnchor>
</c:userShapes>
</file>

<file path=word/drawings/drawing10.xml><?xml version="1.0" encoding="utf-8"?>
<c:userShapes xmlns:c="http://schemas.openxmlformats.org/drawingml/2006/chart">
  <cdr:relSizeAnchor xmlns:cdr="http://schemas.openxmlformats.org/drawingml/2006/chartDrawing">
    <cdr:from>
      <cdr:x>0.28193</cdr:x>
      <cdr:y>0.02819</cdr:y>
    </cdr:from>
    <cdr:to>
      <cdr:x>0.48766</cdr:x>
      <cdr:y>0.10698</cdr:y>
    </cdr:to>
    <cdr:sp macro="" textlink="">
      <cdr:nvSpPr>
        <cdr:cNvPr id="2" name="Text Box 1"/>
        <cdr:cNvSpPr txBox="1"/>
      </cdr:nvSpPr>
      <cdr:spPr>
        <a:xfrm xmlns:a="http://schemas.openxmlformats.org/drawingml/2006/main">
          <a:off x="786810" y="106326"/>
          <a:ext cx="574158"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(b)</a:t>
          </a:r>
        </a:p>
      </cdr:txBody>
    </cdr:sp>
  </cdr:relSizeAnchor>
</c:userShapes>
</file>

<file path=word/drawings/drawing11.xml><?xml version="1.0" encoding="utf-8"?>
<c:userShapes xmlns:c="http://schemas.openxmlformats.org/drawingml/2006/chart">
  <cdr:relSizeAnchor xmlns:cdr="http://schemas.openxmlformats.org/drawingml/2006/chartDrawing">
    <cdr:from>
      <cdr:x>0.18605</cdr:x>
      <cdr:y>0.05902</cdr:y>
    </cdr:from>
    <cdr:to>
      <cdr:x>0.57752</cdr:x>
      <cdr:y>0.12574</cdr:y>
    </cdr:to>
    <cdr:sp macro="" textlink="">
      <cdr:nvSpPr>
        <cdr:cNvPr id="2" name="Text Box 1"/>
        <cdr:cNvSpPr txBox="1"/>
      </cdr:nvSpPr>
      <cdr:spPr>
        <a:xfrm xmlns:a="http://schemas.openxmlformats.org/drawingml/2006/main">
          <a:off x="510363" y="244549"/>
          <a:ext cx="1073888" cy="2764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 Soil I-7days</a:t>
          </a:r>
        </a:p>
      </cdr:txBody>
    </cdr:sp>
  </cdr:relSizeAnchor>
</c:userShapes>
</file>

<file path=word/drawings/drawing12.xml><?xml version="1.0" encoding="utf-8"?>
<c:userShapes xmlns:c="http://schemas.openxmlformats.org/drawingml/2006/chart">
  <cdr:relSizeAnchor xmlns:cdr="http://schemas.openxmlformats.org/drawingml/2006/chartDrawing">
    <cdr:from>
      <cdr:x>0.26357</cdr:x>
      <cdr:y>0.06431</cdr:y>
    </cdr:from>
    <cdr:to>
      <cdr:x>0.64341</cdr:x>
      <cdr:y>0.13891</cdr:y>
    </cdr:to>
    <cdr:sp macro="" textlink="">
      <cdr:nvSpPr>
        <cdr:cNvPr id="2" name="Text Box 1"/>
        <cdr:cNvSpPr txBox="1"/>
      </cdr:nvSpPr>
      <cdr:spPr>
        <a:xfrm xmlns:a="http://schemas.openxmlformats.org/drawingml/2006/main">
          <a:off x="723015" y="265813"/>
          <a:ext cx="1041990" cy="3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II-7days</a:t>
          </a:r>
        </a:p>
      </cdr:txBody>
    </cdr:sp>
  </cdr:relSizeAnchor>
</c:userShapes>
</file>

<file path=word/drawings/drawing2.xml><?xml version="1.0" encoding="utf-8"?>
<c:userShapes xmlns:c="http://schemas.openxmlformats.org/drawingml/2006/chart">
  <cdr:relSizeAnchor xmlns:cdr="http://schemas.openxmlformats.org/drawingml/2006/chartDrawing">
    <cdr:from>
      <cdr:x>0.17947</cdr:x>
      <cdr:y>0.0161</cdr:y>
    </cdr:from>
    <cdr:to>
      <cdr:x>0.47491</cdr:x>
      <cdr:y>0.09512</cdr:y>
    </cdr:to>
    <cdr:sp macro="" textlink="">
      <cdr:nvSpPr>
        <cdr:cNvPr id="2" name="Text Box 1"/>
        <cdr:cNvSpPr txBox="1"/>
      </cdr:nvSpPr>
      <cdr:spPr>
        <a:xfrm xmlns:a="http://schemas.openxmlformats.org/drawingml/2006/main">
          <a:off x="511114" y="51512"/>
          <a:ext cx="841405" cy="252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I-7days</a:t>
          </a:r>
        </a:p>
      </cdr:txBody>
    </cdr:sp>
  </cdr:relSizeAnchor>
</c:userShapes>
</file>

<file path=word/drawings/drawing3.xml><?xml version="1.0" encoding="utf-8"?>
<c:userShapes xmlns:c="http://schemas.openxmlformats.org/drawingml/2006/chart">
  <cdr:relSizeAnchor xmlns:cdr="http://schemas.openxmlformats.org/drawingml/2006/chartDrawing">
    <cdr:from>
      <cdr:x>0.16376</cdr:x>
      <cdr:y>0.02067</cdr:y>
    </cdr:from>
    <cdr:to>
      <cdr:x>0.50167</cdr:x>
      <cdr:y>0.09959</cdr:y>
    </cdr:to>
    <cdr:sp macro="" textlink="">
      <cdr:nvSpPr>
        <cdr:cNvPr id="2" name="Text Box 1"/>
        <cdr:cNvSpPr txBox="1"/>
      </cdr:nvSpPr>
      <cdr:spPr>
        <a:xfrm xmlns:a="http://schemas.openxmlformats.org/drawingml/2006/main">
          <a:off x="466386" y="66143"/>
          <a:ext cx="962364" cy="2525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II-7days</a:t>
          </a:r>
        </a:p>
      </cdr:txBody>
    </cdr:sp>
  </cdr:relSizeAnchor>
</c:userShapes>
</file>

<file path=word/drawings/drawing4.xml><?xml version="1.0" encoding="utf-8"?>
<c:userShapes xmlns:c="http://schemas.openxmlformats.org/drawingml/2006/chart">
  <cdr:relSizeAnchor xmlns:cdr="http://schemas.openxmlformats.org/drawingml/2006/chartDrawing">
    <cdr:from>
      <cdr:x>0.17705</cdr:x>
      <cdr:y>0.01633</cdr:y>
    </cdr:from>
    <cdr:to>
      <cdr:x>0.50164</cdr:x>
      <cdr:y>0.09525</cdr:y>
    </cdr:to>
    <cdr:sp macro="" textlink="">
      <cdr:nvSpPr>
        <cdr:cNvPr id="2" name="Text Box 1"/>
        <cdr:cNvSpPr txBox="1"/>
      </cdr:nvSpPr>
      <cdr:spPr>
        <a:xfrm xmlns:a="http://schemas.openxmlformats.org/drawingml/2006/main">
          <a:off x="514350" y="57143"/>
          <a:ext cx="942975" cy="2762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II-7days</a:t>
          </a:r>
        </a:p>
      </cdr:txBody>
    </cdr:sp>
  </cdr:relSizeAnchor>
</c:userShapes>
</file>

<file path=word/drawings/drawing5.xml><?xml version="1.0" encoding="utf-8"?>
<c:userShapes xmlns:c="http://schemas.openxmlformats.org/drawingml/2006/chart">
  <cdr:relSizeAnchor xmlns:cdr="http://schemas.openxmlformats.org/drawingml/2006/chartDrawing">
    <cdr:from>
      <cdr:x>0.15945</cdr:x>
      <cdr:y>0.04082</cdr:y>
    </cdr:from>
    <cdr:to>
      <cdr:x>0.47945</cdr:x>
      <cdr:y>0.11974</cdr:y>
    </cdr:to>
    <cdr:sp macro="" textlink="">
      <cdr:nvSpPr>
        <cdr:cNvPr id="2" name="Text Box 1"/>
        <cdr:cNvSpPr txBox="1"/>
      </cdr:nvSpPr>
      <cdr:spPr>
        <a:xfrm xmlns:a="http://schemas.openxmlformats.org/drawingml/2006/main">
          <a:off x="443490" y="142868"/>
          <a:ext cx="890010" cy="2762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II-7days</a:t>
          </a:r>
        </a:p>
      </cdr:txBody>
    </cdr:sp>
  </cdr:relSizeAnchor>
  <cdr:relSizeAnchor xmlns:cdr="http://schemas.openxmlformats.org/drawingml/2006/chartDrawing">
    <cdr:from>
      <cdr:x>0.2226</cdr:x>
      <cdr:y>0.13529</cdr:y>
    </cdr:from>
    <cdr:to>
      <cdr:x>0.35616</cdr:x>
      <cdr:y>0.22941</cdr:y>
    </cdr:to>
    <cdr:sp macro="" textlink="">
      <cdr:nvSpPr>
        <cdr:cNvPr id="3" name="Text Box 2"/>
        <cdr:cNvSpPr txBox="1"/>
      </cdr:nvSpPr>
      <cdr:spPr>
        <a:xfrm xmlns:a="http://schemas.openxmlformats.org/drawingml/2006/main">
          <a:off x="619125" y="438150"/>
          <a:ext cx="3714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(f)</a:t>
          </a:r>
        </a:p>
      </cdr:txBody>
    </cdr:sp>
  </cdr:relSizeAnchor>
</c:userShapes>
</file>

<file path=word/drawings/drawing6.xml><?xml version="1.0" encoding="utf-8"?>
<c:userShapes xmlns:c="http://schemas.openxmlformats.org/drawingml/2006/chart">
  <cdr:relSizeAnchor xmlns:cdr="http://schemas.openxmlformats.org/drawingml/2006/chartDrawing">
    <cdr:from>
      <cdr:x>0.1892</cdr:x>
      <cdr:y>0.03718</cdr:y>
    </cdr:from>
    <cdr:to>
      <cdr:x>0.55755</cdr:x>
      <cdr:y>0.12533</cdr:y>
    </cdr:to>
    <cdr:sp macro="" textlink="">
      <cdr:nvSpPr>
        <cdr:cNvPr id="2" name="Text Box 1"/>
        <cdr:cNvSpPr txBox="1"/>
      </cdr:nvSpPr>
      <cdr:spPr>
        <a:xfrm xmlns:a="http://schemas.openxmlformats.org/drawingml/2006/main">
          <a:off x="526211" y="121820"/>
          <a:ext cx="1024492" cy="2888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I-28days</a:t>
          </a:r>
        </a:p>
      </cdr:txBody>
    </cdr:sp>
  </cdr:relSizeAnchor>
</c:userShapes>
</file>

<file path=word/drawings/drawing7.xml><?xml version="1.0" encoding="utf-8"?>
<c:userShapes xmlns:c="http://schemas.openxmlformats.org/drawingml/2006/chart">
  <cdr:relSizeAnchor xmlns:cdr="http://schemas.openxmlformats.org/drawingml/2006/chartDrawing">
    <cdr:from>
      <cdr:x>0.17799</cdr:x>
      <cdr:y>0.03328</cdr:y>
    </cdr:from>
    <cdr:to>
      <cdr:x>0.53925</cdr:x>
      <cdr:y>0.15758</cdr:y>
    </cdr:to>
    <cdr:sp macro="" textlink="">
      <cdr:nvSpPr>
        <cdr:cNvPr id="2" name="Text Box 1"/>
        <cdr:cNvSpPr txBox="1"/>
      </cdr:nvSpPr>
      <cdr:spPr>
        <a:xfrm xmlns:a="http://schemas.openxmlformats.org/drawingml/2006/main">
          <a:off x="496739" y="108411"/>
          <a:ext cx="1008211" cy="404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II-28days</a:t>
          </a:r>
        </a:p>
      </cdr:txBody>
    </cdr:sp>
  </cdr:relSizeAnchor>
</c:userShapes>
</file>

<file path=word/drawings/drawing8.xml><?xml version="1.0" encoding="utf-8"?>
<c:userShapes xmlns:c="http://schemas.openxmlformats.org/drawingml/2006/chart">
  <cdr:relSizeAnchor xmlns:cdr="http://schemas.openxmlformats.org/drawingml/2006/chartDrawing">
    <cdr:from>
      <cdr:x>0.16462</cdr:x>
      <cdr:y>0.0722</cdr:y>
    </cdr:from>
    <cdr:to>
      <cdr:x>0.55631</cdr:x>
      <cdr:y>0.1738</cdr:y>
    </cdr:to>
    <cdr:sp macro="" textlink="">
      <cdr:nvSpPr>
        <cdr:cNvPr id="2" name="Text Box 1"/>
        <cdr:cNvSpPr txBox="1"/>
      </cdr:nvSpPr>
      <cdr:spPr>
        <a:xfrm xmlns:a="http://schemas.openxmlformats.org/drawingml/2006/main">
          <a:off x="459415" y="257185"/>
          <a:ext cx="1093159" cy="361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II-28days</a:t>
          </a:r>
        </a:p>
      </cdr:txBody>
    </cdr:sp>
  </cdr:relSizeAnchor>
</c:userShapes>
</file>

<file path=word/drawings/drawing9.xml><?xml version="1.0" encoding="utf-8"?>
<c:userShapes xmlns:c="http://schemas.openxmlformats.org/drawingml/2006/chart">
  <cdr:relSizeAnchor xmlns:cdr="http://schemas.openxmlformats.org/drawingml/2006/chartDrawing">
    <cdr:from>
      <cdr:x>0.1507</cdr:x>
      <cdr:y>0.03854</cdr:y>
    </cdr:from>
    <cdr:to>
      <cdr:x>0.4932</cdr:x>
      <cdr:y>0.12418</cdr:y>
    </cdr:to>
    <cdr:sp macro="" textlink="">
      <cdr:nvSpPr>
        <cdr:cNvPr id="2" name="Text Box 1"/>
        <cdr:cNvSpPr txBox="1"/>
      </cdr:nvSpPr>
      <cdr:spPr>
        <a:xfrm xmlns:a="http://schemas.openxmlformats.org/drawingml/2006/main">
          <a:off x="422001" y="124818"/>
          <a:ext cx="959124" cy="277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Soil II-28days</a:t>
          </a:r>
        </a:p>
      </cdr:txBody>
    </cdr:sp>
  </cdr:relSizeAnchor>
  <cdr:relSizeAnchor xmlns:cdr="http://schemas.openxmlformats.org/drawingml/2006/chartDrawing">
    <cdr:from>
      <cdr:x>0.20748</cdr:x>
      <cdr:y>0.10294</cdr:y>
    </cdr:from>
    <cdr:to>
      <cdr:x>0.32993</cdr:x>
      <cdr:y>0.18529</cdr:y>
    </cdr:to>
    <cdr:sp macro="" textlink="">
      <cdr:nvSpPr>
        <cdr:cNvPr id="3" name="Text Box 2"/>
        <cdr:cNvSpPr txBox="1"/>
      </cdr:nvSpPr>
      <cdr:spPr>
        <a:xfrm xmlns:a="http://schemas.openxmlformats.org/drawingml/2006/main">
          <a:off x="581025" y="333375"/>
          <a:ext cx="3429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(f)</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34C7C-1406-4914-BE0C-C263BAACA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27</Pages>
  <Words>30547</Words>
  <Characters>174124</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204263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Abbey</dc:creator>
  <cp:keywords/>
  <dc:description/>
  <cp:lastModifiedBy>Samuel Abbey</cp:lastModifiedBy>
  <cp:revision>9</cp:revision>
  <dcterms:created xsi:type="dcterms:W3CDTF">2021-01-08T00:47:00Z</dcterms:created>
  <dcterms:modified xsi:type="dcterms:W3CDTF">2021-01-24T13:23:00Z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http://www.zotero.org/styles/applied-clay-science</vt:lpwstr>
  </property>
  <property fmtid="{D5CDD505-2E9C-101B-9397-08002B2CF9AE}" pid="3" name="Mendeley Recent Style Name 0_1">
    <vt:lpwstr>Applied Clay Science</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17th edition (full note)</vt:lpwstr>
  </property>
  <property fmtid="{D5CDD505-2E9C-101B-9397-08002B2CF9AE}" pid="6" name="Mendeley Recent Style Id 2_1">
    <vt:lpwstr>http://www.zotero.org/styles/chicago-note-bibliography</vt:lpwstr>
  </property>
  <property fmtid="{D5CDD505-2E9C-101B-9397-08002B2CF9AE}" pid="7" name="Mendeley Recent Style Name 2_1">
    <vt:lpwstr>Chicago Manual of Style 17th edition (note)</vt:lpwstr>
  </property>
  <property fmtid="{D5CDD505-2E9C-101B-9397-08002B2CF9AE}" pid="8" name="Mendeley Recent Style Id 3_1">
    <vt:lpwstr>http://www.zotero.org/styles/construction-and-building-materials</vt:lpwstr>
  </property>
  <property fmtid="{D5CDD505-2E9C-101B-9397-08002B2CF9AE}" pid="9" name="Mendeley Recent Style Name 3_1">
    <vt:lpwstr>Construction and Building Materials</vt:lpwstr>
  </property>
  <property fmtid="{D5CDD505-2E9C-101B-9397-08002B2CF9AE}" pid="10" name="Mendeley Recent Style Id 4_1">
    <vt:lpwstr>http://www.zotero.org/styles/engineering-science-and-technology-an-international-journal</vt:lpwstr>
  </property>
  <property fmtid="{D5CDD505-2E9C-101B-9397-08002B2CF9AE}" pid="11" name="Mendeley Recent Style Name 4_1">
    <vt:lpwstr>Engineering Science and Technology, an International Journal</vt:lpwstr>
  </property>
  <property fmtid="{D5CDD505-2E9C-101B-9397-08002B2CF9AE}" pid="12" name="Mendeley Recent Style Id 5_1">
    <vt:lpwstr>http://csl.mendeley.com/styles/19284421/harvard-coventry-university</vt:lpwstr>
  </property>
  <property fmtid="{D5CDD505-2E9C-101B-9397-08002B2CF9AE}" pid="13" name="Mendeley Recent Style Name 5_1">
    <vt:lpwstr>Harvard - Coventry University (for Mendeley)</vt:lpwstr>
  </property>
  <property fmtid="{D5CDD505-2E9C-101B-9397-08002B2CF9AE}" pid="14" name="Mendeley Recent Style Id 6_1">
    <vt:lpwstr>http://www.zotero.org/styles/journal-of-cleaner-production</vt:lpwstr>
  </property>
  <property fmtid="{D5CDD505-2E9C-101B-9397-08002B2CF9AE}" pid="15" name="Mendeley Recent Style Name 6_1">
    <vt:lpwstr>Journal of Cleaner Production</vt:lpwstr>
  </property>
  <property fmtid="{D5CDD505-2E9C-101B-9397-08002B2CF9AE}" pid="16" name="Mendeley Recent Style Id 7_1">
    <vt:lpwstr>http://www.zotero.org/styles/journal-of-hydrology</vt:lpwstr>
  </property>
  <property fmtid="{D5CDD505-2E9C-101B-9397-08002B2CF9AE}" pid="17" name="Mendeley Recent Style Name 7_1">
    <vt:lpwstr>Journal of Hydrology</vt:lpwstr>
  </property>
  <property fmtid="{D5CDD505-2E9C-101B-9397-08002B2CF9AE}" pid="18" name="Mendeley Recent Style Id 8_1">
    <vt:lpwstr>http://www.zotero.org/styles/journal-of-king-saud-university-engineering-sciences</vt:lpwstr>
  </property>
  <property fmtid="{D5CDD505-2E9C-101B-9397-08002B2CF9AE}" pid="19" name="Mendeley Recent Style Name 8_1">
    <vt:lpwstr>Journal of King Saud University - Engineering Sciences</vt:lpwstr>
  </property>
  <property fmtid="{D5CDD505-2E9C-101B-9397-08002B2CF9AE}" pid="20" name="Mendeley Recent Style Id 9_1">
    <vt:lpwstr>http://www.zotero.org/styles/journal-of-rock-mechanics-and-geotechnical-engineering</vt:lpwstr>
  </property>
  <property fmtid="{D5CDD505-2E9C-101B-9397-08002B2CF9AE}" pid="21" name="Mendeley Recent Style Name 9_1">
    <vt:lpwstr>Journal of Rock Mechanics and Geotechnical Engineering</vt:lpwstr>
  </property>
  <property fmtid="{D5CDD505-2E9C-101B-9397-08002B2CF9AE}" pid="22" name="Mendeley Document_1">
    <vt:lpwstr>True</vt:lpwstr>
  </property>
  <property fmtid="{D5CDD505-2E9C-101B-9397-08002B2CF9AE}" pid="23" name="Mendeley Unique User Id_1">
    <vt:lpwstr>d26a0854-de53-3ef6-a35c-7282c9cd61f6</vt:lpwstr>
  </property>
  <property fmtid="{D5CDD505-2E9C-101B-9397-08002B2CF9AE}" pid="24" name="Mendeley Citation Style_1">
    <vt:lpwstr>http://www.zotero.org/styles/construction-and-building-materials</vt:lpwstr>
  </property>
</Properties>
</file>