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8142B" w14:textId="77777777" w:rsidR="008A42AB" w:rsidRPr="00E63A8F" w:rsidRDefault="008A42AB" w:rsidP="008A42AB">
      <w:pPr>
        <w:widowControl w:val="0"/>
        <w:spacing w:after="0" w:line="480" w:lineRule="auto"/>
        <w:rPr>
          <w:rFonts w:ascii="Times New Roman" w:hAnsi="Times New Roman" w:cs="Times New Roman"/>
          <w:bCs/>
        </w:rPr>
      </w:pPr>
      <w:bookmarkStart w:id="0" w:name="_GoBack"/>
      <w:bookmarkEnd w:id="0"/>
      <w:r w:rsidRPr="00E63A8F">
        <w:rPr>
          <w:rFonts w:ascii="Times New Roman" w:hAnsi="Times New Roman" w:cs="Times New Roman"/>
          <w:bCs/>
        </w:rPr>
        <w:t xml:space="preserve">This is the accepted </w:t>
      </w:r>
      <w:r>
        <w:rPr>
          <w:rFonts w:ascii="Times New Roman" w:hAnsi="Times New Roman" w:cs="Times New Roman"/>
          <w:bCs/>
        </w:rPr>
        <w:t>peer-reviewed version of the following article</w:t>
      </w:r>
      <w:r w:rsidRPr="00E63A8F">
        <w:rPr>
          <w:rFonts w:ascii="Times New Roman" w:hAnsi="Times New Roman" w:cs="Times New Roman"/>
          <w:bCs/>
        </w:rPr>
        <w:t>:</w:t>
      </w:r>
    </w:p>
    <w:p w14:paraId="57FA7502" w14:textId="77777777" w:rsidR="008A42AB" w:rsidRDefault="008A42AB" w:rsidP="008A42AB">
      <w:pPr>
        <w:widowControl w:val="0"/>
        <w:spacing w:after="0" w:line="480" w:lineRule="auto"/>
        <w:rPr>
          <w:rFonts w:ascii="Times New Roman" w:hAnsi="Times New Roman" w:cs="Times New Roman"/>
          <w:bCs/>
        </w:rPr>
      </w:pPr>
    </w:p>
    <w:p w14:paraId="3E67C131" w14:textId="314B957D" w:rsidR="008A42AB" w:rsidRPr="00E63A8F" w:rsidRDefault="008A42AB" w:rsidP="008A42AB">
      <w:pPr>
        <w:widowControl w:val="0"/>
        <w:spacing w:after="0" w:line="480" w:lineRule="auto"/>
        <w:rPr>
          <w:rFonts w:ascii="Times New Roman" w:hAnsi="Times New Roman" w:cs="Times New Roman"/>
          <w:bCs/>
        </w:rPr>
      </w:pPr>
      <w:r>
        <w:rPr>
          <w:rFonts w:ascii="Times New Roman" w:hAnsi="Times New Roman" w:cs="Times New Roman"/>
          <w:bCs/>
        </w:rPr>
        <w:t>Atkinson, M.J.,* &amp; Diedrichs, P.C.</w:t>
      </w:r>
      <w:r w:rsidRPr="00E63A8F">
        <w:rPr>
          <w:rFonts w:ascii="Times New Roman" w:hAnsi="Times New Roman" w:cs="Times New Roman"/>
          <w:bCs/>
        </w:rPr>
        <w:t xml:space="preserve"> (</w:t>
      </w:r>
      <w:r w:rsidR="00783FDD">
        <w:rPr>
          <w:rFonts w:ascii="Times New Roman" w:hAnsi="Times New Roman" w:cs="Times New Roman"/>
          <w:bCs/>
        </w:rPr>
        <w:t>in press</w:t>
      </w:r>
      <w:r w:rsidRPr="00E63A8F">
        <w:rPr>
          <w:rFonts w:ascii="Times New Roman" w:hAnsi="Times New Roman" w:cs="Times New Roman"/>
          <w:bCs/>
        </w:rPr>
        <w:t xml:space="preserve">). </w:t>
      </w:r>
      <w:r w:rsidRPr="008A42AB">
        <w:rPr>
          <w:rFonts w:ascii="Times New Roman" w:hAnsi="Times New Roman" w:cs="Times New Roman"/>
          <w:bCs/>
        </w:rPr>
        <w:t>Assessing the Impact of Body Image Concerns on Functioning Across Life Domains: Development and Validation of the Body Image Life Disengagement Questionnaire (BILD-Q) Among British Adolescents</w:t>
      </w:r>
      <w:r w:rsidRPr="00E63A8F">
        <w:rPr>
          <w:rFonts w:ascii="Times New Roman" w:hAnsi="Times New Roman" w:cs="Times New Roman"/>
          <w:bCs/>
        </w:rPr>
        <w:t xml:space="preserve">. </w:t>
      </w:r>
      <w:r>
        <w:rPr>
          <w:rFonts w:ascii="Times New Roman" w:hAnsi="Times New Roman" w:cs="Times New Roman"/>
          <w:bCs/>
          <w:i/>
        </w:rPr>
        <w:t>Body Image</w:t>
      </w:r>
      <w:r w:rsidR="00783FDD">
        <w:rPr>
          <w:rFonts w:ascii="Times New Roman" w:hAnsi="Times New Roman" w:cs="Times New Roman"/>
          <w:bCs/>
          <w:i/>
        </w:rPr>
        <w:t>.</w:t>
      </w:r>
      <w:r w:rsidRPr="00E63A8F">
        <w:rPr>
          <w:rFonts w:ascii="Times New Roman" w:hAnsi="Times New Roman" w:cs="Times New Roman"/>
          <w:bCs/>
        </w:rPr>
        <w:t xml:space="preserve"> </w:t>
      </w:r>
    </w:p>
    <w:p w14:paraId="2D6B4B1F" w14:textId="77777777" w:rsidR="008A42AB" w:rsidRPr="00AD24B8" w:rsidRDefault="008A42AB" w:rsidP="008A42AB">
      <w:pPr>
        <w:widowControl w:val="0"/>
        <w:spacing w:after="0" w:line="480" w:lineRule="auto"/>
        <w:rPr>
          <w:rFonts w:ascii="Times New Roman" w:hAnsi="Times New Roman" w:cs="Times New Roman"/>
          <w:b/>
        </w:rPr>
      </w:pPr>
    </w:p>
    <w:p w14:paraId="082DA155" w14:textId="77777777" w:rsidR="008A42AB" w:rsidRPr="00E63A8F" w:rsidRDefault="008A42AB" w:rsidP="008A42AB">
      <w:pPr>
        <w:widowControl w:val="0"/>
        <w:spacing w:after="0" w:line="480" w:lineRule="auto"/>
        <w:jc w:val="center"/>
        <w:rPr>
          <w:rFonts w:ascii="Times New Roman" w:hAnsi="Times New Roman" w:cs="Times New Roman"/>
          <w:b/>
        </w:rPr>
      </w:pPr>
    </w:p>
    <w:p w14:paraId="610491F2" w14:textId="025E66D4" w:rsidR="00FF2C80" w:rsidRDefault="008A42AB" w:rsidP="008A42AB">
      <w:pPr>
        <w:widowControl w:val="0"/>
        <w:spacing w:after="0" w:line="480" w:lineRule="auto"/>
        <w:rPr>
          <w:rFonts w:ascii="Times New Roman" w:hAnsi="Times New Roman" w:cs="Times New Roman"/>
          <w:b/>
        </w:rPr>
      </w:pPr>
      <w:r w:rsidRPr="00E63A8F">
        <w:rPr>
          <w:rFonts w:ascii="Times New Roman" w:hAnsi="Times New Roman" w:cs="Times New Roman"/>
          <w:b/>
        </w:rPr>
        <w:t xml:space="preserve">* Corresponding author. E-mail address: </w:t>
      </w:r>
      <w:hyperlink r:id="rId11" w:history="1">
        <w:r w:rsidRPr="009A2490">
          <w:rPr>
            <w:rStyle w:val="Hyperlink"/>
            <w:rFonts w:ascii="Times New Roman" w:hAnsi="Times New Roman" w:cs="Times New Roman"/>
            <w:b/>
          </w:rPr>
          <w:t>m.j.atkinson@bath.ac.uk</w:t>
        </w:r>
      </w:hyperlink>
    </w:p>
    <w:p w14:paraId="3D97AF01" w14:textId="7A9B95EC" w:rsidR="008A42AB" w:rsidRDefault="008A42AB">
      <w:pPr>
        <w:spacing w:after="0" w:line="240" w:lineRule="auto"/>
        <w:rPr>
          <w:rFonts w:ascii="Times New Roman" w:hAnsi="Times New Roman" w:cs="Times New Roman"/>
          <w:b/>
        </w:rPr>
      </w:pPr>
      <w:r>
        <w:rPr>
          <w:rFonts w:ascii="Times New Roman" w:hAnsi="Times New Roman" w:cs="Times New Roman"/>
          <w:b/>
        </w:rPr>
        <w:br w:type="page"/>
      </w:r>
    </w:p>
    <w:p w14:paraId="3DD386CF" w14:textId="77777777" w:rsidR="008A42AB" w:rsidRDefault="008A42AB" w:rsidP="008A42AB">
      <w:pPr>
        <w:widowControl w:val="0"/>
        <w:spacing w:after="0" w:line="480" w:lineRule="auto"/>
        <w:jc w:val="center"/>
        <w:rPr>
          <w:rFonts w:ascii="Times New Roman" w:hAnsi="Times New Roman" w:cs="Times New Roman"/>
          <w:b/>
          <w:sz w:val="24"/>
          <w:szCs w:val="24"/>
        </w:rPr>
      </w:pPr>
    </w:p>
    <w:p w14:paraId="28A73EBF" w14:textId="77777777" w:rsidR="00680AB0" w:rsidRDefault="00680AB0" w:rsidP="00F46C01">
      <w:pPr>
        <w:widowControl w:val="0"/>
        <w:spacing w:after="0" w:line="480" w:lineRule="auto"/>
        <w:jc w:val="center"/>
        <w:rPr>
          <w:rFonts w:ascii="Times New Roman" w:hAnsi="Times New Roman" w:cs="Times New Roman"/>
          <w:b/>
          <w:sz w:val="24"/>
          <w:szCs w:val="24"/>
        </w:rPr>
      </w:pPr>
    </w:p>
    <w:p w14:paraId="68B26AB4" w14:textId="412C3B96" w:rsidR="00F4414B" w:rsidRPr="00E73BB1" w:rsidRDefault="00C87389" w:rsidP="00722582">
      <w:pPr>
        <w:widowControl w:val="0"/>
        <w:autoSpaceDE w:val="0"/>
        <w:autoSpaceDN w:val="0"/>
        <w:adjustRightInd w:val="0"/>
        <w:spacing w:after="0" w:line="480" w:lineRule="auto"/>
        <w:jc w:val="center"/>
        <w:rPr>
          <w:rFonts w:ascii="Times New Roman" w:eastAsiaTheme="minorEastAsia" w:hAnsi="Times New Roman" w:cs="Times New Roman"/>
          <w:sz w:val="24"/>
          <w:szCs w:val="24"/>
          <w:lang w:val="en-US"/>
        </w:rPr>
      </w:pPr>
      <w:r w:rsidRPr="00E73BB1">
        <w:rPr>
          <w:rFonts w:ascii="Times New Roman" w:hAnsi="Times New Roman" w:cs="Times New Roman"/>
          <w:b/>
          <w:sz w:val="24"/>
          <w:szCs w:val="24"/>
        </w:rPr>
        <w:t xml:space="preserve">Assessing the </w:t>
      </w:r>
      <w:r w:rsidR="0096020E" w:rsidRPr="00E73BB1">
        <w:rPr>
          <w:rFonts w:ascii="Times New Roman" w:hAnsi="Times New Roman" w:cs="Times New Roman"/>
          <w:b/>
          <w:sz w:val="24"/>
          <w:szCs w:val="24"/>
        </w:rPr>
        <w:t>I</w:t>
      </w:r>
      <w:r w:rsidRPr="00E73BB1">
        <w:rPr>
          <w:rFonts w:ascii="Times New Roman" w:hAnsi="Times New Roman" w:cs="Times New Roman"/>
          <w:b/>
          <w:sz w:val="24"/>
          <w:szCs w:val="24"/>
        </w:rPr>
        <w:t>mpact of</w:t>
      </w:r>
      <w:r w:rsidR="0096020E" w:rsidRPr="00E73BB1">
        <w:rPr>
          <w:rFonts w:ascii="Times New Roman" w:hAnsi="Times New Roman" w:cs="Times New Roman"/>
          <w:b/>
          <w:sz w:val="24"/>
          <w:szCs w:val="24"/>
        </w:rPr>
        <w:t xml:space="preserve"> B</w:t>
      </w:r>
      <w:r w:rsidRPr="00E73BB1">
        <w:rPr>
          <w:rFonts w:ascii="Times New Roman" w:hAnsi="Times New Roman" w:cs="Times New Roman"/>
          <w:b/>
          <w:sz w:val="24"/>
          <w:szCs w:val="24"/>
        </w:rPr>
        <w:t xml:space="preserve">ody </w:t>
      </w:r>
      <w:r w:rsidR="0096020E" w:rsidRPr="00E73BB1">
        <w:rPr>
          <w:rFonts w:ascii="Times New Roman" w:hAnsi="Times New Roman" w:cs="Times New Roman"/>
          <w:b/>
          <w:sz w:val="24"/>
          <w:szCs w:val="24"/>
        </w:rPr>
        <w:t>I</w:t>
      </w:r>
      <w:r w:rsidRPr="00E73BB1">
        <w:rPr>
          <w:rFonts w:ascii="Times New Roman" w:hAnsi="Times New Roman" w:cs="Times New Roman"/>
          <w:b/>
          <w:sz w:val="24"/>
          <w:szCs w:val="24"/>
        </w:rPr>
        <w:t>mage</w:t>
      </w:r>
      <w:r w:rsidR="0096020E" w:rsidRPr="00E73BB1">
        <w:rPr>
          <w:rFonts w:ascii="Times New Roman" w:hAnsi="Times New Roman" w:cs="Times New Roman"/>
          <w:b/>
          <w:sz w:val="24"/>
          <w:szCs w:val="24"/>
        </w:rPr>
        <w:t xml:space="preserve"> C</w:t>
      </w:r>
      <w:r w:rsidRPr="00E73BB1">
        <w:rPr>
          <w:rFonts w:ascii="Times New Roman" w:hAnsi="Times New Roman" w:cs="Times New Roman"/>
          <w:b/>
          <w:sz w:val="24"/>
          <w:szCs w:val="24"/>
        </w:rPr>
        <w:t xml:space="preserve">oncerns on </w:t>
      </w:r>
      <w:r w:rsidR="0096020E" w:rsidRPr="00E73BB1">
        <w:rPr>
          <w:rFonts w:ascii="Times New Roman" w:hAnsi="Times New Roman" w:cs="Times New Roman"/>
          <w:b/>
          <w:sz w:val="24"/>
          <w:szCs w:val="24"/>
        </w:rPr>
        <w:t>F</w:t>
      </w:r>
      <w:r w:rsidRPr="00E73BB1">
        <w:rPr>
          <w:rFonts w:ascii="Times New Roman" w:hAnsi="Times New Roman" w:cs="Times New Roman"/>
          <w:b/>
          <w:sz w:val="24"/>
          <w:szCs w:val="24"/>
        </w:rPr>
        <w:t>unctioning</w:t>
      </w:r>
      <w:r w:rsidR="00025EC5" w:rsidRPr="00E73BB1">
        <w:rPr>
          <w:rFonts w:ascii="Times New Roman" w:hAnsi="Times New Roman" w:cs="Times New Roman"/>
          <w:b/>
          <w:sz w:val="24"/>
          <w:szCs w:val="24"/>
        </w:rPr>
        <w:t xml:space="preserve"> </w:t>
      </w:r>
      <w:r w:rsidR="0096020E" w:rsidRPr="00E73BB1">
        <w:rPr>
          <w:rFonts w:ascii="Times New Roman" w:hAnsi="Times New Roman" w:cs="Times New Roman"/>
          <w:b/>
          <w:sz w:val="24"/>
          <w:szCs w:val="24"/>
        </w:rPr>
        <w:t>A</w:t>
      </w:r>
      <w:r w:rsidR="00025EC5" w:rsidRPr="00E73BB1">
        <w:rPr>
          <w:rFonts w:ascii="Times New Roman" w:hAnsi="Times New Roman" w:cs="Times New Roman"/>
          <w:b/>
          <w:sz w:val="24"/>
          <w:szCs w:val="24"/>
        </w:rPr>
        <w:t xml:space="preserve">cross </w:t>
      </w:r>
      <w:r w:rsidR="0096020E" w:rsidRPr="00E73BB1">
        <w:rPr>
          <w:rFonts w:ascii="Times New Roman" w:hAnsi="Times New Roman" w:cs="Times New Roman"/>
          <w:b/>
          <w:sz w:val="24"/>
          <w:szCs w:val="24"/>
        </w:rPr>
        <w:t>L</w:t>
      </w:r>
      <w:r w:rsidR="00025EC5" w:rsidRPr="00E73BB1">
        <w:rPr>
          <w:rFonts w:ascii="Times New Roman" w:hAnsi="Times New Roman" w:cs="Times New Roman"/>
          <w:b/>
          <w:sz w:val="24"/>
          <w:szCs w:val="24"/>
        </w:rPr>
        <w:t xml:space="preserve">ife </w:t>
      </w:r>
      <w:r w:rsidR="0096020E" w:rsidRPr="00E73BB1">
        <w:rPr>
          <w:rFonts w:ascii="Times New Roman" w:hAnsi="Times New Roman" w:cs="Times New Roman"/>
          <w:b/>
          <w:sz w:val="24"/>
          <w:szCs w:val="24"/>
        </w:rPr>
        <w:t>D</w:t>
      </w:r>
      <w:r w:rsidR="00025EC5" w:rsidRPr="00E73BB1">
        <w:rPr>
          <w:rFonts w:ascii="Times New Roman" w:hAnsi="Times New Roman" w:cs="Times New Roman"/>
          <w:b/>
          <w:sz w:val="24"/>
          <w:szCs w:val="24"/>
        </w:rPr>
        <w:t>omains</w:t>
      </w:r>
      <w:r w:rsidRPr="00E73BB1">
        <w:rPr>
          <w:rFonts w:ascii="Times New Roman" w:hAnsi="Times New Roman" w:cs="Times New Roman"/>
          <w:b/>
          <w:sz w:val="24"/>
          <w:szCs w:val="24"/>
        </w:rPr>
        <w:t xml:space="preserve">: Development and </w:t>
      </w:r>
      <w:r w:rsidR="0096020E" w:rsidRPr="00E73BB1">
        <w:rPr>
          <w:rFonts w:ascii="Times New Roman" w:hAnsi="Times New Roman" w:cs="Times New Roman"/>
          <w:b/>
          <w:sz w:val="24"/>
          <w:szCs w:val="24"/>
        </w:rPr>
        <w:t>V</w:t>
      </w:r>
      <w:r w:rsidRPr="00E73BB1">
        <w:rPr>
          <w:rFonts w:ascii="Times New Roman" w:hAnsi="Times New Roman" w:cs="Times New Roman"/>
          <w:b/>
          <w:sz w:val="24"/>
          <w:szCs w:val="24"/>
        </w:rPr>
        <w:t>alidation</w:t>
      </w:r>
      <w:r w:rsidR="00C02F79" w:rsidRPr="00E73BB1">
        <w:rPr>
          <w:rFonts w:ascii="Times New Roman" w:hAnsi="Times New Roman" w:cs="Times New Roman"/>
          <w:b/>
          <w:sz w:val="24"/>
          <w:szCs w:val="24"/>
        </w:rPr>
        <w:t xml:space="preserve"> of the </w:t>
      </w:r>
      <w:r w:rsidR="00722582" w:rsidRPr="00E73BB1">
        <w:rPr>
          <w:rFonts w:ascii="Times New Roman" w:eastAsiaTheme="minorEastAsia" w:hAnsi="Times New Roman" w:cs="Times New Roman"/>
          <w:b/>
          <w:bCs/>
          <w:sz w:val="24"/>
          <w:szCs w:val="24"/>
          <w:lang w:val="en-US"/>
        </w:rPr>
        <w:t xml:space="preserve">Body Image Life </w:t>
      </w:r>
      <w:r w:rsidR="000B2832" w:rsidRPr="00E73BB1">
        <w:rPr>
          <w:rFonts w:ascii="Times New Roman" w:eastAsiaTheme="minorEastAsia" w:hAnsi="Times New Roman" w:cs="Times New Roman"/>
          <w:b/>
          <w:bCs/>
          <w:sz w:val="24"/>
          <w:szCs w:val="24"/>
          <w:lang w:val="en-US"/>
        </w:rPr>
        <w:t>Dise</w:t>
      </w:r>
      <w:r w:rsidR="00722582" w:rsidRPr="00E73BB1">
        <w:rPr>
          <w:rFonts w:ascii="Times New Roman" w:eastAsiaTheme="minorEastAsia" w:hAnsi="Times New Roman" w:cs="Times New Roman"/>
          <w:b/>
          <w:bCs/>
          <w:sz w:val="24"/>
          <w:szCs w:val="24"/>
          <w:lang w:val="en-US"/>
        </w:rPr>
        <w:t>ngagement Questionnaire (BIL</w:t>
      </w:r>
      <w:r w:rsidR="000B2832" w:rsidRPr="00E73BB1">
        <w:rPr>
          <w:rFonts w:ascii="Times New Roman" w:eastAsiaTheme="minorEastAsia" w:hAnsi="Times New Roman" w:cs="Times New Roman"/>
          <w:b/>
          <w:bCs/>
          <w:sz w:val="24"/>
          <w:szCs w:val="24"/>
          <w:lang w:val="en-US"/>
        </w:rPr>
        <w:t>D-</w:t>
      </w:r>
      <w:r w:rsidR="00722582" w:rsidRPr="00E73BB1">
        <w:rPr>
          <w:rFonts w:ascii="Times New Roman" w:eastAsiaTheme="minorEastAsia" w:hAnsi="Times New Roman" w:cs="Times New Roman"/>
          <w:b/>
          <w:bCs/>
          <w:sz w:val="24"/>
          <w:szCs w:val="24"/>
          <w:lang w:val="en-US"/>
        </w:rPr>
        <w:t>Q)</w:t>
      </w:r>
      <w:r w:rsidR="00C02F79" w:rsidRPr="00E73BB1">
        <w:rPr>
          <w:rFonts w:ascii="Times New Roman" w:hAnsi="Times New Roman" w:cs="Times New Roman"/>
          <w:b/>
          <w:sz w:val="24"/>
          <w:szCs w:val="24"/>
        </w:rPr>
        <w:t xml:space="preserve"> </w:t>
      </w:r>
      <w:r w:rsidR="0096020E" w:rsidRPr="00E73BB1">
        <w:rPr>
          <w:rFonts w:ascii="Times New Roman" w:hAnsi="Times New Roman" w:cs="Times New Roman"/>
          <w:b/>
          <w:sz w:val="24"/>
          <w:szCs w:val="24"/>
        </w:rPr>
        <w:t>A</w:t>
      </w:r>
      <w:r w:rsidR="009879B2" w:rsidRPr="00E73BB1">
        <w:rPr>
          <w:rFonts w:ascii="Times New Roman" w:hAnsi="Times New Roman" w:cs="Times New Roman"/>
          <w:b/>
          <w:sz w:val="24"/>
          <w:szCs w:val="24"/>
        </w:rPr>
        <w:t>mong</w:t>
      </w:r>
      <w:r w:rsidR="00423236" w:rsidRPr="00E73BB1">
        <w:rPr>
          <w:rFonts w:ascii="Times New Roman" w:hAnsi="Times New Roman" w:cs="Times New Roman"/>
          <w:b/>
          <w:sz w:val="24"/>
          <w:szCs w:val="24"/>
        </w:rPr>
        <w:t xml:space="preserve"> </w:t>
      </w:r>
      <w:r w:rsidR="007E5C74" w:rsidRPr="00E73BB1">
        <w:rPr>
          <w:rFonts w:ascii="Times New Roman" w:hAnsi="Times New Roman" w:cs="Times New Roman"/>
          <w:b/>
          <w:sz w:val="24"/>
          <w:szCs w:val="24"/>
        </w:rPr>
        <w:t xml:space="preserve">British </w:t>
      </w:r>
      <w:r w:rsidR="00BF2724" w:rsidRPr="00E73BB1">
        <w:rPr>
          <w:rFonts w:ascii="Times New Roman" w:hAnsi="Times New Roman" w:cs="Times New Roman"/>
          <w:b/>
          <w:sz w:val="24"/>
          <w:szCs w:val="24"/>
        </w:rPr>
        <w:t>A</w:t>
      </w:r>
      <w:r w:rsidR="00423236" w:rsidRPr="00E73BB1">
        <w:rPr>
          <w:rFonts w:ascii="Times New Roman" w:hAnsi="Times New Roman" w:cs="Times New Roman"/>
          <w:b/>
          <w:sz w:val="24"/>
          <w:szCs w:val="24"/>
        </w:rPr>
        <w:t>dolescents</w:t>
      </w:r>
    </w:p>
    <w:p w14:paraId="6F538D54" w14:textId="77777777" w:rsidR="00101363" w:rsidRPr="00E73BB1" w:rsidRDefault="00101363" w:rsidP="006F3861">
      <w:pPr>
        <w:spacing w:after="0" w:line="480" w:lineRule="auto"/>
        <w:jc w:val="center"/>
        <w:rPr>
          <w:rFonts w:ascii="Times New Roman" w:hAnsi="Times New Roman" w:cs="Times New Roman"/>
          <w:sz w:val="24"/>
          <w:szCs w:val="24"/>
        </w:rPr>
      </w:pPr>
    </w:p>
    <w:p w14:paraId="473C16E9" w14:textId="77777777" w:rsidR="008A42AB" w:rsidRDefault="008A42AB" w:rsidP="008A42AB">
      <w:pPr>
        <w:widowControl w:val="0"/>
        <w:spacing w:line="480" w:lineRule="auto"/>
        <w:jc w:val="center"/>
        <w:rPr>
          <w:rFonts w:ascii="Times New Roman" w:hAnsi="Times New Roman"/>
        </w:rPr>
      </w:pPr>
      <w:r w:rsidRPr="007869D1">
        <w:rPr>
          <w:rFonts w:ascii="Times New Roman" w:hAnsi="Times New Roman"/>
        </w:rPr>
        <w:t>Melissa J. Atkinson</w:t>
      </w:r>
      <w:r w:rsidRPr="00B01A25">
        <w:rPr>
          <w:rFonts w:ascii="Times New Roman" w:hAnsi="Times New Roman"/>
          <w:vertAlign w:val="superscript"/>
        </w:rPr>
        <w:t>1</w:t>
      </w:r>
      <w:r>
        <w:rPr>
          <w:rFonts w:ascii="Times New Roman" w:hAnsi="Times New Roman"/>
          <w:vertAlign w:val="superscript"/>
        </w:rPr>
        <w:t>,</w:t>
      </w:r>
      <w:r w:rsidRPr="00B01A25">
        <w:rPr>
          <w:rFonts w:ascii="Times New Roman" w:hAnsi="Times New Roman"/>
          <w:vertAlign w:val="superscript"/>
        </w:rPr>
        <w:t xml:space="preserve"> 2</w:t>
      </w:r>
      <w:r w:rsidRPr="007869D1">
        <w:rPr>
          <w:rFonts w:ascii="Times New Roman" w:hAnsi="Times New Roman"/>
        </w:rPr>
        <w:t xml:space="preserve">, </w:t>
      </w:r>
      <w:r>
        <w:rPr>
          <w:rFonts w:ascii="Times New Roman" w:hAnsi="Times New Roman"/>
        </w:rPr>
        <w:t>Phillippa C. Diedrichs</w:t>
      </w:r>
      <w:r>
        <w:rPr>
          <w:rFonts w:ascii="Times New Roman" w:hAnsi="Times New Roman"/>
          <w:vertAlign w:val="superscript"/>
        </w:rPr>
        <w:t>2</w:t>
      </w:r>
    </w:p>
    <w:p w14:paraId="6747C122" w14:textId="77777777" w:rsidR="008A42AB" w:rsidRDefault="008A42AB" w:rsidP="008A42AB">
      <w:pPr>
        <w:widowControl w:val="0"/>
        <w:spacing w:line="480" w:lineRule="auto"/>
        <w:jc w:val="center"/>
        <w:rPr>
          <w:rFonts w:ascii="Times New Roman" w:hAnsi="Times New Roman"/>
        </w:rPr>
      </w:pPr>
    </w:p>
    <w:p w14:paraId="46C9230C" w14:textId="77777777" w:rsidR="008A42AB" w:rsidRDefault="008A42AB" w:rsidP="008A42AB">
      <w:pPr>
        <w:widowControl w:val="0"/>
        <w:spacing w:line="480" w:lineRule="auto"/>
        <w:jc w:val="center"/>
        <w:rPr>
          <w:rFonts w:ascii="Times New Roman" w:hAnsi="Times New Roman"/>
        </w:rPr>
      </w:pPr>
      <w:r>
        <w:rPr>
          <w:rFonts w:ascii="Times New Roman" w:hAnsi="Times New Roman"/>
          <w:vertAlign w:val="superscript"/>
        </w:rPr>
        <w:t>1</w:t>
      </w:r>
      <w:r>
        <w:rPr>
          <w:rFonts w:ascii="Times New Roman" w:hAnsi="Times New Roman"/>
        </w:rPr>
        <w:t>Department of Psychology, University of Bath, UK</w:t>
      </w:r>
    </w:p>
    <w:p w14:paraId="2D525A34" w14:textId="77777777" w:rsidR="008A42AB" w:rsidRDefault="008A42AB" w:rsidP="008A42AB">
      <w:pPr>
        <w:widowControl w:val="0"/>
        <w:spacing w:line="480" w:lineRule="auto"/>
        <w:jc w:val="center"/>
        <w:rPr>
          <w:rFonts w:ascii="Times New Roman" w:hAnsi="Times New Roman"/>
        </w:rPr>
      </w:pPr>
      <w:r>
        <w:rPr>
          <w:rFonts w:ascii="Times New Roman" w:hAnsi="Times New Roman"/>
          <w:vertAlign w:val="superscript"/>
        </w:rPr>
        <w:t>2</w:t>
      </w:r>
      <w:r w:rsidRPr="007869D1">
        <w:rPr>
          <w:rFonts w:ascii="Times New Roman" w:hAnsi="Times New Roman"/>
        </w:rPr>
        <w:t>Centre for Appearance Research, University of the West of England</w:t>
      </w:r>
      <w:r>
        <w:rPr>
          <w:rFonts w:ascii="Times New Roman" w:hAnsi="Times New Roman"/>
        </w:rPr>
        <w:t>, UK</w:t>
      </w:r>
    </w:p>
    <w:p w14:paraId="4B5B445F" w14:textId="77777777" w:rsidR="008A42AB" w:rsidRDefault="008A42AB" w:rsidP="008A42AB">
      <w:pPr>
        <w:widowControl w:val="0"/>
        <w:spacing w:line="480" w:lineRule="auto"/>
        <w:jc w:val="center"/>
        <w:rPr>
          <w:rFonts w:ascii="Times New Roman" w:hAnsi="Times New Roman"/>
          <w:i/>
        </w:rPr>
      </w:pPr>
    </w:p>
    <w:p w14:paraId="42B55D7C" w14:textId="77777777" w:rsidR="008A42AB" w:rsidRDefault="008A42AB" w:rsidP="008A42AB">
      <w:pPr>
        <w:widowControl w:val="0"/>
        <w:spacing w:line="480" w:lineRule="auto"/>
        <w:rPr>
          <w:rFonts w:ascii="Times New Roman" w:eastAsiaTheme="minorEastAsia" w:hAnsi="Times New Roman"/>
        </w:rPr>
      </w:pPr>
    </w:p>
    <w:p w14:paraId="42D04393" w14:textId="77777777" w:rsidR="008A42AB" w:rsidRDefault="008A42AB" w:rsidP="008A42AB">
      <w:pPr>
        <w:widowControl w:val="0"/>
        <w:spacing w:line="480" w:lineRule="auto"/>
        <w:rPr>
          <w:rFonts w:ascii="Times New Roman" w:hAnsi="Times New Roman"/>
        </w:rPr>
      </w:pPr>
      <w:r w:rsidRPr="0080162B">
        <w:rPr>
          <w:rFonts w:ascii="Times New Roman" w:hAnsi="Times New Roman"/>
          <w:i/>
        </w:rPr>
        <w:t>Correspon</w:t>
      </w:r>
      <w:r>
        <w:rPr>
          <w:rFonts w:ascii="Times New Roman" w:hAnsi="Times New Roman"/>
          <w:i/>
        </w:rPr>
        <w:t>dence to</w:t>
      </w:r>
      <w:r>
        <w:rPr>
          <w:rFonts w:ascii="Times New Roman" w:hAnsi="Times New Roman"/>
        </w:rPr>
        <w:t>:</w:t>
      </w:r>
      <w:r w:rsidRPr="001F7557">
        <w:rPr>
          <w:rFonts w:ascii="Times New Roman" w:hAnsi="Times New Roman"/>
        </w:rPr>
        <w:t xml:space="preserve"> </w:t>
      </w:r>
      <w:r>
        <w:rPr>
          <w:rFonts w:ascii="Times New Roman" w:hAnsi="Times New Roman"/>
        </w:rPr>
        <w:t>Melissa Atkinson</w:t>
      </w:r>
      <w:r w:rsidRPr="001F7557">
        <w:rPr>
          <w:rFonts w:ascii="Times New Roman" w:hAnsi="Times New Roman"/>
        </w:rPr>
        <w:t xml:space="preserve">, </w:t>
      </w:r>
      <w:r>
        <w:rPr>
          <w:rFonts w:ascii="Times New Roman" w:hAnsi="Times New Roman"/>
        </w:rPr>
        <w:t>Department of Psychology, University of Bath</w:t>
      </w:r>
      <w:r w:rsidRPr="001F7557">
        <w:rPr>
          <w:rFonts w:ascii="Times New Roman" w:hAnsi="Times New Roman"/>
        </w:rPr>
        <w:t xml:space="preserve">, </w:t>
      </w:r>
      <w:r>
        <w:rPr>
          <w:rFonts w:ascii="Times New Roman" w:hAnsi="Times New Roman"/>
        </w:rPr>
        <w:t>Claverton Downs, Bath, BA27AY</w:t>
      </w:r>
      <w:r w:rsidRPr="001F7557">
        <w:rPr>
          <w:rFonts w:ascii="Times New Roman" w:hAnsi="Times New Roman"/>
        </w:rPr>
        <w:t xml:space="preserve">, </w:t>
      </w:r>
      <w:r>
        <w:rPr>
          <w:rFonts w:ascii="Times New Roman" w:hAnsi="Times New Roman"/>
        </w:rPr>
        <w:t>UK; Email: m.j.atkinson@bath.ac.uk;</w:t>
      </w:r>
      <w:r w:rsidRPr="001F7557">
        <w:rPr>
          <w:rFonts w:ascii="Times New Roman" w:hAnsi="Times New Roman"/>
        </w:rPr>
        <w:t xml:space="preserve"> phone: +44</w:t>
      </w:r>
      <w:r>
        <w:rPr>
          <w:rFonts w:ascii="Times New Roman" w:hAnsi="Times New Roman"/>
        </w:rPr>
        <w:t>1225386197</w:t>
      </w:r>
      <w:r w:rsidRPr="001F7557">
        <w:rPr>
          <w:rFonts w:ascii="Times New Roman" w:hAnsi="Times New Roman"/>
        </w:rPr>
        <w:t>.</w:t>
      </w:r>
    </w:p>
    <w:p w14:paraId="4ABD3CF6" w14:textId="77777777" w:rsidR="008A42AB" w:rsidRDefault="008A42AB" w:rsidP="008A42AB">
      <w:pPr>
        <w:widowControl w:val="0"/>
        <w:spacing w:line="480" w:lineRule="auto"/>
        <w:rPr>
          <w:rFonts w:ascii="Times New Roman" w:hAnsi="Times New Roman"/>
          <w:i/>
        </w:rPr>
      </w:pPr>
    </w:p>
    <w:p w14:paraId="58D88C0C" w14:textId="77777777" w:rsidR="008A42AB" w:rsidRPr="0029086D" w:rsidRDefault="008A42AB" w:rsidP="008A42AB">
      <w:pPr>
        <w:widowControl w:val="0"/>
        <w:spacing w:line="480" w:lineRule="auto"/>
        <w:rPr>
          <w:rFonts w:ascii="Times New Roman" w:hAnsi="Times New Roman"/>
          <w:b/>
        </w:rPr>
      </w:pPr>
      <w:r w:rsidRPr="00142BD3">
        <w:rPr>
          <w:rFonts w:ascii="Times New Roman" w:hAnsi="Times New Roman"/>
          <w:i/>
        </w:rPr>
        <w:t>Sources of Funding:</w:t>
      </w:r>
      <w:r>
        <w:rPr>
          <w:rFonts w:ascii="Times New Roman" w:hAnsi="Times New Roman"/>
          <w:b/>
        </w:rPr>
        <w:t xml:space="preserve"> </w:t>
      </w:r>
      <w:r w:rsidRPr="00FD525E">
        <w:rPr>
          <w:rFonts w:ascii="Times New Roman" w:hAnsi="Times New Roman"/>
        </w:rPr>
        <w:t>This study was funded by a research grant from the Dove Self-Esteem Project, Unilever. The funders had no role in the study design, data collection and analysis, decision to publish, or manuscript preparation. They were permitted to review the manuscript and suggest changes, but the authors exclusively retained the final decision on content.</w:t>
      </w:r>
    </w:p>
    <w:p w14:paraId="06818AAB" w14:textId="77777777" w:rsidR="008A42AB" w:rsidRDefault="008A42AB" w:rsidP="008A42AB">
      <w:pPr>
        <w:widowControl w:val="0"/>
        <w:spacing w:line="480" w:lineRule="auto"/>
        <w:rPr>
          <w:rFonts w:ascii="Times New Roman" w:hAnsi="Times New Roman"/>
          <w:i/>
        </w:rPr>
      </w:pPr>
    </w:p>
    <w:p w14:paraId="32B18196" w14:textId="77777777" w:rsidR="008A42AB" w:rsidRDefault="008A42AB" w:rsidP="008A42AB">
      <w:pPr>
        <w:widowControl w:val="0"/>
        <w:spacing w:line="480" w:lineRule="auto"/>
        <w:rPr>
          <w:rFonts w:ascii="Times New Roman" w:hAnsi="Times New Roman"/>
        </w:rPr>
      </w:pPr>
      <w:r w:rsidRPr="00142BD3">
        <w:rPr>
          <w:rFonts w:ascii="Times New Roman" w:hAnsi="Times New Roman"/>
          <w:i/>
        </w:rPr>
        <w:t>Disclosure Statement:</w:t>
      </w:r>
      <w:r w:rsidRPr="00FD525E">
        <w:rPr>
          <w:rFonts w:ascii="Times New Roman" w:hAnsi="Times New Roman"/>
          <w:i/>
        </w:rPr>
        <w:t xml:space="preserve"> </w:t>
      </w:r>
      <w:r w:rsidRPr="00025EC5">
        <w:rPr>
          <w:rFonts w:ascii="Times New Roman" w:hAnsi="Times New Roman"/>
          <w:iCs/>
        </w:rPr>
        <w:t>PD is</w:t>
      </w:r>
      <w:r w:rsidRPr="00FD525E">
        <w:rPr>
          <w:rFonts w:ascii="Times New Roman" w:hAnsi="Times New Roman"/>
        </w:rPr>
        <w:t xml:space="preserve"> an independent </w:t>
      </w:r>
      <w:r>
        <w:rPr>
          <w:rFonts w:ascii="Times New Roman" w:hAnsi="Times New Roman"/>
        </w:rPr>
        <w:t xml:space="preserve">research </w:t>
      </w:r>
      <w:r w:rsidRPr="00FD525E">
        <w:rPr>
          <w:rFonts w:ascii="Times New Roman" w:hAnsi="Times New Roman"/>
        </w:rPr>
        <w:t>consultant to the Dove Self</w:t>
      </w:r>
      <w:r>
        <w:rPr>
          <w:rFonts w:ascii="Times New Roman" w:hAnsi="Times New Roman"/>
        </w:rPr>
        <w:t>-</w:t>
      </w:r>
      <w:r w:rsidRPr="00FD525E">
        <w:rPr>
          <w:rFonts w:ascii="Times New Roman" w:hAnsi="Times New Roman"/>
        </w:rPr>
        <w:t>Esteem Project</w:t>
      </w:r>
      <w:r>
        <w:rPr>
          <w:rFonts w:ascii="Times New Roman" w:hAnsi="Times New Roman"/>
        </w:rPr>
        <w:t xml:space="preserve"> global education initiative</w:t>
      </w:r>
      <w:r w:rsidRPr="00FD525E">
        <w:rPr>
          <w:rFonts w:ascii="Times New Roman" w:hAnsi="Times New Roman"/>
        </w:rPr>
        <w:t xml:space="preserve">. </w:t>
      </w:r>
      <w:r w:rsidRPr="00FD525E">
        <w:rPr>
          <w:rFonts w:ascii="Times New Roman" w:eastAsiaTheme="minorEastAsia" w:hAnsi="Times New Roman"/>
        </w:rPr>
        <w:t>The authors declare no other</w:t>
      </w:r>
      <w:r>
        <w:rPr>
          <w:rFonts w:ascii="Times New Roman" w:eastAsiaTheme="minorEastAsia" w:hAnsi="Times New Roman"/>
        </w:rPr>
        <w:t xml:space="preserve"> potential</w:t>
      </w:r>
      <w:r w:rsidRPr="00FD525E">
        <w:rPr>
          <w:rFonts w:ascii="Times New Roman" w:eastAsiaTheme="minorEastAsia" w:hAnsi="Times New Roman"/>
        </w:rPr>
        <w:t xml:space="preserve"> conflicts of interest in relation to this work. </w:t>
      </w:r>
    </w:p>
    <w:p w14:paraId="4D250582" w14:textId="77777777" w:rsidR="008A42AB" w:rsidRPr="00751557" w:rsidRDefault="008A42AB" w:rsidP="008A42AB">
      <w:pPr>
        <w:widowControl w:val="0"/>
        <w:spacing w:line="480" w:lineRule="auto"/>
        <w:jc w:val="center"/>
        <w:rPr>
          <w:rFonts w:ascii="Times New Roman" w:hAnsi="Times New Roman"/>
          <w:b/>
          <w:bCs/>
        </w:rPr>
      </w:pPr>
      <w:r w:rsidRPr="00751557">
        <w:rPr>
          <w:rFonts w:ascii="Times New Roman" w:hAnsi="Times New Roman"/>
          <w:b/>
          <w:bCs/>
        </w:rPr>
        <w:lastRenderedPageBreak/>
        <w:t>Acknowledgments</w:t>
      </w:r>
    </w:p>
    <w:p w14:paraId="20513009" w14:textId="77777777" w:rsidR="008A42AB" w:rsidRDefault="008A42AB" w:rsidP="008A42AB">
      <w:pPr>
        <w:pStyle w:val="EndNoteBibliographyTitle"/>
        <w:spacing w:line="480" w:lineRule="auto"/>
        <w:ind w:firstLine="720"/>
        <w:jc w:val="left"/>
      </w:pPr>
      <w:r>
        <w:t>We would like to thank the research associates who assissted with data collection: Kirsty M. Garbett, Jade Parnell, Hannah Jarman, Georgia Treneman-Evans. We would also like to thank Professor Mitchell Callan for assistance with testing of gender invariance in R.</w:t>
      </w:r>
    </w:p>
    <w:p w14:paraId="2C777588" w14:textId="77777777" w:rsidR="008E62C6" w:rsidRPr="00E73BB1" w:rsidRDefault="008E62C6" w:rsidP="006F3861">
      <w:pPr>
        <w:spacing w:after="0" w:line="480" w:lineRule="auto"/>
        <w:jc w:val="center"/>
        <w:rPr>
          <w:rFonts w:ascii="Times New Roman" w:hAnsi="Times New Roman" w:cs="Times New Roman"/>
          <w:b/>
          <w:bCs/>
          <w:sz w:val="24"/>
          <w:szCs w:val="24"/>
        </w:rPr>
      </w:pPr>
      <w:r w:rsidRPr="00E73BB1">
        <w:rPr>
          <w:rFonts w:ascii="Times New Roman" w:hAnsi="Times New Roman" w:cs="Times New Roman"/>
          <w:b/>
          <w:bCs/>
          <w:sz w:val="24"/>
          <w:szCs w:val="24"/>
        </w:rPr>
        <w:br w:type="page"/>
      </w:r>
    </w:p>
    <w:p w14:paraId="0DFCB883" w14:textId="1A68AE93" w:rsidR="005434EF" w:rsidRPr="00E73BB1" w:rsidRDefault="005434EF" w:rsidP="005434EF">
      <w:pPr>
        <w:spacing w:after="0" w:line="480" w:lineRule="auto"/>
        <w:jc w:val="center"/>
        <w:rPr>
          <w:rFonts w:ascii="Times New Roman" w:hAnsi="Times New Roman" w:cs="Times New Roman"/>
          <w:b/>
          <w:bCs/>
          <w:sz w:val="24"/>
          <w:szCs w:val="24"/>
        </w:rPr>
      </w:pPr>
      <w:r w:rsidRPr="00E73BB1">
        <w:rPr>
          <w:rFonts w:ascii="Times New Roman" w:hAnsi="Times New Roman" w:cs="Times New Roman"/>
          <w:b/>
          <w:bCs/>
          <w:sz w:val="24"/>
          <w:szCs w:val="24"/>
        </w:rPr>
        <w:lastRenderedPageBreak/>
        <w:t>Abstract</w:t>
      </w:r>
    </w:p>
    <w:p w14:paraId="1F30D03C" w14:textId="481AAE43" w:rsidR="00CB57F3" w:rsidRPr="00E73BB1" w:rsidRDefault="005434EF" w:rsidP="005434EF">
      <w:pPr>
        <w:spacing w:after="0" w:line="480" w:lineRule="auto"/>
        <w:rPr>
          <w:rFonts w:ascii="Times New Roman" w:hAnsi="Times New Roman" w:cs="Times New Roman"/>
          <w:sz w:val="24"/>
          <w:szCs w:val="24"/>
        </w:rPr>
      </w:pPr>
      <w:r w:rsidRPr="00E73BB1">
        <w:rPr>
          <w:rFonts w:ascii="Times New Roman" w:hAnsi="Times New Roman" w:cs="Times New Roman"/>
          <w:sz w:val="24"/>
          <w:szCs w:val="24"/>
        </w:rPr>
        <w:t>Assessing</w:t>
      </w:r>
      <w:r w:rsidR="001241EE" w:rsidRPr="00E73BB1">
        <w:rPr>
          <w:rFonts w:ascii="Times New Roman" w:hAnsi="Times New Roman" w:cs="Times New Roman"/>
          <w:sz w:val="24"/>
          <w:szCs w:val="24"/>
        </w:rPr>
        <w:t xml:space="preserve"> the</w:t>
      </w:r>
      <w:r w:rsidRPr="00E73BB1">
        <w:rPr>
          <w:rFonts w:ascii="Times New Roman" w:hAnsi="Times New Roman" w:cs="Times New Roman"/>
          <w:sz w:val="24"/>
          <w:szCs w:val="24"/>
        </w:rPr>
        <w:t xml:space="preserve"> impact of body image on engagement in a range of life domains is important; however, there is a lack of </w:t>
      </w:r>
      <w:r w:rsidR="008C414A" w:rsidRPr="00E73BB1">
        <w:rPr>
          <w:rFonts w:ascii="Times New Roman" w:hAnsi="Times New Roman" w:cs="Times New Roman"/>
          <w:sz w:val="24"/>
          <w:szCs w:val="24"/>
        </w:rPr>
        <w:t>validated</w:t>
      </w:r>
      <w:r w:rsidRPr="00E73BB1">
        <w:rPr>
          <w:rFonts w:ascii="Times New Roman" w:hAnsi="Times New Roman" w:cs="Times New Roman"/>
          <w:sz w:val="24"/>
          <w:szCs w:val="24"/>
        </w:rPr>
        <w:t xml:space="preserve"> measures for adolescents. The current research developed the Body Image Life </w:t>
      </w:r>
      <w:r w:rsidR="00CE3226" w:rsidRPr="00E73BB1">
        <w:rPr>
          <w:rFonts w:ascii="Times New Roman" w:hAnsi="Times New Roman" w:cs="Times New Roman"/>
          <w:sz w:val="24"/>
          <w:szCs w:val="24"/>
        </w:rPr>
        <w:t>Dise</w:t>
      </w:r>
      <w:r w:rsidRPr="00E73BB1">
        <w:rPr>
          <w:rFonts w:ascii="Times New Roman" w:hAnsi="Times New Roman" w:cs="Times New Roman"/>
          <w:sz w:val="24"/>
          <w:szCs w:val="24"/>
        </w:rPr>
        <w:t>ngagement Questionnaire (BIL</w:t>
      </w:r>
      <w:r w:rsidR="00CE3226" w:rsidRPr="00E73BB1">
        <w:rPr>
          <w:rFonts w:ascii="Times New Roman" w:hAnsi="Times New Roman" w:cs="Times New Roman"/>
          <w:sz w:val="24"/>
          <w:szCs w:val="24"/>
        </w:rPr>
        <w:t>D-</w:t>
      </w:r>
      <w:r w:rsidRPr="00E73BB1">
        <w:rPr>
          <w:rFonts w:ascii="Times New Roman" w:hAnsi="Times New Roman" w:cs="Times New Roman"/>
          <w:sz w:val="24"/>
          <w:szCs w:val="24"/>
        </w:rPr>
        <w:t>Q) and validated it among four samples of British adolescents. Study 1 (</w:t>
      </w:r>
      <w:r w:rsidRPr="00E73BB1">
        <w:rPr>
          <w:rFonts w:ascii="Times New Roman" w:hAnsi="Times New Roman" w:cs="Times New Roman"/>
          <w:i/>
          <w:iCs/>
          <w:sz w:val="24"/>
          <w:szCs w:val="24"/>
        </w:rPr>
        <w:t>N</w:t>
      </w:r>
      <w:r w:rsidRPr="00E73BB1">
        <w:rPr>
          <w:rFonts w:ascii="Times New Roman" w:hAnsi="Times New Roman" w:cs="Times New Roman"/>
          <w:sz w:val="24"/>
          <w:szCs w:val="24"/>
        </w:rPr>
        <w:t xml:space="preserve"> = 1707; 11-13 years) indicated a 9-item unidimensional scale based on Exploratory Factory Analysis. In Study 2 (</w:t>
      </w:r>
      <w:r w:rsidRPr="00E73BB1">
        <w:rPr>
          <w:rFonts w:ascii="Times New Roman" w:hAnsi="Times New Roman" w:cs="Times New Roman"/>
          <w:i/>
          <w:iCs/>
          <w:sz w:val="24"/>
          <w:szCs w:val="24"/>
        </w:rPr>
        <w:t>N</w:t>
      </w:r>
      <w:r w:rsidRPr="00E73BB1">
        <w:rPr>
          <w:rFonts w:ascii="Times New Roman" w:hAnsi="Times New Roman" w:cs="Times New Roman"/>
          <w:sz w:val="24"/>
          <w:szCs w:val="24"/>
        </w:rPr>
        <w:t xml:space="preserve"> = 1403; 11-13 years), Confirmatory Factor Analysis</w:t>
      </w:r>
      <w:r w:rsidR="008C414A" w:rsidRPr="00E73BB1">
        <w:rPr>
          <w:rFonts w:ascii="Times New Roman" w:hAnsi="Times New Roman" w:cs="Times New Roman"/>
          <w:sz w:val="24"/>
          <w:szCs w:val="24"/>
        </w:rPr>
        <w:t xml:space="preserve"> (CFA)</w:t>
      </w:r>
      <w:r w:rsidRPr="00E73BB1">
        <w:rPr>
          <w:rFonts w:ascii="Times New Roman" w:hAnsi="Times New Roman" w:cs="Times New Roman"/>
          <w:sz w:val="24"/>
          <w:szCs w:val="24"/>
        </w:rPr>
        <w:t xml:space="preserve"> </w:t>
      </w:r>
      <w:r w:rsidR="00C97665" w:rsidRPr="00E73BB1">
        <w:rPr>
          <w:rFonts w:ascii="Times New Roman" w:hAnsi="Times New Roman" w:cs="Times New Roman"/>
          <w:sz w:val="24"/>
          <w:szCs w:val="24"/>
        </w:rPr>
        <w:t xml:space="preserve">showed </w:t>
      </w:r>
      <w:r w:rsidRPr="00E73BB1">
        <w:rPr>
          <w:rFonts w:ascii="Times New Roman" w:hAnsi="Times New Roman" w:cs="Times New Roman"/>
          <w:sz w:val="24"/>
          <w:szCs w:val="24"/>
        </w:rPr>
        <w:t>an acceptable fit</w:t>
      </w:r>
      <w:r w:rsidR="00F23B26" w:rsidRPr="00E73BB1">
        <w:rPr>
          <w:rFonts w:ascii="Times New Roman" w:hAnsi="Times New Roman" w:cs="Times New Roman"/>
          <w:sz w:val="24"/>
          <w:szCs w:val="24"/>
        </w:rPr>
        <w:t xml:space="preserve"> overall</w:t>
      </w:r>
      <w:r w:rsidRPr="00E73BB1">
        <w:rPr>
          <w:rFonts w:ascii="Times New Roman" w:hAnsi="Times New Roman" w:cs="Times New Roman"/>
          <w:sz w:val="24"/>
          <w:szCs w:val="24"/>
        </w:rPr>
        <w:t xml:space="preserve">, but better among girls than boys. </w:t>
      </w:r>
      <w:r w:rsidR="008C414A" w:rsidRPr="00E73BB1">
        <w:rPr>
          <w:rFonts w:ascii="Times New Roman" w:hAnsi="Times New Roman" w:cs="Times New Roman"/>
          <w:sz w:val="24"/>
          <w:szCs w:val="24"/>
        </w:rPr>
        <w:t>Further exploration</w:t>
      </w:r>
      <w:r w:rsidRPr="00E73BB1">
        <w:rPr>
          <w:rFonts w:ascii="Times New Roman" w:hAnsi="Times New Roman" w:cs="Times New Roman"/>
          <w:sz w:val="24"/>
          <w:szCs w:val="24"/>
        </w:rPr>
        <w:t xml:space="preserve"> </w:t>
      </w:r>
      <w:r w:rsidR="00FB3F54" w:rsidRPr="00E73BB1">
        <w:rPr>
          <w:rFonts w:ascii="Times New Roman" w:hAnsi="Times New Roman" w:cs="Times New Roman"/>
          <w:sz w:val="24"/>
          <w:szCs w:val="24"/>
        </w:rPr>
        <w:t>with</w:t>
      </w:r>
      <w:r w:rsidR="00F23B26" w:rsidRPr="00E73BB1">
        <w:rPr>
          <w:rFonts w:ascii="Times New Roman" w:hAnsi="Times New Roman" w:cs="Times New Roman"/>
          <w:sz w:val="24"/>
          <w:szCs w:val="24"/>
        </w:rPr>
        <w:t xml:space="preserve"> </w:t>
      </w:r>
      <w:r w:rsidR="008C414A" w:rsidRPr="00E73BB1">
        <w:rPr>
          <w:rFonts w:ascii="Times New Roman" w:hAnsi="Times New Roman" w:cs="Times New Roman"/>
          <w:sz w:val="24"/>
          <w:szCs w:val="24"/>
        </w:rPr>
        <w:t xml:space="preserve">CFA </w:t>
      </w:r>
      <w:r w:rsidRPr="00E73BB1">
        <w:rPr>
          <w:rFonts w:ascii="Times New Roman" w:hAnsi="Times New Roman" w:cs="Times New Roman"/>
          <w:sz w:val="24"/>
          <w:szCs w:val="24"/>
        </w:rPr>
        <w:t>in Study 3 (</w:t>
      </w:r>
      <w:r w:rsidRPr="00E73BB1">
        <w:rPr>
          <w:rFonts w:ascii="Times New Roman" w:hAnsi="Times New Roman" w:cs="Times New Roman"/>
          <w:i/>
          <w:iCs/>
          <w:sz w:val="24"/>
          <w:szCs w:val="24"/>
        </w:rPr>
        <w:t>N</w:t>
      </w:r>
      <w:r w:rsidRPr="00E73BB1">
        <w:rPr>
          <w:rFonts w:ascii="Times New Roman" w:hAnsi="Times New Roman" w:cs="Times New Roman"/>
          <w:sz w:val="24"/>
          <w:szCs w:val="24"/>
        </w:rPr>
        <w:t xml:space="preserve"> = 2034; 13-14 years) </w:t>
      </w:r>
      <w:r w:rsidR="00F23B26" w:rsidRPr="00E73BB1">
        <w:rPr>
          <w:rFonts w:ascii="Times New Roman" w:hAnsi="Times New Roman" w:cs="Times New Roman"/>
          <w:sz w:val="24"/>
          <w:szCs w:val="24"/>
        </w:rPr>
        <w:t xml:space="preserve">showed </w:t>
      </w:r>
      <w:r w:rsidRPr="00E73BB1">
        <w:rPr>
          <w:rFonts w:ascii="Times New Roman" w:hAnsi="Times New Roman" w:cs="Times New Roman"/>
          <w:sz w:val="24"/>
          <w:szCs w:val="24"/>
        </w:rPr>
        <w:t xml:space="preserve">a good to excellent fit overall, and acceptable among both boys and girls. </w:t>
      </w:r>
      <w:r w:rsidR="00F23B26" w:rsidRPr="00E73BB1">
        <w:rPr>
          <w:rFonts w:ascii="Times New Roman" w:hAnsi="Times New Roman" w:cs="Times New Roman"/>
          <w:sz w:val="24"/>
          <w:szCs w:val="24"/>
        </w:rPr>
        <w:t>The scale showed g</w:t>
      </w:r>
      <w:r w:rsidRPr="00E73BB1">
        <w:rPr>
          <w:rFonts w:ascii="Times New Roman" w:hAnsi="Times New Roman" w:cs="Times New Roman"/>
          <w:sz w:val="24"/>
          <w:szCs w:val="24"/>
        </w:rPr>
        <w:t>ood internal consistency</w:t>
      </w:r>
      <w:r w:rsidR="00B27C59" w:rsidRPr="00E73BB1">
        <w:rPr>
          <w:rFonts w:ascii="Times New Roman" w:hAnsi="Times New Roman" w:cs="Times New Roman"/>
          <w:sz w:val="24"/>
          <w:szCs w:val="24"/>
        </w:rPr>
        <w:t xml:space="preserve"> and</w:t>
      </w:r>
      <w:r w:rsidRPr="00E73BB1">
        <w:rPr>
          <w:rFonts w:ascii="Times New Roman" w:hAnsi="Times New Roman" w:cs="Times New Roman"/>
          <w:sz w:val="24"/>
          <w:szCs w:val="24"/>
        </w:rPr>
        <w:t xml:space="preserve"> test-retest reliability, and gender </w:t>
      </w:r>
      <w:r w:rsidR="00B27C59" w:rsidRPr="00E73BB1">
        <w:rPr>
          <w:rFonts w:ascii="Times New Roman" w:hAnsi="Times New Roman" w:cs="Times New Roman"/>
          <w:sz w:val="24"/>
          <w:szCs w:val="24"/>
        </w:rPr>
        <w:t xml:space="preserve">invariance </w:t>
      </w:r>
      <w:r w:rsidRPr="00E73BB1">
        <w:rPr>
          <w:rFonts w:ascii="Times New Roman" w:hAnsi="Times New Roman" w:cs="Times New Roman"/>
          <w:sz w:val="24"/>
          <w:szCs w:val="24"/>
        </w:rPr>
        <w:t>indicate</w:t>
      </w:r>
      <w:r w:rsidR="00B27C59" w:rsidRPr="00E73BB1">
        <w:rPr>
          <w:rFonts w:ascii="Times New Roman" w:hAnsi="Times New Roman" w:cs="Times New Roman"/>
          <w:sz w:val="24"/>
          <w:szCs w:val="24"/>
        </w:rPr>
        <w:t>d</w:t>
      </w:r>
      <w:r w:rsidRPr="00E73BB1">
        <w:rPr>
          <w:rFonts w:ascii="Times New Roman" w:hAnsi="Times New Roman" w:cs="Times New Roman"/>
          <w:sz w:val="24"/>
          <w:szCs w:val="24"/>
        </w:rPr>
        <w:t xml:space="preserve"> the scale can be used comparatively. In Study 4 (</w:t>
      </w:r>
      <w:r w:rsidRPr="00E73BB1">
        <w:rPr>
          <w:rFonts w:ascii="Times New Roman" w:hAnsi="Times New Roman" w:cs="Times New Roman"/>
          <w:i/>
          <w:iCs/>
          <w:sz w:val="24"/>
          <w:szCs w:val="24"/>
        </w:rPr>
        <w:t>N</w:t>
      </w:r>
      <w:r w:rsidRPr="00E73BB1">
        <w:rPr>
          <w:rFonts w:ascii="Times New Roman" w:hAnsi="Times New Roman" w:cs="Times New Roman"/>
          <w:sz w:val="24"/>
          <w:szCs w:val="24"/>
        </w:rPr>
        <w:t xml:space="preserve"> = 288; 13-14 years), convergent validity was supported via expected relationships with body image and related </w:t>
      </w:r>
      <w:r w:rsidR="00F23B26" w:rsidRPr="00E73BB1">
        <w:rPr>
          <w:rFonts w:ascii="Times New Roman" w:hAnsi="Times New Roman" w:cs="Times New Roman"/>
          <w:sz w:val="24"/>
          <w:szCs w:val="24"/>
        </w:rPr>
        <w:t>constructs</w:t>
      </w:r>
      <w:r w:rsidRPr="00E73BB1">
        <w:rPr>
          <w:rFonts w:ascii="Times New Roman" w:hAnsi="Times New Roman" w:cs="Times New Roman"/>
          <w:sz w:val="24"/>
          <w:szCs w:val="24"/>
        </w:rPr>
        <w:t xml:space="preserve">. Concurrent and predictive incremental validity </w:t>
      </w:r>
      <w:r w:rsidR="0087107E" w:rsidRPr="00E73BB1">
        <w:rPr>
          <w:rFonts w:ascii="Times New Roman" w:hAnsi="Times New Roman" w:cs="Times New Roman"/>
          <w:sz w:val="24"/>
          <w:szCs w:val="24"/>
        </w:rPr>
        <w:t>were</w:t>
      </w:r>
      <w:r w:rsidR="008C414A" w:rsidRPr="00E73BB1">
        <w:rPr>
          <w:rFonts w:ascii="Times New Roman" w:hAnsi="Times New Roman" w:cs="Times New Roman"/>
          <w:sz w:val="24"/>
          <w:szCs w:val="24"/>
        </w:rPr>
        <w:t xml:space="preserve"> also</w:t>
      </w:r>
      <w:r w:rsidRPr="00E73BB1">
        <w:rPr>
          <w:rFonts w:ascii="Times New Roman" w:hAnsi="Times New Roman" w:cs="Times New Roman"/>
          <w:sz w:val="24"/>
          <w:szCs w:val="24"/>
        </w:rPr>
        <w:t xml:space="preserve"> </w:t>
      </w:r>
      <w:r w:rsidR="00FB3F54" w:rsidRPr="00E73BB1">
        <w:rPr>
          <w:rFonts w:ascii="Times New Roman" w:hAnsi="Times New Roman" w:cs="Times New Roman"/>
          <w:sz w:val="24"/>
          <w:szCs w:val="24"/>
        </w:rPr>
        <w:t>evidenced</w:t>
      </w:r>
      <w:r w:rsidR="00F23B26" w:rsidRPr="00E73BB1">
        <w:rPr>
          <w:rFonts w:ascii="Times New Roman" w:hAnsi="Times New Roman" w:cs="Times New Roman"/>
          <w:sz w:val="24"/>
          <w:szCs w:val="24"/>
        </w:rPr>
        <w:t xml:space="preserve"> </w:t>
      </w:r>
      <w:r w:rsidR="00A04469" w:rsidRPr="00E73BB1">
        <w:rPr>
          <w:rFonts w:ascii="Times New Roman" w:hAnsi="Times New Roman" w:cs="Times New Roman"/>
          <w:sz w:val="24"/>
          <w:szCs w:val="24"/>
        </w:rPr>
        <w:t xml:space="preserve">via </w:t>
      </w:r>
      <w:r w:rsidRPr="00E73BB1">
        <w:rPr>
          <w:rFonts w:ascii="Times New Roman" w:hAnsi="Times New Roman" w:cs="Times New Roman"/>
          <w:sz w:val="24"/>
          <w:szCs w:val="24"/>
        </w:rPr>
        <w:t xml:space="preserve">explaining significant unique variance in well-being. These studies provide support for the </w:t>
      </w:r>
      <w:r w:rsidR="00F23B26" w:rsidRPr="00E73BB1">
        <w:rPr>
          <w:rFonts w:ascii="Times New Roman" w:hAnsi="Times New Roman" w:cs="Times New Roman"/>
          <w:sz w:val="24"/>
          <w:szCs w:val="24"/>
        </w:rPr>
        <w:t xml:space="preserve">BILD-Q </w:t>
      </w:r>
      <w:r w:rsidRPr="00E73BB1">
        <w:rPr>
          <w:rFonts w:ascii="Times New Roman" w:hAnsi="Times New Roman" w:cs="Times New Roman"/>
          <w:sz w:val="24"/>
          <w:szCs w:val="24"/>
        </w:rPr>
        <w:t xml:space="preserve">as a reliable and valid measure of broader impacts of body image among adolescents, which </w:t>
      </w:r>
      <w:r w:rsidR="00C50DE9" w:rsidRPr="00E73BB1">
        <w:rPr>
          <w:rFonts w:ascii="Times New Roman" w:hAnsi="Times New Roman" w:cs="Times New Roman"/>
          <w:sz w:val="24"/>
          <w:szCs w:val="24"/>
        </w:rPr>
        <w:t xml:space="preserve">may </w:t>
      </w:r>
      <w:r w:rsidRPr="00E73BB1">
        <w:rPr>
          <w:rFonts w:ascii="Times New Roman" w:hAnsi="Times New Roman" w:cs="Times New Roman"/>
          <w:sz w:val="24"/>
          <w:szCs w:val="24"/>
        </w:rPr>
        <w:t>benefit intervention evaluation and policy change</w:t>
      </w:r>
      <w:r w:rsidR="003C1674" w:rsidRPr="00E73BB1">
        <w:rPr>
          <w:rFonts w:ascii="Times New Roman" w:hAnsi="Times New Roman" w:cs="Times New Roman"/>
          <w:sz w:val="24"/>
          <w:szCs w:val="24"/>
        </w:rPr>
        <w:t xml:space="preserve"> efforts</w:t>
      </w:r>
      <w:r w:rsidRPr="00E73BB1">
        <w:rPr>
          <w:rFonts w:ascii="Times New Roman" w:hAnsi="Times New Roman" w:cs="Times New Roman"/>
          <w:sz w:val="24"/>
          <w:szCs w:val="24"/>
        </w:rPr>
        <w:t>.</w:t>
      </w:r>
    </w:p>
    <w:p w14:paraId="26B23A99" w14:textId="712E42D1" w:rsidR="005D5CD9" w:rsidRPr="00E73BB1" w:rsidRDefault="00F4414B" w:rsidP="009161D3">
      <w:pPr>
        <w:spacing w:after="0" w:line="480" w:lineRule="auto"/>
        <w:ind w:firstLine="720"/>
        <w:rPr>
          <w:rFonts w:ascii="Times New Roman" w:hAnsi="Times New Roman" w:cs="Times New Roman"/>
          <w:b/>
          <w:iCs/>
          <w:sz w:val="24"/>
          <w:szCs w:val="24"/>
        </w:rPr>
      </w:pPr>
      <w:r w:rsidRPr="00E73BB1">
        <w:rPr>
          <w:rFonts w:ascii="Times New Roman" w:hAnsi="Times New Roman" w:cs="Times New Roman"/>
          <w:i/>
          <w:sz w:val="24"/>
          <w:szCs w:val="24"/>
        </w:rPr>
        <w:t>Keywords:</w:t>
      </w:r>
      <w:r w:rsidR="00025EC5" w:rsidRPr="00E73BB1">
        <w:rPr>
          <w:rFonts w:ascii="Times New Roman" w:hAnsi="Times New Roman" w:cs="Times New Roman"/>
          <w:i/>
          <w:sz w:val="24"/>
          <w:szCs w:val="24"/>
        </w:rPr>
        <w:t xml:space="preserve"> </w:t>
      </w:r>
      <w:r w:rsidR="00025EC5" w:rsidRPr="00E73BB1">
        <w:rPr>
          <w:rFonts w:ascii="Times New Roman" w:hAnsi="Times New Roman" w:cs="Times New Roman"/>
          <w:iCs/>
          <w:sz w:val="24"/>
          <w:szCs w:val="24"/>
        </w:rPr>
        <w:t>body image</w:t>
      </w:r>
      <w:r w:rsidR="00A04469" w:rsidRPr="00E73BB1">
        <w:rPr>
          <w:rFonts w:ascii="Times New Roman" w:hAnsi="Times New Roman" w:cs="Times New Roman"/>
          <w:iCs/>
          <w:sz w:val="24"/>
          <w:szCs w:val="24"/>
        </w:rPr>
        <w:t>;</w:t>
      </w:r>
      <w:r w:rsidR="00025EC5" w:rsidRPr="00E73BB1">
        <w:rPr>
          <w:rFonts w:ascii="Times New Roman" w:hAnsi="Times New Roman" w:cs="Times New Roman"/>
          <w:iCs/>
          <w:sz w:val="24"/>
          <w:szCs w:val="24"/>
        </w:rPr>
        <w:t xml:space="preserve"> functioning</w:t>
      </w:r>
      <w:r w:rsidR="00A04469" w:rsidRPr="00E73BB1">
        <w:rPr>
          <w:rFonts w:ascii="Times New Roman" w:hAnsi="Times New Roman" w:cs="Times New Roman"/>
          <w:iCs/>
          <w:sz w:val="24"/>
          <w:szCs w:val="24"/>
        </w:rPr>
        <w:t>;</w:t>
      </w:r>
      <w:r w:rsidR="00025EC5" w:rsidRPr="00E73BB1">
        <w:rPr>
          <w:rFonts w:ascii="Times New Roman" w:hAnsi="Times New Roman" w:cs="Times New Roman"/>
          <w:iCs/>
          <w:sz w:val="24"/>
          <w:szCs w:val="24"/>
        </w:rPr>
        <w:t xml:space="preserve"> quality of life</w:t>
      </w:r>
      <w:r w:rsidR="00A04469" w:rsidRPr="00E73BB1">
        <w:rPr>
          <w:rFonts w:ascii="Times New Roman" w:hAnsi="Times New Roman" w:cs="Times New Roman"/>
          <w:iCs/>
          <w:sz w:val="24"/>
          <w:szCs w:val="24"/>
        </w:rPr>
        <w:t>;</w:t>
      </w:r>
      <w:r w:rsidR="00025EC5" w:rsidRPr="00E73BB1">
        <w:rPr>
          <w:rFonts w:ascii="Times New Roman" w:hAnsi="Times New Roman" w:cs="Times New Roman"/>
          <w:iCs/>
          <w:sz w:val="24"/>
          <w:szCs w:val="24"/>
        </w:rPr>
        <w:t xml:space="preserve"> validation</w:t>
      </w:r>
      <w:r w:rsidR="00A04469" w:rsidRPr="00E73BB1">
        <w:rPr>
          <w:rFonts w:ascii="Times New Roman" w:hAnsi="Times New Roman" w:cs="Times New Roman"/>
          <w:iCs/>
          <w:sz w:val="24"/>
          <w:szCs w:val="24"/>
        </w:rPr>
        <w:t>;</w:t>
      </w:r>
      <w:r w:rsidR="00025EC5" w:rsidRPr="00E73BB1">
        <w:rPr>
          <w:rFonts w:ascii="Times New Roman" w:hAnsi="Times New Roman" w:cs="Times New Roman"/>
          <w:iCs/>
          <w:sz w:val="24"/>
          <w:szCs w:val="24"/>
        </w:rPr>
        <w:t xml:space="preserve"> psychometrics</w:t>
      </w:r>
      <w:r w:rsidR="00A04469" w:rsidRPr="00E73BB1">
        <w:rPr>
          <w:rFonts w:ascii="Times New Roman" w:hAnsi="Times New Roman" w:cs="Times New Roman"/>
          <w:iCs/>
          <w:sz w:val="24"/>
          <w:szCs w:val="24"/>
        </w:rPr>
        <w:t>;</w:t>
      </w:r>
      <w:r w:rsidR="00025EC5" w:rsidRPr="00E73BB1">
        <w:rPr>
          <w:rFonts w:ascii="Times New Roman" w:hAnsi="Times New Roman" w:cs="Times New Roman"/>
          <w:iCs/>
          <w:sz w:val="24"/>
          <w:szCs w:val="24"/>
        </w:rPr>
        <w:t xml:space="preserve"> adolescents</w:t>
      </w:r>
    </w:p>
    <w:p w14:paraId="5475B73E" w14:textId="77777777" w:rsidR="00A94360" w:rsidRPr="00E73BB1" w:rsidRDefault="00176CD0" w:rsidP="00CF57F4">
      <w:pPr>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br w:type="page"/>
      </w:r>
    </w:p>
    <w:p w14:paraId="7DF419B8" w14:textId="2ADCFF41" w:rsidR="00A94360" w:rsidRPr="00E73BB1" w:rsidRDefault="00A94360" w:rsidP="00A94360">
      <w:pPr>
        <w:pStyle w:val="ListParagraph"/>
        <w:numPr>
          <w:ilvl w:val="0"/>
          <w:numId w:val="10"/>
        </w:numPr>
        <w:spacing w:after="0" w:line="480" w:lineRule="auto"/>
        <w:jc w:val="center"/>
        <w:rPr>
          <w:rFonts w:ascii="Times New Roman" w:hAnsi="Times New Roman" w:cs="Times New Roman"/>
          <w:b/>
          <w:bCs/>
          <w:sz w:val="24"/>
          <w:szCs w:val="24"/>
        </w:rPr>
      </w:pPr>
      <w:r w:rsidRPr="00E73BB1">
        <w:rPr>
          <w:rFonts w:ascii="Times New Roman" w:hAnsi="Times New Roman" w:cs="Times New Roman"/>
          <w:b/>
          <w:bCs/>
          <w:sz w:val="24"/>
          <w:szCs w:val="24"/>
        </w:rPr>
        <w:lastRenderedPageBreak/>
        <w:t>Introduction</w:t>
      </w:r>
    </w:p>
    <w:p w14:paraId="3FD57577" w14:textId="7EFC20F4" w:rsidR="00C40D22" w:rsidRPr="00E73BB1" w:rsidRDefault="00C40D22" w:rsidP="00CF57F4">
      <w:pPr>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 xml:space="preserve">Body image is a </w:t>
      </w:r>
      <w:r w:rsidR="002D5897" w:rsidRPr="00E73BB1">
        <w:rPr>
          <w:rFonts w:ascii="Times New Roman" w:hAnsi="Times New Roman" w:cs="Times New Roman"/>
          <w:sz w:val="24"/>
          <w:szCs w:val="24"/>
        </w:rPr>
        <w:t>multifaceted</w:t>
      </w:r>
      <w:r w:rsidRPr="00E73BB1">
        <w:rPr>
          <w:rFonts w:ascii="Times New Roman" w:hAnsi="Times New Roman" w:cs="Times New Roman"/>
          <w:sz w:val="24"/>
          <w:szCs w:val="24"/>
        </w:rPr>
        <w:t xml:space="preserve"> construct that encompasses affective, cognitive, perceptual and behavioural </w:t>
      </w:r>
      <w:r w:rsidR="002D5897" w:rsidRPr="00E73BB1">
        <w:rPr>
          <w:rFonts w:ascii="Times New Roman" w:hAnsi="Times New Roman" w:cs="Times New Roman"/>
          <w:sz w:val="24"/>
          <w:szCs w:val="24"/>
        </w:rPr>
        <w:t>aspects</w:t>
      </w:r>
      <w:r w:rsidRPr="00E73BB1">
        <w:rPr>
          <w:rFonts w:ascii="Times New Roman" w:hAnsi="Times New Roman" w:cs="Times New Roman"/>
          <w:sz w:val="24"/>
          <w:szCs w:val="24"/>
        </w:rPr>
        <w:t xml:space="preserve"> related to one’s body and appearanc</w:t>
      </w:r>
      <w:r w:rsidR="00BE0ACC" w:rsidRPr="00E73BB1">
        <w:rPr>
          <w:rFonts w:ascii="Times New Roman" w:hAnsi="Times New Roman" w:cs="Times New Roman"/>
          <w:sz w:val="24"/>
          <w:szCs w:val="24"/>
        </w:rPr>
        <w:t xml:space="preserve">e </w:t>
      </w:r>
      <w:r w:rsidR="00BE0ACC" w:rsidRPr="00E73BB1">
        <w:rPr>
          <w:rFonts w:ascii="Times New Roman" w:hAnsi="Times New Roman" w:cs="Times New Roman"/>
          <w:noProof/>
          <w:sz w:val="24"/>
          <w:szCs w:val="24"/>
        </w:rPr>
        <w:t>(Cash &amp; Smolak, 2011)</w:t>
      </w:r>
      <w:r w:rsidR="00BE0ACC" w:rsidRPr="00E73BB1">
        <w:rPr>
          <w:rFonts w:ascii="Times New Roman" w:hAnsi="Times New Roman" w:cs="Times New Roman"/>
          <w:sz w:val="24"/>
          <w:szCs w:val="24"/>
        </w:rPr>
        <w:t xml:space="preserve">. </w:t>
      </w:r>
      <w:r w:rsidR="0025446E" w:rsidRPr="00E73BB1">
        <w:rPr>
          <w:rFonts w:ascii="Times New Roman" w:hAnsi="Times New Roman" w:cs="Times New Roman"/>
          <w:sz w:val="24"/>
          <w:szCs w:val="24"/>
        </w:rPr>
        <w:t>E</w:t>
      </w:r>
      <w:r w:rsidRPr="00E73BB1">
        <w:rPr>
          <w:rFonts w:ascii="Times New Roman" w:hAnsi="Times New Roman" w:cs="Times New Roman"/>
          <w:sz w:val="24"/>
          <w:szCs w:val="24"/>
        </w:rPr>
        <w:t>xtensive research has established multiple health correlates and consequences of negative body image</w:t>
      </w:r>
      <w:r w:rsidR="00CF57F4" w:rsidRPr="00E73BB1">
        <w:rPr>
          <w:rFonts w:ascii="Times New Roman" w:hAnsi="Times New Roman" w:cs="Times New Roman"/>
          <w:sz w:val="24"/>
          <w:szCs w:val="24"/>
        </w:rPr>
        <w:t xml:space="preserve"> (e.g., </w:t>
      </w:r>
      <w:r w:rsidRPr="00E73BB1">
        <w:rPr>
          <w:rFonts w:ascii="Times New Roman" w:hAnsi="Times New Roman" w:cs="Times New Roman"/>
          <w:sz w:val="24"/>
          <w:szCs w:val="24"/>
        </w:rPr>
        <w:t>depression, anxiety, low self-esteem, substance abuse, unhealthy weight control practices and disordered eating</w:t>
      </w:r>
      <w:r w:rsidR="00CF57F4" w:rsidRPr="00E73BB1">
        <w:rPr>
          <w:rFonts w:ascii="Times New Roman" w:hAnsi="Times New Roman" w:cs="Times New Roman"/>
          <w:sz w:val="24"/>
          <w:szCs w:val="24"/>
        </w:rPr>
        <w:t>;</w:t>
      </w:r>
      <w:r w:rsidR="00CF57F4" w:rsidRPr="00E73BB1">
        <w:rPr>
          <w:rFonts w:ascii="Times New Roman" w:hAnsi="Times New Roman" w:cs="Times New Roman"/>
          <w:noProof/>
          <w:sz w:val="24"/>
          <w:szCs w:val="24"/>
        </w:rPr>
        <w:t xml:space="preserve"> </w:t>
      </w:r>
      <w:r w:rsidR="00304593" w:rsidRPr="00E73BB1">
        <w:rPr>
          <w:rFonts w:ascii="Times New Roman" w:hAnsi="Times New Roman" w:cs="Times New Roman"/>
          <w:noProof/>
          <w:sz w:val="24"/>
          <w:szCs w:val="24"/>
        </w:rPr>
        <w:t>Bornioli et al., 2019; Neumark-Sztainer et al., 2006; Stice, 2002)</w:t>
      </w:r>
      <w:r w:rsidR="00CF57F4" w:rsidRPr="00E73BB1">
        <w:rPr>
          <w:rFonts w:ascii="Times New Roman" w:hAnsi="Times New Roman" w:cs="Times New Roman"/>
          <w:noProof/>
          <w:sz w:val="24"/>
          <w:szCs w:val="24"/>
        </w:rPr>
        <w:t xml:space="preserve"> and </w:t>
      </w:r>
      <w:r w:rsidRPr="00E73BB1">
        <w:rPr>
          <w:rFonts w:ascii="Times New Roman" w:hAnsi="Times New Roman" w:cs="Times New Roman"/>
          <w:sz w:val="24"/>
          <w:szCs w:val="24"/>
        </w:rPr>
        <w:t>positive body image (e.g., health promoting behaviours and greater well-being</w:t>
      </w:r>
      <w:r w:rsidR="00CF57F4" w:rsidRPr="00E73BB1">
        <w:rPr>
          <w:rFonts w:ascii="Times New Roman" w:hAnsi="Times New Roman" w:cs="Times New Roman"/>
          <w:sz w:val="24"/>
          <w:szCs w:val="24"/>
        </w:rPr>
        <w:t>;</w:t>
      </w:r>
      <w:r w:rsidR="00CF57F4" w:rsidRPr="00E73BB1">
        <w:rPr>
          <w:rFonts w:ascii="Times New Roman" w:hAnsi="Times New Roman" w:cs="Times New Roman"/>
          <w:noProof/>
          <w:sz w:val="24"/>
          <w:szCs w:val="24"/>
        </w:rPr>
        <w:t xml:space="preserve"> </w:t>
      </w:r>
      <w:r w:rsidR="00E77307" w:rsidRPr="00E73BB1">
        <w:rPr>
          <w:rFonts w:ascii="Times New Roman" w:hAnsi="Times New Roman" w:cs="Times New Roman"/>
          <w:noProof/>
          <w:sz w:val="24"/>
          <w:szCs w:val="24"/>
        </w:rPr>
        <w:t>Andrew et al., 2015; Tylka</w:t>
      </w:r>
      <w:r w:rsidR="00E73BB1">
        <w:rPr>
          <w:rFonts w:ascii="Times New Roman" w:hAnsi="Times New Roman" w:cs="Times New Roman"/>
          <w:noProof/>
          <w:sz w:val="24"/>
          <w:szCs w:val="24"/>
        </w:rPr>
        <w:t xml:space="preserve"> &amp; Piran</w:t>
      </w:r>
      <w:r w:rsidR="00E77307" w:rsidRPr="00E73BB1">
        <w:rPr>
          <w:rFonts w:ascii="Times New Roman" w:hAnsi="Times New Roman" w:cs="Times New Roman"/>
          <w:noProof/>
          <w:sz w:val="24"/>
          <w:szCs w:val="24"/>
        </w:rPr>
        <w:t>, 2019; Tylka &amp; Wood-Barcalow, 2015)</w:t>
      </w:r>
      <w:r w:rsidRPr="00E73BB1">
        <w:rPr>
          <w:rFonts w:ascii="Times New Roman" w:hAnsi="Times New Roman" w:cs="Times New Roman"/>
          <w:sz w:val="24"/>
          <w:szCs w:val="24"/>
        </w:rPr>
        <w:t xml:space="preserve">. </w:t>
      </w:r>
      <w:r w:rsidR="00CF57F4" w:rsidRPr="00E73BB1">
        <w:rPr>
          <w:rFonts w:ascii="Times New Roman" w:hAnsi="Times New Roman" w:cs="Times New Roman"/>
          <w:sz w:val="24"/>
          <w:szCs w:val="24"/>
        </w:rPr>
        <w:t>T</w:t>
      </w:r>
      <w:r w:rsidRPr="00E73BB1">
        <w:rPr>
          <w:rFonts w:ascii="Times New Roman" w:hAnsi="Times New Roman" w:cs="Times New Roman"/>
          <w:sz w:val="24"/>
          <w:szCs w:val="24"/>
        </w:rPr>
        <w:t>here is some evidence that body image</w:t>
      </w:r>
      <w:r w:rsidR="005E5D8E" w:rsidRPr="00E73BB1">
        <w:rPr>
          <w:rFonts w:ascii="Times New Roman" w:hAnsi="Times New Roman" w:cs="Times New Roman"/>
          <w:sz w:val="24"/>
          <w:szCs w:val="24"/>
        </w:rPr>
        <w:t xml:space="preserve"> also</w:t>
      </w:r>
      <w:r w:rsidRPr="00E73BB1">
        <w:rPr>
          <w:rFonts w:ascii="Times New Roman" w:hAnsi="Times New Roman" w:cs="Times New Roman"/>
          <w:sz w:val="24"/>
          <w:szCs w:val="24"/>
        </w:rPr>
        <w:t xml:space="preserve"> impacts on other important life domains</w:t>
      </w:r>
      <w:r w:rsidR="00722582" w:rsidRPr="00E73BB1">
        <w:rPr>
          <w:rFonts w:ascii="Times New Roman" w:hAnsi="Times New Roman" w:cs="Times New Roman"/>
          <w:sz w:val="24"/>
          <w:szCs w:val="24"/>
        </w:rPr>
        <w:t>,</w:t>
      </w:r>
      <w:r w:rsidRPr="00E73BB1">
        <w:rPr>
          <w:rFonts w:ascii="Times New Roman" w:hAnsi="Times New Roman" w:cs="Times New Roman"/>
          <w:sz w:val="24"/>
          <w:szCs w:val="24"/>
        </w:rPr>
        <w:t xml:space="preserve"> such as academic and workplace performance and aspirations, and social functioning </w:t>
      </w:r>
      <w:r w:rsidR="000821B4" w:rsidRPr="00E73BB1">
        <w:rPr>
          <w:rFonts w:ascii="Times New Roman" w:hAnsi="Times New Roman" w:cs="Times New Roman"/>
          <w:noProof/>
          <w:sz w:val="24"/>
          <w:szCs w:val="24"/>
        </w:rPr>
        <w:t>(Cash &amp; Fleming, 2002; Halliwell et al., 2014)</w:t>
      </w:r>
      <w:r w:rsidRPr="00E73BB1">
        <w:rPr>
          <w:rFonts w:ascii="Times New Roman" w:hAnsi="Times New Roman" w:cs="Times New Roman"/>
          <w:sz w:val="24"/>
          <w:szCs w:val="24"/>
        </w:rPr>
        <w:t xml:space="preserve">. </w:t>
      </w:r>
      <w:r w:rsidR="002B547A" w:rsidRPr="00E73BB1">
        <w:rPr>
          <w:rFonts w:ascii="Times New Roman" w:hAnsi="Times New Roman" w:cs="Times New Roman"/>
          <w:sz w:val="24"/>
          <w:szCs w:val="24"/>
        </w:rPr>
        <w:t>However, p</w:t>
      </w:r>
      <w:r w:rsidR="002D5897" w:rsidRPr="00E73BB1">
        <w:rPr>
          <w:rFonts w:ascii="Times New Roman" w:hAnsi="Times New Roman" w:cs="Times New Roman"/>
          <w:sz w:val="24"/>
          <w:szCs w:val="24"/>
        </w:rPr>
        <w:t xml:space="preserve">rogress in </w:t>
      </w:r>
      <w:r w:rsidR="0025446E" w:rsidRPr="00E73BB1">
        <w:rPr>
          <w:rFonts w:ascii="Times New Roman" w:hAnsi="Times New Roman" w:cs="Times New Roman"/>
          <w:sz w:val="24"/>
          <w:szCs w:val="24"/>
        </w:rPr>
        <w:t xml:space="preserve">rigorously </w:t>
      </w:r>
      <w:r w:rsidR="00722582" w:rsidRPr="00E73BB1">
        <w:rPr>
          <w:rFonts w:ascii="Times New Roman" w:hAnsi="Times New Roman" w:cs="Times New Roman"/>
          <w:sz w:val="24"/>
          <w:szCs w:val="24"/>
        </w:rPr>
        <w:t xml:space="preserve">measuring </w:t>
      </w:r>
      <w:r w:rsidR="00CF57F4" w:rsidRPr="00E73BB1">
        <w:rPr>
          <w:rFonts w:ascii="Times New Roman" w:hAnsi="Times New Roman" w:cs="Times New Roman"/>
          <w:sz w:val="24"/>
          <w:szCs w:val="24"/>
        </w:rPr>
        <w:t xml:space="preserve">broader </w:t>
      </w:r>
      <w:r w:rsidR="008B1617" w:rsidRPr="00E73BB1">
        <w:rPr>
          <w:rFonts w:ascii="Times New Roman" w:hAnsi="Times New Roman" w:cs="Times New Roman"/>
          <w:sz w:val="24"/>
          <w:szCs w:val="24"/>
        </w:rPr>
        <w:t>consequences of</w:t>
      </w:r>
      <w:r w:rsidR="002D5897" w:rsidRPr="00E73BB1">
        <w:rPr>
          <w:rFonts w:ascii="Times New Roman" w:hAnsi="Times New Roman" w:cs="Times New Roman"/>
          <w:sz w:val="24"/>
          <w:szCs w:val="24"/>
        </w:rPr>
        <w:t xml:space="preserve"> body image concerns</w:t>
      </w:r>
      <w:r w:rsidR="002B547A" w:rsidRPr="00E73BB1">
        <w:rPr>
          <w:rFonts w:ascii="Times New Roman" w:hAnsi="Times New Roman" w:cs="Times New Roman"/>
          <w:sz w:val="24"/>
          <w:szCs w:val="24"/>
        </w:rPr>
        <w:t xml:space="preserve"> </w:t>
      </w:r>
      <w:r w:rsidR="002D5897" w:rsidRPr="00E73BB1">
        <w:rPr>
          <w:rFonts w:ascii="Times New Roman" w:hAnsi="Times New Roman" w:cs="Times New Roman"/>
          <w:sz w:val="24"/>
          <w:szCs w:val="24"/>
        </w:rPr>
        <w:t xml:space="preserve">has been hampered by </w:t>
      </w:r>
      <w:r w:rsidR="00722582" w:rsidRPr="00E73BB1">
        <w:rPr>
          <w:rFonts w:ascii="Times New Roman" w:hAnsi="Times New Roman" w:cs="Times New Roman"/>
          <w:sz w:val="24"/>
          <w:szCs w:val="24"/>
        </w:rPr>
        <w:t xml:space="preserve">a </w:t>
      </w:r>
      <w:r w:rsidR="002D5897" w:rsidRPr="00E73BB1">
        <w:rPr>
          <w:rFonts w:ascii="Times New Roman" w:hAnsi="Times New Roman" w:cs="Times New Roman"/>
          <w:sz w:val="24"/>
          <w:szCs w:val="24"/>
        </w:rPr>
        <w:t xml:space="preserve">lack of available </w:t>
      </w:r>
      <w:r w:rsidR="00722582" w:rsidRPr="00E73BB1">
        <w:rPr>
          <w:rFonts w:ascii="Times New Roman" w:hAnsi="Times New Roman" w:cs="Times New Roman"/>
          <w:sz w:val="24"/>
          <w:szCs w:val="24"/>
        </w:rPr>
        <w:t xml:space="preserve">validated </w:t>
      </w:r>
      <w:r w:rsidR="002D5897" w:rsidRPr="00E73BB1">
        <w:rPr>
          <w:rFonts w:ascii="Times New Roman" w:hAnsi="Times New Roman" w:cs="Times New Roman"/>
          <w:sz w:val="24"/>
          <w:szCs w:val="24"/>
        </w:rPr>
        <w:t>measures</w:t>
      </w:r>
      <w:r w:rsidR="002B547A" w:rsidRPr="00E73BB1">
        <w:rPr>
          <w:rFonts w:ascii="Times New Roman" w:hAnsi="Times New Roman" w:cs="Times New Roman"/>
          <w:sz w:val="24"/>
          <w:szCs w:val="24"/>
        </w:rPr>
        <w:t xml:space="preserve"> –</w:t>
      </w:r>
      <w:r w:rsidR="0041724E" w:rsidRPr="00E73BB1">
        <w:rPr>
          <w:rFonts w:ascii="Times New Roman" w:hAnsi="Times New Roman" w:cs="Times New Roman"/>
          <w:sz w:val="24"/>
          <w:szCs w:val="24"/>
        </w:rPr>
        <w:t xml:space="preserve"> particularly for adolescents</w:t>
      </w:r>
      <w:r w:rsidR="002B547A" w:rsidRPr="00E73BB1">
        <w:rPr>
          <w:rFonts w:ascii="Times New Roman" w:hAnsi="Times New Roman" w:cs="Times New Roman"/>
          <w:sz w:val="24"/>
          <w:szCs w:val="24"/>
        </w:rPr>
        <w:t xml:space="preserve"> –</w:t>
      </w:r>
      <w:r w:rsidR="00CF57F4" w:rsidRPr="00E73BB1">
        <w:rPr>
          <w:rFonts w:ascii="Times New Roman" w:hAnsi="Times New Roman" w:cs="Times New Roman"/>
          <w:sz w:val="24"/>
          <w:szCs w:val="24"/>
        </w:rPr>
        <w:t xml:space="preserve"> </w:t>
      </w:r>
      <w:r w:rsidR="00E202C3" w:rsidRPr="00E73BB1">
        <w:rPr>
          <w:rFonts w:ascii="Times New Roman" w:hAnsi="Times New Roman" w:cs="Times New Roman"/>
          <w:sz w:val="24"/>
          <w:szCs w:val="24"/>
        </w:rPr>
        <w:t xml:space="preserve">that </w:t>
      </w:r>
      <w:r w:rsidR="00E01F78" w:rsidRPr="00E73BB1">
        <w:rPr>
          <w:rFonts w:ascii="Times New Roman" w:hAnsi="Times New Roman" w:cs="Times New Roman"/>
          <w:sz w:val="24"/>
          <w:szCs w:val="24"/>
        </w:rPr>
        <w:t xml:space="preserve">focus specifically on impairment to engagement </w:t>
      </w:r>
      <w:r w:rsidR="00F13D47" w:rsidRPr="00E73BB1">
        <w:rPr>
          <w:rFonts w:ascii="Times New Roman" w:hAnsi="Times New Roman" w:cs="Times New Roman"/>
          <w:sz w:val="24"/>
          <w:szCs w:val="24"/>
        </w:rPr>
        <w:t xml:space="preserve">across various </w:t>
      </w:r>
      <w:r w:rsidR="00E01F78" w:rsidRPr="00E73BB1">
        <w:rPr>
          <w:rFonts w:ascii="Times New Roman" w:hAnsi="Times New Roman" w:cs="Times New Roman"/>
          <w:sz w:val="24"/>
          <w:szCs w:val="24"/>
        </w:rPr>
        <w:t xml:space="preserve">life activities, and that </w:t>
      </w:r>
      <w:r w:rsidR="002D5897" w:rsidRPr="00E73BB1">
        <w:rPr>
          <w:rFonts w:ascii="Times New Roman" w:hAnsi="Times New Roman" w:cs="Times New Roman"/>
          <w:sz w:val="24"/>
          <w:szCs w:val="24"/>
        </w:rPr>
        <w:t xml:space="preserve">can be quickly and easily administered </w:t>
      </w:r>
      <w:r w:rsidRPr="00E73BB1">
        <w:rPr>
          <w:rFonts w:ascii="Times New Roman" w:hAnsi="Times New Roman" w:cs="Times New Roman"/>
          <w:sz w:val="24"/>
          <w:szCs w:val="24"/>
        </w:rPr>
        <w:t xml:space="preserve">to inform </w:t>
      </w:r>
      <w:r w:rsidR="002B547A" w:rsidRPr="00E73BB1">
        <w:rPr>
          <w:rFonts w:ascii="Times New Roman" w:hAnsi="Times New Roman" w:cs="Times New Roman"/>
          <w:sz w:val="24"/>
          <w:szCs w:val="24"/>
        </w:rPr>
        <w:t>research</w:t>
      </w:r>
      <w:r w:rsidRPr="00E73BB1">
        <w:rPr>
          <w:rFonts w:ascii="Times New Roman" w:hAnsi="Times New Roman" w:cs="Times New Roman"/>
          <w:sz w:val="24"/>
          <w:szCs w:val="24"/>
        </w:rPr>
        <w:t>, practice and policy.</w:t>
      </w:r>
      <w:r w:rsidR="00DD09D4" w:rsidRPr="00E73BB1">
        <w:rPr>
          <w:rFonts w:ascii="Times New Roman" w:hAnsi="Times New Roman" w:cs="Times New Roman"/>
          <w:sz w:val="24"/>
          <w:szCs w:val="24"/>
        </w:rPr>
        <w:t xml:space="preserve"> </w:t>
      </w:r>
      <w:r w:rsidR="00CF57F4" w:rsidRPr="00E73BB1">
        <w:rPr>
          <w:rFonts w:ascii="Times New Roman" w:hAnsi="Times New Roman" w:cs="Times New Roman"/>
          <w:sz w:val="24"/>
          <w:szCs w:val="24"/>
        </w:rPr>
        <w:t>The current research</w:t>
      </w:r>
      <w:r w:rsidR="008B1617" w:rsidRPr="00E73BB1">
        <w:rPr>
          <w:rFonts w:ascii="Times New Roman" w:hAnsi="Times New Roman" w:cs="Times New Roman"/>
          <w:sz w:val="24"/>
          <w:szCs w:val="24"/>
        </w:rPr>
        <w:t xml:space="preserve"> </w:t>
      </w:r>
      <w:r w:rsidR="00DD09D4" w:rsidRPr="00E73BB1">
        <w:rPr>
          <w:rFonts w:ascii="Times New Roman" w:hAnsi="Times New Roman" w:cs="Times New Roman"/>
          <w:sz w:val="24"/>
          <w:szCs w:val="24"/>
        </w:rPr>
        <w:t>outlines the development and psychometric validation of a</w:t>
      </w:r>
      <w:r w:rsidR="00EC07D8" w:rsidRPr="00E73BB1">
        <w:rPr>
          <w:rFonts w:ascii="Times New Roman" w:hAnsi="Times New Roman" w:cs="Times New Roman"/>
          <w:sz w:val="24"/>
          <w:szCs w:val="24"/>
        </w:rPr>
        <w:t xml:space="preserve"> brief</w:t>
      </w:r>
      <w:r w:rsidR="00DD09D4" w:rsidRPr="00E73BB1">
        <w:rPr>
          <w:rFonts w:ascii="Times New Roman" w:hAnsi="Times New Roman" w:cs="Times New Roman"/>
          <w:sz w:val="24"/>
          <w:szCs w:val="24"/>
        </w:rPr>
        <w:t xml:space="preserve"> scale to assess the impact of body image concerns on </w:t>
      </w:r>
      <w:r w:rsidR="00E202C3" w:rsidRPr="00E73BB1">
        <w:rPr>
          <w:rFonts w:ascii="Times New Roman" w:hAnsi="Times New Roman" w:cs="Times New Roman"/>
          <w:sz w:val="24"/>
          <w:szCs w:val="24"/>
        </w:rPr>
        <w:t>adolescents</w:t>
      </w:r>
      <w:r w:rsidR="00443D05" w:rsidRPr="00E73BB1">
        <w:rPr>
          <w:rFonts w:ascii="Times New Roman" w:hAnsi="Times New Roman" w:cs="Times New Roman"/>
          <w:sz w:val="24"/>
          <w:szCs w:val="24"/>
        </w:rPr>
        <w:t>’</w:t>
      </w:r>
      <w:r w:rsidR="00E202C3" w:rsidRPr="00E73BB1">
        <w:rPr>
          <w:rFonts w:ascii="Times New Roman" w:hAnsi="Times New Roman" w:cs="Times New Roman"/>
          <w:sz w:val="24"/>
          <w:szCs w:val="24"/>
        </w:rPr>
        <w:t xml:space="preserve"> </w:t>
      </w:r>
      <w:r w:rsidR="008B1617" w:rsidRPr="00E73BB1">
        <w:rPr>
          <w:rFonts w:ascii="Times New Roman" w:hAnsi="Times New Roman" w:cs="Times New Roman"/>
          <w:sz w:val="24"/>
          <w:szCs w:val="24"/>
        </w:rPr>
        <w:t xml:space="preserve">participation and </w:t>
      </w:r>
      <w:r w:rsidR="00DD09D4" w:rsidRPr="00E73BB1">
        <w:rPr>
          <w:rFonts w:ascii="Times New Roman" w:hAnsi="Times New Roman" w:cs="Times New Roman"/>
          <w:sz w:val="24"/>
          <w:szCs w:val="24"/>
        </w:rPr>
        <w:t xml:space="preserve">engagement </w:t>
      </w:r>
      <w:r w:rsidR="008B1617" w:rsidRPr="00E73BB1">
        <w:rPr>
          <w:rFonts w:ascii="Times New Roman" w:hAnsi="Times New Roman" w:cs="Times New Roman"/>
          <w:sz w:val="24"/>
          <w:szCs w:val="24"/>
        </w:rPr>
        <w:t xml:space="preserve">in </w:t>
      </w:r>
      <w:r w:rsidR="0002568E" w:rsidRPr="00E73BB1">
        <w:rPr>
          <w:rFonts w:ascii="Times New Roman" w:hAnsi="Times New Roman" w:cs="Times New Roman"/>
          <w:sz w:val="24"/>
          <w:szCs w:val="24"/>
        </w:rPr>
        <w:t>a range of</w:t>
      </w:r>
      <w:r w:rsidR="00DD09D4" w:rsidRPr="00E73BB1">
        <w:rPr>
          <w:rFonts w:ascii="Times New Roman" w:hAnsi="Times New Roman" w:cs="Times New Roman"/>
          <w:sz w:val="24"/>
          <w:szCs w:val="24"/>
        </w:rPr>
        <w:t xml:space="preserve"> life domains, including education, socialising, </w:t>
      </w:r>
      <w:r w:rsidR="00EC07D8" w:rsidRPr="00E73BB1">
        <w:rPr>
          <w:rFonts w:ascii="Times New Roman" w:hAnsi="Times New Roman" w:cs="Times New Roman"/>
          <w:sz w:val="24"/>
          <w:szCs w:val="24"/>
        </w:rPr>
        <w:t xml:space="preserve">sport participation, </w:t>
      </w:r>
      <w:r w:rsidR="006E0816" w:rsidRPr="00E73BB1">
        <w:rPr>
          <w:rFonts w:ascii="Times New Roman" w:hAnsi="Times New Roman" w:cs="Times New Roman"/>
          <w:sz w:val="24"/>
          <w:szCs w:val="24"/>
        </w:rPr>
        <w:t>seeking healthcare</w:t>
      </w:r>
      <w:r w:rsidR="00443D05" w:rsidRPr="00E73BB1">
        <w:rPr>
          <w:rFonts w:ascii="Times New Roman" w:hAnsi="Times New Roman" w:cs="Times New Roman"/>
          <w:sz w:val="24"/>
          <w:szCs w:val="24"/>
        </w:rPr>
        <w:t xml:space="preserve">, </w:t>
      </w:r>
      <w:r w:rsidR="00DD09D4" w:rsidRPr="00E73BB1">
        <w:rPr>
          <w:rFonts w:ascii="Times New Roman" w:hAnsi="Times New Roman" w:cs="Times New Roman"/>
          <w:sz w:val="24"/>
          <w:szCs w:val="24"/>
        </w:rPr>
        <w:t xml:space="preserve">and self-assertion. </w:t>
      </w:r>
    </w:p>
    <w:p w14:paraId="74D44EB6" w14:textId="039892D1" w:rsidR="00DD09D4" w:rsidRPr="00E73BB1" w:rsidRDefault="00A94360" w:rsidP="00B00203">
      <w:pPr>
        <w:spacing w:after="0" w:line="480" w:lineRule="auto"/>
        <w:rPr>
          <w:rFonts w:ascii="Times New Roman" w:hAnsi="Times New Roman" w:cs="Times New Roman"/>
          <w:b/>
          <w:bCs/>
          <w:sz w:val="24"/>
          <w:szCs w:val="24"/>
        </w:rPr>
      </w:pPr>
      <w:r w:rsidRPr="00E73BB1">
        <w:rPr>
          <w:rFonts w:ascii="Times New Roman" w:hAnsi="Times New Roman" w:cs="Times New Roman"/>
          <w:b/>
          <w:bCs/>
          <w:sz w:val="24"/>
          <w:szCs w:val="24"/>
        </w:rPr>
        <w:t xml:space="preserve">1.1. </w:t>
      </w:r>
      <w:r w:rsidR="00EA22E1" w:rsidRPr="00E73BB1">
        <w:rPr>
          <w:rFonts w:ascii="Times New Roman" w:hAnsi="Times New Roman" w:cs="Times New Roman"/>
          <w:b/>
          <w:bCs/>
          <w:sz w:val="24"/>
          <w:szCs w:val="24"/>
        </w:rPr>
        <w:t>Assessing</w:t>
      </w:r>
      <w:r w:rsidR="00481672" w:rsidRPr="00E73BB1">
        <w:rPr>
          <w:rFonts w:ascii="Times New Roman" w:hAnsi="Times New Roman" w:cs="Times New Roman"/>
          <w:b/>
          <w:bCs/>
          <w:sz w:val="24"/>
          <w:szCs w:val="24"/>
        </w:rPr>
        <w:t xml:space="preserve"> </w:t>
      </w:r>
      <w:r w:rsidR="0096020E" w:rsidRPr="00E73BB1">
        <w:rPr>
          <w:rFonts w:ascii="Times New Roman" w:hAnsi="Times New Roman" w:cs="Times New Roman"/>
          <w:b/>
          <w:bCs/>
          <w:sz w:val="24"/>
          <w:szCs w:val="24"/>
        </w:rPr>
        <w:t>B</w:t>
      </w:r>
      <w:r w:rsidR="0025446E" w:rsidRPr="00E73BB1">
        <w:rPr>
          <w:rFonts w:ascii="Times New Roman" w:hAnsi="Times New Roman" w:cs="Times New Roman"/>
          <w:b/>
          <w:bCs/>
          <w:sz w:val="24"/>
          <w:szCs w:val="24"/>
        </w:rPr>
        <w:t xml:space="preserve">roader </w:t>
      </w:r>
      <w:r w:rsidR="0096020E" w:rsidRPr="00E73BB1">
        <w:rPr>
          <w:rFonts w:ascii="Times New Roman" w:hAnsi="Times New Roman" w:cs="Times New Roman"/>
          <w:b/>
          <w:bCs/>
          <w:sz w:val="24"/>
          <w:szCs w:val="24"/>
        </w:rPr>
        <w:t>L</w:t>
      </w:r>
      <w:r w:rsidR="00DD09D4" w:rsidRPr="00E73BB1">
        <w:rPr>
          <w:rFonts w:ascii="Times New Roman" w:hAnsi="Times New Roman" w:cs="Times New Roman"/>
          <w:b/>
          <w:bCs/>
          <w:sz w:val="24"/>
          <w:szCs w:val="24"/>
        </w:rPr>
        <w:t xml:space="preserve">ife </w:t>
      </w:r>
      <w:r w:rsidR="0096020E" w:rsidRPr="00E73BB1">
        <w:rPr>
          <w:rFonts w:ascii="Times New Roman" w:hAnsi="Times New Roman" w:cs="Times New Roman"/>
          <w:b/>
          <w:bCs/>
          <w:sz w:val="24"/>
          <w:szCs w:val="24"/>
        </w:rPr>
        <w:t>I</w:t>
      </w:r>
      <w:r w:rsidR="00DD09D4" w:rsidRPr="00E73BB1">
        <w:rPr>
          <w:rFonts w:ascii="Times New Roman" w:hAnsi="Times New Roman" w:cs="Times New Roman"/>
          <w:b/>
          <w:bCs/>
          <w:sz w:val="24"/>
          <w:szCs w:val="24"/>
        </w:rPr>
        <w:t xml:space="preserve">mpacts of </w:t>
      </w:r>
      <w:r w:rsidR="0096020E" w:rsidRPr="00E73BB1">
        <w:rPr>
          <w:rFonts w:ascii="Times New Roman" w:hAnsi="Times New Roman" w:cs="Times New Roman"/>
          <w:b/>
          <w:bCs/>
          <w:sz w:val="24"/>
          <w:szCs w:val="24"/>
        </w:rPr>
        <w:t>B</w:t>
      </w:r>
      <w:r w:rsidR="00DD09D4" w:rsidRPr="00E73BB1">
        <w:rPr>
          <w:rFonts w:ascii="Times New Roman" w:hAnsi="Times New Roman" w:cs="Times New Roman"/>
          <w:b/>
          <w:bCs/>
          <w:sz w:val="24"/>
          <w:szCs w:val="24"/>
        </w:rPr>
        <w:t xml:space="preserve">ody </w:t>
      </w:r>
      <w:r w:rsidR="0096020E" w:rsidRPr="00E73BB1">
        <w:rPr>
          <w:rFonts w:ascii="Times New Roman" w:hAnsi="Times New Roman" w:cs="Times New Roman"/>
          <w:b/>
          <w:bCs/>
          <w:sz w:val="24"/>
          <w:szCs w:val="24"/>
        </w:rPr>
        <w:t>I</w:t>
      </w:r>
      <w:r w:rsidR="00DD09D4" w:rsidRPr="00E73BB1">
        <w:rPr>
          <w:rFonts w:ascii="Times New Roman" w:hAnsi="Times New Roman" w:cs="Times New Roman"/>
          <w:b/>
          <w:bCs/>
          <w:sz w:val="24"/>
          <w:szCs w:val="24"/>
        </w:rPr>
        <w:t xml:space="preserve">mage </w:t>
      </w:r>
    </w:p>
    <w:p w14:paraId="7B081A1D" w14:textId="00FC23C5" w:rsidR="00C40D22" w:rsidRPr="00E73BB1" w:rsidRDefault="00C40D22" w:rsidP="00E01F78">
      <w:pPr>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 xml:space="preserve">Considering the significant </w:t>
      </w:r>
      <w:r w:rsidR="002D5897" w:rsidRPr="00E73BB1">
        <w:rPr>
          <w:rFonts w:ascii="Times New Roman" w:hAnsi="Times New Roman" w:cs="Times New Roman"/>
          <w:sz w:val="24"/>
          <w:szCs w:val="24"/>
        </w:rPr>
        <w:t xml:space="preserve">physical and mental </w:t>
      </w:r>
      <w:r w:rsidRPr="00E73BB1">
        <w:rPr>
          <w:rFonts w:ascii="Times New Roman" w:hAnsi="Times New Roman" w:cs="Times New Roman"/>
          <w:sz w:val="24"/>
          <w:szCs w:val="24"/>
        </w:rPr>
        <w:t>health consequences of body image concerns</w:t>
      </w:r>
      <w:r w:rsidR="00A92FE1" w:rsidRPr="00E73BB1">
        <w:rPr>
          <w:rFonts w:ascii="Times New Roman" w:hAnsi="Times New Roman" w:cs="Times New Roman"/>
          <w:sz w:val="24"/>
          <w:szCs w:val="24"/>
        </w:rPr>
        <w:t xml:space="preserve"> noted above</w:t>
      </w:r>
      <w:r w:rsidRPr="00E73BB1">
        <w:rPr>
          <w:rFonts w:ascii="Times New Roman" w:hAnsi="Times New Roman" w:cs="Times New Roman"/>
          <w:sz w:val="24"/>
          <w:szCs w:val="24"/>
        </w:rPr>
        <w:t xml:space="preserve">, </w:t>
      </w:r>
      <w:r w:rsidR="00481672" w:rsidRPr="00E73BB1">
        <w:rPr>
          <w:rFonts w:ascii="Times New Roman" w:hAnsi="Times New Roman" w:cs="Times New Roman"/>
          <w:sz w:val="24"/>
          <w:szCs w:val="24"/>
        </w:rPr>
        <w:t xml:space="preserve">along with </w:t>
      </w:r>
      <w:r w:rsidRPr="00E73BB1">
        <w:rPr>
          <w:rFonts w:ascii="Times New Roman" w:hAnsi="Times New Roman" w:cs="Times New Roman"/>
          <w:sz w:val="24"/>
          <w:szCs w:val="24"/>
        </w:rPr>
        <w:t xml:space="preserve">the high prevalence reported in many countries </w:t>
      </w:r>
      <w:r w:rsidR="00D81E7B" w:rsidRPr="00E73BB1">
        <w:rPr>
          <w:rFonts w:ascii="Times New Roman" w:hAnsi="Times New Roman" w:cs="Times New Roman"/>
          <w:noProof/>
          <w:sz w:val="24"/>
          <w:szCs w:val="24"/>
        </w:rPr>
        <w:t>(Al Sabbah et al., 2009</w:t>
      </w:r>
      <w:r w:rsidR="00902E12" w:rsidRPr="00E73BB1">
        <w:rPr>
          <w:rFonts w:ascii="Times New Roman" w:hAnsi="Times New Roman" w:cs="Times New Roman"/>
          <w:noProof/>
          <w:sz w:val="24"/>
          <w:szCs w:val="24"/>
        </w:rPr>
        <w:t>; Frederick et al., 2016; Frederick et al., 2019</w:t>
      </w:r>
      <w:r w:rsidR="00D81E7B" w:rsidRPr="00E73BB1">
        <w:rPr>
          <w:rFonts w:ascii="Times New Roman" w:hAnsi="Times New Roman" w:cs="Times New Roman"/>
          <w:noProof/>
          <w:sz w:val="24"/>
          <w:szCs w:val="24"/>
        </w:rPr>
        <w:t>)</w:t>
      </w:r>
      <w:r w:rsidR="0025446E" w:rsidRPr="00E73BB1">
        <w:rPr>
          <w:rFonts w:ascii="Times New Roman" w:hAnsi="Times New Roman" w:cs="Times New Roman"/>
          <w:sz w:val="24"/>
          <w:szCs w:val="24"/>
        </w:rPr>
        <w:t>,</w:t>
      </w:r>
      <w:r w:rsidR="00C37FAB" w:rsidRPr="00E73BB1">
        <w:rPr>
          <w:rFonts w:ascii="Times New Roman" w:hAnsi="Times New Roman" w:cs="Times New Roman"/>
          <w:sz w:val="24"/>
          <w:szCs w:val="24"/>
        </w:rPr>
        <w:t xml:space="preserve"> and the persistence of stigma related to appearance</w:t>
      </w:r>
      <w:r w:rsidR="004D385C" w:rsidRPr="00E73BB1">
        <w:rPr>
          <w:rFonts w:ascii="Times New Roman" w:hAnsi="Times New Roman" w:cs="Times New Roman"/>
          <w:sz w:val="24"/>
          <w:szCs w:val="24"/>
        </w:rPr>
        <w:t xml:space="preserve"> </w:t>
      </w:r>
      <w:r w:rsidR="004D385C" w:rsidRPr="00E73BB1">
        <w:rPr>
          <w:rFonts w:ascii="Times New Roman" w:hAnsi="Times New Roman" w:cs="Times New Roman"/>
          <w:noProof/>
          <w:sz w:val="24"/>
          <w:szCs w:val="24"/>
        </w:rPr>
        <w:t>(Puhl &amp; Peterson, 2012)</w:t>
      </w:r>
      <w:r w:rsidR="00C37FAB" w:rsidRPr="00E73BB1">
        <w:rPr>
          <w:rFonts w:ascii="Times New Roman" w:hAnsi="Times New Roman" w:cs="Times New Roman"/>
          <w:sz w:val="24"/>
          <w:szCs w:val="24"/>
        </w:rPr>
        <w:t>,</w:t>
      </w:r>
      <w:r w:rsidRPr="00E73BB1">
        <w:rPr>
          <w:rFonts w:ascii="Times New Roman" w:hAnsi="Times New Roman" w:cs="Times New Roman"/>
          <w:sz w:val="24"/>
          <w:szCs w:val="24"/>
        </w:rPr>
        <w:t xml:space="preserve"> it is not surprising that body image is increasingly viewed as a significant public health, gender, and social justice issue</w:t>
      </w:r>
      <w:r w:rsidR="00AC1BFD" w:rsidRPr="00E73BB1">
        <w:rPr>
          <w:rFonts w:ascii="Times New Roman" w:hAnsi="Times New Roman" w:cs="Times New Roman"/>
          <w:sz w:val="24"/>
          <w:szCs w:val="24"/>
        </w:rPr>
        <w:t xml:space="preserve"> </w:t>
      </w:r>
      <w:r w:rsidR="001C469B" w:rsidRPr="00E73BB1">
        <w:rPr>
          <w:rFonts w:ascii="Times New Roman" w:hAnsi="Times New Roman" w:cs="Times New Roman"/>
          <w:noProof/>
          <w:sz w:val="24"/>
          <w:szCs w:val="24"/>
        </w:rPr>
        <w:t>(Atkinson et al., 2020; Bornioli et al., 2019)</w:t>
      </w:r>
      <w:r w:rsidRPr="00E73BB1">
        <w:rPr>
          <w:rFonts w:ascii="Times New Roman" w:hAnsi="Times New Roman" w:cs="Times New Roman"/>
          <w:sz w:val="24"/>
          <w:szCs w:val="24"/>
        </w:rPr>
        <w:t xml:space="preserve">. This has led to increased recognition across sectors </w:t>
      </w:r>
      <w:r w:rsidR="0025446E" w:rsidRPr="00E73BB1">
        <w:rPr>
          <w:rFonts w:ascii="Times New Roman" w:hAnsi="Times New Roman" w:cs="Times New Roman"/>
          <w:sz w:val="24"/>
          <w:szCs w:val="24"/>
        </w:rPr>
        <w:t xml:space="preserve">that </w:t>
      </w:r>
      <w:r w:rsidR="0025446E" w:rsidRPr="00E73BB1">
        <w:rPr>
          <w:rFonts w:ascii="Times New Roman" w:hAnsi="Times New Roman" w:cs="Times New Roman"/>
          <w:sz w:val="24"/>
          <w:szCs w:val="24"/>
        </w:rPr>
        <w:lastRenderedPageBreak/>
        <w:t>body image requir</w:t>
      </w:r>
      <w:r w:rsidR="00657D21" w:rsidRPr="00E73BB1">
        <w:rPr>
          <w:rFonts w:ascii="Times New Roman" w:hAnsi="Times New Roman" w:cs="Times New Roman"/>
          <w:sz w:val="24"/>
          <w:szCs w:val="24"/>
        </w:rPr>
        <w:t>es</w:t>
      </w:r>
      <w:r w:rsidR="0025446E" w:rsidRPr="00E73BB1">
        <w:rPr>
          <w:rFonts w:ascii="Times New Roman" w:hAnsi="Times New Roman" w:cs="Times New Roman"/>
          <w:sz w:val="24"/>
          <w:szCs w:val="24"/>
        </w:rPr>
        <w:t xml:space="preserve"> attention and intervention, </w:t>
      </w:r>
      <w:r w:rsidRPr="00E73BB1">
        <w:rPr>
          <w:rFonts w:ascii="Times New Roman" w:hAnsi="Times New Roman" w:cs="Times New Roman"/>
          <w:sz w:val="24"/>
          <w:szCs w:val="24"/>
        </w:rPr>
        <w:t>including</w:t>
      </w:r>
      <w:r w:rsidR="00753D3A" w:rsidRPr="00E73BB1">
        <w:rPr>
          <w:rFonts w:ascii="Times New Roman" w:hAnsi="Times New Roman" w:cs="Times New Roman"/>
          <w:sz w:val="24"/>
          <w:szCs w:val="24"/>
        </w:rPr>
        <w:t xml:space="preserve"> from</w:t>
      </w:r>
      <w:r w:rsidR="0025446E" w:rsidRPr="00E73BB1">
        <w:rPr>
          <w:rFonts w:ascii="Times New Roman" w:hAnsi="Times New Roman" w:cs="Times New Roman"/>
          <w:sz w:val="24"/>
          <w:szCs w:val="24"/>
        </w:rPr>
        <w:t xml:space="preserve"> </w:t>
      </w:r>
      <w:r w:rsidRPr="00E73BB1">
        <w:rPr>
          <w:rFonts w:ascii="Times New Roman" w:hAnsi="Times New Roman" w:cs="Times New Roman"/>
          <w:sz w:val="24"/>
          <w:szCs w:val="24"/>
        </w:rPr>
        <w:t>policy makers, governments, politicians, educators, public health</w:t>
      </w:r>
      <w:r w:rsidR="003C1674" w:rsidRPr="00E73BB1">
        <w:rPr>
          <w:rFonts w:ascii="Times New Roman" w:hAnsi="Times New Roman" w:cs="Times New Roman"/>
          <w:sz w:val="24"/>
          <w:szCs w:val="24"/>
        </w:rPr>
        <w:t xml:space="preserve"> officials</w:t>
      </w:r>
      <w:r w:rsidRPr="00E73BB1">
        <w:rPr>
          <w:rFonts w:ascii="Times New Roman" w:hAnsi="Times New Roman" w:cs="Times New Roman"/>
          <w:sz w:val="24"/>
          <w:szCs w:val="24"/>
        </w:rPr>
        <w:t xml:space="preserve">, community </w:t>
      </w:r>
      <w:r w:rsidR="003C1674" w:rsidRPr="00E73BB1">
        <w:rPr>
          <w:rFonts w:ascii="Times New Roman" w:hAnsi="Times New Roman" w:cs="Times New Roman"/>
          <w:sz w:val="24"/>
          <w:szCs w:val="24"/>
        </w:rPr>
        <w:t>and</w:t>
      </w:r>
      <w:r w:rsidRPr="00E73BB1">
        <w:rPr>
          <w:rFonts w:ascii="Times New Roman" w:hAnsi="Times New Roman" w:cs="Times New Roman"/>
          <w:sz w:val="24"/>
          <w:szCs w:val="24"/>
        </w:rPr>
        <w:t xml:space="preserve"> advocacy groups, members of civil society</w:t>
      </w:r>
      <w:r w:rsidR="003C1674" w:rsidRPr="00E73BB1">
        <w:rPr>
          <w:rFonts w:ascii="Times New Roman" w:hAnsi="Times New Roman" w:cs="Times New Roman"/>
          <w:sz w:val="24"/>
          <w:szCs w:val="24"/>
        </w:rPr>
        <w:t>,</w:t>
      </w:r>
      <w:r w:rsidRPr="00E73BB1">
        <w:rPr>
          <w:rFonts w:ascii="Times New Roman" w:hAnsi="Times New Roman" w:cs="Times New Roman"/>
          <w:sz w:val="24"/>
          <w:szCs w:val="24"/>
        </w:rPr>
        <w:t xml:space="preserve"> and the private sector. This is particularly emphasised for young people</w:t>
      </w:r>
      <w:r w:rsidR="00657D21" w:rsidRPr="00E73BB1">
        <w:rPr>
          <w:rFonts w:ascii="Times New Roman" w:hAnsi="Times New Roman" w:cs="Times New Roman"/>
          <w:sz w:val="24"/>
          <w:szCs w:val="24"/>
        </w:rPr>
        <w:t xml:space="preserve">, who </w:t>
      </w:r>
      <w:r w:rsidR="00E202C3" w:rsidRPr="00E73BB1">
        <w:rPr>
          <w:rFonts w:ascii="Times New Roman" w:hAnsi="Times New Roman" w:cs="Times New Roman"/>
          <w:sz w:val="24"/>
          <w:szCs w:val="24"/>
        </w:rPr>
        <w:t>are</w:t>
      </w:r>
      <w:r w:rsidR="00657D21" w:rsidRPr="00E73BB1">
        <w:rPr>
          <w:rFonts w:ascii="Times New Roman" w:hAnsi="Times New Roman" w:cs="Times New Roman"/>
          <w:sz w:val="24"/>
          <w:szCs w:val="24"/>
        </w:rPr>
        <w:t xml:space="preserve"> vulnerable to body image concerns during an intensive time of identity and bodily development</w:t>
      </w:r>
      <w:r w:rsidR="00C330D7" w:rsidRPr="00E73BB1">
        <w:rPr>
          <w:rFonts w:ascii="Times New Roman" w:hAnsi="Times New Roman" w:cs="Times New Roman"/>
          <w:sz w:val="24"/>
          <w:szCs w:val="24"/>
        </w:rPr>
        <w:t xml:space="preserve"> </w:t>
      </w:r>
      <w:r w:rsidR="002A395A" w:rsidRPr="00E73BB1">
        <w:rPr>
          <w:rFonts w:ascii="Times New Roman" w:hAnsi="Times New Roman" w:cs="Times New Roman"/>
          <w:noProof/>
          <w:sz w:val="24"/>
          <w:szCs w:val="24"/>
        </w:rPr>
        <w:t>(All Party Parliamentary Group on Body Image, 2012; British Youth Council, 2017)</w:t>
      </w:r>
      <w:r w:rsidR="00C330D7" w:rsidRPr="00E73BB1">
        <w:rPr>
          <w:rFonts w:ascii="Times New Roman" w:hAnsi="Times New Roman" w:cs="Times New Roman"/>
          <w:sz w:val="24"/>
          <w:szCs w:val="24"/>
        </w:rPr>
        <w:t xml:space="preserve">. </w:t>
      </w:r>
      <w:r w:rsidR="0025446E" w:rsidRPr="00E73BB1">
        <w:rPr>
          <w:rFonts w:ascii="Times New Roman" w:hAnsi="Times New Roman" w:cs="Times New Roman"/>
          <w:sz w:val="24"/>
          <w:szCs w:val="24"/>
        </w:rPr>
        <w:t>E</w:t>
      </w:r>
      <w:r w:rsidRPr="00E73BB1">
        <w:rPr>
          <w:rFonts w:ascii="Times New Roman" w:hAnsi="Times New Roman" w:cs="Times New Roman"/>
          <w:sz w:val="24"/>
          <w:szCs w:val="24"/>
        </w:rPr>
        <w:t xml:space="preserve">xtensive research has </w:t>
      </w:r>
      <w:r w:rsidR="004F26C4" w:rsidRPr="00E73BB1">
        <w:rPr>
          <w:rFonts w:ascii="Times New Roman" w:hAnsi="Times New Roman" w:cs="Times New Roman"/>
          <w:sz w:val="24"/>
          <w:szCs w:val="24"/>
        </w:rPr>
        <w:t xml:space="preserve">been </w:t>
      </w:r>
      <w:r w:rsidRPr="00E73BB1">
        <w:rPr>
          <w:rFonts w:ascii="Times New Roman" w:hAnsi="Times New Roman" w:cs="Times New Roman"/>
          <w:sz w:val="24"/>
          <w:szCs w:val="24"/>
        </w:rPr>
        <w:t xml:space="preserve">and is being conducted to </w:t>
      </w:r>
      <w:r w:rsidR="00C37FAB" w:rsidRPr="00E73BB1">
        <w:rPr>
          <w:rFonts w:ascii="Times New Roman" w:hAnsi="Times New Roman" w:cs="Times New Roman"/>
          <w:sz w:val="24"/>
          <w:szCs w:val="24"/>
        </w:rPr>
        <w:t xml:space="preserve">understand </w:t>
      </w:r>
      <w:r w:rsidR="00A92FE1" w:rsidRPr="00E73BB1">
        <w:rPr>
          <w:rFonts w:ascii="Times New Roman" w:hAnsi="Times New Roman" w:cs="Times New Roman"/>
          <w:sz w:val="24"/>
          <w:szCs w:val="24"/>
        </w:rPr>
        <w:t xml:space="preserve">the </w:t>
      </w:r>
      <w:r w:rsidR="00AB5AAA" w:rsidRPr="00E73BB1">
        <w:rPr>
          <w:rFonts w:ascii="Times New Roman" w:hAnsi="Times New Roman" w:cs="Times New Roman"/>
          <w:sz w:val="24"/>
          <w:szCs w:val="24"/>
        </w:rPr>
        <w:t xml:space="preserve">development of </w:t>
      </w:r>
      <w:r w:rsidR="002A69FE" w:rsidRPr="00E73BB1">
        <w:rPr>
          <w:rFonts w:ascii="Times New Roman" w:hAnsi="Times New Roman" w:cs="Times New Roman"/>
          <w:sz w:val="24"/>
          <w:szCs w:val="24"/>
        </w:rPr>
        <w:t xml:space="preserve">body image </w:t>
      </w:r>
      <w:r w:rsidR="00E202C3" w:rsidRPr="00E73BB1">
        <w:rPr>
          <w:rFonts w:ascii="Times New Roman" w:hAnsi="Times New Roman" w:cs="Times New Roman"/>
          <w:sz w:val="24"/>
          <w:szCs w:val="24"/>
        </w:rPr>
        <w:t>concerns and</w:t>
      </w:r>
      <w:r w:rsidRPr="00E73BB1">
        <w:rPr>
          <w:rFonts w:ascii="Times New Roman" w:hAnsi="Times New Roman" w:cs="Times New Roman"/>
          <w:sz w:val="24"/>
          <w:szCs w:val="24"/>
        </w:rPr>
        <w:t xml:space="preserve"> </w:t>
      </w:r>
      <w:r w:rsidR="00481672" w:rsidRPr="00E73BB1">
        <w:rPr>
          <w:rFonts w:ascii="Times New Roman" w:hAnsi="Times New Roman" w:cs="Times New Roman"/>
          <w:sz w:val="24"/>
          <w:szCs w:val="24"/>
        </w:rPr>
        <w:t xml:space="preserve">evaluate </w:t>
      </w:r>
      <w:r w:rsidRPr="00E73BB1">
        <w:rPr>
          <w:rFonts w:ascii="Times New Roman" w:hAnsi="Times New Roman" w:cs="Times New Roman"/>
          <w:sz w:val="24"/>
          <w:szCs w:val="24"/>
        </w:rPr>
        <w:t>evidence-based interventions</w:t>
      </w:r>
      <w:r w:rsidR="007238EC" w:rsidRPr="00E73BB1">
        <w:rPr>
          <w:rFonts w:ascii="Times New Roman" w:hAnsi="Times New Roman" w:cs="Times New Roman"/>
          <w:sz w:val="24"/>
          <w:szCs w:val="24"/>
        </w:rPr>
        <w:t xml:space="preserve"> </w:t>
      </w:r>
      <w:r w:rsidR="00D97D40" w:rsidRPr="00E73BB1">
        <w:rPr>
          <w:rFonts w:ascii="Times New Roman" w:hAnsi="Times New Roman" w:cs="Times New Roman"/>
          <w:sz w:val="24"/>
          <w:szCs w:val="24"/>
        </w:rPr>
        <w:t>among</w:t>
      </w:r>
      <w:r w:rsidR="007238EC" w:rsidRPr="00E73BB1">
        <w:rPr>
          <w:rFonts w:ascii="Times New Roman" w:hAnsi="Times New Roman" w:cs="Times New Roman"/>
          <w:sz w:val="24"/>
          <w:szCs w:val="24"/>
        </w:rPr>
        <w:t xml:space="preserve"> young people</w:t>
      </w:r>
      <w:r w:rsidR="00105170" w:rsidRPr="00E73BB1">
        <w:rPr>
          <w:rFonts w:ascii="Times New Roman" w:hAnsi="Times New Roman" w:cs="Times New Roman"/>
          <w:sz w:val="24"/>
          <w:szCs w:val="24"/>
        </w:rPr>
        <w:t xml:space="preserve"> </w:t>
      </w:r>
      <w:r w:rsidR="004D20F0" w:rsidRPr="00E73BB1">
        <w:rPr>
          <w:rFonts w:ascii="Times New Roman" w:hAnsi="Times New Roman" w:cs="Times New Roman"/>
          <w:noProof/>
          <w:sz w:val="24"/>
          <w:szCs w:val="24"/>
        </w:rPr>
        <w:t>(Kusina &amp; Exline, 2019; Yager et al., 2013)</w:t>
      </w:r>
      <w:r w:rsidR="00A92FE1" w:rsidRPr="00E73BB1">
        <w:rPr>
          <w:rFonts w:ascii="Times New Roman" w:hAnsi="Times New Roman" w:cs="Times New Roman"/>
          <w:noProof/>
          <w:sz w:val="24"/>
          <w:szCs w:val="24"/>
        </w:rPr>
        <w:t>. T</w:t>
      </w:r>
      <w:r w:rsidR="00AB5AAA" w:rsidRPr="00E73BB1">
        <w:rPr>
          <w:rFonts w:ascii="Times New Roman" w:hAnsi="Times New Roman" w:cs="Times New Roman"/>
          <w:noProof/>
          <w:sz w:val="24"/>
          <w:szCs w:val="24"/>
        </w:rPr>
        <w:t xml:space="preserve">his has </w:t>
      </w:r>
      <w:r w:rsidR="001029E5" w:rsidRPr="00E73BB1">
        <w:rPr>
          <w:rFonts w:ascii="Times New Roman" w:hAnsi="Times New Roman" w:cs="Times New Roman"/>
          <w:sz w:val="24"/>
          <w:szCs w:val="24"/>
        </w:rPr>
        <w:t>largely</w:t>
      </w:r>
      <w:r w:rsidR="0025446E" w:rsidRPr="00E73BB1">
        <w:rPr>
          <w:rFonts w:ascii="Times New Roman" w:hAnsi="Times New Roman" w:cs="Times New Roman"/>
          <w:sz w:val="24"/>
          <w:szCs w:val="24"/>
        </w:rPr>
        <w:t xml:space="preserve"> </w:t>
      </w:r>
      <w:r w:rsidRPr="00E73BB1">
        <w:rPr>
          <w:rFonts w:ascii="Times New Roman" w:hAnsi="Times New Roman" w:cs="Times New Roman"/>
          <w:sz w:val="24"/>
          <w:szCs w:val="24"/>
        </w:rPr>
        <w:t>focus</w:t>
      </w:r>
      <w:r w:rsidR="00582629" w:rsidRPr="00E73BB1">
        <w:rPr>
          <w:rFonts w:ascii="Times New Roman" w:hAnsi="Times New Roman" w:cs="Times New Roman"/>
          <w:sz w:val="24"/>
          <w:szCs w:val="24"/>
        </w:rPr>
        <w:t>ed</w:t>
      </w:r>
      <w:r w:rsidRPr="00E73BB1">
        <w:rPr>
          <w:rFonts w:ascii="Times New Roman" w:hAnsi="Times New Roman" w:cs="Times New Roman"/>
          <w:sz w:val="24"/>
          <w:szCs w:val="24"/>
        </w:rPr>
        <w:t xml:space="preserve"> on body image and </w:t>
      </w:r>
      <w:r w:rsidR="00DD09D4" w:rsidRPr="00E73BB1">
        <w:rPr>
          <w:rFonts w:ascii="Times New Roman" w:hAnsi="Times New Roman" w:cs="Times New Roman"/>
          <w:sz w:val="24"/>
          <w:szCs w:val="24"/>
        </w:rPr>
        <w:t xml:space="preserve">its </w:t>
      </w:r>
      <w:r w:rsidR="00AB5AAA" w:rsidRPr="00E73BB1">
        <w:rPr>
          <w:rFonts w:ascii="Times New Roman" w:hAnsi="Times New Roman" w:cs="Times New Roman"/>
          <w:sz w:val="24"/>
          <w:szCs w:val="24"/>
        </w:rPr>
        <w:t>mental and physical health-</w:t>
      </w:r>
      <w:r w:rsidRPr="00E73BB1">
        <w:rPr>
          <w:rFonts w:ascii="Times New Roman" w:hAnsi="Times New Roman" w:cs="Times New Roman"/>
          <w:sz w:val="24"/>
          <w:szCs w:val="24"/>
        </w:rPr>
        <w:t xml:space="preserve">related </w:t>
      </w:r>
      <w:r w:rsidR="0025446E" w:rsidRPr="00E73BB1">
        <w:rPr>
          <w:rFonts w:ascii="Times New Roman" w:hAnsi="Times New Roman" w:cs="Times New Roman"/>
          <w:sz w:val="24"/>
          <w:szCs w:val="24"/>
        </w:rPr>
        <w:t>predictors</w:t>
      </w:r>
      <w:r w:rsidR="001029E5" w:rsidRPr="00E73BB1">
        <w:rPr>
          <w:rFonts w:ascii="Times New Roman" w:hAnsi="Times New Roman" w:cs="Times New Roman"/>
          <w:sz w:val="24"/>
          <w:szCs w:val="24"/>
        </w:rPr>
        <w:t>, correlates</w:t>
      </w:r>
      <w:r w:rsidR="0025446E" w:rsidRPr="00E73BB1">
        <w:rPr>
          <w:rFonts w:ascii="Times New Roman" w:hAnsi="Times New Roman" w:cs="Times New Roman"/>
          <w:sz w:val="24"/>
          <w:szCs w:val="24"/>
        </w:rPr>
        <w:t xml:space="preserve"> and </w:t>
      </w:r>
      <w:r w:rsidR="001029E5" w:rsidRPr="00E73BB1">
        <w:rPr>
          <w:rFonts w:ascii="Times New Roman" w:hAnsi="Times New Roman" w:cs="Times New Roman"/>
          <w:sz w:val="24"/>
          <w:szCs w:val="24"/>
        </w:rPr>
        <w:t>consequences</w:t>
      </w:r>
      <w:r w:rsidRPr="00E73BB1">
        <w:rPr>
          <w:rFonts w:ascii="Times New Roman" w:hAnsi="Times New Roman" w:cs="Times New Roman"/>
          <w:sz w:val="24"/>
          <w:szCs w:val="24"/>
        </w:rPr>
        <w:t>.</w:t>
      </w:r>
      <w:r w:rsidR="00A92FE1" w:rsidRPr="00E73BB1">
        <w:rPr>
          <w:rFonts w:ascii="Times New Roman" w:hAnsi="Times New Roman" w:cs="Times New Roman"/>
          <w:sz w:val="24"/>
          <w:szCs w:val="24"/>
        </w:rPr>
        <w:t xml:space="preserve"> </w:t>
      </w:r>
      <w:r w:rsidR="00E01F78" w:rsidRPr="00E73BB1">
        <w:rPr>
          <w:rFonts w:ascii="Times New Roman" w:hAnsi="Times New Roman" w:cs="Times New Roman"/>
          <w:sz w:val="24"/>
          <w:szCs w:val="24"/>
        </w:rPr>
        <w:t>Evaluating the</w:t>
      </w:r>
      <w:r w:rsidRPr="00E73BB1">
        <w:rPr>
          <w:rFonts w:ascii="Times New Roman" w:hAnsi="Times New Roman" w:cs="Times New Roman"/>
          <w:sz w:val="24"/>
          <w:szCs w:val="24"/>
        </w:rPr>
        <w:t xml:space="preserve"> </w:t>
      </w:r>
      <w:r w:rsidR="001029E5" w:rsidRPr="00E73BB1">
        <w:rPr>
          <w:rFonts w:ascii="Times New Roman" w:hAnsi="Times New Roman" w:cs="Times New Roman"/>
          <w:sz w:val="24"/>
          <w:szCs w:val="24"/>
        </w:rPr>
        <w:t xml:space="preserve">impact </w:t>
      </w:r>
      <w:r w:rsidRPr="00E73BB1">
        <w:rPr>
          <w:rFonts w:ascii="Times New Roman" w:hAnsi="Times New Roman" w:cs="Times New Roman"/>
          <w:sz w:val="24"/>
          <w:szCs w:val="24"/>
        </w:rPr>
        <w:t>of body image</w:t>
      </w:r>
      <w:r w:rsidR="002A4AD8" w:rsidRPr="00E73BB1">
        <w:rPr>
          <w:rFonts w:ascii="Times New Roman" w:hAnsi="Times New Roman" w:cs="Times New Roman"/>
          <w:sz w:val="24"/>
          <w:szCs w:val="24"/>
        </w:rPr>
        <w:t xml:space="preserve"> concerns</w:t>
      </w:r>
      <w:r w:rsidRPr="00E73BB1">
        <w:rPr>
          <w:rFonts w:ascii="Times New Roman" w:hAnsi="Times New Roman" w:cs="Times New Roman"/>
          <w:sz w:val="24"/>
          <w:szCs w:val="24"/>
        </w:rPr>
        <w:t xml:space="preserve"> </w:t>
      </w:r>
      <w:r w:rsidR="00DD09D4" w:rsidRPr="00E73BB1">
        <w:rPr>
          <w:rFonts w:ascii="Times New Roman" w:hAnsi="Times New Roman" w:cs="Times New Roman"/>
          <w:sz w:val="24"/>
          <w:szCs w:val="24"/>
        </w:rPr>
        <w:t>on</w:t>
      </w:r>
      <w:r w:rsidRPr="00E73BB1">
        <w:rPr>
          <w:rFonts w:ascii="Times New Roman" w:hAnsi="Times New Roman" w:cs="Times New Roman"/>
          <w:sz w:val="24"/>
          <w:szCs w:val="24"/>
        </w:rPr>
        <w:t xml:space="preserve"> </w:t>
      </w:r>
      <w:r w:rsidR="0002568E" w:rsidRPr="00E73BB1">
        <w:rPr>
          <w:rFonts w:ascii="Times New Roman" w:hAnsi="Times New Roman" w:cs="Times New Roman"/>
          <w:sz w:val="24"/>
          <w:szCs w:val="24"/>
        </w:rPr>
        <w:t>life domains</w:t>
      </w:r>
      <w:r w:rsidRPr="00E73BB1">
        <w:rPr>
          <w:rFonts w:ascii="Times New Roman" w:hAnsi="Times New Roman" w:cs="Times New Roman"/>
          <w:sz w:val="24"/>
          <w:szCs w:val="24"/>
        </w:rPr>
        <w:t xml:space="preserve"> </w:t>
      </w:r>
      <w:r w:rsidRPr="00E73BB1">
        <w:rPr>
          <w:rFonts w:ascii="Times New Roman" w:hAnsi="Times New Roman" w:cs="Times New Roman"/>
          <w:i/>
          <w:iCs/>
          <w:sz w:val="24"/>
          <w:szCs w:val="24"/>
        </w:rPr>
        <w:t>beyond</w:t>
      </w:r>
      <w:r w:rsidRPr="00E73BB1">
        <w:rPr>
          <w:rFonts w:ascii="Times New Roman" w:hAnsi="Times New Roman" w:cs="Times New Roman"/>
          <w:sz w:val="24"/>
          <w:szCs w:val="24"/>
        </w:rPr>
        <w:t xml:space="preserve"> </w:t>
      </w:r>
      <w:r w:rsidR="000E3FB6" w:rsidRPr="00E73BB1">
        <w:rPr>
          <w:rFonts w:ascii="Times New Roman" w:hAnsi="Times New Roman" w:cs="Times New Roman"/>
          <w:sz w:val="24"/>
          <w:szCs w:val="24"/>
        </w:rPr>
        <w:t>psychological and physical health functioning</w:t>
      </w:r>
      <w:r w:rsidR="00720974" w:rsidRPr="00E73BB1">
        <w:rPr>
          <w:rFonts w:ascii="Times New Roman" w:hAnsi="Times New Roman" w:cs="Times New Roman"/>
          <w:sz w:val="24"/>
          <w:szCs w:val="24"/>
        </w:rPr>
        <w:t>, however,</w:t>
      </w:r>
      <w:r w:rsidRPr="00E73BB1">
        <w:rPr>
          <w:rFonts w:ascii="Times New Roman" w:hAnsi="Times New Roman" w:cs="Times New Roman"/>
          <w:sz w:val="24"/>
          <w:szCs w:val="24"/>
        </w:rPr>
        <w:t xml:space="preserve"> </w:t>
      </w:r>
      <w:r w:rsidR="0025446E" w:rsidRPr="00E73BB1">
        <w:rPr>
          <w:rFonts w:ascii="Times New Roman" w:hAnsi="Times New Roman" w:cs="Times New Roman"/>
          <w:sz w:val="24"/>
          <w:szCs w:val="24"/>
        </w:rPr>
        <w:t>could help to</w:t>
      </w:r>
      <w:r w:rsidR="00481672" w:rsidRPr="00E73BB1">
        <w:rPr>
          <w:rFonts w:ascii="Times New Roman" w:hAnsi="Times New Roman" w:cs="Times New Roman"/>
          <w:sz w:val="24"/>
          <w:szCs w:val="24"/>
        </w:rPr>
        <w:t xml:space="preserve"> </w:t>
      </w:r>
      <w:r w:rsidR="00E01F78" w:rsidRPr="00E73BB1">
        <w:rPr>
          <w:rFonts w:ascii="Times New Roman" w:hAnsi="Times New Roman" w:cs="Times New Roman"/>
          <w:sz w:val="24"/>
          <w:szCs w:val="24"/>
        </w:rPr>
        <w:t xml:space="preserve">establish a more comprehensive understanding of the </w:t>
      </w:r>
      <w:r w:rsidR="00EA22E1" w:rsidRPr="00E73BB1">
        <w:rPr>
          <w:rFonts w:ascii="Times New Roman" w:hAnsi="Times New Roman" w:cs="Times New Roman"/>
          <w:sz w:val="24"/>
          <w:szCs w:val="24"/>
        </w:rPr>
        <w:t>consequences</w:t>
      </w:r>
      <w:r w:rsidR="00E01F78" w:rsidRPr="00E73BB1">
        <w:rPr>
          <w:rFonts w:ascii="Times New Roman" w:hAnsi="Times New Roman" w:cs="Times New Roman"/>
          <w:sz w:val="24"/>
          <w:szCs w:val="24"/>
        </w:rPr>
        <w:t xml:space="preserve"> of body image concerns</w:t>
      </w:r>
      <w:r w:rsidR="00EA22E1" w:rsidRPr="00E73BB1">
        <w:rPr>
          <w:rFonts w:ascii="Times New Roman" w:hAnsi="Times New Roman" w:cs="Times New Roman"/>
          <w:sz w:val="24"/>
          <w:szCs w:val="24"/>
        </w:rPr>
        <w:t xml:space="preserve"> e.g., how they may be limiting </w:t>
      </w:r>
      <w:r w:rsidR="000E3FB6" w:rsidRPr="00E73BB1">
        <w:rPr>
          <w:rFonts w:ascii="Times New Roman" w:hAnsi="Times New Roman" w:cs="Times New Roman"/>
          <w:sz w:val="24"/>
          <w:szCs w:val="24"/>
        </w:rPr>
        <w:t xml:space="preserve">life experiences </w:t>
      </w:r>
      <w:r w:rsidR="00EA22E1" w:rsidRPr="00E73BB1">
        <w:rPr>
          <w:rFonts w:ascii="Times New Roman" w:hAnsi="Times New Roman" w:cs="Times New Roman"/>
          <w:sz w:val="24"/>
          <w:szCs w:val="24"/>
        </w:rPr>
        <w:t xml:space="preserve">important </w:t>
      </w:r>
      <w:r w:rsidR="000E3FB6" w:rsidRPr="00E73BB1">
        <w:rPr>
          <w:rFonts w:ascii="Times New Roman" w:hAnsi="Times New Roman" w:cs="Times New Roman"/>
          <w:sz w:val="24"/>
          <w:szCs w:val="24"/>
        </w:rPr>
        <w:t>for individual development and</w:t>
      </w:r>
      <w:r w:rsidR="005A2063" w:rsidRPr="00E73BB1">
        <w:rPr>
          <w:rFonts w:ascii="Times New Roman" w:hAnsi="Times New Roman" w:cs="Times New Roman"/>
          <w:sz w:val="24"/>
          <w:szCs w:val="24"/>
        </w:rPr>
        <w:t>,</w:t>
      </w:r>
      <w:r w:rsidR="000E3FB6" w:rsidRPr="00E73BB1">
        <w:rPr>
          <w:rFonts w:ascii="Times New Roman" w:hAnsi="Times New Roman" w:cs="Times New Roman"/>
          <w:sz w:val="24"/>
          <w:szCs w:val="24"/>
        </w:rPr>
        <w:t xml:space="preserve"> ultimately, contribution to society</w:t>
      </w:r>
      <w:r w:rsidR="00EA22E1" w:rsidRPr="00E73BB1">
        <w:rPr>
          <w:rFonts w:ascii="Times New Roman" w:hAnsi="Times New Roman" w:cs="Times New Roman"/>
          <w:sz w:val="24"/>
          <w:szCs w:val="24"/>
        </w:rPr>
        <w:t xml:space="preserve">. </w:t>
      </w:r>
      <w:r w:rsidR="005A2063" w:rsidRPr="00E73BB1">
        <w:rPr>
          <w:rFonts w:ascii="Times New Roman" w:hAnsi="Times New Roman" w:cs="Times New Roman"/>
          <w:sz w:val="24"/>
          <w:szCs w:val="24"/>
        </w:rPr>
        <w:t xml:space="preserve">If broader functioning is </w:t>
      </w:r>
      <w:r w:rsidR="00133C94" w:rsidRPr="00E73BB1">
        <w:rPr>
          <w:rFonts w:ascii="Times New Roman" w:hAnsi="Times New Roman" w:cs="Times New Roman"/>
          <w:sz w:val="24"/>
          <w:szCs w:val="24"/>
        </w:rPr>
        <w:t xml:space="preserve">indeed </w:t>
      </w:r>
      <w:r w:rsidR="005A2063" w:rsidRPr="00E73BB1">
        <w:rPr>
          <w:rFonts w:ascii="Times New Roman" w:hAnsi="Times New Roman" w:cs="Times New Roman"/>
          <w:sz w:val="24"/>
          <w:szCs w:val="24"/>
        </w:rPr>
        <w:t>shown to be impacted, t</w:t>
      </w:r>
      <w:r w:rsidR="00EA22E1" w:rsidRPr="00E73BB1">
        <w:rPr>
          <w:rFonts w:ascii="Times New Roman" w:hAnsi="Times New Roman" w:cs="Times New Roman"/>
          <w:sz w:val="24"/>
          <w:szCs w:val="24"/>
        </w:rPr>
        <w:t xml:space="preserve">his understanding </w:t>
      </w:r>
      <w:r w:rsidR="005A2063" w:rsidRPr="00E73BB1">
        <w:rPr>
          <w:rFonts w:ascii="Times New Roman" w:hAnsi="Times New Roman" w:cs="Times New Roman"/>
          <w:sz w:val="24"/>
          <w:szCs w:val="24"/>
        </w:rPr>
        <w:t>could</w:t>
      </w:r>
      <w:r w:rsidR="00EA22E1" w:rsidRPr="00E73BB1">
        <w:rPr>
          <w:rFonts w:ascii="Times New Roman" w:hAnsi="Times New Roman" w:cs="Times New Roman"/>
          <w:sz w:val="24"/>
          <w:szCs w:val="24"/>
        </w:rPr>
        <w:t xml:space="preserve"> provide useful leverage</w:t>
      </w:r>
      <w:r w:rsidR="0025446E" w:rsidRPr="00E73BB1">
        <w:rPr>
          <w:rFonts w:ascii="Times New Roman" w:hAnsi="Times New Roman" w:cs="Times New Roman"/>
          <w:sz w:val="24"/>
          <w:szCs w:val="24"/>
        </w:rPr>
        <w:t xml:space="preserve"> </w:t>
      </w:r>
      <w:r w:rsidR="00EA22E1" w:rsidRPr="00E73BB1">
        <w:rPr>
          <w:rFonts w:ascii="Times New Roman" w:hAnsi="Times New Roman" w:cs="Times New Roman"/>
          <w:sz w:val="24"/>
          <w:szCs w:val="24"/>
        </w:rPr>
        <w:t>to advance</w:t>
      </w:r>
      <w:r w:rsidR="00443D05" w:rsidRPr="00E73BB1">
        <w:rPr>
          <w:rFonts w:ascii="Times New Roman" w:hAnsi="Times New Roman" w:cs="Times New Roman"/>
          <w:sz w:val="24"/>
          <w:szCs w:val="24"/>
        </w:rPr>
        <w:t xml:space="preserve"> </w:t>
      </w:r>
      <w:r w:rsidRPr="00E73BB1">
        <w:rPr>
          <w:rFonts w:ascii="Times New Roman" w:hAnsi="Times New Roman" w:cs="Times New Roman"/>
          <w:sz w:val="24"/>
          <w:szCs w:val="24"/>
        </w:rPr>
        <w:t>advocacy efforts, funding agendas, and implementation of interventions</w:t>
      </w:r>
      <w:r w:rsidR="00133C94" w:rsidRPr="00E73BB1">
        <w:rPr>
          <w:rFonts w:ascii="Times New Roman" w:hAnsi="Times New Roman" w:cs="Times New Roman"/>
          <w:sz w:val="24"/>
          <w:szCs w:val="24"/>
        </w:rPr>
        <w:t xml:space="preserve"> </w:t>
      </w:r>
      <w:r w:rsidR="00133C94" w:rsidRPr="00E73BB1">
        <w:rPr>
          <w:rFonts w:ascii="Times New Roman" w:hAnsi="Times New Roman" w:cs="Times New Roman"/>
          <w:noProof/>
          <w:sz w:val="24"/>
          <w:szCs w:val="24"/>
        </w:rPr>
        <w:t>(Atkinson et al., 2020; Austin, 2015)</w:t>
      </w:r>
      <w:r w:rsidRPr="00E73BB1">
        <w:rPr>
          <w:rFonts w:ascii="Times New Roman" w:hAnsi="Times New Roman" w:cs="Times New Roman"/>
          <w:sz w:val="24"/>
          <w:szCs w:val="24"/>
        </w:rPr>
        <w:t>.</w:t>
      </w:r>
      <w:r w:rsidR="001029E5" w:rsidRPr="00E73BB1" w:rsidDel="001029E5">
        <w:rPr>
          <w:rFonts w:ascii="Times New Roman" w:hAnsi="Times New Roman" w:cs="Times New Roman"/>
          <w:sz w:val="24"/>
          <w:szCs w:val="24"/>
        </w:rPr>
        <w:t xml:space="preserve"> </w:t>
      </w:r>
    </w:p>
    <w:p w14:paraId="12649818" w14:textId="26C7189D" w:rsidR="00720974" w:rsidRPr="00E73BB1" w:rsidRDefault="00A94360" w:rsidP="001029E5">
      <w:pPr>
        <w:spacing w:after="0" w:line="480" w:lineRule="auto"/>
        <w:rPr>
          <w:rFonts w:ascii="Times New Roman" w:hAnsi="Times New Roman" w:cs="Times New Roman"/>
          <w:b/>
          <w:bCs/>
          <w:sz w:val="24"/>
          <w:szCs w:val="24"/>
        </w:rPr>
      </w:pPr>
      <w:r w:rsidRPr="00E73BB1">
        <w:rPr>
          <w:rFonts w:ascii="Times New Roman" w:hAnsi="Times New Roman" w:cs="Times New Roman"/>
          <w:b/>
          <w:bCs/>
          <w:sz w:val="24"/>
          <w:szCs w:val="24"/>
        </w:rPr>
        <w:t xml:space="preserve">1.2. </w:t>
      </w:r>
      <w:r w:rsidR="00720974" w:rsidRPr="00E73BB1">
        <w:rPr>
          <w:rFonts w:ascii="Times New Roman" w:hAnsi="Times New Roman" w:cs="Times New Roman"/>
          <w:b/>
          <w:bCs/>
          <w:sz w:val="24"/>
          <w:szCs w:val="24"/>
        </w:rPr>
        <w:t>Existing Measures</w:t>
      </w:r>
    </w:p>
    <w:p w14:paraId="508545F5" w14:textId="174E51ED" w:rsidR="00635352" w:rsidRPr="00E73BB1" w:rsidRDefault="00AB5AAA" w:rsidP="00C40D22">
      <w:pPr>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 xml:space="preserve">Currently, </w:t>
      </w:r>
      <w:r w:rsidR="00AD7756" w:rsidRPr="00E73BB1">
        <w:rPr>
          <w:rFonts w:ascii="Times New Roman" w:hAnsi="Times New Roman" w:cs="Times New Roman"/>
          <w:sz w:val="24"/>
          <w:szCs w:val="24"/>
        </w:rPr>
        <w:t>a small number of</w:t>
      </w:r>
      <w:r w:rsidRPr="00E73BB1">
        <w:rPr>
          <w:rFonts w:ascii="Times New Roman" w:hAnsi="Times New Roman" w:cs="Times New Roman"/>
          <w:sz w:val="24"/>
          <w:szCs w:val="24"/>
        </w:rPr>
        <w:t xml:space="preserve"> measures assess broader impacts </w:t>
      </w:r>
      <w:r w:rsidR="005A2063" w:rsidRPr="00E73BB1">
        <w:rPr>
          <w:rFonts w:ascii="Times New Roman" w:hAnsi="Times New Roman" w:cs="Times New Roman"/>
          <w:sz w:val="24"/>
          <w:szCs w:val="24"/>
        </w:rPr>
        <w:t>with relevance to</w:t>
      </w:r>
      <w:r w:rsidRPr="00E73BB1">
        <w:rPr>
          <w:rFonts w:ascii="Times New Roman" w:hAnsi="Times New Roman" w:cs="Times New Roman"/>
          <w:sz w:val="24"/>
          <w:szCs w:val="24"/>
        </w:rPr>
        <w:t xml:space="preserve"> body image</w:t>
      </w:r>
      <w:r w:rsidR="00436042" w:rsidRPr="00E73BB1">
        <w:rPr>
          <w:rFonts w:ascii="Times New Roman" w:hAnsi="Times New Roman" w:cs="Times New Roman"/>
          <w:sz w:val="24"/>
          <w:szCs w:val="24"/>
        </w:rPr>
        <w:t xml:space="preserve">, including those related to </w:t>
      </w:r>
      <w:r w:rsidR="00A13983" w:rsidRPr="00E73BB1">
        <w:rPr>
          <w:rFonts w:ascii="Times New Roman" w:hAnsi="Times New Roman" w:cs="Times New Roman"/>
          <w:sz w:val="24"/>
          <w:szCs w:val="24"/>
        </w:rPr>
        <w:t>quality of life</w:t>
      </w:r>
      <w:r w:rsidR="007E4936" w:rsidRPr="00E73BB1">
        <w:rPr>
          <w:rFonts w:ascii="Times New Roman" w:hAnsi="Times New Roman" w:cs="Times New Roman"/>
          <w:sz w:val="24"/>
          <w:szCs w:val="24"/>
        </w:rPr>
        <w:t>,</w:t>
      </w:r>
      <w:r w:rsidR="005A2063" w:rsidRPr="00E73BB1">
        <w:rPr>
          <w:rFonts w:ascii="Times New Roman" w:hAnsi="Times New Roman" w:cs="Times New Roman"/>
          <w:sz w:val="24"/>
          <w:szCs w:val="24"/>
        </w:rPr>
        <w:t xml:space="preserve"> psychosocial functioning</w:t>
      </w:r>
      <w:r w:rsidR="00436042" w:rsidRPr="00E73BB1">
        <w:rPr>
          <w:rFonts w:ascii="Times New Roman" w:hAnsi="Times New Roman" w:cs="Times New Roman"/>
          <w:sz w:val="24"/>
          <w:szCs w:val="24"/>
        </w:rPr>
        <w:t xml:space="preserve"> and behavioural avoidance</w:t>
      </w:r>
      <w:r w:rsidRPr="00E73BB1">
        <w:rPr>
          <w:rFonts w:ascii="Times New Roman" w:hAnsi="Times New Roman" w:cs="Times New Roman"/>
          <w:sz w:val="24"/>
          <w:szCs w:val="24"/>
        </w:rPr>
        <w:t xml:space="preserve">. </w:t>
      </w:r>
      <w:r w:rsidR="00AD7756" w:rsidRPr="00E73BB1">
        <w:rPr>
          <w:rFonts w:ascii="Times New Roman" w:hAnsi="Times New Roman" w:cs="Times New Roman"/>
          <w:sz w:val="24"/>
          <w:szCs w:val="24"/>
        </w:rPr>
        <w:t>How</w:t>
      </w:r>
      <w:r w:rsidR="00F24A87" w:rsidRPr="00E73BB1">
        <w:rPr>
          <w:rFonts w:ascii="Times New Roman" w:hAnsi="Times New Roman" w:cs="Times New Roman"/>
          <w:sz w:val="24"/>
          <w:szCs w:val="24"/>
        </w:rPr>
        <w:t>e</w:t>
      </w:r>
      <w:r w:rsidR="00AD7756" w:rsidRPr="00E73BB1">
        <w:rPr>
          <w:rFonts w:ascii="Times New Roman" w:hAnsi="Times New Roman" w:cs="Times New Roman"/>
          <w:sz w:val="24"/>
          <w:szCs w:val="24"/>
        </w:rPr>
        <w:t>ver,</w:t>
      </w:r>
      <w:r w:rsidR="00436042" w:rsidRPr="00E73BB1">
        <w:rPr>
          <w:rFonts w:ascii="Times New Roman" w:hAnsi="Times New Roman" w:cs="Times New Roman"/>
          <w:sz w:val="24"/>
          <w:szCs w:val="24"/>
        </w:rPr>
        <w:t xml:space="preserve"> no measure exists that focuses </w:t>
      </w:r>
      <w:r w:rsidR="00436042" w:rsidRPr="00E73BB1">
        <w:rPr>
          <w:rFonts w:ascii="Times New Roman" w:hAnsi="Times New Roman" w:cs="Times New Roman"/>
          <w:i/>
          <w:iCs/>
          <w:sz w:val="24"/>
          <w:szCs w:val="24"/>
        </w:rPr>
        <w:t>specifically</w:t>
      </w:r>
      <w:r w:rsidR="00436042" w:rsidRPr="00E73BB1">
        <w:rPr>
          <w:rFonts w:ascii="Times New Roman" w:hAnsi="Times New Roman" w:cs="Times New Roman"/>
          <w:sz w:val="24"/>
          <w:szCs w:val="24"/>
        </w:rPr>
        <w:t xml:space="preserve"> on </w:t>
      </w:r>
      <w:r w:rsidR="007238EC" w:rsidRPr="00E73BB1">
        <w:rPr>
          <w:rFonts w:ascii="Times New Roman" w:hAnsi="Times New Roman" w:cs="Times New Roman"/>
          <w:sz w:val="24"/>
          <w:szCs w:val="24"/>
        </w:rPr>
        <w:t xml:space="preserve">a </w:t>
      </w:r>
      <w:r w:rsidR="007238EC" w:rsidRPr="00E73BB1">
        <w:rPr>
          <w:rFonts w:ascii="Times New Roman" w:hAnsi="Times New Roman" w:cs="Times New Roman"/>
          <w:i/>
          <w:iCs/>
          <w:sz w:val="24"/>
          <w:szCs w:val="24"/>
        </w:rPr>
        <w:t>range</w:t>
      </w:r>
      <w:r w:rsidR="007238EC" w:rsidRPr="00E73BB1">
        <w:rPr>
          <w:rFonts w:ascii="Times New Roman" w:hAnsi="Times New Roman" w:cs="Times New Roman"/>
          <w:sz w:val="24"/>
          <w:szCs w:val="24"/>
        </w:rPr>
        <w:t xml:space="preserve"> of life </w:t>
      </w:r>
      <w:r w:rsidR="00F24A87" w:rsidRPr="00E73BB1">
        <w:rPr>
          <w:rFonts w:ascii="Times New Roman" w:hAnsi="Times New Roman" w:cs="Times New Roman"/>
          <w:sz w:val="24"/>
          <w:szCs w:val="24"/>
        </w:rPr>
        <w:t>domains beyond</w:t>
      </w:r>
      <w:r w:rsidR="00F901DB" w:rsidRPr="00E73BB1">
        <w:rPr>
          <w:rFonts w:ascii="Times New Roman" w:hAnsi="Times New Roman" w:cs="Times New Roman"/>
          <w:sz w:val="24"/>
          <w:szCs w:val="24"/>
        </w:rPr>
        <w:t xml:space="preserve"> physical or mental health </w:t>
      </w:r>
      <w:r w:rsidR="005A2063" w:rsidRPr="00E73BB1">
        <w:rPr>
          <w:rFonts w:ascii="Times New Roman" w:hAnsi="Times New Roman" w:cs="Times New Roman"/>
          <w:sz w:val="24"/>
          <w:szCs w:val="24"/>
        </w:rPr>
        <w:t>functioning</w:t>
      </w:r>
      <w:r w:rsidR="00436042" w:rsidRPr="00E73BB1">
        <w:rPr>
          <w:rFonts w:ascii="Times New Roman" w:hAnsi="Times New Roman" w:cs="Times New Roman"/>
          <w:sz w:val="24"/>
          <w:szCs w:val="24"/>
        </w:rPr>
        <w:t>,</w:t>
      </w:r>
      <w:r w:rsidR="00F901DB" w:rsidRPr="00E73BB1">
        <w:rPr>
          <w:rFonts w:ascii="Times New Roman" w:hAnsi="Times New Roman" w:cs="Times New Roman"/>
          <w:sz w:val="24"/>
          <w:szCs w:val="24"/>
        </w:rPr>
        <w:t xml:space="preserve"> </w:t>
      </w:r>
      <w:r w:rsidR="005A2063" w:rsidRPr="00E73BB1">
        <w:rPr>
          <w:rFonts w:ascii="Times New Roman" w:hAnsi="Times New Roman" w:cs="Times New Roman"/>
          <w:sz w:val="24"/>
          <w:szCs w:val="24"/>
        </w:rPr>
        <w:t>is specific to body image but has</w:t>
      </w:r>
      <w:r w:rsidR="00F901DB" w:rsidRPr="00E73BB1">
        <w:rPr>
          <w:rFonts w:ascii="Times New Roman" w:hAnsi="Times New Roman" w:cs="Times New Roman"/>
          <w:sz w:val="24"/>
          <w:szCs w:val="24"/>
        </w:rPr>
        <w:t xml:space="preserve"> broad applicability across </w:t>
      </w:r>
      <w:r w:rsidR="005A2063" w:rsidRPr="00E73BB1">
        <w:rPr>
          <w:rFonts w:ascii="Times New Roman" w:hAnsi="Times New Roman" w:cs="Times New Roman"/>
          <w:sz w:val="24"/>
          <w:szCs w:val="24"/>
        </w:rPr>
        <w:t xml:space="preserve">different </w:t>
      </w:r>
      <w:r w:rsidR="00F901DB" w:rsidRPr="00E73BB1">
        <w:rPr>
          <w:rFonts w:ascii="Times New Roman" w:hAnsi="Times New Roman" w:cs="Times New Roman"/>
          <w:sz w:val="24"/>
          <w:szCs w:val="24"/>
        </w:rPr>
        <w:t>appearance concerns, is validated for use with adolescents</w:t>
      </w:r>
      <w:r w:rsidR="008C4C2C" w:rsidRPr="00E73BB1">
        <w:rPr>
          <w:rFonts w:ascii="Times New Roman" w:hAnsi="Times New Roman" w:cs="Times New Roman"/>
          <w:sz w:val="24"/>
          <w:szCs w:val="24"/>
        </w:rPr>
        <w:t xml:space="preserve">, </w:t>
      </w:r>
      <w:r w:rsidR="008C4C2C" w:rsidRPr="00E73BB1">
        <w:rPr>
          <w:rFonts w:ascii="Times New Roman" w:hAnsi="Times New Roman" w:cs="Times New Roman"/>
          <w:i/>
          <w:iCs/>
          <w:sz w:val="24"/>
          <w:szCs w:val="24"/>
        </w:rPr>
        <w:t>and</w:t>
      </w:r>
      <w:r w:rsidR="008C4C2C" w:rsidRPr="00E73BB1">
        <w:rPr>
          <w:rFonts w:ascii="Times New Roman" w:hAnsi="Times New Roman" w:cs="Times New Roman"/>
          <w:sz w:val="24"/>
          <w:szCs w:val="24"/>
        </w:rPr>
        <w:t xml:space="preserve"> is </w:t>
      </w:r>
      <w:r w:rsidR="007238EC" w:rsidRPr="00E73BB1">
        <w:rPr>
          <w:rFonts w:ascii="Times New Roman" w:hAnsi="Times New Roman" w:cs="Times New Roman"/>
          <w:sz w:val="24"/>
          <w:szCs w:val="24"/>
        </w:rPr>
        <w:t xml:space="preserve">brief and </w:t>
      </w:r>
      <w:r w:rsidR="001029E5" w:rsidRPr="00E73BB1">
        <w:rPr>
          <w:rFonts w:ascii="Times New Roman" w:hAnsi="Times New Roman" w:cs="Times New Roman"/>
          <w:sz w:val="24"/>
          <w:szCs w:val="24"/>
        </w:rPr>
        <w:t xml:space="preserve">accessible </w:t>
      </w:r>
      <w:r w:rsidR="005A2063" w:rsidRPr="00E73BB1">
        <w:rPr>
          <w:rFonts w:ascii="Times New Roman" w:hAnsi="Times New Roman" w:cs="Times New Roman"/>
          <w:sz w:val="24"/>
          <w:szCs w:val="24"/>
        </w:rPr>
        <w:t>to facilitate</w:t>
      </w:r>
      <w:r w:rsidR="00C261BE" w:rsidRPr="00E73BB1">
        <w:rPr>
          <w:rFonts w:ascii="Times New Roman" w:hAnsi="Times New Roman" w:cs="Times New Roman"/>
          <w:sz w:val="24"/>
          <w:szCs w:val="24"/>
        </w:rPr>
        <w:t xml:space="preserve"> wide use</w:t>
      </w:r>
      <w:r w:rsidR="00F901DB" w:rsidRPr="00E73BB1">
        <w:rPr>
          <w:rFonts w:ascii="Times New Roman" w:hAnsi="Times New Roman" w:cs="Times New Roman"/>
          <w:sz w:val="24"/>
          <w:szCs w:val="24"/>
        </w:rPr>
        <w:t xml:space="preserve">. </w:t>
      </w:r>
    </w:p>
    <w:p w14:paraId="413B06ED" w14:textId="3005E335" w:rsidR="00BC785B" w:rsidRPr="00E73BB1" w:rsidRDefault="00F901DB" w:rsidP="00C40D22">
      <w:pPr>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For example, t</w:t>
      </w:r>
      <w:r w:rsidR="003A02CB" w:rsidRPr="00E73BB1">
        <w:rPr>
          <w:rFonts w:ascii="Times New Roman" w:hAnsi="Times New Roman" w:cs="Times New Roman"/>
          <w:sz w:val="24"/>
          <w:szCs w:val="24"/>
        </w:rPr>
        <w:t>he</w:t>
      </w:r>
      <w:r w:rsidR="00176B8E" w:rsidRPr="00E73BB1">
        <w:rPr>
          <w:rFonts w:ascii="Times New Roman" w:hAnsi="Times New Roman" w:cs="Times New Roman"/>
          <w:sz w:val="24"/>
          <w:szCs w:val="24"/>
        </w:rPr>
        <w:t xml:space="preserve"> </w:t>
      </w:r>
      <w:r w:rsidR="00176B8E" w:rsidRPr="00E73BB1">
        <w:rPr>
          <w:rFonts w:ascii="Times New Roman" w:hAnsi="Times New Roman" w:cs="Times New Roman"/>
          <w:i/>
          <w:sz w:val="24"/>
          <w:szCs w:val="24"/>
        </w:rPr>
        <w:t>Body Image Quality of Life Inventory</w:t>
      </w:r>
      <w:r w:rsidR="008E1B3E" w:rsidRPr="00E73BB1">
        <w:rPr>
          <w:rFonts w:ascii="Times New Roman" w:hAnsi="Times New Roman" w:cs="Times New Roman"/>
          <w:sz w:val="24"/>
          <w:szCs w:val="24"/>
        </w:rPr>
        <w:t xml:space="preserve"> </w:t>
      </w:r>
      <w:r w:rsidR="003A02CB" w:rsidRPr="00E73BB1">
        <w:rPr>
          <w:rFonts w:ascii="Times New Roman" w:hAnsi="Times New Roman" w:cs="Times New Roman"/>
          <w:noProof/>
          <w:sz w:val="24"/>
          <w:szCs w:val="24"/>
        </w:rPr>
        <w:t>(Cash &amp; Fleming, 2002)</w:t>
      </w:r>
      <w:r w:rsidR="00151FCC" w:rsidRPr="00E73BB1">
        <w:rPr>
          <w:rFonts w:ascii="Times New Roman" w:hAnsi="Times New Roman" w:cs="Times New Roman"/>
          <w:sz w:val="24"/>
          <w:szCs w:val="24"/>
        </w:rPr>
        <w:t xml:space="preserve"> </w:t>
      </w:r>
      <w:r w:rsidR="00C40D22" w:rsidRPr="00E73BB1">
        <w:rPr>
          <w:rFonts w:ascii="Times New Roman" w:hAnsi="Times New Roman" w:cs="Times New Roman"/>
          <w:sz w:val="24"/>
          <w:szCs w:val="24"/>
        </w:rPr>
        <w:t>assess</w:t>
      </w:r>
      <w:r w:rsidR="00635352" w:rsidRPr="00E73BB1">
        <w:rPr>
          <w:rFonts w:ascii="Times New Roman" w:hAnsi="Times New Roman" w:cs="Times New Roman"/>
          <w:sz w:val="24"/>
          <w:szCs w:val="24"/>
        </w:rPr>
        <w:t>es</w:t>
      </w:r>
      <w:r w:rsidR="00C40D22" w:rsidRPr="00E73BB1">
        <w:rPr>
          <w:rFonts w:ascii="Times New Roman" w:hAnsi="Times New Roman" w:cs="Times New Roman"/>
          <w:sz w:val="24"/>
          <w:szCs w:val="24"/>
        </w:rPr>
        <w:t xml:space="preserve"> </w:t>
      </w:r>
      <w:r w:rsidR="006E0816" w:rsidRPr="00E73BB1">
        <w:rPr>
          <w:rFonts w:ascii="Times New Roman" w:hAnsi="Times New Roman" w:cs="Times New Roman"/>
          <w:sz w:val="24"/>
          <w:szCs w:val="24"/>
        </w:rPr>
        <w:t>negative and positive</w:t>
      </w:r>
      <w:r w:rsidR="00AB0A72" w:rsidRPr="00E73BB1">
        <w:rPr>
          <w:rFonts w:ascii="Times New Roman" w:hAnsi="Times New Roman" w:cs="Times New Roman"/>
          <w:sz w:val="24"/>
          <w:szCs w:val="24"/>
        </w:rPr>
        <w:t xml:space="preserve"> impact</w:t>
      </w:r>
      <w:r w:rsidR="007A7F85" w:rsidRPr="00E73BB1">
        <w:rPr>
          <w:rFonts w:ascii="Times New Roman" w:hAnsi="Times New Roman" w:cs="Times New Roman"/>
          <w:sz w:val="24"/>
          <w:szCs w:val="24"/>
        </w:rPr>
        <w:t xml:space="preserve"> of</w:t>
      </w:r>
      <w:r w:rsidR="00C40D22" w:rsidRPr="00E73BB1">
        <w:rPr>
          <w:rFonts w:ascii="Times New Roman" w:hAnsi="Times New Roman" w:cs="Times New Roman"/>
          <w:sz w:val="24"/>
          <w:szCs w:val="24"/>
        </w:rPr>
        <w:t xml:space="preserve"> body image </w:t>
      </w:r>
      <w:r w:rsidR="00C97D5B" w:rsidRPr="00E73BB1">
        <w:rPr>
          <w:rFonts w:ascii="Times New Roman" w:hAnsi="Times New Roman" w:cs="Times New Roman"/>
          <w:sz w:val="24"/>
          <w:szCs w:val="24"/>
        </w:rPr>
        <w:t xml:space="preserve">(using a 7-point bipolar scale from -3 to </w:t>
      </w:r>
      <w:r w:rsidR="00C97D5B" w:rsidRPr="00E73BB1">
        <w:rPr>
          <w:rFonts w:ascii="Times New Roman" w:hAnsi="Times New Roman" w:cs="Times New Roman"/>
          <w:sz w:val="24"/>
          <w:szCs w:val="24"/>
        </w:rPr>
        <w:lastRenderedPageBreak/>
        <w:t xml:space="preserve">+3) </w:t>
      </w:r>
      <w:r w:rsidR="007A7F85" w:rsidRPr="00E73BB1">
        <w:rPr>
          <w:rFonts w:ascii="Times New Roman" w:hAnsi="Times New Roman" w:cs="Times New Roman"/>
          <w:sz w:val="24"/>
          <w:szCs w:val="24"/>
        </w:rPr>
        <w:t xml:space="preserve">on </w:t>
      </w:r>
      <w:r w:rsidR="00AA1E8B" w:rsidRPr="00E73BB1">
        <w:rPr>
          <w:rFonts w:ascii="Times New Roman" w:hAnsi="Times New Roman" w:cs="Times New Roman"/>
          <w:sz w:val="24"/>
          <w:szCs w:val="24"/>
        </w:rPr>
        <w:t>various</w:t>
      </w:r>
      <w:r w:rsidR="00327526" w:rsidRPr="00E73BB1">
        <w:rPr>
          <w:rFonts w:ascii="Times New Roman" w:hAnsi="Times New Roman" w:cs="Times New Roman"/>
          <w:sz w:val="24"/>
          <w:szCs w:val="24"/>
        </w:rPr>
        <w:t xml:space="preserve"> </w:t>
      </w:r>
      <w:r w:rsidR="00271C25" w:rsidRPr="00E73BB1">
        <w:rPr>
          <w:rFonts w:ascii="Times New Roman" w:hAnsi="Times New Roman" w:cs="Times New Roman"/>
          <w:sz w:val="24"/>
          <w:szCs w:val="24"/>
        </w:rPr>
        <w:t>aspects of life</w:t>
      </w:r>
      <w:r w:rsidR="00D97D40" w:rsidRPr="00E73BB1">
        <w:rPr>
          <w:rFonts w:ascii="Times New Roman" w:hAnsi="Times New Roman" w:cs="Times New Roman"/>
          <w:sz w:val="24"/>
          <w:szCs w:val="24"/>
        </w:rPr>
        <w:t>,</w:t>
      </w:r>
      <w:r w:rsidR="007E4936" w:rsidRPr="00E73BB1">
        <w:rPr>
          <w:rFonts w:ascii="Times New Roman" w:hAnsi="Times New Roman" w:cs="Times New Roman"/>
          <w:sz w:val="24"/>
          <w:szCs w:val="24"/>
        </w:rPr>
        <w:t xml:space="preserve"> including </w:t>
      </w:r>
      <w:r w:rsidR="00C40D22" w:rsidRPr="00E73BB1">
        <w:rPr>
          <w:rFonts w:ascii="Times New Roman" w:hAnsi="Times New Roman" w:cs="Times New Roman"/>
          <w:sz w:val="24"/>
          <w:szCs w:val="24"/>
        </w:rPr>
        <w:t>sense of self, social functioning, sexuality, emotional well-being, eating, exercise, grooming</w:t>
      </w:r>
      <w:r w:rsidR="00126A17" w:rsidRPr="00E73BB1">
        <w:rPr>
          <w:rFonts w:ascii="Times New Roman" w:hAnsi="Times New Roman" w:cs="Times New Roman"/>
          <w:sz w:val="24"/>
          <w:szCs w:val="24"/>
        </w:rPr>
        <w:t>, and overall satisfaction with life</w:t>
      </w:r>
      <w:r w:rsidR="007576FF" w:rsidRPr="00E73BB1">
        <w:rPr>
          <w:rFonts w:ascii="Times New Roman" w:hAnsi="Times New Roman" w:cs="Times New Roman"/>
          <w:sz w:val="24"/>
          <w:szCs w:val="24"/>
        </w:rPr>
        <w:t xml:space="preserve"> (</w:t>
      </w:r>
      <w:r w:rsidR="00C97D5B" w:rsidRPr="00E73BB1">
        <w:rPr>
          <w:rFonts w:ascii="Times New Roman" w:hAnsi="Times New Roman" w:cs="Times New Roman"/>
          <w:sz w:val="24"/>
          <w:szCs w:val="24"/>
        </w:rPr>
        <w:t>e.g.,</w:t>
      </w:r>
      <w:r w:rsidR="00D97D40" w:rsidRPr="00E73BB1">
        <w:rPr>
          <w:rFonts w:ascii="Times New Roman" w:hAnsi="Times New Roman" w:cs="Times New Roman"/>
          <w:sz w:val="24"/>
          <w:szCs w:val="24"/>
        </w:rPr>
        <w:t xml:space="preserve"> example items include</w:t>
      </w:r>
      <w:r w:rsidR="00C97D5B" w:rsidRPr="00E73BB1">
        <w:rPr>
          <w:rFonts w:ascii="Times New Roman" w:hAnsi="Times New Roman" w:cs="Times New Roman"/>
          <w:sz w:val="24"/>
          <w:szCs w:val="24"/>
        </w:rPr>
        <w:t xml:space="preserve"> “My basic feelings about myself</w:t>
      </w:r>
      <w:r w:rsidR="007E4936" w:rsidRPr="00E73BB1">
        <w:rPr>
          <w:rFonts w:ascii="Times New Roman" w:hAnsi="Times New Roman" w:cs="Times New Roman"/>
          <w:sz w:val="24"/>
          <w:szCs w:val="24"/>
        </w:rPr>
        <w:t>-feelings of personal adequacy and self-worth</w:t>
      </w:r>
      <w:r w:rsidR="00C97D5B" w:rsidRPr="00E73BB1">
        <w:rPr>
          <w:rFonts w:ascii="Times New Roman" w:hAnsi="Times New Roman" w:cs="Times New Roman"/>
          <w:sz w:val="24"/>
          <w:szCs w:val="24"/>
        </w:rPr>
        <w:t xml:space="preserve">”, </w:t>
      </w:r>
      <w:r w:rsidR="007E4936" w:rsidRPr="00E73BB1">
        <w:rPr>
          <w:rFonts w:ascii="Times New Roman" w:hAnsi="Times New Roman" w:cs="Times New Roman"/>
          <w:sz w:val="24"/>
          <w:szCs w:val="24"/>
        </w:rPr>
        <w:t xml:space="preserve">“My day-to-day emotions”, </w:t>
      </w:r>
      <w:r w:rsidR="00126A17" w:rsidRPr="00E73BB1">
        <w:rPr>
          <w:rFonts w:ascii="Times New Roman" w:hAnsi="Times New Roman" w:cs="Times New Roman"/>
          <w:sz w:val="24"/>
          <w:szCs w:val="24"/>
        </w:rPr>
        <w:t xml:space="preserve">“My enjoyment of my sex life”, </w:t>
      </w:r>
      <w:r w:rsidR="00C97D5B" w:rsidRPr="00E73BB1">
        <w:rPr>
          <w:rFonts w:ascii="Times New Roman" w:hAnsi="Times New Roman" w:cs="Times New Roman"/>
          <w:sz w:val="24"/>
          <w:szCs w:val="24"/>
        </w:rPr>
        <w:t>“My relationships with friends”)</w:t>
      </w:r>
      <w:r w:rsidR="00C40D22" w:rsidRPr="00E73BB1">
        <w:rPr>
          <w:rFonts w:ascii="Times New Roman" w:hAnsi="Times New Roman" w:cs="Times New Roman"/>
          <w:sz w:val="24"/>
          <w:szCs w:val="24"/>
        </w:rPr>
        <w:t xml:space="preserve">. </w:t>
      </w:r>
      <w:r w:rsidR="002723C5" w:rsidRPr="00E73BB1">
        <w:rPr>
          <w:rFonts w:ascii="Times New Roman" w:hAnsi="Times New Roman" w:cs="Times New Roman"/>
          <w:sz w:val="24"/>
          <w:szCs w:val="24"/>
        </w:rPr>
        <w:t xml:space="preserve">It was </w:t>
      </w:r>
      <w:r w:rsidR="00C52070" w:rsidRPr="00E73BB1">
        <w:rPr>
          <w:rFonts w:ascii="Times New Roman" w:hAnsi="Times New Roman" w:cs="Times New Roman"/>
          <w:sz w:val="24"/>
          <w:szCs w:val="24"/>
        </w:rPr>
        <w:t xml:space="preserve">originally </w:t>
      </w:r>
      <w:r w:rsidR="002723C5" w:rsidRPr="00E73BB1">
        <w:rPr>
          <w:rFonts w:ascii="Times New Roman" w:hAnsi="Times New Roman" w:cs="Times New Roman"/>
          <w:sz w:val="24"/>
          <w:szCs w:val="24"/>
        </w:rPr>
        <w:t xml:space="preserve">designed </w:t>
      </w:r>
      <w:r w:rsidR="006E3BC7" w:rsidRPr="00E73BB1">
        <w:rPr>
          <w:rFonts w:ascii="Times New Roman" w:hAnsi="Times New Roman" w:cs="Times New Roman"/>
          <w:sz w:val="24"/>
          <w:szCs w:val="24"/>
        </w:rPr>
        <w:t>for clinical use</w:t>
      </w:r>
      <w:r w:rsidR="00C134E0" w:rsidRPr="00E73BB1">
        <w:rPr>
          <w:rFonts w:ascii="Times New Roman" w:hAnsi="Times New Roman" w:cs="Times New Roman"/>
          <w:sz w:val="24"/>
          <w:szCs w:val="24"/>
        </w:rPr>
        <w:t xml:space="preserve">, </w:t>
      </w:r>
      <w:r w:rsidR="00891E41" w:rsidRPr="00E73BB1">
        <w:rPr>
          <w:rFonts w:ascii="Times New Roman" w:hAnsi="Times New Roman" w:cs="Times New Roman"/>
          <w:sz w:val="24"/>
          <w:szCs w:val="24"/>
        </w:rPr>
        <w:t>and</w:t>
      </w:r>
      <w:r w:rsidR="00C134E0" w:rsidRPr="00E73BB1">
        <w:rPr>
          <w:rFonts w:ascii="Times New Roman" w:hAnsi="Times New Roman" w:cs="Times New Roman"/>
          <w:sz w:val="24"/>
          <w:szCs w:val="24"/>
        </w:rPr>
        <w:t xml:space="preserve"> later </w:t>
      </w:r>
      <w:r w:rsidR="009C06C7" w:rsidRPr="00E73BB1">
        <w:rPr>
          <w:rFonts w:ascii="Times New Roman" w:hAnsi="Times New Roman" w:cs="Times New Roman"/>
          <w:sz w:val="24"/>
          <w:szCs w:val="24"/>
        </w:rPr>
        <w:t>adapted and</w:t>
      </w:r>
      <w:r w:rsidR="00621BB9" w:rsidRPr="00E73BB1">
        <w:rPr>
          <w:rFonts w:ascii="Times New Roman" w:hAnsi="Times New Roman" w:cs="Times New Roman"/>
          <w:sz w:val="24"/>
          <w:szCs w:val="24"/>
        </w:rPr>
        <w:t xml:space="preserve"> </w:t>
      </w:r>
      <w:r w:rsidR="00C52070" w:rsidRPr="00E73BB1">
        <w:rPr>
          <w:rFonts w:ascii="Times New Roman" w:hAnsi="Times New Roman" w:cs="Times New Roman"/>
          <w:sz w:val="24"/>
          <w:szCs w:val="24"/>
        </w:rPr>
        <w:t xml:space="preserve">validated </w:t>
      </w:r>
      <w:r w:rsidR="00621BB9" w:rsidRPr="00E73BB1">
        <w:rPr>
          <w:rFonts w:ascii="Times New Roman" w:hAnsi="Times New Roman" w:cs="Times New Roman"/>
          <w:sz w:val="24"/>
          <w:szCs w:val="24"/>
        </w:rPr>
        <w:t xml:space="preserve">with university-aged men and women </w:t>
      </w:r>
      <w:r w:rsidR="00364788" w:rsidRPr="00E73BB1">
        <w:rPr>
          <w:rFonts w:ascii="Times New Roman" w:hAnsi="Times New Roman" w:cs="Times New Roman"/>
          <w:noProof/>
          <w:sz w:val="24"/>
          <w:szCs w:val="24"/>
        </w:rPr>
        <w:t>(Cash &amp; Fleming, 2002; Cash &amp; Grasso, 2005; Cash et al., 2004)</w:t>
      </w:r>
      <w:r w:rsidR="009C06C7" w:rsidRPr="00E73BB1">
        <w:rPr>
          <w:rFonts w:ascii="Times New Roman" w:hAnsi="Times New Roman" w:cs="Times New Roman"/>
          <w:sz w:val="24"/>
          <w:szCs w:val="24"/>
        </w:rPr>
        <w:t xml:space="preserve">. </w:t>
      </w:r>
      <w:r w:rsidR="000524D1" w:rsidRPr="00E73BB1">
        <w:rPr>
          <w:rFonts w:ascii="Times New Roman" w:hAnsi="Times New Roman" w:cs="Times New Roman"/>
          <w:sz w:val="24"/>
          <w:szCs w:val="24"/>
        </w:rPr>
        <w:t>Intended</w:t>
      </w:r>
      <w:r w:rsidR="00364788" w:rsidRPr="00E73BB1">
        <w:rPr>
          <w:rFonts w:ascii="Times New Roman" w:hAnsi="Times New Roman" w:cs="Times New Roman"/>
          <w:sz w:val="24"/>
          <w:szCs w:val="24"/>
        </w:rPr>
        <w:t xml:space="preserve"> for and</w:t>
      </w:r>
      <w:r w:rsidR="009C06C7" w:rsidRPr="00E73BB1">
        <w:rPr>
          <w:rFonts w:ascii="Times New Roman" w:hAnsi="Times New Roman" w:cs="Times New Roman"/>
          <w:sz w:val="24"/>
          <w:szCs w:val="24"/>
        </w:rPr>
        <w:t xml:space="preserve"> </w:t>
      </w:r>
      <w:r w:rsidR="006E0816" w:rsidRPr="00E73BB1">
        <w:rPr>
          <w:rFonts w:ascii="Times New Roman" w:hAnsi="Times New Roman" w:cs="Times New Roman"/>
          <w:sz w:val="24"/>
          <w:szCs w:val="24"/>
        </w:rPr>
        <w:t xml:space="preserve">since </w:t>
      </w:r>
      <w:r w:rsidR="009C06C7" w:rsidRPr="00E73BB1">
        <w:rPr>
          <w:rFonts w:ascii="Times New Roman" w:hAnsi="Times New Roman" w:cs="Times New Roman"/>
          <w:sz w:val="24"/>
          <w:szCs w:val="24"/>
        </w:rPr>
        <w:t>used widely with adults</w:t>
      </w:r>
      <w:r w:rsidR="00A078A1" w:rsidRPr="00E73BB1">
        <w:rPr>
          <w:rFonts w:ascii="Times New Roman" w:hAnsi="Times New Roman" w:cs="Times New Roman"/>
          <w:sz w:val="24"/>
          <w:szCs w:val="24"/>
        </w:rPr>
        <w:t xml:space="preserve"> aged 18 and over</w:t>
      </w:r>
      <w:r w:rsidR="003E5F9F" w:rsidRPr="00E73BB1">
        <w:rPr>
          <w:rFonts w:ascii="Times New Roman" w:hAnsi="Times New Roman" w:cs="Times New Roman"/>
          <w:sz w:val="24"/>
          <w:szCs w:val="24"/>
        </w:rPr>
        <w:t xml:space="preserve">, it has not been </w:t>
      </w:r>
      <w:r w:rsidR="00AB4EBA" w:rsidRPr="00E73BB1">
        <w:rPr>
          <w:rFonts w:ascii="Times New Roman" w:hAnsi="Times New Roman" w:cs="Times New Roman"/>
          <w:sz w:val="24"/>
          <w:szCs w:val="24"/>
        </w:rPr>
        <w:t xml:space="preserve">adapted or </w:t>
      </w:r>
      <w:r w:rsidR="003E5F9F" w:rsidRPr="00E73BB1">
        <w:rPr>
          <w:rFonts w:ascii="Times New Roman" w:hAnsi="Times New Roman" w:cs="Times New Roman"/>
          <w:sz w:val="24"/>
          <w:szCs w:val="24"/>
        </w:rPr>
        <w:t xml:space="preserve">validated for use with adolescents, </w:t>
      </w:r>
      <w:r w:rsidR="00B25F90" w:rsidRPr="00E73BB1">
        <w:rPr>
          <w:rFonts w:ascii="Times New Roman" w:hAnsi="Times New Roman" w:cs="Times New Roman"/>
          <w:sz w:val="24"/>
          <w:szCs w:val="24"/>
        </w:rPr>
        <w:t xml:space="preserve">although it has shown internal reliability </w:t>
      </w:r>
      <w:r w:rsidR="0004452C" w:rsidRPr="00E73BB1">
        <w:rPr>
          <w:rFonts w:ascii="Times New Roman" w:hAnsi="Times New Roman" w:cs="Times New Roman"/>
          <w:sz w:val="24"/>
          <w:szCs w:val="24"/>
        </w:rPr>
        <w:t xml:space="preserve">as an outcome measure in </w:t>
      </w:r>
      <w:r w:rsidR="002C75BF" w:rsidRPr="00E73BB1">
        <w:rPr>
          <w:rFonts w:ascii="Times New Roman" w:hAnsi="Times New Roman" w:cs="Times New Roman"/>
          <w:sz w:val="24"/>
          <w:szCs w:val="24"/>
        </w:rPr>
        <w:t xml:space="preserve">an </w:t>
      </w:r>
      <w:r w:rsidR="006E0816" w:rsidRPr="00E73BB1">
        <w:rPr>
          <w:rFonts w:ascii="Times New Roman" w:hAnsi="Times New Roman" w:cs="Times New Roman"/>
          <w:sz w:val="24"/>
          <w:szCs w:val="24"/>
        </w:rPr>
        <w:t>intervention</w:t>
      </w:r>
      <w:r w:rsidR="00636DFA" w:rsidRPr="00E73BB1">
        <w:rPr>
          <w:rFonts w:ascii="Times New Roman" w:hAnsi="Times New Roman" w:cs="Times New Roman"/>
          <w:sz w:val="24"/>
          <w:szCs w:val="24"/>
        </w:rPr>
        <w:t xml:space="preserve"> </w:t>
      </w:r>
      <w:r w:rsidR="0004452C" w:rsidRPr="00E73BB1">
        <w:rPr>
          <w:rFonts w:ascii="Times New Roman" w:hAnsi="Times New Roman" w:cs="Times New Roman"/>
          <w:sz w:val="24"/>
          <w:szCs w:val="24"/>
        </w:rPr>
        <w:t xml:space="preserve">trial </w:t>
      </w:r>
      <w:r w:rsidR="002C75BF" w:rsidRPr="00E73BB1">
        <w:rPr>
          <w:rFonts w:ascii="Times New Roman" w:hAnsi="Times New Roman" w:cs="Times New Roman"/>
          <w:sz w:val="24"/>
          <w:szCs w:val="24"/>
        </w:rPr>
        <w:t>for</w:t>
      </w:r>
      <w:r w:rsidR="0004452C" w:rsidRPr="00E73BB1">
        <w:rPr>
          <w:rFonts w:ascii="Times New Roman" w:hAnsi="Times New Roman" w:cs="Times New Roman"/>
          <w:sz w:val="24"/>
          <w:szCs w:val="24"/>
        </w:rPr>
        <w:t xml:space="preserve"> ado</w:t>
      </w:r>
      <w:r w:rsidR="00DA4872" w:rsidRPr="00E73BB1">
        <w:rPr>
          <w:rFonts w:ascii="Times New Roman" w:hAnsi="Times New Roman" w:cs="Times New Roman"/>
          <w:sz w:val="24"/>
          <w:szCs w:val="24"/>
        </w:rPr>
        <w:t xml:space="preserve">lescents </w:t>
      </w:r>
      <w:r w:rsidR="002C75BF" w:rsidRPr="00E73BB1">
        <w:rPr>
          <w:rFonts w:ascii="Times New Roman" w:hAnsi="Times New Roman" w:cs="Times New Roman"/>
          <w:sz w:val="24"/>
          <w:szCs w:val="24"/>
        </w:rPr>
        <w:t xml:space="preserve">with body dysmorphic disorder </w:t>
      </w:r>
      <w:r w:rsidR="006E5D16" w:rsidRPr="00E73BB1">
        <w:rPr>
          <w:rFonts w:ascii="Times New Roman" w:hAnsi="Times New Roman" w:cs="Times New Roman"/>
          <w:noProof/>
          <w:sz w:val="24"/>
          <w:szCs w:val="24"/>
        </w:rPr>
        <w:t>(Krebs et al., 2017; Mataix-Cols et al., 2015)</w:t>
      </w:r>
      <w:r w:rsidR="00527D32" w:rsidRPr="00E73BB1">
        <w:rPr>
          <w:rFonts w:ascii="Times New Roman" w:hAnsi="Times New Roman" w:cs="Times New Roman"/>
          <w:sz w:val="24"/>
          <w:szCs w:val="24"/>
        </w:rPr>
        <w:t xml:space="preserve">. </w:t>
      </w:r>
      <w:r w:rsidRPr="00E73BB1">
        <w:rPr>
          <w:rFonts w:ascii="Times New Roman" w:hAnsi="Times New Roman" w:cs="Times New Roman"/>
          <w:sz w:val="24"/>
          <w:szCs w:val="24"/>
        </w:rPr>
        <w:t>Notably</w:t>
      </w:r>
      <w:r w:rsidR="00527D32" w:rsidRPr="00E73BB1">
        <w:rPr>
          <w:rFonts w:ascii="Times New Roman" w:hAnsi="Times New Roman" w:cs="Times New Roman"/>
          <w:sz w:val="24"/>
          <w:szCs w:val="24"/>
        </w:rPr>
        <w:t>, t</w:t>
      </w:r>
      <w:r w:rsidR="00BC785B" w:rsidRPr="00E73BB1">
        <w:rPr>
          <w:rFonts w:ascii="Times New Roman" w:hAnsi="Times New Roman" w:cs="Times New Roman"/>
          <w:sz w:val="24"/>
          <w:szCs w:val="24"/>
        </w:rPr>
        <w:t>he BIQLI</w:t>
      </w:r>
      <w:r w:rsidR="00C40D22" w:rsidRPr="00E73BB1">
        <w:rPr>
          <w:rFonts w:ascii="Times New Roman" w:hAnsi="Times New Roman" w:cs="Times New Roman"/>
          <w:sz w:val="24"/>
          <w:szCs w:val="24"/>
        </w:rPr>
        <w:t xml:space="preserve"> includes</w:t>
      </w:r>
      <w:r w:rsidR="003A3F1F" w:rsidRPr="00E73BB1">
        <w:rPr>
          <w:rFonts w:ascii="Times New Roman" w:hAnsi="Times New Roman" w:cs="Times New Roman"/>
          <w:sz w:val="24"/>
          <w:szCs w:val="24"/>
        </w:rPr>
        <w:t xml:space="preserve"> perceived</w:t>
      </w:r>
      <w:r w:rsidR="00C40D22" w:rsidRPr="00E73BB1">
        <w:rPr>
          <w:rFonts w:ascii="Times New Roman" w:hAnsi="Times New Roman" w:cs="Times New Roman"/>
          <w:sz w:val="24"/>
          <w:szCs w:val="24"/>
        </w:rPr>
        <w:t xml:space="preserve"> </w:t>
      </w:r>
      <w:r w:rsidR="00264A85" w:rsidRPr="00E73BB1">
        <w:rPr>
          <w:rFonts w:ascii="Times New Roman" w:hAnsi="Times New Roman" w:cs="Times New Roman"/>
          <w:sz w:val="24"/>
          <w:szCs w:val="24"/>
        </w:rPr>
        <w:t xml:space="preserve">impact on </w:t>
      </w:r>
      <w:r w:rsidR="00657D21" w:rsidRPr="00E73BB1">
        <w:rPr>
          <w:rFonts w:ascii="Times New Roman" w:hAnsi="Times New Roman" w:cs="Times New Roman"/>
          <w:sz w:val="24"/>
          <w:szCs w:val="24"/>
        </w:rPr>
        <w:t xml:space="preserve">mental </w:t>
      </w:r>
      <w:r w:rsidR="00C40D22" w:rsidRPr="00E73BB1">
        <w:rPr>
          <w:rFonts w:ascii="Times New Roman" w:hAnsi="Times New Roman" w:cs="Times New Roman"/>
          <w:sz w:val="24"/>
          <w:szCs w:val="24"/>
        </w:rPr>
        <w:t>well-being (e</w:t>
      </w:r>
      <w:r w:rsidR="00BC785B" w:rsidRPr="00E73BB1">
        <w:rPr>
          <w:rFonts w:ascii="Times New Roman" w:hAnsi="Times New Roman" w:cs="Times New Roman"/>
          <w:sz w:val="24"/>
          <w:szCs w:val="24"/>
        </w:rPr>
        <w:t xml:space="preserve">.g., self-worth, </w:t>
      </w:r>
      <w:r w:rsidR="00126A17" w:rsidRPr="00E73BB1">
        <w:rPr>
          <w:rFonts w:ascii="Times New Roman" w:hAnsi="Times New Roman" w:cs="Times New Roman"/>
          <w:sz w:val="24"/>
          <w:szCs w:val="24"/>
        </w:rPr>
        <w:t xml:space="preserve">emotions, </w:t>
      </w:r>
      <w:r w:rsidR="00BC785B" w:rsidRPr="00E73BB1">
        <w:rPr>
          <w:rFonts w:ascii="Times New Roman" w:hAnsi="Times New Roman" w:cs="Times New Roman"/>
          <w:sz w:val="24"/>
          <w:szCs w:val="24"/>
        </w:rPr>
        <w:t>happiness and confidence</w:t>
      </w:r>
      <w:r w:rsidR="00126A17" w:rsidRPr="00E73BB1">
        <w:rPr>
          <w:rFonts w:ascii="Times New Roman" w:hAnsi="Times New Roman" w:cs="Times New Roman"/>
          <w:sz w:val="24"/>
          <w:szCs w:val="24"/>
        </w:rPr>
        <w:t xml:space="preserve"> </w:t>
      </w:r>
      <w:r w:rsidR="00D97D40" w:rsidRPr="00E73BB1">
        <w:rPr>
          <w:rFonts w:ascii="Times New Roman" w:hAnsi="Times New Roman" w:cs="Times New Roman"/>
          <w:sz w:val="24"/>
          <w:szCs w:val="24"/>
        </w:rPr>
        <w:t>in</w:t>
      </w:r>
      <w:r w:rsidR="00126A17" w:rsidRPr="00E73BB1">
        <w:rPr>
          <w:rFonts w:ascii="Times New Roman" w:hAnsi="Times New Roman" w:cs="Times New Roman"/>
          <w:sz w:val="24"/>
          <w:szCs w:val="24"/>
        </w:rPr>
        <w:t xml:space="preserve"> everyday life</w:t>
      </w:r>
      <w:r w:rsidR="00C40D22" w:rsidRPr="00E73BB1">
        <w:rPr>
          <w:rFonts w:ascii="Times New Roman" w:hAnsi="Times New Roman" w:cs="Times New Roman"/>
          <w:sz w:val="24"/>
          <w:szCs w:val="24"/>
        </w:rPr>
        <w:t>)</w:t>
      </w:r>
      <w:r w:rsidR="00BC785B" w:rsidRPr="00E73BB1">
        <w:rPr>
          <w:rFonts w:ascii="Times New Roman" w:hAnsi="Times New Roman" w:cs="Times New Roman"/>
          <w:sz w:val="24"/>
          <w:szCs w:val="24"/>
        </w:rPr>
        <w:t xml:space="preserve"> </w:t>
      </w:r>
      <w:r w:rsidR="002F5A12" w:rsidRPr="00E73BB1">
        <w:rPr>
          <w:rFonts w:ascii="Times New Roman" w:hAnsi="Times New Roman" w:cs="Times New Roman"/>
          <w:sz w:val="24"/>
          <w:szCs w:val="24"/>
        </w:rPr>
        <w:t xml:space="preserve">and </w:t>
      </w:r>
      <w:r w:rsidR="00BC785B" w:rsidRPr="00E73BB1">
        <w:rPr>
          <w:rFonts w:ascii="Times New Roman" w:hAnsi="Times New Roman" w:cs="Times New Roman"/>
          <w:sz w:val="24"/>
          <w:szCs w:val="24"/>
        </w:rPr>
        <w:t xml:space="preserve">health behaviours (e.g., </w:t>
      </w:r>
      <w:r w:rsidR="00126A17" w:rsidRPr="00E73BB1">
        <w:rPr>
          <w:rFonts w:ascii="Times New Roman" w:hAnsi="Times New Roman" w:cs="Times New Roman"/>
          <w:sz w:val="24"/>
          <w:szCs w:val="24"/>
        </w:rPr>
        <w:t>control of eating</w:t>
      </w:r>
      <w:r w:rsidR="00D97D40" w:rsidRPr="00E73BB1">
        <w:rPr>
          <w:rFonts w:ascii="Times New Roman" w:hAnsi="Times New Roman" w:cs="Times New Roman"/>
          <w:sz w:val="24"/>
          <w:szCs w:val="24"/>
        </w:rPr>
        <w:t xml:space="preserve"> and</w:t>
      </w:r>
      <w:r w:rsidR="00126A17" w:rsidRPr="00E73BB1">
        <w:rPr>
          <w:rFonts w:ascii="Times New Roman" w:hAnsi="Times New Roman" w:cs="Times New Roman"/>
          <w:sz w:val="24"/>
          <w:szCs w:val="24"/>
        </w:rPr>
        <w:t xml:space="preserve"> </w:t>
      </w:r>
      <w:r w:rsidR="00BC785B" w:rsidRPr="00E73BB1">
        <w:rPr>
          <w:rFonts w:ascii="Times New Roman" w:hAnsi="Times New Roman" w:cs="Times New Roman"/>
          <w:sz w:val="24"/>
          <w:szCs w:val="24"/>
        </w:rPr>
        <w:t>weight, physical exercise)</w:t>
      </w:r>
      <w:r w:rsidR="006825E1" w:rsidRPr="00E73BB1">
        <w:rPr>
          <w:rFonts w:ascii="Times New Roman" w:hAnsi="Times New Roman" w:cs="Times New Roman"/>
          <w:sz w:val="24"/>
          <w:szCs w:val="24"/>
        </w:rPr>
        <w:t>,</w:t>
      </w:r>
      <w:r w:rsidR="00C40D22" w:rsidRPr="00E73BB1">
        <w:rPr>
          <w:rFonts w:ascii="Times New Roman" w:hAnsi="Times New Roman" w:cs="Times New Roman"/>
          <w:sz w:val="24"/>
          <w:szCs w:val="24"/>
        </w:rPr>
        <w:t xml:space="preserve"> as well as impact on </w:t>
      </w:r>
      <w:r w:rsidR="006E0816" w:rsidRPr="00E73BB1">
        <w:rPr>
          <w:rFonts w:ascii="Times New Roman" w:hAnsi="Times New Roman" w:cs="Times New Roman"/>
          <w:sz w:val="24"/>
          <w:szCs w:val="24"/>
        </w:rPr>
        <w:t xml:space="preserve">broader </w:t>
      </w:r>
      <w:r w:rsidR="00657D21" w:rsidRPr="00E73BB1">
        <w:rPr>
          <w:rFonts w:ascii="Times New Roman" w:hAnsi="Times New Roman" w:cs="Times New Roman"/>
          <w:sz w:val="24"/>
          <w:szCs w:val="24"/>
        </w:rPr>
        <w:t>social</w:t>
      </w:r>
      <w:r w:rsidR="007238EC" w:rsidRPr="00E73BB1">
        <w:rPr>
          <w:rFonts w:ascii="Times New Roman" w:hAnsi="Times New Roman" w:cs="Times New Roman"/>
          <w:sz w:val="24"/>
          <w:szCs w:val="24"/>
        </w:rPr>
        <w:t xml:space="preserve"> and</w:t>
      </w:r>
      <w:r w:rsidR="00657D21" w:rsidRPr="00E73BB1">
        <w:rPr>
          <w:rFonts w:ascii="Times New Roman" w:hAnsi="Times New Roman" w:cs="Times New Roman"/>
          <w:sz w:val="24"/>
          <w:szCs w:val="24"/>
        </w:rPr>
        <w:t xml:space="preserve"> work</w:t>
      </w:r>
      <w:r w:rsidR="007238EC" w:rsidRPr="00E73BB1">
        <w:rPr>
          <w:rFonts w:ascii="Times New Roman" w:hAnsi="Times New Roman" w:cs="Times New Roman"/>
          <w:sz w:val="24"/>
          <w:szCs w:val="24"/>
        </w:rPr>
        <w:t>/</w:t>
      </w:r>
      <w:r w:rsidR="00126A17" w:rsidRPr="00E73BB1">
        <w:rPr>
          <w:rFonts w:ascii="Times New Roman" w:hAnsi="Times New Roman" w:cs="Times New Roman"/>
          <w:sz w:val="24"/>
          <w:szCs w:val="24"/>
        </w:rPr>
        <w:t xml:space="preserve">school </w:t>
      </w:r>
      <w:r w:rsidR="00657D21" w:rsidRPr="00E73BB1">
        <w:rPr>
          <w:rFonts w:ascii="Times New Roman" w:hAnsi="Times New Roman" w:cs="Times New Roman"/>
          <w:sz w:val="24"/>
          <w:szCs w:val="24"/>
        </w:rPr>
        <w:t>functioning</w:t>
      </w:r>
      <w:r w:rsidR="00A13983" w:rsidRPr="00E73BB1">
        <w:rPr>
          <w:rFonts w:ascii="Times New Roman" w:hAnsi="Times New Roman" w:cs="Times New Roman"/>
          <w:sz w:val="24"/>
          <w:szCs w:val="24"/>
        </w:rPr>
        <w:t>,</w:t>
      </w:r>
      <w:r w:rsidR="00C40D22" w:rsidRPr="00E73BB1">
        <w:rPr>
          <w:rFonts w:ascii="Times New Roman" w:hAnsi="Times New Roman" w:cs="Times New Roman"/>
          <w:sz w:val="24"/>
          <w:szCs w:val="24"/>
        </w:rPr>
        <w:t xml:space="preserve"> in an overall score. Therefore</w:t>
      </w:r>
      <w:r w:rsidR="00657D21" w:rsidRPr="00E73BB1">
        <w:rPr>
          <w:rFonts w:ascii="Times New Roman" w:hAnsi="Times New Roman" w:cs="Times New Roman"/>
          <w:sz w:val="24"/>
          <w:szCs w:val="24"/>
        </w:rPr>
        <w:t>,</w:t>
      </w:r>
      <w:r w:rsidR="00C40D22" w:rsidRPr="00E73BB1">
        <w:rPr>
          <w:rFonts w:ascii="Times New Roman" w:hAnsi="Times New Roman" w:cs="Times New Roman"/>
          <w:sz w:val="24"/>
          <w:szCs w:val="24"/>
        </w:rPr>
        <w:t xml:space="preserve"> it </w:t>
      </w:r>
      <w:r w:rsidR="00D97D40" w:rsidRPr="00E73BB1">
        <w:rPr>
          <w:rFonts w:ascii="Times New Roman" w:hAnsi="Times New Roman" w:cs="Times New Roman"/>
          <w:sz w:val="24"/>
          <w:szCs w:val="24"/>
        </w:rPr>
        <w:t>does not capture</w:t>
      </w:r>
      <w:r w:rsidR="00C40D22" w:rsidRPr="00E73BB1">
        <w:rPr>
          <w:rFonts w:ascii="Times New Roman" w:hAnsi="Times New Roman" w:cs="Times New Roman"/>
          <w:sz w:val="24"/>
          <w:szCs w:val="24"/>
        </w:rPr>
        <w:t xml:space="preserve"> specific impact</w:t>
      </w:r>
      <w:r w:rsidR="00657D21" w:rsidRPr="00E73BB1">
        <w:rPr>
          <w:rFonts w:ascii="Times New Roman" w:hAnsi="Times New Roman" w:cs="Times New Roman"/>
          <w:sz w:val="24"/>
          <w:szCs w:val="24"/>
        </w:rPr>
        <w:t>s</w:t>
      </w:r>
      <w:r w:rsidR="00C40D22" w:rsidRPr="00E73BB1">
        <w:rPr>
          <w:rFonts w:ascii="Times New Roman" w:hAnsi="Times New Roman" w:cs="Times New Roman"/>
          <w:sz w:val="24"/>
          <w:szCs w:val="24"/>
        </w:rPr>
        <w:t xml:space="preserve"> on engagement in life activities</w:t>
      </w:r>
      <w:r w:rsidR="00BC785B" w:rsidRPr="00E73BB1">
        <w:rPr>
          <w:rFonts w:ascii="Times New Roman" w:hAnsi="Times New Roman" w:cs="Times New Roman"/>
          <w:sz w:val="24"/>
          <w:szCs w:val="24"/>
        </w:rPr>
        <w:t xml:space="preserve"> beyond physical and mental health</w:t>
      </w:r>
      <w:r w:rsidR="005A2063" w:rsidRPr="00E73BB1">
        <w:rPr>
          <w:rFonts w:ascii="Times New Roman" w:hAnsi="Times New Roman" w:cs="Times New Roman"/>
          <w:sz w:val="24"/>
          <w:szCs w:val="24"/>
        </w:rPr>
        <w:t xml:space="preserve"> functioning</w:t>
      </w:r>
      <w:r w:rsidR="00C40D22" w:rsidRPr="00E73BB1">
        <w:rPr>
          <w:rFonts w:ascii="Times New Roman" w:hAnsi="Times New Roman" w:cs="Times New Roman"/>
          <w:sz w:val="24"/>
          <w:szCs w:val="24"/>
        </w:rPr>
        <w:t xml:space="preserve">. </w:t>
      </w:r>
      <w:r w:rsidR="00BC785B" w:rsidRPr="00E73BB1">
        <w:rPr>
          <w:rFonts w:ascii="Times New Roman" w:hAnsi="Times New Roman" w:cs="Times New Roman"/>
          <w:sz w:val="24"/>
          <w:szCs w:val="24"/>
        </w:rPr>
        <w:t>In addition, it is a relatively long measure at 19 items</w:t>
      </w:r>
      <w:r w:rsidR="00D942DE" w:rsidRPr="00E73BB1">
        <w:rPr>
          <w:rFonts w:ascii="Times New Roman" w:hAnsi="Times New Roman" w:cs="Times New Roman"/>
          <w:sz w:val="24"/>
          <w:szCs w:val="24"/>
        </w:rPr>
        <w:t>,</w:t>
      </w:r>
      <w:r w:rsidR="00BC785B" w:rsidRPr="00E73BB1">
        <w:rPr>
          <w:rFonts w:ascii="Times New Roman" w:hAnsi="Times New Roman" w:cs="Times New Roman"/>
          <w:sz w:val="24"/>
          <w:szCs w:val="24"/>
        </w:rPr>
        <w:t xml:space="preserve"> </w:t>
      </w:r>
      <w:r w:rsidR="00D942DE" w:rsidRPr="00E73BB1">
        <w:rPr>
          <w:rFonts w:ascii="Times New Roman" w:hAnsi="Times New Roman" w:cs="Times New Roman"/>
          <w:sz w:val="24"/>
          <w:szCs w:val="24"/>
        </w:rPr>
        <w:t>as well as requiring payment and conditions for use</w:t>
      </w:r>
      <w:r w:rsidR="00BC785B" w:rsidRPr="00E73BB1">
        <w:rPr>
          <w:rFonts w:ascii="Times New Roman" w:hAnsi="Times New Roman" w:cs="Times New Roman"/>
          <w:sz w:val="24"/>
          <w:szCs w:val="24"/>
        </w:rPr>
        <w:t xml:space="preserve">, therefore </w:t>
      </w:r>
      <w:r w:rsidR="002B138A" w:rsidRPr="00E73BB1">
        <w:rPr>
          <w:rFonts w:ascii="Times New Roman" w:hAnsi="Times New Roman" w:cs="Times New Roman"/>
          <w:sz w:val="24"/>
          <w:szCs w:val="24"/>
        </w:rPr>
        <w:t xml:space="preserve">potentially </w:t>
      </w:r>
      <w:r w:rsidR="00BC785B" w:rsidRPr="00E73BB1">
        <w:rPr>
          <w:rFonts w:ascii="Times New Roman" w:hAnsi="Times New Roman" w:cs="Times New Roman"/>
          <w:sz w:val="24"/>
          <w:szCs w:val="24"/>
        </w:rPr>
        <w:t xml:space="preserve">limiting easy </w:t>
      </w:r>
      <w:r w:rsidR="00D942DE" w:rsidRPr="00E73BB1">
        <w:rPr>
          <w:rFonts w:ascii="Times New Roman" w:hAnsi="Times New Roman" w:cs="Times New Roman"/>
          <w:sz w:val="24"/>
          <w:szCs w:val="24"/>
        </w:rPr>
        <w:t xml:space="preserve">access </w:t>
      </w:r>
      <w:r w:rsidR="00BC785B" w:rsidRPr="00E73BB1">
        <w:rPr>
          <w:rFonts w:ascii="Times New Roman" w:hAnsi="Times New Roman" w:cs="Times New Roman"/>
          <w:sz w:val="24"/>
          <w:szCs w:val="24"/>
        </w:rPr>
        <w:t>and widespread adoption.</w:t>
      </w:r>
      <w:r w:rsidR="007F02DB" w:rsidRPr="00E73BB1">
        <w:rPr>
          <w:rFonts w:ascii="Times New Roman" w:hAnsi="Times New Roman" w:cs="Times New Roman"/>
          <w:sz w:val="24"/>
          <w:szCs w:val="24"/>
        </w:rPr>
        <w:t xml:space="preserve"> </w:t>
      </w:r>
    </w:p>
    <w:p w14:paraId="7725147A" w14:textId="7F74D987" w:rsidR="00007467" w:rsidRPr="00E73BB1" w:rsidRDefault="00C40D22" w:rsidP="00C40D22">
      <w:pPr>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 xml:space="preserve">Within the </w:t>
      </w:r>
      <w:r w:rsidR="00BC785B" w:rsidRPr="00E73BB1">
        <w:rPr>
          <w:rFonts w:ascii="Times New Roman" w:hAnsi="Times New Roman" w:cs="Times New Roman"/>
          <w:sz w:val="24"/>
          <w:szCs w:val="24"/>
        </w:rPr>
        <w:t>related field of eating disorders</w:t>
      </w:r>
      <w:r w:rsidRPr="00E73BB1">
        <w:rPr>
          <w:rFonts w:ascii="Times New Roman" w:hAnsi="Times New Roman" w:cs="Times New Roman"/>
          <w:sz w:val="24"/>
          <w:szCs w:val="24"/>
        </w:rPr>
        <w:t xml:space="preserve">, researchers have assessed </w:t>
      </w:r>
      <w:r w:rsidR="00126A17" w:rsidRPr="00E73BB1">
        <w:rPr>
          <w:rFonts w:ascii="Times New Roman" w:hAnsi="Times New Roman" w:cs="Times New Roman"/>
          <w:sz w:val="24"/>
          <w:szCs w:val="24"/>
        </w:rPr>
        <w:t>broader life impacts</w:t>
      </w:r>
      <w:r w:rsidR="004E2B34" w:rsidRPr="00E73BB1">
        <w:rPr>
          <w:rFonts w:ascii="Times New Roman" w:hAnsi="Times New Roman" w:cs="Times New Roman"/>
          <w:sz w:val="24"/>
          <w:szCs w:val="24"/>
        </w:rPr>
        <w:t xml:space="preserve"> </w:t>
      </w:r>
      <w:r w:rsidR="00BC785B" w:rsidRPr="00E73BB1">
        <w:rPr>
          <w:rFonts w:ascii="Times New Roman" w:hAnsi="Times New Roman" w:cs="Times New Roman"/>
          <w:sz w:val="24"/>
          <w:szCs w:val="24"/>
        </w:rPr>
        <w:t xml:space="preserve">in different ways. For example, Stice and colleagues have assessed </w:t>
      </w:r>
      <w:r w:rsidRPr="00E73BB1">
        <w:rPr>
          <w:rFonts w:ascii="Times New Roman" w:hAnsi="Times New Roman" w:cs="Times New Roman"/>
          <w:sz w:val="24"/>
          <w:szCs w:val="24"/>
        </w:rPr>
        <w:t xml:space="preserve">social functioning </w:t>
      </w:r>
      <w:r w:rsidR="009D4946" w:rsidRPr="00E73BB1">
        <w:rPr>
          <w:rFonts w:ascii="Times New Roman" w:hAnsi="Times New Roman" w:cs="Times New Roman"/>
          <w:sz w:val="24"/>
          <w:szCs w:val="24"/>
        </w:rPr>
        <w:t>(selected items from the Social Adjustment Scale</w:t>
      </w:r>
      <w:r w:rsidR="006E0816" w:rsidRPr="00E73BB1">
        <w:rPr>
          <w:rFonts w:ascii="Times New Roman" w:hAnsi="Times New Roman" w:cs="Times New Roman"/>
          <w:noProof/>
          <w:sz w:val="24"/>
          <w:szCs w:val="24"/>
        </w:rPr>
        <w:t xml:space="preserve">; </w:t>
      </w:r>
      <w:r w:rsidR="00003380" w:rsidRPr="00E73BB1">
        <w:rPr>
          <w:rFonts w:ascii="Times New Roman" w:hAnsi="Times New Roman" w:cs="Times New Roman"/>
          <w:noProof/>
          <w:sz w:val="24"/>
          <w:szCs w:val="24"/>
        </w:rPr>
        <w:t>Weissman &amp; Bothwell, 1976</w:t>
      </w:r>
      <w:r w:rsidR="009D4946" w:rsidRPr="00E73BB1">
        <w:rPr>
          <w:rFonts w:ascii="Times New Roman" w:hAnsi="Times New Roman" w:cs="Times New Roman"/>
          <w:sz w:val="24"/>
          <w:szCs w:val="24"/>
        </w:rPr>
        <w:t xml:space="preserve">) </w:t>
      </w:r>
      <w:r w:rsidRPr="00E73BB1">
        <w:rPr>
          <w:rFonts w:ascii="Times New Roman" w:hAnsi="Times New Roman" w:cs="Times New Roman"/>
          <w:sz w:val="24"/>
          <w:szCs w:val="24"/>
        </w:rPr>
        <w:t>and healthcare use</w:t>
      </w:r>
      <w:r w:rsidR="00FD6BDC" w:rsidRPr="00E73BB1">
        <w:rPr>
          <w:rFonts w:ascii="Times New Roman" w:hAnsi="Times New Roman" w:cs="Times New Roman"/>
          <w:sz w:val="24"/>
          <w:szCs w:val="24"/>
        </w:rPr>
        <w:t xml:space="preserve"> (purpose-built items)</w:t>
      </w:r>
      <w:r w:rsidR="00BC785B" w:rsidRPr="00E73BB1">
        <w:rPr>
          <w:rFonts w:ascii="Times New Roman" w:hAnsi="Times New Roman" w:cs="Times New Roman"/>
          <w:sz w:val="24"/>
          <w:szCs w:val="24"/>
        </w:rPr>
        <w:t xml:space="preserve"> as outcomes of preventive interventions targeting risk factors</w:t>
      </w:r>
      <w:r w:rsidR="004E2B34" w:rsidRPr="00E73BB1">
        <w:rPr>
          <w:rFonts w:ascii="Times New Roman" w:hAnsi="Times New Roman" w:cs="Times New Roman"/>
          <w:sz w:val="24"/>
          <w:szCs w:val="24"/>
        </w:rPr>
        <w:t xml:space="preserve"> for eating disorders</w:t>
      </w:r>
      <w:r w:rsidR="006E0816" w:rsidRPr="00E73BB1">
        <w:rPr>
          <w:rFonts w:ascii="Times New Roman" w:hAnsi="Times New Roman" w:cs="Times New Roman"/>
          <w:sz w:val="24"/>
          <w:szCs w:val="24"/>
        </w:rPr>
        <w:t xml:space="preserve"> (including </w:t>
      </w:r>
      <w:r w:rsidR="00A13983" w:rsidRPr="00E73BB1">
        <w:rPr>
          <w:rFonts w:ascii="Times New Roman" w:hAnsi="Times New Roman" w:cs="Times New Roman"/>
          <w:sz w:val="24"/>
          <w:szCs w:val="24"/>
        </w:rPr>
        <w:t xml:space="preserve">but not limited to </w:t>
      </w:r>
      <w:r w:rsidR="006E0816" w:rsidRPr="00E73BB1">
        <w:rPr>
          <w:rFonts w:ascii="Times New Roman" w:hAnsi="Times New Roman" w:cs="Times New Roman"/>
          <w:sz w:val="24"/>
          <w:szCs w:val="24"/>
        </w:rPr>
        <w:t>body dissatisfaction)</w:t>
      </w:r>
      <w:r w:rsidR="00EE28D1" w:rsidRPr="00E73BB1">
        <w:rPr>
          <w:rFonts w:ascii="Times New Roman" w:hAnsi="Times New Roman" w:cs="Times New Roman"/>
          <w:sz w:val="24"/>
          <w:szCs w:val="24"/>
        </w:rPr>
        <w:t xml:space="preserve">, </w:t>
      </w:r>
      <w:r w:rsidR="00D7772A" w:rsidRPr="00E73BB1">
        <w:rPr>
          <w:rFonts w:ascii="Times New Roman" w:hAnsi="Times New Roman" w:cs="Times New Roman"/>
          <w:sz w:val="24"/>
          <w:szCs w:val="24"/>
        </w:rPr>
        <w:t xml:space="preserve">among older adolescent and young adult </w:t>
      </w:r>
      <w:r w:rsidR="002F4A11" w:rsidRPr="00E73BB1">
        <w:rPr>
          <w:rFonts w:ascii="Times New Roman" w:hAnsi="Times New Roman" w:cs="Times New Roman"/>
          <w:sz w:val="24"/>
          <w:szCs w:val="24"/>
        </w:rPr>
        <w:t>females</w:t>
      </w:r>
      <w:r w:rsidR="00105BA9" w:rsidRPr="00E73BB1">
        <w:rPr>
          <w:rFonts w:ascii="Times New Roman" w:hAnsi="Times New Roman" w:cs="Times New Roman"/>
          <w:sz w:val="24"/>
          <w:szCs w:val="24"/>
        </w:rPr>
        <w:t xml:space="preserve"> </w:t>
      </w:r>
      <w:r w:rsidR="00FA5BA4" w:rsidRPr="00E73BB1">
        <w:rPr>
          <w:rFonts w:ascii="Times New Roman" w:hAnsi="Times New Roman" w:cs="Times New Roman"/>
          <w:noProof/>
          <w:sz w:val="24"/>
          <w:szCs w:val="24"/>
        </w:rPr>
        <w:t>(Stice et al., 2015; Stice et al., 2011; Stice et al., 2006)</w:t>
      </w:r>
      <w:r w:rsidR="00BC785B" w:rsidRPr="00E73BB1">
        <w:rPr>
          <w:rFonts w:ascii="Times New Roman" w:hAnsi="Times New Roman" w:cs="Times New Roman"/>
          <w:sz w:val="24"/>
          <w:szCs w:val="24"/>
        </w:rPr>
        <w:t xml:space="preserve">. While </w:t>
      </w:r>
      <w:r w:rsidR="00126A17" w:rsidRPr="00E73BB1">
        <w:rPr>
          <w:rFonts w:ascii="Times New Roman" w:hAnsi="Times New Roman" w:cs="Times New Roman"/>
          <w:sz w:val="24"/>
          <w:szCs w:val="24"/>
        </w:rPr>
        <w:t>relevant</w:t>
      </w:r>
      <w:r w:rsidR="00BC785B" w:rsidRPr="00E73BB1">
        <w:rPr>
          <w:rFonts w:ascii="Times New Roman" w:hAnsi="Times New Roman" w:cs="Times New Roman"/>
          <w:sz w:val="24"/>
          <w:szCs w:val="24"/>
        </w:rPr>
        <w:t xml:space="preserve">, </w:t>
      </w:r>
      <w:r w:rsidR="00A13983" w:rsidRPr="00E73BB1">
        <w:rPr>
          <w:rFonts w:ascii="Times New Roman" w:hAnsi="Times New Roman" w:cs="Times New Roman"/>
          <w:sz w:val="24"/>
          <w:szCs w:val="24"/>
        </w:rPr>
        <w:t xml:space="preserve">this is a fragmented approach using </w:t>
      </w:r>
      <w:r w:rsidR="008C071F" w:rsidRPr="00E73BB1">
        <w:rPr>
          <w:rFonts w:ascii="Times New Roman" w:hAnsi="Times New Roman" w:cs="Times New Roman"/>
          <w:sz w:val="24"/>
          <w:szCs w:val="24"/>
        </w:rPr>
        <w:t xml:space="preserve">different </w:t>
      </w:r>
      <w:r w:rsidR="00BC785B" w:rsidRPr="00E73BB1">
        <w:rPr>
          <w:rFonts w:ascii="Times New Roman" w:hAnsi="Times New Roman" w:cs="Times New Roman"/>
          <w:sz w:val="24"/>
          <w:szCs w:val="24"/>
        </w:rPr>
        <w:t xml:space="preserve">measures </w:t>
      </w:r>
      <w:r w:rsidR="00A13983" w:rsidRPr="00E73BB1">
        <w:rPr>
          <w:rFonts w:ascii="Times New Roman" w:hAnsi="Times New Roman" w:cs="Times New Roman"/>
          <w:sz w:val="24"/>
          <w:szCs w:val="24"/>
        </w:rPr>
        <w:t xml:space="preserve">that </w:t>
      </w:r>
      <w:r w:rsidR="009C59F0" w:rsidRPr="00E73BB1">
        <w:rPr>
          <w:rFonts w:ascii="Times New Roman" w:hAnsi="Times New Roman" w:cs="Times New Roman"/>
          <w:sz w:val="24"/>
          <w:szCs w:val="24"/>
        </w:rPr>
        <w:t xml:space="preserve">have not been </w:t>
      </w:r>
      <w:r w:rsidR="009C59F0" w:rsidRPr="00E73BB1">
        <w:rPr>
          <w:rFonts w:ascii="Times New Roman" w:hAnsi="Times New Roman" w:cs="Times New Roman"/>
          <w:sz w:val="24"/>
          <w:szCs w:val="24"/>
        </w:rPr>
        <w:lastRenderedPageBreak/>
        <w:t xml:space="preserve">validated in this context beyond reporting of </w:t>
      </w:r>
      <w:r w:rsidR="00F60AF6" w:rsidRPr="00E73BB1">
        <w:rPr>
          <w:rFonts w:ascii="Times New Roman" w:hAnsi="Times New Roman" w:cs="Times New Roman"/>
          <w:sz w:val="24"/>
          <w:szCs w:val="24"/>
        </w:rPr>
        <w:t xml:space="preserve">internal and test-retest </w:t>
      </w:r>
      <w:r w:rsidR="00316694" w:rsidRPr="00E73BB1">
        <w:rPr>
          <w:rFonts w:ascii="Times New Roman" w:hAnsi="Times New Roman" w:cs="Times New Roman"/>
          <w:sz w:val="24"/>
          <w:szCs w:val="24"/>
        </w:rPr>
        <w:t>reliability</w:t>
      </w:r>
      <w:r w:rsidR="00DE2E29" w:rsidRPr="00E73BB1">
        <w:rPr>
          <w:rFonts w:ascii="Times New Roman" w:hAnsi="Times New Roman" w:cs="Times New Roman"/>
          <w:sz w:val="24"/>
          <w:szCs w:val="24"/>
        </w:rPr>
        <w:t xml:space="preserve"> in efficacy trials</w:t>
      </w:r>
      <w:r w:rsidR="004E2B34" w:rsidRPr="00E73BB1">
        <w:rPr>
          <w:rFonts w:ascii="Times New Roman" w:hAnsi="Times New Roman" w:cs="Times New Roman"/>
          <w:sz w:val="24"/>
          <w:szCs w:val="24"/>
        </w:rPr>
        <w:t xml:space="preserve"> with females</w:t>
      </w:r>
      <w:r w:rsidR="00316694" w:rsidRPr="00E73BB1">
        <w:rPr>
          <w:rFonts w:ascii="Times New Roman" w:hAnsi="Times New Roman" w:cs="Times New Roman"/>
          <w:sz w:val="24"/>
          <w:szCs w:val="24"/>
        </w:rPr>
        <w:t xml:space="preserve">, and </w:t>
      </w:r>
      <w:r w:rsidR="00BC785B" w:rsidRPr="00E73BB1">
        <w:rPr>
          <w:rFonts w:ascii="Times New Roman" w:hAnsi="Times New Roman" w:cs="Times New Roman"/>
          <w:sz w:val="24"/>
          <w:szCs w:val="24"/>
        </w:rPr>
        <w:t xml:space="preserve">are </w:t>
      </w:r>
      <w:r w:rsidR="006E0816" w:rsidRPr="00E73BB1">
        <w:rPr>
          <w:rFonts w:ascii="Times New Roman" w:hAnsi="Times New Roman" w:cs="Times New Roman"/>
          <w:sz w:val="24"/>
          <w:szCs w:val="24"/>
        </w:rPr>
        <w:t xml:space="preserve">also </w:t>
      </w:r>
      <w:r w:rsidR="00BC785B" w:rsidRPr="00E73BB1">
        <w:rPr>
          <w:rFonts w:ascii="Times New Roman" w:hAnsi="Times New Roman" w:cs="Times New Roman"/>
          <w:sz w:val="24"/>
          <w:szCs w:val="24"/>
        </w:rPr>
        <w:t xml:space="preserve">not specific to body image. </w:t>
      </w:r>
    </w:p>
    <w:p w14:paraId="00DEBA1C" w14:textId="7BE97CF1" w:rsidR="00C40D22" w:rsidRPr="00E73BB1" w:rsidRDefault="00A13983" w:rsidP="00C40D22">
      <w:pPr>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T</w:t>
      </w:r>
      <w:r w:rsidR="00EE28D1" w:rsidRPr="00E73BB1">
        <w:rPr>
          <w:rFonts w:ascii="Times New Roman" w:hAnsi="Times New Roman" w:cs="Times New Roman"/>
          <w:sz w:val="24"/>
          <w:szCs w:val="24"/>
        </w:rPr>
        <w:t xml:space="preserve">he </w:t>
      </w:r>
      <w:r w:rsidR="00EE28D1" w:rsidRPr="00E73BB1">
        <w:rPr>
          <w:rFonts w:ascii="Times New Roman" w:hAnsi="Times New Roman" w:cs="Times New Roman"/>
          <w:i/>
          <w:iCs/>
          <w:sz w:val="24"/>
          <w:szCs w:val="24"/>
        </w:rPr>
        <w:t>Clinical Impairment Assessment</w:t>
      </w:r>
      <w:r w:rsidR="00E9136B" w:rsidRPr="00E73BB1">
        <w:rPr>
          <w:rFonts w:ascii="Times New Roman" w:hAnsi="Times New Roman" w:cs="Times New Roman"/>
          <w:sz w:val="24"/>
          <w:szCs w:val="24"/>
        </w:rPr>
        <w:t xml:space="preserve"> </w:t>
      </w:r>
      <w:r w:rsidR="00E9136B" w:rsidRPr="00E73BB1">
        <w:rPr>
          <w:rFonts w:ascii="Times New Roman" w:hAnsi="Times New Roman" w:cs="Times New Roman"/>
          <w:noProof/>
          <w:sz w:val="24"/>
          <w:szCs w:val="24"/>
        </w:rPr>
        <w:t>(Bohn et al., 2008)</w:t>
      </w:r>
      <w:r w:rsidR="00914E7A" w:rsidRPr="00E73BB1">
        <w:rPr>
          <w:rFonts w:ascii="Times New Roman" w:hAnsi="Times New Roman" w:cs="Times New Roman"/>
          <w:sz w:val="24"/>
          <w:szCs w:val="24"/>
        </w:rPr>
        <w:t xml:space="preserve"> is </w:t>
      </w:r>
      <w:r w:rsidR="00E75457" w:rsidRPr="00E73BB1">
        <w:rPr>
          <w:rFonts w:ascii="Times New Roman" w:hAnsi="Times New Roman" w:cs="Times New Roman"/>
          <w:sz w:val="24"/>
          <w:szCs w:val="24"/>
        </w:rPr>
        <w:t xml:space="preserve">a </w:t>
      </w:r>
      <w:r w:rsidRPr="00E73BB1">
        <w:rPr>
          <w:rFonts w:ascii="Times New Roman" w:hAnsi="Times New Roman" w:cs="Times New Roman"/>
          <w:sz w:val="24"/>
          <w:szCs w:val="24"/>
        </w:rPr>
        <w:t xml:space="preserve">validated </w:t>
      </w:r>
      <w:r w:rsidR="00914E7A" w:rsidRPr="00E73BB1">
        <w:rPr>
          <w:rFonts w:ascii="Times New Roman" w:hAnsi="Times New Roman" w:cs="Times New Roman"/>
          <w:sz w:val="24"/>
          <w:szCs w:val="24"/>
        </w:rPr>
        <w:t>measure of psychosocial functioning</w:t>
      </w:r>
      <w:r w:rsidR="002F4A11" w:rsidRPr="00E73BB1">
        <w:rPr>
          <w:rFonts w:ascii="Times New Roman" w:hAnsi="Times New Roman" w:cs="Times New Roman"/>
          <w:sz w:val="24"/>
          <w:szCs w:val="24"/>
        </w:rPr>
        <w:t xml:space="preserve"> </w:t>
      </w:r>
      <w:r w:rsidR="008C071F" w:rsidRPr="00E73BB1">
        <w:rPr>
          <w:rFonts w:ascii="Times New Roman" w:hAnsi="Times New Roman" w:cs="Times New Roman"/>
          <w:sz w:val="24"/>
          <w:szCs w:val="24"/>
        </w:rPr>
        <w:t>related to eating disorders</w:t>
      </w:r>
      <w:r w:rsidRPr="00E73BB1">
        <w:rPr>
          <w:rFonts w:ascii="Times New Roman" w:hAnsi="Times New Roman" w:cs="Times New Roman"/>
          <w:sz w:val="24"/>
          <w:szCs w:val="24"/>
        </w:rPr>
        <w:t>. This 16-item measure</w:t>
      </w:r>
      <w:r w:rsidR="00914E7A" w:rsidRPr="00E73BB1">
        <w:rPr>
          <w:rFonts w:ascii="Times New Roman" w:hAnsi="Times New Roman" w:cs="Times New Roman"/>
          <w:sz w:val="24"/>
          <w:szCs w:val="24"/>
        </w:rPr>
        <w:t xml:space="preserve"> was</w:t>
      </w:r>
      <w:r w:rsidR="00EE28D1" w:rsidRPr="00E73BB1">
        <w:rPr>
          <w:rFonts w:ascii="Times New Roman" w:hAnsi="Times New Roman" w:cs="Times New Roman"/>
          <w:sz w:val="24"/>
          <w:szCs w:val="24"/>
        </w:rPr>
        <w:t xml:space="preserve"> developed and validated as a companion to </w:t>
      </w:r>
      <w:r w:rsidR="00AE5854" w:rsidRPr="00E73BB1">
        <w:rPr>
          <w:rFonts w:ascii="Times New Roman" w:hAnsi="Times New Roman" w:cs="Times New Roman"/>
          <w:sz w:val="24"/>
          <w:szCs w:val="24"/>
        </w:rPr>
        <w:t xml:space="preserve">the </w:t>
      </w:r>
      <w:r w:rsidR="00F74276" w:rsidRPr="00E73BB1">
        <w:rPr>
          <w:rFonts w:ascii="Times New Roman" w:hAnsi="Times New Roman" w:cs="Times New Roman"/>
          <w:sz w:val="24"/>
          <w:szCs w:val="24"/>
        </w:rPr>
        <w:t>assessment of eating disorder features</w:t>
      </w:r>
      <w:r w:rsidR="00AE5854" w:rsidRPr="00E73BB1">
        <w:rPr>
          <w:rFonts w:ascii="Times New Roman" w:hAnsi="Times New Roman" w:cs="Times New Roman"/>
          <w:sz w:val="24"/>
          <w:szCs w:val="24"/>
        </w:rPr>
        <w:t xml:space="preserve"> and designed to immediately follow such assessment</w:t>
      </w:r>
      <w:r w:rsidR="00F74276" w:rsidRPr="00E73BB1">
        <w:rPr>
          <w:rFonts w:ascii="Times New Roman" w:hAnsi="Times New Roman" w:cs="Times New Roman"/>
          <w:sz w:val="24"/>
          <w:szCs w:val="24"/>
        </w:rPr>
        <w:t xml:space="preserve"> (</w:t>
      </w:r>
      <w:r w:rsidR="00881F60" w:rsidRPr="00E73BB1">
        <w:rPr>
          <w:rFonts w:ascii="Times New Roman" w:hAnsi="Times New Roman" w:cs="Times New Roman"/>
          <w:sz w:val="24"/>
          <w:szCs w:val="24"/>
        </w:rPr>
        <w:t>i.e.,</w:t>
      </w:r>
      <w:r w:rsidR="00F74276" w:rsidRPr="00E73BB1">
        <w:rPr>
          <w:rFonts w:ascii="Times New Roman" w:hAnsi="Times New Roman" w:cs="Times New Roman"/>
          <w:sz w:val="24"/>
          <w:szCs w:val="24"/>
        </w:rPr>
        <w:t xml:space="preserve"> the Eating Disorder Examination Questionnaire; </w:t>
      </w:r>
      <w:r w:rsidR="00F74276" w:rsidRPr="00E73BB1">
        <w:rPr>
          <w:rFonts w:ascii="Times New Roman" w:hAnsi="Times New Roman" w:cs="Times New Roman"/>
          <w:noProof/>
          <w:sz w:val="24"/>
          <w:szCs w:val="24"/>
        </w:rPr>
        <w:t>Fairburn &amp; Beglin, 1994)</w:t>
      </w:r>
      <w:r w:rsidR="00AE5854" w:rsidRPr="00E73BB1">
        <w:rPr>
          <w:rFonts w:ascii="Times New Roman" w:hAnsi="Times New Roman" w:cs="Times New Roman"/>
          <w:sz w:val="24"/>
          <w:szCs w:val="24"/>
        </w:rPr>
        <w:t xml:space="preserve">. It </w:t>
      </w:r>
      <w:r w:rsidR="00F901DB" w:rsidRPr="00E73BB1">
        <w:rPr>
          <w:rFonts w:ascii="Times New Roman" w:hAnsi="Times New Roman" w:cs="Times New Roman"/>
          <w:sz w:val="24"/>
          <w:szCs w:val="24"/>
        </w:rPr>
        <w:t xml:space="preserve">is </w:t>
      </w:r>
      <w:r w:rsidR="00F74276" w:rsidRPr="00E73BB1">
        <w:rPr>
          <w:rFonts w:ascii="Times New Roman" w:hAnsi="Times New Roman" w:cs="Times New Roman"/>
          <w:sz w:val="24"/>
          <w:szCs w:val="24"/>
        </w:rPr>
        <w:t xml:space="preserve">therefore </w:t>
      </w:r>
      <w:r w:rsidR="00EE28D1" w:rsidRPr="00E73BB1">
        <w:rPr>
          <w:rFonts w:ascii="Times New Roman" w:hAnsi="Times New Roman" w:cs="Times New Roman"/>
          <w:sz w:val="24"/>
          <w:szCs w:val="24"/>
        </w:rPr>
        <w:t xml:space="preserve">primarily used as </w:t>
      </w:r>
      <w:r w:rsidR="00C50DE9" w:rsidRPr="00E73BB1">
        <w:rPr>
          <w:rFonts w:ascii="Times New Roman" w:hAnsi="Times New Roman" w:cs="Times New Roman"/>
          <w:sz w:val="24"/>
          <w:szCs w:val="24"/>
        </w:rPr>
        <w:t xml:space="preserve">a </w:t>
      </w:r>
      <w:r w:rsidR="00EE28D1" w:rsidRPr="00E73BB1">
        <w:rPr>
          <w:rFonts w:ascii="Times New Roman" w:hAnsi="Times New Roman" w:cs="Times New Roman"/>
          <w:sz w:val="24"/>
          <w:szCs w:val="24"/>
        </w:rPr>
        <w:t>tool for assessing Cognitive Behavioural Therapy (CBT) treatment for eating disorders</w:t>
      </w:r>
      <w:r w:rsidR="006825E1" w:rsidRPr="00E73BB1">
        <w:rPr>
          <w:rFonts w:ascii="Times New Roman" w:hAnsi="Times New Roman" w:cs="Times New Roman"/>
          <w:sz w:val="24"/>
          <w:szCs w:val="24"/>
        </w:rPr>
        <w:t xml:space="preserve"> </w:t>
      </w:r>
      <w:r w:rsidR="00DA00CA" w:rsidRPr="00E73BB1">
        <w:rPr>
          <w:rFonts w:ascii="Times New Roman" w:hAnsi="Times New Roman" w:cs="Times New Roman"/>
          <w:noProof/>
          <w:sz w:val="24"/>
          <w:szCs w:val="24"/>
        </w:rPr>
        <w:t>(Fairburn, 2008; Fairburn et al., 2009)</w:t>
      </w:r>
      <w:r w:rsidR="00EE28D1" w:rsidRPr="00E73BB1">
        <w:rPr>
          <w:rFonts w:ascii="Times New Roman" w:hAnsi="Times New Roman" w:cs="Times New Roman"/>
          <w:sz w:val="24"/>
          <w:szCs w:val="24"/>
        </w:rPr>
        <w:t xml:space="preserve">. </w:t>
      </w:r>
      <w:r w:rsidR="004E1598" w:rsidRPr="00E73BB1">
        <w:rPr>
          <w:rFonts w:ascii="Times New Roman" w:hAnsi="Times New Roman" w:cs="Times New Roman"/>
          <w:sz w:val="24"/>
          <w:szCs w:val="24"/>
        </w:rPr>
        <w:t xml:space="preserve">It </w:t>
      </w:r>
      <w:r w:rsidR="00EE28D1" w:rsidRPr="00E73BB1">
        <w:rPr>
          <w:rFonts w:ascii="Times New Roman" w:hAnsi="Times New Roman" w:cs="Times New Roman"/>
          <w:sz w:val="24"/>
          <w:szCs w:val="24"/>
        </w:rPr>
        <w:t>assess</w:t>
      </w:r>
      <w:r w:rsidR="00334048" w:rsidRPr="00E73BB1">
        <w:rPr>
          <w:rFonts w:ascii="Times New Roman" w:hAnsi="Times New Roman" w:cs="Times New Roman"/>
          <w:sz w:val="24"/>
          <w:szCs w:val="24"/>
        </w:rPr>
        <w:t>es</w:t>
      </w:r>
      <w:r w:rsidR="00B61D71" w:rsidRPr="00E73BB1">
        <w:rPr>
          <w:rFonts w:ascii="Times New Roman" w:hAnsi="Times New Roman" w:cs="Times New Roman"/>
          <w:sz w:val="24"/>
          <w:szCs w:val="24"/>
        </w:rPr>
        <w:t xml:space="preserve"> </w:t>
      </w:r>
      <w:r w:rsidR="00EE28D1" w:rsidRPr="00E73BB1">
        <w:rPr>
          <w:rFonts w:ascii="Times New Roman" w:hAnsi="Times New Roman" w:cs="Times New Roman"/>
          <w:sz w:val="24"/>
          <w:szCs w:val="24"/>
        </w:rPr>
        <w:t>impacts of</w:t>
      </w:r>
      <w:r w:rsidR="00C40D22" w:rsidRPr="00E73BB1">
        <w:rPr>
          <w:rFonts w:ascii="Times New Roman" w:hAnsi="Times New Roman" w:cs="Times New Roman"/>
          <w:sz w:val="24"/>
          <w:szCs w:val="24"/>
        </w:rPr>
        <w:t xml:space="preserve"> eating disorder features</w:t>
      </w:r>
      <w:r w:rsidR="00635352" w:rsidRPr="00E73BB1">
        <w:rPr>
          <w:rFonts w:ascii="Times New Roman" w:hAnsi="Times New Roman" w:cs="Times New Roman"/>
          <w:sz w:val="24"/>
          <w:szCs w:val="24"/>
        </w:rPr>
        <w:t xml:space="preserve"> </w:t>
      </w:r>
      <w:r w:rsidR="00C40D22" w:rsidRPr="00E73BB1">
        <w:rPr>
          <w:rFonts w:ascii="Times New Roman" w:hAnsi="Times New Roman" w:cs="Times New Roman"/>
          <w:sz w:val="24"/>
          <w:szCs w:val="24"/>
        </w:rPr>
        <w:t>(</w:t>
      </w:r>
      <w:r w:rsidR="0079215A" w:rsidRPr="00E73BB1">
        <w:rPr>
          <w:rFonts w:ascii="Times New Roman" w:hAnsi="Times New Roman" w:cs="Times New Roman"/>
          <w:sz w:val="24"/>
          <w:szCs w:val="24"/>
        </w:rPr>
        <w:t>i.e</w:t>
      </w:r>
      <w:r w:rsidR="00C40D22" w:rsidRPr="00E73BB1">
        <w:rPr>
          <w:rFonts w:ascii="Times New Roman" w:hAnsi="Times New Roman" w:cs="Times New Roman"/>
          <w:sz w:val="24"/>
          <w:szCs w:val="24"/>
        </w:rPr>
        <w:t>., eating</w:t>
      </w:r>
      <w:r w:rsidR="0079215A" w:rsidRPr="00E73BB1">
        <w:rPr>
          <w:rFonts w:ascii="Times New Roman" w:hAnsi="Times New Roman" w:cs="Times New Roman"/>
          <w:sz w:val="24"/>
          <w:szCs w:val="24"/>
        </w:rPr>
        <w:t xml:space="preserve"> habits,</w:t>
      </w:r>
      <w:r w:rsidR="00EE28D1" w:rsidRPr="00E73BB1">
        <w:rPr>
          <w:rFonts w:ascii="Times New Roman" w:hAnsi="Times New Roman" w:cs="Times New Roman"/>
          <w:sz w:val="24"/>
          <w:szCs w:val="24"/>
        </w:rPr>
        <w:t xml:space="preserve"> </w:t>
      </w:r>
      <w:r w:rsidR="00C40D22" w:rsidRPr="00E73BB1">
        <w:rPr>
          <w:rFonts w:ascii="Times New Roman" w:hAnsi="Times New Roman" w:cs="Times New Roman"/>
          <w:sz w:val="24"/>
          <w:szCs w:val="24"/>
        </w:rPr>
        <w:t>exercise, feelings about weight</w:t>
      </w:r>
      <w:r w:rsidR="00AE5854" w:rsidRPr="00E73BB1">
        <w:rPr>
          <w:rFonts w:ascii="Times New Roman" w:hAnsi="Times New Roman" w:cs="Times New Roman"/>
          <w:sz w:val="24"/>
          <w:szCs w:val="24"/>
        </w:rPr>
        <w:t xml:space="preserve"> or </w:t>
      </w:r>
      <w:r w:rsidR="00C40D22" w:rsidRPr="00E73BB1">
        <w:rPr>
          <w:rFonts w:ascii="Times New Roman" w:hAnsi="Times New Roman" w:cs="Times New Roman"/>
          <w:sz w:val="24"/>
          <w:szCs w:val="24"/>
        </w:rPr>
        <w:t>shape)</w:t>
      </w:r>
      <w:r w:rsidR="00635352" w:rsidRPr="00E73BB1">
        <w:rPr>
          <w:rFonts w:ascii="Times New Roman" w:hAnsi="Times New Roman" w:cs="Times New Roman"/>
          <w:sz w:val="24"/>
          <w:szCs w:val="24"/>
        </w:rPr>
        <w:t xml:space="preserve"> </w:t>
      </w:r>
      <w:r w:rsidR="00884C3F" w:rsidRPr="00E73BB1">
        <w:rPr>
          <w:rFonts w:ascii="Times New Roman" w:hAnsi="Times New Roman" w:cs="Times New Roman"/>
          <w:sz w:val="24"/>
          <w:szCs w:val="24"/>
        </w:rPr>
        <w:t>on</w:t>
      </w:r>
      <w:r w:rsidR="00635352" w:rsidRPr="00E73BB1">
        <w:rPr>
          <w:rFonts w:ascii="Times New Roman" w:hAnsi="Times New Roman" w:cs="Times New Roman"/>
          <w:sz w:val="24"/>
          <w:szCs w:val="24"/>
        </w:rPr>
        <w:t xml:space="preserve"> mood and self-perception, cognitive functioning, interpersonal functioning and work performance</w:t>
      </w:r>
      <w:r w:rsidR="00540D60" w:rsidRPr="00E73BB1">
        <w:rPr>
          <w:rFonts w:ascii="Times New Roman" w:hAnsi="Times New Roman" w:cs="Times New Roman"/>
          <w:sz w:val="24"/>
          <w:szCs w:val="24"/>
        </w:rPr>
        <w:t>,</w:t>
      </w:r>
      <w:r w:rsidR="00334048" w:rsidRPr="00E73BB1">
        <w:rPr>
          <w:rFonts w:ascii="Times New Roman" w:hAnsi="Times New Roman" w:cs="Times New Roman"/>
          <w:sz w:val="24"/>
          <w:szCs w:val="24"/>
        </w:rPr>
        <w:t xml:space="preserve"> in a global score</w:t>
      </w:r>
      <w:r w:rsidR="00635352" w:rsidRPr="00E73BB1">
        <w:rPr>
          <w:rFonts w:ascii="Times New Roman" w:hAnsi="Times New Roman" w:cs="Times New Roman"/>
          <w:sz w:val="24"/>
          <w:szCs w:val="24"/>
        </w:rPr>
        <w:t>.</w:t>
      </w:r>
      <w:r w:rsidR="008C071F" w:rsidRPr="00E73BB1">
        <w:rPr>
          <w:rFonts w:ascii="Times New Roman" w:hAnsi="Times New Roman" w:cs="Times New Roman"/>
          <w:sz w:val="24"/>
          <w:szCs w:val="24"/>
        </w:rPr>
        <w:t xml:space="preserve"> </w:t>
      </w:r>
      <w:r w:rsidR="00334048" w:rsidRPr="00E73BB1">
        <w:rPr>
          <w:rFonts w:ascii="Times New Roman" w:hAnsi="Times New Roman" w:cs="Times New Roman"/>
          <w:sz w:val="24"/>
          <w:szCs w:val="24"/>
        </w:rPr>
        <w:t xml:space="preserve">Similar to the BIQLI, it does not enable focused assessment of engagement in activities across a range of life domains separate to psychological functioning. </w:t>
      </w:r>
      <w:r w:rsidR="008C071F" w:rsidRPr="00E73BB1">
        <w:rPr>
          <w:rFonts w:ascii="Times New Roman" w:hAnsi="Times New Roman" w:cs="Times New Roman"/>
          <w:sz w:val="24"/>
          <w:szCs w:val="24"/>
        </w:rPr>
        <w:t>Given its intended</w:t>
      </w:r>
      <w:r w:rsidR="008538BB" w:rsidRPr="00E73BB1">
        <w:rPr>
          <w:rFonts w:ascii="Times New Roman" w:hAnsi="Times New Roman" w:cs="Times New Roman"/>
          <w:sz w:val="24"/>
          <w:szCs w:val="24"/>
        </w:rPr>
        <w:t xml:space="preserve"> </w:t>
      </w:r>
      <w:r w:rsidR="008C071F" w:rsidRPr="00E73BB1">
        <w:rPr>
          <w:rFonts w:ascii="Times New Roman" w:hAnsi="Times New Roman" w:cs="Times New Roman"/>
          <w:sz w:val="24"/>
          <w:szCs w:val="24"/>
        </w:rPr>
        <w:t xml:space="preserve">use alongside </w:t>
      </w:r>
      <w:r w:rsidR="00334048" w:rsidRPr="00E73BB1">
        <w:rPr>
          <w:rFonts w:ascii="Times New Roman" w:hAnsi="Times New Roman" w:cs="Times New Roman"/>
          <w:sz w:val="24"/>
          <w:szCs w:val="24"/>
        </w:rPr>
        <w:t xml:space="preserve">assessment of </w:t>
      </w:r>
      <w:r w:rsidR="008C071F" w:rsidRPr="00E73BB1">
        <w:rPr>
          <w:rFonts w:ascii="Times New Roman" w:hAnsi="Times New Roman" w:cs="Times New Roman"/>
          <w:sz w:val="24"/>
          <w:szCs w:val="24"/>
        </w:rPr>
        <w:t xml:space="preserve">eating disorder psychopathology, it </w:t>
      </w:r>
      <w:r w:rsidR="00540D60" w:rsidRPr="00E73BB1">
        <w:rPr>
          <w:rFonts w:ascii="Times New Roman" w:hAnsi="Times New Roman" w:cs="Times New Roman"/>
          <w:sz w:val="24"/>
          <w:szCs w:val="24"/>
        </w:rPr>
        <w:t xml:space="preserve">also </w:t>
      </w:r>
      <w:r w:rsidR="008C071F" w:rsidRPr="00E73BB1">
        <w:rPr>
          <w:rFonts w:ascii="Times New Roman" w:hAnsi="Times New Roman" w:cs="Times New Roman"/>
          <w:sz w:val="24"/>
          <w:szCs w:val="24"/>
        </w:rPr>
        <w:t>does not encompass aspects of appearance other than weight and shape (e.g., skin, hair, muscularity), which limits its applicability for body image more broadl</w:t>
      </w:r>
      <w:r w:rsidR="00334048" w:rsidRPr="00E73BB1">
        <w:rPr>
          <w:rFonts w:ascii="Times New Roman" w:hAnsi="Times New Roman" w:cs="Times New Roman"/>
          <w:sz w:val="24"/>
          <w:szCs w:val="24"/>
        </w:rPr>
        <w:t>y</w:t>
      </w:r>
      <w:r w:rsidR="00EE28D1" w:rsidRPr="00E73BB1">
        <w:rPr>
          <w:rFonts w:ascii="Times New Roman" w:hAnsi="Times New Roman" w:cs="Times New Roman"/>
          <w:sz w:val="24"/>
          <w:szCs w:val="24"/>
        </w:rPr>
        <w:t>.</w:t>
      </w:r>
      <w:r w:rsidR="00497639" w:rsidRPr="00E73BB1">
        <w:rPr>
          <w:rFonts w:ascii="Times New Roman" w:hAnsi="Times New Roman" w:cs="Times New Roman"/>
          <w:sz w:val="24"/>
          <w:szCs w:val="24"/>
        </w:rPr>
        <w:t xml:space="preserve"> </w:t>
      </w:r>
      <w:r w:rsidR="006F7039" w:rsidRPr="00E73BB1">
        <w:rPr>
          <w:rFonts w:ascii="Times New Roman" w:hAnsi="Times New Roman" w:cs="Times New Roman"/>
          <w:sz w:val="24"/>
          <w:szCs w:val="24"/>
        </w:rPr>
        <w:t>V</w:t>
      </w:r>
      <w:r w:rsidR="00023AF8" w:rsidRPr="00E73BB1">
        <w:rPr>
          <w:rFonts w:ascii="Times New Roman" w:hAnsi="Times New Roman" w:cs="Times New Roman"/>
          <w:sz w:val="24"/>
          <w:szCs w:val="24"/>
        </w:rPr>
        <w:t xml:space="preserve">alidation with adolescents is </w:t>
      </w:r>
      <w:r w:rsidR="008C277B" w:rsidRPr="00E73BB1">
        <w:rPr>
          <w:rFonts w:ascii="Times New Roman" w:hAnsi="Times New Roman" w:cs="Times New Roman"/>
          <w:sz w:val="24"/>
          <w:szCs w:val="24"/>
        </w:rPr>
        <w:t xml:space="preserve">currently </w:t>
      </w:r>
      <w:r w:rsidR="00023AF8" w:rsidRPr="00E73BB1">
        <w:rPr>
          <w:rFonts w:ascii="Times New Roman" w:hAnsi="Times New Roman" w:cs="Times New Roman"/>
          <w:sz w:val="24"/>
          <w:szCs w:val="24"/>
        </w:rPr>
        <w:t>limited to</w:t>
      </w:r>
      <w:r w:rsidR="007C1EB8" w:rsidRPr="00E73BB1">
        <w:rPr>
          <w:rFonts w:ascii="Times New Roman" w:hAnsi="Times New Roman" w:cs="Times New Roman"/>
          <w:sz w:val="24"/>
          <w:szCs w:val="24"/>
        </w:rPr>
        <w:t xml:space="preserve"> an adapted and translated version among Fijian</w:t>
      </w:r>
      <w:r w:rsidR="00023AF8" w:rsidRPr="00E73BB1">
        <w:rPr>
          <w:rFonts w:ascii="Times New Roman" w:hAnsi="Times New Roman" w:cs="Times New Roman"/>
          <w:sz w:val="24"/>
          <w:szCs w:val="24"/>
        </w:rPr>
        <w:t xml:space="preserve"> girls </w:t>
      </w:r>
      <w:r w:rsidR="007C1EB8" w:rsidRPr="00E73BB1">
        <w:rPr>
          <w:rFonts w:ascii="Times New Roman" w:hAnsi="Times New Roman" w:cs="Times New Roman"/>
          <w:noProof/>
          <w:sz w:val="24"/>
          <w:szCs w:val="24"/>
        </w:rPr>
        <w:t>(Becker et al., 2010)</w:t>
      </w:r>
      <w:r w:rsidR="00334048" w:rsidRPr="00E73BB1">
        <w:rPr>
          <w:rFonts w:ascii="Times New Roman" w:hAnsi="Times New Roman" w:cs="Times New Roman"/>
          <w:noProof/>
          <w:sz w:val="24"/>
          <w:szCs w:val="24"/>
        </w:rPr>
        <w:t xml:space="preserve">, although it has </w:t>
      </w:r>
      <w:r w:rsidR="008538BB" w:rsidRPr="00E73BB1">
        <w:rPr>
          <w:rFonts w:ascii="Times New Roman" w:hAnsi="Times New Roman" w:cs="Times New Roman"/>
          <w:noProof/>
          <w:sz w:val="24"/>
          <w:szCs w:val="24"/>
        </w:rPr>
        <w:t xml:space="preserve">also </w:t>
      </w:r>
      <w:r w:rsidR="00334048" w:rsidRPr="00E73BB1">
        <w:rPr>
          <w:rFonts w:ascii="Times New Roman" w:hAnsi="Times New Roman" w:cs="Times New Roman"/>
          <w:noProof/>
          <w:sz w:val="24"/>
          <w:szCs w:val="24"/>
        </w:rPr>
        <w:t xml:space="preserve">shown </w:t>
      </w:r>
      <w:r w:rsidR="006F7039" w:rsidRPr="00E73BB1">
        <w:rPr>
          <w:rFonts w:ascii="Times New Roman" w:hAnsi="Times New Roman" w:cs="Times New Roman"/>
          <w:noProof/>
          <w:sz w:val="24"/>
          <w:szCs w:val="24"/>
        </w:rPr>
        <w:t xml:space="preserve">good </w:t>
      </w:r>
      <w:r w:rsidR="00334048" w:rsidRPr="00E73BB1">
        <w:rPr>
          <w:rFonts w:ascii="Times New Roman" w:hAnsi="Times New Roman" w:cs="Times New Roman"/>
          <w:noProof/>
          <w:sz w:val="24"/>
          <w:szCs w:val="24"/>
        </w:rPr>
        <w:t>internal reliability in a trial of eating disorder prevention programmes among adolescent girls (Atkinson &amp; Wade, 2015)</w:t>
      </w:r>
      <w:r w:rsidR="008C277B" w:rsidRPr="00E73BB1">
        <w:rPr>
          <w:rFonts w:ascii="Times New Roman" w:hAnsi="Times New Roman" w:cs="Times New Roman"/>
          <w:sz w:val="24"/>
          <w:szCs w:val="24"/>
        </w:rPr>
        <w:t>.</w:t>
      </w:r>
    </w:p>
    <w:p w14:paraId="5D0D39AC" w14:textId="6B5142B9" w:rsidR="00093F7E" w:rsidRPr="00E73BB1" w:rsidRDefault="008C4C2C" w:rsidP="00C40D22">
      <w:pPr>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Finally,</w:t>
      </w:r>
      <w:r w:rsidR="00271C25" w:rsidRPr="00E73BB1">
        <w:rPr>
          <w:rFonts w:ascii="Times New Roman" w:hAnsi="Times New Roman" w:cs="Times New Roman"/>
          <w:sz w:val="24"/>
          <w:szCs w:val="24"/>
        </w:rPr>
        <w:t xml:space="preserve"> </w:t>
      </w:r>
      <w:r w:rsidR="0007512F" w:rsidRPr="00E73BB1">
        <w:rPr>
          <w:rFonts w:ascii="Times New Roman" w:hAnsi="Times New Roman" w:cs="Times New Roman"/>
          <w:sz w:val="24"/>
          <w:szCs w:val="24"/>
        </w:rPr>
        <w:t>assessing</w:t>
      </w:r>
      <w:r w:rsidR="00271C25" w:rsidRPr="00E73BB1">
        <w:rPr>
          <w:rFonts w:ascii="Times New Roman" w:hAnsi="Times New Roman" w:cs="Times New Roman"/>
          <w:sz w:val="24"/>
          <w:szCs w:val="24"/>
        </w:rPr>
        <w:t xml:space="preserve"> </w:t>
      </w:r>
      <w:r w:rsidR="009D146E" w:rsidRPr="00E73BB1">
        <w:rPr>
          <w:rFonts w:ascii="Times New Roman" w:hAnsi="Times New Roman" w:cs="Times New Roman"/>
          <w:sz w:val="24"/>
          <w:szCs w:val="24"/>
        </w:rPr>
        <w:t>behavioural</w:t>
      </w:r>
      <w:r w:rsidR="00271C25" w:rsidRPr="00E73BB1">
        <w:rPr>
          <w:rFonts w:ascii="Times New Roman" w:hAnsi="Times New Roman" w:cs="Times New Roman"/>
          <w:sz w:val="24"/>
          <w:szCs w:val="24"/>
        </w:rPr>
        <w:t xml:space="preserve"> avoidance </w:t>
      </w:r>
      <w:r w:rsidR="0007512F" w:rsidRPr="00E73BB1">
        <w:rPr>
          <w:rFonts w:ascii="Times New Roman" w:hAnsi="Times New Roman" w:cs="Times New Roman"/>
          <w:sz w:val="24"/>
          <w:szCs w:val="24"/>
        </w:rPr>
        <w:t>related to the</w:t>
      </w:r>
      <w:r w:rsidR="00271C25" w:rsidRPr="00E73BB1">
        <w:rPr>
          <w:rFonts w:ascii="Times New Roman" w:hAnsi="Times New Roman" w:cs="Times New Roman"/>
          <w:sz w:val="24"/>
          <w:szCs w:val="24"/>
        </w:rPr>
        <w:t xml:space="preserve"> body </w:t>
      </w:r>
      <w:r w:rsidR="0007512F" w:rsidRPr="00E73BB1">
        <w:rPr>
          <w:rFonts w:ascii="Times New Roman" w:hAnsi="Times New Roman" w:cs="Times New Roman"/>
          <w:sz w:val="24"/>
          <w:szCs w:val="24"/>
        </w:rPr>
        <w:t xml:space="preserve">could provide a useful index of broader </w:t>
      </w:r>
      <w:r w:rsidR="00E1317B" w:rsidRPr="00E73BB1">
        <w:rPr>
          <w:rFonts w:ascii="Times New Roman" w:hAnsi="Times New Roman" w:cs="Times New Roman"/>
          <w:sz w:val="24"/>
          <w:szCs w:val="24"/>
        </w:rPr>
        <w:t>impact</w:t>
      </w:r>
      <w:r w:rsidR="00271C25" w:rsidRPr="00E73BB1">
        <w:rPr>
          <w:rFonts w:ascii="Times New Roman" w:hAnsi="Times New Roman" w:cs="Times New Roman"/>
          <w:sz w:val="24"/>
          <w:szCs w:val="24"/>
        </w:rPr>
        <w:t xml:space="preserve">. </w:t>
      </w:r>
      <w:r w:rsidR="0007512F" w:rsidRPr="00E73BB1">
        <w:rPr>
          <w:rFonts w:ascii="Times New Roman" w:hAnsi="Times New Roman" w:cs="Times New Roman"/>
          <w:sz w:val="24"/>
          <w:szCs w:val="24"/>
        </w:rPr>
        <w:t>Avoidance</w:t>
      </w:r>
      <w:r w:rsidR="00FF34B1" w:rsidRPr="00E73BB1">
        <w:rPr>
          <w:rFonts w:ascii="Times New Roman" w:hAnsi="Times New Roman" w:cs="Times New Roman"/>
          <w:sz w:val="24"/>
          <w:szCs w:val="24"/>
        </w:rPr>
        <w:t xml:space="preserve"> is</w:t>
      </w:r>
      <w:r w:rsidR="0007512F" w:rsidRPr="00E73BB1">
        <w:rPr>
          <w:rFonts w:ascii="Times New Roman" w:hAnsi="Times New Roman" w:cs="Times New Roman"/>
          <w:sz w:val="24"/>
          <w:szCs w:val="24"/>
        </w:rPr>
        <w:t xml:space="preserve"> e</w:t>
      </w:r>
      <w:r w:rsidR="00CB5C95" w:rsidRPr="00E73BB1">
        <w:rPr>
          <w:rFonts w:ascii="Times New Roman" w:hAnsi="Times New Roman" w:cs="Times New Roman"/>
          <w:sz w:val="24"/>
          <w:szCs w:val="24"/>
        </w:rPr>
        <w:t>mployed</w:t>
      </w:r>
      <w:r w:rsidR="00447984" w:rsidRPr="00E73BB1">
        <w:rPr>
          <w:rFonts w:ascii="Times New Roman" w:hAnsi="Times New Roman" w:cs="Times New Roman"/>
          <w:sz w:val="24"/>
          <w:szCs w:val="24"/>
        </w:rPr>
        <w:t xml:space="preserve"> to escape</w:t>
      </w:r>
      <w:r w:rsidR="00FF34B1" w:rsidRPr="00E73BB1">
        <w:rPr>
          <w:rFonts w:ascii="Times New Roman" w:hAnsi="Times New Roman" w:cs="Times New Roman"/>
          <w:sz w:val="24"/>
          <w:szCs w:val="24"/>
        </w:rPr>
        <w:t xml:space="preserve"> or provide relief from</w:t>
      </w:r>
      <w:r w:rsidR="00BF3263" w:rsidRPr="00E73BB1">
        <w:rPr>
          <w:rFonts w:ascii="Times New Roman" w:hAnsi="Times New Roman" w:cs="Times New Roman"/>
          <w:sz w:val="24"/>
          <w:szCs w:val="24"/>
        </w:rPr>
        <w:t xml:space="preserve"> </w:t>
      </w:r>
      <w:r w:rsidR="0007512F" w:rsidRPr="00E73BB1">
        <w:rPr>
          <w:rFonts w:ascii="Times New Roman" w:hAnsi="Times New Roman" w:cs="Times New Roman"/>
          <w:sz w:val="24"/>
          <w:szCs w:val="24"/>
        </w:rPr>
        <w:t>potential (feared)</w:t>
      </w:r>
      <w:r w:rsidR="00BF3263" w:rsidRPr="00E73BB1">
        <w:rPr>
          <w:rFonts w:ascii="Times New Roman" w:hAnsi="Times New Roman" w:cs="Times New Roman"/>
          <w:sz w:val="24"/>
          <w:szCs w:val="24"/>
        </w:rPr>
        <w:t xml:space="preserve"> or actual</w:t>
      </w:r>
      <w:r w:rsidR="00447984" w:rsidRPr="00E73BB1">
        <w:rPr>
          <w:rFonts w:ascii="Times New Roman" w:hAnsi="Times New Roman" w:cs="Times New Roman"/>
          <w:sz w:val="24"/>
          <w:szCs w:val="24"/>
        </w:rPr>
        <w:t xml:space="preserve"> distress</w:t>
      </w:r>
      <w:r w:rsidR="00BF3263" w:rsidRPr="00E73BB1">
        <w:rPr>
          <w:rFonts w:ascii="Times New Roman" w:hAnsi="Times New Roman" w:cs="Times New Roman"/>
          <w:sz w:val="24"/>
          <w:szCs w:val="24"/>
        </w:rPr>
        <w:t xml:space="preserve"> (Cash et al., 2005)</w:t>
      </w:r>
      <w:r w:rsidR="0007512F" w:rsidRPr="00E73BB1">
        <w:rPr>
          <w:rFonts w:ascii="Times New Roman" w:hAnsi="Times New Roman" w:cs="Times New Roman"/>
          <w:sz w:val="24"/>
          <w:szCs w:val="24"/>
        </w:rPr>
        <w:t xml:space="preserve"> and comprise</w:t>
      </w:r>
      <w:r w:rsidR="00C50DE9" w:rsidRPr="00E73BB1">
        <w:rPr>
          <w:rFonts w:ascii="Times New Roman" w:hAnsi="Times New Roman" w:cs="Times New Roman"/>
          <w:sz w:val="24"/>
          <w:szCs w:val="24"/>
        </w:rPr>
        <w:t>s</w:t>
      </w:r>
      <w:r w:rsidR="0007512F" w:rsidRPr="00E73BB1">
        <w:rPr>
          <w:rFonts w:ascii="Times New Roman" w:hAnsi="Times New Roman" w:cs="Times New Roman"/>
          <w:sz w:val="24"/>
          <w:szCs w:val="24"/>
        </w:rPr>
        <w:t xml:space="preserve"> both behavioural (e.g., physically avoiding situations or events) and cognitive </w:t>
      </w:r>
      <w:r w:rsidR="00FF34B1" w:rsidRPr="00E73BB1">
        <w:rPr>
          <w:rFonts w:ascii="Times New Roman" w:hAnsi="Times New Roman" w:cs="Times New Roman"/>
          <w:sz w:val="24"/>
          <w:szCs w:val="24"/>
        </w:rPr>
        <w:t>strategies</w:t>
      </w:r>
      <w:r w:rsidR="0007512F" w:rsidRPr="00E73BB1">
        <w:rPr>
          <w:rFonts w:ascii="Times New Roman" w:hAnsi="Times New Roman" w:cs="Times New Roman"/>
          <w:sz w:val="24"/>
          <w:szCs w:val="24"/>
        </w:rPr>
        <w:t xml:space="preserve"> (e.g., avoiding thoughts and feelings). </w:t>
      </w:r>
      <w:r w:rsidR="00FF34B1" w:rsidRPr="00E73BB1">
        <w:rPr>
          <w:rFonts w:ascii="Times New Roman" w:hAnsi="Times New Roman" w:cs="Times New Roman"/>
          <w:sz w:val="24"/>
          <w:szCs w:val="24"/>
        </w:rPr>
        <w:t>Avoidance</w:t>
      </w:r>
      <w:r w:rsidR="0007512F" w:rsidRPr="00E73BB1">
        <w:rPr>
          <w:rFonts w:ascii="Times New Roman" w:hAnsi="Times New Roman" w:cs="Times New Roman"/>
          <w:sz w:val="24"/>
          <w:szCs w:val="24"/>
        </w:rPr>
        <w:t xml:space="preserve"> </w:t>
      </w:r>
      <w:r w:rsidR="009D146E" w:rsidRPr="00E73BB1">
        <w:rPr>
          <w:rFonts w:ascii="Times New Roman" w:hAnsi="Times New Roman" w:cs="Times New Roman"/>
          <w:sz w:val="24"/>
          <w:szCs w:val="24"/>
        </w:rPr>
        <w:t xml:space="preserve">has </w:t>
      </w:r>
      <w:r w:rsidR="00FF34B1" w:rsidRPr="00E73BB1">
        <w:rPr>
          <w:rFonts w:ascii="Times New Roman" w:hAnsi="Times New Roman" w:cs="Times New Roman"/>
          <w:sz w:val="24"/>
          <w:szCs w:val="24"/>
        </w:rPr>
        <w:t>a paradoxical</w:t>
      </w:r>
      <w:r w:rsidR="009D146E" w:rsidRPr="00E73BB1">
        <w:rPr>
          <w:rFonts w:ascii="Times New Roman" w:hAnsi="Times New Roman" w:cs="Times New Roman"/>
          <w:sz w:val="24"/>
          <w:szCs w:val="24"/>
        </w:rPr>
        <w:t xml:space="preserve"> effect </w:t>
      </w:r>
      <w:r w:rsidR="004326D7" w:rsidRPr="00E73BB1">
        <w:rPr>
          <w:rFonts w:ascii="Times New Roman" w:hAnsi="Times New Roman" w:cs="Times New Roman"/>
          <w:sz w:val="24"/>
          <w:szCs w:val="24"/>
        </w:rPr>
        <w:t xml:space="preserve">of </w:t>
      </w:r>
      <w:r w:rsidR="00F46516" w:rsidRPr="00E73BB1">
        <w:rPr>
          <w:rFonts w:ascii="Times New Roman" w:hAnsi="Times New Roman" w:cs="Times New Roman"/>
          <w:sz w:val="24"/>
          <w:szCs w:val="24"/>
        </w:rPr>
        <w:t>reinforcing problems through lack of opportunity to disconfirm fears</w:t>
      </w:r>
      <w:r w:rsidR="00FF34B1" w:rsidRPr="00E73BB1">
        <w:rPr>
          <w:rFonts w:ascii="Times New Roman" w:hAnsi="Times New Roman" w:cs="Times New Roman"/>
          <w:sz w:val="24"/>
          <w:szCs w:val="24"/>
        </w:rPr>
        <w:t>,</w:t>
      </w:r>
      <w:r w:rsidR="00F46516" w:rsidRPr="00E73BB1">
        <w:rPr>
          <w:rFonts w:ascii="Times New Roman" w:hAnsi="Times New Roman" w:cs="Times New Roman"/>
          <w:sz w:val="24"/>
          <w:szCs w:val="24"/>
        </w:rPr>
        <w:t xml:space="preserve"> </w:t>
      </w:r>
      <w:r w:rsidR="00FF34B1" w:rsidRPr="00E73BB1">
        <w:rPr>
          <w:rFonts w:ascii="Times New Roman" w:hAnsi="Times New Roman" w:cs="Times New Roman"/>
          <w:sz w:val="24"/>
          <w:szCs w:val="24"/>
        </w:rPr>
        <w:t xml:space="preserve">and is </w:t>
      </w:r>
      <w:r w:rsidR="00291E39" w:rsidRPr="00E73BB1">
        <w:rPr>
          <w:rFonts w:ascii="Times New Roman" w:hAnsi="Times New Roman" w:cs="Times New Roman"/>
          <w:sz w:val="24"/>
          <w:szCs w:val="24"/>
        </w:rPr>
        <w:t xml:space="preserve">therefore </w:t>
      </w:r>
      <w:r w:rsidR="00FF34B1" w:rsidRPr="00E73BB1">
        <w:rPr>
          <w:rFonts w:ascii="Times New Roman" w:hAnsi="Times New Roman" w:cs="Times New Roman"/>
          <w:sz w:val="24"/>
          <w:szCs w:val="24"/>
        </w:rPr>
        <w:t xml:space="preserve">a key </w:t>
      </w:r>
      <w:r w:rsidR="00842228" w:rsidRPr="00E73BB1">
        <w:rPr>
          <w:rFonts w:ascii="Times New Roman" w:hAnsi="Times New Roman" w:cs="Times New Roman"/>
          <w:sz w:val="24"/>
          <w:szCs w:val="24"/>
        </w:rPr>
        <w:t xml:space="preserve">transdiagnostic </w:t>
      </w:r>
      <w:r w:rsidR="00291E39" w:rsidRPr="00E73BB1">
        <w:rPr>
          <w:rFonts w:ascii="Times New Roman" w:hAnsi="Times New Roman" w:cs="Times New Roman"/>
          <w:sz w:val="24"/>
          <w:szCs w:val="24"/>
        </w:rPr>
        <w:t xml:space="preserve">maintenance </w:t>
      </w:r>
      <w:r w:rsidR="00842228" w:rsidRPr="00E73BB1">
        <w:rPr>
          <w:rFonts w:ascii="Times New Roman" w:hAnsi="Times New Roman" w:cs="Times New Roman"/>
          <w:sz w:val="24"/>
          <w:szCs w:val="24"/>
        </w:rPr>
        <w:t>process and target</w:t>
      </w:r>
      <w:r w:rsidR="00FF34B1" w:rsidRPr="00E73BB1">
        <w:rPr>
          <w:rFonts w:ascii="Times New Roman" w:hAnsi="Times New Roman" w:cs="Times New Roman"/>
          <w:sz w:val="24"/>
          <w:szCs w:val="24"/>
        </w:rPr>
        <w:t xml:space="preserve"> of </w:t>
      </w:r>
      <w:r w:rsidR="00FF34B1" w:rsidRPr="00E73BB1">
        <w:rPr>
          <w:rFonts w:ascii="Times New Roman" w:hAnsi="Times New Roman" w:cs="Times New Roman"/>
          <w:sz w:val="24"/>
          <w:szCs w:val="24"/>
        </w:rPr>
        <w:lastRenderedPageBreak/>
        <w:t xml:space="preserve">cognitive-behavioural intervention </w:t>
      </w:r>
      <w:r w:rsidR="009D146E" w:rsidRPr="00E73BB1">
        <w:rPr>
          <w:rFonts w:ascii="Times New Roman" w:hAnsi="Times New Roman" w:cs="Times New Roman"/>
          <w:sz w:val="24"/>
          <w:szCs w:val="24"/>
        </w:rPr>
        <w:t>(</w:t>
      </w:r>
      <w:r w:rsidR="00F46516" w:rsidRPr="00E73BB1">
        <w:rPr>
          <w:rFonts w:ascii="Times New Roman" w:hAnsi="Times New Roman" w:cs="Times New Roman"/>
          <w:sz w:val="24"/>
          <w:szCs w:val="24"/>
        </w:rPr>
        <w:t>Harvey et al. 2004</w:t>
      </w:r>
      <w:r w:rsidR="00FF34B1" w:rsidRPr="00E73BB1">
        <w:rPr>
          <w:rFonts w:ascii="Times New Roman" w:hAnsi="Times New Roman" w:cs="Times New Roman"/>
          <w:sz w:val="24"/>
          <w:szCs w:val="24"/>
        </w:rPr>
        <w:t>; Kennerly et al., 201</w:t>
      </w:r>
      <w:r w:rsidR="00842228" w:rsidRPr="00E73BB1">
        <w:rPr>
          <w:rFonts w:ascii="Times New Roman" w:hAnsi="Times New Roman" w:cs="Times New Roman"/>
          <w:sz w:val="24"/>
          <w:szCs w:val="24"/>
        </w:rPr>
        <w:t>6</w:t>
      </w:r>
      <w:r w:rsidR="009D146E" w:rsidRPr="00E73BB1">
        <w:rPr>
          <w:rFonts w:ascii="Times New Roman" w:hAnsi="Times New Roman" w:cs="Times New Roman"/>
          <w:sz w:val="24"/>
          <w:szCs w:val="24"/>
        </w:rPr>
        <w:t>)</w:t>
      </w:r>
      <w:r w:rsidR="00FF34B1" w:rsidRPr="00E73BB1">
        <w:rPr>
          <w:rFonts w:ascii="Times New Roman" w:hAnsi="Times New Roman" w:cs="Times New Roman"/>
          <w:sz w:val="24"/>
          <w:szCs w:val="24"/>
        </w:rPr>
        <w:t>.</w:t>
      </w:r>
      <w:r w:rsidR="004326D7" w:rsidRPr="00E73BB1">
        <w:rPr>
          <w:rFonts w:ascii="Times New Roman" w:hAnsi="Times New Roman" w:cs="Times New Roman"/>
          <w:sz w:val="24"/>
          <w:szCs w:val="24"/>
        </w:rPr>
        <w:t xml:space="preserve"> </w:t>
      </w:r>
      <w:r w:rsidR="0007512F" w:rsidRPr="00E73BB1">
        <w:rPr>
          <w:rFonts w:ascii="Times New Roman" w:hAnsi="Times New Roman" w:cs="Times New Roman"/>
          <w:sz w:val="24"/>
          <w:szCs w:val="24"/>
        </w:rPr>
        <w:t xml:space="preserve">Behavioural avoidance </w:t>
      </w:r>
      <w:r w:rsidR="00842228" w:rsidRPr="00E73BB1">
        <w:rPr>
          <w:rFonts w:ascii="Times New Roman" w:hAnsi="Times New Roman" w:cs="Times New Roman"/>
          <w:sz w:val="24"/>
          <w:szCs w:val="24"/>
        </w:rPr>
        <w:t xml:space="preserve">is of particular relevance to assessing broader consequences of body image concerns, as it </w:t>
      </w:r>
      <w:r w:rsidR="00FF34B1" w:rsidRPr="00E73BB1">
        <w:rPr>
          <w:rFonts w:ascii="Times New Roman" w:hAnsi="Times New Roman" w:cs="Times New Roman"/>
          <w:sz w:val="24"/>
          <w:szCs w:val="24"/>
        </w:rPr>
        <w:t>directly limits</w:t>
      </w:r>
      <w:r w:rsidR="004326D7" w:rsidRPr="00E73BB1">
        <w:rPr>
          <w:rFonts w:ascii="Times New Roman" w:hAnsi="Times New Roman" w:cs="Times New Roman"/>
          <w:sz w:val="24"/>
          <w:szCs w:val="24"/>
        </w:rPr>
        <w:t xml:space="preserve"> </w:t>
      </w:r>
      <w:r w:rsidR="00FF34B1" w:rsidRPr="00E73BB1">
        <w:rPr>
          <w:rFonts w:ascii="Times New Roman" w:hAnsi="Times New Roman" w:cs="Times New Roman"/>
          <w:sz w:val="24"/>
          <w:szCs w:val="24"/>
        </w:rPr>
        <w:t>one’s</w:t>
      </w:r>
      <w:r w:rsidR="004326D7" w:rsidRPr="00E73BB1">
        <w:rPr>
          <w:rFonts w:ascii="Times New Roman" w:hAnsi="Times New Roman" w:cs="Times New Roman"/>
          <w:sz w:val="24"/>
          <w:szCs w:val="24"/>
        </w:rPr>
        <w:t xml:space="preserve"> range of life experiences beneficial to development</w:t>
      </w:r>
      <w:r w:rsidR="00842228" w:rsidRPr="00E73BB1">
        <w:rPr>
          <w:rFonts w:ascii="Times New Roman" w:hAnsi="Times New Roman" w:cs="Times New Roman"/>
          <w:sz w:val="24"/>
          <w:szCs w:val="24"/>
        </w:rPr>
        <w:t xml:space="preserve"> and later well-being</w:t>
      </w:r>
      <w:r w:rsidR="009D146E" w:rsidRPr="00E73BB1">
        <w:rPr>
          <w:rFonts w:ascii="Times New Roman" w:hAnsi="Times New Roman" w:cs="Times New Roman"/>
          <w:sz w:val="24"/>
          <w:szCs w:val="24"/>
        </w:rPr>
        <w:t xml:space="preserve">. </w:t>
      </w:r>
      <w:r w:rsidR="00F46516" w:rsidRPr="00E73BB1">
        <w:rPr>
          <w:rFonts w:ascii="Times New Roman" w:hAnsi="Times New Roman" w:cs="Times New Roman"/>
          <w:sz w:val="24"/>
          <w:szCs w:val="24"/>
        </w:rPr>
        <w:t>The</w:t>
      </w:r>
      <w:r w:rsidR="00271C25" w:rsidRPr="00E73BB1">
        <w:rPr>
          <w:rFonts w:ascii="Times New Roman" w:hAnsi="Times New Roman" w:cs="Times New Roman"/>
          <w:sz w:val="24"/>
          <w:szCs w:val="24"/>
        </w:rPr>
        <w:t xml:space="preserve"> Avoidance subscale of the </w:t>
      </w:r>
      <w:r w:rsidR="00271C25" w:rsidRPr="00E73BB1">
        <w:rPr>
          <w:rFonts w:ascii="Times New Roman" w:hAnsi="Times New Roman" w:cs="Times New Roman"/>
          <w:i/>
          <w:iCs/>
          <w:sz w:val="24"/>
          <w:szCs w:val="24"/>
        </w:rPr>
        <w:t>Body Image Coping Strategies Inventory</w:t>
      </w:r>
      <w:r w:rsidR="00271C25" w:rsidRPr="00E73BB1">
        <w:rPr>
          <w:rFonts w:ascii="Times New Roman" w:hAnsi="Times New Roman" w:cs="Times New Roman"/>
          <w:sz w:val="24"/>
          <w:szCs w:val="24"/>
        </w:rPr>
        <w:t xml:space="preserve"> (BICSI; Cash et al., 2005) </w:t>
      </w:r>
      <w:r w:rsidR="00F46516" w:rsidRPr="00E73BB1">
        <w:rPr>
          <w:rFonts w:ascii="Times New Roman" w:hAnsi="Times New Roman" w:cs="Times New Roman"/>
          <w:sz w:val="24"/>
          <w:szCs w:val="24"/>
        </w:rPr>
        <w:t>assesses</w:t>
      </w:r>
      <w:r w:rsidR="00CB5C95" w:rsidRPr="00E73BB1">
        <w:rPr>
          <w:rFonts w:ascii="Times New Roman" w:hAnsi="Times New Roman" w:cs="Times New Roman"/>
          <w:sz w:val="24"/>
          <w:szCs w:val="24"/>
        </w:rPr>
        <w:t xml:space="preserve"> the </w:t>
      </w:r>
      <w:r w:rsidR="009D146E" w:rsidRPr="00E73BB1">
        <w:rPr>
          <w:rFonts w:ascii="Times New Roman" w:hAnsi="Times New Roman" w:cs="Times New Roman"/>
          <w:sz w:val="24"/>
          <w:szCs w:val="24"/>
        </w:rPr>
        <w:t>extent to which</w:t>
      </w:r>
      <w:r w:rsidR="00271C25" w:rsidRPr="00E73BB1">
        <w:rPr>
          <w:rFonts w:ascii="Times New Roman" w:hAnsi="Times New Roman" w:cs="Times New Roman"/>
          <w:sz w:val="24"/>
          <w:szCs w:val="24"/>
        </w:rPr>
        <w:t xml:space="preserve"> people manage</w:t>
      </w:r>
      <w:r w:rsidR="00F46516" w:rsidRPr="00E73BB1">
        <w:rPr>
          <w:rFonts w:ascii="Times New Roman" w:hAnsi="Times New Roman" w:cs="Times New Roman"/>
          <w:sz w:val="24"/>
          <w:szCs w:val="24"/>
        </w:rPr>
        <w:t xml:space="preserve"> body image</w:t>
      </w:r>
      <w:r w:rsidR="00271C25" w:rsidRPr="00E73BB1">
        <w:rPr>
          <w:rFonts w:ascii="Times New Roman" w:hAnsi="Times New Roman" w:cs="Times New Roman"/>
          <w:sz w:val="24"/>
          <w:szCs w:val="24"/>
        </w:rPr>
        <w:t xml:space="preserve"> threats or challenges </w:t>
      </w:r>
      <w:r w:rsidR="00CB5C95" w:rsidRPr="00E73BB1">
        <w:rPr>
          <w:rFonts w:ascii="Times New Roman" w:hAnsi="Times New Roman" w:cs="Times New Roman"/>
          <w:sz w:val="24"/>
          <w:szCs w:val="24"/>
        </w:rPr>
        <w:t>using avoidance strategies. However, the 8 items include cognitive avoidance (e.g., “I try to ignore the situation and my feelings”</w:t>
      </w:r>
      <w:r w:rsidR="00310F31" w:rsidRPr="00E73BB1">
        <w:rPr>
          <w:rFonts w:ascii="Times New Roman" w:hAnsi="Times New Roman" w:cs="Times New Roman"/>
          <w:sz w:val="24"/>
          <w:szCs w:val="24"/>
        </w:rPr>
        <w:t>, “I try to tune out my thoughts and feelings”</w:t>
      </w:r>
      <w:r w:rsidR="00C50DE9" w:rsidRPr="00E73BB1">
        <w:rPr>
          <w:rFonts w:ascii="Times New Roman" w:hAnsi="Times New Roman" w:cs="Times New Roman"/>
          <w:sz w:val="24"/>
          <w:szCs w:val="24"/>
        </w:rPr>
        <w:t>) and</w:t>
      </w:r>
      <w:r w:rsidR="004B37EF" w:rsidRPr="00E73BB1">
        <w:rPr>
          <w:rFonts w:ascii="Times New Roman" w:hAnsi="Times New Roman" w:cs="Times New Roman"/>
          <w:sz w:val="24"/>
          <w:szCs w:val="24"/>
        </w:rPr>
        <w:t xml:space="preserve"> is limited in its representation of life domains (i.e., </w:t>
      </w:r>
      <w:r w:rsidR="004326D7" w:rsidRPr="00E73BB1">
        <w:rPr>
          <w:rFonts w:ascii="Times New Roman" w:hAnsi="Times New Roman" w:cs="Times New Roman"/>
          <w:sz w:val="24"/>
          <w:szCs w:val="24"/>
        </w:rPr>
        <w:t xml:space="preserve">only </w:t>
      </w:r>
      <w:r w:rsidR="004B37EF" w:rsidRPr="00E73BB1">
        <w:rPr>
          <w:rFonts w:ascii="Times New Roman" w:hAnsi="Times New Roman" w:cs="Times New Roman"/>
          <w:sz w:val="24"/>
          <w:szCs w:val="24"/>
        </w:rPr>
        <w:t>psychological, social, eating behaviour).</w:t>
      </w:r>
      <w:r w:rsidR="00310F31" w:rsidRPr="00E73BB1">
        <w:rPr>
          <w:rFonts w:ascii="Times New Roman" w:hAnsi="Times New Roman" w:cs="Times New Roman"/>
          <w:sz w:val="24"/>
          <w:szCs w:val="24"/>
        </w:rPr>
        <w:t xml:space="preserve"> </w:t>
      </w:r>
      <w:r w:rsidR="00D96C35" w:rsidRPr="00E73BB1">
        <w:rPr>
          <w:rFonts w:ascii="Times New Roman" w:hAnsi="Times New Roman" w:cs="Times New Roman"/>
          <w:sz w:val="24"/>
          <w:szCs w:val="24"/>
        </w:rPr>
        <w:t xml:space="preserve">The </w:t>
      </w:r>
      <w:r w:rsidR="00D96C35" w:rsidRPr="00E73BB1">
        <w:rPr>
          <w:rFonts w:ascii="Times New Roman" w:hAnsi="Times New Roman" w:cs="Times New Roman"/>
          <w:i/>
          <w:iCs/>
          <w:sz w:val="24"/>
          <w:szCs w:val="24"/>
        </w:rPr>
        <w:t>Body Image Avoidance Questionnaire</w:t>
      </w:r>
      <w:r w:rsidR="00D96C35" w:rsidRPr="00E73BB1">
        <w:rPr>
          <w:rFonts w:ascii="Times New Roman" w:hAnsi="Times New Roman" w:cs="Times New Roman"/>
          <w:sz w:val="24"/>
          <w:szCs w:val="24"/>
        </w:rPr>
        <w:t xml:space="preserve"> </w:t>
      </w:r>
      <w:r w:rsidR="00093F7E" w:rsidRPr="00E73BB1">
        <w:rPr>
          <w:rFonts w:ascii="Times New Roman" w:hAnsi="Times New Roman" w:cs="Times New Roman"/>
          <w:sz w:val="24"/>
          <w:szCs w:val="24"/>
        </w:rPr>
        <w:t>(Rosen</w:t>
      </w:r>
      <w:r w:rsidR="00C261BE" w:rsidRPr="00E73BB1">
        <w:rPr>
          <w:rFonts w:ascii="Times New Roman" w:hAnsi="Times New Roman" w:cs="Times New Roman"/>
          <w:sz w:val="24"/>
          <w:szCs w:val="24"/>
        </w:rPr>
        <w:t xml:space="preserve"> et al.</w:t>
      </w:r>
      <w:r w:rsidR="00093F7E" w:rsidRPr="00E73BB1">
        <w:rPr>
          <w:rFonts w:ascii="Times New Roman" w:hAnsi="Times New Roman" w:cs="Times New Roman"/>
          <w:sz w:val="24"/>
          <w:szCs w:val="24"/>
        </w:rPr>
        <w:t xml:space="preserve">, 1991) </w:t>
      </w:r>
      <w:r w:rsidR="00E1317B" w:rsidRPr="00E73BB1">
        <w:rPr>
          <w:rFonts w:ascii="Times New Roman" w:hAnsi="Times New Roman" w:cs="Times New Roman"/>
          <w:sz w:val="24"/>
          <w:szCs w:val="24"/>
        </w:rPr>
        <w:t>does focus</w:t>
      </w:r>
      <w:r w:rsidR="00BF3263" w:rsidRPr="00E73BB1">
        <w:rPr>
          <w:rFonts w:ascii="Times New Roman" w:hAnsi="Times New Roman" w:cs="Times New Roman"/>
          <w:sz w:val="24"/>
          <w:szCs w:val="24"/>
        </w:rPr>
        <w:t xml:space="preserve"> </w:t>
      </w:r>
      <w:r w:rsidR="004326D7" w:rsidRPr="00E73BB1">
        <w:rPr>
          <w:rFonts w:ascii="Times New Roman" w:hAnsi="Times New Roman" w:cs="Times New Roman"/>
          <w:sz w:val="24"/>
          <w:szCs w:val="24"/>
        </w:rPr>
        <w:t>specifically on</w:t>
      </w:r>
      <w:r w:rsidR="00BF3263" w:rsidRPr="00E73BB1">
        <w:rPr>
          <w:rFonts w:ascii="Times New Roman" w:hAnsi="Times New Roman" w:cs="Times New Roman"/>
          <w:sz w:val="24"/>
          <w:szCs w:val="24"/>
        </w:rPr>
        <w:t xml:space="preserve"> behavioural avoidance </w:t>
      </w:r>
      <w:r w:rsidR="00093F7E" w:rsidRPr="00E73BB1">
        <w:rPr>
          <w:rFonts w:ascii="Times New Roman" w:hAnsi="Times New Roman" w:cs="Times New Roman"/>
          <w:sz w:val="24"/>
          <w:szCs w:val="24"/>
        </w:rPr>
        <w:t>rel</w:t>
      </w:r>
      <w:r w:rsidR="00BF3263" w:rsidRPr="00E73BB1">
        <w:rPr>
          <w:rFonts w:ascii="Times New Roman" w:hAnsi="Times New Roman" w:cs="Times New Roman"/>
          <w:sz w:val="24"/>
          <w:szCs w:val="24"/>
        </w:rPr>
        <w:t>e</w:t>
      </w:r>
      <w:r w:rsidR="00093F7E" w:rsidRPr="00E73BB1">
        <w:rPr>
          <w:rFonts w:ascii="Times New Roman" w:hAnsi="Times New Roman" w:cs="Times New Roman"/>
          <w:sz w:val="24"/>
          <w:szCs w:val="24"/>
        </w:rPr>
        <w:t xml:space="preserve">vant to body image concerns (e.g., </w:t>
      </w:r>
      <w:r w:rsidR="00D96C35" w:rsidRPr="00E73BB1">
        <w:rPr>
          <w:rFonts w:ascii="Times New Roman" w:hAnsi="Times New Roman" w:cs="Times New Roman"/>
          <w:sz w:val="24"/>
          <w:szCs w:val="24"/>
        </w:rPr>
        <w:t xml:space="preserve">wearing baggy clothes, </w:t>
      </w:r>
      <w:r w:rsidR="00093F7E" w:rsidRPr="00E73BB1">
        <w:rPr>
          <w:rFonts w:ascii="Times New Roman" w:hAnsi="Times New Roman" w:cs="Times New Roman"/>
          <w:sz w:val="24"/>
          <w:szCs w:val="24"/>
        </w:rPr>
        <w:t xml:space="preserve">restricting food types, </w:t>
      </w:r>
      <w:r w:rsidR="00BF3263" w:rsidRPr="00E73BB1">
        <w:rPr>
          <w:rFonts w:ascii="Times New Roman" w:hAnsi="Times New Roman" w:cs="Times New Roman"/>
          <w:sz w:val="24"/>
          <w:szCs w:val="24"/>
        </w:rPr>
        <w:t xml:space="preserve">avoiding </w:t>
      </w:r>
      <w:r w:rsidR="00093F7E" w:rsidRPr="00E73BB1">
        <w:rPr>
          <w:rFonts w:ascii="Times New Roman" w:hAnsi="Times New Roman" w:cs="Times New Roman"/>
          <w:sz w:val="24"/>
          <w:szCs w:val="24"/>
        </w:rPr>
        <w:t xml:space="preserve">social situations, </w:t>
      </w:r>
      <w:r w:rsidR="00C97EF2" w:rsidRPr="00E73BB1">
        <w:rPr>
          <w:rFonts w:ascii="Times New Roman" w:hAnsi="Times New Roman" w:cs="Times New Roman"/>
          <w:sz w:val="24"/>
          <w:szCs w:val="24"/>
        </w:rPr>
        <w:t>weighing</w:t>
      </w:r>
      <w:r w:rsidR="00093F7E" w:rsidRPr="00E73BB1">
        <w:rPr>
          <w:rFonts w:ascii="Times New Roman" w:hAnsi="Times New Roman" w:cs="Times New Roman"/>
          <w:sz w:val="24"/>
          <w:szCs w:val="24"/>
        </w:rPr>
        <w:t>)</w:t>
      </w:r>
      <w:r w:rsidR="00D96C35" w:rsidRPr="00E73BB1">
        <w:rPr>
          <w:rFonts w:ascii="Times New Roman" w:hAnsi="Times New Roman" w:cs="Times New Roman"/>
          <w:sz w:val="24"/>
          <w:szCs w:val="24"/>
        </w:rPr>
        <w:t>.</w:t>
      </w:r>
      <w:r w:rsidR="00E1317B" w:rsidRPr="00E73BB1">
        <w:rPr>
          <w:rFonts w:ascii="Times New Roman" w:hAnsi="Times New Roman" w:cs="Times New Roman"/>
          <w:sz w:val="24"/>
          <w:szCs w:val="24"/>
        </w:rPr>
        <w:t xml:space="preserve"> However</w:t>
      </w:r>
      <w:r w:rsidR="00C50DE9" w:rsidRPr="00E73BB1">
        <w:rPr>
          <w:rFonts w:ascii="Times New Roman" w:hAnsi="Times New Roman" w:cs="Times New Roman"/>
          <w:sz w:val="24"/>
          <w:szCs w:val="24"/>
        </w:rPr>
        <w:t>,</w:t>
      </w:r>
      <w:r w:rsidR="00E1317B" w:rsidRPr="00E73BB1">
        <w:rPr>
          <w:rFonts w:ascii="Times New Roman" w:hAnsi="Times New Roman" w:cs="Times New Roman"/>
          <w:sz w:val="24"/>
          <w:szCs w:val="24"/>
        </w:rPr>
        <w:t xml:space="preserve"> i</w:t>
      </w:r>
      <w:r w:rsidR="00283390" w:rsidRPr="00E73BB1">
        <w:rPr>
          <w:rFonts w:ascii="Times New Roman" w:hAnsi="Times New Roman" w:cs="Times New Roman"/>
          <w:sz w:val="24"/>
          <w:szCs w:val="24"/>
        </w:rPr>
        <w:t xml:space="preserve">t is a relatively long measure at 19 items, and </w:t>
      </w:r>
      <w:r w:rsidR="004326D7" w:rsidRPr="00E73BB1">
        <w:rPr>
          <w:rFonts w:ascii="Times New Roman" w:hAnsi="Times New Roman" w:cs="Times New Roman"/>
          <w:sz w:val="24"/>
          <w:szCs w:val="24"/>
        </w:rPr>
        <w:t>arguably</w:t>
      </w:r>
      <w:r w:rsidR="00C261BE" w:rsidRPr="00E73BB1">
        <w:rPr>
          <w:rFonts w:ascii="Times New Roman" w:hAnsi="Times New Roman" w:cs="Times New Roman"/>
          <w:sz w:val="24"/>
          <w:szCs w:val="24"/>
        </w:rPr>
        <w:t xml:space="preserve"> also </w:t>
      </w:r>
      <w:r w:rsidR="004326D7" w:rsidRPr="00E73BB1">
        <w:rPr>
          <w:rFonts w:ascii="Times New Roman" w:hAnsi="Times New Roman" w:cs="Times New Roman"/>
          <w:sz w:val="24"/>
          <w:szCs w:val="24"/>
        </w:rPr>
        <w:t>limited in scope (i.e.,</w:t>
      </w:r>
      <w:r w:rsidR="00093F7E" w:rsidRPr="00E73BB1">
        <w:rPr>
          <w:rFonts w:ascii="Times New Roman" w:hAnsi="Times New Roman" w:cs="Times New Roman"/>
          <w:sz w:val="24"/>
          <w:szCs w:val="24"/>
        </w:rPr>
        <w:t xml:space="preserve"> </w:t>
      </w:r>
      <w:r w:rsidR="00456D42" w:rsidRPr="00E73BB1">
        <w:rPr>
          <w:rFonts w:ascii="Times New Roman" w:hAnsi="Times New Roman" w:cs="Times New Roman"/>
          <w:sz w:val="24"/>
          <w:szCs w:val="24"/>
        </w:rPr>
        <w:t xml:space="preserve">eating restraint, </w:t>
      </w:r>
      <w:r w:rsidR="00093F7E" w:rsidRPr="00E73BB1">
        <w:rPr>
          <w:rFonts w:ascii="Times New Roman" w:hAnsi="Times New Roman" w:cs="Times New Roman"/>
          <w:sz w:val="24"/>
          <w:szCs w:val="24"/>
        </w:rPr>
        <w:t>grooming</w:t>
      </w:r>
      <w:r w:rsidR="00456D42" w:rsidRPr="00E73BB1">
        <w:rPr>
          <w:rFonts w:ascii="Times New Roman" w:hAnsi="Times New Roman" w:cs="Times New Roman"/>
          <w:sz w:val="24"/>
          <w:szCs w:val="24"/>
        </w:rPr>
        <w:t xml:space="preserve"> and weighing</w:t>
      </w:r>
      <w:r w:rsidR="00093F7E" w:rsidRPr="00E73BB1">
        <w:rPr>
          <w:rFonts w:ascii="Times New Roman" w:hAnsi="Times New Roman" w:cs="Times New Roman"/>
          <w:sz w:val="24"/>
          <w:szCs w:val="24"/>
        </w:rPr>
        <w:t xml:space="preserve">, social </w:t>
      </w:r>
      <w:r w:rsidR="00456D42" w:rsidRPr="00E73BB1">
        <w:rPr>
          <w:rFonts w:ascii="Times New Roman" w:hAnsi="Times New Roman" w:cs="Times New Roman"/>
          <w:sz w:val="24"/>
          <w:szCs w:val="24"/>
        </w:rPr>
        <w:t>situations</w:t>
      </w:r>
      <w:r w:rsidR="004326D7" w:rsidRPr="00E73BB1">
        <w:rPr>
          <w:rFonts w:ascii="Times New Roman" w:hAnsi="Times New Roman" w:cs="Times New Roman"/>
          <w:sz w:val="24"/>
          <w:szCs w:val="24"/>
        </w:rPr>
        <w:t>)</w:t>
      </w:r>
      <w:r w:rsidR="009E22FA" w:rsidRPr="00E73BB1">
        <w:rPr>
          <w:rFonts w:ascii="Times New Roman" w:hAnsi="Times New Roman" w:cs="Times New Roman"/>
          <w:sz w:val="24"/>
          <w:szCs w:val="24"/>
        </w:rPr>
        <w:t xml:space="preserve"> and most pertinent to </w:t>
      </w:r>
      <w:r w:rsidR="00C261BE" w:rsidRPr="00E73BB1">
        <w:rPr>
          <w:rFonts w:ascii="Times New Roman" w:hAnsi="Times New Roman" w:cs="Times New Roman"/>
          <w:sz w:val="24"/>
          <w:szCs w:val="24"/>
        </w:rPr>
        <w:t xml:space="preserve">weight and shape concerns </w:t>
      </w:r>
      <w:r w:rsidR="00C97EF2" w:rsidRPr="00E73BB1">
        <w:rPr>
          <w:rFonts w:ascii="Times New Roman" w:hAnsi="Times New Roman" w:cs="Times New Roman"/>
          <w:sz w:val="24"/>
          <w:szCs w:val="24"/>
        </w:rPr>
        <w:t>(Lydecker, 2017)</w:t>
      </w:r>
      <w:r w:rsidR="009A02A0" w:rsidRPr="00E73BB1">
        <w:rPr>
          <w:rFonts w:ascii="Times New Roman" w:hAnsi="Times New Roman" w:cs="Times New Roman"/>
          <w:sz w:val="24"/>
          <w:szCs w:val="24"/>
        </w:rPr>
        <w:t>.</w:t>
      </w:r>
      <w:r w:rsidR="004326D7" w:rsidRPr="00E73BB1">
        <w:rPr>
          <w:rFonts w:ascii="Times New Roman" w:hAnsi="Times New Roman" w:cs="Times New Roman"/>
          <w:sz w:val="24"/>
          <w:szCs w:val="24"/>
        </w:rPr>
        <w:t xml:space="preserve"> </w:t>
      </w:r>
    </w:p>
    <w:p w14:paraId="541E7BCF" w14:textId="390FE301" w:rsidR="00C97EF2" w:rsidRPr="00E73BB1" w:rsidRDefault="00E1317B" w:rsidP="00C97EF2">
      <w:pPr>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Taken together, t</w:t>
      </w:r>
      <w:r w:rsidR="00950F7D" w:rsidRPr="00E73BB1">
        <w:rPr>
          <w:rFonts w:ascii="Times New Roman" w:hAnsi="Times New Roman" w:cs="Times New Roman"/>
          <w:sz w:val="24"/>
          <w:szCs w:val="24"/>
        </w:rPr>
        <w:t xml:space="preserve">here </w:t>
      </w:r>
      <w:r w:rsidR="0008564C" w:rsidRPr="00E73BB1">
        <w:rPr>
          <w:rFonts w:ascii="Times New Roman" w:hAnsi="Times New Roman" w:cs="Times New Roman"/>
          <w:sz w:val="24"/>
          <w:szCs w:val="24"/>
        </w:rPr>
        <w:t>exists</w:t>
      </w:r>
      <w:r w:rsidR="00950F7D" w:rsidRPr="00E73BB1">
        <w:rPr>
          <w:rFonts w:ascii="Times New Roman" w:hAnsi="Times New Roman" w:cs="Times New Roman"/>
          <w:sz w:val="24"/>
          <w:szCs w:val="24"/>
        </w:rPr>
        <w:t xml:space="preserve"> an opportunity </w:t>
      </w:r>
      <w:r w:rsidR="0008564C" w:rsidRPr="00E73BB1">
        <w:rPr>
          <w:rFonts w:ascii="Times New Roman" w:hAnsi="Times New Roman" w:cs="Times New Roman"/>
          <w:sz w:val="24"/>
          <w:szCs w:val="24"/>
        </w:rPr>
        <w:t>to</w:t>
      </w:r>
      <w:r w:rsidR="00950F7D" w:rsidRPr="00E73BB1">
        <w:rPr>
          <w:rFonts w:ascii="Times New Roman" w:hAnsi="Times New Roman" w:cs="Times New Roman"/>
          <w:sz w:val="24"/>
          <w:szCs w:val="24"/>
        </w:rPr>
        <w:t xml:space="preserve"> </w:t>
      </w:r>
      <w:r w:rsidR="00BB13AE" w:rsidRPr="00E73BB1">
        <w:rPr>
          <w:rFonts w:ascii="Times New Roman" w:hAnsi="Times New Roman" w:cs="Times New Roman"/>
          <w:sz w:val="24"/>
          <w:szCs w:val="24"/>
        </w:rPr>
        <w:t>provide</w:t>
      </w:r>
      <w:r w:rsidRPr="00E73BB1">
        <w:rPr>
          <w:rFonts w:ascii="Times New Roman" w:hAnsi="Times New Roman" w:cs="Times New Roman"/>
          <w:sz w:val="24"/>
          <w:szCs w:val="24"/>
        </w:rPr>
        <w:t xml:space="preserve"> a single measure </w:t>
      </w:r>
      <w:r w:rsidR="00BB13AE" w:rsidRPr="00E73BB1">
        <w:rPr>
          <w:rFonts w:ascii="Times New Roman" w:hAnsi="Times New Roman" w:cs="Times New Roman"/>
          <w:sz w:val="24"/>
          <w:szCs w:val="24"/>
        </w:rPr>
        <w:t>specifically assessing broader consequences of body image concerns</w:t>
      </w:r>
      <w:r w:rsidR="008538BB" w:rsidRPr="00E73BB1">
        <w:rPr>
          <w:rFonts w:ascii="Times New Roman" w:hAnsi="Times New Roman" w:cs="Times New Roman"/>
          <w:sz w:val="24"/>
          <w:szCs w:val="24"/>
        </w:rPr>
        <w:t xml:space="preserve"> across life domains relevant to adolescents’ lives</w:t>
      </w:r>
      <w:r w:rsidR="00587F8C" w:rsidRPr="00E73BB1">
        <w:rPr>
          <w:rFonts w:ascii="Times New Roman" w:hAnsi="Times New Roman" w:cs="Times New Roman"/>
          <w:sz w:val="24"/>
          <w:szCs w:val="24"/>
        </w:rPr>
        <w:t>,</w:t>
      </w:r>
      <w:r w:rsidR="00BB13AE" w:rsidRPr="00E73BB1">
        <w:rPr>
          <w:rFonts w:ascii="Times New Roman" w:hAnsi="Times New Roman" w:cs="Times New Roman"/>
          <w:sz w:val="24"/>
          <w:szCs w:val="24"/>
        </w:rPr>
        <w:t xml:space="preserve"> that</w:t>
      </w:r>
      <w:r w:rsidR="00C50DE9" w:rsidRPr="00E73BB1">
        <w:rPr>
          <w:rFonts w:ascii="Times New Roman" w:hAnsi="Times New Roman" w:cs="Times New Roman"/>
          <w:sz w:val="24"/>
          <w:szCs w:val="24"/>
        </w:rPr>
        <w:t xml:space="preserve"> draws on behavioural avoidance</w:t>
      </w:r>
      <w:r w:rsidR="00587F8C" w:rsidRPr="00E73BB1">
        <w:rPr>
          <w:rFonts w:ascii="Times New Roman" w:hAnsi="Times New Roman" w:cs="Times New Roman"/>
          <w:sz w:val="24"/>
          <w:szCs w:val="24"/>
        </w:rPr>
        <w:t xml:space="preserve"> as a known contributor to impaired functioning</w:t>
      </w:r>
      <w:r w:rsidR="00C50DE9" w:rsidRPr="00E73BB1">
        <w:rPr>
          <w:rFonts w:ascii="Times New Roman" w:hAnsi="Times New Roman" w:cs="Times New Roman"/>
          <w:sz w:val="24"/>
          <w:szCs w:val="24"/>
        </w:rPr>
        <w:t>, and</w:t>
      </w:r>
      <w:r w:rsidRPr="00E73BB1">
        <w:rPr>
          <w:rFonts w:ascii="Times New Roman" w:hAnsi="Times New Roman" w:cs="Times New Roman"/>
          <w:sz w:val="24"/>
          <w:szCs w:val="24"/>
        </w:rPr>
        <w:t xml:space="preserve">: a) is broadly relevant to body image and appearance, beyond weight and shape concerns; b) does not conflate mental and physical health functioning with broader life </w:t>
      </w:r>
      <w:r w:rsidR="008538BB" w:rsidRPr="00E73BB1">
        <w:rPr>
          <w:rFonts w:ascii="Times New Roman" w:hAnsi="Times New Roman" w:cs="Times New Roman"/>
          <w:sz w:val="24"/>
          <w:szCs w:val="24"/>
        </w:rPr>
        <w:t>activities</w:t>
      </w:r>
      <w:r w:rsidRPr="00E73BB1">
        <w:rPr>
          <w:rFonts w:ascii="Times New Roman" w:hAnsi="Times New Roman" w:cs="Times New Roman"/>
          <w:sz w:val="24"/>
          <w:szCs w:val="24"/>
        </w:rPr>
        <w:t>; c) is validated and appropriate for use with adolescents</w:t>
      </w:r>
      <w:r w:rsidR="00BB13AE" w:rsidRPr="00E73BB1">
        <w:rPr>
          <w:rFonts w:ascii="Times New Roman" w:hAnsi="Times New Roman" w:cs="Times New Roman"/>
          <w:sz w:val="24"/>
          <w:szCs w:val="24"/>
        </w:rPr>
        <w:t>;</w:t>
      </w:r>
      <w:r w:rsidRPr="00E73BB1">
        <w:rPr>
          <w:rFonts w:ascii="Times New Roman" w:hAnsi="Times New Roman" w:cs="Times New Roman"/>
          <w:sz w:val="24"/>
          <w:szCs w:val="24"/>
        </w:rPr>
        <w:t xml:space="preserve"> and d) is brief, easily accessed and free to use</w:t>
      </w:r>
      <w:r w:rsidR="00C97EF2" w:rsidRPr="00E73BB1">
        <w:rPr>
          <w:rFonts w:ascii="Times New Roman" w:hAnsi="Times New Roman" w:cs="Times New Roman"/>
          <w:sz w:val="24"/>
          <w:szCs w:val="24"/>
        </w:rPr>
        <w:t xml:space="preserve">. </w:t>
      </w:r>
    </w:p>
    <w:p w14:paraId="2F1DEB91" w14:textId="5BA594BD" w:rsidR="006825E1" w:rsidRPr="00E73BB1" w:rsidRDefault="00A94360" w:rsidP="0059108B">
      <w:pPr>
        <w:spacing w:after="0" w:line="480" w:lineRule="auto"/>
        <w:rPr>
          <w:rFonts w:ascii="Times New Roman" w:hAnsi="Times New Roman" w:cs="Times New Roman"/>
          <w:b/>
          <w:bCs/>
          <w:sz w:val="24"/>
          <w:szCs w:val="24"/>
        </w:rPr>
      </w:pPr>
      <w:r w:rsidRPr="00E73BB1">
        <w:rPr>
          <w:rFonts w:ascii="Times New Roman" w:hAnsi="Times New Roman" w:cs="Times New Roman"/>
          <w:b/>
          <w:bCs/>
          <w:sz w:val="24"/>
          <w:szCs w:val="24"/>
        </w:rPr>
        <w:t xml:space="preserve">1.3. </w:t>
      </w:r>
      <w:r w:rsidR="00201C5E" w:rsidRPr="00E73BB1">
        <w:rPr>
          <w:rFonts w:ascii="Times New Roman" w:hAnsi="Times New Roman" w:cs="Times New Roman"/>
          <w:b/>
          <w:bCs/>
          <w:sz w:val="24"/>
          <w:szCs w:val="24"/>
        </w:rPr>
        <w:t>Origins</w:t>
      </w:r>
      <w:r w:rsidR="00914E7A" w:rsidRPr="00E73BB1">
        <w:rPr>
          <w:rFonts w:ascii="Times New Roman" w:hAnsi="Times New Roman" w:cs="Times New Roman"/>
          <w:b/>
          <w:bCs/>
          <w:sz w:val="24"/>
          <w:szCs w:val="24"/>
        </w:rPr>
        <w:t xml:space="preserve"> of the </w:t>
      </w:r>
      <w:r w:rsidR="006825E1" w:rsidRPr="00E73BB1">
        <w:rPr>
          <w:rFonts w:ascii="Times New Roman" w:hAnsi="Times New Roman" w:cs="Times New Roman"/>
          <w:b/>
          <w:bCs/>
          <w:sz w:val="24"/>
          <w:szCs w:val="24"/>
        </w:rPr>
        <w:t>Body Image Life</w:t>
      </w:r>
      <w:r w:rsidR="00CE3226" w:rsidRPr="00E73BB1">
        <w:rPr>
          <w:rFonts w:ascii="Times New Roman" w:hAnsi="Times New Roman" w:cs="Times New Roman"/>
          <w:b/>
          <w:bCs/>
          <w:sz w:val="24"/>
          <w:szCs w:val="24"/>
        </w:rPr>
        <w:t xml:space="preserve"> Dise</w:t>
      </w:r>
      <w:r w:rsidR="006825E1" w:rsidRPr="00E73BB1">
        <w:rPr>
          <w:rFonts w:ascii="Times New Roman" w:hAnsi="Times New Roman" w:cs="Times New Roman"/>
          <w:b/>
          <w:bCs/>
          <w:sz w:val="24"/>
          <w:szCs w:val="24"/>
        </w:rPr>
        <w:t>ngagement Questionnaire (</w:t>
      </w:r>
      <w:r w:rsidR="00CE3226" w:rsidRPr="00E73BB1">
        <w:rPr>
          <w:rFonts w:ascii="Times New Roman" w:hAnsi="Times New Roman" w:cs="Times New Roman"/>
          <w:b/>
          <w:bCs/>
          <w:sz w:val="24"/>
          <w:szCs w:val="24"/>
        </w:rPr>
        <w:t>BILD-Q</w:t>
      </w:r>
      <w:r w:rsidR="006825E1" w:rsidRPr="00E73BB1">
        <w:rPr>
          <w:rFonts w:ascii="Times New Roman" w:hAnsi="Times New Roman" w:cs="Times New Roman"/>
          <w:b/>
          <w:bCs/>
          <w:sz w:val="24"/>
          <w:szCs w:val="24"/>
        </w:rPr>
        <w:t>)</w:t>
      </w:r>
    </w:p>
    <w:p w14:paraId="2B700D7B" w14:textId="498CBA35" w:rsidR="00BC6AD4" w:rsidRPr="00E73BB1" w:rsidRDefault="00C40D22" w:rsidP="00C40D22">
      <w:pPr>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 xml:space="preserve">In the context of their </w:t>
      </w:r>
      <w:r w:rsidR="00635EF7" w:rsidRPr="00E73BB1">
        <w:rPr>
          <w:rFonts w:ascii="Times New Roman" w:hAnsi="Times New Roman" w:cs="Times New Roman"/>
          <w:sz w:val="24"/>
          <w:szCs w:val="24"/>
        </w:rPr>
        <w:t xml:space="preserve">education initiative </w:t>
      </w:r>
      <w:r w:rsidRPr="00E73BB1">
        <w:rPr>
          <w:rFonts w:ascii="Times New Roman" w:hAnsi="Times New Roman" w:cs="Times New Roman"/>
          <w:sz w:val="24"/>
          <w:szCs w:val="24"/>
        </w:rPr>
        <w:t>to improve body image and self-esteem among young people</w:t>
      </w:r>
      <w:r w:rsidR="00E31870" w:rsidRPr="00E73BB1">
        <w:rPr>
          <w:rFonts w:ascii="Times New Roman" w:hAnsi="Times New Roman" w:cs="Times New Roman"/>
          <w:sz w:val="24"/>
          <w:szCs w:val="24"/>
        </w:rPr>
        <w:t xml:space="preserve"> (the </w:t>
      </w:r>
      <w:r w:rsidR="00E31870" w:rsidRPr="00E73BB1">
        <w:rPr>
          <w:rFonts w:ascii="Times New Roman" w:hAnsi="Times New Roman" w:cs="Times New Roman"/>
          <w:i/>
          <w:iCs/>
          <w:sz w:val="24"/>
          <w:szCs w:val="24"/>
        </w:rPr>
        <w:t>Dove Self-Esteem Project</w:t>
      </w:r>
      <w:r w:rsidR="00E31870" w:rsidRPr="00E73BB1">
        <w:rPr>
          <w:rFonts w:ascii="Times New Roman" w:hAnsi="Times New Roman" w:cs="Times New Roman"/>
          <w:sz w:val="24"/>
          <w:szCs w:val="24"/>
        </w:rPr>
        <w:t>)</w:t>
      </w:r>
      <w:r w:rsidRPr="00E73BB1">
        <w:rPr>
          <w:rFonts w:ascii="Times New Roman" w:hAnsi="Times New Roman" w:cs="Times New Roman"/>
          <w:sz w:val="24"/>
          <w:szCs w:val="24"/>
        </w:rPr>
        <w:t xml:space="preserve">, </w:t>
      </w:r>
      <w:r w:rsidR="009F1E57" w:rsidRPr="00E73BB1">
        <w:rPr>
          <w:rFonts w:ascii="Times New Roman" w:hAnsi="Times New Roman" w:cs="Times New Roman"/>
          <w:sz w:val="24"/>
          <w:szCs w:val="24"/>
        </w:rPr>
        <w:t>Unilever</w:t>
      </w:r>
      <w:r w:rsidRPr="00E73BB1">
        <w:rPr>
          <w:rFonts w:ascii="Times New Roman" w:hAnsi="Times New Roman" w:cs="Times New Roman"/>
          <w:sz w:val="24"/>
          <w:szCs w:val="24"/>
        </w:rPr>
        <w:t xml:space="preserve"> brand </w:t>
      </w:r>
      <w:r w:rsidRPr="00E73BB1">
        <w:rPr>
          <w:rFonts w:ascii="Times New Roman" w:hAnsi="Times New Roman" w:cs="Times New Roman"/>
          <w:i/>
          <w:iCs/>
          <w:sz w:val="24"/>
          <w:szCs w:val="24"/>
        </w:rPr>
        <w:t>Dove</w:t>
      </w:r>
      <w:r w:rsidRPr="00E73BB1">
        <w:rPr>
          <w:rFonts w:ascii="Times New Roman" w:hAnsi="Times New Roman" w:cs="Times New Roman"/>
          <w:sz w:val="24"/>
          <w:szCs w:val="24"/>
        </w:rPr>
        <w:t xml:space="preserve"> </w:t>
      </w:r>
      <w:r w:rsidR="00635EF7" w:rsidRPr="00E73BB1">
        <w:rPr>
          <w:rFonts w:ascii="Times New Roman" w:hAnsi="Times New Roman" w:cs="Times New Roman"/>
          <w:sz w:val="24"/>
          <w:szCs w:val="24"/>
        </w:rPr>
        <w:t xml:space="preserve">has </w:t>
      </w:r>
      <w:r w:rsidRPr="00E73BB1">
        <w:rPr>
          <w:rFonts w:ascii="Times New Roman" w:hAnsi="Times New Roman" w:cs="Times New Roman"/>
          <w:sz w:val="24"/>
          <w:szCs w:val="24"/>
        </w:rPr>
        <w:t>con</w:t>
      </w:r>
      <w:r w:rsidR="00E76CEF" w:rsidRPr="00E73BB1">
        <w:rPr>
          <w:rFonts w:ascii="Times New Roman" w:hAnsi="Times New Roman" w:cs="Times New Roman"/>
          <w:sz w:val="24"/>
          <w:szCs w:val="24"/>
        </w:rPr>
        <w:t xml:space="preserve">ducted </w:t>
      </w:r>
      <w:r w:rsidR="002B138A" w:rsidRPr="00E73BB1">
        <w:rPr>
          <w:rFonts w:ascii="Times New Roman" w:hAnsi="Times New Roman" w:cs="Times New Roman"/>
          <w:sz w:val="24"/>
          <w:szCs w:val="24"/>
        </w:rPr>
        <w:t>global</w:t>
      </w:r>
      <w:r w:rsidR="00E76CEF" w:rsidRPr="00E73BB1">
        <w:rPr>
          <w:rFonts w:ascii="Times New Roman" w:hAnsi="Times New Roman" w:cs="Times New Roman"/>
          <w:sz w:val="24"/>
          <w:szCs w:val="24"/>
        </w:rPr>
        <w:t xml:space="preserve"> surveys to assess </w:t>
      </w:r>
      <w:r w:rsidRPr="00E73BB1">
        <w:rPr>
          <w:rFonts w:ascii="Times New Roman" w:hAnsi="Times New Roman" w:cs="Times New Roman"/>
          <w:sz w:val="24"/>
          <w:szCs w:val="24"/>
        </w:rPr>
        <w:t>body image</w:t>
      </w:r>
      <w:r w:rsidR="00914E7A" w:rsidRPr="00E73BB1">
        <w:rPr>
          <w:rFonts w:ascii="Times New Roman" w:hAnsi="Times New Roman" w:cs="Times New Roman"/>
          <w:sz w:val="24"/>
          <w:szCs w:val="24"/>
        </w:rPr>
        <w:t xml:space="preserve"> among </w:t>
      </w:r>
      <w:r w:rsidRPr="00E73BB1">
        <w:rPr>
          <w:rFonts w:ascii="Times New Roman" w:hAnsi="Times New Roman" w:cs="Times New Roman"/>
          <w:sz w:val="24"/>
          <w:szCs w:val="24"/>
        </w:rPr>
        <w:t>girls and women</w:t>
      </w:r>
      <w:r w:rsidR="00E76CEF" w:rsidRPr="00E73BB1">
        <w:rPr>
          <w:rFonts w:ascii="Times New Roman" w:hAnsi="Times New Roman" w:cs="Times New Roman"/>
          <w:sz w:val="24"/>
          <w:szCs w:val="24"/>
        </w:rPr>
        <w:t>, including a focus on broader</w:t>
      </w:r>
      <w:r w:rsidR="002B138A" w:rsidRPr="00E73BB1">
        <w:rPr>
          <w:rFonts w:ascii="Times New Roman" w:hAnsi="Times New Roman" w:cs="Times New Roman"/>
          <w:sz w:val="24"/>
          <w:szCs w:val="24"/>
        </w:rPr>
        <w:t xml:space="preserve"> </w:t>
      </w:r>
      <w:r w:rsidR="002B138A" w:rsidRPr="00E73BB1">
        <w:rPr>
          <w:rFonts w:ascii="Times New Roman" w:hAnsi="Times New Roman" w:cs="Times New Roman"/>
          <w:sz w:val="24"/>
          <w:szCs w:val="24"/>
        </w:rPr>
        <w:lastRenderedPageBreak/>
        <w:t>life</w:t>
      </w:r>
      <w:r w:rsidR="00E76CEF" w:rsidRPr="00E73BB1">
        <w:rPr>
          <w:rFonts w:ascii="Times New Roman" w:hAnsi="Times New Roman" w:cs="Times New Roman"/>
          <w:sz w:val="24"/>
          <w:szCs w:val="24"/>
        </w:rPr>
        <w:t xml:space="preserve"> impacts</w:t>
      </w:r>
      <w:r w:rsidRPr="00E73BB1">
        <w:rPr>
          <w:rFonts w:ascii="Times New Roman" w:hAnsi="Times New Roman" w:cs="Times New Roman"/>
          <w:sz w:val="24"/>
          <w:szCs w:val="24"/>
        </w:rPr>
        <w:t xml:space="preserve">. </w:t>
      </w:r>
      <w:r w:rsidR="002D5C98" w:rsidRPr="00E73BB1">
        <w:rPr>
          <w:rFonts w:ascii="Times New Roman" w:hAnsi="Times New Roman" w:cs="Times New Roman"/>
          <w:sz w:val="24"/>
          <w:szCs w:val="24"/>
        </w:rPr>
        <w:t xml:space="preserve">For example, in </w:t>
      </w:r>
      <w:r w:rsidR="00914E7A" w:rsidRPr="00E73BB1">
        <w:rPr>
          <w:rFonts w:ascii="Times New Roman" w:hAnsi="Times New Roman" w:cs="Times New Roman"/>
          <w:sz w:val="24"/>
          <w:szCs w:val="24"/>
        </w:rPr>
        <w:t>their most recent</w:t>
      </w:r>
      <w:r w:rsidR="002D5C98" w:rsidRPr="00E73BB1">
        <w:rPr>
          <w:rFonts w:ascii="Times New Roman" w:hAnsi="Times New Roman" w:cs="Times New Roman"/>
          <w:sz w:val="24"/>
          <w:szCs w:val="24"/>
        </w:rPr>
        <w:t xml:space="preserve"> global study they assessed</w:t>
      </w:r>
      <w:r w:rsidR="00914E7A" w:rsidRPr="00E73BB1">
        <w:rPr>
          <w:rFonts w:ascii="Times New Roman" w:hAnsi="Times New Roman" w:cs="Times New Roman"/>
          <w:sz w:val="24"/>
          <w:szCs w:val="24"/>
        </w:rPr>
        <w:t xml:space="preserve"> the prevalence, consequences and influences on body image concerns among representative </w:t>
      </w:r>
      <w:r w:rsidR="00F33753" w:rsidRPr="00E73BB1">
        <w:rPr>
          <w:rFonts w:ascii="Times New Roman" w:hAnsi="Times New Roman" w:cs="Times New Roman"/>
          <w:sz w:val="24"/>
          <w:szCs w:val="24"/>
        </w:rPr>
        <w:t xml:space="preserve">online </w:t>
      </w:r>
      <w:r w:rsidR="00914E7A" w:rsidRPr="00E73BB1">
        <w:rPr>
          <w:rFonts w:ascii="Times New Roman" w:hAnsi="Times New Roman" w:cs="Times New Roman"/>
          <w:sz w:val="24"/>
          <w:szCs w:val="24"/>
        </w:rPr>
        <w:t>sample</w:t>
      </w:r>
      <w:r w:rsidR="003A3F1F" w:rsidRPr="00E73BB1">
        <w:rPr>
          <w:rFonts w:ascii="Times New Roman" w:hAnsi="Times New Roman" w:cs="Times New Roman"/>
          <w:sz w:val="24"/>
          <w:szCs w:val="24"/>
        </w:rPr>
        <w:t>s of</w:t>
      </w:r>
      <w:r w:rsidR="00BA25B3" w:rsidRPr="00E73BB1">
        <w:rPr>
          <w:rFonts w:ascii="Times New Roman" w:hAnsi="Times New Roman" w:cs="Times New Roman"/>
          <w:sz w:val="24"/>
          <w:szCs w:val="24"/>
        </w:rPr>
        <w:t xml:space="preserve"> </w:t>
      </w:r>
      <w:r w:rsidR="00914E7A" w:rsidRPr="00E73BB1">
        <w:rPr>
          <w:rFonts w:ascii="Times New Roman" w:hAnsi="Times New Roman" w:cs="Times New Roman"/>
          <w:sz w:val="24"/>
          <w:szCs w:val="24"/>
        </w:rPr>
        <w:t xml:space="preserve">girls </w:t>
      </w:r>
      <w:r w:rsidR="003A3F1F" w:rsidRPr="00E73BB1">
        <w:rPr>
          <w:rFonts w:ascii="Times New Roman" w:hAnsi="Times New Roman" w:cs="Times New Roman"/>
          <w:sz w:val="24"/>
          <w:szCs w:val="24"/>
        </w:rPr>
        <w:t xml:space="preserve">in </w:t>
      </w:r>
      <w:r w:rsidR="00914E7A" w:rsidRPr="00E73BB1">
        <w:rPr>
          <w:rFonts w:ascii="Times New Roman" w:hAnsi="Times New Roman" w:cs="Times New Roman"/>
          <w:sz w:val="24"/>
          <w:szCs w:val="24"/>
        </w:rPr>
        <w:t>13 countries (Dove, 2017)</w:t>
      </w:r>
      <w:r w:rsidR="002D5C98" w:rsidRPr="00E73BB1">
        <w:rPr>
          <w:rFonts w:ascii="Times New Roman" w:hAnsi="Times New Roman" w:cs="Times New Roman"/>
          <w:sz w:val="24"/>
          <w:szCs w:val="24"/>
        </w:rPr>
        <w:t>.</w:t>
      </w:r>
      <w:r w:rsidR="00914E7A" w:rsidRPr="00E73BB1">
        <w:rPr>
          <w:rFonts w:ascii="Times New Roman" w:hAnsi="Times New Roman" w:cs="Times New Roman"/>
          <w:sz w:val="24"/>
          <w:szCs w:val="24"/>
        </w:rPr>
        <w:t xml:space="preserve"> </w:t>
      </w:r>
      <w:r w:rsidRPr="00E73BB1">
        <w:rPr>
          <w:rFonts w:ascii="Times New Roman" w:hAnsi="Times New Roman" w:cs="Times New Roman"/>
          <w:sz w:val="24"/>
          <w:szCs w:val="24"/>
        </w:rPr>
        <w:t xml:space="preserve">They were </w:t>
      </w:r>
      <w:r w:rsidR="001E5302" w:rsidRPr="00E73BB1">
        <w:rPr>
          <w:rFonts w:ascii="Times New Roman" w:hAnsi="Times New Roman" w:cs="Times New Roman"/>
          <w:sz w:val="24"/>
          <w:szCs w:val="24"/>
        </w:rPr>
        <w:t xml:space="preserve">also </w:t>
      </w:r>
      <w:r w:rsidRPr="00E73BB1">
        <w:rPr>
          <w:rFonts w:ascii="Times New Roman" w:hAnsi="Times New Roman" w:cs="Times New Roman"/>
          <w:sz w:val="24"/>
          <w:szCs w:val="24"/>
        </w:rPr>
        <w:t>interested in</w:t>
      </w:r>
      <w:r w:rsidR="00914E7A" w:rsidRPr="00E73BB1">
        <w:rPr>
          <w:rFonts w:ascii="Times New Roman" w:hAnsi="Times New Roman" w:cs="Times New Roman"/>
          <w:sz w:val="24"/>
          <w:szCs w:val="24"/>
        </w:rPr>
        <w:t xml:space="preserve"> understanding </w:t>
      </w:r>
      <w:r w:rsidRPr="00E73BB1">
        <w:rPr>
          <w:rFonts w:ascii="Times New Roman" w:hAnsi="Times New Roman" w:cs="Times New Roman"/>
          <w:sz w:val="24"/>
          <w:szCs w:val="24"/>
        </w:rPr>
        <w:t>the types of</w:t>
      </w:r>
      <w:r w:rsidR="00914E7A" w:rsidRPr="00E73BB1">
        <w:rPr>
          <w:rFonts w:ascii="Times New Roman" w:hAnsi="Times New Roman" w:cs="Times New Roman"/>
          <w:sz w:val="24"/>
          <w:szCs w:val="24"/>
        </w:rPr>
        <w:t xml:space="preserve"> life</w:t>
      </w:r>
      <w:r w:rsidRPr="00E73BB1">
        <w:rPr>
          <w:rFonts w:ascii="Times New Roman" w:hAnsi="Times New Roman" w:cs="Times New Roman"/>
          <w:sz w:val="24"/>
          <w:szCs w:val="24"/>
        </w:rPr>
        <w:t xml:space="preserve"> activities that girls</w:t>
      </w:r>
      <w:r w:rsidR="00E76CEF" w:rsidRPr="00E73BB1">
        <w:rPr>
          <w:rFonts w:ascii="Times New Roman" w:hAnsi="Times New Roman" w:cs="Times New Roman"/>
          <w:sz w:val="24"/>
          <w:szCs w:val="24"/>
        </w:rPr>
        <w:t xml:space="preserve"> </w:t>
      </w:r>
      <w:r w:rsidRPr="00E73BB1">
        <w:rPr>
          <w:rFonts w:ascii="Times New Roman" w:hAnsi="Times New Roman" w:cs="Times New Roman"/>
          <w:sz w:val="24"/>
          <w:szCs w:val="24"/>
        </w:rPr>
        <w:t>might hold back from</w:t>
      </w:r>
      <w:r w:rsidR="00914E7A" w:rsidRPr="00E73BB1">
        <w:rPr>
          <w:rFonts w:ascii="Times New Roman" w:hAnsi="Times New Roman" w:cs="Times New Roman"/>
          <w:sz w:val="24"/>
          <w:szCs w:val="24"/>
        </w:rPr>
        <w:t xml:space="preserve"> engaging in</w:t>
      </w:r>
      <w:r w:rsidRPr="00E73BB1">
        <w:rPr>
          <w:rFonts w:ascii="Times New Roman" w:hAnsi="Times New Roman" w:cs="Times New Roman"/>
          <w:sz w:val="24"/>
          <w:szCs w:val="24"/>
        </w:rPr>
        <w:t xml:space="preserve"> due to concerns about </w:t>
      </w:r>
      <w:r w:rsidR="00914E7A" w:rsidRPr="00E73BB1">
        <w:rPr>
          <w:rFonts w:ascii="Times New Roman" w:hAnsi="Times New Roman" w:cs="Times New Roman"/>
          <w:sz w:val="24"/>
          <w:szCs w:val="24"/>
        </w:rPr>
        <w:t>their</w:t>
      </w:r>
      <w:r w:rsidRPr="00E73BB1">
        <w:rPr>
          <w:rFonts w:ascii="Times New Roman" w:hAnsi="Times New Roman" w:cs="Times New Roman"/>
          <w:sz w:val="24"/>
          <w:szCs w:val="24"/>
        </w:rPr>
        <w:t xml:space="preserve"> </w:t>
      </w:r>
      <w:r w:rsidR="00914E7A" w:rsidRPr="00E73BB1">
        <w:rPr>
          <w:rFonts w:ascii="Times New Roman" w:hAnsi="Times New Roman" w:cs="Times New Roman"/>
          <w:sz w:val="24"/>
          <w:szCs w:val="24"/>
        </w:rPr>
        <w:t>appearance. These life activities spanned</w:t>
      </w:r>
      <w:r w:rsidRPr="00E73BB1">
        <w:rPr>
          <w:rFonts w:ascii="Times New Roman" w:hAnsi="Times New Roman" w:cs="Times New Roman"/>
          <w:sz w:val="24"/>
          <w:szCs w:val="24"/>
        </w:rPr>
        <w:t xml:space="preserve"> multiple domains</w:t>
      </w:r>
      <w:r w:rsidR="00914E7A" w:rsidRPr="00E73BB1">
        <w:rPr>
          <w:rFonts w:ascii="Times New Roman" w:hAnsi="Times New Roman" w:cs="Times New Roman"/>
          <w:sz w:val="24"/>
          <w:szCs w:val="24"/>
        </w:rPr>
        <w:t xml:space="preserve">, including </w:t>
      </w:r>
      <w:r w:rsidRPr="00E73BB1">
        <w:rPr>
          <w:rFonts w:ascii="Times New Roman" w:hAnsi="Times New Roman" w:cs="Times New Roman"/>
          <w:sz w:val="24"/>
          <w:szCs w:val="24"/>
        </w:rPr>
        <w:t>school/work attendance, sports participation,</w:t>
      </w:r>
      <w:r w:rsidR="00914E7A" w:rsidRPr="00E73BB1">
        <w:rPr>
          <w:rFonts w:ascii="Times New Roman" w:hAnsi="Times New Roman" w:cs="Times New Roman"/>
          <w:sz w:val="24"/>
          <w:szCs w:val="24"/>
        </w:rPr>
        <w:t xml:space="preserve"> socialising, </w:t>
      </w:r>
      <w:r w:rsidR="006E0816" w:rsidRPr="00E73BB1">
        <w:rPr>
          <w:rFonts w:ascii="Times New Roman" w:hAnsi="Times New Roman" w:cs="Times New Roman"/>
          <w:sz w:val="24"/>
          <w:szCs w:val="24"/>
        </w:rPr>
        <w:t xml:space="preserve">seeking healthcare, </w:t>
      </w:r>
      <w:r w:rsidR="00914E7A" w:rsidRPr="00E73BB1">
        <w:rPr>
          <w:rFonts w:ascii="Times New Roman" w:hAnsi="Times New Roman" w:cs="Times New Roman"/>
          <w:sz w:val="24"/>
          <w:szCs w:val="24"/>
        </w:rPr>
        <w:t>and</w:t>
      </w:r>
      <w:r w:rsidRPr="00E73BB1">
        <w:rPr>
          <w:rFonts w:ascii="Times New Roman" w:hAnsi="Times New Roman" w:cs="Times New Roman"/>
          <w:sz w:val="24"/>
          <w:szCs w:val="24"/>
        </w:rPr>
        <w:t xml:space="preserve"> </w:t>
      </w:r>
      <w:r w:rsidR="00914E7A" w:rsidRPr="00E73BB1">
        <w:rPr>
          <w:rFonts w:ascii="Times New Roman" w:hAnsi="Times New Roman" w:cs="Times New Roman"/>
          <w:sz w:val="24"/>
          <w:szCs w:val="24"/>
        </w:rPr>
        <w:t>asserting</w:t>
      </w:r>
      <w:r w:rsidRPr="00E73BB1">
        <w:rPr>
          <w:rFonts w:ascii="Times New Roman" w:hAnsi="Times New Roman" w:cs="Times New Roman"/>
          <w:sz w:val="24"/>
          <w:szCs w:val="24"/>
        </w:rPr>
        <w:t xml:space="preserve"> an opinion. Their findings indicate</w:t>
      </w:r>
      <w:r w:rsidR="00914E7A" w:rsidRPr="00E73BB1">
        <w:rPr>
          <w:rFonts w:ascii="Times New Roman" w:hAnsi="Times New Roman" w:cs="Times New Roman"/>
          <w:sz w:val="24"/>
          <w:szCs w:val="24"/>
        </w:rPr>
        <w:t>d</w:t>
      </w:r>
      <w:r w:rsidRPr="00E73BB1">
        <w:rPr>
          <w:rFonts w:ascii="Times New Roman" w:hAnsi="Times New Roman" w:cs="Times New Roman"/>
          <w:sz w:val="24"/>
          <w:szCs w:val="24"/>
        </w:rPr>
        <w:t xml:space="preserve"> </w:t>
      </w:r>
      <w:r w:rsidR="00914E7A" w:rsidRPr="00E73BB1">
        <w:rPr>
          <w:rFonts w:ascii="Times New Roman" w:hAnsi="Times New Roman" w:cs="Times New Roman"/>
          <w:sz w:val="24"/>
          <w:szCs w:val="24"/>
        </w:rPr>
        <w:t>that up to 8 in 10</w:t>
      </w:r>
      <w:r w:rsidRPr="00E73BB1">
        <w:rPr>
          <w:rFonts w:ascii="Times New Roman" w:hAnsi="Times New Roman" w:cs="Times New Roman"/>
          <w:sz w:val="24"/>
          <w:szCs w:val="24"/>
        </w:rPr>
        <w:t xml:space="preserve"> girls</w:t>
      </w:r>
      <w:r w:rsidR="00914E7A" w:rsidRPr="00E73BB1">
        <w:rPr>
          <w:rFonts w:ascii="Times New Roman" w:hAnsi="Times New Roman" w:cs="Times New Roman"/>
          <w:sz w:val="24"/>
          <w:szCs w:val="24"/>
        </w:rPr>
        <w:t xml:space="preserve"> globally</w:t>
      </w:r>
      <w:r w:rsidRPr="00E73BB1">
        <w:rPr>
          <w:rFonts w:ascii="Times New Roman" w:hAnsi="Times New Roman" w:cs="Times New Roman"/>
          <w:sz w:val="24"/>
          <w:szCs w:val="24"/>
        </w:rPr>
        <w:t xml:space="preserve"> opt out of </w:t>
      </w:r>
      <w:r w:rsidR="00914E7A" w:rsidRPr="00E73BB1">
        <w:rPr>
          <w:rFonts w:ascii="Times New Roman" w:hAnsi="Times New Roman" w:cs="Times New Roman"/>
          <w:sz w:val="24"/>
          <w:szCs w:val="24"/>
        </w:rPr>
        <w:t>key life</w:t>
      </w:r>
      <w:r w:rsidRPr="00E73BB1">
        <w:rPr>
          <w:rFonts w:ascii="Times New Roman" w:hAnsi="Times New Roman" w:cs="Times New Roman"/>
          <w:sz w:val="24"/>
          <w:szCs w:val="24"/>
        </w:rPr>
        <w:t xml:space="preserve"> activities due to </w:t>
      </w:r>
      <w:r w:rsidR="00914E7A" w:rsidRPr="00E73BB1">
        <w:rPr>
          <w:rFonts w:ascii="Times New Roman" w:hAnsi="Times New Roman" w:cs="Times New Roman"/>
          <w:sz w:val="24"/>
          <w:szCs w:val="24"/>
        </w:rPr>
        <w:t>worrying</w:t>
      </w:r>
      <w:r w:rsidRPr="00E73BB1">
        <w:rPr>
          <w:rFonts w:ascii="Times New Roman" w:hAnsi="Times New Roman" w:cs="Times New Roman"/>
          <w:sz w:val="24"/>
          <w:szCs w:val="24"/>
        </w:rPr>
        <w:t xml:space="preserve"> about the</w:t>
      </w:r>
      <w:r w:rsidR="00914E7A" w:rsidRPr="00E73BB1">
        <w:rPr>
          <w:rFonts w:ascii="Times New Roman" w:hAnsi="Times New Roman" w:cs="Times New Roman"/>
          <w:sz w:val="24"/>
          <w:szCs w:val="24"/>
        </w:rPr>
        <w:t xml:space="preserve">ir looks (Dove, 2017). These findings signal ramifications for body image </w:t>
      </w:r>
      <w:r w:rsidR="00BA25B3" w:rsidRPr="00E73BB1">
        <w:rPr>
          <w:rFonts w:ascii="Times New Roman" w:hAnsi="Times New Roman" w:cs="Times New Roman"/>
          <w:sz w:val="24"/>
          <w:szCs w:val="24"/>
        </w:rPr>
        <w:t xml:space="preserve">concerns </w:t>
      </w:r>
      <w:r w:rsidR="00914E7A" w:rsidRPr="00E73BB1">
        <w:rPr>
          <w:rFonts w:ascii="Times New Roman" w:hAnsi="Times New Roman" w:cs="Times New Roman"/>
          <w:sz w:val="24"/>
          <w:szCs w:val="24"/>
        </w:rPr>
        <w:t xml:space="preserve">on girls’ </w:t>
      </w:r>
      <w:r w:rsidR="00E76CEF" w:rsidRPr="00E73BB1">
        <w:rPr>
          <w:rFonts w:ascii="Times New Roman" w:hAnsi="Times New Roman" w:cs="Times New Roman"/>
          <w:sz w:val="24"/>
          <w:szCs w:val="24"/>
        </w:rPr>
        <w:t>development</w:t>
      </w:r>
      <w:r w:rsidR="00914E7A" w:rsidRPr="00E73BB1">
        <w:rPr>
          <w:rFonts w:ascii="Times New Roman" w:hAnsi="Times New Roman" w:cs="Times New Roman"/>
          <w:sz w:val="24"/>
          <w:szCs w:val="24"/>
        </w:rPr>
        <w:t xml:space="preserve"> and potentially their</w:t>
      </w:r>
      <w:r w:rsidR="00E76CEF" w:rsidRPr="00E73BB1">
        <w:rPr>
          <w:rFonts w:ascii="Times New Roman" w:hAnsi="Times New Roman" w:cs="Times New Roman"/>
          <w:sz w:val="24"/>
          <w:szCs w:val="24"/>
        </w:rPr>
        <w:t xml:space="preserve"> </w:t>
      </w:r>
      <w:r w:rsidRPr="00E73BB1">
        <w:rPr>
          <w:rFonts w:ascii="Times New Roman" w:hAnsi="Times New Roman" w:cs="Times New Roman"/>
          <w:sz w:val="24"/>
          <w:szCs w:val="24"/>
        </w:rPr>
        <w:t>future contributions to society.</w:t>
      </w:r>
      <w:r w:rsidR="001E5302" w:rsidRPr="00E73BB1">
        <w:rPr>
          <w:rFonts w:ascii="Times New Roman" w:hAnsi="Times New Roman" w:cs="Times New Roman"/>
          <w:sz w:val="24"/>
          <w:szCs w:val="24"/>
        </w:rPr>
        <w:t xml:space="preserve"> </w:t>
      </w:r>
      <w:r w:rsidRPr="00E73BB1">
        <w:rPr>
          <w:rFonts w:ascii="Times New Roman" w:hAnsi="Times New Roman" w:cs="Times New Roman"/>
          <w:sz w:val="24"/>
          <w:szCs w:val="24"/>
        </w:rPr>
        <w:t xml:space="preserve">Nevertheless, </w:t>
      </w:r>
      <w:r w:rsidR="00BA25B3" w:rsidRPr="00E73BB1">
        <w:rPr>
          <w:rFonts w:ascii="Times New Roman" w:hAnsi="Times New Roman" w:cs="Times New Roman"/>
          <w:sz w:val="24"/>
          <w:szCs w:val="24"/>
        </w:rPr>
        <w:t>this scale had</w:t>
      </w:r>
      <w:r w:rsidR="00E229AF" w:rsidRPr="00E73BB1">
        <w:rPr>
          <w:rFonts w:ascii="Times New Roman" w:hAnsi="Times New Roman" w:cs="Times New Roman"/>
          <w:sz w:val="24"/>
          <w:szCs w:val="24"/>
        </w:rPr>
        <w:t xml:space="preserve"> </w:t>
      </w:r>
      <w:r w:rsidRPr="00E73BB1">
        <w:rPr>
          <w:rFonts w:ascii="Times New Roman" w:hAnsi="Times New Roman" w:cs="Times New Roman"/>
          <w:sz w:val="24"/>
          <w:szCs w:val="24"/>
        </w:rPr>
        <w:t xml:space="preserve">not been validated psychometrically. </w:t>
      </w:r>
    </w:p>
    <w:p w14:paraId="2BF79D33" w14:textId="2A5C7A9C" w:rsidR="00BC6AD4" w:rsidRPr="00E73BB1" w:rsidRDefault="00540D60" w:rsidP="00C40D22">
      <w:pPr>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T</w:t>
      </w:r>
      <w:r w:rsidR="00C40D22" w:rsidRPr="00E73BB1">
        <w:rPr>
          <w:rFonts w:ascii="Times New Roman" w:hAnsi="Times New Roman" w:cs="Times New Roman"/>
          <w:sz w:val="24"/>
          <w:szCs w:val="24"/>
        </w:rPr>
        <w:t>he</w:t>
      </w:r>
      <w:r w:rsidR="00914E7A" w:rsidRPr="00E73BB1">
        <w:rPr>
          <w:rFonts w:ascii="Times New Roman" w:hAnsi="Times New Roman" w:cs="Times New Roman"/>
          <w:sz w:val="24"/>
          <w:szCs w:val="24"/>
        </w:rPr>
        <w:t xml:space="preserve"> </w:t>
      </w:r>
      <w:r w:rsidR="00C40D22" w:rsidRPr="00E73BB1">
        <w:rPr>
          <w:rFonts w:ascii="Times New Roman" w:hAnsi="Times New Roman" w:cs="Times New Roman"/>
          <w:sz w:val="24"/>
          <w:szCs w:val="24"/>
        </w:rPr>
        <w:t xml:space="preserve">aim of </w:t>
      </w:r>
      <w:r w:rsidR="001E5302" w:rsidRPr="00E73BB1">
        <w:rPr>
          <w:rFonts w:ascii="Times New Roman" w:hAnsi="Times New Roman" w:cs="Times New Roman"/>
          <w:sz w:val="24"/>
          <w:szCs w:val="24"/>
        </w:rPr>
        <w:t>the current research</w:t>
      </w:r>
      <w:r w:rsidRPr="00E73BB1">
        <w:rPr>
          <w:rFonts w:ascii="Times New Roman" w:hAnsi="Times New Roman" w:cs="Times New Roman"/>
          <w:sz w:val="24"/>
          <w:szCs w:val="24"/>
        </w:rPr>
        <w:t>, therefore,</w:t>
      </w:r>
      <w:r w:rsidR="001E5302" w:rsidRPr="00E73BB1">
        <w:rPr>
          <w:rFonts w:ascii="Times New Roman" w:hAnsi="Times New Roman" w:cs="Times New Roman"/>
          <w:sz w:val="24"/>
          <w:szCs w:val="24"/>
        </w:rPr>
        <w:t xml:space="preserve"> </w:t>
      </w:r>
      <w:r w:rsidR="00C40D22" w:rsidRPr="00E73BB1">
        <w:rPr>
          <w:rFonts w:ascii="Times New Roman" w:hAnsi="Times New Roman" w:cs="Times New Roman"/>
          <w:sz w:val="24"/>
          <w:szCs w:val="24"/>
        </w:rPr>
        <w:t xml:space="preserve">was to adapt and validate a brief measure based on the </w:t>
      </w:r>
      <w:r w:rsidR="00E229AF" w:rsidRPr="00E73BB1">
        <w:rPr>
          <w:rFonts w:ascii="Times New Roman" w:hAnsi="Times New Roman" w:cs="Times New Roman"/>
          <w:sz w:val="24"/>
          <w:szCs w:val="24"/>
        </w:rPr>
        <w:t>items used in the Dove (2017) report</w:t>
      </w:r>
      <w:r w:rsidR="00E76CEF" w:rsidRPr="00E73BB1">
        <w:rPr>
          <w:rFonts w:ascii="Times New Roman" w:hAnsi="Times New Roman" w:cs="Times New Roman"/>
          <w:sz w:val="24"/>
          <w:szCs w:val="24"/>
        </w:rPr>
        <w:t>, which</w:t>
      </w:r>
      <w:r w:rsidR="00C40D22" w:rsidRPr="00E73BB1">
        <w:rPr>
          <w:rFonts w:ascii="Times New Roman" w:hAnsi="Times New Roman" w:cs="Times New Roman"/>
          <w:sz w:val="24"/>
          <w:szCs w:val="24"/>
        </w:rPr>
        <w:t xml:space="preserve"> could be used to assess the impact of body image concerns on young people’s engagement in key life areas. </w:t>
      </w:r>
      <w:r w:rsidR="00124229" w:rsidRPr="00E73BB1">
        <w:rPr>
          <w:rFonts w:ascii="Times New Roman" w:hAnsi="Times New Roman" w:cs="Times New Roman"/>
          <w:sz w:val="24"/>
          <w:szCs w:val="24"/>
        </w:rPr>
        <w:t>Below, w</w:t>
      </w:r>
      <w:r w:rsidR="00C40D22" w:rsidRPr="00E73BB1">
        <w:rPr>
          <w:rFonts w:ascii="Times New Roman" w:hAnsi="Times New Roman" w:cs="Times New Roman"/>
          <w:sz w:val="24"/>
          <w:szCs w:val="24"/>
        </w:rPr>
        <w:t xml:space="preserve">e report on the process of development and </w:t>
      </w:r>
      <w:r w:rsidR="00BA25B3" w:rsidRPr="00E73BB1">
        <w:rPr>
          <w:rFonts w:ascii="Times New Roman" w:hAnsi="Times New Roman" w:cs="Times New Roman"/>
          <w:sz w:val="24"/>
          <w:szCs w:val="24"/>
        </w:rPr>
        <w:t xml:space="preserve">psychometric </w:t>
      </w:r>
      <w:r w:rsidR="00C40D22" w:rsidRPr="00E73BB1">
        <w:rPr>
          <w:rFonts w:ascii="Times New Roman" w:hAnsi="Times New Roman" w:cs="Times New Roman"/>
          <w:sz w:val="24"/>
          <w:szCs w:val="24"/>
        </w:rPr>
        <w:t xml:space="preserve">validation across </w:t>
      </w:r>
      <w:r w:rsidR="00E76CEF" w:rsidRPr="00E73BB1">
        <w:rPr>
          <w:rFonts w:ascii="Times New Roman" w:hAnsi="Times New Roman" w:cs="Times New Roman"/>
          <w:sz w:val="24"/>
          <w:szCs w:val="24"/>
        </w:rPr>
        <w:t>four</w:t>
      </w:r>
      <w:r w:rsidR="00C40D22" w:rsidRPr="00E73BB1">
        <w:rPr>
          <w:rFonts w:ascii="Times New Roman" w:hAnsi="Times New Roman" w:cs="Times New Roman"/>
          <w:sz w:val="24"/>
          <w:szCs w:val="24"/>
        </w:rPr>
        <w:t xml:space="preserve"> studies</w:t>
      </w:r>
      <w:r w:rsidR="0008564C" w:rsidRPr="00E73BB1">
        <w:rPr>
          <w:rFonts w:ascii="Times New Roman" w:hAnsi="Times New Roman" w:cs="Times New Roman"/>
          <w:sz w:val="24"/>
          <w:szCs w:val="24"/>
        </w:rPr>
        <w:t xml:space="preserve"> </w:t>
      </w:r>
      <w:r w:rsidR="00B35BC0" w:rsidRPr="00E73BB1">
        <w:rPr>
          <w:rFonts w:ascii="Times New Roman" w:hAnsi="Times New Roman" w:cs="Times New Roman"/>
          <w:sz w:val="24"/>
          <w:szCs w:val="24"/>
        </w:rPr>
        <w:t>with</w:t>
      </w:r>
      <w:r w:rsidR="0008564C" w:rsidRPr="00E73BB1">
        <w:rPr>
          <w:rFonts w:ascii="Times New Roman" w:hAnsi="Times New Roman" w:cs="Times New Roman"/>
          <w:sz w:val="24"/>
          <w:szCs w:val="24"/>
        </w:rPr>
        <w:t xml:space="preserve"> adolescent</w:t>
      </w:r>
      <w:r w:rsidR="00123921" w:rsidRPr="00E73BB1">
        <w:rPr>
          <w:rFonts w:ascii="Times New Roman" w:hAnsi="Times New Roman" w:cs="Times New Roman"/>
          <w:sz w:val="24"/>
          <w:szCs w:val="24"/>
        </w:rPr>
        <w:t>s</w:t>
      </w:r>
      <w:r w:rsidR="00C40D22" w:rsidRPr="00E73BB1">
        <w:rPr>
          <w:rFonts w:ascii="Times New Roman" w:hAnsi="Times New Roman" w:cs="Times New Roman"/>
          <w:sz w:val="24"/>
          <w:szCs w:val="24"/>
        </w:rPr>
        <w:t>.</w:t>
      </w:r>
      <w:r w:rsidR="001E5302" w:rsidRPr="00E73BB1">
        <w:rPr>
          <w:rFonts w:ascii="Times New Roman" w:hAnsi="Times New Roman" w:cs="Times New Roman"/>
          <w:sz w:val="24"/>
          <w:szCs w:val="24"/>
        </w:rPr>
        <w:t xml:space="preserve"> </w:t>
      </w:r>
      <w:r w:rsidR="00B35BC0" w:rsidRPr="00E73BB1">
        <w:rPr>
          <w:rFonts w:ascii="Times New Roman" w:hAnsi="Times New Roman" w:cs="Times New Roman"/>
          <w:sz w:val="24"/>
          <w:szCs w:val="24"/>
        </w:rPr>
        <w:t>Given the gendered nature of body image issues, w</w:t>
      </w:r>
      <w:r w:rsidR="00BC6AD4" w:rsidRPr="00E73BB1">
        <w:rPr>
          <w:rFonts w:ascii="Times New Roman" w:hAnsi="Times New Roman" w:cs="Times New Roman"/>
          <w:sz w:val="24"/>
          <w:szCs w:val="24"/>
        </w:rPr>
        <w:t xml:space="preserve">e also </w:t>
      </w:r>
      <w:r w:rsidR="008538BB" w:rsidRPr="00E73BB1">
        <w:rPr>
          <w:rFonts w:ascii="Times New Roman" w:hAnsi="Times New Roman" w:cs="Times New Roman"/>
          <w:sz w:val="24"/>
          <w:szCs w:val="24"/>
        </w:rPr>
        <w:t>aimed</w:t>
      </w:r>
      <w:r w:rsidR="00BC6AD4" w:rsidRPr="00E73BB1">
        <w:rPr>
          <w:rFonts w:ascii="Times New Roman" w:hAnsi="Times New Roman" w:cs="Times New Roman"/>
          <w:sz w:val="24"/>
          <w:szCs w:val="24"/>
        </w:rPr>
        <w:t xml:space="preserve"> to assess gender differences with respect to factor structure, reliability and validity</w:t>
      </w:r>
      <w:r w:rsidR="00B35BC0" w:rsidRPr="00E73BB1">
        <w:rPr>
          <w:rFonts w:ascii="Times New Roman" w:hAnsi="Times New Roman" w:cs="Times New Roman"/>
          <w:sz w:val="24"/>
          <w:szCs w:val="24"/>
        </w:rPr>
        <w:t>, and level of endorsement</w:t>
      </w:r>
      <w:r w:rsidR="00BC6AD4" w:rsidRPr="00E73BB1">
        <w:rPr>
          <w:rFonts w:ascii="Times New Roman" w:hAnsi="Times New Roman" w:cs="Times New Roman"/>
          <w:sz w:val="24"/>
          <w:szCs w:val="24"/>
        </w:rPr>
        <w:t xml:space="preserve">. Body image concerns are present across gender </w:t>
      </w:r>
      <w:r w:rsidR="00123921" w:rsidRPr="00E73BB1">
        <w:rPr>
          <w:rFonts w:ascii="Times New Roman" w:hAnsi="Times New Roman" w:cs="Times New Roman"/>
          <w:sz w:val="24"/>
          <w:szCs w:val="24"/>
        </w:rPr>
        <w:t xml:space="preserve">identities, although </w:t>
      </w:r>
      <w:r w:rsidR="00BC6AD4" w:rsidRPr="00E73BB1">
        <w:rPr>
          <w:rFonts w:ascii="Times New Roman" w:hAnsi="Times New Roman" w:cs="Times New Roman"/>
          <w:sz w:val="24"/>
          <w:szCs w:val="24"/>
        </w:rPr>
        <w:t>research has highlighted that</w:t>
      </w:r>
      <w:r w:rsidR="00B35BC0" w:rsidRPr="00E73BB1">
        <w:rPr>
          <w:rFonts w:ascii="Times New Roman" w:hAnsi="Times New Roman" w:cs="Times New Roman"/>
          <w:sz w:val="24"/>
          <w:szCs w:val="24"/>
        </w:rPr>
        <w:t xml:space="preserve"> the nature of concerns differs by gender, and that</w:t>
      </w:r>
      <w:r w:rsidR="00BC6AD4" w:rsidRPr="00E73BB1">
        <w:rPr>
          <w:rFonts w:ascii="Times New Roman" w:hAnsi="Times New Roman" w:cs="Times New Roman"/>
          <w:sz w:val="24"/>
          <w:szCs w:val="24"/>
        </w:rPr>
        <w:t xml:space="preserve"> </w:t>
      </w:r>
      <w:r w:rsidR="00123921" w:rsidRPr="00E73BB1">
        <w:rPr>
          <w:rFonts w:ascii="Times New Roman" w:hAnsi="Times New Roman" w:cs="Times New Roman"/>
          <w:sz w:val="24"/>
          <w:szCs w:val="24"/>
        </w:rPr>
        <w:t>females</w:t>
      </w:r>
      <w:r w:rsidR="00BC6AD4" w:rsidRPr="00E73BB1">
        <w:rPr>
          <w:rFonts w:ascii="Times New Roman" w:hAnsi="Times New Roman" w:cs="Times New Roman"/>
          <w:sz w:val="24"/>
          <w:szCs w:val="24"/>
        </w:rPr>
        <w:t xml:space="preserve"> </w:t>
      </w:r>
      <w:r w:rsidR="00123921" w:rsidRPr="00E73BB1">
        <w:rPr>
          <w:rFonts w:ascii="Times New Roman" w:hAnsi="Times New Roman" w:cs="Times New Roman"/>
          <w:sz w:val="24"/>
          <w:szCs w:val="24"/>
        </w:rPr>
        <w:t>generally endorse greater body dissatisfaction</w:t>
      </w:r>
      <w:r w:rsidR="00BC6AD4" w:rsidRPr="00E73BB1">
        <w:rPr>
          <w:rFonts w:ascii="Times New Roman" w:hAnsi="Times New Roman" w:cs="Times New Roman"/>
          <w:sz w:val="24"/>
          <w:szCs w:val="24"/>
        </w:rPr>
        <w:t xml:space="preserve"> (see Murnen, 2011). We </w:t>
      </w:r>
      <w:r w:rsidR="00201C5E" w:rsidRPr="00E73BB1">
        <w:rPr>
          <w:rFonts w:ascii="Times New Roman" w:hAnsi="Times New Roman" w:cs="Times New Roman"/>
          <w:sz w:val="24"/>
          <w:szCs w:val="24"/>
        </w:rPr>
        <w:t xml:space="preserve">therefore </w:t>
      </w:r>
      <w:r w:rsidR="00BC6AD4" w:rsidRPr="00E73BB1">
        <w:rPr>
          <w:rFonts w:ascii="Times New Roman" w:hAnsi="Times New Roman" w:cs="Times New Roman"/>
          <w:sz w:val="24"/>
          <w:szCs w:val="24"/>
        </w:rPr>
        <w:t xml:space="preserve">expected that the </w:t>
      </w:r>
      <w:r w:rsidR="00123921" w:rsidRPr="00E73BB1">
        <w:rPr>
          <w:rFonts w:ascii="Times New Roman" w:hAnsi="Times New Roman" w:cs="Times New Roman"/>
          <w:sz w:val="24"/>
          <w:szCs w:val="24"/>
        </w:rPr>
        <w:t>psychometric properties would be upheld</w:t>
      </w:r>
      <w:r w:rsidR="00BC6AD4" w:rsidRPr="00E73BB1">
        <w:rPr>
          <w:rFonts w:ascii="Times New Roman" w:hAnsi="Times New Roman" w:cs="Times New Roman"/>
          <w:sz w:val="24"/>
          <w:szCs w:val="24"/>
        </w:rPr>
        <w:t xml:space="preserve"> </w:t>
      </w:r>
      <w:r w:rsidR="00201C5E" w:rsidRPr="00E73BB1">
        <w:rPr>
          <w:rFonts w:ascii="Times New Roman" w:hAnsi="Times New Roman" w:cs="Times New Roman"/>
          <w:sz w:val="24"/>
          <w:szCs w:val="24"/>
        </w:rPr>
        <w:t>across gender</w:t>
      </w:r>
      <w:r w:rsidR="00BC6AD4" w:rsidRPr="00E73BB1">
        <w:rPr>
          <w:rFonts w:ascii="Times New Roman" w:hAnsi="Times New Roman" w:cs="Times New Roman"/>
          <w:sz w:val="24"/>
          <w:szCs w:val="24"/>
        </w:rPr>
        <w:t>, but that there would be higher endorsement among girls.</w:t>
      </w:r>
    </w:p>
    <w:p w14:paraId="54FFCA45" w14:textId="182C2760" w:rsidR="00C02F79" w:rsidRPr="00E73BB1" w:rsidRDefault="00C02F79" w:rsidP="00A94360">
      <w:pPr>
        <w:pStyle w:val="ListParagraph"/>
        <w:numPr>
          <w:ilvl w:val="0"/>
          <w:numId w:val="10"/>
        </w:numPr>
        <w:spacing w:after="0" w:line="480" w:lineRule="auto"/>
        <w:jc w:val="center"/>
        <w:rPr>
          <w:rFonts w:ascii="Times New Roman" w:hAnsi="Times New Roman" w:cs="Times New Roman"/>
          <w:b/>
          <w:sz w:val="24"/>
          <w:szCs w:val="24"/>
        </w:rPr>
      </w:pPr>
      <w:r w:rsidRPr="00E73BB1">
        <w:rPr>
          <w:rFonts w:ascii="Times New Roman" w:hAnsi="Times New Roman" w:cs="Times New Roman"/>
          <w:b/>
          <w:sz w:val="24"/>
          <w:szCs w:val="24"/>
        </w:rPr>
        <w:t>Study 1</w:t>
      </w:r>
      <w:r w:rsidR="005F5FAA" w:rsidRPr="00E73BB1">
        <w:rPr>
          <w:rFonts w:ascii="Times New Roman" w:hAnsi="Times New Roman" w:cs="Times New Roman"/>
          <w:b/>
          <w:sz w:val="24"/>
          <w:szCs w:val="24"/>
        </w:rPr>
        <w:t>: Development</w:t>
      </w:r>
      <w:r w:rsidR="00784262" w:rsidRPr="00E73BB1">
        <w:rPr>
          <w:rFonts w:ascii="Times New Roman" w:hAnsi="Times New Roman" w:cs="Times New Roman"/>
          <w:b/>
          <w:sz w:val="24"/>
          <w:szCs w:val="24"/>
        </w:rPr>
        <w:t xml:space="preserve"> </w:t>
      </w:r>
      <w:r w:rsidR="005F5FAA" w:rsidRPr="00E73BB1">
        <w:rPr>
          <w:rFonts w:ascii="Times New Roman" w:hAnsi="Times New Roman" w:cs="Times New Roman"/>
          <w:b/>
          <w:sz w:val="24"/>
          <w:szCs w:val="24"/>
        </w:rPr>
        <w:t xml:space="preserve">and </w:t>
      </w:r>
      <w:r w:rsidR="00C40D22" w:rsidRPr="00E73BB1">
        <w:rPr>
          <w:rFonts w:ascii="Times New Roman" w:hAnsi="Times New Roman" w:cs="Times New Roman"/>
          <w:b/>
          <w:sz w:val="24"/>
          <w:szCs w:val="24"/>
        </w:rPr>
        <w:t>E</w:t>
      </w:r>
      <w:r w:rsidR="005F5FAA" w:rsidRPr="00E73BB1">
        <w:rPr>
          <w:rFonts w:ascii="Times New Roman" w:hAnsi="Times New Roman" w:cs="Times New Roman"/>
          <w:b/>
          <w:sz w:val="24"/>
          <w:szCs w:val="24"/>
        </w:rPr>
        <w:t xml:space="preserve">xploratory </w:t>
      </w:r>
      <w:r w:rsidR="00C40D22" w:rsidRPr="00E73BB1">
        <w:rPr>
          <w:rFonts w:ascii="Times New Roman" w:hAnsi="Times New Roman" w:cs="Times New Roman"/>
          <w:b/>
          <w:sz w:val="24"/>
          <w:szCs w:val="24"/>
        </w:rPr>
        <w:t>F</w:t>
      </w:r>
      <w:r w:rsidR="005F5FAA" w:rsidRPr="00E73BB1">
        <w:rPr>
          <w:rFonts w:ascii="Times New Roman" w:hAnsi="Times New Roman" w:cs="Times New Roman"/>
          <w:b/>
          <w:sz w:val="24"/>
          <w:szCs w:val="24"/>
        </w:rPr>
        <w:t xml:space="preserve">actor </w:t>
      </w:r>
      <w:r w:rsidR="00C40D22" w:rsidRPr="00E73BB1">
        <w:rPr>
          <w:rFonts w:ascii="Times New Roman" w:hAnsi="Times New Roman" w:cs="Times New Roman"/>
          <w:b/>
          <w:sz w:val="24"/>
          <w:szCs w:val="24"/>
        </w:rPr>
        <w:t>A</w:t>
      </w:r>
      <w:r w:rsidR="00784262" w:rsidRPr="00E73BB1">
        <w:rPr>
          <w:rFonts w:ascii="Times New Roman" w:hAnsi="Times New Roman" w:cs="Times New Roman"/>
          <w:b/>
          <w:sz w:val="24"/>
          <w:szCs w:val="24"/>
        </w:rPr>
        <w:t>nalysis</w:t>
      </w:r>
    </w:p>
    <w:p w14:paraId="393F1EC8" w14:textId="68A98FFE" w:rsidR="00C87389" w:rsidRPr="00E73BB1" w:rsidRDefault="00C87389" w:rsidP="00C87389">
      <w:pPr>
        <w:widowControl w:val="0"/>
        <w:spacing w:after="0" w:line="480" w:lineRule="auto"/>
        <w:rPr>
          <w:rFonts w:ascii="Times New Roman" w:hAnsi="Times New Roman" w:cs="Times New Roman"/>
          <w:sz w:val="24"/>
          <w:szCs w:val="24"/>
        </w:rPr>
      </w:pPr>
      <w:r w:rsidRPr="00E73BB1">
        <w:rPr>
          <w:rFonts w:ascii="Times New Roman" w:hAnsi="Times New Roman" w:cs="Times New Roman"/>
          <w:sz w:val="24"/>
          <w:szCs w:val="24"/>
        </w:rPr>
        <w:tab/>
      </w:r>
      <w:r w:rsidR="00F714E0" w:rsidRPr="00E73BB1">
        <w:rPr>
          <w:rFonts w:ascii="Times New Roman" w:hAnsi="Times New Roman" w:cs="Times New Roman"/>
          <w:sz w:val="24"/>
          <w:szCs w:val="24"/>
        </w:rPr>
        <w:t>The aim</w:t>
      </w:r>
      <w:r w:rsidR="001872B1" w:rsidRPr="00E73BB1">
        <w:rPr>
          <w:rFonts w:ascii="Times New Roman" w:hAnsi="Times New Roman" w:cs="Times New Roman"/>
          <w:sz w:val="24"/>
          <w:szCs w:val="24"/>
        </w:rPr>
        <w:t>s</w:t>
      </w:r>
      <w:r w:rsidR="00F714E0" w:rsidRPr="00E73BB1">
        <w:rPr>
          <w:rFonts w:ascii="Times New Roman" w:hAnsi="Times New Roman" w:cs="Times New Roman"/>
          <w:sz w:val="24"/>
          <w:szCs w:val="24"/>
        </w:rPr>
        <w:t xml:space="preserve"> of Study 1</w:t>
      </w:r>
      <w:r w:rsidR="0008098A" w:rsidRPr="00E73BB1">
        <w:rPr>
          <w:rFonts w:ascii="Times New Roman" w:hAnsi="Times New Roman" w:cs="Times New Roman"/>
          <w:sz w:val="24"/>
          <w:szCs w:val="24"/>
        </w:rPr>
        <w:t xml:space="preserve"> </w:t>
      </w:r>
      <w:r w:rsidR="001872B1" w:rsidRPr="00E73BB1">
        <w:rPr>
          <w:rFonts w:ascii="Times New Roman" w:hAnsi="Times New Roman" w:cs="Times New Roman"/>
          <w:sz w:val="24"/>
          <w:szCs w:val="24"/>
        </w:rPr>
        <w:t xml:space="preserve">were </w:t>
      </w:r>
      <w:r w:rsidR="0008098A" w:rsidRPr="00E73BB1">
        <w:rPr>
          <w:rFonts w:ascii="Times New Roman" w:hAnsi="Times New Roman" w:cs="Times New Roman"/>
          <w:sz w:val="24"/>
          <w:szCs w:val="24"/>
        </w:rPr>
        <w:t xml:space="preserve">to develop the </w:t>
      </w:r>
      <w:r w:rsidR="00CE3226" w:rsidRPr="00E73BB1">
        <w:rPr>
          <w:rFonts w:ascii="Times New Roman" w:hAnsi="Times New Roman" w:cs="Times New Roman"/>
          <w:sz w:val="24"/>
          <w:szCs w:val="24"/>
        </w:rPr>
        <w:t>BILD-Q</w:t>
      </w:r>
      <w:r w:rsidR="00F27C75" w:rsidRPr="00E73BB1">
        <w:rPr>
          <w:rFonts w:ascii="Times New Roman" w:hAnsi="Times New Roman" w:cs="Times New Roman"/>
          <w:sz w:val="24"/>
          <w:szCs w:val="24"/>
        </w:rPr>
        <w:t xml:space="preserve"> based on an existing</w:t>
      </w:r>
      <w:r w:rsidR="0008098A" w:rsidRPr="00E73BB1">
        <w:rPr>
          <w:rFonts w:ascii="Times New Roman" w:hAnsi="Times New Roman" w:cs="Times New Roman"/>
          <w:sz w:val="24"/>
          <w:szCs w:val="24"/>
        </w:rPr>
        <w:t xml:space="preserve"> market research</w:t>
      </w:r>
      <w:r w:rsidR="00F27C75" w:rsidRPr="00E73BB1">
        <w:rPr>
          <w:rFonts w:ascii="Times New Roman" w:hAnsi="Times New Roman" w:cs="Times New Roman"/>
          <w:sz w:val="24"/>
          <w:szCs w:val="24"/>
        </w:rPr>
        <w:t xml:space="preserve"> tool</w:t>
      </w:r>
      <w:r w:rsidRPr="00E73BB1">
        <w:rPr>
          <w:rFonts w:ascii="Times New Roman" w:hAnsi="Times New Roman" w:cs="Times New Roman"/>
          <w:sz w:val="24"/>
          <w:szCs w:val="24"/>
        </w:rPr>
        <w:t xml:space="preserve"> </w:t>
      </w:r>
      <w:r w:rsidR="002D0FE4" w:rsidRPr="00E73BB1">
        <w:rPr>
          <w:rFonts w:ascii="Times New Roman" w:hAnsi="Times New Roman" w:cs="Times New Roman"/>
          <w:sz w:val="24"/>
          <w:szCs w:val="24"/>
        </w:rPr>
        <w:t xml:space="preserve">and </w:t>
      </w:r>
      <w:r w:rsidR="00F27C75" w:rsidRPr="00E73BB1">
        <w:rPr>
          <w:rFonts w:ascii="Times New Roman" w:hAnsi="Times New Roman" w:cs="Times New Roman"/>
          <w:sz w:val="24"/>
          <w:szCs w:val="24"/>
        </w:rPr>
        <w:t xml:space="preserve">explore its </w:t>
      </w:r>
      <w:r w:rsidR="002D0FE4" w:rsidRPr="00E73BB1">
        <w:rPr>
          <w:rFonts w:ascii="Times New Roman" w:hAnsi="Times New Roman" w:cs="Times New Roman"/>
          <w:sz w:val="24"/>
          <w:szCs w:val="24"/>
        </w:rPr>
        <w:t>dimensionality</w:t>
      </w:r>
      <w:r w:rsidR="00706A2A" w:rsidRPr="00E73BB1">
        <w:rPr>
          <w:rFonts w:ascii="Times New Roman" w:hAnsi="Times New Roman" w:cs="Times New Roman"/>
          <w:sz w:val="24"/>
          <w:szCs w:val="24"/>
        </w:rPr>
        <w:t xml:space="preserve">, </w:t>
      </w:r>
      <w:r w:rsidR="002D0FE4" w:rsidRPr="00E73BB1">
        <w:rPr>
          <w:rFonts w:ascii="Times New Roman" w:hAnsi="Times New Roman" w:cs="Times New Roman"/>
          <w:sz w:val="24"/>
          <w:szCs w:val="24"/>
        </w:rPr>
        <w:t>reliability</w:t>
      </w:r>
      <w:r w:rsidR="00706A2A" w:rsidRPr="00E73BB1">
        <w:rPr>
          <w:rFonts w:ascii="Times New Roman" w:hAnsi="Times New Roman" w:cs="Times New Roman"/>
          <w:sz w:val="24"/>
          <w:szCs w:val="24"/>
        </w:rPr>
        <w:t xml:space="preserve">, and </w:t>
      </w:r>
      <w:r w:rsidR="00631AD5" w:rsidRPr="00E73BB1">
        <w:rPr>
          <w:rFonts w:ascii="Times New Roman" w:hAnsi="Times New Roman" w:cs="Times New Roman"/>
          <w:sz w:val="24"/>
          <w:szCs w:val="24"/>
        </w:rPr>
        <w:t>mean scores</w:t>
      </w:r>
      <w:r w:rsidR="00F27C75" w:rsidRPr="00E73BB1">
        <w:rPr>
          <w:rFonts w:ascii="Times New Roman" w:hAnsi="Times New Roman" w:cs="Times New Roman"/>
          <w:sz w:val="24"/>
          <w:szCs w:val="24"/>
        </w:rPr>
        <w:t xml:space="preserve"> </w:t>
      </w:r>
      <w:r w:rsidRPr="00E73BB1">
        <w:rPr>
          <w:rFonts w:ascii="Times New Roman" w:hAnsi="Times New Roman" w:cs="Times New Roman"/>
          <w:sz w:val="24"/>
          <w:szCs w:val="24"/>
        </w:rPr>
        <w:t xml:space="preserve">in a sample of </w:t>
      </w:r>
      <w:r w:rsidR="00C5565F" w:rsidRPr="00E73BB1">
        <w:rPr>
          <w:rFonts w:ascii="Times New Roman" w:hAnsi="Times New Roman" w:cs="Times New Roman"/>
          <w:sz w:val="24"/>
          <w:szCs w:val="24"/>
        </w:rPr>
        <w:t xml:space="preserve">early </w:t>
      </w:r>
      <w:r w:rsidR="00F27C75" w:rsidRPr="00E73BB1">
        <w:rPr>
          <w:rFonts w:ascii="Times New Roman" w:hAnsi="Times New Roman" w:cs="Times New Roman"/>
          <w:sz w:val="24"/>
          <w:szCs w:val="24"/>
        </w:rPr>
        <w:t>adolescent girls and boys</w:t>
      </w:r>
      <w:r w:rsidRPr="00E73BB1">
        <w:rPr>
          <w:rFonts w:ascii="Times New Roman" w:hAnsi="Times New Roman" w:cs="Times New Roman"/>
          <w:sz w:val="24"/>
          <w:szCs w:val="24"/>
        </w:rPr>
        <w:t xml:space="preserve">. </w:t>
      </w:r>
      <w:r w:rsidR="009C4C1B" w:rsidRPr="00E73BB1">
        <w:rPr>
          <w:rFonts w:ascii="Times New Roman" w:hAnsi="Times New Roman" w:cs="Times New Roman"/>
          <w:sz w:val="24"/>
          <w:szCs w:val="24"/>
        </w:rPr>
        <w:t xml:space="preserve">We expected the </w:t>
      </w:r>
      <w:r w:rsidR="00CE3226" w:rsidRPr="00E73BB1">
        <w:rPr>
          <w:rFonts w:ascii="Times New Roman" w:hAnsi="Times New Roman" w:cs="Times New Roman"/>
          <w:sz w:val="24"/>
          <w:szCs w:val="24"/>
        </w:rPr>
        <w:t>BILD-Q</w:t>
      </w:r>
      <w:r w:rsidR="007C6DBB" w:rsidRPr="00E73BB1">
        <w:rPr>
          <w:rFonts w:ascii="Times New Roman" w:hAnsi="Times New Roman" w:cs="Times New Roman"/>
          <w:sz w:val="24"/>
          <w:szCs w:val="24"/>
        </w:rPr>
        <w:t xml:space="preserve"> to </w:t>
      </w:r>
      <w:r w:rsidR="00C97665" w:rsidRPr="00E73BB1">
        <w:rPr>
          <w:rFonts w:ascii="Times New Roman" w:hAnsi="Times New Roman" w:cs="Times New Roman"/>
          <w:sz w:val="24"/>
          <w:szCs w:val="24"/>
        </w:rPr>
        <w:t xml:space="preserve">show </w:t>
      </w:r>
      <w:r w:rsidR="007C6DBB" w:rsidRPr="00E73BB1">
        <w:rPr>
          <w:rFonts w:ascii="Times New Roman" w:hAnsi="Times New Roman" w:cs="Times New Roman"/>
          <w:sz w:val="24"/>
          <w:szCs w:val="24"/>
        </w:rPr>
        <w:t>a unidimensional structure, to be internally consistent and reliable over time among both boys and girls</w:t>
      </w:r>
      <w:r w:rsidR="00706A2A" w:rsidRPr="00E73BB1">
        <w:rPr>
          <w:rFonts w:ascii="Times New Roman" w:hAnsi="Times New Roman" w:cs="Times New Roman"/>
          <w:sz w:val="24"/>
          <w:szCs w:val="24"/>
        </w:rPr>
        <w:t xml:space="preserve">, and </w:t>
      </w:r>
      <w:r w:rsidR="00124229" w:rsidRPr="00E73BB1">
        <w:rPr>
          <w:rFonts w:ascii="Times New Roman" w:hAnsi="Times New Roman" w:cs="Times New Roman"/>
          <w:sz w:val="24"/>
          <w:szCs w:val="24"/>
        </w:rPr>
        <w:t>that</w:t>
      </w:r>
      <w:r w:rsidR="00706A2A" w:rsidRPr="00E73BB1">
        <w:rPr>
          <w:rFonts w:ascii="Times New Roman" w:hAnsi="Times New Roman" w:cs="Times New Roman"/>
          <w:sz w:val="24"/>
          <w:szCs w:val="24"/>
        </w:rPr>
        <w:t xml:space="preserve"> girls </w:t>
      </w:r>
      <w:r w:rsidR="00124229" w:rsidRPr="00E73BB1">
        <w:rPr>
          <w:rFonts w:ascii="Times New Roman" w:hAnsi="Times New Roman" w:cs="Times New Roman"/>
          <w:sz w:val="24"/>
          <w:szCs w:val="24"/>
        </w:rPr>
        <w:t>would</w:t>
      </w:r>
      <w:r w:rsidR="00706A2A" w:rsidRPr="00E73BB1">
        <w:rPr>
          <w:rFonts w:ascii="Times New Roman" w:hAnsi="Times New Roman" w:cs="Times New Roman"/>
          <w:sz w:val="24"/>
          <w:szCs w:val="24"/>
        </w:rPr>
        <w:t xml:space="preserve"> </w:t>
      </w:r>
      <w:r w:rsidR="00FE685E" w:rsidRPr="00E73BB1">
        <w:rPr>
          <w:rFonts w:ascii="Times New Roman" w:hAnsi="Times New Roman" w:cs="Times New Roman"/>
          <w:sz w:val="24"/>
          <w:szCs w:val="24"/>
        </w:rPr>
        <w:lastRenderedPageBreak/>
        <w:t xml:space="preserve">report greater </w:t>
      </w:r>
      <w:r w:rsidR="00706A2A" w:rsidRPr="00E73BB1">
        <w:rPr>
          <w:rFonts w:ascii="Times New Roman" w:hAnsi="Times New Roman" w:cs="Times New Roman"/>
          <w:sz w:val="24"/>
          <w:szCs w:val="24"/>
        </w:rPr>
        <w:t>endor</w:t>
      </w:r>
      <w:r w:rsidR="00631AD5" w:rsidRPr="00E73BB1">
        <w:rPr>
          <w:rFonts w:ascii="Times New Roman" w:hAnsi="Times New Roman" w:cs="Times New Roman"/>
          <w:sz w:val="24"/>
          <w:szCs w:val="24"/>
        </w:rPr>
        <w:t>s</w:t>
      </w:r>
      <w:r w:rsidR="00706A2A" w:rsidRPr="00E73BB1">
        <w:rPr>
          <w:rFonts w:ascii="Times New Roman" w:hAnsi="Times New Roman" w:cs="Times New Roman"/>
          <w:sz w:val="24"/>
          <w:szCs w:val="24"/>
        </w:rPr>
        <w:t>e</w:t>
      </w:r>
      <w:r w:rsidR="00FE685E" w:rsidRPr="00E73BB1">
        <w:rPr>
          <w:rFonts w:ascii="Times New Roman" w:hAnsi="Times New Roman" w:cs="Times New Roman"/>
          <w:sz w:val="24"/>
          <w:szCs w:val="24"/>
        </w:rPr>
        <w:t>ment</w:t>
      </w:r>
      <w:r w:rsidR="00706A2A" w:rsidRPr="00E73BB1">
        <w:rPr>
          <w:rFonts w:ascii="Times New Roman" w:hAnsi="Times New Roman" w:cs="Times New Roman"/>
          <w:sz w:val="24"/>
          <w:szCs w:val="24"/>
        </w:rPr>
        <w:t xml:space="preserve"> </w:t>
      </w:r>
      <w:r w:rsidR="00631AD5" w:rsidRPr="00E73BB1">
        <w:rPr>
          <w:rFonts w:ascii="Times New Roman" w:hAnsi="Times New Roman" w:cs="Times New Roman"/>
          <w:sz w:val="24"/>
          <w:szCs w:val="24"/>
        </w:rPr>
        <w:t>than boys</w:t>
      </w:r>
      <w:r w:rsidR="007C6DBB" w:rsidRPr="00E73BB1">
        <w:rPr>
          <w:rFonts w:ascii="Times New Roman" w:hAnsi="Times New Roman" w:cs="Times New Roman"/>
          <w:sz w:val="24"/>
          <w:szCs w:val="24"/>
        </w:rPr>
        <w:t>.</w:t>
      </w:r>
    </w:p>
    <w:p w14:paraId="74B574C1" w14:textId="4E78604F" w:rsidR="00F72655" w:rsidRPr="00E73BB1" w:rsidRDefault="00A94360" w:rsidP="00C87389">
      <w:pPr>
        <w:widowControl w:val="0"/>
        <w:spacing w:after="0" w:line="480" w:lineRule="auto"/>
        <w:rPr>
          <w:rFonts w:ascii="Times New Roman" w:hAnsi="Times New Roman" w:cs="Times New Roman"/>
          <w:b/>
          <w:sz w:val="24"/>
          <w:szCs w:val="24"/>
        </w:rPr>
      </w:pPr>
      <w:r w:rsidRPr="00E73BB1">
        <w:rPr>
          <w:rFonts w:ascii="Times New Roman" w:hAnsi="Times New Roman" w:cs="Times New Roman"/>
          <w:b/>
          <w:sz w:val="24"/>
          <w:szCs w:val="24"/>
        </w:rPr>
        <w:t xml:space="preserve">2.1. </w:t>
      </w:r>
      <w:r w:rsidR="00F72655" w:rsidRPr="00E73BB1">
        <w:rPr>
          <w:rFonts w:ascii="Times New Roman" w:hAnsi="Times New Roman" w:cs="Times New Roman"/>
          <w:b/>
          <w:sz w:val="24"/>
          <w:szCs w:val="24"/>
        </w:rPr>
        <w:t>Method</w:t>
      </w:r>
    </w:p>
    <w:p w14:paraId="7F5A688A" w14:textId="55FDCA49" w:rsidR="0096020E" w:rsidRPr="00E73BB1" w:rsidRDefault="00A94360" w:rsidP="002D0FE4">
      <w:pPr>
        <w:widowControl w:val="0"/>
        <w:spacing w:after="0" w:line="480" w:lineRule="auto"/>
        <w:rPr>
          <w:rFonts w:ascii="Times New Roman" w:hAnsi="Times New Roman" w:cs="Times New Roman"/>
          <w:i/>
          <w:iCs/>
          <w:sz w:val="24"/>
          <w:szCs w:val="24"/>
        </w:rPr>
      </w:pPr>
      <w:r w:rsidRPr="00E73BB1">
        <w:rPr>
          <w:rFonts w:ascii="Times New Roman" w:hAnsi="Times New Roman" w:cs="Times New Roman"/>
          <w:b/>
          <w:i/>
          <w:iCs/>
          <w:sz w:val="24"/>
          <w:szCs w:val="24"/>
        </w:rPr>
        <w:t xml:space="preserve">2.1.1. </w:t>
      </w:r>
      <w:r w:rsidR="00C87389" w:rsidRPr="00E73BB1">
        <w:rPr>
          <w:rFonts w:ascii="Times New Roman" w:hAnsi="Times New Roman" w:cs="Times New Roman"/>
          <w:b/>
          <w:i/>
          <w:iCs/>
          <w:sz w:val="24"/>
          <w:szCs w:val="24"/>
        </w:rPr>
        <w:t>Participants</w:t>
      </w:r>
      <w:r w:rsidR="002D0FE4" w:rsidRPr="00E73BB1">
        <w:rPr>
          <w:rFonts w:ascii="Times New Roman" w:hAnsi="Times New Roman" w:cs="Times New Roman"/>
          <w:b/>
          <w:i/>
          <w:iCs/>
          <w:sz w:val="24"/>
          <w:szCs w:val="24"/>
        </w:rPr>
        <w:t xml:space="preserve"> and </w:t>
      </w:r>
      <w:r w:rsidR="0096020E" w:rsidRPr="00E73BB1">
        <w:rPr>
          <w:rFonts w:ascii="Times New Roman" w:hAnsi="Times New Roman" w:cs="Times New Roman"/>
          <w:b/>
          <w:i/>
          <w:iCs/>
          <w:sz w:val="24"/>
          <w:szCs w:val="24"/>
        </w:rPr>
        <w:t>P</w:t>
      </w:r>
      <w:r w:rsidR="002D0FE4" w:rsidRPr="00E73BB1">
        <w:rPr>
          <w:rFonts w:ascii="Times New Roman" w:hAnsi="Times New Roman" w:cs="Times New Roman"/>
          <w:b/>
          <w:i/>
          <w:iCs/>
          <w:sz w:val="24"/>
          <w:szCs w:val="24"/>
        </w:rPr>
        <w:t>rocedure</w:t>
      </w:r>
      <w:r w:rsidR="00C87389" w:rsidRPr="00E73BB1">
        <w:rPr>
          <w:rFonts w:ascii="Times New Roman" w:hAnsi="Times New Roman" w:cs="Times New Roman"/>
          <w:i/>
          <w:iCs/>
          <w:sz w:val="24"/>
          <w:szCs w:val="24"/>
        </w:rPr>
        <w:t xml:space="preserve"> </w:t>
      </w:r>
    </w:p>
    <w:p w14:paraId="39F93703" w14:textId="5BE6DC91" w:rsidR="002D0FE4" w:rsidRPr="00E73BB1" w:rsidRDefault="00C87389" w:rsidP="009161D3">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 xml:space="preserve">Adolescent </w:t>
      </w:r>
      <w:r w:rsidR="00F23CA6" w:rsidRPr="00E73BB1">
        <w:rPr>
          <w:rFonts w:ascii="Times New Roman" w:hAnsi="Times New Roman" w:cs="Times New Roman"/>
          <w:sz w:val="24"/>
          <w:szCs w:val="24"/>
        </w:rPr>
        <w:t>boys and girls</w:t>
      </w:r>
      <w:r w:rsidRPr="00E73BB1">
        <w:rPr>
          <w:rFonts w:ascii="Times New Roman" w:hAnsi="Times New Roman" w:cs="Times New Roman"/>
          <w:sz w:val="24"/>
          <w:szCs w:val="24"/>
        </w:rPr>
        <w:t xml:space="preserve"> (</w:t>
      </w:r>
      <w:r w:rsidRPr="00E73BB1">
        <w:rPr>
          <w:rFonts w:ascii="Times New Roman" w:hAnsi="Times New Roman" w:cs="Times New Roman"/>
          <w:i/>
          <w:sz w:val="24"/>
          <w:szCs w:val="24"/>
        </w:rPr>
        <w:t>N</w:t>
      </w:r>
      <w:r w:rsidRPr="00E73BB1">
        <w:rPr>
          <w:rFonts w:ascii="Times New Roman" w:hAnsi="Times New Roman" w:cs="Times New Roman"/>
          <w:sz w:val="24"/>
          <w:szCs w:val="24"/>
        </w:rPr>
        <w:t xml:space="preserve"> = 1707; 11-13 years; 50.83% girls) from </w:t>
      </w:r>
      <w:r w:rsidR="001F1AD2" w:rsidRPr="00E73BB1">
        <w:rPr>
          <w:rFonts w:ascii="Times New Roman" w:hAnsi="Times New Roman" w:cs="Times New Roman"/>
          <w:sz w:val="24"/>
          <w:szCs w:val="24"/>
        </w:rPr>
        <w:t xml:space="preserve">six </w:t>
      </w:r>
      <w:r w:rsidRPr="00E73BB1">
        <w:rPr>
          <w:rFonts w:ascii="Times New Roman" w:hAnsi="Times New Roman" w:cs="Times New Roman"/>
          <w:sz w:val="24"/>
          <w:szCs w:val="24"/>
        </w:rPr>
        <w:t xml:space="preserve">secondary schools </w:t>
      </w:r>
      <w:r w:rsidR="00F23CA6" w:rsidRPr="00E73BB1">
        <w:rPr>
          <w:rFonts w:ascii="Times New Roman" w:hAnsi="Times New Roman" w:cs="Times New Roman"/>
          <w:sz w:val="24"/>
          <w:szCs w:val="24"/>
        </w:rPr>
        <w:t xml:space="preserve">in southwest England </w:t>
      </w:r>
      <w:r w:rsidRPr="00E73BB1">
        <w:rPr>
          <w:rFonts w:ascii="Times New Roman" w:hAnsi="Times New Roman" w:cs="Times New Roman"/>
          <w:sz w:val="24"/>
          <w:szCs w:val="24"/>
        </w:rPr>
        <w:t xml:space="preserve">completed </w:t>
      </w:r>
      <w:r w:rsidR="002D0FE4" w:rsidRPr="00E73BB1">
        <w:rPr>
          <w:rFonts w:ascii="Times New Roman" w:hAnsi="Times New Roman" w:cs="Times New Roman"/>
          <w:sz w:val="24"/>
          <w:szCs w:val="24"/>
        </w:rPr>
        <w:t>self-report</w:t>
      </w:r>
      <w:r w:rsidRPr="00E73BB1">
        <w:rPr>
          <w:rFonts w:ascii="Times New Roman" w:hAnsi="Times New Roman" w:cs="Times New Roman"/>
          <w:sz w:val="24"/>
          <w:szCs w:val="24"/>
        </w:rPr>
        <w:t xml:space="preserve"> measures as part of a larger </w:t>
      </w:r>
      <w:r w:rsidR="00F23CA6" w:rsidRPr="00E73BB1">
        <w:rPr>
          <w:rFonts w:ascii="Times New Roman" w:hAnsi="Times New Roman" w:cs="Times New Roman"/>
          <w:sz w:val="24"/>
          <w:szCs w:val="24"/>
        </w:rPr>
        <w:t xml:space="preserve">intervention </w:t>
      </w:r>
      <w:r w:rsidRPr="00E73BB1">
        <w:rPr>
          <w:rFonts w:ascii="Times New Roman" w:hAnsi="Times New Roman" w:cs="Times New Roman"/>
          <w:sz w:val="24"/>
          <w:szCs w:val="24"/>
        </w:rPr>
        <w:t xml:space="preserve">trial </w:t>
      </w:r>
      <w:r w:rsidR="00306AD4" w:rsidRPr="00E73BB1">
        <w:rPr>
          <w:rFonts w:ascii="Times New Roman" w:hAnsi="Times New Roman" w:cs="Times New Roman"/>
          <w:sz w:val="24"/>
          <w:szCs w:val="24"/>
        </w:rPr>
        <w:t>(</w:t>
      </w:r>
      <w:r w:rsidR="00881079">
        <w:rPr>
          <w:rFonts w:ascii="Times New Roman" w:hAnsi="Times New Roman" w:cs="Times New Roman"/>
          <w:sz w:val="24"/>
          <w:szCs w:val="24"/>
        </w:rPr>
        <w:t>Diedrichs et al., 2015</w:t>
      </w:r>
      <w:r w:rsidR="00306AD4" w:rsidRPr="00E73BB1">
        <w:rPr>
          <w:rFonts w:ascii="Times New Roman" w:hAnsi="Times New Roman" w:cs="Times New Roman"/>
          <w:noProof/>
          <w:sz w:val="24"/>
          <w:szCs w:val="24"/>
        </w:rPr>
        <w:t>)</w:t>
      </w:r>
      <w:r w:rsidRPr="00E73BB1">
        <w:rPr>
          <w:rFonts w:ascii="Times New Roman" w:hAnsi="Times New Roman" w:cs="Times New Roman"/>
          <w:sz w:val="24"/>
          <w:szCs w:val="24"/>
        </w:rPr>
        <w:t>.</w:t>
      </w:r>
      <w:r w:rsidR="00F23CA6" w:rsidRPr="00E73BB1">
        <w:rPr>
          <w:rFonts w:ascii="Times New Roman" w:hAnsi="Times New Roman" w:cs="Times New Roman"/>
          <w:sz w:val="24"/>
          <w:szCs w:val="24"/>
        </w:rPr>
        <w:t xml:space="preserve"> </w:t>
      </w:r>
      <w:r w:rsidR="00607D80" w:rsidRPr="00E73BB1">
        <w:rPr>
          <w:rFonts w:ascii="Times New Roman" w:hAnsi="Times New Roman" w:cs="Times New Roman"/>
          <w:sz w:val="24"/>
          <w:szCs w:val="24"/>
        </w:rPr>
        <w:t>The</w:t>
      </w:r>
      <w:r w:rsidR="00A93EA4" w:rsidRPr="00E73BB1">
        <w:rPr>
          <w:rFonts w:ascii="Times New Roman" w:hAnsi="Times New Roman" w:cs="Times New Roman"/>
          <w:sz w:val="24"/>
          <w:szCs w:val="24"/>
        </w:rPr>
        <w:t xml:space="preserve"> majority of s</w:t>
      </w:r>
      <w:r w:rsidR="002D0FE4" w:rsidRPr="00E73BB1">
        <w:rPr>
          <w:rFonts w:ascii="Times New Roman" w:hAnsi="Times New Roman" w:cs="Times New Roman"/>
          <w:sz w:val="24"/>
          <w:szCs w:val="24"/>
        </w:rPr>
        <w:t>tudents were White (78.1%),</w:t>
      </w:r>
      <w:r w:rsidR="00F9614C" w:rsidRPr="00E73BB1">
        <w:rPr>
          <w:rFonts w:ascii="Times New Roman" w:hAnsi="Times New Roman" w:cs="Times New Roman"/>
          <w:sz w:val="24"/>
          <w:szCs w:val="24"/>
        </w:rPr>
        <w:t xml:space="preserve"> </w:t>
      </w:r>
      <w:r w:rsidR="004D50CB" w:rsidRPr="00E73BB1">
        <w:rPr>
          <w:rFonts w:ascii="Times New Roman" w:hAnsi="Times New Roman" w:cs="Times New Roman"/>
          <w:sz w:val="24"/>
          <w:szCs w:val="24"/>
        </w:rPr>
        <w:t>although</w:t>
      </w:r>
      <w:r w:rsidR="00F9614C" w:rsidRPr="00E73BB1">
        <w:rPr>
          <w:rFonts w:ascii="Times New Roman" w:hAnsi="Times New Roman" w:cs="Times New Roman"/>
          <w:sz w:val="24"/>
          <w:szCs w:val="24"/>
        </w:rPr>
        <w:t xml:space="preserve"> </w:t>
      </w:r>
      <w:r w:rsidR="001F1AD2" w:rsidRPr="00E73BB1">
        <w:rPr>
          <w:rFonts w:ascii="Times New Roman" w:hAnsi="Times New Roman" w:cs="Times New Roman"/>
          <w:sz w:val="24"/>
          <w:szCs w:val="24"/>
        </w:rPr>
        <w:t xml:space="preserve">reflected </w:t>
      </w:r>
      <w:r w:rsidR="00F9614C" w:rsidRPr="00E73BB1">
        <w:rPr>
          <w:rFonts w:ascii="Times New Roman" w:hAnsi="Times New Roman" w:cs="Times New Roman"/>
          <w:sz w:val="24"/>
          <w:szCs w:val="24"/>
        </w:rPr>
        <w:t>greater diversity than the general UK population</w:t>
      </w:r>
      <w:r w:rsidR="00694B9B" w:rsidRPr="00E73BB1">
        <w:rPr>
          <w:rFonts w:ascii="Times New Roman" w:hAnsi="Times New Roman" w:cs="Times New Roman"/>
          <w:sz w:val="24"/>
          <w:szCs w:val="24"/>
        </w:rPr>
        <w:t xml:space="preserve"> (86% White</w:t>
      </w:r>
      <w:r w:rsidR="001F1AD2" w:rsidRPr="00E73BB1">
        <w:rPr>
          <w:rFonts w:ascii="Times New Roman" w:hAnsi="Times New Roman" w:cs="Times New Roman"/>
          <w:sz w:val="24"/>
          <w:szCs w:val="24"/>
        </w:rPr>
        <w:t>; Office for National Statistics, 2016</w:t>
      </w:r>
      <w:r w:rsidR="00694B9B" w:rsidRPr="00E73BB1">
        <w:rPr>
          <w:rFonts w:ascii="Times New Roman" w:hAnsi="Times New Roman" w:cs="Times New Roman"/>
          <w:sz w:val="24"/>
          <w:szCs w:val="24"/>
        </w:rPr>
        <w:t>)</w:t>
      </w:r>
      <w:r w:rsidR="00F9614C" w:rsidRPr="00E73BB1">
        <w:rPr>
          <w:rFonts w:ascii="Times New Roman" w:hAnsi="Times New Roman" w:cs="Times New Roman"/>
          <w:sz w:val="24"/>
          <w:szCs w:val="24"/>
        </w:rPr>
        <w:t>,</w:t>
      </w:r>
      <w:r w:rsidR="002D0FE4" w:rsidRPr="00E73BB1">
        <w:rPr>
          <w:rFonts w:ascii="Times New Roman" w:hAnsi="Times New Roman" w:cs="Times New Roman"/>
          <w:sz w:val="24"/>
          <w:szCs w:val="24"/>
        </w:rPr>
        <w:t xml:space="preserve"> born in the UK (88.4%), and spoke English at home (84.4%). The study was approved by the University ethics review board, with informed </w:t>
      </w:r>
      <w:r w:rsidR="001F1AD2" w:rsidRPr="00E73BB1">
        <w:rPr>
          <w:rFonts w:ascii="Times New Roman" w:hAnsi="Times New Roman" w:cs="Times New Roman"/>
          <w:sz w:val="24"/>
          <w:szCs w:val="24"/>
        </w:rPr>
        <w:t>assent</w:t>
      </w:r>
      <w:r w:rsidR="002D0FE4" w:rsidRPr="00E73BB1">
        <w:rPr>
          <w:rFonts w:ascii="Times New Roman" w:hAnsi="Times New Roman" w:cs="Times New Roman"/>
          <w:sz w:val="24"/>
          <w:szCs w:val="24"/>
        </w:rPr>
        <w:t xml:space="preserve"> obtained from parents and students. </w:t>
      </w:r>
      <w:r w:rsidR="008E20D0" w:rsidRPr="00E73BB1">
        <w:rPr>
          <w:rFonts w:ascii="Times New Roman" w:hAnsi="Times New Roman" w:cs="Times New Roman"/>
          <w:sz w:val="24"/>
          <w:szCs w:val="24"/>
        </w:rPr>
        <w:t>All schools were public funded academies and had an average or below national average proportion of students claiming free school meals</w:t>
      </w:r>
      <w:r w:rsidR="00F27C75" w:rsidRPr="00E73BB1">
        <w:rPr>
          <w:rFonts w:ascii="Times New Roman" w:hAnsi="Times New Roman" w:cs="Times New Roman"/>
          <w:sz w:val="24"/>
          <w:szCs w:val="24"/>
        </w:rPr>
        <w:t xml:space="preserve"> (proxy for socioeconomic status)</w:t>
      </w:r>
      <w:r w:rsidR="008E20D0" w:rsidRPr="00E73BB1">
        <w:rPr>
          <w:rFonts w:ascii="Times New Roman" w:hAnsi="Times New Roman" w:cs="Times New Roman"/>
          <w:sz w:val="24"/>
          <w:szCs w:val="24"/>
        </w:rPr>
        <w:t xml:space="preserve">. </w:t>
      </w:r>
      <w:r w:rsidR="002D0FE4" w:rsidRPr="00E73BB1">
        <w:rPr>
          <w:rFonts w:ascii="Times New Roman" w:hAnsi="Times New Roman" w:cs="Times New Roman"/>
          <w:sz w:val="24"/>
          <w:szCs w:val="24"/>
        </w:rPr>
        <w:t xml:space="preserve">Students completed questionnaires in a single session under supervision from their teachers and trained research staff. This procedure was repeated one week later, with data from the two </w:t>
      </w:r>
      <w:r w:rsidR="00E31870" w:rsidRPr="00E73BB1">
        <w:rPr>
          <w:rFonts w:ascii="Times New Roman" w:hAnsi="Times New Roman" w:cs="Times New Roman"/>
          <w:sz w:val="24"/>
          <w:szCs w:val="24"/>
        </w:rPr>
        <w:t xml:space="preserve">assessment-only </w:t>
      </w:r>
      <w:r w:rsidR="002D0FE4" w:rsidRPr="00E73BB1">
        <w:rPr>
          <w:rFonts w:ascii="Times New Roman" w:hAnsi="Times New Roman" w:cs="Times New Roman"/>
          <w:sz w:val="24"/>
          <w:szCs w:val="24"/>
        </w:rPr>
        <w:t>control schools used to provide a subsample for assessing test-retest reliability.</w:t>
      </w:r>
    </w:p>
    <w:p w14:paraId="63E9D5DF" w14:textId="13EC184A" w:rsidR="0096020E" w:rsidRPr="00E73BB1" w:rsidRDefault="00A94360" w:rsidP="00443C8F">
      <w:pPr>
        <w:widowControl w:val="0"/>
        <w:spacing w:after="0" w:line="480" w:lineRule="auto"/>
        <w:rPr>
          <w:rFonts w:ascii="Times New Roman" w:hAnsi="Times New Roman" w:cs="Times New Roman"/>
          <w:sz w:val="24"/>
          <w:szCs w:val="24"/>
        </w:rPr>
      </w:pPr>
      <w:r w:rsidRPr="00E73BB1">
        <w:rPr>
          <w:rFonts w:ascii="Times New Roman" w:hAnsi="Times New Roman" w:cs="Times New Roman"/>
          <w:b/>
          <w:i/>
          <w:iCs/>
          <w:sz w:val="24"/>
          <w:szCs w:val="24"/>
        </w:rPr>
        <w:t xml:space="preserve">2.1.2. </w:t>
      </w:r>
      <w:r w:rsidR="008E20D0" w:rsidRPr="00E73BB1">
        <w:rPr>
          <w:rFonts w:ascii="Times New Roman" w:hAnsi="Times New Roman" w:cs="Times New Roman"/>
          <w:b/>
          <w:i/>
          <w:iCs/>
          <w:sz w:val="24"/>
          <w:szCs w:val="24"/>
        </w:rPr>
        <w:t>Measures</w:t>
      </w:r>
      <w:r w:rsidR="008E20D0" w:rsidRPr="00E73BB1">
        <w:rPr>
          <w:rFonts w:ascii="Times New Roman" w:hAnsi="Times New Roman" w:cs="Times New Roman"/>
          <w:sz w:val="24"/>
          <w:szCs w:val="24"/>
        </w:rPr>
        <w:t xml:space="preserve"> </w:t>
      </w:r>
    </w:p>
    <w:p w14:paraId="5E576464" w14:textId="6D68A0B5" w:rsidR="0056797A" w:rsidRPr="00E73BB1" w:rsidRDefault="00A94360" w:rsidP="009161D3">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b/>
          <w:iCs/>
          <w:sz w:val="24"/>
          <w:szCs w:val="24"/>
        </w:rPr>
        <w:t xml:space="preserve">2.1.2.1. </w:t>
      </w:r>
      <w:r w:rsidR="00620EC6" w:rsidRPr="00E73BB1">
        <w:rPr>
          <w:rFonts w:ascii="Times New Roman" w:hAnsi="Times New Roman" w:cs="Times New Roman"/>
          <w:b/>
          <w:iCs/>
          <w:sz w:val="24"/>
          <w:szCs w:val="24"/>
        </w:rPr>
        <w:t xml:space="preserve">Life </w:t>
      </w:r>
      <w:r w:rsidR="0096020E" w:rsidRPr="00E73BB1">
        <w:rPr>
          <w:rFonts w:ascii="Times New Roman" w:hAnsi="Times New Roman" w:cs="Times New Roman"/>
          <w:b/>
          <w:iCs/>
          <w:sz w:val="24"/>
          <w:szCs w:val="24"/>
        </w:rPr>
        <w:t>D</w:t>
      </w:r>
      <w:r w:rsidR="00CE3226" w:rsidRPr="00E73BB1">
        <w:rPr>
          <w:rFonts w:ascii="Times New Roman" w:hAnsi="Times New Roman" w:cs="Times New Roman"/>
          <w:b/>
          <w:iCs/>
          <w:sz w:val="24"/>
          <w:szCs w:val="24"/>
        </w:rPr>
        <w:t>is</w:t>
      </w:r>
      <w:r w:rsidR="00620EC6" w:rsidRPr="00E73BB1">
        <w:rPr>
          <w:rFonts w:ascii="Times New Roman" w:hAnsi="Times New Roman" w:cs="Times New Roman"/>
          <w:b/>
          <w:iCs/>
          <w:sz w:val="24"/>
          <w:szCs w:val="24"/>
        </w:rPr>
        <w:t>engagement</w:t>
      </w:r>
      <w:r w:rsidR="008E20D0" w:rsidRPr="00E73BB1">
        <w:rPr>
          <w:rFonts w:ascii="Times New Roman" w:hAnsi="Times New Roman" w:cs="Times New Roman"/>
          <w:i/>
          <w:sz w:val="24"/>
          <w:szCs w:val="24"/>
        </w:rPr>
        <w:t>.</w:t>
      </w:r>
      <w:r w:rsidR="008E20D0" w:rsidRPr="00E73BB1">
        <w:rPr>
          <w:rFonts w:ascii="Times New Roman" w:hAnsi="Times New Roman" w:cs="Times New Roman"/>
          <w:sz w:val="24"/>
          <w:szCs w:val="24"/>
        </w:rPr>
        <w:t xml:space="preserve"> </w:t>
      </w:r>
      <w:r w:rsidR="00625C0B" w:rsidRPr="00E73BB1">
        <w:rPr>
          <w:rFonts w:ascii="Times New Roman" w:hAnsi="Times New Roman" w:cs="Times New Roman"/>
          <w:sz w:val="24"/>
          <w:szCs w:val="24"/>
        </w:rPr>
        <w:t xml:space="preserve">The </w:t>
      </w:r>
      <w:r w:rsidR="00CE3226" w:rsidRPr="00E73BB1">
        <w:rPr>
          <w:rFonts w:ascii="Times New Roman" w:hAnsi="Times New Roman" w:cs="Times New Roman"/>
          <w:sz w:val="24"/>
          <w:szCs w:val="24"/>
        </w:rPr>
        <w:t>BILD-Q</w:t>
      </w:r>
      <w:r w:rsidR="00625C0B" w:rsidRPr="00E73BB1">
        <w:rPr>
          <w:rFonts w:ascii="Times New Roman" w:hAnsi="Times New Roman" w:cs="Times New Roman"/>
          <w:sz w:val="24"/>
          <w:szCs w:val="24"/>
        </w:rPr>
        <w:t xml:space="preserve"> was adapted from an existing</w:t>
      </w:r>
      <w:r w:rsidR="0008098A" w:rsidRPr="00E73BB1">
        <w:rPr>
          <w:rFonts w:ascii="Times New Roman" w:hAnsi="Times New Roman" w:cs="Times New Roman"/>
          <w:sz w:val="24"/>
          <w:szCs w:val="24"/>
        </w:rPr>
        <w:t xml:space="preserve"> market research</w:t>
      </w:r>
      <w:r w:rsidR="00625C0B" w:rsidRPr="00E73BB1">
        <w:rPr>
          <w:rFonts w:ascii="Times New Roman" w:hAnsi="Times New Roman" w:cs="Times New Roman"/>
          <w:sz w:val="24"/>
          <w:szCs w:val="24"/>
        </w:rPr>
        <w:t xml:space="preserve"> </w:t>
      </w:r>
      <w:r w:rsidR="00FF1040" w:rsidRPr="00E73BB1">
        <w:rPr>
          <w:rFonts w:ascii="Times New Roman" w:hAnsi="Times New Roman" w:cs="Times New Roman"/>
          <w:sz w:val="24"/>
          <w:szCs w:val="24"/>
        </w:rPr>
        <w:t>interview question</w:t>
      </w:r>
      <w:r w:rsidR="00625C0B" w:rsidRPr="00E73BB1">
        <w:rPr>
          <w:rFonts w:ascii="Times New Roman" w:hAnsi="Times New Roman" w:cs="Times New Roman"/>
          <w:sz w:val="24"/>
          <w:szCs w:val="24"/>
        </w:rPr>
        <w:t xml:space="preserve"> used </w:t>
      </w:r>
      <w:r w:rsidR="00610470" w:rsidRPr="00E73BB1">
        <w:rPr>
          <w:rFonts w:ascii="Times New Roman" w:hAnsi="Times New Roman" w:cs="Times New Roman"/>
          <w:sz w:val="24"/>
          <w:szCs w:val="24"/>
        </w:rPr>
        <w:t>by the</w:t>
      </w:r>
      <w:r w:rsidR="00625C0B" w:rsidRPr="00E73BB1">
        <w:rPr>
          <w:rFonts w:ascii="Times New Roman" w:hAnsi="Times New Roman" w:cs="Times New Roman"/>
          <w:sz w:val="24"/>
          <w:szCs w:val="24"/>
        </w:rPr>
        <w:t xml:space="preserve"> </w:t>
      </w:r>
      <w:r w:rsidR="00625C0B" w:rsidRPr="00E73BB1">
        <w:rPr>
          <w:rFonts w:ascii="Times New Roman" w:hAnsi="Times New Roman" w:cs="Times New Roman"/>
          <w:i/>
          <w:iCs/>
          <w:sz w:val="24"/>
          <w:szCs w:val="24"/>
        </w:rPr>
        <w:t>Dove Self-Esteem Project</w:t>
      </w:r>
      <w:r w:rsidR="00610470" w:rsidRPr="00E73BB1">
        <w:rPr>
          <w:rFonts w:ascii="Times New Roman" w:hAnsi="Times New Roman" w:cs="Times New Roman"/>
          <w:sz w:val="24"/>
          <w:szCs w:val="24"/>
        </w:rPr>
        <w:t xml:space="preserve"> </w:t>
      </w:r>
      <w:r w:rsidR="00625C0B" w:rsidRPr="00E73BB1">
        <w:rPr>
          <w:rFonts w:ascii="Times New Roman" w:hAnsi="Times New Roman" w:cs="Times New Roman"/>
          <w:sz w:val="24"/>
          <w:szCs w:val="24"/>
        </w:rPr>
        <w:t>as part of their</w:t>
      </w:r>
      <w:r w:rsidR="00610470" w:rsidRPr="00E73BB1">
        <w:rPr>
          <w:rFonts w:ascii="Times New Roman" w:hAnsi="Times New Roman" w:cs="Times New Roman"/>
          <w:sz w:val="24"/>
          <w:szCs w:val="24"/>
        </w:rPr>
        <w:t xml:space="preserve"> global survey</w:t>
      </w:r>
      <w:r w:rsidR="00655EFA" w:rsidRPr="00E73BB1">
        <w:rPr>
          <w:rFonts w:ascii="Times New Roman" w:hAnsi="Times New Roman" w:cs="Times New Roman"/>
          <w:sz w:val="24"/>
          <w:szCs w:val="24"/>
        </w:rPr>
        <w:t>s</w:t>
      </w:r>
      <w:r w:rsidR="00610470" w:rsidRPr="00E73BB1">
        <w:rPr>
          <w:rFonts w:ascii="Times New Roman" w:hAnsi="Times New Roman" w:cs="Times New Roman"/>
          <w:sz w:val="24"/>
          <w:szCs w:val="24"/>
        </w:rPr>
        <w:t xml:space="preserve"> of girls</w:t>
      </w:r>
      <w:r w:rsidR="00655EFA" w:rsidRPr="00E73BB1">
        <w:rPr>
          <w:rFonts w:ascii="Times New Roman" w:hAnsi="Times New Roman" w:cs="Times New Roman"/>
          <w:sz w:val="24"/>
          <w:szCs w:val="24"/>
        </w:rPr>
        <w:t xml:space="preserve"> and women</w:t>
      </w:r>
      <w:r w:rsidR="00B6682A" w:rsidRPr="00E73BB1">
        <w:rPr>
          <w:rFonts w:ascii="Times New Roman" w:hAnsi="Times New Roman" w:cs="Times New Roman"/>
          <w:sz w:val="24"/>
          <w:szCs w:val="24"/>
        </w:rPr>
        <w:t xml:space="preserve"> </w:t>
      </w:r>
      <w:r w:rsidR="00B6682A" w:rsidRPr="00E73BB1">
        <w:rPr>
          <w:rFonts w:ascii="Times New Roman" w:hAnsi="Times New Roman" w:cs="Times New Roman"/>
          <w:noProof/>
          <w:sz w:val="24"/>
          <w:szCs w:val="24"/>
        </w:rPr>
        <w:t>(Dove, 2016, 2017)</w:t>
      </w:r>
      <w:r w:rsidR="00610470" w:rsidRPr="00E73BB1">
        <w:rPr>
          <w:rFonts w:ascii="Times New Roman" w:hAnsi="Times New Roman" w:cs="Times New Roman"/>
          <w:sz w:val="24"/>
          <w:szCs w:val="24"/>
        </w:rPr>
        <w:t xml:space="preserve">. </w:t>
      </w:r>
      <w:r w:rsidR="00B8744E" w:rsidRPr="00E73BB1">
        <w:rPr>
          <w:rFonts w:ascii="Times New Roman" w:hAnsi="Times New Roman" w:cs="Times New Roman"/>
          <w:sz w:val="24"/>
          <w:szCs w:val="24"/>
        </w:rPr>
        <w:t xml:space="preserve">This </w:t>
      </w:r>
      <w:r w:rsidR="00FF1040" w:rsidRPr="00E73BB1">
        <w:rPr>
          <w:rFonts w:ascii="Times New Roman" w:hAnsi="Times New Roman" w:cs="Times New Roman"/>
          <w:sz w:val="24"/>
          <w:szCs w:val="24"/>
        </w:rPr>
        <w:t xml:space="preserve">question </w:t>
      </w:r>
      <w:r w:rsidR="00B8744E" w:rsidRPr="00E73BB1">
        <w:rPr>
          <w:rFonts w:ascii="Times New Roman" w:hAnsi="Times New Roman" w:cs="Times New Roman"/>
          <w:sz w:val="24"/>
          <w:szCs w:val="24"/>
        </w:rPr>
        <w:t xml:space="preserve">asked </w:t>
      </w:r>
      <w:r w:rsidR="00FF1040" w:rsidRPr="00E73BB1">
        <w:rPr>
          <w:rFonts w:ascii="Times New Roman" w:hAnsi="Times New Roman" w:cs="Times New Roman"/>
          <w:sz w:val="24"/>
          <w:szCs w:val="24"/>
        </w:rPr>
        <w:t>“</w:t>
      </w:r>
      <w:r w:rsidR="00FF1040" w:rsidRPr="00E73BB1">
        <w:rPr>
          <w:rFonts w:ascii="Times New Roman" w:hAnsi="Times New Roman" w:cs="Times New Roman"/>
          <w:i/>
          <w:iCs/>
          <w:sz w:val="24"/>
          <w:szCs w:val="24"/>
        </w:rPr>
        <w:t>Which, if any, of the following have you ever chosen NOT to do because you felt badly about how you looked?</w:t>
      </w:r>
      <w:r w:rsidR="00FF1040" w:rsidRPr="00E73BB1">
        <w:rPr>
          <w:rFonts w:ascii="Times New Roman" w:hAnsi="Times New Roman" w:cs="Times New Roman"/>
          <w:sz w:val="24"/>
          <w:szCs w:val="24"/>
        </w:rPr>
        <w:t>”</w:t>
      </w:r>
      <w:r w:rsidR="00655EFA" w:rsidRPr="00E73BB1">
        <w:rPr>
          <w:rFonts w:ascii="Times New Roman" w:hAnsi="Times New Roman" w:cs="Times New Roman"/>
          <w:sz w:val="24"/>
          <w:szCs w:val="24"/>
        </w:rPr>
        <w:t>,</w:t>
      </w:r>
      <w:r w:rsidR="00FF1040" w:rsidRPr="00E73BB1">
        <w:rPr>
          <w:rFonts w:ascii="Times New Roman" w:hAnsi="Times New Roman" w:cs="Times New Roman"/>
          <w:sz w:val="24"/>
          <w:szCs w:val="24"/>
        </w:rPr>
        <w:t xml:space="preserve"> with respondents requested to select </w:t>
      </w:r>
      <w:r w:rsidR="002D0FE4" w:rsidRPr="00E73BB1">
        <w:rPr>
          <w:rFonts w:ascii="Times New Roman" w:hAnsi="Times New Roman" w:cs="Times New Roman"/>
          <w:sz w:val="24"/>
          <w:szCs w:val="24"/>
        </w:rPr>
        <w:t xml:space="preserve">any that applied </w:t>
      </w:r>
      <w:r w:rsidR="00FF1040" w:rsidRPr="00E73BB1">
        <w:rPr>
          <w:rFonts w:ascii="Times New Roman" w:hAnsi="Times New Roman" w:cs="Times New Roman"/>
          <w:sz w:val="24"/>
          <w:szCs w:val="24"/>
        </w:rPr>
        <w:t>from</w:t>
      </w:r>
      <w:r w:rsidR="002D0FE4" w:rsidRPr="00E73BB1">
        <w:rPr>
          <w:rFonts w:ascii="Times New Roman" w:hAnsi="Times New Roman" w:cs="Times New Roman"/>
          <w:sz w:val="24"/>
          <w:szCs w:val="24"/>
        </w:rPr>
        <w:t xml:space="preserve"> a list of</w:t>
      </w:r>
      <w:r w:rsidR="00FF1040" w:rsidRPr="00E73BB1">
        <w:rPr>
          <w:rFonts w:ascii="Times New Roman" w:hAnsi="Times New Roman" w:cs="Times New Roman"/>
          <w:sz w:val="24"/>
          <w:szCs w:val="24"/>
        </w:rPr>
        <w:t xml:space="preserve"> 11 </w:t>
      </w:r>
      <w:r w:rsidR="008E7DAA" w:rsidRPr="00E73BB1">
        <w:rPr>
          <w:rFonts w:ascii="Times New Roman" w:hAnsi="Times New Roman" w:cs="Times New Roman"/>
          <w:sz w:val="24"/>
          <w:szCs w:val="24"/>
        </w:rPr>
        <w:t xml:space="preserve">life </w:t>
      </w:r>
      <w:r w:rsidR="00FF1040" w:rsidRPr="00E73BB1">
        <w:rPr>
          <w:rFonts w:ascii="Times New Roman" w:hAnsi="Times New Roman" w:cs="Times New Roman"/>
          <w:sz w:val="24"/>
          <w:szCs w:val="24"/>
        </w:rPr>
        <w:t>activities</w:t>
      </w:r>
      <w:r w:rsidR="00B8744E" w:rsidRPr="00E73BB1">
        <w:rPr>
          <w:rFonts w:ascii="Times New Roman" w:hAnsi="Times New Roman" w:cs="Times New Roman"/>
          <w:sz w:val="24"/>
          <w:szCs w:val="24"/>
        </w:rPr>
        <w:t>.</w:t>
      </w:r>
      <w:r w:rsidR="001A312D" w:rsidRPr="00E73BB1">
        <w:rPr>
          <w:rFonts w:ascii="Times New Roman" w:hAnsi="Times New Roman" w:cs="Times New Roman"/>
          <w:sz w:val="24"/>
          <w:szCs w:val="24"/>
        </w:rPr>
        <w:t xml:space="preserve"> The </w:t>
      </w:r>
      <w:r w:rsidR="00256C56" w:rsidRPr="00E73BB1">
        <w:rPr>
          <w:rFonts w:ascii="Times New Roman" w:hAnsi="Times New Roman" w:cs="Times New Roman"/>
          <w:sz w:val="24"/>
          <w:szCs w:val="24"/>
        </w:rPr>
        <w:t xml:space="preserve">question </w:t>
      </w:r>
      <w:r w:rsidR="00812D25" w:rsidRPr="00E73BB1">
        <w:rPr>
          <w:rFonts w:ascii="Times New Roman" w:hAnsi="Times New Roman" w:cs="Times New Roman"/>
          <w:sz w:val="24"/>
          <w:szCs w:val="24"/>
        </w:rPr>
        <w:t xml:space="preserve">stem </w:t>
      </w:r>
      <w:r w:rsidR="00256C56" w:rsidRPr="00E73BB1">
        <w:rPr>
          <w:rFonts w:ascii="Times New Roman" w:hAnsi="Times New Roman" w:cs="Times New Roman"/>
          <w:sz w:val="24"/>
          <w:szCs w:val="24"/>
        </w:rPr>
        <w:t xml:space="preserve">and </w:t>
      </w:r>
      <w:r w:rsidR="008E7DAA" w:rsidRPr="00E73BB1">
        <w:rPr>
          <w:rFonts w:ascii="Times New Roman" w:hAnsi="Times New Roman" w:cs="Times New Roman"/>
          <w:sz w:val="24"/>
          <w:szCs w:val="24"/>
        </w:rPr>
        <w:t xml:space="preserve">life </w:t>
      </w:r>
      <w:r w:rsidR="001A312D" w:rsidRPr="00E73BB1">
        <w:rPr>
          <w:rFonts w:ascii="Times New Roman" w:hAnsi="Times New Roman" w:cs="Times New Roman"/>
          <w:sz w:val="24"/>
          <w:szCs w:val="24"/>
        </w:rPr>
        <w:t xml:space="preserve">activities were </w:t>
      </w:r>
      <w:r w:rsidR="00256C56" w:rsidRPr="00E73BB1">
        <w:rPr>
          <w:rFonts w:ascii="Times New Roman" w:hAnsi="Times New Roman" w:cs="Times New Roman"/>
          <w:sz w:val="24"/>
          <w:szCs w:val="24"/>
        </w:rPr>
        <w:t>developed</w:t>
      </w:r>
      <w:r w:rsidR="001A312D" w:rsidRPr="00E73BB1">
        <w:rPr>
          <w:rFonts w:ascii="Times New Roman" w:hAnsi="Times New Roman" w:cs="Times New Roman"/>
          <w:sz w:val="24"/>
          <w:szCs w:val="24"/>
        </w:rPr>
        <w:t xml:space="preserve"> on the basis of </w:t>
      </w:r>
      <w:r w:rsidR="008920D6" w:rsidRPr="00E73BB1">
        <w:rPr>
          <w:rFonts w:ascii="Times New Roman" w:hAnsi="Times New Roman" w:cs="Times New Roman"/>
          <w:sz w:val="24"/>
          <w:szCs w:val="24"/>
        </w:rPr>
        <w:t xml:space="preserve">qualitative </w:t>
      </w:r>
      <w:r w:rsidR="001A312D" w:rsidRPr="00E73BB1">
        <w:rPr>
          <w:rFonts w:ascii="Times New Roman" w:hAnsi="Times New Roman" w:cs="Times New Roman"/>
          <w:sz w:val="24"/>
          <w:szCs w:val="24"/>
        </w:rPr>
        <w:t xml:space="preserve">insights from </w:t>
      </w:r>
      <w:r w:rsidR="008920D6" w:rsidRPr="00E73BB1">
        <w:rPr>
          <w:rFonts w:ascii="Times New Roman" w:hAnsi="Times New Roman" w:cs="Times New Roman"/>
          <w:sz w:val="24"/>
          <w:szCs w:val="24"/>
        </w:rPr>
        <w:t xml:space="preserve">2-hour long </w:t>
      </w:r>
      <w:r w:rsidR="001A312D" w:rsidRPr="00E73BB1">
        <w:rPr>
          <w:rFonts w:ascii="Times New Roman" w:hAnsi="Times New Roman" w:cs="Times New Roman"/>
          <w:sz w:val="24"/>
          <w:szCs w:val="24"/>
        </w:rPr>
        <w:t xml:space="preserve">focus group discussions and interviews conducted </w:t>
      </w:r>
      <w:r w:rsidR="00131833" w:rsidRPr="00E73BB1">
        <w:rPr>
          <w:rFonts w:ascii="Times New Roman" w:hAnsi="Times New Roman" w:cs="Times New Roman"/>
          <w:sz w:val="24"/>
          <w:szCs w:val="24"/>
        </w:rPr>
        <w:t xml:space="preserve">for Dove </w:t>
      </w:r>
      <w:r w:rsidR="008E7DAA" w:rsidRPr="00E73BB1">
        <w:rPr>
          <w:rFonts w:ascii="Times New Roman" w:hAnsi="Times New Roman" w:cs="Times New Roman"/>
          <w:sz w:val="24"/>
          <w:szCs w:val="24"/>
        </w:rPr>
        <w:t>by a research agency</w:t>
      </w:r>
      <w:r w:rsidR="00F32C2B" w:rsidRPr="00E73BB1">
        <w:rPr>
          <w:rFonts w:ascii="Times New Roman" w:hAnsi="Times New Roman" w:cs="Times New Roman"/>
          <w:sz w:val="24"/>
          <w:szCs w:val="24"/>
        </w:rPr>
        <w:t xml:space="preserve"> </w:t>
      </w:r>
      <w:r w:rsidR="001A312D" w:rsidRPr="00E73BB1">
        <w:rPr>
          <w:rFonts w:ascii="Times New Roman" w:hAnsi="Times New Roman" w:cs="Times New Roman"/>
          <w:sz w:val="24"/>
          <w:szCs w:val="24"/>
        </w:rPr>
        <w:t>with women aged 20-55</w:t>
      </w:r>
      <w:r w:rsidR="008E7DAA" w:rsidRPr="00E73BB1">
        <w:rPr>
          <w:rFonts w:ascii="Times New Roman" w:hAnsi="Times New Roman" w:cs="Times New Roman"/>
          <w:sz w:val="24"/>
          <w:szCs w:val="24"/>
        </w:rPr>
        <w:t xml:space="preserve"> years</w:t>
      </w:r>
      <w:r w:rsidR="001A312D" w:rsidRPr="00E73BB1">
        <w:rPr>
          <w:rFonts w:ascii="Times New Roman" w:hAnsi="Times New Roman" w:cs="Times New Roman"/>
          <w:sz w:val="24"/>
          <w:szCs w:val="24"/>
        </w:rPr>
        <w:t xml:space="preserve"> (</w:t>
      </w:r>
      <w:r w:rsidR="001A312D" w:rsidRPr="00E73BB1">
        <w:rPr>
          <w:rFonts w:ascii="Times New Roman" w:hAnsi="Times New Roman" w:cs="Times New Roman"/>
          <w:i/>
          <w:iCs/>
          <w:sz w:val="24"/>
          <w:szCs w:val="24"/>
        </w:rPr>
        <w:t>n</w:t>
      </w:r>
      <w:r w:rsidR="008E7DAA" w:rsidRPr="00E73BB1">
        <w:rPr>
          <w:rFonts w:ascii="Times New Roman" w:hAnsi="Times New Roman" w:cs="Times New Roman"/>
          <w:sz w:val="24"/>
          <w:szCs w:val="24"/>
        </w:rPr>
        <w:t xml:space="preserve"> </w:t>
      </w:r>
      <w:r w:rsidR="001A312D" w:rsidRPr="00E73BB1">
        <w:rPr>
          <w:rFonts w:ascii="Times New Roman" w:hAnsi="Times New Roman" w:cs="Times New Roman"/>
          <w:sz w:val="24"/>
          <w:szCs w:val="24"/>
        </w:rPr>
        <w:t>=</w:t>
      </w:r>
      <w:r w:rsidR="008E7DAA" w:rsidRPr="00E73BB1">
        <w:rPr>
          <w:rFonts w:ascii="Times New Roman" w:hAnsi="Times New Roman" w:cs="Times New Roman"/>
          <w:sz w:val="24"/>
          <w:szCs w:val="24"/>
        </w:rPr>
        <w:t xml:space="preserve"> 21</w:t>
      </w:r>
      <w:r w:rsidR="001A312D" w:rsidRPr="00E73BB1">
        <w:rPr>
          <w:rFonts w:ascii="Times New Roman" w:hAnsi="Times New Roman" w:cs="Times New Roman"/>
          <w:sz w:val="24"/>
          <w:szCs w:val="24"/>
        </w:rPr>
        <w:t xml:space="preserve">) and girls aged 11-13 </w:t>
      </w:r>
      <w:r w:rsidR="008E7DAA" w:rsidRPr="00E73BB1">
        <w:rPr>
          <w:rFonts w:ascii="Times New Roman" w:hAnsi="Times New Roman" w:cs="Times New Roman"/>
          <w:sz w:val="24"/>
          <w:szCs w:val="24"/>
        </w:rPr>
        <w:t xml:space="preserve">years </w:t>
      </w:r>
      <w:r w:rsidR="001A312D" w:rsidRPr="00E73BB1">
        <w:rPr>
          <w:rFonts w:ascii="Times New Roman" w:hAnsi="Times New Roman" w:cs="Times New Roman"/>
          <w:sz w:val="24"/>
          <w:szCs w:val="24"/>
        </w:rPr>
        <w:t>(</w:t>
      </w:r>
      <w:r w:rsidR="001A312D" w:rsidRPr="00E73BB1">
        <w:rPr>
          <w:rFonts w:ascii="Times New Roman" w:hAnsi="Times New Roman" w:cs="Times New Roman"/>
          <w:i/>
          <w:iCs/>
          <w:sz w:val="24"/>
          <w:szCs w:val="24"/>
        </w:rPr>
        <w:t>n</w:t>
      </w:r>
      <w:r w:rsidR="008E7DAA" w:rsidRPr="00E73BB1">
        <w:rPr>
          <w:rFonts w:ascii="Times New Roman" w:hAnsi="Times New Roman" w:cs="Times New Roman"/>
          <w:sz w:val="24"/>
          <w:szCs w:val="24"/>
        </w:rPr>
        <w:t xml:space="preserve"> </w:t>
      </w:r>
      <w:r w:rsidR="001A312D" w:rsidRPr="00E73BB1">
        <w:rPr>
          <w:rFonts w:ascii="Times New Roman" w:hAnsi="Times New Roman" w:cs="Times New Roman"/>
          <w:sz w:val="24"/>
          <w:szCs w:val="24"/>
        </w:rPr>
        <w:t>=</w:t>
      </w:r>
      <w:r w:rsidR="008E7DAA" w:rsidRPr="00E73BB1">
        <w:rPr>
          <w:rFonts w:ascii="Times New Roman" w:hAnsi="Times New Roman" w:cs="Times New Roman"/>
          <w:sz w:val="24"/>
          <w:szCs w:val="24"/>
        </w:rPr>
        <w:t xml:space="preserve"> 6</w:t>
      </w:r>
      <w:r w:rsidR="001A312D" w:rsidRPr="00E73BB1">
        <w:rPr>
          <w:rFonts w:ascii="Times New Roman" w:hAnsi="Times New Roman" w:cs="Times New Roman"/>
          <w:sz w:val="24"/>
          <w:szCs w:val="24"/>
        </w:rPr>
        <w:t xml:space="preserve">) within each of the following countries; United Kingdom, Brazil, France, Indonesia, Japan and China (i.e., </w:t>
      </w:r>
      <w:r w:rsidR="008E7DAA" w:rsidRPr="00E73BB1">
        <w:rPr>
          <w:rFonts w:ascii="Times New Roman" w:hAnsi="Times New Roman" w:cs="Times New Roman"/>
          <w:sz w:val="24"/>
          <w:szCs w:val="24"/>
        </w:rPr>
        <w:t xml:space="preserve">total </w:t>
      </w:r>
      <w:r w:rsidR="00F32C2B" w:rsidRPr="00E73BB1">
        <w:rPr>
          <w:rFonts w:ascii="Times New Roman" w:hAnsi="Times New Roman" w:cs="Times New Roman"/>
          <w:i/>
          <w:iCs/>
          <w:sz w:val="24"/>
          <w:szCs w:val="24"/>
        </w:rPr>
        <w:lastRenderedPageBreak/>
        <w:t>N</w:t>
      </w:r>
      <w:r w:rsidR="008E7DAA" w:rsidRPr="00E73BB1">
        <w:rPr>
          <w:rFonts w:ascii="Times New Roman" w:hAnsi="Times New Roman" w:cs="Times New Roman"/>
          <w:sz w:val="24"/>
          <w:szCs w:val="24"/>
        </w:rPr>
        <w:t xml:space="preserve"> = 126 women and </w:t>
      </w:r>
      <w:r w:rsidR="00F32C2B" w:rsidRPr="00E73BB1">
        <w:rPr>
          <w:rFonts w:ascii="Times New Roman" w:hAnsi="Times New Roman" w:cs="Times New Roman"/>
          <w:i/>
          <w:iCs/>
          <w:sz w:val="24"/>
          <w:szCs w:val="24"/>
        </w:rPr>
        <w:t>N</w:t>
      </w:r>
      <w:r w:rsidR="008E7DAA" w:rsidRPr="00E73BB1">
        <w:rPr>
          <w:rFonts w:ascii="Times New Roman" w:hAnsi="Times New Roman" w:cs="Times New Roman"/>
          <w:sz w:val="24"/>
          <w:szCs w:val="24"/>
        </w:rPr>
        <w:t xml:space="preserve"> = 36 girls</w:t>
      </w:r>
      <w:r w:rsidR="00877F6D" w:rsidRPr="00E73BB1">
        <w:rPr>
          <w:rFonts w:ascii="Times New Roman" w:hAnsi="Times New Roman" w:cs="Times New Roman"/>
          <w:sz w:val="24"/>
          <w:szCs w:val="24"/>
        </w:rPr>
        <w:t xml:space="preserve">; </w:t>
      </w:r>
      <w:r w:rsidR="00A84AA8" w:rsidRPr="00E73BB1">
        <w:rPr>
          <w:rFonts w:ascii="Times New Roman" w:hAnsi="Times New Roman" w:cs="Times New Roman"/>
          <w:sz w:val="24"/>
          <w:szCs w:val="24"/>
        </w:rPr>
        <w:t>Firefish, 2015</w:t>
      </w:r>
      <w:r w:rsidR="008E7DAA" w:rsidRPr="00E73BB1">
        <w:rPr>
          <w:rFonts w:ascii="Times New Roman" w:hAnsi="Times New Roman" w:cs="Times New Roman"/>
          <w:sz w:val="24"/>
          <w:szCs w:val="24"/>
        </w:rPr>
        <w:t>)</w:t>
      </w:r>
      <w:r w:rsidR="001A312D" w:rsidRPr="00E73BB1">
        <w:rPr>
          <w:rFonts w:ascii="Times New Roman" w:hAnsi="Times New Roman" w:cs="Times New Roman"/>
          <w:sz w:val="24"/>
          <w:szCs w:val="24"/>
        </w:rPr>
        <w:t xml:space="preserve">.  </w:t>
      </w:r>
      <w:r w:rsidR="00B8744E" w:rsidRPr="00E73BB1">
        <w:rPr>
          <w:rFonts w:ascii="Times New Roman" w:hAnsi="Times New Roman" w:cs="Times New Roman"/>
          <w:sz w:val="24"/>
          <w:szCs w:val="24"/>
        </w:rPr>
        <w:t xml:space="preserve"> </w:t>
      </w:r>
    </w:p>
    <w:p w14:paraId="2CE320EC" w14:textId="6C873D7C" w:rsidR="009E12F7" w:rsidRPr="00E73BB1" w:rsidRDefault="00655EFA" w:rsidP="009E12F7">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 xml:space="preserve">To make </w:t>
      </w:r>
      <w:r w:rsidR="001A312D" w:rsidRPr="00E73BB1">
        <w:rPr>
          <w:rFonts w:ascii="Times New Roman" w:hAnsi="Times New Roman" w:cs="Times New Roman"/>
          <w:sz w:val="24"/>
          <w:szCs w:val="24"/>
        </w:rPr>
        <w:t xml:space="preserve">these </w:t>
      </w:r>
      <w:r w:rsidR="00902E12" w:rsidRPr="00E73BB1">
        <w:rPr>
          <w:rFonts w:ascii="Times New Roman" w:hAnsi="Times New Roman" w:cs="Times New Roman"/>
          <w:sz w:val="24"/>
          <w:szCs w:val="24"/>
        </w:rPr>
        <w:t xml:space="preserve">life activity </w:t>
      </w:r>
      <w:r w:rsidR="001A312D" w:rsidRPr="00E73BB1">
        <w:rPr>
          <w:rFonts w:ascii="Times New Roman" w:hAnsi="Times New Roman" w:cs="Times New Roman"/>
          <w:sz w:val="24"/>
          <w:szCs w:val="24"/>
        </w:rPr>
        <w:t xml:space="preserve">items </w:t>
      </w:r>
      <w:r w:rsidRPr="00E73BB1">
        <w:rPr>
          <w:rFonts w:ascii="Times New Roman" w:hAnsi="Times New Roman" w:cs="Times New Roman"/>
          <w:sz w:val="24"/>
          <w:szCs w:val="24"/>
        </w:rPr>
        <w:t>age appropriate</w:t>
      </w:r>
      <w:r w:rsidR="00842113" w:rsidRPr="00E73BB1">
        <w:rPr>
          <w:rFonts w:ascii="Times New Roman" w:hAnsi="Times New Roman" w:cs="Times New Roman"/>
          <w:sz w:val="24"/>
          <w:szCs w:val="24"/>
        </w:rPr>
        <w:t xml:space="preserve"> for </w:t>
      </w:r>
      <w:r w:rsidR="00BC0961" w:rsidRPr="00E73BB1">
        <w:rPr>
          <w:rFonts w:ascii="Times New Roman" w:hAnsi="Times New Roman" w:cs="Times New Roman"/>
          <w:sz w:val="24"/>
          <w:szCs w:val="24"/>
        </w:rPr>
        <w:t xml:space="preserve">administration to </w:t>
      </w:r>
      <w:r w:rsidR="00842113" w:rsidRPr="00E73BB1">
        <w:rPr>
          <w:rFonts w:ascii="Times New Roman" w:hAnsi="Times New Roman" w:cs="Times New Roman"/>
          <w:sz w:val="24"/>
          <w:szCs w:val="24"/>
        </w:rPr>
        <w:t xml:space="preserve">early adolescents </w:t>
      </w:r>
      <w:r w:rsidR="00BC0961" w:rsidRPr="00E73BB1">
        <w:rPr>
          <w:rFonts w:ascii="Times New Roman" w:hAnsi="Times New Roman" w:cs="Times New Roman"/>
          <w:sz w:val="24"/>
          <w:szCs w:val="24"/>
        </w:rPr>
        <w:t>specifically</w:t>
      </w:r>
      <w:r w:rsidR="008E7DAA" w:rsidRPr="00E73BB1">
        <w:rPr>
          <w:rFonts w:ascii="Times New Roman" w:hAnsi="Times New Roman" w:cs="Times New Roman"/>
          <w:sz w:val="24"/>
          <w:szCs w:val="24"/>
        </w:rPr>
        <w:t xml:space="preserve"> </w:t>
      </w:r>
      <w:r w:rsidR="00842113" w:rsidRPr="00E73BB1">
        <w:rPr>
          <w:rFonts w:ascii="Times New Roman" w:hAnsi="Times New Roman" w:cs="Times New Roman"/>
          <w:sz w:val="24"/>
          <w:szCs w:val="24"/>
        </w:rPr>
        <w:t>and in school settings</w:t>
      </w:r>
      <w:r w:rsidR="00B8744E" w:rsidRPr="00E73BB1">
        <w:rPr>
          <w:rFonts w:ascii="Times New Roman" w:hAnsi="Times New Roman" w:cs="Times New Roman"/>
          <w:sz w:val="24"/>
          <w:szCs w:val="24"/>
        </w:rPr>
        <w:t xml:space="preserve">, we removed </w:t>
      </w:r>
      <w:r w:rsidR="00610470" w:rsidRPr="00E73BB1">
        <w:rPr>
          <w:rFonts w:ascii="Times New Roman" w:hAnsi="Times New Roman" w:cs="Times New Roman"/>
          <w:sz w:val="24"/>
          <w:szCs w:val="24"/>
        </w:rPr>
        <w:t xml:space="preserve">two items </w:t>
      </w:r>
      <w:r w:rsidR="00FF1040" w:rsidRPr="00E73BB1">
        <w:rPr>
          <w:rFonts w:ascii="Times New Roman" w:hAnsi="Times New Roman" w:cs="Times New Roman"/>
          <w:sz w:val="24"/>
          <w:szCs w:val="24"/>
        </w:rPr>
        <w:t>(</w:t>
      </w:r>
      <w:r w:rsidR="008E7DAA" w:rsidRPr="00E73BB1">
        <w:rPr>
          <w:rFonts w:ascii="Times New Roman" w:hAnsi="Times New Roman" w:cs="Times New Roman"/>
          <w:sz w:val="24"/>
          <w:szCs w:val="24"/>
        </w:rPr>
        <w:t>“</w:t>
      </w:r>
      <w:r w:rsidR="00FF1040" w:rsidRPr="00E73BB1">
        <w:rPr>
          <w:rFonts w:ascii="Times New Roman" w:hAnsi="Times New Roman" w:cs="Times New Roman"/>
          <w:sz w:val="24"/>
          <w:szCs w:val="24"/>
        </w:rPr>
        <w:t>job interview</w:t>
      </w:r>
      <w:r w:rsidR="008E7DAA" w:rsidRPr="00E73BB1">
        <w:rPr>
          <w:rFonts w:ascii="Times New Roman" w:hAnsi="Times New Roman" w:cs="Times New Roman"/>
          <w:sz w:val="24"/>
          <w:szCs w:val="24"/>
        </w:rPr>
        <w:t>”</w:t>
      </w:r>
      <w:r w:rsidR="00FF1040" w:rsidRPr="00E73BB1">
        <w:rPr>
          <w:rFonts w:ascii="Times New Roman" w:hAnsi="Times New Roman" w:cs="Times New Roman"/>
          <w:sz w:val="24"/>
          <w:szCs w:val="24"/>
        </w:rPr>
        <w:t xml:space="preserve">, </w:t>
      </w:r>
      <w:r w:rsidR="008E7DAA" w:rsidRPr="00E73BB1">
        <w:rPr>
          <w:rFonts w:ascii="Times New Roman" w:hAnsi="Times New Roman" w:cs="Times New Roman"/>
          <w:sz w:val="24"/>
          <w:szCs w:val="24"/>
        </w:rPr>
        <w:t>“</w:t>
      </w:r>
      <w:r w:rsidR="00FF1040" w:rsidRPr="00E73BB1">
        <w:rPr>
          <w:rFonts w:ascii="Times New Roman" w:hAnsi="Times New Roman" w:cs="Times New Roman"/>
          <w:sz w:val="24"/>
          <w:szCs w:val="24"/>
        </w:rPr>
        <w:t xml:space="preserve">go </w:t>
      </w:r>
      <w:r w:rsidR="00983EAC" w:rsidRPr="00E73BB1">
        <w:rPr>
          <w:rFonts w:ascii="Times New Roman" w:hAnsi="Times New Roman" w:cs="Times New Roman"/>
          <w:sz w:val="24"/>
          <w:szCs w:val="24"/>
        </w:rPr>
        <w:t>to work</w:t>
      </w:r>
      <w:r w:rsidR="008E7DAA" w:rsidRPr="00E73BB1">
        <w:rPr>
          <w:rFonts w:ascii="Times New Roman" w:hAnsi="Times New Roman" w:cs="Times New Roman"/>
          <w:sz w:val="24"/>
          <w:szCs w:val="24"/>
        </w:rPr>
        <w:t>”</w:t>
      </w:r>
      <w:r w:rsidR="00983EAC" w:rsidRPr="00E73BB1">
        <w:rPr>
          <w:rFonts w:ascii="Times New Roman" w:hAnsi="Times New Roman" w:cs="Times New Roman"/>
          <w:sz w:val="24"/>
          <w:szCs w:val="24"/>
        </w:rPr>
        <w:t xml:space="preserve">) and </w:t>
      </w:r>
      <w:r w:rsidR="00B8744E" w:rsidRPr="00E73BB1">
        <w:rPr>
          <w:rFonts w:ascii="Times New Roman" w:hAnsi="Times New Roman" w:cs="Times New Roman"/>
          <w:sz w:val="24"/>
          <w:szCs w:val="24"/>
        </w:rPr>
        <w:t xml:space="preserve">re-worded </w:t>
      </w:r>
      <w:r w:rsidR="0014787B" w:rsidRPr="00E73BB1">
        <w:rPr>
          <w:rFonts w:ascii="Times New Roman" w:hAnsi="Times New Roman" w:cs="Times New Roman"/>
          <w:sz w:val="24"/>
          <w:szCs w:val="24"/>
        </w:rPr>
        <w:t>two others</w:t>
      </w:r>
      <w:r w:rsidR="00983EAC" w:rsidRPr="00E73BB1">
        <w:rPr>
          <w:rFonts w:ascii="Times New Roman" w:hAnsi="Times New Roman" w:cs="Times New Roman"/>
          <w:sz w:val="24"/>
          <w:szCs w:val="24"/>
        </w:rPr>
        <w:t xml:space="preserve"> (“go on a date” to “talk/go out with someone from the opposite sex”</w:t>
      </w:r>
      <w:r w:rsidR="0014787B" w:rsidRPr="00E73BB1">
        <w:rPr>
          <w:rFonts w:ascii="Times New Roman" w:hAnsi="Times New Roman" w:cs="Times New Roman"/>
          <w:sz w:val="24"/>
          <w:szCs w:val="24"/>
        </w:rPr>
        <w:t>; “</w:t>
      </w:r>
      <w:r w:rsidR="00371C1E" w:rsidRPr="00E73BB1">
        <w:rPr>
          <w:rFonts w:ascii="Times New Roman" w:hAnsi="Times New Roman" w:cs="Times New Roman"/>
          <w:sz w:val="24"/>
          <w:szCs w:val="24"/>
        </w:rPr>
        <w:t>g</w:t>
      </w:r>
      <w:r w:rsidR="0014787B" w:rsidRPr="00E73BB1">
        <w:rPr>
          <w:rFonts w:ascii="Times New Roman" w:hAnsi="Times New Roman" w:cs="Times New Roman"/>
          <w:sz w:val="24"/>
          <w:szCs w:val="24"/>
        </w:rPr>
        <w:t>ive an opinion” to “</w:t>
      </w:r>
      <w:r w:rsidR="00371C1E" w:rsidRPr="00E73BB1">
        <w:rPr>
          <w:rFonts w:ascii="Times New Roman" w:hAnsi="Times New Roman" w:cs="Times New Roman"/>
          <w:sz w:val="24"/>
          <w:szCs w:val="24"/>
        </w:rPr>
        <w:t>g</w:t>
      </w:r>
      <w:r w:rsidR="0014787B" w:rsidRPr="00E73BB1">
        <w:rPr>
          <w:rFonts w:ascii="Times New Roman" w:hAnsi="Times New Roman" w:cs="Times New Roman"/>
          <w:sz w:val="24"/>
          <w:szCs w:val="24"/>
        </w:rPr>
        <w:t>ive an opinion or stand up for myself”</w:t>
      </w:r>
      <w:r w:rsidR="00983EAC" w:rsidRPr="00E73BB1">
        <w:rPr>
          <w:rFonts w:ascii="Times New Roman" w:hAnsi="Times New Roman" w:cs="Times New Roman"/>
          <w:sz w:val="24"/>
          <w:szCs w:val="24"/>
        </w:rPr>
        <w:t>)</w:t>
      </w:r>
      <w:r w:rsidR="00610470" w:rsidRPr="00E73BB1">
        <w:rPr>
          <w:rFonts w:ascii="Times New Roman" w:hAnsi="Times New Roman" w:cs="Times New Roman"/>
          <w:sz w:val="24"/>
          <w:szCs w:val="24"/>
        </w:rPr>
        <w:t>.</w:t>
      </w:r>
      <w:r w:rsidR="0014787B" w:rsidRPr="00E73BB1">
        <w:rPr>
          <w:rFonts w:ascii="Times New Roman" w:hAnsi="Times New Roman" w:cs="Times New Roman"/>
          <w:sz w:val="24"/>
          <w:szCs w:val="24"/>
        </w:rPr>
        <w:t xml:space="preserve"> W</w:t>
      </w:r>
      <w:r w:rsidR="00E31E97" w:rsidRPr="00E73BB1">
        <w:rPr>
          <w:rFonts w:ascii="Times New Roman" w:hAnsi="Times New Roman" w:cs="Times New Roman"/>
          <w:sz w:val="24"/>
          <w:szCs w:val="24"/>
        </w:rPr>
        <w:t xml:space="preserve">e then generated a further </w:t>
      </w:r>
      <w:r w:rsidR="0065175A" w:rsidRPr="00E73BB1">
        <w:rPr>
          <w:rFonts w:ascii="Times New Roman" w:hAnsi="Times New Roman" w:cs="Times New Roman"/>
          <w:sz w:val="24"/>
          <w:szCs w:val="24"/>
        </w:rPr>
        <w:t>seven</w:t>
      </w:r>
      <w:r w:rsidR="0008098A" w:rsidRPr="00E73BB1">
        <w:rPr>
          <w:rFonts w:ascii="Times New Roman" w:hAnsi="Times New Roman" w:cs="Times New Roman"/>
          <w:sz w:val="24"/>
          <w:szCs w:val="24"/>
        </w:rPr>
        <w:t xml:space="preserve"> items with the aim of capturing</w:t>
      </w:r>
      <w:r w:rsidR="00E31E97" w:rsidRPr="00E73BB1">
        <w:rPr>
          <w:rFonts w:ascii="Times New Roman" w:hAnsi="Times New Roman" w:cs="Times New Roman"/>
          <w:sz w:val="24"/>
          <w:szCs w:val="24"/>
        </w:rPr>
        <w:t xml:space="preserve"> a</w:t>
      </w:r>
      <w:r w:rsidR="008E7DAA" w:rsidRPr="00E73BB1">
        <w:rPr>
          <w:rFonts w:ascii="Times New Roman" w:hAnsi="Times New Roman" w:cs="Times New Roman"/>
          <w:sz w:val="24"/>
          <w:szCs w:val="24"/>
        </w:rPr>
        <w:t>n even</w:t>
      </w:r>
      <w:r w:rsidR="00E31E97" w:rsidRPr="00E73BB1">
        <w:rPr>
          <w:rFonts w:ascii="Times New Roman" w:hAnsi="Times New Roman" w:cs="Times New Roman"/>
          <w:sz w:val="24"/>
          <w:szCs w:val="24"/>
        </w:rPr>
        <w:t xml:space="preserve"> broader range of</w:t>
      </w:r>
      <w:r w:rsidR="008E7DAA" w:rsidRPr="00E73BB1">
        <w:rPr>
          <w:rFonts w:ascii="Times New Roman" w:hAnsi="Times New Roman" w:cs="Times New Roman"/>
          <w:sz w:val="24"/>
          <w:szCs w:val="24"/>
        </w:rPr>
        <w:t xml:space="preserve"> life</w:t>
      </w:r>
      <w:r w:rsidR="00E31E97" w:rsidRPr="00E73BB1">
        <w:rPr>
          <w:rFonts w:ascii="Times New Roman" w:hAnsi="Times New Roman" w:cs="Times New Roman"/>
          <w:sz w:val="24"/>
          <w:szCs w:val="24"/>
        </w:rPr>
        <w:t xml:space="preserve"> </w:t>
      </w:r>
      <w:r w:rsidR="00C7792C" w:rsidRPr="00E73BB1">
        <w:rPr>
          <w:rFonts w:ascii="Times New Roman" w:hAnsi="Times New Roman" w:cs="Times New Roman"/>
          <w:sz w:val="24"/>
          <w:szCs w:val="24"/>
        </w:rPr>
        <w:t>a</w:t>
      </w:r>
      <w:r w:rsidR="00227BAD" w:rsidRPr="00E73BB1">
        <w:rPr>
          <w:rFonts w:ascii="Times New Roman" w:hAnsi="Times New Roman" w:cs="Times New Roman"/>
          <w:sz w:val="24"/>
          <w:szCs w:val="24"/>
        </w:rPr>
        <w:t>ctivities</w:t>
      </w:r>
      <w:r w:rsidR="002D0FE4" w:rsidRPr="00E73BB1">
        <w:rPr>
          <w:rFonts w:ascii="Times New Roman" w:hAnsi="Times New Roman" w:cs="Times New Roman"/>
          <w:sz w:val="24"/>
          <w:szCs w:val="24"/>
        </w:rPr>
        <w:t xml:space="preserve"> across academic</w:t>
      </w:r>
      <w:r w:rsidR="006D1B82" w:rsidRPr="00E73BB1">
        <w:rPr>
          <w:rFonts w:ascii="Times New Roman" w:hAnsi="Times New Roman" w:cs="Times New Roman"/>
          <w:sz w:val="24"/>
          <w:szCs w:val="24"/>
        </w:rPr>
        <w:t xml:space="preserve"> (</w:t>
      </w:r>
      <w:r w:rsidR="00B57DC6" w:rsidRPr="00E73BB1">
        <w:rPr>
          <w:rFonts w:ascii="Times New Roman" w:hAnsi="Times New Roman" w:cs="Times New Roman"/>
          <w:sz w:val="24"/>
          <w:szCs w:val="24"/>
        </w:rPr>
        <w:t xml:space="preserve">school attendance and participation), </w:t>
      </w:r>
      <w:r w:rsidR="002D0FE4" w:rsidRPr="00E73BB1">
        <w:rPr>
          <w:rFonts w:ascii="Times New Roman" w:hAnsi="Times New Roman" w:cs="Times New Roman"/>
          <w:sz w:val="24"/>
          <w:szCs w:val="24"/>
        </w:rPr>
        <w:t>social</w:t>
      </w:r>
      <w:r w:rsidR="00F5655A" w:rsidRPr="00E73BB1">
        <w:rPr>
          <w:rFonts w:ascii="Times New Roman" w:hAnsi="Times New Roman" w:cs="Times New Roman"/>
          <w:sz w:val="24"/>
          <w:szCs w:val="24"/>
        </w:rPr>
        <w:t xml:space="preserve"> </w:t>
      </w:r>
      <w:r w:rsidR="00B57DC6" w:rsidRPr="00E73BB1">
        <w:rPr>
          <w:rFonts w:ascii="Times New Roman" w:hAnsi="Times New Roman" w:cs="Times New Roman"/>
          <w:sz w:val="24"/>
          <w:szCs w:val="24"/>
        </w:rPr>
        <w:t>(spending time with friends and family)</w:t>
      </w:r>
      <w:r w:rsidR="00D7083D" w:rsidRPr="00E73BB1">
        <w:rPr>
          <w:rFonts w:ascii="Times New Roman" w:hAnsi="Times New Roman" w:cs="Times New Roman"/>
          <w:sz w:val="24"/>
          <w:szCs w:val="24"/>
        </w:rPr>
        <w:t>, and engag</w:t>
      </w:r>
      <w:r w:rsidR="00B57DC6" w:rsidRPr="00E73BB1">
        <w:rPr>
          <w:rFonts w:ascii="Times New Roman" w:hAnsi="Times New Roman" w:cs="Times New Roman"/>
          <w:sz w:val="24"/>
          <w:szCs w:val="24"/>
        </w:rPr>
        <w:t>ement</w:t>
      </w:r>
      <w:r w:rsidR="00D7083D" w:rsidRPr="00E73BB1">
        <w:rPr>
          <w:rFonts w:ascii="Times New Roman" w:hAnsi="Times New Roman" w:cs="Times New Roman"/>
          <w:sz w:val="24"/>
          <w:szCs w:val="24"/>
        </w:rPr>
        <w:t xml:space="preserve"> with healthcare services</w:t>
      </w:r>
      <w:r w:rsidR="002D0FE4" w:rsidRPr="00E73BB1">
        <w:rPr>
          <w:rFonts w:ascii="Times New Roman" w:hAnsi="Times New Roman" w:cs="Times New Roman"/>
          <w:sz w:val="24"/>
          <w:szCs w:val="24"/>
        </w:rPr>
        <w:t xml:space="preserve"> </w:t>
      </w:r>
      <w:r w:rsidR="00F5655A" w:rsidRPr="00E73BB1">
        <w:rPr>
          <w:rFonts w:ascii="Times New Roman" w:hAnsi="Times New Roman" w:cs="Times New Roman"/>
          <w:sz w:val="24"/>
          <w:szCs w:val="24"/>
        </w:rPr>
        <w:t>(</w:t>
      </w:r>
      <w:r w:rsidR="00B57DC6" w:rsidRPr="00E73BB1">
        <w:rPr>
          <w:rFonts w:ascii="Times New Roman" w:hAnsi="Times New Roman" w:cs="Times New Roman"/>
          <w:sz w:val="24"/>
          <w:szCs w:val="24"/>
        </w:rPr>
        <w:t>going</w:t>
      </w:r>
      <w:r w:rsidR="00F5655A" w:rsidRPr="00E73BB1">
        <w:rPr>
          <w:rFonts w:ascii="Times New Roman" w:hAnsi="Times New Roman" w:cs="Times New Roman"/>
          <w:sz w:val="24"/>
          <w:szCs w:val="24"/>
        </w:rPr>
        <w:t xml:space="preserve"> to a doctor or school nurse)</w:t>
      </w:r>
      <w:r w:rsidR="00BC0961" w:rsidRPr="00E73BB1">
        <w:rPr>
          <w:rFonts w:ascii="Times New Roman" w:hAnsi="Times New Roman" w:cs="Times New Roman"/>
          <w:sz w:val="24"/>
          <w:szCs w:val="24"/>
        </w:rPr>
        <w:t>,</w:t>
      </w:r>
      <w:r w:rsidR="001A312D" w:rsidRPr="00E73BB1">
        <w:rPr>
          <w:rFonts w:ascii="Times New Roman" w:hAnsi="Times New Roman" w:cs="Times New Roman"/>
          <w:sz w:val="24"/>
          <w:szCs w:val="24"/>
        </w:rPr>
        <w:t xml:space="preserve"> </w:t>
      </w:r>
      <w:r w:rsidR="006B292B" w:rsidRPr="00E73BB1">
        <w:rPr>
          <w:rFonts w:ascii="Times New Roman" w:hAnsi="Times New Roman" w:cs="Times New Roman"/>
          <w:sz w:val="24"/>
          <w:szCs w:val="24"/>
        </w:rPr>
        <w:t>guided by</w:t>
      </w:r>
      <w:r w:rsidR="00BC0961" w:rsidRPr="00E73BB1">
        <w:rPr>
          <w:rFonts w:ascii="Times New Roman" w:hAnsi="Times New Roman" w:cs="Times New Roman"/>
          <w:sz w:val="24"/>
          <w:szCs w:val="24"/>
        </w:rPr>
        <w:t xml:space="preserve"> i</w:t>
      </w:r>
      <w:r w:rsidR="001A312D" w:rsidRPr="00E73BB1">
        <w:rPr>
          <w:rFonts w:ascii="Times New Roman" w:hAnsi="Times New Roman" w:cs="Times New Roman"/>
          <w:sz w:val="24"/>
          <w:szCs w:val="24"/>
        </w:rPr>
        <w:t>nsights from our previous research conducted with adolescents</w:t>
      </w:r>
      <w:r w:rsidR="008E7DAA" w:rsidRPr="00E73BB1">
        <w:rPr>
          <w:rFonts w:ascii="Times New Roman" w:hAnsi="Times New Roman" w:cs="Times New Roman"/>
          <w:sz w:val="24"/>
          <w:szCs w:val="24"/>
        </w:rPr>
        <w:t xml:space="preserve"> </w:t>
      </w:r>
      <w:r w:rsidR="006B292B" w:rsidRPr="00E73BB1">
        <w:rPr>
          <w:rFonts w:ascii="Times New Roman" w:hAnsi="Times New Roman" w:cs="Times New Roman"/>
          <w:noProof/>
          <w:sz w:val="24"/>
          <w:szCs w:val="24"/>
        </w:rPr>
        <w:t>(</w:t>
      </w:r>
      <w:r w:rsidR="00A04192">
        <w:rPr>
          <w:rFonts w:ascii="Times New Roman" w:hAnsi="Times New Roman" w:cs="Times New Roman"/>
          <w:noProof/>
          <w:sz w:val="24"/>
          <w:szCs w:val="24"/>
        </w:rPr>
        <w:t>e.g., Atkinson &amp; Wade, 2015; Halliwell &amp; Diedrichs, 2014)</w:t>
      </w:r>
      <w:r w:rsidR="006D1B82" w:rsidRPr="00E73BB1">
        <w:rPr>
          <w:rFonts w:ascii="Times New Roman" w:hAnsi="Times New Roman" w:cs="Times New Roman"/>
          <w:sz w:val="24"/>
          <w:szCs w:val="24"/>
        </w:rPr>
        <w:t xml:space="preserve">. </w:t>
      </w:r>
      <w:r w:rsidR="0014787B" w:rsidRPr="00E73BB1">
        <w:rPr>
          <w:rFonts w:ascii="Times New Roman" w:hAnsi="Times New Roman" w:cs="Times New Roman"/>
          <w:sz w:val="24"/>
          <w:szCs w:val="24"/>
        </w:rPr>
        <w:t xml:space="preserve">We also desired to </w:t>
      </w:r>
      <w:r w:rsidR="00E31E97" w:rsidRPr="00E73BB1">
        <w:rPr>
          <w:rFonts w:ascii="Times New Roman" w:hAnsi="Times New Roman" w:cs="Times New Roman"/>
          <w:sz w:val="24"/>
          <w:szCs w:val="24"/>
        </w:rPr>
        <w:t xml:space="preserve">capture intentions </w:t>
      </w:r>
      <w:r w:rsidR="001717E5" w:rsidRPr="00E73BB1">
        <w:rPr>
          <w:rFonts w:ascii="Times New Roman" w:hAnsi="Times New Roman" w:cs="Times New Roman"/>
          <w:sz w:val="24"/>
          <w:szCs w:val="24"/>
        </w:rPr>
        <w:t>as well as</w:t>
      </w:r>
      <w:r w:rsidR="00E31E97" w:rsidRPr="00E73BB1">
        <w:rPr>
          <w:rFonts w:ascii="Times New Roman" w:hAnsi="Times New Roman" w:cs="Times New Roman"/>
          <w:sz w:val="24"/>
          <w:szCs w:val="24"/>
        </w:rPr>
        <w:t xml:space="preserve"> behaviour</w:t>
      </w:r>
      <w:r w:rsidR="00842113" w:rsidRPr="00E73BB1">
        <w:rPr>
          <w:rFonts w:ascii="Times New Roman" w:hAnsi="Times New Roman" w:cs="Times New Roman"/>
          <w:sz w:val="24"/>
          <w:szCs w:val="24"/>
        </w:rPr>
        <w:t>s</w:t>
      </w:r>
      <w:r w:rsidR="001717E5" w:rsidRPr="00E73BB1">
        <w:rPr>
          <w:rFonts w:ascii="Times New Roman" w:hAnsi="Times New Roman" w:cs="Times New Roman"/>
          <w:sz w:val="24"/>
          <w:szCs w:val="24"/>
        </w:rPr>
        <w:t xml:space="preserve"> during a finite period</w:t>
      </w:r>
      <w:r w:rsidR="00E31E97" w:rsidRPr="00E73BB1">
        <w:rPr>
          <w:rFonts w:ascii="Times New Roman" w:hAnsi="Times New Roman" w:cs="Times New Roman"/>
          <w:sz w:val="24"/>
          <w:szCs w:val="24"/>
        </w:rPr>
        <w:t>,</w:t>
      </w:r>
      <w:r w:rsidR="001717E5" w:rsidRPr="00E73BB1">
        <w:rPr>
          <w:rFonts w:ascii="Times New Roman" w:hAnsi="Times New Roman" w:cs="Times New Roman"/>
          <w:sz w:val="24"/>
          <w:szCs w:val="24"/>
        </w:rPr>
        <w:t xml:space="preserve"> </w:t>
      </w:r>
      <w:r w:rsidR="0014787B" w:rsidRPr="00E73BB1">
        <w:rPr>
          <w:rFonts w:ascii="Times New Roman" w:hAnsi="Times New Roman" w:cs="Times New Roman"/>
          <w:sz w:val="24"/>
          <w:szCs w:val="24"/>
        </w:rPr>
        <w:t>therefore</w:t>
      </w:r>
      <w:r w:rsidR="0065175A" w:rsidRPr="00E73BB1">
        <w:rPr>
          <w:rFonts w:ascii="Times New Roman" w:hAnsi="Times New Roman" w:cs="Times New Roman"/>
          <w:sz w:val="24"/>
          <w:szCs w:val="24"/>
        </w:rPr>
        <w:t xml:space="preserve"> </w:t>
      </w:r>
      <w:r w:rsidR="001717E5" w:rsidRPr="00E73BB1">
        <w:rPr>
          <w:rFonts w:ascii="Times New Roman" w:hAnsi="Times New Roman" w:cs="Times New Roman"/>
          <w:sz w:val="24"/>
          <w:szCs w:val="24"/>
        </w:rPr>
        <w:t xml:space="preserve">we </w:t>
      </w:r>
      <w:r w:rsidR="00E31E97" w:rsidRPr="00E73BB1">
        <w:rPr>
          <w:rFonts w:ascii="Times New Roman" w:hAnsi="Times New Roman" w:cs="Times New Roman"/>
          <w:sz w:val="24"/>
          <w:szCs w:val="24"/>
        </w:rPr>
        <w:t xml:space="preserve">adapted the </w:t>
      </w:r>
      <w:r w:rsidR="00227BAD" w:rsidRPr="00E73BB1">
        <w:rPr>
          <w:rFonts w:ascii="Times New Roman" w:hAnsi="Times New Roman" w:cs="Times New Roman"/>
          <w:sz w:val="24"/>
          <w:szCs w:val="24"/>
        </w:rPr>
        <w:t>ste</w:t>
      </w:r>
      <w:r w:rsidR="007E761A" w:rsidRPr="00E73BB1">
        <w:rPr>
          <w:rFonts w:ascii="Times New Roman" w:hAnsi="Times New Roman" w:cs="Times New Roman"/>
          <w:sz w:val="24"/>
          <w:szCs w:val="24"/>
        </w:rPr>
        <w:t>m</w:t>
      </w:r>
      <w:r w:rsidR="00227BAD" w:rsidRPr="00E73BB1">
        <w:rPr>
          <w:rFonts w:ascii="Times New Roman" w:hAnsi="Times New Roman" w:cs="Times New Roman"/>
          <w:sz w:val="24"/>
          <w:szCs w:val="24"/>
        </w:rPr>
        <w:t xml:space="preserve"> </w:t>
      </w:r>
      <w:r w:rsidR="00E31E97" w:rsidRPr="00E73BB1">
        <w:rPr>
          <w:rFonts w:ascii="Times New Roman" w:hAnsi="Times New Roman" w:cs="Times New Roman"/>
          <w:sz w:val="24"/>
          <w:szCs w:val="24"/>
        </w:rPr>
        <w:t>question to ask: “</w:t>
      </w:r>
      <w:r w:rsidR="00B7306F" w:rsidRPr="00E73BB1">
        <w:rPr>
          <w:rFonts w:ascii="Times New Roman" w:hAnsi="Times New Roman" w:cs="Times New Roman"/>
          <w:i/>
          <w:iCs/>
          <w:sz w:val="24"/>
          <w:szCs w:val="24"/>
        </w:rPr>
        <w:t xml:space="preserve">In the </w:t>
      </w:r>
      <w:r w:rsidR="00B7306F" w:rsidRPr="00E73BB1">
        <w:rPr>
          <w:rFonts w:ascii="Times New Roman" w:hAnsi="Times New Roman" w:cs="Times New Roman"/>
          <w:i/>
          <w:iCs/>
          <w:sz w:val="24"/>
          <w:szCs w:val="24"/>
          <w:u w:val="single"/>
        </w:rPr>
        <w:t>PAST 2 WEEKS,</w:t>
      </w:r>
      <w:r w:rsidR="00B7306F" w:rsidRPr="00E73BB1">
        <w:rPr>
          <w:rFonts w:ascii="Times New Roman" w:hAnsi="Times New Roman" w:cs="Times New Roman"/>
          <w:sz w:val="24"/>
          <w:szCs w:val="24"/>
          <w:u w:val="single"/>
        </w:rPr>
        <w:t xml:space="preserve"> </w:t>
      </w:r>
      <w:r w:rsidR="00B7306F" w:rsidRPr="00E73BB1">
        <w:rPr>
          <w:rFonts w:ascii="Times New Roman" w:hAnsi="Times New Roman" w:cs="Times New Roman"/>
          <w:i/>
          <w:iCs/>
          <w:sz w:val="24"/>
          <w:szCs w:val="24"/>
        </w:rPr>
        <w:t>h</w:t>
      </w:r>
      <w:r w:rsidR="00E31E97" w:rsidRPr="00E73BB1">
        <w:rPr>
          <w:rFonts w:ascii="Times New Roman" w:hAnsi="Times New Roman" w:cs="Times New Roman"/>
          <w:i/>
          <w:iCs/>
          <w:sz w:val="24"/>
          <w:szCs w:val="24"/>
        </w:rPr>
        <w:t xml:space="preserve">ow much have worries or feeling bad about the way you looked </w:t>
      </w:r>
      <w:r w:rsidR="00E31E97" w:rsidRPr="00E73BB1">
        <w:rPr>
          <w:rFonts w:ascii="Times New Roman" w:hAnsi="Times New Roman" w:cs="Times New Roman"/>
          <w:i/>
          <w:iCs/>
          <w:sz w:val="24"/>
          <w:szCs w:val="24"/>
          <w:u w:val="single"/>
        </w:rPr>
        <w:t>STOPPED</w:t>
      </w:r>
      <w:r w:rsidR="00E31E97" w:rsidRPr="00E73BB1">
        <w:rPr>
          <w:rFonts w:ascii="Times New Roman" w:hAnsi="Times New Roman" w:cs="Times New Roman"/>
          <w:i/>
          <w:iCs/>
          <w:sz w:val="24"/>
          <w:szCs w:val="24"/>
        </w:rPr>
        <w:t xml:space="preserve"> you from doing any of the following things? (If you haven’t done any of these things recently, imagine how you </w:t>
      </w:r>
      <w:r w:rsidR="00E31E97" w:rsidRPr="00E73BB1">
        <w:rPr>
          <w:rFonts w:ascii="Times New Roman" w:hAnsi="Times New Roman" w:cs="Times New Roman"/>
          <w:i/>
          <w:iCs/>
          <w:sz w:val="24"/>
          <w:szCs w:val="24"/>
          <w:u w:val="single"/>
        </w:rPr>
        <w:t>THINK</w:t>
      </w:r>
      <w:r w:rsidR="00E31E97" w:rsidRPr="00E73BB1">
        <w:rPr>
          <w:rFonts w:ascii="Times New Roman" w:hAnsi="Times New Roman" w:cs="Times New Roman"/>
          <w:i/>
          <w:iCs/>
          <w:sz w:val="24"/>
          <w:szCs w:val="24"/>
        </w:rPr>
        <w:t xml:space="preserve"> you would have felt)</w:t>
      </w:r>
      <w:r w:rsidR="001717E5" w:rsidRPr="00E73BB1">
        <w:rPr>
          <w:rFonts w:ascii="Times New Roman" w:hAnsi="Times New Roman" w:cs="Times New Roman"/>
          <w:sz w:val="24"/>
          <w:szCs w:val="24"/>
        </w:rPr>
        <w:t>”</w:t>
      </w:r>
      <w:r w:rsidR="00E31E97" w:rsidRPr="00E73BB1">
        <w:rPr>
          <w:rFonts w:ascii="Times New Roman" w:hAnsi="Times New Roman" w:cs="Times New Roman"/>
          <w:sz w:val="24"/>
          <w:szCs w:val="24"/>
        </w:rPr>
        <w:t xml:space="preserve">. </w:t>
      </w:r>
      <w:r w:rsidR="00BC0961" w:rsidRPr="00E73BB1">
        <w:rPr>
          <w:rFonts w:ascii="Times New Roman" w:hAnsi="Times New Roman" w:cs="Times New Roman"/>
          <w:sz w:val="24"/>
          <w:szCs w:val="24"/>
        </w:rPr>
        <w:t>T</w:t>
      </w:r>
      <w:r w:rsidR="00E31E97" w:rsidRPr="00E73BB1">
        <w:rPr>
          <w:rFonts w:ascii="Times New Roman" w:hAnsi="Times New Roman" w:cs="Times New Roman"/>
          <w:sz w:val="24"/>
          <w:szCs w:val="24"/>
        </w:rPr>
        <w:t>he response scale was adapted from yes/no to a 4-point Likert-type scale</w:t>
      </w:r>
      <w:r w:rsidR="00902E12" w:rsidRPr="00E73BB1">
        <w:rPr>
          <w:rFonts w:ascii="Times New Roman" w:hAnsi="Times New Roman" w:cs="Times New Roman"/>
          <w:sz w:val="24"/>
          <w:szCs w:val="24"/>
        </w:rPr>
        <w:t xml:space="preserve"> (1=not at all, 2=a little bit, 3=quite a bit, 4=all the time)</w:t>
      </w:r>
      <w:r w:rsidR="00E31E97" w:rsidRPr="00E73BB1">
        <w:rPr>
          <w:rFonts w:ascii="Times New Roman" w:hAnsi="Times New Roman" w:cs="Times New Roman"/>
          <w:sz w:val="24"/>
          <w:szCs w:val="24"/>
        </w:rPr>
        <w:t xml:space="preserve"> in </w:t>
      </w:r>
      <w:r w:rsidR="00620EC6" w:rsidRPr="00E73BB1">
        <w:rPr>
          <w:rFonts w:ascii="Times New Roman" w:hAnsi="Times New Roman" w:cs="Times New Roman"/>
          <w:sz w:val="24"/>
          <w:szCs w:val="24"/>
        </w:rPr>
        <w:t>order to increase</w:t>
      </w:r>
      <w:r w:rsidR="007E761A" w:rsidRPr="00E73BB1">
        <w:rPr>
          <w:rFonts w:ascii="Times New Roman" w:hAnsi="Times New Roman" w:cs="Times New Roman"/>
          <w:sz w:val="24"/>
          <w:szCs w:val="24"/>
        </w:rPr>
        <w:t xml:space="preserve"> measurement</w:t>
      </w:r>
      <w:r w:rsidR="00620EC6" w:rsidRPr="00E73BB1">
        <w:rPr>
          <w:rFonts w:ascii="Times New Roman" w:hAnsi="Times New Roman" w:cs="Times New Roman"/>
          <w:sz w:val="24"/>
          <w:szCs w:val="24"/>
        </w:rPr>
        <w:t xml:space="preserve"> sensitivity </w:t>
      </w:r>
      <w:r w:rsidR="00902E12" w:rsidRPr="00E73BB1">
        <w:rPr>
          <w:rFonts w:ascii="Times New Roman" w:hAnsi="Times New Roman" w:cs="Times New Roman"/>
          <w:sz w:val="24"/>
          <w:szCs w:val="24"/>
        </w:rPr>
        <w:t>and alignment with existing scales (e.g., the 4-point response scale of the CIA)</w:t>
      </w:r>
      <w:r w:rsidR="00E31E97" w:rsidRPr="00E73BB1">
        <w:rPr>
          <w:rFonts w:ascii="Times New Roman" w:hAnsi="Times New Roman" w:cs="Times New Roman"/>
          <w:sz w:val="24"/>
          <w:szCs w:val="24"/>
        </w:rPr>
        <w:t>.</w:t>
      </w:r>
      <w:r w:rsidR="00227BAD" w:rsidRPr="00E73BB1">
        <w:rPr>
          <w:rFonts w:ascii="Times New Roman" w:hAnsi="Times New Roman" w:cs="Times New Roman"/>
          <w:sz w:val="24"/>
          <w:szCs w:val="24"/>
        </w:rPr>
        <w:t xml:space="preserve"> </w:t>
      </w:r>
      <w:r w:rsidR="009E12F7" w:rsidRPr="00E73BB1">
        <w:rPr>
          <w:rFonts w:ascii="Times New Roman" w:hAnsi="Times New Roman" w:cs="Times New Roman"/>
          <w:sz w:val="24"/>
          <w:szCs w:val="24"/>
        </w:rPr>
        <w:t xml:space="preserve">This process resulted in an initial pool of 16 BILD-Q items (available on request). A mean is calculated using all items, with higher scores reflecting greater life disengagement. </w:t>
      </w:r>
    </w:p>
    <w:p w14:paraId="07E072EE" w14:textId="4AC13183" w:rsidR="00F72655" w:rsidRPr="00E73BB1" w:rsidRDefault="00A7724A" w:rsidP="009E12F7">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To ensure suitability of these adaptations for adolescents, a</w:t>
      </w:r>
      <w:r w:rsidR="00B8744E" w:rsidRPr="00E73BB1">
        <w:rPr>
          <w:rFonts w:ascii="Times New Roman" w:hAnsi="Times New Roman" w:cs="Times New Roman"/>
          <w:sz w:val="24"/>
          <w:szCs w:val="24"/>
        </w:rPr>
        <w:t xml:space="preserve">n international panel of </w:t>
      </w:r>
      <w:r w:rsidR="0014787B" w:rsidRPr="00E73BB1">
        <w:rPr>
          <w:rFonts w:ascii="Times New Roman" w:hAnsi="Times New Roman" w:cs="Times New Roman"/>
          <w:sz w:val="24"/>
          <w:szCs w:val="24"/>
        </w:rPr>
        <w:t xml:space="preserve">five </w:t>
      </w:r>
      <w:r w:rsidR="00B8744E" w:rsidRPr="00E73BB1">
        <w:rPr>
          <w:rFonts w:ascii="Times New Roman" w:hAnsi="Times New Roman" w:cs="Times New Roman"/>
          <w:sz w:val="24"/>
          <w:szCs w:val="24"/>
        </w:rPr>
        <w:t>experts in the area of adolescent body image</w:t>
      </w:r>
      <w:r w:rsidR="00842113" w:rsidRPr="00E73BB1">
        <w:rPr>
          <w:rFonts w:ascii="Times New Roman" w:hAnsi="Times New Roman" w:cs="Times New Roman"/>
          <w:sz w:val="24"/>
          <w:szCs w:val="24"/>
        </w:rPr>
        <w:t xml:space="preserve"> research</w:t>
      </w:r>
      <w:r w:rsidR="00B8744E" w:rsidRPr="00E73BB1">
        <w:rPr>
          <w:rFonts w:ascii="Times New Roman" w:hAnsi="Times New Roman" w:cs="Times New Roman"/>
          <w:sz w:val="24"/>
          <w:szCs w:val="24"/>
        </w:rPr>
        <w:t xml:space="preserve"> reviewed the resulting scale for content and appropriateness</w:t>
      </w:r>
      <w:r w:rsidR="009E12F7" w:rsidRPr="00E73BB1">
        <w:rPr>
          <w:rFonts w:ascii="Times New Roman" w:hAnsi="Times New Roman" w:cs="Times New Roman"/>
          <w:sz w:val="24"/>
          <w:szCs w:val="24"/>
        </w:rPr>
        <w:t xml:space="preserve"> of wording, with particular respect to girls and boys aged 11-14. No issues were raised</w:t>
      </w:r>
      <w:r w:rsidR="00A94360" w:rsidRPr="00E73BB1">
        <w:rPr>
          <w:rFonts w:ascii="Times New Roman" w:hAnsi="Times New Roman" w:cs="Times New Roman"/>
          <w:sz w:val="24"/>
          <w:szCs w:val="24"/>
        </w:rPr>
        <w:t>,</w:t>
      </w:r>
      <w:r w:rsidR="00B8744E" w:rsidRPr="00E73BB1">
        <w:rPr>
          <w:rFonts w:ascii="Times New Roman" w:hAnsi="Times New Roman" w:cs="Times New Roman"/>
          <w:sz w:val="24"/>
          <w:szCs w:val="24"/>
        </w:rPr>
        <w:t xml:space="preserve"> and all items were retained in their </w:t>
      </w:r>
      <w:r w:rsidR="00620EC6" w:rsidRPr="00E73BB1">
        <w:rPr>
          <w:rFonts w:ascii="Times New Roman" w:hAnsi="Times New Roman" w:cs="Times New Roman"/>
          <w:sz w:val="24"/>
          <w:szCs w:val="24"/>
        </w:rPr>
        <w:t>proposed</w:t>
      </w:r>
      <w:r w:rsidR="00B8744E" w:rsidRPr="00E73BB1">
        <w:rPr>
          <w:rFonts w:ascii="Times New Roman" w:hAnsi="Times New Roman" w:cs="Times New Roman"/>
          <w:sz w:val="24"/>
          <w:szCs w:val="24"/>
        </w:rPr>
        <w:t xml:space="preserve"> form</w:t>
      </w:r>
      <w:r w:rsidR="00E31E97" w:rsidRPr="00E73BB1">
        <w:rPr>
          <w:rFonts w:ascii="Times New Roman" w:hAnsi="Times New Roman" w:cs="Times New Roman"/>
          <w:sz w:val="24"/>
          <w:szCs w:val="24"/>
        </w:rPr>
        <w:t>.</w:t>
      </w:r>
      <w:r w:rsidR="009E12F7" w:rsidRPr="00E73BB1">
        <w:rPr>
          <w:rFonts w:ascii="Times New Roman" w:hAnsi="Times New Roman" w:cs="Times New Roman"/>
          <w:sz w:val="24"/>
          <w:szCs w:val="24"/>
        </w:rPr>
        <w:t xml:space="preserve"> </w:t>
      </w:r>
      <w:r w:rsidRPr="00E73BB1">
        <w:rPr>
          <w:rFonts w:ascii="Times New Roman" w:hAnsi="Times New Roman" w:cs="Times New Roman"/>
          <w:sz w:val="24"/>
          <w:szCs w:val="24"/>
        </w:rPr>
        <w:t xml:space="preserve">In addition, </w:t>
      </w:r>
      <w:r w:rsidR="009E12F7" w:rsidRPr="00E73BB1">
        <w:rPr>
          <w:rFonts w:ascii="Times New Roman" w:hAnsi="Times New Roman" w:cs="Times New Roman"/>
          <w:sz w:val="24"/>
          <w:szCs w:val="24"/>
        </w:rPr>
        <w:t xml:space="preserve">no problems were </w:t>
      </w:r>
      <w:r w:rsidR="00BF0913" w:rsidRPr="00E73BB1">
        <w:rPr>
          <w:rFonts w:ascii="Times New Roman" w:hAnsi="Times New Roman" w:cs="Times New Roman"/>
          <w:sz w:val="24"/>
          <w:szCs w:val="24"/>
        </w:rPr>
        <w:t>observed or reported by students</w:t>
      </w:r>
      <w:r w:rsidR="009E12F7" w:rsidRPr="00E73BB1">
        <w:rPr>
          <w:rFonts w:ascii="Times New Roman" w:hAnsi="Times New Roman" w:cs="Times New Roman"/>
          <w:sz w:val="24"/>
          <w:szCs w:val="24"/>
        </w:rPr>
        <w:t xml:space="preserve"> during administration of the scale </w:t>
      </w:r>
      <w:r w:rsidR="00BF0913" w:rsidRPr="00E73BB1">
        <w:rPr>
          <w:rFonts w:ascii="Times New Roman" w:hAnsi="Times New Roman" w:cs="Times New Roman"/>
          <w:sz w:val="24"/>
          <w:szCs w:val="24"/>
        </w:rPr>
        <w:t xml:space="preserve">or follow-up focus groups that were conducted as part of a pilot study to test procedures for the </w:t>
      </w:r>
      <w:r w:rsidR="00BF0913" w:rsidRPr="00E73BB1">
        <w:rPr>
          <w:rFonts w:ascii="Times New Roman" w:hAnsi="Times New Roman" w:cs="Times New Roman"/>
          <w:sz w:val="24"/>
          <w:szCs w:val="24"/>
        </w:rPr>
        <w:lastRenderedPageBreak/>
        <w:t xml:space="preserve">intervention trial noted above (reported in </w:t>
      </w:r>
      <w:r w:rsidR="00881079">
        <w:rPr>
          <w:rFonts w:ascii="Times New Roman" w:hAnsi="Times New Roman" w:cs="Times New Roman"/>
          <w:sz w:val="24"/>
          <w:szCs w:val="24"/>
        </w:rPr>
        <w:t>Diedrichs et al., 2015</w:t>
      </w:r>
      <w:r w:rsidR="00BF0913" w:rsidRPr="00E73BB1">
        <w:rPr>
          <w:rFonts w:ascii="Times New Roman" w:hAnsi="Times New Roman" w:cs="Times New Roman"/>
          <w:sz w:val="24"/>
          <w:szCs w:val="24"/>
        </w:rPr>
        <w:t>)</w:t>
      </w:r>
      <w:r w:rsidRPr="00E73BB1">
        <w:rPr>
          <w:rFonts w:ascii="Times New Roman" w:hAnsi="Times New Roman" w:cs="Times New Roman"/>
          <w:sz w:val="24"/>
          <w:szCs w:val="24"/>
        </w:rPr>
        <w:t>, or during administration and focus groups for the intervention trial or those following (relevant to</w:t>
      </w:r>
      <w:r w:rsidR="00564DFF" w:rsidRPr="00E73BB1">
        <w:rPr>
          <w:rFonts w:ascii="Times New Roman" w:hAnsi="Times New Roman" w:cs="Times New Roman"/>
          <w:sz w:val="24"/>
          <w:szCs w:val="24"/>
        </w:rPr>
        <w:t xml:space="preserve"> data for</w:t>
      </w:r>
      <w:r w:rsidRPr="00E73BB1">
        <w:rPr>
          <w:rFonts w:ascii="Times New Roman" w:hAnsi="Times New Roman" w:cs="Times New Roman"/>
          <w:sz w:val="24"/>
          <w:szCs w:val="24"/>
        </w:rPr>
        <w:t xml:space="preserve"> Study 2-4).</w:t>
      </w:r>
      <w:r w:rsidR="00BF0913" w:rsidRPr="00E73BB1">
        <w:rPr>
          <w:rFonts w:ascii="Times New Roman" w:hAnsi="Times New Roman" w:cs="Times New Roman"/>
          <w:sz w:val="24"/>
          <w:szCs w:val="24"/>
        </w:rPr>
        <w:t xml:space="preserve">  </w:t>
      </w:r>
      <w:r w:rsidR="009E12F7" w:rsidRPr="00E73BB1">
        <w:rPr>
          <w:rFonts w:ascii="Times New Roman" w:hAnsi="Times New Roman" w:cs="Times New Roman"/>
          <w:sz w:val="24"/>
          <w:szCs w:val="24"/>
        </w:rPr>
        <w:t xml:space="preserve"> </w:t>
      </w:r>
      <w:r w:rsidR="00E31E97" w:rsidRPr="00E73BB1">
        <w:rPr>
          <w:rFonts w:ascii="Times New Roman" w:hAnsi="Times New Roman" w:cs="Times New Roman"/>
          <w:sz w:val="24"/>
          <w:szCs w:val="24"/>
        </w:rPr>
        <w:t xml:space="preserve"> </w:t>
      </w:r>
    </w:p>
    <w:p w14:paraId="73E9427A" w14:textId="10116580" w:rsidR="0096020E" w:rsidRPr="00E73BB1" w:rsidRDefault="00A94360" w:rsidP="00480E0C">
      <w:pPr>
        <w:widowControl w:val="0"/>
        <w:spacing w:after="0" w:line="480" w:lineRule="auto"/>
        <w:rPr>
          <w:rFonts w:ascii="Times New Roman" w:hAnsi="Times New Roman" w:cs="Times New Roman"/>
          <w:i/>
          <w:iCs/>
          <w:sz w:val="24"/>
          <w:szCs w:val="24"/>
        </w:rPr>
      </w:pPr>
      <w:r w:rsidRPr="00E73BB1">
        <w:rPr>
          <w:rFonts w:ascii="Times New Roman" w:hAnsi="Times New Roman" w:cs="Times New Roman"/>
          <w:b/>
          <w:i/>
          <w:iCs/>
          <w:sz w:val="24"/>
          <w:szCs w:val="24"/>
        </w:rPr>
        <w:t xml:space="preserve">2.1.3. </w:t>
      </w:r>
      <w:r w:rsidR="00CF61F2" w:rsidRPr="00E73BB1">
        <w:rPr>
          <w:rFonts w:ascii="Times New Roman" w:hAnsi="Times New Roman" w:cs="Times New Roman"/>
          <w:b/>
          <w:i/>
          <w:iCs/>
          <w:sz w:val="24"/>
          <w:szCs w:val="24"/>
        </w:rPr>
        <w:t>Statistical Analys</w:t>
      </w:r>
      <w:r w:rsidR="000B2B0B" w:rsidRPr="00E73BB1">
        <w:rPr>
          <w:rFonts w:ascii="Times New Roman" w:hAnsi="Times New Roman" w:cs="Times New Roman"/>
          <w:b/>
          <w:i/>
          <w:iCs/>
          <w:sz w:val="24"/>
          <w:szCs w:val="24"/>
        </w:rPr>
        <w:t>e</w:t>
      </w:r>
      <w:r w:rsidR="00CF61F2" w:rsidRPr="00E73BB1">
        <w:rPr>
          <w:rFonts w:ascii="Times New Roman" w:hAnsi="Times New Roman" w:cs="Times New Roman"/>
          <w:b/>
          <w:i/>
          <w:iCs/>
          <w:sz w:val="24"/>
          <w:szCs w:val="24"/>
        </w:rPr>
        <w:t>s</w:t>
      </w:r>
      <w:r w:rsidR="00B8744E" w:rsidRPr="00E73BB1">
        <w:rPr>
          <w:rFonts w:ascii="Times New Roman" w:hAnsi="Times New Roman" w:cs="Times New Roman"/>
          <w:i/>
          <w:iCs/>
          <w:sz w:val="24"/>
          <w:szCs w:val="24"/>
        </w:rPr>
        <w:t xml:space="preserve"> </w:t>
      </w:r>
    </w:p>
    <w:p w14:paraId="5185470C" w14:textId="02F474F2" w:rsidR="00631AD5" w:rsidRPr="00E73BB1" w:rsidRDefault="00B8744E" w:rsidP="009161D3">
      <w:pPr>
        <w:widowControl w:val="0"/>
        <w:spacing w:after="0" w:line="480" w:lineRule="auto"/>
        <w:ind w:firstLine="720"/>
        <w:rPr>
          <w:rFonts w:ascii="Times New Roman" w:hAnsi="Times New Roman" w:cs="Times New Roman"/>
          <w:iCs/>
          <w:sz w:val="24"/>
          <w:szCs w:val="24"/>
        </w:rPr>
      </w:pPr>
      <w:r w:rsidRPr="00E73BB1">
        <w:rPr>
          <w:rFonts w:ascii="Times New Roman" w:hAnsi="Times New Roman" w:cs="Times New Roman"/>
          <w:sz w:val="24"/>
          <w:szCs w:val="24"/>
        </w:rPr>
        <w:t xml:space="preserve">All analyses were conducted in </w:t>
      </w:r>
      <w:r w:rsidR="00C616C2" w:rsidRPr="00E73BB1">
        <w:rPr>
          <w:rFonts w:ascii="Times New Roman" w:hAnsi="Times New Roman" w:cs="Times New Roman"/>
          <w:sz w:val="24"/>
          <w:szCs w:val="24"/>
        </w:rPr>
        <w:t>Stata</w:t>
      </w:r>
      <w:r w:rsidR="00531E34" w:rsidRPr="00E73BB1">
        <w:rPr>
          <w:rFonts w:ascii="Times New Roman" w:hAnsi="Times New Roman" w:cs="Times New Roman"/>
          <w:sz w:val="24"/>
          <w:szCs w:val="24"/>
        </w:rPr>
        <w:t xml:space="preserve"> version 14</w:t>
      </w:r>
      <w:r w:rsidR="00F8732E" w:rsidRPr="00E73BB1">
        <w:rPr>
          <w:rFonts w:ascii="Times New Roman" w:hAnsi="Times New Roman" w:cs="Times New Roman"/>
          <w:sz w:val="24"/>
          <w:szCs w:val="24"/>
        </w:rPr>
        <w:t>. We first</w:t>
      </w:r>
      <w:r w:rsidR="005073A2" w:rsidRPr="00E73BB1">
        <w:rPr>
          <w:rFonts w:ascii="Times New Roman" w:hAnsi="Times New Roman" w:cs="Times New Roman"/>
          <w:sz w:val="24"/>
          <w:szCs w:val="24"/>
        </w:rPr>
        <w:t xml:space="preserve"> examined</w:t>
      </w:r>
      <w:r w:rsidR="004C1132" w:rsidRPr="00E73BB1">
        <w:rPr>
          <w:rFonts w:ascii="Times New Roman" w:hAnsi="Times New Roman" w:cs="Times New Roman"/>
          <w:sz w:val="24"/>
          <w:szCs w:val="24"/>
        </w:rPr>
        <w:t xml:space="preserve"> missing data </w:t>
      </w:r>
      <w:r w:rsidR="00351212" w:rsidRPr="00E73BB1">
        <w:rPr>
          <w:rFonts w:ascii="Times New Roman" w:hAnsi="Times New Roman" w:cs="Times New Roman"/>
          <w:sz w:val="24"/>
          <w:szCs w:val="24"/>
        </w:rPr>
        <w:t xml:space="preserve">and </w:t>
      </w:r>
      <w:r w:rsidR="007E761A" w:rsidRPr="00E73BB1">
        <w:rPr>
          <w:rFonts w:ascii="Times New Roman" w:hAnsi="Times New Roman" w:cs="Times New Roman"/>
          <w:sz w:val="24"/>
          <w:szCs w:val="24"/>
        </w:rPr>
        <w:t>normality of all 16 items</w:t>
      </w:r>
      <w:r w:rsidR="007D0C6B" w:rsidRPr="00E73BB1">
        <w:rPr>
          <w:rFonts w:ascii="Times New Roman" w:hAnsi="Times New Roman" w:cs="Times New Roman"/>
          <w:sz w:val="24"/>
          <w:szCs w:val="24"/>
        </w:rPr>
        <w:t xml:space="preserve">. </w:t>
      </w:r>
      <w:r w:rsidR="0065175A" w:rsidRPr="00E73BB1">
        <w:rPr>
          <w:rFonts w:ascii="Times New Roman" w:hAnsi="Times New Roman" w:cs="Times New Roman"/>
          <w:sz w:val="24"/>
          <w:szCs w:val="24"/>
        </w:rPr>
        <w:t>Next</w:t>
      </w:r>
      <w:r w:rsidR="007D0C6B" w:rsidRPr="00E73BB1">
        <w:rPr>
          <w:rFonts w:ascii="Times New Roman" w:hAnsi="Times New Roman" w:cs="Times New Roman"/>
          <w:sz w:val="24"/>
          <w:szCs w:val="24"/>
        </w:rPr>
        <w:t>,</w:t>
      </w:r>
      <w:r w:rsidR="007E761A" w:rsidRPr="00E73BB1">
        <w:rPr>
          <w:rFonts w:ascii="Times New Roman" w:hAnsi="Times New Roman" w:cs="Times New Roman"/>
          <w:sz w:val="24"/>
          <w:szCs w:val="24"/>
        </w:rPr>
        <w:t xml:space="preserve"> initial conditions for </w:t>
      </w:r>
      <w:r w:rsidR="007D0C6B" w:rsidRPr="00E73BB1">
        <w:rPr>
          <w:rFonts w:ascii="Times New Roman" w:hAnsi="Times New Roman" w:cs="Times New Roman"/>
          <w:sz w:val="24"/>
          <w:szCs w:val="24"/>
        </w:rPr>
        <w:t>exploratory factor analysis</w:t>
      </w:r>
      <w:r w:rsidR="007E761A" w:rsidRPr="00E73BB1">
        <w:rPr>
          <w:rFonts w:ascii="Times New Roman" w:hAnsi="Times New Roman" w:cs="Times New Roman"/>
          <w:sz w:val="24"/>
          <w:szCs w:val="24"/>
        </w:rPr>
        <w:t xml:space="preserve"> (EFA) were assessed, including inter-correlations and sampling adequacy</w:t>
      </w:r>
      <w:r w:rsidR="007D0C6B" w:rsidRPr="00E73BB1">
        <w:rPr>
          <w:rFonts w:ascii="Times New Roman" w:hAnsi="Times New Roman" w:cs="Times New Roman"/>
          <w:sz w:val="24"/>
          <w:szCs w:val="24"/>
        </w:rPr>
        <w:t xml:space="preserve"> </w:t>
      </w:r>
      <w:r w:rsidR="007E761A" w:rsidRPr="00E73BB1">
        <w:rPr>
          <w:rFonts w:ascii="Times New Roman" w:hAnsi="Times New Roman" w:cs="Times New Roman"/>
          <w:sz w:val="24"/>
          <w:szCs w:val="24"/>
        </w:rPr>
        <w:t>(described below)</w:t>
      </w:r>
      <w:r w:rsidR="005D7D57" w:rsidRPr="00E73BB1">
        <w:rPr>
          <w:rFonts w:ascii="Times New Roman" w:hAnsi="Times New Roman" w:cs="Times New Roman"/>
          <w:sz w:val="24"/>
          <w:szCs w:val="24"/>
        </w:rPr>
        <w:t>, and items removed where necessary</w:t>
      </w:r>
      <w:r w:rsidR="007E761A" w:rsidRPr="00E73BB1">
        <w:rPr>
          <w:rFonts w:ascii="Times New Roman" w:hAnsi="Times New Roman" w:cs="Times New Roman"/>
          <w:sz w:val="24"/>
          <w:szCs w:val="24"/>
        </w:rPr>
        <w:t>. Finally, we conducted EFA</w:t>
      </w:r>
      <w:r w:rsidR="005D7D57" w:rsidRPr="00E73BB1">
        <w:rPr>
          <w:rFonts w:ascii="Times New Roman" w:hAnsi="Times New Roman" w:cs="Times New Roman"/>
          <w:sz w:val="24"/>
          <w:szCs w:val="24"/>
        </w:rPr>
        <w:t xml:space="preserve"> on the remaining items</w:t>
      </w:r>
      <w:r w:rsidR="007E761A" w:rsidRPr="00E73BB1">
        <w:rPr>
          <w:rFonts w:ascii="Times New Roman" w:hAnsi="Times New Roman" w:cs="Times New Roman"/>
          <w:sz w:val="24"/>
          <w:szCs w:val="24"/>
        </w:rPr>
        <w:t xml:space="preserve"> using p</w:t>
      </w:r>
      <w:r w:rsidR="007D0C6B" w:rsidRPr="00E73BB1">
        <w:rPr>
          <w:rFonts w:ascii="Times New Roman" w:hAnsi="Times New Roman" w:cs="Times New Roman"/>
          <w:sz w:val="24"/>
          <w:szCs w:val="24"/>
        </w:rPr>
        <w:t xml:space="preserve">rinciple </w:t>
      </w:r>
      <w:r w:rsidR="007E761A" w:rsidRPr="00E73BB1">
        <w:rPr>
          <w:rFonts w:ascii="Times New Roman" w:hAnsi="Times New Roman" w:cs="Times New Roman"/>
          <w:sz w:val="24"/>
          <w:szCs w:val="24"/>
        </w:rPr>
        <w:t>axis f</w:t>
      </w:r>
      <w:r w:rsidR="007D0C6B" w:rsidRPr="00E73BB1">
        <w:rPr>
          <w:rFonts w:ascii="Times New Roman" w:hAnsi="Times New Roman" w:cs="Times New Roman"/>
          <w:sz w:val="24"/>
          <w:szCs w:val="24"/>
        </w:rPr>
        <w:t xml:space="preserve">actoring </w:t>
      </w:r>
      <w:r w:rsidR="007E761A" w:rsidRPr="00E73BB1">
        <w:rPr>
          <w:rFonts w:ascii="Times New Roman" w:hAnsi="Times New Roman" w:cs="Times New Roman"/>
          <w:sz w:val="24"/>
          <w:szCs w:val="24"/>
        </w:rPr>
        <w:t>with oblique (</w:t>
      </w:r>
      <w:r w:rsidR="007D0C6B" w:rsidRPr="00E73BB1">
        <w:rPr>
          <w:rFonts w:ascii="Times New Roman" w:hAnsi="Times New Roman" w:cs="Times New Roman"/>
          <w:sz w:val="24"/>
          <w:szCs w:val="24"/>
        </w:rPr>
        <w:t>promax</w:t>
      </w:r>
      <w:r w:rsidR="007E761A" w:rsidRPr="00E73BB1">
        <w:rPr>
          <w:rFonts w:ascii="Times New Roman" w:hAnsi="Times New Roman" w:cs="Times New Roman"/>
          <w:sz w:val="24"/>
          <w:szCs w:val="24"/>
        </w:rPr>
        <w:t>)</w:t>
      </w:r>
      <w:r w:rsidR="007D0C6B" w:rsidRPr="00E73BB1">
        <w:rPr>
          <w:rFonts w:ascii="Times New Roman" w:hAnsi="Times New Roman" w:cs="Times New Roman"/>
          <w:sz w:val="24"/>
          <w:szCs w:val="24"/>
        </w:rPr>
        <w:t xml:space="preserve"> rotation, which allows for </w:t>
      </w:r>
      <w:r w:rsidR="005159CD" w:rsidRPr="00E73BB1">
        <w:rPr>
          <w:rFonts w:ascii="Times New Roman" w:hAnsi="Times New Roman" w:cs="Times New Roman"/>
          <w:sz w:val="24"/>
          <w:szCs w:val="24"/>
        </w:rPr>
        <w:t xml:space="preserve">any </w:t>
      </w:r>
      <w:r w:rsidR="007E761A" w:rsidRPr="00E73BB1">
        <w:rPr>
          <w:rFonts w:ascii="Times New Roman" w:hAnsi="Times New Roman" w:cs="Times New Roman"/>
          <w:sz w:val="24"/>
          <w:szCs w:val="24"/>
        </w:rPr>
        <w:t xml:space="preserve">retained </w:t>
      </w:r>
      <w:r w:rsidR="007D0C6B" w:rsidRPr="00E73BB1">
        <w:rPr>
          <w:rFonts w:ascii="Times New Roman" w:hAnsi="Times New Roman" w:cs="Times New Roman"/>
          <w:sz w:val="24"/>
          <w:szCs w:val="24"/>
        </w:rPr>
        <w:t>factors to be correlated</w:t>
      </w:r>
      <w:r w:rsidR="00480E0C" w:rsidRPr="00E73BB1">
        <w:rPr>
          <w:rFonts w:ascii="Times New Roman" w:hAnsi="Times New Roman" w:cs="Times New Roman"/>
          <w:sz w:val="24"/>
          <w:szCs w:val="24"/>
        </w:rPr>
        <w:t xml:space="preserve">. </w:t>
      </w:r>
      <w:r w:rsidR="007D0C6B" w:rsidRPr="00E73BB1">
        <w:rPr>
          <w:rFonts w:ascii="Times New Roman" w:hAnsi="Times New Roman" w:cs="Times New Roman"/>
          <w:sz w:val="24"/>
          <w:szCs w:val="24"/>
        </w:rPr>
        <w:t xml:space="preserve">Factors </w:t>
      </w:r>
      <w:r w:rsidR="00531E34" w:rsidRPr="00E73BB1">
        <w:rPr>
          <w:rFonts w:ascii="Times New Roman" w:hAnsi="Times New Roman" w:cs="Times New Roman"/>
          <w:sz w:val="24"/>
          <w:szCs w:val="24"/>
        </w:rPr>
        <w:t>were extracted based on criterion for parallel analysis (Horn</w:t>
      </w:r>
      <w:r w:rsidR="002B5306" w:rsidRPr="00E73BB1">
        <w:rPr>
          <w:rFonts w:ascii="Times New Roman" w:hAnsi="Times New Roman" w:cs="Times New Roman"/>
          <w:sz w:val="24"/>
          <w:szCs w:val="24"/>
        </w:rPr>
        <w:t>, 1965</w:t>
      </w:r>
      <w:r w:rsidR="00531E34" w:rsidRPr="00E73BB1">
        <w:rPr>
          <w:rFonts w:ascii="Times New Roman" w:hAnsi="Times New Roman" w:cs="Times New Roman"/>
          <w:sz w:val="24"/>
          <w:szCs w:val="24"/>
        </w:rPr>
        <w:t>)</w:t>
      </w:r>
      <w:r w:rsidR="002B5306" w:rsidRPr="00E73BB1">
        <w:rPr>
          <w:rFonts w:ascii="Times New Roman" w:hAnsi="Times New Roman" w:cs="Times New Roman"/>
          <w:sz w:val="24"/>
          <w:szCs w:val="24"/>
        </w:rPr>
        <w:t>, whereby retained factors needed to reflect</w:t>
      </w:r>
      <w:r w:rsidR="00531E34" w:rsidRPr="00E73BB1">
        <w:rPr>
          <w:rFonts w:ascii="Times New Roman" w:eastAsia="Cambria" w:hAnsi="Times New Roman" w:cs="Times New Roman"/>
          <w:color w:val="000000" w:themeColor="text1"/>
          <w:sz w:val="24"/>
          <w:szCs w:val="24"/>
        </w:rPr>
        <w:t xml:space="preserve"> eigenvalues</w:t>
      </w:r>
      <w:r w:rsidR="002B5306" w:rsidRPr="00E73BB1">
        <w:rPr>
          <w:rFonts w:ascii="Times New Roman" w:eastAsia="Cambria" w:hAnsi="Times New Roman" w:cs="Times New Roman"/>
          <w:color w:val="000000" w:themeColor="text1"/>
          <w:sz w:val="24"/>
          <w:szCs w:val="24"/>
        </w:rPr>
        <w:t xml:space="preserve"> larger</w:t>
      </w:r>
      <w:r w:rsidR="00531E34" w:rsidRPr="00E73BB1">
        <w:rPr>
          <w:rFonts w:ascii="Times New Roman" w:eastAsia="Cambria" w:hAnsi="Times New Roman" w:cs="Times New Roman"/>
          <w:color w:val="000000" w:themeColor="text1"/>
          <w:sz w:val="24"/>
          <w:szCs w:val="24"/>
        </w:rPr>
        <w:t xml:space="preserve"> than the eigenvalues averaged across 330 (30 x number of items) randomly generated samples with the same </w:t>
      </w:r>
      <w:r w:rsidR="002B5306" w:rsidRPr="00E73BB1">
        <w:rPr>
          <w:rFonts w:ascii="Times New Roman" w:eastAsia="Cambria" w:hAnsi="Times New Roman" w:cs="Times New Roman"/>
          <w:color w:val="000000" w:themeColor="text1"/>
          <w:sz w:val="24"/>
          <w:szCs w:val="24"/>
        </w:rPr>
        <w:t>size and number of</w:t>
      </w:r>
      <w:r w:rsidR="00531E34" w:rsidRPr="00E73BB1">
        <w:rPr>
          <w:rFonts w:ascii="Times New Roman" w:eastAsia="Cambria" w:hAnsi="Times New Roman" w:cs="Times New Roman"/>
          <w:color w:val="000000" w:themeColor="text1"/>
          <w:sz w:val="24"/>
          <w:szCs w:val="24"/>
        </w:rPr>
        <w:t xml:space="preserve"> observations</w:t>
      </w:r>
      <w:r w:rsidR="00531E34" w:rsidRPr="00E73BB1">
        <w:rPr>
          <w:rFonts w:ascii="Times New Roman" w:hAnsi="Times New Roman" w:cs="Times New Roman"/>
          <w:sz w:val="24"/>
          <w:szCs w:val="24"/>
        </w:rPr>
        <w:t>. Recommendations for removal of factors with &lt;3 items or explaining &lt;5% of variance due to likelihood of being uninterpretable were also followed (</w:t>
      </w:r>
      <w:r w:rsidR="002B5306" w:rsidRPr="00E73BB1">
        <w:rPr>
          <w:rFonts w:ascii="Times New Roman" w:hAnsi="Times New Roman" w:cs="Times New Roman"/>
          <w:sz w:val="24"/>
          <w:szCs w:val="24"/>
        </w:rPr>
        <w:t>Guadagnoli &amp; Velicer, 1988; Tabachnick &amp; Fidell, 2013</w:t>
      </w:r>
      <w:r w:rsidR="00531E34" w:rsidRPr="00E73BB1">
        <w:rPr>
          <w:rFonts w:ascii="Times New Roman" w:hAnsi="Times New Roman" w:cs="Times New Roman"/>
          <w:sz w:val="24"/>
          <w:szCs w:val="24"/>
        </w:rPr>
        <w:t>). L</w:t>
      </w:r>
      <w:r w:rsidR="00C5565F" w:rsidRPr="00E73BB1">
        <w:rPr>
          <w:rFonts w:ascii="Times New Roman" w:hAnsi="Times New Roman" w:cs="Times New Roman"/>
          <w:sz w:val="24"/>
          <w:szCs w:val="24"/>
        </w:rPr>
        <w:t xml:space="preserve">oading patterns </w:t>
      </w:r>
      <w:r w:rsidR="00531E34" w:rsidRPr="00E73BB1">
        <w:rPr>
          <w:rFonts w:ascii="Times New Roman" w:hAnsi="Times New Roman" w:cs="Times New Roman"/>
          <w:sz w:val="24"/>
          <w:szCs w:val="24"/>
        </w:rPr>
        <w:t xml:space="preserve">were </w:t>
      </w:r>
      <w:r w:rsidR="00C5565F" w:rsidRPr="00E73BB1">
        <w:rPr>
          <w:rFonts w:ascii="Times New Roman" w:hAnsi="Times New Roman" w:cs="Times New Roman"/>
          <w:sz w:val="24"/>
          <w:szCs w:val="24"/>
        </w:rPr>
        <w:t>explored</w:t>
      </w:r>
      <w:r w:rsidR="00531E34" w:rsidRPr="00E73BB1">
        <w:rPr>
          <w:rFonts w:ascii="Times New Roman" w:hAnsi="Times New Roman" w:cs="Times New Roman"/>
          <w:sz w:val="24"/>
          <w:szCs w:val="24"/>
        </w:rPr>
        <w:t xml:space="preserve"> following extraction</w:t>
      </w:r>
      <w:r w:rsidR="007D0C6B" w:rsidRPr="00E73BB1">
        <w:rPr>
          <w:rFonts w:ascii="Times New Roman" w:hAnsi="Times New Roman" w:cs="Times New Roman"/>
          <w:sz w:val="24"/>
          <w:szCs w:val="24"/>
        </w:rPr>
        <w:t>.</w:t>
      </w:r>
      <w:r w:rsidR="00C5565F" w:rsidRPr="00E73BB1">
        <w:rPr>
          <w:rFonts w:ascii="Times New Roman" w:hAnsi="Times New Roman" w:cs="Times New Roman"/>
          <w:sz w:val="24"/>
          <w:szCs w:val="24"/>
        </w:rPr>
        <w:t xml:space="preserve"> All items loading with a value &gt; 0.</w:t>
      </w:r>
      <w:r w:rsidR="002B5306" w:rsidRPr="00E73BB1">
        <w:rPr>
          <w:rFonts w:ascii="Times New Roman" w:hAnsi="Times New Roman" w:cs="Times New Roman"/>
          <w:sz w:val="24"/>
          <w:szCs w:val="24"/>
        </w:rPr>
        <w:t>4</w:t>
      </w:r>
      <w:r w:rsidR="00C5565F" w:rsidRPr="00E73BB1">
        <w:rPr>
          <w:rFonts w:ascii="Times New Roman" w:hAnsi="Times New Roman" w:cs="Times New Roman"/>
          <w:sz w:val="24"/>
          <w:szCs w:val="24"/>
        </w:rPr>
        <w:t xml:space="preserve"> were considered </w:t>
      </w:r>
      <w:r w:rsidR="002B5306" w:rsidRPr="00E73BB1">
        <w:rPr>
          <w:rFonts w:ascii="Times New Roman" w:hAnsi="Times New Roman" w:cs="Times New Roman"/>
          <w:sz w:val="24"/>
          <w:szCs w:val="24"/>
        </w:rPr>
        <w:t>acceptable</w:t>
      </w:r>
      <w:r w:rsidR="006745D9" w:rsidRPr="00E73BB1">
        <w:rPr>
          <w:rFonts w:ascii="Times New Roman" w:hAnsi="Times New Roman" w:cs="Times New Roman"/>
          <w:sz w:val="24"/>
          <w:szCs w:val="24"/>
        </w:rPr>
        <w:t>, with at least four items loading &gt; 0.6 ideal</w:t>
      </w:r>
      <w:r w:rsidR="002B5306" w:rsidRPr="00E73BB1">
        <w:rPr>
          <w:rFonts w:ascii="Times New Roman" w:hAnsi="Times New Roman" w:cs="Times New Roman"/>
          <w:sz w:val="24"/>
          <w:szCs w:val="24"/>
        </w:rPr>
        <w:t xml:space="preserve"> (Swami</w:t>
      </w:r>
      <w:r w:rsidR="006745D9" w:rsidRPr="00E73BB1">
        <w:rPr>
          <w:rFonts w:ascii="Times New Roman" w:hAnsi="Times New Roman" w:cs="Times New Roman"/>
          <w:sz w:val="24"/>
          <w:szCs w:val="24"/>
        </w:rPr>
        <w:t xml:space="preserve"> &amp; Barron, 2019</w:t>
      </w:r>
      <w:r w:rsidR="002B5306" w:rsidRPr="00E73BB1">
        <w:rPr>
          <w:rFonts w:ascii="Times New Roman" w:hAnsi="Times New Roman" w:cs="Times New Roman"/>
          <w:sz w:val="24"/>
          <w:szCs w:val="24"/>
        </w:rPr>
        <w:t>)</w:t>
      </w:r>
      <w:r w:rsidR="006745D9" w:rsidRPr="00E73BB1">
        <w:rPr>
          <w:rFonts w:ascii="Times New Roman" w:hAnsi="Times New Roman" w:cs="Times New Roman"/>
          <w:sz w:val="24"/>
          <w:szCs w:val="24"/>
        </w:rPr>
        <w:t>.</w:t>
      </w:r>
      <w:r w:rsidR="00625C0B" w:rsidRPr="00E73BB1">
        <w:rPr>
          <w:rFonts w:ascii="Times New Roman" w:hAnsi="Times New Roman" w:cs="Times New Roman"/>
          <w:i/>
          <w:sz w:val="24"/>
          <w:szCs w:val="24"/>
        </w:rPr>
        <w:t xml:space="preserve"> </w:t>
      </w:r>
      <w:r w:rsidR="00631AD5" w:rsidRPr="00E73BB1">
        <w:rPr>
          <w:rFonts w:ascii="Times New Roman" w:hAnsi="Times New Roman" w:cs="Times New Roman"/>
          <w:iCs/>
          <w:sz w:val="24"/>
          <w:szCs w:val="24"/>
        </w:rPr>
        <w:t xml:space="preserve">Internal reliability (Cronbach’s alpha), means and standard deviations were calculated for the whole sample and by gender. </w:t>
      </w:r>
      <w:r w:rsidR="001872B1" w:rsidRPr="00E73BB1">
        <w:rPr>
          <w:rFonts w:ascii="Times New Roman" w:hAnsi="Times New Roman" w:cs="Times New Roman"/>
          <w:iCs/>
          <w:sz w:val="24"/>
          <w:szCs w:val="24"/>
        </w:rPr>
        <w:t xml:space="preserve">Gender difference in means was assessed statistically via independent samples t-test. </w:t>
      </w:r>
    </w:p>
    <w:p w14:paraId="4446767D" w14:textId="7B13498A" w:rsidR="00E80F04" w:rsidRPr="00E73BB1" w:rsidRDefault="00A94360" w:rsidP="00480E0C">
      <w:pPr>
        <w:widowControl w:val="0"/>
        <w:spacing w:after="0" w:line="480" w:lineRule="auto"/>
        <w:rPr>
          <w:rFonts w:ascii="Times New Roman" w:hAnsi="Times New Roman" w:cs="Times New Roman"/>
          <w:sz w:val="24"/>
          <w:szCs w:val="24"/>
        </w:rPr>
      </w:pPr>
      <w:r w:rsidRPr="00E73BB1">
        <w:rPr>
          <w:rFonts w:ascii="Times New Roman" w:hAnsi="Times New Roman" w:cs="Times New Roman"/>
          <w:b/>
          <w:sz w:val="24"/>
          <w:szCs w:val="24"/>
        </w:rPr>
        <w:t xml:space="preserve">2.2. </w:t>
      </w:r>
      <w:r w:rsidR="00E80F04" w:rsidRPr="00E73BB1">
        <w:rPr>
          <w:rFonts w:ascii="Times New Roman" w:hAnsi="Times New Roman" w:cs="Times New Roman"/>
          <w:b/>
          <w:sz w:val="24"/>
          <w:szCs w:val="24"/>
        </w:rPr>
        <w:t>Results</w:t>
      </w:r>
    </w:p>
    <w:p w14:paraId="10631C8D" w14:textId="69BE97AD" w:rsidR="0096020E" w:rsidRPr="00E73BB1" w:rsidRDefault="00A94360" w:rsidP="005D7D57">
      <w:pPr>
        <w:widowControl w:val="0"/>
        <w:spacing w:after="0" w:line="480" w:lineRule="auto"/>
        <w:rPr>
          <w:rFonts w:ascii="Times New Roman" w:hAnsi="Times New Roman" w:cs="Times New Roman"/>
          <w:b/>
          <w:i/>
          <w:iCs/>
          <w:sz w:val="24"/>
          <w:szCs w:val="24"/>
        </w:rPr>
      </w:pPr>
      <w:r w:rsidRPr="00E73BB1">
        <w:rPr>
          <w:rFonts w:ascii="Times New Roman" w:hAnsi="Times New Roman" w:cs="Times New Roman"/>
          <w:b/>
          <w:i/>
          <w:iCs/>
          <w:sz w:val="24"/>
          <w:szCs w:val="24"/>
        </w:rPr>
        <w:t xml:space="preserve">2.2.1. </w:t>
      </w:r>
      <w:r w:rsidR="00C5565F" w:rsidRPr="00E73BB1">
        <w:rPr>
          <w:rFonts w:ascii="Times New Roman" w:hAnsi="Times New Roman" w:cs="Times New Roman"/>
          <w:b/>
          <w:i/>
          <w:iCs/>
          <w:sz w:val="24"/>
          <w:szCs w:val="24"/>
        </w:rPr>
        <w:t>Preliminary Analyses</w:t>
      </w:r>
      <w:r w:rsidR="00480E0C" w:rsidRPr="00E73BB1">
        <w:rPr>
          <w:rFonts w:ascii="Times New Roman" w:hAnsi="Times New Roman" w:cs="Times New Roman"/>
          <w:b/>
          <w:i/>
          <w:iCs/>
          <w:sz w:val="24"/>
          <w:szCs w:val="24"/>
        </w:rPr>
        <w:t xml:space="preserve"> </w:t>
      </w:r>
    </w:p>
    <w:p w14:paraId="513482DB" w14:textId="56A844C5" w:rsidR="00C5565F" w:rsidRPr="00E73BB1" w:rsidRDefault="001D3FFA" w:rsidP="009161D3">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Analysis of</w:t>
      </w:r>
      <w:r w:rsidRPr="00E73BB1">
        <w:rPr>
          <w:rFonts w:ascii="Times New Roman" w:hAnsi="Times New Roman" w:cs="Times New Roman"/>
          <w:b/>
          <w:i/>
          <w:sz w:val="24"/>
          <w:szCs w:val="24"/>
        </w:rPr>
        <w:t xml:space="preserve"> </w:t>
      </w:r>
      <w:r w:rsidRPr="00E73BB1">
        <w:rPr>
          <w:rFonts w:ascii="Times New Roman" w:hAnsi="Times New Roman" w:cs="Times New Roman"/>
          <w:sz w:val="24"/>
          <w:szCs w:val="24"/>
        </w:rPr>
        <w:t>m</w:t>
      </w:r>
      <w:r w:rsidR="00C5565F" w:rsidRPr="00E73BB1">
        <w:rPr>
          <w:rFonts w:ascii="Times New Roman" w:hAnsi="Times New Roman" w:cs="Times New Roman"/>
          <w:sz w:val="24"/>
          <w:szCs w:val="24"/>
        </w:rPr>
        <w:t xml:space="preserve">issing data </w:t>
      </w:r>
      <w:r w:rsidRPr="00E73BB1">
        <w:rPr>
          <w:rFonts w:ascii="Times New Roman" w:hAnsi="Times New Roman" w:cs="Times New Roman"/>
          <w:sz w:val="24"/>
          <w:szCs w:val="24"/>
        </w:rPr>
        <w:t>indicated that</w:t>
      </w:r>
      <w:r w:rsidR="001A3976" w:rsidRPr="00E73BB1">
        <w:rPr>
          <w:rFonts w:ascii="Times New Roman" w:hAnsi="Times New Roman" w:cs="Times New Roman"/>
          <w:sz w:val="24"/>
          <w:szCs w:val="24"/>
        </w:rPr>
        <w:t xml:space="preserve"> 89 participants (5.2%) failed to complete any of the scale items, </w:t>
      </w:r>
      <w:r w:rsidR="001717E5" w:rsidRPr="00E73BB1">
        <w:rPr>
          <w:rFonts w:ascii="Times New Roman" w:hAnsi="Times New Roman" w:cs="Times New Roman"/>
          <w:sz w:val="24"/>
          <w:szCs w:val="24"/>
        </w:rPr>
        <w:t xml:space="preserve">likely </w:t>
      </w:r>
      <w:r w:rsidR="001A3976" w:rsidRPr="00E73BB1">
        <w:rPr>
          <w:rFonts w:ascii="Times New Roman" w:hAnsi="Times New Roman" w:cs="Times New Roman"/>
          <w:sz w:val="24"/>
          <w:szCs w:val="24"/>
        </w:rPr>
        <w:t>indicating those who did not have time to complete the</w:t>
      </w:r>
      <w:r w:rsidR="001717E5" w:rsidRPr="00E73BB1">
        <w:rPr>
          <w:rFonts w:ascii="Times New Roman" w:hAnsi="Times New Roman" w:cs="Times New Roman"/>
          <w:sz w:val="24"/>
          <w:szCs w:val="24"/>
        </w:rPr>
        <w:t xml:space="preserve"> measure within the broader</w:t>
      </w:r>
      <w:r w:rsidR="001A3976" w:rsidRPr="00E73BB1">
        <w:rPr>
          <w:rFonts w:ascii="Times New Roman" w:hAnsi="Times New Roman" w:cs="Times New Roman"/>
          <w:sz w:val="24"/>
          <w:szCs w:val="24"/>
        </w:rPr>
        <w:t xml:space="preserve"> questionnaire</w:t>
      </w:r>
      <w:r w:rsidR="006C1608" w:rsidRPr="00E73BB1">
        <w:rPr>
          <w:rFonts w:ascii="Times New Roman" w:hAnsi="Times New Roman" w:cs="Times New Roman"/>
          <w:sz w:val="24"/>
          <w:szCs w:val="24"/>
        </w:rPr>
        <w:t>, and were therefore removed from further analysis</w:t>
      </w:r>
      <w:r w:rsidR="001A3976" w:rsidRPr="00E73BB1">
        <w:rPr>
          <w:rFonts w:ascii="Times New Roman" w:hAnsi="Times New Roman" w:cs="Times New Roman"/>
          <w:sz w:val="24"/>
          <w:szCs w:val="24"/>
        </w:rPr>
        <w:t xml:space="preserve">. Of the remaining 1618 participants, </w:t>
      </w:r>
      <w:r w:rsidR="006C1608" w:rsidRPr="00E73BB1">
        <w:rPr>
          <w:rFonts w:ascii="Times New Roman" w:hAnsi="Times New Roman" w:cs="Times New Roman"/>
          <w:sz w:val="24"/>
          <w:szCs w:val="24"/>
        </w:rPr>
        <w:t>12</w:t>
      </w:r>
      <w:r w:rsidRPr="00E73BB1">
        <w:rPr>
          <w:rFonts w:ascii="Times New Roman" w:hAnsi="Times New Roman" w:cs="Times New Roman"/>
          <w:sz w:val="24"/>
          <w:szCs w:val="24"/>
        </w:rPr>
        <w:t>.</w:t>
      </w:r>
      <w:r w:rsidR="006C1608" w:rsidRPr="00E73BB1">
        <w:rPr>
          <w:rFonts w:ascii="Times New Roman" w:hAnsi="Times New Roman" w:cs="Times New Roman"/>
          <w:sz w:val="24"/>
          <w:szCs w:val="24"/>
        </w:rPr>
        <w:t>5</w:t>
      </w:r>
      <w:r w:rsidR="001A3976" w:rsidRPr="00E73BB1">
        <w:rPr>
          <w:rFonts w:ascii="Times New Roman" w:hAnsi="Times New Roman" w:cs="Times New Roman"/>
          <w:sz w:val="24"/>
          <w:szCs w:val="24"/>
        </w:rPr>
        <w:t xml:space="preserve">% </w:t>
      </w:r>
      <w:r w:rsidRPr="00E73BB1">
        <w:rPr>
          <w:rFonts w:ascii="Times New Roman" w:hAnsi="Times New Roman" w:cs="Times New Roman"/>
          <w:sz w:val="24"/>
          <w:szCs w:val="24"/>
        </w:rPr>
        <w:t>had at least one missing item. Examining patterns</w:t>
      </w:r>
      <w:r w:rsidR="00B14E26" w:rsidRPr="00E73BB1">
        <w:rPr>
          <w:rFonts w:ascii="Times New Roman" w:hAnsi="Times New Roman" w:cs="Times New Roman"/>
          <w:sz w:val="24"/>
          <w:szCs w:val="24"/>
        </w:rPr>
        <w:t xml:space="preserve"> of missing data</w:t>
      </w:r>
      <w:r w:rsidRPr="00E73BB1">
        <w:rPr>
          <w:rFonts w:ascii="Times New Roman" w:hAnsi="Times New Roman" w:cs="Times New Roman"/>
          <w:sz w:val="24"/>
          <w:szCs w:val="24"/>
        </w:rPr>
        <w:t xml:space="preserve"> indicated the highest missing data for item 6 (“talk/go out with someone from </w:t>
      </w:r>
      <w:r w:rsidRPr="00E73BB1">
        <w:rPr>
          <w:rFonts w:ascii="Times New Roman" w:hAnsi="Times New Roman" w:cs="Times New Roman"/>
          <w:sz w:val="24"/>
          <w:szCs w:val="24"/>
        </w:rPr>
        <w:lastRenderedPageBreak/>
        <w:t>the opposite sex”</w:t>
      </w:r>
      <w:r w:rsidR="006C1608" w:rsidRPr="00E73BB1">
        <w:rPr>
          <w:rFonts w:ascii="Times New Roman" w:hAnsi="Times New Roman" w:cs="Times New Roman"/>
          <w:sz w:val="24"/>
          <w:szCs w:val="24"/>
        </w:rPr>
        <w:t>; 4</w:t>
      </w:r>
      <w:r w:rsidRPr="00E73BB1">
        <w:rPr>
          <w:rFonts w:ascii="Times New Roman" w:hAnsi="Times New Roman" w:cs="Times New Roman"/>
          <w:sz w:val="24"/>
          <w:szCs w:val="24"/>
        </w:rPr>
        <w:t xml:space="preserve">%), </w:t>
      </w:r>
      <w:r w:rsidR="006C1608" w:rsidRPr="00E73BB1">
        <w:rPr>
          <w:rFonts w:ascii="Times New Roman" w:hAnsi="Times New Roman" w:cs="Times New Roman"/>
          <w:sz w:val="24"/>
          <w:szCs w:val="24"/>
        </w:rPr>
        <w:t>with remaining items ranging from 1.0-2.2%</w:t>
      </w:r>
      <w:r w:rsidRPr="00E73BB1">
        <w:rPr>
          <w:rFonts w:ascii="Times New Roman" w:hAnsi="Times New Roman" w:cs="Times New Roman"/>
          <w:sz w:val="24"/>
          <w:szCs w:val="24"/>
        </w:rPr>
        <w:t>.</w:t>
      </w:r>
      <w:r w:rsidR="00082958" w:rsidRPr="00E73BB1">
        <w:rPr>
          <w:rFonts w:ascii="Times New Roman" w:hAnsi="Times New Roman" w:cs="Times New Roman"/>
          <w:sz w:val="24"/>
          <w:szCs w:val="24"/>
        </w:rPr>
        <w:t xml:space="preserve"> </w:t>
      </w:r>
      <w:r w:rsidR="006C1608" w:rsidRPr="00E73BB1">
        <w:rPr>
          <w:rFonts w:ascii="Times New Roman" w:hAnsi="Times New Roman" w:cs="Times New Roman"/>
          <w:sz w:val="24"/>
          <w:szCs w:val="24"/>
        </w:rPr>
        <w:t xml:space="preserve">As missing data was &lt; 5% across individual items, we used the </w:t>
      </w:r>
      <w:r w:rsidR="001306D5" w:rsidRPr="00E73BB1">
        <w:rPr>
          <w:rFonts w:ascii="Times New Roman" w:hAnsi="Times New Roman" w:cs="Times New Roman"/>
          <w:sz w:val="24"/>
          <w:szCs w:val="24"/>
        </w:rPr>
        <w:t>Expectation-Maximisation (</w:t>
      </w:r>
      <w:r w:rsidR="006C1608" w:rsidRPr="00E73BB1">
        <w:rPr>
          <w:rFonts w:ascii="Times New Roman" w:hAnsi="Times New Roman" w:cs="Times New Roman"/>
          <w:sz w:val="24"/>
          <w:szCs w:val="24"/>
        </w:rPr>
        <w:t>EM</w:t>
      </w:r>
      <w:r w:rsidR="001306D5" w:rsidRPr="00E73BB1">
        <w:rPr>
          <w:rFonts w:ascii="Times New Roman" w:hAnsi="Times New Roman" w:cs="Times New Roman"/>
          <w:sz w:val="24"/>
          <w:szCs w:val="24"/>
        </w:rPr>
        <w:t>)</w:t>
      </w:r>
      <w:r w:rsidR="006C1608" w:rsidRPr="00E73BB1">
        <w:rPr>
          <w:rFonts w:ascii="Times New Roman" w:hAnsi="Times New Roman" w:cs="Times New Roman"/>
          <w:sz w:val="24"/>
          <w:szCs w:val="24"/>
        </w:rPr>
        <w:t xml:space="preserve"> algorithm to impute missing values</w:t>
      </w:r>
      <w:r w:rsidR="005D7D57" w:rsidRPr="00E73BB1">
        <w:rPr>
          <w:rFonts w:ascii="Times New Roman" w:hAnsi="Times New Roman" w:cs="Times New Roman"/>
          <w:sz w:val="24"/>
          <w:szCs w:val="24"/>
        </w:rPr>
        <w:t xml:space="preserve"> </w:t>
      </w:r>
      <w:r w:rsidR="005D7D57" w:rsidRPr="00E73BB1">
        <w:rPr>
          <w:rFonts w:ascii="Times New Roman" w:hAnsi="Times New Roman" w:cs="Times New Roman"/>
          <w:noProof/>
          <w:sz w:val="24"/>
          <w:szCs w:val="24"/>
        </w:rPr>
        <w:t>(Tabachnick &amp; Fidell, 2013)</w:t>
      </w:r>
      <w:r w:rsidR="005C1198" w:rsidRPr="00E73BB1">
        <w:rPr>
          <w:rFonts w:ascii="Times New Roman" w:hAnsi="Times New Roman" w:cs="Times New Roman"/>
          <w:sz w:val="24"/>
          <w:szCs w:val="24"/>
        </w:rPr>
        <w:t>.</w:t>
      </w:r>
      <w:r w:rsidR="006C1608" w:rsidRPr="00E73BB1">
        <w:rPr>
          <w:rFonts w:ascii="Times New Roman" w:hAnsi="Times New Roman" w:cs="Times New Roman"/>
          <w:sz w:val="24"/>
          <w:szCs w:val="24"/>
        </w:rPr>
        <w:t xml:space="preserve"> </w:t>
      </w:r>
      <w:r w:rsidR="005D7D57" w:rsidRPr="00E73BB1">
        <w:rPr>
          <w:rFonts w:ascii="Times New Roman" w:hAnsi="Times New Roman" w:cs="Times New Roman"/>
          <w:sz w:val="24"/>
          <w:szCs w:val="24"/>
        </w:rPr>
        <w:t xml:space="preserve">All items were checked for normality, </w:t>
      </w:r>
      <w:r w:rsidR="00B14E26" w:rsidRPr="00E73BB1">
        <w:rPr>
          <w:rFonts w:ascii="Times New Roman" w:hAnsi="Times New Roman" w:cs="Times New Roman"/>
          <w:sz w:val="24"/>
          <w:szCs w:val="24"/>
        </w:rPr>
        <w:t>which were</w:t>
      </w:r>
      <w:r w:rsidR="005D7D57" w:rsidRPr="00E73BB1">
        <w:rPr>
          <w:rFonts w:ascii="Times New Roman" w:hAnsi="Times New Roman" w:cs="Times New Roman"/>
          <w:sz w:val="24"/>
          <w:szCs w:val="24"/>
        </w:rPr>
        <w:t xml:space="preserve"> all within the recommended bounds of skewness &lt; |3| and kurtosis &lt; |10| </w:t>
      </w:r>
      <w:r w:rsidR="005D7D57" w:rsidRPr="00E73BB1">
        <w:rPr>
          <w:rFonts w:ascii="Times New Roman" w:hAnsi="Times New Roman" w:cs="Times New Roman"/>
          <w:noProof/>
          <w:sz w:val="24"/>
          <w:szCs w:val="24"/>
        </w:rPr>
        <w:t>(Kline, 2015)</w:t>
      </w:r>
      <w:r w:rsidR="005D7D57" w:rsidRPr="00E73BB1">
        <w:rPr>
          <w:rFonts w:ascii="Times New Roman" w:hAnsi="Times New Roman" w:cs="Times New Roman"/>
          <w:sz w:val="24"/>
          <w:szCs w:val="24"/>
        </w:rPr>
        <w:t>.</w:t>
      </w:r>
    </w:p>
    <w:p w14:paraId="69190830" w14:textId="14D21C2B" w:rsidR="0096020E" w:rsidRPr="00E73BB1" w:rsidRDefault="00A94360" w:rsidP="00443C8F">
      <w:pPr>
        <w:widowControl w:val="0"/>
        <w:spacing w:after="0" w:line="480" w:lineRule="auto"/>
        <w:rPr>
          <w:rFonts w:ascii="Times New Roman" w:hAnsi="Times New Roman" w:cs="Times New Roman"/>
          <w:i/>
          <w:iCs/>
          <w:sz w:val="24"/>
          <w:szCs w:val="24"/>
        </w:rPr>
      </w:pPr>
      <w:r w:rsidRPr="00E73BB1">
        <w:rPr>
          <w:rFonts w:ascii="Times New Roman" w:hAnsi="Times New Roman" w:cs="Times New Roman"/>
          <w:b/>
          <w:i/>
          <w:iCs/>
          <w:sz w:val="24"/>
          <w:szCs w:val="24"/>
        </w:rPr>
        <w:t xml:space="preserve">2.2.2. </w:t>
      </w:r>
      <w:r w:rsidR="00D921D4" w:rsidRPr="00E73BB1">
        <w:rPr>
          <w:rFonts w:ascii="Times New Roman" w:hAnsi="Times New Roman" w:cs="Times New Roman"/>
          <w:b/>
          <w:i/>
          <w:iCs/>
          <w:sz w:val="24"/>
          <w:szCs w:val="24"/>
        </w:rPr>
        <w:t xml:space="preserve">Exploratory </w:t>
      </w:r>
      <w:r w:rsidR="0096020E" w:rsidRPr="00E73BB1">
        <w:rPr>
          <w:rFonts w:ascii="Times New Roman" w:hAnsi="Times New Roman" w:cs="Times New Roman"/>
          <w:b/>
          <w:i/>
          <w:iCs/>
          <w:sz w:val="24"/>
          <w:szCs w:val="24"/>
        </w:rPr>
        <w:t>F</w:t>
      </w:r>
      <w:r w:rsidR="00D921D4" w:rsidRPr="00E73BB1">
        <w:rPr>
          <w:rFonts w:ascii="Times New Roman" w:hAnsi="Times New Roman" w:cs="Times New Roman"/>
          <w:b/>
          <w:i/>
          <w:iCs/>
          <w:sz w:val="24"/>
          <w:szCs w:val="24"/>
        </w:rPr>
        <w:t xml:space="preserve">actor </w:t>
      </w:r>
      <w:r w:rsidR="0096020E" w:rsidRPr="00E73BB1">
        <w:rPr>
          <w:rFonts w:ascii="Times New Roman" w:hAnsi="Times New Roman" w:cs="Times New Roman"/>
          <w:b/>
          <w:i/>
          <w:iCs/>
          <w:sz w:val="24"/>
          <w:szCs w:val="24"/>
        </w:rPr>
        <w:t>A</w:t>
      </w:r>
      <w:r w:rsidR="00D921D4" w:rsidRPr="00E73BB1">
        <w:rPr>
          <w:rFonts w:ascii="Times New Roman" w:hAnsi="Times New Roman" w:cs="Times New Roman"/>
          <w:b/>
          <w:i/>
          <w:iCs/>
          <w:sz w:val="24"/>
          <w:szCs w:val="24"/>
        </w:rPr>
        <w:t>nalysis (EFA)</w:t>
      </w:r>
    </w:p>
    <w:p w14:paraId="11AE5145" w14:textId="595EAACE" w:rsidR="00094B65" w:rsidRPr="00E73BB1" w:rsidRDefault="00D921D4" w:rsidP="009161D3">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We first explored conditions for</w:t>
      </w:r>
      <w:r w:rsidR="003C1974" w:rsidRPr="00E73BB1">
        <w:rPr>
          <w:rFonts w:ascii="Times New Roman" w:hAnsi="Times New Roman" w:cs="Times New Roman"/>
          <w:sz w:val="24"/>
          <w:szCs w:val="24"/>
        </w:rPr>
        <w:t xml:space="preserve"> </w:t>
      </w:r>
      <w:r w:rsidRPr="00E73BB1">
        <w:rPr>
          <w:rFonts w:ascii="Times New Roman" w:hAnsi="Times New Roman" w:cs="Times New Roman"/>
          <w:sz w:val="24"/>
          <w:szCs w:val="24"/>
        </w:rPr>
        <w:t xml:space="preserve">EFA on the </w:t>
      </w:r>
      <w:r w:rsidR="005D7D57" w:rsidRPr="00E73BB1">
        <w:rPr>
          <w:rFonts w:ascii="Times New Roman" w:hAnsi="Times New Roman" w:cs="Times New Roman"/>
          <w:sz w:val="24"/>
          <w:szCs w:val="24"/>
        </w:rPr>
        <w:t xml:space="preserve">pool of </w:t>
      </w:r>
      <w:r w:rsidRPr="00E73BB1">
        <w:rPr>
          <w:rFonts w:ascii="Times New Roman" w:hAnsi="Times New Roman" w:cs="Times New Roman"/>
          <w:sz w:val="24"/>
          <w:szCs w:val="24"/>
        </w:rPr>
        <w:t>16 items. The sample size was adequate, exceeding the</w:t>
      </w:r>
      <w:r w:rsidR="00A45A07" w:rsidRPr="00E73BB1">
        <w:rPr>
          <w:rFonts w:ascii="Times New Roman" w:hAnsi="Times New Roman" w:cs="Times New Roman"/>
          <w:sz w:val="24"/>
          <w:szCs w:val="24"/>
        </w:rPr>
        <w:t xml:space="preserve"> ideal</w:t>
      </w:r>
      <w:r w:rsidRPr="00E73BB1">
        <w:rPr>
          <w:rFonts w:ascii="Times New Roman" w:hAnsi="Times New Roman" w:cs="Times New Roman"/>
          <w:sz w:val="24"/>
          <w:szCs w:val="24"/>
        </w:rPr>
        <w:t xml:space="preserve"> 20:1 cases-to-item ratio recommended</w:t>
      </w:r>
      <w:r w:rsidR="000751C3" w:rsidRPr="00E73BB1">
        <w:rPr>
          <w:rFonts w:ascii="Times New Roman" w:hAnsi="Times New Roman" w:cs="Times New Roman"/>
          <w:sz w:val="24"/>
          <w:szCs w:val="24"/>
        </w:rPr>
        <w:t xml:space="preserve"> </w:t>
      </w:r>
      <w:r w:rsidR="00A45A07" w:rsidRPr="00E73BB1">
        <w:rPr>
          <w:rFonts w:ascii="Times New Roman" w:hAnsi="Times New Roman" w:cs="Times New Roman"/>
          <w:noProof/>
          <w:sz w:val="24"/>
          <w:szCs w:val="24"/>
        </w:rPr>
        <w:t>(Hogarty et al., 2005; Swami &amp; Barron, 2019)</w:t>
      </w:r>
      <w:r w:rsidRPr="00E73BB1">
        <w:rPr>
          <w:rFonts w:ascii="Times New Roman" w:hAnsi="Times New Roman" w:cs="Times New Roman"/>
          <w:sz w:val="24"/>
          <w:szCs w:val="24"/>
        </w:rPr>
        <w:t>. We also found</w:t>
      </w:r>
      <w:r w:rsidR="003C1974" w:rsidRPr="00E73BB1">
        <w:rPr>
          <w:rFonts w:ascii="Times New Roman" w:hAnsi="Times New Roman" w:cs="Times New Roman"/>
          <w:sz w:val="24"/>
          <w:szCs w:val="24"/>
        </w:rPr>
        <w:t xml:space="preserve"> good sampling adequacy based on </w:t>
      </w:r>
      <w:r w:rsidR="004C1132" w:rsidRPr="00E73BB1">
        <w:rPr>
          <w:rFonts w:ascii="Times New Roman" w:hAnsi="Times New Roman" w:cs="Times New Roman"/>
          <w:sz w:val="24"/>
          <w:szCs w:val="24"/>
        </w:rPr>
        <w:t>a</w:t>
      </w:r>
      <w:r w:rsidR="003C1974" w:rsidRPr="00E73BB1">
        <w:rPr>
          <w:rFonts w:ascii="Times New Roman" w:hAnsi="Times New Roman" w:cs="Times New Roman"/>
          <w:sz w:val="24"/>
          <w:szCs w:val="24"/>
        </w:rPr>
        <w:t xml:space="preserve"> Kasier-Mayer-Olin (KMO</w:t>
      </w:r>
      <w:r w:rsidR="004C1132" w:rsidRPr="00E73BB1">
        <w:rPr>
          <w:rFonts w:ascii="Times New Roman" w:hAnsi="Times New Roman" w:cs="Times New Roman"/>
          <w:sz w:val="24"/>
          <w:szCs w:val="24"/>
        </w:rPr>
        <w:t>)</w:t>
      </w:r>
      <w:r w:rsidR="00B14E26" w:rsidRPr="00E73BB1">
        <w:rPr>
          <w:rFonts w:ascii="Times New Roman" w:hAnsi="Times New Roman" w:cs="Times New Roman"/>
          <w:sz w:val="24"/>
          <w:szCs w:val="24"/>
        </w:rPr>
        <w:t xml:space="preserve"> value close to 1.0 (KMO =</w:t>
      </w:r>
      <w:r w:rsidRPr="00E73BB1">
        <w:rPr>
          <w:rFonts w:ascii="Times New Roman" w:hAnsi="Times New Roman" w:cs="Times New Roman"/>
          <w:sz w:val="24"/>
          <w:szCs w:val="24"/>
        </w:rPr>
        <w:t xml:space="preserve"> 0.961</w:t>
      </w:r>
      <w:r w:rsidR="00B14E26" w:rsidRPr="00E73BB1">
        <w:rPr>
          <w:rFonts w:ascii="Times New Roman" w:hAnsi="Times New Roman" w:cs="Times New Roman"/>
          <w:sz w:val="24"/>
          <w:szCs w:val="24"/>
        </w:rPr>
        <w:t>)</w:t>
      </w:r>
      <w:r w:rsidR="003C1974" w:rsidRPr="00E73BB1">
        <w:rPr>
          <w:rFonts w:ascii="Times New Roman" w:hAnsi="Times New Roman" w:cs="Times New Roman"/>
          <w:sz w:val="24"/>
          <w:szCs w:val="24"/>
        </w:rPr>
        <w:t xml:space="preserve">, and </w:t>
      </w:r>
      <w:r w:rsidR="008C6A20" w:rsidRPr="00E73BB1">
        <w:rPr>
          <w:rFonts w:ascii="Times New Roman" w:hAnsi="Times New Roman" w:cs="Times New Roman"/>
          <w:sz w:val="24"/>
          <w:szCs w:val="24"/>
        </w:rPr>
        <w:t xml:space="preserve">factorable intercorrelations indicated by </w:t>
      </w:r>
      <w:r w:rsidR="003C1974" w:rsidRPr="00E73BB1">
        <w:rPr>
          <w:rFonts w:ascii="Times New Roman" w:hAnsi="Times New Roman" w:cs="Times New Roman"/>
          <w:sz w:val="24"/>
          <w:szCs w:val="24"/>
        </w:rPr>
        <w:t>a significant Bartlett’s test of sphericity</w:t>
      </w:r>
      <w:r w:rsidR="00D9093D" w:rsidRPr="00E73BB1">
        <w:rPr>
          <w:rFonts w:ascii="Times New Roman" w:hAnsi="Times New Roman" w:cs="Times New Roman"/>
          <w:sz w:val="24"/>
          <w:szCs w:val="24"/>
        </w:rPr>
        <w:t>, χ</w:t>
      </w:r>
      <w:r w:rsidR="00D9093D" w:rsidRPr="00E73BB1">
        <w:rPr>
          <w:rFonts w:ascii="Times New Roman" w:hAnsi="Times New Roman" w:cs="Times New Roman"/>
          <w:sz w:val="24"/>
          <w:szCs w:val="24"/>
          <w:vertAlign w:val="superscript"/>
        </w:rPr>
        <w:t xml:space="preserve">2 </w:t>
      </w:r>
      <w:r w:rsidR="00D9093D" w:rsidRPr="00E73BB1">
        <w:rPr>
          <w:rFonts w:ascii="Times New Roman" w:hAnsi="Times New Roman" w:cs="Times New Roman"/>
          <w:sz w:val="24"/>
          <w:szCs w:val="24"/>
        </w:rPr>
        <w:t>(120)</w:t>
      </w:r>
      <w:r w:rsidR="003C1974" w:rsidRPr="00E73BB1">
        <w:rPr>
          <w:rFonts w:ascii="Times New Roman" w:hAnsi="Times New Roman" w:cs="Times New Roman"/>
          <w:sz w:val="24"/>
          <w:szCs w:val="24"/>
        </w:rPr>
        <w:t xml:space="preserve"> = </w:t>
      </w:r>
      <w:r w:rsidR="00D9093D" w:rsidRPr="00E73BB1">
        <w:rPr>
          <w:rFonts w:ascii="Times New Roman" w:hAnsi="Times New Roman" w:cs="Times New Roman"/>
          <w:sz w:val="24"/>
          <w:szCs w:val="24"/>
        </w:rPr>
        <w:t>18433.08</w:t>
      </w:r>
      <w:r w:rsidR="003C1974" w:rsidRPr="00E73BB1">
        <w:rPr>
          <w:rFonts w:ascii="Times New Roman" w:hAnsi="Times New Roman" w:cs="Times New Roman"/>
          <w:sz w:val="24"/>
          <w:szCs w:val="24"/>
        </w:rPr>
        <w:t xml:space="preserve">, </w:t>
      </w:r>
      <w:r w:rsidR="003C1974" w:rsidRPr="00E73BB1">
        <w:rPr>
          <w:rFonts w:ascii="Times New Roman" w:hAnsi="Times New Roman" w:cs="Times New Roman"/>
          <w:i/>
          <w:sz w:val="24"/>
          <w:szCs w:val="24"/>
        </w:rPr>
        <w:t>p</w:t>
      </w:r>
      <w:r w:rsidR="00D9093D" w:rsidRPr="00E73BB1">
        <w:rPr>
          <w:rFonts w:ascii="Times New Roman" w:hAnsi="Times New Roman" w:cs="Times New Roman"/>
          <w:sz w:val="24"/>
          <w:szCs w:val="24"/>
        </w:rPr>
        <w:t xml:space="preserve"> &lt; .001</w:t>
      </w:r>
      <w:r w:rsidR="003C1974" w:rsidRPr="00E73BB1">
        <w:rPr>
          <w:rFonts w:ascii="Times New Roman" w:hAnsi="Times New Roman" w:cs="Times New Roman"/>
          <w:sz w:val="24"/>
          <w:szCs w:val="24"/>
        </w:rPr>
        <w:t>. Nevertheless, the correlation matrix indicated potential problems with mult</w:t>
      </w:r>
      <w:r w:rsidR="00082958" w:rsidRPr="00E73BB1">
        <w:rPr>
          <w:rFonts w:ascii="Times New Roman" w:hAnsi="Times New Roman" w:cs="Times New Roman"/>
          <w:sz w:val="24"/>
          <w:szCs w:val="24"/>
        </w:rPr>
        <w:t>icollinearity, with determinant</w:t>
      </w:r>
      <w:r w:rsidR="003C1974" w:rsidRPr="00E73BB1">
        <w:rPr>
          <w:rFonts w:ascii="Times New Roman" w:hAnsi="Times New Roman" w:cs="Times New Roman"/>
          <w:sz w:val="24"/>
          <w:szCs w:val="24"/>
        </w:rPr>
        <w:t xml:space="preserve"> of the R-matrix &lt; .00001</w:t>
      </w:r>
      <w:r w:rsidR="00B13E44" w:rsidRPr="00E73BB1">
        <w:rPr>
          <w:rFonts w:ascii="Times New Roman" w:hAnsi="Times New Roman" w:cs="Times New Roman"/>
          <w:sz w:val="24"/>
          <w:szCs w:val="24"/>
        </w:rPr>
        <w:t xml:space="preserve"> </w:t>
      </w:r>
      <w:r w:rsidR="00B13E44" w:rsidRPr="00E73BB1">
        <w:rPr>
          <w:rFonts w:ascii="Times New Roman" w:hAnsi="Times New Roman" w:cs="Times New Roman"/>
          <w:noProof/>
          <w:sz w:val="24"/>
          <w:szCs w:val="24"/>
        </w:rPr>
        <w:t>(Field, 2013)</w:t>
      </w:r>
      <w:r w:rsidR="003C1974" w:rsidRPr="00E73BB1">
        <w:rPr>
          <w:rFonts w:ascii="Times New Roman" w:hAnsi="Times New Roman" w:cs="Times New Roman"/>
          <w:sz w:val="24"/>
          <w:szCs w:val="24"/>
        </w:rPr>
        <w:t xml:space="preserve">. </w:t>
      </w:r>
      <w:r w:rsidR="005D7D57" w:rsidRPr="00E73BB1">
        <w:rPr>
          <w:rFonts w:ascii="Times New Roman" w:hAnsi="Times New Roman" w:cs="Times New Roman"/>
          <w:sz w:val="24"/>
          <w:szCs w:val="24"/>
        </w:rPr>
        <w:t>Inspection of the matrix revealed t</w:t>
      </w:r>
      <w:r w:rsidR="00094B65" w:rsidRPr="00E73BB1">
        <w:rPr>
          <w:rFonts w:ascii="Times New Roman" w:hAnsi="Times New Roman" w:cs="Times New Roman"/>
          <w:sz w:val="24"/>
          <w:szCs w:val="24"/>
        </w:rPr>
        <w:t xml:space="preserve">wo similar items </w:t>
      </w:r>
      <w:r w:rsidR="00B14E26" w:rsidRPr="00E73BB1">
        <w:rPr>
          <w:rFonts w:ascii="Times New Roman" w:hAnsi="Times New Roman" w:cs="Times New Roman"/>
          <w:sz w:val="24"/>
          <w:szCs w:val="24"/>
        </w:rPr>
        <w:t>to be</w:t>
      </w:r>
      <w:r w:rsidR="00094B65" w:rsidRPr="00E73BB1">
        <w:rPr>
          <w:rFonts w:ascii="Times New Roman" w:hAnsi="Times New Roman" w:cs="Times New Roman"/>
          <w:sz w:val="24"/>
          <w:szCs w:val="24"/>
        </w:rPr>
        <w:t xml:space="preserve"> highly correlated (“Spending time with </w:t>
      </w:r>
      <w:r w:rsidR="005073A2" w:rsidRPr="00E73BB1">
        <w:rPr>
          <w:rFonts w:ascii="Times New Roman" w:hAnsi="Times New Roman" w:cs="Times New Roman"/>
          <w:sz w:val="24"/>
          <w:szCs w:val="24"/>
        </w:rPr>
        <w:t xml:space="preserve">family” and “Spending time with </w:t>
      </w:r>
      <w:r w:rsidR="00094B65" w:rsidRPr="00E73BB1">
        <w:rPr>
          <w:rFonts w:ascii="Times New Roman" w:hAnsi="Times New Roman" w:cs="Times New Roman"/>
          <w:sz w:val="24"/>
          <w:szCs w:val="24"/>
        </w:rPr>
        <w:t>friends”</w:t>
      </w:r>
      <w:r w:rsidR="00B01A25" w:rsidRPr="00E73BB1">
        <w:rPr>
          <w:rFonts w:ascii="Times New Roman" w:hAnsi="Times New Roman" w:cs="Times New Roman"/>
          <w:sz w:val="24"/>
          <w:szCs w:val="24"/>
        </w:rPr>
        <w:t>;</w:t>
      </w:r>
      <w:r w:rsidR="00D42C01" w:rsidRPr="00E73BB1">
        <w:rPr>
          <w:rFonts w:ascii="Times New Roman" w:hAnsi="Times New Roman" w:cs="Times New Roman"/>
          <w:sz w:val="24"/>
          <w:szCs w:val="24"/>
        </w:rPr>
        <w:t xml:space="preserve"> </w:t>
      </w:r>
      <w:r w:rsidR="003D6EB1" w:rsidRPr="00E73BB1">
        <w:rPr>
          <w:rFonts w:ascii="Times New Roman" w:hAnsi="Times New Roman" w:cs="Times New Roman"/>
          <w:i/>
          <w:sz w:val="24"/>
          <w:szCs w:val="24"/>
        </w:rPr>
        <w:t>r</w:t>
      </w:r>
      <w:r w:rsidR="003D6EB1" w:rsidRPr="00E73BB1">
        <w:rPr>
          <w:rFonts w:ascii="Times New Roman" w:hAnsi="Times New Roman" w:cs="Times New Roman"/>
          <w:sz w:val="24"/>
          <w:szCs w:val="24"/>
        </w:rPr>
        <w:t xml:space="preserve"> = .8</w:t>
      </w:r>
      <w:r w:rsidR="001306D5" w:rsidRPr="00E73BB1">
        <w:rPr>
          <w:rFonts w:ascii="Times New Roman" w:hAnsi="Times New Roman" w:cs="Times New Roman"/>
          <w:sz w:val="24"/>
          <w:szCs w:val="24"/>
        </w:rPr>
        <w:t>2</w:t>
      </w:r>
      <w:r w:rsidR="00094B65" w:rsidRPr="00E73BB1">
        <w:rPr>
          <w:rFonts w:ascii="Times New Roman" w:hAnsi="Times New Roman" w:cs="Times New Roman"/>
          <w:sz w:val="24"/>
          <w:szCs w:val="24"/>
        </w:rPr>
        <w:t xml:space="preserve">) and therefore </w:t>
      </w:r>
      <w:r w:rsidR="008C6A20" w:rsidRPr="00E73BB1">
        <w:rPr>
          <w:rFonts w:ascii="Times New Roman" w:hAnsi="Times New Roman" w:cs="Times New Roman"/>
          <w:sz w:val="24"/>
          <w:szCs w:val="24"/>
        </w:rPr>
        <w:t xml:space="preserve">we </w:t>
      </w:r>
      <w:r w:rsidR="00094B65" w:rsidRPr="00E73BB1">
        <w:rPr>
          <w:rFonts w:ascii="Times New Roman" w:hAnsi="Times New Roman" w:cs="Times New Roman"/>
          <w:sz w:val="24"/>
          <w:szCs w:val="24"/>
        </w:rPr>
        <w:t xml:space="preserve">combined </w:t>
      </w:r>
      <w:r w:rsidR="008C6A20" w:rsidRPr="00E73BB1">
        <w:rPr>
          <w:rFonts w:ascii="Times New Roman" w:hAnsi="Times New Roman" w:cs="Times New Roman"/>
          <w:sz w:val="24"/>
          <w:szCs w:val="24"/>
        </w:rPr>
        <w:t xml:space="preserve">these </w:t>
      </w:r>
      <w:r w:rsidR="00094B65" w:rsidRPr="00E73BB1">
        <w:rPr>
          <w:rFonts w:ascii="Times New Roman" w:hAnsi="Times New Roman" w:cs="Times New Roman"/>
          <w:sz w:val="24"/>
          <w:szCs w:val="24"/>
        </w:rPr>
        <w:t>into one item</w:t>
      </w:r>
      <w:r w:rsidR="00082958" w:rsidRPr="00E73BB1">
        <w:rPr>
          <w:rFonts w:ascii="Times New Roman" w:hAnsi="Times New Roman" w:cs="Times New Roman"/>
          <w:sz w:val="24"/>
          <w:szCs w:val="24"/>
        </w:rPr>
        <w:t xml:space="preserve"> reflecting the mean</w:t>
      </w:r>
      <w:r w:rsidR="008C6A20" w:rsidRPr="00E73BB1">
        <w:rPr>
          <w:rFonts w:ascii="Times New Roman" w:hAnsi="Times New Roman" w:cs="Times New Roman"/>
          <w:sz w:val="24"/>
          <w:szCs w:val="24"/>
        </w:rPr>
        <w:t xml:space="preserve"> for further analysis</w:t>
      </w:r>
      <w:r w:rsidR="00DF34B5" w:rsidRPr="00E73BB1">
        <w:rPr>
          <w:rFonts w:ascii="Times New Roman" w:hAnsi="Times New Roman" w:cs="Times New Roman"/>
          <w:sz w:val="24"/>
          <w:szCs w:val="24"/>
        </w:rPr>
        <w:t xml:space="preserve">. </w:t>
      </w:r>
      <w:r w:rsidR="00BC27D4" w:rsidRPr="00E73BB1">
        <w:rPr>
          <w:rFonts w:ascii="Times New Roman" w:hAnsi="Times New Roman" w:cs="Times New Roman"/>
          <w:sz w:val="24"/>
          <w:szCs w:val="24"/>
        </w:rPr>
        <w:t>As m</w:t>
      </w:r>
      <w:r w:rsidR="003C1974" w:rsidRPr="00E73BB1">
        <w:rPr>
          <w:rFonts w:ascii="Times New Roman" w:hAnsi="Times New Roman" w:cs="Times New Roman"/>
          <w:sz w:val="24"/>
          <w:szCs w:val="24"/>
        </w:rPr>
        <w:t xml:space="preserve">ulticollinearity was still present, </w:t>
      </w:r>
      <w:r w:rsidR="00DF34B5" w:rsidRPr="00E73BB1">
        <w:rPr>
          <w:rFonts w:ascii="Times New Roman" w:hAnsi="Times New Roman" w:cs="Times New Roman"/>
          <w:sz w:val="24"/>
          <w:szCs w:val="24"/>
        </w:rPr>
        <w:t xml:space="preserve">we </w:t>
      </w:r>
      <w:r w:rsidR="00094B65" w:rsidRPr="00E73BB1">
        <w:rPr>
          <w:rFonts w:ascii="Times New Roman" w:hAnsi="Times New Roman" w:cs="Times New Roman"/>
          <w:sz w:val="24"/>
          <w:szCs w:val="24"/>
        </w:rPr>
        <w:t>remove</w:t>
      </w:r>
      <w:r w:rsidR="00DF34B5" w:rsidRPr="00E73BB1">
        <w:rPr>
          <w:rFonts w:ascii="Times New Roman" w:hAnsi="Times New Roman" w:cs="Times New Roman"/>
          <w:sz w:val="24"/>
          <w:szCs w:val="24"/>
        </w:rPr>
        <w:t>d</w:t>
      </w:r>
      <w:r w:rsidR="001306D5" w:rsidRPr="00E73BB1">
        <w:rPr>
          <w:rFonts w:ascii="Times New Roman" w:hAnsi="Times New Roman" w:cs="Times New Roman"/>
          <w:sz w:val="24"/>
          <w:szCs w:val="24"/>
        </w:rPr>
        <w:t xml:space="preserve"> a further </w:t>
      </w:r>
      <w:r w:rsidR="00094B65" w:rsidRPr="00E73BB1">
        <w:rPr>
          <w:rFonts w:ascii="Times New Roman" w:hAnsi="Times New Roman" w:cs="Times New Roman"/>
          <w:sz w:val="24"/>
          <w:szCs w:val="24"/>
        </w:rPr>
        <w:t xml:space="preserve">3 </w:t>
      </w:r>
      <w:r w:rsidR="001306D5" w:rsidRPr="00E73BB1">
        <w:rPr>
          <w:rFonts w:ascii="Times New Roman" w:hAnsi="Times New Roman" w:cs="Times New Roman"/>
          <w:sz w:val="24"/>
          <w:szCs w:val="24"/>
        </w:rPr>
        <w:t>items that</w:t>
      </w:r>
      <w:r w:rsidR="00094B65" w:rsidRPr="00E73BB1">
        <w:rPr>
          <w:rFonts w:ascii="Times New Roman" w:hAnsi="Times New Roman" w:cs="Times New Roman"/>
          <w:sz w:val="24"/>
          <w:szCs w:val="24"/>
        </w:rPr>
        <w:t xml:space="preserve"> had intercorrelations &gt; .7</w:t>
      </w:r>
      <w:r w:rsidR="00D9093D" w:rsidRPr="00E73BB1">
        <w:rPr>
          <w:rFonts w:ascii="Times New Roman" w:hAnsi="Times New Roman" w:cs="Times New Roman"/>
          <w:sz w:val="24"/>
          <w:szCs w:val="24"/>
        </w:rPr>
        <w:t xml:space="preserve"> and overlap</w:t>
      </w:r>
      <w:r w:rsidR="00F95099" w:rsidRPr="00E73BB1">
        <w:rPr>
          <w:rFonts w:ascii="Times New Roman" w:hAnsi="Times New Roman" w:cs="Times New Roman"/>
          <w:sz w:val="24"/>
          <w:szCs w:val="24"/>
        </w:rPr>
        <w:t xml:space="preserve">ped </w:t>
      </w:r>
      <w:r w:rsidR="00FD6B3A" w:rsidRPr="00E73BB1">
        <w:rPr>
          <w:rFonts w:ascii="Times New Roman" w:hAnsi="Times New Roman" w:cs="Times New Roman"/>
          <w:sz w:val="24"/>
          <w:szCs w:val="24"/>
        </w:rPr>
        <w:t>conceptually</w:t>
      </w:r>
      <w:r w:rsidR="00D9093D" w:rsidRPr="00E73BB1">
        <w:rPr>
          <w:rFonts w:ascii="Times New Roman" w:hAnsi="Times New Roman" w:cs="Times New Roman"/>
          <w:sz w:val="24"/>
          <w:szCs w:val="24"/>
        </w:rPr>
        <w:t xml:space="preserve"> with other </w:t>
      </w:r>
      <w:r w:rsidR="0083420C" w:rsidRPr="00E73BB1">
        <w:rPr>
          <w:rFonts w:ascii="Times New Roman" w:hAnsi="Times New Roman" w:cs="Times New Roman"/>
          <w:sz w:val="24"/>
          <w:szCs w:val="24"/>
        </w:rPr>
        <w:t xml:space="preserve">retained </w:t>
      </w:r>
      <w:r w:rsidR="00D9093D" w:rsidRPr="00E73BB1">
        <w:rPr>
          <w:rFonts w:ascii="Times New Roman" w:hAnsi="Times New Roman" w:cs="Times New Roman"/>
          <w:sz w:val="24"/>
          <w:szCs w:val="24"/>
        </w:rPr>
        <w:t>items</w:t>
      </w:r>
      <w:r w:rsidR="004F26C4" w:rsidRPr="00E73BB1">
        <w:rPr>
          <w:rFonts w:ascii="Times New Roman" w:hAnsi="Times New Roman" w:cs="Times New Roman"/>
          <w:sz w:val="24"/>
          <w:szCs w:val="24"/>
        </w:rPr>
        <w:t xml:space="preserve"> (“</w:t>
      </w:r>
      <w:r w:rsidR="00171AD9" w:rsidRPr="00E73BB1">
        <w:rPr>
          <w:rFonts w:ascii="Times New Roman" w:hAnsi="Times New Roman" w:cs="Times New Roman"/>
          <w:sz w:val="24"/>
          <w:szCs w:val="24"/>
        </w:rPr>
        <w:t>Participate in group activities at school</w:t>
      </w:r>
      <w:r w:rsidR="004F26C4" w:rsidRPr="00E73BB1">
        <w:rPr>
          <w:rFonts w:ascii="Times New Roman" w:hAnsi="Times New Roman" w:cs="Times New Roman"/>
          <w:sz w:val="24"/>
          <w:szCs w:val="24"/>
        </w:rPr>
        <w:t>”</w:t>
      </w:r>
      <w:r w:rsidR="00171AD9" w:rsidRPr="00E73BB1">
        <w:rPr>
          <w:rFonts w:ascii="Times New Roman" w:hAnsi="Times New Roman" w:cs="Times New Roman"/>
          <w:sz w:val="24"/>
          <w:szCs w:val="24"/>
        </w:rPr>
        <w:t>, “Be able to concentrate on what I’m doing”</w:t>
      </w:r>
      <w:r w:rsidR="004F26C4" w:rsidRPr="00E73BB1">
        <w:rPr>
          <w:rFonts w:ascii="Times New Roman" w:hAnsi="Times New Roman" w:cs="Times New Roman"/>
          <w:sz w:val="24"/>
          <w:szCs w:val="24"/>
        </w:rPr>
        <w:t xml:space="preserve"> and “</w:t>
      </w:r>
      <w:r w:rsidR="00171AD9" w:rsidRPr="00E73BB1">
        <w:rPr>
          <w:rFonts w:ascii="Times New Roman" w:hAnsi="Times New Roman" w:cs="Times New Roman"/>
          <w:sz w:val="24"/>
          <w:szCs w:val="24"/>
        </w:rPr>
        <w:t>Eat with other people</w:t>
      </w:r>
      <w:r w:rsidR="004F26C4" w:rsidRPr="00E73BB1">
        <w:rPr>
          <w:rFonts w:ascii="Times New Roman" w:hAnsi="Times New Roman" w:cs="Times New Roman"/>
          <w:sz w:val="24"/>
          <w:szCs w:val="24"/>
        </w:rPr>
        <w:t>”)</w:t>
      </w:r>
      <w:r w:rsidR="00094B65" w:rsidRPr="00E73BB1">
        <w:rPr>
          <w:rFonts w:ascii="Times New Roman" w:hAnsi="Times New Roman" w:cs="Times New Roman"/>
          <w:sz w:val="24"/>
          <w:szCs w:val="24"/>
        </w:rPr>
        <w:t>.</w:t>
      </w:r>
      <w:r w:rsidR="005564D7" w:rsidRPr="00E73BB1">
        <w:rPr>
          <w:rFonts w:ascii="Times New Roman" w:hAnsi="Times New Roman" w:cs="Times New Roman"/>
          <w:sz w:val="24"/>
          <w:szCs w:val="24"/>
        </w:rPr>
        <w:t xml:space="preserve"> </w:t>
      </w:r>
      <w:r w:rsidRPr="00E73BB1">
        <w:rPr>
          <w:rFonts w:ascii="Times New Roman" w:hAnsi="Times New Roman" w:cs="Times New Roman"/>
          <w:sz w:val="24"/>
          <w:szCs w:val="24"/>
        </w:rPr>
        <w:t xml:space="preserve">We </w:t>
      </w:r>
      <w:r w:rsidR="000B55BE" w:rsidRPr="00E73BB1">
        <w:rPr>
          <w:rFonts w:ascii="Times New Roman" w:hAnsi="Times New Roman" w:cs="Times New Roman"/>
          <w:sz w:val="24"/>
          <w:szCs w:val="24"/>
        </w:rPr>
        <w:t>also</w:t>
      </w:r>
      <w:r w:rsidRPr="00E73BB1">
        <w:rPr>
          <w:rFonts w:ascii="Times New Roman" w:hAnsi="Times New Roman" w:cs="Times New Roman"/>
          <w:sz w:val="24"/>
          <w:szCs w:val="24"/>
        </w:rPr>
        <w:t xml:space="preserve"> removed a</w:t>
      </w:r>
      <w:r w:rsidR="00DF34B5" w:rsidRPr="00E73BB1">
        <w:rPr>
          <w:rFonts w:ascii="Times New Roman" w:hAnsi="Times New Roman" w:cs="Times New Roman"/>
          <w:sz w:val="24"/>
          <w:szCs w:val="24"/>
        </w:rPr>
        <w:t xml:space="preserve"> further item due to a number of low correlations</w:t>
      </w:r>
      <w:r w:rsidR="008C6A20" w:rsidRPr="00E73BB1">
        <w:rPr>
          <w:rFonts w:ascii="Times New Roman" w:hAnsi="Times New Roman" w:cs="Times New Roman"/>
          <w:sz w:val="24"/>
          <w:szCs w:val="24"/>
        </w:rPr>
        <w:t xml:space="preserve"> (≤ .3)</w:t>
      </w:r>
      <w:r w:rsidR="00082958" w:rsidRPr="00E73BB1">
        <w:rPr>
          <w:rFonts w:ascii="Times New Roman" w:hAnsi="Times New Roman" w:cs="Times New Roman"/>
          <w:sz w:val="24"/>
          <w:szCs w:val="24"/>
        </w:rPr>
        <w:t xml:space="preserve"> with other items</w:t>
      </w:r>
      <w:r w:rsidR="004F26C4" w:rsidRPr="00E73BB1">
        <w:rPr>
          <w:rFonts w:ascii="Times New Roman" w:hAnsi="Times New Roman" w:cs="Times New Roman"/>
          <w:sz w:val="24"/>
          <w:szCs w:val="24"/>
        </w:rPr>
        <w:t xml:space="preserve"> (“</w:t>
      </w:r>
      <w:r w:rsidR="00171AD9" w:rsidRPr="00E73BB1">
        <w:rPr>
          <w:rFonts w:ascii="Times New Roman" w:hAnsi="Times New Roman" w:cs="Times New Roman"/>
          <w:sz w:val="24"/>
          <w:szCs w:val="24"/>
        </w:rPr>
        <w:t>Complete homework</w:t>
      </w:r>
      <w:r w:rsidR="004F26C4" w:rsidRPr="00E73BB1">
        <w:rPr>
          <w:rFonts w:ascii="Times New Roman" w:hAnsi="Times New Roman" w:cs="Times New Roman"/>
          <w:sz w:val="24"/>
          <w:szCs w:val="24"/>
        </w:rPr>
        <w:t>”)</w:t>
      </w:r>
      <w:r w:rsidR="00DF34B5" w:rsidRPr="00E73BB1">
        <w:rPr>
          <w:rFonts w:ascii="Times New Roman" w:hAnsi="Times New Roman" w:cs="Times New Roman"/>
          <w:sz w:val="24"/>
          <w:szCs w:val="24"/>
        </w:rPr>
        <w:t xml:space="preserve">. </w:t>
      </w:r>
      <w:r w:rsidR="00455D56" w:rsidRPr="00E73BB1">
        <w:rPr>
          <w:rFonts w:ascii="Times New Roman" w:hAnsi="Times New Roman" w:cs="Times New Roman"/>
          <w:sz w:val="24"/>
          <w:szCs w:val="24"/>
        </w:rPr>
        <w:t xml:space="preserve">The remaining 11 items showed </w:t>
      </w:r>
      <w:r w:rsidR="005D7D57" w:rsidRPr="00E73BB1">
        <w:rPr>
          <w:rFonts w:ascii="Times New Roman" w:hAnsi="Times New Roman" w:cs="Times New Roman"/>
          <w:sz w:val="24"/>
          <w:szCs w:val="24"/>
        </w:rPr>
        <w:t>acceptable</w:t>
      </w:r>
      <w:r w:rsidR="00455D56" w:rsidRPr="00E73BB1">
        <w:rPr>
          <w:rFonts w:ascii="Times New Roman" w:hAnsi="Times New Roman" w:cs="Times New Roman"/>
          <w:sz w:val="24"/>
          <w:szCs w:val="24"/>
        </w:rPr>
        <w:t xml:space="preserve"> </w:t>
      </w:r>
      <w:r w:rsidR="005D7D57" w:rsidRPr="00E73BB1">
        <w:rPr>
          <w:rFonts w:ascii="Times New Roman" w:hAnsi="Times New Roman" w:cs="Times New Roman"/>
          <w:sz w:val="24"/>
          <w:szCs w:val="24"/>
        </w:rPr>
        <w:t>multi</w:t>
      </w:r>
      <w:r w:rsidR="00DF34B5" w:rsidRPr="00E73BB1">
        <w:rPr>
          <w:rFonts w:ascii="Times New Roman" w:hAnsi="Times New Roman" w:cs="Times New Roman"/>
          <w:sz w:val="24"/>
          <w:szCs w:val="24"/>
        </w:rPr>
        <w:t>collinearity</w:t>
      </w:r>
      <w:r w:rsidR="00455D56" w:rsidRPr="00E73BB1">
        <w:rPr>
          <w:rFonts w:ascii="Times New Roman" w:hAnsi="Times New Roman" w:cs="Times New Roman"/>
          <w:sz w:val="24"/>
          <w:szCs w:val="24"/>
        </w:rPr>
        <w:t xml:space="preserve"> according to </w:t>
      </w:r>
      <w:r w:rsidR="008C6A20" w:rsidRPr="00E73BB1">
        <w:rPr>
          <w:rFonts w:ascii="Times New Roman" w:hAnsi="Times New Roman" w:cs="Times New Roman"/>
          <w:sz w:val="24"/>
          <w:szCs w:val="24"/>
        </w:rPr>
        <w:t xml:space="preserve">the </w:t>
      </w:r>
      <w:r w:rsidR="00455D56" w:rsidRPr="00E73BB1">
        <w:rPr>
          <w:rFonts w:ascii="Times New Roman" w:hAnsi="Times New Roman" w:cs="Times New Roman"/>
          <w:sz w:val="24"/>
          <w:szCs w:val="24"/>
        </w:rPr>
        <w:t xml:space="preserve">determinant of the correlation matrix (.002), </w:t>
      </w:r>
      <w:r w:rsidR="008C6A20" w:rsidRPr="00E73BB1">
        <w:rPr>
          <w:rFonts w:ascii="Times New Roman" w:hAnsi="Times New Roman" w:cs="Times New Roman"/>
          <w:sz w:val="24"/>
          <w:szCs w:val="24"/>
        </w:rPr>
        <w:t>good</w:t>
      </w:r>
      <w:r w:rsidR="005D7D57" w:rsidRPr="00E73BB1">
        <w:rPr>
          <w:rFonts w:ascii="Times New Roman" w:hAnsi="Times New Roman" w:cs="Times New Roman"/>
          <w:sz w:val="24"/>
          <w:szCs w:val="24"/>
        </w:rPr>
        <w:t xml:space="preserve"> sampling adequacy (</w:t>
      </w:r>
      <w:r w:rsidR="00455D56" w:rsidRPr="00E73BB1">
        <w:rPr>
          <w:rFonts w:ascii="Times New Roman" w:hAnsi="Times New Roman" w:cs="Times New Roman"/>
          <w:sz w:val="24"/>
          <w:szCs w:val="24"/>
        </w:rPr>
        <w:t xml:space="preserve">KMO </w:t>
      </w:r>
      <w:r w:rsidR="005D7D57" w:rsidRPr="00E73BB1">
        <w:rPr>
          <w:rFonts w:ascii="Times New Roman" w:hAnsi="Times New Roman" w:cs="Times New Roman"/>
          <w:sz w:val="24"/>
          <w:szCs w:val="24"/>
        </w:rPr>
        <w:t>=</w:t>
      </w:r>
      <w:r w:rsidR="00455D56" w:rsidRPr="00E73BB1">
        <w:rPr>
          <w:rFonts w:ascii="Times New Roman" w:hAnsi="Times New Roman" w:cs="Times New Roman"/>
          <w:sz w:val="24"/>
          <w:szCs w:val="24"/>
        </w:rPr>
        <w:t xml:space="preserve"> .92</w:t>
      </w:r>
      <w:r w:rsidR="001A2DF5" w:rsidRPr="00E73BB1">
        <w:rPr>
          <w:rFonts w:ascii="Times New Roman" w:hAnsi="Times New Roman" w:cs="Times New Roman"/>
          <w:sz w:val="24"/>
          <w:szCs w:val="24"/>
        </w:rPr>
        <w:t>9</w:t>
      </w:r>
      <w:r w:rsidR="005D7D57" w:rsidRPr="00E73BB1">
        <w:rPr>
          <w:rFonts w:ascii="Times New Roman" w:hAnsi="Times New Roman" w:cs="Times New Roman"/>
          <w:sz w:val="24"/>
          <w:szCs w:val="24"/>
        </w:rPr>
        <w:t>)</w:t>
      </w:r>
      <w:r w:rsidR="00455D56" w:rsidRPr="00E73BB1">
        <w:rPr>
          <w:rFonts w:ascii="Times New Roman" w:hAnsi="Times New Roman" w:cs="Times New Roman"/>
          <w:sz w:val="24"/>
          <w:szCs w:val="24"/>
        </w:rPr>
        <w:t xml:space="preserve">, and </w:t>
      </w:r>
      <w:r w:rsidR="008C6A20" w:rsidRPr="00E73BB1">
        <w:rPr>
          <w:rFonts w:ascii="Times New Roman" w:hAnsi="Times New Roman" w:cs="Times New Roman"/>
          <w:sz w:val="24"/>
          <w:szCs w:val="24"/>
        </w:rPr>
        <w:t>significant B</w:t>
      </w:r>
      <w:r w:rsidR="00455D56" w:rsidRPr="00E73BB1">
        <w:rPr>
          <w:rFonts w:ascii="Times New Roman" w:hAnsi="Times New Roman" w:cs="Times New Roman"/>
          <w:sz w:val="24"/>
          <w:szCs w:val="24"/>
        </w:rPr>
        <w:t>artlett’s</w:t>
      </w:r>
      <w:r w:rsidR="005D7D57" w:rsidRPr="00E73BB1">
        <w:rPr>
          <w:rFonts w:ascii="Times New Roman" w:hAnsi="Times New Roman" w:cs="Times New Roman"/>
          <w:sz w:val="24"/>
          <w:szCs w:val="24"/>
        </w:rPr>
        <w:t xml:space="preserve"> test</w:t>
      </w:r>
      <w:r w:rsidR="00D9093D" w:rsidRPr="00E73BB1">
        <w:rPr>
          <w:rFonts w:ascii="Times New Roman" w:hAnsi="Times New Roman" w:cs="Times New Roman"/>
          <w:sz w:val="24"/>
          <w:szCs w:val="24"/>
        </w:rPr>
        <w:t>, χ</w:t>
      </w:r>
      <w:r w:rsidR="00D9093D" w:rsidRPr="00E73BB1">
        <w:rPr>
          <w:rFonts w:ascii="Times New Roman" w:hAnsi="Times New Roman" w:cs="Times New Roman"/>
          <w:sz w:val="24"/>
          <w:szCs w:val="24"/>
          <w:vertAlign w:val="superscript"/>
        </w:rPr>
        <w:t xml:space="preserve">2 </w:t>
      </w:r>
      <w:r w:rsidR="00D9093D" w:rsidRPr="00E73BB1">
        <w:rPr>
          <w:rFonts w:ascii="Times New Roman" w:hAnsi="Times New Roman" w:cs="Times New Roman"/>
          <w:sz w:val="24"/>
          <w:szCs w:val="24"/>
        </w:rPr>
        <w:t>(55)</w:t>
      </w:r>
      <w:r w:rsidRPr="00E73BB1">
        <w:rPr>
          <w:rFonts w:ascii="Times New Roman" w:hAnsi="Times New Roman" w:cs="Times New Roman"/>
          <w:sz w:val="24"/>
          <w:szCs w:val="24"/>
        </w:rPr>
        <w:t xml:space="preserve"> </w:t>
      </w:r>
      <w:r w:rsidR="00D9093D" w:rsidRPr="00E73BB1">
        <w:rPr>
          <w:rFonts w:ascii="Times New Roman" w:hAnsi="Times New Roman" w:cs="Times New Roman"/>
          <w:sz w:val="24"/>
          <w:szCs w:val="24"/>
        </w:rPr>
        <w:t>=</w:t>
      </w:r>
      <w:r w:rsidR="00455D56" w:rsidRPr="00E73BB1">
        <w:rPr>
          <w:rFonts w:ascii="Times New Roman" w:hAnsi="Times New Roman" w:cs="Times New Roman"/>
          <w:sz w:val="24"/>
          <w:szCs w:val="24"/>
        </w:rPr>
        <w:t xml:space="preserve"> </w:t>
      </w:r>
      <w:r w:rsidR="00454D70" w:rsidRPr="00E73BB1">
        <w:rPr>
          <w:rFonts w:ascii="Times New Roman" w:hAnsi="Times New Roman" w:cs="Times New Roman"/>
          <w:sz w:val="24"/>
          <w:szCs w:val="24"/>
        </w:rPr>
        <w:t>9092.542</w:t>
      </w:r>
      <w:r w:rsidR="00455D56" w:rsidRPr="00E73BB1">
        <w:rPr>
          <w:rFonts w:ascii="Times New Roman" w:hAnsi="Times New Roman" w:cs="Times New Roman"/>
          <w:sz w:val="24"/>
          <w:szCs w:val="24"/>
        </w:rPr>
        <w:t xml:space="preserve">, </w:t>
      </w:r>
      <w:r w:rsidR="00455D56" w:rsidRPr="00E73BB1">
        <w:rPr>
          <w:rFonts w:ascii="Times New Roman" w:hAnsi="Times New Roman" w:cs="Times New Roman"/>
          <w:i/>
          <w:sz w:val="24"/>
          <w:szCs w:val="24"/>
        </w:rPr>
        <w:t>p</w:t>
      </w:r>
      <w:r w:rsidR="0083420C" w:rsidRPr="00E73BB1">
        <w:rPr>
          <w:rFonts w:ascii="Times New Roman" w:hAnsi="Times New Roman" w:cs="Times New Roman"/>
          <w:sz w:val="24"/>
          <w:szCs w:val="24"/>
        </w:rPr>
        <w:t xml:space="preserve"> &lt; .001</w:t>
      </w:r>
      <w:r w:rsidR="004C1132" w:rsidRPr="00E73BB1">
        <w:rPr>
          <w:rFonts w:ascii="Times New Roman" w:hAnsi="Times New Roman" w:cs="Times New Roman"/>
          <w:sz w:val="24"/>
          <w:szCs w:val="24"/>
        </w:rPr>
        <w:t>.</w:t>
      </w:r>
    </w:p>
    <w:p w14:paraId="2B778850" w14:textId="3BC4C8B5" w:rsidR="003F37B5" w:rsidRPr="00E73BB1" w:rsidRDefault="00480E0C" w:rsidP="00FD4009">
      <w:pPr>
        <w:widowControl w:val="0"/>
        <w:spacing w:after="0" w:line="480" w:lineRule="auto"/>
        <w:rPr>
          <w:rFonts w:ascii="Times New Roman" w:hAnsi="Times New Roman" w:cs="Times New Roman"/>
          <w:sz w:val="24"/>
          <w:szCs w:val="24"/>
        </w:rPr>
      </w:pPr>
      <w:r w:rsidRPr="00E73BB1">
        <w:rPr>
          <w:rFonts w:ascii="Times New Roman" w:hAnsi="Times New Roman" w:cs="Times New Roman"/>
          <w:sz w:val="24"/>
          <w:szCs w:val="24"/>
        </w:rPr>
        <w:tab/>
      </w:r>
      <w:r w:rsidR="000B55BE" w:rsidRPr="00E73BB1">
        <w:rPr>
          <w:rFonts w:ascii="Times New Roman" w:hAnsi="Times New Roman" w:cs="Times New Roman"/>
          <w:sz w:val="24"/>
          <w:szCs w:val="24"/>
        </w:rPr>
        <w:t xml:space="preserve">An EFA was conducted on these 11 items. </w:t>
      </w:r>
      <w:r w:rsidR="00DA4EA7" w:rsidRPr="00E73BB1">
        <w:rPr>
          <w:rFonts w:ascii="Times New Roman" w:hAnsi="Times New Roman" w:cs="Times New Roman"/>
          <w:sz w:val="24"/>
          <w:szCs w:val="24"/>
        </w:rPr>
        <w:t xml:space="preserve">Factor extraction based on </w:t>
      </w:r>
      <w:r w:rsidR="00B2003E" w:rsidRPr="00E73BB1">
        <w:rPr>
          <w:rFonts w:ascii="Times New Roman" w:hAnsi="Times New Roman" w:cs="Times New Roman"/>
          <w:sz w:val="24"/>
          <w:szCs w:val="24"/>
        </w:rPr>
        <w:t>parallel analysis</w:t>
      </w:r>
      <w:r w:rsidR="002B5306" w:rsidRPr="00E73BB1">
        <w:rPr>
          <w:rFonts w:ascii="Times New Roman" w:hAnsi="Times New Roman" w:cs="Times New Roman"/>
          <w:sz w:val="24"/>
          <w:szCs w:val="24"/>
        </w:rPr>
        <w:t xml:space="preserve"> </w:t>
      </w:r>
      <w:r w:rsidR="009E1A56" w:rsidRPr="00E73BB1">
        <w:rPr>
          <w:rFonts w:ascii="Times New Roman" w:hAnsi="Times New Roman" w:cs="Times New Roman"/>
          <w:sz w:val="24"/>
          <w:szCs w:val="24"/>
        </w:rPr>
        <w:t xml:space="preserve">initially </w:t>
      </w:r>
      <w:r w:rsidR="00C616C2" w:rsidRPr="00E73BB1">
        <w:rPr>
          <w:rFonts w:ascii="Times New Roman" w:hAnsi="Times New Roman" w:cs="Times New Roman"/>
          <w:sz w:val="24"/>
          <w:szCs w:val="24"/>
        </w:rPr>
        <w:t xml:space="preserve">indicated </w:t>
      </w:r>
      <w:r w:rsidR="002B5306" w:rsidRPr="00E73BB1">
        <w:rPr>
          <w:rFonts w:ascii="Times New Roman" w:hAnsi="Times New Roman" w:cs="Times New Roman"/>
          <w:sz w:val="24"/>
          <w:szCs w:val="24"/>
        </w:rPr>
        <w:t>four</w:t>
      </w:r>
      <w:r w:rsidR="00C616C2" w:rsidRPr="00E73BB1">
        <w:rPr>
          <w:rFonts w:ascii="Times New Roman" w:hAnsi="Times New Roman" w:cs="Times New Roman"/>
          <w:sz w:val="24"/>
          <w:szCs w:val="24"/>
        </w:rPr>
        <w:t xml:space="preserve"> factors </w:t>
      </w:r>
      <w:r w:rsidR="002B5306" w:rsidRPr="00E73BB1">
        <w:rPr>
          <w:rFonts w:ascii="Times New Roman" w:hAnsi="Times New Roman" w:cs="Times New Roman"/>
          <w:sz w:val="24"/>
          <w:szCs w:val="24"/>
        </w:rPr>
        <w:t xml:space="preserve">for </w:t>
      </w:r>
      <w:r w:rsidR="009E1A56" w:rsidRPr="00E73BB1">
        <w:rPr>
          <w:rFonts w:ascii="Times New Roman" w:hAnsi="Times New Roman" w:cs="Times New Roman"/>
          <w:sz w:val="24"/>
          <w:szCs w:val="24"/>
        </w:rPr>
        <w:t>retention</w:t>
      </w:r>
      <w:r w:rsidR="00C616C2" w:rsidRPr="00E73BB1">
        <w:rPr>
          <w:rFonts w:ascii="Times New Roman" w:hAnsi="Times New Roman" w:cs="Times New Roman"/>
          <w:sz w:val="24"/>
          <w:szCs w:val="24"/>
        </w:rPr>
        <w:t xml:space="preserve">. However, </w:t>
      </w:r>
      <w:r w:rsidR="009E1A56" w:rsidRPr="00E73BB1">
        <w:rPr>
          <w:rFonts w:ascii="Times New Roman" w:hAnsi="Times New Roman" w:cs="Times New Roman"/>
          <w:sz w:val="24"/>
          <w:szCs w:val="24"/>
        </w:rPr>
        <w:t>factors 3 and 4 were removed</w:t>
      </w:r>
      <w:r w:rsidR="00C616C2" w:rsidRPr="00E73BB1">
        <w:rPr>
          <w:rFonts w:ascii="Times New Roman" w:hAnsi="Times New Roman" w:cs="Times New Roman"/>
          <w:sz w:val="24"/>
          <w:szCs w:val="24"/>
        </w:rPr>
        <w:t xml:space="preserve"> </w:t>
      </w:r>
      <w:r w:rsidR="009E1A56" w:rsidRPr="00E73BB1">
        <w:rPr>
          <w:rFonts w:ascii="Times New Roman" w:hAnsi="Times New Roman" w:cs="Times New Roman"/>
          <w:sz w:val="24"/>
          <w:szCs w:val="24"/>
        </w:rPr>
        <w:t xml:space="preserve">due to each </w:t>
      </w:r>
      <w:r w:rsidR="002B5306" w:rsidRPr="00E73BB1">
        <w:rPr>
          <w:rFonts w:ascii="Times New Roman" w:hAnsi="Times New Roman" w:cs="Times New Roman"/>
          <w:sz w:val="24"/>
          <w:szCs w:val="24"/>
        </w:rPr>
        <w:t xml:space="preserve">explaining </w:t>
      </w:r>
      <w:r w:rsidR="00B2003E" w:rsidRPr="00E73BB1">
        <w:rPr>
          <w:rFonts w:ascii="Times New Roman" w:hAnsi="Times New Roman" w:cs="Times New Roman"/>
          <w:sz w:val="24"/>
          <w:szCs w:val="24"/>
        </w:rPr>
        <w:t>&lt;</w:t>
      </w:r>
      <w:r w:rsidR="009E1A56" w:rsidRPr="00E73BB1">
        <w:rPr>
          <w:rFonts w:ascii="Times New Roman" w:hAnsi="Times New Roman" w:cs="Times New Roman"/>
          <w:sz w:val="24"/>
          <w:szCs w:val="24"/>
        </w:rPr>
        <w:t>3</w:t>
      </w:r>
      <w:r w:rsidR="002B5306" w:rsidRPr="00E73BB1">
        <w:rPr>
          <w:rFonts w:ascii="Times New Roman" w:hAnsi="Times New Roman" w:cs="Times New Roman"/>
          <w:sz w:val="24"/>
          <w:szCs w:val="24"/>
        </w:rPr>
        <w:t>%</w:t>
      </w:r>
      <w:r w:rsidR="00B2003E" w:rsidRPr="00E73BB1">
        <w:rPr>
          <w:rFonts w:ascii="Times New Roman" w:hAnsi="Times New Roman" w:cs="Times New Roman"/>
          <w:sz w:val="24"/>
          <w:szCs w:val="24"/>
        </w:rPr>
        <w:t xml:space="preserve"> of variance</w:t>
      </w:r>
      <w:r w:rsidR="009E1A56" w:rsidRPr="00E73BB1">
        <w:rPr>
          <w:rFonts w:ascii="Times New Roman" w:hAnsi="Times New Roman" w:cs="Times New Roman"/>
          <w:sz w:val="24"/>
          <w:szCs w:val="24"/>
        </w:rPr>
        <w:t>, and factor 2 was removed due to all items loading &lt;.4</w:t>
      </w:r>
      <w:r w:rsidR="000B55BE" w:rsidRPr="00E73BB1">
        <w:rPr>
          <w:rFonts w:ascii="Times New Roman" w:hAnsi="Times New Roman" w:cs="Times New Roman"/>
          <w:sz w:val="24"/>
          <w:szCs w:val="24"/>
        </w:rPr>
        <w:t>. This</w:t>
      </w:r>
      <w:r w:rsidR="0046062A" w:rsidRPr="00E73BB1">
        <w:rPr>
          <w:rFonts w:ascii="Times New Roman" w:hAnsi="Times New Roman" w:cs="Times New Roman"/>
          <w:sz w:val="24"/>
          <w:szCs w:val="24"/>
        </w:rPr>
        <w:t xml:space="preserve"> resulted in</w:t>
      </w:r>
      <w:r w:rsidR="005D7D57" w:rsidRPr="00E73BB1">
        <w:rPr>
          <w:rFonts w:ascii="Times New Roman" w:hAnsi="Times New Roman" w:cs="Times New Roman"/>
          <w:sz w:val="24"/>
          <w:szCs w:val="24"/>
        </w:rPr>
        <w:t xml:space="preserve"> a </w:t>
      </w:r>
      <w:r w:rsidR="00B307C9" w:rsidRPr="00E73BB1">
        <w:rPr>
          <w:rFonts w:ascii="Times New Roman" w:hAnsi="Times New Roman" w:cs="Times New Roman"/>
          <w:sz w:val="24"/>
          <w:szCs w:val="24"/>
        </w:rPr>
        <w:t xml:space="preserve">single factor </w:t>
      </w:r>
      <w:r w:rsidR="005D7D57" w:rsidRPr="00E73BB1">
        <w:rPr>
          <w:rFonts w:ascii="Times New Roman" w:hAnsi="Times New Roman" w:cs="Times New Roman"/>
          <w:sz w:val="24"/>
          <w:szCs w:val="24"/>
        </w:rPr>
        <w:t>solution</w:t>
      </w:r>
      <w:r w:rsidR="00B307C9" w:rsidRPr="00E73BB1">
        <w:rPr>
          <w:rFonts w:ascii="Times New Roman" w:hAnsi="Times New Roman" w:cs="Times New Roman"/>
          <w:sz w:val="24"/>
          <w:szCs w:val="24"/>
        </w:rPr>
        <w:t xml:space="preserve">, </w:t>
      </w:r>
      <w:r w:rsidR="00E069B4" w:rsidRPr="00E73BB1">
        <w:rPr>
          <w:rFonts w:ascii="Times New Roman" w:hAnsi="Times New Roman" w:cs="Times New Roman"/>
          <w:sz w:val="24"/>
          <w:szCs w:val="24"/>
        </w:rPr>
        <w:t xml:space="preserve">explaining </w:t>
      </w:r>
      <w:r w:rsidR="0050275E" w:rsidRPr="00E73BB1">
        <w:rPr>
          <w:rFonts w:ascii="Times New Roman" w:hAnsi="Times New Roman" w:cs="Times New Roman"/>
          <w:sz w:val="24"/>
          <w:szCs w:val="24"/>
        </w:rPr>
        <w:t>a total variance of</w:t>
      </w:r>
      <w:r w:rsidR="00082958" w:rsidRPr="00E73BB1">
        <w:rPr>
          <w:rFonts w:ascii="Times New Roman" w:hAnsi="Times New Roman" w:cs="Times New Roman"/>
          <w:sz w:val="24"/>
          <w:szCs w:val="24"/>
        </w:rPr>
        <w:t xml:space="preserve"> </w:t>
      </w:r>
      <w:r w:rsidR="00C616C2" w:rsidRPr="00E73BB1">
        <w:rPr>
          <w:rFonts w:ascii="Times New Roman" w:hAnsi="Times New Roman" w:cs="Times New Roman"/>
          <w:sz w:val="24"/>
          <w:szCs w:val="24"/>
        </w:rPr>
        <w:t>96.3</w:t>
      </w:r>
      <w:r w:rsidR="0050275E" w:rsidRPr="00E73BB1">
        <w:rPr>
          <w:rFonts w:ascii="Times New Roman" w:hAnsi="Times New Roman" w:cs="Times New Roman"/>
          <w:sz w:val="24"/>
          <w:szCs w:val="24"/>
        </w:rPr>
        <w:t>%</w:t>
      </w:r>
      <w:r w:rsidR="0059763B" w:rsidRPr="00E73BB1">
        <w:rPr>
          <w:rFonts w:ascii="Times New Roman" w:hAnsi="Times New Roman" w:cs="Times New Roman"/>
          <w:sz w:val="24"/>
          <w:szCs w:val="24"/>
        </w:rPr>
        <w:t xml:space="preserve"> (eigenvalue = </w:t>
      </w:r>
      <w:r w:rsidR="00C616C2" w:rsidRPr="00E73BB1">
        <w:rPr>
          <w:rFonts w:ascii="Times New Roman" w:hAnsi="Times New Roman" w:cs="Times New Roman"/>
          <w:sz w:val="24"/>
          <w:szCs w:val="24"/>
        </w:rPr>
        <w:t>5.65</w:t>
      </w:r>
      <w:r w:rsidR="0059763B" w:rsidRPr="00E73BB1">
        <w:rPr>
          <w:rFonts w:ascii="Times New Roman" w:hAnsi="Times New Roman" w:cs="Times New Roman"/>
          <w:sz w:val="24"/>
          <w:szCs w:val="24"/>
        </w:rPr>
        <w:t>)</w:t>
      </w:r>
      <w:r w:rsidR="00B84768" w:rsidRPr="00E73BB1">
        <w:rPr>
          <w:rFonts w:ascii="Times New Roman" w:hAnsi="Times New Roman" w:cs="Times New Roman"/>
          <w:sz w:val="24"/>
          <w:szCs w:val="24"/>
        </w:rPr>
        <w:t>.</w:t>
      </w:r>
      <w:r w:rsidR="005D7D57" w:rsidRPr="00E73BB1">
        <w:rPr>
          <w:rFonts w:ascii="Times New Roman" w:hAnsi="Times New Roman" w:cs="Times New Roman"/>
          <w:sz w:val="24"/>
          <w:szCs w:val="24"/>
        </w:rPr>
        <w:t xml:space="preserve"> </w:t>
      </w:r>
      <w:r w:rsidR="00E069B4" w:rsidRPr="00E73BB1">
        <w:rPr>
          <w:rFonts w:ascii="Times New Roman" w:hAnsi="Times New Roman" w:cs="Times New Roman"/>
          <w:sz w:val="24"/>
          <w:szCs w:val="24"/>
        </w:rPr>
        <w:lastRenderedPageBreak/>
        <w:t>Factor loa</w:t>
      </w:r>
      <w:r w:rsidR="00D10449" w:rsidRPr="00E73BB1">
        <w:rPr>
          <w:rFonts w:ascii="Times New Roman" w:hAnsi="Times New Roman" w:cs="Times New Roman"/>
          <w:sz w:val="24"/>
          <w:szCs w:val="24"/>
        </w:rPr>
        <w:t xml:space="preserve">dings </w:t>
      </w:r>
      <w:r w:rsidR="0065798A" w:rsidRPr="00E73BB1">
        <w:rPr>
          <w:rFonts w:ascii="Times New Roman" w:hAnsi="Times New Roman" w:cs="Times New Roman"/>
          <w:sz w:val="24"/>
          <w:szCs w:val="24"/>
        </w:rPr>
        <w:t>were all above .6,</w:t>
      </w:r>
      <w:r w:rsidR="006477A6" w:rsidRPr="00E73BB1">
        <w:rPr>
          <w:rFonts w:ascii="Times New Roman" w:hAnsi="Times New Roman" w:cs="Times New Roman"/>
          <w:sz w:val="24"/>
          <w:szCs w:val="24"/>
        </w:rPr>
        <w:t xml:space="preserve"> </w:t>
      </w:r>
      <w:r w:rsidR="0065798A" w:rsidRPr="00E73BB1">
        <w:rPr>
          <w:rFonts w:ascii="Times New Roman" w:hAnsi="Times New Roman" w:cs="Times New Roman"/>
          <w:sz w:val="24"/>
          <w:szCs w:val="24"/>
        </w:rPr>
        <w:t>exceeding</w:t>
      </w:r>
      <w:r w:rsidR="00E069B4" w:rsidRPr="00E73BB1">
        <w:rPr>
          <w:rFonts w:ascii="Times New Roman" w:hAnsi="Times New Roman" w:cs="Times New Roman"/>
          <w:sz w:val="24"/>
          <w:szCs w:val="24"/>
        </w:rPr>
        <w:t xml:space="preserve"> the </w:t>
      </w:r>
      <w:r w:rsidR="0059763B" w:rsidRPr="00E73BB1">
        <w:rPr>
          <w:rFonts w:ascii="Times New Roman" w:hAnsi="Times New Roman" w:cs="Times New Roman"/>
          <w:sz w:val="24"/>
          <w:szCs w:val="24"/>
        </w:rPr>
        <w:t>minimum</w:t>
      </w:r>
      <w:r w:rsidR="00E069B4" w:rsidRPr="00E73BB1">
        <w:rPr>
          <w:rFonts w:ascii="Times New Roman" w:hAnsi="Times New Roman" w:cs="Times New Roman"/>
          <w:sz w:val="24"/>
          <w:szCs w:val="24"/>
        </w:rPr>
        <w:t xml:space="preserve"> level required for retention. </w:t>
      </w:r>
      <w:r w:rsidR="003F6094" w:rsidRPr="00E73BB1">
        <w:rPr>
          <w:rFonts w:ascii="Times New Roman" w:hAnsi="Times New Roman" w:cs="Times New Roman"/>
          <w:sz w:val="24"/>
          <w:szCs w:val="24"/>
        </w:rPr>
        <w:t>Nevertheless</w:t>
      </w:r>
      <w:r w:rsidR="008C6A20" w:rsidRPr="00E73BB1">
        <w:rPr>
          <w:rFonts w:ascii="Times New Roman" w:hAnsi="Times New Roman" w:cs="Times New Roman"/>
          <w:sz w:val="24"/>
          <w:szCs w:val="24"/>
        </w:rPr>
        <w:t>, inspection of the anti-image correlation matrix indicated three item-pairs</w:t>
      </w:r>
      <w:r w:rsidR="00823A42" w:rsidRPr="00E73BB1">
        <w:rPr>
          <w:rFonts w:ascii="Times New Roman" w:hAnsi="Times New Roman" w:cs="Times New Roman"/>
          <w:sz w:val="24"/>
          <w:szCs w:val="24"/>
        </w:rPr>
        <w:t xml:space="preserve"> </w:t>
      </w:r>
      <w:r w:rsidR="00675BA4" w:rsidRPr="00E73BB1">
        <w:rPr>
          <w:rFonts w:ascii="Times New Roman" w:hAnsi="Times New Roman" w:cs="Times New Roman"/>
          <w:sz w:val="24"/>
          <w:szCs w:val="24"/>
        </w:rPr>
        <w:t>with high correlations (</w:t>
      </w:r>
      <w:r w:rsidR="008C6A20" w:rsidRPr="00E73BB1">
        <w:rPr>
          <w:rFonts w:ascii="Times New Roman" w:hAnsi="Times New Roman" w:cs="Times New Roman"/>
          <w:sz w:val="24"/>
          <w:szCs w:val="24"/>
        </w:rPr>
        <w:t>correlated more with each other than with other items</w:t>
      </w:r>
      <w:r w:rsidR="003F6094" w:rsidRPr="00E73BB1">
        <w:rPr>
          <w:rFonts w:ascii="Times New Roman" w:hAnsi="Times New Roman" w:cs="Times New Roman"/>
          <w:sz w:val="24"/>
          <w:szCs w:val="24"/>
        </w:rPr>
        <w:t>, r &gt; .3</w:t>
      </w:r>
      <w:r w:rsidR="008C6A20" w:rsidRPr="00E73BB1">
        <w:rPr>
          <w:rFonts w:ascii="Times New Roman" w:hAnsi="Times New Roman" w:cs="Times New Roman"/>
          <w:sz w:val="24"/>
          <w:szCs w:val="24"/>
        </w:rPr>
        <w:t xml:space="preserve">), demonstrating </w:t>
      </w:r>
      <w:r w:rsidR="00823A42" w:rsidRPr="00E73BB1">
        <w:rPr>
          <w:rFonts w:ascii="Times New Roman" w:hAnsi="Times New Roman" w:cs="Times New Roman"/>
          <w:sz w:val="24"/>
          <w:szCs w:val="24"/>
        </w:rPr>
        <w:t xml:space="preserve">potential </w:t>
      </w:r>
      <w:r w:rsidR="008C6A20" w:rsidRPr="00E73BB1">
        <w:rPr>
          <w:rFonts w:ascii="Times New Roman" w:hAnsi="Times New Roman" w:cs="Times New Roman"/>
          <w:sz w:val="24"/>
          <w:szCs w:val="24"/>
        </w:rPr>
        <w:t>statistical redundancy. After reviewing content</w:t>
      </w:r>
      <w:r w:rsidR="00C7405C" w:rsidRPr="00E73BB1">
        <w:rPr>
          <w:rFonts w:ascii="Times New Roman" w:hAnsi="Times New Roman" w:cs="Times New Roman"/>
          <w:sz w:val="24"/>
          <w:szCs w:val="24"/>
        </w:rPr>
        <w:t xml:space="preserve"> of these items</w:t>
      </w:r>
      <w:r w:rsidR="008C6A20" w:rsidRPr="00E73BB1">
        <w:rPr>
          <w:rFonts w:ascii="Times New Roman" w:hAnsi="Times New Roman" w:cs="Times New Roman"/>
          <w:sz w:val="24"/>
          <w:szCs w:val="24"/>
        </w:rPr>
        <w:t xml:space="preserve">, we retained </w:t>
      </w:r>
      <w:r w:rsidR="00675BA4" w:rsidRPr="00E73BB1">
        <w:rPr>
          <w:rFonts w:ascii="Times New Roman" w:hAnsi="Times New Roman" w:cs="Times New Roman"/>
          <w:sz w:val="24"/>
          <w:szCs w:val="24"/>
        </w:rPr>
        <w:t>both items from two of</w:t>
      </w:r>
      <w:r w:rsidR="008C6A20" w:rsidRPr="00E73BB1">
        <w:rPr>
          <w:rFonts w:ascii="Times New Roman" w:hAnsi="Times New Roman" w:cs="Times New Roman"/>
          <w:sz w:val="24"/>
          <w:szCs w:val="24"/>
        </w:rPr>
        <w:t xml:space="preserve"> </w:t>
      </w:r>
      <w:r w:rsidR="00C7405C" w:rsidRPr="00E73BB1">
        <w:rPr>
          <w:rFonts w:ascii="Times New Roman" w:hAnsi="Times New Roman" w:cs="Times New Roman"/>
          <w:sz w:val="24"/>
          <w:szCs w:val="24"/>
        </w:rPr>
        <w:t>the</w:t>
      </w:r>
      <w:r w:rsidR="008C6A20" w:rsidRPr="00E73BB1">
        <w:rPr>
          <w:rFonts w:ascii="Times New Roman" w:hAnsi="Times New Roman" w:cs="Times New Roman"/>
          <w:sz w:val="24"/>
          <w:szCs w:val="24"/>
        </w:rPr>
        <w:t xml:space="preserve"> item pairs</w:t>
      </w:r>
      <w:r w:rsidR="005D7D57" w:rsidRPr="00E73BB1">
        <w:rPr>
          <w:rFonts w:ascii="Times New Roman" w:hAnsi="Times New Roman" w:cs="Times New Roman"/>
          <w:sz w:val="24"/>
          <w:szCs w:val="24"/>
        </w:rPr>
        <w:t xml:space="preserve"> on the basis of </w:t>
      </w:r>
      <w:r w:rsidR="00604E37" w:rsidRPr="00E73BB1">
        <w:rPr>
          <w:rFonts w:ascii="Times New Roman" w:hAnsi="Times New Roman" w:cs="Times New Roman"/>
          <w:sz w:val="24"/>
          <w:szCs w:val="24"/>
        </w:rPr>
        <w:t>conceptual importance</w:t>
      </w:r>
      <w:r w:rsidR="00C7405C" w:rsidRPr="00E73BB1">
        <w:rPr>
          <w:rFonts w:ascii="Times New Roman" w:hAnsi="Times New Roman" w:cs="Times New Roman"/>
          <w:sz w:val="24"/>
          <w:szCs w:val="24"/>
        </w:rPr>
        <w:t>, however</w:t>
      </w:r>
      <w:r w:rsidR="00830D3F" w:rsidRPr="00E73BB1">
        <w:rPr>
          <w:rFonts w:ascii="Times New Roman" w:hAnsi="Times New Roman" w:cs="Times New Roman"/>
          <w:sz w:val="24"/>
          <w:szCs w:val="24"/>
        </w:rPr>
        <w:t>, we</w:t>
      </w:r>
      <w:r w:rsidR="00C7405C" w:rsidRPr="00E73BB1">
        <w:rPr>
          <w:rFonts w:ascii="Times New Roman" w:hAnsi="Times New Roman" w:cs="Times New Roman"/>
          <w:sz w:val="24"/>
          <w:szCs w:val="24"/>
        </w:rPr>
        <w:t xml:space="preserve"> </w:t>
      </w:r>
      <w:r w:rsidR="00823A42" w:rsidRPr="00E73BB1">
        <w:rPr>
          <w:rFonts w:ascii="Times New Roman" w:hAnsi="Times New Roman" w:cs="Times New Roman"/>
          <w:sz w:val="24"/>
          <w:szCs w:val="24"/>
        </w:rPr>
        <w:t xml:space="preserve">decided to remove </w:t>
      </w:r>
      <w:r w:rsidR="00675BA4" w:rsidRPr="00E73BB1">
        <w:rPr>
          <w:rFonts w:ascii="Times New Roman" w:hAnsi="Times New Roman" w:cs="Times New Roman"/>
          <w:sz w:val="24"/>
          <w:szCs w:val="24"/>
        </w:rPr>
        <w:t>one item</w:t>
      </w:r>
      <w:r w:rsidR="003A6B76" w:rsidRPr="00E73BB1">
        <w:rPr>
          <w:rFonts w:ascii="Times New Roman" w:hAnsi="Times New Roman" w:cs="Times New Roman"/>
          <w:sz w:val="24"/>
          <w:szCs w:val="24"/>
        </w:rPr>
        <w:t xml:space="preserve"> (“Try out for a team or club”)</w:t>
      </w:r>
      <w:r w:rsidR="00675BA4" w:rsidRPr="00E73BB1">
        <w:rPr>
          <w:rFonts w:ascii="Times New Roman" w:hAnsi="Times New Roman" w:cs="Times New Roman"/>
          <w:sz w:val="24"/>
          <w:szCs w:val="24"/>
        </w:rPr>
        <w:t xml:space="preserve"> from the remaining pair </w:t>
      </w:r>
      <w:r w:rsidR="000B55BE" w:rsidRPr="00E73BB1">
        <w:rPr>
          <w:rFonts w:ascii="Times New Roman" w:hAnsi="Times New Roman" w:cs="Times New Roman"/>
          <w:sz w:val="24"/>
          <w:szCs w:val="24"/>
        </w:rPr>
        <w:t xml:space="preserve">due to potential ambiguity (i.e., </w:t>
      </w:r>
      <w:r w:rsidR="003A6B76" w:rsidRPr="00E73BB1">
        <w:rPr>
          <w:rFonts w:ascii="Times New Roman" w:hAnsi="Times New Roman" w:cs="Times New Roman"/>
          <w:sz w:val="24"/>
          <w:szCs w:val="24"/>
        </w:rPr>
        <w:t>“try out” may have led students to perceive this as only relating to sports teams/clubs and contributing to the overlap with</w:t>
      </w:r>
      <w:r w:rsidR="006745D9" w:rsidRPr="00E73BB1">
        <w:rPr>
          <w:rFonts w:ascii="Times New Roman" w:hAnsi="Times New Roman" w:cs="Times New Roman"/>
          <w:sz w:val="24"/>
          <w:szCs w:val="24"/>
        </w:rPr>
        <w:t xml:space="preserve"> the previous question</w:t>
      </w:r>
      <w:r w:rsidR="003A6B76" w:rsidRPr="00E73BB1">
        <w:rPr>
          <w:rFonts w:ascii="Times New Roman" w:hAnsi="Times New Roman" w:cs="Times New Roman"/>
          <w:sz w:val="24"/>
          <w:szCs w:val="24"/>
        </w:rPr>
        <w:t xml:space="preserve"> “Do a sport or physical activity”</w:t>
      </w:r>
      <w:r w:rsidR="000B55BE" w:rsidRPr="00E73BB1">
        <w:rPr>
          <w:rFonts w:ascii="Times New Roman" w:hAnsi="Times New Roman" w:cs="Times New Roman"/>
          <w:sz w:val="24"/>
          <w:szCs w:val="24"/>
        </w:rPr>
        <w:t>)</w:t>
      </w:r>
      <w:r w:rsidR="003A6B76" w:rsidRPr="00E73BB1">
        <w:rPr>
          <w:rFonts w:ascii="Times New Roman" w:hAnsi="Times New Roman" w:cs="Times New Roman"/>
          <w:sz w:val="24"/>
          <w:szCs w:val="24"/>
        </w:rPr>
        <w:t>.</w:t>
      </w:r>
      <w:r w:rsidR="008C6A20" w:rsidRPr="00E73BB1">
        <w:rPr>
          <w:rFonts w:ascii="Times New Roman" w:hAnsi="Times New Roman" w:cs="Times New Roman"/>
          <w:sz w:val="24"/>
          <w:szCs w:val="24"/>
        </w:rPr>
        <w:t xml:space="preserve"> </w:t>
      </w:r>
      <w:r w:rsidR="003F37B5" w:rsidRPr="00E73BB1">
        <w:rPr>
          <w:rFonts w:ascii="Times New Roman" w:hAnsi="Times New Roman" w:cs="Times New Roman"/>
          <w:sz w:val="24"/>
          <w:szCs w:val="24"/>
        </w:rPr>
        <w:t>At this point we also removed</w:t>
      </w:r>
      <w:r w:rsidR="00CC78E6" w:rsidRPr="00E73BB1">
        <w:rPr>
          <w:rFonts w:ascii="Times New Roman" w:hAnsi="Times New Roman" w:cs="Times New Roman"/>
          <w:sz w:val="24"/>
          <w:szCs w:val="24"/>
        </w:rPr>
        <w:t xml:space="preserve"> </w:t>
      </w:r>
      <w:r w:rsidR="0059763B" w:rsidRPr="00E73BB1">
        <w:rPr>
          <w:rFonts w:ascii="Times New Roman" w:hAnsi="Times New Roman" w:cs="Times New Roman"/>
          <w:sz w:val="24"/>
          <w:szCs w:val="24"/>
        </w:rPr>
        <w:t>the item related to talking or going out with the opposite sex</w:t>
      </w:r>
      <w:r w:rsidR="003F37B5" w:rsidRPr="00E73BB1">
        <w:rPr>
          <w:rFonts w:ascii="Times New Roman" w:hAnsi="Times New Roman" w:cs="Times New Roman"/>
          <w:sz w:val="24"/>
          <w:szCs w:val="24"/>
        </w:rPr>
        <w:t>,</w:t>
      </w:r>
      <w:r w:rsidR="0059763B" w:rsidRPr="00E73BB1">
        <w:rPr>
          <w:rFonts w:ascii="Times New Roman" w:hAnsi="Times New Roman" w:cs="Times New Roman"/>
          <w:sz w:val="24"/>
          <w:szCs w:val="24"/>
        </w:rPr>
        <w:t xml:space="preserve"> </w:t>
      </w:r>
      <w:r w:rsidR="00CC78E6" w:rsidRPr="00E73BB1">
        <w:rPr>
          <w:rFonts w:ascii="Times New Roman" w:hAnsi="Times New Roman" w:cs="Times New Roman"/>
          <w:sz w:val="24"/>
          <w:szCs w:val="24"/>
        </w:rPr>
        <w:t>given the relatively high rate of missing data indicating it</w:t>
      </w:r>
      <w:r w:rsidR="0059763B" w:rsidRPr="00E73BB1">
        <w:rPr>
          <w:rFonts w:ascii="Times New Roman" w:hAnsi="Times New Roman" w:cs="Times New Roman"/>
          <w:sz w:val="24"/>
          <w:szCs w:val="24"/>
        </w:rPr>
        <w:t xml:space="preserve"> may </w:t>
      </w:r>
      <w:r w:rsidR="00D02382" w:rsidRPr="00E73BB1">
        <w:rPr>
          <w:rFonts w:ascii="Times New Roman" w:hAnsi="Times New Roman" w:cs="Times New Roman"/>
          <w:sz w:val="24"/>
          <w:szCs w:val="24"/>
        </w:rPr>
        <w:t>be less</w:t>
      </w:r>
      <w:r w:rsidR="0059763B" w:rsidRPr="00E73BB1">
        <w:rPr>
          <w:rFonts w:ascii="Times New Roman" w:hAnsi="Times New Roman" w:cs="Times New Roman"/>
          <w:sz w:val="24"/>
          <w:szCs w:val="24"/>
        </w:rPr>
        <w:t xml:space="preserve"> appropria</w:t>
      </w:r>
      <w:r w:rsidR="00553FA3" w:rsidRPr="00E73BB1">
        <w:rPr>
          <w:rFonts w:ascii="Times New Roman" w:hAnsi="Times New Roman" w:cs="Times New Roman"/>
          <w:sz w:val="24"/>
          <w:szCs w:val="24"/>
        </w:rPr>
        <w:t>te for early adolescents</w:t>
      </w:r>
      <w:r w:rsidR="003F37B5" w:rsidRPr="00E73BB1">
        <w:rPr>
          <w:rFonts w:ascii="Times New Roman" w:hAnsi="Times New Roman" w:cs="Times New Roman"/>
          <w:sz w:val="24"/>
          <w:szCs w:val="24"/>
        </w:rPr>
        <w:t xml:space="preserve"> and, in hindsight, that </w:t>
      </w:r>
      <w:r w:rsidR="00830D3F" w:rsidRPr="00E73BB1">
        <w:rPr>
          <w:rFonts w:ascii="Times New Roman" w:hAnsi="Times New Roman" w:cs="Times New Roman"/>
          <w:sz w:val="24"/>
          <w:szCs w:val="24"/>
        </w:rPr>
        <w:t xml:space="preserve">the wording of this item was </w:t>
      </w:r>
      <w:r w:rsidR="001F25D9" w:rsidRPr="00E73BB1">
        <w:rPr>
          <w:rFonts w:ascii="Times New Roman" w:hAnsi="Times New Roman" w:cs="Times New Roman"/>
          <w:sz w:val="24"/>
          <w:szCs w:val="24"/>
        </w:rPr>
        <w:t>problematic due to its</w:t>
      </w:r>
      <w:r w:rsidR="00830D3F" w:rsidRPr="00E73BB1">
        <w:rPr>
          <w:rFonts w:ascii="Times New Roman" w:hAnsi="Times New Roman" w:cs="Times New Roman"/>
          <w:sz w:val="24"/>
          <w:szCs w:val="24"/>
        </w:rPr>
        <w:t xml:space="preserve"> heteronormativ</w:t>
      </w:r>
      <w:r w:rsidR="001F25D9" w:rsidRPr="00E73BB1">
        <w:rPr>
          <w:rFonts w:ascii="Times New Roman" w:hAnsi="Times New Roman" w:cs="Times New Roman"/>
          <w:sz w:val="24"/>
          <w:szCs w:val="24"/>
        </w:rPr>
        <w:t>e phrasing</w:t>
      </w:r>
      <w:r w:rsidR="00830D3F" w:rsidRPr="00E73BB1">
        <w:rPr>
          <w:rFonts w:ascii="Times New Roman" w:hAnsi="Times New Roman" w:cs="Times New Roman"/>
          <w:sz w:val="24"/>
          <w:szCs w:val="24"/>
        </w:rPr>
        <w:t xml:space="preserve">. </w:t>
      </w:r>
    </w:p>
    <w:p w14:paraId="3249F704" w14:textId="564B4454" w:rsidR="0059763B" w:rsidRPr="00E73BB1" w:rsidRDefault="003F37B5" w:rsidP="003F37B5">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Thus</w:t>
      </w:r>
      <w:r w:rsidR="006745D9" w:rsidRPr="00E73BB1">
        <w:rPr>
          <w:rFonts w:ascii="Times New Roman" w:hAnsi="Times New Roman" w:cs="Times New Roman"/>
          <w:sz w:val="24"/>
          <w:szCs w:val="24"/>
        </w:rPr>
        <w:t>,</w:t>
      </w:r>
      <w:r w:rsidR="00553FA3" w:rsidRPr="00E73BB1">
        <w:rPr>
          <w:rFonts w:ascii="Times New Roman" w:hAnsi="Times New Roman" w:cs="Times New Roman"/>
          <w:sz w:val="24"/>
          <w:szCs w:val="24"/>
        </w:rPr>
        <w:t xml:space="preserve"> we conducted </w:t>
      </w:r>
      <w:r w:rsidR="00C16C7C" w:rsidRPr="00E73BB1">
        <w:rPr>
          <w:rFonts w:ascii="Times New Roman" w:hAnsi="Times New Roman" w:cs="Times New Roman"/>
          <w:sz w:val="24"/>
          <w:szCs w:val="24"/>
        </w:rPr>
        <w:t>a</w:t>
      </w:r>
      <w:r w:rsidRPr="00E73BB1">
        <w:rPr>
          <w:rFonts w:ascii="Times New Roman" w:hAnsi="Times New Roman" w:cs="Times New Roman"/>
          <w:sz w:val="24"/>
          <w:szCs w:val="24"/>
        </w:rPr>
        <w:t xml:space="preserve"> final </w:t>
      </w:r>
      <w:r w:rsidR="0059763B" w:rsidRPr="00E73BB1">
        <w:rPr>
          <w:rFonts w:ascii="Times New Roman" w:hAnsi="Times New Roman" w:cs="Times New Roman"/>
          <w:sz w:val="24"/>
          <w:szCs w:val="24"/>
        </w:rPr>
        <w:t xml:space="preserve">EFA </w:t>
      </w:r>
      <w:r w:rsidR="004A07BB" w:rsidRPr="00E73BB1">
        <w:rPr>
          <w:rFonts w:ascii="Times New Roman" w:hAnsi="Times New Roman" w:cs="Times New Roman"/>
          <w:sz w:val="24"/>
          <w:szCs w:val="24"/>
        </w:rPr>
        <w:t>on a 9</w:t>
      </w:r>
      <w:r w:rsidR="00553FA3" w:rsidRPr="00E73BB1">
        <w:rPr>
          <w:rFonts w:ascii="Times New Roman" w:hAnsi="Times New Roman" w:cs="Times New Roman"/>
          <w:sz w:val="24"/>
          <w:szCs w:val="24"/>
        </w:rPr>
        <w:t>-item</w:t>
      </w:r>
      <w:r w:rsidR="0059763B" w:rsidRPr="00E73BB1">
        <w:rPr>
          <w:rFonts w:ascii="Times New Roman" w:hAnsi="Times New Roman" w:cs="Times New Roman"/>
          <w:sz w:val="24"/>
          <w:szCs w:val="24"/>
        </w:rPr>
        <w:t xml:space="preserve"> </w:t>
      </w:r>
      <w:r w:rsidR="00553FA3" w:rsidRPr="00E73BB1">
        <w:rPr>
          <w:rFonts w:ascii="Times New Roman" w:hAnsi="Times New Roman" w:cs="Times New Roman"/>
          <w:sz w:val="24"/>
          <w:szCs w:val="24"/>
        </w:rPr>
        <w:t xml:space="preserve">version of the </w:t>
      </w:r>
      <w:r w:rsidR="0059763B" w:rsidRPr="00E73BB1">
        <w:rPr>
          <w:rFonts w:ascii="Times New Roman" w:hAnsi="Times New Roman" w:cs="Times New Roman"/>
          <w:sz w:val="24"/>
          <w:szCs w:val="24"/>
        </w:rPr>
        <w:t xml:space="preserve">scale. </w:t>
      </w:r>
      <w:r w:rsidR="006745D9" w:rsidRPr="00E73BB1">
        <w:rPr>
          <w:rFonts w:ascii="Times New Roman" w:hAnsi="Times New Roman" w:cs="Times New Roman"/>
          <w:sz w:val="24"/>
          <w:szCs w:val="24"/>
        </w:rPr>
        <w:t>Parallel</w:t>
      </w:r>
      <w:r w:rsidRPr="00E73BB1">
        <w:rPr>
          <w:rFonts w:ascii="Times New Roman" w:hAnsi="Times New Roman" w:cs="Times New Roman"/>
          <w:sz w:val="24"/>
          <w:szCs w:val="24"/>
        </w:rPr>
        <w:t xml:space="preserve"> analysis again indicated four factors, but three</w:t>
      </w:r>
      <w:r w:rsidR="006745D9" w:rsidRPr="00E73BB1">
        <w:rPr>
          <w:rFonts w:ascii="Times New Roman" w:hAnsi="Times New Roman" w:cs="Times New Roman"/>
          <w:sz w:val="24"/>
          <w:szCs w:val="24"/>
        </w:rPr>
        <w:t xml:space="preserve"> were</w:t>
      </w:r>
      <w:r w:rsidRPr="00E73BB1">
        <w:rPr>
          <w:rFonts w:ascii="Times New Roman" w:hAnsi="Times New Roman" w:cs="Times New Roman"/>
          <w:sz w:val="24"/>
          <w:szCs w:val="24"/>
        </w:rPr>
        <w:t xml:space="preserve"> removed for the same reasons noted above</w:t>
      </w:r>
      <w:r w:rsidR="00025904" w:rsidRPr="00E73BB1">
        <w:rPr>
          <w:rFonts w:ascii="Times New Roman" w:hAnsi="Times New Roman" w:cs="Times New Roman"/>
          <w:sz w:val="24"/>
          <w:szCs w:val="24"/>
        </w:rPr>
        <w:t xml:space="preserve">, resulting </w:t>
      </w:r>
      <w:r w:rsidR="0059763B" w:rsidRPr="00E73BB1">
        <w:rPr>
          <w:rFonts w:ascii="Times New Roman" w:hAnsi="Times New Roman" w:cs="Times New Roman"/>
          <w:sz w:val="24"/>
          <w:szCs w:val="24"/>
        </w:rPr>
        <w:t xml:space="preserve">in a single factor solution </w:t>
      </w:r>
      <w:r w:rsidR="00DB7495" w:rsidRPr="00E73BB1">
        <w:rPr>
          <w:rFonts w:ascii="Times New Roman" w:hAnsi="Times New Roman" w:cs="Times New Roman"/>
          <w:sz w:val="24"/>
          <w:szCs w:val="24"/>
        </w:rPr>
        <w:t xml:space="preserve">(eigenvalue = </w:t>
      </w:r>
      <w:r w:rsidR="00025904" w:rsidRPr="00E73BB1">
        <w:rPr>
          <w:rFonts w:ascii="Times New Roman" w:hAnsi="Times New Roman" w:cs="Times New Roman"/>
          <w:sz w:val="24"/>
          <w:szCs w:val="24"/>
        </w:rPr>
        <w:t>4.72</w:t>
      </w:r>
      <w:r w:rsidR="00DB7495" w:rsidRPr="00E73BB1">
        <w:rPr>
          <w:rFonts w:ascii="Times New Roman" w:hAnsi="Times New Roman" w:cs="Times New Roman"/>
          <w:sz w:val="24"/>
          <w:szCs w:val="24"/>
        </w:rPr>
        <w:t>; variance</w:t>
      </w:r>
      <w:r w:rsidR="000B55BE" w:rsidRPr="00E73BB1">
        <w:rPr>
          <w:rFonts w:ascii="Times New Roman" w:hAnsi="Times New Roman" w:cs="Times New Roman"/>
          <w:sz w:val="24"/>
          <w:szCs w:val="24"/>
        </w:rPr>
        <w:t xml:space="preserve"> explained</w:t>
      </w:r>
      <w:r w:rsidR="00DB7495" w:rsidRPr="00E73BB1">
        <w:rPr>
          <w:rFonts w:ascii="Times New Roman" w:hAnsi="Times New Roman" w:cs="Times New Roman"/>
          <w:sz w:val="24"/>
          <w:szCs w:val="24"/>
        </w:rPr>
        <w:t xml:space="preserve"> = </w:t>
      </w:r>
      <w:r w:rsidR="00025904" w:rsidRPr="00E73BB1">
        <w:rPr>
          <w:rFonts w:ascii="Times New Roman" w:hAnsi="Times New Roman" w:cs="Times New Roman"/>
          <w:sz w:val="24"/>
          <w:szCs w:val="24"/>
        </w:rPr>
        <w:t>99.3%</w:t>
      </w:r>
      <w:r w:rsidR="009C4C43" w:rsidRPr="00E73BB1">
        <w:rPr>
          <w:rFonts w:ascii="Times New Roman" w:hAnsi="Times New Roman" w:cs="Times New Roman"/>
          <w:sz w:val="24"/>
          <w:szCs w:val="24"/>
        </w:rPr>
        <w:t>).</w:t>
      </w:r>
      <w:r w:rsidR="00EC7E09" w:rsidRPr="00E73BB1">
        <w:rPr>
          <w:rFonts w:ascii="Times New Roman" w:hAnsi="Times New Roman" w:cs="Times New Roman"/>
          <w:sz w:val="24"/>
          <w:szCs w:val="24"/>
        </w:rPr>
        <w:t xml:space="preserve"> </w:t>
      </w:r>
      <w:r w:rsidR="00025904" w:rsidRPr="00E73BB1">
        <w:rPr>
          <w:rFonts w:ascii="Times New Roman" w:hAnsi="Times New Roman" w:cs="Times New Roman"/>
          <w:sz w:val="24"/>
          <w:szCs w:val="24"/>
        </w:rPr>
        <w:t>When analysed separately by gender, t</w:t>
      </w:r>
      <w:r w:rsidR="00EC7E09" w:rsidRPr="00E73BB1">
        <w:rPr>
          <w:rFonts w:ascii="Times New Roman" w:hAnsi="Times New Roman" w:cs="Times New Roman"/>
          <w:sz w:val="24"/>
          <w:szCs w:val="24"/>
        </w:rPr>
        <w:t xml:space="preserve">he </w:t>
      </w:r>
      <w:r w:rsidR="006745D9" w:rsidRPr="00E73BB1">
        <w:rPr>
          <w:rFonts w:ascii="Times New Roman" w:hAnsi="Times New Roman" w:cs="Times New Roman"/>
          <w:sz w:val="24"/>
          <w:szCs w:val="24"/>
        </w:rPr>
        <w:t>unidimensional</w:t>
      </w:r>
      <w:r w:rsidR="00EC7E09" w:rsidRPr="00E73BB1">
        <w:rPr>
          <w:rFonts w:ascii="Times New Roman" w:hAnsi="Times New Roman" w:cs="Times New Roman"/>
          <w:sz w:val="24"/>
          <w:szCs w:val="24"/>
        </w:rPr>
        <w:t xml:space="preserve"> nature of the scale was </w:t>
      </w:r>
      <w:r w:rsidR="0065798A" w:rsidRPr="00E73BB1">
        <w:rPr>
          <w:rFonts w:ascii="Times New Roman" w:hAnsi="Times New Roman" w:cs="Times New Roman"/>
          <w:sz w:val="24"/>
          <w:szCs w:val="24"/>
        </w:rPr>
        <w:t xml:space="preserve">also </w:t>
      </w:r>
      <w:r w:rsidR="00EC7E09" w:rsidRPr="00E73BB1">
        <w:rPr>
          <w:rFonts w:ascii="Times New Roman" w:hAnsi="Times New Roman" w:cs="Times New Roman"/>
          <w:sz w:val="24"/>
          <w:szCs w:val="24"/>
        </w:rPr>
        <w:t>upheld in both boys (</w:t>
      </w:r>
      <w:r w:rsidR="00025904" w:rsidRPr="00E73BB1">
        <w:rPr>
          <w:rFonts w:ascii="Times New Roman" w:hAnsi="Times New Roman" w:cs="Times New Roman"/>
          <w:sz w:val="24"/>
          <w:szCs w:val="24"/>
        </w:rPr>
        <w:t>eigenvalue = 5.4; variance explained = 97.7%)</w:t>
      </w:r>
      <w:r w:rsidR="00EC7E09" w:rsidRPr="00E73BB1">
        <w:rPr>
          <w:rFonts w:ascii="Times New Roman" w:hAnsi="Times New Roman" w:cs="Times New Roman"/>
          <w:sz w:val="24"/>
          <w:szCs w:val="24"/>
        </w:rPr>
        <w:t xml:space="preserve"> and girls </w:t>
      </w:r>
      <w:r w:rsidR="00025904" w:rsidRPr="00E73BB1">
        <w:rPr>
          <w:rFonts w:ascii="Times New Roman" w:hAnsi="Times New Roman" w:cs="Times New Roman"/>
          <w:sz w:val="24"/>
          <w:szCs w:val="24"/>
        </w:rPr>
        <w:t>(eigenvalue = 4.1; variance explained = 98.0%)</w:t>
      </w:r>
      <w:r w:rsidR="006745D9" w:rsidRPr="00E73BB1">
        <w:rPr>
          <w:rFonts w:ascii="Times New Roman" w:hAnsi="Times New Roman" w:cs="Times New Roman"/>
          <w:sz w:val="24"/>
          <w:szCs w:val="24"/>
        </w:rPr>
        <w:t>.</w:t>
      </w:r>
      <w:r w:rsidR="00EC7E09" w:rsidRPr="00E73BB1">
        <w:rPr>
          <w:rFonts w:ascii="Times New Roman" w:hAnsi="Times New Roman" w:cs="Times New Roman"/>
          <w:sz w:val="24"/>
          <w:szCs w:val="24"/>
        </w:rPr>
        <w:t xml:space="preserve"> </w:t>
      </w:r>
      <w:r w:rsidR="0059763B" w:rsidRPr="00E73BB1">
        <w:rPr>
          <w:rFonts w:ascii="Times New Roman" w:hAnsi="Times New Roman" w:cs="Times New Roman"/>
          <w:sz w:val="24"/>
          <w:szCs w:val="24"/>
        </w:rPr>
        <w:t xml:space="preserve">Factor loadings are displayed in Table </w:t>
      </w:r>
      <w:r w:rsidR="003A6B76" w:rsidRPr="00E73BB1">
        <w:rPr>
          <w:rFonts w:ascii="Times New Roman" w:hAnsi="Times New Roman" w:cs="Times New Roman"/>
          <w:sz w:val="24"/>
          <w:szCs w:val="24"/>
        </w:rPr>
        <w:t>1</w:t>
      </w:r>
      <w:r w:rsidR="0059763B" w:rsidRPr="00E73BB1">
        <w:rPr>
          <w:rFonts w:ascii="Times New Roman" w:hAnsi="Times New Roman" w:cs="Times New Roman"/>
          <w:sz w:val="24"/>
          <w:szCs w:val="24"/>
        </w:rPr>
        <w:t xml:space="preserve">, </w:t>
      </w:r>
      <w:r w:rsidR="00EC7E09" w:rsidRPr="00E73BB1">
        <w:rPr>
          <w:rFonts w:ascii="Times New Roman" w:hAnsi="Times New Roman" w:cs="Times New Roman"/>
          <w:sz w:val="24"/>
          <w:szCs w:val="24"/>
        </w:rPr>
        <w:t xml:space="preserve">with </w:t>
      </w:r>
      <w:r w:rsidR="00C16C7C" w:rsidRPr="00E73BB1">
        <w:rPr>
          <w:rFonts w:ascii="Times New Roman" w:hAnsi="Times New Roman" w:cs="Times New Roman"/>
          <w:sz w:val="24"/>
          <w:szCs w:val="24"/>
        </w:rPr>
        <w:t>all</w:t>
      </w:r>
      <w:r w:rsidR="0059763B" w:rsidRPr="00E73BB1">
        <w:rPr>
          <w:rFonts w:ascii="Times New Roman" w:hAnsi="Times New Roman" w:cs="Times New Roman"/>
          <w:sz w:val="24"/>
          <w:szCs w:val="24"/>
        </w:rPr>
        <w:t xml:space="preserve"> </w:t>
      </w:r>
      <w:r w:rsidR="00025904" w:rsidRPr="00E73BB1">
        <w:rPr>
          <w:rFonts w:ascii="Times New Roman" w:hAnsi="Times New Roman" w:cs="Times New Roman"/>
          <w:sz w:val="24"/>
          <w:szCs w:val="24"/>
        </w:rPr>
        <w:t xml:space="preserve">&gt;.6 and therefore </w:t>
      </w:r>
      <w:r w:rsidR="00DB7495" w:rsidRPr="00E73BB1">
        <w:rPr>
          <w:rFonts w:ascii="Times New Roman" w:hAnsi="Times New Roman" w:cs="Times New Roman"/>
          <w:sz w:val="24"/>
          <w:szCs w:val="24"/>
        </w:rPr>
        <w:t>show</w:t>
      </w:r>
      <w:r w:rsidR="00553FA3" w:rsidRPr="00E73BB1">
        <w:rPr>
          <w:rFonts w:ascii="Times New Roman" w:hAnsi="Times New Roman" w:cs="Times New Roman"/>
          <w:sz w:val="24"/>
          <w:szCs w:val="24"/>
        </w:rPr>
        <w:t>ing</w:t>
      </w:r>
      <w:r w:rsidR="00DB7495" w:rsidRPr="00E73BB1">
        <w:rPr>
          <w:rFonts w:ascii="Times New Roman" w:hAnsi="Times New Roman" w:cs="Times New Roman"/>
          <w:sz w:val="24"/>
          <w:szCs w:val="24"/>
        </w:rPr>
        <w:t xml:space="preserve"> acceptability for retention.</w:t>
      </w:r>
      <w:r w:rsidR="00EC7E09" w:rsidRPr="00E73BB1">
        <w:rPr>
          <w:rFonts w:ascii="Times New Roman" w:hAnsi="Times New Roman" w:cs="Times New Roman"/>
          <w:sz w:val="24"/>
          <w:szCs w:val="24"/>
        </w:rPr>
        <w:t xml:space="preserve"> </w:t>
      </w:r>
      <w:r w:rsidR="00553FA3" w:rsidRPr="00E73BB1">
        <w:rPr>
          <w:rFonts w:ascii="Times New Roman" w:hAnsi="Times New Roman" w:cs="Times New Roman"/>
          <w:sz w:val="24"/>
          <w:szCs w:val="24"/>
        </w:rPr>
        <w:t xml:space="preserve">This </w:t>
      </w:r>
      <w:r w:rsidR="000B55BE" w:rsidRPr="00E73BB1">
        <w:rPr>
          <w:rFonts w:ascii="Times New Roman" w:hAnsi="Times New Roman" w:cs="Times New Roman"/>
          <w:sz w:val="24"/>
          <w:szCs w:val="24"/>
        </w:rPr>
        <w:t xml:space="preserve">exploratory </w:t>
      </w:r>
      <w:r w:rsidR="00553FA3" w:rsidRPr="00E73BB1">
        <w:rPr>
          <w:rFonts w:ascii="Times New Roman" w:hAnsi="Times New Roman" w:cs="Times New Roman"/>
          <w:sz w:val="24"/>
          <w:szCs w:val="24"/>
        </w:rPr>
        <w:t>analysis therefore support</w:t>
      </w:r>
      <w:r w:rsidR="006745D9" w:rsidRPr="00E73BB1">
        <w:rPr>
          <w:rFonts w:ascii="Times New Roman" w:hAnsi="Times New Roman" w:cs="Times New Roman"/>
          <w:sz w:val="24"/>
          <w:szCs w:val="24"/>
        </w:rPr>
        <w:t>ed</w:t>
      </w:r>
      <w:r w:rsidR="00553FA3" w:rsidRPr="00E73BB1">
        <w:rPr>
          <w:rFonts w:ascii="Times New Roman" w:hAnsi="Times New Roman" w:cs="Times New Roman"/>
          <w:sz w:val="24"/>
          <w:szCs w:val="24"/>
        </w:rPr>
        <w:t xml:space="preserve"> a unidimensional solution for the</w:t>
      </w:r>
      <w:r w:rsidR="00EC7E09" w:rsidRPr="00E73BB1">
        <w:rPr>
          <w:rFonts w:ascii="Times New Roman" w:hAnsi="Times New Roman" w:cs="Times New Roman"/>
          <w:sz w:val="24"/>
          <w:szCs w:val="24"/>
        </w:rPr>
        <w:t xml:space="preserve"> </w:t>
      </w:r>
      <w:r w:rsidR="00CE3226" w:rsidRPr="00E73BB1">
        <w:rPr>
          <w:rFonts w:ascii="Times New Roman" w:hAnsi="Times New Roman" w:cs="Times New Roman"/>
          <w:sz w:val="24"/>
          <w:szCs w:val="24"/>
        </w:rPr>
        <w:t>BILD-Q</w:t>
      </w:r>
      <w:r w:rsidR="00EC7E09" w:rsidRPr="00E73BB1">
        <w:rPr>
          <w:rFonts w:ascii="Times New Roman" w:hAnsi="Times New Roman" w:cs="Times New Roman"/>
          <w:sz w:val="24"/>
          <w:szCs w:val="24"/>
        </w:rPr>
        <w:t xml:space="preserve">, </w:t>
      </w:r>
      <w:r w:rsidR="00675BA4" w:rsidRPr="00E73BB1">
        <w:rPr>
          <w:rFonts w:ascii="Times New Roman" w:hAnsi="Times New Roman" w:cs="Times New Roman"/>
          <w:sz w:val="24"/>
          <w:szCs w:val="24"/>
        </w:rPr>
        <w:t>in a</w:t>
      </w:r>
      <w:r w:rsidR="00EC7E09" w:rsidRPr="00E73BB1">
        <w:rPr>
          <w:rFonts w:ascii="Times New Roman" w:hAnsi="Times New Roman" w:cs="Times New Roman"/>
          <w:sz w:val="24"/>
          <w:szCs w:val="24"/>
        </w:rPr>
        <w:t xml:space="preserve"> 9</w:t>
      </w:r>
      <w:r w:rsidR="00553FA3" w:rsidRPr="00E73BB1">
        <w:rPr>
          <w:rFonts w:ascii="Times New Roman" w:hAnsi="Times New Roman" w:cs="Times New Roman"/>
          <w:sz w:val="24"/>
          <w:szCs w:val="24"/>
        </w:rPr>
        <w:t>-item configuration</w:t>
      </w:r>
      <w:r w:rsidR="00675BA4" w:rsidRPr="00E73BB1">
        <w:rPr>
          <w:rFonts w:ascii="Times New Roman" w:hAnsi="Times New Roman" w:cs="Times New Roman"/>
          <w:sz w:val="24"/>
          <w:szCs w:val="24"/>
        </w:rPr>
        <w:t xml:space="preserve"> suitable fo</w:t>
      </w:r>
      <w:r w:rsidR="00EC7E09" w:rsidRPr="00E73BB1">
        <w:rPr>
          <w:rFonts w:ascii="Times New Roman" w:hAnsi="Times New Roman" w:cs="Times New Roman"/>
          <w:sz w:val="24"/>
          <w:szCs w:val="24"/>
        </w:rPr>
        <w:t>r early adolescent samples</w:t>
      </w:r>
      <w:r w:rsidR="00553FA3" w:rsidRPr="00E73BB1">
        <w:rPr>
          <w:rFonts w:ascii="Times New Roman" w:hAnsi="Times New Roman" w:cs="Times New Roman"/>
          <w:sz w:val="24"/>
          <w:szCs w:val="24"/>
        </w:rPr>
        <w:t>.</w:t>
      </w:r>
    </w:p>
    <w:p w14:paraId="62300EA1" w14:textId="3543B35F" w:rsidR="0096020E" w:rsidRPr="00881079" w:rsidRDefault="00A94360" w:rsidP="00D02382">
      <w:pPr>
        <w:widowControl w:val="0"/>
        <w:spacing w:after="0" w:line="480" w:lineRule="auto"/>
        <w:rPr>
          <w:rFonts w:ascii="Times New Roman" w:hAnsi="Times New Roman" w:cs="Times New Roman"/>
          <w:i/>
          <w:iCs/>
          <w:sz w:val="24"/>
          <w:szCs w:val="24"/>
        </w:rPr>
      </w:pPr>
      <w:r w:rsidRPr="00881079">
        <w:rPr>
          <w:rFonts w:ascii="Times New Roman" w:hAnsi="Times New Roman" w:cs="Times New Roman"/>
          <w:b/>
          <w:i/>
          <w:iCs/>
          <w:sz w:val="24"/>
          <w:szCs w:val="24"/>
        </w:rPr>
        <w:t xml:space="preserve">2.2.3. </w:t>
      </w:r>
      <w:r w:rsidR="00E069B4" w:rsidRPr="00881079">
        <w:rPr>
          <w:rFonts w:ascii="Times New Roman" w:hAnsi="Times New Roman" w:cs="Times New Roman"/>
          <w:b/>
          <w:i/>
          <w:iCs/>
          <w:sz w:val="24"/>
          <w:szCs w:val="24"/>
        </w:rPr>
        <w:t>Reliability</w:t>
      </w:r>
      <w:r w:rsidR="00FE685E" w:rsidRPr="00881079">
        <w:rPr>
          <w:rFonts w:ascii="Times New Roman" w:hAnsi="Times New Roman" w:cs="Times New Roman"/>
          <w:b/>
          <w:i/>
          <w:iCs/>
          <w:sz w:val="24"/>
          <w:szCs w:val="24"/>
        </w:rPr>
        <w:t xml:space="preserve"> and Descriptive Statistics</w:t>
      </w:r>
      <w:r w:rsidR="00540500" w:rsidRPr="00881079">
        <w:rPr>
          <w:rFonts w:ascii="Times New Roman" w:hAnsi="Times New Roman" w:cs="Times New Roman"/>
          <w:i/>
          <w:iCs/>
          <w:sz w:val="24"/>
          <w:szCs w:val="24"/>
        </w:rPr>
        <w:t xml:space="preserve"> </w:t>
      </w:r>
    </w:p>
    <w:p w14:paraId="7CA99F67" w14:textId="43BB69B4" w:rsidR="00FE685E" w:rsidRPr="00E73BB1" w:rsidRDefault="00FE685E">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Internal consistency estimates and mean scores, combined and by gender, are reported in Table 1. T</w:t>
      </w:r>
      <w:r w:rsidR="00823A42" w:rsidRPr="00E73BB1">
        <w:rPr>
          <w:rFonts w:ascii="Times New Roman" w:hAnsi="Times New Roman" w:cs="Times New Roman"/>
          <w:sz w:val="24"/>
          <w:szCs w:val="24"/>
        </w:rPr>
        <w:t>he 9</w:t>
      </w:r>
      <w:r w:rsidR="00DB7495" w:rsidRPr="00E73BB1">
        <w:rPr>
          <w:rFonts w:ascii="Times New Roman" w:hAnsi="Times New Roman" w:cs="Times New Roman"/>
          <w:sz w:val="24"/>
          <w:szCs w:val="24"/>
        </w:rPr>
        <w:t xml:space="preserve">-item </w:t>
      </w:r>
      <w:r w:rsidR="0046062A" w:rsidRPr="00E73BB1">
        <w:rPr>
          <w:rFonts w:ascii="Times New Roman" w:hAnsi="Times New Roman" w:cs="Times New Roman"/>
          <w:sz w:val="24"/>
          <w:szCs w:val="24"/>
        </w:rPr>
        <w:t xml:space="preserve">scale </w:t>
      </w:r>
      <w:r w:rsidR="00E069B4" w:rsidRPr="00E73BB1">
        <w:rPr>
          <w:rFonts w:ascii="Times New Roman" w:hAnsi="Times New Roman" w:cs="Times New Roman"/>
          <w:sz w:val="24"/>
          <w:szCs w:val="24"/>
        </w:rPr>
        <w:t xml:space="preserve">reflected </w:t>
      </w:r>
      <w:r w:rsidR="0046062A" w:rsidRPr="00E73BB1">
        <w:rPr>
          <w:rFonts w:ascii="Times New Roman" w:hAnsi="Times New Roman" w:cs="Times New Roman"/>
          <w:sz w:val="24"/>
          <w:szCs w:val="24"/>
        </w:rPr>
        <w:t>good internal consistency</w:t>
      </w:r>
      <w:r w:rsidR="00150757" w:rsidRPr="00E73BB1">
        <w:rPr>
          <w:rFonts w:ascii="Times New Roman" w:hAnsi="Times New Roman" w:cs="Times New Roman"/>
          <w:sz w:val="24"/>
          <w:szCs w:val="24"/>
        </w:rPr>
        <w:t xml:space="preserve"> based on Cronbach’s alpha</w:t>
      </w:r>
      <w:r w:rsidR="0046062A" w:rsidRPr="00E73BB1">
        <w:rPr>
          <w:rFonts w:ascii="Times New Roman" w:hAnsi="Times New Roman" w:cs="Times New Roman"/>
          <w:sz w:val="24"/>
          <w:szCs w:val="24"/>
        </w:rPr>
        <w:t>.</w:t>
      </w:r>
      <w:r w:rsidR="00DB7495" w:rsidRPr="00E73BB1">
        <w:rPr>
          <w:rFonts w:ascii="Times New Roman" w:hAnsi="Times New Roman" w:cs="Times New Roman"/>
          <w:sz w:val="24"/>
          <w:szCs w:val="24"/>
        </w:rPr>
        <w:t xml:space="preserve"> </w:t>
      </w:r>
      <w:r w:rsidR="00D02382" w:rsidRPr="00E73BB1">
        <w:rPr>
          <w:rFonts w:ascii="Times New Roman" w:hAnsi="Times New Roman" w:cs="Times New Roman"/>
          <w:sz w:val="24"/>
          <w:szCs w:val="24"/>
        </w:rPr>
        <w:t>Item-total correlations were also in the acceptable range</w:t>
      </w:r>
      <w:r w:rsidR="00ED0F56" w:rsidRPr="00E73BB1">
        <w:rPr>
          <w:rFonts w:ascii="Times New Roman" w:hAnsi="Times New Roman" w:cs="Times New Roman"/>
          <w:sz w:val="24"/>
          <w:szCs w:val="24"/>
        </w:rPr>
        <w:t>, all</w:t>
      </w:r>
      <w:r w:rsidR="00D02382" w:rsidRPr="00E73BB1">
        <w:rPr>
          <w:rFonts w:ascii="Times New Roman" w:hAnsi="Times New Roman" w:cs="Times New Roman"/>
          <w:sz w:val="24"/>
          <w:szCs w:val="24"/>
        </w:rPr>
        <w:t xml:space="preserve"> </w:t>
      </w:r>
      <w:r w:rsidR="00150757" w:rsidRPr="00E73BB1">
        <w:rPr>
          <w:rFonts w:ascii="Times New Roman" w:hAnsi="Times New Roman" w:cs="Times New Roman"/>
          <w:sz w:val="24"/>
          <w:szCs w:val="24"/>
        </w:rPr>
        <w:t>greater than</w:t>
      </w:r>
      <w:r w:rsidR="00D02382" w:rsidRPr="00E73BB1">
        <w:rPr>
          <w:rFonts w:ascii="Times New Roman" w:hAnsi="Times New Roman" w:cs="Times New Roman"/>
          <w:sz w:val="24"/>
          <w:szCs w:val="24"/>
        </w:rPr>
        <w:t xml:space="preserve"> .4 (</w:t>
      </w:r>
      <w:r w:rsidR="00823A42" w:rsidRPr="00E73BB1">
        <w:rPr>
          <w:rFonts w:ascii="Times New Roman" w:hAnsi="Times New Roman" w:cs="Times New Roman"/>
          <w:sz w:val="24"/>
          <w:szCs w:val="24"/>
        </w:rPr>
        <w:t>overall</w:t>
      </w:r>
      <w:r w:rsidRPr="00E73BB1">
        <w:rPr>
          <w:rFonts w:ascii="Times New Roman" w:hAnsi="Times New Roman" w:cs="Times New Roman"/>
          <w:sz w:val="24"/>
          <w:szCs w:val="24"/>
        </w:rPr>
        <w:t xml:space="preserve"> </w:t>
      </w:r>
      <w:r w:rsidR="00823A42" w:rsidRPr="00E73BB1">
        <w:rPr>
          <w:rFonts w:ascii="Times New Roman" w:hAnsi="Times New Roman" w:cs="Times New Roman"/>
          <w:sz w:val="24"/>
          <w:szCs w:val="24"/>
        </w:rPr>
        <w:t>= .</w:t>
      </w:r>
      <w:r w:rsidR="00350235" w:rsidRPr="00E73BB1">
        <w:rPr>
          <w:rFonts w:ascii="Times New Roman" w:hAnsi="Times New Roman" w:cs="Times New Roman"/>
          <w:sz w:val="24"/>
          <w:szCs w:val="24"/>
        </w:rPr>
        <w:t>64</w:t>
      </w:r>
      <w:r w:rsidR="00823A42" w:rsidRPr="00E73BB1">
        <w:rPr>
          <w:rFonts w:ascii="Times New Roman" w:hAnsi="Times New Roman" w:cs="Times New Roman"/>
          <w:sz w:val="24"/>
          <w:szCs w:val="24"/>
        </w:rPr>
        <w:t>-.</w:t>
      </w:r>
      <w:r w:rsidR="00350235" w:rsidRPr="00E73BB1">
        <w:rPr>
          <w:rFonts w:ascii="Times New Roman" w:hAnsi="Times New Roman" w:cs="Times New Roman"/>
          <w:sz w:val="24"/>
          <w:szCs w:val="24"/>
        </w:rPr>
        <w:t>82</w:t>
      </w:r>
      <w:r w:rsidR="00823A42" w:rsidRPr="00E73BB1">
        <w:rPr>
          <w:rFonts w:ascii="Times New Roman" w:hAnsi="Times New Roman" w:cs="Times New Roman"/>
          <w:sz w:val="24"/>
          <w:szCs w:val="24"/>
        </w:rPr>
        <w:t>;</w:t>
      </w:r>
      <w:r w:rsidR="00D02382" w:rsidRPr="00E73BB1">
        <w:rPr>
          <w:rFonts w:ascii="Times New Roman" w:hAnsi="Times New Roman" w:cs="Times New Roman"/>
          <w:sz w:val="24"/>
          <w:szCs w:val="24"/>
        </w:rPr>
        <w:t xml:space="preserve"> </w:t>
      </w:r>
      <w:r w:rsidR="00D02382" w:rsidRPr="00E73BB1">
        <w:rPr>
          <w:rFonts w:ascii="Times New Roman" w:hAnsi="Times New Roman" w:cs="Times New Roman"/>
          <w:sz w:val="24"/>
          <w:szCs w:val="24"/>
        </w:rPr>
        <w:lastRenderedPageBreak/>
        <w:t>boys</w:t>
      </w:r>
      <w:r w:rsidRPr="00E73BB1">
        <w:rPr>
          <w:rFonts w:ascii="Times New Roman" w:hAnsi="Times New Roman" w:cs="Times New Roman"/>
          <w:sz w:val="24"/>
          <w:szCs w:val="24"/>
        </w:rPr>
        <w:t xml:space="preserve"> </w:t>
      </w:r>
      <w:r w:rsidR="00D02382" w:rsidRPr="00E73BB1">
        <w:rPr>
          <w:rFonts w:ascii="Times New Roman" w:hAnsi="Times New Roman" w:cs="Times New Roman"/>
          <w:sz w:val="24"/>
          <w:szCs w:val="24"/>
        </w:rPr>
        <w:t>= .</w:t>
      </w:r>
      <w:r w:rsidR="00823A42" w:rsidRPr="00E73BB1">
        <w:rPr>
          <w:rFonts w:ascii="Times New Roman" w:hAnsi="Times New Roman" w:cs="Times New Roman"/>
          <w:sz w:val="24"/>
          <w:szCs w:val="24"/>
        </w:rPr>
        <w:t>6</w:t>
      </w:r>
      <w:r w:rsidR="00350235" w:rsidRPr="00E73BB1">
        <w:rPr>
          <w:rFonts w:ascii="Times New Roman" w:hAnsi="Times New Roman" w:cs="Times New Roman"/>
          <w:sz w:val="24"/>
          <w:szCs w:val="24"/>
        </w:rPr>
        <w:t>8</w:t>
      </w:r>
      <w:r w:rsidR="00823A42" w:rsidRPr="00E73BB1">
        <w:rPr>
          <w:rFonts w:ascii="Times New Roman" w:hAnsi="Times New Roman" w:cs="Times New Roman"/>
          <w:sz w:val="24"/>
          <w:szCs w:val="24"/>
        </w:rPr>
        <w:t>-.8</w:t>
      </w:r>
      <w:r w:rsidR="00350235" w:rsidRPr="00E73BB1">
        <w:rPr>
          <w:rFonts w:ascii="Times New Roman" w:hAnsi="Times New Roman" w:cs="Times New Roman"/>
          <w:sz w:val="24"/>
          <w:szCs w:val="24"/>
        </w:rPr>
        <w:t>7</w:t>
      </w:r>
      <w:r w:rsidR="00D02382" w:rsidRPr="00E73BB1">
        <w:rPr>
          <w:rFonts w:ascii="Times New Roman" w:hAnsi="Times New Roman" w:cs="Times New Roman"/>
          <w:sz w:val="24"/>
          <w:szCs w:val="24"/>
        </w:rPr>
        <w:t>, girls</w:t>
      </w:r>
      <w:r w:rsidRPr="00E73BB1">
        <w:rPr>
          <w:rFonts w:ascii="Times New Roman" w:hAnsi="Times New Roman" w:cs="Times New Roman"/>
          <w:sz w:val="24"/>
          <w:szCs w:val="24"/>
        </w:rPr>
        <w:t xml:space="preserve"> </w:t>
      </w:r>
      <w:r w:rsidR="00D02382" w:rsidRPr="00E73BB1">
        <w:rPr>
          <w:rFonts w:ascii="Times New Roman" w:hAnsi="Times New Roman" w:cs="Times New Roman"/>
          <w:sz w:val="24"/>
          <w:szCs w:val="24"/>
        </w:rPr>
        <w:t>=</w:t>
      </w:r>
      <w:r w:rsidRPr="00E73BB1">
        <w:rPr>
          <w:rFonts w:ascii="Times New Roman" w:hAnsi="Times New Roman" w:cs="Times New Roman"/>
          <w:sz w:val="24"/>
          <w:szCs w:val="24"/>
        </w:rPr>
        <w:t xml:space="preserve"> </w:t>
      </w:r>
      <w:r w:rsidR="00D02382" w:rsidRPr="00E73BB1">
        <w:rPr>
          <w:rFonts w:ascii="Times New Roman" w:hAnsi="Times New Roman" w:cs="Times New Roman"/>
          <w:sz w:val="24"/>
          <w:szCs w:val="24"/>
        </w:rPr>
        <w:t>.</w:t>
      </w:r>
      <w:r w:rsidR="00350235" w:rsidRPr="00E73BB1">
        <w:rPr>
          <w:rFonts w:ascii="Times New Roman" w:hAnsi="Times New Roman" w:cs="Times New Roman"/>
          <w:sz w:val="24"/>
          <w:szCs w:val="24"/>
        </w:rPr>
        <w:t>60</w:t>
      </w:r>
      <w:r w:rsidR="00823A42" w:rsidRPr="00E73BB1">
        <w:rPr>
          <w:rFonts w:ascii="Times New Roman" w:hAnsi="Times New Roman" w:cs="Times New Roman"/>
          <w:sz w:val="24"/>
          <w:szCs w:val="24"/>
        </w:rPr>
        <w:t>-.7</w:t>
      </w:r>
      <w:r w:rsidR="00350235" w:rsidRPr="00E73BB1">
        <w:rPr>
          <w:rFonts w:ascii="Times New Roman" w:hAnsi="Times New Roman" w:cs="Times New Roman"/>
          <w:sz w:val="24"/>
          <w:szCs w:val="24"/>
        </w:rPr>
        <w:t>8</w:t>
      </w:r>
      <w:r w:rsidR="00D02382" w:rsidRPr="00E73BB1">
        <w:rPr>
          <w:rFonts w:ascii="Times New Roman" w:hAnsi="Times New Roman" w:cs="Times New Roman"/>
          <w:sz w:val="24"/>
          <w:szCs w:val="24"/>
        </w:rPr>
        <w:t xml:space="preserve">). </w:t>
      </w:r>
      <w:r w:rsidRPr="00E73BB1">
        <w:rPr>
          <w:rFonts w:ascii="Times New Roman" w:hAnsi="Times New Roman" w:cs="Times New Roman"/>
          <w:sz w:val="24"/>
          <w:szCs w:val="24"/>
        </w:rPr>
        <w:t>Girls endorsed significantly higher scores than boys</w:t>
      </w:r>
      <w:r w:rsidR="00596349" w:rsidRPr="00E73BB1">
        <w:rPr>
          <w:rFonts w:ascii="Times New Roman" w:hAnsi="Times New Roman" w:cs="Times New Roman"/>
          <w:sz w:val="24"/>
          <w:szCs w:val="24"/>
        </w:rPr>
        <w:t xml:space="preserve"> (see Notes for Table 1)</w:t>
      </w:r>
      <w:r w:rsidR="00056777" w:rsidRPr="00E73BB1">
        <w:rPr>
          <w:rFonts w:ascii="Times New Roman" w:hAnsi="Times New Roman" w:cs="Times New Roman"/>
          <w:sz w:val="24"/>
          <w:szCs w:val="24"/>
        </w:rPr>
        <w:t xml:space="preserve">. </w:t>
      </w:r>
    </w:p>
    <w:p w14:paraId="68F8A4FD" w14:textId="21813CE7" w:rsidR="0050275E" w:rsidRPr="00E73BB1" w:rsidRDefault="00E01AEB" w:rsidP="009161D3">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 xml:space="preserve">Test-retest reliability over one week was assessed using </w:t>
      </w:r>
      <w:r w:rsidR="00483CC6" w:rsidRPr="00E73BB1">
        <w:rPr>
          <w:rFonts w:ascii="Times New Roman" w:hAnsi="Times New Roman" w:cs="Times New Roman"/>
          <w:sz w:val="24"/>
          <w:szCs w:val="24"/>
        </w:rPr>
        <w:t>a</w:t>
      </w:r>
      <w:r w:rsidR="00A847D9" w:rsidRPr="00E73BB1">
        <w:rPr>
          <w:rFonts w:ascii="Times New Roman" w:hAnsi="Times New Roman" w:cs="Times New Roman"/>
          <w:sz w:val="24"/>
          <w:szCs w:val="24"/>
        </w:rPr>
        <w:t xml:space="preserve"> subsample of </w:t>
      </w:r>
      <w:r w:rsidR="00596349" w:rsidRPr="00E73BB1">
        <w:rPr>
          <w:rFonts w:ascii="Times New Roman" w:hAnsi="Times New Roman" w:cs="Times New Roman"/>
          <w:i/>
          <w:sz w:val="24"/>
          <w:szCs w:val="24"/>
        </w:rPr>
        <w:t>n</w:t>
      </w:r>
      <w:r w:rsidR="000508AA" w:rsidRPr="00E73BB1">
        <w:rPr>
          <w:rFonts w:ascii="Times New Roman" w:hAnsi="Times New Roman" w:cs="Times New Roman"/>
          <w:i/>
          <w:sz w:val="24"/>
          <w:szCs w:val="24"/>
        </w:rPr>
        <w:t xml:space="preserve"> </w:t>
      </w:r>
      <w:r w:rsidR="00056777" w:rsidRPr="00E73BB1">
        <w:rPr>
          <w:rFonts w:ascii="Times New Roman" w:hAnsi="Times New Roman" w:cs="Times New Roman"/>
          <w:sz w:val="24"/>
          <w:szCs w:val="24"/>
        </w:rPr>
        <w:t>=</w:t>
      </w:r>
      <w:r w:rsidR="000508AA" w:rsidRPr="00E73BB1">
        <w:rPr>
          <w:rFonts w:ascii="Times New Roman" w:hAnsi="Times New Roman" w:cs="Times New Roman"/>
          <w:sz w:val="24"/>
          <w:szCs w:val="24"/>
        </w:rPr>
        <w:t xml:space="preserve"> </w:t>
      </w:r>
      <w:r w:rsidR="00350235" w:rsidRPr="00E73BB1">
        <w:rPr>
          <w:rFonts w:ascii="Times New Roman" w:hAnsi="Times New Roman" w:cs="Times New Roman"/>
          <w:sz w:val="24"/>
          <w:szCs w:val="24"/>
        </w:rPr>
        <w:t>290</w:t>
      </w:r>
      <w:r w:rsidR="00A847D9" w:rsidRPr="00E73BB1">
        <w:rPr>
          <w:rFonts w:ascii="Times New Roman" w:hAnsi="Times New Roman" w:cs="Times New Roman"/>
          <w:sz w:val="24"/>
          <w:szCs w:val="24"/>
        </w:rPr>
        <w:t xml:space="preserve"> </w:t>
      </w:r>
      <w:r w:rsidR="00056777" w:rsidRPr="00E73BB1">
        <w:rPr>
          <w:rFonts w:ascii="Times New Roman" w:hAnsi="Times New Roman" w:cs="Times New Roman"/>
          <w:sz w:val="24"/>
          <w:szCs w:val="24"/>
        </w:rPr>
        <w:t xml:space="preserve">students allocated to the </w:t>
      </w:r>
      <w:r w:rsidR="00EF25C1" w:rsidRPr="00E73BB1">
        <w:rPr>
          <w:rFonts w:ascii="Times New Roman" w:hAnsi="Times New Roman" w:cs="Times New Roman"/>
          <w:sz w:val="24"/>
          <w:szCs w:val="24"/>
        </w:rPr>
        <w:t xml:space="preserve">assessment-only </w:t>
      </w:r>
      <w:r w:rsidR="00056777" w:rsidRPr="00E73BB1">
        <w:rPr>
          <w:rFonts w:ascii="Times New Roman" w:hAnsi="Times New Roman" w:cs="Times New Roman"/>
          <w:sz w:val="24"/>
          <w:szCs w:val="24"/>
        </w:rPr>
        <w:t>control arm of the larger trial w</w:t>
      </w:r>
      <w:r w:rsidRPr="00E73BB1">
        <w:rPr>
          <w:rFonts w:ascii="Times New Roman" w:hAnsi="Times New Roman" w:cs="Times New Roman"/>
          <w:sz w:val="24"/>
          <w:szCs w:val="24"/>
        </w:rPr>
        <w:t>ho had data at both timepoints (</w:t>
      </w:r>
      <w:r w:rsidR="00D57196" w:rsidRPr="00E73BB1">
        <w:rPr>
          <w:rFonts w:ascii="Times New Roman" w:hAnsi="Times New Roman" w:cs="Times New Roman"/>
          <w:sz w:val="24"/>
          <w:szCs w:val="24"/>
        </w:rPr>
        <w:t>56.3</w:t>
      </w:r>
      <w:r w:rsidRPr="00E73BB1">
        <w:rPr>
          <w:rFonts w:ascii="Times New Roman" w:hAnsi="Times New Roman" w:cs="Times New Roman"/>
          <w:sz w:val="24"/>
          <w:szCs w:val="24"/>
        </w:rPr>
        <w:t xml:space="preserve">% female). Reliability was </w:t>
      </w:r>
      <w:r w:rsidR="00FE685E" w:rsidRPr="00E73BB1">
        <w:rPr>
          <w:rFonts w:ascii="Times New Roman" w:hAnsi="Times New Roman" w:cs="Times New Roman"/>
          <w:sz w:val="24"/>
          <w:szCs w:val="24"/>
        </w:rPr>
        <w:t>supported</w:t>
      </w:r>
      <w:r w:rsidRPr="00E73BB1">
        <w:rPr>
          <w:rFonts w:ascii="Times New Roman" w:hAnsi="Times New Roman" w:cs="Times New Roman"/>
          <w:sz w:val="24"/>
          <w:szCs w:val="24"/>
        </w:rPr>
        <w:t xml:space="preserve">, </w:t>
      </w:r>
      <w:r w:rsidR="00150757" w:rsidRPr="00E73BB1">
        <w:rPr>
          <w:rFonts w:ascii="Times New Roman" w:hAnsi="Times New Roman" w:cs="Times New Roman"/>
          <w:sz w:val="24"/>
          <w:szCs w:val="24"/>
        </w:rPr>
        <w:t>based on</w:t>
      </w:r>
      <w:r w:rsidRPr="00E73BB1">
        <w:rPr>
          <w:rFonts w:ascii="Times New Roman" w:hAnsi="Times New Roman" w:cs="Times New Roman"/>
          <w:sz w:val="24"/>
          <w:szCs w:val="24"/>
        </w:rPr>
        <w:t xml:space="preserve"> acceptable</w:t>
      </w:r>
      <w:r w:rsidR="00150757" w:rsidRPr="00E73BB1">
        <w:rPr>
          <w:rFonts w:ascii="Times New Roman" w:hAnsi="Times New Roman" w:cs="Times New Roman"/>
          <w:sz w:val="24"/>
          <w:szCs w:val="24"/>
        </w:rPr>
        <w:t xml:space="preserve"> i</w:t>
      </w:r>
      <w:r w:rsidR="00DB7495" w:rsidRPr="00E73BB1">
        <w:rPr>
          <w:rFonts w:ascii="Times New Roman" w:hAnsi="Times New Roman" w:cs="Times New Roman"/>
          <w:sz w:val="24"/>
          <w:szCs w:val="24"/>
        </w:rPr>
        <w:t xml:space="preserve">ntraclass </w:t>
      </w:r>
      <w:r w:rsidR="00A847D9" w:rsidRPr="00E73BB1">
        <w:rPr>
          <w:rFonts w:ascii="Times New Roman" w:hAnsi="Times New Roman" w:cs="Times New Roman"/>
          <w:sz w:val="24"/>
          <w:szCs w:val="24"/>
        </w:rPr>
        <w:t xml:space="preserve">correlation </w:t>
      </w:r>
      <w:r w:rsidR="00DB7495" w:rsidRPr="00E73BB1">
        <w:rPr>
          <w:rFonts w:ascii="Times New Roman" w:hAnsi="Times New Roman" w:cs="Times New Roman"/>
          <w:sz w:val="24"/>
          <w:szCs w:val="24"/>
        </w:rPr>
        <w:t>coefficient</w:t>
      </w:r>
      <w:r w:rsidR="00A847D9" w:rsidRPr="00E73BB1">
        <w:rPr>
          <w:rFonts w:ascii="Times New Roman" w:hAnsi="Times New Roman" w:cs="Times New Roman"/>
          <w:sz w:val="24"/>
          <w:szCs w:val="24"/>
        </w:rPr>
        <w:t xml:space="preserve">s </w:t>
      </w:r>
      <w:r w:rsidR="00DB7495" w:rsidRPr="00E73BB1">
        <w:rPr>
          <w:rFonts w:ascii="Times New Roman" w:hAnsi="Times New Roman" w:cs="Times New Roman"/>
          <w:sz w:val="24"/>
          <w:szCs w:val="24"/>
        </w:rPr>
        <w:t>(</w:t>
      </w:r>
      <w:r w:rsidR="00DA4925" w:rsidRPr="00E73BB1">
        <w:rPr>
          <w:rFonts w:ascii="Times New Roman" w:hAnsi="Times New Roman" w:cs="Times New Roman"/>
          <w:sz w:val="24"/>
          <w:szCs w:val="24"/>
        </w:rPr>
        <w:t>overall</w:t>
      </w:r>
      <w:r w:rsidR="00EF25C1" w:rsidRPr="00E73BB1">
        <w:rPr>
          <w:rFonts w:ascii="Times New Roman" w:hAnsi="Times New Roman" w:cs="Times New Roman"/>
          <w:sz w:val="24"/>
          <w:szCs w:val="24"/>
        </w:rPr>
        <w:t xml:space="preserve"> = </w:t>
      </w:r>
      <w:r w:rsidR="00DA4925" w:rsidRPr="00E73BB1">
        <w:rPr>
          <w:rFonts w:ascii="Times New Roman" w:hAnsi="Times New Roman" w:cs="Times New Roman"/>
          <w:sz w:val="24"/>
          <w:szCs w:val="24"/>
        </w:rPr>
        <w:t>.70;</w:t>
      </w:r>
      <w:r w:rsidR="00DB7495" w:rsidRPr="00E73BB1">
        <w:rPr>
          <w:rFonts w:ascii="Times New Roman" w:hAnsi="Times New Roman" w:cs="Times New Roman"/>
          <w:sz w:val="24"/>
          <w:szCs w:val="24"/>
        </w:rPr>
        <w:t xml:space="preserve"> boys</w:t>
      </w:r>
      <w:r w:rsidR="00EF25C1" w:rsidRPr="00E73BB1">
        <w:rPr>
          <w:rFonts w:ascii="Times New Roman" w:hAnsi="Times New Roman" w:cs="Times New Roman"/>
          <w:sz w:val="24"/>
          <w:szCs w:val="24"/>
        </w:rPr>
        <w:t xml:space="preserve"> </w:t>
      </w:r>
      <w:r w:rsidR="00DB7495" w:rsidRPr="00E73BB1">
        <w:rPr>
          <w:rFonts w:ascii="Times New Roman" w:hAnsi="Times New Roman" w:cs="Times New Roman"/>
          <w:sz w:val="24"/>
          <w:szCs w:val="24"/>
        </w:rPr>
        <w:t>=</w:t>
      </w:r>
      <w:r w:rsidR="00EF25C1" w:rsidRPr="00E73BB1">
        <w:rPr>
          <w:rFonts w:ascii="Times New Roman" w:hAnsi="Times New Roman" w:cs="Times New Roman"/>
          <w:sz w:val="24"/>
          <w:szCs w:val="24"/>
        </w:rPr>
        <w:t xml:space="preserve"> </w:t>
      </w:r>
      <w:r w:rsidR="00DB7495" w:rsidRPr="00E73BB1">
        <w:rPr>
          <w:rFonts w:ascii="Times New Roman" w:hAnsi="Times New Roman" w:cs="Times New Roman"/>
          <w:sz w:val="24"/>
          <w:szCs w:val="24"/>
        </w:rPr>
        <w:t>.7</w:t>
      </w:r>
      <w:r w:rsidR="00A67978" w:rsidRPr="00E73BB1">
        <w:rPr>
          <w:rFonts w:ascii="Times New Roman" w:hAnsi="Times New Roman" w:cs="Times New Roman"/>
          <w:sz w:val="24"/>
          <w:szCs w:val="24"/>
        </w:rPr>
        <w:t>7</w:t>
      </w:r>
      <w:r w:rsidR="00DB7495" w:rsidRPr="00E73BB1">
        <w:rPr>
          <w:rFonts w:ascii="Times New Roman" w:hAnsi="Times New Roman" w:cs="Times New Roman"/>
          <w:sz w:val="24"/>
          <w:szCs w:val="24"/>
        </w:rPr>
        <w:t>; girls</w:t>
      </w:r>
      <w:r w:rsidR="00EF25C1" w:rsidRPr="00E73BB1">
        <w:rPr>
          <w:rFonts w:ascii="Times New Roman" w:hAnsi="Times New Roman" w:cs="Times New Roman"/>
          <w:sz w:val="24"/>
          <w:szCs w:val="24"/>
        </w:rPr>
        <w:t xml:space="preserve"> </w:t>
      </w:r>
      <w:r w:rsidR="00DB7495" w:rsidRPr="00E73BB1">
        <w:rPr>
          <w:rFonts w:ascii="Times New Roman" w:hAnsi="Times New Roman" w:cs="Times New Roman"/>
          <w:sz w:val="24"/>
          <w:szCs w:val="24"/>
        </w:rPr>
        <w:t>=</w:t>
      </w:r>
      <w:r w:rsidR="00EF25C1" w:rsidRPr="00E73BB1">
        <w:rPr>
          <w:rFonts w:ascii="Times New Roman" w:hAnsi="Times New Roman" w:cs="Times New Roman"/>
          <w:sz w:val="24"/>
          <w:szCs w:val="24"/>
        </w:rPr>
        <w:t xml:space="preserve"> </w:t>
      </w:r>
      <w:r w:rsidR="00DB7495" w:rsidRPr="00E73BB1">
        <w:rPr>
          <w:rFonts w:ascii="Times New Roman" w:hAnsi="Times New Roman" w:cs="Times New Roman"/>
          <w:sz w:val="24"/>
          <w:szCs w:val="24"/>
        </w:rPr>
        <w:t>.</w:t>
      </w:r>
      <w:r w:rsidR="00DA4925" w:rsidRPr="00E73BB1">
        <w:rPr>
          <w:rFonts w:ascii="Times New Roman" w:hAnsi="Times New Roman" w:cs="Times New Roman"/>
          <w:sz w:val="24"/>
          <w:szCs w:val="24"/>
        </w:rPr>
        <w:t>62</w:t>
      </w:r>
      <w:r w:rsidR="00DB7495" w:rsidRPr="00E73BB1">
        <w:rPr>
          <w:rFonts w:ascii="Times New Roman" w:hAnsi="Times New Roman" w:cs="Times New Roman"/>
          <w:sz w:val="24"/>
          <w:szCs w:val="24"/>
        </w:rPr>
        <w:t>)</w:t>
      </w:r>
      <w:r w:rsidR="00D02382" w:rsidRPr="00E73BB1">
        <w:rPr>
          <w:rFonts w:ascii="Times New Roman" w:hAnsi="Times New Roman" w:cs="Times New Roman"/>
          <w:sz w:val="24"/>
          <w:szCs w:val="24"/>
        </w:rPr>
        <w:t xml:space="preserve">, </w:t>
      </w:r>
      <w:r w:rsidR="00150757" w:rsidRPr="00E73BB1">
        <w:rPr>
          <w:rFonts w:ascii="Times New Roman" w:hAnsi="Times New Roman" w:cs="Times New Roman"/>
          <w:sz w:val="24"/>
          <w:szCs w:val="24"/>
        </w:rPr>
        <w:t>and paired-sample t-tests showing</w:t>
      </w:r>
      <w:r w:rsidR="00A847D9" w:rsidRPr="00E73BB1">
        <w:rPr>
          <w:rFonts w:ascii="Times New Roman" w:hAnsi="Times New Roman" w:cs="Times New Roman"/>
          <w:sz w:val="24"/>
          <w:szCs w:val="24"/>
        </w:rPr>
        <w:t xml:space="preserve"> no significant</w:t>
      </w:r>
      <w:r w:rsidR="00D02382" w:rsidRPr="00E73BB1">
        <w:rPr>
          <w:rFonts w:ascii="Times New Roman" w:hAnsi="Times New Roman" w:cs="Times New Roman"/>
          <w:sz w:val="24"/>
          <w:szCs w:val="24"/>
        </w:rPr>
        <w:t xml:space="preserve"> </w:t>
      </w:r>
      <w:r w:rsidR="00A847D9" w:rsidRPr="00E73BB1">
        <w:rPr>
          <w:rFonts w:ascii="Times New Roman" w:hAnsi="Times New Roman" w:cs="Times New Roman"/>
          <w:sz w:val="24"/>
          <w:szCs w:val="24"/>
        </w:rPr>
        <w:t>change</w:t>
      </w:r>
      <w:r w:rsidR="00D02382" w:rsidRPr="00E73BB1">
        <w:rPr>
          <w:rFonts w:ascii="Times New Roman" w:hAnsi="Times New Roman" w:cs="Times New Roman"/>
          <w:sz w:val="24"/>
          <w:szCs w:val="24"/>
        </w:rPr>
        <w:t xml:space="preserve"> over time (</w:t>
      </w:r>
      <w:r w:rsidR="00DA4925" w:rsidRPr="00E73BB1">
        <w:rPr>
          <w:rFonts w:ascii="Times New Roman" w:hAnsi="Times New Roman" w:cs="Times New Roman"/>
          <w:sz w:val="24"/>
          <w:szCs w:val="24"/>
        </w:rPr>
        <w:t xml:space="preserve">overall: </w:t>
      </w:r>
      <w:r w:rsidR="00DA4925" w:rsidRPr="00E73BB1">
        <w:rPr>
          <w:rFonts w:ascii="Times New Roman" w:hAnsi="Times New Roman" w:cs="Times New Roman"/>
          <w:i/>
          <w:sz w:val="24"/>
          <w:szCs w:val="24"/>
        </w:rPr>
        <w:t>t(</w:t>
      </w:r>
      <w:r w:rsidR="00350235" w:rsidRPr="00E73BB1">
        <w:rPr>
          <w:rFonts w:ascii="Times New Roman" w:hAnsi="Times New Roman" w:cs="Times New Roman"/>
          <w:i/>
          <w:sz w:val="24"/>
          <w:szCs w:val="24"/>
        </w:rPr>
        <w:t>289</w:t>
      </w:r>
      <w:r w:rsidR="00DA4925" w:rsidRPr="00E73BB1">
        <w:rPr>
          <w:rFonts w:ascii="Times New Roman" w:hAnsi="Times New Roman" w:cs="Times New Roman"/>
          <w:i/>
          <w:sz w:val="24"/>
          <w:szCs w:val="24"/>
        </w:rPr>
        <w:t xml:space="preserve">) </w:t>
      </w:r>
      <w:r w:rsidRPr="00E73BB1">
        <w:rPr>
          <w:rFonts w:ascii="Times New Roman" w:hAnsi="Times New Roman" w:cs="Times New Roman"/>
          <w:sz w:val="24"/>
          <w:szCs w:val="24"/>
        </w:rPr>
        <w:t>= 1.</w:t>
      </w:r>
      <w:r w:rsidR="00350235" w:rsidRPr="00E73BB1">
        <w:rPr>
          <w:rFonts w:ascii="Times New Roman" w:hAnsi="Times New Roman" w:cs="Times New Roman"/>
          <w:sz w:val="24"/>
          <w:szCs w:val="24"/>
        </w:rPr>
        <w:t>60</w:t>
      </w:r>
      <w:r w:rsidR="00DA4925" w:rsidRPr="00E73BB1">
        <w:rPr>
          <w:rFonts w:ascii="Times New Roman" w:hAnsi="Times New Roman" w:cs="Times New Roman"/>
          <w:sz w:val="24"/>
          <w:szCs w:val="24"/>
        </w:rPr>
        <w:t xml:space="preserve">, </w:t>
      </w:r>
      <w:r w:rsidR="00DA4925" w:rsidRPr="00E73BB1">
        <w:rPr>
          <w:rFonts w:ascii="Times New Roman" w:hAnsi="Times New Roman" w:cs="Times New Roman"/>
          <w:i/>
          <w:sz w:val="24"/>
          <w:szCs w:val="24"/>
        </w:rPr>
        <w:t>p</w:t>
      </w:r>
      <w:r w:rsidRPr="00E73BB1">
        <w:rPr>
          <w:rFonts w:ascii="Times New Roman" w:hAnsi="Times New Roman" w:cs="Times New Roman"/>
          <w:sz w:val="24"/>
          <w:szCs w:val="24"/>
        </w:rPr>
        <w:t xml:space="preserve"> = .1</w:t>
      </w:r>
      <w:r w:rsidR="00350235" w:rsidRPr="00E73BB1">
        <w:rPr>
          <w:rFonts w:ascii="Times New Roman" w:hAnsi="Times New Roman" w:cs="Times New Roman"/>
          <w:sz w:val="24"/>
          <w:szCs w:val="24"/>
        </w:rPr>
        <w:t>10</w:t>
      </w:r>
      <w:r w:rsidR="00DA4925" w:rsidRPr="00E73BB1">
        <w:rPr>
          <w:rFonts w:ascii="Times New Roman" w:hAnsi="Times New Roman" w:cs="Times New Roman"/>
          <w:sz w:val="24"/>
          <w:szCs w:val="24"/>
        </w:rPr>
        <w:t>;</w:t>
      </w:r>
      <w:r w:rsidR="00150757" w:rsidRPr="00E73BB1">
        <w:rPr>
          <w:rFonts w:ascii="Times New Roman" w:hAnsi="Times New Roman" w:cs="Times New Roman"/>
          <w:sz w:val="24"/>
          <w:szCs w:val="24"/>
        </w:rPr>
        <w:t xml:space="preserve"> </w:t>
      </w:r>
      <w:r w:rsidR="00D02382" w:rsidRPr="00E73BB1">
        <w:rPr>
          <w:rFonts w:ascii="Times New Roman" w:hAnsi="Times New Roman" w:cs="Times New Roman"/>
          <w:sz w:val="24"/>
          <w:szCs w:val="24"/>
        </w:rPr>
        <w:t xml:space="preserve">boys: </w:t>
      </w:r>
      <w:r w:rsidR="00D02382" w:rsidRPr="00E73BB1">
        <w:rPr>
          <w:rFonts w:ascii="Times New Roman" w:hAnsi="Times New Roman" w:cs="Times New Roman"/>
          <w:i/>
          <w:sz w:val="24"/>
          <w:szCs w:val="24"/>
        </w:rPr>
        <w:t>t</w:t>
      </w:r>
      <w:r w:rsidR="00DA4925" w:rsidRPr="00E73BB1">
        <w:rPr>
          <w:rFonts w:ascii="Times New Roman" w:hAnsi="Times New Roman" w:cs="Times New Roman"/>
          <w:i/>
          <w:sz w:val="24"/>
          <w:szCs w:val="24"/>
        </w:rPr>
        <w:t>(</w:t>
      </w:r>
      <w:r w:rsidR="00350235" w:rsidRPr="00E73BB1">
        <w:rPr>
          <w:rFonts w:ascii="Times New Roman" w:hAnsi="Times New Roman" w:cs="Times New Roman"/>
          <w:i/>
          <w:sz w:val="24"/>
          <w:szCs w:val="24"/>
        </w:rPr>
        <w:t>127</w:t>
      </w:r>
      <w:r w:rsidR="00DA4925" w:rsidRPr="00E73BB1">
        <w:rPr>
          <w:rFonts w:ascii="Times New Roman" w:hAnsi="Times New Roman" w:cs="Times New Roman"/>
          <w:i/>
          <w:sz w:val="24"/>
          <w:szCs w:val="24"/>
        </w:rPr>
        <w:t>)</w:t>
      </w:r>
      <w:r w:rsidR="00D02382" w:rsidRPr="00E73BB1">
        <w:rPr>
          <w:rFonts w:ascii="Times New Roman" w:hAnsi="Times New Roman" w:cs="Times New Roman"/>
          <w:i/>
          <w:sz w:val="24"/>
          <w:szCs w:val="24"/>
        </w:rPr>
        <w:t xml:space="preserve"> </w:t>
      </w:r>
      <w:r w:rsidR="00D02382" w:rsidRPr="00E73BB1">
        <w:rPr>
          <w:rFonts w:ascii="Times New Roman" w:hAnsi="Times New Roman" w:cs="Times New Roman"/>
          <w:sz w:val="24"/>
          <w:szCs w:val="24"/>
        </w:rPr>
        <w:t xml:space="preserve">= </w:t>
      </w:r>
      <w:r w:rsidR="00DA4925" w:rsidRPr="00E73BB1">
        <w:rPr>
          <w:rFonts w:ascii="Times New Roman" w:hAnsi="Times New Roman" w:cs="Times New Roman"/>
          <w:sz w:val="24"/>
          <w:szCs w:val="24"/>
        </w:rPr>
        <w:t>1.</w:t>
      </w:r>
      <w:r w:rsidR="00350235" w:rsidRPr="00E73BB1">
        <w:rPr>
          <w:rFonts w:ascii="Times New Roman" w:hAnsi="Times New Roman" w:cs="Times New Roman"/>
          <w:sz w:val="24"/>
          <w:szCs w:val="24"/>
        </w:rPr>
        <w:t>75</w:t>
      </w:r>
      <w:r w:rsidR="00D02382" w:rsidRPr="00E73BB1">
        <w:rPr>
          <w:rFonts w:ascii="Times New Roman" w:hAnsi="Times New Roman" w:cs="Times New Roman"/>
          <w:sz w:val="24"/>
          <w:szCs w:val="24"/>
        </w:rPr>
        <w:t xml:space="preserve">, </w:t>
      </w:r>
      <w:r w:rsidR="00D02382" w:rsidRPr="00E73BB1">
        <w:rPr>
          <w:rFonts w:ascii="Times New Roman" w:hAnsi="Times New Roman" w:cs="Times New Roman"/>
          <w:i/>
          <w:sz w:val="24"/>
          <w:szCs w:val="24"/>
        </w:rPr>
        <w:t>p</w:t>
      </w:r>
      <w:r w:rsidR="00D02382" w:rsidRPr="00E73BB1">
        <w:rPr>
          <w:rFonts w:ascii="Times New Roman" w:hAnsi="Times New Roman" w:cs="Times New Roman"/>
          <w:sz w:val="24"/>
          <w:szCs w:val="24"/>
        </w:rPr>
        <w:t xml:space="preserve"> = .</w:t>
      </w:r>
      <w:r w:rsidR="00D57196" w:rsidRPr="00E73BB1">
        <w:rPr>
          <w:rFonts w:ascii="Times New Roman" w:hAnsi="Times New Roman" w:cs="Times New Roman"/>
          <w:sz w:val="24"/>
          <w:szCs w:val="24"/>
        </w:rPr>
        <w:t>0</w:t>
      </w:r>
      <w:r w:rsidR="00350235" w:rsidRPr="00E73BB1">
        <w:rPr>
          <w:rFonts w:ascii="Times New Roman" w:hAnsi="Times New Roman" w:cs="Times New Roman"/>
          <w:sz w:val="24"/>
          <w:szCs w:val="24"/>
        </w:rPr>
        <w:t>83</w:t>
      </w:r>
      <w:r w:rsidR="00D02382" w:rsidRPr="00E73BB1">
        <w:rPr>
          <w:rFonts w:ascii="Times New Roman" w:hAnsi="Times New Roman" w:cs="Times New Roman"/>
          <w:sz w:val="24"/>
          <w:szCs w:val="24"/>
        </w:rPr>
        <w:t xml:space="preserve">; girls: </w:t>
      </w:r>
      <w:r w:rsidR="00D02382" w:rsidRPr="00E73BB1">
        <w:rPr>
          <w:rFonts w:ascii="Times New Roman" w:hAnsi="Times New Roman" w:cs="Times New Roman"/>
          <w:i/>
          <w:sz w:val="24"/>
          <w:szCs w:val="24"/>
        </w:rPr>
        <w:t>t</w:t>
      </w:r>
      <w:r w:rsidR="00DA4925" w:rsidRPr="00E73BB1">
        <w:rPr>
          <w:rFonts w:ascii="Times New Roman" w:hAnsi="Times New Roman" w:cs="Times New Roman"/>
          <w:i/>
          <w:sz w:val="24"/>
          <w:szCs w:val="24"/>
        </w:rPr>
        <w:t>(</w:t>
      </w:r>
      <w:r w:rsidR="00D57196" w:rsidRPr="00E73BB1">
        <w:rPr>
          <w:rFonts w:ascii="Times New Roman" w:hAnsi="Times New Roman" w:cs="Times New Roman"/>
          <w:i/>
          <w:sz w:val="24"/>
          <w:szCs w:val="24"/>
        </w:rPr>
        <w:t>161</w:t>
      </w:r>
      <w:r w:rsidR="00DA4925" w:rsidRPr="00E73BB1">
        <w:rPr>
          <w:rFonts w:ascii="Times New Roman" w:hAnsi="Times New Roman" w:cs="Times New Roman"/>
          <w:i/>
          <w:sz w:val="24"/>
          <w:szCs w:val="24"/>
        </w:rPr>
        <w:t>)</w:t>
      </w:r>
      <w:r w:rsidR="00D02382" w:rsidRPr="00E73BB1">
        <w:rPr>
          <w:rFonts w:ascii="Times New Roman" w:hAnsi="Times New Roman" w:cs="Times New Roman"/>
          <w:sz w:val="24"/>
          <w:szCs w:val="24"/>
        </w:rPr>
        <w:t xml:space="preserve"> = </w:t>
      </w:r>
      <w:r w:rsidR="00DA4925" w:rsidRPr="00E73BB1">
        <w:rPr>
          <w:rFonts w:ascii="Times New Roman" w:hAnsi="Times New Roman" w:cs="Times New Roman"/>
          <w:sz w:val="24"/>
          <w:szCs w:val="24"/>
        </w:rPr>
        <w:t>0.</w:t>
      </w:r>
      <w:r w:rsidR="00D57196" w:rsidRPr="00E73BB1">
        <w:rPr>
          <w:rFonts w:ascii="Times New Roman" w:hAnsi="Times New Roman" w:cs="Times New Roman"/>
          <w:sz w:val="24"/>
          <w:szCs w:val="24"/>
        </w:rPr>
        <w:t>6</w:t>
      </w:r>
      <w:r w:rsidR="00350235" w:rsidRPr="00E73BB1">
        <w:rPr>
          <w:rFonts w:ascii="Times New Roman" w:hAnsi="Times New Roman" w:cs="Times New Roman"/>
          <w:sz w:val="24"/>
          <w:szCs w:val="24"/>
        </w:rPr>
        <w:t>6</w:t>
      </w:r>
      <w:r w:rsidR="00D02382" w:rsidRPr="00E73BB1">
        <w:rPr>
          <w:rFonts w:ascii="Times New Roman" w:hAnsi="Times New Roman" w:cs="Times New Roman"/>
          <w:sz w:val="24"/>
          <w:szCs w:val="24"/>
        </w:rPr>
        <w:t xml:space="preserve">, </w:t>
      </w:r>
      <w:r w:rsidR="00D02382" w:rsidRPr="00E73BB1">
        <w:rPr>
          <w:rFonts w:ascii="Times New Roman" w:hAnsi="Times New Roman" w:cs="Times New Roman"/>
          <w:i/>
          <w:sz w:val="24"/>
          <w:szCs w:val="24"/>
        </w:rPr>
        <w:t>p</w:t>
      </w:r>
      <w:r w:rsidR="00D02382" w:rsidRPr="00E73BB1">
        <w:rPr>
          <w:rFonts w:ascii="Times New Roman" w:hAnsi="Times New Roman" w:cs="Times New Roman"/>
          <w:sz w:val="24"/>
          <w:szCs w:val="24"/>
        </w:rPr>
        <w:t xml:space="preserve"> = .</w:t>
      </w:r>
      <w:r w:rsidR="00D57196" w:rsidRPr="00E73BB1">
        <w:rPr>
          <w:rFonts w:ascii="Times New Roman" w:hAnsi="Times New Roman" w:cs="Times New Roman"/>
          <w:sz w:val="24"/>
          <w:szCs w:val="24"/>
        </w:rPr>
        <w:t>5</w:t>
      </w:r>
      <w:r w:rsidR="00350235" w:rsidRPr="00E73BB1">
        <w:rPr>
          <w:rFonts w:ascii="Times New Roman" w:hAnsi="Times New Roman" w:cs="Times New Roman"/>
          <w:sz w:val="24"/>
          <w:szCs w:val="24"/>
        </w:rPr>
        <w:t>09</w:t>
      </w:r>
      <w:r w:rsidR="00D02382" w:rsidRPr="00E73BB1">
        <w:rPr>
          <w:rFonts w:ascii="Times New Roman" w:hAnsi="Times New Roman" w:cs="Times New Roman"/>
          <w:sz w:val="24"/>
          <w:szCs w:val="24"/>
        </w:rPr>
        <w:t>).</w:t>
      </w:r>
      <w:r w:rsidR="00A847D9" w:rsidRPr="00E73BB1">
        <w:rPr>
          <w:rFonts w:ascii="Times New Roman" w:hAnsi="Times New Roman" w:cs="Times New Roman"/>
          <w:sz w:val="24"/>
          <w:szCs w:val="24"/>
        </w:rPr>
        <w:t xml:space="preserve"> Thus </w:t>
      </w:r>
      <w:r w:rsidR="00DA4925" w:rsidRPr="00E73BB1">
        <w:rPr>
          <w:rFonts w:ascii="Times New Roman" w:hAnsi="Times New Roman" w:cs="Times New Roman"/>
          <w:sz w:val="24"/>
          <w:szCs w:val="24"/>
        </w:rPr>
        <w:t xml:space="preserve">the 9-item </w:t>
      </w:r>
      <w:r w:rsidR="00CE3226" w:rsidRPr="00E73BB1">
        <w:rPr>
          <w:rFonts w:ascii="Times New Roman" w:hAnsi="Times New Roman" w:cs="Times New Roman"/>
          <w:sz w:val="24"/>
          <w:szCs w:val="24"/>
        </w:rPr>
        <w:t>BILD-Q</w:t>
      </w:r>
      <w:r w:rsidR="00DA4925" w:rsidRPr="00E73BB1">
        <w:rPr>
          <w:rFonts w:ascii="Times New Roman" w:hAnsi="Times New Roman" w:cs="Times New Roman"/>
          <w:sz w:val="24"/>
          <w:szCs w:val="24"/>
        </w:rPr>
        <w:t xml:space="preserve"> </w:t>
      </w:r>
      <w:r w:rsidR="00EF25C1" w:rsidRPr="00E73BB1">
        <w:rPr>
          <w:rFonts w:ascii="Times New Roman" w:hAnsi="Times New Roman" w:cs="Times New Roman"/>
          <w:sz w:val="24"/>
          <w:szCs w:val="24"/>
        </w:rPr>
        <w:t xml:space="preserve">showed </w:t>
      </w:r>
      <w:r w:rsidR="00DA4925" w:rsidRPr="00E73BB1">
        <w:rPr>
          <w:rFonts w:ascii="Times New Roman" w:hAnsi="Times New Roman" w:cs="Times New Roman"/>
          <w:sz w:val="24"/>
          <w:szCs w:val="24"/>
        </w:rPr>
        <w:t>internal consistency and stability over time for</w:t>
      </w:r>
      <w:r w:rsidR="004614A5" w:rsidRPr="00E73BB1">
        <w:rPr>
          <w:rFonts w:ascii="Times New Roman" w:hAnsi="Times New Roman" w:cs="Times New Roman"/>
          <w:sz w:val="24"/>
          <w:szCs w:val="24"/>
        </w:rPr>
        <w:t xml:space="preserve"> both</w:t>
      </w:r>
      <w:r w:rsidR="00DA4925" w:rsidRPr="00E73BB1">
        <w:rPr>
          <w:rFonts w:ascii="Times New Roman" w:hAnsi="Times New Roman" w:cs="Times New Roman"/>
          <w:sz w:val="24"/>
          <w:szCs w:val="24"/>
        </w:rPr>
        <w:t xml:space="preserve"> boys and girls</w:t>
      </w:r>
      <w:r w:rsidR="00A847D9" w:rsidRPr="00E73BB1">
        <w:rPr>
          <w:rFonts w:ascii="Times New Roman" w:hAnsi="Times New Roman" w:cs="Times New Roman"/>
          <w:sz w:val="24"/>
          <w:szCs w:val="24"/>
        </w:rPr>
        <w:t>.</w:t>
      </w:r>
    </w:p>
    <w:p w14:paraId="2CC81B10" w14:textId="5B400D2E" w:rsidR="00F72655" w:rsidRPr="00881079" w:rsidRDefault="00C5565F" w:rsidP="00881079">
      <w:pPr>
        <w:pStyle w:val="ListParagraph"/>
        <w:widowControl w:val="0"/>
        <w:numPr>
          <w:ilvl w:val="0"/>
          <w:numId w:val="10"/>
        </w:numPr>
        <w:spacing w:after="0" w:line="480" w:lineRule="auto"/>
        <w:jc w:val="center"/>
        <w:rPr>
          <w:rFonts w:ascii="Times New Roman" w:hAnsi="Times New Roman" w:cs="Times New Roman"/>
          <w:b/>
          <w:sz w:val="24"/>
          <w:szCs w:val="24"/>
        </w:rPr>
      </w:pPr>
      <w:r w:rsidRPr="00881079">
        <w:rPr>
          <w:rFonts w:ascii="Times New Roman" w:hAnsi="Times New Roman" w:cs="Times New Roman"/>
          <w:b/>
          <w:sz w:val="24"/>
          <w:szCs w:val="24"/>
        </w:rPr>
        <w:t>Study 2</w:t>
      </w:r>
      <w:r w:rsidR="00784262" w:rsidRPr="00881079">
        <w:rPr>
          <w:rFonts w:ascii="Times New Roman" w:hAnsi="Times New Roman" w:cs="Times New Roman"/>
          <w:b/>
          <w:sz w:val="24"/>
          <w:szCs w:val="24"/>
        </w:rPr>
        <w:t>: Confirmatory Factor Analysis</w:t>
      </w:r>
    </w:p>
    <w:p w14:paraId="5114656C" w14:textId="15500A4F" w:rsidR="0065175A" w:rsidRPr="00E73BB1" w:rsidRDefault="0065175A" w:rsidP="0065175A">
      <w:pPr>
        <w:widowControl w:val="0"/>
        <w:spacing w:after="0" w:line="480" w:lineRule="auto"/>
        <w:rPr>
          <w:rFonts w:ascii="Times New Roman" w:hAnsi="Times New Roman" w:cs="Times New Roman"/>
          <w:sz w:val="24"/>
          <w:szCs w:val="24"/>
        </w:rPr>
      </w:pPr>
      <w:r w:rsidRPr="00E73BB1">
        <w:rPr>
          <w:rFonts w:ascii="Times New Roman" w:hAnsi="Times New Roman" w:cs="Times New Roman"/>
          <w:sz w:val="24"/>
          <w:szCs w:val="24"/>
        </w:rPr>
        <w:tab/>
        <w:t xml:space="preserve">The aim of Study 2 was to </w:t>
      </w:r>
      <w:r w:rsidR="007C6DBB" w:rsidRPr="00E73BB1">
        <w:rPr>
          <w:rFonts w:ascii="Times New Roman" w:hAnsi="Times New Roman" w:cs="Times New Roman"/>
          <w:sz w:val="24"/>
          <w:szCs w:val="24"/>
        </w:rPr>
        <w:t>confirm</w:t>
      </w:r>
      <w:r w:rsidRPr="00E73BB1">
        <w:rPr>
          <w:rFonts w:ascii="Times New Roman" w:hAnsi="Times New Roman" w:cs="Times New Roman"/>
          <w:sz w:val="24"/>
          <w:szCs w:val="24"/>
        </w:rPr>
        <w:t xml:space="preserve"> </w:t>
      </w:r>
      <w:r w:rsidR="00ED0F56" w:rsidRPr="00E73BB1">
        <w:rPr>
          <w:rFonts w:ascii="Times New Roman" w:hAnsi="Times New Roman" w:cs="Times New Roman"/>
          <w:sz w:val="24"/>
          <w:szCs w:val="24"/>
        </w:rPr>
        <w:t>the</w:t>
      </w:r>
      <w:r w:rsidR="00BA1376" w:rsidRPr="00E73BB1">
        <w:rPr>
          <w:rFonts w:ascii="Times New Roman" w:hAnsi="Times New Roman" w:cs="Times New Roman"/>
          <w:sz w:val="24"/>
          <w:szCs w:val="24"/>
        </w:rPr>
        <w:t xml:space="preserve"> factor structure of the</w:t>
      </w:r>
      <w:r w:rsidRPr="00E73BB1">
        <w:rPr>
          <w:rFonts w:ascii="Times New Roman" w:hAnsi="Times New Roman" w:cs="Times New Roman"/>
          <w:sz w:val="24"/>
          <w:szCs w:val="24"/>
        </w:rPr>
        <w:t xml:space="preserve"> </w:t>
      </w:r>
      <w:r w:rsidR="00CE3226" w:rsidRPr="00E73BB1">
        <w:rPr>
          <w:rFonts w:ascii="Times New Roman" w:hAnsi="Times New Roman" w:cs="Times New Roman"/>
          <w:sz w:val="24"/>
          <w:szCs w:val="24"/>
        </w:rPr>
        <w:t>BILD-Q</w:t>
      </w:r>
      <w:r w:rsidR="00ED0F56" w:rsidRPr="00E73BB1">
        <w:rPr>
          <w:rFonts w:ascii="Times New Roman" w:hAnsi="Times New Roman" w:cs="Times New Roman"/>
          <w:sz w:val="24"/>
          <w:szCs w:val="24"/>
        </w:rPr>
        <w:t>,</w:t>
      </w:r>
      <w:r w:rsidRPr="00E73BB1">
        <w:rPr>
          <w:rFonts w:ascii="Times New Roman" w:hAnsi="Times New Roman" w:cs="Times New Roman"/>
          <w:sz w:val="24"/>
          <w:szCs w:val="24"/>
        </w:rPr>
        <w:t xml:space="preserve"> </w:t>
      </w:r>
      <w:r w:rsidR="00D60127" w:rsidRPr="00E73BB1">
        <w:rPr>
          <w:rFonts w:ascii="Times New Roman" w:hAnsi="Times New Roman" w:cs="Times New Roman"/>
          <w:sz w:val="24"/>
          <w:szCs w:val="24"/>
        </w:rPr>
        <w:t xml:space="preserve">by </w:t>
      </w:r>
      <w:r w:rsidR="000A7F6F" w:rsidRPr="00E73BB1">
        <w:rPr>
          <w:rFonts w:ascii="Times New Roman" w:hAnsi="Times New Roman" w:cs="Times New Roman"/>
          <w:sz w:val="24"/>
          <w:szCs w:val="24"/>
        </w:rPr>
        <w:t>cross-validating</w:t>
      </w:r>
      <w:r w:rsidR="00F8732E" w:rsidRPr="00E73BB1">
        <w:rPr>
          <w:rFonts w:ascii="Times New Roman" w:hAnsi="Times New Roman" w:cs="Times New Roman"/>
          <w:sz w:val="24"/>
          <w:szCs w:val="24"/>
        </w:rPr>
        <w:t xml:space="preserve"> </w:t>
      </w:r>
      <w:r w:rsidRPr="00E73BB1">
        <w:rPr>
          <w:rFonts w:ascii="Times New Roman" w:hAnsi="Times New Roman" w:cs="Times New Roman"/>
          <w:sz w:val="24"/>
          <w:szCs w:val="24"/>
        </w:rPr>
        <w:t>in a sec</w:t>
      </w:r>
      <w:r w:rsidR="00D60127" w:rsidRPr="00E73BB1">
        <w:rPr>
          <w:rFonts w:ascii="Times New Roman" w:hAnsi="Times New Roman" w:cs="Times New Roman"/>
          <w:sz w:val="24"/>
          <w:szCs w:val="24"/>
        </w:rPr>
        <w:t>ond sample of early adolescents</w:t>
      </w:r>
      <w:r w:rsidR="00F8732E" w:rsidRPr="00E73BB1">
        <w:rPr>
          <w:rFonts w:ascii="Times New Roman" w:hAnsi="Times New Roman" w:cs="Times New Roman"/>
          <w:sz w:val="24"/>
          <w:szCs w:val="24"/>
        </w:rPr>
        <w:t>.</w:t>
      </w:r>
      <w:r w:rsidR="007C6DBB" w:rsidRPr="00E73BB1">
        <w:rPr>
          <w:rFonts w:ascii="Times New Roman" w:hAnsi="Times New Roman" w:cs="Times New Roman"/>
          <w:sz w:val="24"/>
          <w:szCs w:val="24"/>
        </w:rPr>
        <w:t xml:space="preserve"> </w:t>
      </w:r>
    </w:p>
    <w:p w14:paraId="54688DD1" w14:textId="02BFFC61" w:rsidR="0065175A" w:rsidRPr="00E73BB1" w:rsidRDefault="00A94360" w:rsidP="0065175A">
      <w:pPr>
        <w:widowControl w:val="0"/>
        <w:spacing w:after="0" w:line="480" w:lineRule="auto"/>
        <w:rPr>
          <w:rFonts w:ascii="Times New Roman" w:hAnsi="Times New Roman" w:cs="Times New Roman"/>
          <w:b/>
          <w:sz w:val="24"/>
          <w:szCs w:val="24"/>
        </w:rPr>
      </w:pPr>
      <w:r w:rsidRPr="00E73BB1">
        <w:rPr>
          <w:rFonts w:ascii="Times New Roman" w:hAnsi="Times New Roman" w:cs="Times New Roman"/>
          <w:b/>
          <w:sz w:val="24"/>
          <w:szCs w:val="24"/>
        </w:rPr>
        <w:t xml:space="preserve">3.1. </w:t>
      </w:r>
      <w:r w:rsidR="00C40D22" w:rsidRPr="00E73BB1">
        <w:rPr>
          <w:rFonts w:ascii="Times New Roman" w:hAnsi="Times New Roman" w:cs="Times New Roman"/>
          <w:b/>
          <w:sz w:val="24"/>
          <w:szCs w:val="24"/>
        </w:rPr>
        <w:t>Method</w:t>
      </w:r>
    </w:p>
    <w:p w14:paraId="7CF6A72B" w14:textId="7171217A" w:rsidR="0096020E" w:rsidRPr="00E73BB1" w:rsidRDefault="00A94360" w:rsidP="000A7F6F">
      <w:pPr>
        <w:widowControl w:val="0"/>
        <w:spacing w:after="0" w:line="480" w:lineRule="auto"/>
        <w:rPr>
          <w:rFonts w:ascii="Times New Roman" w:hAnsi="Times New Roman" w:cs="Times New Roman"/>
          <w:i/>
          <w:iCs/>
          <w:sz w:val="24"/>
          <w:szCs w:val="24"/>
        </w:rPr>
      </w:pPr>
      <w:r w:rsidRPr="00E73BB1">
        <w:rPr>
          <w:rFonts w:ascii="Times New Roman" w:hAnsi="Times New Roman" w:cs="Times New Roman"/>
          <w:b/>
          <w:i/>
          <w:iCs/>
          <w:sz w:val="24"/>
          <w:szCs w:val="24"/>
        </w:rPr>
        <w:t xml:space="preserve">3.1.1. </w:t>
      </w:r>
      <w:r w:rsidR="00430146" w:rsidRPr="00E73BB1">
        <w:rPr>
          <w:rFonts w:ascii="Times New Roman" w:hAnsi="Times New Roman" w:cs="Times New Roman"/>
          <w:b/>
          <w:i/>
          <w:iCs/>
          <w:sz w:val="24"/>
          <w:szCs w:val="24"/>
        </w:rPr>
        <w:t>Participants</w:t>
      </w:r>
      <w:r w:rsidR="000A7F6F" w:rsidRPr="00E73BB1">
        <w:rPr>
          <w:rFonts w:ascii="Times New Roman" w:hAnsi="Times New Roman" w:cs="Times New Roman"/>
          <w:b/>
          <w:i/>
          <w:iCs/>
          <w:sz w:val="24"/>
          <w:szCs w:val="24"/>
        </w:rPr>
        <w:t xml:space="preserve"> and </w:t>
      </w:r>
      <w:r w:rsidR="0096020E" w:rsidRPr="00E73BB1">
        <w:rPr>
          <w:rFonts w:ascii="Times New Roman" w:hAnsi="Times New Roman" w:cs="Times New Roman"/>
          <w:b/>
          <w:i/>
          <w:iCs/>
          <w:sz w:val="24"/>
          <w:szCs w:val="24"/>
        </w:rPr>
        <w:t>P</w:t>
      </w:r>
      <w:r w:rsidR="000A7F6F" w:rsidRPr="00E73BB1">
        <w:rPr>
          <w:rFonts w:ascii="Times New Roman" w:hAnsi="Times New Roman" w:cs="Times New Roman"/>
          <w:b/>
          <w:i/>
          <w:iCs/>
          <w:sz w:val="24"/>
          <w:szCs w:val="24"/>
        </w:rPr>
        <w:t>rocedure</w:t>
      </w:r>
      <w:r w:rsidR="00430146" w:rsidRPr="00E73BB1">
        <w:rPr>
          <w:rFonts w:ascii="Times New Roman" w:hAnsi="Times New Roman" w:cs="Times New Roman"/>
          <w:i/>
          <w:iCs/>
          <w:sz w:val="24"/>
          <w:szCs w:val="24"/>
        </w:rPr>
        <w:t xml:space="preserve"> </w:t>
      </w:r>
    </w:p>
    <w:p w14:paraId="390B3973" w14:textId="25360786" w:rsidR="000A7F6F" w:rsidRPr="00E73BB1" w:rsidRDefault="00430146" w:rsidP="009161D3">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Adolescent boys and girls (</w:t>
      </w:r>
      <w:r w:rsidRPr="00E73BB1">
        <w:rPr>
          <w:rFonts w:ascii="Times New Roman" w:hAnsi="Times New Roman" w:cs="Times New Roman"/>
          <w:i/>
          <w:sz w:val="24"/>
          <w:szCs w:val="24"/>
        </w:rPr>
        <w:t>N</w:t>
      </w:r>
      <w:r w:rsidRPr="00E73BB1">
        <w:rPr>
          <w:rFonts w:ascii="Times New Roman" w:hAnsi="Times New Roman" w:cs="Times New Roman"/>
          <w:sz w:val="24"/>
          <w:szCs w:val="24"/>
        </w:rPr>
        <w:t xml:space="preserve"> = 1403; 11-13 years; 54.74% boys) from a further 6 secondar</w:t>
      </w:r>
      <w:r w:rsidR="00D60127" w:rsidRPr="00E73BB1">
        <w:rPr>
          <w:rFonts w:ascii="Times New Roman" w:hAnsi="Times New Roman" w:cs="Times New Roman"/>
          <w:sz w:val="24"/>
          <w:szCs w:val="24"/>
        </w:rPr>
        <w:t xml:space="preserve">y schools in south England </w:t>
      </w:r>
      <w:r w:rsidRPr="00E73BB1">
        <w:rPr>
          <w:rFonts w:ascii="Times New Roman" w:hAnsi="Times New Roman" w:cs="Times New Roman"/>
          <w:sz w:val="24"/>
          <w:szCs w:val="24"/>
        </w:rPr>
        <w:t xml:space="preserve">completed the measures as part of </w:t>
      </w:r>
      <w:r w:rsidR="00D60127" w:rsidRPr="00E73BB1">
        <w:rPr>
          <w:rFonts w:ascii="Times New Roman" w:hAnsi="Times New Roman" w:cs="Times New Roman"/>
          <w:sz w:val="24"/>
          <w:szCs w:val="24"/>
        </w:rPr>
        <w:t xml:space="preserve">a </w:t>
      </w:r>
      <w:r w:rsidRPr="00E73BB1">
        <w:rPr>
          <w:rFonts w:ascii="Times New Roman" w:hAnsi="Times New Roman" w:cs="Times New Roman"/>
          <w:sz w:val="24"/>
          <w:szCs w:val="24"/>
        </w:rPr>
        <w:t>second intervention trial</w:t>
      </w:r>
      <w:r w:rsidR="00306AD4" w:rsidRPr="00E73BB1">
        <w:rPr>
          <w:rFonts w:ascii="Times New Roman" w:hAnsi="Times New Roman" w:cs="Times New Roman"/>
          <w:noProof/>
          <w:sz w:val="24"/>
          <w:szCs w:val="24"/>
        </w:rPr>
        <w:t xml:space="preserve"> (</w:t>
      </w:r>
      <w:r w:rsidR="00881079">
        <w:rPr>
          <w:rFonts w:ascii="Times New Roman" w:hAnsi="Times New Roman" w:cs="Times New Roman"/>
          <w:sz w:val="24"/>
          <w:szCs w:val="24"/>
        </w:rPr>
        <w:t>Diedrichs, Atkinson, Garbett, &amp; Leckie, 2020</w:t>
      </w:r>
      <w:r w:rsidR="00306AD4" w:rsidRPr="00E73BB1">
        <w:rPr>
          <w:rFonts w:ascii="Times New Roman" w:hAnsi="Times New Roman" w:cs="Times New Roman"/>
          <w:sz w:val="24"/>
          <w:szCs w:val="24"/>
        </w:rPr>
        <w:t>)</w:t>
      </w:r>
      <w:r w:rsidRPr="00E73BB1">
        <w:rPr>
          <w:rFonts w:ascii="Times New Roman" w:hAnsi="Times New Roman" w:cs="Times New Roman"/>
          <w:sz w:val="24"/>
          <w:szCs w:val="24"/>
        </w:rPr>
        <w:t>. All schools were public funded academies or community schools and had an average or below national average proportion of students claiming free school meals. Students wer</w:t>
      </w:r>
      <w:r w:rsidR="00D60127" w:rsidRPr="00E73BB1">
        <w:rPr>
          <w:rFonts w:ascii="Times New Roman" w:hAnsi="Times New Roman" w:cs="Times New Roman"/>
          <w:sz w:val="24"/>
          <w:szCs w:val="24"/>
        </w:rPr>
        <w:t>e predominantly White (83.2%), b</w:t>
      </w:r>
      <w:r w:rsidRPr="00E73BB1">
        <w:rPr>
          <w:rFonts w:ascii="Times New Roman" w:hAnsi="Times New Roman" w:cs="Times New Roman"/>
          <w:sz w:val="24"/>
          <w:szCs w:val="24"/>
        </w:rPr>
        <w:t xml:space="preserve">orn in the UK (93.9%), and spoke English at home (90.9%). </w:t>
      </w:r>
      <w:r w:rsidR="000A7F6F" w:rsidRPr="00E73BB1">
        <w:rPr>
          <w:rFonts w:ascii="Times New Roman" w:hAnsi="Times New Roman" w:cs="Times New Roman"/>
          <w:sz w:val="24"/>
          <w:szCs w:val="24"/>
        </w:rPr>
        <w:t xml:space="preserve">This study was approved by the University ethics review board, with full trial procedures described in </w:t>
      </w:r>
      <w:r w:rsidR="002D64AF">
        <w:rPr>
          <w:rFonts w:ascii="Times New Roman" w:hAnsi="Times New Roman" w:cs="Times New Roman"/>
          <w:sz w:val="24"/>
          <w:szCs w:val="24"/>
        </w:rPr>
        <w:t>Diedrichs et al., 2020</w:t>
      </w:r>
      <w:r w:rsidR="000A7F6F" w:rsidRPr="00E73BB1">
        <w:rPr>
          <w:rFonts w:ascii="Times New Roman" w:hAnsi="Times New Roman" w:cs="Times New Roman"/>
          <w:sz w:val="24"/>
          <w:szCs w:val="24"/>
        </w:rPr>
        <w:t xml:space="preserve">. Procedure for data collection in schools was </w:t>
      </w:r>
      <w:r w:rsidR="004614A5" w:rsidRPr="00E73BB1">
        <w:rPr>
          <w:rFonts w:ascii="Times New Roman" w:hAnsi="Times New Roman" w:cs="Times New Roman"/>
          <w:sz w:val="24"/>
          <w:szCs w:val="24"/>
        </w:rPr>
        <w:t>the same</w:t>
      </w:r>
      <w:r w:rsidR="000A7F6F" w:rsidRPr="00E73BB1">
        <w:rPr>
          <w:rFonts w:ascii="Times New Roman" w:hAnsi="Times New Roman" w:cs="Times New Roman"/>
          <w:sz w:val="24"/>
          <w:szCs w:val="24"/>
        </w:rPr>
        <w:t xml:space="preserve"> as for Study 1. </w:t>
      </w:r>
    </w:p>
    <w:p w14:paraId="03A04821" w14:textId="080B438E" w:rsidR="0096020E" w:rsidRPr="00E73BB1" w:rsidRDefault="00A94360" w:rsidP="0065175A">
      <w:pPr>
        <w:widowControl w:val="0"/>
        <w:spacing w:after="0" w:line="480" w:lineRule="auto"/>
        <w:rPr>
          <w:rFonts w:ascii="Times New Roman" w:hAnsi="Times New Roman" w:cs="Times New Roman"/>
          <w:i/>
          <w:iCs/>
          <w:sz w:val="24"/>
          <w:szCs w:val="24"/>
        </w:rPr>
      </w:pPr>
      <w:r w:rsidRPr="00E73BB1">
        <w:rPr>
          <w:rFonts w:ascii="Times New Roman" w:hAnsi="Times New Roman" w:cs="Times New Roman"/>
          <w:b/>
          <w:i/>
          <w:iCs/>
          <w:sz w:val="24"/>
          <w:szCs w:val="24"/>
        </w:rPr>
        <w:t xml:space="preserve">3.1.2. </w:t>
      </w:r>
      <w:r w:rsidR="0065175A" w:rsidRPr="00E73BB1">
        <w:rPr>
          <w:rFonts w:ascii="Times New Roman" w:hAnsi="Times New Roman" w:cs="Times New Roman"/>
          <w:b/>
          <w:i/>
          <w:iCs/>
          <w:sz w:val="24"/>
          <w:szCs w:val="24"/>
        </w:rPr>
        <w:t>Measures</w:t>
      </w:r>
      <w:r w:rsidR="0065175A" w:rsidRPr="00E73BB1">
        <w:rPr>
          <w:rFonts w:ascii="Times New Roman" w:hAnsi="Times New Roman" w:cs="Times New Roman"/>
          <w:i/>
          <w:iCs/>
          <w:sz w:val="24"/>
          <w:szCs w:val="24"/>
        </w:rPr>
        <w:t xml:space="preserve"> </w:t>
      </w:r>
    </w:p>
    <w:p w14:paraId="375AE457" w14:textId="10EF28E0" w:rsidR="0065175A" w:rsidRPr="00E73BB1" w:rsidRDefault="0065175A" w:rsidP="009161D3">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b/>
          <w:iCs/>
          <w:sz w:val="24"/>
          <w:szCs w:val="24"/>
        </w:rPr>
        <w:t xml:space="preserve">Life </w:t>
      </w:r>
      <w:r w:rsidR="0096020E" w:rsidRPr="00E73BB1">
        <w:rPr>
          <w:rFonts w:ascii="Times New Roman" w:hAnsi="Times New Roman" w:cs="Times New Roman"/>
          <w:b/>
          <w:iCs/>
          <w:sz w:val="24"/>
          <w:szCs w:val="24"/>
        </w:rPr>
        <w:t>D</w:t>
      </w:r>
      <w:r w:rsidR="00CE3226" w:rsidRPr="00E73BB1">
        <w:rPr>
          <w:rFonts w:ascii="Times New Roman" w:hAnsi="Times New Roman" w:cs="Times New Roman"/>
          <w:b/>
          <w:iCs/>
          <w:sz w:val="24"/>
          <w:szCs w:val="24"/>
        </w:rPr>
        <w:t>is</w:t>
      </w:r>
      <w:r w:rsidRPr="00E73BB1">
        <w:rPr>
          <w:rFonts w:ascii="Times New Roman" w:hAnsi="Times New Roman" w:cs="Times New Roman"/>
          <w:b/>
          <w:iCs/>
          <w:sz w:val="24"/>
          <w:szCs w:val="24"/>
        </w:rPr>
        <w:t>engagement</w:t>
      </w:r>
      <w:r w:rsidRPr="00E73BB1">
        <w:rPr>
          <w:rFonts w:ascii="Times New Roman" w:hAnsi="Times New Roman" w:cs="Times New Roman"/>
          <w:b/>
          <w:i/>
          <w:sz w:val="24"/>
          <w:szCs w:val="24"/>
        </w:rPr>
        <w:t>.</w:t>
      </w:r>
      <w:r w:rsidRPr="00E73BB1">
        <w:rPr>
          <w:rFonts w:ascii="Times New Roman" w:hAnsi="Times New Roman" w:cs="Times New Roman"/>
          <w:sz w:val="24"/>
          <w:szCs w:val="24"/>
        </w:rPr>
        <w:t xml:space="preserve"> </w:t>
      </w:r>
      <w:r w:rsidR="00EF25C1" w:rsidRPr="00E73BB1">
        <w:rPr>
          <w:rFonts w:ascii="Times New Roman" w:hAnsi="Times New Roman" w:cs="Times New Roman"/>
          <w:sz w:val="24"/>
          <w:szCs w:val="24"/>
        </w:rPr>
        <w:t>T</w:t>
      </w:r>
      <w:r w:rsidR="00F8732E" w:rsidRPr="00E73BB1">
        <w:rPr>
          <w:rFonts w:ascii="Times New Roman" w:hAnsi="Times New Roman" w:cs="Times New Roman"/>
          <w:sz w:val="24"/>
          <w:szCs w:val="24"/>
        </w:rPr>
        <w:t xml:space="preserve">he </w:t>
      </w:r>
      <w:r w:rsidR="00F77D4F" w:rsidRPr="00E73BB1">
        <w:rPr>
          <w:rFonts w:ascii="Times New Roman" w:hAnsi="Times New Roman" w:cs="Times New Roman"/>
          <w:sz w:val="24"/>
          <w:szCs w:val="24"/>
        </w:rPr>
        <w:t>9</w:t>
      </w:r>
      <w:r w:rsidRPr="00E73BB1">
        <w:rPr>
          <w:rFonts w:ascii="Times New Roman" w:hAnsi="Times New Roman" w:cs="Times New Roman"/>
          <w:sz w:val="24"/>
          <w:szCs w:val="24"/>
        </w:rPr>
        <w:t xml:space="preserve">-item </w:t>
      </w:r>
      <w:r w:rsidR="00F8732E" w:rsidRPr="00E73BB1">
        <w:rPr>
          <w:rFonts w:ascii="Times New Roman" w:hAnsi="Times New Roman" w:cs="Times New Roman"/>
          <w:sz w:val="24"/>
          <w:szCs w:val="24"/>
        </w:rPr>
        <w:t xml:space="preserve">configuration of the </w:t>
      </w:r>
      <w:r w:rsidR="00CE3226" w:rsidRPr="00E73BB1">
        <w:rPr>
          <w:rFonts w:ascii="Times New Roman" w:hAnsi="Times New Roman" w:cs="Times New Roman"/>
          <w:sz w:val="24"/>
          <w:szCs w:val="24"/>
        </w:rPr>
        <w:t>BILD-Q</w:t>
      </w:r>
      <w:r w:rsidR="00F8732E" w:rsidRPr="00E73BB1">
        <w:rPr>
          <w:rFonts w:ascii="Times New Roman" w:hAnsi="Times New Roman" w:cs="Times New Roman"/>
          <w:sz w:val="24"/>
          <w:szCs w:val="24"/>
        </w:rPr>
        <w:t xml:space="preserve"> was</w:t>
      </w:r>
      <w:r w:rsidRPr="00E73BB1">
        <w:rPr>
          <w:rFonts w:ascii="Times New Roman" w:hAnsi="Times New Roman" w:cs="Times New Roman"/>
          <w:sz w:val="24"/>
          <w:szCs w:val="24"/>
        </w:rPr>
        <w:t xml:space="preserve"> </w:t>
      </w:r>
      <w:r w:rsidR="00D60127" w:rsidRPr="00E73BB1">
        <w:rPr>
          <w:rFonts w:ascii="Times New Roman" w:hAnsi="Times New Roman" w:cs="Times New Roman"/>
          <w:sz w:val="24"/>
          <w:szCs w:val="24"/>
        </w:rPr>
        <w:t>administered</w:t>
      </w:r>
      <w:r w:rsidR="00F8732E" w:rsidRPr="00E73BB1">
        <w:rPr>
          <w:rFonts w:ascii="Times New Roman" w:hAnsi="Times New Roman" w:cs="Times New Roman"/>
          <w:sz w:val="24"/>
          <w:szCs w:val="24"/>
        </w:rPr>
        <w:t>, as described in Study 1</w:t>
      </w:r>
      <w:r w:rsidR="00430146" w:rsidRPr="00E73BB1">
        <w:rPr>
          <w:rFonts w:ascii="Times New Roman" w:hAnsi="Times New Roman" w:cs="Times New Roman"/>
          <w:sz w:val="24"/>
          <w:szCs w:val="24"/>
        </w:rPr>
        <w:t>.</w:t>
      </w:r>
      <w:r w:rsidR="00D60127" w:rsidRPr="00E73BB1">
        <w:rPr>
          <w:rFonts w:ascii="Times New Roman" w:hAnsi="Times New Roman" w:cs="Times New Roman"/>
          <w:sz w:val="24"/>
          <w:szCs w:val="24"/>
        </w:rPr>
        <w:t xml:space="preserve"> </w:t>
      </w:r>
    </w:p>
    <w:p w14:paraId="50F02804" w14:textId="5F8A9913" w:rsidR="00430146" w:rsidRPr="00E73BB1" w:rsidRDefault="00A94360" w:rsidP="0065175A">
      <w:pPr>
        <w:widowControl w:val="0"/>
        <w:spacing w:after="0" w:line="480" w:lineRule="auto"/>
        <w:rPr>
          <w:rFonts w:ascii="Times New Roman" w:hAnsi="Times New Roman" w:cs="Times New Roman"/>
          <w:sz w:val="24"/>
          <w:szCs w:val="24"/>
        </w:rPr>
      </w:pPr>
      <w:r w:rsidRPr="00E73BB1">
        <w:rPr>
          <w:rFonts w:ascii="Times New Roman" w:hAnsi="Times New Roman" w:cs="Times New Roman"/>
          <w:b/>
          <w:sz w:val="24"/>
          <w:szCs w:val="24"/>
        </w:rPr>
        <w:lastRenderedPageBreak/>
        <w:t xml:space="preserve">3.2.  </w:t>
      </w:r>
      <w:r w:rsidR="00430146" w:rsidRPr="00E73BB1">
        <w:rPr>
          <w:rFonts w:ascii="Times New Roman" w:hAnsi="Times New Roman" w:cs="Times New Roman"/>
          <w:b/>
          <w:sz w:val="24"/>
          <w:szCs w:val="24"/>
        </w:rPr>
        <w:t>Results</w:t>
      </w:r>
      <w:r w:rsidR="00430146" w:rsidRPr="00E73BB1">
        <w:rPr>
          <w:rFonts w:ascii="Times New Roman" w:hAnsi="Times New Roman" w:cs="Times New Roman"/>
          <w:sz w:val="24"/>
          <w:szCs w:val="24"/>
        </w:rPr>
        <w:t xml:space="preserve"> </w:t>
      </w:r>
    </w:p>
    <w:p w14:paraId="0C061EB5" w14:textId="2F1A0E5E" w:rsidR="0096020E" w:rsidRPr="00E73BB1" w:rsidRDefault="00A94360" w:rsidP="00F77D4F">
      <w:pPr>
        <w:widowControl w:val="0"/>
        <w:spacing w:after="0" w:line="480" w:lineRule="auto"/>
        <w:rPr>
          <w:rFonts w:ascii="Times New Roman" w:hAnsi="Times New Roman" w:cs="Times New Roman"/>
          <w:i/>
          <w:iCs/>
          <w:sz w:val="24"/>
          <w:szCs w:val="24"/>
        </w:rPr>
      </w:pPr>
      <w:r w:rsidRPr="00E73BB1">
        <w:rPr>
          <w:rFonts w:ascii="Times New Roman" w:hAnsi="Times New Roman" w:cs="Times New Roman"/>
          <w:b/>
          <w:i/>
          <w:iCs/>
          <w:sz w:val="24"/>
          <w:szCs w:val="24"/>
        </w:rPr>
        <w:t xml:space="preserve">3.2.1. </w:t>
      </w:r>
      <w:r w:rsidR="00D60127" w:rsidRPr="00E73BB1">
        <w:rPr>
          <w:rFonts w:ascii="Times New Roman" w:hAnsi="Times New Roman" w:cs="Times New Roman"/>
          <w:b/>
          <w:i/>
          <w:iCs/>
          <w:sz w:val="24"/>
          <w:szCs w:val="24"/>
        </w:rPr>
        <w:t xml:space="preserve">Preliminary </w:t>
      </w:r>
      <w:r w:rsidR="0096020E" w:rsidRPr="00E73BB1">
        <w:rPr>
          <w:rFonts w:ascii="Times New Roman" w:hAnsi="Times New Roman" w:cs="Times New Roman"/>
          <w:b/>
          <w:i/>
          <w:iCs/>
          <w:sz w:val="24"/>
          <w:szCs w:val="24"/>
        </w:rPr>
        <w:t>A</w:t>
      </w:r>
      <w:r w:rsidR="00D60127" w:rsidRPr="00E73BB1">
        <w:rPr>
          <w:rFonts w:ascii="Times New Roman" w:hAnsi="Times New Roman" w:cs="Times New Roman"/>
          <w:b/>
          <w:i/>
          <w:iCs/>
          <w:sz w:val="24"/>
          <w:szCs w:val="24"/>
        </w:rPr>
        <w:t>nalysis</w:t>
      </w:r>
    </w:p>
    <w:p w14:paraId="25C19D99" w14:textId="38F329EE" w:rsidR="00F77D4F" w:rsidRPr="00E73BB1" w:rsidRDefault="00F77D4F" w:rsidP="009161D3">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Complete</w:t>
      </w:r>
      <w:r w:rsidRPr="00E73BB1">
        <w:rPr>
          <w:rFonts w:ascii="Times New Roman" w:hAnsi="Times New Roman" w:cs="Times New Roman"/>
          <w:b/>
          <w:i/>
          <w:sz w:val="24"/>
          <w:szCs w:val="24"/>
        </w:rPr>
        <w:t xml:space="preserve"> </w:t>
      </w:r>
      <w:r w:rsidRPr="00E73BB1">
        <w:rPr>
          <w:rFonts w:ascii="Times New Roman" w:hAnsi="Times New Roman" w:cs="Times New Roman"/>
          <w:sz w:val="24"/>
          <w:szCs w:val="24"/>
        </w:rPr>
        <w:t xml:space="preserve">missing data was observed for 62 participants (4.4%), again </w:t>
      </w:r>
      <w:r w:rsidR="0008015A" w:rsidRPr="00E73BB1">
        <w:rPr>
          <w:rFonts w:ascii="Times New Roman" w:hAnsi="Times New Roman" w:cs="Times New Roman"/>
          <w:sz w:val="24"/>
          <w:szCs w:val="24"/>
        </w:rPr>
        <w:t xml:space="preserve">likely </w:t>
      </w:r>
      <w:r w:rsidRPr="00E73BB1">
        <w:rPr>
          <w:rFonts w:ascii="Times New Roman" w:hAnsi="Times New Roman" w:cs="Times New Roman"/>
          <w:sz w:val="24"/>
          <w:szCs w:val="24"/>
        </w:rPr>
        <w:t xml:space="preserve">representing those who failed to </w:t>
      </w:r>
      <w:r w:rsidR="0008015A" w:rsidRPr="00E73BB1">
        <w:rPr>
          <w:rFonts w:ascii="Times New Roman" w:hAnsi="Times New Roman" w:cs="Times New Roman"/>
          <w:sz w:val="24"/>
          <w:szCs w:val="24"/>
        </w:rPr>
        <w:t>reach this measure within</w:t>
      </w:r>
      <w:r w:rsidRPr="00E73BB1">
        <w:rPr>
          <w:rFonts w:ascii="Times New Roman" w:hAnsi="Times New Roman" w:cs="Times New Roman"/>
          <w:sz w:val="24"/>
          <w:szCs w:val="24"/>
        </w:rPr>
        <w:t xml:space="preserve"> the questionnaire </w:t>
      </w:r>
      <w:r w:rsidR="0008015A" w:rsidRPr="00E73BB1">
        <w:rPr>
          <w:rFonts w:ascii="Times New Roman" w:hAnsi="Times New Roman" w:cs="Times New Roman"/>
          <w:sz w:val="24"/>
          <w:szCs w:val="24"/>
        </w:rPr>
        <w:t>during</w:t>
      </w:r>
      <w:r w:rsidRPr="00E73BB1">
        <w:rPr>
          <w:rFonts w:ascii="Times New Roman" w:hAnsi="Times New Roman" w:cs="Times New Roman"/>
          <w:sz w:val="24"/>
          <w:szCs w:val="24"/>
        </w:rPr>
        <w:t xml:space="preserve"> the time allocated, </w:t>
      </w:r>
      <w:r w:rsidR="0008015A" w:rsidRPr="00E73BB1">
        <w:rPr>
          <w:rFonts w:ascii="Times New Roman" w:hAnsi="Times New Roman" w:cs="Times New Roman"/>
          <w:sz w:val="24"/>
          <w:szCs w:val="24"/>
        </w:rPr>
        <w:t>who</w:t>
      </w:r>
      <w:r w:rsidRPr="00E73BB1">
        <w:rPr>
          <w:rFonts w:ascii="Times New Roman" w:hAnsi="Times New Roman" w:cs="Times New Roman"/>
          <w:sz w:val="24"/>
          <w:szCs w:val="24"/>
        </w:rPr>
        <w:t xml:space="preserve"> </w:t>
      </w:r>
      <w:r w:rsidR="0008015A" w:rsidRPr="00E73BB1">
        <w:rPr>
          <w:rFonts w:ascii="Times New Roman" w:hAnsi="Times New Roman" w:cs="Times New Roman"/>
          <w:sz w:val="24"/>
          <w:szCs w:val="24"/>
        </w:rPr>
        <w:t>were</w:t>
      </w:r>
      <w:r w:rsidR="004614A5" w:rsidRPr="00E73BB1">
        <w:rPr>
          <w:rFonts w:ascii="Times New Roman" w:hAnsi="Times New Roman" w:cs="Times New Roman"/>
          <w:sz w:val="24"/>
          <w:szCs w:val="24"/>
        </w:rPr>
        <w:t xml:space="preserve"> therefore </w:t>
      </w:r>
      <w:r w:rsidRPr="00E73BB1">
        <w:rPr>
          <w:rFonts w:ascii="Times New Roman" w:hAnsi="Times New Roman" w:cs="Times New Roman"/>
          <w:sz w:val="24"/>
          <w:szCs w:val="24"/>
        </w:rPr>
        <w:t xml:space="preserve">removed from further analysis </w:t>
      </w:r>
      <w:r w:rsidR="0008015A" w:rsidRPr="00E73BB1">
        <w:rPr>
          <w:rFonts w:ascii="Times New Roman" w:hAnsi="Times New Roman" w:cs="Times New Roman"/>
          <w:sz w:val="24"/>
          <w:szCs w:val="24"/>
        </w:rPr>
        <w:t>(</w:t>
      </w:r>
      <w:r w:rsidR="0008015A" w:rsidRPr="00E73BB1">
        <w:rPr>
          <w:rFonts w:ascii="Times New Roman" w:hAnsi="Times New Roman" w:cs="Times New Roman"/>
          <w:i/>
          <w:sz w:val="24"/>
          <w:szCs w:val="24"/>
        </w:rPr>
        <w:t>N</w:t>
      </w:r>
      <w:r w:rsidR="0008015A" w:rsidRPr="00E73BB1">
        <w:rPr>
          <w:rFonts w:ascii="Times New Roman" w:hAnsi="Times New Roman" w:cs="Times New Roman"/>
          <w:sz w:val="24"/>
          <w:szCs w:val="24"/>
        </w:rPr>
        <w:t xml:space="preserve"> = </w:t>
      </w:r>
      <w:r w:rsidRPr="00E73BB1">
        <w:rPr>
          <w:rFonts w:ascii="Times New Roman" w:hAnsi="Times New Roman" w:cs="Times New Roman"/>
          <w:sz w:val="24"/>
          <w:szCs w:val="24"/>
        </w:rPr>
        <w:t xml:space="preserve">1341 </w:t>
      </w:r>
      <w:r w:rsidR="0008015A" w:rsidRPr="00E73BB1">
        <w:rPr>
          <w:rFonts w:ascii="Times New Roman" w:hAnsi="Times New Roman" w:cs="Times New Roman"/>
          <w:sz w:val="24"/>
          <w:szCs w:val="24"/>
        </w:rPr>
        <w:t>remaining)</w:t>
      </w:r>
      <w:r w:rsidRPr="00E73BB1">
        <w:rPr>
          <w:rFonts w:ascii="Times New Roman" w:hAnsi="Times New Roman" w:cs="Times New Roman"/>
          <w:sz w:val="24"/>
          <w:szCs w:val="24"/>
        </w:rPr>
        <w:t>. Missing data across</w:t>
      </w:r>
      <w:r w:rsidR="004614A5" w:rsidRPr="00E73BB1">
        <w:rPr>
          <w:rFonts w:ascii="Times New Roman" w:hAnsi="Times New Roman" w:cs="Times New Roman"/>
          <w:sz w:val="24"/>
          <w:szCs w:val="24"/>
        </w:rPr>
        <w:t xml:space="preserve"> individual</w:t>
      </w:r>
      <w:r w:rsidRPr="00E73BB1">
        <w:rPr>
          <w:rFonts w:ascii="Times New Roman" w:hAnsi="Times New Roman" w:cs="Times New Roman"/>
          <w:sz w:val="24"/>
          <w:szCs w:val="24"/>
        </w:rPr>
        <w:t xml:space="preserve"> items ranged from 0.5-1.5%. As for Study 1, we used the Expectation-Maximisation (EM) algorithm to impute missing values. All items were checked for normality, with one item exceeding the recommended bounds of skewness &lt; |3| and kurtosis &lt; |10|</w:t>
      </w:r>
      <w:r w:rsidR="0003113E" w:rsidRPr="00E73BB1">
        <w:rPr>
          <w:rFonts w:ascii="Times New Roman" w:hAnsi="Times New Roman" w:cs="Times New Roman"/>
          <w:sz w:val="24"/>
          <w:szCs w:val="24"/>
        </w:rPr>
        <w:t xml:space="preserve"> and subsequently transformed using log transformation</w:t>
      </w:r>
      <w:r w:rsidR="000E6135" w:rsidRPr="00E73BB1">
        <w:rPr>
          <w:rFonts w:ascii="Times New Roman" w:hAnsi="Times New Roman" w:cs="Times New Roman"/>
          <w:sz w:val="24"/>
          <w:szCs w:val="24"/>
        </w:rPr>
        <w:t xml:space="preserve"> for further analysis</w:t>
      </w:r>
      <w:r w:rsidRPr="00E73BB1">
        <w:rPr>
          <w:rFonts w:ascii="Times New Roman" w:hAnsi="Times New Roman" w:cs="Times New Roman"/>
          <w:sz w:val="24"/>
          <w:szCs w:val="24"/>
        </w:rPr>
        <w:t xml:space="preserve">. </w:t>
      </w:r>
    </w:p>
    <w:p w14:paraId="78D71237" w14:textId="5988229B" w:rsidR="00FB65B7" w:rsidRPr="00E73BB1" w:rsidRDefault="00A94360" w:rsidP="00430146">
      <w:pPr>
        <w:widowControl w:val="0"/>
        <w:spacing w:after="0" w:line="480" w:lineRule="auto"/>
        <w:rPr>
          <w:rFonts w:ascii="Times New Roman" w:hAnsi="Times New Roman" w:cs="Times New Roman"/>
          <w:b/>
          <w:i/>
          <w:iCs/>
          <w:sz w:val="24"/>
          <w:szCs w:val="24"/>
        </w:rPr>
      </w:pPr>
      <w:r w:rsidRPr="00E73BB1">
        <w:rPr>
          <w:rFonts w:ascii="Times New Roman" w:hAnsi="Times New Roman" w:cs="Times New Roman"/>
          <w:b/>
          <w:i/>
          <w:iCs/>
          <w:sz w:val="24"/>
          <w:szCs w:val="24"/>
        </w:rPr>
        <w:t xml:space="preserve">3.2.2. </w:t>
      </w:r>
      <w:r w:rsidR="004474C5" w:rsidRPr="00E73BB1">
        <w:rPr>
          <w:rFonts w:ascii="Times New Roman" w:hAnsi="Times New Roman" w:cs="Times New Roman"/>
          <w:b/>
          <w:i/>
          <w:iCs/>
          <w:sz w:val="24"/>
          <w:szCs w:val="24"/>
        </w:rPr>
        <w:t>Confirmatory Factor Analysis</w:t>
      </w:r>
    </w:p>
    <w:p w14:paraId="458FD346" w14:textId="616916CA" w:rsidR="004474C5" w:rsidRPr="00E73BB1" w:rsidRDefault="009F7528" w:rsidP="009161D3">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Structural equation modelling in</w:t>
      </w:r>
      <w:r w:rsidRPr="00E73BB1">
        <w:rPr>
          <w:rFonts w:ascii="Times New Roman" w:hAnsi="Times New Roman" w:cs="Times New Roman"/>
          <w:b/>
          <w:sz w:val="24"/>
          <w:szCs w:val="24"/>
        </w:rPr>
        <w:t xml:space="preserve"> </w:t>
      </w:r>
      <w:r w:rsidR="00B2467D" w:rsidRPr="00E73BB1">
        <w:rPr>
          <w:rFonts w:ascii="Times New Roman" w:hAnsi="Times New Roman" w:cs="Times New Roman"/>
          <w:sz w:val="24"/>
          <w:szCs w:val="24"/>
        </w:rPr>
        <w:t xml:space="preserve">Stata version 14.0 was used to conduct </w:t>
      </w:r>
      <w:r w:rsidR="00D95424" w:rsidRPr="00E73BB1">
        <w:rPr>
          <w:rFonts w:ascii="Times New Roman" w:hAnsi="Times New Roman" w:cs="Times New Roman"/>
          <w:sz w:val="24"/>
          <w:szCs w:val="24"/>
        </w:rPr>
        <w:t>a</w:t>
      </w:r>
      <w:r w:rsidR="00B2467D" w:rsidRPr="00E73BB1">
        <w:rPr>
          <w:rFonts w:ascii="Times New Roman" w:hAnsi="Times New Roman" w:cs="Times New Roman"/>
          <w:sz w:val="24"/>
          <w:szCs w:val="24"/>
        </w:rPr>
        <w:t xml:space="preserve"> CFA</w:t>
      </w:r>
      <w:r w:rsidR="000A7F6F" w:rsidRPr="00E73BB1">
        <w:rPr>
          <w:rFonts w:ascii="Times New Roman" w:hAnsi="Times New Roman" w:cs="Times New Roman"/>
          <w:sz w:val="24"/>
          <w:szCs w:val="24"/>
        </w:rPr>
        <w:t xml:space="preserve"> to see how well the unidimensional model fit the data</w:t>
      </w:r>
      <w:r w:rsidR="00B2467D" w:rsidRPr="00E73BB1">
        <w:rPr>
          <w:rFonts w:ascii="Times New Roman" w:hAnsi="Times New Roman" w:cs="Times New Roman"/>
          <w:sz w:val="24"/>
          <w:szCs w:val="24"/>
        </w:rPr>
        <w:t xml:space="preserve">. </w:t>
      </w:r>
      <w:r w:rsidR="000A7F6F" w:rsidRPr="00E73BB1">
        <w:rPr>
          <w:rFonts w:ascii="Times New Roman" w:hAnsi="Times New Roman" w:cs="Times New Roman"/>
          <w:sz w:val="24"/>
          <w:szCs w:val="24"/>
        </w:rPr>
        <w:t>M</w:t>
      </w:r>
      <w:r w:rsidR="00381FBA" w:rsidRPr="00E73BB1">
        <w:rPr>
          <w:rFonts w:ascii="Times New Roman" w:hAnsi="Times New Roman" w:cs="Times New Roman"/>
          <w:sz w:val="24"/>
          <w:szCs w:val="24"/>
        </w:rPr>
        <w:t xml:space="preserve">odel fit was determined using </w:t>
      </w:r>
      <w:r w:rsidR="000A7F6F" w:rsidRPr="00E73BB1">
        <w:rPr>
          <w:rFonts w:ascii="Times New Roman" w:hAnsi="Times New Roman" w:cs="Times New Roman"/>
          <w:sz w:val="24"/>
          <w:szCs w:val="24"/>
        </w:rPr>
        <w:t>several indices, using recommended index values for</w:t>
      </w:r>
      <w:r w:rsidR="004614A5" w:rsidRPr="00E73BB1">
        <w:rPr>
          <w:rFonts w:ascii="Times New Roman" w:hAnsi="Times New Roman" w:cs="Times New Roman"/>
          <w:sz w:val="24"/>
          <w:szCs w:val="24"/>
        </w:rPr>
        <w:t xml:space="preserve"> goodness-of-</w:t>
      </w:r>
      <w:r w:rsidR="000A7F6F" w:rsidRPr="00E73BB1">
        <w:rPr>
          <w:rFonts w:ascii="Times New Roman" w:hAnsi="Times New Roman" w:cs="Times New Roman"/>
          <w:sz w:val="24"/>
          <w:szCs w:val="24"/>
        </w:rPr>
        <w:t xml:space="preserve">fit. Absolute fit is indicated by root mean square error of approximation (RMSEA) and standardised root-mean square residual (SRMR), and relative fit indicated by the Comparative Fit Index (CFI). </w:t>
      </w:r>
      <w:r w:rsidR="009D2EED" w:rsidRPr="00E73BB1">
        <w:rPr>
          <w:rFonts w:ascii="Times New Roman" w:hAnsi="Times New Roman" w:cs="Times New Roman"/>
          <w:sz w:val="24"/>
          <w:szCs w:val="24"/>
        </w:rPr>
        <w:t>Guidelines suggest that</w:t>
      </w:r>
      <w:r w:rsidR="000A7F6F" w:rsidRPr="00E73BB1">
        <w:rPr>
          <w:rFonts w:ascii="Times New Roman" w:hAnsi="Times New Roman" w:cs="Times New Roman"/>
          <w:sz w:val="24"/>
          <w:szCs w:val="24"/>
        </w:rPr>
        <w:t xml:space="preserve"> </w:t>
      </w:r>
      <w:r w:rsidRPr="00E73BB1">
        <w:rPr>
          <w:rFonts w:ascii="Times New Roman" w:hAnsi="Times New Roman" w:cs="Times New Roman"/>
          <w:sz w:val="24"/>
          <w:szCs w:val="24"/>
        </w:rPr>
        <w:t>values</w:t>
      </w:r>
      <w:r w:rsidR="00381FBA" w:rsidRPr="00E73BB1">
        <w:rPr>
          <w:rFonts w:ascii="Times New Roman" w:hAnsi="Times New Roman" w:cs="Times New Roman"/>
          <w:sz w:val="24"/>
          <w:szCs w:val="24"/>
        </w:rPr>
        <w:t xml:space="preserve"> </w:t>
      </w:r>
      <w:r w:rsidR="00D90AC2" w:rsidRPr="00E73BB1">
        <w:rPr>
          <w:rFonts w:ascii="Times New Roman" w:hAnsi="Times New Roman" w:cs="Times New Roman"/>
          <w:sz w:val="24"/>
          <w:szCs w:val="24"/>
        </w:rPr>
        <w:t>close to</w:t>
      </w:r>
      <w:r w:rsidR="0020503A" w:rsidRPr="00E73BB1">
        <w:rPr>
          <w:rFonts w:ascii="Times New Roman" w:hAnsi="Times New Roman" w:cs="Times New Roman"/>
          <w:sz w:val="24"/>
          <w:szCs w:val="24"/>
        </w:rPr>
        <w:t xml:space="preserve"> or below</w:t>
      </w:r>
      <w:r w:rsidR="009D2EED" w:rsidRPr="00E73BB1">
        <w:rPr>
          <w:rFonts w:ascii="Times New Roman" w:hAnsi="Times New Roman" w:cs="Times New Roman"/>
          <w:sz w:val="24"/>
          <w:szCs w:val="24"/>
        </w:rPr>
        <w:t xml:space="preserve"> .06 for RMSEA, .08 for SRMR, and</w:t>
      </w:r>
      <w:r w:rsidR="00D90AC2" w:rsidRPr="00E73BB1">
        <w:rPr>
          <w:rFonts w:ascii="Times New Roman" w:hAnsi="Times New Roman" w:cs="Times New Roman"/>
          <w:sz w:val="24"/>
          <w:szCs w:val="24"/>
        </w:rPr>
        <w:t xml:space="preserve"> .95 for</w:t>
      </w:r>
      <w:r w:rsidR="006C10E3" w:rsidRPr="00E73BB1">
        <w:rPr>
          <w:rFonts w:ascii="Times New Roman" w:hAnsi="Times New Roman" w:cs="Times New Roman"/>
          <w:sz w:val="24"/>
          <w:szCs w:val="24"/>
        </w:rPr>
        <w:t xml:space="preserve"> CFI </w:t>
      </w:r>
      <w:r w:rsidR="009D2EED" w:rsidRPr="00E73BB1">
        <w:rPr>
          <w:rFonts w:ascii="Times New Roman" w:hAnsi="Times New Roman" w:cs="Times New Roman"/>
          <w:sz w:val="24"/>
          <w:szCs w:val="24"/>
        </w:rPr>
        <w:t xml:space="preserve">indicate </w:t>
      </w:r>
      <w:r w:rsidR="004614A5" w:rsidRPr="00E73BB1">
        <w:rPr>
          <w:rFonts w:ascii="Times New Roman" w:hAnsi="Times New Roman" w:cs="Times New Roman"/>
          <w:sz w:val="24"/>
          <w:szCs w:val="24"/>
        </w:rPr>
        <w:t xml:space="preserve">a </w:t>
      </w:r>
      <w:r w:rsidR="009D2EED" w:rsidRPr="00E73BB1">
        <w:rPr>
          <w:rFonts w:ascii="Times New Roman" w:hAnsi="Times New Roman" w:cs="Times New Roman"/>
          <w:sz w:val="24"/>
          <w:szCs w:val="24"/>
        </w:rPr>
        <w:t xml:space="preserve">good fit </w:t>
      </w:r>
      <w:r w:rsidR="00AA3C31" w:rsidRPr="00E73BB1">
        <w:rPr>
          <w:rFonts w:ascii="Times New Roman" w:hAnsi="Times New Roman" w:cs="Times New Roman"/>
          <w:noProof/>
          <w:sz w:val="24"/>
          <w:szCs w:val="24"/>
        </w:rPr>
        <w:t>(Hu &amp; Bentler, 1999)</w:t>
      </w:r>
      <w:r w:rsidR="009D2EED" w:rsidRPr="00E73BB1">
        <w:rPr>
          <w:rFonts w:ascii="Times New Roman" w:hAnsi="Times New Roman" w:cs="Times New Roman"/>
          <w:sz w:val="24"/>
          <w:szCs w:val="24"/>
        </w:rPr>
        <w:t xml:space="preserve">. RMSEA values up to .08 indicate acceptable fit, and up to .10 indicate marginal fit, and values above this </w:t>
      </w:r>
      <w:r w:rsidR="004614A5" w:rsidRPr="00E73BB1">
        <w:rPr>
          <w:rFonts w:ascii="Times New Roman" w:hAnsi="Times New Roman" w:cs="Times New Roman"/>
          <w:sz w:val="24"/>
          <w:szCs w:val="24"/>
        </w:rPr>
        <w:t xml:space="preserve">are </w:t>
      </w:r>
      <w:r w:rsidR="009D2EED" w:rsidRPr="00E73BB1">
        <w:rPr>
          <w:rFonts w:ascii="Times New Roman" w:hAnsi="Times New Roman" w:cs="Times New Roman"/>
          <w:sz w:val="24"/>
          <w:szCs w:val="24"/>
        </w:rPr>
        <w:t>generally considered to be a poor fit</w:t>
      </w:r>
      <w:r w:rsidR="002459D3" w:rsidRPr="00E73BB1">
        <w:rPr>
          <w:rFonts w:ascii="Times New Roman" w:hAnsi="Times New Roman" w:cs="Times New Roman"/>
          <w:sz w:val="24"/>
          <w:szCs w:val="24"/>
        </w:rPr>
        <w:t xml:space="preserve"> </w:t>
      </w:r>
      <w:r w:rsidR="002459D3" w:rsidRPr="00E73BB1">
        <w:rPr>
          <w:rFonts w:ascii="Times New Roman" w:hAnsi="Times New Roman" w:cs="Times New Roman"/>
          <w:noProof/>
          <w:sz w:val="24"/>
          <w:szCs w:val="24"/>
        </w:rPr>
        <w:t>(Kline, 2005)</w:t>
      </w:r>
      <w:r w:rsidRPr="00E73BB1">
        <w:rPr>
          <w:rFonts w:ascii="Times New Roman" w:hAnsi="Times New Roman" w:cs="Times New Roman"/>
          <w:sz w:val="24"/>
          <w:szCs w:val="24"/>
        </w:rPr>
        <w:t>.</w:t>
      </w:r>
      <w:r w:rsidR="00CF3C59" w:rsidRPr="00E73BB1">
        <w:rPr>
          <w:rFonts w:ascii="Times New Roman" w:hAnsi="Times New Roman" w:cs="Times New Roman"/>
          <w:sz w:val="24"/>
          <w:szCs w:val="24"/>
        </w:rPr>
        <w:t xml:space="preserve"> </w:t>
      </w:r>
      <w:r w:rsidR="00D51C47" w:rsidRPr="00E73BB1">
        <w:rPr>
          <w:rFonts w:ascii="Times New Roman" w:hAnsi="Times New Roman" w:cs="Times New Roman"/>
          <w:sz w:val="24"/>
          <w:szCs w:val="24"/>
        </w:rPr>
        <w:t xml:space="preserve">It has also been noted to avoid interpreting these cut-offs </w:t>
      </w:r>
      <w:r w:rsidR="007C3A9F" w:rsidRPr="00E73BB1">
        <w:rPr>
          <w:rFonts w:ascii="Times New Roman" w:hAnsi="Times New Roman" w:cs="Times New Roman"/>
          <w:sz w:val="24"/>
          <w:szCs w:val="24"/>
        </w:rPr>
        <w:t>rigidly</w:t>
      </w:r>
      <w:r w:rsidR="00D51C47" w:rsidRPr="00E73BB1">
        <w:rPr>
          <w:rFonts w:ascii="Times New Roman" w:hAnsi="Times New Roman" w:cs="Times New Roman"/>
          <w:sz w:val="24"/>
          <w:szCs w:val="24"/>
        </w:rPr>
        <w:t>, but that these</w:t>
      </w:r>
      <w:r w:rsidR="00103D43" w:rsidRPr="00E73BB1">
        <w:rPr>
          <w:rFonts w:ascii="Times New Roman" w:hAnsi="Times New Roman" w:cs="Times New Roman"/>
          <w:sz w:val="24"/>
          <w:szCs w:val="24"/>
        </w:rPr>
        <w:t xml:space="preserve"> indices </w:t>
      </w:r>
      <w:r w:rsidR="00A864B1" w:rsidRPr="00E73BB1">
        <w:rPr>
          <w:rFonts w:ascii="Times New Roman" w:hAnsi="Times New Roman" w:cs="Times New Roman"/>
          <w:sz w:val="24"/>
          <w:szCs w:val="24"/>
        </w:rPr>
        <w:t>are</w:t>
      </w:r>
      <w:r w:rsidR="00103D43" w:rsidRPr="00E73BB1">
        <w:rPr>
          <w:rFonts w:ascii="Times New Roman" w:hAnsi="Times New Roman" w:cs="Times New Roman"/>
          <w:sz w:val="24"/>
          <w:szCs w:val="24"/>
        </w:rPr>
        <w:t xml:space="preserve"> preferred to use of </w:t>
      </w:r>
      <w:r w:rsidR="00D95424" w:rsidRPr="00E73BB1">
        <w:rPr>
          <w:rFonts w:ascii="Times New Roman" w:hAnsi="Times New Roman" w:cs="Times New Roman"/>
          <w:sz w:val="24"/>
          <w:szCs w:val="24"/>
        </w:rPr>
        <w:t>C</w:t>
      </w:r>
      <w:r w:rsidR="00103D43" w:rsidRPr="00E73BB1">
        <w:rPr>
          <w:rFonts w:ascii="Times New Roman" w:hAnsi="Times New Roman" w:cs="Times New Roman"/>
          <w:sz w:val="24"/>
          <w:szCs w:val="24"/>
        </w:rPr>
        <w:t xml:space="preserve">hi-square statistics, given that </w:t>
      </w:r>
      <w:r w:rsidR="00A864B1" w:rsidRPr="00E73BB1">
        <w:rPr>
          <w:rFonts w:ascii="Times New Roman" w:hAnsi="Times New Roman" w:cs="Times New Roman"/>
          <w:sz w:val="24"/>
          <w:szCs w:val="24"/>
        </w:rPr>
        <w:t>the</w:t>
      </w:r>
      <w:r w:rsidR="004614A5" w:rsidRPr="00E73BB1">
        <w:rPr>
          <w:rFonts w:ascii="Times New Roman" w:hAnsi="Times New Roman" w:cs="Times New Roman"/>
          <w:sz w:val="24"/>
          <w:szCs w:val="24"/>
        </w:rPr>
        <w:t xml:space="preserve"> </w:t>
      </w:r>
      <w:r w:rsidR="00A864B1" w:rsidRPr="00E73BB1">
        <w:rPr>
          <w:rFonts w:ascii="Times New Roman" w:hAnsi="Times New Roman" w:cs="Times New Roman"/>
          <w:sz w:val="24"/>
          <w:szCs w:val="24"/>
        </w:rPr>
        <w:t>latter</w:t>
      </w:r>
      <w:r w:rsidR="004614A5" w:rsidRPr="00E73BB1">
        <w:rPr>
          <w:rFonts w:ascii="Times New Roman" w:hAnsi="Times New Roman" w:cs="Times New Roman"/>
          <w:sz w:val="24"/>
          <w:szCs w:val="24"/>
        </w:rPr>
        <w:t xml:space="preserve"> are</w:t>
      </w:r>
      <w:r w:rsidR="00CF3C59" w:rsidRPr="00E73BB1">
        <w:rPr>
          <w:rFonts w:ascii="Times New Roman" w:hAnsi="Times New Roman" w:cs="Times New Roman"/>
          <w:sz w:val="24"/>
          <w:szCs w:val="24"/>
        </w:rPr>
        <w:t xml:space="preserve"> sensitive to sample size and t</w:t>
      </w:r>
      <w:r w:rsidR="006B77B7" w:rsidRPr="00E73BB1">
        <w:rPr>
          <w:rFonts w:ascii="Times New Roman" w:hAnsi="Times New Roman" w:cs="Times New Roman"/>
          <w:sz w:val="24"/>
          <w:szCs w:val="24"/>
        </w:rPr>
        <w:t>herefore likely to indicate poor model fit in large samples</w:t>
      </w:r>
      <w:r w:rsidR="004614A5" w:rsidRPr="00E73BB1">
        <w:rPr>
          <w:rFonts w:ascii="Times New Roman" w:hAnsi="Times New Roman" w:cs="Times New Roman"/>
          <w:sz w:val="24"/>
          <w:szCs w:val="24"/>
        </w:rPr>
        <w:t xml:space="preserve"> such as </w:t>
      </w:r>
      <w:r w:rsidR="002459D3" w:rsidRPr="00E73BB1">
        <w:rPr>
          <w:rFonts w:ascii="Times New Roman" w:hAnsi="Times New Roman" w:cs="Times New Roman"/>
          <w:sz w:val="24"/>
          <w:szCs w:val="24"/>
        </w:rPr>
        <w:t xml:space="preserve">in the current study </w:t>
      </w:r>
      <w:r w:rsidR="002459D3" w:rsidRPr="00E73BB1">
        <w:rPr>
          <w:rFonts w:ascii="Times New Roman" w:hAnsi="Times New Roman" w:cs="Times New Roman"/>
          <w:noProof/>
          <w:sz w:val="24"/>
          <w:szCs w:val="24"/>
        </w:rPr>
        <w:t>(Swami &amp; Barron, 2019)</w:t>
      </w:r>
      <w:r w:rsidR="00CF3C59" w:rsidRPr="00E73BB1">
        <w:rPr>
          <w:rFonts w:ascii="Times New Roman" w:hAnsi="Times New Roman" w:cs="Times New Roman"/>
          <w:sz w:val="24"/>
          <w:szCs w:val="24"/>
        </w:rPr>
        <w:t>.</w:t>
      </w:r>
    </w:p>
    <w:p w14:paraId="604122EE" w14:textId="5B1425A3" w:rsidR="009F7528" w:rsidRPr="00E73BB1" w:rsidRDefault="009F7528" w:rsidP="00430146">
      <w:pPr>
        <w:widowControl w:val="0"/>
        <w:spacing w:after="0" w:line="480" w:lineRule="auto"/>
        <w:rPr>
          <w:rFonts w:ascii="Times New Roman" w:hAnsi="Times New Roman" w:cs="Times New Roman"/>
          <w:sz w:val="24"/>
          <w:szCs w:val="24"/>
        </w:rPr>
      </w:pPr>
      <w:r w:rsidRPr="00E73BB1">
        <w:rPr>
          <w:rFonts w:ascii="Times New Roman" w:hAnsi="Times New Roman" w:cs="Times New Roman"/>
          <w:sz w:val="24"/>
          <w:szCs w:val="24"/>
        </w:rPr>
        <w:tab/>
        <w:t xml:space="preserve">All items were specified to load onto a single latent factor, informed by the unidimensional structure supported in Study 1. </w:t>
      </w:r>
      <w:r w:rsidR="00467617" w:rsidRPr="00E73BB1">
        <w:rPr>
          <w:rFonts w:ascii="Times New Roman" w:hAnsi="Times New Roman" w:cs="Times New Roman"/>
          <w:sz w:val="24"/>
          <w:szCs w:val="24"/>
        </w:rPr>
        <w:t xml:space="preserve">Fit indices are displayed in Table </w:t>
      </w:r>
      <w:r w:rsidR="00666A49" w:rsidRPr="00E73BB1">
        <w:rPr>
          <w:rFonts w:ascii="Times New Roman" w:hAnsi="Times New Roman" w:cs="Times New Roman"/>
          <w:sz w:val="24"/>
          <w:szCs w:val="24"/>
        </w:rPr>
        <w:t>2</w:t>
      </w:r>
      <w:r w:rsidR="00ED2B61" w:rsidRPr="00E73BB1">
        <w:rPr>
          <w:rFonts w:ascii="Times New Roman" w:hAnsi="Times New Roman" w:cs="Times New Roman"/>
          <w:sz w:val="24"/>
          <w:szCs w:val="24"/>
        </w:rPr>
        <w:t>, and factor loadings in Table 1</w:t>
      </w:r>
      <w:r w:rsidR="00467617" w:rsidRPr="00E73BB1">
        <w:rPr>
          <w:rFonts w:ascii="Times New Roman" w:hAnsi="Times New Roman" w:cs="Times New Roman"/>
          <w:sz w:val="24"/>
          <w:szCs w:val="24"/>
        </w:rPr>
        <w:t xml:space="preserve">. </w:t>
      </w:r>
      <w:r w:rsidR="006B77B7" w:rsidRPr="00E73BB1">
        <w:rPr>
          <w:rFonts w:ascii="Times New Roman" w:hAnsi="Times New Roman" w:cs="Times New Roman"/>
          <w:sz w:val="24"/>
          <w:szCs w:val="24"/>
        </w:rPr>
        <w:t xml:space="preserve">This model provided a good </w:t>
      </w:r>
      <w:r w:rsidRPr="00E73BB1">
        <w:rPr>
          <w:rFonts w:ascii="Times New Roman" w:hAnsi="Times New Roman" w:cs="Times New Roman"/>
          <w:sz w:val="24"/>
          <w:szCs w:val="24"/>
        </w:rPr>
        <w:t>fit to the data</w:t>
      </w:r>
      <w:r w:rsidR="007C6DBB" w:rsidRPr="00E73BB1">
        <w:rPr>
          <w:rFonts w:ascii="Times New Roman" w:hAnsi="Times New Roman" w:cs="Times New Roman"/>
          <w:sz w:val="24"/>
          <w:szCs w:val="24"/>
        </w:rPr>
        <w:t xml:space="preserve"> with respect to </w:t>
      </w:r>
      <w:r w:rsidR="00467617" w:rsidRPr="00E73BB1">
        <w:rPr>
          <w:rFonts w:ascii="Times New Roman" w:hAnsi="Times New Roman" w:cs="Times New Roman"/>
          <w:sz w:val="24"/>
          <w:szCs w:val="24"/>
        </w:rPr>
        <w:t>SRMR</w:t>
      </w:r>
      <w:r w:rsidR="006B77B7" w:rsidRPr="00E73BB1">
        <w:rPr>
          <w:rFonts w:ascii="Times New Roman" w:hAnsi="Times New Roman" w:cs="Times New Roman"/>
          <w:sz w:val="24"/>
          <w:szCs w:val="24"/>
        </w:rPr>
        <w:t xml:space="preserve"> and </w:t>
      </w:r>
      <w:r w:rsidR="006B77B7" w:rsidRPr="00E73BB1">
        <w:rPr>
          <w:rFonts w:ascii="Times New Roman" w:hAnsi="Times New Roman" w:cs="Times New Roman"/>
          <w:sz w:val="24"/>
          <w:szCs w:val="24"/>
        </w:rPr>
        <w:lastRenderedPageBreak/>
        <w:t xml:space="preserve">CFI, and an acceptable fit according to </w:t>
      </w:r>
      <w:r w:rsidR="00BF75E5" w:rsidRPr="00E73BB1">
        <w:rPr>
          <w:rFonts w:ascii="Times New Roman" w:hAnsi="Times New Roman" w:cs="Times New Roman"/>
          <w:sz w:val="24"/>
          <w:szCs w:val="24"/>
        </w:rPr>
        <w:t>RMSEA</w:t>
      </w:r>
      <w:r w:rsidR="00ED2B61" w:rsidRPr="00E73BB1">
        <w:rPr>
          <w:rFonts w:ascii="Times New Roman" w:hAnsi="Times New Roman" w:cs="Times New Roman"/>
          <w:sz w:val="24"/>
          <w:szCs w:val="24"/>
        </w:rPr>
        <w:t xml:space="preserve">. </w:t>
      </w:r>
      <w:r w:rsidR="00664344" w:rsidRPr="00E73BB1">
        <w:rPr>
          <w:rFonts w:ascii="Times New Roman" w:hAnsi="Times New Roman" w:cs="Times New Roman"/>
          <w:sz w:val="24"/>
          <w:szCs w:val="24"/>
        </w:rPr>
        <w:t xml:space="preserve">When conducted separately by gender, it can be seen that model fit was better for girls than for boys. </w:t>
      </w:r>
      <w:r w:rsidR="00D95424" w:rsidRPr="00E73BB1">
        <w:rPr>
          <w:rFonts w:ascii="Times New Roman" w:hAnsi="Times New Roman" w:cs="Times New Roman"/>
          <w:sz w:val="24"/>
          <w:szCs w:val="24"/>
        </w:rPr>
        <w:t>Modification indices (</w:t>
      </w:r>
      <w:r w:rsidR="006B77B7" w:rsidRPr="00E73BB1">
        <w:rPr>
          <w:rFonts w:ascii="Times New Roman" w:hAnsi="Times New Roman" w:cs="Times New Roman"/>
          <w:sz w:val="24"/>
          <w:szCs w:val="24"/>
        </w:rPr>
        <w:t xml:space="preserve">correlated errors between items </w:t>
      </w:r>
      <w:r w:rsidR="00DE060C" w:rsidRPr="00E73BB1">
        <w:rPr>
          <w:rFonts w:ascii="Times New Roman" w:hAnsi="Times New Roman" w:cs="Times New Roman"/>
          <w:sz w:val="24"/>
          <w:szCs w:val="24"/>
        </w:rPr>
        <w:t>which indicate</w:t>
      </w:r>
      <w:r w:rsidR="006B77B7" w:rsidRPr="00E73BB1">
        <w:rPr>
          <w:rFonts w:ascii="Times New Roman" w:hAnsi="Times New Roman" w:cs="Times New Roman"/>
          <w:sz w:val="24"/>
          <w:szCs w:val="24"/>
        </w:rPr>
        <w:t xml:space="preserve"> shared variance beyond that accounted for by the latent factor</w:t>
      </w:r>
      <w:r w:rsidR="00D95424" w:rsidRPr="00E73BB1">
        <w:rPr>
          <w:rFonts w:ascii="Times New Roman" w:hAnsi="Times New Roman" w:cs="Times New Roman"/>
          <w:sz w:val="24"/>
          <w:szCs w:val="24"/>
        </w:rPr>
        <w:t>)</w:t>
      </w:r>
      <w:r w:rsidR="006B77B7" w:rsidRPr="00E73BB1">
        <w:rPr>
          <w:rFonts w:ascii="Times New Roman" w:hAnsi="Times New Roman" w:cs="Times New Roman"/>
          <w:sz w:val="24"/>
          <w:szCs w:val="24"/>
        </w:rPr>
        <w:t xml:space="preserve"> </w:t>
      </w:r>
      <w:r w:rsidR="00E24053" w:rsidRPr="00E73BB1">
        <w:rPr>
          <w:rFonts w:ascii="Times New Roman" w:hAnsi="Times New Roman" w:cs="Times New Roman"/>
          <w:sz w:val="24"/>
          <w:szCs w:val="24"/>
        </w:rPr>
        <w:t xml:space="preserve">and associated standardised expected parameter change (SEPC) </w:t>
      </w:r>
      <w:r w:rsidR="006B77B7" w:rsidRPr="00E73BB1">
        <w:rPr>
          <w:rFonts w:ascii="Times New Roman" w:hAnsi="Times New Roman" w:cs="Times New Roman"/>
          <w:sz w:val="24"/>
          <w:szCs w:val="24"/>
        </w:rPr>
        <w:t xml:space="preserve">were inspected to determine </w:t>
      </w:r>
      <w:r w:rsidR="00664344" w:rsidRPr="00E73BB1">
        <w:rPr>
          <w:rFonts w:ascii="Times New Roman" w:hAnsi="Times New Roman" w:cs="Times New Roman"/>
          <w:sz w:val="24"/>
          <w:szCs w:val="24"/>
        </w:rPr>
        <w:t>potential</w:t>
      </w:r>
      <w:r w:rsidR="006B77B7" w:rsidRPr="00E73BB1">
        <w:rPr>
          <w:rFonts w:ascii="Times New Roman" w:hAnsi="Times New Roman" w:cs="Times New Roman"/>
          <w:sz w:val="24"/>
          <w:szCs w:val="24"/>
        </w:rPr>
        <w:t xml:space="preserve"> sources of misfit.</w:t>
      </w:r>
      <w:r w:rsidR="00DE060C" w:rsidRPr="00E73BB1">
        <w:rPr>
          <w:rFonts w:ascii="Times New Roman" w:hAnsi="Times New Roman" w:cs="Times New Roman"/>
          <w:sz w:val="24"/>
          <w:szCs w:val="24"/>
        </w:rPr>
        <w:t xml:space="preserve"> In this sample, </w:t>
      </w:r>
      <w:r w:rsidR="00E24053" w:rsidRPr="00E73BB1">
        <w:rPr>
          <w:rFonts w:ascii="Times New Roman" w:hAnsi="Times New Roman" w:cs="Times New Roman"/>
          <w:sz w:val="24"/>
          <w:szCs w:val="24"/>
        </w:rPr>
        <w:t>two of</w:t>
      </w:r>
      <w:r w:rsidR="00DE060C" w:rsidRPr="00E73BB1">
        <w:rPr>
          <w:rFonts w:ascii="Times New Roman" w:hAnsi="Times New Roman" w:cs="Times New Roman"/>
          <w:sz w:val="24"/>
          <w:szCs w:val="24"/>
        </w:rPr>
        <w:t xml:space="preserve"> </w:t>
      </w:r>
      <w:r w:rsidR="009C1628" w:rsidRPr="00E73BB1">
        <w:rPr>
          <w:rFonts w:ascii="Times New Roman" w:hAnsi="Times New Roman" w:cs="Times New Roman"/>
          <w:sz w:val="24"/>
          <w:szCs w:val="24"/>
        </w:rPr>
        <w:t xml:space="preserve">the </w:t>
      </w:r>
      <w:r w:rsidR="00DE060C" w:rsidRPr="00E73BB1">
        <w:rPr>
          <w:rFonts w:ascii="Times New Roman" w:hAnsi="Times New Roman" w:cs="Times New Roman"/>
          <w:sz w:val="24"/>
          <w:szCs w:val="24"/>
        </w:rPr>
        <w:t>largest modification indices</w:t>
      </w:r>
      <w:r w:rsidR="00E24053" w:rsidRPr="00E73BB1">
        <w:rPr>
          <w:rFonts w:ascii="Times New Roman" w:hAnsi="Times New Roman" w:cs="Times New Roman"/>
          <w:sz w:val="24"/>
          <w:szCs w:val="24"/>
        </w:rPr>
        <w:t xml:space="preserve">, that were also associated with SEPC values &gt; .2 </w:t>
      </w:r>
      <w:r w:rsidR="00E5256C" w:rsidRPr="00E73BB1">
        <w:rPr>
          <w:rFonts w:ascii="Times New Roman" w:hAnsi="Times New Roman" w:cs="Times New Roman"/>
          <w:noProof/>
          <w:sz w:val="24"/>
          <w:szCs w:val="24"/>
        </w:rPr>
        <w:t>(Saris et al., 2009)</w:t>
      </w:r>
      <w:r w:rsidR="00E24053" w:rsidRPr="00E73BB1">
        <w:rPr>
          <w:rFonts w:ascii="Times New Roman" w:hAnsi="Times New Roman" w:cs="Times New Roman"/>
          <w:sz w:val="24"/>
          <w:szCs w:val="24"/>
        </w:rPr>
        <w:t xml:space="preserve">, </w:t>
      </w:r>
      <w:r w:rsidR="00DE060C" w:rsidRPr="00E73BB1">
        <w:rPr>
          <w:rFonts w:ascii="Times New Roman" w:hAnsi="Times New Roman" w:cs="Times New Roman"/>
          <w:sz w:val="24"/>
          <w:szCs w:val="24"/>
        </w:rPr>
        <w:t xml:space="preserve">were </w:t>
      </w:r>
      <w:r w:rsidR="00E24053" w:rsidRPr="00E73BB1">
        <w:rPr>
          <w:rFonts w:ascii="Times New Roman" w:hAnsi="Times New Roman" w:cs="Times New Roman"/>
          <w:sz w:val="24"/>
          <w:szCs w:val="24"/>
        </w:rPr>
        <w:t>identified for potential re</w:t>
      </w:r>
      <w:r w:rsidR="00EF0453" w:rsidRPr="00E73BB1">
        <w:rPr>
          <w:rFonts w:ascii="Times New Roman" w:hAnsi="Times New Roman" w:cs="Times New Roman"/>
          <w:sz w:val="24"/>
          <w:szCs w:val="24"/>
        </w:rPr>
        <w:t>-</w:t>
      </w:r>
      <w:r w:rsidR="00E24053" w:rsidRPr="00E73BB1">
        <w:rPr>
          <w:rFonts w:ascii="Times New Roman" w:hAnsi="Times New Roman" w:cs="Times New Roman"/>
          <w:sz w:val="24"/>
          <w:szCs w:val="24"/>
        </w:rPr>
        <w:t>specification of the model. These represented item pairs</w:t>
      </w:r>
      <w:r w:rsidR="00DE060C" w:rsidRPr="00E73BB1">
        <w:rPr>
          <w:rFonts w:ascii="Times New Roman" w:hAnsi="Times New Roman" w:cs="Times New Roman"/>
          <w:sz w:val="24"/>
          <w:szCs w:val="24"/>
        </w:rPr>
        <w:t xml:space="preserve"> that shared </w:t>
      </w:r>
      <w:r w:rsidR="00E24053" w:rsidRPr="00E73BB1">
        <w:rPr>
          <w:rFonts w:ascii="Times New Roman" w:hAnsi="Times New Roman" w:cs="Times New Roman"/>
          <w:sz w:val="24"/>
          <w:szCs w:val="24"/>
        </w:rPr>
        <w:t>closely aligned source domains (i.e.,</w:t>
      </w:r>
      <w:r w:rsidR="00DE060C" w:rsidRPr="00E73BB1">
        <w:rPr>
          <w:rFonts w:ascii="Times New Roman" w:hAnsi="Times New Roman" w:cs="Times New Roman"/>
          <w:sz w:val="24"/>
          <w:szCs w:val="24"/>
        </w:rPr>
        <w:t xml:space="preserve"> “Go to the beach, pool, sauna” with “Go to social event, party, club” as social items; </w:t>
      </w:r>
      <w:r w:rsidR="00E24053" w:rsidRPr="00E73BB1">
        <w:rPr>
          <w:rFonts w:ascii="Times New Roman" w:hAnsi="Times New Roman" w:cs="Times New Roman"/>
          <w:sz w:val="24"/>
          <w:szCs w:val="24"/>
        </w:rPr>
        <w:t xml:space="preserve">and </w:t>
      </w:r>
      <w:r w:rsidR="00DE060C" w:rsidRPr="00E73BB1">
        <w:rPr>
          <w:rFonts w:ascii="Times New Roman" w:hAnsi="Times New Roman" w:cs="Times New Roman"/>
          <w:sz w:val="24"/>
          <w:szCs w:val="24"/>
        </w:rPr>
        <w:t>“Go to school” and “Raise my hand in class” as academic items</w:t>
      </w:r>
      <w:r w:rsidR="004342C2" w:rsidRPr="00E73BB1">
        <w:rPr>
          <w:rFonts w:ascii="Times New Roman" w:hAnsi="Times New Roman" w:cs="Times New Roman"/>
          <w:sz w:val="24"/>
          <w:szCs w:val="24"/>
        </w:rPr>
        <w:t>) a</w:t>
      </w:r>
      <w:r w:rsidR="00664344" w:rsidRPr="00E73BB1">
        <w:rPr>
          <w:rFonts w:ascii="Times New Roman" w:hAnsi="Times New Roman" w:cs="Times New Roman"/>
          <w:sz w:val="24"/>
          <w:szCs w:val="24"/>
        </w:rPr>
        <w:t>nd therefore conceivably shared</w:t>
      </w:r>
      <w:r w:rsidR="004342C2" w:rsidRPr="00E73BB1">
        <w:rPr>
          <w:rFonts w:ascii="Times New Roman" w:hAnsi="Times New Roman" w:cs="Times New Roman"/>
          <w:sz w:val="24"/>
          <w:szCs w:val="24"/>
        </w:rPr>
        <w:t xml:space="preserve"> overlap</w:t>
      </w:r>
      <w:r w:rsidR="00DE060C" w:rsidRPr="00E73BB1">
        <w:rPr>
          <w:rFonts w:ascii="Times New Roman" w:hAnsi="Times New Roman" w:cs="Times New Roman"/>
          <w:sz w:val="24"/>
          <w:szCs w:val="24"/>
        </w:rPr>
        <w:t xml:space="preserve">. While items from these pairs could have been removed to reduce potential statistical redundancy and improve model fit to excellent, we decided to retain all items given the </w:t>
      </w:r>
      <w:r w:rsidR="00EF0453" w:rsidRPr="00E73BB1">
        <w:rPr>
          <w:rFonts w:ascii="Times New Roman" w:hAnsi="Times New Roman" w:cs="Times New Roman"/>
          <w:sz w:val="24"/>
          <w:szCs w:val="24"/>
        </w:rPr>
        <w:t xml:space="preserve">conceptual </w:t>
      </w:r>
      <w:r w:rsidR="00DE060C" w:rsidRPr="00E73BB1">
        <w:rPr>
          <w:rFonts w:ascii="Times New Roman" w:hAnsi="Times New Roman" w:cs="Times New Roman"/>
          <w:sz w:val="24"/>
          <w:szCs w:val="24"/>
        </w:rPr>
        <w:t xml:space="preserve">desire to reflect a breadth of activities. </w:t>
      </w:r>
      <w:r w:rsidR="0020503A" w:rsidRPr="00E73BB1">
        <w:rPr>
          <w:rFonts w:ascii="Times New Roman" w:hAnsi="Times New Roman" w:cs="Times New Roman"/>
          <w:sz w:val="24"/>
          <w:szCs w:val="24"/>
        </w:rPr>
        <w:t xml:space="preserve">Modelling the error variance </w:t>
      </w:r>
      <w:r w:rsidR="004342C2" w:rsidRPr="00E73BB1">
        <w:rPr>
          <w:rFonts w:ascii="Times New Roman" w:hAnsi="Times New Roman" w:cs="Times New Roman"/>
          <w:sz w:val="24"/>
          <w:szCs w:val="24"/>
        </w:rPr>
        <w:t>for these two pairs</w:t>
      </w:r>
      <w:r w:rsidR="00E24053" w:rsidRPr="00E73BB1">
        <w:rPr>
          <w:rFonts w:ascii="Times New Roman" w:hAnsi="Times New Roman" w:cs="Times New Roman"/>
          <w:sz w:val="24"/>
          <w:szCs w:val="24"/>
        </w:rPr>
        <w:t xml:space="preserve"> in a re</w:t>
      </w:r>
      <w:r w:rsidR="00EF0453" w:rsidRPr="00E73BB1">
        <w:rPr>
          <w:rFonts w:ascii="Times New Roman" w:hAnsi="Times New Roman" w:cs="Times New Roman"/>
          <w:sz w:val="24"/>
          <w:szCs w:val="24"/>
        </w:rPr>
        <w:t>-</w:t>
      </w:r>
      <w:r w:rsidR="00E24053" w:rsidRPr="00E73BB1">
        <w:rPr>
          <w:rFonts w:ascii="Times New Roman" w:hAnsi="Times New Roman" w:cs="Times New Roman"/>
          <w:sz w:val="24"/>
          <w:szCs w:val="24"/>
        </w:rPr>
        <w:t>specified model</w:t>
      </w:r>
      <w:r w:rsidR="004342C2" w:rsidRPr="00E73BB1">
        <w:rPr>
          <w:rFonts w:ascii="Times New Roman" w:hAnsi="Times New Roman" w:cs="Times New Roman"/>
          <w:sz w:val="24"/>
          <w:szCs w:val="24"/>
        </w:rPr>
        <w:t xml:space="preserve"> </w:t>
      </w:r>
      <w:r w:rsidR="0020503A" w:rsidRPr="00E73BB1">
        <w:rPr>
          <w:rFonts w:ascii="Times New Roman" w:hAnsi="Times New Roman" w:cs="Times New Roman"/>
          <w:sz w:val="24"/>
          <w:szCs w:val="24"/>
        </w:rPr>
        <w:t>resulted in a</w:t>
      </w:r>
      <w:r w:rsidR="00595342" w:rsidRPr="00E73BB1">
        <w:rPr>
          <w:rFonts w:ascii="Times New Roman" w:hAnsi="Times New Roman" w:cs="Times New Roman"/>
          <w:sz w:val="24"/>
          <w:szCs w:val="24"/>
        </w:rPr>
        <w:t xml:space="preserve">n </w:t>
      </w:r>
      <w:r w:rsidR="0020503A" w:rsidRPr="00E73BB1">
        <w:rPr>
          <w:rFonts w:ascii="Times New Roman" w:hAnsi="Times New Roman" w:cs="Times New Roman"/>
          <w:sz w:val="24"/>
          <w:szCs w:val="24"/>
        </w:rPr>
        <w:t>improved model fit</w:t>
      </w:r>
      <w:r w:rsidR="004342C2" w:rsidRPr="00E73BB1">
        <w:rPr>
          <w:rFonts w:ascii="Times New Roman" w:hAnsi="Times New Roman" w:cs="Times New Roman"/>
          <w:sz w:val="24"/>
          <w:szCs w:val="24"/>
        </w:rPr>
        <w:t xml:space="preserve">, </w:t>
      </w:r>
      <w:r w:rsidR="004342C2" w:rsidRPr="00E73BB1">
        <w:rPr>
          <w:i/>
        </w:rPr>
        <w:t>χ</w:t>
      </w:r>
      <w:r w:rsidR="004342C2" w:rsidRPr="00E73BB1">
        <w:rPr>
          <w:i/>
          <w:vertAlign w:val="superscript"/>
        </w:rPr>
        <w:t>2</w:t>
      </w:r>
      <w:r w:rsidR="004342C2" w:rsidRPr="00E73BB1">
        <w:rPr>
          <w:vertAlign w:val="superscript"/>
        </w:rPr>
        <w:t xml:space="preserve"> </w:t>
      </w:r>
      <w:r w:rsidR="004342C2" w:rsidRPr="00E73BB1">
        <w:rPr>
          <w:rFonts w:ascii="Times New Roman" w:hAnsi="Times New Roman" w:cs="Times New Roman"/>
          <w:sz w:val="24"/>
          <w:szCs w:val="24"/>
        </w:rPr>
        <w:t xml:space="preserve">(2)=84.80, </w:t>
      </w:r>
      <w:r w:rsidR="004342C2" w:rsidRPr="00E73BB1">
        <w:rPr>
          <w:rFonts w:ascii="Times New Roman" w:hAnsi="Times New Roman" w:cs="Times New Roman"/>
          <w:i/>
          <w:sz w:val="24"/>
          <w:szCs w:val="24"/>
        </w:rPr>
        <w:t>p</w:t>
      </w:r>
      <w:r w:rsidR="004342C2" w:rsidRPr="00E73BB1">
        <w:rPr>
          <w:rFonts w:ascii="Times New Roman" w:hAnsi="Times New Roman" w:cs="Times New Roman"/>
          <w:sz w:val="24"/>
          <w:szCs w:val="24"/>
        </w:rPr>
        <w:t xml:space="preserve"> &lt; .001 (</w:t>
      </w:r>
      <w:r w:rsidR="0020503A" w:rsidRPr="00E73BB1">
        <w:rPr>
          <w:rFonts w:ascii="Times New Roman" w:hAnsi="Times New Roman" w:cs="Times New Roman"/>
          <w:sz w:val="24"/>
          <w:szCs w:val="24"/>
        </w:rPr>
        <w:t>see Table 2 for fit indices).</w:t>
      </w:r>
    </w:p>
    <w:p w14:paraId="305D2271" w14:textId="41307F4E" w:rsidR="00FB65B7" w:rsidRPr="00E73BB1" w:rsidRDefault="00A94360" w:rsidP="00430146">
      <w:pPr>
        <w:widowControl w:val="0"/>
        <w:spacing w:after="0" w:line="480" w:lineRule="auto"/>
        <w:rPr>
          <w:rFonts w:ascii="Times New Roman" w:hAnsi="Times New Roman" w:cs="Times New Roman"/>
          <w:i/>
          <w:iCs/>
          <w:sz w:val="24"/>
          <w:szCs w:val="24"/>
        </w:rPr>
      </w:pPr>
      <w:r w:rsidRPr="00E73BB1">
        <w:rPr>
          <w:rFonts w:ascii="Times New Roman" w:hAnsi="Times New Roman" w:cs="Times New Roman"/>
          <w:b/>
          <w:i/>
          <w:iCs/>
          <w:sz w:val="24"/>
          <w:szCs w:val="24"/>
        </w:rPr>
        <w:t xml:space="preserve">3.2.3. </w:t>
      </w:r>
      <w:r w:rsidR="00ED2B61" w:rsidRPr="00E73BB1">
        <w:rPr>
          <w:rFonts w:ascii="Times New Roman" w:hAnsi="Times New Roman" w:cs="Times New Roman"/>
          <w:b/>
          <w:i/>
          <w:iCs/>
          <w:sz w:val="24"/>
          <w:szCs w:val="24"/>
        </w:rPr>
        <w:t xml:space="preserve">Gender </w:t>
      </w:r>
      <w:r w:rsidR="00FB65B7" w:rsidRPr="00E73BB1">
        <w:rPr>
          <w:rFonts w:ascii="Times New Roman" w:hAnsi="Times New Roman" w:cs="Times New Roman"/>
          <w:b/>
          <w:i/>
          <w:iCs/>
          <w:sz w:val="24"/>
          <w:szCs w:val="24"/>
        </w:rPr>
        <w:t>I</w:t>
      </w:r>
      <w:r w:rsidR="00ED2B61" w:rsidRPr="00E73BB1">
        <w:rPr>
          <w:rFonts w:ascii="Times New Roman" w:hAnsi="Times New Roman" w:cs="Times New Roman"/>
          <w:b/>
          <w:i/>
          <w:iCs/>
          <w:sz w:val="24"/>
          <w:szCs w:val="24"/>
        </w:rPr>
        <w:t>nvariance</w:t>
      </w:r>
    </w:p>
    <w:p w14:paraId="734577EF" w14:textId="7646925F" w:rsidR="00823212" w:rsidRPr="00E73BB1" w:rsidRDefault="0052676C" w:rsidP="009161D3">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We also tested</w:t>
      </w:r>
      <w:r w:rsidR="00ED2B61" w:rsidRPr="00E73BB1">
        <w:rPr>
          <w:rFonts w:ascii="Times New Roman" w:hAnsi="Times New Roman" w:cs="Times New Roman"/>
          <w:sz w:val="24"/>
          <w:szCs w:val="24"/>
        </w:rPr>
        <w:t xml:space="preserve"> </w:t>
      </w:r>
      <w:r w:rsidRPr="00E73BB1">
        <w:rPr>
          <w:rFonts w:ascii="Times New Roman" w:hAnsi="Times New Roman" w:cs="Times New Roman"/>
          <w:sz w:val="24"/>
          <w:szCs w:val="24"/>
        </w:rPr>
        <w:t>measurement invariance of</w:t>
      </w:r>
      <w:r w:rsidR="00ED2B61" w:rsidRPr="00E73BB1">
        <w:rPr>
          <w:rFonts w:ascii="Times New Roman" w:hAnsi="Times New Roman" w:cs="Times New Roman"/>
          <w:sz w:val="24"/>
          <w:szCs w:val="24"/>
        </w:rPr>
        <w:t xml:space="preserve"> </w:t>
      </w:r>
      <w:r w:rsidR="002243B2" w:rsidRPr="00E73BB1">
        <w:rPr>
          <w:rFonts w:ascii="Times New Roman" w:hAnsi="Times New Roman" w:cs="Times New Roman"/>
          <w:sz w:val="24"/>
          <w:szCs w:val="24"/>
        </w:rPr>
        <w:t xml:space="preserve">the </w:t>
      </w:r>
      <w:r w:rsidR="00CE3226" w:rsidRPr="00E73BB1">
        <w:rPr>
          <w:rFonts w:ascii="Times New Roman" w:hAnsi="Times New Roman" w:cs="Times New Roman"/>
          <w:sz w:val="24"/>
          <w:szCs w:val="24"/>
        </w:rPr>
        <w:t>BILD-Q</w:t>
      </w:r>
      <w:r w:rsidR="00ED2B61" w:rsidRPr="00E73BB1">
        <w:rPr>
          <w:rFonts w:ascii="Times New Roman" w:hAnsi="Times New Roman" w:cs="Times New Roman"/>
          <w:sz w:val="24"/>
          <w:szCs w:val="24"/>
        </w:rPr>
        <w:t xml:space="preserve"> </w:t>
      </w:r>
      <w:r w:rsidRPr="00E73BB1">
        <w:rPr>
          <w:rFonts w:ascii="Times New Roman" w:hAnsi="Times New Roman" w:cs="Times New Roman"/>
          <w:sz w:val="24"/>
          <w:szCs w:val="24"/>
        </w:rPr>
        <w:t>with regard to gender</w:t>
      </w:r>
      <w:r w:rsidR="00823212" w:rsidRPr="00E73BB1">
        <w:rPr>
          <w:rFonts w:ascii="Times New Roman" w:hAnsi="Times New Roman" w:cs="Times New Roman"/>
          <w:sz w:val="24"/>
          <w:szCs w:val="24"/>
        </w:rPr>
        <w:t xml:space="preserve">, to establish whether it </w:t>
      </w:r>
      <w:r w:rsidR="003B55A6" w:rsidRPr="00E73BB1">
        <w:rPr>
          <w:rFonts w:ascii="Times New Roman" w:hAnsi="Times New Roman" w:cs="Times New Roman"/>
          <w:sz w:val="24"/>
          <w:szCs w:val="24"/>
        </w:rPr>
        <w:t>operated similarly in boys and girls.</w:t>
      </w:r>
      <w:r w:rsidRPr="00E73BB1">
        <w:rPr>
          <w:rFonts w:ascii="Times New Roman" w:hAnsi="Times New Roman" w:cs="Times New Roman"/>
          <w:sz w:val="24"/>
          <w:szCs w:val="24"/>
        </w:rPr>
        <w:t xml:space="preserve"> This is an important requirement if gender differences wish to be assessed using this tool. Invariance was </w:t>
      </w:r>
      <w:r w:rsidR="003B55A6" w:rsidRPr="00E73BB1">
        <w:rPr>
          <w:rFonts w:ascii="Times New Roman" w:hAnsi="Times New Roman" w:cs="Times New Roman"/>
          <w:sz w:val="24"/>
          <w:szCs w:val="24"/>
        </w:rPr>
        <w:t>assessed</w:t>
      </w:r>
      <w:r w:rsidR="00ED2B61" w:rsidRPr="00E73BB1">
        <w:rPr>
          <w:rFonts w:ascii="Times New Roman" w:hAnsi="Times New Roman" w:cs="Times New Roman"/>
          <w:sz w:val="24"/>
          <w:szCs w:val="24"/>
        </w:rPr>
        <w:t xml:space="preserve"> in terms of a) configurational (dimensional) invariance (i.e., similar factor structure</w:t>
      </w:r>
      <w:r w:rsidRPr="00E73BB1">
        <w:rPr>
          <w:rFonts w:ascii="Times New Roman" w:hAnsi="Times New Roman" w:cs="Times New Roman"/>
          <w:sz w:val="24"/>
          <w:szCs w:val="24"/>
        </w:rPr>
        <w:t>; Model 1</w:t>
      </w:r>
      <w:r w:rsidR="00ED2B61" w:rsidRPr="00E73BB1">
        <w:rPr>
          <w:rFonts w:ascii="Times New Roman" w:hAnsi="Times New Roman" w:cs="Times New Roman"/>
          <w:sz w:val="24"/>
          <w:szCs w:val="24"/>
        </w:rPr>
        <w:t xml:space="preserve">), b) </w:t>
      </w:r>
      <w:r w:rsidR="002243B2" w:rsidRPr="00E73BB1">
        <w:rPr>
          <w:rFonts w:ascii="Times New Roman" w:hAnsi="Times New Roman" w:cs="Times New Roman"/>
          <w:sz w:val="24"/>
          <w:szCs w:val="24"/>
        </w:rPr>
        <w:t>metric</w:t>
      </w:r>
      <w:r w:rsidR="00ED2B61" w:rsidRPr="00E73BB1">
        <w:rPr>
          <w:rFonts w:ascii="Times New Roman" w:hAnsi="Times New Roman" w:cs="Times New Roman"/>
          <w:sz w:val="24"/>
          <w:szCs w:val="24"/>
        </w:rPr>
        <w:t xml:space="preserve"> (</w:t>
      </w:r>
      <w:r w:rsidR="002243B2" w:rsidRPr="00E73BB1">
        <w:rPr>
          <w:rFonts w:ascii="Times New Roman" w:hAnsi="Times New Roman" w:cs="Times New Roman"/>
          <w:sz w:val="24"/>
          <w:szCs w:val="24"/>
        </w:rPr>
        <w:t>weak</w:t>
      </w:r>
      <w:r w:rsidR="00ED2B61" w:rsidRPr="00E73BB1">
        <w:rPr>
          <w:rFonts w:ascii="Times New Roman" w:hAnsi="Times New Roman" w:cs="Times New Roman"/>
          <w:sz w:val="24"/>
          <w:szCs w:val="24"/>
        </w:rPr>
        <w:t>) invariance (i.e., similar factor loadings</w:t>
      </w:r>
      <w:r w:rsidRPr="00E73BB1">
        <w:rPr>
          <w:rFonts w:ascii="Times New Roman" w:hAnsi="Times New Roman" w:cs="Times New Roman"/>
          <w:sz w:val="24"/>
          <w:szCs w:val="24"/>
        </w:rPr>
        <w:t>; Model 2</w:t>
      </w:r>
      <w:r w:rsidR="00ED2B61" w:rsidRPr="00E73BB1">
        <w:rPr>
          <w:rFonts w:ascii="Times New Roman" w:hAnsi="Times New Roman" w:cs="Times New Roman"/>
          <w:sz w:val="24"/>
          <w:szCs w:val="24"/>
        </w:rPr>
        <w:t xml:space="preserve">), and c) </w:t>
      </w:r>
      <w:r w:rsidR="002243B2" w:rsidRPr="00E73BB1">
        <w:rPr>
          <w:rFonts w:ascii="Times New Roman" w:hAnsi="Times New Roman" w:cs="Times New Roman"/>
          <w:sz w:val="24"/>
          <w:szCs w:val="24"/>
        </w:rPr>
        <w:t>scalar</w:t>
      </w:r>
      <w:r w:rsidR="00ED2B61" w:rsidRPr="00E73BB1">
        <w:rPr>
          <w:rFonts w:ascii="Times New Roman" w:hAnsi="Times New Roman" w:cs="Times New Roman"/>
          <w:sz w:val="24"/>
          <w:szCs w:val="24"/>
        </w:rPr>
        <w:t xml:space="preserve"> (</w:t>
      </w:r>
      <w:r w:rsidR="002243B2" w:rsidRPr="00E73BB1">
        <w:rPr>
          <w:rFonts w:ascii="Times New Roman" w:hAnsi="Times New Roman" w:cs="Times New Roman"/>
          <w:sz w:val="24"/>
          <w:szCs w:val="24"/>
        </w:rPr>
        <w:t>strong</w:t>
      </w:r>
      <w:r w:rsidR="00ED2B61" w:rsidRPr="00E73BB1">
        <w:rPr>
          <w:rFonts w:ascii="Times New Roman" w:hAnsi="Times New Roman" w:cs="Times New Roman"/>
          <w:sz w:val="24"/>
          <w:szCs w:val="24"/>
        </w:rPr>
        <w:t>) invariance (i.e., similar intercepts</w:t>
      </w:r>
      <w:r w:rsidRPr="00E73BB1">
        <w:rPr>
          <w:rFonts w:ascii="Times New Roman" w:hAnsi="Times New Roman" w:cs="Times New Roman"/>
          <w:sz w:val="24"/>
          <w:szCs w:val="24"/>
        </w:rPr>
        <w:t>; Model 3</w:t>
      </w:r>
      <w:r w:rsidR="00246880" w:rsidRPr="00E73BB1">
        <w:rPr>
          <w:rFonts w:ascii="Times New Roman" w:hAnsi="Times New Roman" w:cs="Times New Roman"/>
          <w:sz w:val="24"/>
          <w:szCs w:val="24"/>
        </w:rPr>
        <w:t>)</w:t>
      </w:r>
      <w:r w:rsidRPr="00E73BB1">
        <w:rPr>
          <w:rFonts w:ascii="Times New Roman" w:hAnsi="Times New Roman" w:cs="Times New Roman"/>
          <w:sz w:val="24"/>
          <w:szCs w:val="24"/>
        </w:rPr>
        <w:t>, as well as</w:t>
      </w:r>
      <w:r w:rsidR="002243B2" w:rsidRPr="00E73BB1">
        <w:rPr>
          <w:rFonts w:ascii="Times New Roman" w:hAnsi="Times New Roman" w:cs="Times New Roman"/>
          <w:sz w:val="24"/>
          <w:szCs w:val="24"/>
        </w:rPr>
        <w:t xml:space="preserve"> (strict)</w:t>
      </w:r>
      <w:r w:rsidRPr="00E73BB1">
        <w:rPr>
          <w:rFonts w:ascii="Times New Roman" w:hAnsi="Times New Roman" w:cs="Times New Roman"/>
          <w:sz w:val="24"/>
          <w:szCs w:val="24"/>
        </w:rPr>
        <w:t xml:space="preserve"> invariance of between-group differences in means, variances and co-variances (Model 4)</w:t>
      </w:r>
      <w:r w:rsidR="00823212" w:rsidRPr="00E73BB1">
        <w:rPr>
          <w:rFonts w:ascii="Times New Roman" w:hAnsi="Times New Roman" w:cs="Times New Roman"/>
          <w:sz w:val="24"/>
          <w:szCs w:val="24"/>
        </w:rPr>
        <w:t>,</w:t>
      </w:r>
      <w:r w:rsidRPr="00E73BB1">
        <w:rPr>
          <w:rFonts w:ascii="Times New Roman" w:hAnsi="Times New Roman" w:cs="Times New Roman"/>
          <w:sz w:val="24"/>
          <w:szCs w:val="24"/>
        </w:rPr>
        <w:t xml:space="preserve"> using Multigroup Confirmatory Factor Analysis</w:t>
      </w:r>
      <w:r w:rsidR="00823212" w:rsidRPr="00E73BB1">
        <w:rPr>
          <w:rFonts w:ascii="Times New Roman" w:hAnsi="Times New Roman" w:cs="Times New Roman"/>
          <w:sz w:val="24"/>
          <w:szCs w:val="24"/>
        </w:rPr>
        <w:t xml:space="preserve"> (MGCFA)</w:t>
      </w:r>
      <w:r w:rsidR="00246880" w:rsidRPr="00E73BB1">
        <w:rPr>
          <w:rFonts w:ascii="Times New Roman" w:hAnsi="Times New Roman" w:cs="Times New Roman"/>
          <w:sz w:val="24"/>
          <w:szCs w:val="24"/>
        </w:rPr>
        <w:t xml:space="preserve">. </w:t>
      </w:r>
      <w:r w:rsidRPr="00E73BB1">
        <w:rPr>
          <w:rFonts w:ascii="Times New Roman" w:hAnsi="Times New Roman" w:cs="Times New Roman"/>
          <w:sz w:val="24"/>
          <w:szCs w:val="24"/>
        </w:rPr>
        <w:t xml:space="preserve">Based on recommendations by Cheung and Rensvold </w:t>
      </w:r>
      <w:r w:rsidR="005A55D5" w:rsidRPr="00E73BB1">
        <w:rPr>
          <w:rFonts w:ascii="Times New Roman" w:hAnsi="Times New Roman" w:cs="Times New Roman"/>
          <w:noProof/>
          <w:sz w:val="24"/>
          <w:szCs w:val="24"/>
        </w:rPr>
        <w:t>(2002)</w:t>
      </w:r>
      <w:r w:rsidRPr="00E73BB1">
        <w:rPr>
          <w:rFonts w:ascii="Times New Roman" w:hAnsi="Times New Roman" w:cs="Times New Roman"/>
          <w:sz w:val="24"/>
          <w:szCs w:val="24"/>
        </w:rPr>
        <w:t xml:space="preserve">, </w:t>
      </w:r>
      <w:r w:rsidR="00823212" w:rsidRPr="00E73BB1">
        <w:rPr>
          <w:rFonts w:ascii="Times New Roman" w:hAnsi="Times New Roman" w:cs="Times New Roman"/>
          <w:sz w:val="24"/>
          <w:szCs w:val="24"/>
        </w:rPr>
        <w:t>the CFI</w:t>
      </w:r>
      <w:r w:rsidR="002243B2" w:rsidRPr="00E73BB1">
        <w:rPr>
          <w:rFonts w:ascii="Times New Roman" w:hAnsi="Times New Roman" w:cs="Times New Roman"/>
          <w:sz w:val="24"/>
          <w:szCs w:val="24"/>
        </w:rPr>
        <w:t xml:space="preserve"> was used</w:t>
      </w:r>
      <w:r w:rsidR="00823212" w:rsidRPr="00E73BB1">
        <w:rPr>
          <w:rFonts w:ascii="Times New Roman" w:hAnsi="Times New Roman" w:cs="Times New Roman"/>
          <w:sz w:val="24"/>
          <w:szCs w:val="24"/>
        </w:rPr>
        <w:t xml:space="preserve"> as a recommended goodness-of-fit index in preference to likelihood </w:t>
      </w:r>
      <w:r w:rsidR="00175E18" w:rsidRPr="00E73BB1">
        <w:rPr>
          <w:rFonts w:ascii="Times New Roman" w:hAnsi="Times New Roman" w:cs="Times New Roman"/>
          <w:sz w:val="24"/>
          <w:szCs w:val="24"/>
        </w:rPr>
        <w:t xml:space="preserve">ratio </w:t>
      </w:r>
      <w:r w:rsidR="00823212" w:rsidRPr="00E73BB1">
        <w:rPr>
          <w:rFonts w:ascii="Times New Roman" w:hAnsi="Times New Roman" w:cs="Times New Roman"/>
          <w:sz w:val="24"/>
          <w:szCs w:val="24"/>
        </w:rPr>
        <w:t>tests</w:t>
      </w:r>
      <w:r w:rsidRPr="00E73BB1">
        <w:rPr>
          <w:rFonts w:ascii="Times New Roman" w:hAnsi="Times New Roman" w:cs="Times New Roman"/>
          <w:sz w:val="24"/>
          <w:szCs w:val="24"/>
        </w:rPr>
        <w:t xml:space="preserve">, as </w:t>
      </w:r>
      <w:r w:rsidR="00823212" w:rsidRPr="00E73BB1">
        <w:rPr>
          <w:rFonts w:ascii="Times New Roman" w:hAnsi="Times New Roman" w:cs="Times New Roman"/>
          <w:sz w:val="24"/>
          <w:szCs w:val="24"/>
        </w:rPr>
        <w:t xml:space="preserve">it is </w:t>
      </w:r>
      <w:r w:rsidRPr="00E73BB1">
        <w:rPr>
          <w:rFonts w:ascii="Times New Roman" w:hAnsi="Times New Roman" w:cs="Times New Roman"/>
          <w:sz w:val="24"/>
          <w:szCs w:val="24"/>
        </w:rPr>
        <w:t>independent of model complexity and sample size.</w:t>
      </w:r>
      <w:r w:rsidR="002243B2" w:rsidRPr="00E73BB1">
        <w:rPr>
          <w:rFonts w:ascii="Times New Roman" w:hAnsi="Times New Roman" w:cs="Times New Roman"/>
          <w:sz w:val="24"/>
          <w:szCs w:val="24"/>
        </w:rPr>
        <w:t xml:space="preserve"> They recommend a</w:t>
      </w:r>
      <w:r w:rsidR="00175E18" w:rsidRPr="00E73BB1">
        <w:rPr>
          <w:rFonts w:ascii="Times New Roman" w:hAnsi="Times New Roman" w:cs="Times New Roman"/>
          <w:sz w:val="24"/>
          <w:szCs w:val="24"/>
        </w:rPr>
        <w:t xml:space="preserve"> cut-off for change </w:t>
      </w:r>
      <w:r w:rsidR="00175E18" w:rsidRPr="00E73BB1">
        <w:rPr>
          <w:rFonts w:ascii="Times New Roman" w:hAnsi="Times New Roman" w:cs="Times New Roman"/>
          <w:sz w:val="24"/>
          <w:szCs w:val="24"/>
        </w:rPr>
        <w:lastRenderedPageBreak/>
        <w:t xml:space="preserve">in CFI of .01 </w:t>
      </w:r>
      <w:r w:rsidR="002243B2" w:rsidRPr="00E73BB1">
        <w:rPr>
          <w:rFonts w:ascii="Times New Roman" w:hAnsi="Times New Roman" w:cs="Times New Roman"/>
          <w:sz w:val="24"/>
          <w:szCs w:val="24"/>
        </w:rPr>
        <w:t>as being</w:t>
      </w:r>
      <w:r w:rsidR="00175E18" w:rsidRPr="00E73BB1">
        <w:rPr>
          <w:rFonts w:ascii="Times New Roman" w:hAnsi="Times New Roman" w:cs="Times New Roman"/>
          <w:sz w:val="24"/>
          <w:szCs w:val="24"/>
        </w:rPr>
        <w:t xml:space="preserve"> indicative of a substantial decrease in model fit</w:t>
      </w:r>
      <w:r w:rsidR="002243B2" w:rsidRPr="00E73BB1">
        <w:rPr>
          <w:rFonts w:ascii="Times New Roman" w:hAnsi="Times New Roman" w:cs="Times New Roman"/>
          <w:sz w:val="24"/>
          <w:szCs w:val="24"/>
        </w:rPr>
        <w:t>, thus values under this assumes invariance</w:t>
      </w:r>
      <w:r w:rsidR="00175E18" w:rsidRPr="00E73BB1">
        <w:rPr>
          <w:rFonts w:ascii="Times New Roman" w:hAnsi="Times New Roman" w:cs="Times New Roman"/>
          <w:sz w:val="24"/>
          <w:szCs w:val="24"/>
        </w:rPr>
        <w:t>.</w:t>
      </w:r>
      <w:r w:rsidRPr="00E73BB1">
        <w:rPr>
          <w:rFonts w:ascii="Times New Roman" w:hAnsi="Times New Roman" w:cs="Times New Roman"/>
          <w:sz w:val="24"/>
          <w:szCs w:val="24"/>
        </w:rPr>
        <w:t xml:space="preserve"> Analysis was completed in R, due to the availability of the CFI</w:t>
      </w:r>
      <w:r w:rsidR="00823212" w:rsidRPr="00E73BB1">
        <w:rPr>
          <w:rFonts w:ascii="Times New Roman" w:hAnsi="Times New Roman" w:cs="Times New Roman"/>
          <w:sz w:val="24"/>
          <w:szCs w:val="24"/>
        </w:rPr>
        <w:t xml:space="preserve"> within reporting </w:t>
      </w:r>
      <w:r w:rsidR="002243B2" w:rsidRPr="00E73BB1">
        <w:rPr>
          <w:rFonts w:ascii="Times New Roman" w:hAnsi="Times New Roman" w:cs="Times New Roman"/>
          <w:sz w:val="24"/>
          <w:szCs w:val="24"/>
        </w:rPr>
        <w:t>options for</w:t>
      </w:r>
      <w:r w:rsidR="00823212" w:rsidRPr="00E73BB1">
        <w:rPr>
          <w:rFonts w:ascii="Times New Roman" w:hAnsi="Times New Roman" w:cs="Times New Roman"/>
          <w:sz w:val="24"/>
          <w:szCs w:val="24"/>
        </w:rPr>
        <w:t xml:space="preserve"> MGCFA</w:t>
      </w:r>
      <w:r w:rsidRPr="00E73BB1">
        <w:rPr>
          <w:rFonts w:ascii="Times New Roman" w:hAnsi="Times New Roman" w:cs="Times New Roman"/>
          <w:sz w:val="24"/>
          <w:szCs w:val="24"/>
        </w:rPr>
        <w:t>.</w:t>
      </w:r>
      <w:r w:rsidR="00175E18" w:rsidRPr="00E73BB1">
        <w:rPr>
          <w:rFonts w:ascii="Times New Roman" w:hAnsi="Times New Roman" w:cs="Times New Roman"/>
          <w:sz w:val="24"/>
          <w:szCs w:val="24"/>
        </w:rPr>
        <w:t xml:space="preserve"> Results of the model comparisons are found in Table 3</w:t>
      </w:r>
      <w:r w:rsidR="00D54114" w:rsidRPr="00E73BB1">
        <w:rPr>
          <w:rFonts w:ascii="Times New Roman" w:hAnsi="Times New Roman" w:cs="Times New Roman"/>
          <w:sz w:val="24"/>
          <w:szCs w:val="24"/>
        </w:rPr>
        <w:t xml:space="preserve">. As can be seen, despite significant chi-square tests, the change in CFI was below .01 in all cases indicating invariance across gender.   </w:t>
      </w:r>
    </w:p>
    <w:p w14:paraId="0D33AC88" w14:textId="643F00FA" w:rsidR="00FB65B7" w:rsidRPr="00E73BB1" w:rsidRDefault="00A94360" w:rsidP="00FB65B7">
      <w:pPr>
        <w:widowControl w:val="0"/>
        <w:spacing w:after="0" w:line="480" w:lineRule="auto"/>
        <w:rPr>
          <w:rFonts w:ascii="Times New Roman" w:hAnsi="Times New Roman" w:cs="Times New Roman"/>
          <w:i/>
          <w:iCs/>
          <w:sz w:val="24"/>
          <w:szCs w:val="24"/>
        </w:rPr>
      </w:pPr>
      <w:r w:rsidRPr="00E73BB1">
        <w:rPr>
          <w:rFonts w:ascii="Times New Roman" w:hAnsi="Times New Roman" w:cs="Times New Roman"/>
          <w:b/>
          <w:i/>
          <w:iCs/>
          <w:sz w:val="24"/>
          <w:szCs w:val="24"/>
        </w:rPr>
        <w:t xml:space="preserve">3.2.4. </w:t>
      </w:r>
      <w:r w:rsidR="00666A49" w:rsidRPr="00E73BB1">
        <w:rPr>
          <w:rFonts w:ascii="Times New Roman" w:hAnsi="Times New Roman" w:cs="Times New Roman"/>
          <w:b/>
          <w:i/>
          <w:iCs/>
          <w:sz w:val="24"/>
          <w:szCs w:val="24"/>
        </w:rPr>
        <w:t>Reliability</w:t>
      </w:r>
      <w:r w:rsidR="000A049B" w:rsidRPr="00E73BB1">
        <w:rPr>
          <w:rFonts w:ascii="Times New Roman" w:hAnsi="Times New Roman" w:cs="Times New Roman"/>
          <w:b/>
          <w:i/>
          <w:iCs/>
          <w:sz w:val="24"/>
          <w:szCs w:val="24"/>
        </w:rPr>
        <w:t xml:space="preserve"> and Descriptive Statistics</w:t>
      </w:r>
    </w:p>
    <w:p w14:paraId="3475EDC0" w14:textId="7ECB69B4" w:rsidR="0003113E" w:rsidRPr="00E73BB1" w:rsidRDefault="000A049B">
      <w:pPr>
        <w:widowControl w:val="0"/>
        <w:spacing w:after="0" w:line="480" w:lineRule="auto"/>
        <w:ind w:firstLine="720"/>
        <w:rPr>
          <w:rFonts w:ascii="Times New Roman" w:hAnsi="Times New Roman" w:cs="Times New Roman"/>
          <w:b/>
          <w:sz w:val="24"/>
          <w:szCs w:val="24"/>
        </w:rPr>
      </w:pPr>
      <w:r w:rsidRPr="00E73BB1">
        <w:rPr>
          <w:rFonts w:ascii="Times New Roman" w:hAnsi="Times New Roman" w:cs="Times New Roman"/>
          <w:sz w:val="24"/>
          <w:szCs w:val="24"/>
        </w:rPr>
        <w:t>Internal consistency estimates and mean scores, combined and by gender, are reported in Table 1. T</w:t>
      </w:r>
      <w:r w:rsidR="00666A49" w:rsidRPr="00E73BB1">
        <w:rPr>
          <w:rFonts w:ascii="Times New Roman" w:hAnsi="Times New Roman" w:cs="Times New Roman"/>
          <w:sz w:val="24"/>
          <w:szCs w:val="24"/>
        </w:rPr>
        <w:t xml:space="preserve">he 9-item scale </w:t>
      </w:r>
      <w:r w:rsidR="00675BA4" w:rsidRPr="00E73BB1">
        <w:rPr>
          <w:rFonts w:ascii="Times New Roman" w:hAnsi="Times New Roman" w:cs="Times New Roman"/>
          <w:sz w:val="24"/>
          <w:szCs w:val="24"/>
        </w:rPr>
        <w:t xml:space="preserve">again </w:t>
      </w:r>
      <w:r w:rsidR="00666A49" w:rsidRPr="00E73BB1">
        <w:rPr>
          <w:rFonts w:ascii="Times New Roman" w:hAnsi="Times New Roman" w:cs="Times New Roman"/>
          <w:sz w:val="24"/>
          <w:szCs w:val="24"/>
        </w:rPr>
        <w:t xml:space="preserve">reflected </w:t>
      </w:r>
      <w:r w:rsidR="000E6135" w:rsidRPr="00E73BB1">
        <w:rPr>
          <w:rFonts w:ascii="Times New Roman" w:hAnsi="Times New Roman" w:cs="Times New Roman"/>
          <w:sz w:val="24"/>
          <w:szCs w:val="24"/>
        </w:rPr>
        <w:t>acceptable</w:t>
      </w:r>
      <w:r w:rsidR="00666A49" w:rsidRPr="00E73BB1">
        <w:rPr>
          <w:rFonts w:ascii="Times New Roman" w:hAnsi="Times New Roman" w:cs="Times New Roman"/>
          <w:sz w:val="24"/>
          <w:szCs w:val="24"/>
        </w:rPr>
        <w:t xml:space="preserve"> internal consistency based on Cronbach’s alpha. Item-total correlations were also in the acceptable range, with all greater than .4 (overall</w:t>
      </w:r>
      <w:r w:rsidR="00EF0453" w:rsidRPr="00E73BB1">
        <w:rPr>
          <w:rFonts w:ascii="Times New Roman" w:hAnsi="Times New Roman" w:cs="Times New Roman"/>
          <w:sz w:val="24"/>
          <w:szCs w:val="24"/>
        </w:rPr>
        <w:t xml:space="preserve"> </w:t>
      </w:r>
      <w:r w:rsidR="00666A49" w:rsidRPr="00E73BB1">
        <w:rPr>
          <w:rFonts w:ascii="Times New Roman" w:hAnsi="Times New Roman" w:cs="Times New Roman"/>
          <w:sz w:val="24"/>
          <w:szCs w:val="24"/>
        </w:rPr>
        <w:t>= .</w:t>
      </w:r>
      <w:r w:rsidR="000E6135" w:rsidRPr="00E73BB1">
        <w:rPr>
          <w:rFonts w:ascii="Times New Roman" w:hAnsi="Times New Roman" w:cs="Times New Roman"/>
          <w:sz w:val="24"/>
          <w:szCs w:val="24"/>
        </w:rPr>
        <w:t>61</w:t>
      </w:r>
      <w:r w:rsidR="00675BA4" w:rsidRPr="00E73BB1">
        <w:rPr>
          <w:rFonts w:ascii="Times New Roman" w:hAnsi="Times New Roman" w:cs="Times New Roman"/>
          <w:sz w:val="24"/>
          <w:szCs w:val="24"/>
        </w:rPr>
        <w:t>-.</w:t>
      </w:r>
      <w:r w:rsidR="000E6135" w:rsidRPr="00E73BB1">
        <w:rPr>
          <w:rFonts w:ascii="Times New Roman" w:hAnsi="Times New Roman" w:cs="Times New Roman"/>
          <w:sz w:val="24"/>
          <w:szCs w:val="24"/>
        </w:rPr>
        <w:t>69</w:t>
      </w:r>
      <w:r w:rsidR="00666A49" w:rsidRPr="00E73BB1">
        <w:rPr>
          <w:rFonts w:ascii="Times New Roman" w:hAnsi="Times New Roman" w:cs="Times New Roman"/>
          <w:sz w:val="24"/>
          <w:szCs w:val="24"/>
        </w:rPr>
        <w:t>; boys</w:t>
      </w:r>
      <w:r w:rsidR="00EF0453" w:rsidRPr="00E73BB1">
        <w:rPr>
          <w:rFonts w:ascii="Times New Roman" w:hAnsi="Times New Roman" w:cs="Times New Roman"/>
          <w:sz w:val="24"/>
          <w:szCs w:val="24"/>
        </w:rPr>
        <w:t xml:space="preserve"> </w:t>
      </w:r>
      <w:r w:rsidR="00666A49" w:rsidRPr="00E73BB1">
        <w:rPr>
          <w:rFonts w:ascii="Times New Roman" w:hAnsi="Times New Roman" w:cs="Times New Roman"/>
          <w:sz w:val="24"/>
          <w:szCs w:val="24"/>
        </w:rPr>
        <w:t>= .</w:t>
      </w:r>
      <w:r w:rsidR="000E6135" w:rsidRPr="00E73BB1">
        <w:rPr>
          <w:rFonts w:ascii="Times New Roman" w:hAnsi="Times New Roman" w:cs="Times New Roman"/>
          <w:sz w:val="24"/>
          <w:szCs w:val="24"/>
        </w:rPr>
        <w:t>58-.69</w:t>
      </w:r>
      <w:r w:rsidR="00666A49" w:rsidRPr="00E73BB1">
        <w:rPr>
          <w:rFonts w:ascii="Times New Roman" w:hAnsi="Times New Roman" w:cs="Times New Roman"/>
          <w:sz w:val="24"/>
          <w:szCs w:val="24"/>
        </w:rPr>
        <w:t>, girls</w:t>
      </w:r>
      <w:r w:rsidR="00EF0453" w:rsidRPr="00E73BB1">
        <w:rPr>
          <w:rFonts w:ascii="Times New Roman" w:hAnsi="Times New Roman" w:cs="Times New Roman"/>
          <w:sz w:val="24"/>
          <w:szCs w:val="24"/>
        </w:rPr>
        <w:t xml:space="preserve"> </w:t>
      </w:r>
      <w:r w:rsidR="00666A49" w:rsidRPr="00E73BB1">
        <w:rPr>
          <w:rFonts w:ascii="Times New Roman" w:hAnsi="Times New Roman" w:cs="Times New Roman"/>
          <w:sz w:val="24"/>
          <w:szCs w:val="24"/>
        </w:rPr>
        <w:t>=.</w:t>
      </w:r>
      <w:r w:rsidR="000E6135" w:rsidRPr="00E73BB1">
        <w:rPr>
          <w:rFonts w:ascii="Times New Roman" w:hAnsi="Times New Roman" w:cs="Times New Roman"/>
          <w:sz w:val="24"/>
          <w:szCs w:val="24"/>
        </w:rPr>
        <w:t>58-.73</w:t>
      </w:r>
      <w:r w:rsidR="00666A49" w:rsidRPr="00E73BB1">
        <w:rPr>
          <w:rFonts w:ascii="Times New Roman" w:hAnsi="Times New Roman" w:cs="Times New Roman"/>
          <w:sz w:val="24"/>
          <w:szCs w:val="24"/>
        </w:rPr>
        <w:t>).</w:t>
      </w:r>
      <w:r w:rsidRPr="00E73BB1">
        <w:rPr>
          <w:rFonts w:ascii="Times New Roman" w:hAnsi="Times New Roman" w:cs="Times New Roman"/>
          <w:sz w:val="24"/>
          <w:szCs w:val="24"/>
        </w:rPr>
        <w:t xml:space="preserve"> Girls again reported significantly higher scores than boys</w:t>
      </w:r>
      <w:r w:rsidR="00596349" w:rsidRPr="00E73BB1">
        <w:rPr>
          <w:rFonts w:ascii="Times New Roman" w:hAnsi="Times New Roman" w:cs="Times New Roman"/>
          <w:sz w:val="24"/>
          <w:szCs w:val="24"/>
        </w:rPr>
        <w:t xml:space="preserve"> (see Notes for Table 1)</w:t>
      </w:r>
      <w:r w:rsidRPr="00E73BB1">
        <w:rPr>
          <w:rFonts w:ascii="Times New Roman" w:hAnsi="Times New Roman" w:cs="Times New Roman"/>
          <w:sz w:val="24"/>
          <w:szCs w:val="24"/>
        </w:rPr>
        <w:t>.</w:t>
      </w:r>
      <w:r w:rsidR="00666A49" w:rsidRPr="00E73BB1">
        <w:rPr>
          <w:rFonts w:ascii="Times New Roman" w:hAnsi="Times New Roman" w:cs="Times New Roman"/>
          <w:sz w:val="24"/>
          <w:szCs w:val="24"/>
        </w:rPr>
        <w:t xml:space="preserve"> </w:t>
      </w:r>
    </w:p>
    <w:p w14:paraId="684AAF4B" w14:textId="1B003AF2" w:rsidR="009B71D2" w:rsidRPr="002D64AF" w:rsidRDefault="009B71D2" w:rsidP="002D64AF">
      <w:pPr>
        <w:pStyle w:val="ListParagraph"/>
        <w:widowControl w:val="0"/>
        <w:numPr>
          <w:ilvl w:val="0"/>
          <w:numId w:val="10"/>
        </w:numPr>
        <w:spacing w:after="0" w:line="480" w:lineRule="auto"/>
        <w:jc w:val="center"/>
        <w:rPr>
          <w:rFonts w:ascii="Times New Roman" w:hAnsi="Times New Roman" w:cs="Times New Roman"/>
          <w:b/>
          <w:sz w:val="24"/>
          <w:szCs w:val="24"/>
        </w:rPr>
      </w:pPr>
      <w:r w:rsidRPr="002D64AF">
        <w:rPr>
          <w:rFonts w:ascii="Times New Roman" w:hAnsi="Times New Roman" w:cs="Times New Roman"/>
          <w:b/>
          <w:sz w:val="24"/>
          <w:szCs w:val="24"/>
        </w:rPr>
        <w:t>Study 3: Replicating Confirmatory Factor Analysis</w:t>
      </w:r>
    </w:p>
    <w:p w14:paraId="22E79C6B" w14:textId="061E861A" w:rsidR="009B71D2" w:rsidRPr="00E73BB1" w:rsidRDefault="009B71D2" w:rsidP="009B71D2">
      <w:pPr>
        <w:widowControl w:val="0"/>
        <w:spacing w:after="0" w:line="480" w:lineRule="auto"/>
        <w:rPr>
          <w:rFonts w:ascii="Times New Roman" w:hAnsi="Times New Roman" w:cs="Times New Roman"/>
          <w:sz w:val="24"/>
          <w:szCs w:val="24"/>
        </w:rPr>
      </w:pPr>
      <w:r w:rsidRPr="00E73BB1">
        <w:rPr>
          <w:rFonts w:ascii="Times New Roman" w:hAnsi="Times New Roman" w:cs="Times New Roman"/>
          <w:sz w:val="24"/>
          <w:szCs w:val="24"/>
        </w:rPr>
        <w:tab/>
        <w:t xml:space="preserve">The aim of Study 3 was to </w:t>
      </w:r>
      <w:r w:rsidR="00737F1A" w:rsidRPr="00E73BB1">
        <w:rPr>
          <w:rFonts w:ascii="Times New Roman" w:hAnsi="Times New Roman" w:cs="Times New Roman"/>
          <w:sz w:val="24"/>
          <w:szCs w:val="24"/>
        </w:rPr>
        <w:t xml:space="preserve">further </w:t>
      </w:r>
      <w:r w:rsidRPr="00E73BB1">
        <w:rPr>
          <w:rFonts w:ascii="Times New Roman" w:hAnsi="Times New Roman" w:cs="Times New Roman"/>
          <w:sz w:val="24"/>
          <w:szCs w:val="24"/>
        </w:rPr>
        <w:t xml:space="preserve">confirm the factor structure of the </w:t>
      </w:r>
      <w:r w:rsidR="00CE3226" w:rsidRPr="00E73BB1">
        <w:rPr>
          <w:rFonts w:ascii="Times New Roman" w:hAnsi="Times New Roman" w:cs="Times New Roman"/>
          <w:sz w:val="24"/>
          <w:szCs w:val="24"/>
        </w:rPr>
        <w:t>BILD-Q</w:t>
      </w:r>
      <w:r w:rsidRPr="00E73BB1">
        <w:rPr>
          <w:rFonts w:ascii="Times New Roman" w:hAnsi="Times New Roman" w:cs="Times New Roman"/>
          <w:sz w:val="24"/>
          <w:szCs w:val="24"/>
        </w:rPr>
        <w:t xml:space="preserve">, by cross-validating in a third sample of adolescents. In particular, we </w:t>
      </w:r>
      <w:r w:rsidR="00737F1A" w:rsidRPr="00E73BB1">
        <w:rPr>
          <w:rFonts w:ascii="Times New Roman" w:hAnsi="Times New Roman" w:cs="Times New Roman"/>
          <w:sz w:val="24"/>
          <w:szCs w:val="24"/>
        </w:rPr>
        <w:t>wanted to</w:t>
      </w:r>
      <w:r w:rsidRPr="00E73BB1">
        <w:rPr>
          <w:rFonts w:ascii="Times New Roman" w:hAnsi="Times New Roman" w:cs="Times New Roman"/>
          <w:sz w:val="24"/>
          <w:szCs w:val="24"/>
        </w:rPr>
        <w:t xml:space="preserve"> </w:t>
      </w:r>
      <w:r w:rsidR="00595342" w:rsidRPr="00E73BB1">
        <w:rPr>
          <w:rFonts w:ascii="Times New Roman" w:hAnsi="Times New Roman" w:cs="Times New Roman"/>
          <w:sz w:val="24"/>
          <w:szCs w:val="24"/>
        </w:rPr>
        <w:t xml:space="preserve">assess </w:t>
      </w:r>
      <w:r w:rsidR="00737F1A" w:rsidRPr="00E73BB1">
        <w:rPr>
          <w:rFonts w:ascii="Times New Roman" w:hAnsi="Times New Roman" w:cs="Times New Roman"/>
          <w:sz w:val="24"/>
          <w:szCs w:val="24"/>
        </w:rPr>
        <w:t xml:space="preserve">model </w:t>
      </w:r>
      <w:r w:rsidRPr="00E73BB1">
        <w:rPr>
          <w:rFonts w:ascii="Times New Roman" w:hAnsi="Times New Roman" w:cs="Times New Roman"/>
          <w:sz w:val="24"/>
          <w:szCs w:val="24"/>
        </w:rPr>
        <w:t xml:space="preserve">fit </w:t>
      </w:r>
      <w:r w:rsidR="00306AD4" w:rsidRPr="00E73BB1">
        <w:rPr>
          <w:rFonts w:ascii="Times New Roman" w:hAnsi="Times New Roman" w:cs="Times New Roman"/>
          <w:sz w:val="24"/>
          <w:szCs w:val="24"/>
        </w:rPr>
        <w:t>among</w:t>
      </w:r>
      <w:r w:rsidRPr="00E73BB1">
        <w:rPr>
          <w:rFonts w:ascii="Times New Roman" w:hAnsi="Times New Roman" w:cs="Times New Roman"/>
          <w:sz w:val="24"/>
          <w:szCs w:val="24"/>
        </w:rPr>
        <w:t xml:space="preserve"> boys in a different sample</w:t>
      </w:r>
      <w:r w:rsidR="00595342" w:rsidRPr="00E73BB1">
        <w:rPr>
          <w:rFonts w:ascii="Times New Roman" w:hAnsi="Times New Roman" w:cs="Times New Roman"/>
          <w:sz w:val="24"/>
          <w:szCs w:val="24"/>
        </w:rPr>
        <w:t xml:space="preserve"> given that </w:t>
      </w:r>
      <w:r w:rsidR="00737F1A" w:rsidRPr="00E73BB1">
        <w:rPr>
          <w:rFonts w:ascii="Times New Roman" w:hAnsi="Times New Roman" w:cs="Times New Roman"/>
          <w:sz w:val="24"/>
          <w:szCs w:val="24"/>
        </w:rPr>
        <w:t>a poor fit was indicated</w:t>
      </w:r>
      <w:r w:rsidR="00595342" w:rsidRPr="00E73BB1">
        <w:rPr>
          <w:rFonts w:ascii="Times New Roman" w:hAnsi="Times New Roman" w:cs="Times New Roman"/>
          <w:sz w:val="24"/>
          <w:szCs w:val="24"/>
        </w:rPr>
        <w:t xml:space="preserve"> </w:t>
      </w:r>
      <w:r w:rsidR="00737F1A" w:rsidRPr="00E73BB1">
        <w:rPr>
          <w:rFonts w:ascii="Times New Roman" w:hAnsi="Times New Roman" w:cs="Times New Roman"/>
          <w:sz w:val="24"/>
          <w:szCs w:val="24"/>
        </w:rPr>
        <w:t xml:space="preserve">among boys in the </w:t>
      </w:r>
      <w:r w:rsidR="00595342" w:rsidRPr="00E73BB1">
        <w:rPr>
          <w:rFonts w:ascii="Times New Roman" w:hAnsi="Times New Roman" w:cs="Times New Roman"/>
          <w:sz w:val="24"/>
          <w:szCs w:val="24"/>
        </w:rPr>
        <w:t xml:space="preserve">Study 2 </w:t>
      </w:r>
      <w:r w:rsidR="00737F1A" w:rsidRPr="00E73BB1">
        <w:rPr>
          <w:rFonts w:ascii="Times New Roman" w:hAnsi="Times New Roman" w:cs="Times New Roman"/>
          <w:sz w:val="24"/>
          <w:szCs w:val="24"/>
        </w:rPr>
        <w:t>sample</w:t>
      </w:r>
      <w:r w:rsidRPr="00E73BB1">
        <w:rPr>
          <w:rFonts w:ascii="Times New Roman" w:hAnsi="Times New Roman" w:cs="Times New Roman"/>
          <w:sz w:val="24"/>
          <w:szCs w:val="24"/>
        </w:rPr>
        <w:t>.</w:t>
      </w:r>
      <w:r w:rsidR="001872B1" w:rsidRPr="00E73BB1">
        <w:rPr>
          <w:rFonts w:ascii="Times New Roman" w:hAnsi="Times New Roman" w:cs="Times New Roman"/>
          <w:sz w:val="24"/>
          <w:szCs w:val="24"/>
        </w:rPr>
        <w:t xml:space="preserve"> </w:t>
      </w:r>
    </w:p>
    <w:p w14:paraId="2A686D4B" w14:textId="489A00C6" w:rsidR="009B71D2" w:rsidRPr="00E73BB1" w:rsidRDefault="00A94360" w:rsidP="009B71D2">
      <w:pPr>
        <w:widowControl w:val="0"/>
        <w:spacing w:after="0" w:line="480" w:lineRule="auto"/>
        <w:rPr>
          <w:rFonts w:ascii="Times New Roman" w:hAnsi="Times New Roman" w:cs="Times New Roman"/>
          <w:b/>
          <w:sz w:val="24"/>
          <w:szCs w:val="24"/>
        </w:rPr>
      </w:pPr>
      <w:r w:rsidRPr="00E73BB1">
        <w:rPr>
          <w:rFonts w:ascii="Times New Roman" w:hAnsi="Times New Roman" w:cs="Times New Roman"/>
          <w:b/>
          <w:sz w:val="24"/>
          <w:szCs w:val="24"/>
        </w:rPr>
        <w:t xml:space="preserve">4.1. </w:t>
      </w:r>
      <w:r w:rsidR="00C40D22" w:rsidRPr="00E73BB1">
        <w:rPr>
          <w:rFonts w:ascii="Times New Roman" w:hAnsi="Times New Roman" w:cs="Times New Roman"/>
          <w:b/>
          <w:sz w:val="24"/>
          <w:szCs w:val="24"/>
        </w:rPr>
        <w:t>Method</w:t>
      </w:r>
    </w:p>
    <w:p w14:paraId="3491189B" w14:textId="13D85B00" w:rsidR="00FB65B7" w:rsidRPr="00E73BB1" w:rsidRDefault="00A94360" w:rsidP="009B71D2">
      <w:pPr>
        <w:widowControl w:val="0"/>
        <w:spacing w:after="0" w:line="480" w:lineRule="auto"/>
        <w:rPr>
          <w:rFonts w:ascii="Times New Roman" w:hAnsi="Times New Roman" w:cs="Times New Roman"/>
          <w:i/>
          <w:iCs/>
          <w:sz w:val="24"/>
          <w:szCs w:val="24"/>
        </w:rPr>
      </w:pPr>
      <w:r w:rsidRPr="00E73BB1">
        <w:rPr>
          <w:rFonts w:ascii="Times New Roman" w:hAnsi="Times New Roman" w:cs="Times New Roman"/>
          <w:b/>
          <w:i/>
          <w:iCs/>
          <w:sz w:val="24"/>
          <w:szCs w:val="24"/>
        </w:rPr>
        <w:t xml:space="preserve">4.1.1. </w:t>
      </w:r>
      <w:r w:rsidR="009B71D2" w:rsidRPr="00E73BB1">
        <w:rPr>
          <w:rFonts w:ascii="Times New Roman" w:hAnsi="Times New Roman" w:cs="Times New Roman"/>
          <w:b/>
          <w:i/>
          <w:iCs/>
          <w:sz w:val="24"/>
          <w:szCs w:val="24"/>
        </w:rPr>
        <w:t xml:space="preserve">Participants and </w:t>
      </w:r>
      <w:r w:rsidR="00FB65B7" w:rsidRPr="00E73BB1">
        <w:rPr>
          <w:rFonts w:ascii="Times New Roman" w:hAnsi="Times New Roman" w:cs="Times New Roman"/>
          <w:b/>
          <w:i/>
          <w:iCs/>
          <w:sz w:val="24"/>
          <w:szCs w:val="24"/>
        </w:rPr>
        <w:t>P</w:t>
      </w:r>
      <w:r w:rsidR="009B71D2" w:rsidRPr="00E73BB1">
        <w:rPr>
          <w:rFonts w:ascii="Times New Roman" w:hAnsi="Times New Roman" w:cs="Times New Roman"/>
          <w:b/>
          <w:i/>
          <w:iCs/>
          <w:sz w:val="24"/>
          <w:szCs w:val="24"/>
        </w:rPr>
        <w:t>rocedure</w:t>
      </w:r>
    </w:p>
    <w:p w14:paraId="0335A779" w14:textId="21C6095B" w:rsidR="009B71D2" w:rsidRPr="00E73BB1" w:rsidRDefault="009B71D2" w:rsidP="009161D3">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Adolescent</w:t>
      </w:r>
      <w:r w:rsidR="003B35E3" w:rsidRPr="00E73BB1">
        <w:rPr>
          <w:rFonts w:ascii="Times New Roman" w:hAnsi="Times New Roman" w:cs="Times New Roman"/>
          <w:sz w:val="24"/>
          <w:szCs w:val="24"/>
        </w:rPr>
        <w:t>s</w:t>
      </w:r>
      <w:r w:rsidRPr="00E73BB1">
        <w:rPr>
          <w:rFonts w:ascii="Times New Roman" w:hAnsi="Times New Roman" w:cs="Times New Roman"/>
          <w:sz w:val="24"/>
          <w:szCs w:val="24"/>
        </w:rPr>
        <w:t xml:space="preserve"> (</w:t>
      </w:r>
      <w:r w:rsidRPr="00E73BB1">
        <w:rPr>
          <w:rFonts w:ascii="Times New Roman" w:hAnsi="Times New Roman" w:cs="Times New Roman"/>
          <w:i/>
          <w:sz w:val="24"/>
          <w:szCs w:val="24"/>
        </w:rPr>
        <w:t>N</w:t>
      </w:r>
      <w:r w:rsidR="007B4A3B" w:rsidRPr="00E73BB1">
        <w:rPr>
          <w:rFonts w:ascii="Times New Roman" w:hAnsi="Times New Roman" w:cs="Times New Roman"/>
          <w:sz w:val="24"/>
          <w:szCs w:val="24"/>
        </w:rPr>
        <w:t xml:space="preserve"> = 2034; 13-14 years; 50.3</w:t>
      </w:r>
      <w:r w:rsidRPr="00E73BB1">
        <w:rPr>
          <w:rFonts w:ascii="Times New Roman" w:hAnsi="Times New Roman" w:cs="Times New Roman"/>
          <w:sz w:val="24"/>
          <w:szCs w:val="24"/>
        </w:rPr>
        <w:t>% boys</w:t>
      </w:r>
      <w:r w:rsidR="007B4A3B" w:rsidRPr="00E73BB1">
        <w:rPr>
          <w:rFonts w:ascii="Times New Roman" w:hAnsi="Times New Roman" w:cs="Times New Roman"/>
          <w:sz w:val="24"/>
          <w:szCs w:val="24"/>
        </w:rPr>
        <w:t xml:space="preserve">, 48.7% girls, 1.0% </w:t>
      </w:r>
      <w:r w:rsidR="003B35E3" w:rsidRPr="00E73BB1">
        <w:rPr>
          <w:rFonts w:ascii="Times New Roman" w:hAnsi="Times New Roman" w:cs="Times New Roman"/>
          <w:sz w:val="24"/>
          <w:szCs w:val="24"/>
        </w:rPr>
        <w:t>non-binary</w:t>
      </w:r>
      <w:r w:rsidRPr="00E73BB1">
        <w:rPr>
          <w:rFonts w:ascii="Times New Roman" w:hAnsi="Times New Roman" w:cs="Times New Roman"/>
          <w:sz w:val="24"/>
          <w:szCs w:val="24"/>
        </w:rPr>
        <w:t>) from</w:t>
      </w:r>
      <w:r w:rsidR="00CE356C" w:rsidRPr="00E73BB1">
        <w:rPr>
          <w:rFonts w:ascii="Times New Roman" w:hAnsi="Times New Roman" w:cs="Times New Roman"/>
          <w:sz w:val="24"/>
          <w:szCs w:val="24"/>
        </w:rPr>
        <w:t xml:space="preserve"> </w:t>
      </w:r>
      <w:r w:rsidRPr="00E73BB1">
        <w:rPr>
          <w:rFonts w:ascii="Times New Roman" w:hAnsi="Times New Roman" w:cs="Times New Roman"/>
          <w:sz w:val="24"/>
          <w:szCs w:val="24"/>
        </w:rPr>
        <w:t>20 secondary schools in south England completed the measures as part of a third</w:t>
      </w:r>
      <w:r w:rsidR="007B4A3B" w:rsidRPr="00E73BB1">
        <w:rPr>
          <w:rFonts w:ascii="Times New Roman" w:hAnsi="Times New Roman" w:cs="Times New Roman"/>
          <w:sz w:val="24"/>
          <w:szCs w:val="24"/>
        </w:rPr>
        <w:t xml:space="preserve"> large</w:t>
      </w:r>
      <w:r w:rsidRPr="00E73BB1">
        <w:rPr>
          <w:rFonts w:ascii="Times New Roman" w:hAnsi="Times New Roman" w:cs="Times New Roman"/>
          <w:sz w:val="24"/>
          <w:szCs w:val="24"/>
        </w:rPr>
        <w:t xml:space="preserve"> intervention trial</w:t>
      </w:r>
      <w:r w:rsidR="00CE356C" w:rsidRPr="00E73BB1">
        <w:rPr>
          <w:rFonts w:ascii="Times New Roman" w:hAnsi="Times New Roman" w:cs="Times New Roman"/>
          <w:sz w:val="24"/>
          <w:szCs w:val="24"/>
        </w:rPr>
        <w:t xml:space="preserve"> </w:t>
      </w:r>
      <w:r w:rsidR="00306AD4" w:rsidRPr="00E73BB1">
        <w:rPr>
          <w:rFonts w:ascii="Times New Roman" w:hAnsi="Times New Roman" w:cs="Times New Roman"/>
          <w:noProof/>
          <w:sz w:val="24"/>
          <w:szCs w:val="24"/>
        </w:rPr>
        <w:t>(</w:t>
      </w:r>
      <w:r w:rsidR="002D64AF">
        <w:rPr>
          <w:rFonts w:ascii="Times New Roman" w:hAnsi="Times New Roman" w:cs="Times New Roman"/>
          <w:sz w:val="24"/>
          <w:szCs w:val="24"/>
        </w:rPr>
        <w:t xml:space="preserve">Atkinson, </w:t>
      </w:r>
      <w:r w:rsidR="00A04192">
        <w:rPr>
          <w:rFonts w:ascii="Times New Roman" w:hAnsi="Times New Roman" w:cs="Times New Roman"/>
          <w:sz w:val="24"/>
          <w:szCs w:val="24"/>
        </w:rPr>
        <w:t xml:space="preserve">Stuijfzand, </w:t>
      </w:r>
      <w:r w:rsidR="002D64AF">
        <w:rPr>
          <w:rFonts w:ascii="Times New Roman" w:hAnsi="Times New Roman" w:cs="Times New Roman"/>
          <w:sz w:val="24"/>
          <w:szCs w:val="24"/>
        </w:rPr>
        <w:t>Parnell, Treneman-Evans, &amp; Diedrichs, 2021</w:t>
      </w:r>
      <w:r w:rsidR="00306AD4" w:rsidRPr="00E73BB1">
        <w:rPr>
          <w:rFonts w:ascii="Times New Roman" w:hAnsi="Times New Roman" w:cs="Times New Roman"/>
          <w:sz w:val="24"/>
          <w:szCs w:val="24"/>
        </w:rPr>
        <w:t>)</w:t>
      </w:r>
      <w:r w:rsidRPr="00E73BB1">
        <w:rPr>
          <w:rFonts w:ascii="Times New Roman" w:hAnsi="Times New Roman" w:cs="Times New Roman"/>
          <w:sz w:val="24"/>
          <w:szCs w:val="24"/>
        </w:rPr>
        <w:t xml:space="preserve">. </w:t>
      </w:r>
      <w:r w:rsidR="007B4A3B" w:rsidRPr="00E73BB1">
        <w:rPr>
          <w:rFonts w:ascii="Times New Roman" w:hAnsi="Times New Roman" w:cs="Times New Roman"/>
          <w:sz w:val="24"/>
          <w:szCs w:val="24"/>
        </w:rPr>
        <w:t xml:space="preserve">A range of schools took part, including </w:t>
      </w:r>
      <w:r w:rsidRPr="00E73BB1">
        <w:rPr>
          <w:rFonts w:ascii="Times New Roman" w:hAnsi="Times New Roman" w:cs="Times New Roman"/>
          <w:sz w:val="24"/>
          <w:szCs w:val="24"/>
        </w:rPr>
        <w:t>public funded academies</w:t>
      </w:r>
      <w:r w:rsidR="007B4A3B" w:rsidRPr="00E73BB1">
        <w:rPr>
          <w:rFonts w:ascii="Times New Roman" w:hAnsi="Times New Roman" w:cs="Times New Roman"/>
          <w:sz w:val="24"/>
          <w:szCs w:val="24"/>
        </w:rPr>
        <w:t xml:space="preserve">, </w:t>
      </w:r>
      <w:r w:rsidRPr="00E73BB1">
        <w:rPr>
          <w:rFonts w:ascii="Times New Roman" w:hAnsi="Times New Roman" w:cs="Times New Roman"/>
          <w:sz w:val="24"/>
          <w:szCs w:val="24"/>
        </w:rPr>
        <w:t>community schools</w:t>
      </w:r>
      <w:r w:rsidR="007B4A3B" w:rsidRPr="00E73BB1">
        <w:rPr>
          <w:rFonts w:ascii="Times New Roman" w:hAnsi="Times New Roman" w:cs="Times New Roman"/>
          <w:sz w:val="24"/>
          <w:szCs w:val="24"/>
        </w:rPr>
        <w:t>, and private schools</w:t>
      </w:r>
      <w:r w:rsidRPr="00E73BB1">
        <w:rPr>
          <w:rFonts w:ascii="Times New Roman" w:hAnsi="Times New Roman" w:cs="Times New Roman"/>
          <w:sz w:val="24"/>
          <w:szCs w:val="24"/>
        </w:rPr>
        <w:t>. Students were predominantly White (83.</w:t>
      </w:r>
      <w:r w:rsidR="007B4A3B" w:rsidRPr="00E73BB1">
        <w:rPr>
          <w:rFonts w:ascii="Times New Roman" w:hAnsi="Times New Roman" w:cs="Times New Roman"/>
          <w:sz w:val="24"/>
          <w:szCs w:val="24"/>
        </w:rPr>
        <w:t>5</w:t>
      </w:r>
      <w:r w:rsidRPr="00E73BB1">
        <w:rPr>
          <w:rFonts w:ascii="Times New Roman" w:hAnsi="Times New Roman" w:cs="Times New Roman"/>
          <w:sz w:val="24"/>
          <w:szCs w:val="24"/>
        </w:rPr>
        <w:t>%), born in the UK (</w:t>
      </w:r>
      <w:r w:rsidR="007B4A3B" w:rsidRPr="00E73BB1">
        <w:rPr>
          <w:rFonts w:ascii="Times New Roman" w:hAnsi="Times New Roman" w:cs="Times New Roman"/>
          <w:sz w:val="24"/>
          <w:szCs w:val="24"/>
        </w:rPr>
        <w:t>91.1</w:t>
      </w:r>
      <w:r w:rsidRPr="00E73BB1">
        <w:rPr>
          <w:rFonts w:ascii="Times New Roman" w:hAnsi="Times New Roman" w:cs="Times New Roman"/>
          <w:sz w:val="24"/>
          <w:szCs w:val="24"/>
        </w:rPr>
        <w:t>%), and spoke English at home (</w:t>
      </w:r>
      <w:r w:rsidR="007B4A3B" w:rsidRPr="00E73BB1">
        <w:rPr>
          <w:rFonts w:ascii="Times New Roman" w:hAnsi="Times New Roman" w:cs="Times New Roman"/>
          <w:sz w:val="24"/>
          <w:szCs w:val="24"/>
        </w:rPr>
        <w:t>86.2</w:t>
      </w:r>
      <w:r w:rsidRPr="00E73BB1">
        <w:rPr>
          <w:rFonts w:ascii="Times New Roman" w:hAnsi="Times New Roman" w:cs="Times New Roman"/>
          <w:sz w:val="24"/>
          <w:szCs w:val="24"/>
        </w:rPr>
        <w:t xml:space="preserve">%). This study was approved by the University ethics review board. Procedure for data collection in schools was the same as for previous studies. </w:t>
      </w:r>
    </w:p>
    <w:p w14:paraId="6D81FE5B" w14:textId="4D15AB26" w:rsidR="00FB65B7" w:rsidRPr="00E73BB1" w:rsidRDefault="00A94360" w:rsidP="009B71D2">
      <w:pPr>
        <w:widowControl w:val="0"/>
        <w:spacing w:after="0" w:line="480" w:lineRule="auto"/>
        <w:rPr>
          <w:rFonts w:ascii="Times New Roman" w:hAnsi="Times New Roman" w:cs="Times New Roman"/>
          <w:i/>
          <w:iCs/>
          <w:sz w:val="24"/>
          <w:szCs w:val="24"/>
        </w:rPr>
      </w:pPr>
      <w:r w:rsidRPr="00E73BB1">
        <w:rPr>
          <w:rFonts w:ascii="Times New Roman" w:hAnsi="Times New Roman" w:cs="Times New Roman"/>
          <w:b/>
          <w:i/>
          <w:iCs/>
          <w:sz w:val="24"/>
          <w:szCs w:val="24"/>
        </w:rPr>
        <w:lastRenderedPageBreak/>
        <w:t xml:space="preserve">4.1.2. </w:t>
      </w:r>
      <w:r w:rsidR="009B71D2" w:rsidRPr="00E73BB1">
        <w:rPr>
          <w:rFonts w:ascii="Times New Roman" w:hAnsi="Times New Roman" w:cs="Times New Roman"/>
          <w:b/>
          <w:i/>
          <w:iCs/>
          <w:sz w:val="24"/>
          <w:szCs w:val="24"/>
        </w:rPr>
        <w:t>Measures</w:t>
      </w:r>
    </w:p>
    <w:p w14:paraId="3C667C89" w14:textId="01467F57" w:rsidR="009B71D2" w:rsidRPr="00E73BB1" w:rsidRDefault="00A94360" w:rsidP="009161D3">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b/>
          <w:sz w:val="24"/>
          <w:szCs w:val="24"/>
        </w:rPr>
        <w:t xml:space="preserve">4.1.2.1. </w:t>
      </w:r>
      <w:r w:rsidR="009B71D2" w:rsidRPr="00E73BB1">
        <w:rPr>
          <w:rFonts w:ascii="Times New Roman" w:hAnsi="Times New Roman" w:cs="Times New Roman"/>
          <w:b/>
          <w:sz w:val="24"/>
          <w:szCs w:val="24"/>
        </w:rPr>
        <w:t xml:space="preserve">Life </w:t>
      </w:r>
      <w:r w:rsidR="00FB65B7" w:rsidRPr="00E73BB1">
        <w:rPr>
          <w:rFonts w:ascii="Times New Roman" w:hAnsi="Times New Roman" w:cs="Times New Roman"/>
          <w:b/>
          <w:sz w:val="24"/>
          <w:szCs w:val="24"/>
        </w:rPr>
        <w:t>D</w:t>
      </w:r>
      <w:r w:rsidR="00CE3226" w:rsidRPr="00E73BB1">
        <w:rPr>
          <w:rFonts w:ascii="Times New Roman" w:hAnsi="Times New Roman" w:cs="Times New Roman"/>
          <w:b/>
          <w:sz w:val="24"/>
          <w:szCs w:val="24"/>
        </w:rPr>
        <w:t>is</w:t>
      </w:r>
      <w:r w:rsidR="009B71D2" w:rsidRPr="00E73BB1">
        <w:rPr>
          <w:rFonts w:ascii="Times New Roman" w:hAnsi="Times New Roman" w:cs="Times New Roman"/>
          <w:b/>
          <w:sz w:val="24"/>
          <w:szCs w:val="24"/>
        </w:rPr>
        <w:t>engagement.</w:t>
      </w:r>
      <w:r w:rsidR="009B71D2" w:rsidRPr="00E73BB1">
        <w:rPr>
          <w:rFonts w:ascii="Times New Roman" w:hAnsi="Times New Roman" w:cs="Times New Roman"/>
          <w:sz w:val="24"/>
          <w:szCs w:val="24"/>
        </w:rPr>
        <w:t xml:space="preserve"> The 9-item configuration of the </w:t>
      </w:r>
      <w:r w:rsidR="00CE3226" w:rsidRPr="00E73BB1">
        <w:rPr>
          <w:rFonts w:ascii="Times New Roman" w:hAnsi="Times New Roman" w:cs="Times New Roman"/>
          <w:sz w:val="24"/>
          <w:szCs w:val="24"/>
        </w:rPr>
        <w:t>BILD-Q</w:t>
      </w:r>
      <w:r w:rsidR="009B71D2" w:rsidRPr="00E73BB1">
        <w:rPr>
          <w:rFonts w:ascii="Times New Roman" w:hAnsi="Times New Roman" w:cs="Times New Roman"/>
          <w:sz w:val="24"/>
          <w:szCs w:val="24"/>
        </w:rPr>
        <w:t xml:space="preserve"> was administered as for previous studies. </w:t>
      </w:r>
    </w:p>
    <w:p w14:paraId="06A4EBB8" w14:textId="143650C4" w:rsidR="009B71D2" w:rsidRPr="00E73BB1" w:rsidRDefault="00A94360" w:rsidP="009B71D2">
      <w:pPr>
        <w:widowControl w:val="0"/>
        <w:spacing w:after="0" w:line="480" w:lineRule="auto"/>
        <w:rPr>
          <w:rFonts w:ascii="Times New Roman" w:hAnsi="Times New Roman" w:cs="Times New Roman"/>
          <w:sz w:val="24"/>
          <w:szCs w:val="24"/>
        </w:rPr>
      </w:pPr>
      <w:r w:rsidRPr="00E73BB1">
        <w:rPr>
          <w:rFonts w:ascii="Times New Roman" w:hAnsi="Times New Roman" w:cs="Times New Roman"/>
          <w:b/>
          <w:sz w:val="24"/>
          <w:szCs w:val="24"/>
        </w:rPr>
        <w:t xml:space="preserve">4.2. </w:t>
      </w:r>
      <w:r w:rsidR="00C40D22" w:rsidRPr="00E73BB1">
        <w:rPr>
          <w:rFonts w:ascii="Times New Roman" w:hAnsi="Times New Roman" w:cs="Times New Roman"/>
          <w:b/>
          <w:sz w:val="24"/>
          <w:szCs w:val="24"/>
        </w:rPr>
        <w:t>Results</w:t>
      </w:r>
      <w:r w:rsidR="009B71D2" w:rsidRPr="00E73BB1">
        <w:rPr>
          <w:rFonts w:ascii="Times New Roman" w:hAnsi="Times New Roman" w:cs="Times New Roman"/>
          <w:sz w:val="24"/>
          <w:szCs w:val="24"/>
        </w:rPr>
        <w:t xml:space="preserve"> </w:t>
      </w:r>
    </w:p>
    <w:p w14:paraId="23450D28" w14:textId="23090AD5" w:rsidR="00FB65B7" w:rsidRPr="00E73BB1" w:rsidRDefault="00A94360" w:rsidP="009B71D2">
      <w:pPr>
        <w:widowControl w:val="0"/>
        <w:spacing w:after="0" w:line="480" w:lineRule="auto"/>
        <w:rPr>
          <w:rFonts w:ascii="Times New Roman" w:hAnsi="Times New Roman" w:cs="Times New Roman"/>
          <w:b/>
          <w:i/>
          <w:iCs/>
          <w:sz w:val="24"/>
          <w:szCs w:val="24"/>
        </w:rPr>
      </w:pPr>
      <w:r w:rsidRPr="00E73BB1">
        <w:rPr>
          <w:rFonts w:ascii="Times New Roman" w:hAnsi="Times New Roman" w:cs="Times New Roman"/>
          <w:b/>
          <w:i/>
          <w:iCs/>
          <w:sz w:val="24"/>
          <w:szCs w:val="24"/>
        </w:rPr>
        <w:t xml:space="preserve">4.2.1. </w:t>
      </w:r>
      <w:r w:rsidR="009B71D2" w:rsidRPr="00E73BB1">
        <w:rPr>
          <w:rFonts w:ascii="Times New Roman" w:hAnsi="Times New Roman" w:cs="Times New Roman"/>
          <w:b/>
          <w:i/>
          <w:iCs/>
          <w:sz w:val="24"/>
          <w:szCs w:val="24"/>
        </w:rPr>
        <w:t xml:space="preserve">Confirmatory Factor Analysis </w:t>
      </w:r>
    </w:p>
    <w:p w14:paraId="40D50F91" w14:textId="3E380465" w:rsidR="009B71D2" w:rsidRPr="00E73BB1" w:rsidRDefault="003B35E3" w:rsidP="009161D3">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Although the option to select non-binary identity was offered in Study 3, the low endorsement required us to exclude non-binary participants from CFA analysis</w:t>
      </w:r>
      <w:r w:rsidR="001573C5" w:rsidRPr="00E73BB1">
        <w:rPr>
          <w:rFonts w:ascii="Times New Roman" w:hAnsi="Times New Roman" w:cs="Times New Roman"/>
          <w:sz w:val="24"/>
          <w:szCs w:val="24"/>
        </w:rPr>
        <w:t>.</w:t>
      </w:r>
      <w:r w:rsidRPr="00E73BB1">
        <w:rPr>
          <w:rFonts w:ascii="Times New Roman" w:hAnsi="Times New Roman" w:cs="Times New Roman"/>
          <w:sz w:val="24"/>
          <w:szCs w:val="24"/>
        </w:rPr>
        <w:t xml:space="preserve"> </w:t>
      </w:r>
      <w:r w:rsidR="009B71D2" w:rsidRPr="00E73BB1">
        <w:rPr>
          <w:rFonts w:ascii="Times New Roman" w:hAnsi="Times New Roman" w:cs="Times New Roman"/>
          <w:sz w:val="24"/>
          <w:szCs w:val="24"/>
        </w:rPr>
        <w:t xml:space="preserve">All items were again specified to load onto a single latent factor, as </w:t>
      </w:r>
      <w:r w:rsidR="007B4A3B" w:rsidRPr="00E73BB1">
        <w:rPr>
          <w:rFonts w:ascii="Times New Roman" w:hAnsi="Times New Roman" w:cs="Times New Roman"/>
          <w:sz w:val="24"/>
          <w:szCs w:val="24"/>
        </w:rPr>
        <w:t>indicated</w:t>
      </w:r>
      <w:r w:rsidR="009B71D2" w:rsidRPr="00E73BB1">
        <w:rPr>
          <w:rFonts w:ascii="Times New Roman" w:hAnsi="Times New Roman" w:cs="Times New Roman"/>
          <w:sz w:val="24"/>
          <w:szCs w:val="24"/>
        </w:rPr>
        <w:t xml:space="preserve"> by Study 1. Fit indices are displayed in Table 2, and factor loadings in Table 1. This model provided a good </w:t>
      </w:r>
      <w:r w:rsidR="00E761E1" w:rsidRPr="00E73BB1">
        <w:rPr>
          <w:rFonts w:ascii="Times New Roman" w:hAnsi="Times New Roman" w:cs="Times New Roman"/>
          <w:sz w:val="24"/>
          <w:szCs w:val="24"/>
        </w:rPr>
        <w:t xml:space="preserve">to excellent </w:t>
      </w:r>
      <w:r w:rsidR="009B71D2" w:rsidRPr="00E73BB1">
        <w:rPr>
          <w:rFonts w:ascii="Times New Roman" w:hAnsi="Times New Roman" w:cs="Times New Roman"/>
          <w:sz w:val="24"/>
          <w:szCs w:val="24"/>
        </w:rPr>
        <w:t>fit to the data with respect to SRMR</w:t>
      </w:r>
      <w:r w:rsidR="00E761E1" w:rsidRPr="00E73BB1">
        <w:rPr>
          <w:rFonts w:ascii="Times New Roman" w:hAnsi="Times New Roman" w:cs="Times New Roman"/>
          <w:sz w:val="24"/>
          <w:szCs w:val="24"/>
        </w:rPr>
        <w:t xml:space="preserve">, </w:t>
      </w:r>
      <w:r w:rsidR="009B71D2" w:rsidRPr="00E73BB1">
        <w:rPr>
          <w:rFonts w:ascii="Times New Roman" w:hAnsi="Times New Roman" w:cs="Times New Roman"/>
          <w:sz w:val="24"/>
          <w:szCs w:val="24"/>
        </w:rPr>
        <w:t xml:space="preserve">CFI, and RMSEA. </w:t>
      </w:r>
      <w:r w:rsidR="00E761E1" w:rsidRPr="00E73BB1">
        <w:rPr>
          <w:rFonts w:ascii="Times New Roman" w:hAnsi="Times New Roman" w:cs="Times New Roman"/>
          <w:sz w:val="24"/>
          <w:szCs w:val="24"/>
        </w:rPr>
        <w:t>Importantly, model fit was acceptable in both boys and girls in this sample</w:t>
      </w:r>
      <w:r w:rsidR="009B71D2" w:rsidRPr="00E73BB1">
        <w:rPr>
          <w:rFonts w:ascii="Times New Roman" w:hAnsi="Times New Roman" w:cs="Times New Roman"/>
          <w:sz w:val="24"/>
          <w:szCs w:val="24"/>
        </w:rPr>
        <w:t xml:space="preserve">. Modification indices </w:t>
      </w:r>
      <w:r w:rsidR="00E761E1" w:rsidRPr="00E73BB1">
        <w:rPr>
          <w:rFonts w:ascii="Times New Roman" w:hAnsi="Times New Roman" w:cs="Times New Roman"/>
          <w:sz w:val="24"/>
          <w:szCs w:val="24"/>
        </w:rPr>
        <w:t>indicated a similar pattern as in Study 2, therefore modified models were conducted using the same re</w:t>
      </w:r>
      <w:r w:rsidR="00FE5807" w:rsidRPr="00E73BB1">
        <w:rPr>
          <w:rFonts w:ascii="Times New Roman" w:hAnsi="Times New Roman" w:cs="Times New Roman"/>
          <w:sz w:val="24"/>
          <w:szCs w:val="24"/>
        </w:rPr>
        <w:t>-</w:t>
      </w:r>
      <w:r w:rsidR="00E761E1" w:rsidRPr="00E73BB1">
        <w:rPr>
          <w:rFonts w:ascii="Times New Roman" w:hAnsi="Times New Roman" w:cs="Times New Roman"/>
          <w:sz w:val="24"/>
          <w:szCs w:val="24"/>
        </w:rPr>
        <w:t>specification. This again resulted in an</w:t>
      </w:r>
      <w:r w:rsidR="009B71D2" w:rsidRPr="00E73BB1">
        <w:rPr>
          <w:rFonts w:ascii="Times New Roman" w:hAnsi="Times New Roman" w:cs="Times New Roman"/>
          <w:sz w:val="24"/>
          <w:szCs w:val="24"/>
        </w:rPr>
        <w:t xml:space="preserve"> improved model fit, </w:t>
      </w:r>
      <w:r w:rsidR="009B71D2" w:rsidRPr="00E73BB1">
        <w:rPr>
          <w:i/>
        </w:rPr>
        <w:t>χ</w:t>
      </w:r>
      <w:r w:rsidR="009B71D2" w:rsidRPr="00E73BB1">
        <w:rPr>
          <w:i/>
          <w:vertAlign w:val="superscript"/>
        </w:rPr>
        <w:t>2</w:t>
      </w:r>
      <w:r w:rsidR="009B71D2" w:rsidRPr="00E73BB1">
        <w:rPr>
          <w:vertAlign w:val="superscript"/>
        </w:rPr>
        <w:t xml:space="preserve"> </w:t>
      </w:r>
      <w:r w:rsidR="00617203" w:rsidRPr="00E73BB1">
        <w:rPr>
          <w:rFonts w:ascii="Times New Roman" w:hAnsi="Times New Roman" w:cs="Times New Roman"/>
          <w:sz w:val="24"/>
          <w:szCs w:val="24"/>
        </w:rPr>
        <w:t>(2</w:t>
      </w:r>
      <w:r w:rsidR="009B71D2" w:rsidRPr="00E73BB1">
        <w:rPr>
          <w:rFonts w:ascii="Times New Roman" w:hAnsi="Times New Roman" w:cs="Times New Roman"/>
          <w:sz w:val="24"/>
          <w:szCs w:val="24"/>
        </w:rPr>
        <w:t>)</w:t>
      </w:r>
      <w:r w:rsidR="00A94360" w:rsidRPr="00E73BB1">
        <w:rPr>
          <w:rFonts w:ascii="Times New Roman" w:hAnsi="Times New Roman" w:cs="Times New Roman"/>
          <w:sz w:val="24"/>
          <w:szCs w:val="24"/>
        </w:rPr>
        <w:t xml:space="preserve"> </w:t>
      </w:r>
      <w:r w:rsidR="009B71D2" w:rsidRPr="00E73BB1">
        <w:rPr>
          <w:rFonts w:ascii="Times New Roman" w:hAnsi="Times New Roman" w:cs="Times New Roman"/>
          <w:sz w:val="24"/>
          <w:szCs w:val="24"/>
        </w:rPr>
        <w:t>=</w:t>
      </w:r>
      <w:r w:rsidR="00A94360" w:rsidRPr="00E73BB1">
        <w:rPr>
          <w:rFonts w:ascii="Times New Roman" w:hAnsi="Times New Roman" w:cs="Times New Roman"/>
          <w:sz w:val="24"/>
          <w:szCs w:val="24"/>
        </w:rPr>
        <w:t xml:space="preserve"> </w:t>
      </w:r>
      <w:r w:rsidR="00617203" w:rsidRPr="00E73BB1">
        <w:rPr>
          <w:rFonts w:ascii="Times New Roman" w:hAnsi="Times New Roman" w:cs="Times New Roman"/>
          <w:sz w:val="24"/>
          <w:szCs w:val="24"/>
        </w:rPr>
        <w:t>196.34</w:t>
      </w:r>
      <w:r w:rsidR="009B71D2" w:rsidRPr="00E73BB1">
        <w:rPr>
          <w:rFonts w:ascii="Times New Roman" w:hAnsi="Times New Roman" w:cs="Times New Roman"/>
          <w:sz w:val="24"/>
          <w:szCs w:val="24"/>
        </w:rPr>
        <w:t xml:space="preserve">, </w:t>
      </w:r>
      <w:r w:rsidR="009B71D2" w:rsidRPr="00E73BB1">
        <w:rPr>
          <w:rFonts w:ascii="Times New Roman" w:hAnsi="Times New Roman" w:cs="Times New Roman"/>
          <w:i/>
          <w:sz w:val="24"/>
          <w:szCs w:val="24"/>
        </w:rPr>
        <w:t>p</w:t>
      </w:r>
      <w:r w:rsidR="009B71D2" w:rsidRPr="00E73BB1">
        <w:rPr>
          <w:rFonts w:ascii="Times New Roman" w:hAnsi="Times New Roman" w:cs="Times New Roman"/>
          <w:sz w:val="24"/>
          <w:szCs w:val="24"/>
        </w:rPr>
        <w:t xml:space="preserve"> &lt; .001 (see Table 2 for</w:t>
      </w:r>
      <w:r w:rsidR="00E761E1" w:rsidRPr="00E73BB1">
        <w:rPr>
          <w:rFonts w:ascii="Times New Roman" w:hAnsi="Times New Roman" w:cs="Times New Roman"/>
          <w:sz w:val="24"/>
          <w:szCs w:val="24"/>
        </w:rPr>
        <w:t xml:space="preserve"> modified</w:t>
      </w:r>
      <w:r w:rsidR="009B71D2" w:rsidRPr="00E73BB1">
        <w:rPr>
          <w:rFonts w:ascii="Times New Roman" w:hAnsi="Times New Roman" w:cs="Times New Roman"/>
          <w:sz w:val="24"/>
          <w:szCs w:val="24"/>
        </w:rPr>
        <w:t xml:space="preserve"> fit indices).</w:t>
      </w:r>
    </w:p>
    <w:p w14:paraId="1A722B18" w14:textId="765C420C" w:rsidR="00FB65B7" w:rsidRPr="00E73BB1" w:rsidRDefault="00A94360" w:rsidP="009161D3">
      <w:pPr>
        <w:widowControl w:val="0"/>
        <w:spacing w:after="0" w:line="480" w:lineRule="auto"/>
        <w:rPr>
          <w:rFonts w:ascii="Times New Roman" w:hAnsi="Times New Roman" w:cs="Times New Roman"/>
          <w:i/>
          <w:iCs/>
          <w:sz w:val="24"/>
          <w:szCs w:val="24"/>
        </w:rPr>
      </w:pPr>
      <w:r w:rsidRPr="00E73BB1">
        <w:rPr>
          <w:rFonts w:ascii="Times New Roman" w:hAnsi="Times New Roman" w:cs="Times New Roman"/>
          <w:b/>
          <w:i/>
          <w:iCs/>
          <w:sz w:val="24"/>
          <w:szCs w:val="24"/>
        </w:rPr>
        <w:t xml:space="preserve">4.2.2. </w:t>
      </w:r>
      <w:r w:rsidR="009B71D2" w:rsidRPr="00E73BB1">
        <w:rPr>
          <w:rFonts w:ascii="Times New Roman" w:hAnsi="Times New Roman" w:cs="Times New Roman"/>
          <w:b/>
          <w:i/>
          <w:iCs/>
          <w:sz w:val="24"/>
          <w:szCs w:val="24"/>
        </w:rPr>
        <w:t>Reliability</w:t>
      </w:r>
      <w:r w:rsidR="000A049B" w:rsidRPr="00E73BB1">
        <w:rPr>
          <w:rFonts w:ascii="Times New Roman" w:hAnsi="Times New Roman" w:cs="Times New Roman"/>
          <w:b/>
          <w:i/>
          <w:iCs/>
          <w:sz w:val="24"/>
          <w:szCs w:val="24"/>
        </w:rPr>
        <w:t xml:space="preserve"> and Descriptive Statistics</w:t>
      </w:r>
    </w:p>
    <w:p w14:paraId="7A8BC113" w14:textId="76EB1535" w:rsidR="009B71D2" w:rsidRPr="00E73BB1" w:rsidRDefault="000A049B" w:rsidP="009B71D2">
      <w:pPr>
        <w:widowControl w:val="0"/>
        <w:spacing w:after="0" w:line="480" w:lineRule="auto"/>
        <w:ind w:firstLine="720"/>
        <w:rPr>
          <w:rFonts w:ascii="Times New Roman" w:hAnsi="Times New Roman" w:cs="Times New Roman"/>
          <w:b/>
          <w:sz w:val="24"/>
          <w:szCs w:val="24"/>
        </w:rPr>
      </w:pPr>
      <w:r w:rsidRPr="00E73BB1">
        <w:rPr>
          <w:rFonts w:ascii="Times New Roman" w:hAnsi="Times New Roman" w:cs="Times New Roman"/>
          <w:sz w:val="24"/>
          <w:szCs w:val="24"/>
        </w:rPr>
        <w:t xml:space="preserve">Internal consistency estimates and mean scores, combined and by </w:t>
      </w:r>
      <w:r w:rsidR="003B35E3" w:rsidRPr="00E73BB1">
        <w:rPr>
          <w:rFonts w:ascii="Times New Roman" w:hAnsi="Times New Roman" w:cs="Times New Roman"/>
          <w:sz w:val="24"/>
          <w:szCs w:val="24"/>
        </w:rPr>
        <w:t>boys, girls and non-binary gender identities</w:t>
      </w:r>
      <w:r w:rsidRPr="00E73BB1">
        <w:rPr>
          <w:rFonts w:ascii="Times New Roman" w:hAnsi="Times New Roman" w:cs="Times New Roman"/>
          <w:sz w:val="24"/>
          <w:szCs w:val="24"/>
        </w:rPr>
        <w:t>, are reported in Table 1.</w:t>
      </w:r>
      <w:r w:rsidR="003B35E3" w:rsidRPr="00E73BB1">
        <w:rPr>
          <w:rFonts w:ascii="Times New Roman" w:hAnsi="Times New Roman" w:cs="Times New Roman"/>
          <w:sz w:val="24"/>
          <w:szCs w:val="24"/>
        </w:rPr>
        <w:t xml:space="preserve"> Due to low endorsement, we were again not able to </w:t>
      </w:r>
      <w:r w:rsidR="00A46230" w:rsidRPr="00E73BB1">
        <w:rPr>
          <w:rFonts w:ascii="Times New Roman" w:hAnsi="Times New Roman" w:cs="Times New Roman"/>
          <w:sz w:val="24"/>
          <w:szCs w:val="24"/>
        </w:rPr>
        <w:t>include</w:t>
      </w:r>
      <w:r w:rsidR="003B35E3" w:rsidRPr="00E73BB1">
        <w:rPr>
          <w:rFonts w:ascii="Times New Roman" w:hAnsi="Times New Roman" w:cs="Times New Roman"/>
          <w:sz w:val="24"/>
          <w:szCs w:val="24"/>
        </w:rPr>
        <w:t xml:space="preserve"> </w:t>
      </w:r>
      <w:r w:rsidR="00A46230" w:rsidRPr="00E73BB1">
        <w:rPr>
          <w:rFonts w:ascii="Times New Roman" w:hAnsi="Times New Roman" w:cs="Times New Roman"/>
          <w:sz w:val="24"/>
          <w:szCs w:val="24"/>
        </w:rPr>
        <w:t xml:space="preserve">non-binary participants in statistical analysis. </w:t>
      </w:r>
      <w:r w:rsidR="00B23223" w:rsidRPr="00E73BB1">
        <w:rPr>
          <w:rFonts w:ascii="Times New Roman" w:hAnsi="Times New Roman" w:cs="Times New Roman"/>
          <w:sz w:val="24"/>
          <w:szCs w:val="24"/>
        </w:rPr>
        <w:t>T</w:t>
      </w:r>
      <w:r w:rsidR="009B71D2" w:rsidRPr="00E73BB1">
        <w:rPr>
          <w:rFonts w:ascii="Times New Roman" w:hAnsi="Times New Roman" w:cs="Times New Roman"/>
          <w:sz w:val="24"/>
          <w:szCs w:val="24"/>
        </w:rPr>
        <w:t>he 9-item scale again reflected acceptable internal consistency based on Cronbach’s alpha. Item-total correlations were also in the acceptable range, with all greater than .4 (overall</w:t>
      </w:r>
      <w:r w:rsidR="00FE5807" w:rsidRPr="00E73BB1">
        <w:rPr>
          <w:rFonts w:ascii="Times New Roman" w:hAnsi="Times New Roman" w:cs="Times New Roman"/>
          <w:sz w:val="24"/>
          <w:szCs w:val="24"/>
        </w:rPr>
        <w:t xml:space="preserve"> </w:t>
      </w:r>
      <w:r w:rsidR="009B71D2" w:rsidRPr="00E73BB1">
        <w:rPr>
          <w:rFonts w:ascii="Times New Roman" w:hAnsi="Times New Roman" w:cs="Times New Roman"/>
          <w:sz w:val="24"/>
          <w:szCs w:val="24"/>
        </w:rPr>
        <w:t>= .</w:t>
      </w:r>
      <w:r w:rsidR="00B23223" w:rsidRPr="00E73BB1">
        <w:rPr>
          <w:rFonts w:ascii="Times New Roman" w:hAnsi="Times New Roman" w:cs="Times New Roman"/>
          <w:sz w:val="24"/>
          <w:szCs w:val="24"/>
        </w:rPr>
        <w:t>55</w:t>
      </w:r>
      <w:r w:rsidR="009B71D2" w:rsidRPr="00E73BB1">
        <w:rPr>
          <w:rFonts w:ascii="Times New Roman" w:hAnsi="Times New Roman" w:cs="Times New Roman"/>
          <w:sz w:val="24"/>
          <w:szCs w:val="24"/>
        </w:rPr>
        <w:t>-.</w:t>
      </w:r>
      <w:r w:rsidR="00B23223" w:rsidRPr="00E73BB1">
        <w:rPr>
          <w:rFonts w:ascii="Times New Roman" w:hAnsi="Times New Roman" w:cs="Times New Roman"/>
          <w:sz w:val="24"/>
          <w:szCs w:val="24"/>
        </w:rPr>
        <w:t>66</w:t>
      </w:r>
      <w:r w:rsidR="009B71D2" w:rsidRPr="00E73BB1">
        <w:rPr>
          <w:rFonts w:ascii="Times New Roman" w:hAnsi="Times New Roman" w:cs="Times New Roman"/>
          <w:sz w:val="24"/>
          <w:szCs w:val="24"/>
        </w:rPr>
        <w:t>; boys</w:t>
      </w:r>
      <w:r w:rsidR="00FE5807" w:rsidRPr="00E73BB1">
        <w:rPr>
          <w:rFonts w:ascii="Times New Roman" w:hAnsi="Times New Roman" w:cs="Times New Roman"/>
          <w:sz w:val="24"/>
          <w:szCs w:val="24"/>
        </w:rPr>
        <w:t xml:space="preserve"> </w:t>
      </w:r>
      <w:r w:rsidR="009B71D2" w:rsidRPr="00E73BB1">
        <w:rPr>
          <w:rFonts w:ascii="Times New Roman" w:hAnsi="Times New Roman" w:cs="Times New Roman"/>
          <w:sz w:val="24"/>
          <w:szCs w:val="24"/>
        </w:rPr>
        <w:t>= .</w:t>
      </w:r>
      <w:r w:rsidR="00B23223" w:rsidRPr="00E73BB1">
        <w:rPr>
          <w:rFonts w:ascii="Times New Roman" w:hAnsi="Times New Roman" w:cs="Times New Roman"/>
          <w:sz w:val="24"/>
          <w:szCs w:val="24"/>
        </w:rPr>
        <w:t>52-.67</w:t>
      </w:r>
      <w:r w:rsidR="009B71D2" w:rsidRPr="00E73BB1">
        <w:rPr>
          <w:rFonts w:ascii="Times New Roman" w:hAnsi="Times New Roman" w:cs="Times New Roman"/>
          <w:sz w:val="24"/>
          <w:szCs w:val="24"/>
        </w:rPr>
        <w:t>, girls</w:t>
      </w:r>
      <w:r w:rsidR="00FE5807" w:rsidRPr="00E73BB1">
        <w:rPr>
          <w:rFonts w:ascii="Times New Roman" w:hAnsi="Times New Roman" w:cs="Times New Roman"/>
          <w:sz w:val="24"/>
          <w:szCs w:val="24"/>
        </w:rPr>
        <w:t xml:space="preserve"> </w:t>
      </w:r>
      <w:r w:rsidR="009B71D2" w:rsidRPr="00E73BB1">
        <w:rPr>
          <w:rFonts w:ascii="Times New Roman" w:hAnsi="Times New Roman" w:cs="Times New Roman"/>
          <w:sz w:val="24"/>
          <w:szCs w:val="24"/>
        </w:rPr>
        <w:t>=</w:t>
      </w:r>
      <w:r w:rsidR="00FE5807" w:rsidRPr="00E73BB1">
        <w:rPr>
          <w:rFonts w:ascii="Times New Roman" w:hAnsi="Times New Roman" w:cs="Times New Roman"/>
          <w:sz w:val="24"/>
          <w:szCs w:val="24"/>
        </w:rPr>
        <w:t xml:space="preserve"> </w:t>
      </w:r>
      <w:r w:rsidR="009B71D2" w:rsidRPr="00E73BB1">
        <w:rPr>
          <w:rFonts w:ascii="Times New Roman" w:hAnsi="Times New Roman" w:cs="Times New Roman"/>
          <w:sz w:val="24"/>
          <w:szCs w:val="24"/>
        </w:rPr>
        <w:t>.</w:t>
      </w:r>
      <w:r w:rsidR="00B23223" w:rsidRPr="00E73BB1">
        <w:rPr>
          <w:rFonts w:ascii="Times New Roman" w:hAnsi="Times New Roman" w:cs="Times New Roman"/>
          <w:sz w:val="24"/>
          <w:szCs w:val="24"/>
        </w:rPr>
        <w:t>51-.64</w:t>
      </w:r>
      <w:r w:rsidR="009B71D2" w:rsidRPr="00E73BB1">
        <w:rPr>
          <w:rFonts w:ascii="Times New Roman" w:hAnsi="Times New Roman" w:cs="Times New Roman"/>
          <w:sz w:val="24"/>
          <w:szCs w:val="24"/>
        </w:rPr>
        <w:t xml:space="preserve">). </w:t>
      </w:r>
      <w:r w:rsidRPr="00E73BB1">
        <w:rPr>
          <w:rFonts w:ascii="Times New Roman" w:hAnsi="Times New Roman" w:cs="Times New Roman"/>
          <w:sz w:val="24"/>
          <w:szCs w:val="24"/>
        </w:rPr>
        <w:t>Consistent with Study 1 and 2, girls reported significantly higher scores than boys</w:t>
      </w:r>
      <w:r w:rsidR="00596349" w:rsidRPr="00E73BB1">
        <w:rPr>
          <w:rFonts w:ascii="Times New Roman" w:hAnsi="Times New Roman" w:cs="Times New Roman"/>
          <w:sz w:val="24"/>
          <w:szCs w:val="24"/>
        </w:rPr>
        <w:t xml:space="preserve"> (see Notes for Table 1)</w:t>
      </w:r>
      <w:r w:rsidRPr="00E73BB1">
        <w:rPr>
          <w:rFonts w:ascii="Times New Roman" w:hAnsi="Times New Roman" w:cs="Times New Roman"/>
          <w:sz w:val="24"/>
          <w:szCs w:val="24"/>
        </w:rPr>
        <w:t>.</w:t>
      </w:r>
      <w:r w:rsidR="003B35E3" w:rsidRPr="00E73BB1">
        <w:rPr>
          <w:rFonts w:ascii="Times New Roman" w:hAnsi="Times New Roman" w:cs="Times New Roman"/>
          <w:sz w:val="24"/>
          <w:szCs w:val="24"/>
        </w:rPr>
        <w:t xml:space="preserve"> </w:t>
      </w:r>
    </w:p>
    <w:p w14:paraId="7260CCCF" w14:textId="48B45402" w:rsidR="004474C5" w:rsidRPr="002D64AF" w:rsidRDefault="00E761E1" w:rsidP="002D64AF">
      <w:pPr>
        <w:pStyle w:val="ListParagraph"/>
        <w:widowControl w:val="0"/>
        <w:numPr>
          <w:ilvl w:val="0"/>
          <w:numId w:val="10"/>
        </w:numPr>
        <w:spacing w:after="0" w:line="480" w:lineRule="auto"/>
        <w:jc w:val="center"/>
        <w:rPr>
          <w:rFonts w:ascii="Times New Roman" w:hAnsi="Times New Roman" w:cs="Times New Roman"/>
          <w:b/>
          <w:sz w:val="24"/>
          <w:szCs w:val="24"/>
        </w:rPr>
      </w:pPr>
      <w:r w:rsidRPr="002D64AF">
        <w:rPr>
          <w:rFonts w:ascii="Times New Roman" w:hAnsi="Times New Roman" w:cs="Times New Roman"/>
          <w:b/>
          <w:sz w:val="24"/>
          <w:szCs w:val="24"/>
        </w:rPr>
        <w:t>Study 4</w:t>
      </w:r>
      <w:r w:rsidR="00666A49" w:rsidRPr="002D64AF">
        <w:rPr>
          <w:rFonts w:ascii="Times New Roman" w:hAnsi="Times New Roman" w:cs="Times New Roman"/>
          <w:b/>
          <w:sz w:val="24"/>
          <w:szCs w:val="24"/>
        </w:rPr>
        <w:t xml:space="preserve">: </w:t>
      </w:r>
      <w:r w:rsidR="00B649EA" w:rsidRPr="002D64AF">
        <w:rPr>
          <w:rFonts w:ascii="Times New Roman" w:hAnsi="Times New Roman" w:cs="Times New Roman"/>
          <w:b/>
          <w:sz w:val="24"/>
          <w:szCs w:val="24"/>
        </w:rPr>
        <w:t xml:space="preserve">Construct </w:t>
      </w:r>
      <w:r w:rsidR="00FB65B7" w:rsidRPr="002D64AF">
        <w:rPr>
          <w:rFonts w:ascii="Times New Roman" w:hAnsi="Times New Roman" w:cs="Times New Roman"/>
          <w:b/>
          <w:sz w:val="24"/>
          <w:szCs w:val="24"/>
        </w:rPr>
        <w:t>V</w:t>
      </w:r>
      <w:r w:rsidR="00666A49" w:rsidRPr="002D64AF">
        <w:rPr>
          <w:rFonts w:ascii="Times New Roman" w:hAnsi="Times New Roman" w:cs="Times New Roman"/>
          <w:b/>
          <w:sz w:val="24"/>
          <w:szCs w:val="24"/>
        </w:rPr>
        <w:t>alidity</w:t>
      </w:r>
    </w:p>
    <w:p w14:paraId="2313476E" w14:textId="63BA2967" w:rsidR="00D3043A" w:rsidRPr="00E73BB1" w:rsidRDefault="004474C5" w:rsidP="004474C5">
      <w:pPr>
        <w:widowControl w:val="0"/>
        <w:spacing w:after="0" w:line="480" w:lineRule="auto"/>
        <w:rPr>
          <w:rFonts w:ascii="Times New Roman" w:hAnsi="Times New Roman" w:cs="Times New Roman"/>
          <w:sz w:val="24"/>
          <w:szCs w:val="24"/>
        </w:rPr>
      </w:pPr>
      <w:r w:rsidRPr="00E73BB1">
        <w:rPr>
          <w:rFonts w:ascii="Times New Roman" w:hAnsi="Times New Roman" w:cs="Times New Roman"/>
          <w:sz w:val="24"/>
          <w:szCs w:val="24"/>
        </w:rPr>
        <w:tab/>
        <w:t xml:space="preserve">The aim of Study </w:t>
      </w:r>
      <w:r w:rsidR="00C947D4" w:rsidRPr="00E73BB1">
        <w:rPr>
          <w:rFonts w:ascii="Times New Roman" w:hAnsi="Times New Roman" w:cs="Times New Roman"/>
          <w:sz w:val="24"/>
          <w:szCs w:val="24"/>
        </w:rPr>
        <w:t xml:space="preserve">4 </w:t>
      </w:r>
      <w:r w:rsidRPr="00E73BB1">
        <w:rPr>
          <w:rFonts w:ascii="Times New Roman" w:hAnsi="Times New Roman" w:cs="Times New Roman"/>
          <w:sz w:val="24"/>
          <w:szCs w:val="24"/>
        </w:rPr>
        <w:t xml:space="preserve">was to </w:t>
      </w:r>
      <w:r w:rsidR="00450CDC" w:rsidRPr="00E73BB1">
        <w:rPr>
          <w:rFonts w:ascii="Times New Roman" w:hAnsi="Times New Roman" w:cs="Times New Roman"/>
          <w:sz w:val="24"/>
          <w:szCs w:val="24"/>
        </w:rPr>
        <w:t xml:space="preserve">provide further evidence of reliability and additionally </w:t>
      </w:r>
      <w:r w:rsidR="00B649EA" w:rsidRPr="00E73BB1">
        <w:rPr>
          <w:rFonts w:ascii="Times New Roman" w:hAnsi="Times New Roman" w:cs="Times New Roman"/>
          <w:sz w:val="24"/>
          <w:szCs w:val="24"/>
        </w:rPr>
        <w:t>examine</w:t>
      </w:r>
      <w:r w:rsidR="00413CAF" w:rsidRPr="00E73BB1">
        <w:rPr>
          <w:rFonts w:ascii="Times New Roman" w:hAnsi="Times New Roman" w:cs="Times New Roman"/>
          <w:sz w:val="24"/>
          <w:szCs w:val="24"/>
        </w:rPr>
        <w:t xml:space="preserve"> construct</w:t>
      </w:r>
      <w:r w:rsidRPr="00E73BB1">
        <w:rPr>
          <w:rFonts w:ascii="Times New Roman" w:hAnsi="Times New Roman" w:cs="Times New Roman"/>
          <w:sz w:val="24"/>
          <w:szCs w:val="24"/>
        </w:rPr>
        <w:t xml:space="preserve"> </w:t>
      </w:r>
      <w:r w:rsidR="00B649EA" w:rsidRPr="00E73BB1">
        <w:rPr>
          <w:rFonts w:ascii="Times New Roman" w:hAnsi="Times New Roman" w:cs="Times New Roman"/>
          <w:sz w:val="24"/>
          <w:szCs w:val="24"/>
        </w:rPr>
        <w:t>(convergent and incremental</w:t>
      </w:r>
      <w:r w:rsidR="00505EDE" w:rsidRPr="00E73BB1">
        <w:rPr>
          <w:rFonts w:ascii="Times New Roman" w:hAnsi="Times New Roman" w:cs="Times New Roman"/>
          <w:sz w:val="24"/>
          <w:szCs w:val="24"/>
        </w:rPr>
        <w:t>)</w:t>
      </w:r>
      <w:r w:rsidR="00B649EA" w:rsidRPr="00E73BB1">
        <w:rPr>
          <w:rFonts w:ascii="Times New Roman" w:hAnsi="Times New Roman" w:cs="Times New Roman"/>
          <w:sz w:val="24"/>
          <w:szCs w:val="24"/>
        </w:rPr>
        <w:t xml:space="preserve"> validity</w:t>
      </w:r>
      <w:r w:rsidR="00666A49" w:rsidRPr="00E73BB1">
        <w:rPr>
          <w:rFonts w:ascii="Times New Roman" w:hAnsi="Times New Roman" w:cs="Times New Roman"/>
          <w:sz w:val="24"/>
          <w:szCs w:val="24"/>
        </w:rPr>
        <w:t xml:space="preserve"> in a </w:t>
      </w:r>
      <w:r w:rsidR="00505EDE" w:rsidRPr="00E73BB1">
        <w:rPr>
          <w:rFonts w:ascii="Times New Roman" w:hAnsi="Times New Roman" w:cs="Times New Roman"/>
          <w:sz w:val="24"/>
          <w:szCs w:val="24"/>
        </w:rPr>
        <w:t>fourth</w:t>
      </w:r>
      <w:r w:rsidR="00666A49" w:rsidRPr="00E73BB1">
        <w:rPr>
          <w:rFonts w:ascii="Times New Roman" w:hAnsi="Times New Roman" w:cs="Times New Roman"/>
          <w:sz w:val="24"/>
          <w:szCs w:val="24"/>
        </w:rPr>
        <w:t xml:space="preserve"> sample of adolescent</w:t>
      </w:r>
      <w:r w:rsidR="000A049B" w:rsidRPr="00E73BB1">
        <w:rPr>
          <w:rFonts w:ascii="Times New Roman" w:hAnsi="Times New Roman" w:cs="Times New Roman"/>
          <w:sz w:val="24"/>
          <w:szCs w:val="24"/>
        </w:rPr>
        <w:t>s</w:t>
      </w:r>
      <w:r w:rsidR="00D90AC2" w:rsidRPr="00E73BB1">
        <w:rPr>
          <w:rFonts w:ascii="Times New Roman" w:hAnsi="Times New Roman" w:cs="Times New Roman"/>
          <w:sz w:val="24"/>
          <w:szCs w:val="24"/>
        </w:rPr>
        <w:t xml:space="preserve">. </w:t>
      </w:r>
      <w:r w:rsidR="00C05D36" w:rsidRPr="00E73BB1">
        <w:rPr>
          <w:rFonts w:ascii="Times New Roman" w:hAnsi="Times New Roman" w:cs="Times New Roman"/>
          <w:sz w:val="24"/>
          <w:szCs w:val="24"/>
        </w:rPr>
        <w:lastRenderedPageBreak/>
        <w:t xml:space="preserve">With respect to establishing convergent validity, </w:t>
      </w:r>
      <w:r w:rsidR="007A1990" w:rsidRPr="00E73BB1">
        <w:rPr>
          <w:rFonts w:ascii="Times New Roman" w:hAnsi="Times New Roman" w:cs="Times New Roman"/>
          <w:sz w:val="24"/>
          <w:szCs w:val="24"/>
        </w:rPr>
        <w:t xml:space="preserve">we examined the </w:t>
      </w:r>
      <w:r w:rsidR="000A049B" w:rsidRPr="00E73BB1">
        <w:rPr>
          <w:rFonts w:ascii="Times New Roman" w:hAnsi="Times New Roman" w:cs="Times New Roman"/>
          <w:sz w:val="24"/>
          <w:szCs w:val="24"/>
        </w:rPr>
        <w:t xml:space="preserve">association </w:t>
      </w:r>
      <w:r w:rsidR="007A1990" w:rsidRPr="00E73BB1">
        <w:rPr>
          <w:rFonts w:ascii="Times New Roman" w:hAnsi="Times New Roman" w:cs="Times New Roman"/>
          <w:sz w:val="24"/>
          <w:szCs w:val="24"/>
        </w:rPr>
        <w:t xml:space="preserve">between the </w:t>
      </w:r>
      <w:r w:rsidR="00CE3226" w:rsidRPr="00E73BB1">
        <w:rPr>
          <w:rFonts w:ascii="Times New Roman" w:hAnsi="Times New Roman" w:cs="Times New Roman"/>
          <w:sz w:val="24"/>
          <w:szCs w:val="24"/>
        </w:rPr>
        <w:t>BILD-Q</w:t>
      </w:r>
      <w:r w:rsidR="007A1990" w:rsidRPr="00E73BB1">
        <w:rPr>
          <w:rFonts w:ascii="Times New Roman" w:hAnsi="Times New Roman" w:cs="Times New Roman"/>
          <w:sz w:val="24"/>
          <w:szCs w:val="24"/>
        </w:rPr>
        <w:t xml:space="preserve"> and </w:t>
      </w:r>
      <w:r w:rsidR="00BA31A7" w:rsidRPr="00E73BB1">
        <w:rPr>
          <w:rFonts w:ascii="Times New Roman" w:hAnsi="Times New Roman" w:cs="Times New Roman"/>
          <w:sz w:val="24"/>
          <w:szCs w:val="24"/>
        </w:rPr>
        <w:t xml:space="preserve">constructs relevant to </w:t>
      </w:r>
      <w:r w:rsidR="00C947D4" w:rsidRPr="00E73BB1">
        <w:rPr>
          <w:rFonts w:ascii="Times New Roman" w:hAnsi="Times New Roman" w:cs="Times New Roman"/>
          <w:sz w:val="24"/>
          <w:szCs w:val="24"/>
        </w:rPr>
        <w:t>body image</w:t>
      </w:r>
      <w:r w:rsidR="007A1990" w:rsidRPr="00E73BB1">
        <w:rPr>
          <w:rFonts w:ascii="Times New Roman" w:hAnsi="Times New Roman" w:cs="Times New Roman"/>
          <w:sz w:val="24"/>
          <w:szCs w:val="24"/>
        </w:rPr>
        <w:t xml:space="preserve">. </w:t>
      </w:r>
      <w:r w:rsidR="000A049B" w:rsidRPr="00E73BB1">
        <w:rPr>
          <w:rFonts w:ascii="Times New Roman" w:hAnsi="Times New Roman" w:cs="Times New Roman"/>
          <w:sz w:val="24"/>
          <w:szCs w:val="24"/>
        </w:rPr>
        <w:t>W</w:t>
      </w:r>
      <w:r w:rsidR="00D90AC2" w:rsidRPr="00E73BB1">
        <w:rPr>
          <w:rFonts w:ascii="Times New Roman" w:hAnsi="Times New Roman" w:cs="Times New Roman"/>
          <w:sz w:val="24"/>
          <w:szCs w:val="24"/>
        </w:rPr>
        <w:t xml:space="preserve">e expected that </w:t>
      </w:r>
      <w:r w:rsidR="002243B2" w:rsidRPr="00E73BB1">
        <w:rPr>
          <w:rFonts w:ascii="Times New Roman" w:hAnsi="Times New Roman" w:cs="Times New Roman"/>
          <w:sz w:val="24"/>
          <w:szCs w:val="24"/>
        </w:rPr>
        <w:t xml:space="preserve">the </w:t>
      </w:r>
      <w:r w:rsidR="00CE3226" w:rsidRPr="00E73BB1">
        <w:rPr>
          <w:rFonts w:ascii="Times New Roman" w:hAnsi="Times New Roman" w:cs="Times New Roman"/>
          <w:sz w:val="24"/>
          <w:szCs w:val="24"/>
        </w:rPr>
        <w:t>BILD-Q</w:t>
      </w:r>
      <w:r w:rsidR="002243B2" w:rsidRPr="00E73BB1">
        <w:rPr>
          <w:rFonts w:ascii="Times New Roman" w:hAnsi="Times New Roman" w:cs="Times New Roman"/>
          <w:sz w:val="24"/>
          <w:szCs w:val="24"/>
        </w:rPr>
        <w:t xml:space="preserve"> would be</w:t>
      </w:r>
      <w:r w:rsidR="001E300F" w:rsidRPr="00E73BB1">
        <w:rPr>
          <w:rFonts w:ascii="Times New Roman" w:hAnsi="Times New Roman" w:cs="Times New Roman"/>
          <w:sz w:val="24"/>
          <w:szCs w:val="24"/>
        </w:rPr>
        <w:t xml:space="preserve"> negatively correlated with </w:t>
      </w:r>
      <w:r w:rsidR="00B649EA" w:rsidRPr="00E73BB1">
        <w:rPr>
          <w:rFonts w:ascii="Times New Roman" w:hAnsi="Times New Roman" w:cs="Times New Roman"/>
          <w:sz w:val="24"/>
          <w:szCs w:val="24"/>
        </w:rPr>
        <w:t>body image</w:t>
      </w:r>
      <w:r w:rsidR="00081CF1" w:rsidRPr="00E73BB1">
        <w:rPr>
          <w:rFonts w:ascii="Times New Roman" w:hAnsi="Times New Roman" w:cs="Times New Roman"/>
          <w:sz w:val="24"/>
          <w:szCs w:val="24"/>
        </w:rPr>
        <w:t xml:space="preserve"> measures framed in a positive direction</w:t>
      </w:r>
      <w:r w:rsidR="00B649EA" w:rsidRPr="00E73BB1">
        <w:rPr>
          <w:rFonts w:ascii="Times New Roman" w:hAnsi="Times New Roman" w:cs="Times New Roman"/>
          <w:sz w:val="24"/>
          <w:szCs w:val="24"/>
        </w:rPr>
        <w:t xml:space="preserve"> (</w:t>
      </w:r>
      <w:r w:rsidR="001E300F" w:rsidRPr="00E73BB1">
        <w:rPr>
          <w:rFonts w:ascii="Times New Roman" w:hAnsi="Times New Roman" w:cs="Times New Roman"/>
          <w:sz w:val="24"/>
          <w:szCs w:val="24"/>
        </w:rPr>
        <w:t>body esteem</w:t>
      </w:r>
      <w:r w:rsidR="00B649EA" w:rsidRPr="00E73BB1">
        <w:rPr>
          <w:rFonts w:ascii="Times New Roman" w:hAnsi="Times New Roman" w:cs="Times New Roman"/>
          <w:sz w:val="24"/>
          <w:szCs w:val="24"/>
        </w:rPr>
        <w:t>, body satisfaction)</w:t>
      </w:r>
      <w:r w:rsidR="00C05D36" w:rsidRPr="00E73BB1">
        <w:rPr>
          <w:rFonts w:ascii="Times New Roman" w:hAnsi="Times New Roman" w:cs="Times New Roman"/>
          <w:sz w:val="24"/>
          <w:szCs w:val="24"/>
        </w:rPr>
        <w:t>, and</w:t>
      </w:r>
      <w:r w:rsidR="002243B2" w:rsidRPr="00E73BB1">
        <w:rPr>
          <w:rFonts w:ascii="Times New Roman" w:hAnsi="Times New Roman" w:cs="Times New Roman"/>
          <w:sz w:val="24"/>
          <w:szCs w:val="24"/>
        </w:rPr>
        <w:t xml:space="preserve"> positively </w:t>
      </w:r>
      <w:r w:rsidR="00C05D36" w:rsidRPr="00E73BB1">
        <w:rPr>
          <w:rFonts w:ascii="Times New Roman" w:hAnsi="Times New Roman" w:cs="Times New Roman"/>
          <w:sz w:val="24"/>
          <w:szCs w:val="24"/>
        </w:rPr>
        <w:t>correlated with</w:t>
      </w:r>
      <w:r w:rsidR="001E300F" w:rsidRPr="00E73BB1">
        <w:rPr>
          <w:rFonts w:ascii="Times New Roman" w:hAnsi="Times New Roman" w:cs="Times New Roman"/>
          <w:sz w:val="24"/>
          <w:szCs w:val="24"/>
        </w:rPr>
        <w:t xml:space="preserve"> a key</w:t>
      </w:r>
      <w:r w:rsidR="002243B2" w:rsidRPr="00E73BB1">
        <w:rPr>
          <w:rFonts w:ascii="Times New Roman" w:hAnsi="Times New Roman" w:cs="Times New Roman"/>
          <w:sz w:val="24"/>
          <w:szCs w:val="24"/>
        </w:rPr>
        <w:t xml:space="preserve"> </w:t>
      </w:r>
      <w:r w:rsidR="001573C5" w:rsidRPr="00E73BB1">
        <w:rPr>
          <w:rFonts w:ascii="Times New Roman" w:hAnsi="Times New Roman" w:cs="Times New Roman"/>
          <w:sz w:val="24"/>
          <w:szCs w:val="24"/>
        </w:rPr>
        <w:t xml:space="preserve">negative </w:t>
      </w:r>
      <w:r w:rsidR="001E300F" w:rsidRPr="00E73BB1">
        <w:rPr>
          <w:rFonts w:ascii="Times New Roman" w:hAnsi="Times New Roman" w:cs="Times New Roman"/>
          <w:sz w:val="24"/>
          <w:szCs w:val="24"/>
        </w:rPr>
        <w:t>risk factor for body image (internalisation of appearance ideals).</w:t>
      </w:r>
      <w:r w:rsidR="007A1990" w:rsidRPr="00E73BB1">
        <w:rPr>
          <w:rFonts w:ascii="Times New Roman" w:hAnsi="Times New Roman" w:cs="Times New Roman"/>
          <w:sz w:val="24"/>
          <w:szCs w:val="24"/>
        </w:rPr>
        <w:t xml:space="preserve"> We also predicted a moderate positive correlation with </w:t>
      </w:r>
      <w:r w:rsidR="00081CF1" w:rsidRPr="00E73BB1">
        <w:rPr>
          <w:rFonts w:ascii="Times New Roman" w:hAnsi="Times New Roman" w:cs="Times New Roman"/>
          <w:sz w:val="24"/>
          <w:szCs w:val="24"/>
        </w:rPr>
        <w:t>the Clinical Impairment Assessment (CIA) as a measure of</w:t>
      </w:r>
      <w:r w:rsidR="007A1990" w:rsidRPr="00E73BB1">
        <w:rPr>
          <w:rFonts w:ascii="Times New Roman" w:hAnsi="Times New Roman" w:cs="Times New Roman"/>
          <w:sz w:val="24"/>
          <w:szCs w:val="24"/>
        </w:rPr>
        <w:t xml:space="preserve"> psychosocial impairment</w:t>
      </w:r>
      <w:r w:rsidR="00D3043A" w:rsidRPr="00E73BB1">
        <w:rPr>
          <w:rFonts w:ascii="Times New Roman" w:hAnsi="Times New Roman" w:cs="Times New Roman"/>
          <w:sz w:val="24"/>
          <w:szCs w:val="24"/>
        </w:rPr>
        <w:t xml:space="preserve"> due to</w:t>
      </w:r>
      <w:r w:rsidR="007A1990" w:rsidRPr="00E73BB1">
        <w:rPr>
          <w:rFonts w:ascii="Times New Roman" w:hAnsi="Times New Roman" w:cs="Times New Roman"/>
          <w:sz w:val="24"/>
          <w:szCs w:val="24"/>
        </w:rPr>
        <w:t xml:space="preserve"> eating disorder features</w:t>
      </w:r>
      <w:r w:rsidR="00081CF1" w:rsidRPr="00E73BB1">
        <w:rPr>
          <w:rFonts w:ascii="Times New Roman" w:hAnsi="Times New Roman" w:cs="Times New Roman"/>
          <w:sz w:val="24"/>
          <w:szCs w:val="24"/>
        </w:rPr>
        <w:t xml:space="preserve">, including </w:t>
      </w:r>
      <w:r w:rsidR="007A1990" w:rsidRPr="00E73BB1">
        <w:rPr>
          <w:rFonts w:ascii="Times New Roman" w:hAnsi="Times New Roman" w:cs="Times New Roman"/>
          <w:sz w:val="24"/>
          <w:szCs w:val="24"/>
        </w:rPr>
        <w:t>feelings about weight and shape</w:t>
      </w:r>
      <w:r w:rsidR="00081CF1" w:rsidRPr="00E73BB1">
        <w:rPr>
          <w:rFonts w:ascii="Times New Roman" w:hAnsi="Times New Roman" w:cs="Times New Roman"/>
          <w:sz w:val="24"/>
          <w:szCs w:val="24"/>
        </w:rPr>
        <w:t xml:space="preserve"> as well as eating and exercise</w:t>
      </w:r>
      <w:r w:rsidR="00D3043A" w:rsidRPr="00E73BB1">
        <w:rPr>
          <w:rFonts w:ascii="Times New Roman" w:hAnsi="Times New Roman" w:cs="Times New Roman"/>
          <w:sz w:val="24"/>
          <w:szCs w:val="24"/>
        </w:rPr>
        <w:t>. Finally, w</w:t>
      </w:r>
      <w:r w:rsidR="001E300F" w:rsidRPr="00E73BB1">
        <w:rPr>
          <w:rFonts w:ascii="Times New Roman" w:hAnsi="Times New Roman" w:cs="Times New Roman"/>
          <w:sz w:val="24"/>
          <w:szCs w:val="24"/>
        </w:rPr>
        <w:t>e</w:t>
      </w:r>
      <w:r w:rsidR="006E2B52" w:rsidRPr="00E73BB1">
        <w:rPr>
          <w:rFonts w:ascii="Times New Roman" w:hAnsi="Times New Roman" w:cs="Times New Roman"/>
          <w:sz w:val="24"/>
          <w:szCs w:val="24"/>
        </w:rPr>
        <w:t xml:space="preserve"> also</w:t>
      </w:r>
      <w:r w:rsidR="001E300F" w:rsidRPr="00E73BB1">
        <w:rPr>
          <w:rFonts w:ascii="Times New Roman" w:hAnsi="Times New Roman" w:cs="Times New Roman"/>
          <w:sz w:val="24"/>
          <w:szCs w:val="24"/>
        </w:rPr>
        <w:t xml:space="preserve"> predicted that the </w:t>
      </w:r>
      <w:r w:rsidR="00CE3226" w:rsidRPr="00E73BB1">
        <w:rPr>
          <w:rFonts w:ascii="Times New Roman" w:hAnsi="Times New Roman" w:cs="Times New Roman"/>
          <w:sz w:val="24"/>
          <w:szCs w:val="24"/>
        </w:rPr>
        <w:t>BILD-Q</w:t>
      </w:r>
      <w:r w:rsidR="001E300F" w:rsidRPr="00E73BB1">
        <w:rPr>
          <w:rFonts w:ascii="Times New Roman" w:hAnsi="Times New Roman" w:cs="Times New Roman"/>
          <w:sz w:val="24"/>
          <w:szCs w:val="24"/>
        </w:rPr>
        <w:t xml:space="preserve"> would be related to</w:t>
      </w:r>
      <w:r w:rsidR="006E2B52" w:rsidRPr="00E73BB1">
        <w:rPr>
          <w:rFonts w:ascii="Times New Roman" w:hAnsi="Times New Roman" w:cs="Times New Roman"/>
          <w:sz w:val="24"/>
          <w:szCs w:val="24"/>
        </w:rPr>
        <w:t xml:space="preserve"> broader outcomes of well-being;</w:t>
      </w:r>
      <w:r w:rsidR="001E300F" w:rsidRPr="00E73BB1">
        <w:rPr>
          <w:rFonts w:ascii="Times New Roman" w:hAnsi="Times New Roman" w:cs="Times New Roman"/>
          <w:sz w:val="24"/>
          <w:szCs w:val="24"/>
        </w:rPr>
        <w:t xml:space="preserve"> specifically, that it would be negatively</w:t>
      </w:r>
      <w:r w:rsidR="00154B74" w:rsidRPr="00E73BB1">
        <w:rPr>
          <w:rFonts w:ascii="Times New Roman" w:hAnsi="Times New Roman" w:cs="Times New Roman"/>
          <w:sz w:val="24"/>
          <w:szCs w:val="24"/>
        </w:rPr>
        <w:t xml:space="preserve"> </w:t>
      </w:r>
      <w:r w:rsidR="001E300F" w:rsidRPr="00E73BB1">
        <w:rPr>
          <w:rFonts w:ascii="Times New Roman" w:hAnsi="Times New Roman" w:cs="Times New Roman"/>
          <w:sz w:val="24"/>
          <w:szCs w:val="24"/>
        </w:rPr>
        <w:t xml:space="preserve">correlated with overall </w:t>
      </w:r>
      <w:r w:rsidR="00B649EA" w:rsidRPr="00E73BB1">
        <w:rPr>
          <w:rFonts w:ascii="Times New Roman" w:hAnsi="Times New Roman" w:cs="Times New Roman"/>
          <w:sz w:val="24"/>
          <w:szCs w:val="24"/>
        </w:rPr>
        <w:t xml:space="preserve">mental </w:t>
      </w:r>
      <w:r w:rsidR="001E300F" w:rsidRPr="00E73BB1">
        <w:rPr>
          <w:rFonts w:ascii="Times New Roman" w:hAnsi="Times New Roman" w:cs="Times New Roman"/>
          <w:sz w:val="24"/>
          <w:szCs w:val="24"/>
        </w:rPr>
        <w:t xml:space="preserve">well-being and positive </w:t>
      </w:r>
      <w:r w:rsidR="00B649EA" w:rsidRPr="00E73BB1">
        <w:rPr>
          <w:rFonts w:ascii="Times New Roman" w:hAnsi="Times New Roman" w:cs="Times New Roman"/>
          <w:sz w:val="24"/>
          <w:szCs w:val="24"/>
        </w:rPr>
        <w:t>affect</w:t>
      </w:r>
      <w:r w:rsidR="001E300F" w:rsidRPr="00E73BB1">
        <w:rPr>
          <w:rFonts w:ascii="Times New Roman" w:hAnsi="Times New Roman" w:cs="Times New Roman"/>
          <w:sz w:val="24"/>
          <w:szCs w:val="24"/>
        </w:rPr>
        <w:t xml:space="preserve">, and </w:t>
      </w:r>
      <w:r w:rsidR="006E2B52" w:rsidRPr="00E73BB1">
        <w:rPr>
          <w:rFonts w:ascii="Times New Roman" w:hAnsi="Times New Roman" w:cs="Times New Roman"/>
          <w:sz w:val="24"/>
          <w:szCs w:val="24"/>
        </w:rPr>
        <w:t>positively</w:t>
      </w:r>
      <w:r w:rsidR="001E300F" w:rsidRPr="00E73BB1">
        <w:rPr>
          <w:rFonts w:ascii="Times New Roman" w:hAnsi="Times New Roman" w:cs="Times New Roman"/>
          <w:sz w:val="24"/>
          <w:szCs w:val="24"/>
        </w:rPr>
        <w:t xml:space="preserve"> correlated with </w:t>
      </w:r>
      <w:r w:rsidR="006E2B52" w:rsidRPr="00E73BB1">
        <w:rPr>
          <w:rFonts w:ascii="Times New Roman" w:hAnsi="Times New Roman" w:cs="Times New Roman"/>
          <w:sz w:val="24"/>
          <w:szCs w:val="24"/>
        </w:rPr>
        <w:t xml:space="preserve">negative </w:t>
      </w:r>
      <w:r w:rsidR="00B649EA" w:rsidRPr="00E73BB1">
        <w:rPr>
          <w:rFonts w:ascii="Times New Roman" w:hAnsi="Times New Roman" w:cs="Times New Roman"/>
          <w:sz w:val="24"/>
          <w:szCs w:val="24"/>
        </w:rPr>
        <w:t>affect</w:t>
      </w:r>
      <w:r w:rsidR="002243B2" w:rsidRPr="00E73BB1">
        <w:rPr>
          <w:rFonts w:ascii="Times New Roman" w:hAnsi="Times New Roman" w:cs="Times New Roman"/>
          <w:sz w:val="24"/>
          <w:szCs w:val="24"/>
        </w:rPr>
        <w:t xml:space="preserve">. </w:t>
      </w:r>
    </w:p>
    <w:p w14:paraId="0CCECA37" w14:textId="65A6191A" w:rsidR="004474C5" w:rsidRPr="00E73BB1" w:rsidRDefault="006E2B52" w:rsidP="00D3043A">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 xml:space="preserve">With respect to examining incremental validity, we </w:t>
      </w:r>
      <w:r w:rsidR="00B649EA" w:rsidRPr="00E73BB1">
        <w:rPr>
          <w:rFonts w:ascii="Times New Roman" w:hAnsi="Times New Roman" w:cs="Times New Roman"/>
          <w:sz w:val="24"/>
          <w:szCs w:val="24"/>
        </w:rPr>
        <w:t xml:space="preserve">aimed to assess whether the </w:t>
      </w:r>
      <w:r w:rsidR="00CE3226" w:rsidRPr="00E73BB1">
        <w:rPr>
          <w:rFonts w:ascii="Times New Roman" w:hAnsi="Times New Roman" w:cs="Times New Roman"/>
          <w:sz w:val="24"/>
          <w:szCs w:val="24"/>
        </w:rPr>
        <w:t>BILD-Q</w:t>
      </w:r>
      <w:r w:rsidR="002D5897" w:rsidRPr="00E73BB1">
        <w:rPr>
          <w:rFonts w:ascii="Times New Roman" w:hAnsi="Times New Roman" w:cs="Times New Roman"/>
          <w:sz w:val="24"/>
          <w:szCs w:val="24"/>
        </w:rPr>
        <w:t xml:space="preserve"> </w:t>
      </w:r>
      <w:r w:rsidR="007A1990" w:rsidRPr="00E73BB1">
        <w:rPr>
          <w:rFonts w:ascii="Times New Roman" w:hAnsi="Times New Roman" w:cs="Times New Roman"/>
          <w:sz w:val="24"/>
          <w:szCs w:val="24"/>
        </w:rPr>
        <w:t>offered</w:t>
      </w:r>
      <w:r w:rsidR="00B649EA" w:rsidRPr="00E73BB1">
        <w:rPr>
          <w:rFonts w:ascii="Times New Roman" w:hAnsi="Times New Roman" w:cs="Times New Roman"/>
          <w:sz w:val="24"/>
          <w:szCs w:val="24"/>
        </w:rPr>
        <w:t xml:space="preserve"> additional information beyond assessing body image</w:t>
      </w:r>
      <w:r w:rsidR="00081CF1" w:rsidRPr="00E73BB1">
        <w:rPr>
          <w:rFonts w:ascii="Times New Roman" w:hAnsi="Times New Roman" w:cs="Times New Roman"/>
          <w:sz w:val="24"/>
          <w:szCs w:val="24"/>
        </w:rPr>
        <w:t xml:space="preserve"> evaluation itself</w:t>
      </w:r>
      <w:r w:rsidR="00B649EA" w:rsidRPr="00E73BB1">
        <w:rPr>
          <w:rFonts w:ascii="Times New Roman" w:hAnsi="Times New Roman" w:cs="Times New Roman"/>
          <w:sz w:val="24"/>
          <w:szCs w:val="24"/>
        </w:rPr>
        <w:t xml:space="preserve">, and also whether it was distinct from </w:t>
      </w:r>
      <w:r w:rsidR="00923001" w:rsidRPr="00E73BB1">
        <w:rPr>
          <w:rFonts w:ascii="Times New Roman" w:hAnsi="Times New Roman" w:cs="Times New Roman"/>
          <w:sz w:val="24"/>
          <w:szCs w:val="24"/>
        </w:rPr>
        <w:t xml:space="preserve">the CIA as </w:t>
      </w:r>
      <w:r w:rsidR="00B649EA" w:rsidRPr="00E73BB1">
        <w:rPr>
          <w:rFonts w:ascii="Times New Roman" w:hAnsi="Times New Roman" w:cs="Times New Roman"/>
          <w:sz w:val="24"/>
          <w:szCs w:val="24"/>
        </w:rPr>
        <w:t>an existing and established measure of</w:t>
      </w:r>
      <w:r w:rsidRPr="00E73BB1">
        <w:rPr>
          <w:rFonts w:ascii="Times New Roman" w:hAnsi="Times New Roman" w:cs="Times New Roman"/>
          <w:sz w:val="24"/>
          <w:szCs w:val="24"/>
        </w:rPr>
        <w:t xml:space="preserve"> </w:t>
      </w:r>
      <w:r w:rsidR="00B649EA" w:rsidRPr="00E73BB1">
        <w:rPr>
          <w:rFonts w:ascii="Times New Roman" w:hAnsi="Times New Roman" w:cs="Times New Roman"/>
          <w:sz w:val="24"/>
          <w:szCs w:val="24"/>
        </w:rPr>
        <w:t>psychosocial</w:t>
      </w:r>
      <w:r w:rsidRPr="00E73BB1">
        <w:rPr>
          <w:rFonts w:ascii="Times New Roman" w:hAnsi="Times New Roman" w:cs="Times New Roman"/>
          <w:sz w:val="24"/>
          <w:szCs w:val="24"/>
        </w:rPr>
        <w:t xml:space="preserve"> impairment </w:t>
      </w:r>
      <w:r w:rsidR="00081CF1" w:rsidRPr="00E73BB1">
        <w:rPr>
          <w:rFonts w:ascii="Times New Roman" w:hAnsi="Times New Roman" w:cs="Times New Roman"/>
          <w:sz w:val="24"/>
          <w:szCs w:val="24"/>
        </w:rPr>
        <w:t>with some shared features</w:t>
      </w:r>
      <w:r w:rsidRPr="00E73BB1">
        <w:rPr>
          <w:rFonts w:ascii="Times New Roman" w:hAnsi="Times New Roman" w:cs="Times New Roman"/>
          <w:sz w:val="24"/>
          <w:szCs w:val="24"/>
        </w:rPr>
        <w:t xml:space="preserve">. </w:t>
      </w:r>
      <w:r w:rsidR="00B649EA" w:rsidRPr="00E73BB1">
        <w:rPr>
          <w:rFonts w:ascii="Times New Roman" w:hAnsi="Times New Roman" w:cs="Times New Roman"/>
          <w:sz w:val="24"/>
          <w:szCs w:val="24"/>
        </w:rPr>
        <w:t>Given the aim of capturing the impacts of</w:t>
      </w:r>
      <w:r w:rsidR="00016893" w:rsidRPr="00E73BB1">
        <w:rPr>
          <w:rFonts w:ascii="Times New Roman" w:hAnsi="Times New Roman" w:cs="Times New Roman"/>
          <w:sz w:val="24"/>
          <w:szCs w:val="24"/>
        </w:rPr>
        <w:t xml:space="preserve"> broad</w:t>
      </w:r>
      <w:r w:rsidR="00081CF1" w:rsidRPr="00E73BB1">
        <w:rPr>
          <w:rFonts w:ascii="Times New Roman" w:hAnsi="Times New Roman" w:cs="Times New Roman"/>
          <w:sz w:val="24"/>
          <w:szCs w:val="24"/>
        </w:rPr>
        <w:t>er</w:t>
      </w:r>
      <w:r w:rsidR="00B649EA" w:rsidRPr="00E73BB1">
        <w:rPr>
          <w:rFonts w:ascii="Times New Roman" w:hAnsi="Times New Roman" w:cs="Times New Roman"/>
          <w:sz w:val="24"/>
          <w:szCs w:val="24"/>
        </w:rPr>
        <w:t xml:space="preserve"> appearance</w:t>
      </w:r>
      <w:r w:rsidR="00016893" w:rsidRPr="00E73BB1">
        <w:rPr>
          <w:rFonts w:ascii="Times New Roman" w:hAnsi="Times New Roman" w:cs="Times New Roman"/>
          <w:sz w:val="24"/>
          <w:szCs w:val="24"/>
        </w:rPr>
        <w:t>-based</w:t>
      </w:r>
      <w:r w:rsidR="00B649EA" w:rsidRPr="00E73BB1">
        <w:rPr>
          <w:rFonts w:ascii="Times New Roman" w:hAnsi="Times New Roman" w:cs="Times New Roman"/>
          <w:sz w:val="24"/>
          <w:szCs w:val="24"/>
        </w:rPr>
        <w:t xml:space="preserve"> concerns</w:t>
      </w:r>
      <w:r w:rsidR="00081CF1" w:rsidRPr="00E73BB1">
        <w:rPr>
          <w:rFonts w:ascii="Times New Roman" w:hAnsi="Times New Roman" w:cs="Times New Roman"/>
          <w:sz w:val="24"/>
          <w:szCs w:val="24"/>
        </w:rPr>
        <w:t xml:space="preserve"> and across </w:t>
      </w:r>
      <w:r w:rsidR="001573C5" w:rsidRPr="00E73BB1">
        <w:rPr>
          <w:rFonts w:ascii="Times New Roman" w:hAnsi="Times New Roman" w:cs="Times New Roman"/>
          <w:sz w:val="24"/>
          <w:szCs w:val="24"/>
        </w:rPr>
        <w:t>different</w:t>
      </w:r>
      <w:r w:rsidR="00081CF1" w:rsidRPr="00E73BB1">
        <w:rPr>
          <w:rFonts w:ascii="Times New Roman" w:hAnsi="Times New Roman" w:cs="Times New Roman"/>
          <w:sz w:val="24"/>
          <w:szCs w:val="24"/>
        </w:rPr>
        <w:t xml:space="preserve"> life domains</w:t>
      </w:r>
      <w:r w:rsidR="00B649EA" w:rsidRPr="00E73BB1">
        <w:rPr>
          <w:rFonts w:ascii="Times New Roman" w:hAnsi="Times New Roman" w:cs="Times New Roman"/>
          <w:sz w:val="24"/>
          <w:szCs w:val="24"/>
        </w:rPr>
        <w:t>, w</w:t>
      </w:r>
      <w:r w:rsidRPr="00E73BB1">
        <w:rPr>
          <w:rFonts w:ascii="Times New Roman" w:hAnsi="Times New Roman" w:cs="Times New Roman"/>
          <w:sz w:val="24"/>
          <w:szCs w:val="24"/>
        </w:rPr>
        <w:t>e</w:t>
      </w:r>
      <w:r w:rsidR="00016893" w:rsidRPr="00E73BB1">
        <w:rPr>
          <w:rFonts w:ascii="Times New Roman" w:hAnsi="Times New Roman" w:cs="Times New Roman"/>
          <w:sz w:val="24"/>
          <w:szCs w:val="24"/>
        </w:rPr>
        <w:t xml:space="preserve"> hypothesised that</w:t>
      </w:r>
      <w:r w:rsidRPr="00E73BB1">
        <w:rPr>
          <w:rFonts w:ascii="Times New Roman" w:hAnsi="Times New Roman" w:cs="Times New Roman"/>
          <w:sz w:val="24"/>
          <w:szCs w:val="24"/>
        </w:rPr>
        <w:t xml:space="preserve"> </w:t>
      </w:r>
      <w:r w:rsidR="00B649EA" w:rsidRPr="00E73BB1">
        <w:rPr>
          <w:rFonts w:ascii="Times New Roman" w:hAnsi="Times New Roman" w:cs="Times New Roman"/>
          <w:sz w:val="24"/>
          <w:szCs w:val="24"/>
        </w:rPr>
        <w:t>t</w:t>
      </w:r>
      <w:r w:rsidRPr="00E73BB1">
        <w:rPr>
          <w:rFonts w:ascii="Times New Roman" w:hAnsi="Times New Roman" w:cs="Times New Roman"/>
          <w:sz w:val="24"/>
          <w:szCs w:val="24"/>
        </w:rPr>
        <w:t xml:space="preserve">he </w:t>
      </w:r>
      <w:r w:rsidR="00CE3226" w:rsidRPr="00E73BB1">
        <w:rPr>
          <w:rFonts w:ascii="Times New Roman" w:hAnsi="Times New Roman" w:cs="Times New Roman"/>
          <w:sz w:val="24"/>
          <w:szCs w:val="24"/>
        </w:rPr>
        <w:t>BILD-Q</w:t>
      </w:r>
      <w:r w:rsidRPr="00E73BB1">
        <w:rPr>
          <w:rFonts w:ascii="Times New Roman" w:hAnsi="Times New Roman" w:cs="Times New Roman"/>
          <w:sz w:val="24"/>
          <w:szCs w:val="24"/>
        </w:rPr>
        <w:t xml:space="preserve"> would be uniquely associated with </w:t>
      </w:r>
      <w:r w:rsidR="00016893" w:rsidRPr="00E73BB1">
        <w:rPr>
          <w:rFonts w:ascii="Times New Roman" w:hAnsi="Times New Roman" w:cs="Times New Roman"/>
          <w:sz w:val="24"/>
          <w:szCs w:val="24"/>
        </w:rPr>
        <w:t>mental</w:t>
      </w:r>
      <w:r w:rsidR="0010352E" w:rsidRPr="00E73BB1">
        <w:rPr>
          <w:rFonts w:ascii="Times New Roman" w:hAnsi="Times New Roman" w:cs="Times New Roman"/>
          <w:sz w:val="24"/>
          <w:szCs w:val="24"/>
        </w:rPr>
        <w:t xml:space="preserve"> well-being</w:t>
      </w:r>
      <w:r w:rsidR="001A15B6" w:rsidRPr="00E73BB1">
        <w:rPr>
          <w:rFonts w:ascii="Times New Roman" w:hAnsi="Times New Roman" w:cs="Times New Roman"/>
          <w:sz w:val="24"/>
          <w:szCs w:val="24"/>
        </w:rPr>
        <w:t>, negative affect and positive affect</w:t>
      </w:r>
      <w:r w:rsidRPr="00E73BB1">
        <w:rPr>
          <w:rFonts w:ascii="Times New Roman" w:hAnsi="Times New Roman" w:cs="Times New Roman"/>
          <w:sz w:val="24"/>
          <w:szCs w:val="24"/>
        </w:rPr>
        <w:t>.</w:t>
      </w:r>
    </w:p>
    <w:p w14:paraId="743044B1" w14:textId="357F3DC4" w:rsidR="004474C5" w:rsidRPr="00E73BB1" w:rsidRDefault="001659F2" w:rsidP="004474C5">
      <w:pPr>
        <w:widowControl w:val="0"/>
        <w:spacing w:after="0" w:line="480" w:lineRule="auto"/>
        <w:rPr>
          <w:rFonts w:ascii="Times New Roman" w:hAnsi="Times New Roman" w:cs="Times New Roman"/>
          <w:b/>
          <w:sz w:val="24"/>
          <w:szCs w:val="24"/>
        </w:rPr>
      </w:pPr>
      <w:r w:rsidRPr="00E73BB1">
        <w:rPr>
          <w:rFonts w:ascii="Times New Roman" w:hAnsi="Times New Roman" w:cs="Times New Roman"/>
          <w:b/>
          <w:sz w:val="24"/>
          <w:szCs w:val="24"/>
        </w:rPr>
        <w:t xml:space="preserve">5.1. </w:t>
      </w:r>
      <w:r w:rsidR="00C40D22" w:rsidRPr="00E73BB1">
        <w:rPr>
          <w:rFonts w:ascii="Times New Roman" w:hAnsi="Times New Roman" w:cs="Times New Roman"/>
          <w:b/>
          <w:sz w:val="24"/>
          <w:szCs w:val="24"/>
        </w:rPr>
        <w:t>Method</w:t>
      </w:r>
    </w:p>
    <w:p w14:paraId="027B0B0B" w14:textId="26A2A7DE" w:rsidR="00FB65B7" w:rsidRPr="00E73BB1" w:rsidRDefault="001659F2" w:rsidP="009161D3">
      <w:pPr>
        <w:widowControl w:val="0"/>
        <w:spacing w:after="0" w:line="480" w:lineRule="auto"/>
        <w:rPr>
          <w:rFonts w:ascii="Times New Roman" w:hAnsi="Times New Roman" w:cs="Times New Roman"/>
          <w:i/>
          <w:iCs/>
          <w:sz w:val="24"/>
          <w:szCs w:val="24"/>
        </w:rPr>
      </w:pPr>
      <w:r w:rsidRPr="00E73BB1">
        <w:rPr>
          <w:rFonts w:ascii="Times New Roman" w:hAnsi="Times New Roman" w:cs="Times New Roman"/>
          <w:b/>
          <w:i/>
          <w:iCs/>
          <w:sz w:val="24"/>
          <w:szCs w:val="24"/>
        </w:rPr>
        <w:t xml:space="preserve">5.1.1. </w:t>
      </w:r>
      <w:r w:rsidR="004474C5" w:rsidRPr="00E73BB1">
        <w:rPr>
          <w:rFonts w:ascii="Times New Roman" w:hAnsi="Times New Roman" w:cs="Times New Roman"/>
          <w:b/>
          <w:i/>
          <w:iCs/>
          <w:sz w:val="24"/>
          <w:szCs w:val="24"/>
        </w:rPr>
        <w:t>Participants</w:t>
      </w:r>
      <w:r w:rsidR="00450CDC" w:rsidRPr="00E73BB1">
        <w:rPr>
          <w:rFonts w:ascii="Times New Roman" w:hAnsi="Times New Roman" w:cs="Times New Roman"/>
          <w:b/>
          <w:i/>
          <w:iCs/>
          <w:sz w:val="24"/>
          <w:szCs w:val="24"/>
        </w:rPr>
        <w:t xml:space="preserve"> and </w:t>
      </w:r>
      <w:r w:rsidR="00FB65B7" w:rsidRPr="00E73BB1">
        <w:rPr>
          <w:rFonts w:ascii="Times New Roman" w:hAnsi="Times New Roman" w:cs="Times New Roman"/>
          <w:b/>
          <w:i/>
          <w:iCs/>
          <w:sz w:val="24"/>
          <w:szCs w:val="24"/>
        </w:rPr>
        <w:t>P</w:t>
      </w:r>
      <w:r w:rsidR="00450CDC" w:rsidRPr="00E73BB1">
        <w:rPr>
          <w:rFonts w:ascii="Times New Roman" w:hAnsi="Times New Roman" w:cs="Times New Roman"/>
          <w:b/>
          <w:i/>
          <w:iCs/>
          <w:sz w:val="24"/>
          <w:szCs w:val="24"/>
        </w:rPr>
        <w:t>rocedure</w:t>
      </w:r>
    </w:p>
    <w:p w14:paraId="7AC83AA6" w14:textId="42B9A7AD" w:rsidR="004474C5" w:rsidRPr="00E73BB1" w:rsidRDefault="004474C5" w:rsidP="00306AD4">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Adolescent boys and girls (</w:t>
      </w:r>
      <w:r w:rsidRPr="00E73BB1">
        <w:rPr>
          <w:rFonts w:ascii="Times New Roman" w:hAnsi="Times New Roman" w:cs="Times New Roman"/>
          <w:i/>
          <w:sz w:val="24"/>
          <w:szCs w:val="24"/>
        </w:rPr>
        <w:t>N</w:t>
      </w:r>
      <w:r w:rsidRPr="00E73BB1">
        <w:rPr>
          <w:rFonts w:ascii="Times New Roman" w:hAnsi="Times New Roman" w:cs="Times New Roman"/>
          <w:sz w:val="24"/>
          <w:szCs w:val="24"/>
        </w:rPr>
        <w:t xml:space="preserve"> = 288; 13-14 years; </w:t>
      </w:r>
      <w:r w:rsidR="00A0144D" w:rsidRPr="00E73BB1">
        <w:rPr>
          <w:rFonts w:ascii="Times New Roman" w:hAnsi="Times New Roman" w:cs="Times New Roman"/>
          <w:sz w:val="24"/>
          <w:szCs w:val="24"/>
        </w:rPr>
        <w:t>50.7</w:t>
      </w:r>
      <w:r w:rsidRPr="00E73BB1">
        <w:rPr>
          <w:rFonts w:ascii="Times New Roman" w:hAnsi="Times New Roman" w:cs="Times New Roman"/>
          <w:sz w:val="24"/>
          <w:szCs w:val="24"/>
        </w:rPr>
        <w:t>%</w:t>
      </w:r>
      <w:r w:rsidR="00306AD4" w:rsidRPr="00E73BB1">
        <w:rPr>
          <w:rFonts w:ascii="Times New Roman" w:hAnsi="Times New Roman" w:cs="Times New Roman"/>
          <w:sz w:val="24"/>
          <w:szCs w:val="24"/>
        </w:rPr>
        <w:t xml:space="preserve"> </w:t>
      </w:r>
      <w:r w:rsidRPr="00E73BB1">
        <w:rPr>
          <w:rFonts w:ascii="Times New Roman" w:hAnsi="Times New Roman" w:cs="Times New Roman"/>
          <w:sz w:val="24"/>
          <w:szCs w:val="24"/>
        </w:rPr>
        <w:t>boys) from a further 3 seconda</w:t>
      </w:r>
      <w:r w:rsidR="006E2B52" w:rsidRPr="00E73BB1">
        <w:rPr>
          <w:rFonts w:ascii="Times New Roman" w:hAnsi="Times New Roman" w:cs="Times New Roman"/>
          <w:sz w:val="24"/>
          <w:szCs w:val="24"/>
        </w:rPr>
        <w:t>ry schools in southwest England</w:t>
      </w:r>
      <w:r w:rsidRPr="00E73BB1">
        <w:rPr>
          <w:rFonts w:ascii="Times New Roman" w:hAnsi="Times New Roman" w:cs="Times New Roman"/>
          <w:sz w:val="24"/>
          <w:szCs w:val="24"/>
        </w:rPr>
        <w:t xml:space="preserve"> </w:t>
      </w:r>
      <w:r w:rsidR="002243B2" w:rsidRPr="00E73BB1">
        <w:rPr>
          <w:rFonts w:ascii="Times New Roman" w:hAnsi="Times New Roman" w:cs="Times New Roman"/>
          <w:sz w:val="24"/>
          <w:szCs w:val="24"/>
        </w:rPr>
        <w:t xml:space="preserve">completed all </w:t>
      </w:r>
      <w:r w:rsidRPr="00E73BB1">
        <w:rPr>
          <w:rFonts w:ascii="Times New Roman" w:hAnsi="Times New Roman" w:cs="Times New Roman"/>
          <w:sz w:val="24"/>
          <w:szCs w:val="24"/>
        </w:rPr>
        <w:t xml:space="preserve">measures as part of </w:t>
      </w:r>
      <w:r w:rsidR="00EC07D8" w:rsidRPr="00E73BB1">
        <w:rPr>
          <w:rFonts w:ascii="Times New Roman" w:hAnsi="Times New Roman" w:cs="Times New Roman"/>
          <w:sz w:val="24"/>
          <w:szCs w:val="24"/>
        </w:rPr>
        <w:t xml:space="preserve">baseline data collection for the </w:t>
      </w:r>
      <w:r w:rsidRPr="00E73BB1">
        <w:rPr>
          <w:rFonts w:ascii="Times New Roman" w:hAnsi="Times New Roman" w:cs="Times New Roman"/>
          <w:sz w:val="24"/>
          <w:szCs w:val="24"/>
        </w:rPr>
        <w:t>third intervention trial</w:t>
      </w:r>
      <w:r w:rsidR="00EC07D8" w:rsidRPr="00E73BB1">
        <w:rPr>
          <w:rFonts w:ascii="Times New Roman" w:hAnsi="Times New Roman" w:cs="Times New Roman"/>
          <w:sz w:val="24"/>
          <w:szCs w:val="24"/>
        </w:rPr>
        <w:t xml:space="preserve"> </w:t>
      </w:r>
      <w:r w:rsidR="00306AD4" w:rsidRPr="00E73BB1">
        <w:rPr>
          <w:rFonts w:ascii="Times New Roman" w:hAnsi="Times New Roman" w:cs="Times New Roman"/>
          <w:noProof/>
          <w:sz w:val="24"/>
          <w:szCs w:val="24"/>
        </w:rPr>
        <w:t>(</w:t>
      </w:r>
      <w:r w:rsidR="00A04192">
        <w:rPr>
          <w:rFonts w:ascii="Times New Roman" w:hAnsi="Times New Roman" w:cs="Times New Roman"/>
          <w:sz w:val="24"/>
          <w:szCs w:val="24"/>
        </w:rPr>
        <w:t>Atkinson, Parnell, &amp; Diedrichs, 2021</w:t>
      </w:r>
      <w:r w:rsidR="00306AD4" w:rsidRPr="00E73BB1">
        <w:rPr>
          <w:rFonts w:ascii="Times New Roman" w:hAnsi="Times New Roman" w:cs="Times New Roman"/>
          <w:sz w:val="24"/>
          <w:szCs w:val="24"/>
        </w:rPr>
        <w:t xml:space="preserve">). </w:t>
      </w:r>
      <w:r w:rsidRPr="00E73BB1">
        <w:rPr>
          <w:rFonts w:ascii="Times New Roman" w:hAnsi="Times New Roman" w:cs="Times New Roman"/>
          <w:sz w:val="24"/>
          <w:szCs w:val="24"/>
        </w:rPr>
        <w:t>Students were predominantly White (</w:t>
      </w:r>
      <w:r w:rsidR="00A0144D" w:rsidRPr="00E73BB1">
        <w:rPr>
          <w:rFonts w:ascii="Times New Roman" w:hAnsi="Times New Roman" w:cs="Times New Roman"/>
          <w:sz w:val="24"/>
          <w:szCs w:val="24"/>
        </w:rPr>
        <w:t>87.5</w:t>
      </w:r>
      <w:r w:rsidRPr="00E73BB1">
        <w:rPr>
          <w:rFonts w:ascii="Times New Roman" w:hAnsi="Times New Roman" w:cs="Times New Roman"/>
          <w:sz w:val="24"/>
          <w:szCs w:val="24"/>
        </w:rPr>
        <w:t>%), Born in the UK (</w:t>
      </w:r>
      <w:r w:rsidR="00A0144D" w:rsidRPr="00E73BB1">
        <w:rPr>
          <w:rFonts w:ascii="Times New Roman" w:hAnsi="Times New Roman" w:cs="Times New Roman"/>
          <w:sz w:val="24"/>
          <w:szCs w:val="24"/>
        </w:rPr>
        <w:t>95.5</w:t>
      </w:r>
      <w:r w:rsidRPr="00E73BB1">
        <w:rPr>
          <w:rFonts w:ascii="Times New Roman" w:hAnsi="Times New Roman" w:cs="Times New Roman"/>
          <w:sz w:val="24"/>
          <w:szCs w:val="24"/>
        </w:rPr>
        <w:t>%), and spoke English at home (</w:t>
      </w:r>
      <w:r w:rsidR="00A0144D" w:rsidRPr="00E73BB1">
        <w:rPr>
          <w:rFonts w:ascii="Times New Roman" w:hAnsi="Times New Roman" w:cs="Times New Roman"/>
          <w:sz w:val="24"/>
          <w:szCs w:val="24"/>
        </w:rPr>
        <w:t>89.9</w:t>
      </w:r>
      <w:r w:rsidRPr="00E73BB1">
        <w:rPr>
          <w:rFonts w:ascii="Times New Roman" w:hAnsi="Times New Roman" w:cs="Times New Roman"/>
          <w:sz w:val="24"/>
          <w:szCs w:val="24"/>
        </w:rPr>
        <w:t xml:space="preserve">%). </w:t>
      </w:r>
      <w:r w:rsidR="00450CDC" w:rsidRPr="00E73BB1">
        <w:rPr>
          <w:rFonts w:ascii="Times New Roman" w:hAnsi="Times New Roman" w:cs="Times New Roman"/>
          <w:sz w:val="24"/>
          <w:szCs w:val="24"/>
        </w:rPr>
        <w:t xml:space="preserve">This study was approved by the University ethics review board. Procedure for data collection was conducted as for Study 1 and 2, with all baseline data from the trial included </w:t>
      </w:r>
      <w:r w:rsidR="00450CDC" w:rsidRPr="00E73BB1">
        <w:rPr>
          <w:rFonts w:ascii="Times New Roman" w:hAnsi="Times New Roman" w:cs="Times New Roman"/>
          <w:sz w:val="24"/>
          <w:szCs w:val="24"/>
        </w:rPr>
        <w:lastRenderedPageBreak/>
        <w:t xml:space="preserve">for all analysis except test-retest reliability, where baseline and post-intervention data was used from participants allocated to the control arm of the trial. </w:t>
      </w:r>
    </w:p>
    <w:p w14:paraId="3FDE6D98" w14:textId="0B5E3266" w:rsidR="00FB65B7" w:rsidRPr="00E73BB1" w:rsidRDefault="001659F2" w:rsidP="009161D3">
      <w:pPr>
        <w:widowControl w:val="0"/>
        <w:spacing w:after="0" w:line="480" w:lineRule="auto"/>
        <w:rPr>
          <w:rFonts w:ascii="Times New Roman" w:hAnsi="Times New Roman" w:cs="Times New Roman"/>
          <w:i/>
          <w:iCs/>
          <w:sz w:val="24"/>
          <w:szCs w:val="24"/>
        </w:rPr>
      </w:pPr>
      <w:r w:rsidRPr="00E73BB1">
        <w:rPr>
          <w:rFonts w:ascii="Times New Roman" w:hAnsi="Times New Roman" w:cs="Times New Roman"/>
          <w:b/>
          <w:i/>
          <w:iCs/>
          <w:sz w:val="24"/>
          <w:szCs w:val="24"/>
        </w:rPr>
        <w:t xml:space="preserve">5.1.2. </w:t>
      </w:r>
      <w:r w:rsidR="004474C5" w:rsidRPr="00E73BB1">
        <w:rPr>
          <w:rFonts w:ascii="Times New Roman" w:hAnsi="Times New Roman" w:cs="Times New Roman"/>
          <w:b/>
          <w:i/>
          <w:iCs/>
          <w:sz w:val="24"/>
          <w:szCs w:val="24"/>
        </w:rPr>
        <w:t>Measures</w:t>
      </w:r>
    </w:p>
    <w:p w14:paraId="6E7EF859" w14:textId="2BA00716" w:rsidR="004474C5" w:rsidRPr="00E73BB1" w:rsidRDefault="001659F2" w:rsidP="00306AD4">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b/>
          <w:sz w:val="24"/>
          <w:szCs w:val="24"/>
        </w:rPr>
        <w:t xml:space="preserve">5.1.2.1. </w:t>
      </w:r>
      <w:r w:rsidR="004474C5" w:rsidRPr="00E73BB1">
        <w:rPr>
          <w:rFonts w:ascii="Times New Roman" w:hAnsi="Times New Roman" w:cs="Times New Roman"/>
          <w:b/>
          <w:sz w:val="24"/>
          <w:szCs w:val="24"/>
        </w:rPr>
        <w:t xml:space="preserve">Life </w:t>
      </w:r>
      <w:r w:rsidR="00FB65B7" w:rsidRPr="00E73BB1">
        <w:rPr>
          <w:rFonts w:ascii="Times New Roman" w:hAnsi="Times New Roman" w:cs="Times New Roman"/>
          <w:b/>
          <w:sz w:val="24"/>
          <w:szCs w:val="24"/>
        </w:rPr>
        <w:t>D</w:t>
      </w:r>
      <w:r w:rsidR="00CE3226" w:rsidRPr="00E73BB1">
        <w:rPr>
          <w:rFonts w:ascii="Times New Roman" w:hAnsi="Times New Roman" w:cs="Times New Roman"/>
          <w:b/>
          <w:sz w:val="24"/>
          <w:szCs w:val="24"/>
        </w:rPr>
        <w:t>is</w:t>
      </w:r>
      <w:r w:rsidR="004474C5" w:rsidRPr="00E73BB1">
        <w:rPr>
          <w:rFonts w:ascii="Times New Roman" w:hAnsi="Times New Roman" w:cs="Times New Roman"/>
          <w:b/>
          <w:sz w:val="24"/>
          <w:szCs w:val="24"/>
        </w:rPr>
        <w:t>engagement</w:t>
      </w:r>
      <w:r w:rsidR="004474C5" w:rsidRPr="00E73BB1">
        <w:rPr>
          <w:rFonts w:ascii="Times New Roman" w:hAnsi="Times New Roman" w:cs="Times New Roman"/>
          <w:b/>
          <w:i/>
          <w:sz w:val="24"/>
          <w:szCs w:val="24"/>
        </w:rPr>
        <w:t>.</w:t>
      </w:r>
      <w:r w:rsidR="004474C5" w:rsidRPr="00E73BB1">
        <w:rPr>
          <w:rFonts w:ascii="Times New Roman" w:hAnsi="Times New Roman" w:cs="Times New Roman"/>
          <w:sz w:val="24"/>
          <w:szCs w:val="24"/>
        </w:rPr>
        <w:t xml:space="preserve"> </w:t>
      </w:r>
      <w:r w:rsidR="002243B2" w:rsidRPr="00E73BB1">
        <w:rPr>
          <w:rFonts w:ascii="Times New Roman" w:hAnsi="Times New Roman" w:cs="Times New Roman"/>
          <w:sz w:val="24"/>
          <w:szCs w:val="24"/>
        </w:rPr>
        <w:t xml:space="preserve">The </w:t>
      </w:r>
      <w:r w:rsidR="00CE3226" w:rsidRPr="00E73BB1">
        <w:rPr>
          <w:rFonts w:ascii="Times New Roman" w:hAnsi="Times New Roman" w:cs="Times New Roman"/>
          <w:sz w:val="24"/>
          <w:szCs w:val="24"/>
        </w:rPr>
        <w:t>BILD-Q</w:t>
      </w:r>
      <w:r w:rsidR="002243B2" w:rsidRPr="00E73BB1">
        <w:rPr>
          <w:rFonts w:ascii="Times New Roman" w:hAnsi="Times New Roman" w:cs="Times New Roman"/>
          <w:sz w:val="24"/>
          <w:szCs w:val="24"/>
        </w:rPr>
        <w:t xml:space="preserve"> was used in a 9</w:t>
      </w:r>
      <w:r w:rsidR="004474C5" w:rsidRPr="00E73BB1">
        <w:rPr>
          <w:rFonts w:ascii="Times New Roman" w:hAnsi="Times New Roman" w:cs="Times New Roman"/>
          <w:sz w:val="24"/>
          <w:szCs w:val="24"/>
        </w:rPr>
        <w:t xml:space="preserve">-item version </w:t>
      </w:r>
      <w:r w:rsidR="002243B2" w:rsidRPr="00E73BB1">
        <w:rPr>
          <w:rFonts w:ascii="Times New Roman" w:hAnsi="Times New Roman" w:cs="Times New Roman"/>
          <w:sz w:val="24"/>
          <w:szCs w:val="24"/>
        </w:rPr>
        <w:t>configuration</w:t>
      </w:r>
      <w:r w:rsidR="00675B69" w:rsidRPr="00E73BB1">
        <w:rPr>
          <w:rFonts w:ascii="Times New Roman" w:hAnsi="Times New Roman" w:cs="Times New Roman"/>
          <w:sz w:val="24"/>
          <w:szCs w:val="24"/>
        </w:rPr>
        <w:t xml:space="preserve"> </w:t>
      </w:r>
      <w:r w:rsidR="002243B2" w:rsidRPr="00E73BB1">
        <w:rPr>
          <w:rFonts w:ascii="Times New Roman" w:hAnsi="Times New Roman" w:cs="Times New Roman"/>
          <w:sz w:val="24"/>
          <w:szCs w:val="24"/>
        </w:rPr>
        <w:t>as described above.</w:t>
      </w:r>
    </w:p>
    <w:p w14:paraId="4B9B9A0D" w14:textId="35E0682A" w:rsidR="001659F2" w:rsidRPr="00E73BB1" w:rsidRDefault="001659F2" w:rsidP="00306AD4">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b/>
          <w:bCs/>
          <w:iCs/>
          <w:sz w:val="24"/>
          <w:szCs w:val="24"/>
        </w:rPr>
        <w:t xml:space="preserve">5.1.2.2. </w:t>
      </w:r>
      <w:r w:rsidR="00016893" w:rsidRPr="00E73BB1">
        <w:rPr>
          <w:rFonts w:ascii="Times New Roman" w:hAnsi="Times New Roman" w:cs="Times New Roman"/>
          <w:b/>
          <w:bCs/>
          <w:iCs/>
          <w:sz w:val="24"/>
          <w:szCs w:val="24"/>
        </w:rPr>
        <w:t xml:space="preserve">Body </w:t>
      </w:r>
      <w:r w:rsidR="00FB65B7" w:rsidRPr="00E73BB1">
        <w:rPr>
          <w:rFonts w:ascii="Times New Roman" w:hAnsi="Times New Roman" w:cs="Times New Roman"/>
          <w:b/>
          <w:bCs/>
          <w:iCs/>
          <w:sz w:val="24"/>
          <w:szCs w:val="24"/>
        </w:rPr>
        <w:t>I</w:t>
      </w:r>
      <w:r w:rsidR="00016893" w:rsidRPr="00E73BB1">
        <w:rPr>
          <w:rFonts w:ascii="Times New Roman" w:hAnsi="Times New Roman" w:cs="Times New Roman"/>
          <w:b/>
          <w:bCs/>
          <w:iCs/>
          <w:sz w:val="24"/>
          <w:szCs w:val="24"/>
        </w:rPr>
        <w:t>mage</w:t>
      </w:r>
    </w:p>
    <w:p w14:paraId="54A21AB7" w14:textId="1640484F" w:rsidR="00FB65B7" w:rsidRPr="00E73BB1" w:rsidRDefault="001659F2" w:rsidP="00306AD4">
      <w:pPr>
        <w:widowControl w:val="0"/>
        <w:spacing w:after="0" w:line="480" w:lineRule="auto"/>
        <w:ind w:firstLine="720"/>
        <w:rPr>
          <w:rFonts w:ascii="Times New Roman" w:hAnsi="Times New Roman" w:cs="Times New Roman"/>
          <w:sz w:val="24"/>
          <w:szCs w:val="24"/>
        </w:rPr>
      </w:pPr>
      <w:r w:rsidRPr="002D64AF">
        <w:rPr>
          <w:rFonts w:ascii="Times New Roman" w:hAnsi="Times New Roman" w:cs="Times New Roman"/>
          <w:b/>
          <w:bCs/>
          <w:i/>
          <w:iCs/>
          <w:sz w:val="24"/>
          <w:szCs w:val="24"/>
        </w:rPr>
        <w:t>5.1.2.2.1.</w:t>
      </w:r>
      <w:r w:rsidRPr="00E73BB1">
        <w:rPr>
          <w:rFonts w:ascii="Times New Roman" w:hAnsi="Times New Roman" w:cs="Times New Roman"/>
          <w:sz w:val="24"/>
          <w:szCs w:val="24"/>
        </w:rPr>
        <w:t xml:space="preserve"> </w:t>
      </w:r>
      <w:r w:rsidR="00EC07D8" w:rsidRPr="00E73BB1">
        <w:rPr>
          <w:rFonts w:ascii="Times New Roman" w:hAnsi="Times New Roman" w:cs="Times New Roman"/>
          <w:b/>
          <w:bCs/>
          <w:i/>
          <w:iCs/>
          <w:sz w:val="24"/>
          <w:szCs w:val="24"/>
        </w:rPr>
        <w:t>B</w:t>
      </w:r>
      <w:r w:rsidR="00016893" w:rsidRPr="00E73BB1">
        <w:rPr>
          <w:rFonts w:ascii="Times New Roman" w:hAnsi="Times New Roman" w:cs="Times New Roman"/>
          <w:b/>
          <w:bCs/>
          <w:i/>
          <w:iCs/>
          <w:sz w:val="24"/>
          <w:szCs w:val="24"/>
        </w:rPr>
        <w:t xml:space="preserve">ody </w:t>
      </w:r>
      <w:r w:rsidR="00FB65B7" w:rsidRPr="00E73BB1">
        <w:rPr>
          <w:rFonts w:ascii="Times New Roman" w:hAnsi="Times New Roman" w:cs="Times New Roman"/>
          <w:b/>
          <w:bCs/>
          <w:i/>
          <w:iCs/>
          <w:sz w:val="24"/>
          <w:szCs w:val="24"/>
        </w:rPr>
        <w:t>E</w:t>
      </w:r>
      <w:r w:rsidR="00016893" w:rsidRPr="00E73BB1">
        <w:rPr>
          <w:rFonts w:ascii="Times New Roman" w:hAnsi="Times New Roman" w:cs="Times New Roman"/>
          <w:b/>
          <w:bCs/>
          <w:i/>
          <w:iCs/>
          <w:sz w:val="24"/>
          <w:szCs w:val="24"/>
        </w:rPr>
        <w:t>steem</w:t>
      </w:r>
      <w:r w:rsidR="002975D7" w:rsidRPr="00E73BB1">
        <w:rPr>
          <w:rFonts w:ascii="Times New Roman" w:hAnsi="Times New Roman" w:cs="Times New Roman"/>
          <w:b/>
          <w:bCs/>
          <w:sz w:val="24"/>
          <w:szCs w:val="24"/>
        </w:rPr>
        <w:t>.</w:t>
      </w:r>
      <w:r w:rsidR="002975D7" w:rsidRPr="00E73BB1">
        <w:rPr>
          <w:rFonts w:ascii="Times New Roman" w:hAnsi="Times New Roman" w:cs="Times New Roman"/>
          <w:sz w:val="24"/>
          <w:szCs w:val="24"/>
        </w:rPr>
        <w:t xml:space="preserve"> </w:t>
      </w:r>
      <w:r w:rsidR="00050BE7" w:rsidRPr="00E73BB1">
        <w:rPr>
          <w:rFonts w:ascii="Times New Roman" w:hAnsi="Times New Roman" w:cs="Times New Roman"/>
          <w:sz w:val="24"/>
          <w:szCs w:val="24"/>
        </w:rPr>
        <w:t xml:space="preserve">Global body image </w:t>
      </w:r>
      <w:r w:rsidR="003060EC" w:rsidRPr="00E73BB1">
        <w:rPr>
          <w:rFonts w:ascii="Times New Roman" w:hAnsi="Times New Roman" w:cs="Times New Roman"/>
          <w:sz w:val="24"/>
          <w:szCs w:val="24"/>
        </w:rPr>
        <w:t xml:space="preserve">was </w:t>
      </w:r>
      <w:r w:rsidR="002975D7" w:rsidRPr="00E73BB1">
        <w:rPr>
          <w:rFonts w:ascii="Times New Roman" w:hAnsi="Times New Roman" w:cs="Times New Roman"/>
          <w:sz w:val="24"/>
          <w:szCs w:val="24"/>
        </w:rPr>
        <w:t>assessed using the Appearance and Weight subscales of the Body Esteem Scale for Adolescents and Adults</w:t>
      </w:r>
      <w:r w:rsidR="005B58DF" w:rsidRPr="00E73BB1">
        <w:rPr>
          <w:rFonts w:ascii="Times New Roman" w:hAnsi="Times New Roman" w:cs="Times New Roman"/>
          <w:sz w:val="24"/>
          <w:szCs w:val="24"/>
        </w:rPr>
        <w:t xml:space="preserve"> </w:t>
      </w:r>
      <w:r w:rsidR="005B58DF" w:rsidRPr="00E73BB1">
        <w:rPr>
          <w:rFonts w:ascii="Times New Roman" w:hAnsi="Times New Roman" w:cs="Times New Roman"/>
          <w:noProof/>
          <w:sz w:val="24"/>
          <w:szCs w:val="24"/>
        </w:rPr>
        <w:t>(Mendelson et al., 2001)</w:t>
      </w:r>
      <w:r w:rsidR="00BF05BF" w:rsidRPr="00E73BB1">
        <w:rPr>
          <w:rFonts w:ascii="Times New Roman" w:hAnsi="Times New Roman" w:cs="Times New Roman"/>
          <w:noProof/>
          <w:sz w:val="24"/>
          <w:szCs w:val="24"/>
        </w:rPr>
        <w:t>.</w:t>
      </w:r>
      <w:r w:rsidR="002975D7" w:rsidRPr="00E73BB1">
        <w:rPr>
          <w:rFonts w:ascii="Times New Roman" w:hAnsi="Times New Roman" w:cs="Times New Roman"/>
          <w:sz w:val="24"/>
          <w:szCs w:val="24"/>
        </w:rPr>
        <w:t xml:space="preserve"> This </w:t>
      </w:r>
      <w:r w:rsidR="00050BE7" w:rsidRPr="00E73BB1">
        <w:rPr>
          <w:rFonts w:ascii="Times New Roman" w:hAnsi="Times New Roman" w:cs="Times New Roman"/>
          <w:sz w:val="24"/>
          <w:szCs w:val="24"/>
        </w:rPr>
        <w:t>comprised</w:t>
      </w:r>
      <w:r w:rsidR="002975D7" w:rsidRPr="00E73BB1">
        <w:rPr>
          <w:rFonts w:ascii="Times New Roman" w:hAnsi="Times New Roman" w:cs="Times New Roman"/>
          <w:sz w:val="24"/>
          <w:szCs w:val="24"/>
        </w:rPr>
        <w:t xml:space="preserve"> 18 items (e.g., “I’m pretty happy about the way I look”) rated from 1 (Never) to 5 (Always). </w:t>
      </w:r>
      <w:r w:rsidR="00050BE7" w:rsidRPr="00E73BB1">
        <w:rPr>
          <w:rFonts w:ascii="Times New Roman" w:hAnsi="Times New Roman" w:cs="Times New Roman"/>
          <w:sz w:val="24"/>
          <w:szCs w:val="24"/>
        </w:rPr>
        <w:t xml:space="preserve">A mean score was calculated, with </w:t>
      </w:r>
      <w:r w:rsidR="002975D7" w:rsidRPr="00E73BB1">
        <w:rPr>
          <w:rFonts w:ascii="Times New Roman" w:hAnsi="Times New Roman" w:cs="Times New Roman"/>
          <w:sz w:val="24"/>
          <w:szCs w:val="24"/>
        </w:rPr>
        <w:t xml:space="preserve">higher scores </w:t>
      </w:r>
      <w:r w:rsidR="00050BE7" w:rsidRPr="00E73BB1">
        <w:rPr>
          <w:rFonts w:ascii="Times New Roman" w:hAnsi="Times New Roman" w:cs="Times New Roman"/>
          <w:sz w:val="24"/>
          <w:szCs w:val="24"/>
        </w:rPr>
        <w:t>indicating</w:t>
      </w:r>
      <w:r w:rsidR="002975D7" w:rsidRPr="00E73BB1">
        <w:rPr>
          <w:rFonts w:ascii="Times New Roman" w:hAnsi="Times New Roman" w:cs="Times New Roman"/>
          <w:sz w:val="24"/>
          <w:szCs w:val="24"/>
        </w:rPr>
        <w:t xml:space="preserve"> higher body esteem. Cronbach’s alpha values </w:t>
      </w:r>
      <w:r w:rsidR="00050BE7" w:rsidRPr="00E73BB1">
        <w:rPr>
          <w:rFonts w:ascii="Times New Roman" w:hAnsi="Times New Roman" w:cs="Times New Roman"/>
          <w:sz w:val="24"/>
          <w:szCs w:val="24"/>
        </w:rPr>
        <w:t>indicated acceptable internal consistency</w:t>
      </w:r>
      <w:r w:rsidR="002975D7" w:rsidRPr="00E73BB1">
        <w:rPr>
          <w:rFonts w:ascii="Times New Roman" w:hAnsi="Times New Roman" w:cs="Times New Roman"/>
          <w:sz w:val="24"/>
          <w:szCs w:val="24"/>
        </w:rPr>
        <w:t xml:space="preserve"> (</w:t>
      </w:r>
      <w:r w:rsidR="00050BE7" w:rsidRPr="00E73BB1">
        <w:rPr>
          <w:rFonts w:ascii="Times New Roman" w:hAnsi="Times New Roman" w:cs="Times New Roman"/>
          <w:sz w:val="24"/>
          <w:szCs w:val="24"/>
        </w:rPr>
        <w:t>boys</w:t>
      </w:r>
      <w:r w:rsidR="002975D7" w:rsidRPr="00E73BB1">
        <w:rPr>
          <w:rFonts w:ascii="Times New Roman" w:hAnsi="Times New Roman" w:cs="Times New Roman"/>
          <w:sz w:val="24"/>
          <w:szCs w:val="24"/>
        </w:rPr>
        <w:t xml:space="preserve"> = .</w:t>
      </w:r>
      <w:r w:rsidR="00050BE7" w:rsidRPr="00E73BB1">
        <w:rPr>
          <w:rFonts w:ascii="Times New Roman" w:hAnsi="Times New Roman" w:cs="Times New Roman"/>
          <w:sz w:val="24"/>
          <w:szCs w:val="24"/>
        </w:rPr>
        <w:t xml:space="preserve">93; girls = </w:t>
      </w:r>
      <w:r w:rsidR="005B58DF" w:rsidRPr="00E73BB1">
        <w:rPr>
          <w:rFonts w:ascii="Times New Roman" w:hAnsi="Times New Roman" w:cs="Times New Roman"/>
          <w:sz w:val="24"/>
          <w:szCs w:val="24"/>
        </w:rPr>
        <w:t>.</w:t>
      </w:r>
      <w:r w:rsidR="00050BE7" w:rsidRPr="00E73BB1">
        <w:rPr>
          <w:rFonts w:ascii="Times New Roman" w:hAnsi="Times New Roman" w:cs="Times New Roman"/>
          <w:sz w:val="24"/>
          <w:szCs w:val="24"/>
        </w:rPr>
        <w:t>96)</w:t>
      </w:r>
      <w:r w:rsidR="002975D7" w:rsidRPr="00E73BB1">
        <w:rPr>
          <w:rFonts w:ascii="Times New Roman" w:hAnsi="Times New Roman" w:cs="Times New Roman"/>
          <w:sz w:val="24"/>
          <w:szCs w:val="24"/>
        </w:rPr>
        <w:t>.</w:t>
      </w:r>
      <w:r w:rsidR="00CE64C3" w:rsidRPr="00E73BB1">
        <w:rPr>
          <w:rFonts w:ascii="Times New Roman" w:hAnsi="Times New Roman" w:cs="Times New Roman"/>
          <w:sz w:val="24"/>
          <w:szCs w:val="24"/>
        </w:rPr>
        <w:t xml:space="preserve"> </w:t>
      </w:r>
    </w:p>
    <w:p w14:paraId="3CC44839" w14:textId="33AB9CF2" w:rsidR="007C7932" w:rsidRPr="00E73BB1" w:rsidRDefault="001659F2" w:rsidP="00306AD4">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b/>
          <w:bCs/>
          <w:i/>
          <w:iCs/>
          <w:sz w:val="24"/>
          <w:szCs w:val="24"/>
        </w:rPr>
        <w:t xml:space="preserve">5.1.2.2.2. </w:t>
      </w:r>
      <w:r w:rsidR="00F454E5" w:rsidRPr="00E73BB1">
        <w:rPr>
          <w:rFonts w:ascii="Times New Roman" w:hAnsi="Times New Roman" w:cs="Times New Roman"/>
          <w:b/>
          <w:bCs/>
          <w:i/>
          <w:iCs/>
          <w:sz w:val="24"/>
          <w:szCs w:val="24"/>
        </w:rPr>
        <w:t xml:space="preserve">Body </w:t>
      </w:r>
      <w:r w:rsidR="00FB65B7" w:rsidRPr="00E73BB1">
        <w:rPr>
          <w:rFonts w:ascii="Times New Roman" w:hAnsi="Times New Roman" w:cs="Times New Roman"/>
          <w:b/>
          <w:bCs/>
          <w:i/>
          <w:iCs/>
          <w:sz w:val="24"/>
          <w:szCs w:val="24"/>
        </w:rPr>
        <w:t>S</w:t>
      </w:r>
      <w:r w:rsidR="00F454E5" w:rsidRPr="00E73BB1">
        <w:rPr>
          <w:rFonts w:ascii="Times New Roman" w:hAnsi="Times New Roman" w:cs="Times New Roman"/>
          <w:b/>
          <w:bCs/>
          <w:i/>
          <w:iCs/>
          <w:sz w:val="24"/>
          <w:szCs w:val="24"/>
        </w:rPr>
        <w:t>atisfaction</w:t>
      </w:r>
      <w:r w:rsidR="00F454E5" w:rsidRPr="00E73BB1">
        <w:rPr>
          <w:rFonts w:ascii="Times New Roman" w:hAnsi="Times New Roman" w:cs="Times New Roman"/>
          <w:i/>
          <w:iCs/>
          <w:sz w:val="24"/>
          <w:szCs w:val="24"/>
        </w:rPr>
        <w:t>.</w:t>
      </w:r>
      <w:r w:rsidR="00F454E5" w:rsidRPr="00E73BB1">
        <w:rPr>
          <w:rFonts w:ascii="Times New Roman" w:hAnsi="Times New Roman" w:cs="Times New Roman"/>
          <w:sz w:val="24"/>
          <w:szCs w:val="24"/>
        </w:rPr>
        <w:t xml:space="preserve"> </w:t>
      </w:r>
      <w:r w:rsidR="004E4D38" w:rsidRPr="00E73BB1">
        <w:rPr>
          <w:rFonts w:ascii="Times New Roman" w:hAnsi="Times New Roman" w:cs="Times New Roman"/>
          <w:sz w:val="24"/>
          <w:szCs w:val="24"/>
        </w:rPr>
        <w:t>The Body Areas Satisfaction Subscale from the Multidimensional Body-Self Relations Questionnaire</w:t>
      </w:r>
      <w:r w:rsidR="00076386" w:rsidRPr="00E73BB1">
        <w:rPr>
          <w:rFonts w:ascii="Times New Roman" w:hAnsi="Times New Roman" w:cs="Times New Roman"/>
          <w:sz w:val="24"/>
          <w:szCs w:val="24"/>
        </w:rPr>
        <w:t xml:space="preserve"> </w:t>
      </w:r>
      <w:r w:rsidR="00076386" w:rsidRPr="00E73BB1">
        <w:rPr>
          <w:rFonts w:ascii="Times New Roman" w:hAnsi="Times New Roman" w:cs="Times New Roman"/>
          <w:noProof/>
          <w:sz w:val="24"/>
          <w:szCs w:val="24"/>
        </w:rPr>
        <w:t>(Cash, 2000)</w:t>
      </w:r>
      <w:r w:rsidR="004E4D38" w:rsidRPr="00E73BB1">
        <w:rPr>
          <w:rFonts w:ascii="Times New Roman" w:hAnsi="Times New Roman" w:cs="Times New Roman"/>
          <w:sz w:val="24"/>
          <w:szCs w:val="24"/>
        </w:rPr>
        <w:t xml:space="preserve"> was used to assess body satisfaction. It consists of 9 items assessing satisfaction with various body areas</w:t>
      </w:r>
      <w:r w:rsidR="007B4C1B" w:rsidRPr="00E73BB1">
        <w:rPr>
          <w:rFonts w:ascii="Times New Roman" w:hAnsi="Times New Roman" w:cs="Times New Roman"/>
          <w:sz w:val="24"/>
          <w:szCs w:val="24"/>
        </w:rPr>
        <w:t xml:space="preserve"> (e.g., face, lower torso, </w:t>
      </w:r>
      <w:r w:rsidR="00B12C3B" w:rsidRPr="00E73BB1">
        <w:rPr>
          <w:rFonts w:ascii="Times New Roman" w:hAnsi="Times New Roman" w:cs="Times New Roman"/>
          <w:sz w:val="24"/>
          <w:szCs w:val="24"/>
        </w:rPr>
        <w:t>muscle tone)</w:t>
      </w:r>
      <w:r w:rsidR="004E4D38" w:rsidRPr="00E73BB1">
        <w:rPr>
          <w:rFonts w:ascii="Times New Roman" w:hAnsi="Times New Roman" w:cs="Times New Roman"/>
          <w:sz w:val="24"/>
          <w:szCs w:val="24"/>
        </w:rPr>
        <w:t xml:space="preserve">. Participants were asked to indicate </w:t>
      </w:r>
      <w:r w:rsidR="009631FA" w:rsidRPr="00E73BB1">
        <w:rPr>
          <w:rFonts w:ascii="Times New Roman" w:hAnsi="Times New Roman" w:cs="Times New Roman"/>
          <w:sz w:val="24"/>
          <w:szCs w:val="24"/>
        </w:rPr>
        <w:t>the extent of their satisfaction</w:t>
      </w:r>
      <w:r w:rsidR="004E4D38" w:rsidRPr="00E73BB1">
        <w:rPr>
          <w:rFonts w:ascii="Times New Roman" w:hAnsi="Times New Roman" w:cs="Times New Roman"/>
          <w:sz w:val="24"/>
          <w:szCs w:val="24"/>
        </w:rPr>
        <w:t xml:space="preserve"> on a 5-point scale (1 = </w:t>
      </w:r>
      <w:r w:rsidR="009631FA" w:rsidRPr="00E73BB1">
        <w:rPr>
          <w:rFonts w:ascii="Times New Roman" w:hAnsi="Times New Roman" w:cs="Times New Roman"/>
          <w:sz w:val="24"/>
          <w:szCs w:val="24"/>
        </w:rPr>
        <w:t>very unhappy</w:t>
      </w:r>
      <w:r w:rsidR="004E4D38" w:rsidRPr="00E73BB1">
        <w:rPr>
          <w:rFonts w:ascii="Times New Roman" w:hAnsi="Times New Roman" w:cs="Times New Roman"/>
          <w:sz w:val="24"/>
          <w:szCs w:val="24"/>
        </w:rPr>
        <w:t xml:space="preserve"> to 5 = </w:t>
      </w:r>
      <w:r w:rsidR="009631FA" w:rsidRPr="00E73BB1">
        <w:rPr>
          <w:rFonts w:ascii="Times New Roman" w:hAnsi="Times New Roman" w:cs="Times New Roman"/>
          <w:sz w:val="24"/>
          <w:szCs w:val="24"/>
        </w:rPr>
        <w:t>very happy</w:t>
      </w:r>
      <w:r w:rsidR="004E4D38" w:rsidRPr="00E73BB1">
        <w:rPr>
          <w:rFonts w:ascii="Times New Roman" w:hAnsi="Times New Roman" w:cs="Times New Roman"/>
          <w:sz w:val="24"/>
          <w:szCs w:val="24"/>
        </w:rPr>
        <w:t>)</w:t>
      </w:r>
      <w:r w:rsidR="00657E42" w:rsidRPr="00E73BB1">
        <w:rPr>
          <w:rFonts w:ascii="Times New Roman" w:hAnsi="Times New Roman" w:cs="Times New Roman"/>
          <w:sz w:val="24"/>
          <w:szCs w:val="24"/>
        </w:rPr>
        <w:t>. A mean score was calculated,</w:t>
      </w:r>
      <w:r w:rsidR="004E4D38" w:rsidRPr="00E73BB1">
        <w:rPr>
          <w:rFonts w:ascii="Times New Roman" w:hAnsi="Times New Roman" w:cs="Times New Roman"/>
          <w:sz w:val="24"/>
          <w:szCs w:val="24"/>
        </w:rPr>
        <w:t xml:space="preserve"> with higher scores indicating </w:t>
      </w:r>
      <w:r w:rsidR="00657E42" w:rsidRPr="00E73BB1">
        <w:rPr>
          <w:rFonts w:ascii="Times New Roman" w:hAnsi="Times New Roman" w:cs="Times New Roman"/>
          <w:sz w:val="24"/>
          <w:szCs w:val="24"/>
        </w:rPr>
        <w:t>greater overall satisfaction</w:t>
      </w:r>
      <w:r w:rsidR="004E4D38" w:rsidRPr="00E73BB1">
        <w:rPr>
          <w:rFonts w:ascii="Times New Roman" w:hAnsi="Times New Roman" w:cs="Times New Roman"/>
          <w:sz w:val="24"/>
          <w:szCs w:val="24"/>
        </w:rPr>
        <w:t xml:space="preserve">. </w:t>
      </w:r>
      <w:r w:rsidR="007C7932" w:rsidRPr="00E73BB1">
        <w:rPr>
          <w:rFonts w:ascii="Times New Roman" w:hAnsi="Times New Roman" w:cs="Times New Roman"/>
          <w:sz w:val="24"/>
          <w:szCs w:val="24"/>
        </w:rPr>
        <w:t>Cronbach’s alpha values indicated acceptable internal consistency (boys = .</w:t>
      </w:r>
      <w:r w:rsidR="005B58DF" w:rsidRPr="00E73BB1">
        <w:rPr>
          <w:rFonts w:ascii="Times New Roman" w:hAnsi="Times New Roman" w:cs="Times New Roman"/>
          <w:sz w:val="24"/>
          <w:szCs w:val="24"/>
        </w:rPr>
        <w:t>87</w:t>
      </w:r>
      <w:r w:rsidR="007C7932" w:rsidRPr="00E73BB1">
        <w:rPr>
          <w:rFonts w:ascii="Times New Roman" w:hAnsi="Times New Roman" w:cs="Times New Roman"/>
          <w:sz w:val="24"/>
          <w:szCs w:val="24"/>
        </w:rPr>
        <w:t xml:space="preserve">; girls = </w:t>
      </w:r>
      <w:r w:rsidR="005B58DF" w:rsidRPr="00E73BB1">
        <w:rPr>
          <w:rFonts w:ascii="Times New Roman" w:hAnsi="Times New Roman" w:cs="Times New Roman"/>
          <w:sz w:val="24"/>
          <w:szCs w:val="24"/>
        </w:rPr>
        <w:t>.87</w:t>
      </w:r>
      <w:r w:rsidR="007C7932" w:rsidRPr="00E73BB1">
        <w:rPr>
          <w:rFonts w:ascii="Times New Roman" w:hAnsi="Times New Roman" w:cs="Times New Roman"/>
          <w:sz w:val="24"/>
          <w:szCs w:val="24"/>
        </w:rPr>
        <w:t>).</w:t>
      </w:r>
    </w:p>
    <w:p w14:paraId="53492D96" w14:textId="2CA50C69" w:rsidR="00622800" w:rsidRPr="00E73BB1" w:rsidRDefault="001659F2" w:rsidP="00306AD4">
      <w:pPr>
        <w:widowControl w:val="0"/>
        <w:spacing w:after="0" w:line="480" w:lineRule="auto"/>
        <w:ind w:firstLine="720"/>
        <w:rPr>
          <w:rFonts w:ascii="Times New Roman" w:hAnsi="Times New Roman" w:cs="Times New Roman"/>
          <w:iCs/>
          <w:sz w:val="24"/>
          <w:szCs w:val="24"/>
        </w:rPr>
      </w:pPr>
      <w:r w:rsidRPr="00E73BB1">
        <w:rPr>
          <w:rFonts w:ascii="Times New Roman" w:hAnsi="Times New Roman" w:cs="Times New Roman"/>
          <w:b/>
          <w:bCs/>
          <w:iCs/>
          <w:sz w:val="24"/>
          <w:szCs w:val="24"/>
        </w:rPr>
        <w:t xml:space="preserve">5.1.2.3. </w:t>
      </w:r>
      <w:r w:rsidR="00622800" w:rsidRPr="00E73BB1">
        <w:rPr>
          <w:rFonts w:ascii="Times New Roman" w:hAnsi="Times New Roman" w:cs="Times New Roman"/>
          <w:b/>
          <w:bCs/>
          <w:iCs/>
          <w:sz w:val="24"/>
          <w:szCs w:val="24"/>
        </w:rPr>
        <w:t xml:space="preserve">Internalisation of </w:t>
      </w:r>
      <w:r w:rsidR="00FB65B7" w:rsidRPr="00E73BB1">
        <w:rPr>
          <w:rFonts w:ascii="Times New Roman" w:hAnsi="Times New Roman" w:cs="Times New Roman"/>
          <w:b/>
          <w:bCs/>
          <w:iCs/>
          <w:sz w:val="24"/>
          <w:szCs w:val="24"/>
        </w:rPr>
        <w:t>A</w:t>
      </w:r>
      <w:r w:rsidR="00622800" w:rsidRPr="00E73BB1">
        <w:rPr>
          <w:rFonts w:ascii="Times New Roman" w:hAnsi="Times New Roman" w:cs="Times New Roman"/>
          <w:b/>
          <w:bCs/>
          <w:iCs/>
          <w:sz w:val="24"/>
          <w:szCs w:val="24"/>
        </w:rPr>
        <w:t xml:space="preserve">ppearance </w:t>
      </w:r>
      <w:r w:rsidR="00FB65B7" w:rsidRPr="00E73BB1">
        <w:rPr>
          <w:rFonts w:ascii="Times New Roman" w:hAnsi="Times New Roman" w:cs="Times New Roman"/>
          <w:b/>
          <w:bCs/>
          <w:iCs/>
          <w:sz w:val="24"/>
          <w:szCs w:val="24"/>
        </w:rPr>
        <w:t>I</w:t>
      </w:r>
      <w:r w:rsidR="00622800" w:rsidRPr="00E73BB1">
        <w:rPr>
          <w:rFonts w:ascii="Times New Roman" w:hAnsi="Times New Roman" w:cs="Times New Roman"/>
          <w:b/>
          <w:bCs/>
          <w:iCs/>
          <w:sz w:val="24"/>
          <w:szCs w:val="24"/>
        </w:rPr>
        <w:t>deals.</w:t>
      </w:r>
      <w:r w:rsidR="00622800" w:rsidRPr="00E73BB1">
        <w:rPr>
          <w:rFonts w:ascii="Times New Roman" w:hAnsi="Times New Roman" w:cs="Times New Roman"/>
          <w:i/>
          <w:sz w:val="24"/>
          <w:szCs w:val="24"/>
        </w:rPr>
        <w:t xml:space="preserve"> </w:t>
      </w:r>
      <w:r w:rsidR="00521F49" w:rsidRPr="00E73BB1">
        <w:rPr>
          <w:rFonts w:ascii="Times New Roman" w:hAnsi="Times New Roman" w:cs="Times New Roman"/>
          <w:iCs/>
          <w:sz w:val="24"/>
          <w:szCs w:val="24"/>
        </w:rPr>
        <w:t xml:space="preserve">Two subscales of the </w:t>
      </w:r>
      <w:r w:rsidR="00622800" w:rsidRPr="00E73BB1">
        <w:rPr>
          <w:rFonts w:ascii="Times New Roman" w:hAnsi="Times New Roman" w:cs="Times New Roman"/>
          <w:iCs/>
          <w:sz w:val="24"/>
          <w:szCs w:val="24"/>
        </w:rPr>
        <w:t>Sociocultural Attitudes Towards Appearance Questionnaire-3</w:t>
      </w:r>
      <w:r w:rsidR="00A86EE7" w:rsidRPr="00E73BB1">
        <w:rPr>
          <w:rFonts w:ascii="Times New Roman" w:hAnsi="Times New Roman" w:cs="Times New Roman"/>
          <w:iCs/>
          <w:sz w:val="24"/>
          <w:szCs w:val="24"/>
        </w:rPr>
        <w:t xml:space="preserve"> </w:t>
      </w:r>
      <w:r w:rsidR="00A86EE7" w:rsidRPr="00E73BB1">
        <w:rPr>
          <w:rFonts w:ascii="Times New Roman" w:hAnsi="Times New Roman" w:cs="Times New Roman"/>
          <w:iCs/>
          <w:noProof/>
          <w:sz w:val="24"/>
          <w:szCs w:val="24"/>
        </w:rPr>
        <w:t>(Thompson et al., 2004)</w:t>
      </w:r>
      <w:r w:rsidR="00622800" w:rsidRPr="00E73BB1">
        <w:rPr>
          <w:rFonts w:ascii="Times New Roman" w:hAnsi="Times New Roman" w:cs="Times New Roman"/>
          <w:iCs/>
          <w:sz w:val="24"/>
          <w:szCs w:val="24"/>
        </w:rPr>
        <w:t xml:space="preserve"> </w:t>
      </w:r>
      <w:r w:rsidR="004C19E1" w:rsidRPr="00E73BB1">
        <w:rPr>
          <w:rFonts w:ascii="Times New Roman" w:hAnsi="Times New Roman" w:cs="Times New Roman"/>
          <w:iCs/>
          <w:sz w:val="24"/>
          <w:szCs w:val="24"/>
        </w:rPr>
        <w:t>were</w:t>
      </w:r>
      <w:r w:rsidR="00521F49" w:rsidRPr="00E73BB1">
        <w:rPr>
          <w:rFonts w:ascii="Times New Roman" w:hAnsi="Times New Roman" w:cs="Times New Roman"/>
          <w:iCs/>
          <w:sz w:val="24"/>
          <w:szCs w:val="24"/>
        </w:rPr>
        <w:t xml:space="preserve"> used to assess extent of personal subscription to societal appearance ideals: General</w:t>
      </w:r>
      <w:r w:rsidR="00622800" w:rsidRPr="00E73BB1">
        <w:rPr>
          <w:rFonts w:ascii="Times New Roman" w:hAnsi="Times New Roman" w:cs="Times New Roman"/>
          <w:iCs/>
          <w:sz w:val="24"/>
          <w:szCs w:val="24"/>
        </w:rPr>
        <w:t xml:space="preserve"> internalisation (e.g., “I would like my body to look like the bodies of people who are on TV”)</w:t>
      </w:r>
      <w:r w:rsidR="004C19E1" w:rsidRPr="00E73BB1">
        <w:rPr>
          <w:rFonts w:ascii="Times New Roman" w:hAnsi="Times New Roman" w:cs="Times New Roman"/>
          <w:iCs/>
          <w:sz w:val="24"/>
          <w:szCs w:val="24"/>
        </w:rPr>
        <w:t>,</w:t>
      </w:r>
      <w:r w:rsidR="00622800" w:rsidRPr="00E73BB1">
        <w:rPr>
          <w:rFonts w:ascii="Times New Roman" w:hAnsi="Times New Roman" w:cs="Times New Roman"/>
          <w:iCs/>
          <w:sz w:val="24"/>
          <w:szCs w:val="24"/>
        </w:rPr>
        <w:t xml:space="preserve"> and </w:t>
      </w:r>
      <w:r w:rsidR="00426295" w:rsidRPr="00E73BB1">
        <w:rPr>
          <w:rFonts w:ascii="Times New Roman" w:hAnsi="Times New Roman" w:cs="Times New Roman"/>
          <w:iCs/>
          <w:sz w:val="24"/>
          <w:szCs w:val="24"/>
        </w:rPr>
        <w:t>A</w:t>
      </w:r>
      <w:r w:rsidR="00622800" w:rsidRPr="00E73BB1">
        <w:rPr>
          <w:rFonts w:ascii="Times New Roman" w:hAnsi="Times New Roman" w:cs="Times New Roman"/>
          <w:iCs/>
          <w:sz w:val="24"/>
          <w:szCs w:val="24"/>
        </w:rPr>
        <w:t>thletic internalisation (e.g., “I wish I looked as athletic as sports stars”). Participants rated each item from 1 (Totally disagree) to 5 (Totally agree)</w:t>
      </w:r>
      <w:r w:rsidR="004C19E1" w:rsidRPr="00E73BB1">
        <w:rPr>
          <w:rFonts w:ascii="Times New Roman" w:hAnsi="Times New Roman" w:cs="Times New Roman"/>
          <w:iCs/>
          <w:sz w:val="24"/>
          <w:szCs w:val="24"/>
        </w:rPr>
        <w:t xml:space="preserve">, with mean scores indicating higher </w:t>
      </w:r>
      <w:r w:rsidR="004C19E1" w:rsidRPr="00E73BB1">
        <w:rPr>
          <w:rFonts w:ascii="Times New Roman" w:hAnsi="Times New Roman" w:cs="Times New Roman"/>
          <w:iCs/>
          <w:sz w:val="24"/>
          <w:szCs w:val="24"/>
        </w:rPr>
        <w:lastRenderedPageBreak/>
        <w:t xml:space="preserve">internalisation. </w:t>
      </w:r>
      <w:r w:rsidR="00244EB4" w:rsidRPr="00E73BB1">
        <w:rPr>
          <w:rFonts w:ascii="Times New Roman" w:hAnsi="Times New Roman" w:cs="Times New Roman"/>
          <w:sz w:val="24"/>
          <w:szCs w:val="24"/>
        </w:rPr>
        <w:t xml:space="preserve">Cronbach’s alpha values indicated acceptable internal consistency </w:t>
      </w:r>
      <w:r w:rsidR="00BE39E2" w:rsidRPr="00E73BB1">
        <w:rPr>
          <w:rFonts w:ascii="Times New Roman" w:hAnsi="Times New Roman" w:cs="Times New Roman"/>
          <w:sz w:val="24"/>
          <w:szCs w:val="24"/>
        </w:rPr>
        <w:t>overall</w:t>
      </w:r>
      <w:r w:rsidR="0077671E" w:rsidRPr="00E73BB1">
        <w:rPr>
          <w:rFonts w:ascii="Times New Roman" w:hAnsi="Times New Roman" w:cs="Times New Roman"/>
          <w:sz w:val="24"/>
          <w:szCs w:val="24"/>
        </w:rPr>
        <w:t xml:space="preserve"> (boys = .95; girls = .96)</w:t>
      </w:r>
      <w:r w:rsidR="00BE39E2" w:rsidRPr="00E73BB1">
        <w:rPr>
          <w:rFonts w:ascii="Times New Roman" w:hAnsi="Times New Roman" w:cs="Times New Roman"/>
          <w:sz w:val="24"/>
          <w:szCs w:val="24"/>
        </w:rPr>
        <w:t>, and for individual subscales (</w:t>
      </w:r>
      <w:r w:rsidR="00244EB4" w:rsidRPr="00E73BB1">
        <w:rPr>
          <w:rFonts w:ascii="Times New Roman" w:hAnsi="Times New Roman" w:cs="Times New Roman"/>
          <w:sz w:val="24"/>
          <w:szCs w:val="24"/>
        </w:rPr>
        <w:t>General</w:t>
      </w:r>
      <w:r w:rsidR="00BE39E2" w:rsidRPr="00E73BB1">
        <w:rPr>
          <w:rFonts w:ascii="Times New Roman" w:hAnsi="Times New Roman" w:cs="Times New Roman"/>
          <w:sz w:val="24"/>
          <w:szCs w:val="24"/>
        </w:rPr>
        <w:t xml:space="preserve">: </w:t>
      </w:r>
      <w:r w:rsidR="00244EB4" w:rsidRPr="00E73BB1">
        <w:rPr>
          <w:rFonts w:ascii="Times New Roman" w:hAnsi="Times New Roman" w:cs="Times New Roman"/>
          <w:sz w:val="24"/>
          <w:szCs w:val="24"/>
        </w:rPr>
        <w:t>boys = .94; girls = .95</w:t>
      </w:r>
      <w:r w:rsidR="00BE39E2" w:rsidRPr="00E73BB1">
        <w:rPr>
          <w:rFonts w:ascii="Times New Roman" w:hAnsi="Times New Roman" w:cs="Times New Roman"/>
          <w:sz w:val="24"/>
          <w:szCs w:val="24"/>
        </w:rPr>
        <w:t xml:space="preserve">; </w:t>
      </w:r>
      <w:r w:rsidR="00244EB4" w:rsidRPr="00E73BB1">
        <w:rPr>
          <w:rFonts w:ascii="Times New Roman" w:hAnsi="Times New Roman" w:cs="Times New Roman"/>
          <w:sz w:val="24"/>
          <w:szCs w:val="24"/>
        </w:rPr>
        <w:t>Athletic</w:t>
      </w:r>
      <w:r w:rsidR="00BE39E2" w:rsidRPr="00E73BB1">
        <w:rPr>
          <w:rFonts w:ascii="Times New Roman" w:hAnsi="Times New Roman" w:cs="Times New Roman"/>
          <w:sz w:val="24"/>
          <w:szCs w:val="24"/>
        </w:rPr>
        <w:t xml:space="preserve">: </w:t>
      </w:r>
      <w:r w:rsidR="00965FD9" w:rsidRPr="00E73BB1">
        <w:rPr>
          <w:rFonts w:ascii="Times New Roman" w:hAnsi="Times New Roman" w:cs="Times New Roman"/>
          <w:sz w:val="24"/>
          <w:szCs w:val="24"/>
        </w:rPr>
        <w:t>boys = .</w:t>
      </w:r>
      <w:r w:rsidR="00BE39E2" w:rsidRPr="00E73BB1">
        <w:rPr>
          <w:rFonts w:ascii="Times New Roman" w:hAnsi="Times New Roman" w:cs="Times New Roman"/>
          <w:sz w:val="24"/>
          <w:szCs w:val="24"/>
        </w:rPr>
        <w:t>88</w:t>
      </w:r>
      <w:r w:rsidR="00965FD9" w:rsidRPr="00E73BB1">
        <w:rPr>
          <w:rFonts w:ascii="Times New Roman" w:hAnsi="Times New Roman" w:cs="Times New Roman"/>
          <w:sz w:val="24"/>
          <w:szCs w:val="24"/>
        </w:rPr>
        <w:t>; girls = .</w:t>
      </w:r>
      <w:r w:rsidR="00BE39E2" w:rsidRPr="00E73BB1">
        <w:rPr>
          <w:rFonts w:ascii="Times New Roman" w:hAnsi="Times New Roman" w:cs="Times New Roman"/>
          <w:sz w:val="24"/>
          <w:szCs w:val="24"/>
        </w:rPr>
        <w:t>88</w:t>
      </w:r>
      <w:r w:rsidR="00965FD9" w:rsidRPr="00E73BB1">
        <w:rPr>
          <w:rFonts w:ascii="Times New Roman" w:hAnsi="Times New Roman" w:cs="Times New Roman"/>
          <w:sz w:val="24"/>
          <w:szCs w:val="24"/>
        </w:rPr>
        <w:t>)</w:t>
      </w:r>
      <w:r w:rsidR="00244EB4" w:rsidRPr="00E73BB1">
        <w:rPr>
          <w:rFonts w:ascii="Times New Roman" w:hAnsi="Times New Roman" w:cs="Times New Roman"/>
          <w:sz w:val="24"/>
          <w:szCs w:val="24"/>
        </w:rPr>
        <w:t>.</w:t>
      </w:r>
    </w:p>
    <w:p w14:paraId="7C1A0B0C" w14:textId="581A9D58" w:rsidR="00154B74" w:rsidRPr="00E73BB1" w:rsidRDefault="001659F2" w:rsidP="00306AD4">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b/>
          <w:bCs/>
          <w:sz w:val="24"/>
          <w:szCs w:val="24"/>
        </w:rPr>
        <w:t xml:space="preserve">5.1.2.4. </w:t>
      </w:r>
      <w:r w:rsidR="00016893" w:rsidRPr="00E73BB1">
        <w:rPr>
          <w:rFonts w:ascii="Times New Roman" w:hAnsi="Times New Roman" w:cs="Times New Roman"/>
          <w:b/>
          <w:bCs/>
          <w:sz w:val="24"/>
          <w:szCs w:val="24"/>
        </w:rPr>
        <w:t xml:space="preserve">Positive and </w:t>
      </w:r>
      <w:r w:rsidR="00FB65B7" w:rsidRPr="00E73BB1">
        <w:rPr>
          <w:rFonts w:ascii="Times New Roman" w:hAnsi="Times New Roman" w:cs="Times New Roman"/>
          <w:b/>
          <w:bCs/>
          <w:sz w:val="24"/>
          <w:szCs w:val="24"/>
        </w:rPr>
        <w:t>N</w:t>
      </w:r>
      <w:r w:rsidR="00154B74" w:rsidRPr="00E73BB1">
        <w:rPr>
          <w:rFonts w:ascii="Times New Roman" w:hAnsi="Times New Roman" w:cs="Times New Roman"/>
          <w:b/>
          <w:bCs/>
          <w:sz w:val="24"/>
          <w:szCs w:val="24"/>
        </w:rPr>
        <w:t xml:space="preserve">egative </w:t>
      </w:r>
      <w:r w:rsidR="00FB65B7" w:rsidRPr="00E73BB1">
        <w:rPr>
          <w:rFonts w:ascii="Times New Roman" w:hAnsi="Times New Roman" w:cs="Times New Roman"/>
          <w:b/>
          <w:bCs/>
          <w:sz w:val="24"/>
          <w:szCs w:val="24"/>
        </w:rPr>
        <w:t>A</w:t>
      </w:r>
      <w:r w:rsidR="00154B74" w:rsidRPr="00E73BB1">
        <w:rPr>
          <w:rFonts w:ascii="Times New Roman" w:hAnsi="Times New Roman" w:cs="Times New Roman"/>
          <w:b/>
          <w:bCs/>
          <w:sz w:val="24"/>
          <w:szCs w:val="24"/>
        </w:rPr>
        <w:t>ffect.</w:t>
      </w:r>
      <w:r w:rsidR="00154B74" w:rsidRPr="00E73BB1">
        <w:rPr>
          <w:rFonts w:ascii="Times New Roman" w:hAnsi="Times New Roman" w:cs="Times New Roman"/>
          <w:sz w:val="24"/>
          <w:szCs w:val="24"/>
        </w:rPr>
        <w:t xml:space="preserve"> </w:t>
      </w:r>
      <w:r w:rsidR="00F03AB5" w:rsidRPr="00E73BB1">
        <w:rPr>
          <w:rFonts w:ascii="Times New Roman" w:hAnsi="Times New Roman" w:cs="Times New Roman"/>
          <w:sz w:val="24"/>
          <w:szCs w:val="24"/>
        </w:rPr>
        <w:t>Frequency of positive and negative mood states</w:t>
      </w:r>
      <w:r w:rsidR="000148A4" w:rsidRPr="00E73BB1">
        <w:rPr>
          <w:rFonts w:ascii="Times New Roman" w:hAnsi="Times New Roman" w:cs="Times New Roman"/>
          <w:sz w:val="24"/>
          <w:szCs w:val="24"/>
        </w:rPr>
        <w:t xml:space="preserve"> were assessed using the </w:t>
      </w:r>
      <w:r w:rsidR="00F03AB5" w:rsidRPr="00E73BB1">
        <w:rPr>
          <w:rFonts w:ascii="Times New Roman" w:hAnsi="Times New Roman" w:cs="Times New Roman"/>
          <w:sz w:val="24"/>
          <w:szCs w:val="24"/>
        </w:rPr>
        <w:t>Positive and Negative Affect Schedule for Children, Child Shortened Version</w:t>
      </w:r>
      <w:r w:rsidR="000148A4" w:rsidRPr="00E73BB1">
        <w:rPr>
          <w:rFonts w:ascii="Times New Roman" w:hAnsi="Times New Roman" w:cs="Times New Roman"/>
          <w:sz w:val="24"/>
          <w:szCs w:val="24"/>
        </w:rPr>
        <w:t xml:space="preserve"> </w:t>
      </w:r>
      <w:r w:rsidR="00A71484" w:rsidRPr="00E73BB1">
        <w:rPr>
          <w:rFonts w:ascii="Times New Roman" w:hAnsi="Times New Roman" w:cs="Times New Roman"/>
          <w:noProof/>
          <w:sz w:val="24"/>
          <w:szCs w:val="24"/>
        </w:rPr>
        <w:t>(Ebesutani et al., 2012)</w:t>
      </w:r>
      <w:r w:rsidR="00C308E8" w:rsidRPr="00E73BB1">
        <w:rPr>
          <w:rFonts w:ascii="Times New Roman" w:hAnsi="Times New Roman" w:cs="Times New Roman"/>
          <w:sz w:val="24"/>
          <w:szCs w:val="24"/>
        </w:rPr>
        <w:t>. F</w:t>
      </w:r>
      <w:r w:rsidR="00F03AB5" w:rsidRPr="00E73BB1">
        <w:rPr>
          <w:rFonts w:ascii="Times New Roman" w:hAnsi="Times New Roman" w:cs="Times New Roman"/>
          <w:sz w:val="24"/>
          <w:szCs w:val="24"/>
        </w:rPr>
        <w:t xml:space="preserve">ive positive (e.g., cheerful) and five negative (e.g., sad) </w:t>
      </w:r>
      <w:r w:rsidR="00C308E8" w:rsidRPr="00E73BB1">
        <w:rPr>
          <w:rFonts w:ascii="Times New Roman" w:hAnsi="Times New Roman" w:cs="Times New Roman"/>
          <w:sz w:val="24"/>
          <w:szCs w:val="24"/>
        </w:rPr>
        <w:t>affective</w:t>
      </w:r>
      <w:r w:rsidR="00F03AB5" w:rsidRPr="00E73BB1">
        <w:rPr>
          <w:rFonts w:ascii="Times New Roman" w:hAnsi="Times New Roman" w:cs="Times New Roman"/>
          <w:sz w:val="24"/>
          <w:szCs w:val="24"/>
        </w:rPr>
        <w:t xml:space="preserve"> states </w:t>
      </w:r>
      <w:r w:rsidR="004C254B" w:rsidRPr="00E73BB1">
        <w:rPr>
          <w:rFonts w:ascii="Times New Roman" w:hAnsi="Times New Roman" w:cs="Times New Roman"/>
          <w:sz w:val="24"/>
          <w:szCs w:val="24"/>
        </w:rPr>
        <w:t>are rated on a</w:t>
      </w:r>
      <w:r w:rsidR="00F03AB5" w:rsidRPr="00E73BB1">
        <w:rPr>
          <w:rFonts w:ascii="Times New Roman" w:hAnsi="Times New Roman" w:cs="Times New Roman"/>
          <w:sz w:val="24"/>
          <w:szCs w:val="24"/>
        </w:rPr>
        <w:t xml:space="preserve"> scale from 1 (“Very slightly/Not at all”) to 5 (“Extremely/Very much”). </w:t>
      </w:r>
      <w:r w:rsidR="004C254B" w:rsidRPr="00E73BB1">
        <w:rPr>
          <w:rFonts w:ascii="Times New Roman" w:hAnsi="Times New Roman" w:cs="Times New Roman"/>
          <w:sz w:val="24"/>
          <w:szCs w:val="24"/>
        </w:rPr>
        <w:t>Mean scores were calculated separately for</w:t>
      </w:r>
      <w:r w:rsidR="00F03AB5" w:rsidRPr="00E73BB1">
        <w:rPr>
          <w:rFonts w:ascii="Times New Roman" w:hAnsi="Times New Roman" w:cs="Times New Roman"/>
          <w:sz w:val="24"/>
          <w:szCs w:val="24"/>
        </w:rPr>
        <w:t xml:space="preserve"> Positive Affect </w:t>
      </w:r>
      <w:r w:rsidR="00AC48F0" w:rsidRPr="00E73BB1">
        <w:rPr>
          <w:rFonts w:ascii="Times New Roman" w:hAnsi="Times New Roman" w:cs="Times New Roman"/>
          <w:sz w:val="24"/>
          <w:szCs w:val="24"/>
        </w:rPr>
        <w:t xml:space="preserve">(PA) </w:t>
      </w:r>
      <w:r w:rsidR="00F03AB5" w:rsidRPr="00E73BB1">
        <w:rPr>
          <w:rFonts w:ascii="Times New Roman" w:hAnsi="Times New Roman" w:cs="Times New Roman"/>
          <w:sz w:val="24"/>
          <w:szCs w:val="24"/>
        </w:rPr>
        <w:t>and Negative Affect</w:t>
      </w:r>
      <w:r w:rsidR="00AC48F0" w:rsidRPr="00E73BB1">
        <w:rPr>
          <w:rFonts w:ascii="Times New Roman" w:hAnsi="Times New Roman" w:cs="Times New Roman"/>
          <w:sz w:val="24"/>
          <w:szCs w:val="24"/>
        </w:rPr>
        <w:t xml:space="preserve"> (NA)</w:t>
      </w:r>
      <w:r w:rsidR="00F03AB5" w:rsidRPr="00E73BB1">
        <w:rPr>
          <w:rFonts w:ascii="Times New Roman" w:hAnsi="Times New Roman" w:cs="Times New Roman"/>
          <w:sz w:val="24"/>
          <w:szCs w:val="24"/>
        </w:rPr>
        <w:t xml:space="preserve"> subscale</w:t>
      </w:r>
      <w:r w:rsidR="004C254B" w:rsidRPr="00E73BB1">
        <w:rPr>
          <w:rFonts w:ascii="Times New Roman" w:hAnsi="Times New Roman" w:cs="Times New Roman"/>
          <w:sz w:val="24"/>
          <w:szCs w:val="24"/>
        </w:rPr>
        <w:t xml:space="preserve">s. </w:t>
      </w:r>
      <w:r w:rsidR="00E44450" w:rsidRPr="00E73BB1">
        <w:rPr>
          <w:rFonts w:ascii="Times New Roman" w:hAnsi="Times New Roman" w:cs="Times New Roman"/>
          <w:sz w:val="24"/>
          <w:szCs w:val="24"/>
        </w:rPr>
        <w:t xml:space="preserve">Cronbach’s alpha values indicated acceptable internal consistency for </w:t>
      </w:r>
      <w:r w:rsidR="00AC48F0" w:rsidRPr="00E73BB1">
        <w:rPr>
          <w:rFonts w:ascii="Times New Roman" w:hAnsi="Times New Roman" w:cs="Times New Roman"/>
          <w:sz w:val="24"/>
          <w:szCs w:val="24"/>
        </w:rPr>
        <w:t>both</w:t>
      </w:r>
      <w:r w:rsidR="00E44450" w:rsidRPr="00E73BB1">
        <w:rPr>
          <w:rFonts w:ascii="Times New Roman" w:hAnsi="Times New Roman" w:cs="Times New Roman"/>
          <w:sz w:val="24"/>
          <w:szCs w:val="24"/>
        </w:rPr>
        <w:t xml:space="preserve"> (</w:t>
      </w:r>
      <w:r w:rsidR="00AC48F0" w:rsidRPr="00E73BB1">
        <w:rPr>
          <w:rFonts w:ascii="Times New Roman" w:hAnsi="Times New Roman" w:cs="Times New Roman"/>
          <w:sz w:val="24"/>
          <w:szCs w:val="24"/>
        </w:rPr>
        <w:t xml:space="preserve">PA: </w:t>
      </w:r>
      <w:r w:rsidR="00E44450" w:rsidRPr="00E73BB1">
        <w:rPr>
          <w:rFonts w:ascii="Times New Roman" w:hAnsi="Times New Roman" w:cs="Times New Roman"/>
          <w:sz w:val="24"/>
          <w:szCs w:val="24"/>
        </w:rPr>
        <w:t>boys = .</w:t>
      </w:r>
      <w:r w:rsidR="00F91950" w:rsidRPr="00E73BB1">
        <w:rPr>
          <w:rFonts w:ascii="Times New Roman" w:hAnsi="Times New Roman" w:cs="Times New Roman"/>
          <w:sz w:val="24"/>
          <w:szCs w:val="24"/>
        </w:rPr>
        <w:t>89</w:t>
      </w:r>
      <w:r w:rsidR="00E44450" w:rsidRPr="00E73BB1">
        <w:rPr>
          <w:rFonts w:ascii="Times New Roman" w:hAnsi="Times New Roman" w:cs="Times New Roman"/>
          <w:sz w:val="24"/>
          <w:szCs w:val="24"/>
        </w:rPr>
        <w:t>; girls = .</w:t>
      </w:r>
      <w:r w:rsidR="00F91950" w:rsidRPr="00E73BB1">
        <w:rPr>
          <w:rFonts w:ascii="Times New Roman" w:hAnsi="Times New Roman" w:cs="Times New Roman"/>
          <w:sz w:val="24"/>
          <w:szCs w:val="24"/>
        </w:rPr>
        <w:t>90</w:t>
      </w:r>
      <w:r w:rsidR="00AC48F0" w:rsidRPr="00E73BB1">
        <w:rPr>
          <w:rFonts w:ascii="Times New Roman" w:hAnsi="Times New Roman" w:cs="Times New Roman"/>
          <w:sz w:val="24"/>
          <w:szCs w:val="24"/>
        </w:rPr>
        <w:t>; NA</w:t>
      </w:r>
      <w:r w:rsidR="00E44450" w:rsidRPr="00E73BB1">
        <w:rPr>
          <w:rFonts w:ascii="Times New Roman" w:hAnsi="Times New Roman" w:cs="Times New Roman"/>
          <w:sz w:val="24"/>
          <w:szCs w:val="24"/>
        </w:rPr>
        <w:t>: boys = .</w:t>
      </w:r>
      <w:r w:rsidR="00F91950" w:rsidRPr="00E73BB1">
        <w:rPr>
          <w:rFonts w:ascii="Times New Roman" w:hAnsi="Times New Roman" w:cs="Times New Roman"/>
          <w:sz w:val="24"/>
          <w:szCs w:val="24"/>
        </w:rPr>
        <w:t>77</w:t>
      </w:r>
      <w:r w:rsidR="00E44450" w:rsidRPr="00E73BB1">
        <w:rPr>
          <w:rFonts w:ascii="Times New Roman" w:hAnsi="Times New Roman" w:cs="Times New Roman"/>
          <w:sz w:val="24"/>
          <w:szCs w:val="24"/>
        </w:rPr>
        <w:t>; girls = .</w:t>
      </w:r>
      <w:r w:rsidR="00F91950" w:rsidRPr="00E73BB1">
        <w:rPr>
          <w:rFonts w:ascii="Times New Roman" w:hAnsi="Times New Roman" w:cs="Times New Roman"/>
          <w:sz w:val="24"/>
          <w:szCs w:val="24"/>
        </w:rPr>
        <w:t>86)</w:t>
      </w:r>
      <w:r w:rsidR="00E44450" w:rsidRPr="00E73BB1">
        <w:rPr>
          <w:rFonts w:ascii="Times New Roman" w:hAnsi="Times New Roman" w:cs="Times New Roman"/>
          <w:sz w:val="24"/>
          <w:szCs w:val="24"/>
        </w:rPr>
        <w:t>.</w:t>
      </w:r>
    </w:p>
    <w:p w14:paraId="6F0237C8" w14:textId="33484542" w:rsidR="00016893" w:rsidRPr="00E73BB1" w:rsidRDefault="001659F2" w:rsidP="00306AD4">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b/>
          <w:bCs/>
          <w:iCs/>
          <w:sz w:val="24"/>
          <w:szCs w:val="24"/>
        </w:rPr>
        <w:t xml:space="preserve">5.1.2.5. </w:t>
      </w:r>
      <w:r w:rsidR="00016893" w:rsidRPr="00E73BB1">
        <w:rPr>
          <w:rFonts w:ascii="Times New Roman" w:hAnsi="Times New Roman" w:cs="Times New Roman"/>
          <w:b/>
          <w:bCs/>
          <w:iCs/>
          <w:sz w:val="24"/>
          <w:szCs w:val="24"/>
        </w:rPr>
        <w:t xml:space="preserve">Psychosocial </w:t>
      </w:r>
      <w:r w:rsidR="00FB65B7" w:rsidRPr="00E73BB1">
        <w:rPr>
          <w:rFonts w:ascii="Times New Roman" w:hAnsi="Times New Roman" w:cs="Times New Roman"/>
          <w:b/>
          <w:bCs/>
          <w:iCs/>
          <w:sz w:val="24"/>
          <w:szCs w:val="24"/>
        </w:rPr>
        <w:t>I</w:t>
      </w:r>
      <w:r w:rsidR="00016893" w:rsidRPr="00E73BB1">
        <w:rPr>
          <w:rFonts w:ascii="Times New Roman" w:hAnsi="Times New Roman" w:cs="Times New Roman"/>
          <w:b/>
          <w:bCs/>
          <w:iCs/>
          <w:sz w:val="24"/>
          <w:szCs w:val="24"/>
        </w:rPr>
        <w:t>mpairment</w:t>
      </w:r>
      <w:r w:rsidR="00DD655C" w:rsidRPr="00E73BB1">
        <w:rPr>
          <w:rFonts w:ascii="Times New Roman" w:hAnsi="Times New Roman" w:cs="Times New Roman"/>
          <w:b/>
          <w:bCs/>
          <w:iCs/>
          <w:sz w:val="24"/>
          <w:szCs w:val="24"/>
        </w:rPr>
        <w:t xml:space="preserve"> </w:t>
      </w:r>
      <w:r w:rsidR="00FB65B7" w:rsidRPr="00E73BB1">
        <w:rPr>
          <w:rFonts w:ascii="Times New Roman" w:hAnsi="Times New Roman" w:cs="Times New Roman"/>
          <w:b/>
          <w:bCs/>
          <w:iCs/>
          <w:sz w:val="24"/>
          <w:szCs w:val="24"/>
        </w:rPr>
        <w:t>Secondary</w:t>
      </w:r>
      <w:r w:rsidR="00DD655C" w:rsidRPr="00E73BB1">
        <w:rPr>
          <w:rFonts w:ascii="Times New Roman" w:hAnsi="Times New Roman" w:cs="Times New Roman"/>
          <w:b/>
          <w:bCs/>
          <w:iCs/>
          <w:sz w:val="24"/>
          <w:szCs w:val="24"/>
        </w:rPr>
        <w:t xml:space="preserve"> to </w:t>
      </w:r>
      <w:r w:rsidR="00FB65B7" w:rsidRPr="00E73BB1">
        <w:rPr>
          <w:rFonts w:ascii="Times New Roman" w:hAnsi="Times New Roman" w:cs="Times New Roman"/>
          <w:b/>
          <w:bCs/>
          <w:iCs/>
          <w:sz w:val="24"/>
          <w:szCs w:val="24"/>
        </w:rPr>
        <w:t>E</w:t>
      </w:r>
      <w:r w:rsidR="00DD655C" w:rsidRPr="00E73BB1">
        <w:rPr>
          <w:rFonts w:ascii="Times New Roman" w:hAnsi="Times New Roman" w:cs="Times New Roman"/>
          <w:b/>
          <w:bCs/>
          <w:iCs/>
          <w:sz w:val="24"/>
          <w:szCs w:val="24"/>
        </w:rPr>
        <w:t xml:space="preserve">ating </w:t>
      </w:r>
      <w:r w:rsidR="00FB65B7" w:rsidRPr="00E73BB1">
        <w:rPr>
          <w:rFonts w:ascii="Times New Roman" w:hAnsi="Times New Roman" w:cs="Times New Roman"/>
          <w:b/>
          <w:bCs/>
          <w:iCs/>
          <w:sz w:val="24"/>
          <w:szCs w:val="24"/>
        </w:rPr>
        <w:t>D</w:t>
      </w:r>
      <w:r w:rsidR="00DD655C" w:rsidRPr="00E73BB1">
        <w:rPr>
          <w:rFonts w:ascii="Times New Roman" w:hAnsi="Times New Roman" w:cs="Times New Roman"/>
          <w:b/>
          <w:bCs/>
          <w:iCs/>
          <w:sz w:val="24"/>
          <w:szCs w:val="24"/>
        </w:rPr>
        <w:t xml:space="preserve">isorder </w:t>
      </w:r>
      <w:r w:rsidR="00FB65B7" w:rsidRPr="00E73BB1">
        <w:rPr>
          <w:rFonts w:ascii="Times New Roman" w:hAnsi="Times New Roman" w:cs="Times New Roman"/>
          <w:b/>
          <w:bCs/>
          <w:iCs/>
          <w:sz w:val="24"/>
          <w:szCs w:val="24"/>
        </w:rPr>
        <w:t>P</w:t>
      </w:r>
      <w:r w:rsidR="00DD655C" w:rsidRPr="00E73BB1">
        <w:rPr>
          <w:rFonts w:ascii="Times New Roman" w:hAnsi="Times New Roman" w:cs="Times New Roman"/>
          <w:b/>
          <w:bCs/>
          <w:iCs/>
          <w:sz w:val="24"/>
          <w:szCs w:val="24"/>
        </w:rPr>
        <w:t>athology</w:t>
      </w:r>
      <w:r w:rsidR="00016893" w:rsidRPr="00E73BB1">
        <w:rPr>
          <w:rFonts w:ascii="Times New Roman" w:hAnsi="Times New Roman" w:cs="Times New Roman"/>
          <w:b/>
          <w:bCs/>
          <w:sz w:val="24"/>
          <w:szCs w:val="24"/>
        </w:rPr>
        <w:t>.</w:t>
      </w:r>
      <w:r w:rsidR="00016893" w:rsidRPr="00E73BB1">
        <w:rPr>
          <w:rFonts w:ascii="Times New Roman" w:hAnsi="Times New Roman" w:cs="Times New Roman"/>
          <w:sz w:val="24"/>
          <w:szCs w:val="24"/>
        </w:rPr>
        <w:t xml:space="preserve"> </w:t>
      </w:r>
      <w:r w:rsidR="00DD655C" w:rsidRPr="00E73BB1">
        <w:rPr>
          <w:rFonts w:ascii="Times New Roman" w:hAnsi="Times New Roman" w:cs="Times New Roman"/>
          <w:sz w:val="24"/>
          <w:szCs w:val="24"/>
        </w:rPr>
        <w:t xml:space="preserve">The Clinical Impairment Assessment </w:t>
      </w:r>
      <w:r w:rsidR="00DD655C" w:rsidRPr="00E73BB1">
        <w:rPr>
          <w:rFonts w:ascii="Times New Roman" w:hAnsi="Times New Roman" w:cs="Times New Roman"/>
          <w:noProof/>
          <w:sz w:val="24"/>
          <w:szCs w:val="24"/>
        </w:rPr>
        <w:t>(Bohn et al., 2008)</w:t>
      </w:r>
      <w:r w:rsidR="00DD655C" w:rsidRPr="00E73BB1">
        <w:rPr>
          <w:rFonts w:ascii="Times New Roman" w:hAnsi="Times New Roman" w:cs="Times New Roman"/>
          <w:sz w:val="24"/>
          <w:szCs w:val="24"/>
        </w:rPr>
        <w:t xml:space="preserve"> is a 16-item self-report measure of impairment related eating habits, exercising, and feelings about weight and shape</w:t>
      </w:r>
      <w:r w:rsidR="00154EFB" w:rsidRPr="00E73BB1">
        <w:rPr>
          <w:rFonts w:ascii="Times New Roman" w:hAnsi="Times New Roman" w:cs="Times New Roman"/>
          <w:sz w:val="24"/>
          <w:szCs w:val="24"/>
        </w:rPr>
        <w:t>. The</w:t>
      </w:r>
      <w:r w:rsidR="00DD655C" w:rsidRPr="00E73BB1">
        <w:rPr>
          <w:rFonts w:ascii="Times New Roman" w:hAnsi="Times New Roman" w:cs="Times New Roman"/>
          <w:sz w:val="24"/>
          <w:szCs w:val="24"/>
        </w:rPr>
        <w:t xml:space="preserve"> extent </w:t>
      </w:r>
      <w:r w:rsidR="00154EFB" w:rsidRPr="00E73BB1">
        <w:rPr>
          <w:rFonts w:ascii="Times New Roman" w:hAnsi="Times New Roman" w:cs="Times New Roman"/>
          <w:sz w:val="24"/>
          <w:szCs w:val="24"/>
        </w:rPr>
        <w:t>of impact</w:t>
      </w:r>
      <w:r w:rsidR="00DD655C" w:rsidRPr="00E73BB1">
        <w:rPr>
          <w:rFonts w:ascii="Times New Roman" w:hAnsi="Times New Roman" w:cs="Times New Roman"/>
          <w:sz w:val="24"/>
          <w:szCs w:val="24"/>
        </w:rPr>
        <w:t xml:space="preserve"> on aspects of personal, social, and cognitive psychosocial</w:t>
      </w:r>
      <w:r w:rsidR="00154EFB" w:rsidRPr="00E73BB1">
        <w:rPr>
          <w:rFonts w:ascii="Times New Roman" w:hAnsi="Times New Roman" w:cs="Times New Roman"/>
          <w:sz w:val="24"/>
          <w:szCs w:val="24"/>
        </w:rPr>
        <w:t xml:space="preserve"> </w:t>
      </w:r>
      <w:r w:rsidR="00DD655C" w:rsidRPr="00E73BB1">
        <w:rPr>
          <w:rFonts w:ascii="Times New Roman" w:hAnsi="Times New Roman" w:cs="Times New Roman"/>
          <w:sz w:val="24"/>
          <w:szCs w:val="24"/>
        </w:rPr>
        <w:t xml:space="preserve">functioning </w:t>
      </w:r>
      <w:r w:rsidR="00154EFB" w:rsidRPr="00E73BB1">
        <w:rPr>
          <w:rFonts w:ascii="Times New Roman" w:hAnsi="Times New Roman" w:cs="Times New Roman"/>
          <w:sz w:val="24"/>
          <w:szCs w:val="24"/>
        </w:rPr>
        <w:t>is rated on a scale from 1 (not at all) to 4 (a lot) over</w:t>
      </w:r>
      <w:r w:rsidR="00DD655C" w:rsidRPr="00E73BB1">
        <w:rPr>
          <w:rFonts w:ascii="Times New Roman" w:hAnsi="Times New Roman" w:cs="Times New Roman"/>
          <w:sz w:val="24"/>
          <w:szCs w:val="24"/>
        </w:rPr>
        <w:t xml:space="preserve"> the </w:t>
      </w:r>
      <w:r w:rsidR="00154EFB" w:rsidRPr="00E73BB1">
        <w:rPr>
          <w:rFonts w:ascii="Times New Roman" w:hAnsi="Times New Roman" w:cs="Times New Roman"/>
          <w:sz w:val="24"/>
          <w:szCs w:val="24"/>
        </w:rPr>
        <w:t>prior</w:t>
      </w:r>
      <w:r w:rsidR="00DD655C" w:rsidRPr="00E73BB1">
        <w:rPr>
          <w:rFonts w:ascii="Times New Roman" w:hAnsi="Times New Roman" w:cs="Times New Roman"/>
          <w:sz w:val="24"/>
          <w:szCs w:val="24"/>
        </w:rPr>
        <w:t xml:space="preserve"> 28 days.</w:t>
      </w:r>
      <w:r w:rsidR="00F6676F" w:rsidRPr="00E73BB1">
        <w:rPr>
          <w:rFonts w:ascii="Times New Roman" w:hAnsi="Times New Roman" w:cs="Times New Roman"/>
          <w:sz w:val="24"/>
          <w:szCs w:val="24"/>
        </w:rPr>
        <w:t xml:space="preserve"> A mean score was calculated, with higher scores indicating greater impairment. </w:t>
      </w:r>
      <w:r w:rsidR="00014ACF" w:rsidRPr="00E73BB1">
        <w:rPr>
          <w:rFonts w:ascii="Times New Roman" w:hAnsi="Times New Roman" w:cs="Times New Roman"/>
          <w:sz w:val="24"/>
          <w:szCs w:val="24"/>
        </w:rPr>
        <w:t>Cronbach’s alpha values indicated acceptable internal consistency</w:t>
      </w:r>
      <w:r w:rsidR="00FF31AD" w:rsidRPr="00E73BB1">
        <w:rPr>
          <w:rFonts w:ascii="Times New Roman" w:hAnsi="Times New Roman" w:cs="Times New Roman"/>
          <w:sz w:val="24"/>
          <w:szCs w:val="24"/>
        </w:rPr>
        <w:t xml:space="preserve"> in the current sample</w:t>
      </w:r>
      <w:r w:rsidR="00014ACF" w:rsidRPr="00E73BB1">
        <w:rPr>
          <w:rFonts w:ascii="Times New Roman" w:hAnsi="Times New Roman" w:cs="Times New Roman"/>
          <w:sz w:val="24"/>
          <w:szCs w:val="24"/>
        </w:rPr>
        <w:t xml:space="preserve"> (boys = .94; girls = .96).</w:t>
      </w:r>
    </w:p>
    <w:p w14:paraId="1ECADCE5" w14:textId="45C17E05" w:rsidR="00D174F8" w:rsidRPr="00E73BB1" w:rsidRDefault="001659F2" w:rsidP="00306AD4">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b/>
          <w:bCs/>
          <w:sz w:val="24"/>
          <w:szCs w:val="24"/>
        </w:rPr>
        <w:t xml:space="preserve">5.1.2.6. </w:t>
      </w:r>
      <w:r w:rsidR="00D174F8" w:rsidRPr="00E73BB1">
        <w:rPr>
          <w:rFonts w:ascii="Times New Roman" w:hAnsi="Times New Roman" w:cs="Times New Roman"/>
          <w:b/>
          <w:bCs/>
          <w:sz w:val="24"/>
          <w:szCs w:val="24"/>
        </w:rPr>
        <w:t>Well-being.</w:t>
      </w:r>
      <w:r w:rsidR="00D174F8" w:rsidRPr="00E73BB1">
        <w:rPr>
          <w:rFonts w:ascii="Times New Roman" w:hAnsi="Times New Roman" w:cs="Times New Roman"/>
          <w:sz w:val="24"/>
          <w:szCs w:val="24"/>
        </w:rPr>
        <w:t xml:space="preserve"> </w:t>
      </w:r>
      <w:r w:rsidR="00A90AA7" w:rsidRPr="00E73BB1">
        <w:rPr>
          <w:rFonts w:ascii="Times New Roman" w:hAnsi="Times New Roman" w:cs="Times New Roman"/>
          <w:sz w:val="24"/>
          <w:szCs w:val="24"/>
        </w:rPr>
        <w:t xml:space="preserve">The </w:t>
      </w:r>
      <w:r w:rsidR="00D174F8" w:rsidRPr="00E73BB1">
        <w:rPr>
          <w:rFonts w:ascii="Times New Roman" w:hAnsi="Times New Roman" w:cs="Times New Roman"/>
          <w:sz w:val="24"/>
          <w:szCs w:val="24"/>
        </w:rPr>
        <w:t xml:space="preserve">Warwick-Edinburgh </w:t>
      </w:r>
      <w:r w:rsidR="00A90AA7" w:rsidRPr="00E73BB1">
        <w:rPr>
          <w:rFonts w:ascii="Times New Roman" w:hAnsi="Times New Roman" w:cs="Times New Roman"/>
          <w:sz w:val="24"/>
          <w:szCs w:val="24"/>
        </w:rPr>
        <w:t>W</w:t>
      </w:r>
      <w:r w:rsidR="00D174F8" w:rsidRPr="00E73BB1">
        <w:rPr>
          <w:rFonts w:ascii="Times New Roman" w:hAnsi="Times New Roman" w:cs="Times New Roman"/>
          <w:sz w:val="24"/>
          <w:szCs w:val="24"/>
        </w:rPr>
        <w:t>ell-</w:t>
      </w:r>
      <w:r w:rsidR="00A90AA7" w:rsidRPr="00E73BB1">
        <w:rPr>
          <w:rFonts w:ascii="Times New Roman" w:hAnsi="Times New Roman" w:cs="Times New Roman"/>
          <w:sz w:val="24"/>
          <w:szCs w:val="24"/>
        </w:rPr>
        <w:t>B</w:t>
      </w:r>
      <w:r w:rsidR="00D174F8" w:rsidRPr="00E73BB1">
        <w:rPr>
          <w:rFonts w:ascii="Times New Roman" w:hAnsi="Times New Roman" w:cs="Times New Roman"/>
          <w:sz w:val="24"/>
          <w:szCs w:val="24"/>
        </w:rPr>
        <w:t xml:space="preserve">eing </w:t>
      </w:r>
      <w:r w:rsidR="00A90AA7" w:rsidRPr="00E73BB1">
        <w:rPr>
          <w:rFonts w:ascii="Times New Roman" w:hAnsi="Times New Roman" w:cs="Times New Roman"/>
          <w:sz w:val="24"/>
          <w:szCs w:val="24"/>
        </w:rPr>
        <w:t>S</w:t>
      </w:r>
      <w:r w:rsidR="00D174F8" w:rsidRPr="00E73BB1">
        <w:rPr>
          <w:rFonts w:ascii="Times New Roman" w:hAnsi="Times New Roman" w:cs="Times New Roman"/>
          <w:sz w:val="24"/>
          <w:szCs w:val="24"/>
        </w:rPr>
        <w:t>cale</w:t>
      </w:r>
      <w:r w:rsidR="00A90AA7" w:rsidRPr="00E73BB1">
        <w:rPr>
          <w:rFonts w:ascii="Times New Roman" w:hAnsi="Times New Roman" w:cs="Times New Roman"/>
          <w:sz w:val="24"/>
          <w:szCs w:val="24"/>
        </w:rPr>
        <w:t xml:space="preserve"> </w:t>
      </w:r>
      <w:r w:rsidR="00A90AA7" w:rsidRPr="00E73BB1">
        <w:rPr>
          <w:rFonts w:ascii="Times New Roman" w:hAnsi="Times New Roman" w:cs="Times New Roman"/>
          <w:noProof/>
          <w:sz w:val="24"/>
          <w:szCs w:val="24"/>
        </w:rPr>
        <w:t>(Tennant et al., 2007)</w:t>
      </w:r>
      <w:r w:rsidR="00A90AA7" w:rsidRPr="00E73BB1">
        <w:rPr>
          <w:rFonts w:ascii="Times New Roman" w:hAnsi="Times New Roman" w:cs="Times New Roman"/>
          <w:sz w:val="24"/>
          <w:szCs w:val="24"/>
        </w:rPr>
        <w:t xml:space="preserve"> measured general mental well-being</w:t>
      </w:r>
      <w:r w:rsidR="00D174F8" w:rsidRPr="00E73BB1">
        <w:rPr>
          <w:rFonts w:ascii="Times New Roman" w:hAnsi="Times New Roman" w:cs="Times New Roman"/>
          <w:sz w:val="24"/>
          <w:szCs w:val="24"/>
        </w:rPr>
        <w:t xml:space="preserve">. </w:t>
      </w:r>
      <w:r w:rsidR="00207B08" w:rsidRPr="00E73BB1">
        <w:rPr>
          <w:rFonts w:ascii="Times New Roman" w:hAnsi="Times New Roman" w:cs="Times New Roman"/>
          <w:sz w:val="24"/>
          <w:szCs w:val="24"/>
        </w:rPr>
        <w:t>This</w:t>
      </w:r>
      <w:r w:rsidR="00E37BCF" w:rsidRPr="00E73BB1">
        <w:rPr>
          <w:rFonts w:ascii="Times New Roman" w:hAnsi="Times New Roman" w:cs="Times New Roman"/>
          <w:sz w:val="24"/>
          <w:szCs w:val="24"/>
        </w:rPr>
        <w:t xml:space="preserve"> comprises</w:t>
      </w:r>
      <w:r w:rsidR="00207B08" w:rsidRPr="00E73BB1">
        <w:rPr>
          <w:rFonts w:ascii="Times New Roman" w:hAnsi="Times New Roman" w:cs="Times New Roman"/>
          <w:sz w:val="24"/>
          <w:szCs w:val="24"/>
        </w:rPr>
        <w:t xml:space="preserve"> 14 item</w:t>
      </w:r>
      <w:r w:rsidR="00E37BCF" w:rsidRPr="00E73BB1">
        <w:rPr>
          <w:rFonts w:ascii="Times New Roman" w:hAnsi="Times New Roman" w:cs="Times New Roman"/>
          <w:sz w:val="24"/>
          <w:szCs w:val="24"/>
        </w:rPr>
        <w:t>s (e.g.,</w:t>
      </w:r>
      <w:r w:rsidR="00207B08" w:rsidRPr="00E73BB1">
        <w:rPr>
          <w:rFonts w:ascii="Times New Roman" w:hAnsi="Times New Roman" w:cs="Times New Roman"/>
          <w:sz w:val="24"/>
          <w:szCs w:val="24"/>
        </w:rPr>
        <w:t xml:space="preserve"> “I've been</w:t>
      </w:r>
      <w:r w:rsidR="005C28A2" w:rsidRPr="00E73BB1">
        <w:rPr>
          <w:rFonts w:ascii="Times New Roman" w:hAnsi="Times New Roman" w:cs="Times New Roman"/>
          <w:sz w:val="24"/>
          <w:szCs w:val="24"/>
        </w:rPr>
        <w:t xml:space="preserve"> </w:t>
      </w:r>
      <w:r w:rsidR="00207B08" w:rsidRPr="00E73BB1">
        <w:rPr>
          <w:rFonts w:ascii="Times New Roman" w:hAnsi="Times New Roman" w:cs="Times New Roman"/>
          <w:sz w:val="24"/>
          <w:szCs w:val="24"/>
        </w:rPr>
        <w:t>feeling optimistic about the future” and “I've been feeling close to other</w:t>
      </w:r>
      <w:r w:rsidR="005C28A2" w:rsidRPr="00E73BB1">
        <w:rPr>
          <w:rFonts w:ascii="Times New Roman" w:hAnsi="Times New Roman" w:cs="Times New Roman"/>
          <w:sz w:val="24"/>
          <w:szCs w:val="24"/>
        </w:rPr>
        <w:t xml:space="preserve"> </w:t>
      </w:r>
      <w:r w:rsidR="00207B08" w:rsidRPr="00E73BB1">
        <w:rPr>
          <w:rFonts w:ascii="Times New Roman" w:hAnsi="Times New Roman" w:cs="Times New Roman"/>
          <w:sz w:val="24"/>
          <w:szCs w:val="24"/>
        </w:rPr>
        <w:t>people”</w:t>
      </w:r>
      <w:r w:rsidR="00E37BCF" w:rsidRPr="00E73BB1">
        <w:rPr>
          <w:rFonts w:ascii="Times New Roman" w:hAnsi="Times New Roman" w:cs="Times New Roman"/>
          <w:sz w:val="24"/>
          <w:szCs w:val="24"/>
        </w:rPr>
        <w:t>). The frequency</w:t>
      </w:r>
      <w:r w:rsidR="005C28A2" w:rsidRPr="00E73BB1">
        <w:rPr>
          <w:rFonts w:ascii="Times New Roman" w:hAnsi="Times New Roman" w:cs="Times New Roman"/>
          <w:sz w:val="24"/>
          <w:szCs w:val="24"/>
        </w:rPr>
        <w:t xml:space="preserve"> of experience for each item over the prior 14 days is rated </w:t>
      </w:r>
      <w:r w:rsidR="00207B08" w:rsidRPr="00E73BB1">
        <w:rPr>
          <w:rFonts w:ascii="Times New Roman" w:hAnsi="Times New Roman" w:cs="Times New Roman"/>
          <w:sz w:val="24"/>
          <w:szCs w:val="24"/>
        </w:rPr>
        <w:t xml:space="preserve">from 1 </w:t>
      </w:r>
      <w:r w:rsidR="005C28A2" w:rsidRPr="00E73BB1">
        <w:rPr>
          <w:rFonts w:ascii="Times New Roman" w:hAnsi="Times New Roman" w:cs="Times New Roman"/>
          <w:sz w:val="24"/>
          <w:szCs w:val="24"/>
        </w:rPr>
        <w:t>(</w:t>
      </w:r>
      <w:r w:rsidR="00207B08" w:rsidRPr="00E73BB1">
        <w:rPr>
          <w:rFonts w:ascii="Times New Roman" w:hAnsi="Times New Roman" w:cs="Times New Roman"/>
          <w:sz w:val="24"/>
          <w:szCs w:val="24"/>
        </w:rPr>
        <w:t>none of the</w:t>
      </w:r>
      <w:r w:rsidR="005C28A2" w:rsidRPr="00E73BB1">
        <w:rPr>
          <w:rFonts w:ascii="Times New Roman" w:hAnsi="Times New Roman" w:cs="Times New Roman"/>
          <w:sz w:val="24"/>
          <w:szCs w:val="24"/>
        </w:rPr>
        <w:t xml:space="preserve"> </w:t>
      </w:r>
      <w:r w:rsidR="00207B08" w:rsidRPr="00E73BB1">
        <w:rPr>
          <w:rFonts w:ascii="Times New Roman" w:hAnsi="Times New Roman" w:cs="Times New Roman"/>
          <w:sz w:val="24"/>
          <w:szCs w:val="24"/>
        </w:rPr>
        <w:t>time</w:t>
      </w:r>
      <w:r w:rsidR="005C28A2" w:rsidRPr="00E73BB1">
        <w:rPr>
          <w:rFonts w:ascii="Times New Roman" w:hAnsi="Times New Roman" w:cs="Times New Roman"/>
          <w:sz w:val="24"/>
          <w:szCs w:val="24"/>
        </w:rPr>
        <w:t>)</w:t>
      </w:r>
      <w:r w:rsidR="00207B08" w:rsidRPr="00E73BB1">
        <w:rPr>
          <w:rFonts w:ascii="Times New Roman" w:hAnsi="Times New Roman" w:cs="Times New Roman"/>
          <w:sz w:val="24"/>
          <w:szCs w:val="24"/>
        </w:rPr>
        <w:t xml:space="preserve"> to 5 </w:t>
      </w:r>
      <w:r w:rsidR="005C28A2" w:rsidRPr="00E73BB1">
        <w:rPr>
          <w:rFonts w:ascii="Times New Roman" w:hAnsi="Times New Roman" w:cs="Times New Roman"/>
          <w:sz w:val="24"/>
          <w:szCs w:val="24"/>
        </w:rPr>
        <w:t>(</w:t>
      </w:r>
      <w:r w:rsidR="00207B08" w:rsidRPr="00E73BB1">
        <w:rPr>
          <w:rFonts w:ascii="Times New Roman" w:hAnsi="Times New Roman" w:cs="Times New Roman"/>
          <w:sz w:val="24"/>
          <w:szCs w:val="24"/>
        </w:rPr>
        <w:t>all of the time</w:t>
      </w:r>
      <w:r w:rsidR="005C28A2" w:rsidRPr="00E73BB1">
        <w:rPr>
          <w:rFonts w:ascii="Times New Roman" w:hAnsi="Times New Roman" w:cs="Times New Roman"/>
          <w:sz w:val="24"/>
          <w:szCs w:val="24"/>
        </w:rPr>
        <w:t>). A mean score is calculated</w:t>
      </w:r>
      <w:r w:rsidR="00207B08" w:rsidRPr="00E73BB1">
        <w:rPr>
          <w:rFonts w:ascii="Times New Roman" w:hAnsi="Times New Roman" w:cs="Times New Roman"/>
          <w:sz w:val="24"/>
          <w:szCs w:val="24"/>
        </w:rPr>
        <w:t xml:space="preserve"> with higher scores signifying higher</w:t>
      </w:r>
      <w:r w:rsidR="005C28A2" w:rsidRPr="00E73BB1">
        <w:rPr>
          <w:rFonts w:ascii="Times New Roman" w:hAnsi="Times New Roman" w:cs="Times New Roman"/>
          <w:sz w:val="24"/>
          <w:szCs w:val="24"/>
        </w:rPr>
        <w:t xml:space="preserve"> </w:t>
      </w:r>
      <w:r w:rsidR="00207B08" w:rsidRPr="00E73BB1">
        <w:rPr>
          <w:rFonts w:ascii="Times New Roman" w:hAnsi="Times New Roman" w:cs="Times New Roman"/>
          <w:sz w:val="24"/>
          <w:szCs w:val="24"/>
        </w:rPr>
        <w:t xml:space="preserve">wellbeing. Internal consistency in the current study </w:t>
      </w:r>
      <w:r w:rsidR="00D00448" w:rsidRPr="00E73BB1">
        <w:rPr>
          <w:rFonts w:ascii="Times New Roman" w:hAnsi="Times New Roman" w:cs="Times New Roman"/>
          <w:sz w:val="24"/>
          <w:szCs w:val="24"/>
        </w:rPr>
        <w:t>was acceptable (boys = .</w:t>
      </w:r>
      <w:r w:rsidR="00653203" w:rsidRPr="00E73BB1">
        <w:rPr>
          <w:rFonts w:ascii="Times New Roman" w:hAnsi="Times New Roman" w:cs="Times New Roman"/>
          <w:sz w:val="24"/>
          <w:szCs w:val="24"/>
        </w:rPr>
        <w:t>86</w:t>
      </w:r>
      <w:r w:rsidR="00D00448" w:rsidRPr="00E73BB1">
        <w:rPr>
          <w:rFonts w:ascii="Times New Roman" w:hAnsi="Times New Roman" w:cs="Times New Roman"/>
          <w:sz w:val="24"/>
          <w:szCs w:val="24"/>
        </w:rPr>
        <w:t>; girls = .</w:t>
      </w:r>
      <w:r w:rsidR="00653203" w:rsidRPr="00E73BB1">
        <w:rPr>
          <w:rFonts w:ascii="Times New Roman" w:hAnsi="Times New Roman" w:cs="Times New Roman"/>
          <w:sz w:val="24"/>
          <w:szCs w:val="24"/>
        </w:rPr>
        <w:t>88</w:t>
      </w:r>
      <w:r w:rsidR="00D00448" w:rsidRPr="00E73BB1">
        <w:rPr>
          <w:rFonts w:ascii="Times New Roman" w:hAnsi="Times New Roman" w:cs="Times New Roman"/>
          <w:sz w:val="24"/>
          <w:szCs w:val="24"/>
        </w:rPr>
        <w:t>).</w:t>
      </w:r>
    </w:p>
    <w:p w14:paraId="6300125C" w14:textId="63DF27BB" w:rsidR="004474C5" w:rsidRPr="00E73BB1" w:rsidRDefault="001659F2" w:rsidP="00C40D22">
      <w:pPr>
        <w:widowControl w:val="0"/>
        <w:spacing w:after="0" w:line="480" w:lineRule="auto"/>
        <w:rPr>
          <w:rFonts w:ascii="Times New Roman" w:hAnsi="Times New Roman" w:cs="Times New Roman"/>
          <w:sz w:val="24"/>
          <w:szCs w:val="24"/>
        </w:rPr>
      </w:pPr>
      <w:r w:rsidRPr="00E73BB1">
        <w:rPr>
          <w:rFonts w:ascii="Times New Roman" w:hAnsi="Times New Roman" w:cs="Times New Roman"/>
          <w:b/>
          <w:sz w:val="24"/>
          <w:szCs w:val="24"/>
        </w:rPr>
        <w:t xml:space="preserve">5.2. </w:t>
      </w:r>
      <w:r w:rsidR="00C40D22" w:rsidRPr="00E73BB1">
        <w:rPr>
          <w:rFonts w:ascii="Times New Roman" w:hAnsi="Times New Roman" w:cs="Times New Roman"/>
          <w:b/>
          <w:sz w:val="24"/>
          <w:szCs w:val="24"/>
        </w:rPr>
        <w:t>Results</w:t>
      </w:r>
    </w:p>
    <w:p w14:paraId="67ED534A" w14:textId="4263DE6D" w:rsidR="000D35D4" w:rsidRPr="00E73BB1" w:rsidRDefault="001659F2" w:rsidP="00F22859">
      <w:pPr>
        <w:widowControl w:val="0"/>
        <w:spacing w:after="0" w:line="480" w:lineRule="auto"/>
        <w:rPr>
          <w:rFonts w:ascii="Times New Roman" w:hAnsi="Times New Roman" w:cs="Times New Roman"/>
          <w:i/>
          <w:iCs/>
          <w:sz w:val="24"/>
          <w:szCs w:val="24"/>
        </w:rPr>
      </w:pPr>
      <w:r w:rsidRPr="00E73BB1">
        <w:rPr>
          <w:rFonts w:ascii="Times New Roman" w:hAnsi="Times New Roman" w:cs="Times New Roman"/>
          <w:b/>
          <w:i/>
          <w:iCs/>
          <w:sz w:val="24"/>
          <w:szCs w:val="24"/>
        </w:rPr>
        <w:t xml:space="preserve">5.2.1. </w:t>
      </w:r>
      <w:r w:rsidR="00081199" w:rsidRPr="00E73BB1">
        <w:rPr>
          <w:rFonts w:ascii="Times New Roman" w:hAnsi="Times New Roman" w:cs="Times New Roman"/>
          <w:b/>
          <w:i/>
          <w:iCs/>
          <w:sz w:val="24"/>
          <w:szCs w:val="24"/>
        </w:rPr>
        <w:t>Reliability</w:t>
      </w:r>
      <w:r w:rsidR="0059128C" w:rsidRPr="00E73BB1">
        <w:rPr>
          <w:rFonts w:ascii="Times New Roman" w:hAnsi="Times New Roman" w:cs="Times New Roman"/>
          <w:i/>
          <w:iCs/>
          <w:sz w:val="24"/>
          <w:szCs w:val="24"/>
        </w:rPr>
        <w:t xml:space="preserve"> </w:t>
      </w:r>
    </w:p>
    <w:p w14:paraId="79AEABA9" w14:textId="6A32655B" w:rsidR="00F22859" w:rsidRPr="00E73BB1" w:rsidRDefault="0059128C" w:rsidP="009161D3">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lastRenderedPageBreak/>
        <w:t>Cronbach’s alphas for the 9</w:t>
      </w:r>
      <w:r w:rsidR="00081199" w:rsidRPr="00E73BB1">
        <w:rPr>
          <w:rFonts w:ascii="Times New Roman" w:hAnsi="Times New Roman" w:cs="Times New Roman"/>
          <w:sz w:val="24"/>
          <w:szCs w:val="24"/>
        </w:rPr>
        <w:t xml:space="preserve">-item </w:t>
      </w:r>
      <w:r w:rsidR="00CE3226" w:rsidRPr="00E73BB1">
        <w:rPr>
          <w:rFonts w:ascii="Times New Roman" w:hAnsi="Times New Roman" w:cs="Times New Roman"/>
          <w:sz w:val="24"/>
          <w:szCs w:val="24"/>
        </w:rPr>
        <w:t>BILD-Q</w:t>
      </w:r>
      <w:r w:rsidR="00081199" w:rsidRPr="00E73BB1">
        <w:rPr>
          <w:rFonts w:ascii="Times New Roman" w:hAnsi="Times New Roman" w:cs="Times New Roman"/>
          <w:sz w:val="24"/>
          <w:szCs w:val="24"/>
        </w:rPr>
        <w:t xml:space="preserve"> </w:t>
      </w:r>
      <w:r w:rsidR="00016893" w:rsidRPr="00E73BB1">
        <w:rPr>
          <w:rFonts w:ascii="Times New Roman" w:hAnsi="Times New Roman" w:cs="Times New Roman"/>
          <w:sz w:val="24"/>
          <w:szCs w:val="24"/>
        </w:rPr>
        <w:t xml:space="preserve">again </w:t>
      </w:r>
      <w:r w:rsidR="00081199" w:rsidRPr="00E73BB1">
        <w:rPr>
          <w:rFonts w:ascii="Times New Roman" w:hAnsi="Times New Roman" w:cs="Times New Roman"/>
          <w:sz w:val="24"/>
          <w:szCs w:val="24"/>
        </w:rPr>
        <w:t xml:space="preserve">reflected </w:t>
      </w:r>
      <w:r w:rsidR="00306AD4" w:rsidRPr="00E73BB1">
        <w:rPr>
          <w:rFonts w:ascii="Times New Roman" w:hAnsi="Times New Roman" w:cs="Times New Roman"/>
          <w:sz w:val="24"/>
          <w:szCs w:val="24"/>
        </w:rPr>
        <w:t>good</w:t>
      </w:r>
      <w:r w:rsidR="00081199" w:rsidRPr="00E73BB1">
        <w:rPr>
          <w:rFonts w:ascii="Times New Roman" w:hAnsi="Times New Roman" w:cs="Times New Roman"/>
          <w:sz w:val="24"/>
          <w:szCs w:val="24"/>
        </w:rPr>
        <w:t xml:space="preserve"> internal consistency (</w:t>
      </w:r>
      <w:r w:rsidR="00175860" w:rsidRPr="00E73BB1">
        <w:rPr>
          <w:rFonts w:ascii="Times New Roman" w:hAnsi="Times New Roman" w:cs="Times New Roman"/>
          <w:sz w:val="24"/>
          <w:szCs w:val="24"/>
        </w:rPr>
        <w:t>total</w:t>
      </w:r>
      <w:r w:rsidR="00EC07D8" w:rsidRPr="00E73BB1">
        <w:rPr>
          <w:rFonts w:ascii="Times New Roman" w:hAnsi="Times New Roman" w:cs="Times New Roman"/>
          <w:sz w:val="24"/>
          <w:szCs w:val="24"/>
        </w:rPr>
        <w:t xml:space="preserve"> </w:t>
      </w:r>
      <w:r w:rsidR="00175860" w:rsidRPr="00E73BB1">
        <w:rPr>
          <w:rFonts w:ascii="Times New Roman" w:hAnsi="Times New Roman" w:cs="Times New Roman"/>
          <w:sz w:val="24"/>
          <w:szCs w:val="24"/>
        </w:rPr>
        <w:t>=</w:t>
      </w:r>
      <w:r w:rsidR="00EC07D8" w:rsidRPr="00E73BB1">
        <w:rPr>
          <w:rFonts w:ascii="Times New Roman" w:hAnsi="Times New Roman" w:cs="Times New Roman"/>
          <w:sz w:val="24"/>
          <w:szCs w:val="24"/>
        </w:rPr>
        <w:t xml:space="preserve"> </w:t>
      </w:r>
      <w:r w:rsidR="00175860" w:rsidRPr="00E73BB1">
        <w:rPr>
          <w:rFonts w:ascii="Times New Roman" w:hAnsi="Times New Roman" w:cs="Times New Roman"/>
          <w:sz w:val="24"/>
          <w:szCs w:val="24"/>
        </w:rPr>
        <w:t>.</w:t>
      </w:r>
      <w:r w:rsidRPr="00E73BB1">
        <w:rPr>
          <w:rFonts w:ascii="Times New Roman" w:hAnsi="Times New Roman" w:cs="Times New Roman"/>
          <w:sz w:val="24"/>
          <w:szCs w:val="24"/>
        </w:rPr>
        <w:t>82</w:t>
      </w:r>
      <w:r w:rsidR="00175860" w:rsidRPr="00E73BB1">
        <w:rPr>
          <w:rFonts w:ascii="Times New Roman" w:hAnsi="Times New Roman" w:cs="Times New Roman"/>
          <w:sz w:val="24"/>
          <w:szCs w:val="24"/>
        </w:rPr>
        <w:t xml:space="preserve">; </w:t>
      </w:r>
      <w:r w:rsidRPr="00E73BB1">
        <w:rPr>
          <w:rFonts w:ascii="Times New Roman" w:hAnsi="Times New Roman" w:cs="Times New Roman"/>
          <w:sz w:val="24"/>
          <w:szCs w:val="24"/>
        </w:rPr>
        <w:t>boys</w:t>
      </w:r>
      <w:r w:rsidR="00EC07D8" w:rsidRPr="00E73BB1">
        <w:rPr>
          <w:rFonts w:ascii="Times New Roman" w:hAnsi="Times New Roman" w:cs="Times New Roman"/>
          <w:sz w:val="24"/>
          <w:szCs w:val="24"/>
        </w:rPr>
        <w:t xml:space="preserve"> </w:t>
      </w:r>
      <w:r w:rsidRPr="00E73BB1">
        <w:rPr>
          <w:rFonts w:ascii="Times New Roman" w:hAnsi="Times New Roman" w:cs="Times New Roman"/>
          <w:sz w:val="24"/>
          <w:szCs w:val="24"/>
        </w:rPr>
        <w:t>=</w:t>
      </w:r>
      <w:r w:rsidR="00EC07D8" w:rsidRPr="00E73BB1">
        <w:rPr>
          <w:rFonts w:ascii="Times New Roman" w:hAnsi="Times New Roman" w:cs="Times New Roman"/>
          <w:sz w:val="24"/>
          <w:szCs w:val="24"/>
        </w:rPr>
        <w:t xml:space="preserve"> </w:t>
      </w:r>
      <w:r w:rsidRPr="00E73BB1">
        <w:rPr>
          <w:rFonts w:ascii="Times New Roman" w:hAnsi="Times New Roman" w:cs="Times New Roman"/>
          <w:sz w:val="24"/>
          <w:szCs w:val="24"/>
        </w:rPr>
        <w:t>.77; girls</w:t>
      </w:r>
      <w:r w:rsidR="00EC07D8" w:rsidRPr="00E73BB1">
        <w:rPr>
          <w:rFonts w:ascii="Times New Roman" w:hAnsi="Times New Roman" w:cs="Times New Roman"/>
          <w:sz w:val="24"/>
          <w:szCs w:val="24"/>
        </w:rPr>
        <w:t xml:space="preserve"> </w:t>
      </w:r>
      <w:r w:rsidRPr="00E73BB1">
        <w:rPr>
          <w:rFonts w:ascii="Times New Roman" w:hAnsi="Times New Roman" w:cs="Times New Roman"/>
          <w:sz w:val="24"/>
          <w:szCs w:val="24"/>
        </w:rPr>
        <w:t>=</w:t>
      </w:r>
      <w:r w:rsidR="00EC07D8" w:rsidRPr="00E73BB1">
        <w:rPr>
          <w:rFonts w:ascii="Times New Roman" w:hAnsi="Times New Roman" w:cs="Times New Roman"/>
          <w:sz w:val="24"/>
          <w:szCs w:val="24"/>
        </w:rPr>
        <w:t xml:space="preserve"> </w:t>
      </w:r>
      <w:r w:rsidRPr="00E73BB1">
        <w:rPr>
          <w:rFonts w:ascii="Times New Roman" w:hAnsi="Times New Roman" w:cs="Times New Roman"/>
          <w:sz w:val="24"/>
          <w:szCs w:val="24"/>
        </w:rPr>
        <w:t>.80</w:t>
      </w:r>
      <w:r w:rsidR="00081199" w:rsidRPr="00E73BB1">
        <w:rPr>
          <w:rFonts w:ascii="Times New Roman" w:hAnsi="Times New Roman" w:cs="Times New Roman"/>
          <w:sz w:val="24"/>
          <w:szCs w:val="24"/>
        </w:rPr>
        <w:t xml:space="preserve">). </w:t>
      </w:r>
      <w:r w:rsidR="00175860" w:rsidRPr="00E73BB1">
        <w:rPr>
          <w:rFonts w:ascii="Times New Roman" w:hAnsi="Times New Roman" w:cs="Times New Roman"/>
          <w:sz w:val="24"/>
          <w:szCs w:val="24"/>
        </w:rPr>
        <w:t>The range of i</w:t>
      </w:r>
      <w:r w:rsidR="00081199" w:rsidRPr="00E73BB1">
        <w:rPr>
          <w:rFonts w:ascii="Times New Roman" w:hAnsi="Times New Roman" w:cs="Times New Roman"/>
          <w:sz w:val="24"/>
          <w:szCs w:val="24"/>
        </w:rPr>
        <w:t>tem-total correlations</w:t>
      </w:r>
      <w:r w:rsidR="00FA0AB3" w:rsidRPr="00E73BB1">
        <w:rPr>
          <w:rFonts w:ascii="Times New Roman" w:hAnsi="Times New Roman" w:cs="Times New Roman"/>
          <w:sz w:val="24"/>
          <w:szCs w:val="24"/>
        </w:rPr>
        <w:t xml:space="preserve"> overall was</w:t>
      </w:r>
      <w:r w:rsidRPr="00E73BB1">
        <w:rPr>
          <w:rFonts w:ascii="Times New Roman" w:hAnsi="Times New Roman" w:cs="Times New Roman"/>
          <w:sz w:val="24"/>
          <w:szCs w:val="24"/>
        </w:rPr>
        <w:t xml:space="preserve"> slightly</w:t>
      </w:r>
      <w:r w:rsidR="00FA0AB3" w:rsidRPr="00E73BB1">
        <w:rPr>
          <w:rFonts w:ascii="Times New Roman" w:hAnsi="Times New Roman" w:cs="Times New Roman"/>
          <w:sz w:val="24"/>
          <w:szCs w:val="24"/>
        </w:rPr>
        <w:t xml:space="preserve"> lower in this sample</w:t>
      </w:r>
      <w:r w:rsidR="00081199" w:rsidRPr="00E73BB1">
        <w:rPr>
          <w:rFonts w:ascii="Times New Roman" w:hAnsi="Times New Roman" w:cs="Times New Roman"/>
          <w:sz w:val="24"/>
          <w:szCs w:val="24"/>
        </w:rPr>
        <w:t xml:space="preserve"> </w:t>
      </w:r>
      <w:r w:rsidR="00111C03" w:rsidRPr="00E73BB1">
        <w:rPr>
          <w:rFonts w:ascii="Times New Roman" w:hAnsi="Times New Roman" w:cs="Times New Roman"/>
          <w:sz w:val="24"/>
          <w:szCs w:val="24"/>
        </w:rPr>
        <w:t xml:space="preserve">but still in the acceptable range </w:t>
      </w:r>
      <w:r w:rsidR="00081199" w:rsidRPr="00E73BB1">
        <w:rPr>
          <w:rFonts w:ascii="Times New Roman" w:hAnsi="Times New Roman" w:cs="Times New Roman"/>
          <w:sz w:val="24"/>
          <w:szCs w:val="24"/>
        </w:rPr>
        <w:t>(</w:t>
      </w:r>
      <w:r w:rsidR="00175860" w:rsidRPr="00E73BB1">
        <w:rPr>
          <w:rFonts w:ascii="Times New Roman" w:hAnsi="Times New Roman" w:cs="Times New Roman"/>
          <w:sz w:val="24"/>
          <w:szCs w:val="24"/>
        </w:rPr>
        <w:t>total</w:t>
      </w:r>
      <w:r w:rsidR="000549DE" w:rsidRPr="00E73BB1">
        <w:rPr>
          <w:rFonts w:ascii="Times New Roman" w:hAnsi="Times New Roman" w:cs="Times New Roman"/>
          <w:sz w:val="24"/>
          <w:szCs w:val="24"/>
        </w:rPr>
        <w:t xml:space="preserve"> =</w:t>
      </w:r>
      <w:r w:rsidRPr="00E73BB1">
        <w:rPr>
          <w:rFonts w:ascii="Times New Roman" w:hAnsi="Times New Roman" w:cs="Times New Roman"/>
          <w:sz w:val="24"/>
          <w:szCs w:val="24"/>
        </w:rPr>
        <w:t xml:space="preserve"> .</w:t>
      </w:r>
      <w:r w:rsidR="00111C03" w:rsidRPr="00E73BB1">
        <w:rPr>
          <w:rFonts w:ascii="Times New Roman" w:hAnsi="Times New Roman" w:cs="Times New Roman"/>
          <w:sz w:val="24"/>
          <w:szCs w:val="24"/>
        </w:rPr>
        <w:t>57</w:t>
      </w:r>
      <w:r w:rsidR="000549DE" w:rsidRPr="00E73BB1">
        <w:rPr>
          <w:rFonts w:ascii="Times New Roman" w:hAnsi="Times New Roman" w:cs="Times New Roman"/>
          <w:sz w:val="24"/>
          <w:szCs w:val="24"/>
        </w:rPr>
        <w:t xml:space="preserve"> </w:t>
      </w:r>
      <w:r w:rsidRPr="00E73BB1">
        <w:rPr>
          <w:rFonts w:ascii="Times New Roman" w:hAnsi="Times New Roman" w:cs="Times New Roman"/>
          <w:sz w:val="24"/>
          <w:szCs w:val="24"/>
        </w:rPr>
        <w:t>-</w:t>
      </w:r>
      <w:r w:rsidR="000549DE" w:rsidRPr="00E73BB1">
        <w:rPr>
          <w:rFonts w:ascii="Times New Roman" w:hAnsi="Times New Roman" w:cs="Times New Roman"/>
          <w:sz w:val="24"/>
          <w:szCs w:val="24"/>
        </w:rPr>
        <w:t xml:space="preserve"> </w:t>
      </w:r>
      <w:r w:rsidRPr="00E73BB1">
        <w:rPr>
          <w:rFonts w:ascii="Times New Roman" w:hAnsi="Times New Roman" w:cs="Times New Roman"/>
          <w:sz w:val="24"/>
          <w:szCs w:val="24"/>
        </w:rPr>
        <w:t>.</w:t>
      </w:r>
      <w:r w:rsidR="00111C03" w:rsidRPr="00E73BB1">
        <w:rPr>
          <w:rFonts w:ascii="Times New Roman" w:hAnsi="Times New Roman" w:cs="Times New Roman"/>
          <w:sz w:val="24"/>
          <w:szCs w:val="24"/>
        </w:rPr>
        <w:t>71</w:t>
      </w:r>
      <w:r w:rsidR="00175860" w:rsidRPr="00E73BB1">
        <w:rPr>
          <w:rFonts w:ascii="Times New Roman" w:hAnsi="Times New Roman" w:cs="Times New Roman"/>
          <w:sz w:val="24"/>
          <w:szCs w:val="24"/>
        </w:rPr>
        <w:t>;</w:t>
      </w:r>
      <w:r w:rsidR="00081199" w:rsidRPr="00E73BB1">
        <w:rPr>
          <w:rFonts w:ascii="Times New Roman" w:hAnsi="Times New Roman" w:cs="Times New Roman"/>
          <w:sz w:val="24"/>
          <w:szCs w:val="24"/>
        </w:rPr>
        <w:t xml:space="preserve"> boys</w:t>
      </w:r>
      <w:r w:rsidR="000549DE" w:rsidRPr="00E73BB1">
        <w:rPr>
          <w:rFonts w:ascii="Times New Roman" w:hAnsi="Times New Roman" w:cs="Times New Roman"/>
          <w:sz w:val="24"/>
          <w:szCs w:val="24"/>
        </w:rPr>
        <w:t xml:space="preserve"> </w:t>
      </w:r>
      <w:r w:rsidR="00081199" w:rsidRPr="00E73BB1">
        <w:rPr>
          <w:rFonts w:ascii="Times New Roman" w:hAnsi="Times New Roman" w:cs="Times New Roman"/>
          <w:sz w:val="24"/>
          <w:szCs w:val="24"/>
        </w:rPr>
        <w:t>= .</w:t>
      </w:r>
      <w:r w:rsidR="00111C03" w:rsidRPr="00E73BB1">
        <w:rPr>
          <w:rFonts w:ascii="Times New Roman" w:hAnsi="Times New Roman" w:cs="Times New Roman"/>
          <w:sz w:val="24"/>
          <w:szCs w:val="24"/>
        </w:rPr>
        <w:t>42</w:t>
      </w:r>
      <w:r w:rsidR="000549DE" w:rsidRPr="00E73BB1">
        <w:rPr>
          <w:rFonts w:ascii="Times New Roman" w:hAnsi="Times New Roman" w:cs="Times New Roman"/>
          <w:sz w:val="24"/>
          <w:szCs w:val="24"/>
        </w:rPr>
        <w:t xml:space="preserve"> </w:t>
      </w:r>
      <w:r w:rsidRPr="00E73BB1">
        <w:rPr>
          <w:rFonts w:ascii="Times New Roman" w:hAnsi="Times New Roman" w:cs="Times New Roman"/>
          <w:sz w:val="24"/>
          <w:szCs w:val="24"/>
        </w:rPr>
        <w:t>-</w:t>
      </w:r>
      <w:r w:rsidR="000549DE" w:rsidRPr="00E73BB1">
        <w:rPr>
          <w:rFonts w:ascii="Times New Roman" w:hAnsi="Times New Roman" w:cs="Times New Roman"/>
          <w:sz w:val="24"/>
          <w:szCs w:val="24"/>
        </w:rPr>
        <w:t xml:space="preserve"> </w:t>
      </w:r>
      <w:r w:rsidRPr="00E73BB1">
        <w:rPr>
          <w:rFonts w:ascii="Times New Roman" w:hAnsi="Times New Roman" w:cs="Times New Roman"/>
          <w:sz w:val="24"/>
          <w:szCs w:val="24"/>
        </w:rPr>
        <w:t>.</w:t>
      </w:r>
      <w:r w:rsidR="00111C03" w:rsidRPr="00E73BB1">
        <w:rPr>
          <w:rFonts w:ascii="Times New Roman" w:hAnsi="Times New Roman" w:cs="Times New Roman"/>
          <w:sz w:val="24"/>
          <w:szCs w:val="24"/>
        </w:rPr>
        <w:t>76</w:t>
      </w:r>
      <w:r w:rsidR="00081199" w:rsidRPr="00E73BB1">
        <w:rPr>
          <w:rFonts w:ascii="Times New Roman" w:hAnsi="Times New Roman" w:cs="Times New Roman"/>
          <w:sz w:val="24"/>
          <w:szCs w:val="24"/>
        </w:rPr>
        <w:t>, girls</w:t>
      </w:r>
      <w:r w:rsidR="000549DE" w:rsidRPr="00E73BB1">
        <w:rPr>
          <w:rFonts w:ascii="Times New Roman" w:hAnsi="Times New Roman" w:cs="Times New Roman"/>
          <w:sz w:val="24"/>
          <w:szCs w:val="24"/>
        </w:rPr>
        <w:t xml:space="preserve"> </w:t>
      </w:r>
      <w:r w:rsidR="00081199" w:rsidRPr="00E73BB1">
        <w:rPr>
          <w:rFonts w:ascii="Times New Roman" w:hAnsi="Times New Roman" w:cs="Times New Roman"/>
          <w:sz w:val="24"/>
          <w:szCs w:val="24"/>
        </w:rPr>
        <w:t>=</w:t>
      </w:r>
      <w:r w:rsidR="000549DE" w:rsidRPr="00E73BB1">
        <w:rPr>
          <w:rFonts w:ascii="Times New Roman" w:hAnsi="Times New Roman" w:cs="Times New Roman"/>
          <w:sz w:val="24"/>
          <w:szCs w:val="24"/>
        </w:rPr>
        <w:t xml:space="preserve"> </w:t>
      </w:r>
      <w:r w:rsidR="00081199" w:rsidRPr="00E73BB1">
        <w:rPr>
          <w:rFonts w:ascii="Times New Roman" w:hAnsi="Times New Roman" w:cs="Times New Roman"/>
          <w:sz w:val="24"/>
          <w:szCs w:val="24"/>
        </w:rPr>
        <w:t>.</w:t>
      </w:r>
      <w:r w:rsidR="00111C03" w:rsidRPr="00E73BB1">
        <w:rPr>
          <w:rFonts w:ascii="Times New Roman" w:hAnsi="Times New Roman" w:cs="Times New Roman"/>
          <w:sz w:val="24"/>
          <w:szCs w:val="24"/>
        </w:rPr>
        <w:t>52</w:t>
      </w:r>
      <w:r w:rsidR="000549DE" w:rsidRPr="00E73BB1">
        <w:rPr>
          <w:rFonts w:ascii="Times New Roman" w:hAnsi="Times New Roman" w:cs="Times New Roman"/>
          <w:sz w:val="24"/>
          <w:szCs w:val="24"/>
        </w:rPr>
        <w:t xml:space="preserve"> </w:t>
      </w:r>
      <w:r w:rsidRPr="00E73BB1">
        <w:rPr>
          <w:rFonts w:ascii="Times New Roman" w:hAnsi="Times New Roman" w:cs="Times New Roman"/>
          <w:sz w:val="24"/>
          <w:szCs w:val="24"/>
        </w:rPr>
        <w:t>-</w:t>
      </w:r>
      <w:r w:rsidR="000549DE" w:rsidRPr="00E73BB1">
        <w:rPr>
          <w:rFonts w:ascii="Times New Roman" w:hAnsi="Times New Roman" w:cs="Times New Roman"/>
          <w:sz w:val="24"/>
          <w:szCs w:val="24"/>
        </w:rPr>
        <w:t xml:space="preserve"> </w:t>
      </w:r>
      <w:r w:rsidRPr="00E73BB1">
        <w:rPr>
          <w:rFonts w:ascii="Times New Roman" w:hAnsi="Times New Roman" w:cs="Times New Roman"/>
          <w:sz w:val="24"/>
          <w:szCs w:val="24"/>
        </w:rPr>
        <w:t>.</w:t>
      </w:r>
      <w:r w:rsidR="00111C03" w:rsidRPr="00E73BB1">
        <w:rPr>
          <w:rFonts w:ascii="Times New Roman" w:hAnsi="Times New Roman" w:cs="Times New Roman"/>
          <w:sz w:val="24"/>
          <w:szCs w:val="24"/>
        </w:rPr>
        <w:t>73</w:t>
      </w:r>
      <w:r w:rsidR="00175860" w:rsidRPr="00E73BB1">
        <w:rPr>
          <w:rFonts w:ascii="Times New Roman" w:hAnsi="Times New Roman" w:cs="Times New Roman"/>
          <w:sz w:val="24"/>
          <w:szCs w:val="24"/>
        </w:rPr>
        <w:t>)</w:t>
      </w:r>
      <w:r w:rsidRPr="00E73BB1">
        <w:rPr>
          <w:rFonts w:ascii="Times New Roman" w:hAnsi="Times New Roman" w:cs="Times New Roman"/>
          <w:sz w:val="24"/>
          <w:szCs w:val="24"/>
        </w:rPr>
        <w:t xml:space="preserve">. </w:t>
      </w:r>
      <w:r w:rsidR="00F22859" w:rsidRPr="00E73BB1">
        <w:rPr>
          <w:rFonts w:ascii="Times New Roman" w:hAnsi="Times New Roman" w:cs="Times New Roman"/>
          <w:sz w:val="24"/>
          <w:szCs w:val="24"/>
        </w:rPr>
        <w:t xml:space="preserve">Test-retest reliability over a 6-week period was assessed using a subsample of students allocated to the </w:t>
      </w:r>
      <w:r w:rsidR="00EC07D8" w:rsidRPr="00E73BB1">
        <w:rPr>
          <w:rFonts w:ascii="Times New Roman" w:hAnsi="Times New Roman" w:cs="Times New Roman"/>
          <w:sz w:val="24"/>
          <w:szCs w:val="24"/>
        </w:rPr>
        <w:t xml:space="preserve">assessment-only </w:t>
      </w:r>
      <w:r w:rsidR="00F22859" w:rsidRPr="00E73BB1">
        <w:rPr>
          <w:rFonts w:ascii="Times New Roman" w:hAnsi="Times New Roman" w:cs="Times New Roman"/>
          <w:sz w:val="24"/>
          <w:szCs w:val="24"/>
        </w:rPr>
        <w:t>control arm of the trial who had data at both timepoints (</w:t>
      </w:r>
      <w:r w:rsidR="00E03501" w:rsidRPr="00E73BB1">
        <w:rPr>
          <w:rFonts w:ascii="Times New Roman" w:hAnsi="Times New Roman" w:cs="Times New Roman"/>
          <w:i/>
          <w:sz w:val="24"/>
          <w:szCs w:val="24"/>
        </w:rPr>
        <w:t xml:space="preserve">n </w:t>
      </w:r>
      <w:r w:rsidR="00E03501" w:rsidRPr="00E73BB1">
        <w:rPr>
          <w:rFonts w:ascii="Times New Roman" w:hAnsi="Times New Roman" w:cs="Times New Roman"/>
          <w:sz w:val="24"/>
          <w:szCs w:val="24"/>
        </w:rPr>
        <w:t xml:space="preserve">= 103; </w:t>
      </w:r>
      <w:r w:rsidR="00F22859" w:rsidRPr="00E73BB1">
        <w:rPr>
          <w:rFonts w:ascii="Times New Roman" w:hAnsi="Times New Roman" w:cs="Times New Roman"/>
          <w:sz w:val="24"/>
          <w:szCs w:val="24"/>
        </w:rPr>
        <w:t xml:space="preserve">53.4% male). Reliability </w:t>
      </w:r>
      <w:r w:rsidR="00450CDC" w:rsidRPr="00E73BB1">
        <w:rPr>
          <w:rFonts w:ascii="Times New Roman" w:hAnsi="Times New Roman" w:cs="Times New Roman"/>
          <w:sz w:val="24"/>
          <w:szCs w:val="24"/>
        </w:rPr>
        <w:t xml:space="preserve">over time </w:t>
      </w:r>
      <w:r w:rsidR="00F22859" w:rsidRPr="00E73BB1">
        <w:rPr>
          <w:rFonts w:ascii="Times New Roman" w:hAnsi="Times New Roman" w:cs="Times New Roman"/>
          <w:sz w:val="24"/>
          <w:szCs w:val="24"/>
        </w:rPr>
        <w:t xml:space="preserve">was </w:t>
      </w:r>
      <w:r w:rsidR="00081CF1" w:rsidRPr="00E73BB1">
        <w:rPr>
          <w:rFonts w:ascii="Times New Roman" w:hAnsi="Times New Roman" w:cs="Times New Roman"/>
          <w:sz w:val="24"/>
          <w:szCs w:val="24"/>
        </w:rPr>
        <w:t>supported</w:t>
      </w:r>
      <w:r w:rsidR="00F22859" w:rsidRPr="00E73BB1">
        <w:rPr>
          <w:rFonts w:ascii="Times New Roman" w:hAnsi="Times New Roman" w:cs="Times New Roman"/>
          <w:sz w:val="24"/>
          <w:szCs w:val="24"/>
        </w:rPr>
        <w:t>, based on acceptable intraclass correlation coefficients (overall</w:t>
      </w:r>
      <w:r w:rsidR="00E03501" w:rsidRPr="00E73BB1">
        <w:rPr>
          <w:rFonts w:ascii="Times New Roman" w:hAnsi="Times New Roman" w:cs="Times New Roman"/>
          <w:sz w:val="24"/>
          <w:szCs w:val="24"/>
        </w:rPr>
        <w:t xml:space="preserve"> </w:t>
      </w:r>
      <w:r w:rsidR="00D51CF1" w:rsidRPr="00E73BB1">
        <w:rPr>
          <w:rFonts w:ascii="Times New Roman" w:hAnsi="Times New Roman" w:cs="Times New Roman"/>
          <w:sz w:val="24"/>
          <w:szCs w:val="24"/>
        </w:rPr>
        <w:t>=</w:t>
      </w:r>
      <w:r w:rsidR="00E03501" w:rsidRPr="00E73BB1">
        <w:rPr>
          <w:rFonts w:ascii="Times New Roman" w:hAnsi="Times New Roman" w:cs="Times New Roman"/>
          <w:sz w:val="24"/>
          <w:szCs w:val="24"/>
        </w:rPr>
        <w:t xml:space="preserve"> </w:t>
      </w:r>
      <w:r w:rsidR="00F22859" w:rsidRPr="00E73BB1">
        <w:rPr>
          <w:rFonts w:ascii="Times New Roman" w:hAnsi="Times New Roman" w:cs="Times New Roman"/>
          <w:sz w:val="24"/>
          <w:szCs w:val="24"/>
        </w:rPr>
        <w:t>.74; boys</w:t>
      </w:r>
      <w:r w:rsidR="00E03501" w:rsidRPr="00E73BB1">
        <w:rPr>
          <w:rFonts w:ascii="Times New Roman" w:hAnsi="Times New Roman" w:cs="Times New Roman"/>
          <w:sz w:val="24"/>
          <w:szCs w:val="24"/>
        </w:rPr>
        <w:t xml:space="preserve"> </w:t>
      </w:r>
      <w:r w:rsidR="00F22859" w:rsidRPr="00E73BB1">
        <w:rPr>
          <w:rFonts w:ascii="Times New Roman" w:hAnsi="Times New Roman" w:cs="Times New Roman"/>
          <w:sz w:val="24"/>
          <w:szCs w:val="24"/>
        </w:rPr>
        <w:t>=</w:t>
      </w:r>
      <w:r w:rsidR="00E03501" w:rsidRPr="00E73BB1">
        <w:rPr>
          <w:rFonts w:ascii="Times New Roman" w:hAnsi="Times New Roman" w:cs="Times New Roman"/>
          <w:sz w:val="24"/>
          <w:szCs w:val="24"/>
        </w:rPr>
        <w:t xml:space="preserve"> </w:t>
      </w:r>
      <w:r w:rsidR="00F22859" w:rsidRPr="00E73BB1">
        <w:rPr>
          <w:rFonts w:ascii="Times New Roman" w:hAnsi="Times New Roman" w:cs="Times New Roman"/>
          <w:sz w:val="24"/>
          <w:szCs w:val="24"/>
        </w:rPr>
        <w:t>.76; girls</w:t>
      </w:r>
      <w:r w:rsidR="00E03501" w:rsidRPr="00E73BB1">
        <w:rPr>
          <w:rFonts w:ascii="Times New Roman" w:hAnsi="Times New Roman" w:cs="Times New Roman"/>
          <w:sz w:val="24"/>
          <w:szCs w:val="24"/>
        </w:rPr>
        <w:t xml:space="preserve"> </w:t>
      </w:r>
      <w:r w:rsidR="00F22859" w:rsidRPr="00E73BB1">
        <w:rPr>
          <w:rFonts w:ascii="Times New Roman" w:hAnsi="Times New Roman" w:cs="Times New Roman"/>
          <w:sz w:val="24"/>
          <w:szCs w:val="24"/>
        </w:rPr>
        <w:t>=</w:t>
      </w:r>
      <w:r w:rsidR="00E03501" w:rsidRPr="00E73BB1">
        <w:rPr>
          <w:rFonts w:ascii="Times New Roman" w:hAnsi="Times New Roman" w:cs="Times New Roman"/>
          <w:sz w:val="24"/>
          <w:szCs w:val="24"/>
        </w:rPr>
        <w:t xml:space="preserve"> </w:t>
      </w:r>
      <w:r w:rsidR="00F22859" w:rsidRPr="00E73BB1">
        <w:rPr>
          <w:rFonts w:ascii="Times New Roman" w:hAnsi="Times New Roman" w:cs="Times New Roman"/>
          <w:sz w:val="24"/>
          <w:szCs w:val="24"/>
        </w:rPr>
        <w:t xml:space="preserve">.69), and paired-sample t-tests showing no significant change over time (overall: </w:t>
      </w:r>
      <w:r w:rsidR="00F22859" w:rsidRPr="00E73BB1">
        <w:rPr>
          <w:rFonts w:ascii="Times New Roman" w:hAnsi="Times New Roman" w:cs="Times New Roman"/>
          <w:i/>
          <w:sz w:val="24"/>
          <w:szCs w:val="24"/>
        </w:rPr>
        <w:t xml:space="preserve">t(102) </w:t>
      </w:r>
      <w:r w:rsidR="00F22859" w:rsidRPr="00E73BB1">
        <w:rPr>
          <w:rFonts w:ascii="Times New Roman" w:hAnsi="Times New Roman" w:cs="Times New Roman"/>
          <w:sz w:val="24"/>
          <w:szCs w:val="24"/>
        </w:rPr>
        <w:t xml:space="preserve">= 1.22, </w:t>
      </w:r>
      <w:r w:rsidR="00F22859" w:rsidRPr="00E73BB1">
        <w:rPr>
          <w:rFonts w:ascii="Times New Roman" w:hAnsi="Times New Roman" w:cs="Times New Roman"/>
          <w:i/>
          <w:sz w:val="24"/>
          <w:szCs w:val="24"/>
        </w:rPr>
        <w:t>p</w:t>
      </w:r>
      <w:r w:rsidR="00F22859" w:rsidRPr="00E73BB1">
        <w:rPr>
          <w:rFonts w:ascii="Times New Roman" w:hAnsi="Times New Roman" w:cs="Times New Roman"/>
          <w:sz w:val="24"/>
          <w:szCs w:val="24"/>
        </w:rPr>
        <w:t xml:space="preserve"> = .224; boys: </w:t>
      </w:r>
      <w:r w:rsidR="00F22859" w:rsidRPr="00E73BB1">
        <w:rPr>
          <w:rFonts w:ascii="Times New Roman" w:hAnsi="Times New Roman" w:cs="Times New Roman"/>
          <w:i/>
          <w:sz w:val="24"/>
          <w:szCs w:val="24"/>
        </w:rPr>
        <w:t xml:space="preserve">t(51) </w:t>
      </w:r>
      <w:r w:rsidR="00F22859" w:rsidRPr="00E73BB1">
        <w:rPr>
          <w:rFonts w:ascii="Times New Roman" w:hAnsi="Times New Roman" w:cs="Times New Roman"/>
          <w:sz w:val="24"/>
          <w:szCs w:val="24"/>
        </w:rPr>
        <w:t xml:space="preserve">= 0.68, </w:t>
      </w:r>
      <w:r w:rsidR="00F22859" w:rsidRPr="00E73BB1">
        <w:rPr>
          <w:rFonts w:ascii="Times New Roman" w:hAnsi="Times New Roman" w:cs="Times New Roman"/>
          <w:i/>
          <w:sz w:val="24"/>
          <w:szCs w:val="24"/>
        </w:rPr>
        <w:t>p</w:t>
      </w:r>
      <w:r w:rsidR="00F22859" w:rsidRPr="00E73BB1">
        <w:rPr>
          <w:rFonts w:ascii="Times New Roman" w:hAnsi="Times New Roman" w:cs="Times New Roman"/>
          <w:sz w:val="24"/>
          <w:szCs w:val="24"/>
        </w:rPr>
        <w:t xml:space="preserve"> = .499; girls: </w:t>
      </w:r>
      <w:r w:rsidR="00F22859" w:rsidRPr="00E73BB1">
        <w:rPr>
          <w:rFonts w:ascii="Times New Roman" w:hAnsi="Times New Roman" w:cs="Times New Roman"/>
          <w:i/>
          <w:sz w:val="24"/>
          <w:szCs w:val="24"/>
        </w:rPr>
        <w:t>t(50)</w:t>
      </w:r>
      <w:r w:rsidR="00F22859" w:rsidRPr="00E73BB1">
        <w:rPr>
          <w:rFonts w:ascii="Times New Roman" w:hAnsi="Times New Roman" w:cs="Times New Roman"/>
          <w:sz w:val="24"/>
          <w:szCs w:val="24"/>
        </w:rPr>
        <w:t xml:space="preserve"> = 1.02, </w:t>
      </w:r>
      <w:r w:rsidR="00F22859" w:rsidRPr="00E73BB1">
        <w:rPr>
          <w:rFonts w:ascii="Times New Roman" w:hAnsi="Times New Roman" w:cs="Times New Roman"/>
          <w:i/>
          <w:sz w:val="24"/>
          <w:szCs w:val="24"/>
        </w:rPr>
        <w:t>p</w:t>
      </w:r>
      <w:r w:rsidR="00F22859" w:rsidRPr="00E73BB1">
        <w:rPr>
          <w:rFonts w:ascii="Times New Roman" w:hAnsi="Times New Roman" w:cs="Times New Roman"/>
          <w:sz w:val="24"/>
          <w:szCs w:val="24"/>
        </w:rPr>
        <w:t xml:space="preserve"> = .315). Thus the 9-item </w:t>
      </w:r>
      <w:r w:rsidR="00CE3226" w:rsidRPr="00E73BB1">
        <w:rPr>
          <w:rFonts w:ascii="Times New Roman" w:hAnsi="Times New Roman" w:cs="Times New Roman"/>
          <w:sz w:val="24"/>
          <w:szCs w:val="24"/>
        </w:rPr>
        <w:t>BILD-Q</w:t>
      </w:r>
      <w:r w:rsidR="00F22859" w:rsidRPr="00E73BB1">
        <w:rPr>
          <w:rFonts w:ascii="Times New Roman" w:hAnsi="Times New Roman" w:cs="Times New Roman"/>
          <w:sz w:val="24"/>
          <w:szCs w:val="24"/>
        </w:rPr>
        <w:t xml:space="preserve"> showed internal consistency and stability over time for both boys and girls in this slightly older sample.</w:t>
      </w:r>
    </w:p>
    <w:p w14:paraId="3D54432A" w14:textId="5E405FE8" w:rsidR="000D35D4" w:rsidRPr="00E73BB1" w:rsidRDefault="001659F2" w:rsidP="00443C8F">
      <w:pPr>
        <w:widowControl w:val="0"/>
        <w:spacing w:after="0" w:line="480" w:lineRule="auto"/>
        <w:rPr>
          <w:rFonts w:ascii="Times New Roman" w:hAnsi="Times New Roman" w:cs="Times New Roman"/>
          <w:b/>
          <w:i/>
          <w:iCs/>
          <w:sz w:val="24"/>
          <w:szCs w:val="24"/>
        </w:rPr>
      </w:pPr>
      <w:r w:rsidRPr="00E73BB1">
        <w:rPr>
          <w:rFonts w:ascii="Times New Roman" w:hAnsi="Times New Roman" w:cs="Times New Roman"/>
          <w:b/>
          <w:i/>
          <w:iCs/>
          <w:sz w:val="24"/>
          <w:szCs w:val="24"/>
        </w:rPr>
        <w:t xml:space="preserve">5.2.2. </w:t>
      </w:r>
      <w:r w:rsidR="00FA0AB3" w:rsidRPr="00E73BB1">
        <w:rPr>
          <w:rFonts w:ascii="Times New Roman" w:hAnsi="Times New Roman" w:cs="Times New Roman"/>
          <w:b/>
          <w:i/>
          <w:iCs/>
          <w:sz w:val="24"/>
          <w:szCs w:val="24"/>
        </w:rPr>
        <w:t>Validity</w:t>
      </w:r>
    </w:p>
    <w:p w14:paraId="0FA8A022" w14:textId="1C721FB9" w:rsidR="008322B1" w:rsidRPr="00E73BB1" w:rsidRDefault="00CB3E04" w:rsidP="009161D3">
      <w:pPr>
        <w:widowControl w:val="0"/>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Construct</w:t>
      </w:r>
      <w:r w:rsidR="00FA0AB3" w:rsidRPr="00E73BB1">
        <w:rPr>
          <w:rFonts w:ascii="Times New Roman" w:hAnsi="Times New Roman" w:cs="Times New Roman"/>
          <w:sz w:val="24"/>
          <w:szCs w:val="24"/>
        </w:rPr>
        <w:t xml:space="preserve"> validity was </w:t>
      </w:r>
      <w:r w:rsidR="00450CDC" w:rsidRPr="00E73BB1">
        <w:rPr>
          <w:rFonts w:ascii="Times New Roman" w:hAnsi="Times New Roman" w:cs="Times New Roman"/>
          <w:sz w:val="24"/>
          <w:szCs w:val="24"/>
        </w:rPr>
        <w:t>assessed</w:t>
      </w:r>
      <w:r w:rsidR="00FA0AB3" w:rsidRPr="00E73BB1">
        <w:rPr>
          <w:rFonts w:ascii="Times New Roman" w:hAnsi="Times New Roman" w:cs="Times New Roman"/>
          <w:sz w:val="24"/>
          <w:szCs w:val="24"/>
        </w:rPr>
        <w:t xml:space="preserve"> by </w:t>
      </w:r>
      <w:r w:rsidR="00450CDC" w:rsidRPr="00E73BB1">
        <w:rPr>
          <w:rFonts w:ascii="Times New Roman" w:hAnsi="Times New Roman" w:cs="Times New Roman"/>
          <w:sz w:val="24"/>
          <w:szCs w:val="24"/>
        </w:rPr>
        <w:t>examining</w:t>
      </w:r>
      <w:r w:rsidR="00FA0AB3" w:rsidRPr="00E73BB1">
        <w:rPr>
          <w:rFonts w:ascii="Times New Roman" w:hAnsi="Times New Roman" w:cs="Times New Roman"/>
          <w:sz w:val="24"/>
          <w:szCs w:val="24"/>
        </w:rPr>
        <w:t xml:space="preserve"> the correlation coefficient between scores on the </w:t>
      </w:r>
      <w:r w:rsidR="00CE3226" w:rsidRPr="00E73BB1">
        <w:rPr>
          <w:rFonts w:ascii="Times New Roman" w:hAnsi="Times New Roman" w:cs="Times New Roman"/>
          <w:sz w:val="24"/>
          <w:szCs w:val="24"/>
        </w:rPr>
        <w:t>BILD-Q</w:t>
      </w:r>
      <w:r w:rsidR="00FA0AB3" w:rsidRPr="00E73BB1">
        <w:rPr>
          <w:rFonts w:ascii="Times New Roman" w:hAnsi="Times New Roman" w:cs="Times New Roman"/>
          <w:sz w:val="24"/>
          <w:szCs w:val="24"/>
        </w:rPr>
        <w:t xml:space="preserve"> </w:t>
      </w:r>
      <w:r w:rsidR="00016893" w:rsidRPr="00E73BB1">
        <w:rPr>
          <w:rFonts w:ascii="Times New Roman" w:hAnsi="Times New Roman" w:cs="Times New Roman"/>
          <w:sz w:val="24"/>
          <w:szCs w:val="24"/>
        </w:rPr>
        <w:t>with</w:t>
      </w:r>
      <w:r w:rsidR="00450CDC" w:rsidRPr="00E73BB1">
        <w:rPr>
          <w:rFonts w:ascii="Times New Roman" w:hAnsi="Times New Roman" w:cs="Times New Roman"/>
          <w:sz w:val="24"/>
          <w:szCs w:val="24"/>
        </w:rPr>
        <w:t xml:space="preserve"> established measures of body image, </w:t>
      </w:r>
      <w:r w:rsidR="008D64D7" w:rsidRPr="00E73BB1">
        <w:rPr>
          <w:rFonts w:ascii="Times New Roman" w:hAnsi="Times New Roman" w:cs="Times New Roman"/>
          <w:sz w:val="24"/>
          <w:szCs w:val="24"/>
        </w:rPr>
        <w:t xml:space="preserve">a key </w:t>
      </w:r>
      <w:r w:rsidR="00450CDC" w:rsidRPr="00E73BB1">
        <w:rPr>
          <w:rFonts w:ascii="Times New Roman" w:hAnsi="Times New Roman" w:cs="Times New Roman"/>
          <w:sz w:val="24"/>
          <w:szCs w:val="24"/>
        </w:rPr>
        <w:t>risk factor for body image</w:t>
      </w:r>
      <w:r w:rsidR="00B3249F" w:rsidRPr="00E73BB1">
        <w:rPr>
          <w:rFonts w:ascii="Times New Roman" w:hAnsi="Times New Roman" w:cs="Times New Roman"/>
          <w:sz w:val="24"/>
          <w:szCs w:val="24"/>
        </w:rPr>
        <w:t xml:space="preserve"> (internalisation of appearance ideals)</w:t>
      </w:r>
      <w:r w:rsidR="00450CDC" w:rsidRPr="00E73BB1">
        <w:rPr>
          <w:rFonts w:ascii="Times New Roman" w:hAnsi="Times New Roman" w:cs="Times New Roman"/>
          <w:sz w:val="24"/>
          <w:szCs w:val="24"/>
        </w:rPr>
        <w:t>, and broader well-being</w:t>
      </w:r>
      <w:r w:rsidRPr="00E73BB1">
        <w:rPr>
          <w:rFonts w:ascii="Times New Roman" w:hAnsi="Times New Roman" w:cs="Times New Roman"/>
          <w:sz w:val="24"/>
          <w:szCs w:val="24"/>
        </w:rPr>
        <w:t>.</w:t>
      </w:r>
      <w:r w:rsidR="00FA0AB3" w:rsidRPr="00E73BB1">
        <w:rPr>
          <w:rFonts w:ascii="Times New Roman" w:hAnsi="Times New Roman" w:cs="Times New Roman"/>
          <w:sz w:val="24"/>
          <w:szCs w:val="24"/>
        </w:rPr>
        <w:t xml:space="preserve"> </w:t>
      </w:r>
      <w:r w:rsidRPr="00E73BB1">
        <w:rPr>
          <w:rFonts w:ascii="Times New Roman" w:hAnsi="Times New Roman" w:cs="Times New Roman"/>
          <w:sz w:val="24"/>
          <w:szCs w:val="24"/>
        </w:rPr>
        <w:t xml:space="preserve">These are displayed in Table </w:t>
      </w:r>
      <w:r w:rsidR="000B2609" w:rsidRPr="00E73BB1">
        <w:rPr>
          <w:rFonts w:ascii="Times New Roman" w:hAnsi="Times New Roman" w:cs="Times New Roman"/>
          <w:sz w:val="24"/>
          <w:szCs w:val="24"/>
        </w:rPr>
        <w:t>4</w:t>
      </w:r>
      <w:r w:rsidRPr="00E73BB1">
        <w:rPr>
          <w:rFonts w:ascii="Times New Roman" w:hAnsi="Times New Roman" w:cs="Times New Roman"/>
          <w:sz w:val="24"/>
          <w:szCs w:val="24"/>
        </w:rPr>
        <w:t>, along with means and standard deviations</w:t>
      </w:r>
      <w:r w:rsidR="00450CDC" w:rsidRPr="00E73BB1">
        <w:rPr>
          <w:rFonts w:ascii="Times New Roman" w:hAnsi="Times New Roman" w:cs="Times New Roman"/>
          <w:sz w:val="24"/>
          <w:szCs w:val="24"/>
        </w:rPr>
        <w:t>, by gender</w:t>
      </w:r>
      <w:r w:rsidRPr="00E73BB1">
        <w:rPr>
          <w:rFonts w:ascii="Times New Roman" w:hAnsi="Times New Roman" w:cs="Times New Roman"/>
          <w:sz w:val="24"/>
          <w:szCs w:val="24"/>
        </w:rPr>
        <w:t xml:space="preserve">. As expected, life </w:t>
      </w:r>
      <w:r w:rsidR="00CE3226" w:rsidRPr="00E73BB1">
        <w:rPr>
          <w:rFonts w:ascii="Times New Roman" w:hAnsi="Times New Roman" w:cs="Times New Roman"/>
          <w:sz w:val="24"/>
          <w:szCs w:val="24"/>
        </w:rPr>
        <w:t>dis</w:t>
      </w:r>
      <w:r w:rsidRPr="00E73BB1">
        <w:rPr>
          <w:rFonts w:ascii="Times New Roman" w:hAnsi="Times New Roman" w:cs="Times New Roman"/>
          <w:sz w:val="24"/>
          <w:szCs w:val="24"/>
        </w:rPr>
        <w:t xml:space="preserve">engagement showed </w:t>
      </w:r>
      <w:r w:rsidR="00B3249F" w:rsidRPr="00E73BB1">
        <w:rPr>
          <w:rFonts w:ascii="Times New Roman" w:hAnsi="Times New Roman" w:cs="Times New Roman"/>
          <w:sz w:val="24"/>
          <w:szCs w:val="24"/>
        </w:rPr>
        <w:t xml:space="preserve">significant </w:t>
      </w:r>
      <w:r w:rsidR="00450CDC" w:rsidRPr="00E73BB1">
        <w:rPr>
          <w:rFonts w:ascii="Times New Roman" w:hAnsi="Times New Roman" w:cs="Times New Roman"/>
          <w:sz w:val="24"/>
          <w:szCs w:val="24"/>
        </w:rPr>
        <w:t>correlations</w:t>
      </w:r>
      <w:r w:rsidRPr="00E73BB1">
        <w:rPr>
          <w:rFonts w:ascii="Times New Roman" w:hAnsi="Times New Roman" w:cs="Times New Roman"/>
          <w:sz w:val="24"/>
          <w:szCs w:val="24"/>
        </w:rPr>
        <w:t xml:space="preserve"> with </w:t>
      </w:r>
      <w:r w:rsidR="00016893" w:rsidRPr="00E73BB1">
        <w:rPr>
          <w:rFonts w:ascii="Times New Roman" w:hAnsi="Times New Roman" w:cs="Times New Roman"/>
          <w:sz w:val="24"/>
          <w:szCs w:val="24"/>
        </w:rPr>
        <w:t xml:space="preserve">body image (body esteem and body satisfaction), internalisation of appearance ideals, mental well-being, </w:t>
      </w:r>
      <w:r w:rsidR="00385A40" w:rsidRPr="00E73BB1">
        <w:rPr>
          <w:rFonts w:ascii="Times New Roman" w:hAnsi="Times New Roman" w:cs="Times New Roman"/>
          <w:sz w:val="24"/>
          <w:szCs w:val="24"/>
        </w:rPr>
        <w:t xml:space="preserve">and </w:t>
      </w:r>
      <w:r w:rsidR="00016893" w:rsidRPr="00E73BB1">
        <w:rPr>
          <w:rFonts w:ascii="Times New Roman" w:hAnsi="Times New Roman" w:cs="Times New Roman"/>
          <w:sz w:val="24"/>
          <w:szCs w:val="24"/>
        </w:rPr>
        <w:t>positive and negative affect, all in the expected directions</w:t>
      </w:r>
      <w:r w:rsidR="00F22859" w:rsidRPr="00E73BB1">
        <w:rPr>
          <w:rFonts w:ascii="Times New Roman" w:hAnsi="Times New Roman" w:cs="Times New Roman"/>
          <w:sz w:val="24"/>
          <w:szCs w:val="24"/>
        </w:rPr>
        <w:t>.</w:t>
      </w:r>
      <w:r w:rsidR="0010352E" w:rsidRPr="00E73BB1">
        <w:rPr>
          <w:rFonts w:ascii="Times New Roman" w:hAnsi="Times New Roman" w:cs="Times New Roman"/>
          <w:sz w:val="24"/>
          <w:szCs w:val="24"/>
        </w:rPr>
        <w:t xml:space="preserve"> </w:t>
      </w:r>
      <w:r w:rsidR="00373417" w:rsidRPr="00E73BB1">
        <w:rPr>
          <w:rFonts w:ascii="Times New Roman" w:hAnsi="Times New Roman" w:cs="Times New Roman"/>
          <w:sz w:val="24"/>
          <w:szCs w:val="24"/>
        </w:rPr>
        <w:t>Among boys</w:t>
      </w:r>
      <w:r w:rsidR="00016893" w:rsidRPr="00E73BB1">
        <w:rPr>
          <w:rFonts w:ascii="Times New Roman" w:hAnsi="Times New Roman" w:cs="Times New Roman"/>
          <w:sz w:val="24"/>
          <w:szCs w:val="24"/>
        </w:rPr>
        <w:t xml:space="preserve">, the </w:t>
      </w:r>
      <w:r w:rsidR="00CE3226" w:rsidRPr="00E73BB1">
        <w:rPr>
          <w:rFonts w:ascii="Times New Roman" w:hAnsi="Times New Roman" w:cs="Times New Roman"/>
          <w:sz w:val="24"/>
          <w:szCs w:val="24"/>
        </w:rPr>
        <w:t>BILD-Q</w:t>
      </w:r>
      <w:r w:rsidR="0010352E" w:rsidRPr="00E73BB1">
        <w:rPr>
          <w:rFonts w:ascii="Times New Roman" w:hAnsi="Times New Roman" w:cs="Times New Roman"/>
          <w:sz w:val="24"/>
          <w:szCs w:val="24"/>
        </w:rPr>
        <w:t xml:space="preserve"> was </w:t>
      </w:r>
      <w:r w:rsidR="00373417" w:rsidRPr="00E73BB1">
        <w:rPr>
          <w:rFonts w:ascii="Times New Roman" w:hAnsi="Times New Roman" w:cs="Times New Roman"/>
          <w:sz w:val="24"/>
          <w:szCs w:val="24"/>
        </w:rPr>
        <w:t xml:space="preserve">significantly </w:t>
      </w:r>
      <w:r w:rsidR="00016893" w:rsidRPr="00E73BB1">
        <w:rPr>
          <w:rFonts w:ascii="Times New Roman" w:hAnsi="Times New Roman" w:cs="Times New Roman"/>
          <w:sz w:val="24"/>
          <w:szCs w:val="24"/>
        </w:rPr>
        <w:t>associated with internalisation of athletic appearance ideals</w:t>
      </w:r>
      <w:r w:rsidR="00CB645A" w:rsidRPr="00E73BB1">
        <w:rPr>
          <w:rFonts w:ascii="Times New Roman" w:hAnsi="Times New Roman" w:cs="Times New Roman"/>
          <w:sz w:val="24"/>
          <w:szCs w:val="24"/>
        </w:rPr>
        <w:t xml:space="preserve"> </w:t>
      </w:r>
      <w:r w:rsidR="00373417" w:rsidRPr="00E73BB1">
        <w:rPr>
          <w:rFonts w:ascii="Times New Roman" w:hAnsi="Times New Roman" w:cs="Times New Roman"/>
          <w:sz w:val="24"/>
          <w:szCs w:val="24"/>
        </w:rPr>
        <w:t>only</w:t>
      </w:r>
      <w:r w:rsidR="00016893" w:rsidRPr="00E73BB1">
        <w:rPr>
          <w:rFonts w:ascii="Times New Roman" w:hAnsi="Times New Roman" w:cs="Times New Roman"/>
          <w:sz w:val="24"/>
          <w:szCs w:val="24"/>
        </w:rPr>
        <w:t xml:space="preserve">, </w:t>
      </w:r>
      <w:r w:rsidR="00373417" w:rsidRPr="00E73BB1">
        <w:rPr>
          <w:rFonts w:ascii="Times New Roman" w:hAnsi="Times New Roman" w:cs="Times New Roman"/>
          <w:sz w:val="24"/>
          <w:szCs w:val="24"/>
        </w:rPr>
        <w:t xml:space="preserve">and </w:t>
      </w:r>
      <w:r w:rsidR="00016893" w:rsidRPr="00E73BB1">
        <w:rPr>
          <w:rFonts w:ascii="Times New Roman" w:hAnsi="Times New Roman" w:cs="Times New Roman"/>
          <w:sz w:val="24"/>
          <w:szCs w:val="24"/>
        </w:rPr>
        <w:t>not general internalisation</w:t>
      </w:r>
      <w:r w:rsidR="0001697D" w:rsidRPr="00E73BB1">
        <w:rPr>
          <w:rFonts w:ascii="Times New Roman" w:hAnsi="Times New Roman" w:cs="Times New Roman"/>
          <w:sz w:val="24"/>
          <w:szCs w:val="24"/>
        </w:rPr>
        <w:t xml:space="preserve">. </w:t>
      </w:r>
    </w:p>
    <w:p w14:paraId="0B11EA36" w14:textId="73CF646C" w:rsidR="0010352E" w:rsidRPr="00E73BB1" w:rsidRDefault="0010352E" w:rsidP="00C40D22">
      <w:pPr>
        <w:widowControl w:val="0"/>
        <w:spacing w:after="0" w:line="480" w:lineRule="auto"/>
        <w:rPr>
          <w:rFonts w:ascii="Times New Roman" w:hAnsi="Times New Roman" w:cs="Times New Roman"/>
          <w:sz w:val="24"/>
          <w:szCs w:val="24"/>
        </w:rPr>
      </w:pPr>
      <w:r w:rsidRPr="00E73BB1">
        <w:rPr>
          <w:rFonts w:ascii="Times New Roman" w:hAnsi="Times New Roman" w:cs="Times New Roman"/>
          <w:sz w:val="24"/>
          <w:szCs w:val="24"/>
        </w:rPr>
        <w:tab/>
        <w:t xml:space="preserve">Incremental validity </w:t>
      </w:r>
      <w:r w:rsidR="00E23EDE" w:rsidRPr="00E73BB1">
        <w:rPr>
          <w:rFonts w:ascii="Times New Roman" w:hAnsi="Times New Roman" w:cs="Times New Roman"/>
          <w:sz w:val="24"/>
          <w:szCs w:val="24"/>
        </w:rPr>
        <w:t xml:space="preserve">of the </w:t>
      </w:r>
      <w:r w:rsidR="00CE3226" w:rsidRPr="00E73BB1">
        <w:rPr>
          <w:rFonts w:ascii="Times New Roman" w:hAnsi="Times New Roman" w:cs="Times New Roman"/>
          <w:sz w:val="24"/>
          <w:szCs w:val="24"/>
        </w:rPr>
        <w:t>BILD-Q</w:t>
      </w:r>
      <w:r w:rsidR="00E23EDE" w:rsidRPr="00E73BB1">
        <w:rPr>
          <w:rFonts w:ascii="Times New Roman" w:hAnsi="Times New Roman" w:cs="Times New Roman"/>
          <w:sz w:val="24"/>
          <w:szCs w:val="24"/>
        </w:rPr>
        <w:t xml:space="preserve"> over </w:t>
      </w:r>
      <w:r w:rsidR="00686099" w:rsidRPr="00E73BB1">
        <w:rPr>
          <w:rFonts w:ascii="Times New Roman" w:hAnsi="Times New Roman" w:cs="Times New Roman"/>
          <w:sz w:val="24"/>
          <w:szCs w:val="24"/>
        </w:rPr>
        <w:t>body image</w:t>
      </w:r>
      <w:r w:rsidR="00D87FF3" w:rsidRPr="00E73BB1">
        <w:rPr>
          <w:rFonts w:ascii="Times New Roman" w:hAnsi="Times New Roman" w:cs="Times New Roman"/>
          <w:sz w:val="24"/>
          <w:szCs w:val="24"/>
        </w:rPr>
        <w:t xml:space="preserve"> (body esteem, body satisfaction)</w:t>
      </w:r>
      <w:r w:rsidR="00686099" w:rsidRPr="00E73BB1">
        <w:rPr>
          <w:rFonts w:ascii="Times New Roman" w:hAnsi="Times New Roman" w:cs="Times New Roman"/>
          <w:sz w:val="24"/>
          <w:szCs w:val="24"/>
        </w:rPr>
        <w:t xml:space="preserve"> and </w:t>
      </w:r>
      <w:r w:rsidR="00D87FF3" w:rsidRPr="00E73BB1">
        <w:rPr>
          <w:rFonts w:ascii="Times New Roman" w:hAnsi="Times New Roman" w:cs="Times New Roman"/>
          <w:sz w:val="24"/>
          <w:szCs w:val="24"/>
        </w:rPr>
        <w:t xml:space="preserve">psychosocial </w:t>
      </w:r>
      <w:r w:rsidR="009A7B64" w:rsidRPr="00E73BB1">
        <w:rPr>
          <w:rFonts w:ascii="Times New Roman" w:hAnsi="Times New Roman" w:cs="Times New Roman"/>
          <w:sz w:val="24"/>
          <w:szCs w:val="24"/>
        </w:rPr>
        <w:t>impairment due to eating, exercising and weight/shape concerns (</w:t>
      </w:r>
      <w:r w:rsidR="00E23EDE" w:rsidRPr="00E73BB1">
        <w:rPr>
          <w:rFonts w:ascii="Times New Roman" w:hAnsi="Times New Roman" w:cs="Times New Roman"/>
          <w:sz w:val="24"/>
          <w:szCs w:val="24"/>
        </w:rPr>
        <w:t>CIA</w:t>
      </w:r>
      <w:r w:rsidR="009A7B64" w:rsidRPr="00E73BB1">
        <w:rPr>
          <w:rFonts w:ascii="Times New Roman" w:hAnsi="Times New Roman" w:cs="Times New Roman"/>
          <w:sz w:val="24"/>
          <w:szCs w:val="24"/>
        </w:rPr>
        <w:t>)</w:t>
      </w:r>
      <w:r w:rsidR="00E23EDE" w:rsidRPr="00E73BB1">
        <w:rPr>
          <w:rFonts w:ascii="Times New Roman" w:hAnsi="Times New Roman" w:cs="Times New Roman"/>
          <w:sz w:val="24"/>
          <w:szCs w:val="24"/>
        </w:rPr>
        <w:t xml:space="preserve"> </w:t>
      </w:r>
      <w:r w:rsidRPr="00E73BB1">
        <w:rPr>
          <w:rFonts w:ascii="Times New Roman" w:hAnsi="Times New Roman" w:cs="Times New Roman"/>
          <w:sz w:val="24"/>
          <w:szCs w:val="24"/>
        </w:rPr>
        <w:t xml:space="preserve">was </w:t>
      </w:r>
      <w:r w:rsidR="00B23223" w:rsidRPr="00E73BB1">
        <w:rPr>
          <w:rFonts w:ascii="Times New Roman" w:hAnsi="Times New Roman" w:cs="Times New Roman"/>
          <w:sz w:val="24"/>
          <w:szCs w:val="24"/>
        </w:rPr>
        <w:t>investigated</w:t>
      </w:r>
      <w:r w:rsidRPr="00E73BB1">
        <w:rPr>
          <w:rFonts w:ascii="Times New Roman" w:hAnsi="Times New Roman" w:cs="Times New Roman"/>
          <w:sz w:val="24"/>
          <w:szCs w:val="24"/>
        </w:rPr>
        <w:t xml:space="preserve"> using hierarchical multiple regression, separately for each outcome of </w:t>
      </w:r>
      <w:r w:rsidR="00DF19C9" w:rsidRPr="00E73BB1">
        <w:rPr>
          <w:rFonts w:ascii="Times New Roman" w:hAnsi="Times New Roman" w:cs="Times New Roman"/>
          <w:sz w:val="24"/>
          <w:szCs w:val="24"/>
        </w:rPr>
        <w:t xml:space="preserve">mental </w:t>
      </w:r>
      <w:r w:rsidRPr="00E73BB1">
        <w:rPr>
          <w:rFonts w:ascii="Times New Roman" w:hAnsi="Times New Roman" w:cs="Times New Roman"/>
          <w:sz w:val="24"/>
          <w:szCs w:val="24"/>
        </w:rPr>
        <w:t>well-being</w:t>
      </w:r>
      <w:r w:rsidR="00B23223" w:rsidRPr="00E73BB1">
        <w:rPr>
          <w:rFonts w:ascii="Times New Roman" w:hAnsi="Times New Roman" w:cs="Times New Roman"/>
          <w:sz w:val="24"/>
          <w:szCs w:val="24"/>
        </w:rPr>
        <w:t>,</w:t>
      </w:r>
      <w:r w:rsidR="00593807" w:rsidRPr="00E73BB1">
        <w:rPr>
          <w:rFonts w:ascii="Times New Roman" w:hAnsi="Times New Roman" w:cs="Times New Roman"/>
          <w:sz w:val="24"/>
          <w:szCs w:val="24"/>
        </w:rPr>
        <w:t xml:space="preserve"> </w:t>
      </w:r>
      <w:r w:rsidR="00B23223" w:rsidRPr="00E73BB1">
        <w:rPr>
          <w:rFonts w:ascii="Times New Roman" w:hAnsi="Times New Roman" w:cs="Times New Roman"/>
          <w:sz w:val="24"/>
          <w:szCs w:val="24"/>
        </w:rPr>
        <w:t>negative</w:t>
      </w:r>
      <w:r w:rsidR="00D77257" w:rsidRPr="00E73BB1">
        <w:rPr>
          <w:rFonts w:ascii="Times New Roman" w:hAnsi="Times New Roman" w:cs="Times New Roman"/>
          <w:sz w:val="24"/>
          <w:szCs w:val="24"/>
        </w:rPr>
        <w:t xml:space="preserve"> affect,</w:t>
      </w:r>
      <w:r w:rsidR="00B23223" w:rsidRPr="00E73BB1">
        <w:rPr>
          <w:rFonts w:ascii="Times New Roman" w:hAnsi="Times New Roman" w:cs="Times New Roman"/>
          <w:sz w:val="24"/>
          <w:szCs w:val="24"/>
        </w:rPr>
        <w:t xml:space="preserve"> and positive affect</w:t>
      </w:r>
      <w:r w:rsidRPr="00E73BB1">
        <w:rPr>
          <w:rFonts w:ascii="Times New Roman" w:hAnsi="Times New Roman" w:cs="Times New Roman"/>
          <w:sz w:val="24"/>
          <w:szCs w:val="24"/>
        </w:rPr>
        <w:t>. For each</w:t>
      </w:r>
      <w:r w:rsidR="00B810CA" w:rsidRPr="00E73BB1">
        <w:rPr>
          <w:rFonts w:ascii="Times New Roman" w:hAnsi="Times New Roman" w:cs="Times New Roman"/>
          <w:sz w:val="24"/>
          <w:szCs w:val="24"/>
        </w:rPr>
        <w:t xml:space="preserve"> model</w:t>
      </w:r>
      <w:r w:rsidRPr="00E73BB1">
        <w:rPr>
          <w:rFonts w:ascii="Times New Roman" w:hAnsi="Times New Roman" w:cs="Times New Roman"/>
          <w:sz w:val="24"/>
          <w:szCs w:val="24"/>
        </w:rPr>
        <w:t xml:space="preserve">, </w:t>
      </w:r>
      <w:r w:rsidR="00B23223" w:rsidRPr="00E73BB1">
        <w:rPr>
          <w:rFonts w:ascii="Times New Roman" w:hAnsi="Times New Roman" w:cs="Times New Roman"/>
          <w:sz w:val="24"/>
          <w:szCs w:val="24"/>
        </w:rPr>
        <w:t>gender was entered at Step 1 to remove influence of gender</w:t>
      </w:r>
      <w:r w:rsidR="00B810CA" w:rsidRPr="00E73BB1">
        <w:rPr>
          <w:rFonts w:ascii="Times New Roman" w:hAnsi="Times New Roman" w:cs="Times New Roman"/>
          <w:sz w:val="24"/>
          <w:szCs w:val="24"/>
        </w:rPr>
        <w:t xml:space="preserve"> differences</w:t>
      </w:r>
      <w:r w:rsidR="00B23223" w:rsidRPr="00E73BB1">
        <w:rPr>
          <w:rFonts w:ascii="Times New Roman" w:hAnsi="Times New Roman" w:cs="Times New Roman"/>
          <w:sz w:val="24"/>
          <w:szCs w:val="24"/>
        </w:rPr>
        <w:t xml:space="preserve">, </w:t>
      </w:r>
      <w:r w:rsidR="00373417" w:rsidRPr="00E73BB1">
        <w:rPr>
          <w:rFonts w:ascii="Times New Roman" w:hAnsi="Times New Roman" w:cs="Times New Roman"/>
          <w:sz w:val="24"/>
          <w:szCs w:val="24"/>
        </w:rPr>
        <w:t xml:space="preserve">and </w:t>
      </w:r>
      <w:r w:rsidR="00B23223" w:rsidRPr="00E73BB1">
        <w:rPr>
          <w:rFonts w:ascii="Times New Roman" w:hAnsi="Times New Roman" w:cs="Times New Roman"/>
          <w:sz w:val="24"/>
          <w:szCs w:val="24"/>
        </w:rPr>
        <w:t xml:space="preserve">body esteem and body satisfaction variables </w:t>
      </w:r>
      <w:r w:rsidR="00593807" w:rsidRPr="00E73BB1">
        <w:rPr>
          <w:rFonts w:ascii="Times New Roman" w:hAnsi="Times New Roman" w:cs="Times New Roman"/>
          <w:sz w:val="24"/>
          <w:szCs w:val="24"/>
        </w:rPr>
        <w:lastRenderedPageBreak/>
        <w:t xml:space="preserve">were entered </w:t>
      </w:r>
      <w:r w:rsidR="00B23223" w:rsidRPr="00E73BB1">
        <w:rPr>
          <w:rFonts w:ascii="Times New Roman" w:hAnsi="Times New Roman" w:cs="Times New Roman"/>
          <w:sz w:val="24"/>
          <w:szCs w:val="24"/>
        </w:rPr>
        <w:t>at Step 2 to ensure that we were testing contribution beyond body image</w:t>
      </w:r>
      <w:r w:rsidR="00091FA6" w:rsidRPr="00E73BB1">
        <w:rPr>
          <w:rFonts w:ascii="Times New Roman" w:hAnsi="Times New Roman" w:cs="Times New Roman"/>
          <w:sz w:val="24"/>
          <w:szCs w:val="24"/>
        </w:rPr>
        <w:t xml:space="preserve"> evaluation</w:t>
      </w:r>
      <w:r w:rsidR="00B810CA" w:rsidRPr="00E73BB1">
        <w:rPr>
          <w:rFonts w:ascii="Times New Roman" w:hAnsi="Times New Roman" w:cs="Times New Roman"/>
          <w:sz w:val="24"/>
          <w:szCs w:val="24"/>
        </w:rPr>
        <w:t xml:space="preserve"> itself</w:t>
      </w:r>
      <w:r w:rsidR="00373417" w:rsidRPr="00E73BB1">
        <w:rPr>
          <w:rFonts w:ascii="Times New Roman" w:hAnsi="Times New Roman" w:cs="Times New Roman"/>
          <w:sz w:val="24"/>
          <w:szCs w:val="24"/>
        </w:rPr>
        <w:t xml:space="preserve">. The </w:t>
      </w:r>
      <w:r w:rsidR="00596631" w:rsidRPr="00E73BB1">
        <w:rPr>
          <w:rFonts w:ascii="Times New Roman" w:hAnsi="Times New Roman" w:cs="Times New Roman"/>
          <w:sz w:val="24"/>
          <w:szCs w:val="24"/>
        </w:rPr>
        <w:t>CIA</w:t>
      </w:r>
      <w:r w:rsidRPr="00E73BB1">
        <w:rPr>
          <w:rFonts w:ascii="Times New Roman" w:hAnsi="Times New Roman" w:cs="Times New Roman"/>
          <w:sz w:val="24"/>
          <w:szCs w:val="24"/>
        </w:rPr>
        <w:t xml:space="preserve"> </w:t>
      </w:r>
      <w:r w:rsidR="00373417" w:rsidRPr="00E73BB1">
        <w:rPr>
          <w:rFonts w:ascii="Times New Roman" w:hAnsi="Times New Roman" w:cs="Times New Roman"/>
          <w:sz w:val="24"/>
          <w:szCs w:val="24"/>
        </w:rPr>
        <w:t xml:space="preserve">was then entered </w:t>
      </w:r>
      <w:r w:rsidR="00B23223" w:rsidRPr="00E73BB1">
        <w:rPr>
          <w:rFonts w:ascii="Times New Roman" w:hAnsi="Times New Roman" w:cs="Times New Roman"/>
          <w:sz w:val="24"/>
          <w:szCs w:val="24"/>
        </w:rPr>
        <w:t>at step 3</w:t>
      </w:r>
      <w:r w:rsidRPr="00E73BB1">
        <w:rPr>
          <w:rFonts w:ascii="Times New Roman" w:hAnsi="Times New Roman" w:cs="Times New Roman"/>
          <w:sz w:val="24"/>
          <w:szCs w:val="24"/>
        </w:rPr>
        <w:t>, a</w:t>
      </w:r>
      <w:r w:rsidR="00B23223" w:rsidRPr="00E73BB1">
        <w:rPr>
          <w:rFonts w:ascii="Times New Roman" w:hAnsi="Times New Roman" w:cs="Times New Roman"/>
          <w:sz w:val="24"/>
          <w:szCs w:val="24"/>
        </w:rPr>
        <w:t xml:space="preserve">nd the </w:t>
      </w:r>
      <w:r w:rsidR="00CE3226" w:rsidRPr="00E73BB1">
        <w:rPr>
          <w:rFonts w:ascii="Times New Roman" w:hAnsi="Times New Roman" w:cs="Times New Roman"/>
          <w:sz w:val="24"/>
          <w:szCs w:val="24"/>
        </w:rPr>
        <w:t>BILD-Q</w:t>
      </w:r>
      <w:r w:rsidR="00B23223" w:rsidRPr="00E73BB1">
        <w:rPr>
          <w:rFonts w:ascii="Times New Roman" w:hAnsi="Times New Roman" w:cs="Times New Roman"/>
          <w:sz w:val="24"/>
          <w:szCs w:val="24"/>
        </w:rPr>
        <w:t xml:space="preserve"> at Step 4</w:t>
      </w:r>
      <w:r w:rsidRPr="00E73BB1">
        <w:rPr>
          <w:rFonts w:ascii="Times New Roman" w:hAnsi="Times New Roman" w:cs="Times New Roman"/>
          <w:sz w:val="24"/>
          <w:szCs w:val="24"/>
        </w:rPr>
        <w:t>, with the change in R</w:t>
      </w:r>
      <w:r w:rsidRPr="00E73BB1">
        <w:rPr>
          <w:rFonts w:ascii="Times New Roman" w:hAnsi="Times New Roman" w:cs="Times New Roman"/>
          <w:sz w:val="24"/>
          <w:szCs w:val="24"/>
          <w:vertAlign w:val="superscript"/>
        </w:rPr>
        <w:t>2</w:t>
      </w:r>
      <w:r w:rsidRPr="00E73BB1">
        <w:rPr>
          <w:rFonts w:ascii="Times New Roman" w:hAnsi="Times New Roman" w:cs="Times New Roman"/>
          <w:sz w:val="24"/>
          <w:szCs w:val="24"/>
        </w:rPr>
        <w:t xml:space="preserve"> </w:t>
      </w:r>
      <w:r w:rsidR="00373417" w:rsidRPr="00E73BB1">
        <w:rPr>
          <w:rFonts w:ascii="Times New Roman" w:hAnsi="Times New Roman" w:cs="Times New Roman"/>
          <w:sz w:val="24"/>
          <w:szCs w:val="24"/>
        </w:rPr>
        <w:t>indicating</w:t>
      </w:r>
      <w:r w:rsidRPr="00E73BB1">
        <w:rPr>
          <w:rFonts w:ascii="Times New Roman" w:hAnsi="Times New Roman" w:cs="Times New Roman"/>
          <w:sz w:val="24"/>
          <w:szCs w:val="24"/>
        </w:rPr>
        <w:t xml:space="preserve"> unique association </w:t>
      </w:r>
      <w:r w:rsidR="00B23223" w:rsidRPr="00E73BB1">
        <w:rPr>
          <w:rFonts w:ascii="Times New Roman" w:hAnsi="Times New Roman" w:cs="Times New Roman"/>
          <w:sz w:val="24"/>
          <w:szCs w:val="24"/>
        </w:rPr>
        <w:t xml:space="preserve">with the outcome </w:t>
      </w:r>
      <w:r w:rsidRPr="00E73BB1">
        <w:rPr>
          <w:rFonts w:ascii="Times New Roman" w:hAnsi="Times New Roman" w:cs="Times New Roman"/>
          <w:sz w:val="24"/>
          <w:szCs w:val="24"/>
        </w:rPr>
        <w:t xml:space="preserve">(Table </w:t>
      </w:r>
      <w:r w:rsidR="00373417" w:rsidRPr="00E73BB1">
        <w:rPr>
          <w:rFonts w:ascii="Times New Roman" w:hAnsi="Times New Roman" w:cs="Times New Roman"/>
          <w:sz w:val="24"/>
          <w:szCs w:val="24"/>
        </w:rPr>
        <w:t>5</w:t>
      </w:r>
      <w:r w:rsidRPr="00E73BB1">
        <w:rPr>
          <w:rFonts w:ascii="Times New Roman" w:hAnsi="Times New Roman" w:cs="Times New Roman"/>
          <w:sz w:val="24"/>
          <w:szCs w:val="24"/>
        </w:rPr>
        <w:t xml:space="preserve">). </w:t>
      </w:r>
      <w:r w:rsidR="00B23223" w:rsidRPr="00E73BB1">
        <w:rPr>
          <w:rFonts w:ascii="Times New Roman" w:hAnsi="Times New Roman" w:cs="Times New Roman"/>
          <w:sz w:val="24"/>
          <w:szCs w:val="24"/>
        </w:rPr>
        <w:t xml:space="preserve">We first assessed concurrent validity (all variables assessed at baseline), and results </w:t>
      </w:r>
      <w:r w:rsidR="00C97665" w:rsidRPr="00E73BB1">
        <w:rPr>
          <w:rFonts w:ascii="Times New Roman" w:hAnsi="Times New Roman" w:cs="Times New Roman"/>
          <w:sz w:val="24"/>
          <w:szCs w:val="24"/>
        </w:rPr>
        <w:t xml:space="preserve">showed </w:t>
      </w:r>
      <w:r w:rsidR="00B23223" w:rsidRPr="00E73BB1">
        <w:rPr>
          <w:rFonts w:ascii="Times New Roman" w:hAnsi="Times New Roman" w:cs="Times New Roman"/>
          <w:sz w:val="24"/>
          <w:szCs w:val="24"/>
        </w:rPr>
        <w:t xml:space="preserve">the </w:t>
      </w:r>
      <w:r w:rsidR="00CE3226" w:rsidRPr="00E73BB1">
        <w:rPr>
          <w:rFonts w:ascii="Times New Roman" w:hAnsi="Times New Roman" w:cs="Times New Roman"/>
          <w:sz w:val="24"/>
          <w:szCs w:val="24"/>
        </w:rPr>
        <w:t>BILD-Q</w:t>
      </w:r>
      <w:r w:rsidR="00B23223" w:rsidRPr="00E73BB1">
        <w:rPr>
          <w:rFonts w:ascii="Times New Roman" w:hAnsi="Times New Roman" w:cs="Times New Roman"/>
          <w:sz w:val="24"/>
          <w:szCs w:val="24"/>
        </w:rPr>
        <w:t xml:space="preserve"> to explain small but significant </w:t>
      </w:r>
      <w:r w:rsidR="00B810CA" w:rsidRPr="00E73BB1">
        <w:rPr>
          <w:rFonts w:ascii="Times New Roman" w:hAnsi="Times New Roman" w:cs="Times New Roman"/>
          <w:sz w:val="24"/>
          <w:szCs w:val="24"/>
        </w:rPr>
        <w:t xml:space="preserve">additional </w:t>
      </w:r>
      <w:r w:rsidR="00C770BD" w:rsidRPr="00E73BB1">
        <w:rPr>
          <w:rFonts w:ascii="Times New Roman" w:hAnsi="Times New Roman" w:cs="Times New Roman"/>
          <w:sz w:val="24"/>
          <w:szCs w:val="24"/>
        </w:rPr>
        <w:t xml:space="preserve">unique </w:t>
      </w:r>
      <w:r w:rsidR="00B23223" w:rsidRPr="00E73BB1">
        <w:rPr>
          <w:rFonts w:ascii="Times New Roman" w:hAnsi="Times New Roman" w:cs="Times New Roman"/>
          <w:sz w:val="24"/>
          <w:szCs w:val="24"/>
        </w:rPr>
        <w:t xml:space="preserve">variance </w:t>
      </w:r>
      <w:r w:rsidR="00C770BD" w:rsidRPr="00E73BB1">
        <w:rPr>
          <w:rFonts w:ascii="Times New Roman" w:hAnsi="Times New Roman" w:cs="Times New Roman"/>
          <w:sz w:val="24"/>
          <w:szCs w:val="24"/>
        </w:rPr>
        <w:t xml:space="preserve">in </w:t>
      </w:r>
      <w:r w:rsidR="007E5C74" w:rsidRPr="00E73BB1">
        <w:rPr>
          <w:rFonts w:ascii="Times New Roman" w:hAnsi="Times New Roman" w:cs="Times New Roman"/>
          <w:sz w:val="24"/>
          <w:szCs w:val="24"/>
        </w:rPr>
        <w:t>general</w:t>
      </w:r>
      <w:r w:rsidR="00395BEA" w:rsidRPr="00E73BB1">
        <w:rPr>
          <w:rFonts w:ascii="Times New Roman" w:hAnsi="Times New Roman" w:cs="Times New Roman"/>
          <w:sz w:val="24"/>
          <w:szCs w:val="24"/>
        </w:rPr>
        <w:t xml:space="preserve"> </w:t>
      </w:r>
      <w:r w:rsidR="00DF19C9" w:rsidRPr="00E73BB1">
        <w:rPr>
          <w:rFonts w:ascii="Times New Roman" w:hAnsi="Times New Roman" w:cs="Times New Roman"/>
          <w:sz w:val="24"/>
          <w:szCs w:val="24"/>
        </w:rPr>
        <w:t xml:space="preserve">mental </w:t>
      </w:r>
      <w:r w:rsidR="00395BEA" w:rsidRPr="00E73BB1">
        <w:rPr>
          <w:rFonts w:ascii="Times New Roman" w:hAnsi="Times New Roman" w:cs="Times New Roman"/>
          <w:sz w:val="24"/>
          <w:szCs w:val="24"/>
        </w:rPr>
        <w:t>well-being, negative affect, and positive affect</w:t>
      </w:r>
      <w:r w:rsidR="00B810CA" w:rsidRPr="00E73BB1">
        <w:rPr>
          <w:rFonts w:ascii="Times New Roman" w:hAnsi="Times New Roman" w:cs="Times New Roman"/>
          <w:sz w:val="24"/>
          <w:szCs w:val="24"/>
        </w:rPr>
        <w:t>. In contrast, the CIA was a significant predictor of negative affect</w:t>
      </w:r>
      <w:r w:rsidR="00373417" w:rsidRPr="00E73BB1">
        <w:rPr>
          <w:rFonts w:ascii="Times New Roman" w:hAnsi="Times New Roman" w:cs="Times New Roman"/>
          <w:sz w:val="24"/>
          <w:szCs w:val="24"/>
        </w:rPr>
        <w:t xml:space="preserve"> only</w:t>
      </w:r>
      <w:r w:rsidR="00B810CA" w:rsidRPr="00E73BB1">
        <w:rPr>
          <w:rFonts w:ascii="Times New Roman" w:hAnsi="Times New Roman" w:cs="Times New Roman"/>
          <w:sz w:val="24"/>
          <w:szCs w:val="24"/>
        </w:rPr>
        <w:t>. Finally, w</w:t>
      </w:r>
      <w:r w:rsidR="00B23223" w:rsidRPr="00E73BB1">
        <w:rPr>
          <w:rFonts w:ascii="Times New Roman" w:hAnsi="Times New Roman" w:cs="Times New Roman"/>
          <w:sz w:val="24"/>
          <w:szCs w:val="24"/>
        </w:rPr>
        <w:t>e then examined predictive</w:t>
      </w:r>
      <w:r w:rsidR="00B810CA" w:rsidRPr="00E73BB1">
        <w:rPr>
          <w:rFonts w:ascii="Times New Roman" w:hAnsi="Times New Roman" w:cs="Times New Roman"/>
          <w:sz w:val="24"/>
          <w:szCs w:val="24"/>
        </w:rPr>
        <w:t xml:space="preserve"> </w:t>
      </w:r>
      <w:r w:rsidR="00593807" w:rsidRPr="00E73BB1">
        <w:rPr>
          <w:rFonts w:ascii="Times New Roman" w:hAnsi="Times New Roman" w:cs="Times New Roman"/>
          <w:sz w:val="24"/>
          <w:szCs w:val="24"/>
        </w:rPr>
        <w:t>incremental</w:t>
      </w:r>
      <w:r w:rsidR="00B23223" w:rsidRPr="00E73BB1">
        <w:rPr>
          <w:rFonts w:ascii="Times New Roman" w:hAnsi="Times New Roman" w:cs="Times New Roman"/>
          <w:sz w:val="24"/>
          <w:szCs w:val="24"/>
        </w:rPr>
        <w:t xml:space="preserve"> validity, by assessing the contribution of baseline </w:t>
      </w:r>
      <w:r w:rsidR="00CE3226" w:rsidRPr="00E73BB1">
        <w:rPr>
          <w:rFonts w:ascii="Times New Roman" w:hAnsi="Times New Roman" w:cs="Times New Roman"/>
          <w:sz w:val="24"/>
          <w:szCs w:val="24"/>
        </w:rPr>
        <w:t>BILD-Q</w:t>
      </w:r>
      <w:r w:rsidR="00B23223" w:rsidRPr="00E73BB1">
        <w:rPr>
          <w:rFonts w:ascii="Times New Roman" w:hAnsi="Times New Roman" w:cs="Times New Roman"/>
          <w:sz w:val="24"/>
          <w:szCs w:val="24"/>
        </w:rPr>
        <w:t xml:space="preserve"> to </w:t>
      </w:r>
      <w:r w:rsidR="00593807" w:rsidRPr="00E73BB1">
        <w:rPr>
          <w:rFonts w:ascii="Times New Roman" w:hAnsi="Times New Roman" w:cs="Times New Roman"/>
          <w:sz w:val="24"/>
          <w:szCs w:val="24"/>
        </w:rPr>
        <w:t xml:space="preserve">these </w:t>
      </w:r>
      <w:r w:rsidR="00B23223" w:rsidRPr="00E73BB1">
        <w:rPr>
          <w:rFonts w:ascii="Times New Roman" w:hAnsi="Times New Roman" w:cs="Times New Roman"/>
          <w:sz w:val="24"/>
          <w:szCs w:val="24"/>
        </w:rPr>
        <w:t>outcomes measured 6</w:t>
      </w:r>
      <w:r w:rsidR="00593807" w:rsidRPr="00E73BB1">
        <w:rPr>
          <w:rFonts w:ascii="Times New Roman" w:hAnsi="Times New Roman" w:cs="Times New Roman"/>
          <w:sz w:val="24"/>
          <w:szCs w:val="24"/>
        </w:rPr>
        <w:t>-</w:t>
      </w:r>
      <w:r w:rsidR="00B23223" w:rsidRPr="00E73BB1">
        <w:rPr>
          <w:rFonts w:ascii="Times New Roman" w:hAnsi="Times New Roman" w:cs="Times New Roman"/>
          <w:sz w:val="24"/>
          <w:szCs w:val="24"/>
        </w:rPr>
        <w:t xml:space="preserve">weeks later. The results showed the </w:t>
      </w:r>
      <w:r w:rsidR="00CE3226" w:rsidRPr="00E73BB1">
        <w:rPr>
          <w:rFonts w:ascii="Times New Roman" w:hAnsi="Times New Roman" w:cs="Times New Roman"/>
          <w:sz w:val="24"/>
          <w:szCs w:val="24"/>
        </w:rPr>
        <w:t>BILD-Q</w:t>
      </w:r>
      <w:r w:rsidR="00B23223" w:rsidRPr="00E73BB1">
        <w:rPr>
          <w:rFonts w:ascii="Times New Roman" w:hAnsi="Times New Roman" w:cs="Times New Roman"/>
          <w:sz w:val="24"/>
          <w:szCs w:val="24"/>
        </w:rPr>
        <w:t xml:space="preserve"> to only explain unique </w:t>
      </w:r>
      <w:r w:rsidR="00B810CA" w:rsidRPr="00E73BB1">
        <w:rPr>
          <w:rFonts w:ascii="Times New Roman" w:hAnsi="Times New Roman" w:cs="Times New Roman"/>
          <w:sz w:val="24"/>
          <w:szCs w:val="24"/>
        </w:rPr>
        <w:t xml:space="preserve">additional </w:t>
      </w:r>
      <w:r w:rsidR="00B23223" w:rsidRPr="00E73BB1">
        <w:rPr>
          <w:rFonts w:ascii="Times New Roman" w:hAnsi="Times New Roman" w:cs="Times New Roman"/>
          <w:sz w:val="24"/>
          <w:szCs w:val="24"/>
        </w:rPr>
        <w:t xml:space="preserve">variance </w:t>
      </w:r>
      <w:r w:rsidR="00B810CA" w:rsidRPr="00E73BB1">
        <w:rPr>
          <w:rFonts w:ascii="Times New Roman" w:hAnsi="Times New Roman" w:cs="Times New Roman"/>
          <w:sz w:val="24"/>
          <w:szCs w:val="24"/>
        </w:rPr>
        <w:t>in</w:t>
      </w:r>
      <w:r w:rsidR="00B23223" w:rsidRPr="00E73BB1">
        <w:rPr>
          <w:rFonts w:ascii="Times New Roman" w:hAnsi="Times New Roman" w:cs="Times New Roman"/>
          <w:sz w:val="24"/>
          <w:szCs w:val="24"/>
        </w:rPr>
        <w:t xml:space="preserve"> well-being, and not negative </w:t>
      </w:r>
      <w:r w:rsidR="00B810CA" w:rsidRPr="00E73BB1">
        <w:rPr>
          <w:rFonts w:ascii="Times New Roman" w:hAnsi="Times New Roman" w:cs="Times New Roman"/>
          <w:sz w:val="24"/>
          <w:szCs w:val="24"/>
        </w:rPr>
        <w:t>or</w:t>
      </w:r>
      <w:r w:rsidR="00B23223" w:rsidRPr="00E73BB1">
        <w:rPr>
          <w:rFonts w:ascii="Times New Roman" w:hAnsi="Times New Roman" w:cs="Times New Roman"/>
          <w:sz w:val="24"/>
          <w:szCs w:val="24"/>
        </w:rPr>
        <w:t xml:space="preserve"> positive affect. </w:t>
      </w:r>
      <w:r w:rsidR="00B810CA" w:rsidRPr="00E73BB1">
        <w:rPr>
          <w:rFonts w:ascii="Times New Roman" w:hAnsi="Times New Roman" w:cs="Times New Roman"/>
          <w:sz w:val="24"/>
          <w:szCs w:val="24"/>
        </w:rPr>
        <w:t>In contrast, the CIA was the only significant predictor of negative affect 6</w:t>
      </w:r>
      <w:r w:rsidR="00593807" w:rsidRPr="00E73BB1">
        <w:rPr>
          <w:rFonts w:ascii="Times New Roman" w:hAnsi="Times New Roman" w:cs="Times New Roman"/>
          <w:sz w:val="24"/>
          <w:szCs w:val="24"/>
        </w:rPr>
        <w:t>-</w:t>
      </w:r>
      <w:r w:rsidR="00B810CA" w:rsidRPr="00E73BB1">
        <w:rPr>
          <w:rFonts w:ascii="Times New Roman" w:hAnsi="Times New Roman" w:cs="Times New Roman"/>
          <w:sz w:val="24"/>
          <w:szCs w:val="24"/>
        </w:rPr>
        <w:t>weeks later.</w:t>
      </w:r>
    </w:p>
    <w:p w14:paraId="6FA44CB7" w14:textId="5401958D" w:rsidR="008B6A13" w:rsidRPr="002D64AF" w:rsidRDefault="008B6A13" w:rsidP="002D64AF">
      <w:pPr>
        <w:pStyle w:val="ListParagraph"/>
        <w:widowControl w:val="0"/>
        <w:numPr>
          <w:ilvl w:val="0"/>
          <w:numId w:val="10"/>
        </w:numPr>
        <w:spacing w:after="0" w:line="480" w:lineRule="auto"/>
        <w:jc w:val="center"/>
        <w:rPr>
          <w:rFonts w:ascii="Times New Roman" w:hAnsi="Times New Roman" w:cs="Times New Roman"/>
          <w:b/>
          <w:sz w:val="24"/>
          <w:szCs w:val="24"/>
        </w:rPr>
      </w:pPr>
      <w:r w:rsidRPr="002D64AF">
        <w:rPr>
          <w:rFonts w:ascii="Times New Roman" w:hAnsi="Times New Roman" w:cs="Times New Roman"/>
          <w:b/>
          <w:sz w:val="24"/>
          <w:szCs w:val="24"/>
        </w:rPr>
        <w:t>Discussion</w:t>
      </w:r>
    </w:p>
    <w:p w14:paraId="0029616E" w14:textId="714103A0" w:rsidR="00C40D22" w:rsidRPr="00E73BB1" w:rsidRDefault="00A26141" w:rsidP="00505EDE">
      <w:pPr>
        <w:spacing w:after="0" w:line="480" w:lineRule="auto"/>
        <w:ind w:firstLine="709"/>
        <w:rPr>
          <w:rFonts w:ascii="Times New Roman" w:hAnsi="Times New Roman" w:cs="Times New Roman"/>
          <w:sz w:val="24"/>
          <w:szCs w:val="24"/>
        </w:rPr>
      </w:pPr>
      <w:r w:rsidRPr="00E73BB1">
        <w:rPr>
          <w:rFonts w:ascii="Times New Roman" w:hAnsi="Times New Roman" w:cs="Times New Roman"/>
          <w:sz w:val="24"/>
          <w:szCs w:val="24"/>
        </w:rPr>
        <w:t xml:space="preserve">Body image concerns are increasingly recognised as a significant public health issue, </w:t>
      </w:r>
      <w:r w:rsidR="00C40D22" w:rsidRPr="00E73BB1">
        <w:rPr>
          <w:rFonts w:ascii="Times New Roman" w:hAnsi="Times New Roman" w:cs="Times New Roman"/>
          <w:sz w:val="24"/>
          <w:szCs w:val="24"/>
        </w:rPr>
        <w:t xml:space="preserve">given their high prevalence and negative association with a broad range of health outcomes </w:t>
      </w:r>
      <w:r w:rsidR="00EC1D56" w:rsidRPr="00E73BB1">
        <w:rPr>
          <w:rFonts w:ascii="Times New Roman" w:hAnsi="Times New Roman" w:cs="Times New Roman"/>
          <w:noProof/>
          <w:sz w:val="24"/>
          <w:szCs w:val="24"/>
        </w:rPr>
        <w:t>(Al Sabbah et al., 2009; Bornioli et al., 2019)</w:t>
      </w:r>
      <w:r w:rsidR="00C40D22" w:rsidRPr="00E73BB1">
        <w:rPr>
          <w:rFonts w:ascii="Times New Roman" w:hAnsi="Times New Roman" w:cs="Times New Roman"/>
          <w:sz w:val="24"/>
          <w:szCs w:val="24"/>
        </w:rPr>
        <w:t xml:space="preserve">. </w:t>
      </w:r>
      <w:r w:rsidR="00976F61" w:rsidRPr="00E73BB1">
        <w:rPr>
          <w:rFonts w:ascii="Times New Roman" w:hAnsi="Times New Roman" w:cs="Times New Roman"/>
          <w:sz w:val="24"/>
          <w:szCs w:val="24"/>
        </w:rPr>
        <w:t>Evaluating</w:t>
      </w:r>
      <w:r w:rsidR="00171AD9" w:rsidRPr="00E73BB1">
        <w:rPr>
          <w:rFonts w:ascii="Times New Roman" w:hAnsi="Times New Roman" w:cs="Times New Roman"/>
          <w:sz w:val="24"/>
          <w:szCs w:val="24"/>
        </w:rPr>
        <w:t xml:space="preserve"> the</w:t>
      </w:r>
      <w:r w:rsidR="00976F61" w:rsidRPr="00E73BB1">
        <w:rPr>
          <w:rFonts w:ascii="Times New Roman" w:hAnsi="Times New Roman" w:cs="Times New Roman"/>
          <w:sz w:val="24"/>
          <w:szCs w:val="24"/>
        </w:rPr>
        <w:t xml:space="preserve"> </w:t>
      </w:r>
      <w:r w:rsidRPr="00E73BB1">
        <w:rPr>
          <w:rFonts w:ascii="Times New Roman" w:hAnsi="Times New Roman" w:cs="Times New Roman"/>
          <w:sz w:val="24"/>
          <w:szCs w:val="24"/>
        </w:rPr>
        <w:t xml:space="preserve">impact of </w:t>
      </w:r>
      <w:r w:rsidR="00976F61" w:rsidRPr="00E73BB1">
        <w:rPr>
          <w:rFonts w:ascii="Times New Roman" w:hAnsi="Times New Roman" w:cs="Times New Roman"/>
          <w:sz w:val="24"/>
          <w:szCs w:val="24"/>
        </w:rPr>
        <w:t xml:space="preserve">such </w:t>
      </w:r>
      <w:r w:rsidRPr="00E73BB1">
        <w:rPr>
          <w:rFonts w:ascii="Times New Roman" w:hAnsi="Times New Roman" w:cs="Times New Roman"/>
          <w:sz w:val="24"/>
          <w:szCs w:val="24"/>
        </w:rPr>
        <w:t>concerns</w:t>
      </w:r>
      <w:r w:rsidR="00976F61" w:rsidRPr="00E73BB1">
        <w:rPr>
          <w:rFonts w:ascii="Times New Roman" w:hAnsi="Times New Roman" w:cs="Times New Roman"/>
          <w:sz w:val="24"/>
          <w:szCs w:val="24"/>
        </w:rPr>
        <w:t xml:space="preserve"> on participation in important life </w:t>
      </w:r>
      <w:r w:rsidR="00171AD9" w:rsidRPr="00E73BB1">
        <w:rPr>
          <w:rFonts w:ascii="Times New Roman" w:hAnsi="Times New Roman" w:cs="Times New Roman"/>
          <w:sz w:val="24"/>
          <w:szCs w:val="24"/>
        </w:rPr>
        <w:t>events</w:t>
      </w:r>
      <w:r w:rsidR="00976F61" w:rsidRPr="00E73BB1">
        <w:rPr>
          <w:rFonts w:ascii="Times New Roman" w:hAnsi="Times New Roman" w:cs="Times New Roman"/>
          <w:sz w:val="24"/>
          <w:szCs w:val="24"/>
        </w:rPr>
        <w:t xml:space="preserve"> </w:t>
      </w:r>
      <w:r w:rsidR="00EB56A2" w:rsidRPr="00E73BB1">
        <w:rPr>
          <w:rFonts w:ascii="Times New Roman" w:hAnsi="Times New Roman" w:cs="Times New Roman"/>
          <w:sz w:val="24"/>
          <w:szCs w:val="24"/>
        </w:rPr>
        <w:t>would</w:t>
      </w:r>
      <w:r w:rsidR="00976F61" w:rsidRPr="00E73BB1">
        <w:rPr>
          <w:rFonts w:ascii="Times New Roman" w:hAnsi="Times New Roman" w:cs="Times New Roman"/>
          <w:sz w:val="24"/>
          <w:szCs w:val="24"/>
        </w:rPr>
        <w:t xml:space="preserve"> contribute to </w:t>
      </w:r>
      <w:r w:rsidR="00171AD9" w:rsidRPr="00E73BB1">
        <w:rPr>
          <w:rFonts w:ascii="Times New Roman" w:hAnsi="Times New Roman" w:cs="Times New Roman"/>
          <w:sz w:val="24"/>
          <w:szCs w:val="24"/>
        </w:rPr>
        <w:t xml:space="preserve">a </w:t>
      </w:r>
      <w:r w:rsidR="001573C5" w:rsidRPr="00E73BB1">
        <w:rPr>
          <w:rFonts w:ascii="Times New Roman" w:hAnsi="Times New Roman" w:cs="Times New Roman"/>
          <w:sz w:val="24"/>
          <w:szCs w:val="24"/>
        </w:rPr>
        <w:t xml:space="preserve">more </w:t>
      </w:r>
      <w:r w:rsidR="00976F61" w:rsidRPr="00E73BB1">
        <w:rPr>
          <w:rFonts w:ascii="Times New Roman" w:hAnsi="Times New Roman" w:cs="Times New Roman"/>
          <w:sz w:val="24"/>
          <w:szCs w:val="24"/>
        </w:rPr>
        <w:t xml:space="preserve">comprehensive understanding </w:t>
      </w:r>
      <w:r w:rsidR="00EB56A2" w:rsidRPr="00E73BB1">
        <w:rPr>
          <w:rFonts w:ascii="Times New Roman" w:hAnsi="Times New Roman" w:cs="Times New Roman"/>
          <w:sz w:val="24"/>
          <w:szCs w:val="24"/>
        </w:rPr>
        <w:t xml:space="preserve">of </w:t>
      </w:r>
      <w:r w:rsidR="00171AD9" w:rsidRPr="00E73BB1">
        <w:rPr>
          <w:rFonts w:ascii="Times New Roman" w:hAnsi="Times New Roman" w:cs="Times New Roman"/>
          <w:sz w:val="24"/>
          <w:szCs w:val="24"/>
        </w:rPr>
        <w:t xml:space="preserve">their </w:t>
      </w:r>
      <w:r w:rsidR="00EB56A2" w:rsidRPr="00E73BB1">
        <w:rPr>
          <w:rFonts w:ascii="Times New Roman" w:hAnsi="Times New Roman" w:cs="Times New Roman"/>
          <w:sz w:val="24"/>
          <w:szCs w:val="24"/>
        </w:rPr>
        <w:t>consequences</w:t>
      </w:r>
      <w:r w:rsidR="001573C5" w:rsidRPr="00E73BB1">
        <w:rPr>
          <w:rFonts w:ascii="Times New Roman" w:hAnsi="Times New Roman" w:cs="Times New Roman"/>
          <w:sz w:val="24"/>
          <w:szCs w:val="24"/>
        </w:rPr>
        <w:t xml:space="preserve"> for adolescents</w:t>
      </w:r>
      <w:r w:rsidR="00EB56A2" w:rsidRPr="00E73BB1">
        <w:rPr>
          <w:rFonts w:ascii="Times New Roman" w:hAnsi="Times New Roman" w:cs="Times New Roman"/>
          <w:sz w:val="24"/>
          <w:szCs w:val="24"/>
        </w:rPr>
        <w:t xml:space="preserve">, but </w:t>
      </w:r>
      <w:r w:rsidR="00A46230" w:rsidRPr="00E73BB1">
        <w:rPr>
          <w:rFonts w:ascii="Times New Roman" w:hAnsi="Times New Roman" w:cs="Times New Roman"/>
          <w:sz w:val="24"/>
          <w:szCs w:val="24"/>
        </w:rPr>
        <w:t xml:space="preserve">requires a measure </w:t>
      </w:r>
      <w:r w:rsidR="00EB56A2" w:rsidRPr="00E73BB1">
        <w:rPr>
          <w:rFonts w:ascii="Times New Roman" w:hAnsi="Times New Roman" w:cs="Times New Roman"/>
          <w:sz w:val="24"/>
          <w:szCs w:val="24"/>
        </w:rPr>
        <w:t>that</w:t>
      </w:r>
      <w:r w:rsidR="00A46230" w:rsidRPr="00E73BB1">
        <w:rPr>
          <w:rFonts w:ascii="Times New Roman" w:hAnsi="Times New Roman" w:cs="Times New Roman"/>
          <w:sz w:val="24"/>
          <w:szCs w:val="24"/>
        </w:rPr>
        <w:t xml:space="preserve"> simultaneously</w:t>
      </w:r>
      <w:r w:rsidR="00E1317B" w:rsidRPr="00E73BB1">
        <w:rPr>
          <w:rFonts w:ascii="Times New Roman" w:hAnsi="Times New Roman" w:cs="Times New Roman"/>
          <w:sz w:val="24"/>
          <w:szCs w:val="24"/>
        </w:rPr>
        <w:t xml:space="preserve"> addresses identified limitations of existing measures. </w:t>
      </w:r>
      <w:r w:rsidR="00A46230" w:rsidRPr="00E73BB1">
        <w:rPr>
          <w:rFonts w:ascii="Times New Roman" w:hAnsi="Times New Roman" w:cs="Times New Roman"/>
          <w:sz w:val="24"/>
          <w:szCs w:val="24"/>
        </w:rPr>
        <w:t xml:space="preserve">We developed </w:t>
      </w:r>
      <w:r w:rsidR="00CD2A6B" w:rsidRPr="00E73BB1">
        <w:rPr>
          <w:rFonts w:ascii="Times New Roman" w:hAnsi="Times New Roman" w:cs="Times New Roman"/>
          <w:sz w:val="24"/>
          <w:szCs w:val="24"/>
        </w:rPr>
        <w:t>the Body Image Life Disengagement Questionnaire (BILD-Q)</w:t>
      </w:r>
      <w:r w:rsidR="00A46230" w:rsidRPr="00E73BB1">
        <w:rPr>
          <w:rFonts w:ascii="Times New Roman" w:hAnsi="Times New Roman" w:cs="Times New Roman"/>
          <w:sz w:val="24"/>
          <w:szCs w:val="24"/>
        </w:rPr>
        <w:t xml:space="preserve"> to address this gap</w:t>
      </w:r>
      <w:r w:rsidR="00CD2A6B" w:rsidRPr="00E73BB1">
        <w:rPr>
          <w:rFonts w:ascii="Times New Roman" w:hAnsi="Times New Roman" w:cs="Times New Roman"/>
          <w:sz w:val="24"/>
          <w:szCs w:val="24"/>
        </w:rPr>
        <w:t>,</w:t>
      </w:r>
      <w:r w:rsidR="00505EDE" w:rsidRPr="00E73BB1">
        <w:rPr>
          <w:rFonts w:ascii="Times New Roman" w:hAnsi="Times New Roman" w:cs="Times New Roman"/>
          <w:sz w:val="24"/>
          <w:szCs w:val="24"/>
        </w:rPr>
        <w:t xml:space="preserve"> and evaluated its psychometric properties across four samples of </w:t>
      </w:r>
      <w:r w:rsidR="006B7117" w:rsidRPr="00E73BB1">
        <w:rPr>
          <w:rFonts w:ascii="Times New Roman" w:hAnsi="Times New Roman" w:cs="Times New Roman"/>
          <w:sz w:val="24"/>
          <w:szCs w:val="24"/>
        </w:rPr>
        <w:t xml:space="preserve">British </w:t>
      </w:r>
      <w:r w:rsidR="00505EDE" w:rsidRPr="00E73BB1">
        <w:rPr>
          <w:rFonts w:ascii="Times New Roman" w:hAnsi="Times New Roman" w:cs="Times New Roman"/>
          <w:sz w:val="24"/>
          <w:szCs w:val="24"/>
        </w:rPr>
        <w:t>adolescent</w:t>
      </w:r>
      <w:r w:rsidR="00DB1B29" w:rsidRPr="00E73BB1">
        <w:rPr>
          <w:rFonts w:ascii="Times New Roman" w:hAnsi="Times New Roman" w:cs="Times New Roman"/>
          <w:sz w:val="24"/>
          <w:szCs w:val="24"/>
        </w:rPr>
        <w:t xml:space="preserve">s. </w:t>
      </w:r>
      <w:r w:rsidR="00505EDE" w:rsidRPr="00E73BB1">
        <w:rPr>
          <w:rFonts w:ascii="Times New Roman" w:hAnsi="Times New Roman" w:cs="Times New Roman"/>
          <w:sz w:val="24"/>
          <w:szCs w:val="24"/>
        </w:rPr>
        <w:t xml:space="preserve">In general, the </w:t>
      </w:r>
      <w:r w:rsidR="00CE3226" w:rsidRPr="00E73BB1">
        <w:rPr>
          <w:rFonts w:ascii="Times New Roman" w:hAnsi="Times New Roman" w:cs="Times New Roman"/>
          <w:sz w:val="24"/>
          <w:szCs w:val="24"/>
        </w:rPr>
        <w:t>BILD-Q</w:t>
      </w:r>
      <w:r w:rsidR="00505EDE" w:rsidRPr="00E73BB1">
        <w:rPr>
          <w:rFonts w:ascii="Times New Roman" w:hAnsi="Times New Roman" w:cs="Times New Roman"/>
          <w:sz w:val="24"/>
          <w:szCs w:val="24"/>
        </w:rPr>
        <w:t xml:space="preserve"> </w:t>
      </w:r>
      <w:r w:rsidR="00C97665" w:rsidRPr="00E73BB1">
        <w:rPr>
          <w:rFonts w:ascii="Times New Roman" w:hAnsi="Times New Roman" w:cs="Times New Roman"/>
          <w:sz w:val="24"/>
          <w:szCs w:val="24"/>
        </w:rPr>
        <w:t xml:space="preserve">exhibited </w:t>
      </w:r>
      <w:r w:rsidR="00505EDE" w:rsidRPr="00E73BB1">
        <w:rPr>
          <w:rFonts w:ascii="Times New Roman" w:hAnsi="Times New Roman" w:cs="Times New Roman"/>
          <w:sz w:val="24"/>
          <w:szCs w:val="24"/>
        </w:rPr>
        <w:t xml:space="preserve">acceptable psychometric properties among adolescent boys and girls. </w:t>
      </w:r>
      <w:r w:rsidR="00CD2A6B" w:rsidRPr="00E73BB1">
        <w:rPr>
          <w:rFonts w:ascii="Times New Roman" w:hAnsi="Times New Roman" w:cs="Times New Roman"/>
          <w:sz w:val="24"/>
          <w:szCs w:val="24"/>
        </w:rPr>
        <w:t>Its</w:t>
      </w:r>
      <w:r w:rsidR="00505EDE" w:rsidRPr="00E73BB1">
        <w:rPr>
          <w:rFonts w:ascii="Times New Roman" w:hAnsi="Times New Roman" w:cs="Times New Roman"/>
          <w:sz w:val="24"/>
          <w:szCs w:val="24"/>
        </w:rPr>
        <w:t xml:space="preserve"> predicted unidimensional factor structure was supported, and invariance across gender upheld</w:t>
      </w:r>
      <w:r w:rsidR="00182095" w:rsidRPr="00E73BB1">
        <w:rPr>
          <w:rFonts w:ascii="Times New Roman" w:hAnsi="Times New Roman" w:cs="Times New Roman"/>
          <w:sz w:val="24"/>
          <w:szCs w:val="24"/>
        </w:rPr>
        <w:t>. It</w:t>
      </w:r>
      <w:r w:rsidR="00505EDE" w:rsidRPr="00E73BB1">
        <w:rPr>
          <w:rFonts w:ascii="Times New Roman" w:hAnsi="Times New Roman" w:cs="Times New Roman"/>
          <w:sz w:val="24"/>
          <w:szCs w:val="24"/>
        </w:rPr>
        <w:t xml:space="preserve"> </w:t>
      </w:r>
      <w:r w:rsidR="00182095" w:rsidRPr="00E73BB1">
        <w:rPr>
          <w:rFonts w:ascii="Times New Roman" w:hAnsi="Times New Roman" w:cs="Times New Roman"/>
          <w:sz w:val="24"/>
          <w:szCs w:val="24"/>
        </w:rPr>
        <w:t xml:space="preserve">also </w:t>
      </w:r>
      <w:r w:rsidR="00C97665" w:rsidRPr="00E73BB1">
        <w:rPr>
          <w:rFonts w:ascii="Times New Roman" w:hAnsi="Times New Roman" w:cs="Times New Roman"/>
          <w:sz w:val="24"/>
          <w:szCs w:val="24"/>
        </w:rPr>
        <w:t xml:space="preserve">showed </w:t>
      </w:r>
      <w:r w:rsidR="00B23BBB" w:rsidRPr="00E73BB1">
        <w:rPr>
          <w:rFonts w:ascii="Times New Roman" w:hAnsi="Times New Roman" w:cs="Times New Roman"/>
          <w:sz w:val="24"/>
          <w:szCs w:val="24"/>
        </w:rPr>
        <w:t>acceptable</w:t>
      </w:r>
      <w:r w:rsidR="00505EDE" w:rsidRPr="00E73BB1">
        <w:rPr>
          <w:rFonts w:ascii="Times New Roman" w:hAnsi="Times New Roman" w:cs="Times New Roman"/>
          <w:sz w:val="24"/>
          <w:szCs w:val="24"/>
        </w:rPr>
        <w:t xml:space="preserve"> internal consistency and test-retest reliability over 1-week and 6-week periods</w:t>
      </w:r>
      <w:r w:rsidR="00182095" w:rsidRPr="00E73BB1">
        <w:rPr>
          <w:rFonts w:ascii="Times New Roman" w:hAnsi="Times New Roman" w:cs="Times New Roman"/>
          <w:sz w:val="24"/>
          <w:szCs w:val="24"/>
        </w:rPr>
        <w:t>,</w:t>
      </w:r>
      <w:r w:rsidR="00505EDE" w:rsidRPr="00E73BB1">
        <w:rPr>
          <w:rFonts w:ascii="Times New Roman" w:hAnsi="Times New Roman" w:cs="Times New Roman"/>
          <w:sz w:val="24"/>
          <w:szCs w:val="24"/>
        </w:rPr>
        <w:t xml:space="preserve"> </w:t>
      </w:r>
      <w:r w:rsidR="00182095" w:rsidRPr="00E73BB1">
        <w:rPr>
          <w:rFonts w:ascii="Times New Roman" w:hAnsi="Times New Roman" w:cs="Times New Roman"/>
          <w:sz w:val="24"/>
          <w:szCs w:val="24"/>
        </w:rPr>
        <w:t xml:space="preserve">and </w:t>
      </w:r>
      <w:r w:rsidR="00505EDE" w:rsidRPr="00E73BB1">
        <w:rPr>
          <w:rFonts w:ascii="Times New Roman" w:hAnsi="Times New Roman" w:cs="Times New Roman"/>
          <w:sz w:val="24"/>
          <w:szCs w:val="24"/>
        </w:rPr>
        <w:t xml:space="preserve">evidence of </w:t>
      </w:r>
      <w:r w:rsidR="00CD2A6B" w:rsidRPr="00E73BB1">
        <w:rPr>
          <w:rFonts w:ascii="Times New Roman" w:hAnsi="Times New Roman" w:cs="Times New Roman"/>
          <w:sz w:val="24"/>
          <w:szCs w:val="24"/>
        </w:rPr>
        <w:t>construct (</w:t>
      </w:r>
      <w:r w:rsidR="00505EDE" w:rsidRPr="00E73BB1">
        <w:rPr>
          <w:rFonts w:ascii="Times New Roman" w:hAnsi="Times New Roman" w:cs="Times New Roman"/>
          <w:sz w:val="24"/>
          <w:szCs w:val="24"/>
        </w:rPr>
        <w:t>convergent and incremental</w:t>
      </w:r>
      <w:r w:rsidR="00CD2A6B" w:rsidRPr="00E73BB1">
        <w:rPr>
          <w:rFonts w:ascii="Times New Roman" w:hAnsi="Times New Roman" w:cs="Times New Roman"/>
          <w:sz w:val="24"/>
          <w:szCs w:val="24"/>
        </w:rPr>
        <w:t>)</w:t>
      </w:r>
      <w:r w:rsidR="00505EDE" w:rsidRPr="00E73BB1">
        <w:rPr>
          <w:rFonts w:ascii="Times New Roman" w:hAnsi="Times New Roman" w:cs="Times New Roman"/>
          <w:sz w:val="24"/>
          <w:szCs w:val="24"/>
        </w:rPr>
        <w:t xml:space="preserve"> validity with respect to </w:t>
      </w:r>
      <w:r w:rsidR="00AF40BE" w:rsidRPr="00E73BB1">
        <w:rPr>
          <w:rFonts w:ascii="Times New Roman" w:hAnsi="Times New Roman" w:cs="Times New Roman"/>
          <w:sz w:val="24"/>
          <w:szCs w:val="24"/>
        </w:rPr>
        <w:t>body image, appearance-ideal internalisation, and general mental well-being</w:t>
      </w:r>
      <w:r w:rsidR="00505EDE" w:rsidRPr="00E73BB1">
        <w:rPr>
          <w:rFonts w:ascii="Times New Roman" w:hAnsi="Times New Roman" w:cs="Times New Roman"/>
          <w:sz w:val="24"/>
          <w:szCs w:val="24"/>
        </w:rPr>
        <w:t>.</w:t>
      </w:r>
    </w:p>
    <w:p w14:paraId="197262D9" w14:textId="206D91D7" w:rsidR="00505EDE" w:rsidRPr="00E73BB1" w:rsidRDefault="00182095" w:rsidP="00D942DE">
      <w:pPr>
        <w:spacing w:after="0" w:line="480" w:lineRule="auto"/>
        <w:ind w:firstLine="709"/>
        <w:rPr>
          <w:rFonts w:ascii="Times New Roman" w:hAnsi="Times New Roman" w:cs="Times New Roman"/>
          <w:sz w:val="24"/>
          <w:szCs w:val="24"/>
        </w:rPr>
      </w:pPr>
      <w:r w:rsidRPr="00E73BB1">
        <w:rPr>
          <w:rFonts w:ascii="Times New Roman" w:hAnsi="Times New Roman" w:cs="Times New Roman"/>
          <w:sz w:val="24"/>
          <w:szCs w:val="24"/>
        </w:rPr>
        <w:lastRenderedPageBreak/>
        <w:t xml:space="preserve">While psychometric properties were supported for both boys and girls, some gender differences were noted. </w:t>
      </w:r>
      <w:r w:rsidR="0008564C" w:rsidRPr="00E73BB1">
        <w:rPr>
          <w:rFonts w:ascii="Times New Roman" w:hAnsi="Times New Roman" w:cs="Times New Roman"/>
          <w:sz w:val="24"/>
          <w:szCs w:val="24"/>
        </w:rPr>
        <w:t xml:space="preserve">As expected, </w:t>
      </w:r>
      <w:r w:rsidR="006B6637" w:rsidRPr="00E73BB1">
        <w:rPr>
          <w:rFonts w:ascii="Times New Roman" w:hAnsi="Times New Roman" w:cs="Times New Roman"/>
          <w:sz w:val="24"/>
          <w:szCs w:val="24"/>
        </w:rPr>
        <w:t>girls</w:t>
      </w:r>
      <w:r w:rsidR="00124229" w:rsidRPr="00E73BB1">
        <w:rPr>
          <w:rFonts w:ascii="Times New Roman" w:hAnsi="Times New Roman" w:cs="Times New Roman"/>
          <w:sz w:val="24"/>
          <w:szCs w:val="24"/>
        </w:rPr>
        <w:t xml:space="preserve"> consistently</w:t>
      </w:r>
      <w:r w:rsidR="006B6637" w:rsidRPr="00E73BB1">
        <w:rPr>
          <w:rFonts w:ascii="Times New Roman" w:hAnsi="Times New Roman" w:cs="Times New Roman"/>
          <w:sz w:val="24"/>
          <w:szCs w:val="24"/>
        </w:rPr>
        <w:t xml:space="preserve"> reported </w:t>
      </w:r>
      <w:r w:rsidR="00CE3226" w:rsidRPr="00E73BB1">
        <w:rPr>
          <w:rFonts w:ascii="Times New Roman" w:hAnsi="Times New Roman" w:cs="Times New Roman"/>
          <w:sz w:val="24"/>
          <w:szCs w:val="24"/>
        </w:rPr>
        <w:t xml:space="preserve">greater </w:t>
      </w:r>
      <w:r w:rsidR="006B6637" w:rsidRPr="00E73BB1">
        <w:rPr>
          <w:rFonts w:ascii="Times New Roman" w:hAnsi="Times New Roman" w:cs="Times New Roman"/>
          <w:sz w:val="24"/>
          <w:szCs w:val="24"/>
        </w:rPr>
        <w:t xml:space="preserve">life </w:t>
      </w:r>
      <w:r w:rsidR="00CE3226" w:rsidRPr="00E73BB1">
        <w:rPr>
          <w:rFonts w:ascii="Times New Roman" w:hAnsi="Times New Roman" w:cs="Times New Roman"/>
          <w:sz w:val="24"/>
          <w:szCs w:val="24"/>
        </w:rPr>
        <w:t>dis</w:t>
      </w:r>
      <w:r w:rsidR="006B6637" w:rsidRPr="00E73BB1">
        <w:rPr>
          <w:rFonts w:ascii="Times New Roman" w:hAnsi="Times New Roman" w:cs="Times New Roman"/>
          <w:sz w:val="24"/>
          <w:szCs w:val="24"/>
        </w:rPr>
        <w:t>engagement than boys</w:t>
      </w:r>
      <w:r w:rsidR="00DB1B29" w:rsidRPr="00E73BB1">
        <w:rPr>
          <w:rFonts w:ascii="Times New Roman" w:hAnsi="Times New Roman" w:cs="Times New Roman"/>
          <w:sz w:val="24"/>
          <w:szCs w:val="24"/>
        </w:rPr>
        <w:t xml:space="preserve"> as measured by the </w:t>
      </w:r>
      <w:r w:rsidR="00CE3226" w:rsidRPr="00E73BB1">
        <w:rPr>
          <w:rFonts w:ascii="Times New Roman" w:hAnsi="Times New Roman" w:cs="Times New Roman"/>
          <w:sz w:val="24"/>
          <w:szCs w:val="24"/>
        </w:rPr>
        <w:t>BILD-Q</w:t>
      </w:r>
      <w:r w:rsidR="006B6637" w:rsidRPr="00E73BB1">
        <w:rPr>
          <w:rFonts w:ascii="Times New Roman" w:hAnsi="Times New Roman" w:cs="Times New Roman"/>
          <w:sz w:val="24"/>
          <w:szCs w:val="24"/>
        </w:rPr>
        <w:t xml:space="preserve">. </w:t>
      </w:r>
      <w:r w:rsidR="00FD4FE6" w:rsidRPr="00E73BB1">
        <w:rPr>
          <w:rFonts w:ascii="Times New Roman" w:hAnsi="Times New Roman" w:cs="Times New Roman"/>
          <w:sz w:val="24"/>
          <w:szCs w:val="24"/>
        </w:rPr>
        <w:t xml:space="preserve">Although the </w:t>
      </w:r>
      <w:r w:rsidR="00CD2A6B" w:rsidRPr="00E73BB1">
        <w:rPr>
          <w:rFonts w:ascii="Times New Roman" w:hAnsi="Times New Roman" w:cs="Times New Roman"/>
          <w:sz w:val="24"/>
          <w:szCs w:val="24"/>
        </w:rPr>
        <w:t xml:space="preserve">gender </w:t>
      </w:r>
      <w:r w:rsidR="00FD4FE6" w:rsidRPr="00E73BB1">
        <w:rPr>
          <w:rFonts w:ascii="Times New Roman" w:hAnsi="Times New Roman" w:cs="Times New Roman"/>
          <w:sz w:val="24"/>
          <w:szCs w:val="24"/>
        </w:rPr>
        <w:t xml:space="preserve">gap </w:t>
      </w:r>
      <w:r w:rsidR="00CD2A6B" w:rsidRPr="00E73BB1">
        <w:rPr>
          <w:rFonts w:ascii="Times New Roman" w:hAnsi="Times New Roman" w:cs="Times New Roman"/>
          <w:sz w:val="24"/>
          <w:szCs w:val="24"/>
        </w:rPr>
        <w:t>appears to</w:t>
      </w:r>
      <w:r w:rsidR="00FD4FE6" w:rsidRPr="00E73BB1">
        <w:rPr>
          <w:rFonts w:ascii="Times New Roman" w:hAnsi="Times New Roman" w:cs="Times New Roman"/>
          <w:sz w:val="24"/>
          <w:szCs w:val="24"/>
        </w:rPr>
        <w:t xml:space="preserve"> be closing </w:t>
      </w:r>
      <w:r w:rsidR="00FD4FE6" w:rsidRPr="00E73BB1">
        <w:rPr>
          <w:rFonts w:ascii="Times New Roman" w:hAnsi="Times New Roman" w:cs="Times New Roman"/>
          <w:noProof/>
          <w:sz w:val="24"/>
          <w:szCs w:val="24"/>
        </w:rPr>
        <w:t xml:space="preserve">(Karazsia et al., 2017; Lacroix et al., 2020), </w:t>
      </w:r>
      <w:r w:rsidR="00B450D6" w:rsidRPr="00E73BB1">
        <w:rPr>
          <w:rFonts w:ascii="Times New Roman" w:hAnsi="Times New Roman" w:cs="Times New Roman"/>
          <w:sz w:val="24"/>
          <w:szCs w:val="24"/>
        </w:rPr>
        <w:t>this nevertheless under</w:t>
      </w:r>
      <w:r w:rsidR="006B6637" w:rsidRPr="00E73BB1">
        <w:rPr>
          <w:rFonts w:ascii="Times New Roman" w:hAnsi="Times New Roman" w:cs="Times New Roman"/>
          <w:sz w:val="24"/>
          <w:szCs w:val="24"/>
        </w:rPr>
        <w:t xml:space="preserve">scores the </w:t>
      </w:r>
      <w:r w:rsidR="00B450D6" w:rsidRPr="00E73BB1">
        <w:rPr>
          <w:rFonts w:ascii="Times New Roman" w:hAnsi="Times New Roman" w:cs="Times New Roman"/>
          <w:sz w:val="24"/>
          <w:szCs w:val="24"/>
        </w:rPr>
        <w:t>disproportionate way in</w:t>
      </w:r>
      <w:r w:rsidR="00AF40BE" w:rsidRPr="00E73BB1">
        <w:rPr>
          <w:rFonts w:ascii="Times New Roman" w:hAnsi="Times New Roman" w:cs="Times New Roman"/>
          <w:sz w:val="24"/>
          <w:szCs w:val="24"/>
        </w:rPr>
        <w:t xml:space="preserve"> which body image affects girls</w:t>
      </w:r>
      <w:r w:rsidR="00B23BBB" w:rsidRPr="00E73BB1">
        <w:rPr>
          <w:rFonts w:ascii="Times New Roman" w:hAnsi="Times New Roman" w:cs="Times New Roman"/>
          <w:sz w:val="24"/>
          <w:szCs w:val="24"/>
        </w:rPr>
        <w:t>’ lives</w:t>
      </w:r>
      <w:r w:rsidR="00FD0B95" w:rsidRPr="00E73BB1">
        <w:rPr>
          <w:rFonts w:ascii="Times New Roman" w:hAnsi="Times New Roman" w:cs="Times New Roman"/>
          <w:sz w:val="24"/>
          <w:szCs w:val="24"/>
        </w:rPr>
        <w:t>.</w:t>
      </w:r>
      <w:r w:rsidRPr="00E73BB1">
        <w:rPr>
          <w:rFonts w:ascii="Times New Roman" w:hAnsi="Times New Roman" w:cs="Times New Roman"/>
          <w:sz w:val="24"/>
          <w:szCs w:val="24"/>
        </w:rPr>
        <w:t xml:space="preserve"> </w:t>
      </w:r>
      <w:r w:rsidR="00133C94" w:rsidRPr="00E73BB1">
        <w:rPr>
          <w:rFonts w:ascii="Times New Roman" w:hAnsi="Times New Roman" w:cs="Times New Roman"/>
          <w:sz w:val="24"/>
          <w:szCs w:val="24"/>
        </w:rPr>
        <w:t>With regard to</w:t>
      </w:r>
      <w:r w:rsidR="00DF7297" w:rsidRPr="00E73BB1">
        <w:rPr>
          <w:rFonts w:ascii="Times New Roman" w:hAnsi="Times New Roman" w:cs="Times New Roman"/>
          <w:sz w:val="24"/>
          <w:szCs w:val="24"/>
        </w:rPr>
        <w:t xml:space="preserve"> convergent validity, t</w:t>
      </w:r>
      <w:r w:rsidR="00B450D6" w:rsidRPr="00E73BB1">
        <w:rPr>
          <w:rFonts w:ascii="Times New Roman" w:hAnsi="Times New Roman" w:cs="Times New Roman"/>
          <w:sz w:val="24"/>
          <w:szCs w:val="24"/>
        </w:rPr>
        <w:t xml:space="preserve">he </w:t>
      </w:r>
      <w:r w:rsidR="00CE3226" w:rsidRPr="00E73BB1">
        <w:rPr>
          <w:rFonts w:ascii="Times New Roman" w:hAnsi="Times New Roman" w:cs="Times New Roman"/>
          <w:sz w:val="24"/>
          <w:szCs w:val="24"/>
        </w:rPr>
        <w:t>BILD-Q</w:t>
      </w:r>
      <w:r w:rsidR="00B450D6" w:rsidRPr="00E73BB1">
        <w:rPr>
          <w:rFonts w:ascii="Times New Roman" w:hAnsi="Times New Roman" w:cs="Times New Roman"/>
          <w:sz w:val="24"/>
          <w:szCs w:val="24"/>
        </w:rPr>
        <w:t xml:space="preserve"> was </w:t>
      </w:r>
      <w:r w:rsidRPr="00E73BB1">
        <w:rPr>
          <w:rFonts w:ascii="Times New Roman" w:hAnsi="Times New Roman" w:cs="Times New Roman"/>
          <w:sz w:val="24"/>
          <w:szCs w:val="24"/>
        </w:rPr>
        <w:t>only related to internalisation of athletic ideals and not</w:t>
      </w:r>
      <w:r w:rsidR="00B450D6" w:rsidRPr="00E73BB1">
        <w:rPr>
          <w:rFonts w:ascii="Times New Roman" w:hAnsi="Times New Roman" w:cs="Times New Roman"/>
          <w:sz w:val="24"/>
          <w:szCs w:val="24"/>
        </w:rPr>
        <w:t xml:space="preserve"> overall internalisation of appearance ideals </w:t>
      </w:r>
      <w:r w:rsidR="00CF51F4" w:rsidRPr="00E73BB1">
        <w:rPr>
          <w:rFonts w:ascii="Times New Roman" w:hAnsi="Times New Roman" w:cs="Times New Roman"/>
          <w:sz w:val="24"/>
          <w:szCs w:val="24"/>
        </w:rPr>
        <w:t xml:space="preserve">among </w:t>
      </w:r>
      <w:r w:rsidR="00B450D6" w:rsidRPr="00E73BB1">
        <w:rPr>
          <w:rFonts w:ascii="Times New Roman" w:hAnsi="Times New Roman" w:cs="Times New Roman"/>
          <w:sz w:val="24"/>
          <w:szCs w:val="24"/>
        </w:rPr>
        <w:t>boys</w:t>
      </w:r>
      <w:r w:rsidRPr="00E73BB1">
        <w:rPr>
          <w:rFonts w:ascii="Times New Roman" w:hAnsi="Times New Roman" w:cs="Times New Roman"/>
          <w:sz w:val="24"/>
          <w:szCs w:val="24"/>
        </w:rPr>
        <w:t>.</w:t>
      </w:r>
      <w:r w:rsidR="00B450D6" w:rsidRPr="00E73BB1">
        <w:rPr>
          <w:rFonts w:ascii="Times New Roman" w:hAnsi="Times New Roman" w:cs="Times New Roman"/>
          <w:sz w:val="24"/>
          <w:szCs w:val="24"/>
        </w:rPr>
        <w:t xml:space="preserve"> </w:t>
      </w:r>
      <w:r w:rsidR="00BC3622" w:rsidRPr="00E73BB1">
        <w:rPr>
          <w:rFonts w:ascii="Times New Roman" w:hAnsi="Times New Roman" w:cs="Times New Roman"/>
          <w:sz w:val="24"/>
          <w:szCs w:val="24"/>
        </w:rPr>
        <w:t xml:space="preserve">This likely reflects the salience of </w:t>
      </w:r>
      <w:r w:rsidR="00CF51F4" w:rsidRPr="00E73BB1">
        <w:rPr>
          <w:rFonts w:ascii="Times New Roman" w:hAnsi="Times New Roman" w:cs="Times New Roman"/>
          <w:sz w:val="24"/>
          <w:szCs w:val="24"/>
        </w:rPr>
        <w:t>muscularity</w:t>
      </w:r>
      <w:r w:rsidR="00B90E56" w:rsidRPr="00E73BB1">
        <w:rPr>
          <w:rFonts w:ascii="Times New Roman" w:hAnsi="Times New Roman" w:cs="Times New Roman"/>
          <w:sz w:val="24"/>
          <w:szCs w:val="24"/>
        </w:rPr>
        <w:t xml:space="preserve"> </w:t>
      </w:r>
      <w:r w:rsidR="00CF51F4" w:rsidRPr="00E73BB1">
        <w:rPr>
          <w:rFonts w:ascii="Times New Roman" w:hAnsi="Times New Roman" w:cs="Times New Roman"/>
          <w:sz w:val="24"/>
          <w:szCs w:val="24"/>
        </w:rPr>
        <w:t xml:space="preserve">and focus on function within societal </w:t>
      </w:r>
      <w:r w:rsidR="00BC3622" w:rsidRPr="00E73BB1">
        <w:rPr>
          <w:rFonts w:ascii="Times New Roman" w:hAnsi="Times New Roman" w:cs="Times New Roman"/>
          <w:sz w:val="24"/>
          <w:szCs w:val="24"/>
        </w:rPr>
        <w:t>appearance ideals</w:t>
      </w:r>
      <w:r w:rsidR="00841D55" w:rsidRPr="00E73BB1">
        <w:rPr>
          <w:rFonts w:ascii="Times New Roman" w:hAnsi="Times New Roman" w:cs="Times New Roman"/>
          <w:sz w:val="24"/>
          <w:szCs w:val="24"/>
        </w:rPr>
        <w:t xml:space="preserve"> </w:t>
      </w:r>
      <w:r w:rsidR="00FD0B95" w:rsidRPr="00E73BB1">
        <w:rPr>
          <w:rFonts w:ascii="Times New Roman" w:hAnsi="Times New Roman" w:cs="Times New Roman"/>
          <w:sz w:val="24"/>
          <w:szCs w:val="24"/>
        </w:rPr>
        <w:t xml:space="preserve">for males (Murnen, 2011). </w:t>
      </w:r>
      <w:r w:rsidR="00B450D6" w:rsidRPr="00E73BB1">
        <w:rPr>
          <w:rFonts w:ascii="Times New Roman" w:hAnsi="Times New Roman" w:cs="Times New Roman"/>
          <w:sz w:val="24"/>
          <w:szCs w:val="24"/>
        </w:rPr>
        <w:t>Finally, while support for a</w:t>
      </w:r>
      <w:r w:rsidR="00505EDE" w:rsidRPr="00E73BB1">
        <w:rPr>
          <w:rFonts w:ascii="Times New Roman" w:hAnsi="Times New Roman" w:cs="Times New Roman"/>
          <w:sz w:val="24"/>
          <w:szCs w:val="24"/>
        </w:rPr>
        <w:t xml:space="preserve"> unidimensional </w:t>
      </w:r>
      <w:r w:rsidR="00FD0B95" w:rsidRPr="00E73BB1">
        <w:rPr>
          <w:rFonts w:ascii="Times New Roman" w:hAnsi="Times New Roman" w:cs="Times New Roman"/>
          <w:sz w:val="24"/>
          <w:szCs w:val="24"/>
        </w:rPr>
        <w:t xml:space="preserve">factor structure </w:t>
      </w:r>
      <w:r w:rsidR="00505EDE" w:rsidRPr="00E73BB1">
        <w:rPr>
          <w:rFonts w:ascii="Times New Roman" w:hAnsi="Times New Roman" w:cs="Times New Roman"/>
          <w:sz w:val="24"/>
          <w:szCs w:val="24"/>
        </w:rPr>
        <w:t xml:space="preserve">was observed among </w:t>
      </w:r>
      <w:r w:rsidR="00B450D6" w:rsidRPr="00E73BB1">
        <w:rPr>
          <w:rFonts w:ascii="Times New Roman" w:hAnsi="Times New Roman" w:cs="Times New Roman"/>
          <w:sz w:val="24"/>
          <w:szCs w:val="24"/>
        </w:rPr>
        <w:t xml:space="preserve">both </w:t>
      </w:r>
      <w:r w:rsidR="00505EDE" w:rsidRPr="00E73BB1">
        <w:rPr>
          <w:rFonts w:ascii="Times New Roman" w:hAnsi="Times New Roman" w:cs="Times New Roman"/>
          <w:sz w:val="24"/>
          <w:szCs w:val="24"/>
        </w:rPr>
        <w:t xml:space="preserve">boys and girls aged 13-14, model fit was </w:t>
      </w:r>
      <w:r w:rsidR="00EA7CF8" w:rsidRPr="00E73BB1">
        <w:rPr>
          <w:rFonts w:ascii="Times New Roman" w:hAnsi="Times New Roman" w:cs="Times New Roman"/>
          <w:sz w:val="24"/>
          <w:szCs w:val="24"/>
        </w:rPr>
        <w:t>poorer</w:t>
      </w:r>
      <w:r w:rsidR="00505EDE" w:rsidRPr="00E73BB1">
        <w:rPr>
          <w:rFonts w:ascii="Times New Roman" w:hAnsi="Times New Roman" w:cs="Times New Roman"/>
          <w:sz w:val="24"/>
          <w:szCs w:val="24"/>
        </w:rPr>
        <w:t xml:space="preserve"> among boys aged 11-13</w:t>
      </w:r>
      <w:r w:rsidR="0016718F" w:rsidRPr="00E73BB1">
        <w:rPr>
          <w:rFonts w:ascii="Times New Roman" w:hAnsi="Times New Roman" w:cs="Times New Roman"/>
          <w:sz w:val="24"/>
          <w:szCs w:val="24"/>
        </w:rPr>
        <w:t>. Although this improved with a re</w:t>
      </w:r>
      <w:r w:rsidR="007A3591" w:rsidRPr="00E73BB1">
        <w:rPr>
          <w:rFonts w:ascii="Times New Roman" w:hAnsi="Times New Roman" w:cs="Times New Roman"/>
          <w:sz w:val="24"/>
          <w:szCs w:val="24"/>
        </w:rPr>
        <w:t>-</w:t>
      </w:r>
      <w:r w:rsidR="0016718F" w:rsidRPr="00E73BB1">
        <w:rPr>
          <w:rFonts w:ascii="Times New Roman" w:hAnsi="Times New Roman" w:cs="Times New Roman"/>
          <w:sz w:val="24"/>
          <w:szCs w:val="24"/>
        </w:rPr>
        <w:t xml:space="preserve">specified model, </w:t>
      </w:r>
      <w:r w:rsidR="00CF51F4" w:rsidRPr="00E73BB1">
        <w:rPr>
          <w:rFonts w:ascii="Times New Roman" w:hAnsi="Times New Roman" w:cs="Times New Roman"/>
          <w:sz w:val="24"/>
          <w:szCs w:val="24"/>
        </w:rPr>
        <w:t xml:space="preserve">this is likely </w:t>
      </w:r>
      <w:r w:rsidR="00DF7297" w:rsidRPr="00E73BB1">
        <w:rPr>
          <w:rFonts w:ascii="Times New Roman" w:hAnsi="Times New Roman" w:cs="Times New Roman"/>
          <w:sz w:val="24"/>
          <w:szCs w:val="24"/>
        </w:rPr>
        <w:t xml:space="preserve">due to limited </w:t>
      </w:r>
      <w:r w:rsidR="00133C94" w:rsidRPr="00E73BB1">
        <w:rPr>
          <w:rFonts w:ascii="Times New Roman" w:hAnsi="Times New Roman" w:cs="Times New Roman"/>
          <w:sz w:val="24"/>
          <w:szCs w:val="24"/>
        </w:rPr>
        <w:t>relevance</w:t>
      </w:r>
      <w:r w:rsidR="00DF7297" w:rsidRPr="00E73BB1">
        <w:rPr>
          <w:rFonts w:ascii="Times New Roman" w:hAnsi="Times New Roman" w:cs="Times New Roman"/>
          <w:sz w:val="24"/>
          <w:szCs w:val="24"/>
        </w:rPr>
        <w:t xml:space="preserve"> of </w:t>
      </w:r>
      <w:r w:rsidR="0016718F" w:rsidRPr="00E73BB1">
        <w:rPr>
          <w:rFonts w:ascii="Times New Roman" w:hAnsi="Times New Roman" w:cs="Times New Roman"/>
          <w:sz w:val="24"/>
          <w:szCs w:val="24"/>
        </w:rPr>
        <w:t>certain aspects measured</w:t>
      </w:r>
      <w:r w:rsidR="00AA30AB" w:rsidRPr="00E73BB1">
        <w:rPr>
          <w:rFonts w:ascii="Times New Roman" w:hAnsi="Times New Roman" w:cs="Times New Roman"/>
          <w:sz w:val="24"/>
          <w:szCs w:val="24"/>
        </w:rPr>
        <w:t xml:space="preserve"> </w:t>
      </w:r>
      <w:r w:rsidR="00CF51F4" w:rsidRPr="00E73BB1">
        <w:rPr>
          <w:rFonts w:ascii="Times New Roman" w:hAnsi="Times New Roman" w:cs="Times New Roman"/>
          <w:sz w:val="24"/>
          <w:szCs w:val="24"/>
        </w:rPr>
        <w:t xml:space="preserve">at this age </w:t>
      </w:r>
      <w:r w:rsidR="00AA30AB" w:rsidRPr="00E73BB1">
        <w:rPr>
          <w:rFonts w:ascii="Times New Roman" w:hAnsi="Times New Roman" w:cs="Times New Roman"/>
          <w:sz w:val="24"/>
          <w:szCs w:val="24"/>
        </w:rPr>
        <w:t>(</w:t>
      </w:r>
      <w:r w:rsidR="0016718F" w:rsidRPr="00E73BB1">
        <w:rPr>
          <w:rFonts w:ascii="Times New Roman" w:hAnsi="Times New Roman" w:cs="Times New Roman"/>
          <w:sz w:val="24"/>
          <w:szCs w:val="24"/>
        </w:rPr>
        <w:t>e.g., clothes shopping</w:t>
      </w:r>
      <w:r w:rsidR="002C5EA5" w:rsidRPr="00E73BB1">
        <w:rPr>
          <w:rFonts w:ascii="Times New Roman" w:hAnsi="Times New Roman" w:cs="Times New Roman"/>
          <w:sz w:val="24"/>
          <w:szCs w:val="24"/>
        </w:rPr>
        <w:t>)</w:t>
      </w:r>
      <w:r w:rsidR="00CF51F4" w:rsidRPr="00E73BB1">
        <w:rPr>
          <w:rFonts w:ascii="Times New Roman" w:hAnsi="Times New Roman" w:cs="Times New Roman"/>
          <w:sz w:val="24"/>
          <w:szCs w:val="24"/>
        </w:rPr>
        <w:t xml:space="preserve"> and thus the BILD-Q may be less suitable for early adolescent boys in its current form</w:t>
      </w:r>
      <w:r w:rsidR="0016718F" w:rsidRPr="00E73BB1">
        <w:rPr>
          <w:rFonts w:ascii="Times New Roman" w:hAnsi="Times New Roman" w:cs="Times New Roman"/>
          <w:sz w:val="24"/>
          <w:szCs w:val="24"/>
        </w:rPr>
        <w:t>.</w:t>
      </w:r>
      <w:r w:rsidR="00FA50E8" w:rsidRPr="00E73BB1">
        <w:rPr>
          <w:rFonts w:ascii="Times New Roman" w:hAnsi="Times New Roman" w:cs="Times New Roman"/>
          <w:sz w:val="24"/>
          <w:szCs w:val="24"/>
        </w:rPr>
        <w:t xml:space="preserve"> </w:t>
      </w:r>
      <w:r w:rsidR="008B0ED3" w:rsidRPr="00E73BB1">
        <w:rPr>
          <w:rFonts w:ascii="Times New Roman" w:hAnsi="Times New Roman" w:cs="Times New Roman"/>
          <w:sz w:val="24"/>
          <w:szCs w:val="24"/>
        </w:rPr>
        <w:t>M</w:t>
      </w:r>
      <w:r w:rsidR="00787F0D" w:rsidRPr="00E73BB1">
        <w:rPr>
          <w:rFonts w:ascii="Times New Roman" w:hAnsi="Times New Roman" w:cs="Times New Roman"/>
          <w:sz w:val="24"/>
          <w:szCs w:val="24"/>
        </w:rPr>
        <w:t xml:space="preserve">ore formative research </w:t>
      </w:r>
      <w:r w:rsidR="0035093F" w:rsidRPr="00E73BB1">
        <w:rPr>
          <w:rFonts w:ascii="Times New Roman" w:hAnsi="Times New Roman" w:cs="Times New Roman"/>
          <w:sz w:val="24"/>
          <w:szCs w:val="24"/>
        </w:rPr>
        <w:t xml:space="preserve">and validation </w:t>
      </w:r>
      <w:r w:rsidR="00787F0D" w:rsidRPr="00E73BB1">
        <w:rPr>
          <w:rFonts w:ascii="Times New Roman" w:hAnsi="Times New Roman" w:cs="Times New Roman"/>
          <w:sz w:val="24"/>
          <w:szCs w:val="24"/>
        </w:rPr>
        <w:t xml:space="preserve">may be necessary to capture </w:t>
      </w:r>
      <w:r w:rsidR="00AA30AB" w:rsidRPr="00E73BB1">
        <w:rPr>
          <w:rFonts w:ascii="Times New Roman" w:hAnsi="Times New Roman" w:cs="Times New Roman"/>
          <w:sz w:val="24"/>
          <w:szCs w:val="24"/>
        </w:rPr>
        <w:t xml:space="preserve">different </w:t>
      </w:r>
      <w:r w:rsidR="00787F0D" w:rsidRPr="00E73BB1">
        <w:rPr>
          <w:rFonts w:ascii="Times New Roman" w:hAnsi="Times New Roman" w:cs="Times New Roman"/>
          <w:sz w:val="24"/>
          <w:szCs w:val="24"/>
        </w:rPr>
        <w:t xml:space="preserve">life aspects </w:t>
      </w:r>
      <w:r w:rsidR="00DF7297" w:rsidRPr="00E73BB1">
        <w:rPr>
          <w:rFonts w:ascii="Times New Roman" w:hAnsi="Times New Roman" w:cs="Times New Roman"/>
          <w:sz w:val="24"/>
          <w:szCs w:val="24"/>
        </w:rPr>
        <w:t xml:space="preserve">and ensure relevance </w:t>
      </w:r>
      <w:r w:rsidR="00787F0D" w:rsidRPr="00E73BB1">
        <w:rPr>
          <w:rFonts w:ascii="Times New Roman" w:hAnsi="Times New Roman" w:cs="Times New Roman"/>
          <w:sz w:val="24"/>
          <w:szCs w:val="24"/>
        </w:rPr>
        <w:t>for boys</w:t>
      </w:r>
      <w:r w:rsidR="00133C94" w:rsidRPr="00E73BB1">
        <w:rPr>
          <w:rFonts w:ascii="Times New Roman" w:hAnsi="Times New Roman" w:cs="Times New Roman"/>
          <w:sz w:val="24"/>
          <w:szCs w:val="24"/>
        </w:rPr>
        <w:t xml:space="preserve"> from early adolescence</w:t>
      </w:r>
      <w:r w:rsidR="00DF7297" w:rsidRPr="00E73BB1">
        <w:rPr>
          <w:rFonts w:ascii="Times New Roman" w:hAnsi="Times New Roman" w:cs="Times New Roman"/>
          <w:sz w:val="24"/>
          <w:szCs w:val="24"/>
        </w:rPr>
        <w:t xml:space="preserve"> (McCabe &amp; Ricciardelli, 2004)</w:t>
      </w:r>
      <w:r w:rsidR="002C5EA5" w:rsidRPr="00E73BB1">
        <w:rPr>
          <w:rFonts w:ascii="Times New Roman" w:hAnsi="Times New Roman" w:cs="Times New Roman"/>
          <w:sz w:val="24"/>
          <w:szCs w:val="24"/>
        </w:rPr>
        <w:t>.</w:t>
      </w:r>
    </w:p>
    <w:p w14:paraId="58ED0262" w14:textId="45F6CA3B" w:rsidR="001573C5" w:rsidRPr="00E73BB1" w:rsidRDefault="000417BB" w:rsidP="009161D3">
      <w:pPr>
        <w:spacing w:after="0" w:line="480" w:lineRule="auto"/>
        <w:ind w:firstLine="720"/>
        <w:rPr>
          <w:rFonts w:ascii="Times New Roman" w:hAnsi="Times New Roman" w:cs="Times New Roman"/>
          <w:sz w:val="24"/>
          <w:szCs w:val="24"/>
        </w:rPr>
      </w:pPr>
      <w:r w:rsidRPr="00E73BB1">
        <w:rPr>
          <w:rFonts w:ascii="Times New Roman" w:hAnsi="Times New Roman" w:cs="Times New Roman"/>
          <w:sz w:val="24"/>
          <w:szCs w:val="24"/>
        </w:rPr>
        <w:t xml:space="preserve">Importantly, justification for developing and disseminating an additional measure was supported. </w:t>
      </w:r>
      <w:r w:rsidR="00C357C5" w:rsidRPr="00E73BB1">
        <w:rPr>
          <w:rFonts w:ascii="Times New Roman" w:hAnsi="Times New Roman" w:cs="Times New Roman"/>
          <w:sz w:val="24"/>
          <w:szCs w:val="24"/>
        </w:rPr>
        <w:t>The</w:t>
      </w:r>
      <w:r w:rsidR="00D15FFE" w:rsidRPr="00E73BB1">
        <w:rPr>
          <w:rFonts w:ascii="Times New Roman" w:hAnsi="Times New Roman" w:cs="Times New Roman"/>
          <w:sz w:val="24"/>
          <w:szCs w:val="24"/>
        </w:rPr>
        <w:t xml:space="preserve"> </w:t>
      </w:r>
      <w:r w:rsidR="00CE3226" w:rsidRPr="00E73BB1">
        <w:rPr>
          <w:rFonts w:ascii="Times New Roman" w:hAnsi="Times New Roman" w:cs="Times New Roman"/>
          <w:sz w:val="24"/>
          <w:szCs w:val="24"/>
        </w:rPr>
        <w:t>BILD-Q</w:t>
      </w:r>
      <w:r w:rsidR="00DF7297" w:rsidRPr="00E73BB1">
        <w:rPr>
          <w:rFonts w:ascii="Times New Roman" w:hAnsi="Times New Roman" w:cs="Times New Roman"/>
          <w:sz w:val="24"/>
          <w:szCs w:val="24"/>
        </w:rPr>
        <w:t xml:space="preserve"> provided incremental value beyond assessing</w:t>
      </w:r>
      <w:r w:rsidR="00D15FFE" w:rsidRPr="00E73BB1">
        <w:rPr>
          <w:rFonts w:ascii="Times New Roman" w:hAnsi="Times New Roman" w:cs="Times New Roman"/>
          <w:sz w:val="24"/>
          <w:szCs w:val="24"/>
        </w:rPr>
        <w:t xml:space="preserve"> body image, </w:t>
      </w:r>
      <w:r w:rsidR="00C357C5" w:rsidRPr="00E73BB1">
        <w:rPr>
          <w:rFonts w:ascii="Times New Roman" w:hAnsi="Times New Roman" w:cs="Times New Roman"/>
          <w:sz w:val="24"/>
          <w:szCs w:val="24"/>
        </w:rPr>
        <w:t>and</w:t>
      </w:r>
      <w:r w:rsidR="00D15FFE" w:rsidRPr="00E73BB1">
        <w:rPr>
          <w:rFonts w:ascii="Times New Roman" w:hAnsi="Times New Roman" w:cs="Times New Roman"/>
          <w:sz w:val="24"/>
          <w:szCs w:val="24"/>
        </w:rPr>
        <w:t xml:space="preserve"> </w:t>
      </w:r>
      <w:r w:rsidR="00C97665" w:rsidRPr="00E73BB1">
        <w:rPr>
          <w:rFonts w:ascii="Times New Roman" w:hAnsi="Times New Roman" w:cs="Times New Roman"/>
          <w:sz w:val="24"/>
          <w:szCs w:val="24"/>
        </w:rPr>
        <w:t xml:space="preserve">explained </w:t>
      </w:r>
      <w:r w:rsidR="00D15FFE" w:rsidRPr="00E73BB1">
        <w:rPr>
          <w:rFonts w:ascii="Times New Roman" w:hAnsi="Times New Roman" w:cs="Times New Roman"/>
          <w:sz w:val="24"/>
          <w:szCs w:val="24"/>
        </w:rPr>
        <w:t xml:space="preserve">unique variance in </w:t>
      </w:r>
      <w:r w:rsidR="005351CE" w:rsidRPr="00E73BB1">
        <w:rPr>
          <w:rFonts w:ascii="Times New Roman" w:hAnsi="Times New Roman" w:cs="Times New Roman"/>
          <w:sz w:val="24"/>
          <w:szCs w:val="24"/>
        </w:rPr>
        <w:t xml:space="preserve">predicting concurrent and later </w:t>
      </w:r>
      <w:r w:rsidR="00D15FFE" w:rsidRPr="00E73BB1">
        <w:rPr>
          <w:rFonts w:ascii="Times New Roman" w:hAnsi="Times New Roman" w:cs="Times New Roman"/>
          <w:sz w:val="24"/>
          <w:szCs w:val="24"/>
        </w:rPr>
        <w:t xml:space="preserve">mental well-being over and above </w:t>
      </w:r>
      <w:r w:rsidR="007A3591" w:rsidRPr="00E73BB1">
        <w:rPr>
          <w:rFonts w:ascii="Times New Roman" w:hAnsi="Times New Roman" w:cs="Times New Roman"/>
          <w:sz w:val="24"/>
          <w:szCs w:val="24"/>
        </w:rPr>
        <w:t>the Clinical Impairment Assessment</w:t>
      </w:r>
      <w:r w:rsidR="003C13E8" w:rsidRPr="00E73BB1">
        <w:rPr>
          <w:rFonts w:ascii="Times New Roman" w:hAnsi="Times New Roman" w:cs="Times New Roman"/>
          <w:sz w:val="24"/>
          <w:szCs w:val="24"/>
        </w:rPr>
        <w:t xml:space="preserve"> </w:t>
      </w:r>
      <w:r w:rsidR="00081624" w:rsidRPr="00E73BB1">
        <w:rPr>
          <w:rFonts w:ascii="Times New Roman" w:hAnsi="Times New Roman" w:cs="Times New Roman"/>
          <w:noProof/>
          <w:sz w:val="24"/>
          <w:szCs w:val="24"/>
        </w:rPr>
        <w:t>(Bohn et al., 2008)</w:t>
      </w:r>
      <w:r w:rsidR="00C357C5" w:rsidRPr="00E73BB1">
        <w:rPr>
          <w:rFonts w:ascii="Times New Roman" w:hAnsi="Times New Roman" w:cs="Times New Roman"/>
          <w:noProof/>
          <w:sz w:val="24"/>
          <w:szCs w:val="24"/>
        </w:rPr>
        <w:t xml:space="preserve">. The correlation </w:t>
      </w:r>
      <w:r w:rsidRPr="00E73BB1">
        <w:rPr>
          <w:rFonts w:ascii="Times New Roman" w:hAnsi="Times New Roman" w:cs="Times New Roman"/>
          <w:noProof/>
          <w:sz w:val="24"/>
          <w:szCs w:val="24"/>
        </w:rPr>
        <w:t>between</w:t>
      </w:r>
      <w:r w:rsidR="00C357C5" w:rsidRPr="00E73BB1">
        <w:rPr>
          <w:rFonts w:ascii="Times New Roman" w:hAnsi="Times New Roman" w:cs="Times New Roman"/>
          <w:noProof/>
          <w:sz w:val="24"/>
          <w:szCs w:val="24"/>
        </w:rPr>
        <w:t xml:space="preserve"> these two measures (</w:t>
      </w:r>
      <w:r w:rsidR="00C357C5" w:rsidRPr="00E73BB1">
        <w:rPr>
          <w:rFonts w:ascii="Times New Roman" w:hAnsi="Times New Roman" w:cs="Times New Roman"/>
          <w:i/>
          <w:iCs/>
          <w:noProof/>
          <w:sz w:val="24"/>
          <w:szCs w:val="24"/>
        </w:rPr>
        <w:t>r</w:t>
      </w:r>
      <w:r w:rsidR="00C357C5" w:rsidRPr="00E73BB1">
        <w:rPr>
          <w:rFonts w:ascii="Times New Roman" w:hAnsi="Times New Roman" w:cs="Times New Roman"/>
          <w:noProof/>
          <w:sz w:val="24"/>
          <w:szCs w:val="24"/>
        </w:rPr>
        <w:t xml:space="preserve"> = .6) indicates </w:t>
      </w:r>
      <w:r w:rsidRPr="00E73BB1">
        <w:rPr>
          <w:rFonts w:ascii="Times New Roman" w:hAnsi="Times New Roman" w:cs="Times New Roman"/>
          <w:noProof/>
          <w:sz w:val="24"/>
          <w:szCs w:val="24"/>
        </w:rPr>
        <w:t>overlap</w:t>
      </w:r>
      <w:r w:rsidR="003C13E8" w:rsidRPr="00E73BB1">
        <w:rPr>
          <w:rFonts w:ascii="Times New Roman" w:hAnsi="Times New Roman" w:cs="Times New Roman"/>
          <w:noProof/>
          <w:sz w:val="24"/>
          <w:szCs w:val="24"/>
        </w:rPr>
        <w:t xml:space="preserve">, </w:t>
      </w:r>
      <w:r w:rsidR="00133C94" w:rsidRPr="00E73BB1">
        <w:rPr>
          <w:rFonts w:ascii="Times New Roman" w:hAnsi="Times New Roman" w:cs="Times New Roman"/>
          <w:noProof/>
          <w:sz w:val="24"/>
          <w:szCs w:val="24"/>
        </w:rPr>
        <w:t xml:space="preserve">as would be expected, </w:t>
      </w:r>
      <w:r w:rsidRPr="00E73BB1">
        <w:rPr>
          <w:rFonts w:ascii="Times New Roman" w:hAnsi="Times New Roman" w:cs="Times New Roman"/>
          <w:noProof/>
          <w:sz w:val="24"/>
          <w:szCs w:val="24"/>
        </w:rPr>
        <w:t xml:space="preserve">but not redundancy. Additionally, </w:t>
      </w:r>
      <w:r w:rsidR="00133C94" w:rsidRPr="00E73BB1">
        <w:rPr>
          <w:rFonts w:ascii="Times New Roman" w:hAnsi="Times New Roman" w:cs="Times New Roman"/>
          <w:sz w:val="24"/>
          <w:szCs w:val="24"/>
        </w:rPr>
        <w:t>the BILD-Q’s</w:t>
      </w:r>
      <w:r w:rsidR="00D15FFE" w:rsidRPr="00E73BB1">
        <w:rPr>
          <w:rFonts w:ascii="Times New Roman" w:hAnsi="Times New Roman" w:cs="Times New Roman"/>
          <w:sz w:val="24"/>
          <w:szCs w:val="24"/>
        </w:rPr>
        <w:t xml:space="preserve"> broader </w:t>
      </w:r>
      <w:r w:rsidR="00133C94" w:rsidRPr="00E73BB1">
        <w:rPr>
          <w:rFonts w:ascii="Times New Roman" w:hAnsi="Times New Roman" w:cs="Times New Roman"/>
          <w:sz w:val="24"/>
          <w:szCs w:val="24"/>
        </w:rPr>
        <w:t xml:space="preserve">framing of </w:t>
      </w:r>
      <w:r w:rsidR="00D15FFE" w:rsidRPr="00E73BB1">
        <w:rPr>
          <w:rFonts w:ascii="Times New Roman" w:hAnsi="Times New Roman" w:cs="Times New Roman"/>
          <w:sz w:val="24"/>
          <w:szCs w:val="24"/>
        </w:rPr>
        <w:t>appearance concerns</w:t>
      </w:r>
      <w:r w:rsidR="005351CE" w:rsidRPr="00E73BB1">
        <w:rPr>
          <w:rFonts w:ascii="Times New Roman" w:hAnsi="Times New Roman" w:cs="Times New Roman"/>
          <w:sz w:val="24"/>
          <w:szCs w:val="24"/>
        </w:rPr>
        <w:t xml:space="preserve"> (i.e., “the way you look”)</w:t>
      </w:r>
      <w:r w:rsidR="00D15FFE" w:rsidRPr="00E73BB1">
        <w:rPr>
          <w:rFonts w:ascii="Times New Roman" w:hAnsi="Times New Roman" w:cs="Times New Roman"/>
          <w:sz w:val="24"/>
          <w:szCs w:val="24"/>
        </w:rPr>
        <w:t xml:space="preserve"> </w:t>
      </w:r>
      <w:r w:rsidRPr="00E73BB1">
        <w:rPr>
          <w:rFonts w:ascii="Times New Roman" w:hAnsi="Times New Roman" w:cs="Times New Roman"/>
          <w:sz w:val="24"/>
          <w:szCs w:val="24"/>
        </w:rPr>
        <w:t xml:space="preserve">is </w:t>
      </w:r>
      <w:r w:rsidR="003C13E8" w:rsidRPr="00E73BB1">
        <w:rPr>
          <w:rFonts w:ascii="Times New Roman" w:hAnsi="Times New Roman" w:cs="Times New Roman"/>
          <w:sz w:val="24"/>
          <w:szCs w:val="24"/>
        </w:rPr>
        <w:t xml:space="preserve">likely </w:t>
      </w:r>
      <w:r w:rsidR="00D15FFE" w:rsidRPr="00E73BB1">
        <w:rPr>
          <w:rFonts w:ascii="Times New Roman" w:hAnsi="Times New Roman" w:cs="Times New Roman"/>
          <w:sz w:val="24"/>
          <w:szCs w:val="24"/>
        </w:rPr>
        <w:t xml:space="preserve">more relevant across a wider range of </w:t>
      </w:r>
      <w:r w:rsidR="00133C94" w:rsidRPr="00E73BB1">
        <w:rPr>
          <w:rFonts w:ascii="Times New Roman" w:hAnsi="Times New Roman" w:cs="Times New Roman"/>
          <w:sz w:val="24"/>
          <w:szCs w:val="24"/>
        </w:rPr>
        <w:t xml:space="preserve">individuals </w:t>
      </w:r>
      <w:r w:rsidR="005351CE" w:rsidRPr="00E73BB1">
        <w:rPr>
          <w:rFonts w:ascii="Times New Roman" w:hAnsi="Times New Roman" w:cs="Times New Roman"/>
          <w:sz w:val="24"/>
          <w:szCs w:val="24"/>
        </w:rPr>
        <w:t xml:space="preserve">and therefore </w:t>
      </w:r>
      <w:r w:rsidRPr="00E73BB1">
        <w:rPr>
          <w:rFonts w:ascii="Times New Roman" w:hAnsi="Times New Roman" w:cs="Times New Roman"/>
          <w:sz w:val="24"/>
          <w:szCs w:val="24"/>
        </w:rPr>
        <w:t>more widely applicable</w:t>
      </w:r>
      <w:r w:rsidR="00D15FFE" w:rsidRPr="00E73BB1">
        <w:rPr>
          <w:rFonts w:ascii="Times New Roman" w:hAnsi="Times New Roman" w:cs="Times New Roman"/>
          <w:sz w:val="24"/>
          <w:szCs w:val="24"/>
        </w:rPr>
        <w:t xml:space="preserve">. </w:t>
      </w:r>
      <w:r w:rsidRPr="00E73BB1">
        <w:rPr>
          <w:rFonts w:ascii="Times New Roman" w:hAnsi="Times New Roman" w:cs="Times New Roman"/>
          <w:sz w:val="24"/>
          <w:szCs w:val="24"/>
        </w:rPr>
        <w:t>However</w:t>
      </w:r>
      <w:r w:rsidR="005351CE" w:rsidRPr="00E73BB1">
        <w:rPr>
          <w:rFonts w:ascii="Times New Roman" w:hAnsi="Times New Roman" w:cs="Times New Roman"/>
          <w:sz w:val="24"/>
          <w:szCs w:val="24"/>
        </w:rPr>
        <w:t xml:space="preserve">, </w:t>
      </w:r>
      <w:r w:rsidRPr="00E73BB1">
        <w:rPr>
          <w:rFonts w:ascii="Times New Roman" w:hAnsi="Times New Roman" w:cs="Times New Roman"/>
          <w:sz w:val="24"/>
          <w:szCs w:val="24"/>
        </w:rPr>
        <w:t xml:space="preserve">the </w:t>
      </w:r>
      <w:r w:rsidR="005351CE" w:rsidRPr="00E73BB1">
        <w:rPr>
          <w:rFonts w:ascii="Times New Roman" w:hAnsi="Times New Roman" w:cs="Times New Roman"/>
          <w:sz w:val="24"/>
          <w:szCs w:val="24"/>
        </w:rPr>
        <w:t xml:space="preserve">CIA was a stronger predictor </w:t>
      </w:r>
      <w:r w:rsidR="00F03391" w:rsidRPr="00E73BB1">
        <w:rPr>
          <w:rFonts w:ascii="Times New Roman" w:hAnsi="Times New Roman" w:cs="Times New Roman"/>
          <w:sz w:val="24"/>
          <w:szCs w:val="24"/>
        </w:rPr>
        <w:t>of</w:t>
      </w:r>
      <w:r w:rsidR="005351CE" w:rsidRPr="00E73BB1">
        <w:rPr>
          <w:rFonts w:ascii="Times New Roman" w:hAnsi="Times New Roman" w:cs="Times New Roman"/>
          <w:sz w:val="24"/>
          <w:szCs w:val="24"/>
        </w:rPr>
        <w:t xml:space="preserve"> </w:t>
      </w:r>
      <w:r w:rsidR="007A3591" w:rsidRPr="00E73BB1">
        <w:rPr>
          <w:rFonts w:ascii="Times New Roman" w:hAnsi="Times New Roman" w:cs="Times New Roman"/>
          <w:sz w:val="24"/>
          <w:szCs w:val="24"/>
        </w:rPr>
        <w:t xml:space="preserve">negative affect than </w:t>
      </w:r>
      <w:r w:rsidR="005351CE" w:rsidRPr="00E73BB1">
        <w:rPr>
          <w:rFonts w:ascii="Times New Roman" w:hAnsi="Times New Roman" w:cs="Times New Roman"/>
          <w:sz w:val="24"/>
          <w:szCs w:val="24"/>
        </w:rPr>
        <w:t xml:space="preserve">the </w:t>
      </w:r>
      <w:r w:rsidR="00CE3226" w:rsidRPr="00E73BB1">
        <w:rPr>
          <w:rFonts w:ascii="Times New Roman" w:hAnsi="Times New Roman" w:cs="Times New Roman"/>
          <w:sz w:val="24"/>
          <w:szCs w:val="24"/>
        </w:rPr>
        <w:t>BILD-Q</w:t>
      </w:r>
      <w:r w:rsidR="005351CE" w:rsidRPr="00E73BB1">
        <w:rPr>
          <w:rFonts w:ascii="Times New Roman" w:hAnsi="Times New Roman" w:cs="Times New Roman"/>
          <w:sz w:val="24"/>
          <w:szCs w:val="24"/>
        </w:rPr>
        <w:t>. This support</w:t>
      </w:r>
      <w:r w:rsidRPr="00E73BB1">
        <w:rPr>
          <w:rFonts w:ascii="Times New Roman" w:hAnsi="Times New Roman" w:cs="Times New Roman"/>
          <w:sz w:val="24"/>
          <w:szCs w:val="24"/>
        </w:rPr>
        <w:t>s</w:t>
      </w:r>
      <w:r w:rsidR="005351CE" w:rsidRPr="00E73BB1">
        <w:rPr>
          <w:rFonts w:ascii="Times New Roman" w:hAnsi="Times New Roman" w:cs="Times New Roman"/>
          <w:sz w:val="24"/>
          <w:szCs w:val="24"/>
        </w:rPr>
        <w:t xml:space="preserve"> the CIA </w:t>
      </w:r>
      <w:r w:rsidRPr="00E73BB1">
        <w:rPr>
          <w:rFonts w:ascii="Times New Roman" w:hAnsi="Times New Roman" w:cs="Times New Roman"/>
          <w:sz w:val="24"/>
          <w:szCs w:val="24"/>
        </w:rPr>
        <w:t>in</w:t>
      </w:r>
      <w:r w:rsidR="005351CE" w:rsidRPr="00E73BB1">
        <w:rPr>
          <w:rFonts w:ascii="Times New Roman" w:hAnsi="Times New Roman" w:cs="Times New Roman"/>
          <w:sz w:val="24"/>
          <w:szCs w:val="24"/>
        </w:rPr>
        <w:t xml:space="preserve"> </w:t>
      </w:r>
      <w:r w:rsidR="004021CF" w:rsidRPr="00E73BB1">
        <w:rPr>
          <w:rFonts w:ascii="Times New Roman" w:hAnsi="Times New Roman" w:cs="Times New Roman"/>
          <w:sz w:val="24"/>
          <w:szCs w:val="24"/>
        </w:rPr>
        <w:t xml:space="preserve">assessing clinical concerns in the context of eating disorders, of </w:t>
      </w:r>
      <w:r w:rsidR="004021CF" w:rsidRPr="00E73BB1">
        <w:rPr>
          <w:rFonts w:ascii="Times New Roman" w:hAnsi="Times New Roman" w:cs="Times New Roman"/>
          <w:sz w:val="24"/>
          <w:szCs w:val="24"/>
        </w:rPr>
        <w:lastRenderedPageBreak/>
        <w:t xml:space="preserve">which negative affect is a significant risk </w:t>
      </w:r>
      <w:r w:rsidR="004E0E80" w:rsidRPr="00E73BB1">
        <w:rPr>
          <w:rFonts w:ascii="Times New Roman" w:hAnsi="Times New Roman" w:cs="Times New Roman"/>
          <w:sz w:val="24"/>
          <w:szCs w:val="24"/>
        </w:rPr>
        <w:t xml:space="preserve">and maintenance </w:t>
      </w:r>
      <w:r w:rsidR="004021CF" w:rsidRPr="00E73BB1">
        <w:rPr>
          <w:rFonts w:ascii="Times New Roman" w:hAnsi="Times New Roman" w:cs="Times New Roman"/>
          <w:sz w:val="24"/>
          <w:szCs w:val="24"/>
        </w:rPr>
        <w:t>factor</w:t>
      </w:r>
      <w:r w:rsidR="00350CE5" w:rsidRPr="00E73BB1">
        <w:rPr>
          <w:rFonts w:ascii="Times New Roman" w:hAnsi="Times New Roman" w:cs="Times New Roman"/>
          <w:sz w:val="24"/>
          <w:szCs w:val="24"/>
        </w:rPr>
        <w:t xml:space="preserve"> (</w:t>
      </w:r>
      <w:r w:rsidR="007F6DC0" w:rsidRPr="00E73BB1">
        <w:rPr>
          <w:rFonts w:ascii="Times New Roman" w:hAnsi="Times New Roman" w:cs="Times New Roman"/>
          <w:sz w:val="24"/>
          <w:szCs w:val="24"/>
        </w:rPr>
        <w:t>Jacobi &amp; Fittig, 2010; Penessi &amp; Wade, 2016</w:t>
      </w:r>
      <w:r w:rsidR="00350CE5" w:rsidRPr="00E73BB1">
        <w:rPr>
          <w:rFonts w:ascii="Times New Roman" w:hAnsi="Times New Roman" w:cs="Times New Roman"/>
          <w:sz w:val="24"/>
          <w:szCs w:val="24"/>
        </w:rPr>
        <w:t>)</w:t>
      </w:r>
      <w:r w:rsidR="003C13E8" w:rsidRPr="00E73BB1">
        <w:rPr>
          <w:rFonts w:ascii="Times New Roman" w:hAnsi="Times New Roman" w:cs="Times New Roman"/>
          <w:sz w:val="24"/>
          <w:szCs w:val="24"/>
        </w:rPr>
        <w:t>.</w:t>
      </w:r>
      <w:r w:rsidR="004021CF" w:rsidRPr="00E73BB1">
        <w:rPr>
          <w:rFonts w:ascii="Times New Roman" w:hAnsi="Times New Roman" w:cs="Times New Roman"/>
          <w:sz w:val="24"/>
          <w:szCs w:val="24"/>
        </w:rPr>
        <w:t xml:space="preserve"> </w:t>
      </w:r>
    </w:p>
    <w:p w14:paraId="6EBCAE83" w14:textId="780A8B6C" w:rsidR="00CF51F4" w:rsidRPr="00E73BB1" w:rsidRDefault="001659F2" w:rsidP="009161D3">
      <w:pPr>
        <w:spacing w:after="0" w:line="480" w:lineRule="auto"/>
        <w:rPr>
          <w:rFonts w:ascii="Times New Roman" w:hAnsi="Times New Roman" w:cs="Times New Roman"/>
          <w:b/>
          <w:bCs/>
          <w:sz w:val="24"/>
          <w:szCs w:val="24"/>
        </w:rPr>
      </w:pPr>
      <w:r w:rsidRPr="00E73BB1">
        <w:rPr>
          <w:rFonts w:ascii="Times New Roman" w:hAnsi="Times New Roman" w:cs="Times New Roman"/>
          <w:b/>
          <w:bCs/>
          <w:sz w:val="24"/>
          <w:szCs w:val="24"/>
        </w:rPr>
        <w:t xml:space="preserve">6.1. </w:t>
      </w:r>
      <w:r w:rsidR="00CF51F4" w:rsidRPr="00E73BB1">
        <w:rPr>
          <w:rFonts w:ascii="Times New Roman" w:hAnsi="Times New Roman" w:cs="Times New Roman"/>
          <w:b/>
          <w:bCs/>
          <w:sz w:val="24"/>
          <w:szCs w:val="24"/>
        </w:rPr>
        <w:t>Limitations</w:t>
      </w:r>
    </w:p>
    <w:p w14:paraId="6C79F09A" w14:textId="7A4942B2" w:rsidR="002B16C5" w:rsidRPr="00E73BB1" w:rsidRDefault="00907B28" w:rsidP="002B16C5">
      <w:pPr>
        <w:spacing w:after="0" w:line="480" w:lineRule="auto"/>
        <w:ind w:firstLine="709"/>
        <w:rPr>
          <w:rFonts w:ascii="Times New Roman" w:hAnsi="Times New Roman" w:cs="Times New Roman"/>
          <w:sz w:val="24"/>
          <w:szCs w:val="24"/>
        </w:rPr>
      </w:pPr>
      <w:r w:rsidRPr="00E73BB1">
        <w:rPr>
          <w:rFonts w:ascii="Times New Roman" w:hAnsi="Times New Roman" w:cs="Times New Roman"/>
          <w:sz w:val="24"/>
          <w:szCs w:val="24"/>
        </w:rPr>
        <w:t xml:space="preserve">The strengths of this </w:t>
      </w:r>
      <w:r w:rsidR="00057D20" w:rsidRPr="00E73BB1">
        <w:rPr>
          <w:rFonts w:ascii="Times New Roman" w:hAnsi="Times New Roman" w:cs="Times New Roman"/>
          <w:sz w:val="24"/>
          <w:szCs w:val="24"/>
        </w:rPr>
        <w:t xml:space="preserve">programme of studies </w:t>
      </w:r>
      <w:r w:rsidRPr="00E73BB1">
        <w:rPr>
          <w:rFonts w:ascii="Times New Roman" w:hAnsi="Times New Roman" w:cs="Times New Roman"/>
          <w:sz w:val="24"/>
          <w:szCs w:val="24"/>
        </w:rPr>
        <w:t xml:space="preserve">includes the comprehensive assessment </w:t>
      </w:r>
      <w:r w:rsidR="00057D20" w:rsidRPr="00E73BB1">
        <w:rPr>
          <w:rFonts w:ascii="Times New Roman" w:hAnsi="Times New Roman" w:cs="Times New Roman"/>
          <w:sz w:val="24"/>
          <w:szCs w:val="24"/>
        </w:rPr>
        <w:t xml:space="preserve">of psychometric properties, </w:t>
      </w:r>
      <w:r w:rsidRPr="00E73BB1">
        <w:rPr>
          <w:rFonts w:ascii="Times New Roman" w:hAnsi="Times New Roman" w:cs="Times New Roman"/>
          <w:sz w:val="24"/>
          <w:szCs w:val="24"/>
        </w:rPr>
        <w:t xml:space="preserve">including </w:t>
      </w:r>
      <w:r w:rsidR="003C13E8" w:rsidRPr="00E73BB1">
        <w:rPr>
          <w:rFonts w:ascii="Times New Roman" w:hAnsi="Times New Roman" w:cs="Times New Roman"/>
          <w:sz w:val="24"/>
          <w:szCs w:val="24"/>
        </w:rPr>
        <w:t xml:space="preserve">factor structure, </w:t>
      </w:r>
      <w:r w:rsidRPr="00E73BB1">
        <w:rPr>
          <w:rFonts w:ascii="Times New Roman" w:hAnsi="Times New Roman" w:cs="Times New Roman"/>
          <w:sz w:val="24"/>
          <w:szCs w:val="24"/>
        </w:rPr>
        <w:t xml:space="preserve">reliability, </w:t>
      </w:r>
      <w:r w:rsidR="00CF51F4" w:rsidRPr="00E73BB1">
        <w:rPr>
          <w:rFonts w:ascii="Times New Roman" w:hAnsi="Times New Roman" w:cs="Times New Roman"/>
          <w:sz w:val="24"/>
          <w:szCs w:val="24"/>
        </w:rPr>
        <w:t xml:space="preserve">and </w:t>
      </w:r>
      <w:r w:rsidRPr="00E73BB1">
        <w:rPr>
          <w:rFonts w:ascii="Times New Roman" w:hAnsi="Times New Roman" w:cs="Times New Roman"/>
          <w:sz w:val="24"/>
          <w:szCs w:val="24"/>
        </w:rPr>
        <w:t xml:space="preserve">validity, </w:t>
      </w:r>
      <w:r w:rsidR="003609BC" w:rsidRPr="00E73BB1">
        <w:rPr>
          <w:rFonts w:ascii="Times New Roman" w:hAnsi="Times New Roman" w:cs="Times New Roman"/>
          <w:sz w:val="24"/>
          <w:szCs w:val="24"/>
        </w:rPr>
        <w:t>in</w:t>
      </w:r>
      <w:r w:rsidRPr="00E73BB1">
        <w:rPr>
          <w:rFonts w:ascii="Times New Roman" w:hAnsi="Times New Roman" w:cs="Times New Roman"/>
          <w:sz w:val="24"/>
          <w:szCs w:val="24"/>
        </w:rPr>
        <w:t xml:space="preserve"> four different adolescent samples</w:t>
      </w:r>
      <w:r w:rsidR="003609BC" w:rsidRPr="00E73BB1">
        <w:rPr>
          <w:rFonts w:ascii="Times New Roman" w:hAnsi="Times New Roman" w:cs="Times New Roman"/>
          <w:sz w:val="24"/>
          <w:szCs w:val="24"/>
        </w:rPr>
        <w:t xml:space="preserve">. It additionally included investigation of gender variance, </w:t>
      </w:r>
      <w:r w:rsidRPr="00E73BB1">
        <w:rPr>
          <w:rFonts w:ascii="Times New Roman" w:hAnsi="Times New Roman" w:cs="Times New Roman"/>
          <w:sz w:val="24"/>
          <w:szCs w:val="24"/>
        </w:rPr>
        <w:t>and use</w:t>
      </w:r>
      <w:r w:rsidR="003609BC" w:rsidRPr="00E73BB1">
        <w:rPr>
          <w:rFonts w:ascii="Times New Roman" w:hAnsi="Times New Roman" w:cs="Times New Roman"/>
          <w:sz w:val="24"/>
          <w:szCs w:val="24"/>
        </w:rPr>
        <w:t>d</w:t>
      </w:r>
      <w:r w:rsidRPr="00E73BB1">
        <w:rPr>
          <w:rFonts w:ascii="Times New Roman" w:hAnsi="Times New Roman" w:cs="Times New Roman"/>
          <w:sz w:val="24"/>
          <w:szCs w:val="24"/>
        </w:rPr>
        <w:t xml:space="preserve"> large samples, </w:t>
      </w:r>
      <w:r w:rsidR="00057D20" w:rsidRPr="00E73BB1">
        <w:rPr>
          <w:rFonts w:ascii="Times New Roman" w:hAnsi="Times New Roman" w:cs="Times New Roman"/>
          <w:sz w:val="24"/>
          <w:szCs w:val="24"/>
        </w:rPr>
        <w:t>that were consistent with, or more diverse than, the UK population in terms of ethnicity (</w:t>
      </w:r>
      <w:r w:rsidR="00262E90" w:rsidRPr="00E73BB1">
        <w:rPr>
          <w:rFonts w:ascii="Times New Roman" w:hAnsi="Times New Roman" w:cs="Times New Roman"/>
          <w:sz w:val="24"/>
          <w:szCs w:val="24"/>
        </w:rPr>
        <w:t>Office for National Statistics</w:t>
      </w:r>
      <w:r w:rsidR="00057D20" w:rsidRPr="00E73BB1">
        <w:rPr>
          <w:rFonts w:ascii="Times New Roman" w:hAnsi="Times New Roman" w:cs="Times New Roman"/>
          <w:sz w:val="24"/>
          <w:szCs w:val="24"/>
        </w:rPr>
        <w:t>, 2011)</w:t>
      </w:r>
      <w:r w:rsidRPr="00E73BB1">
        <w:rPr>
          <w:rFonts w:ascii="Times New Roman" w:hAnsi="Times New Roman" w:cs="Times New Roman"/>
          <w:sz w:val="24"/>
          <w:szCs w:val="24"/>
        </w:rPr>
        <w:t>. However</w:t>
      </w:r>
      <w:r w:rsidR="00057D20" w:rsidRPr="00E73BB1">
        <w:rPr>
          <w:rFonts w:ascii="Times New Roman" w:hAnsi="Times New Roman" w:cs="Times New Roman"/>
          <w:sz w:val="24"/>
          <w:szCs w:val="24"/>
        </w:rPr>
        <w:t>,</w:t>
      </w:r>
      <w:r w:rsidRPr="00E73BB1">
        <w:rPr>
          <w:rFonts w:ascii="Times New Roman" w:hAnsi="Times New Roman" w:cs="Times New Roman"/>
          <w:sz w:val="24"/>
          <w:szCs w:val="24"/>
        </w:rPr>
        <w:t xml:space="preserve"> we also acknowledge </w:t>
      </w:r>
      <w:r w:rsidR="001573C5" w:rsidRPr="00E73BB1">
        <w:rPr>
          <w:rFonts w:ascii="Times New Roman" w:hAnsi="Times New Roman" w:cs="Times New Roman"/>
          <w:sz w:val="24"/>
          <w:szCs w:val="24"/>
        </w:rPr>
        <w:t>that these findings are likely only generalisable to early adolescent samples in high income Western countries. In addition, t</w:t>
      </w:r>
      <w:r w:rsidR="00766718" w:rsidRPr="00E73BB1">
        <w:rPr>
          <w:rFonts w:ascii="Times New Roman" w:hAnsi="Times New Roman" w:cs="Times New Roman"/>
          <w:sz w:val="24"/>
          <w:szCs w:val="24"/>
        </w:rPr>
        <w:t xml:space="preserve">he original </w:t>
      </w:r>
      <w:r w:rsidR="00091FA6" w:rsidRPr="00E73BB1">
        <w:rPr>
          <w:rFonts w:ascii="Times New Roman" w:hAnsi="Times New Roman" w:cs="Times New Roman"/>
          <w:sz w:val="24"/>
          <w:szCs w:val="24"/>
        </w:rPr>
        <w:t>market research tool was</w:t>
      </w:r>
      <w:r w:rsidR="00766718" w:rsidRPr="00E73BB1">
        <w:rPr>
          <w:rFonts w:ascii="Times New Roman" w:hAnsi="Times New Roman" w:cs="Times New Roman"/>
          <w:sz w:val="24"/>
          <w:szCs w:val="24"/>
        </w:rPr>
        <w:t xml:space="preserve"> developed</w:t>
      </w:r>
      <w:r w:rsidR="00091FA6" w:rsidRPr="00E73BB1">
        <w:rPr>
          <w:rFonts w:ascii="Times New Roman" w:hAnsi="Times New Roman" w:cs="Times New Roman"/>
          <w:sz w:val="24"/>
          <w:szCs w:val="24"/>
        </w:rPr>
        <w:t xml:space="preserve"> in consultation with women and girls</w:t>
      </w:r>
      <w:r w:rsidR="00766718" w:rsidRPr="00E73BB1">
        <w:rPr>
          <w:rFonts w:ascii="Times New Roman" w:hAnsi="Times New Roman" w:cs="Times New Roman"/>
          <w:sz w:val="24"/>
          <w:szCs w:val="24"/>
        </w:rPr>
        <w:t xml:space="preserve">. Although </w:t>
      </w:r>
      <w:r w:rsidR="00091FA6" w:rsidRPr="00E73BB1">
        <w:rPr>
          <w:rFonts w:ascii="Times New Roman" w:hAnsi="Times New Roman" w:cs="Times New Roman"/>
          <w:sz w:val="24"/>
          <w:szCs w:val="24"/>
        </w:rPr>
        <w:t xml:space="preserve">all final </w:t>
      </w:r>
      <w:r w:rsidR="00766718" w:rsidRPr="00E73BB1">
        <w:rPr>
          <w:rFonts w:ascii="Times New Roman" w:hAnsi="Times New Roman" w:cs="Times New Roman"/>
          <w:sz w:val="24"/>
          <w:szCs w:val="24"/>
        </w:rPr>
        <w:t xml:space="preserve">items were reviewed by experts in </w:t>
      </w:r>
      <w:r w:rsidR="00091FA6" w:rsidRPr="00E73BB1">
        <w:rPr>
          <w:rFonts w:ascii="Times New Roman" w:hAnsi="Times New Roman" w:cs="Times New Roman"/>
          <w:sz w:val="24"/>
          <w:szCs w:val="24"/>
        </w:rPr>
        <w:t xml:space="preserve">adolescent </w:t>
      </w:r>
      <w:r w:rsidR="00766718" w:rsidRPr="00E73BB1">
        <w:rPr>
          <w:rFonts w:ascii="Times New Roman" w:hAnsi="Times New Roman" w:cs="Times New Roman"/>
          <w:sz w:val="24"/>
          <w:szCs w:val="24"/>
        </w:rPr>
        <w:t>body image</w:t>
      </w:r>
      <w:r w:rsidR="00091FA6" w:rsidRPr="00E73BB1">
        <w:rPr>
          <w:rFonts w:ascii="Times New Roman" w:hAnsi="Times New Roman" w:cs="Times New Roman"/>
          <w:sz w:val="24"/>
          <w:szCs w:val="24"/>
        </w:rPr>
        <w:t xml:space="preserve"> including </w:t>
      </w:r>
      <w:r w:rsidR="00CF51F4" w:rsidRPr="00E73BB1">
        <w:rPr>
          <w:rFonts w:ascii="Times New Roman" w:hAnsi="Times New Roman" w:cs="Times New Roman"/>
          <w:sz w:val="24"/>
          <w:szCs w:val="24"/>
        </w:rPr>
        <w:t xml:space="preserve">those with </w:t>
      </w:r>
      <w:r w:rsidR="00091FA6" w:rsidRPr="00E73BB1">
        <w:rPr>
          <w:rFonts w:ascii="Times New Roman" w:hAnsi="Times New Roman" w:cs="Times New Roman"/>
          <w:sz w:val="24"/>
          <w:szCs w:val="24"/>
        </w:rPr>
        <w:t>expertise in boys’ concerns,</w:t>
      </w:r>
      <w:r w:rsidR="00766718" w:rsidRPr="00E73BB1">
        <w:rPr>
          <w:rFonts w:ascii="Times New Roman" w:hAnsi="Times New Roman" w:cs="Times New Roman"/>
          <w:sz w:val="24"/>
          <w:szCs w:val="24"/>
        </w:rPr>
        <w:t xml:space="preserve"> and gender invariance was supported, </w:t>
      </w:r>
      <w:r w:rsidR="00091FA6" w:rsidRPr="00E73BB1">
        <w:rPr>
          <w:rFonts w:ascii="Times New Roman" w:hAnsi="Times New Roman" w:cs="Times New Roman"/>
          <w:sz w:val="24"/>
          <w:szCs w:val="24"/>
        </w:rPr>
        <w:t xml:space="preserve">we recognise that </w:t>
      </w:r>
      <w:r w:rsidR="00766718" w:rsidRPr="00E73BB1">
        <w:rPr>
          <w:rFonts w:ascii="Times New Roman" w:hAnsi="Times New Roman" w:cs="Times New Roman"/>
          <w:sz w:val="24"/>
          <w:szCs w:val="24"/>
        </w:rPr>
        <w:t xml:space="preserve">further </w:t>
      </w:r>
      <w:r w:rsidR="00176604" w:rsidRPr="00E73BB1">
        <w:rPr>
          <w:rFonts w:ascii="Times New Roman" w:hAnsi="Times New Roman" w:cs="Times New Roman"/>
          <w:sz w:val="24"/>
          <w:szCs w:val="24"/>
        </w:rPr>
        <w:t>consultation with adolescent</w:t>
      </w:r>
      <w:r w:rsidR="00766718" w:rsidRPr="00E73BB1">
        <w:rPr>
          <w:rFonts w:ascii="Times New Roman" w:hAnsi="Times New Roman" w:cs="Times New Roman"/>
          <w:sz w:val="24"/>
          <w:szCs w:val="24"/>
        </w:rPr>
        <w:t xml:space="preserve"> boys</w:t>
      </w:r>
      <w:r w:rsidR="00091FA6" w:rsidRPr="00E73BB1">
        <w:rPr>
          <w:rFonts w:ascii="Times New Roman" w:hAnsi="Times New Roman" w:cs="Times New Roman"/>
          <w:sz w:val="24"/>
          <w:szCs w:val="24"/>
        </w:rPr>
        <w:t xml:space="preserve"> </w:t>
      </w:r>
      <w:r w:rsidR="00587F8C" w:rsidRPr="00E73BB1">
        <w:rPr>
          <w:rFonts w:ascii="Times New Roman" w:hAnsi="Times New Roman" w:cs="Times New Roman"/>
          <w:sz w:val="24"/>
          <w:szCs w:val="24"/>
        </w:rPr>
        <w:t>would</w:t>
      </w:r>
      <w:r w:rsidR="00091FA6" w:rsidRPr="00E73BB1">
        <w:rPr>
          <w:rFonts w:ascii="Times New Roman" w:hAnsi="Times New Roman" w:cs="Times New Roman"/>
          <w:sz w:val="24"/>
          <w:szCs w:val="24"/>
        </w:rPr>
        <w:t xml:space="preserve"> be worthwhile</w:t>
      </w:r>
      <w:r w:rsidR="00F63638" w:rsidRPr="00E73BB1">
        <w:rPr>
          <w:rFonts w:ascii="Times New Roman" w:hAnsi="Times New Roman" w:cs="Times New Roman"/>
          <w:sz w:val="24"/>
          <w:szCs w:val="24"/>
        </w:rPr>
        <w:t xml:space="preserve"> to ensure maximum relevance to boys</w:t>
      </w:r>
      <w:r w:rsidR="00780C7B" w:rsidRPr="00E73BB1">
        <w:rPr>
          <w:rFonts w:ascii="Times New Roman" w:hAnsi="Times New Roman" w:cs="Times New Roman"/>
          <w:sz w:val="24"/>
          <w:szCs w:val="24"/>
        </w:rPr>
        <w:t>’ engagement in life activities</w:t>
      </w:r>
      <w:r w:rsidR="00766718" w:rsidRPr="00E73BB1">
        <w:rPr>
          <w:rFonts w:ascii="Times New Roman" w:hAnsi="Times New Roman" w:cs="Times New Roman"/>
          <w:sz w:val="24"/>
          <w:szCs w:val="24"/>
        </w:rPr>
        <w:t>.</w:t>
      </w:r>
      <w:r w:rsidR="00176604" w:rsidRPr="00E73BB1">
        <w:rPr>
          <w:rFonts w:ascii="Times New Roman" w:hAnsi="Times New Roman" w:cs="Times New Roman"/>
          <w:sz w:val="24"/>
          <w:szCs w:val="24"/>
        </w:rPr>
        <w:t xml:space="preserve"> </w:t>
      </w:r>
      <w:r w:rsidR="009925A3" w:rsidRPr="00E73BB1">
        <w:rPr>
          <w:rFonts w:ascii="Times New Roman" w:hAnsi="Times New Roman" w:cs="Times New Roman"/>
          <w:sz w:val="24"/>
          <w:szCs w:val="24"/>
        </w:rPr>
        <w:t>We also</w:t>
      </w:r>
      <w:r w:rsidR="002B16C5" w:rsidRPr="00E73BB1">
        <w:rPr>
          <w:rFonts w:ascii="Times New Roman" w:hAnsi="Times New Roman" w:cs="Times New Roman"/>
          <w:sz w:val="24"/>
          <w:szCs w:val="24"/>
        </w:rPr>
        <w:t xml:space="preserve"> note that mean scores on the </w:t>
      </w:r>
      <w:r w:rsidR="00CE3226" w:rsidRPr="00E73BB1">
        <w:rPr>
          <w:rFonts w:ascii="Times New Roman" w:hAnsi="Times New Roman" w:cs="Times New Roman"/>
          <w:sz w:val="24"/>
          <w:szCs w:val="24"/>
        </w:rPr>
        <w:t>BILD-Q</w:t>
      </w:r>
      <w:r w:rsidR="002B16C5" w:rsidRPr="00E73BB1">
        <w:rPr>
          <w:rFonts w:ascii="Times New Roman" w:hAnsi="Times New Roman" w:cs="Times New Roman"/>
          <w:sz w:val="24"/>
          <w:szCs w:val="24"/>
        </w:rPr>
        <w:t xml:space="preserve"> were low in </w:t>
      </w:r>
      <w:r w:rsidR="00BF0335" w:rsidRPr="00E73BB1">
        <w:rPr>
          <w:rFonts w:ascii="Times New Roman" w:hAnsi="Times New Roman" w:cs="Times New Roman"/>
          <w:sz w:val="24"/>
          <w:szCs w:val="24"/>
        </w:rPr>
        <w:t>these</w:t>
      </w:r>
      <w:r w:rsidR="002B16C5" w:rsidRPr="00E73BB1">
        <w:rPr>
          <w:rFonts w:ascii="Times New Roman" w:hAnsi="Times New Roman" w:cs="Times New Roman"/>
          <w:sz w:val="24"/>
          <w:szCs w:val="24"/>
        </w:rPr>
        <w:t xml:space="preserve"> early adolescent sample</w:t>
      </w:r>
      <w:r w:rsidR="00BF0335" w:rsidRPr="00E73BB1">
        <w:rPr>
          <w:rFonts w:ascii="Times New Roman" w:hAnsi="Times New Roman" w:cs="Times New Roman"/>
          <w:sz w:val="24"/>
          <w:szCs w:val="24"/>
        </w:rPr>
        <w:t>s</w:t>
      </w:r>
      <w:r w:rsidR="002B16C5" w:rsidRPr="00E73BB1">
        <w:rPr>
          <w:rFonts w:ascii="Times New Roman" w:hAnsi="Times New Roman" w:cs="Times New Roman"/>
          <w:sz w:val="24"/>
          <w:szCs w:val="24"/>
        </w:rPr>
        <w:t>. While we were able to establish psychometric properties, the risk of floor effects should be mentioned</w:t>
      </w:r>
      <w:r w:rsidR="009925A3" w:rsidRPr="00E73BB1">
        <w:rPr>
          <w:rFonts w:ascii="Times New Roman" w:hAnsi="Times New Roman" w:cs="Times New Roman"/>
          <w:sz w:val="24"/>
          <w:szCs w:val="24"/>
        </w:rPr>
        <w:t>.</w:t>
      </w:r>
      <w:r w:rsidR="002B16C5" w:rsidRPr="00E73BB1">
        <w:rPr>
          <w:rFonts w:ascii="Times New Roman" w:hAnsi="Times New Roman" w:cs="Times New Roman"/>
          <w:sz w:val="24"/>
          <w:szCs w:val="24"/>
        </w:rPr>
        <w:t xml:space="preserve"> </w:t>
      </w:r>
    </w:p>
    <w:p w14:paraId="51673A9E" w14:textId="1C8A5B3E" w:rsidR="001B3CF7" w:rsidRPr="00E73BB1" w:rsidRDefault="001659F2" w:rsidP="002B16C5">
      <w:pPr>
        <w:spacing w:after="0" w:line="480" w:lineRule="auto"/>
        <w:rPr>
          <w:rFonts w:ascii="Times New Roman" w:hAnsi="Times New Roman" w:cs="Times New Roman"/>
          <w:b/>
          <w:bCs/>
          <w:sz w:val="24"/>
          <w:szCs w:val="24"/>
        </w:rPr>
      </w:pPr>
      <w:r w:rsidRPr="00E73BB1">
        <w:rPr>
          <w:rFonts w:ascii="Times New Roman" w:hAnsi="Times New Roman" w:cs="Times New Roman"/>
          <w:b/>
          <w:bCs/>
          <w:sz w:val="24"/>
          <w:szCs w:val="24"/>
        </w:rPr>
        <w:t xml:space="preserve">6.2. </w:t>
      </w:r>
      <w:r w:rsidR="001B3CF7" w:rsidRPr="00E73BB1">
        <w:rPr>
          <w:rFonts w:ascii="Times New Roman" w:hAnsi="Times New Roman" w:cs="Times New Roman"/>
          <w:b/>
          <w:bCs/>
          <w:sz w:val="24"/>
          <w:szCs w:val="24"/>
        </w:rPr>
        <w:t>Conclusion</w:t>
      </w:r>
    </w:p>
    <w:p w14:paraId="5F6A2748" w14:textId="122FCDC5" w:rsidR="00494B32" w:rsidRPr="00E73BB1" w:rsidRDefault="002B16C5" w:rsidP="00914EBB">
      <w:pPr>
        <w:spacing w:after="0" w:line="480" w:lineRule="auto"/>
        <w:rPr>
          <w:rFonts w:ascii="Times New Roman" w:hAnsi="Times New Roman" w:cs="Times New Roman"/>
          <w:sz w:val="24"/>
          <w:szCs w:val="24"/>
        </w:rPr>
        <w:sectPr w:rsidR="00494B32" w:rsidRPr="00E73BB1" w:rsidSect="00666A49">
          <w:headerReference w:type="even" r:id="rId12"/>
          <w:headerReference w:type="default" r:id="rId13"/>
          <w:endnotePr>
            <w:numFmt w:val="decimal"/>
          </w:endnotePr>
          <w:pgSz w:w="11906" w:h="16838"/>
          <w:pgMar w:top="1440" w:right="1440" w:bottom="1440" w:left="1440" w:header="708" w:footer="708" w:gutter="0"/>
          <w:cols w:space="708"/>
          <w:docGrid w:linePitch="360"/>
        </w:sectPr>
      </w:pPr>
      <w:r w:rsidRPr="00E73BB1">
        <w:rPr>
          <w:rFonts w:ascii="Times New Roman" w:hAnsi="Times New Roman" w:cs="Times New Roman"/>
          <w:sz w:val="24"/>
          <w:szCs w:val="24"/>
        </w:rPr>
        <w:tab/>
        <w:t xml:space="preserve">Overall, the </w:t>
      </w:r>
      <w:r w:rsidR="00CE3226" w:rsidRPr="00E73BB1">
        <w:rPr>
          <w:rFonts w:ascii="Times New Roman" w:hAnsi="Times New Roman" w:cs="Times New Roman"/>
          <w:sz w:val="24"/>
          <w:szCs w:val="24"/>
        </w:rPr>
        <w:t>BILD-Q</w:t>
      </w:r>
      <w:r w:rsidRPr="00E73BB1">
        <w:rPr>
          <w:rFonts w:ascii="Times New Roman" w:hAnsi="Times New Roman" w:cs="Times New Roman"/>
          <w:sz w:val="24"/>
          <w:szCs w:val="24"/>
        </w:rPr>
        <w:t xml:space="preserve"> </w:t>
      </w:r>
      <w:r w:rsidR="00232CF6" w:rsidRPr="00E73BB1">
        <w:rPr>
          <w:rFonts w:ascii="Times New Roman" w:hAnsi="Times New Roman" w:cs="Times New Roman"/>
          <w:sz w:val="24"/>
          <w:szCs w:val="24"/>
        </w:rPr>
        <w:t>shows evidence of being a</w:t>
      </w:r>
      <w:r w:rsidR="009925A3" w:rsidRPr="00E73BB1">
        <w:rPr>
          <w:rFonts w:ascii="Times New Roman" w:hAnsi="Times New Roman" w:cs="Times New Roman"/>
          <w:sz w:val="24"/>
          <w:szCs w:val="24"/>
        </w:rPr>
        <w:t xml:space="preserve"> reliable and</w:t>
      </w:r>
      <w:r w:rsidRPr="00E73BB1">
        <w:rPr>
          <w:rFonts w:ascii="Times New Roman" w:hAnsi="Times New Roman" w:cs="Times New Roman"/>
          <w:sz w:val="24"/>
          <w:szCs w:val="24"/>
        </w:rPr>
        <w:t xml:space="preserve"> valid tool to assess the impact of body image on engagement </w:t>
      </w:r>
      <w:r w:rsidR="009925A3" w:rsidRPr="00E73BB1">
        <w:rPr>
          <w:rFonts w:ascii="Times New Roman" w:hAnsi="Times New Roman" w:cs="Times New Roman"/>
          <w:sz w:val="24"/>
          <w:szCs w:val="24"/>
        </w:rPr>
        <w:t xml:space="preserve">in activities across </w:t>
      </w:r>
      <w:r w:rsidRPr="00E73BB1">
        <w:rPr>
          <w:rFonts w:ascii="Times New Roman" w:hAnsi="Times New Roman" w:cs="Times New Roman"/>
          <w:sz w:val="24"/>
          <w:szCs w:val="24"/>
        </w:rPr>
        <w:t>a range of life domains</w:t>
      </w:r>
      <w:r w:rsidR="0046203B" w:rsidRPr="00E73BB1">
        <w:rPr>
          <w:rFonts w:ascii="Times New Roman" w:hAnsi="Times New Roman" w:cs="Times New Roman"/>
          <w:sz w:val="24"/>
          <w:szCs w:val="24"/>
        </w:rPr>
        <w:t xml:space="preserve"> among adolescents</w:t>
      </w:r>
      <w:r w:rsidR="00A3404A" w:rsidRPr="00E73BB1">
        <w:rPr>
          <w:rFonts w:ascii="Times New Roman" w:hAnsi="Times New Roman" w:cs="Times New Roman"/>
          <w:sz w:val="24"/>
          <w:szCs w:val="24"/>
        </w:rPr>
        <w:t xml:space="preserve"> (e.g., </w:t>
      </w:r>
      <w:r w:rsidR="009925A3" w:rsidRPr="00E73BB1">
        <w:rPr>
          <w:rFonts w:ascii="Times New Roman" w:hAnsi="Times New Roman" w:cs="Times New Roman"/>
          <w:sz w:val="24"/>
          <w:szCs w:val="24"/>
        </w:rPr>
        <w:t xml:space="preserve">education, </w:t>
      </w:r>
      <w:r w:rsidR="00A3404A" w:rsidRPr="00E73BB1">
        <w:rPr>
          <w:rFonts w:ascii="Times New Roman" w:hAnsi="Times New Roman" w:cs="Times New Roman"/>
          <w:sz w:val="24"/>
          <w:szCs w:val="24"/>
        </w:rPr>
        <w:t>social</w:t>
      </w:r>
      <w:r w:rsidR="009925A3" w:rsidRPr="00E73BB1">
        <w:rPr>
          <w:rFonts w:ascii="Times New Roman" w:hAnsi="Times New Roman" w:cs="Times New Roman"/>
          <w:sz w:val="24"/>
          <w:szCs w:val="24"/>
        </w:rPr>
        <w:t>ising</w:t>
      </w:r>
      <w:r w:rsidR="00A3404A" w:rsidRPr="00E73BB1">
        <w:rPr>
          <w:rFonts w:ascii="Times New Roman" w:hAnsi="Times New Roman" w:cs="Times New Roman"/>
          <w:sz w:val="24"/>
          <w:szCs w:val="24"/>
        </w:rPr>
        <w:t>,</w:t>
      </w:r>
      <w:r w:rsidR="0046203B" w:rsidRPr="00E73BB1">
        <w:rPr>
          <w:rFonts w:ascii="Times New Roman" w:hAnsi="Times New Roman" w:cs="Times New Roman"/>
          <w:sz w:val="24"/>
          <w:szCs w:val="24"/>
        </w:rPr>
        <w:t xml:space="preserve"> sports participation,</w:t>
      </w:r>
      <w:r w:rsidR="002D78A9" w:rsidRPr="00E73BB1">
        <w:rPr>
          <w:rFonts w:ascii="Times New Roman" w:hAnsi="Times New Roman" w:cs="Times New Roman"/>
          <w:sz w:val="24"/>
          <w:szCs w:val="24"/>
        </w:rPr>
        <w:t xml:space="preserve"> </w:t>
      </w:r>
      <w:r w:rsidR="009925A3" w:rsidRPr="00E73BB1">
        <w:rPr>
          <w:rFonts w:ascii="Times New Roman" w:hAnsi="Times New Roman" w:cs="Times New Roman"/>
          <w:sz w:val="24"/>
          <w:szCs w:val="24"/>
        </w:rPr>
        <w:t>seeking</w:t>
      </w:r>
      <w:r w:rsidR="002D78A9" w:rsidRPr="00E73BB1">
        <w:rPr>
          <w:rFonts w:ascii="Times New Roman" w:hAnsi="Times New Roman" w:cs="Times New Roman"/>
          <w:sz w:val="24"/>
          <w:szCs w:val="24"/>
        </w:rPr>
        <w:t xml:space="preserve"> heal</w:t>
      </w:r>
      <w:r w:rsidR="005C694F" w:rsidRPr="00E73BB1">
        <w:rPr>
          <w:rFonts w:ascii="Times New Roman" w:hAnsi="Times New Roman" w:cs="Times New Roman"/>
          <w:sz w:val="24"/>
          <w:szCs w:val="24"/>
        </w:rPr>
        <w:t>t</w:t>
      </w:r>
      <w:r w:rsidR="002D78A9" w:rsidRPr="00E73BB1">
        <w:rPr>
          <w:rFonts w:ascii="Times New Roman" w:hAnsi="Times New Roman" w:cs="Times New Roman"/>
          <w:sz w:val="24"/>
          <w:szCs w:val="24"/>
        </w:rPr>
        <w:t>hcare</w:t>
      </w:r>
      <w:r w:rsidR="009925A3" w:rsidRPr="00E73BB1">
        <w:rPr>
          <w:rFonts w:ascii="Times New Roman" w:hAnsi="Times New Roman" w:cs="Times New Roman"/>
          <w:sz w:val="24"/>
          <w:szCs w:val="24"/>
        </w:rPr>
        <w:t>, and self-assertion</w:t>
      </w:r>
      <w:r w:rsidR="002D78A9" w:rsidRPr="00E73BB1">
        <w:rPr>
          <w:rFonts w:ascii="Times New Roman" w:hAnsi="Times New Roman" w:cs="Times New Roman"/>
          <w:sz w:val="24"/>
          <w:szCs w:val="24"/>
        </w:rPr>
        <w:t>)</w:t>
      </w:r>
      <w:r w:rsidRPr="00E73BB1">
        <w:rPr>
          <w:rFonts w:ascii="Times New Roman" w:hAnsi="Times New Roman" w:cs="Times New Roman"/>
          <w:sz w:val="24"/>
          <w:szCs w:val="24"/>
        </w:rPr>
        <w:t>.</w:t>
      </w:r>
      <w:r w:rsidR="00395667" w:rsidRPr="00E73BB1">
        <w:rPr>
          <w:rFonts w:ascii="Times New Roman" w:hAnsi="Times New Roman" w:cs="Times New Roman"/>
          <w:sz w:val="24"/>
          <w:szCs w:val="24"/>
        </w:rPr>
        <w:t xml:space="preserve"> It </w:t>
      </w:r>
      <w:r w:rsidR="0046203B" w:rsidRPr="00E73BB1">
        <w:rPr>
          <w:rFonts w:ascii="Times New Roman" w:hAnsi="Times New Roman" w:cs="Times New Roman"/>
          <w:sz w:val="24"/>
          <w:szCs w:val="24"/>
        </w:rPr>
        <w:t>may</w:t>
      </w:r>
      <w:r w:rsidR="00395667" w:rsidRPr="00E73BB1">
        <w:rPr>
          <w:rFonts w:ascii="Times New Roman" w:hAnsi="Times New Roman" w:cs="Times New Roman"/>
          <w:sz w:val="24"/>
          <w:szCs w:val="24"/>
        </w:rPr>
        <w:t xml:space="preserve"> contribute to </w:t>
      </w:r>
      <w:r w:rsidR="00124229" w:rsidRPr="00E73BB1">
        <w:rPr>
          <w:rFonts w:ascii="Times New Roman" w:hAnsi="Times New Roman" w:cs="Times New Roman"/>
          <w:sz w:val="24"/>
          <w:szCs w:val="24"/>
        </w:rPr>
        <w:t xml:space="preserve">a </w:t>
      </w:r>
      <w:r w:rsidR="00395667" w:rsidRPr="00E73BB1">
        <w:rPr>
          <w:rFonts w:ascii="Times New Roman" w:hAnsi="Times New Roman" w:cs="Times New Roman"/>
          <w:sz w:val="24"/>
          <w:szCs w:val="24"/>
        </w:rPr>
        <w:t>more comprehensive understanding regarding the consequences of body image concerns</w:t>
      </w:r>
      <w:r w:rsidR="0046203B" w:rsidRPr="00E73BB1">
        <w:rPr>
          <w:rFonts w:ascii="Times New Roman" w:hAnsi="Times New Roman" w:cs="Times New Roman"/>
          <w:sz w:val="24"/>
          <w:szCs w:val="24"/>
        </w:rPr>
        <w:t xml:space="preserve"> and evaluation of interventions</w:t>
      </w:r>
      <w:r w:rsidR="00395667" w:rsidRPr="00E73BB1">
        <w:rPr>
          <w:rFonts w:ascii="Times New Roman" w:hAnsi="Times New Roman" w:cs="Times New Roman"/>
          <w:sz w:val="24"/>
          <w:szCs w:val="24"/>
        </w:rPr>
        <w:t xml:space="preserve">, and </w:t>
      </w:r>
      <w:r w:rsidR="00124229" w:rsidRPr="00E73BB1">
        <w:rPr>
          <w:rFonts w:ascii="Times New Roman" w:hAnsi="Times New Roman" w:cs="Times New Roman"/>
          <w:sz w:val="24"/>
          <w:szCs w:val="24"/>
        </w:rPr>
        <w:t>where</w:t>
      </w:r>
      <w:r w:rsidR="00395667" w:rsidRPr="00E73BB1">
        <w:rPr>
          <w:rFonts w:ascii="Times New Roman" w:hAnsi="Times New Roman" w:cs="Times New Roman"/>
          <w:sz w:val="24"/>
          <w:szCs w:val="24"/>
        </w:rPr>
        <w:t xml:space="preserve"> relevant, underpin advocacy for intervention resourcing, implementation, and policy change. </w:t>
      </w:r>
      <w:r w:rsidRPr="00E73BB1">
        <w:rPr>
          <w:rFonts w:ascii="Times New Roman" w:hAnsi="Times New Roman" w:cs="Times New Roman"/>
          <w:sz w:val="24"/>
          <w:szCs w:val="24"/>
        </w:rPr>
        <w:t xml:space="preserve">It is </w:t>
      </w:r>
      <w:r w:rsidR="00232CF6" w:rsidRPr="00E73BB1">
        <w:rPr>
          <w:rFonts w:ascii="Times New Roman" w:hAnsi="Times New Roman" w:cs="Times New Roman"/>
          <w:sz w:val="24"/>
          <w:szCs w:val="24"/>
        </w:rPr>
        <w:t xml:space="preserve">unidimensional and invariant across gender, </w:t>
      </w:r>
      <w:r w:rsidR="009925A3" w:rsidRPr="00E73BB1">
        <w:rPr>
          <w:rFonts w:ascii="Times New Roman" w:hAnsi="Times New Roman" w:cs="Times New Roman"/>
          <w:sz w:val="24"/>
          <w:szCs w:val="24"/>
        </w:rPr>
        <w:t xml:space="preserve">significantly related </w:t>
      </w:r>
      <w:r w:rsidRPr="00E73BB1">
        <w:rPr>
          <w:rFonts w:ascii="Times New Roman" w:hAnsi="Times New Roman" w:cs="Times New Roman"/>
          <w:sz w:val="24"/>
          <w:szCs w:val="24"/>
        </w:rPr>
        <w:t xml:space="preserve">to body image </w:t>
      </w:r>
      <w:r w:rsidR="00232CF6" w:rsidRPr="00E73BB1">
        <w:rPr>
          <w:rFonts w:ascii="Times New Roman" w:hAnsi="Times New Roman" w:cs="Times New Roman"/>
          <w:sz w:val="24"/>
          <w:szCs w:val="24"/>
        </w:rPr>
        <w:t>and related constructs</w:t>
      </w:r>
      <w:r w:rsidRPr="00E73BB1">
        <w:rPr>
          <w:rFonts w:ascii="Times New Roman" w:hAnsi="Times New Roman" w:cs="Times New Roman"/>
          <w:sz w:val="24"/>
          <w:szCs w:val="24"/>
        </w:rPr>
        <w:t xml:space="preserve">, </w:t>
      </w:r>
      <w:r w:rsidR="0046203B" w:rsidRPr="00E73BB1">
        <w:rPr>
          <w:rFonts w:ascii="Times New Roman" w:hAnsi="Times New Roman" w:cs="Times New Roman"/>
          <w:sz w:val="24"/>
          <w:szCs w:val="24"/>
        </w:rPr>
        <w:t>yet</w:t>
      </w:r>
      <w:r w:rsidRPr="00E73BB1">
        <w:rPr>
          <w:rFonts w:ascii="Times New Roman" w:hAnsi="Times New Roman" w:cs="Times New Roman"/>
          <w:sz w:val="24"/>
          <w:szCs w:val="24"/>
        </w:rPr>
        <w:t xml:space="preserve"> </w:t>
      </w:r>
      <w:r w:rsidR="00C97665" w:rsidRPr="00E73BB1">
        <w:rPr>
          <w:rFonts w:ascii="Times New Roman" w:hAnsi="Times New Roman" w:cs="Times New Roman"/>
          <w:sz w:val="24"/>
          <w:szCs w:val="24"/>
        </w:rPr>
        <w:t xml:space="preserve">offers </w:t>
      </w:r>
      <w:r w:rsidR="00AF44A1" w:rsidRPr="00E73BB1">
        <w:rPr>
          <w:rFonts w:ascii="Times New Roman" w:hAnsi="Times New Roman" w:cs="Times New Roman"/>
          <w:sz w:val="24"/>
          <w:szCs w:val="24"/>
        </w:rPr>
        <w:t>additional value beyond existing measures</w:t>
      </w:r>
      <w:r w:rsidR="00232CF6" w:rsidRPr="00E73BB1">
        <w:rPr>
          <w:rFonts w:ascii="Times New Roman" w:hAnsi="Times New Roman" w:cs="Times New Roman"/>
          <w:sz w:val="24"/>
          <w:szCs w:val="24"/>
        </w:rPr>
        <w:t xml:space="preserve">. </w:t>
      </w:r>
      <w:r w:rsidR="001573C5" w:rsidRPr="00E73BB1">
        <w:rPr>
          <w:rFonts w:ascii="Times New Roman" w:hAnsi="Times New Roman" w:cs="Times New Roman"/>
          <w:sz w:val="24"/>
          <w:szCs w:val="24"/>
        </w:rPr>
        <w:t xml:space="preserve">While further validation in </w:t>
      </w:r>
      <w:r w:rsidR="001573C5" w:rsidRPr="00E73BB1">
        <w:rPr>
          <w:rFonts w:ascii="Times New Roman" w:hAnsi="Times New Roman" w:cs="Times New Roman"/>
          <w:sz w:val="24"/>
          <w:szCs w:val="24"/>
        </w:rPr>
        <w:lastRenderedPageBreak/>
        <w:t>different contexts and diverse samples is required, i</w:t>
      </w:r>
      <w:r w:rsidR="00232CF6" w:rsidRPr="00E73BB1">
        <w:rPr>
          <w:rFonts w:ascii="Times New Roman" w:hAnsi="Times New Roman" w:cs="Times New Roman"/>
          <w:sz w:val="24"/>
          <w:szCs w:val="24"/>
        </w:rPr>
        <w:t>ts brief form (nine items) and broad framing of appearance lends itself to easy and broad administration across research and practice settings.</w:t>
      </w:r>
      <w:r w:rsidR="00914EBB" w:rsidRPr="00E73BB1">
        <w:rPr>
          <w:rFonts w:ascii="Times New Roman" w:hAnsi="Times New Roman" w:cs="Times New Roman"/>
          <w:sz w:val="24"/>
          <w:szCs w:val="24"/>
        </w:rPr>
        <w:t xml:space="preserve"> </w:t>
      </w:r>
    </w:p>
    <w:p w14:paraId="2F66C79F" w14:textId="670D3120" w:rsidR="009161D3" w:rsidRPr="00E73BB1" w:rsidRDefault="009161D3" w:rsidP="009161D3">
      <w:pPr>
        <w:pStyle w:val="EndNoteBibliography"/>
        <w:ind w:left="720" w:hanging="720"/>
        <w:jc w:val="center"/>
        <w:rPr>
          <w:b/>
          <w:bCs/>
          <w:lang w:val="en-GB"/>
        </w:rPr>
      </w:pPr>
      <w:r w:rsidRPr="00E73BB1">
        <w:rPr>
          <w:b/>
          <w:bCs/>
          <w:lang w:val="en-GB"/>
        </w:rPr>
        <w:lastRenderedPageBreak/>
        <w:t>References</w:t>
      </w:r>
    </w:p>
    <w:p w14:paraId="2EF1E8EB" w14:textId="3FF18421" w:rsidR="009161D3" w:rsidRPr="00E73BB1" w:rsidRDefault="009161D3" w:rsidP="009161D3">
      <w:pPr>
        <w:pStyle w:val="EndNoteBibliography"/>
        <w:ind w:left="720" w:hanging="720"/>
      </w:pPr>
      <w:r w:rsidRPr="00E73BB1">
        <w:rPr>
          <w:lang w:val="en-GB"/>
        </w:rPr>
        <w:t xml:space="preserve">Al Sabbah, H., Vereecken, C. A., Elgar, F. J., Nansel, T., Aasvee, K., Abdeen, Z., Ojala, K., Ahluwalia, N., &amp; Maes, L. (2009, Feb 6). Body weight dissatisfaction and communication with parents among adolescents in 24 countries: International cross-sectional survey. </w:t>
      </w:r>
      <w:r w:rsidRPr="00E73BB1">
        <w:rPr>
          <w:i/>
          <w:iCs/>
          <w:lang w:val="en-GB"/>
        </w:rPr>
        <w:t>BMC Public Health, 9</w:t>
      </w:r>
      <w:r w:rsidRPr="00E73BB1">
        <w:rPr>
          <w:lang w:val="en-GB"/>
        </w:rPr>
        <w:t xml:space="preserve">, 52. </w:t>
      </w:r>
      <w:hyperlink r:id="rId14" w:history="1">
        <w:r w:rsidRPr="00E73BB1">
          <w:rPr>
            <w:rStyle w:val="Hyperlink"/>
            <w:lang w:val="en-GB"/>
          </w:rPr>
          <w:t>https://doi.org/10.1186/1471-2458-9-52</w:t>
        </w:r>
      </w:hyperlink>
      <w:r w:rsidRPr="00E73BB1">
        <w:rPr>
          <w:lang w:val="en-GB"/>
        </w:rPr>
        <w:t xml:space="preserve"> </w:t>
      </w:r>
    </w:p>
    <w:p w14:paraId="11814356" w14:textId="77777777" w:rsidR="009161D3" w:rsidRPr="00E73BB1" w:rsidRDefault="009161D3" w:rsidP="009161D3">
      <w:pPr>
        <w:pStyle w:val="EndNoteBibliography"/>
        <w:ind w:left="720" w:hanging="720"/>
      </w:pPr>
      <w:r w:rsidRPr="00E73BB1">
        <w:t xml:space="preserve">All Party Parliamentary Group on Body Image. (2012). </w:t>
      </w:r>
      <w:r w:rsidRPr="00E73BB1">
        <w:rPr>
          <w:i/>
        </w:rPr>
        <w:t>Reflections on body image</w:t>
      </w:r>
      <w:r w:rsidRPr="00E73BB1">
        <w:t>. http://www.ymca.co.uk/bodyimage/report</w:t>
      </w:r>
    </w:p>
    <w:p w14:paraId="2700E40E" w14:textId="77777777" w:rsidR="009161D3" w:rsidRPr="00E73BB1" w:rsidRDefault="009161D3" w:rsidP="009161D3">
      <w:pPr>
        <w:pStyle w:val="EndNoteBibliography"/>
        <w:ind w:left="720" w:hanging="720"/>
      </w:pPr>
      <w:r w:rsidRPr="00E73BB1">
        <w:t xml:space="preserve">Andrew, R., Tiggemann, M., &amp; Clark, L. (2015). The protective role of body appreciation against media-induced body dissatisfaction. </w:t>
      </w:r>
      <w:r w:rsidRPr="00E73BB1">
        <w:rPr>
          <w:i/>
        </w:rPr>
        <w:t>Body Image, 15</w:t>
      </w:r>
      <w:r w:rsidRPr="00E73BB1">
        <w:t xml:space="preserve">, 98-104. </w:t>
      </w:r>
      <w:hyperlink r:id="rId15" w:history="1">
        <w:r w:rsidRPr="00E73BB1">
          <w:rPr>
            <w:rStyle w:val="Hyperlink"/>
          </w:rPr>
          <w:t>https://doi.org/10.1016/j.bodyim.2015.07.005</w:t>
        </w:r>
      </w:hyperlink>
      <w:r w:rsidRPr="00E73BB1">
        <w:t xml:space="preserve">  </w:t>
      </w:r>
    </w:p>
    <w:p w14:paraId="2AF4998A" w14:textId="1A99FC37" w:rsidR="00A04192" w:rsidRPr="00A04192" w:rsidRDefault="00A04192" w:rsidP="00A04192">
      <w:pPr>
        <w:pStyle w:val="EndNoteBibliography"/>
        <w:ind w:left="720" w:hanging="720"/>
        <w:rPr>
          <w:u w:val="single"/>
          <w:lang w:val="en-AU"/>
        </w:rPr>
      </w:pPr>
      <w:r w:rsidRPr="00A04192">
        <w:t>Atkinson, M.J., Parnell, J.,</w:t>
      </w:r>
      <w:r>
        <w:t xml:space="preserve"> &amp;</w:t>
      </w:r>
      <w:r w:rsidRPr="00A04192">
        <w:t xml:space="preserve"> Diedrichs, P.C. (</w:t>
      </w:r>
      <w:r>
        <w:t>2021</w:t>
      </w:r>
      <w:r w:rsidRPr="00A04192">
        <w:t xml:space="preserve">). A pilot randomised controlled trial of a teacher-led mindfulness-based body image intervention for secondary schools. </w:t>
      </w:r>
      <w:r w:rsidRPr="00A04192">
        <w:rPr>
          <w:i/>
          <w:iCs/>
        </w:rPr>
        <w:t>Manuscript in preparation</w:t>
      </w:r>
      <w:r w:rsidRPr="00A04192">
        <w:t xml:space="preserve">. </w:t>
      </w:r>
    </w:p>
    <w:p w14:paraId="292D707D" w14:textId="2488E272" w:rsidR="00A04192" w:rsidRPr="00A04192" w:rsidRDefault="00A04192" w:rsidP="00A04192">
      <w:pPr>
        <w:pStyle w:val="EndNoteBibliography"/>
        <w:ind w:left="720" w:hanging="720"/>
        <w:rPr>
          <w:u w:val="single"/>
          <w:lang w:val="en-AU"/>
        </w:rPr>
      </w:pPr>
      <w:r w:rsidRPr="00A04192">
        <w:rPr>
          <w:lang w:val="en-GB"/>
        </w:rPr>
        <w:t xml:space="preserve">Atkinson, M.J., </w:t>
      </w:r>
      <w:r>
        <w:rPr>
          <w:lang w:val="en-GB"/>
        </w:rPr>
        <w:t xml:space="preserve">Stuijfzand, B.G, </w:t>
      </w:r>
      <w:r w:rsidRPr="00A04192">
        <w:rPr>
          <w:lang w:val="en-GB"/>
        </w:rPr>
        <w:t xml:space="preserve">Parnell, J., Treneman-Evans, G., &amp; Diedrichs, P.D. </w:t>
      </w:r>
      <w:r>
        <w:rPr>
          <w:lang w:val="en-GB"/>
        </w:rPr>
        <w:t xml:space="preserve">(2021). </w:t>
      </w:r>
      <w:r w:rsidRPr="00A04192">
        <w:rPr>
          <w:lang w:val="en-GB"/>
        </w:rPr>
        <w:t xml:space="preserve">Effectiveness of teacher-led body image interventions </w:t>
      </w:r>
      <w:r>
        <w:rPr>
          <w:lang w:val="en-GB"/>
        </w:rPr>
        <w:t>in</w:t>
      </w:r>
      <w:r w:rsidRPr="00A04192">
        <w:rPr>
          <w:lang w:val="en-GB"/>
        </w:rPr>
        <w:t xml:space="preserve"> secondary schools: A 4-arm cluster randomised controlled trial</w:t>
      </w:r>
      <w:r>
        <w:rPr>
          <w:lang w:val="en-GB"/>
        </w:rPr>
        <w:t xml:space="preserve">. </w:t>
      </w:r>
      <w:r w:rsidRPr="00A04192">
        <w:rPr>
          <w:i/>
          <w:iCs/>
          <w:lang w:val="en-GB"/>
        </w:rPr>
        <w:t>Manuscript in preparation</w:t>
      </w:r>
      <w:r>
        <w:rPr>
          <w:lang w:val="en-GB"/>
        </w:rPr>
        <w:t>.</w:t>
      </w:r>
    </w:p>
    <w:p w14:paraId="6839AE32" w14:textId="77777777" w:rsidR="009161D3" w:rsidRPr="00E73BB1" w:rsidRDefault="009161D3" w:rsidP="009161D3">
      <w:pPr>
        <w:pStyle w:val="EndNoteBibliography"/>
        <w:ind w:left="720" w:hanging="720"/>
      </w:pPr>
      <w:r w:rsidRPr="00E73BB1">
        <w:t xml:space="preserve">Atkinson, M. J., Stock, N. M., Alleva, J. M., Jankowski, G. S., Piran, N., Riley, S., Calogero, R., Clarke, A., Rumsey, N., Slater, A., Diedrichs, P. C., &amp; Williamson, H. (2020). Looking to the future: Priorities for translating research to impact in the field of appearance and body image. </w:t>
      </w:r>
      <w:r w:rsidRPr="00E73BB1">
        <w:rPr>
          <w:i/>
        </w:rPr>
        <w:t>Body Image, 32</w:t>
      </w:r>
      <w:r w:rsidRPr="00E73BB1">
        <w:t xml:space="preserve">, 53-61. </w:t>
      </w:r>
      <w:hyperlink r:id="rId16" w:history="1">
        <w:r w:rsidRPr="00E73BB1">
          <w:rPr>
            <w:rStyle w:val="Hyperlink"/>
          </w:rPr>
          <w:t>https://doi.org/https://doi.org/10.1016/j.bodyim.2019.10.006</w:t>
        </w:r>
      </w:hyperlink>
      <w:r w:rsidRPr="00E73BB1">
        <w:t xml:space="preserve">  </w:t>
      </w:r>
    </w:p>
    <w:p w14:paraId="07DCAE73" w14:textId="77777777" w:rsidR="009161D3" w:rsidRPr="00E73BB1" w:rsidRDefault="009161D3" w:rsidP="009161D3">
      <w:pPr>
        <w:pStyle w:val="EndNoteBibliography"/>
        <w:ind w:left="720" w:hanging="720"/>
      </w:pPr>
      <w:r w:rsidRPr="00E73BB1">
        <w:t xml:space="preserve">Atkinson, M. J., &amp; Wade, T. D. (2015). Mindfulness-based prevention for eating disorders: A school-based cluster randomized controlled study. </w:t>
      </w:r>
      <w:r w:rsidRPr="00E73BB1">
        <w:rPr>
          <w:i/>
          <w:iCs/>
        </w:rPr>
        <w:t>International Journal of Eating Disorders, 48</w:t>
      </w:r>
      <w:r w:rsidRPr="00E73BB1">
        <w:t xml:space="preserve">(7), 1024-1037. </w:t>
      </w:r>
      <w:hyperlink r:id="rId17" w:history="1">
        <w:r w:rsidRPr="00E73BB1">
          <w:rPr>
            <w:rStyle w:val="Hyperlink"/>
          </w:rPr>
          <w:t>https://doi.org/10.1002/eat.22416</w:t>
        </w:r>
      </w:hyperlink>
      <w:r w:rsidRPr="00E73BB1">
        <w:t xml:space="preserve"> </w:t>
      </w:r>
    </w:p>
    <w:p w14:paraId="381D360A" w14:textId="77777777" w:rsidR="009161D3" w:rsidRPr="00E73BB1" w:rsidRDefault="009161D3" w:rsidP="009161D3">
      <w:pPr>
        <w:pStyle w:val="EndNoteBibliography"/>
        <w:ind w:left="720" w:hanging="720"/>
      </w:pPr>
      <w:r w:rsidRPr="00E73BB1">
        <w:lastRenderedPageBreak/>
        <w:t xml:space="preserve">Austin, S. B. (2015). Accelerating progress in Eating Disorders prevention: A call for policy translation research and training. </w:t>
      </w:r>
      <w:r w:rsidRPr="00E73BB1">
        <w:rPr>
          <w:i/>
        </w:rPr>
        <w:t>Eating Disorders, 24</w:t>
      </w:r>
      <w:r w:rsidRPr="00E73BB1">
        <w:rPr>
          <w:iCs/>
        </w:rPr>
        <w:t>(1)</w:t>
      </w:r>
      <w:r w:rsidRPr="00E73BB1">
        <w:rPr>
          <w:i/>
        </w:rPr>
        <w:t>,</w:t>
      </w:r>
      <w:r w:rsidRPr="00E73BB1">
        <w:t xml:space="preserve"> 1-14. </w:t>
      </w:r>
      <w:hyperlink r:id="rId18" w:history="1">
        <w:r w:rsidRPr="00E73BB1">
          <w:rPr>
            <w:rStyle w:val="Hyperlink"/>
          </w:rPr>
          <w:t>https://doi.org/10.1080/10640266.2015.1034056</w:t>
        </w:r>
      </w:hyperlink>
      <w:r w:rsidRPr="00E73BB1">
        <w:t xml:space="preserve">  </w:t>
      </w:r>
    </w:p>
    <w:p w14:paraId="7753716A" w14:textId="77777777" w:rsidR="009161D3" w:rsidRPr="00E73BB1" w:rsidRDefault="009161D3" w:rsidP="009161D3">
      <w:pPr>
        <w:pStyle w:val="EndNoteBibliography"/>
        <w:ind w:left="720" w:hanging="720"/>
      </w:pPr>
      <w:r w:rsidRPr="00E73BB1">
        <w:t xml:space="preserve">Becker, A. E., Thomas, J. J., Bainivualiku, A., Richards, L., Navara, K., Roberts, A. L., Gilman, S. E., Striegel-Moore, R. H., &amp; Group, H. F. S. (2010). Adaptation and evaluation of the Clinical Impairment Assessment to assess disordered eating related distress in an adolescent female ethnic Fijian population. </w:t>
      </w:r>
      <w:r w:rsidRPr="00E73BB1">
        <w:rPr>
          <w:i/>
        </w:rPr>
        <w:t>International Journal of Eating Disorders, 43</w:t>
      </w:r>
      <w:r w:rsidRPr="00E73BB1">
        <w:t xml:space="preserve">(2), 179-186. </w:t>
      </w:r>
      <w:hyperlink r:id="rId19" w:history="1">
        <w:r w:rsidRPr="00E73BB1">
          <w:rPr>
            <w:rStyle w:val="Hyperlink"/>
          </w:rPr>
          <w:t>https://doi.org/10.1002/eat.20665</w:t>
        </w:r>
      </w:hyperlink>
      <w:r w:rsidRPr="00E73BB1">
        <w:t xml:space="preserve">  </w:t>
      </w:r>
    </w:p>
    <w:p w14:paraId="5732EB4A" w14:textId="77777777" w:rsidR="009161D3" w:rsidRPr="00E73BB1" w:rsidRDefault="009161D3" w:rsidP="009161D3">
      <w:pPr>
        <w:pStyle w:val="EndNoteBibliography"/>
        <w:ind w:left="720" w:hanging="720"/>
      </w:pPr>
      <w:r w:rsidRPr="00E73BB1">
        <w:t xml:space="preserve">Bennett, D. S., Ambrosini, P. J., Kudes, D., Metz, C., &amp; Rabinovich, H. (2005). Gender differences in adolescent depression: Do symptoms differ for boys and girls? </w:t>
      </w:r>
      <w:r w:rsidRPr="00E73BB1">
        <w:rPr>
          <w:i/>
        </w:rPr>
        <w:t>Journal of Affective Disorders, 89</w:t>
      </w:r>
      <w:r w:rsidRPr="00E73BB1">
        <w:t xml:space="preserve">(1-3), 35-44. </w:t>
      </w:r>
      <w:hyperlink r:id="rId20" w:history="1">
        <w:r w:rsidRPr="00E73BB1">
          <w:rPr>
            <w:rStyle w:val="Hyperlink"/>
          </w:rPr>
          <w:t>https://doi.org/10.1016/j.jad.2005.05.020</w:t>
        </w:r>
      </w:hyperlink>
      <w:r w:rsidRPr="00E73BB1">
        <w:t xml:space="preserve"> </w:t>
      </w:r>
    </w:p>
    <w:p w14:paraId="5779526B" w14:textId="77777777" w:rsidR="009161D3" w:rsidRPr="00E73BB1" w:rsidRDefault="009161D3" w:rsidP="009161D3">
      <w:pPr>
        <w:pStyle w:val="EndNoteBibliography"/>
        <w:ind w:left="720" w:hanging="720"/>
      </w:pPr>
      <w:r w:rsidRPr="00E73BB1">
        <w:t xml:space="preserve">Bohn, K., Doll, H. A., Cooper, Z., O'Connor, M., Palmer, R. L., &amp; Fairburn, C. G. (2008). The measurement of impairment due to eating disorder psychopathology. </w:t>
      </w:r>
      <w:r w:rsidRPr="00E73BB1">
        <w:rPr>
          <w:i/>
        </w:rPr>
        <w:t>Behaviour Research and Therapy, 46</w:t>
      </w:r>
      <w:r w:rsidRPr="00E73BB1">
        <w:t xml:space="preserve">(10), 1105-1110. </w:t>
      </w:r>
      <w:hyperlink r:id="rId21" w:history="1">
        <w:r w:rsidRPr="00E73BB1">
          <w:rPr>
            <w:rStyle w:val="Hyperlink"/>
          </w:rPr>
          <w:t>https://doi.org/10.1016/j.brat.2008.06.012</w:t>
        </w:r>
      </w:hyperlink>
      <w:r w:rsidRPr="00E73BB1">
        <w:t xml:space="preserve">  </w:t>
      </w:r>
    </w:p>
    <w:p w14:paraId="645BB939" w14:textId="77777777" w:rsidR="009161D3" w:rsidRPr="00E73BB1" w:rsidRDefault="009161D3" w:rsidP="009161D3">
      <w:pPr>
        <w:pStyle w:val="EndNoteBibliography"/>
        <w:ind w:left="720" w:hanging="720"/>
      </w:pPr>
      <w:r w:rsidRPr="00E73BB1">
        <w:t xml:space="preserve">Bornioli, A., Lewis-Smith, H., Smith, A., Slater, A., &amp; Bray, I. (2019). Adolescent body dissatisfaction and disordered eating: Predictors of later risky health behaviours. </w:t>
      </w:r>
      <w:r w:rsidRPr="00E73BB1">
        <w:rPr>
          <w:i/>
        </w:rPr>
        <w:t>Social Science &amp; Medicine, 238</w:t>
      </w:r>
      <w:r w:rsidRPr="00E73BB1">
        <w:t xml:space="preserve">, 112458. </w:t>
      </w:r>
      <w:hyperlink r:id="rId22" w:history="1">
        <w:r w:rsidRPr="00E73BB1">
          <w:rPr>
            <w:rStyle w:val="Hyperlink"/>
          </w:rPr>
          <w:t>https://doi.org/10.1016/j.socscimed.2019.112458</w:t>
        </w:r>
      </w:hyperlink>
      <w:r w:rsidRPr="00E73BB1">
        <w:t xml:space="preserve">  </w:t>
      </w:r>
    </w:p>
    <w:p w14:paraId="2DDD9E31" w14:textId="77777777" w:rsidR="009161D3" w:rsidRPr="00E73BB1" w:rsidRDefault="009161D3" w:rsidP="009161D3">
      <w:pPr>
        <w:pStyle w:val="EndNoteBibliography"/>
        <w:ind w:left="720" w:hanging="720"/>
      </w:pPr>
      <w:r w:rsidRPr="00E73BB1">
        <w:t xml:space="preserve">British Youth Council. (2017). </w:t>
      </w:r>
      <w:r w:rsidRPr="00E73BB1">
        <w:rPr>
          <w:i/>
        </w:rPr>
        <w:t>A body confident future</w:t>
      </w:r>
      <w:r w:rsidRPr="00E73BB1">
        <w:t xml:space="preserve">. </w:t>
      </w:r>
      <w:hyperlink r:id="rId23" w:history="1">
        <w:r w:rsidRPr="00E73BB1">
          <w:rPr>
            <w:rStyle w:val="Hyperlink"/>
          </w:rPr>
          <w:t>http://www.byc.org.uk/wp-content/uploads/2017/11/Youth-Select-Committee-A-Body-Confident-Future.pdf</w:t>
        </w:r>
      </w:hyperlink>
      <w:r w:rsidRPr="00E73BB1">
        <w:t xml:space="preserve"> </w:t>
      </w:r>
    </w:p>
    <w:p w14:paraId="2A0A9984" w14:textId="77777777" w:rsidR="009161D3" w:rsidRPr="00E73BB1" w:rsidRDefault="009161D3" w:rsidP="009161D3">
      <w:pPr>
        <w:pStyle w:val="EndNoteBibliography"/>
        <w:ind w:left="720" w:hanging="720"/>
      </w:pPr>
      <w:r w:rsidRPr="00E73BB1">
        <w:t xml:space="preserve">Bucchianeri, M. M., Arikian, A. J., Hannan, P. J., Eisenberg, M. E., &amp; Neumark-Sztainer, D. (2013). Body dissatisfaction from adolescence to young adulthood: Findings from a 10-year longitudinal study. </w:t>
      </w:r>
      <w:r w:rsidRPr="00E73BB1">
        <w:rPr>
          <w:i/>
        </w:rPr>
        <w:t>Body Image, 10</w:t>
      </w:r>
      <w:r w:rsidRPr="00E73BB1">
        <w:t xml:space="preserve">(1), 1-7. </w:t>
      </w:r>
      <w:hyperlink r:id="rId24" w:history="1">
        <w:r w:rsidRPr="00E73BB1">
          <w:rPr>
            <w:rStyle w:val="Hyperlink"/>
          </w:rPr>
          <w:t>https://doi.org/10.1016/j.bodyim.2012.09.001</w:t>
        </w:r>
      </w:hyperlink>
      <w:r w:rsidRPr="00E73BB1">
        <w:t xml:space="preserve"> </w:t>
      </w:r>
    </w:p>
    <w:p w14:paraId="465607E8" w14:textId="77777777" w:rsidR="009161D3" w:rsidRPr="00E73BB1" w:rsidRDefault="009161D3" w:rsidP="009161D3">
      <w:pPr>
        <w:pStyle w:val="EndNoteBibliography"/>
        <w:ind w:left="720" w:hanging="720"/>
      </w:pPr>
      <w:r w:rsidRPr="00E73BB1">
        <w:t xml:space="preserve">Cash, T. F. (2000). MBSRQ users’ manual. </w:t>
      </w:r>
      <w:r w:rsidRPr="00E73BB1">
        <w:rPr>
          <w:i/>
        </w:rPr>
        <w:t>Retrieved March, 16</w:t>
      </w:r>
      <w:r w:rsidRPr="00E73BB1">
        <w:t xml:space="preserve">, 2006. </w:t>
      </w:r>
    </w:p>
    <w:p w14:paraId="6D7A2705" w14:textId="77777777" w:rsidR="009161D3" w:rsidRPr="00E73BB1" w:rsidRDefault="009161D3" w:rsidP="009161D3">
      <w:pPr>
        <w:pStyle w:val="EndNoteBibliography"/>
        <w:ind w:left="720" w:hanging="720"/>
      </w:pPr>
      <w:r w:rsidRPr="00E73BB1">
        <w:lastRenderedPageBreak/>
        <w:t xml:space="preserve">Cash, T. F., &amp; Fleming, E. C. (2002). The impact of body image experiences: development of the body image quality of life inventory. </w:t>
      </w:r>
      <w:r w:rsidRPr="00E73BB1">
        <w:rPr>
          <w:i/>
        </w:rPr>
        <w:t>International Journal of Eating Disorders, 31</w:t>
      </w:r>
      <w:r w:rsidRPr="00E73BB1">
        <w:t xml:space="preserve">(4), 455-460. </w:t>
      </w:r>
      <w:hyperlink r:id="rId25" w:history="1">
        <w:r w:rsidRPr="00E73BB1">
          <w:rPr>
            <w:rStyle w:val="Hyperlink"/>
          </w:rPr>
          <w:t>https://doi.org/10.1002/eat.10033</w:t>
        </w:r>
      </w:hyperlink>
      <w:r w:rsidRPr="00E73BB1">
        <w:t xml:space="preserve">  </w:t>
      </w:r>
    </w:p>
    <w:p w14:paraId="0237DF8F" w14:textId="77777777" w:rsidR="009161D3" w:rsidRPr="00E73BB1" w:rsidRDefault="009161D3" w:rsidP="009161D3">
      <w:pPr>
        <w:pStyle w:val="EndNoteBibliography"/>
        <w:ind w:left="720" w:hanging="720"/>
      </w:pPr>
      <w:r w:rsidRPr="00E73BB1">
        <w:t xml:space="preserve">Cash, T. F., &amp; Grasso, K. (2005). The norms and stability of new measures of the multidimensional body image construct. </w:t>
      </w:r>
      <w:r w:rsidRPr="00E73BB1">
        <w:rPr>
          <w:i/>
        </w:rPr>
        <w:t>Body Image, 2</w:t>
      </w:r>
      <w:r w:rsidRPr="00E73BB1">
        <w:rPr>
          <w:iCs/>
        </w:rPr>
        <w:t>(2)</w:t>
      </w:r>
      <w:r w:rsidRPr="00E73BB1">
        <w:rPr>
          <w:i/>
        </w:rPr>
        <w:t>,</w:t>
      </w:r>
      <w:r w:rsidRPr="00E73BB1">
        <w:t xml:space="preserve"> 199-203. </w:t>
      </w:r>
      <w:hyperlink r:id="rId26" w:history="1">
        <w:r w:rsidRPr="00E73BB1">
          <w:rPr>
            <w:rStyle w:val="Hyperlink"/>
          </w:rPr>
          <w:t>https://doi.org/10.1016/j.bodyim.2005.03.007</w:t>
        </w:r>
      </w:hyperlink>
      <w:r w:rsidRPr="00E73BB1">
        <w:t xml:space="preserve">  </w:t>
      </w:r>
    </w:p>
    <w:p w14:paraId="3488246D" w14:textId="77777777" w:rsidR="009161D3" w:rsidRPr="00E73BB1" w:rsidRDefault="009161D3" w:rsidP="009161D3">
      <w:pPr>
        <w:pStyle w:val="EndNoteBibliography"/>
        <w:ind w:left="720" w:hanging="720"/>
      </w:pPr>
      <w:r w:rsidRPr="00E73BB1">
        <w:t xml:space="preserve">Cash, T. F., Jakatdar, T. A., &amp; Williams, E. F. (2004). The Body Image Quality of Life Inventory: Further validation with college men and women. </w:t>
      </w:r>
      <w:r w:rsidRPr="00E73BB1">
        <w:rPr>
          <w:i/>
        </w:rPr>
        <w:t>Body Image, 1</w:t>
      </w:r>
      <w:r w:rsidRPr="00E73BB1">
        <w:t xml:space="preserve">(3), 279-287. </w:t>
      </w:r>
      <w:hyperlink r:id="rId27" w:history="1">
        <w:r w:rsidRPr="00E73BB1">
          <w:rPr>
            <w:rStyle w:val="Hyperlink"/>
          </w:rPr>
          <w:t>https://doi.org/10.1016/s1740-1445(03)00023-8</w:t>
        </w:r>
      </w:hyperlink>
      <w:r w:rsidRPr="00E73BB1">
        <w:t xml:space="preserve"> </w:t>
      </w:r>
    </w:p>
    <w:p w14:paraId="65EA3B45" w14:textId="77777777" w:rsidR="009161D3" w:rsidRPr="00E73BB1" w:rsidRDefault="009161D3" w:rsidP="009161D3">
      <w:pPr>
        <w:pStyle w:val="EndNoteBibliography"/>
        <w:ind w:left="720" w:hanging="720"/>
      </w:pPr>
      <w:r w:rsidRPr="00E73BB1">
        <w:t xml:space="preserve">Cash, T. F., &amp; Smolak, L. (2011). </w:t>
      </w:r>
      <w:r w:rsidRPr="00E73BB1">
        <w:rPr>
          <w:i/>
        </w:rPr>
        <w:t>Body image: A handbook of science, practice, and prevention</w:t>
      </w:r>
      <w:r w:rsidRPr="00E73BB1">
        <w:t xml:space="preserve">. Guilford Press. </w:t>
      </w:r>
    </w:p>
    <w:p w14:paraId="65F0B675" w14:textId="77777777" w:rsidR="009161D3" w:rsidRPr="00E73BB1" w:rsidRDefault="009161D3" w:rsidP="009161D3">
      <w:pPr>
        <w:pStyle w:val="EndNoteBibliography"/>
        <w:ind w:left="720" w:hanging="720"/>
      </w:pPr>
      <w:r w:rsidRPr="00E73BB1">
        <w:t xml:space="preserve">Cheung, G. W., &amp; Rensvold, R. B. (2002). Evaluating Goodness-of-Fit indexes for testing measurement invariance. </w:t>
      </w:r>
      <w:r w:rsidRPr="00E73BB1">
        <w:rPr>
          <w:i/>
        </w:rPr>
        <w:t>Structural Equation Modeling: A Multidisciplinary Journal, 9</w:t>
      </w:r>
      <w:r w:rsidRPr="00E73BB1">
        <w:t xml:space="preserve">(2), 233-255. </w:t>
      </w:r>
      <w:hyperlink r:id="rId28" w:history="1">
        <w:r w:rsidRPr="00E73BB1">
          <w:rPr>
            <w:rStyle w:val="Hyperlink"/>
          </w:rPr>
          <w:t>https://doi.org/10.1207/s15328007sem0902_5</w:t>
        </w:r>
      </w:hyperlink>
      <w:r w:rsidRPr="00E73BB1">
        <w:t xml:space="preserve">  </w:t>
      </w:r>
    </w:p>
    <w:p w14:paraId="5DB795D4" w14:textId="77777777" w:rsidR="002D64AF" w:rsidRDefault="009161D3" w:rsidP="002D64AF">
      <w:pPr>
        <w:pStyle w:val="EndNoteBibliography"/>
        <w:ind w:left="720" w:hanging="720"/>
      </w:pPr>
      <w:r w:rsidRPr="00E73BB1">
        <w:t xml:space="preserve">Coyne, S. M., Linder, J. R., Rasmussen, E. E., Nelson, D. A., &amp; Birkbeck, V. (2016). Pretty as a princess: Longitudinal effects of engagement with Disney princesses on gender stereotypes, body esteem, and prosocial behavior in children. </w:t>
      </w:r>
      <w:r w:rsidRPr="00E73BB1">
        <w:rPr>
          <w:i/>
          <w:iCs/>
        </w:rPr>
        <w:t xml:space="preserve">Child Development, 87(6), </w:t>
      </w:r>
      <w:r w:rsidRPr="00E73BB1">
        <w:t xml:space="preserve">1909-1925. </w:t>
      </w:r>
      <w:hyperlink r:id="rId29" w:history="1">
        <w:r w:rsidR="00881079" w:rsidRPr="009A2490">
          <w:rPr>
            <w:rStyle w:val="Hyperlink"/>
          </w:rPr>
          <w:t>https://doi.org/10.1111/cdev.12569</w:t>
        </w:r>
      </w:hyperlink>
    </w:p>
    <w:p w14:paraId="6220E982" w14:textId="1A8D76E1" w:rsidR="002D64AF" w:rsidRPr="002D64AF" w:rsidRDefault="002D64AF" w:rsidP="002D64AF">
      <w:pPr>
        <w:pStyle w:val="EndNoteBibliography"/>
        <w:ind w:left="720" w:hanging="720"/>
      </w:pPr>
      <w:r w:rsidRPr="002D64AF">
        <w:rPr>
          <w:lang w:val="en-GB"/>
        </w:rPr>
        <w:t xml:space="preserve">Diedrichs, P. C., Atkinson, M. J., Garbett, K. M., &amp; Leckie, G. (2020). Evaluating the "Dove Confident Me" Five-Session Body Image Intervention Delivered by Teachers in Schools: A Cluster Randomized Controlled Effectiveness Trial. </w:t>
      </w:r>
      <w:r w:rsidRPr="002D64AF">
        <w:rPr>
          <w:i/>
          <w:iCs/>
          <w:lang w:val="en-GB"/>
        </w:rPr>
        <w:t>Journal of Adolescent Health</w:t>
      </w:r>
      <w:r w:rsidRPr="002D64AF">
        <w:rPr>
          <w:lang w:val="en-GB"/>
        </w:rPr>
        <w:t>.</w:t>
      </w:r>
      <w:r>
        <w:rPr>
          <w:lang w:val="en-GB"/>
        </w:rPr>
        <w:t xml:space="preserve"> Advance online publication.</w:t>
      </w:r>
      <w:r w:rsidRPr="002D64AF">
        <w:rPr>
          <w:lang w:val="en-GB"/>
        </w:rPr>
        <w:t xml:space="preserve"> </w:t>
      </w:r>
      <w:hyperlink r:id="rId30" w:history="1">
        <w:r w:rsidRPr="002D64AF">
          <w:rPr>
            <w:rStyle w:val="Hyperlink"/>
            <w:lang w:val="en-GB"/>
          </w:rPr>
          <w:t>https://doi.org/10.1016/j.jadohealth.2020.10.001</w:t>
        </w:r>
      </w:hyperlink>
      <w:r w:rsidRPr="002D64AF">
        <w:rPr>
          <w:lang w:val="en-GB"/>
        </w:rPr>
        <w:t xml:space="preserve"> </w:t>
      </w:r>
    </w:p>
    <w:p w14:paraId="59C3A6AB" w14:textId="169C3C16" w:rsidR="00881079" w:rsidRPr="00E73BB1" w:rsidRDefault="00881079" w:rsidP="009161D3">
      <w:pPr>
        <w:pStyle w:val="EndNoteBibliography"/>
        <w:ind w:left="720" w:hanging="720"/>
      </w:pPr>
      <w:r w:rsidRPr="00881079">
        <w:rPr>
          <w:lang w:val="en-GB"/>
        </w:rPr>
        <w:t xml:space="preserve">Diedrichs, P. C., Atkinson, M. J., Steer, R. J., Garbett, K. M., Rumsey, N., &amp; Halliwell, E. (2015). Effectiveness of a brief school-based body image intervention 'Dove Confident Me: Single Session' when delivered by teachers and researchers: Results </w:t>
      </w:r>
      <w:r w:rsidRPr="00881079">
        <w:rPr>
          <w:lang w:val="en-GB"/>
        </w:rPr>
        <w:lastRenderedPageBreak/>
        <w:t xml:space="preserve">from a cluster randomised controlled trial. </w:t>
      </w:r>
      <w:r w:rsidRPr="00881079">
        <w:rPr>
          <w:i/>
          <w:iCs/>
          <w:lang w:val="en-GB"/>
        </w:rPr>
        <w:t>Behav</w:t>
      </w:r>
      <w:r>
        <w:rPr>
          <w:i/>
          <w:iCs/>
          <w:lang w:val="en-GB"/>
        </w:rPr>
        <w:t>iour</w:t>
      </w:r>
      <w:r w:rsidRPr="00881079">
        <w:rPr>
          <w:i/>
          <w:iCs/>
          <w:lang w:val="en-GB"/>
        </w:rPr>
        <w:t xml:space="preserve"> Res</w:t>
      </w:r>
      <w:r>
        <w:rPr>
          <w:i/>
          <w:iCs/>
          <w:lang w:val="en-GB"/>
        </w:rPr>
        <w:t>earch and</w:t>
      </w:r>
      <w:r w:rsidRPr="00881079">
        <w:rPr>
          <w:i/>
          <w:iCs/>
          <w:lang w:val="en-GB"/>
        </w:rPr>
        <w:t xml:space="preserve"> Ther</w:t>
      </w:r>
      <w:r>
        <w:rPr>
          <w:i/>
          <w:iCs/>
          <w:lang w:val="en-GB"/>
        </w:rPr>
        <w:t>apy</w:t>
      </w:r>
      <w:r w:rsidRPr="00881079">
        <w:rPr>
          <w:i/>
          <w:iCs/>
          <w:lang w:val="en-GB"/>
        </w:rPr>
        <w:t>, 74</w:t>
      </w:r>
      <w:r w:rsidRPr="00881079">
        <w:rPr>
          <w:lang w:val="en-GB"/>
        </w:rPr>
        <w:t xml:space="preserve">, 94-104. </w:t>
      </w:r>
      <w:hyperlink r:id="rId31" w:history="1">
        <w:r w:rsidRPr="00881079">
          <w:rPr>
            <w:rStyle w:val="Hyperlink"/>
            <w:lang w:val="en-GB"/>
          </w:rPr>
          <w:t>https://doi.org/10.1016/j.brat.2015.09.004</w:t>
        </w:r>
      </w:hyperlink>
    </w:p>
    <w:p w14:paraId="04B2E320" w14:textId="77777777" w:rsidR="009161D3" w:rsidRPr="00E73BB1" w:rsidRDefault="009161D3" w:rsidP="009161D3">
      <w:pPr>
        <w:pStyle w:val="EndNoteBibliography"/>
        <w:ind w:left="720" w:hanging="720"/>
      </w:pPr>
      <w:r w:rsidRPr="00E73BB1">
        <w:t xml:space="preserve">Doley, J. R., McLean, S. A., Griffiths, S., &amp; Yager, Z. (2020). Designing body image and eating disorder prevention programs for boys and men: Theoretical, practical, and logistical considerations from boys, parents, teachers, and experts. </w:t>
      </w:r>
      <w:r w:rsidRPr="00E73BB1">
        <w:rPr>
          <w:i/>
        </w:rPr>
        <w:t>Psychology of Men &amp; Masculinities</w:t>
      </w:r>
      <w:r w:rsidRPr="00E73BB1">
        <w:t xml:space="preserve">. Advance online publication. </w:t>
      </w:r>
      <w:hyperlink r:id="rId32" w:history="1">
        <w:r w:rsidRPr="00E73BB1">
          <w:rPr>
            <w:rStyle w:val="Hyperlink"/>
          </w:rPr>
          <w:t>https://doi.org/10.1037/men0000263</w:t>
        </w:r>
      </w:hyperlink>
      <w:r w:rsidRPr="00E73BB1">
        <w:t xml:space="preserve"> </w:t>
      </w:r>
    </w:p>
    <w:p w14:paraId="5DBFE82A" w14:textId="77777777" w:rsidR="009161D3" w:rsidRPr="00E73BB1" w:rsidRDefault="009161D3" w:rsidP="009161D3">
      <w:pPr>
        <w:pStyle w:val="EndNoteBibliography"/>
        <w:ind w:left="720" w:hanging="720"/>
      </w:pPr>
      <w:r w:rsidRPr="00E73BB1">
        <w:t xml:space="preserve">Dove. (2016). </w:t>
      </w:r>
      <w:r w:rsidRPr="00E73BB1">
        <w:rPr>
          <w:i/>
        </w:rPr>
        <w:t>The Dove Global Beauty and Confidence Report</w:t>
      </w:r>
      <w:r w:rsidRPr="00E73BB1">
        <w:t xml:space="preserve">. Unilever and Edelman Intelligence. </w:t>
      </w:r>
    </w:p>
    <w:p w14:paraId="263A6D2C" w14:textId="77777777" w:rsidR="009161D3" w:rsidRPr="00E73BB1" w:rsidRDefault="009161D3" w:rsidP="009161D3">
      <w:pPr>
        <w:pStyle w:val="EndNoteBibliography"/>
        <w:ind w:left="720" w:hanging="720"/>
      </w:pPr>
      <w:r w:rsidRPr="00E73BB1">
        <w:t xml:space="preserve">Dove. (2017). </w:t>
      </w:r>
      <w:r w:rsidRPr="00E73BB1">
        <w:rPr>
          <w:i/>
        </w:rPr>
        <w:t>The 2017 Dove Global Girls Beauty and Confidence Report</w:t>
      </w:r>
      <w:r w:rsidRPr="00E73BB1">
        <w:t xml:space="preserve">. Unilever and Edelman Intelligence. </w:t>
      </w:r>
    </w:p>
    <w:p w14:paraId="2A7B09A0" w14:textId="77777777" w:rsidR="009161D3" w:rsidRPr="00E73BB1" w:rsidRDefault="009161D3" w:rsidP="009161D3">
      <w:pPr>
        <w:pStyle w:val="EndNoteBibliography"/>
        <w:ind w:left="720" w:hanging="720"/>
      </w:pPr>
      <w:r w:rsidRPr="00E73BB1">
        <w:t xml:space="preserve">Ebesutani, C., Regan, J., Smith, A., Reise, S., Higa-McMillan, C., &amp; Chorpita, B. F. (2012). The 10-Item Positive and Negative Affect Schedule for Children, child and parent shortened versions: Application of item response theory for more efficient assessment. </w:t>
      </w:r>
      <w:r w:rsidRPr="00E73BB1">
        <w:rPr>
          <w:i/>
        </w:rPr>
        <w:t>Journal of Psychopathology and Behavioral Assessment, 34</w:t>
      </w:r>
      <w:r w:rsidRPr="00E73BB1">
        <w:t xml:space="preserve">(2), 191-203. </w:t>
      </w:r>
      <w:hyperlink r:id="rId33" w:history="1">
        <w:r w:rsidRPr="00E73BB1">
          <w:rPr>
            <w:rStyle w:val="Hyperlink"/>
          </w:rPr>
          <w:t>https://doi.org/10.1007/s10862-011-9273-2</w:t>
        </w:r>
      </w:hyperlink>
      <w:r w:rsidRPr="00E73BB1">
        <w:t xml:space="preserve">  </w:t>
      </w:r>
    </w:p>
    <w:p w14:paraId="4D2D1465" w14:textId="77777777" w:rsidR="009161D3" w:rsidRPr="00E73BB1" w:rsidRDefault="009161D3" w:rsidP="009161D3">
      <w:pPr>
        <w:pStyle w:val="EndNoteBibliography"/>
        <w:ind w:left="720" w:hanging="720"/>
      </w:pPr>
      <w:r w:rsidRPr="00E73BB1">
        <w:t xml:space="preserve">Fairburn, C. G. (2008). </w:t>
      </w:r>
      <w:r w:rsidRPr="00E73BB1">
        <w:rPr>
          <w:i/>
        </w:rPr>
        <w:t>Cognitive behavior therapy and eating disorders</w:t>
      </w:r>
      <w:r w:rsidRPr="00E73BB1">
        <w:t xml:space="preserve">. Guilford Press. </w:t>
      </w:r>
    </w:p>
    <w:p w14:paraId="5574354A" w14:textId="3E1AA0CD" w:rsidR="009161D3" w:rsidRPr="00E73BB1" w:rsidRDefault="009161D3" w:rsidP="009161D3">
      <w:pPr>
        <w:pStyle w:val="EndNoteBibliography"/>
        <w:ind w:left="720" w:hanging="720"/>
      </w:pPr>
      <w:r w:rsidRPr="00E73BB1">
        <w:t xml:space="preserve">Fairburn, C. G., &amp; Beglin, S. J. (1994). Assessment of </w:t>
      </w:r>
      <w:r w:rsidR="007A4507" w:rsidRPr="00E73BB1">
        <w:t>e</w:t>
      </w:r>
      <w:r w:rsidRPr="00E73BB1">
        <w:t xml:space="preserve">ating </w:t>
      </w:r>
      <w:r w:rsidR="007A4507" w:rsidRPr="00E73BB1">
        <w:t>d</w:t>
      </w:r>
      <w:r w:rsidRPr="00E73BB1">
        <w:t xml:space="preserve">isorders: Interview or self-report questionnaire? </w:t>
      </w:r>
      <w:r w:rsidRPr="00E73BB1">
        <w:rPr>
          <w:i/>
        </w:rPr>
        <w:t>International Journal of Eating Disorders, 16</w:t>
      </w:r>
      <w:r w:rsidRPr="00E73BB1">
        <w:t xml:space="preserve">(4), 363-370. </w:t>
      </w:r>
      <w:hyperlink r:id="rId34" w:history="1">
        <w:r w:rsidRPr="00E73BB1">
          <w:rPr>
            <w:rStyle w:val="Hyperlink"/>
          </w:rPr>
          <w:t>https://doi.org/10.1002/1098-108X(199412)16:4&lt;363::AID-EAT2260160405&gt;3.0.CO;2-%23</w:t>
        </w:r>
      </w:hyperlink>
      <w:r w:rsidRPr="00E73BB1">
        <w:t xml:space="preserve">  </w:t>
      </w:r>
    </w:p>
    <w:p w14:paraId="662D467A" w14:textId="761A13F1" w:rsidR="009161D3" w:rsidRPr="00E73BB1" w:rsidRDefault="009161D3" w:rsidP="009161D3">
      <w:pPr>
        <w:pStyle w:val="EndNoteBibliography"/>
        <w:ind w:left="720" w:hanging="720"/>
      </w:pPr>
      <w:r w:rsidRPr="00E73BB1">
        <w:t xml:space="preserve">Fairburn, C. G., Cooper, Z., Doll, H. A., O'Connor, M., Bohn, K., Hawker, D. M., Wales, J. A., &amp; Palmer, R. L. (2009). Transdiagnostic </w:t>
      </w:r>
      <w:r w:rsidR="007A4507" w:rsidRPr="00E73BB1">
        <w:t>c</w:t>
      </w:r>
      <w:r w:rsidRPr="00E73BB1">
        <w:t>ognitive-</w:t>
      </w:r>
      <w:r w:rsidR="007A4507" w:rsidRPr="00E73BB1">
        <w:t>b</w:t>
      </w:r>
      <w:r w:rsidRPr="00E73BB1">
        <w:t xml:space="preserve">ehavioral </w:t>
      </w:r>
      <w:r w:rsidR="007A4507" w:rsidRPr="00E73BB1">
        <w:t>t</w:t>
      </w:r>
      <w:r w:rsidRPr="00E73BB1">
        <w:t xml:space="preserve">herapy for patients with </w:t>
      </w:r>
      <w:r w:rsidR="007A4507" w:rsidRPr="00E73BB1">
        <w:t>e</w:t>
      </w:r>
      <w:r w:rsidRPr="00E73BB1">
        <w:t xml:space="preserve">ating </w:t>
      </w:r>
      <w:r w:rsidR="007A4507" w:rsidRPr="00E73BB1">
        <w:t>d</w:t>
      </w:r>
      <w:r w:rsidRPr="00E73BB1">
        <w:t>isorders: A two-site trial with 60-</w:t>
      </w:r>
      <w:r w:rsidR="007A4507" w:rsidRPr="00E73BB1">
        <w:t>w</w:t>
      </w:r>
      <w:r w:rsidRPr="00E73BB1">
        <w:t xml:space="preserve">eek follow-up. </w:t>
      </w:r>
      <w:r w:rsidRPr="00E73BB1">
        <w:rPr>
          <w:i/>
        </w:rPr>
        <w:t xml:space="preserve">American Journal of Psychiatry, 166 </w:t>
      </w:r>
      <w:r w:rsidRPr="00E73BB1">
        <w:t xml:space="preserve">(3), 311-319. </w:t>
      </w:r>
      <w:hyperlink r:id="rId35" w:history="1">
        <w:r w:rsidRPr="00E73BB1">
          <w:rPr>
            <w:rStyle w:val="Hyperlink"/>
          </w:rPr>
          <w:t>https://doi.org/10.1176/appi.ajp.2008.08040608</w:t>
        </w:r>
      </w:hyperlink>
      <w:r w:rsidRPr="00E73BB1">
        <w:t xml:space="preserve">  </w:t>
      </w:r>
    </w:p>
    <w:p w14:paraId="71F5940E" w14:textId="77777777" w:rsidR="009161D3" w:rsidRPr="00E73BB1" w:rsidRDefault="009161D3" w:rsidP="009161D3">
      <w:pPr>
        <w:pStyle w:val="EndNoteBibliography"/>
        <w:ind w:left="720" w:hanging="720"/>
      </w:pPr>
      <w:r w:rsidRPr="00E73BB1">
        <w:t xml:space="preserve">Field, A. (2013). </w:t>
      </w:r>
      <w:r w:rsidRPr="00E73BB1">
        <w:rPr>
          <w:i/>
        </w:rPr>
        <w:t>Discovering statistics using IBM SPSS statistics</w:t>
      </w:r>
      <w:r w:rsidRPr="00E73BB1">
        <w:t xml:space="preserve">. Sage. </w:t>
      </w:r>
    </w:p>
    <w:p w14:paraId="753DBFD7" w14:textId="77777777" w:rsidR="009161D3" w:rsidRPr="00E73BB1" w:rsidRDefault="009161D3" w:rsidP="009161D3">
      <w:pPr>
        <w:pStyle w:val="EndNoteBibliography"/>
        <w:ind w:left="720" w:hanging="720"/>
      </w:pPr>
      <w:r w:rsidRPr="00E73BB1">
        <w:lastRenderedPageBreak/>
        <w:t>Firefish. (2015). Care, Beauty, Happiness: Women and Girls Qualitative Formative Research. Internal Report. Dove, Unilever: Unpublished.</w:t>
      </w:r>
    </w:p>
    <w:p w14:paraId="5CF58487" w14:textId="77777777" w:rsidR="009161D3" w:rsidRPr="00E73BB1" w:rsidRDefault="009161D3" w:rsidP="009161D3">
      <w:pPr>
        <w:pStyle w:val="EndNoteBibliography"/>
        <w:ind w:left="720" w:hanging="720"/>
      </w:pPr>
      <w:r w:rsidRPr="00E73BB1">
        <w:t xml:space="preserve">Frederick, D. A., Garcia, J. R., Gesselman, A. N., Mark, K. P., Hatfield, E., &amp; Bohrnstedt, G. (2019). The Happy American Body 2.0: Affective body satisfaction in two U.S. national Internet panel surveys. </w:t>
      </w:r>
      <w:r w:rsidRPr="00E73BB1">
        <w:rPr>
          <w:i/>
          <w:iCs/>
        </w:rPr>
        <w:t>Body Image, 32, 70-84</w:t>
      </w:r>
      <w:r w:rsidRPr="00E73BB1">
        <w:t xml:space="preserve">. </w:t>
      </w:r>
      <w:hyperlink r:id="rId36" w:history="1">
        <w:r w:rsidRPr="00E73BB1">
          <w:rPr>
            <w:rStyle w:val="Hyperlink"/>
          </w:rPr>
          <w:t>https://doi.org/10.1016/j.bodyim.2019.11.003</w:t>
        </w:r>
      </w:hyperlink>
      <w:r w:rsidRPr="00E73BB1">
        <w:t xml:space="preserve"> </w:t>
      </w:r>
    </w:p>
    <w:p w14:paraId="51EA1EC3" w14:textId="77777777" w:rsidR="009161D3" w:rsidRPr="00E73BB1" w:rsidRDefault="009161D3" w:rsidP="009161D3">
      <w:pPr>
        <w:pStyle w:val="EndNoteBibliography"/>
        <w:ind w:left="720" w:hanging="720"/>
      </w:pPr>
      <w:r w:rsidRPr="00E73BB1">
        <w:t xml:space="preserve">Frederick, D. A., Sandhu, G., Morse, P. J., &amp; Swami, V. (2016). Correlates of appearance and weight satisfaction in a U.S. national sample: Personality, attachment style, television viewing, self-esteem, and life satisfaction. </w:t>
      </w:r>
      <w:r w:rsidRPr="00E73BB1">
        <w:rPr>
          <w:i/>
          <w:iCs/>
        </w:rPr>
        <w:t>Body Image, 17, 191-203</w:t>
      </w:r>
      <w:r w:rsidRPr="00E73BB1">
        <w:t xml:space="preserve">. </w:t>
      </w:r>
      <w:hyperlink r:id="rId37" w:history="1">
        <w:r w:rsidRPr="00E73BB1">
          <w:rPr>
            <w:rStyle w:val="Hyperlink"/>
          </w:rPr>
          <w:t>https://doi.org/10.1016/j.bodyim.2016.04.001</w:t>
        </w:r>
      </w:hyperlink>
      <w:r w:rsidRPr="00E73BB1">
        <w:t xml:space="preserve"> </w:t>
      </w:r>
    </w:p>
    <w:p w14:paraId="1DAAF203" w14:textId="77777777" w:rsidR="009161D3" w:rsidRPr="00E73BB1" w:rsidRDefault="009161D3" w:rsidP="009161D3">
      <w:pPr>
        <w:pStyle w:val="EndNoteBibliography"/>
        <w:ind w:left="720" w:hanging="720"/>
      </w:pPr>
      <w:r w:rsidRPr="00E73BB1">
        <w:t xml:space="preserve">Guadagnoli, E., &amp; Velicer, W. F. (1988). Relation of sample size to the stability of component patterns. </w:t>
      </w:r>
      <w:r w:rsidRPr="00E73BB1">
        <w:rPr>
          <w:i/>
          <w:iCs/>
        </w:rPr>
        <w:t>Psychological Bulletin, 103</w:t>
      </w:r>
      <w:r w:rsidRPr="00E73BB1">
        <w:t>(2)</w:t>
      </w:r>
      <w:r w:rsidRPr="00E73BB1">
        <w:rPr>
          <w:i/>
          <w:iCs/>
        </w:rPr>
        <w:t>,</w:t>
      </w:r>
      <w:r w:rsidRPr="00E73BB1">
        <w:t xml:space="preserve"> 265–275. </w:t>
      </w:r>
      <w:hyperlink r:id="rId38" w:history="1">
        <w:r w:rsidRPr="00E73BB1">
          <w:rPr>
            <w:rStyle w:val="Hyperlink"/>
          </w:rPr>
          <w:t>http://dx.doi.org/10.1037/0033-2909.103.2.265</w:t>
        </w:r>
      </w:hyperlink>
      <w:r w:rsidRPr="00E73BB1">
        <w:t xml:space="preserve"> </w:t>
      </w:r>
    </w:p>
    <w:p w14:paraId="1AAA169E" w14:textId="313218D7" w:rsidR="007B7051" w:rsidRDefault="007B7051" w:rsidP="009161D3">
      <w:pPr>
        <w:pStyle w:val="EndNoteBibliography"/>
        <w:ind w:left="720" w:hanging="720"/>
        <w:rPr>
          <w:lang w:val="en-GB"/>
        </w:rPr>
      </w:pPr>
      <w:r w:rsidRPr="007B7051">
        <w:rPr>
          <w:lang w:val="en-GB"/>
        </w:rPr>
        <w:t>Halliwell, E., &amp; Diedrichs, P. C. (2014</w:t>
      </w:r>
      <w:r>
        <w:rPr>
          <w:lang w:val="en-GB"/>
        </w:rPr>
        <w:t>)</w:t>
      </w:r>
      <w:r w:rsidRPr="007B7051">
        <w:rPr>
          <w:lang w:val="en-GB"/>
        </w:rPr>
        <w:t xml:space="preserve">. Testing a dissonance body image intervention among young girls. </w:t>
      </w:r>
      <w:r w:rsidRPr="007B7051">
        <w:rPr>
          <w:i/>
          <w:iCs/>
          <w:lang w:val="en-GB"/>
        </w:rPr>
        <w:t>Health Psychol</w:t>
      </w:r>
      <w:r>
        <w:rPr>
          <w:i/>
          <w:iCs/>
          <w:lang w:val="en-GB"/>
        </w:rPr>
        <w:t>ogy</w:t>
      </w:r>
      <w:r w:rsidRPr="007B7051">
        <w:rPr>
          <w:i/>
          <w:iCs/>
          <w:lang w:val="en-GB"/>
        </w:rPr>
        <w:t>, 33</w:t>
      </w:r>
      <w:r w:rsidRPr="007B7051">
        <w:rPr>
          <w:lang w:val="en-GB"/>
        </w:rPr>
        <w:t xml:space="preserve">(2), 201-204. </w:t>
      </w:r>
      <w:hyperlink r:id="rId39" w:history="1">
        <w:r w:rsidRPr="007B7051">
          <w:rPr>
            <w:rStyle w:val="Hyperlink"/>
            <w:lang w:val="en-GB"/>
          </w:rPr>
          <w:t>https://doi.org/10.1037/a0032585</w:t>
        </w:r>
      </w:hyperlink>
      <w:r w:rsidRPr="007B7051">
        <w:rPr>
          <w:lang w:val="en-GB"/>
        </w:rPr>
        <w:t xml:space="preserve"> </w:t>
      </w:r>
    </w:p>
    <w:p w14:paraId="42132865" w14:textId="0E958F60" w:rsidR="009161D3" w:rsidRPr="00E73BB1" w:rsidRDefault="009161D3" w:rsidP="009161D3">
      <w:pPr>
        <w:pStyle w:val="EndNoteBibliography"/>
        <w:ind w:left="720" w:hanging="720"/>
      </w:pPr>
      <w:r w:rsidRPr="00E73BB1">
        <w:t xml:space="preserve">Halliwell, E., Diedrichs, P. C., &amp; Orbach, S. (2014). </w:t>
      </w:r>
      <w:r w:rsidRPr="00E73BB1">
        <w:rPr>
          <w:i/>
        </w:rPr>
        <w:t xml:space="preserve">Costing the invisible: A review of the evidence examining the links between body image, aspirations, education and workplace confidence. </w:t>
      </w:r>
      <w:r w:rsidRPr="00E73BB1">
        <w:t xml:space="preserve"> </w:t>
      </w:r>
      <w:hyperlink r:id="rId40" w:history="1">
        <w:r w:rsidRPr="00E73BB1">
          <w:rPr>
            <w:rStyle w:val="Hyperlink"/>
          </w:rPr>
          <w:t>http://eprints.uwe.ac.uk/24438</w:t>
        </w:r>
      </w:hyperlink>
      <w:r w:rsidRPr="00E73BB1">
        <w:t xml:space="preserve"> </w:t>
      </w:r>
    </w:p>
    <w:p w14:paraId="74017338" w14:textId="77777777" w:rsidR="009161D3" w:rsidRPr="00E73BB1" w:rsidRDefault="009161D3" w:rsidP="009161D3">
      <w:pPr>
        <w:pStyle w:val="EndNoteBibliography"/>
        <w:ind w:left="720" w:hanging="720"/>
      </w:pPr>
      <w:r w:rsidRPr="00E73BB1">
        <w:t xml:space="preserve">Harvey, A. G., Watkins, E., &amp; Mansell, W. (2004). </w:t>
      </w:r>
      <w:r w:rsidRPr="00E73BB1">
        <w:rPr>
          <w:i/>
          <w:iCs/>
        </w:rPr>
        <w:t>Cognitive behavioural processes across psychological disorders: A transdiagnostic approach to research and treatment</w:t>
      </w:r>
      <w:r w:rsidRPr="00E73BB1">
        <w:t>. Oxford University Press.</w:t>
      </w:r>
    </w:p>
    <w:p w14:paraId="76AE24F3" w14:textId="77777777" w:rsidR="009161D3" w:rsidRPr="00E73BB1" w:rsidRDefault="009161D3" w:rsidP="009161D3">
      <w:pPr>
        <w:pStyle w:val="EndNoteBibliography"/>
        <w:ind w:left="720" w:hanging="720"/>
      </w:pPr>
      <w:r w:rsidRPr="00E73BB1">
        <w:t xml:space="preserve">Hogarty, K. Y., Hines, C. V., Kromrey, J. D., Ferron, J. M., &amp; Mumford, K. R. (2005). The quality of factor solutions in exploratory factor analysis: The influence of sample size, </w:t>
      </w:r>
      <w:r w:rsidRPr="00E73BB1">
        <w:lastRenderedPageBreak/>
        <w:t xml:space="preserve">communality, and overdetermination. </w:t>
      </w:r>
      <w:r w:rsidRPr="00E73BB1">
        <w:rPr>
          <w:i/>
        </w:rPr>
        <w:t>Educational and Psychological Measurement, 65</w:t>
      </w:r>
      <w:r w:rsidRPr="00E73BB1">
        <w:t xml:space="preserve">(2), 202-226. </w:t>
      </w:r>
      <w:hyperlink r:id="rId41" w:history="1">
        <w:r w:rsidRPr="00E73BB1">
          <w:rPr>
            <w:rStyle w:val="Hyperlink"/>
          </w:rPr>
          <w:t>https://doi.org/10.1177/0013164404267287</w:t>
        </w:r>
      </w:hyperlink>
      <w:r w:rsidRPr="00E73BB1">
        <w:t xml:space="preserve">  </w:t>
      </w:r>
    </w:p>
    <w:p w14:paraId="11CC76FD" w14:textId="77777777" w:rsidR="009161D3" w:rsidRPr="00E73BB1" w:rsidRDefault="009161D3" w:rsidP="009161D3">
      <w:pPr>
        <w:pStyle w:val="EndNoteBibliography"/>
        <w:ind w:left="720" w:hanging="720"/>
      </w:pPr>
      <w:r w:rsidRPr="00E73BB1">
        <w:t xml:space="preserve">Horn, J. L. (1965). A rationale and test for the number of factors in factor analysis. </w:t>
      </w:r>
      <w:r w:rsidRPr="00E73BB1">
        <w:rPr>
          <w:i/>
          <w:iCs/>
        </w:rPr>
        <w:t>Psychometrika, 30(2),</w:t>
      </w:r>
      <w:r w:rsidRPr="00E73BB1">
        <w:t xml:space="preserve"> 179-185. </w:t>
      </w:r>
      <w:hyperlink r:id="rId42" w:history="1">
        <w:r w:rsidRPr="00E73BB1">
          <w:rPr>
            <w:rStyle w:val="Hyperlink"/>
          </w:rPr>
          <w:t>https://doi:10.1007/bf02289447</w:t>
        </w:r>
      </w:hyperlink>
      <w:r w:rsidRPr="00E73BB1">
        <w:t xml:space="preserve"> </w:t>
      </w:r>
    </w:p>
    <w:p w14:paraId="6BFD935C" w14:textId="77777777" w:rsidR="009161D3" w:rsidRPr="00E73BB1" w:rsidRDefault="009161D3" w:rsidP="009161D3">
      <w:pPr>
        <w:pStyle w:val="EndNoteBibliography"/>
        <w:ind w:left="720" w:hanging="720"/>
      </w:pPr>
      <w:r w:rsidRPr="00E73BB1">
        <w:t xml:space="preserve">Hu, L. t., &amp; Bentler, P. M. (1999). Cutoff criteria for fit indexes in covariance structure analysis: Conventional criteria versus new alternatives. </w:t>
      </w:r>
      <w:r w:rsidRPr="00E73BB1">
        <w:rPr>
          <w:i/>
        </w:rPr>
        <w:t>Structural Equation Modeling: A Multidisciplinary Journal, 6</w:t>
      </w:r>
      <w:r w:rsidRPr="00E73BB1">
        <w:t xml:space="preserve">(1), 1-55. </w:t>
      </w:r>
      <w:hyperlink r:id="rId43" w:history="1">
        <w:r w:rsidRPr="00E73BB1">
          <w:rPr>
            <w:rStyle w:val="Hyperlink"/>
          </w:rPr>
          <w:t>https://doi.org/10.1080/10705519909540118</w:t>
        </w:r>
      </w:hyperlink>
      <w:r w:rsidRPr="00E73BB1">
        <w:t xml:space="preserve">  </w:t>
      </w:r>
    </w:p>
    <w:p w14:paraId="7A0B2D40" w14:textId="77777777" w:rsidR="009161D3" w:rsidRPr="00E73BB1" w:rsidRDefault="009161D3" w:rsidP="009161D3">
      <w:pPr>
        <w:pStyle w:val="EndNoteBibliography"/>
        <w:ind w:left="720" w:hanging="720"/>
      </w:pPr>
      <w:r w:rsidRPr="00E73BB1">
        <w:t xml:space="preserve">Jacobi, C., &amp; Fittig, E. (2010). Psychosocial Risk Factors for Eating Disorders. In W. S. Agras (Ed.), </w:t>
      </w:r>
      <w:r w:rsidRPr="00E73BB1">
        <w:rPr>
          <w:i/>
          <w:iCs/>
        </w:rPr>
        <w:t>The Oxford Handbook of Eating Disorders</w:t>
      </w:r>
      <w:r w:rsidRPr="00E73BB1">
        <w:t>. Oxford University Press.</w:t>
      </w:r>
    </w:p>
    <w:p w14:paraId="19D3E1C5" w14:textId="0BB6E9BD" w:rsidR="009161D3" w:rsidRPr="00E73BB1" w:rsidRDefault="009161D3" w:rsidP="009161D3">
      <w:pPr>
        <w:pStyle w:val="EndNoteBibliography"/>
        <w:ind w:left="720" w:hanging="720"/>
      </w:pPr>
      <w:r w:rsidRPr="00E73BB1">
        <w:t xml:space="preserve">Karazsia, B. T., Murnen, S. K., &amp; Tylka, T. L. (2017). Is body dissatisfaction changing across time? A cross-temporal meta-analysis. </w:t>
      </w:r>
      <w:r w:rsidRPr="00E73BB1">
        <w:rPr>
          <w:i/>
        </w:rPr>
        <w:t>Psychological Bulletin, 143</w:t>
      </w:r>
      <w:r w:rsidRPr="00E73BB1">
        <w:t>(3), 293</w:t>
      </w:r>
      <w:r w:rsidR="007A4507" w:rsidRPr="00E73BB1">
        <w:t>-320</w:t>
      </w:r>
      <w:r w:rsidRPr="00E73BB1">
        <w:t xml:space="preserve">. </w:t>
      </w:r>
      <w:hyperlink r:id="rId44" w:history="1">
        <w:r w:rsidRPr="00E73BB1">
          <w:rPr>
            <w:rStyle w:val="Hyperlink"/>
          </w:rPr>
          <w:t>https://doi.org/10.1037/e510372016-001</w:t>
        </w:r>
      </w:hyperlink>
      <w:r w:rsidRPr="00E73BB1">
        <w:t xml:space="preserve"> </w:t>
      </w:r>
    </w:p>
    <w:p w14:paraId="7088FD3C" w14:textId="77777777" w:rsidR="009161D3" w:rsidRPr="00E73BB1" w:rsidRDefault="009161D3" w:rsidP="009161D3">
      <w:pPr>
        <w:pStyle w:val="EndNoteBibliography"/>
        <w:ind w:left="720" w:hanging="720"/>
      </w:pPr>
      <w:r w:rsidRPr="00E73BB1">
        <w:t xml:space="preserve">Kennerley, H., Kirk, J., &amp; Westbrook, D. (2016). </w:t>
      </w:r>
      <w:r w:rsidRPr="00E73BB1">
        <w:rPr>
          <w:i/>
          <w:iCs/>
        </w:rPr>
        <w:t xml:space="preserve">An introduction to cognitive behaviour therapy: Skills and applications. </w:t>
      </w:r>
      <w:r w:rsidRPr="00E73BB1">
        <w:t>Sage.</w:t>
      </w:r>
    </w:p>
    <w:p w14:paraId="5267C940" w14:textId="77777777" w:rsidR="009161D3" w:rsidRPr="00E73BB1" w:rsidRDefault="009161D3" w:rsidP="009161D3">
      <w:pPr>
        <w:pStyle w:val="EndNoteBibliography"/>
        <w:ind w:left="720" w:hanging="720"/>
      </w:pPr>
      <w:r w:rsidRPr="00E73BB1">
        <w:t xml:space="preserve">Kline, R. (2005). </w:t>
      </w:r>
      <w:r w:rsidRPr="00E73BB1">
        <w:rPr>
          <w:i/>
        </w:rPr>
        <w:t>Principles and practice of structural equation modelling</w:t>
      </w:r>
      <w:r w:rsidRPr="00E73BB1">
        <w:t xml:space="preserve">. Guildford Press. </w:t>
      </w:r>
    </w:p>
    <w:p w14:paraId="72A09029" w14:textId="77777777" w:rsidR="009161D3" w:rsidRPr="00E73BB1" w:rsidRDefault="009161D3" w:rsidP="009161D3">
      <w:pPr>
        <w:pStyle w:val="EndNoteBibliography"/>
        <w:ind w:left="720" w:hanging="720"/>
      </w:pPr>
      <w:r w:rsidRPr="00E73BB1">
        <w:t xml:space="preserve">Kline, R. B. (2015). </w:t>
      </w:r>
      <w:r w:rsidRPr="00E73BB1">
        <w:rPr>
          <w:i/>
        </w:rPr>
        <w:t>Principles and practice of structural equation modeling</w:t>
      </w:r>
      <w:r w:rsidRPr="00E73BB1">
        <w:t xml:space="preserve">. Guilford publications. </w:t>
      </w:r>
    </w:p>
    <w:p w14:paraId="14C77506" w14:textId="77777777" w:rsidR="009161D3" w:rsidRPr="00E73BB1" w:rsidRDefault="009161D3" w:rsidP="009161D3">
      <w:pPr>
        <w:pStyle w:val="EndNoteBibliography"/>
        <w:ind w:left="720" w:hanging="720"/>
      </w:pPr>
      <w:r w:rsidRPr="00E73BB1">
        <w:t xml:space="preserve">Kostanski, M., &amp; Gullone, E. (1998). Adolescent body image dissatisfaction: Relationships with self-esteem, anxiety, and depression controlling for body mass. </w:t>
      </w:r>
      <w:r w:rsidRPr="00E73BB1">
        <w:rPr>
          <w:i/>
        </w:rPr>
        <w:t>The Journal of Child Psychology and Psychiatry and Allied Disciplines, 39</w:t>
      </w:r>
      <w:r w:rsidRPr="00E73BB1">
        <w:t xml:space="preserve">(2), 255-262. </w:t>
      </w:r>
      <w:hyperlink r:id="rId45" w:history="1">
        <w:r w:rsidRPr="00E73BB1">
          <w:rPr>
            <w:rStyle w:val="Hyperlink"/>
          </w:rPr>
          <w:t>https://doi.org/10.1017/s0021963097001807</w:t>
        </w:r>
      </w:hyperlink>
      <w:r w:rsidRPr="00E73BB1">
        <w:t xml:space="preserve"> </w:t>
      </w:r>
    </w:p>
    <w:p w14:paraId="42E13208" w14:textId="77777777" w:rsidR="009161D3" w:rsidRPr="00E73BB1" w:rsidRDefault="009161D3" w:rsidP="009161D3">
      <w:pPr>
        <w:pStyle w:val="EndNoteBibliography"/>
        <w:ind w:left="720" w:hanging="720"/>
      </w:pPr>
      <w:r w:rsidRPr="00E73BB1">
        <w:t>Krebs, G., de la Cruz, L. F., Monzani, B., Bowyer, L., Anson, M., Cadman, J., Heyman, I., Turner, C., Veale, D., &amp; Mataix-Cols, D. (2017). Long-term outcomes of cognitive-</w:t>
      </w:r>
      <w:r w:rsidRPr="00E73BB1">
        <w:lastRenderedPageBreak/>
        <w:t xml:space="preserve">behavioral therapy for adolescent body dysmorphic disorder. </w:t>
      </w:r>
      <w:r w:rsidRPr="00E73BB1">
        <w:rPr>
          <w:i/>
        </w:rPr>
        <w:t>Behavior Therapy, 48</w:t>
      </w:r>
      <w:r w:rsidRPr="00E73BB1">
        <w:t xml:space="preserve">(4), 462-473. </w:t>
      </w:r>
      <w:hyperlink r:id="rId46" w:history="1">
        <w:r w:rsidRPr="00E73BB1">
          <w:rPr>
            <w:rStyle w:val="Hyperlink"/>
          </w:rPr>
          <w:t>https://doi.org/10.1016/j.beth.2017.01.001</w:t>
        </w:r>
      </w:hyperlink>
      <w:r w:rsidRPr="00E73BB1">
        <w:t xml:space="preserve">  </w:t>
      </w:r>
    </w:p>
    <w:p w14:paraId="5449485A" w14:textId="77777777" w:rsidR="009161D3" w:rsidRPr="00E73BB1" w:rsidRDefault="009161D3" w:rsidP="009161D3">
      <w:pPr>
        <w:pStyle w:val="EndNoteBibliography"/>
        <w:ind w:left="720" w:hanging="720"/>
      </w:pPr>
      <w:r w:rsidRPr="00E73BB1">
        <w:t xml:space="preserve">Kusina, J. R., &amp; Exline, J. J. (2019). Beyond Body Image: A Systematic Review of Classroom-Based Interventions Targeting Body Image of Adolescents. </w:t>
      </w:r>
      <w:r w:rsidRPr="00E73BB1">
        <w:rPr>
          <w:i/>
        </w:rPr>
        <w:t>Adolescent Research Review, 4</w:t>
      </w:r>
      <w:r w:rsidRPr="00E73BB1">
        <w:t xml:space="preserve">(3), 293-311. </w:t>
      </w:r>
      <w:hyperlink r:id="rId47" w:history="1">
        <w:r w:rsidRPr="00E73BB1">
          <w:rPr>
            <w:rStyle w:val="Hyperlink"/>
          </w:rPr>
          <w:t>https://doi.org/10.1007/s40894-019-00121-1</w:t>
        </w:r>
      </w:hyperlink>
      <w:r w:rsidRPr="00E73BB1">
        <w:t xml:space="preserve">  </w:t>
      </w:r>
    </w:p>
    <w:p w14:paraId="1A6990AB" w14:textId="77777777" w:rsidR="009161D3" w:rsidRPr="00E73BB1" w:rsidRDefault="009161D3" w:rsidP="009161D3">
      <w:pPr>
        <w:pStyle w:val="EndNoteBibliography"/>
        <w:ind w:left="720" w:hanging="720"/>
      </w:pPr>
      <w:r w:rsidRPr="00E73BB1">
        <w:t xml:space="preserve">Lydecker J.A. (2017). Body Image Avoidance Questionnaire (BIAQ). In: Wade T. (eds) </w:t>
      </w:r>
      <w:r w:rsidRPr="00E73BB1">
        <w:rPr>
          <w:i/>
          <w:iCs/>
        </w:rPr>
        <w:t>Encyclopedia of Feeding and Eating Disorders.</w:t>
      </w:r>
      <w:r w:rsidRPr="00E73BB1">
        <w:t xml:space="preserve"> Springer. </w:t>
      </w:r>
    </w:p>
    <w:p w14:paraId="5EDFC025" w14:textId="77777777" w:rsidR="009161D3" w:rsidRPr="00E73BB1" w:rsidRDefault="009161D3" w:rsidP="009161D3">
      <w:pPr>
        <w:pStyle w:val="EndNoteBibliography"/>
        <w:ind w:left="720" w:hanging="720"/>
      </w:pPr>
      <w:r w:rsidRPr="00E73BB1">
        <w:t xml:space="preserve">Mataix-Cols, D., de la Cruz, L. F., Isomura, K., Anson, M., Turner, C., Monzani, B., Cadman, J., Bowyer, L., Heyman, I., &amp; Veale, D. (2015). A pilot randomized controlled trial of cognitive-behavioral therapy for adolescents with body dysmorphic disorder. </w:t>
      </w:r>
      <w:r w:rsidRPr="00E73BB1">
        <w:rPr>
          <w:i/>
        </w:rPr>
        <w:t>Journal of the American Academy of Child &amp; Adolescent Psychiatry, 54</w:t>
      </w:r>
      <w:r w:rsidRPr="00E73BB1">
        <w:t xml:space="preserve">(11), 895-904. </w:t>
      </w:r>
      <w:hyperlink r:id="rId48" w:history="1">
        <w:r w:rsidRPr="00E73BB1">
          <w:rPr>
            <w:rStyle w:val="Hyperlink"/>
          </w:rPr>
          <w:t>https://doi.org/10.1016/j.jaac.2015.08.011</w:t>
        </w:r>
      </w:hyperlink>
      <w:r w:rsidRPr="00E73BB1">
        <w:t xml:space="preserve">  </w:t>
      </w:r>
    </w:p>
    <w:p w14:paraId="48DB24FB" w14:textId="77777777" w:rsidR="009161D3" w:rsidRPr="00E73BB1" w:rsidRDefault="009161D3" w:rsidP="009161D3">
      <w:pPr>
        <w:pStyle w:val="EndNoteBibliography"/>
        <w:ind w:left="720" w:hanging="720"/>
      </w:pPr>
      <w:r w:rsidRPr="00E73BB1">
        <w:t xml:space="preserve">McCabe, M. P., &amp; Ricciardelli, L. A. (2004). Body image dissatisfaction among males across the lifespan: A review of past literature. </w:t>
      </w:r>
      <w:r w:rsidRPr="00E73BB1">
        <w:rPr>
          <w:i/>
        </w:rPr>
        <w:t>Journal of Psychosomatic Research, 56</w:t>
      </w:r>
      <w:r w:rsidRPr="00E73BB1">
        <w:t xml:space="preserve">(6), 675-685. </w:t>
      </w:r>
      <w:hyperlink r:id="rId49" w:history="1">
        <w:r w:rsidRPr="00E73BB1">
          <w:rPr>
            <w:rStyle w:val="Hyperlink"/>
          </w:rPr>
          <w:t>https://doi.org/10.1016/s0022-3999(03)00129-6</w:t>
        </w:r>
      </w:hyperlink>
      <w:r w:rsidRPr="00E73BB1">
        <w:t xml:space="preserve"> </w:t>
      </w:r>
    </w:p>
    <w:p w14:paraId="540952D7" w14:textId="77777777" w:rsidR="009161D3" w:rsidRPr="00E73BB1" w:rsidRDefault="009161D3" w:rsidP="009161D3">
      <w:pPr>
        <w:pStyle w:val="EndNoteBibliography"/>
        <w:ind w:left="720" w:hanging="720"/>
      </w:pPr>
      <w:r w:rsidRPr="00E73BB1">
        <w:t xml:space="preserve">Mendelson, B. K., Mendelson, M. J., &amp; White, D. R. (2001). Body-Esteem Scale for Adolescents and Adults. </w:t>
      </w:r>
      <w:r w:rsidRPr="00E73BB1">
        <w:rPr>
          <w:i/>
        </w:rPr>
        <w:t>Journal of Personality Assessment, 76</w:t>
      </w:r>
      <w:r w:rsidRPr="00E73BB1">
        <w:t xml:space="preserve">(1), 90-106. </w:t>
      </w:r>
      <w:hyperlink r:id="rId50" w:history="1">
        <w:r w:rsidRPr="00E73BB1">
          <w:rPr>
            <w:rStyle w:val="Hyperlink"/>
          </w:rPr>
          <w:t>https://doi.org/10.1207/S15327752JPA7601_6</w:t>
        </w:r>
      </w:hyperlink>
      <w:r w:rsidRPr="00E73BB1">
        <w:t xml:space="preserve">  </w:t>
      </w:r>
    </w:p>
    <w:p w14:paraId="04BBF533" w14:textId="77777777" w:rsidR="009161D3" w:rsidRPr="00E73BB1" w:rsidRDefault="009161D3" w:rsidP="009161D3">
      <w:pPr>
        <w:pStyle w:val="EndNoteBibliography"/>
        <w:ind w:left="720" w:hanging="720"/>
      </w:pPr>
      <w:r w:rsidRPr="00E73BB1">
        <w:t xml:space="preserve">Murnen, S. K. (2011). Gender and body images. In T. F. Cash &amp; L. Smolak (Eds.), </w:t>
      </w:r>
      <w:r w:rsidRPr="00E73BB1">
        <w:rPr>
          <w:i/>
        </w:rPr>
        <w:t>Body image: A handbook of science, practice, and prevention</w:t>
      </w:r>
      <w:r w:rsidRPr="00E73BB1">
        <w:t xml:space="preserve"> (2nd ed., pp. 173-179). Guildford Press. </w:t>
      </w:r>
    </w:p>
    <w:p w14:paraId="39BA5901" w14:textId="77777777" w:rsidR="009161D3" w:rsidRPr="00E73BB1" w:rsidRDefault="009161D3" w:rsidP="009161D3">
      <w:pPr>
        <w:pStyle w:val="EndNoteBibliography"/>
        <w:ind w:left="720" w:hanging="720"/>
      </w:pPr>
      <w:r w:rsidRPr="00E73BB1">
        <w:t xml:space="preserve">Neumark-Sztainer, D., Paxton, S. J., Hannan, P. J., Haines, J., &amp; Story, M. (2006). Does body satisfaction matter? Five-year longitudinal associations between body satisfaction and health behaviors in adolescent females and males. </w:t>
      </w:r>
      <w:r w:rsidRPr="00E73BB1">
        <w:rPr>
          <w:i/>
        </w:rPr>
        <w:t>Journal of Adolescent Health, 39</w:t>
      </w:r>
      <w:r w:rsidRPr="00E73BB1">
        <w:t xml:space="preserve">(2), 244-251. </w:t>
      </w:r>
      <w:hyperlink r:id="rId51" w:history="1">
        <w:r w:rsidRPr="00E73BB1">
          <w:rPr>
            <w:rStyle w:val="Hyperlink"/>
          </w:rPr>
          <w:t>https://doi.org/10.1016/j.jadohealth.2005.12.001</w:t>
        </w:r>
      </w:hyperlink>
      <w:r w:rsidRPr="00E73BB1">
        <w:t xml:space="preserve">  </w:t>
      </w:r>
    </w:p>
    <w:p w14:paraId="3CF54D09" w14:textId="77777777" w:rsidR="009161D3" w:rsidRPr="00E73BB1" w:rsidRDefault="009161D3" w:rsidP="009161D3">
      <w:pPr>
        <w:pStyle w:val="EndNoteBibliography"/>
        <w:ind w:left="720" w:hanging="720"/>
      </w:pPr>
      <w:r w:rsidRPr="00E73BB1">
        <w:lastRenderedPageBreak/>
        <w:t xml:space="preserve">Office for National Statistics. (2016). National Records of Scotland; Northern Ireland Statistics and Research Agency (2016): 2011 Census aggregate data. UK Data Service. </w:t>
      </w:r>
      <w:hyperlink r:id="rId52" w:history="1">
        <w:r w:rsidRPr="00E73BB1">
          <w:rPr>
            <w:rStyle w:val="Hyperlink"/>
          </w:rPr>
          <w:t>http://dx.doi.org/10.5257/census/aggregate-2011-1</w:t>
        </w:r>
      </w:hyperlink>
      <w:r w:rsidRPr="00E73BB1">
        <w:t xml:space="preserve"> </w:t>
      </w:r>
    </w:p>
    <w:p w14:paraId="29992BA9" w14:textId="43EE2182" w:rsidR="009161D3" w:rsidRPr="00E73BB1" w:rsidRDefault="009161D3" w:rsidP="009161D3">
      <w:pPr>
        <w:pStyle w:val="EndNoteBibliography"/>
        <w:ind w:left="720" w:hanging="720"/>
      </w:pPr>
      <w:r w:rsidRPr="00E73BB1">
        <w:t>Tylka, T.</w:t>
      </w:r>
      <w:r w:rsidR="001659F2" w:rsidRPr="00E73BB1">
        <w:t xml:space="preserve"> L.</w:t>
      </w:r>
      <w:r w:rsidR="002D64AF">
        <w:t>,</w:t>
      </w:r>
      <w:r w:rsidRPr="00E73BB1">
        <w:t xml:space="preserve"> </w:t>
      </w:r>
      <w:r w:rsidR="002D64AF">
        <w:t xml:space="preserve">&amp; </w:t>
      </w:r>
      <w:r w:rsidR="002D64AF" w:rsidRPr="00E73BB1">
        <w:t xml:space="preserve">Piran, N. </w:t>
      </w:r>
      <w:r w:rsidRPr="00E73BB1">
        <w:t xml:space="preserve">(2019). </w:t>
      </w:r>
      <w:r w:rsidRPr="00E73BB1">
        <w:rPr>
          <w:i/>
        </w:rPr>
        <w:t>Handbook of positive body image and embodiment: Constructs, protective factors, and interventions</w:t>
      </w:r>
      <w:r w:rsidRPr="00E73BB1">
        <w:t xml:space="preserve">. Oxford University Press. </w:t>
      </w:r>
    </w:p>
    <w:p w14:paraId="742CC09E" w14:textId="77777777" w:rsidR="009161D3" w:rsidRPr="00E73BB1" w:rsidRDefault="009161D3" w:rsidP="009161D3">
      <w:pPr>
        <w:pStyle w:val="EndNoteBibliography"/>
        <w:ind w:left="720" w:hanging="720"/>
      </w:pPr>
      <w:r w:rsidRPr="00E73BB1">
        <w:t xml:space="preserve">Puhl, R., &amp; Peterson, J. (2012). Physical appearance and stigma. In T. F. Cash (Ed.), </w:t>
      </w:r>
      <w:r w:rsidRPr="00E73BB1">
        <w:rPr>
          <w:i/>
        </w:rPr>
        <w:t>Encyclopedia of body image and human appearance</w:t>
      </w:r>
      <w:r w:rsidRPr="00E73BB1">
        <w:t xml:space="preserve"> (Vol. 2, pp. 588-594). Elsevier Academic Press. </w:t>
      </w:r>
    </w:p>
    <w:p w14:paraId="73E65F83" w14:textId="77777777" w:rsidR="009161D3" w:rsidRPr="00E73BB1" w:rsidRDefault="009161D3" w:rsidP="009161D3">
      <w:pPr>
        <w:pStyle w:val="EndNoteBibliography"/>
        <w:ind w:left="720" w:hanging="720"/>
      </w:pPr>
      <w:r w:rsidRPr="00E73BB1">
        <w:t xml:space="preserve">Rosen, J. C., Srebnik, D., Saltzberg, E., &amp; Wendt, S. (1991). Development of a body image avoidance questionnaire. </w:t>
      </w:r>
      <w:r w:rsidRPr="00E73BB1">
        <w:rPr>
          <w:i/>
          <w:iCs/>
        </w:rPr>
        <w:t>Psychological Assessment:</w:t>
      </w:r>
      <w:r w:rsidRPr="00E73BB1">
        <w:t xml:space="preserve"> </w:t>
      </w:r>
      <w:r w:rsidRPr="00E73BB1">
        <w:rPr>
          <w:i/>
          <w:iCs/>
        </w:rPr>
        <w:t>A Journal of Consulting and Clinical Psychology, 3(1),</w:t>
      </w:r>
      <w:r w:rsidRPr="00E73BB1">
        <w:t xml:space="preserve"> 32-37. </w:t>
      </w:r>
      <w:hyperlink r:id="rId53" w:history="1">
        <w:r w:rsidRPr="00E73BB1">
          <w:rPr>
            <w:rStyle w:val="Hyperlink"/>
          </w:rPr>
          <w:t>https://doi.org/10.1037/1040-3590.3.1.32</w:t>
        </w:r>
      </w:hyperlink>
      <w:r w:rsidRPr="00E73BB1">
        <w:t xml:space="preserve"> </w:t>
      </w:r>
    </w:p>
    <w:p w14:paraId="67EB1701" w14:textId="77777777" w:rsidR="009161D3" w:rsidRPr="00E73BB1" w:rsidRDefault="009161D3" w:rsidP="009161D3">
      <w:pPr>
        <w:pStyle w:val="EndNoteBibliography"/>
        <w:ind w:left="720" w:hanging="720"/>
      </w:pPr>
      <w:r w:rsidRPr="00E73BB1">
        <w:t xml:space="preserve">Rumsey, N., &amp; Harcourt, D. (Eds.). (2012). </w:t>
      </w:r>
      <w:r w:rsidRPr="00E73BB1">
        <w:rPr>
          <w:i/>
        </w:rPr>
        <w:t>Oxford handbook of the psychology of appearance</w:t>
      </w:r>
      <w:r w:rsidRPr="00E73BB1">
        <w:t xml:space="preserve">. Oxford University Press. </w:t>
      </w:r>
    </w:p>
    <w:p w14:paraId="40DE694A" w14:textId="77777777" w:rsidR="009161D3" w:rsidRPr="00E73BB1" w:rsidRDefault="009161D3" w:rsidP="009161D3">
      <w:pPr>
        <w:pStyle w:val="EndNoteBibliography"/>
        <w:ind w:left="720" w:hanging="720"/>
      </w:pPr>
      <w:r w:rsidRPr="00E73BB1">
        <w:t xml:space="preserve">Saris, W. E., Satorra, A., &amp; Van der Veld, W. M. (2009). Testing structural equation models or detection of misspecifications? </w:t>
      </w:r>
      <w:r w:rsidRPr="00E73BB1">
        <w:rPr>
          <w:i/>
        </w:rPr>
        <w:t>Structural Equation Modeling, 16</w:t>
      </w:r>
      <w:r w:rsidRPr="00E73BB1">
        <w:t xml:space="preserve">(4), 561-582. </w:t>
      </w:r>
      <w:hyperlink r:id="rId54" w:history="1">
        <w:r w:rsidRPr="00E73BB1">
          <w:rPr>
            <w:rStyle w:val="Hyperlink"/>
          </w:rPr>
          <w:t>https://doi.org/10.1080/10705510903203433</w:t>
        </w:r>
      </w:hyperlink>
      <w:r w:rsidRPr="00E73BB1">
        <w:t xml:space="preserve">  </w:t>
      </w:r>
    </w:p>
    <w:p w14:paraId="2F7A1340" w14:textId="77777777" w:rsidR="009161D3" w:rsidRPr="00E73BB1" w:rsidRDefault="009161D3" w:rsidP="009161D3">
      <w:pPr>
        <w:pStyle w:val="EndNoteBibliography"/>
        <w:ind w:left="720" w:hanging="720"/>
      </w:pPr>
      <w:r w:rsidRPr="00E73BB1">
        <w:t xml:space="preserve">Stice, E. (2002). Risk and maintenance factors for eating pathology: A meta-analytic review. </w:t>
      </w:r>
      <w:r w:rsidRPr="00E73BB1">
        <w:rPr>
          <w:i/>
        </w:rPr>
        <w:t>Psychological Bulletin, 128</w:t>
      </w:r>
      <w:r w:rsidRPr="00E73BB1">
        <w:t xml:space="preserve">(5), 825-848. </w:t>
      </w:r>
      <w:hyperlink r:id="rId55" w:history="1">
        <w:r w:rsidRPr="00E73BB1">
          <w:rPr>
            <w:rStyle w:val="Hyperlink"/>
          </w:rPr>
          <w:t>https://doi.org/10.1037//0033-2909.128.5.825</w:t>
        </w:r>
      </w:hyperlink>
      <w:r w:rsidRPr="00E73BB1">
        <w:t xml:space="preserve">  </w:t>
      </w:r>
    </w:p>
    <w:p w14:paraId="79415025" w14:textId="77777777" w:rsidR="009161D3" w:rsidRPr="00E73BB1" w:rsidRDefault="009161D3" w:rsidP="009161D3">
      <w:pPr>
        <w:pStyle w:val="EndNoteBibliography"/>
        <w:ind w:left="720" w:hanging="720"/>
      </w:pPr>
      <w:r w:rsidRPr="00E73BB1">
        <w:t xml:space="preserve">Stice, E., Rohde, P., Butryn, M., Menke, K. S., &amp; Marti, C. N. (2015). Randomized controlled pilot trial of a novel dissonance-based group treatment for eating disorders. </w:t>
      </w:r>
      <w:r w:rsidRPr="00E73BB1">
        <w:rPr>
          <w:i/>
        </w:rPr>
        <w:t>Behaviour Research and Therapy, 65</w:t>
      </w:r>
      <w:r w:rsidRPr="00E73BB1">
        <w:t xml:space="preserve">, 67-75. </w:t>
      </w:r>
      <w:hyperlink r:id="rId56" w:history="1">
        <w:r w:rsidRPr="00E73BB1">
          <w:rPr>
            <w:rStyle w:val="Hyperlink"/>
          </w:rPr>
          <w:t>https://doi.org/10.1016/j.brat.2014.12.012</w:t>
        </w:r>
      </w:hyperlink>
      <w:r w:rsidRPr="00E73BB1">
        <w:t xml:space="preserve">  </w:t>
      </w:r>
    </w:p>
    <w:p w14:paraId="59AC89BC" w14:textId="77777777" w:rsidR="009161D3" w:rsidRPr="00E73BB1" w:rsidRDefault="009161D3" w:rsidP="009161D3">
      <w:pPr>
        <w:pStyle w:val="EndNoteBibliography"/>
        <w:ind w:left="720" w:hanging="720"/>
      </w:pPr>
      <w:r w:rsidRPr="00E73BB1">
        <w:t xml:space="preserve">Stice, E., Rohde, P., Shaw, H., &amp; Gau, J. (2011). An effectiveness trial of a selected dissonance-based eating disorder prevention program for female high school students: </w:t>
      </w:r>
      <w:r w:rsidRPr="00E73BB1">
        <w:lastRenderedPageBreak/>
        <w:t xml:space="preserve">Long-term effects. </w:t>
      </w:r>
      <w:r w:rsidRPr="00E73BB1">
        <w:rPr>
          <w:i/>
        </w:rPr>
        <w:t>Journal of Consulting and Clinical Psychology, 79</w:t>
      </w:r>
      <w:r w:rsidRPr="00E73BB1">
        <w:t xml:space="preserve">(4), 500-508. </w:t>
      </w:r>
      <w:hyperlink r:id="rId57" w:history="1">
        <w:r w:rsidRPr="00E73BB1">
          <w:rPr>
            <w:rStyle w:val="Hyperlink"/>
          </w:rPr>
          <w:t>https://doi.org/10.1037/a0024351</w:t>
        </w:r>
      </w:hyperlink>
      <w:r w:rsidRPr="00E73BB1">
        <w:t xml:space="preserve">  </w:t>
      </w:r>
    </w:p>
    <w:p w14:paraId="4B2CD986" w14:textId="77777777" w:rsidR="009161D3" w:rsidRPr="00E73BB1" w:rsidRDefault="009161D3" w:rsidP="009161D3">
      <w:pPr>
        <w:pStyle w:val="EndNoteBibliography"/>
        <w:ind w:left="720" w:hanging="720"/>
      </w:pPr>
      <w:r w:rsidRPr="00E73BB1">
        <w:t xml:space="preserve">Stice, E., Shaw, H., Burton, E., &amp; Wade, E. (2006). Dissonance and healthy weight eating disorder prevention programs: A randomized efficacy trial. </w:t>
      </w:r>
      <w:r w:rsidRPr="00E73BB1">
        <w:rPr>
          <w:i/>
        </w:rPr>
        <w:t>Journal of Consulting and Clinical Psychology, 74</w:t>
      </w:r>
      <w:r w:rsidRPr="00E73BB1">
        <w:t xml:space="preserve">(2), 263-275. </w:t>
      </w:r>
      <w:hyperlink r:id="rId58" w:history="1">
        <w:r w:rsidRPr="00E73BB1">
          <w:rPr>
            <w:rStyle w:val="Hyperlink"/>
          </w:rPr>
          <w:t>https://doi.org/10.1037/0022-006x.74.2.263</w:t>
        </w:r>
      </w:hyperlink>
      <w:r w:rsidRPr="00E73BB1">
        <w:t xml:space="preserve">  </w:t>
      </w:r>
    </w:p>
    <w:p w14:paraId="12A1B68F" w14:textId="77777777" w:rsidR="009161D3" w:rsidRPr="00E73BB1" w:rsidRDefault="009161D3" w:rsidP="009161D3">
      <w:pPr>
        <w:pStyle w:val="EndNoteBibliography"/>
        <w:ind w:left="720" w:hanging="720"/>
      </w:pPr>
      <w:r w:rsidRPr="00E73BB1">
        <w:t xml:space="preserve">Swami, V., &amp; Barron, D. (2019). Translation and validation of body image instruments: Challenges, good practice guidelines, and reporting recommendations for test adaptation. </w:t>
      </w:r>
      <w:r w:rsidRPr="00E73BB1">
        <w:rPr>
          <w:i/>
        </w:rPr>
        <w:t>Body Image, 31</w:t>
      </w:r>
      <w:r w:rsidRPr="00E73BB1">
        <w:t xml:space="preserve">, 204-220. </w:t>
      </w:r>
      <w:hyperlink r:id="rId59" w:history="1">
        <w:r w:rsidRPr="00E73BB1">
          <w:rPr>
            <w:rStyle w:val="Hyperlink"/>
          </w:rPr>
          <w:t>https://doi.org/10.1016/j.bodyim.2018.08.014</w:t>
        </w:r>
      </w:hyperlink>
      <w:r w:rsidRPr="00E73BB1">
        <w:t xml:space="preserve">  </w:t>
      </w:r>
    </w:p>
    <w:p w14:paraId="60E54D5C" w14:textId="77777777" w:rsidR="009161D3" w:rsidRPr="00E73BB1" w:rsidRDefault="009161D3" w:rsidP="009161D3">
      <w:pPr>
        <w:pStyle w:val="EndNoteBibliography"/>
        <w:ind w:left="720" w:hanging="720"/>
      </w:pPr>
      <w:r w:rsidRPr="00E73BB1">
        <w:t xml:space="preserve">Tabachnick, B. G., &amp; Fidell, L., S. (2013). </w:t>
      </w:r>
      <w:r w:rsidRPr="00E73BB1">
        <w:rPr>
          <w:i/>
        </w:rPr>
        <w:t xml:space="preserve">Using Multivariate Statistics </w:t>
      </w:r>
      <w:r w:rsidRPr="00E73BB1">
        <w:t xml:space="preserve">(Sixth ed.). Pearson. </w:t>
      </w:r>
    </w:p>
    <w:p w14:paraId="57D5B237" w14:textId="77777777" w:rsidR="009161D3" w:rsidRPr="00E73BB1" w:rsidRDefault="009161D3" w:rsidP="009161D3">
      <w:pPr>
        <w:pStyle w:val="EndNoteBibliography"/>
        <w:ind w:left="720" w:hanging="720"/>
      </w:pPr>
      <w:r w:rsidRPr="00E73BB1">
        <w:t xml:space="preserve">Tennant, R., Hiller, L., Fishwick, R., Platt, S., Joseph, S., Weich, S., Parkinson, J., Secker, J., &amp; Stewart-Brown, S. (2007). The Warwick-Edinburgh Mental Well-being Scale (WEMWBS): Development and UK validation. </w:t>
      </w:r>
      <w:r w:rsidRPr="00E73BB1">
        <w:rPr>
          <w:i/>
        </w:rPr>
        <w:t>Health and Quality of life Outcomes, 5</w:t>
      </w:r>
      <w:r w:rsidRPr="00E73BB1">
        <w:t xml:space="preserve">(1), 63. </w:t>
      </w:r>
      <w:hyperlink r:id="rId60" w:history="1">
        <w:r w:rsidRPr="00E73BB1">
          <w:rPr>
            <w:rStyle w:val="Hyperlink"/>
          </w:rPr>
          <w:t>https://doi.org/10.1186/1477-7525-5-63</w:t>
        </w:r>
      </w:hyperlink>
      <w:r w:rsidRPr="00E73BB1">
        <w:t xml:space="preserve"> </w:t>
      </w:r>
    </w:p>
    <w:p w14:paraId="3C22C21F" w14:textId="77777777" w:rsidR="009161D3" w:rsidRPr="00E73BB1" w:rsidRDefault="009161D3" w:rsidP="009161D3">
      <w:pPr>
        <w:pStyle w:val="EndNoteBibliography"/>
        <w:ind w:left="720" w:hanging="720"/>
      </w:pPr>
      <w:r w:rsidRPr="00E73BB1">
        <w:t xml:space="preserve">Thompson, J. K., van den Berg, P., Roehrig, M., Guarda, A. S., &amp; Heinberg, L. J. (2004). The sociocultural attitudes towards appearance scale-3 (SATAQ-3): Development and validation. </w:t>
      </w:r>
      <w:r w:rsidRPr="00E73BB1">
        <w:rPr>
          <w:i/>
        </w:rPr>
        <w:t>International Journal of Eating Disorders, 35</w:t>
      </w:r>
      <w:r w:rsidRPr="00E73BB1">
        <w:t xml:space="preserve">(3), 293-304. </w:t>
      </w:r>
      <w:hyperlink r:id="rId61" w:history="1">
        <w:r w:rsidRPr="00E73BB1">
          <w:rPr>
            <w:rStyle w:val="Hyperlink"/>
          </w:rPr>
          <w:t>https://doi.org/10.1002/eat.10257</w:t>
        </w:r>
      </w:hyperlink>
      <w:r w:rsidRPr="00E73BB1">
        <w:t xml:space="preserve">  </w:t>
      </w:r>
    </w:p>
    <w:p w14:paraId="1C7DE672" w14:textId="77777777" w:rsidR="009161D3" w:rsidRPr="00E73BB1" w:rsidRDefault="009161D3" w:rsidP="009161D3">
      <w:pPr>
        <w:pStyle w:val="EndNoteBibliography"/>
        <w:ind w:left="720" w:hanging="720"/>
      </w:pPr>
      <w:r w:rsidRPr="00E73BB1">
        <w:t xml:space="preserve">Tylka, T. L., &amp; Wood-Barcalow, N. L. (2015). The Body Appreciation Scale-2: Item refinement and psychometric evaluation. </w:t>
      </w:r>
      <w:r w:rsidRPr="00E73BB1">
        <w:rPr>
          <w:i/>
        </w:rPr>
        <w:t>Body Image, 12</w:t>
      </w:r>
      <w:r w:rsidRPr="00E73BB1">
        <w:t xml:space="preserve">, 53-67. </w:t>
      </w:r>
      <w:hyperlink r:id="rId62" w:history="1">
        <w:r w:rsidRPr="00E73BB1">
          <w:rPr>
            <w:rStyle w:val="Hyperlink"/>
          </w:rPr>
          <w:t>https://doi.org/10.1016/j.bodyim.2014.09.006</w:t>
        </w:r>
      </w:hyperlink>
      <w:r w:rsidRPr="00E73BB1">
        <w:t xml:space="preserve">  </w:t>
      </w:r>
    </w:p>
    <w:p w14:paraId="24FE6C52" w14:textId="77777777" w:rsidR="009161D3" w:rsidRPr="00E73BB1" w:rsidRDefault="009161D3" w:rsidP="009161D3">
      <w:pPr>
        <w:pStyle w:val="EndNoteBibliography"/>
        <w:ind w:left="720" w:hanging="720"/>
      </w:pPr>
      <w:r w:rsidRPr="00E73BB1">
        <w:t xml:space="preserve">Weissman, M. M., &amp; Bothwell, S. (1976). Assessment of social adjustment by patient self-report. </w:t>
      </w:r>
      <w:r w:rsidRPr="00E73BB1">
        <w:rPr>
          <w:i/>
        </w:rPr>
        <w:t>Archives of General Psychiatry, 33</w:t>
      </w:r>
      <w:r w:rsidRPr="00E73BB1">
        <w:t xml:space="preserve">(9), 1111-1115. </w:t>
      </w:r>
      <w:hyperlink r:id="rId63" w:history="1">
        <w:r w:rsidRPr="00E73BB1">
          <w:rPr>
            <w:rStyle w:val="Hyperlink"/>
          </w:rPr>
          <w:t>https://doi.org/10.1001/archpsyc.1976.01770090101010</w:t>
        </w:r>
      </w:hyperlink>
      <w:r w:rsidRPr="00E73BB1">
        <w:t xml:space="preserve">  </w:t>
      </w:r>
    </w:p>
    <w:p w14:paraId="4F8E5583" w14:textId="77777777" w:rsidR="009161D3" w:rsidRPr="00E73BB1" w:rsidRDefault="009161D3" w:rsidP="009161D3">
      <w:pPr>
        <w:pStyle w:val="EndNoteBibliography"/>
        <w:ind w:left="720" w:hanging="720"/>
      </w:pPr>
      <w:r w:rsidRPr="00E73BB1">
        <w:lastRenderedPageBreak/>
        <w:t xml:space="preserve">Yager, Z., Diedrichs, P. C., Ricciardelli, L. A., &amp; Halliwell, E. (2013). What works in secondary schools? A systematic review of classroom-based body image programs. </w:t>
      </w:r>
      <w:r w:rsidRPr="00E73BB1">
        <w:rPr>
          <w:i/>
        </w:rPr>
        <w:t>Body Image, 10</w:t>
      </w:r>
      <w:r w:rsidRPr="00E73BB1">
        <w:t xml:space="preserve">(3), 271-281. </w:t>
      </w:r>
      <w:hyperlink r:id="rId64" w:history="1">
        <w:r w:rsidRPr="00E73BB1">
          <w:rPr>
            <w:rStyle w:val="Hyperlink"/>
          </w:rPr>
          <w:t>https://doi.org/10.1016/j.bodyim.2013.04.001</w:t>
        </w:r>
      </w:hyperlink>
      <w:r w:rsidRPr="00E73BB1">
        <w:t xml:space="preserve">  </w:t>
      </w:r>
    </w:p>
    <w:p w14:paraId="1F87F529" w14:textId="19B6EBBC" w:rsidR="009B71D2" w:rsidRPr="00E73BB1" w:rsidRDefault="009B71D2" w:rsidP="009161D3">
      <w:pPr>
        <w:spacing w:after="0" w:line="480" w:lineRule="auto"/>
        <w:sectPr w:rsidR="009B71D2" w:rsidRPr="00E73BB1" w:rsidSect="00666A49">
          <w:endnotePr>
            <w:numFmt w:val="decimal"/>
          </w:endnotePr>
          <w:pgSz w:w="11906" w:h="16838"/>
          <w:pgMar w:top="1440" w:right="1440" w:bottom="1440" w:left="1440" w:header="708" w:footer="708" w:gutter="0"/>
          <w:cols w:space="708"/>
          <w:docGrid w:linePitch="360"/>
        </w:sectPr>
      </w:pPr>
    </w:p>
    <w:p w14:paraId="37A7C0B1" w14:textId="54D11C59" w:rsidR="00016F99" w:rsidRPr="00E73BB1" w:rsidRDefault="00016F99" w:rsidP="009161D3">
      <w:pPr>
        <w:pStyle w:val="EndNoteBibliographyTitle"/>
        <w:spacing w:line="480" w:lineRule="auto"/>
        <w:jc w:val="left"/>
        <w:rPr>
          <w:b/>
          <w:bCs/>
        </w:rPr>
      </w:pPr>
      <w:r w:rsidRPr="00E73BB1">
        <w:rPr>
          <w:b/>
          <w:bCs/>
        </w:rPr>
        <w:lastRenderedPageBreak/>
        <w:t xml:space="preserve">Table </w:t>
      </w:r>
      <w:r w:rsidR="00A84343" w:rsidRPr="00E73BB1">
        <w:rPr>
          <w:b/>
          <w:bCs/>
        </w:rPr>
        <w:t>1</w:t>
      </w:r>
    </w:p>
    <w:p w14:paraId="496F4106" w14:textId="297574C8" w:rsidR="000D35D4" w:rsidRPr="00E73BB1" w:rsidRDefault="00ED0F56">
      <w:pPr>
        <w:pStyle w:val="EndNoteBibliographyTitle"/>
        <w:jc w:val="left"/>
      </w:pPr>
      <w:r w:rsidRPr="00E73BB1">
        <w:rPr>
          <w:i/>
          <w:iCs/>
        </w:rPr>
        <w:t xml:space="preserve">Factor </w:t>
      </w:r>
      <w:r w:rsidR="00C17464" w:rsidRPr="00E73BB1">
        <w:rPr>
          <w:i/>
          <w:iCs/>
        </w:rPr>
        <w:t>L</w:t>
      </w:r>
      <w:r w:rsidRPr="00E73BB1">
        <w:rPr>
          <w:i/>
          <w:iCs/>
        </w:rPr>
        <w:t>oadings</w:t>
      </w:r>
      <w:r w:rsidR="00AC5AAE" w:rsidRPr="00E73BB1">
        <w:rPr>
          <w:i/>
          <w:iCs/>
        </w:rPr>
        <w:t xml:space="preserve">, </w:t>
      </w:r>
      <w:r w:rsidR="00C17464" w:rsidRPr="00E73BB1">
        <w:rPr>
          <w:i/>
          <w:iCs/>
        </w:rPr>
        <w:t>D</w:t>
      </w:r>
      <w:r w:rsidR="000971D9" w:rsidRPr="00E73BB1">
        <w:rPr>
          <w:i/>
          <w:iCs/>
        </w:rPr>
        <w:t xml:space="preserve">escriptive </w:t>
      </w:r>
      <w:r w:rsidR="00C17464" w:rsidRPr="00E73BB1">
        <w:rPr>
          <w:i/>
          <w:iCs/>
        </w:rPr>
        <w:t>S</w:t>
      </w:r>
      <w:r w:rsidR="000971D9" w:rsidRPr="00E73BB1">
        <w:rPr>
          <w:i/>
          <w:iCs/>
        </w:rPr>
        <w:t>tatistics</w:t>
      </w:r>
      <w:r w:rsidR="00AC5AAE" w:rsidRPr="00E73BB1">
        <w:rPr>
          <w:i/>
          <w:iCs/>
        </w:rPr>
        <w:t xml:space="preserve">, and </w:t>
      </w:r>
      <w:r w:rsidR="00C17464" w:rsidRPr="00E73BB1">
        <w:rPr>
          <w:i/>
          <w:iCs/>
        </w:rPr>
        <w:t>I</w:t>
      </w:r>
      <w:r w:rsidR="00AC5AAE" w:rsidRPr="00E73BB1">
        <w:rPr>
          <w:i/>
          <w:iCs/>
        </w:rPr>
        <w:t xml:space="preserve">nternal </w:t>
      </w:r>
      <w:r w:rsidR="00C17464" w:rsidRPr="00E73BB1">
        <w:rPr>
          <w:i/>
          <w:iCs/>
        </w:rPr>
        <w:t>C</w:t>
      </w:r>
      <w:r w:rsidR="00AC5AAE" w:rsidRPr="00E73BB1">
        <w:rPr>
          <w:i/>
          <w:iCs/>
        </w:rPr>
        <w:t xml:space="preserve">onsistency (Cronbach’s </w:t>
      </w:r>
      <w:r w:rsidR="00C17464" w:rsidRPr="00E73BB1">
        <w:rPr>
          <w:i/>
          <w:iCs/>
        </w:rPr>
        <w:t>A</w:t>
      </w:r>
      <w:r w:rsidR="00AC5AAE" w:rsidRPr="00E73BB1">
        <w:rPr>
          <w:i/>
          <w:iCs/>
        </w:rPr>
        <w:t>lpha)</w:t>
      </w:r>
      <w:r w:rsidR="00640554" w:rsidRPr="00E73BB1">
        <w:rPr>
          <w:i/>
          <w:iCs/>
        </w:rPr>
        <w:t xml:space="preserve"> for the 9-item </w:t>
      </w:r>
      <w:r w:rsidR="00CE3226" w:rsidRPr="00E73BB1">
        <w:rPr>
          <w:i/>
          <w:iCs/>
          <w:szCs w:val="24"/>
        </w:rPr>
        <w:t xml:space="preserve">BILD-Q </w:t>
      </w:r>
      <w:r w:rsidRPr="00E73BB1">
        <w:rPr>
          <w:i/>
          <w:iCs/>
        </w:rPr>
        <w:t>in Studies 1 (</w:t>
      </w:r>
      <w:r w:rsidR="00C17464" w:rsidRPr="00E73BB1">
        <w:rPr>
          <w:i/>
          <w:iCs/>
        </w:rPr>
        <w:t>E</w:t>
      </w:r>
      <w:r w:rsidRPr="00E73BB1">
        <w:rPr>
          <w:i/>
          <w:iCs/>
        </w:rPr>
        <w:t>xploratory)</w:t>
      </w:r>
      <w:r w:rsidR="002E70CD" w:rsidRPr="00E73BB1">
        <w:rPr>
          <w:i/>
          <w:iCs/>
        </w:rPr>
        <w:t>,</w:t>
      </w:r>
      <w:r w:rsidRPr="00E73BB1">
        <w:rPr>
          <w:i/>
          <w:iCs/>
        </w:rPr>
        <w:t xml:space="preserve"> </w:t>
      </w:r>
      <w:r w:rsidR="00BF75E5" w:rsidRPr="00E73BB1">
        <w:rPr>
          <w:i/>
          <w:iCs/>
        </w:rPr>
        <w:t>2</w:t>
      </w:r>
      <w:r w:rsidR="002E70CD" w:rsidRPr="00E73BB1">
        <w:rPr>
          <w:i/>
          <w:iCs/>
        </w:rPr>
        <w:t xml:space="preserve"> and 3</w:t>
      </w:r>
      <w:r w:rsidRPr="00E73BB1">
        <w:rPr>
          <w:i/>
          <w:iCs/>
        </w:rPr>
        <w:t xml:space="preserve"> (</w:t>
      </w:r>
      <w:r w:rsidR="00C17464" w:rsidRPr="00E73BB1">
        <w:rPr>
          <w:i/>
          <w:iCs/>
        </w:rPr>
        <w:t>C</w:t>
      </w:r>
      <w:r w:rsidRPr="00E73BB1">
        <w:rPr>
          <w:i/>
          <w:iCs/>
        </w:rPr>
        <w:t>onfirmatory)</w:t>
      </w:r>
    </w:p>
    <w:tbl>
      <w:tblPr>
        <w:tblStyle w:val="TableGrid"/>
        <w:tblW w:w="1398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157"/>
        <w:gridCol w:w="1158"/>
        <w:gridCol w:w="1158"/>
        <w:gridCol w:w="1157"/>
        <w:gridCol w:w="1158"/>
        <w:gridCol w:w="1158"/>
        <w:gridCol w:w="1158"/>
        <w:gridCol w:w="1158"/>
        <w:gridCol w:w="1158"/>
        <w:gridCol w:w="1158"/>
      </w:tblGrid>
      <w:tr w:rsidR="00576F6D" w:rsidRPr="00E73BB1" w14:paraId="6F08312E" w14:textId="77777777" w:rsidTr="003A3F1F">
        <w:tc>
          <w:tcPr>
            <w:tcW w:w="2410" w:type="dxa"/>
            <w:tcBorders>
              <w:top w:val="single" w:sz="4" w:space="0" w:color="auto"/>
              <w:bottom w:val="single" w:sz="4" w:space="0" w:color="auto"/>
            </w:tcBorders>
          </w:tcPr>
          <w:p w14:paraId="57D43FF4" w14:textId="29BB5F59" w:rsidR="00576F6D" w:rsidRPr="00E73BB1" w:rsidRDefault="00576F6D" w:rsidP="003A3F1F">
            <w:pPr>
              <w:pStyle w:val="EndNoteBibliographyTitle"/>
              <w:jc w:val="left"/>
              <w:rPr>
                <w:b/>
                <w:bCs/>
              </w:rPr>
            </w:pPr>
          </w:p>
        </w:tc>
        <w:tc>
          <w:tcPr>
            <w:tcW w:w="3473" w:type="dxa"/>
            <w:gridSpan w:val="3"/>
            <w:tcBorders>
              <w:top w:val="single" w:sz="4" w:space="0" w:color="auto"/>
              <w:bottom w:val="single" w:sz="4" w:space="0" w:color="auto"/>
            </w:tcBorders>
          </w:tcPr>
          <w:p w14:paraId="65F6350C" w14:textId="0E27D6EC" w:rsidR="00576F6D" w:rsidRPr="00E73BB1" w:rsidRDefault="00576F6D" w:rsidP="00F46C0E">
            <w:pPr>
              <w:pStyle w:val="EndNoteBibliographyTitle"/>
            </w:pPr>
            <w:r w:rsidRPr="00E73BB1">
              <w:rPr>
                <w:b/>
                <w:bCs/>
              </w:rPr>
              <w:t>Study 1</w:t>
            </w:r>
          </w:p>
        </w:tc>
        <w:tc>
          <w:tcPr>
            <w:tcW w:w="3473" w:type="dxa"/>
            <w:gridSpan w:val="3"/>
            <w:tcBorders>
              <w:top w:val="single" w:sz="4" w:space="0" w:color="auto"/>
              <w:bottom w:val="single" w:sz="4" w:space="0" w:color="auto"/>
            </w:tcBorders>
          </w:tcPr>
          <w:p w14:paraId="75D53067" w14:textId="3B672D2B" w:rsidR="00576F6D" w:rsidRPr="00E73BB1" w:rsidRDefault="00576F6D" w:rsidP="00F46C0E">
            <w:pPr>
              <w:pStyle w:val="EndNoteBibliographyTitle"/>
              <w:rPr>
                <w:b/>
                <w:bCs/>
              </w:rPr>
            </w:pPr>
            <w:r w:rsidRPr="00E73BB1">
              <w:rPr>
                <w:b/>
                <w:bCs/>
              </w:rPr>
              <w:t>Study 2</w:t>
            </w:r>
          </w:p>
        </w:tc>
        <w:tc>
          <w:tcPr>
            <w:tcW w:w="4632" w:type="dxa"/>
            <w:gridSpan w:val="4"/>
            <w:tcBorders>
              <w:top w:val="single" w:sz="4" w:space="0" w:color="auto"/>
              <w:bottom w:val="single" w:sz="4" w:space="0" w:color="auto"/>
            </w:tcBorders>
          </w:tcPr>
          <w:p w14:paraId="12DACD71" w14:textId="76032282" w:rsidR="00576F6D" w:rsidRPr="00E73BB1" w:rsidRDefault="00576F6D" w:rsidP="00576F6D">
            <w:pPr>
              <w:pStyle w:val="EndNoteBibliographyTitle"/>
              <w:rPr>
                <w:b/>
                <w:bCs/>
              </w:rPr>
            </w:pPr>
            <w:r w:rsidRPr="00E73BB1">
              <w:rPr>
                <w:b/>
                <w:bCs/>
              </w:rPr>
              <w:t>Study 3</w:t>
            </w:r>
          </w:p>
        </w:tc>
      </w:tr>
      <w:tr w:rsidR="00B56865" w:rsidRPr="00E73BB1" w14:paraId="40BF8331" w14:textId="571D174F" w:rsidTr="00B56865">
        <w:tc>
          <w:tcPr>
            <w:tcW w:w="2410" w:type="dxa"/>
            <w:tcBorders>
              <w:top w:val="single" w:sz="4" w:space="0" w:color="auto"/>
              <w:bottom w:val="single" w:sz="4" w:space="0" w:color="auto"/>
            </w:tcBorders>
          </w:tcPr>
          <w:p w14:paraId="62FF6510" w14:textId="1A0DE14C" w:rsidR="00B56865" w:rsidRPr="00E73BB1" w:rsidRDefault="00CE3226" w:rsidP="00B56865">
            <w:pPr>
              <w:pStyle w:val="EndNoteBibliographyTitle"/>
              <w:jc w:val="left"/>
            </w:pPr>
            <w:r w:rsidRPr="00E73BB1">
              <w:rPr>
                <w:szCs w:val="24"/>
              </w:rPr>
              <w:t xml:space="preserve">BILD-Q </w:t>
            </w:r>
            <w:r w:rsidR="00B56865" w:rsidRPr="00E73BB1">
              <w:t>item</w:t>
            </w:r>
          </w:p>
        </w:tc>
        <w:tc>
          <w:tcPr>
            <w:tcW w:w="1157" w:type="dxa"/>
            <w:tcBorders>
              <w:top w:val="single" w:sz="4" w:space="0" w:color="auto"/>
              <w:bottom w:val="single" w:sz="4" w:space="0" w:color="auto"/>
            </w:tcBorders>
          </w:tcPr>
          <w:p w14:paraId="7AD50301" w14:textId="16F6C7AA" w:rsidR="00B56865" w:rsidRPr="00E73BB1" w:rsidRDefault="00B56865" w:rsidP="00B56865">
            <w:pPr>
              <w:pStyle w:val="EndNoteBibliographyTitle"/>
              <w:jc w:val="left"/>
            </w:pPr>
            <w:r w:rsidRPr="00E73BB1">
              <w:t>Overall (</w:t>
            </w:r>
            <w:r w:rsidRPr="00E73BB1">
              <w:rPr>
                <w:i/>
              </w:rPr>
              <w:t>N</w:t>
            </w:r>
            <w:r w:rsidRPr="00E73BB1">
              <w:t>=1618)</w:t>
            </w:r>
          </w:p>
        </w:tc>
        <w:tc>
          <w:tcPr>
            <w:tcW w:w="1158" w:type="dxa"/>
            <w:tcBorders>
              <w:top w:val="single" w:sz="4" w:space="0" w:color="auto"/>
              <w:bottom w:val="single" w:sz="4" w:space="0" w:color="auto"/>
            </w:tcBorders>
          </w:tcPr>
          <w:p w14:paraId="52092E1D" w14:textId="77777777" w:rsidR="00B56865" w:rsidRPr="00E73BB1" w:rsidRDefault="00B56865" w:rsidP="00B56865">
            <w:pPr>
              <w:pStyle w:val="EndNoteBibliographyTitle"/>
              <w:jc w:val="left"/>
            </w:pPr>
            <w:r w:rsidRPr="00E73BB1">
              <w:t>Boys</w:t>
            </w:r>
          </w:p>
          <w:p w14:paraId="20B2873B" w14:textId="2188D36A" w:rsidR="00B56865" w:rsidRPr="00E73BB1" w:rsidRDefault="00B56865" w:rsidP="00B56865">
            <w:pPr>
              <w:pStyle w:val="EndNoteBibliographyTitle"/>
              <w:jc w:val="left"/>
            </w:pPr>
            <w:r w:rsidRPr="00E73BB1">
              <w:t>(</w:t>
            </w:r>
            <w:r w:rsidR="00631AD5" w:rsidRPr="00E73BB1">
              <w:rPr>
                <w:i/>
              </w:rPr>
              <w:t>n</w:t>
            </w:r>
            <w:r w:rsidRPr="00E73BB1">
              <w:t>=788)</w:t>
            </w:r>
          </w:p>
        </w:tc>
        <w:tc>
          <w:tcPr>
            <w:tcW w:w="1158" w:type="dxa"/>
            <w:tcBorders>
              <w:top w:val="single" w:sz="4" w:space="0" w:color="auto"/>
              <w:bottom w:val="single" w:sz="4" w:space="0" w:color="auto"/>
            </w:tcBorders>
          </w:tcPr>
          <w:p w14:paraId="1ED5164E" w14:textId="2B0A365B" w:rsidR="00B56865" w:rsidRPr="00E73BB1" w:rsidRDefault="00B56865" w:rsidP="00B56865">
            <w:pPr>
              <w:pStyle w:val="EndNoteBibliographyTitle"/>
              <w:jc w:val="left"/>
            </w:pPr>
            <w:r w:rsidRPr="00E73BB1">
              <w:t>Girls</w:t>
            </w:r>
          </w:p>
          <w:p w14:paraId="6E090868" w14:textId="192342D5" w:rsidR="00B56865" w:rsidRPr="00E73BB1" w:rsidRDefault="00B56865" w:rsidP="00B56865">
            <w:pPr>
              <w:pStyle w:val="EndNoteBibliographyTitle"/>
              <w:jc w:val="left"/>
            </w:pPr>
            <w:r w:rsidRPr="00E73BB1">
              <w:t>(</w:t>
            </w:r>
            <w:r w:rsidR="00631AD5" w:rsidRPr="00E73BB1">
              <w:rPr>
                <w:i/>
              </w:rPr>
              <w:t>n</w:t>
            </w:r>
            <w:r w:rsidRPr="00E73BB1">
              <w:t>=830)</w:t>
            </w:r>
          </w:p>
        </w:tc>
        <w:tc>
          <w:tcPr>
            <w:tcW w:w="1157" w:type="dxa"/>
            <w:tcBorders>
              <w:top w:val="single" w:sz="4" w:space="0" w:color="auto"/>
              <w:bottom w:val="single" w:sz="4" w:space="0" w:color="auto"/>
            </w:tcBorders>
          </w:tcPr>
          <w:p w14:paraId="1A68D5B7" w14:textId="3CB3F3DE" w:rsidR="00B56865" w:rsidRPr="00E73BB1" w:rsidRDefault="00B56865" w:rsidP="00B56865">
            <w:pPr>
              <w:pStyle w:val="EndNoteBibliographyTitle"/>
              <w:jc w:val="left"/>
            </w:pPr>
            <w:r w:rsidRPr="00E73BB1">
              <w:t>Overall (</w:t>
            </w:r>
            <w:r w:rsidRPr="00E73BB1">
              <w:rPr>
                <w:i/>
              </w:rPr>
              <w:t>N</w:t>
            </w:r>
            <w:r w:rsidRPr="00E73BB1">
              <w:t>=1341)</w:t>
            </w:r>
          </w:p>
        </w:tc>
        <w:tc>
          <w:tcPr>
            <w:tcW w:w="1158" w:type="dxa"/>
            <w:tcBorders>
              <w:top w:val="single" w:sz="4" w:space="0" w:color="auto"/>
              <w:bottom w:val="single" w:sz="4" w:space="0" w:color="auto"/>
            </w:tcBorders>
          </w:tcPr>
          <w:p w14:paraId="42DB7EEF" w14:textId="78C79721" w:rsidR="00B56865" w:rsidRPr="00E73BB1" w:rsidRDefault="00B56865" w:rsidP="00B56865">
            <w:pPr>
              <w:pStyle w:val="EndNoteBibliographyTitle"/>
              <w:jc w:val="left"/>
            </w:pPr>
            <w:r w:rsidRPr="00E73BB1">
              <w:t>Boys (</w:t>
            </w:r>
            <w:r w:rsidR="00631AD5" w:rsidRPr="00E73BB1">
              <w:rPr>
                <w:i/>
              </w:rPr>
              <w:t>n</w:t>
            </w:r>
            <w:r w:rsidRPr="00E73BB1">
              <w:t>=725)</w:t>
            </w:r>
          </w:p>
        </w:tc>
        <w:tc>
          <w:tcPr>
            <w:tcW w:w="1158" w:type="dxa"/>
            <w:tcBorders>
              <w:top w:val="single" w:sz="4" w:space="0" w:color="auto"/>
              <w:bottom w:val="single" w:sz="4" w:space="0" w:color="auto"/>
            </w:tcBorders>
          </w:tcPr>
          <w:p w14:paraId="79A16C2A" w14:textId="1BFDBE35" w:rsidR="00B56865" w:rsidRPr="00E73BB1" w:rsidRDefault="00B56865" w:rsidP="00B56865">
            <w:pPr>
              <w:pStyle w:val="EndNoteBibliographyTitle"/>
              <w:jc w:val="left"/>
            </w:pPr>
            <w:r w:rsidRPr="00E73BB1">
              <w:t>Girls (</w:t>
            </w:r>
            <w:r w:rsidR="00631AD5" w:rsidRPr="00E73BB1">
              <w:rPr>
                <w:i/>
              </w:rPr>
              <w:t>n</w:t>
            </w:r>
            <w:r w:rsidRPr="00E73BB1">
              <w:t>=616)</w:t>
            </w:r>
          </w:p>
        </w:tc>
        <w:tc>
          <w:tcPr>
            <w:tcW w:w="1158" w:type="dxa"/>
            <w:tcBorders>
              <w:top w:val="single" w:sz="4" w:space="0" w:color="auto"/>
              <w:bottom w:val="single" w:sz="4" w:space="0" w:color="auto"/>
            </w:tcBorders>
          </w:tcPr>
          <w:p w14:paraId="12B9DD0B" w14:textId="496552FF" w:rsidR="00B56865" w:rsidRPr="00E73BB1" w:rsidRDefault="00B56865" w:rsidP="00B56865">
            <w:pPr>
              <w:pStyle w:val="EndNoteBibliographyTitle"/>
              <w:jc w:val="left"/>
            </w:pPr>
            <w:r w:rsidRPr="00E73BB1">
              <w:t>Overall (</w:t>
            </w:r>
            <w:r w:rsidRPr="00E73BB1">
              <w:rPr>
                <w:i/>
              </w:rPr>
              <w:t>N</w:t>
            </w:r>
            <w:r w:rsidRPr="00E73BB1">
              <w:t>=2034)</w:t>
            </w:r>
          </w:p>
        </w:tc>
        <w:tc>
          <w:tcPr>
            <w:tcW w:w="1158" w:type="dxa"/>
            <w:tcBorders>
              <w:top w:val="single" w:sz="4" w:space="0" w:color="auto"/>
              <w:bottom w:val="single" w:sz="4" w:space="0" w:color="auto"/>
            </w:tcBorders>
          </w:tcPr>
          <w:p w14:paraId="7F61B760" w14:textId="7076BC69" w:rsidR="00B56865" w:rsidRPr="00E73BB1" w:rsidRDefault="00B56865" w:rsidP="00B56865">
            <w:pPr>
              <w:pStyle w:val="EndNoteBibliographyTitle"/>
              <w:jc w:val="left"/>
            </w:pPr>
            <w:r w:rsidRPr="00E73BB1">
              <w:t>Boys (</w:t>
            </w:r>
            <w:r w:rsidR="00631AD5" w:rsidRPr="00E73BB1">
              <w:rPr>
                <w:i/>
              </w:rPr>
              <w:t>n</w:t>
            </w:r>
            <w:r w:rsidRPr="00E73BB1">
              <w:t>=1024)</w:t>
            </w:r>
          </w:p>
        </w:tc>
        <w:tc>
          <w:tcPr>
            <w:tcW w:w="1158" w:type="dxa"/>
            <w:tcBorders>
              <w:top w:val="single" w:sz="4" w:space="0" w:color="auto"/>
              <w:bottom w:val="single" w:sz="4" w:space="0" w:color="auto"/>
            </w:tcBorders>
          </w:tcPr>
          <w:p w14:paraId="62C4C98C" w14:textId="1626FB16" w:rsidR="00B56865" w:rsidRPr="00E73BB1" w:rsidRDefault="00B56865" w:rsidP="00B56865">
            <w:pPr>
              <w:pStyle w:val="EndNoteBibliographyTitle"/>
              <w:jc w:val="left"/>
            </w:pPr>
            <w:r w:rsidRPr="00E73BB1">
              <w:t>Girls (</w:t>
            </w:r>
            <w:r w:rsidR="00631AD5" w:rsidRPr="00E73BB1">
              <w:rPr>
                <w:i/>
              </w:rPr>
              <w:t>n</w:t>
            </w:r>
            <w:r w:rsidRPr="00E73BB1">
              <w:t>=990)</w:t>
            </w:r>
          </w:p>
        </w:tc>
        <w:tc>
          <w:tcPr>
            <w:tcW w:w="1158" w:type="dxa"/>
            <w:tcBorders>
              <w:top w:val="single" w:sz="4" w:space="0" w:color="auto"/>
              <w:bottom w:val="single" w:sz="4" w:space="0" w:color="auto"/>
            </w:tcBorders>
          </w:tcPr>
          <w:p w14:paraId="121409BE" w14:textId="659A4D61" w:rsidR="00B56865" w:rsidRPr="00E73BB1" w:rsidRDefault="00631AD5" w:rsidP="00B56865">
            <w:pPr>
              <w:pStyle w:val="EndNoteBibliographyTitle"/>
              <w:jc w:val="left"/>
            </w:pPr>
            <w:r w:rsidRPr="00E73BB1">
              <w:t>Non-binary</w:t>
            </w:r>
            <w:r w:rsidRPr="00E73BB1">
              <w:rPr>
                <w:vertAlign w:val="superscript"/>
              </w:rPr>
              <w:t>a</w:t>
            </w:r>
            <w:r w:rsidRPr="00E73BB1" w:rsidDel="00631AD5">
              <w:t xml:space="preserve"> </w:t>
            </w:r>
            <w:r w:rsidR="00B56865" w:rsidRPr="00E73BB1">
              <w:t xml:space="preserve"> (</w:t>
            </w:r>
            <w:r w:rsidRPr="00E73BB1">
              <w:rPr>
                <w:i/>
              </w:rPr>
              <w:t>n</w:t>
            </w:r>
            <w:r w:rsidR="00B56865" w:rsidRPr="00E73BB1">
              <w:t>=20)</w:t>
            </w:r>
          </w:p>
        </w:tc>
      </w:tr>
      <w:tr w:rsidR="00B56865" w:rsidRPr="00E73BB1" w14:paraId="7C1ECF11" w14:textId="25C681E9" w:rsidTr="00B56865">
        <w:tc>
          <w:tcPr>
            <w:tcW w:w="2410" w:type="dxa"/>
            <w:tcBorders>
              <w:top w:val="single" w:sz="4" w:space="0" w:color="auto"/>
            </w:tcBorders>
          </w:tcPr>
          <w:p w14:paraId="0E18B310" w14:textId="2841EAA3" w:rsidR="00B56865" w:rsidRPr="00E73BB1" w:rsidRDefault="00B56865" w:rsidP="00B56865">
            <w:pPr>
              <w:pStyle w:val="EndNoteBibliographyTitle"/>
              <w:numPr>
                <w:ilvl w:val="0"/>
                <w:numId w:val="6"/>
              </w:numPr>
              <w:jc w:val="left"/>
            </w:pPr>
            <w:r w:rsidRPr="00E73BB1">
              <w:t>Go to the beach, pool, sauna</w:t>
            </w:r>
          </w:p>
        </w:tc>
        <w:tc>
          <w:tcPr>
            <w:tcW w:w="1157" w:type="dxa"/>
            <w:tcBorders>
              <w:top w:val="single" w:sz="4" w:space="0" w:color="auto"/>
            </w:tcBorders>
          </w:tcPr>
          <w:p w14:paraId="649A327E" w14:textId="35651F5D" w:rsidR="00B56865" w:rsidRPr="00E73BB1" w:rsidRDefault="00B56865" w:rsidP="00B56865">
            <w:pPr>
              <w:pStyle w:val="EndNoteBibliographyTitle"/>
              <w:tabs>
                <w:tab w:val="decimal" w:pos="240"/>
              </w:tabs>
              <w:jc w:val="left"/>
            </w:pPr>
            <w:r w:rsidRPr="00E73BB1">
              <w:t>.6</w:t>
            </w:r>
            <w:r w:rsidR="00CF33BD" w:rsidRPr="00E73BB1">
              <w:t>1</w:t>
            </w:r>
          </w:p>
        </w:tc>
        <w:tc>
          <w:tcPr>
            <w:tcW w:w="1158" w:type="dxa"/>
            <w:tcBorders>
              <w:top w:val="single" w:sz="4" w:space="0" w:color="auto"/>
            </w:tcBorders>
          </w:tcPr>
          <w:p w14:paraId="5C9720CA" w14:textId="6B095013" w:rsidR="00B56865" w:rsidRPr="00E73BB1" w:rsidRDefault="00B56865" w:rsidP="00B56865">
            <w:pPr>
              <w:pStyle w:val="EndNoteBibliographyTitle"/>
              <w:tabs>
                <w:tab w:val="decimal" w:pos="240"/>
              </w:tabs>
              <w:jc w:val="left"/>
            </w:pPr>
            <w:r w:rsidRPr="00E73BB1">
              <w:t>.69</w:t>
            </w:r>
          </w:p>
        </w:tc>
        <w:tc>
          <w:tcPr>
            <w:tcW w:w="1158" w:type="dxa"/>
            <w:tcBorders>
              <w:top w:val="single" w:sz="4" w:space="0" w:color="auto"/>
            </w:tcBorders>
          </w:tcPr>
          <w:p w14:paraId="6CD7CE51" w14:textId="17412A48" w:rsidR="00B56865" w:rsidRPr="00E73BB1" w:rsidRDefault="00B56865" w:rsidP="00B56865">
            <w:pPr>
              <w:pStyle w:val="EndNoteBibliographyTitle"/>
              <w:tabs>
                <w:tab w:val="decimal" w:pos="240"/>
              </w:tabs>
              <w:jc w:val="left"/>
            </w:pPr>
            <w:r w:rsidRPr="00E73BB1">
              <w:t>.5</w:t>
            </w:r>
            <w:r w:rsidR="00A8719E" w:rsidRPr="00E73BB1">
              <w:t>4</w:t>
            </w:r>
          </w:p>
        </w:tc>
        <w:tc>
          <w:tcPr>
            <w:tcW w:w="1157" w:type="dxa"/>
            <w:tcBorders>
              <w:top w:val="single" w:sz="4" w:space="0" w:color="auto"/>
            </w:tcBorders>
          </w:tcPr>
          <w:p w14:paraId="4C4674BF" w14:textId="2F331A93" w:rsidR="00B56865" w:rsidRPr="00E73BB1" w:rsidRDefault="00B56865" w:rsidP="00B56865">
            <w:pPr>
              <w:pStyle w:val="EndNoteBibliographyTitle"/>
              <w:tabs>
                <w:tab w:val="decimal" w:pos="240"/>
              </w:tabs>
              <w:jc w:val="left"/>
            </w:pPr>
            <w:r w:rsidRPr="00E73BB1">
              <w:t>.69</w:t>
            </w:r>
          </w:p>
        </w:tc>
        <w:tc>
          <w:tcPr>
            <w:tcW w:w="1158" w:type="dxa"/>
            <w:tcBorders>
              <w:top w:val="single" w:sz="4" w:space="0" w:color="auto"/>
            </w:tcBorders>
          </w:tcPr>
          <w:p w14:paraId="45F9A192" w14:textId="2DC81A87" w:rsidR="00B56865" w:rsidRPr="00E73BB1" w:rsidRDefault="00B56865" w:rsidP="00B56865">
            <w:pPr>
              <w:pStyle w:val="EndNoteBibliographyTitle"/>
              <w:tabs>
                <w:tab w:val="decimal" w:pos="240"/>
              </w:tabs>
              <w:jc w:val="left"/>
            </w:pPr>
            <w:r w:rsidRPr="00E73BB1">
              <w:t>.69</w:t>
            </w:r>
          </w:p>
        </w:tc>
        <w:tc>
          <w:tcPr>
            <w:tcW w:w="1158" w:type="dxa"/>
            <w:tcBorders>
              <w:top w:val="single" w:sz="4" w:space="0" w:color="auto"/>
            </w:tcBorders>
          </w:tcPr>
          <w:p w14:paraId="14B8443F" w14:textId="7390EF03" w:rsidR="00B56865" w:rsidRPr="00E73BB1" w:rsidRDefault="00B56865" w:rsidP="00B56865">
            <w:pPr>
              <w:pStyle w:val="EndNoteBibliographyTitle"/>
              <w:tabs>
                <w:tab w:val="decimal" w:pos="240"/>
              </w:tabs>
              <w:jc w:val="left"/>
            </w:pPr>
            <w:r w:rsidRPr="00E73BB1">
              <w:t>.68</w:t>
            </w:r>
          </w:p>
        </w:tc>
        <w:tc>
          <w:tcPr>
            <w:tcW w:w="1158" w:type="dxa"/>
            <w:tcBorders>
              <w:top w:val="single" w:sz="4" w:space="0" w:color="auto"/>
            </w:tcBorders>
          </w:tcPr>
          <w:p w14:paraId="47ED3868" w14:textId="18BFF731" w:rsidR="00B56865" w:rsidRPr="00E73BB1" w:rsidRDefault="00B56865" w:rsidP="00B56865">
            <w:pPr>
              <w:pStyle w:val="EndNoteBibliographyTitle"/>
              <w:tabs>
                <w:tab w:val="decimal" w:pos="240"/>
              </w:tabs>
              <w:jc w:val="left"/>
            </w:pPr>
            <w:r w:rsidRPr="00E73BB1">
              <w:t>.61</w:t>
            </w:r>
          </w:p>
        </w:tc>
        <w:tc>
          <w:tcPr>
            <w:tcW w:w="1158" w:type="dxa"/>
            <w:tcBorders>
              <w:top w:val="single" w:sz="4" w:space="0" w:color="auto"/>
            </w:tcBorders>
          </w:tcPr>
          <w:p w14:paraId="7299C452" w14:textId="3651BEAC" w:rsidR="00B56865" w:rsidRPr="00E73BB1" w:rsidRDefault="00B56865" w:rsidP="00B56865">
            <w:pPr>
              <w:pStyle w:val="EndNoteBibliographyTitle"/>
              <w:tabs>
                <w:tab w:val="decimal" w:pos="240"/>
              </w:tabs>
              <w:jc w:val="left"/>
            </w:pPr>
            <w:r w:rsidRPr="00E73BB1">
              <w:t>.59</w:t>
            </w:r>
          </w:p>
        </w:tc>
        <w:tc>
          <w:tcPr>
            <w:tcW w:w="1158" w:type="dxa"/>
            <w:tcBorders>
              <w:top w:val="single" w:sz="4" w:space="0" w:color="auto"/>
            </w:tcBorders>
          </w:tcPr>
          <w:p w14:paraId="100D7621" w14:textId="1D2B4EDB" w:rsidR="00B56865" w:rsidRPr="00E73BB1" w:rsidRDefault="00B56865" w:rsidP="00B56865">
            <w:pPr>
              <w:pStyle w:val="EndNoteBibliographyTitle"/>
              <w:tabs>
                <w:tab w:val="decimal" w:pos="240"/>
              </w:tabs>
              <w:jc w:val="left"/>
            </w:pPr>
            <w:r w:rsidRPr="00E73BB1">
              <w:t>.57</w:t>
            </w:r>
          </w:p>
        </w:tc>
        <w:tc>
          <w:tcPr>
            <w:tcW w:w="1158" w:type="dxa"/>
            <w:tcBorders>
              <w:top w:val="single" w:sz="4" w:space="0" w:color="auto"/>
            </w:tcBorders>
          </w:tcPr>
          <w:p w14:paraId="4B7290D9" w14:textId="4CB403FF" w:rsidR="00B56865" w:rsidRPr="00E73BB1" w:rsidRDefault="00E761E1" w:rsidP="00B56865">
            <w:pPr>
              <w:pStyle w:val="EndNoteBibliographyTitle"/>
              <w:tabs>
                <w:tab w:val="decimal" w:pos="240"/>
              </w:tabs>
              <w:jc w:val="left"/>
            </w:pPr>
            <w:r w:rsidRPr="00E73BB1">
              <w:t>-</w:t>
            </w:r>
          </w:p>
        </w:tc>
      </w:tr>
      <w:tr w:rsidR="00B56865" w:rsidRPr="00E73BB1" w14:paraId="1140D82A" w14:textId="052BC06F" w:rsidTr="00B56865">
        <w:tc>
          <w:tcPr>
            <w:tcW w:w="2410" w:type="dxa"/>
          </w:tcPr>
          <w:p w14:paraId="1957D9E7" w14:textId="3C7E85DC" w:rsidR="00B56865" w:rsidRPr="00E73BB1" w:rsidRDefault="00B56865" w:rsidP="00B56865">
            <w:pPr>
              <w:pStyle w:val="EndNoteBibliographyTitle"/>
              <w:numPr>
                <w:ilvl w:val="0"/>
                <w:numId w:val="6"/>
              </w:numPr>
              <w:jc w:val="left"/>
            </w:pPr>
            <w:r w:rsidRPr="00E73BB1">
              <w:t>Go to a social event, party, club</w:t>
            </w:r>
          </w:p>
        </w:tc>
        <w:tc>
          <w:tcPr>
            <w:tcW w:w="1157" w:type="dxa"/>
          </w:tcPr>
          <w:p w14:paraId="5A4F1F20" w14:textId="767D3E1B" w:rsidR="00B56865" w:rsidRPr="00E73BB1" w:rsidRDefault="00B56865" w:rsidP="00B56865">
            <w:pPr>
              <w:pStyle w:val="EndNoteBibliographyTitle"/>
              <w:tabs>
                <w:tab w:val="decimal" w:pos="240"/>
              </w:tabs>
              <w:jc w:val="left"/>
            </w:pPr>
            <w:r w:rsidRPr="00E73BB1">
              <w:t>.73</w:t>
            </w:r>
          </w:p>
        </w:tc>
        <w:tc>
          <w:tcPr>
            <w:tcW w:w="1158" w:type="dxa"/>
          </w:tcPr>
          <w:p w14:paraId="09C38FCA" w14:textId="353D64B6" w:rsidR="00B56865" w:rsidRPr="00E73BB1" w:rsidRDefault="00B56865" w:rsidP="00B56865">
            <w:pPr>
              <w:pStyle w:val="EndNoteBibliographyTitle"/>
              <w:tabs>
                <w:tab w:val="decimal" w:pos="240"/>
              </w:tabs>
              <w:jc w:val="left"/>
            </w:pPr>
            <w:r w:rsidRPr="00E73BB1">
              <w:t>.7</w:t>
            </w:r>
            <w:r w:rsidR="00CF33BD" w:rsidRPr="00E73BB1">
              <w:t>7</w:t>
            </w:r>
          </w:p>
        </w:tc>
        <w:tc>
          <w:tcPr>
            <w:tcW w:w="1158" w:type="dxa"/>
          </w:tcPr>
          <w:p w14:paraId="110C7FE8" w14:textId="22DAA1DD" w:rsidR="00B56865" w:rsidRPr="00E73BB1" w:rsidRDefault="00B56865" w:rsidP="00B56865">
            <w:pPr>
              <w:pStyle w:val="EndNoteBibliographyTitle"/>
              <w:tabs>
                <w:tab w:val="decimal" w:pos="240"/>
              </w:tabs>
              <w:jc w:val="left"/>
            </w:pPr>
            <w:r w:rsidRPr="00E73BB1">
              <w:t>.6</w:t>
            </w:r>
            <w:r w:rsidR="00A8719E" w:rsidRPr="00E73BB1">
              <w:t>9</w:t>
            </w:r>
          </w:p>
        </w:tc>
        <w:tc>
          <w:tcPr>
            <w:tcW w:w="1157" w:type="dxa"/>
          </w:tcPr>
          <w:p w14:paraId="1BCE816D" w14:textId="51A57907" w:rsidR="00B56865" w:rsidRPr="00E73BB1" w:rsidRDefault="00B56865" w:rsidP="00B56865">
            <w:pPr>
              <w:pStyle w:val="EndNoteBibliographyTitle"/>
              <w:tabs>
                <w:tab w:val="decimal" w:pos="240"/>
              </w:tabs>
              <w:jc w:val="left"/>
            </w:pPr>
            <w:r w:rsidRPr="00E73BB1">
              <w:t>.71</w:t>
            </w:r>
          </w:p>
        </w:tc>
        <w:tc>
          <w:tcPr>
            <w:tcW w:w="1158" w:type="dxa"/>
          </w:tcPr>
          <w:p w14:paraId="5C47F595" w14:textId="636EAC1D" w:rsidR="00B56865" w:rsidRPr="00E73BB1" w:rsidRDefault="00B56865" w:rsidP="00B56865">
            <w:pPr>
              <w:pStyle w:val="EndNoteBibliographyTitle"/>
              <w:tabs>
                <w:tab w:val="decimal" w:pos="240"/>
              </w:tabs>
              <w:jc w:val="left"/>
            </w:pPr>
            <w:r w:rsidRPr="00E73BB1">
              <w:t>.63</w:t>
            </w:r>
          </w:p>
        </w:tc>
        <w:tc>
          <w:tcPr>
            <w:tcW w:w="1158" w:type="dxa"/>
          </w:tcPr>
          <w:p w14:paraId="4FA53DCE" w14:textId="650F4542" w:rsidR="00B56865" w:rsidRPr="00E73BB1" w:rsidRDefault="00B56865" w:rsidP="00B56865">
            <w:pPr>
              <w:pStyle w:val="EndNoteBibliographyTitle"/>
              <w:tabs>
                <w:tab w:val="decimal" w:pos="240"/>
              </w:tabs>
              <w:jc w:val="left"/>
            </w:pPr>
            <w:r w:rsidRPr="00E73BB1">
              <w:t>.78</w:t>
            </w:r>
          </w:p>
        </w:tc>
        <w:tc>
          <w:tcPr>
            <w:tcW w:w="1158" w:type="dxa"/>
          </w:tcPr>
          <w:p w14:paraId="22175087" w14:textId="553B0BCF" w:rsidR="00B56865" w:rsidRPr="00E73BB1" w:rsidRDefault="00B56865" w:rsidP="00B56865">
            <w:pPr>
              <w:pStyle w:val="EndNoteBibliographyTitle"/>
              <w:tabs>
                <w:tab w:val="decimal" w:pos="240"/>
              </w:tabs>
              <w:jc w:val="left"/>
            </w:pPr>
            <w:r w:rsidRPr="00E73BB1">
              <w:t>.72</w:t>
            </w:r>
          </w:p>
        </w:tc>
        <w:tc>
          <w:tcPr>
            <w:tcW w:w="1158" w:type="dxa"/>
          </w:tcPr>
          <w:p w14:paraId="73791033" w14:textId="0D5AE236" w:rsidR="00B56865" w:rsidRPr="00E73BB1" w:rsidRDefault="00B56865" w:rsidP="00B56865">
            <w:pPr>
              <w:pStyle w:val="EndNoteBibliographyTitle"/>
              <w:tabs>
                <w:tab w:val="decimal" w:pos="240"/>
              </w:tabs>
              <w:jc w:val="left"/>
            </w:pPr>
            <w:r w:rsidRPr="00E73BB1">
              <w:t>.70</w:t>
            </w:r>
          </w:p>
        </w:tc>
        <w:tc>
          <w:tcPr>
            <w:tcW w:w="1158" w:type="dxa"/>
          </w:tcPr>
          <w:p w14:paraId="066F6779" w14:textId="40BE91D5" w:rsidR="00B56865" w:rsidRPr="00E73BB1" w:rsidRDefault="00B56865" w:rsidP="00B56865">
            <w:pPr>
              <w:pStyle w:val="EndNoteBibliographyTitle"/>
              <w:tabs>
                <w:tab w:val="decimal" w:pos="240"/>
              </w:tabs>
              <w:jc w:val="left"/>
            </w:pPr>
            <w:r w:rsidRPr="00E73BB1">
              <w:t>.72</w:t>
            </w:r>
          </w:p>
        </w:tc>
        <w:tc>
          <w:tcPr>
            <w:tcW w:w="1158" w:type="dxa"/>
          </w:tcPr>
          <w:p w14:paraId="7A820F81" w14:textId="2F358C36" w:rsidR="00B56865" w:rsidRPr="00E73BB1" w:rsidRDefault="00E761E1" w:rsidP="00B56865">
            <w:pPr>
              <w:pStyle w:val="EndNoteBibliographyTitle"/>
              <w:tabs>
                <w:tab w:val="decimal" w:pos="240"/>
              </w:tabs>
              <w:jc w:val="left"/>
            </w:pPr>
            <w:r w:rsidRPr="00E73BB1">
              <w:t>-</w:t>
            </w:r>
          </w:p>
        </w:tc>
      </w:tr>
      <w:tr w:rsidR="00B56865" w:rsidRPr="00E73BB1" w14:paraId="50A61F24" w14:textId="6A99B601" w:rsidTr="00B56865">
        <w:tc>
          <w:tcPr>
            <w:tcW w:w="2410" w:type="dxa"/>
          </w:tcPr>
          <w:p w14:paraId="73B6ACA4" w14:textId="6B311AF0" w:rsidR="00B56865" w:rsidRPr="00E73BB1" w:rsidRDefault="00B56865" w:rsidP="00B56865">
            <w:pPr>
              <w:pStyle w:val="EndNoteBibliographyTitle"/>
              <w:numPr>
                <w:ilvl w:val="0"/>
                <w:numId w:val="6"/>
              </w:numPr>
              <w:jc w:val="left"/>
            </w:pPr>
            <w:r w:rsidRPr="00E73BB1">
              <w:t>Go shopping for clothes</w:t>
            </w:r>
          </w:p>
        </w:tc>
        <w:tc>
          <w:tcPr>
            <w:tcW w:w="1157" w:type="dxa"/>
          </w:tcPr>
          <w:p w14:paraId="4209FC73" w14:textId="3333ECE2" w:rsidR="00B56865" w:rsidRPr="00E73BB1" w:rsidRDefault="00B56865" w:rsidP="00B56865">
            <w:pPr>
              <w:pStyle w:val="EndNoteBibliographyTitle"/>
              <w:tabs>
                <w:tab w:val="decimal" w:pos="240"/>
              </w:tabs>
              <w:jc w:val="left"/>
            </w:pPr>
            <w:r w:rsidRPr="00E73BB1">
              <w:t>.7</w:t>
            </w:r>
            <w:r w:rsidR="00CF33BD" w:rsidRPr="00E73BB1">
              <w:t>1</w:t>
            </w:r>
          </w:p>
        </w:tc>
        <w:tc>
          <w:tcPr>
            <w:tcW w:w="1158" w:type="dxa"/>
          </w:tcPr>
          <w:p w14:paraId="1958CA56" w14:textId="264A1380" w:rsidR="00B56865" w:rsidRPr="00E73BB1" w:rsidRDefault="00B56865" w:rsidP="00B56865">
            <w:pPr>
              <w:pStyle w:val="EndNoteBibliographyTitle"/>
              <w:tabs>
                <w:tab w:val="decimal" w:pos="240"/>
              </w:tabs>
              <w:jc w:val="left"/>
            </w:pPr>
            <w:r w:rsidRPr="00E73BB1">
              <w:t>.7</w:t>
            </w:r>
            <w:r w:rsidR="00CF33BD" w:rsidRPr="00E73BB1">
              <w:t>4</w:t>
            </w:r>
          </w:p>
        </w:tc>
        <w:tc>
          <w:tcPr>
            <w:tcW w:w="1158" w:type="dxa"/>
          </w:tcPr>
          <w:p w14:paraId="79E96015" w14:textId="2ECD2FD4" w:rsidR="00B56865" w:rsidRPr="00E73BB1" w:rsidRDefault="00B56865" w:rsidP="00B56865">
            <w:pPr>
              <w:pStyle w:val="EndNoteBibliographyTitle"/>
              <w:tabs>
                <w:tab w:val="decimal" w:pos="240"/>
              </w:tabs>
              <w:jc w:val="left"/>
            </w:pPr>
            <w:r w:rsidRPr="00E73BB1">
              <w:t>.7</w:t>
            </w:r>
            <w:r w:rsidR="00A8719E" w:rsidRPr="00E73BB1">
              <w:t>1</w:t>
            </w:r>
          </w:p>
        </w:tc>
        <w:tc>
          <w:tcPr>
            <w:tcW w:w="1157" w:type="dxa"/>
          </w:tcPr>
          <w:p w14:paraId="1C0B6D94" w14:textId="6BF6F0CB" w:rsidR="00B56865" w:rsidRPr="00E73BB1" w:rsidRDefault="00B56865" w:rsidP="00B56865">
            <w:pPr>
              <w:pStyle w:val="EndNoteBibliographyTitle"/>
              <w:tabs>
                <w:tab w:val="decimal" w:pos="240"/>
              </w:tabs>
              <w:jc w:val="left"/>
            </w:pPr>
            <w:r w:rsidRPr="00E73BB1">
              <w:t>.65</w:t>
            </w:r>
          </w:p>
        </w:tc>
        <w:tc>
          <w:tcPr>
            <w:tcW w:w="1158" w:type="dxa"/>
          </w:tcPr>
          <w:p w14:paraId="7D777EBC" w14:textId="7F2BA902" w:rsidR="00B56865" w:rsidRPr="00E73BB1" w:rsidRDefault="00B56865" w:rsidP="00B56865">
            <w:pPr>
              <w:pStyle w:val="EndNoteBibliographyTitle"/>
              <w:tabs>
                <w:tab w:val="decimal" w:pos="240"/>
              </w:tabs>
              <w:jc w:val="left"/>
            </w:pPr>
            <w:r w:rsidRPr="00E73BB1">
              <w:t>.62</w:t>
            </w:r>
          </w:p>
        </w:tc>
        <w:tc>
          <w:tcPr>
            <w:tcW w:w="1158" w:type="dxa"/>
          </w:tcPr>
          <w:p w14:paraId="6C45E66F" w14:textId="2CF8392B" w:rsidR="00B56865" w:rsidRPr="00E73BB1" w:rsidRDefault="00B56865" w:rsidP="00B56865">
            <w:pPr>
              <w:pStyle w:val="EndNoteBibliographyTitle"/>
              <w:tabs>
                <w:tab w:val="decimal" w:pos="240"/>
              </w:tabs>
              <w:jc w:val="left"/>
            </w:pPr>
            <w:r w:rsidRPr="00E73BB1">
              <w:t>.68</w:t>
            </w:r>
          </w:p>
        </w:tc>
        <w:tc>
          <w:tcPr>
            <w:tcW w:w="1158" w:type="dxa"/>
          </w:tcPr>
          <w:p w14:paraId="2C60CBCB" w14:textId="58D76D5E" w:rsidR="00B56865" w:rsidRPr="00E73BB1" w:rsidRDefault="00B56865" w:rsidP="00B56865">
            <w:pPr>
              <w:pStyle w:val="EndNoteBibliographyTitle"/>
              <w:tabs>
                <w:tab w:val="decimal" w:pos="240"/>
              </w:tabs>
              <w:jc w:val="left"/>
            </w:pPr>
            <w:r w:rsidRPr="00E73BB1">
              <w:t>.67</w:t>
            </w:r>
          </w:p>
        </w:tc>
        <w:tc>
          <w:tcPr>
            <w:tcW w:w="1158" w:type="dxa"/>
          </w:tcPr>
          <w:p w14:paraId="1876FB4C" w14:textId="45DE2F9F" w:rsidR="00B56865" w:rsidRPr="00E73BB1" w:rsidRDefault="00B56865" w:rsidP="00B56865">
            <w:pPr>
              <w:pStyle w:val="EndNoteBibliographyTitle"/>
              <w:tabs>
                <w:tab w:val="decimal" w:pos="240"/>
              </w:tabs>
              <w:jc w:val="left"/>
            </w:pPr>
            <w:r w:rsidRPr="00E73BB1">
              <w:t>.74</w:t>
            </w:r>
          </w:p>
        </w:tc>
        <w:tc>
          <w:tcPr>
            <w:tcW w:w="1158" w:type="dxa"/>
          </w:tcPr>
          <w:p w14:paraId="27935034" w14:textId="08B40C3F" w:rsidR="00B56865" w:rsidRPr="00E73BB1" w:rsidRDefault="00B56865" w:rsidP="00B56865">
            <w:pPr>
              <w:pStyle w:val="EndNoteBibliographyTitle"/>
              <w:tabs>
                <w:tab w:val="decimal" w:pos="240"/>
              </w:tabs>
              <w:jc w:val="left"/>
            </w:pPr>
            <w:r w:rsidRPr="00E73BB1">
              <w:t>.62</w:t>
            </w:r>
          </w:p>
        </w:tc>
        <w:tc>
          <w:tcPr>
            <w:tcW w:w="1158" w:type="dxa"/>
          </w:tcPr>
          <w:p w14:paraId="25E8452B" w14:textId="3DB4808C" w:rsidR="00B56865" w:rsidRPr="00E73BB1" w:rsidRDefault="00E761E1" w:rsidP="00B56865">
            <w:pPr>
              <w:pStyle w:val="EndNoteBibliographyTitle"/>
              <w:tabs>
                <w:tab w:val="decimal" w:pos="240"/>
              </w:tabs>
              <w:jc w:val="left"/>
            </w:pPr>
            <w:r w:rsidRPr="00E73BB1">
              <w:t>-</w:t>
            </w:r>
          </w:p>
        </w:tc>
      </w:tr>
      <w:tr w:rsidR="00B56865" w:rsidRPr="00E73BB1" w14:paraId="0F3CDF7F" w14:textId="5AB23F50" w:rsidTr="00B56865">
        <w:tc>
          <w:tcPr>
            <w:tcW w:w="2410" w:type="dxa"/>
          </w:tcPr>
          <w:p w14:paraId="65332525" w14:textId="1088707E" w:rsidR="00B56865" w:rsidRPr="00E73BB1" w:rsidRDefault="00B56865" w:rsidP="00B56865">
            <w:pPr>
              <w:pStyle w:val="EndNoteBibliographyTitle"/>
              <w:numPr>
                <w:ilvl w:val="0"/>
                <w:numId w:val="6"/>
              </w:numPr>
              <w:jc w:val="left"/>
            </w:pPr>
            <w:r w:rsidRPr="00E73BB1">
              <w:t>Do a physical activity/sport</w:t>
            </w:r>
          </w:p>
        </w:tc>
        <w:tc>
          <w:tcPr>
            <w:tcW w:w="1157" w:type="dxa"/>
          </w:tcPr>
          <w:p w14:paraId="7624EC88" w14:textId="05346EAB" w:rsidR="00B56865" w:rsidRPr="00E73BB1" w:rsidRDefault="00B56865" w:rsidP="00B56865">
            <w:pPr>
              <w:pStyle w:val="EndNoteBibliographyTitle"/>
              <w:tabs>
                <w:tab w:val="decimal" w:pos="240"/>
              </w:tabs>
              <w:jc w:val="left"/>
            </w:pPr>
            <w:r w:rsidRPr="00E73BB1">
              <w:t>.7</w:t>
            </w:r>
            <w:r w:rsidR="00CF33BD" w:rsidRPr="00E73BB1">
              <w:t>5</w:t>
            </w:r>
          </w:p>
        </w:tc>
        <w:tc>
          <w:tcPr>
            <w:tcW w:w="1158" w:type="dxa"/>
          </w:tcPr>
          <w:p w14:paraId="68B60658" w14:textId="22A41F39" w:rsidR="00B56865" w:rsidRPr="00E73BB1" w:rsidRDefault="00B56865" w:rsidP="00B56865">
            <w:pPr>
              <w:pStyle w:val="EndNoteBibliographyTitle"/>
              <w:tabs>
                <w:tab w:val="decimal" w:pos="240"/>
              </w:tabs>
              <w:jc w:val="left"/>
            </w:pPr>
            <w:r w:rsidRPr="00E73BB1">
              <w:t>.8</w:t>
            </w:r>
            <w:r w:rsidR="00CF33BD" w:rsidRPr="00E73BB1">
              <w:t>2</w:t>
            </w:r>
          </w:p>
        </w:tc>
        <w:tc>
          <w:tcPr>
            <w:tcW w:w="1158" w:type="dxa"/>
          </w:tcPr>
          <w:p w14:paraId="3D31971A" w14:textId="66648790" w:rsidR="00B56865" w:rsidRPr="00E73BB1" w:rsidRDefault="00B56865" w:rsidP="00B56865">
            <w:pPr>
              <w:pStyle w:val="EndNoteBibliographyTitle"/>
              <w:tabs>
                <w:tab w:val="decimal" w:pos="240"/>
              </w:tabs>
              <w:jc w:val="left"/>
            </w:pPr>
            <w:r w:rsidRPr="00E73BB1">
              <w:t>.6</w:t>
            </w:r>
            <w:r w:rsidR="00A8719E" w:rsidRPr="00E73BB1">
              <w:t>7</w:t>
            </w:r>
          </w:p>
        </w:tc>
        <w:tc>
          <w:tcPr>
            <w:tcW w:w="1157" w:type="dxa"/>
          </w:tcPr>
          <w:p w14:paraId="4469B060" w14:textId="1270C514" w:rsidR="00B56865" w:rsidRPr="00E73BB1" w:rsidRDefault="00B56865" w:rsidP="00B56865">
            <w:pPr>
              <w:pStyle w:val="EndNoteBibliographyTitle"/>
              <w:tabs>
                <w:tab w:val="decimal" w:pos="240"/>
              </w:tabs>
              <w:jc w:val="left"/>
            </w:pPr>
            <w:r w:rsidRPr="00E73BB1">
              <w:t>.71</w:t>
            </w:r>
          </w:p>
        </w:tc>
        <w:tc>
          <w:tcPr>
            <w:tcW w:w="1158" w:type="dxa"/>
          </w:tcPr>
          <w:p w14:paraId="25A02A05" w14:textId="62FCF6CE" w:rsidR="00B56865" w:rsidRPr="00E73BB1" w:rsidRDefault="00B56865" w:rsidP="00B56865">
            <w:pPr>
              <w:pStyle w:val="EndNoteBibliographyTitle"/>
              <w:tabs>
                <w:tab w:val="decimal" w:pos="240"/>
              </w:tabs>
              <w:jc w:val="left"/>
            </w:pPr>
            <w:r w:rsidRPr="00E73BB1">
              <w:t>.71</w:t>
            </w:r>
          </w:p>
        </w:tc>
        <w:tc>
          <w:tcPr>
            <w:tcW w:w="1158" w:type="dxa"/>
          </w:tcPr>
          <w:p w14:paraId="0C78BED0" w14:textId="42277043" w:rsidR="00B56865" w:rsidRPr="00E73BB1" w:rsidRDefault="00B56865" w:rsidP="00B56865">
            <w:pPr>
              <w:pStyle w:val="EndNoteBibliographyTitle"/>
              <w:tabs>
                <w:tab w:val="decimal" w:pos="240"/>
              </w:tabs>
              <w:jc w:val="left"/>
            </w:pPr>
            <w:r w:rsidRPr="00E73BB1">
              <w:t>.70</w:t>
            </w:r>
          </w:p>
        </w:tc>
        <w:tc>
          <w:tcPr>
            <w:tcW w:w="1158" w:type="dxa"/>
          </w:tcPr>
          <w:p w14:paraId="02C0A964" w14:textId="13CDACA7" w:rsidR="00B56865" w:rsidRPr="00E73BB1" w:rsidRDefault="00B56865" w:rsidP="00B56865">
            <w:pPr>
              <w:pStyle w:val="EndNoteBibliographyTitle"/>
              <w:tabs>
                <w:tab w:val="decimal" w:pos="240"/>
              </w:tabs>
              <w:jc w:val="left"/>
            </w:pPr>
            <w:r w:rsidRPr="00E73BB1">
              <w:t>.65</w:t>
            </w:r>
          </w:p>
        </w:tc>
        <w:tc>
          <w:tcPr>
            <w:tcW w:w="1158" w:type="dxa"/>
          </w:tcPr>
          <w:p w14:paraId="342F1568" w14:textId="08D21A4B" w:rsidR="00B56865" w:rsidRPr="00E73BB1" w:rsidRDefault="00B56865" w:rsidP="00B56865">
            <w:pPr>
              <w:pStyle w:val="EndNoteBibliographyTitle"/>
              <w:tabs>
                <w:tab w:val="decimal" w:pos="240"/>
              </w:tabs>
              <w:jc w:val="left"/>
            </w:pPr>
            <w:r w:rsidRPr="00E73BB1">
              <w:t>.63</w:t>
            </w:r>
          </w:p>
        </w:tc>
        <w:tc>
          <w:tcPr>
            <w:tcW w:w="1158" w:type="dxa"/>
          </w:tcPr>
          <w:p w14:paraId="0D54F37B" w14:textId="5DC6A53A" w:rsidR="00B56865" w:rsidRPr="00E73BB1" w:rsidRDefault="00B56865" w:rsidP="00B56865">
            <w:pPr>
              <w:pStyle w:val="EndNoteBibliographyTitle"/>
              <w:tabs>
                <w:tab w:val="decimal" w:pos="240"/>
              </w:tabs>
              <w:jc w:val="left"/>
            </w:pPr>
            <w:r w:rsidRPr="00E73BB1">
              <w:t>.64</w:t>
            </w:r>
          </w:p>
        </w:tc>
        <w:tc>
          <w:tcPr>
            <w:tcW w:w="1158" w:type="dxa"/>
          </w:tcPr>
          <w:p w14:paraId="0333BEDA" w14:textId="66DAEDA0" w:rsidR="00B56865" w:rsidRPr="00E73BB1" w:rsidRDefault="00E761E1" w:rsidP="00B56865">
            <w:pPr>
              <w:pStyle w:val="EndNoteBibliographyTitle"/>
              <w:tabs>
                <w:tab w:val="decimal" w:pos="240"/>
              </w:tabs>
              <w:jc w:val="left"/>
            </w:pPr>
            <w:r w:rsidRPr="00E73BB1">
              <w:t>-</w:t>
            </w:r>
          </w:p>
        </w:tc>
      </w:tr>
      <w:tr w:rsidR="00B56865" w:rsidRPr="00E73BB1" w14:paraId="77FEBE49" w14:textId="732D5C0D" w:rsidTr="00B56865">
        <w:tc>
          <w:tcPr>
            <w:tcW w:w="2410" w:type="dxa"/>
          </w:tcPr>
          <w:p w14:paraId="1F866FC8" w14:textId="216BF13A" w:rsidR="00B56865" w:rsidRPr="00E73BB1" w:rsidRDefault="00B56865" w:rsidP="00B56865">
            <w:pPr>
              <w:pStyle w:val="EndNoteBibliographyTitle"/>
              <w:numPr>
                <w:ilvl w:val="0"/>
                <w:numId w:val="6"/>
              </w:numPr>
              <w:jc w:val="left"/>
            </w:pPr>
            <w:r w:rsidRPr="00E73BB1">
              <w:t>Give an opinion or stand up for myself</w:t>
            </w:r>
          </w:p>
        </w:tc>
        <w:tc>
          <w:tcPr>
            <w:tcW w:w="1157" w:type="dxa"/>
          </w:tcPr>
          <w:p w14:paraId="037AFC4A" w14:textId="3CD69BDD" w:rsidR="00B56865" w:rsidRPr="00E73BB1" w:rsidRDefault="00B56865" w:rsidP="00B56865">
            <w:pPr>
              <w:pStyle w:val="EndNoteBibliographyTitle"/>
              <w:tabs>
                <w:tab w:val="decimal" w:pos="240"/>
              </w:tabs>
              <w:jc w:val="left"/>
            </w:pPr>
            <w:r w:rsidRPr="00E73BB1">
              <w:t>.73</w:t>
            </w:r>
          </w:p>
        </w:tc>
        <w:tc>
          <w:tcPr>
            <w:tcW w:w="1158" w:type="dxa"/>
          </w:tcPr>
          <w:p w14:paraId="29F88C3C" w14:textId="0637807F" w:rsidR="00B56865" w:rsidRPr="00E73BB1" w:rsidRDefault="00B56865" w:rsidP="00B56865">
            <w:pPr>
              <w:pStyle w:val="EndNoteBibliographyTitle"/>
              <w:tabs>
                <w:tab w:val="decimal" w:pos="240"/>
              </w:tabs>
              <w:jc w:val="left"/>
            </w:pPr>
            <w:r w:rsidRPr="00E73BB1">
              <w:t>.</w:t>
            </w:r>
            <w:r w:rsidR="00A8719E" w:rsidRPr="00E73BB1">
              <w:t>79</w:t>
            </w:r>
          </w:p>
        </w:tc>
        <w:tc>
          <w:tcPr>
            <w:tcW w:w="1158" w:type="dxa"/>
          </w:tcPr>
          <w:p w14:paraId="6298DF8F" w14:textId="6D0DCA76" w:rsidR="00B56865" w:rsidRPr="00E73BB1" w:rsidRDefault="00B56865" w:rsidP="00B56865">
            <w:pPr>
              <w:pStyle w:val="EndNoteBibliographyTitle"/>
              <w:tabs>
                <w:tab w:val="decimal" w:pos="240"/>
              </w:tabs>
              <w:jc w:val="left"/>
            </w:pPr>
            <w:r w:rsidRPr="00E73BB1">
              <w:t>.6</w:t>
            </w:r>
            <w:r w:rsidR="00A8719E" w:rsidRPr="00E73BB1">
              <w:t>8</w:t>
            </w:r>
          </w:p>
        </w:tc>
        <w:tc>
          <w:tcPr>
            <w:tcW w:w="1157" w:type="dxa"/>
          </w:tcPr>
          <w:p w14:paraId="51B70CB2" w14:textId="406843DA" w:rsidR="00B56865" w:rsidRPr="00E73BB1" w:rsidRDefault="00B56865" w:rsidP="00B56865">
            <w:pPr>
              <w:pStyle w:val="EndNoteBibliographyTitle"/>
              <w:tabs>
                <w:tab w:val="decimal" w:pos="240"/>
              </w:tabs>
              <w:jc w:val="left"/>
            </w:pPr>
            <w:r w:rsidRPr="00E73BB1">
              <w:t>.74</w:t>
            </w:r>
          </w:p>
        </w:tc>
        <w:tc>
          <w:tcPr>
            <w:tcW w:w="1158" w:type="dxa"/>
          </w:tcPr>
          <w:p w14:paraId="766EEE1D" w14:textId="1A357624" w:rsidR="00B56865" w:rsidRPr="00E73BB1" w:rsidRDefault="00B56865" w:rsidP="00B56865">
            <w:pPr>
              <w:pStyle w:val="EndNoteBibliographyTitle"/>
              <w:tabs>
                <w:tab w:val="decimal" w:pos="240"/>
              </w:tabs>
              <w:jc w:val="left"/>
            </w:pPr>
            <w:r w:rsidRPr="00E73BB1">
              <w:t>.74</w:t>
            </w:r>
          </w:p>
        </w:tc>
        <w:tc>
          <w:tcPr>
            <w:tcW w:w="1158" w:type="dxa"/>
          </w:tcPr>
          <w:p w14:paraId="18B1CC7E" w14:textId="48B74357" w:rsidR="00B56865" w:rsidRPr="00E73BB1" w:rsidRDefault="00B56865" w:rsidP="00B56865">
            <w:pPr>
              <w:pStyle w:val="EndNoteBibliographyTitle"/>
              <w:tabs>
                <w:tab w:val="decimal" w:pos="240"/>
              </w:tabs>
              <w:jc w:val="left"/>
            </w:pPr>
            <w:r w:rsidRPr="00E73BB1">
              <w:t>.73</w:t>
            </w:r>
          </w:p>
        </w:tc>
        <w:tc>
          <w:tcPr>
            <w:tcW w:w="1158" w:type="dxa"/>
          </w:tcPr>
          <w:p w14:paraId="0EF88D8C" w14:textId="34D7FA34" w:rsidR="00B56865" w:rsidRPr="00E73BB1" w:rsidRDefault="00B56865" w:rsidP="00B56865">
            <w:pPr>
              <w:pStyle w:val="EndNoteBibliographyTitle"/>
              <w:tabs>
                <w:tab w:val="decimal" w:pos="240"/>
              </w:tabs>
              <w:jc w:val="left"/>
            </w:pPr>
            <w:r w:rsidRPr="00E73BB1">
              <w:t>.66</w:t>
            </w:r>
          </w:p>
        </w:tc>
        <w:tc>
          <w:tcPr>
            <w:tcW w:w="1158" w:type="dxa"/>
          </w:tcPr>
          <w:p w14:paraId="705AE443" w14:textId="3DDA3057" w:rsidR="00B56865" w:rsidRPr="00E73BB1" w:rsidRDefault="00B56865" w:rsidP="00B56865">
            <w:pPr>
              <w:pStyle w:val="EndNoteBibliographyTitle"/>
              <w:tabs>
                <w:tab w:val="decimal" w:pos="240"/>
              </w:tabs>
              <w:jc w:val="left"/>
            </w:pPr>
            <w:r w:rsidRPr="00E73BB1">
              <w:t>.63</w:t>
            </w:r>
          </w:p>
        </w:tc>
        <w:tc>
          <w:tcPr>
            <w:tcW w:w="1158" w:type="dxa"/>
          </w:tcPr>
          <w:p w14:paraId="69F3C537" w14:textId="57B5F09A" w:rsidR="00B56865" w:rsidRPr="00E73BB1" w:rsidRDefault="00B56865" w:rsidP="00B56865">
            <w:pPr>
              <w:pStyle w:val="EndNoteBibliographyTitle"/>
              <w:tabs>
                <w:tab w:val="decimal" w:pos="240"/>
              </w:tabs>
              <w:jc w:val="left"/>
            </w:pPr>
            <w:r w:rsidRPr="00E73BB1">
              <w:t>.66</w:t>
            </w:r>
          </w:p>
        </w:tc>
        <w:tc>
          <w:tcPr>
            <w:tcW w:w="1158" w:type="dxa"/>
          </w:tcPr>
          <w:p w14:paraId="2E315B08" w14:textId="687515D4" w:rsidR="00B56865" w:rsidRPr="00E73BB1" w:rsidRDefault="00E761E1" w:rsidP="00B56865">
            <w:pPr>
              <w:pStyle w:val="EndNoteBibliographyTitle"/>
              <w:tabs>
                <w:tab w:val="decimal" w:pos="240"/>
              </w:tabs>
              <w:jc w:val="left"/>
            </w:pPr>
            <w:r w:rsidRPr="00E73BB1">
              <w:t>-</w:t>
            </w:r>
          </w:p>
        </w:tc>
      </w:tr>
      <w:tr w:rsidR="00B56865" w:rsidRPr="00E73BB1" w14:paraId="3478AA79" w14:textId="367E1980" w:rsidTr="00B56865">
        <w:tc>
          <w:tcPr>
            <w:tcW w:w="2410" w:type="dxa"/>
          </w:tcPr>
          <w:p w14:paraId="54185FD8" w14:textId="609109CF" w:rsidR="00B56865" w:rsidRPr="00E73BB1" w:rsidRDefault="00B56865" w:rsidP="00B56865">
            <w:pPr>
              <w:pStyle w:val="EndNoteBibliographyTitle"/>
              <w:numPr>
                <w:ilvl w:val="0"/>
                <w:numId w:val="6"/>
              </w:numPr>
              <w:jc w:val="left"/>
            </w:pPr>
            <w:r w:rsidRPr="00E73BB1">
              <w:t>Go to the doctor or school nurse</w:t>
            </w:r>
          </w:p>
        </w:tc>
        <w:tc>
          <w:tcPr>
            <w:tcW w:w="1157" w:type="dxa"/>
          </w:tcPr>
          <w:p w14:paraId="4621D72E" w14:textId="25E29B0D" w:rsidR="00B56865" w:rsidRPr="00E73BB1" w:rsidRDefault="00B56865" w:rsidP="00B56865">
            <w:pPr>
              <w:pStyle w:val="EndNoteBibliographyTitle"/>
              <w:tabs>
                <w:tab w:val="decimal" w:pos="240"/>
              </w:tabs>
              <w:jc w:val="left"/>
            </w:pPr>
            <w:r w:rsidRPr="00E73BB1">
              <w:t>.58</w:t>
            </w:r>
          </w:p>
        </w:tc>
        <w:tc>
          <w:tcPr>
            <w:tcW w:w="1158" w:type="dxa"/>
          </w:tcPr>
          <w:p w14:paraId="13501621" w14:textId="086521EB" w:rsidR="00B56865" w:rsidRPr="00E73BB1" w:rsidRDefault="00B56865" w:rsidP="00B56865">
            <w:pPr>
              <w:pStyle w:val="EndNoteBibliographyTitle"/>
              <w:tabs>
                <w:tab w:val="decimal" w:pos="240"/>
              </w:tabs>
              <w:jc w:val="left"/>
            </w:pPr>
            <w:r w:rsidRPr="00E73BB1">
              <w:t>.6</w:t>
            </w:r>
            <w:r w:rsidR="00A8719E" w:rsidRPr="00E73BB1">
              <w:t>3</w:t>
            </w:r>
          </w:p>
        </w:tc>
        <w:tc>
          <w:tcPr>
            <w:tcW w:w="1158" w:type="dxa"/>
          </w:tcPr>
          <w:p w14:paraId="702D2792" w14:textId="042AF3A3" w:rsidR="00B56865" w:rsidRPr="00E73BB1" w:rsidRDefault="00B56865" w:rsidP="00B56865">
            <w:pPr>
              <w:pStyle w:val="EndNoteBibliographyTitle"/>
              <w:tabs>
                <w:tab w:val="decimal" w:pos="240"/>
              </w:tabs>
              <w:jc w:val="left"/>
            </w:pPr>
            <w:r w:rsidRPr="00E73BB1">
              <w:t>.5</w:t>
            </w:r>
            <w:r w:rsidR="00A8719E" w:rsidRPr="00E73BB1">
              <w:t>3</w:t>
            </w:r>
          </w:p>
        </w:tc>
        <w:tc>
          <w:tcPr>
            <w:tcW w:w="1157" w:type="dxa"/>
          </w:tcPr>
          <w:p w14:paraId="0B839C4B" w14:textId="6FBA26C0" w:rsidR="00B56865" w:rsidRPr="00E73BB1" w:rsidRDefault="00B56865" w:rsidP="00B56865">
            <w:pPr>
              <w:pStyle w:val="EndNoteBibliographyTitle"/>
              <w:tabs>
                <w:tab w:val="decimal" w:pos="240"/>
              </w:tabs>
              <w:jc w:val="left"/>
            </w:pPr>
            <w:r w:rsidRPr="00E73BB1">
              <w:t>.64</w:t>
            </w:r>
          </w:p>
        </w:tc>
        <w:tc>
          <w:tcPr>
            <w:tcW w:w="1158" w:type="dxa"/>
          </w:tcPr>
          <w:p w14:paraId="530F9D2C" w14:textId="51984552" w:rsidR="00B56865" w:rsidRPr="00E73BB1" w:rsidRDefault="00B56865" w:rsidP="00B56865">
            <w:pPr>
              <w:pStyle w:val="EndNoteBibliographyTitle"/>
              <w:tabs>
                <w:tab w:val="decimal" w:pos="240"/>
              </w:tabs>
              <w:jc w:val="left"/>
            </w:pPr>
            <w:r w:rsidRPr="00E73BB1">
              <w:t>.68</w:t>
            </w:r>
          </w:p>
        </w:tc>
        <w:tc>
          <w:tcPr>
            <w:tcW w:w="1158" w:type="dxa"/>
          </w:tcPr>
          <w:p w14:paraId="190D761B" w14:textId="4A5E1F63" w:rsidR="00B56865" w:rsidRPr="00E73BB1" w:rsidRDefault="00B56865" w:rsidP="00B56865">
            <w:pPr>
              <w:pStyle w:val="EndNoteBibliographyTitle"/>
              <w:tabs>
                <w:tab w:val="decimal" w:pos="240"/>
              </w:tabs>
              <w:jc w:val="left"/>
            </w:pPr>
            <w:r w:rsidRPr="00E73BB1">
              <w:t>.60</w:t>
            </w:r>
          </w:p>
        </w:tc>
        <w:tc>
          <w:tcPr>
            <w:tcW w:w="1158" w:type="dxa"/>
          </w:tcPr>
          <w:p w14:paraId="395AF7D6" w14:textId="14E5FF66" w:rsidR="00B56865" w:rsidRPr="00E73BB1" w:rsidRDefault="00B56865" w:rsidP="00B56865">
            <w:pPr>
              <w:pStyle w:val="EndNoteBibliographyTitle"/>
              <w:tabs>
                <w:tab w:val="decimal" w:pos="240"/>
              </w:tabs>
              <w:jc w:val="left"/>
            </w:pPr>
            <w:r w:rsidRPr="00E73BB1">
              <w:t>.66</w:t>
            </w:r>
          </w:p>
        </w:tc>
        <w:tc>
          <w:tcPr>
            <w:tcW w:w="1158" w:type="dxa"/>
          </w:tcPr>
          <w:p w14:paraId="71E2B1AB" w14:textId="31E5089D" w:rsidR="00B56865" w:rsidRPr="00E73BB1" w:rsidRDefault="00B56865" w:rsidP="00B56865">
            <w:pPr>
              <w:pStyle w:val="EndNoteBibliographyTitle"/>
              <w:tabs>
                <w:tab w:val="decimal" w:pos="240"/>
              </w:tabs>
              <w:jc w:val="left"/>
            </w:pPr>
            <w:r w:rsidRPr="00E73BB1">
              <w:t>.71</w:t>
            </w:r>
          </w:p>
        </w:tc>
        <w:tc>
          <w:tcPr>
            <w:tcW w:w="1158" w:type="dxa"/>
          </w:tcPr>
          <w:p w14:paraId="20C6E0AA" w14:textId="589612D9" w:rsidR="00B56865" w:rsidRPr="00E73BB1" w:rsidRDefault="00B56865" w:rsidP="00B56865">
            <w:pPr>
              <w:pStyle w:val="EndNoteBibliographyTitle"/>
              <w:tabs>
                <w:tab w:val="decimal" w:pos="240"/>
              </w:tabs>
              <w:jc w:val="left"/>
            </w:pPr>
            <w:r w:rsidRPr="00E73BB1">
              <w:t>.61</w:t>
            </w:r>
          </w:p>
        </w:tc>
        <w:tc>
          <w:tcPr>
            <w:tcW w:w="1158" w:type="dxa"/>
          </w:tcPr>
          <w:p w14:paraId="1EA503F1" w14:textId="23E86F25" w:rsidR="00B56865" w:rsidRPr="00E73BB1" w:rsidRDefault="00E761E1" w:rsidP="00B56865">
            <w:pPr>
              <w:pStyle w:val="EndNoteBibliographyTitle"/>
              <w:tabs>
                <w:tab w:val="decimal" w:pos="240"/>
              </w:tabs>
              <w:jc w:val="left"/>
            </w:pPr>
            <w:r w:rsidRPr="00E73BB1">
              <w:t>-</w:t>
            </w:r>
          </w:p>
        </w:tc>
      </w:tr>
      <w:tr w:rsidR="00B56865" w:rsidRPr="00E73BB1" w14:paraId="12EB1905" w14:textId="3B94F01F" w:rsidTr="00B56865">
        <w:tc>
          <w:tcPr>
            <w:tcW w:w="2410" w:type="dxa"/>
          </w:tcPr>
          <w:p w14:paraId="410C3A35" w14:textId="1B9FEE28" w:rsidR="00B56865" w:rsidRPr="00E73BB1" w:rsidRDefault="00B56865" w:rsidP="00B56865">
            <w:pPr>
              <w:pStyle w:val="EndNoteBibliographyTitle"/>
              <w:numPr>
                <w:ilvl w:val="0"/>
                <w:numId w:val="6"/>
              </w:numPr>
              <w:jc w:val="left"/>
            </w:pPr>
            <w:r w:rsidRPr="00E73BB1">
              <w:t>Go to school</w:t>
            </w:r>
          </w:p>
        </w:tc>
        <w:tc>
          <w:tcPr>
            <w:tcW w:w="1157" w:type="dxa"/>
          </w:tcPr>
          <w:p w14:paraId="0D21D395" w14:textId="076E90FD" w:rsidR="00B56865" w:rsidRPr="00E73BB1" w:rsidRDefault="00B56865" w:rsidP="00B56865">
            <w:pPr>
              <w:pStyle w:val="EndNoteBibliographyTitle"/>
              <w:tabs>
                <w:tab w:val="decimal" w:pos="240"/>
              </w:tabs>
              <w:jc w:val="left"/>
            </w:pPr>
            <w:r w:rsidRPr="00E73BB1">
              <w:t>.8</w:t>
            </w:r>
            <w:r w:rsidR="00CF33BD" w:rsidRPr="00E73BB1">
              <w:t>2</w:t>
            </w:r>
          </w:p>
        </w:tc>
        <w:tc>
          <w:tcPr>
            <w:tcW w:w="1158" w:type="dxa"/>
          </w:tcPr>
          <w:p w14:paraId="43783A27" w14:textId="7A4FD7D4" w:rsidR="00B56865" w:rsidRPr="00E73BB1" w:rsidRDefault="00B56865" w:rsidP="00B56865">
            <w:pPr>
              <w:pStyle w:val="EndNoteBibliographyTitle"/>
              <w:tabs>
                <w:tab w:val="decimal" w:pos="240"/>
              </w:tabs>
              <w:jc w:val="left"/>
            </w:pPr>
            <w:r w:rsidRPr="00E73BB1">
              <w:t>.8</w:t>
            </w:r>
            <w:r w:rsidR="00A8719E" w:rsidRPr="00E73BB1">
              <w:t>6</w:t>
            </w:r>
          </w:p>
        </w:tc>
        <w:tc>
          <w:tcPr>
            <w:tcW w:w="1158" w:type="dxa"/>
          </w:tcPr>
          <w:p w14:paraId="447D8351" w14:textId="64D0C512" w:rsidR="00B56865" w:rsidRPr="00E73BB1" w:rsidRDefault="00B56865" w:rsidP="00B56865">
            <w:pPr>
              <w:pStyle w:val="EndNoteBibliographyTitle"/>
              <w:tabs>
                <w:tab w:val="decimal" w:pos="240"/>
              </w:tabs>
              <w:jc w:val="left"/>
            </w:pPr>
            <w:r w:rsidRPr="00E73BB1">
              <w:t>.77</w:t>
            </w:r>
          </w:p>
        </w:tc>
        <w:tc>
          <w:tcPr>
            <w:tcW w:w="1157" w:type="dxa"/>
          </w:tcPr>
          <w:p w14:paraId="65F1CBF9" w14:textId="0D0DB42A" w:rsidR="00B56865" w:rsidRPr="00E73BB1" w:rsidRDefault="00B56865" w:rsidP="00B56865">
            <w:pPr>
              <w:pStyle w:val="EndNoteBibliographyTitle"/>
              <w:tabs>
                <w:tab w:val="decimal" w:pos="240"/>
              </w:tabs>
              <w:jc w:val="left"/>
            </w:pPr>
            <w:r w:rsidRPr="00E73BB1">
              <w:t>.70</w:t>
            </w:r>
          </w:p>
        </w:tc>
        <w:tc>
          <w:tcPr>
            <w:tcW w:w="1158" w:type="dxa"/>
          </w:tcPr>
          <w:p w14:paraId="082AEF25" w14:textId="088CDF30" w:rsidR="00B56865" w:rsidRPr="00E73BB1" w:rsidRDefault="00B56865" w:rsidP="00B56865">
            <w:pPr>
              <w:pStyle w:val="EndNoteBibliographyTitle"/>
              <w:tabs>
                <w:tab w:val="decimal" w:pos="240"/>
              </w:tabs>
              <w:jc w:val="left"/>
            </w:pPr>
            <w:r w:rsidRPr="00E73BB1">
              <w:t>.66</w:t>
            </w:r>
          </w:p>
        </w:tc>
        <w:tc>
          <w:tcPr>
            <w:tcW w:w="1158" w:type="dxa"/>
          </w:tcPr>
          <w:p w14:paraId="72251031" w14:textId="6365EF7A" w:rsidR="00B56865" w:rsidRPr="00E73BB1" w:rsidRDefault="00B56865" w:rsidP="00B56865">
            <w:pPr>
              <w:pStyle w:val="EndNoteBibliographyTitle"/>
              <w:tabs>
                <w:tab w:val="decimal" w:pos="240"/>
              </w:tabs>
              <w:jc w:val="left"/>
            </w:pPr>
            <w:r w:rsidRPr="00E73BB1">
              <w:t>.72</w:t>
            </w:r>
          </w:p>
        </w:tc>
        <w:tc>
          <w:tcPr>
            <w:tcW w:w="1158" w:type="dxa"/>
          </w:tcPr>
          <w:p w14:paraId="52B20243" w14:textId="57B9D123" w:rsidR="00B56865" w:rsidRPr="00E73BB1" w:rsidRDefault="00B56865" w:rsidP="00B56865">
            <w:pPr>
              <w:pStyle w:val="EndNoteBibliographyTitle"/>
              <w:tabs>
                <w:tab w:val="decimal" w:pos="240"/>
              </w:tabs>
              <w:jc w:val="left"/>
            </w:pPr>
            <w:r w:rsidRPr="00E73BB1">
              <w:t>.61</w:t>
            </w:r>
          </w:p>
        </w:tc>
        <w:tc>
          <w:tcPr>
            <w:tcW w:w="1158" w:type="dxa"/>
          </w:tcPr>
          <w:p w14:paraId="120D97BD" w14:textId="37A8BD98" w:rsidR="00B56865" w:rsidRPr="00E73BB1" w:rsidRDefault="00B56865" w:rsidP="00B56865">
            <w:pPr>
              <w:pStyle w:val="EndNoteBibliographyTitle"/>
              <w:tabs>
                <w:tab w:val="decimal" w:pos="240"/>
              </w:tabs>
              <w:jc w:val="left"/>
            </w:pPr>
            <w:r w:rsidRPr="00E73BB1">
              <w:t>.58</w:t>
            </w:r>
          </w:p>
        </w:tc>
        <w:tc>
          <w:tcPr>
            <w:tcW w:w="1158" w:type="dxa"/>
          </w:tcPr>
          <w:p w14:paraId="2E82E782" w14:textId="710A9453" w:rsidR="00B56865" w:rsidRPr="00E73BB1" w:rsidRDefault="00B56865" w:rsidP="00B56865">
            <w:pPr>
              <w:pStyle w:val="EndNoteBibliographyTitle"/>
              <w:tabs>
                <w:tab w:val="decimal" w:pos="240"/>
              </w:tabs>
              <w:jc w:val="left"/>
            </w:pPr>
            <w:r w:rsidRPr="00E73BB1">
              <w:t>.61</w:t>
            </w:r>
          </w:p>
        </w:tc>
        <w:tc>
          <w:tcPr>
            <w:tcW w:w="1158" w:type="dxa"/>
          </w:tcPr>
          <w:p w14:paraId="5BCC983F" w14:textId="0BAF6898" w:rsidR="00B56865" w:rsidRPr="00E73BB1" w:rsidRDefault="00E761E1" w:rsidP="00B56865">
            <w:pPr>
              <w:pStyle w:val="EndNoteBibliographyTitle"/>
              <w:tabs>
                <w:tab w:val="decimal" w:pos="240"/>
              </w:tabs>
              <w:jc w:val="left"/>
            </w:pPr>
            <w:r w:rsidRPr="00E73BB1">
              <w:t>-</w:t>
            </w:r>
          </w:p>
        </w:tc>
      </w:tr>
      <w:tr w:rsidR="00B56865" w:rsidRPr="00E73BB1" w14:paraId="313B1873" w14:textId="52F99190" w:rsidTr="00B56865">
        <w:tc>
          <w:tcPr>
            <w:tcW w:w="2410" w:type="dxa"/>
          </w:tcPr>
          <w:p w14:paraId="602E3909" w14:textId="10E9D418" w:rsidR="00B56865" w:rsidRPr="00E73BB1" w:rsidRDefault="00B56865" w:rsidP="00B56865">
            <w:pPr>
              <w:pStyle w:val="EndNoteBibliographyTitle"/>
              <w:numPr>
                <w:ilvl w:val="0"/>
                <w:numId w:val="6"/>
              </w:numPr>
              <w:jc w:val="left"/>
            </w:pPr>
            <w:r w:rsidRPr="00E73BB1">
              <w:t>Raise my hand in class</w:t>
            </w:r>
          </w:p>
        </w:tc>
        <w:tc>
          <w:tcPr>
            <w:tcW w:w="1157" w:type="dxa"/>
          </w:tcPr>
          <w:p w14:paraId="684EE7CF" w14:textId="65D1E1CC" w:rsidR="00B56865" w:rsidRPr="00E73BB1" w:rsidRDefault="00B56865" w:rsidP="00B56865">
            <w:pPr>
              <w:pStyle w:val="EndNoteBibliographyTitle"/>
              <w:tabs>
                <w:tab w:val="decimal" w:pos="240"/>
              </w:tabs>
              <w:jc w:val="left"/>
            </w:pPr>
            <w:r w:rsidRPr="00E73BB1">
              <w:t>.7</w:t>
            </w:r>
            <w:r w:rsidR="00CF33BD" w:rsidRPr="00E73BB1">
              <w:t>2</w:t>
            </w:r>
          </w:p>
        </w:tc>
        <w:tc>
          <w:tcPr>
            <w:tcW w:w="1158" w:type="dxa"/>
          </w:tcPr>
          <w:p w14:paraId="38C091CF" w14:textId="03F47B21" w:rsidR="00B56865" w:rsidRPr="00E73BB1" w:rsidRDefault="00B56865" w:rsidP="00B56865">
            <w:pPr>
              <w:pStyle w:val="EndNoteBibliographyTitle"/>
              <w:tabs>
                <w:tab w:val="decimal" w:pos="240"/>
              </w:tabs>
              <w:jc w:val="left"/>
            </w:pPr>
            <w:r w:rsidRPr="00E73BB1">
              <w:t>.7</w:t>
            </w:r>
            <w:r w:rsidR="00A8719E" w:rsidRPr="00E73BB1">
              <w:t>9</w:t>
            </w:r>
          </w:p>
        </w:tc>
        <w:tc>
          <w:tcPr>
            <w:tcW w:w="1158" w:type="dxa"/>
          </w:tcPr>
          <w:p w14:paraId="16F06357" w14:textId="147A8410" w:rsidR="00B56865" w:rsidRPr="00E73BB1" w:rsidRDefault="00B56865" w:rsidP="00B56865">
            <w:pPr>
              <w:pStyle w:val="EndNoteBibliographyTitle"/>
              <w:tabs>
                <w:tab w:val="decimal" w:pos="240"/>
              </w:tabs>
              <w:jc w:val="left"/>
            </w:pPr>
            <w:r w:rsidRPr="00E73BB1">
              <w:t>.66</w:t>
            </w:r>
          </w:p>
        </w:tc>
        <w:tc>
          <w:tcPr>
            <w:tcW w:w="1157" w:type="dxa"/>
          </w:tcPr>
          <w:p w14:paraId="7257725C" w14:textId="20E65F04" w:rsidR="00B56865" w:rsidRPr="00E73BB1" w:rsidRDefault="00B56865" w:rsidP="00B56865">
            <w:pPr>
              <w:pStyle w:val="EndNoteBibliographyTitle"/>
              <w:tabs>
                <w:tab w:val="decimal" w:pos="240"/>
              </w:tabs>
              <w:jc w:val="left"/>
            </w:pPr>
            <w:r w:rsidRPr="00E73BB1">
              <w:t>.69</w:t>
            </w:r>
          </w:p>
        </w:tc>
        <w:tc>
          <w:tcPr>
            <w:tcW w:w="1158" w:type="dxa"/>
          </w:tcPr>
          <w:p w14:paraId="1FCB2803" w14:textId="6C1367E8" w:rsidR="00B56865" w:rsidRPr="00E73BB1" w:rsidRDefault="00B56865" w:rsidP="00B56865">
            <w:pPr>
              <w:pStyle w:val="EndNoteBibliographyTitle"/>
              <w:tabs>
                <w:tab w:val="decimal" w:pos="240"/>
              </w:tabs>
              <w:jc w:val="left"/>
            </w:pPr>
            <w:r w:rsidRPr="00E73BB1">
              <w:t>.72</w:t>
            </w:r>
          </w:p>
        </w:tc>
        <w:tc>
          <w:tcPr>
            <w:tcW w:w="1158" w:type="dxa"/>
          </w:tcPr>
          <w:p w14:paraId="4FCAC6D7" w14:textId="121D7998" w:rsidR="00B56865" w:rsidRPr="00E73BB1" w:rsidRDefault="00B56865" w:rsidP="00B56865">
            <w:pPr>
              <w:pStyle w:val="EndNoteBibliographyTitle"/>
              <w:tabs>
                <w:tab w:val="decimal" w:pos="240"/>
              </w:tabs>
              <w:jc w:val="left"/>
            </w:pPr>
            <w:r w:rsidRPr="00E73BB1">
              <w:t>.65</w:t>
            </w:r>
          </w:p>
        </w:tc>
        <w:tc>
          <w:tcPr>
            <w:tcW w:w="1158" w:type="dxa"/>
          </w:tcPr>
          <w:p w14:paraId="404C5110" w14:textId="439B69F0" w:rsidR="00B56865" w:rsidRPr="00E73BB1" w:rsidRDefault="00B56865" w:rsidP="00B56865">
            <w:pPr>
              <w:pStyle w:val="EndNoteBibliographyTitle"/>
              <w:tabs>
                <w:tab w:val="decimal" w:pos="240"/>
              </w:tabs>
              <w:jc w:val="left"/>
            </w:pPr>
            <w:r w:rsidRPr="00E73BB1">
              <w:t>.67</w:t>
            </w:r>
          </w:p>
        </w:tc>
        <w:tc>
          <w:tcPr>
            <w:tcW w:w="1158" w:type="dxa"/>
          </w:tcPr>
          <w:p w14:paraId="4ACE9AAB" w14:textId="6A17D5F8" w:rsidR="00B56865" w:rsidRPr="00E73BB1" w:rsidRDefault="00B56865" w:rsidP="00B56865">
            <w:pPr>
              <w:pStyle w:val="EndNoteBibliographyTitle"/>
              <w:tabs>
                <w:tab w:val="decimal" w:pos="240"/>
              </w:tabs>
              <w:jc w:val="left"/>
            </w:pPr>
            <w:r w:rsidRPr="00E73BB1">
              <w:t>.65</w:t>
            </w:r>
          </w:p>
        </w:tc>
        <w:tc>
          <w:tcPr>
            <w:tcW w:w="1158" w:type="dxa"/>
          </w:tcPr>
          <w:p w14:paraId="73107360" w14:textId="11066390" w:rsidR="00B56865" w:rsidRPr="00E73BB1" w:rsidRDefault="00E761E1" w:rsidP="00B56865">
            <w:pPr>
              <w:pStyle w:val="EndNoteBibliographyTitle"/>
              <w:tabs>
                <w:tab w:val="decimal" w:pos="240"/>
              </w:tabs>
              <w:jc w:val="left"/>
            </w:pPr>
            <w:r w:rsidRPr="00E73BB1">
              <w:t>.66</w:t>
            </w:r>
          </w:p>
        </w:tc>
        <w:tc>
          <w:tcPr>
            <w:tcW w:w="1158" w:type="dxa"/>
          </w:tcPr>
          <w:p w14:paraId="4B5211A3" w14:textId="0E10CD7E" w:rsidR="00B56865" w:rsidRPr="00E73BB1" w:rsidRDefault="00E761E1" w:rsidP="00B56865">
            <w:pPr>
              <w:pStyle w:val="EndNoteBibliographyTitle"/>
              <w:tabs>
                <w:tab w:val="decimal" w:pos="240"/>
              </w:tabs>
              <w:jc w:val="left"/>
            </w:pPr>
            <w:r w:rsidRPr="00E73BB1">
              <w:t>-</w:t>
            </w:r>
          </w:p>
        </w:tc>
      </w:tr>
      <w:tr w:rsidR="00B56865" w:rsidRPr="00E73BB1" w14:paraId="67198D59" w14:textId="267B6944" w:rsidTr="00B56865">
        <w:tc>
          <w:tcPr>
            <w:tcW w:w="2410" w:type="dxa"/>
          </w:tcPr>
          <w:p w14:paraId="3E36D7AC" w14:textId="77777777" w:rsidR="00B56865" w:rsidRPr="00E73BB1" w:rsidRDefault="00B56865" w:rsidP="00B56865">
            <w:pPr>
              <w:pStyle w:val="EndNoteBibliographyTitle"/>
              <w:numPr>
                <w:ilvl w:val="0"/>
                <w:numId w:val="6"/>
              </w:numPr>
              <w:jc w:val="left"/>
            </w:pPr>
            <w:r w:rsidRPr="00E73BB1">
              <w:t>Spend time with friends and family</w:t>
            </w:r>
          </w:p>
        </w:tc>
        <w:tc>
          <w:tcPr>
            <w:tcW w:w="1157" w:type="dxa"/>
          </w:tcPr>
          <w:p w14:paraId="46ABDA28" w14:textId="77777777" w:rsidR="00B56865" w:rsidRPr="00E73BB1" w:rsidRDefault="00B56865" w:rsidP="00B56865">
            <w:pPr>
              <w:pStyle w:val="EndNoteBibliographyTitle"/>
              <w:tabs>
                <w:tab w:val="decimal" w:pos="240"/>
              </w:tabs>
              <w:jc w:val="left"/>
            </w:pPr>
            <w:r w:rsidRPr="00E73BB1">
              <w:t>.82</w:t>
            </w:r>
          </w:p>
        </w:tc>
        <w:tc>
          <w:tcPr>
            <w:tcW w:w="1158" w:type="dxa"/>
          </w:tcPr>
          <w:p w14:paraId="49DCFD08" w14:textId="6DCC0AC5" w:rsidR="00B56865" w:rsidRPr="00E73BB1" w:rsidRDefault="00B56865" w:rsidP="00B56865">
            <w:pPr>
              <w:pStyle w:val="EndNoteBibliographyTitle"/>
              <w:tabs>
                <w:tab w:val="decimal" w:pos="240"/>
              </w:tabs>
              <w:jc w:val="left"/>
            </w:pPr>
            <w:r w:rsidRPr="00E73BB1">
              <w:t>.8</w:t>
            </w:r>
            <w:r w:rsidR="00A8719E" w:rsidRPr="00E73BB1">
              <w:t>7</w:t>
            </w:r>
          </w:p>
        </w:tc>
        <w:tc>
          <w:tcPr>
            <w:tcW w:w="1158" w:type="dxa"/>
          </w:tcPr>
          <w:p w14:paraId="3DE40734" w14:textId="77777777" w:rsidR="00B56865" w:rsidRPr="00E73BB1" w:rsidRDefault="00B56865" w:rsidP="00B56865">
            <w:pPr>
              <w:pStyle w:val="EndNoteBibliographyTitle"/>
              <w:tabs>
                <w:tab w:val="decimal" w:pos="240"/>
              </w:tabs>
              <w:jc w:val="left"/>
            </w:pPr>
            <w:r w:rsidRPr="00E73BB1">
              <w:t>.78</w:t>
            </w:r>
          </w:p>
        </w:tc>
        <w:tc>
          <w:tcPr>
            <w:tcW w:w="1157" w:type="dxa"/>
          </w:tcPr>
          <w:p w14:paraId="6FF533EC" w14:textId="77777777" w:rsidR="00B56865" w:rsidRPr="00E73BB1" w:rsidRDefault="00B56865" w:rsidP="00B56865">
            <w:pPr>
              <w:pStyle w:val="EndNoteBibliographyTitle"/>
              <w:tabs>
                <w:tab w:val="decimal" w:pos="240"/>
              </w:tabs>
              <w:jc w:val="left"/>
            </w:pPr>
            <w:r w:rsidRPr="00E73BB1">
              <w:t>.69</w:t>
            </w:r>
          </w:p>
        </w:tc>
        <w:tc>
          <w:tcPr>
            <w:tcW w:w="1158" w:type="dxa"/>
          </w:tcPr>
          <w:p w14:paraId="2CD5E35D" w14:textId="77777777" w:rsidR="00B56865" w:rsidRPr="00E73BB1" w:rsidRDefault="00B56865" w:rsidP="00B56865">
            <w:pPr>
              <w:pStyle w:val="EndNoteBibliographyTitle"/>
              <w:tabs>
                <w:tab w:val="decimal" w:pos="240"/>
              </w:tabs>
              <w:jc w:val="left"/>
            </w:pPr>
            <w:r w:rsidRPr="00E73BB1">
              <w:t>.71</w:t>
            </w:r>
          </w:p>
        </w:tc>
        <w:tc>
          <w:tcPr>
            <w:tcW w:w="1158" w:type="dxa"/>
          </w:tcPr>
          <w:p w14:paraId="24803FBA" w14:textId="77777777" w:rsidR="00B56865" w:rsidRPr="00E73BB1" w:rsidRDefault="00B56865" w:rsidP="00B56865">
            <w:pPr>
              <w:pStyle w:val="EndNoteBibliographyTitle"/>
              <w:tabs>
                <w:tab w:val="decimal" w:pos="240"/>
              </w:tabs>
              <w:jc w:val="left"/>
            </w:pPr>
            <w:r w:rsidRPr="00E73BB1">
              <w:t>.67</w:t>
            </w:r>
          </w:p>
        </w:tc>
        <w:tc>
          <w:tcPr>
            <w:tcW w:w="1158" w:type="dxa"/>
          </w:tcPr>
          <w:p w14:paraId="4D32E246" w14:textId="690BC0E7" w:rsidR="00B56865" w:rsidRPr="00E73BB1" w:rsidRDefault="00B56865" w:rsidP="00B56865">
            <w:pPr>
              <w:pStyle w:val="EndNoteBibliographyTitle"/>
              <w:tabs>
                <w:tab w:val="decimal" w:pos="240"/>
              </w:tabs>
              <w:jc w:val="left"/>
            </w:pPr>
            <w:r w:rsidRPr="00E73BB1">
              <w:t>.64</w:t>
            </w:r>
          </w:p>
        </w:tc>
        <w:tc>
          <w:tcPr>
            <w:tcW w:w="1158" w:type="dxa"/>
          </w:tcPr>
          <w:p w14:paraId="341F6B5A" w14:textId="0BA91988" w:rsidR="00B56865" w:rsidRPr="00E73BB1" w:rsidRDefault="00B56865" w:rsidP="00B56865">
            <w:pPr>
              <w:pStyle w:val="EndNoteBibliographyTitle"/>
              <w:tabs>
                <w:tab w:val="decimal" w:pos="240"/>
              </w:tabs>
              <w:jc w:val="left"/>
            </w:pPr>
            <w:r w:rsidRPr="00E73BB1">
              <w:t>.72</w:t>
            </w:r>
          </w:p>
        </w:tc>
        <w:tc>
          <w:tcPr>
            <w:tcW w:w="1158" w:type="dxa"/>
          </w:tcPr>
          <w:p w14:paraId="34661FF5" w14:textId="3F8EBE90" w:rsidR="00B56865" w:rsidRPr="00E73BB1" w:rsidRDefault="00E761E1" w:rsidP="00B56865">
            <w:pPr>
              <w:pStyle w:val="EndNoteBibliographyTitle"/>
              <w:tabs>
                <w:tab w:val="decimal" w:pos="240"/>
              </w:tabs>
              <w:jc w:val="left"/>
            </w:pPr>
            <w:r w:rsidRPr="00E73BB1">
              <w:t>.60</w:t>
            </w:r>
          </w:p>
        </w:tc>
        <w:tc>
          <w:tcPr>
            <w:tcW w:w="1158" w:type="dxa"/>
          </w:tcPr>
          <w:p w14:paraId="67822161" w14:textId="0E9F2FB3" w:rsidR="00B56865" w:rsidRPr="00E73BB1" w:rsidRDefault="00E761E1" w:rsidP="00B56865">
            <w:pPr>
              <w:pStyle w:val="EndNoteBibliographyTitle"/>
              <w:tabs>
                <w:tab w:val="decimal" w:pos="240"/>
              </w:tabs>
              <w:jc w:val="left"/>
            </w:pPr>
            <w:r w:rsidRPr="00E73BB1">
              <w:t>-</w:t>
            </w:r>
          </w:p>
        </w:tc>
      </w:tr>
      <w:tr w:rsidR="00B56865" w:rsidRPr="00E73BB1" w14:paraId="62E9D194" w14:textId="0647719D" w:rsidTr="00B56865">
        <w:tc>
          <w:tcPr>
            <w:tcW w:w="2410" w:type="dxa"/>
          </w:tcPr>
          <w:p w14:paraId="17FCC278" w14:textId="714FC026" w:rsidR="00B56865" w:rsidRPr="00E73BB1" w:rsidRDefault="00B56865" w:rsidP="00B56865">
            <w:pPr>
              <w:pStyle w:val="EndNoteBibliographyTitle"/>
              <w:jc w:val="left"/>
              <w:rPr>
                <w:i/>
              </w:rPr>
            </w:pPr>
            <w:r w:rsidRPr="00E73BB1">
              <w:rPr>
                <w:i/>
              </w:rPr>
              <w:t>M (SD)</w:t>
            </w:r>
            <w:r w:rsidR="00631AD5" w:rsidRPr="00E73BB1">
              <w:rPr>
                <w:vertAlign w:val="superscript"/>
              </w:rPr>
              <w:t>b</w:t>
            </w:r>
          </w:p>
        </w:tc>
        <w:tc>
          <w:tcPr>
            <w:tcW w:w="1157" w:type="dxa"/>
          </w:tcPr>
          <w:p w14:paraId="236A5275" w14:textId="38FFF0AA" w:rsidR="00B56865" w:rsidRPr="00E73BB1" w:rsidRDefault="00B56865" w:rsidP="00B56865">
            <w:pPr>
              <w:pStyle w:val="EndNoteBibliographyTitle"/>
              <w:tabs>
                <w:tab w:val="decimal" w:pos="210"/>
              </w:tabs>
              <w:jc w:val="left"/>
            </w:pPr>
            <w:r w:rsidRPr="00E73BB1">
              <w:t>1.52 (0.67)</w:t>
            </w:r>
          </w:p>
        </w:tc>
        <w:tc>
          <w:tcPr>
            <w:tcW w:w="1158" w:type="dxa"/>
          </w:tcPr>
          <w:p w14:paraId="40EA0C0D" w14:textId="6B976631" w:rsidR="00B56865" w:rsidRPr="00E73BB1" w:rsidRDefault="00B56865" w:rsidP="00B56865">
            <w:pPr>
              <w:pStyle w:val="EndNoteBibliographyTitle"/>
              <w:tabs>
                <w:tab w:val="decimal" w:pos="210"/>
              </w:tabs>
              <w:jc w:val="left"/>
            </w:pPr>
            <w:r w:rsidRPr="00E73BB1">
              <w:t>1.47</w:t>
            </w:r>
            <w:r w:rsidR="000D35D4" w:rsidRPr="00E73BB1">
              <w:rPr>
                <w:vertAlign w:val="superscript"/>
              </w:rPr>
              <w:t xml:space="preserve"> </w:t>
            </w:r>
            <w:r w:rsidRPr="00E73BB1">
              <w:t>(0.70)</w:t>
            </w:r>
          </w:p>
        </w:tc>
        <w:tc>
          <w:tcPr>
            <w:tcW w:w="1158" w:type="dxa"/>
          </w:tcPr>
          <w:p w14:paraId="6DDD1561" w14:textId="18052FA2" w:rsidR="00B56865" w:rsidRPr="00E73BB1" w:rsidRDefault="00B56865" w:rsidP="00B56865">
            <w:pPr>
              <w:pStyle w:val="EndNoteBibliographyTitle"/>
              <w:tabs>
                <w:tab w:val="decimal" w:pos="210"/>
              </w:tabs>
              <w:jc w:val="left"/>
            </w:pPr>
            <w:r w:rsidRPr="00E73BB1">
              <w:t>1.57</w:t>
            </w:r>
            <w:r w:rsidR="000D35D4" w:rsidRPr="00E73BB1">
              <w:rPr>
                <w:vertAlign w:val="superscript"/>
              </w:rPr>
              <w:t xml:space="preserve"> </w:t>
            </w:r>
            <w:r w:rsidRPr="00E73BB1">
              <w:t xml:space="preserve"> (0.63)</w:t>
            </w:r>
          </w:p>
        </w:tc>
        <w:tc>
          <w:tcPr>
            <w:tcW w:w="1157" w:type="dxa"/>
          </w:tcPr>
          <w:p w14:paraId="558A0F17" w14:textId="08D93736" w:rsidR="00B56865" w:rsidRPr="00E73BB1" w:rsidRDefault="00B56865" w:rsidP="00B56865">
            <w:pPr>
              <w:pStyle w:val="EndNoteBibliographyTitle"/>
              <w:tabs>
                <w:tab w:val="decimal" w:pos="210"/>
              </w:tabs>
              <w:jc w:val="left"/>
            </w:pPr>
            <w:r w:rsidRPr="00E73BB1">
              <w:t>1.31 (0.51)</w:t>
            </w:r>
          </w:p>
        </w:tc>
        <w:tc>
          <w:tcPr>
            <w:tcW w:w="1158" w:type="dxa"/>
          </w:tcPr>
          <w:p w14:paraId="2C71D214" w14:textId="1A01059D" w:rsidR="00B56865" w:rsidRPr="00E73BB1" w:rsidRDefault="00B56865" w:rsidP="00B56865">
            <w:pPr>
              <w:pStyle w:val="EndNoteBibliographyTitle"/>
              <w:tabs>
                <w:tab w:val="decimal" w:pos="210"/>
              </w:tabs>
              <w:jc w:val="left"/>
            </w:pPr>
            <w:r w:rsidRPr="00E73BB1">
              <w:t>1.24</w:t>
            </w:r>
            <w:r w:rsidR="000D35D4" w:rsidRPr="00E73BB1">
              <w:rPr>
                <w:vertAlign w:val="superscript"/>
              </w:rPr>
              <w:t xml:space="preserve"> </w:t>
            </w:r>
            <w:r w:rsidRPr="00E73BB1">
              <w:t xml:space="preserve"> (0.47)</w:t>
            </w:r>
          </w:p>
        </w:tc>
        <w:tc>
          <w:tcPr>
            <w:tcW w:w="1158" w:type="dxa"/>
          </w:tcPr>
          <w:p w14:paraId="2595123F" w14:textId="34410E82" w:rsidR="00B56865" w:rsidRPr="00E73BB1" w:rsidRDefault="00B56865" w:rsidP="00B56865">
            <w:pPr>
              <w:pStyle w:val="EndNoteBibliographyTitle"/>
              <w:tabs>
                <w:tab w:val="decimal" w:pos="210"/>
              </w:tabs>
              <w:jc w:val="left"/>
            </w:pPr>
            <w:r w:rsidRPr="00E73BB1">
              <w:t>1.40</w:t>
            </w:r>
            <w:r w:rsidR="000D35D4" w:rsidRPr="00E73BB1">
              <w:rPr>
                <w:vertAlign w:val="superscript"/>
              </w:rPr>
              <w:t xml:space="preserve"> </w:t>
            </w:r>
            <w:r w:rsidRPr="00E73BB1">
              <w:t xml:space="preserve"> (0.55)</w:t>
            </w:r>
          </w:p>
        </w:tc>
        <w:tc>
          <w:tcPr>
            <w:tcW w:w="1158" w:type="dxa"/>
          </w:tcPr>
          <w:p w14:paraId="7E9A99ED" w14:textId="05827F57" w:rsidR="00B56865" w:rsidRPr="00E73BB1" w:rsidRDefault="00B56865" w:rsidP="00B56865">
            <w:pPr>
              <w:pStyle w:val="EndNoteBibliographyTitle"/>
              <w:tabs>
                <w:tab w:val="decimal" w:pos="210"/>
              </w:tabs>
              <w:jc w:val="left"/>
            </w:pPr>
            <w:r w:rsidRPr="00E73BB1">
              <w:t>1.41 (0.54)</w:t>
            </w:r>
          </w:p>
        </w:tc>
        <w:tc>
          <w:tcPr>
            <w:tcW w:w="1158" w:type="dxa"/>
          </w:tcPr>
          <w:p w14:paraId="0C1014E2" w14:textId="2A384B7B" w:rsidR="00B56865" w:rsidRPr="00E73BB1" w:rsidRDefault="00B56865" w:rsidP="00B56865">
            <w:pPr>
              <w:pStyle w:val="EndNoteBibliographyTitle"/>
              <w:tabs>
                <w:tab w:val="decimal" w:pos="210"/>
              </w:tabs>
              <w:jc w:val="left"/>
            </w:pPr>
            <w:r w:rsidRPr="00E73BB1">
              <w:t>1.29</w:t>
            </w:r>
            <w:r w:rsidR="000D35D4" w:rsidRPr="00E73BB1">
              <w:rPr>
                <w:vertAlign w:val="superscript"/>
              </w:rPr>
              <w:t xml:space="preserve"> </w:t>
            </w:r>
            <w:r w:rsidRPr="00E73BB1">
              <w:t>(0.47)</w:t>
            </w:r>
          </w:p>
        </w:tc>
        <w:tc>
          <w:tcPr>
            <w:tcW w:w="1158" w:type="dxa"/>
          </w:tcPr>
          <w:p w14:paraId="5FFDD846" w14:textId="4323D95B" w:rsidR="00B56865" w:rsidRPr="00E73BB1" w:rsidRDefault="00B56865" w:rsidP="00B56865">
            <w:pPr>
              <w:pStyle w:val="EndNoteBibliographyTitle"/>
              <w:tabs>
                <w:tab w:val="decimal" w:pos="210"/>
              </w:tabs>
              <w:jc w:val="left"/>
            </w:pPr>
            <w:r w:rsidRPr="00E73BB1">
              <w:t>1.54</w:t>
            </w:r>
            <w:r w:rsidR="000D35D4" w:rsidRPr="00E73BB1">
              <w:rPr>
                <w:vertAlign w:val="superscript"/>
              </w:rPr>
              <w:t xml:space="preserve"> </w:t>
            </w:r>
            <w:r w:rsidRPr="00E73BB1">
              <w:t xml:space="preserve"> (0.57)</w:t>
            </w:r>
          </w:p>
        </w:tc>
        <w:tc>
          <w:tcPr>
            <w:tcW w:w="1158" w:type="dxa"/>
          </w:tcPr>
          <w:p w14:paraId="7DDE52AC" w14:textId="1A1E7CDB" w:rsidR="00B56865" w:rsidRPr="00E73BB1" w:rsidRDefault="00B56865" w:rsidP="00B56865">
            <w:pPr>
              <w:pStyle w:val="EndNoteBibliographyTitle"/>
              <w:tabs>
                <w:tab w:val="decimal" w:pos="210"/>
              </w:tabs>
              <w:jc w:val="left"/>
            </w:pPr>
            <w:r w:rsidRPr="00E73BB1">
              <w:t>1.77 (0.88)</w:t>
            </w:r>
          </w:p>
        </w:tc>
      </w:tr>
      <w:tr w:rsidR="00B56865" w:rsidRPr="00E73BB1" w14:paraId="5E76B9A1" w14:textId="55168AFE" w:rsidTr="00B56865">
        <w:tc>
          <w:tcPr>
            <w:tcW w:w="2410" w:type="dxa"/>
          </w:tcPr>
          <w:p w14:paraId="5D24A410" w14:textId="28E51C42" w:rsidR="00B56865" w:rsidRPr="00E73BB1" w:rsidRDefault="00B56865" w:rsidP="00B56865">
            <w:pPr>
              <w:pStyle w:val="EndNoteBibliographyTitle"/>
              <w:jc w:val="left"/>
            </w:pPr>
            <w:r w:rsidRPr="00E73BB1">
              <w:t>Cronbach’s alpha</w:t>
            </w:r>
          </w:p>
        </w:tc>
        <w:tc>
          <w:tcPr>
            <w:tcW w:w="1157" w:type="dxa"/>
          </w:tcPr>
          <w:p w14:paraId="61B6DA05" w14:textId="6BA4EF38" w:rsidR="00B56865" w:rsidRPr="00E73BB1" w:rsidRDefault="00B56865" w:rsidP="00B56865">
            <w:pPr>
              <w:pStyle w:val="EndNoteBibliographyTitle"/>
              <w:tabs>
                <w:tab w:val="decimal" w:pos="240"/>
              </w:tabs>
              <w:jc w:val="left"/>
            </w:pPr>
            <w:r w:rsidRPr="00E73BB1">
              <w:t>.9</w:t>
            </w:r>
            <w:r w:rsidR="00B56396" w:rsidRPr="00E73BB1">
              <w:t>0</w:t>
            </w:r>
          </w:p>
        </w:tc>
        <w:tc>
          <w:tcPr>
            <w:tcW w:w="1158" w:type="dxa"/>
          </w:tcPr>
          <w:p w14:paraId="64D03EE4" w14:textId="11B27A45" w:rsidR="00B56865" w:rsidRPr="00E73BB1" w:rsidRDefault="00B56865" w:rsidP="00B56865">
            <w:pPr>
              <w:pStyle w:val="EndNoteBibliographyTitle"/>
              <w:tabs>
                <w:tab w:val="decimal" w:pos="240"/>
              </w:tabs>
              <w:jc w:val="left"/>
            </w:pPr>
            <w:r w:rsidRPr="00E73BB1">
              <w:t>.93</w:t>
            </w:r>
          </w:p>
        </w:tc>
        <w:tc>
          <w:tcPr>
            <w:tcW w:w="1158" w:type="dxa"/>
          </w:tcPr>
          <w:p w14:paraId="73157718" w14:textId="416A5D98" w:rsidR="00B56865" w:rsidRPr="00E73BB1" w:rsidRDefault="00B56865" w:rsidP="00B56865">
            <w:pPr>
              <w:pStyle w:val="EndNoteBibliographyTitle"/>
              <w:tabs>
                <w:tab w:val="decimal" w:pos="240"/>
              </w:tabs>
              <w:jc w:val="left"/>
            </w:pPr>
            <w:r w:rsidRPr="00E73BB1">
              <w:t>.88</w:t>
            </w:r>
          </w:p>
        </w:tc>
        <w:tc>
          <w:tcPr>
            <w:tcW w:w="1157" w:type="dxa"/>
          </w:tcPr>
          <w:p w14:paraId="2A4C30AF" w14:textId="012081ED" w:rsidR="00B56865" w:rsidRPr="00E73BB1" w:rsidRDefault="00B56865" w:rsidP="00B56865">
            <w:pPr>
              <w:pStyle w:val="EndNoteBibliographyTitle"/>
              <w:tabs>
                <w:tab w:val="decimal" w:pos="240"/>
              </w:tabs>
              <w:jc w:val="left"/>
            </w:pPr>
            <w:r w:rsidRPr="00E73BB1">
              <w:t>.89</w:t>
            </w:r>
          </w:p>
        </w:tc>
        <w:tc>
          <w:tcPr>
            <w:tcW w:w="1158" w:type="dxa"/>
          </w:tcPr>
          <w:p w14:paraId="47F47D92" w14:textId="19278947" w:rsidR="00B56865" w:rsidRPr="00E73BB1" w:rsidRDefault="00B56865" w:rsidP="00B56865">
            <w:pPr>
              <w:pStyle w:val="EndNoteBibliographyTitle"/>
              <w:tabs>
                <w:tab w:val="decimal" w:pos="240"/>
              </w:tabs>
              <w:jc w:val="left"/>
            </w:pPr>
            <w:r w:rsidRPr="00E73BB1">
              <w:t>.87</w:t>
            </w:r>
          </w:p>
        </w:tc>
        <w:tc>
          <w:tcPr>
            <w:tcW w:w="1158" w:type="dxa"/>
          </w:tcPr>
          <w:p w14:paraId="09821545" w14:textId="4D3090D1" w:rsidR="00B56865" w:rsidRPr="00E73BB1" w:rsidRDefault="00B56865" w:rsidP="00B56865">
            <w:pPr>
              <w:pStyle w:val="EndNoteBibliographyTitle"/>
              <w:tabs>
                <w:tab w:val="decimal" w:pos="240"/>
              </w:tabs>
              <w:jc w:val="left"/>
            </w:pPr>
            <w:r w:rsidRPr="00E73BB1">
              <w:t>.89</w:t>
            </w:r>
          </w:p>
        </w:tc>
        <w:tc>
          <w:tcPr>
            <w:tcW w:w="1158" w:type="dxa"/>
          </w:tcPr>
          <w:p w14:paraId="5A226624" w14:textId="61A5F446" w:rsidR="00B56865" w:rsidRPr="00E73BB1" w:rsidRDefault="00B56865" w:rsidP="00B56865">
            <w:pPr>
              <w:pStyle w:val="EndNoteBibliographyTitle"/>
              <w:tabs>
                <w:tab w:val="decimal" w:pos="240"/>
              </w:tabs>
              <w:jc w:val="left"/>
            </w:pPr>
            <w:r w:rsidRPr="00E73BB1">
              <w:t>.87</w:t>
            </w:r>
          </w:p>
        </w:tc>
        <w:tc>
          <w:tcPr>
            <w:tcW w:w="1158" w:type="dxa"/>
          </w:tcPr>
          <w:p w14:paraId="74B54ECA" w14:textId="54F5EDBF" w:rsidR="00B56865" w:rsidRPr="00E73BB1" w:rsidRDefault="00B56865" w:rsidP="00B56865">
            <w:pPr>
              <w:pStyle w:val="EndNoteBibliographyTitle"/>
              <w:tabs>
                <w:tab w:val="decimal" w:pos="240"/>
              </w:tabs>
              <w:jc w:val="left"/>
            </w:pPr>
            <w:r w:rsidRPr="00E73BB1">
              <w:t>.87</w:t>
            </w:r>
          </w:p>
        </w:tc>
        <w:tc>
          <w:tcPr>
            <w:tcW w:w="1158" w:type="dxa"/>
          </w:tcPr>
          <w:p w14:paraId="6A9C81CF" w14:textId="05FA1CA7" w:rsidR="00B56865" w:rsidRPr="00E73BB1" w:rsidRDefault="00B56865" w:rsidP="00B56865">
            <w:pPr>
              <w:pStyle w:val="EndNoteBibliographyTitle"/>
              <w:tabs>
                <w:tab w:val="decimal" w:pos="240"/>
              </w:tabs>
              <w:jc w:val="left"/>
            </w:pPr>
            <w:r w:rsidRPr="00E73BB1">
              <w:t>.85</w:t>
            </w:r>
          </w:p>
        </w:tc>
        <w:tc>
          <w:tcPr>
            <w:tcW w:w="1158" w:type="dxa"/>
          </w:tcPr>
          <w:p w14:paraId="5CDF0B83" w14:textId="2E9C8EC5" w:rsidR="00B56865" w:rsidRPr="00E73BB1" w:rsidRDefault="00B56865" w:rsidP="00B56865">
            <w:pPr>
              <w:pStyle w:val="EndNoteBibliographyTitle"/>
              <w:tabs>
                <w:tab w:val="decimal" w:pos="240"/>
              </w:tabs>
              <w:jc w:val="left"/>
            </w:pPr>
            <w:r w:rsidRPr="00E73BB1">
              <w:t>.89</w:t>
            </w:r>
          </w:p>
        </w:tc>
      </w:tr>
    </w:tbl>
    <w:p w14:paraId="29C4C8F6" w14:textId="368A83BB" w:rsidR="00016F99" w:rsidRPr="00E73BB1" w:rsidRDefault="00631AD5" w:rsidP="00016F99">
      <w:pPr>
        <w:pStyle w:val="EndNoteBibliographyTitle"/>
        <w:jc w:val="left"/>
        <w:rPr>
          <w:sz w:val="20"/>
          <w:szCs w:val="20"/>
        </w:rPr>
      </w:pPr>
      <w:r w:rsidRPr="00E73BB1">
        <w:rPr>
          <w:sz w:val="20"/>
          <w:szCs w:val="20"/>
          <w:vertAlign w:val="superscript"/>
        </w:rPr>
        <w:t>a</w:t>
      </w:r>
      <w:r w:rsidRPr="00E73BB1">
        <w:rPr>
          <w:sz w:val="20"/>
          <w:szCs w:val="20"/>
        </w:rPr>
        <w:t>Not included in statistical analyses due to insufficient numbers</w:t>
      </w:r>
    </w:p>
    <w:p w14:paraId="6B75DC28" w14:textId="5B8CD369" w:rsidR="00634AF0" w:rsidRPr="00E73BB1" w:rsidRDefault="00631AD5">
      <w:pPr>
        <w:spacing w:after="0" w:line="240" w:lineRule="auto"/>
        <w:rPr>
          <w:rFonts w:ascii="Times New Roman" w:hAnsi="Times New Roman" w:cs="Times New Roman"/>
          <w:noProof/>
          <w:sz w:val="24"/>
          <w:szCs w:val="24"/>
          <w:lang w:val="en-US"/>
        </w:rPr>
      </w:pPr>
      <w:r w:rsidRPr="00E73BB1">
        <w:rPr>
          <w:sz w:val="20"/>
          <w:szCs w:val="20"/>
          <w:vertAlign w:val="superscript"/>
        </w:rPr>
        <w:t>b</w:t>
      </w:r>
      <w:r w:rsidRPr="00E73BB1">
        <w:rPr>
          <w:sz w:val="20"/>
          <w:szCs w:val="20"/>
        </w:rPr>
        <w:t xml:space="preserve">Scores for girls were </w:t>
      </w:r>
      <w:r w:rsidR="000D35D4" w:rsidRPr="00E73BB1">
        <w:rPr>
          <w:sz w:val="20"/>
          <w:szCs w:val="20"/>
        </w:rPr>
        <w:t xml:space="preserve">significantly </w:t>
      </w:r>
      <w:r w:rsidR="001C2CEF" w:rsidRPr="00E73BB1">
        <w:rPr>
          <w:sz w:val="20"/>
          <w:szCs w:val="20"/>
        </w:rPr>
        <w:t>higher</w:t>
      </w:r>
      <w:r w:rsidR="000D35D4" w:rsidRPr="00E73BB1">
        <w:rPr>
          <w:sz w:val="20"/>
          <w:szCs w:val="20"/>
        </w:rPr>
        <w:t xml:space="preserve"> than </w:t>
      </w:r>
      <w:r w:rsidRPr="00E73BB1">
        <w:rPr>
          <w:sz w:val="20"/>
          <w:szCs w:val="20"/>
        </w:rPr>
        <w:t xml:space="preserve">for </w:t>
      </w:r>
      <w:r w:rsidR="000D35D4" w:rsidRPr="00E73BB1">
        <w:rPr>
          <w:sz w:val="20"/>
          <w:szCs w:val="20"/>
        </w:rPr>
        <w:t xml:space="preserve">boys </w:t>
      </w:r>
      <w:r w:rsidRPr="00E73BB1">
        <w:rPr>
          <w:sz w:val="20"/>
          <w:szCs w:val="20"/>
        </w:rPr>
        <w:t xml:space="preserve">in </w:t>
      </w:r>
      <w:r w:rsidR="000D35D4" w:rsidRPr="00E73BB1">
        <w:rPr>
          <w:sz w:val="20"/>
          <w:szCs w:val="20"/>
        </w:rPr>
        <w:t>Study 1 (</w:t>
      </w:r>
      <w:r w:rsidR="003F3FEB" w:rsidRPr="00E73BB1">
        <w:rPr>
          <w:i/>
          <w:iCs/>
          <w:sz w:val="20"/>
          <w:szCs w:val="20"/>
        </w:rPr>
        <w:t>t</w:t>
      </w:r>
      <w:r w:rsidR="003F3FEB" w:rsidRPr="00E73BB1">
        <w:rPr>
          <w:sz w:val="20"/>
          <w:szCs w:val="20"/>
        </w:rPr>
        <w:t xml:space="preserve"> = -2.95, </w:t>
      </w:r>
      <w:r w:rsidR="003F3FEB" w:rsidRPr="00E73BB1">
        <w:rPr>
          <w:i/>
          <w:iCs/>
          <w:sz w:val="20"/>
          <w:szCs w:val="20"/>
        </w:rPr>
        <w:t>p</w:t>
      </w:r>
      <w:r w:rsidR="003F3FEB" w:rsidRPr="00E73BB1">
        <w:rPr>
          <w:sz w:val="20"/>
          <w:szCs w:val="20"/>
        </w:rPr>
        <w:t xml:space="preserve"> = .003</w:t>
      </w:r>
      <w:r w:rsidR="000D35D4" w:rsidRPr="00E73BB1">
        <w:rPr>
          <w:sz w:val="20"/>
          <w:szCs w:val="20"/>
        </w:rPr>
        <w:t>), Study 2 (</w:t>
      </w:r>
      <w:r w:rsidR="003F3FEB" w:rsidRPr="00E73BB1">
        <w:rPr>
          <w:i/>
          <w:iCs/>
          <w:sz w:val="20"/>
          <w:szCs w:val="20"/>
        </w:rPr>
        <w:t>t</w:t>
      </w:r>
      <w:r w:rsidR="003F3FEB" w:rsidRPr="00E73BB1">
        <w:rPr>
          <w:sz w:val="20"/>
          <w:szCs w:val="20"/>
        </w:rPr>
        <w:t xml:space="preserve"> = -5.52, </w:t>
      </w:r>
      <w:r w:rsidR="003F3FEB" w:rsidRPr="00E73BB1">
        <w:rPr>
          <w:i/>
          <w:iCs/>
          <w:sz w:val="20"/>
          <w:szCs w:val="20"/>
        </w:rPr>
        <w:t>p</w:t>
      </w:r>
      <w:r w:rsidR="003F3FEB" w:rsidRPr="00E73BB1">
        <w:rPr>
          <w:sz w:val="20"/>
          <w:szCs w:val="20"/>
        </w:rPr>
        <w:t xml:space="preserve"> &lt;.001</w:t>
      </w:r>
      <w:r w:rsidR="000D35D4" w:rsidRPr="00E73BB1">
        <w:rPr>
          <w:sz w:val="20"/>
          <w:szCs w:val="20"/>
        </w:rPr>
        <w:t>), and Study 3 (</w:t>
      </w:r>
      <w:r w:rsidR="00961518" w:rsidRPr="00E73BB1">
        <w:rPr>
          <w:i/>
          <w:iCs/>
          <w:sz w:val="20"/>
          <w:szCs w:val="20"/>
        </w:rPr>
        <w:t>t</w:t>
      </w:r>
      <w:r w:rsidR="00961518" w:rsidRPr="00E73BB1">
        <w:rPr>
          <w:sz w:val="20"/>
          <w:szCs w:val="20"/>
        </w:rPr>
        <w:t xml:space="preserve"> = -10.22, </w:t>
      </w:r>
      <w:r w:rsidR="00961518" w:rsidRPr="00E73BB1">
        <w:rPr>
          <w:i/>
          <w:iCs/>
          <w:sz w:val="20"/>
          <w:szCs w:val="20"/>
        </w:rPr>
        <w:t>p</w:t>
      </w:r>
      <w:r w:rsidR="00961518" w:rsidRPr="00E73BB1">
        <w:rPr>
          <w:sz w:val="20"/>
          <w:szCs w:val="20"/>
        </w:rPr>
        <w:t xml:space="preserve"> &lt; .001</w:t>
      </w:r>
      <w:r w:rsidR="000D35D4" w:rsidRPr="00E73BB1">
        <w:rPr>
          <w:sz w:val="20"/>
          <w:szCs w:val="20"/>
        </w:rPr>
        <w:t>)</w:t>
      </w:r>
      <w:r w:rsidR="00961518" w:rsidRPr="00E73BB1">
        <w:rPr>
          <w:sz w:val="24"/>
          <w:szCs w:val="24"/>
        </w:rPr>
        <w:t xml:space="preserve"> </w:t>
      </w:r>
      <w:r w:rsidR="00634AF0" w:rsidRPr="00E73BB1">
        <w:rPr>
          <w:sz w:val="24"/>
          <w:szCs w:val="24"/>
        </w:rPr>
        <w:br w:type="page"/>
      </w:r>
    </w:p>
    <w:p w14:paraId="5C3CCE7F" w14:textId="77777777" w:rsidR="005A689A" w:rsidRPr="00E73BB1" w:rsidRDefault="005A689A" w:rsidP="00634AF0">
      <w:pPr>
        <w:pStyle w:val="EndNoteBibliographyTitle"/>
        <w:jc w:val="left"/>
        <w:sectPr w:rsidR="005A689A" w:rsidRPr="00E73BB1" w:rsidSect="009B71D2">
          <w:endnotePr>
            <w:numFmt w:val="decimal"/>
          </w:endnotePr>
          <w:pgSz w:w="16838" w:h="11906" w:orient="landscape"/>
          <w:pgMar w:top="1440" w:right="1440" w:bottom="1440" w:left="1440" w:header="708" w:footer="708" w:gutter="0"/>
          <w:cols w:space="708"/>
          <w:docGrid w:linePitch="360"/>
        </w:sectPr>
      </w:pPr>
    </w:p>
    <w:p w14:paraId="0F03836D" w14:textId="2F15391D" w:rsidR="00467617" w:rsidRPr="00E73BB1" w:rsidRDefault="00634AF0" w:rsidP="009161D3">
      <w:pPr>
        <w:pStyle w:val="EndNoteBibliographyTitle"/>
        <w:spacing w:line="480" w:lineRule="auto"/>
        <w:jc w:val="left"/>
        <w:rPr>
          <w:b/>
          <w:bCs/>
        </w:rPr>
      </w:pPr>
      <w:r w:rsidRPr="00E73BB1">
        <w:rPr>
          <w:b/>
          <w:bCs/>
        </w:rPr>
        <w:lastRenderedPageBreak/>
        <w:t>Table 2</w:t>
      </w:r>
    </w:p>
    <w:p w14:paraId="6F10DC00" w14:textId="10F55BBD" w:rsidR="00467617" w:rsidRPr="00E73BB1" w:rsidRDefault="006714FE" w:rsidP="009161D3">
      <w:pPr>
        <w:pStyle w:val="EndNoteBibliographyTitle"/>
        <w:spacing w:line="480" w:lineRule="auto"/>
        <w:jc w:val="left"/>
        <w:rPr>
          <w:i/>
          <w:iCs/>
        </w:rPr>
      </w:pPr>
      <w:r w:rsidRPr="00E73BB1">
        <w:rPr>
          <w:i/>
          <w:iCs/>
        </w:rPr>
        <w:t>F</w:t>
      </w:r>
      <w:r w:rsidR="00467617" w:rsidRPr="00E73BB1">
        <w:rPr>
          <w:i/>
          <w:iCs/>
        </w:rPr>
        <w:t xml:space="preserve">it </w:t>
      </w:r>
      <w:r w:rsidR="00C17464" w:rsidRPr="00E73BB1">
        <w:rPr>
          <w:i/>
          <w:iCs/>
        </w:rPr>
        <w:t>I</w:t>
      </w:r>
      <w:r w:rsidR="00467617" w:rsidRPr="00E73BB1">
        <w:rPr>
          <w:i/>
          <w:iCs/>
        </w:rPr>
        <w:t>ndices for Confirmatory Factor Analysis</w:t>
      </w:r>
      <w:r w:rsidR="00666A49" w:rsidRPr="00E73BB1">
        <w:rPr>
          <w:i/>
          <w:iCs/>
        </w:rPr>
        <w:t xml:space="preserve"> (CFA) of the 9-item </w:t>
      </w:r>
      <w:r w:rsidR="00CE3226" w:rsidRPr="00E73BB1">
        <w:rPr>
          <w:i/>
          <w:iCs/>
          <w:szCs w:val="24"/>
        </w:rPr>
        <w:t xml:space="preserve">BILD-Q </w:t>
      </w:r>
      <w:r w:rsidR="00B56865" w:rsidRPr="00E73BB1">
        <w:rPr>
          <w:i/>
          <w:iCs/>
        </w:rPr>
        <w:t>in Stud</w:t>
      </w:r>
      <w:r w:rsidR="00C17464" w:rsidRPr="00E73BB1">
        <w:rPr>
          <w:i/>
          <w:iCs/>
        </w:rPr>
        <w:t>ies</w:t>
      </w:r>
      <w:r w:rsidR="00B56865" w:rsidRPr="00E73BB1">
        <w:rPr>
          <w:i/>
          <w:iCs/>
        </w:rPr>
        <w:t xml:space="preserve"> 2</w:t>
      </w:r>
      <w:r w:rsidR="00DA10CE" w:rsidRPr="00E73BB1">
        <w:rPr>
          <w:i/>
          <w:iCs/>
        </w:rPr>
        <w:t xml:space="preserve"> (aged 11-13)</w:t>
      </w:r>
      <w:r w:rsidR="00B56865" w:rsidRPr="00E73BB1">
        <w:rPr>
          <w:i/>
          <w:iCs/>
        </w:rPr>
        <w:t xml:space="preserve"> and 3</w:t>
      </w:r>
      <w:r w:rsidR="00DA10CE" w:rsidRPr="00E73BB1">
        <w:rPr>
          <w:i/>
          <w:iCs/>
        </w:rPr>
        <w:t xml:space="preserve"> (aged 13-14)</w:t>
      </w:r>
    </w:p>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5"/>
        <w:gridCol w:w="1299"/>
        <w:gridCol w:w="567"/>
        <w:gridCol w:w="708"/>
        <w:gridCol w:w="2268"/>
        <w:gridCol w:w="1276"/>
        <w:gridCol w:w="1276"/>
        <w:gridCol w:w="567"/>
        <w:gridCol w:w="1134"/>
        <w:gridCol w:w="2126"/>
        <w:gridCol w:w="1134"/>
      </w:tblGrid>
      <w:tr w:rsidR="00606559" w:rsidRPr="00E73BB1" w14:paraId="580B9EBE" w14:textId="77777777" w:rsidTr="00606559">
        <w:tc>
          <w:tcPr>
            <w:tcW w:w="1395" w:type="dxa"/>
            <w:tcBorders>
              <w:top w:val="single" w:sz="4" w:space="0" w:color="auto"/>
              <w:bottom w:val="single" w:sz="4" w:space="0" w:color="auto"/>
            </w:tcBorders>
          </w:tcPr>
          <w:p w14:paraId="6480C8F4" w14:textId="77777777" w:rsidR="00606559" w:rsidRPr="00E73BB1" w:rsidRDefault="00606559" w:rsidP="00606559">
            <w:pPr>
              <w:pStyle w:val="EndNoteBibliographyTitle"/>
              <w:jc w:val="left"/>
              <w:rPr>
                <w:b/>
              </w:rPr>
            </w:pPr>
          </w:p>
        </w:tc>
        <w:tc>
          <w:tcPr>
            <w:tcW w:w="6118" w:type="dxa"/>
            <w:gridSpan w:val="5"/>
            <w:tcBorders>
              <w:top w:val="single" w:sz="4" w:space="0" w:color="auto"/>
              <w:bottom w:val="single" w:sz="4" w:space="0" w:color="auto"/>
            </w:tcBorders>
          </w:tcPr>
          <w:p w14:paraId="1366D2CE" w14:textId="53DC77A0" w:rsidR="00606559" w:rsidRPr="00E73BB1" w:rsidRDefault="00606559" w:rsidP="00606559">
            <w:pPr>
              <w:pStyle w:val="EndNoteBibliographyTitle"/>
              <w:rPr>
                <w:b/>
              </w:rPr>
            </w:pPr>
            <w:r w:rsidRPr="00E73BB1">
              <w:rPr>
                <w:b/>
              </w:rPr>
              <w:t>Study 2</w:t>
            </w:r>
          </w:p>
        </w:tc>
        <w:tc>
          <w:tcPr>
            <w:tcW w:w="6237" w:type="dxa"/>
            <w:gridSpan w:val="5"/>
            <w:tcBorders>
              <w:top w:val="single" w:sz="4" w:space="0" w:color="auto"/>
              <w:bottom w:val="single" w:sz="4" w:space="0" w:color="auto"/>
            </w:tcBorders>
          </w:tcPr>
          <w:p w14:paraId="388817F3" w14:textId="63788AF6" w:rsidR="00606559" w:rsidRPr="00E73BB1" w:rsidRDefault="00B56865" w:rsidP="00606559">
            <w:pPr>
              <w:pStyle w:val="EndNoteBibliographyTitle"/>
              <w:rPr>
                <w:b/>
              </w:rPr>
            </w:pPr>
            <w:r w:rsidRPr="00E73BB1">
              <w:rPr>
                <w:b/>
              </w:rPr>
              <w:t>Study 3</w:t>
            </w:r>
          </w:p>
        </w:tc>
      </w:tr>
      <w:tr w:rsidR="005A689A" w:rsidRPr="00E73BB1" w14:paraId="4DE1C530" w14:textId="6589C67E" w:rsidTr="00606559">
        <w:tc>
          <w:tcPr>
            <w:tcW w:w="1395" w:type="dxa"/>
            <w:tcBorders>
              <w:top w:val="single" w:sz="4" w:space="0" w:color="auto"/>
              <w:bottom w:val="single" w:sz="4" w:space="0" w:color="auto"/>
            </w:tcBorders>
          </w:tcPr>
          <w:p w14:paraId="66DFCA72" w14:textId="77777777" w:rsidR="005A689A" w:rsidRPr="00E73BB1" w:rsidRDefault="005A689A" w:rsidP="005A689A">
            <w:pPr>
              <w:pStyle w:val="EndNoteBibliographyTitle"/>
              <w:jc w:val="left"/>
            </w:pPr>
          </w:p>
        </w:tc>
        <w:tc>
          <w:tcPr>
            <w:tcW w:w="1299" w:type="dxa"/>
            <w:tcBorders>
              <w:top w:val="single" w:sz="4" w:space="0" w:color="auto"/>
              <w:bottom w:val="single" w:sz="4" w:space="0" w:color="auto"/>
            </w:tcBorders>
          </w:tcPr>
          <w:p w14:paraId="3266626A" w14:textId="077284C6" w:rsidR="005A689A" w:rsidRPr="00E73BB1" w:rsidRDefault="005A689A" w:rsidP="005A689A">
            <w:pPr>
              <w:pStyle w:val="EndNoteBibliographyTitle"/>
            </w:pPr>
            <w:r w:rsidRPr="00E73BB1">
              <w:t>χ</w:t>
            </w:r>
            <w:r w:rsidRPr="00E73BB1">
              <w:rPr>
                <w:vertAlign w:val="superscript"/>
              </w:rPr>
              <w:t>2</w:t>
            </w:r>
          </w:p>
        </w:tc>
        <w:tc>
          <w:tcPr>
            <w:tcW w:w="567" w:type="dxa"/>
            <w:tcBorders>
              <w:top w:val="single" w:sz="4" w:space="0" w:color="auto"/>
              <w:bottom w:val="single" w:sz="4" w:space="0" w:color="auto"/>
            </w:tcBorders>
          </w:tcPr>
          <w:p w14:paraId="788CC52F" w14:textId="46051FC9" w:rsidR="005A689A" w:rsidRPr="00E73BB1" w:rsidRDefault="005A689A" w:rsidP="005A689A">
            <w:pPr>
              <w:pStyle w:val="EndNoteBibliographyTitle"/>
            </w:pPr>
            <w:r w:rsidRPr="00E73BB1">
              <w:t>df</w:t>
            </w:r>
          </w:p>
        </w:tc>
        <w:tc>
          <w:tcPr>
            <w:tcW w:w="708" w:type="dxa"/>
            <w:tcBorders>
              <w:top w:val="single" w:sz="4" w:space="0" w:color="auto"/>
              <w:bottom w:val="single" w:sz="4" w:space="0" w:color="auto"/>
            </w:tcBorders>
          </w:tcPr>
          <w:p w14:paraId="7BA30EDE" w14:textId="3F59F159" w:rsidR="005A689A" w:rsidRPr="00E73BB1" w:rsidRDefault="005A689A" w:rsidP="005A689A">
            <w:pPr>
              <w:pStyle w:val="EndNoteBibliographyTitle"/>
            </w:pPr>
            <w:r w:rsidRPr="00E73BB1">
              <w:t>CFI</w:t>
            </w:r>
          </w:p>
        </w:tc>
        <w:tc>
          <w:tcPr>
            <w:tcW w:w="2268" w:type="dxa"/>
            <w:tcBorders>
              <w:top w:val="single" w:sz="4" w:space="0" w:color="auto"/>
              <w:bottom w:val="single" w:sz="4" w:space="0" w:color="auto"/>
            </w:tcBorders>
          </w:tcPr>
          <w:p w14:paraId="1ACFCC42" w14:textId="05FEC4AE" w:rsidR="005A689A" w:rsidRPr="00E73BB1" w:rsidRDefault="005A689A" w:rsidP="005A689A">
            <w:pPr>
              <w:pStyle w:val="EndNoteBibliographyTitle"/>
            </w:pPr>
            <w:r w:rsidRPr="00E73BB1">
              <w:t>RMSEA (90% CI)</w:t>
            </w:r>
          </w:p>
        </w:tc>
        <w:tc>
          <w:tcPr>
            <w:tcW w:w="1276" w:type="dxa"/>
            <w:tcBorders>
              <w:top w:val="single" w:sz="4" w:space="0" w:color="auto"/>
              <w:bottom w:val="single" w:sz="4" w:space="0" w:color="auto"/>
            </w:tcBorders>
          </w:tcPr>
          <w:p w14:paraId="29D78F23" w14:textId="069FFD1D" w:rsidR="005A689A" w:rsidRPr="00E73BB1" w:rsidRDefault="005A689A" w:rsidP="005A689A">
            <w:pPr>
              <w:pStyle w:val="EndNoteBibliographyTitle"/>
            </w:pPr>
            <w:r w:rsidRPr="00E73BB1">
              <w:t>SRMR</w:t>
            </w:r>
          </w:p>
        </w:tc>
        <w:tc>
          <w:tcPr>
            <w:tcW w:w="1276" w:type="dxa"/>
            <w:tcBorders>
              <w:top w:val="single" w:sz="4" w:space="0" w:color="auto"/>
              <w:bottom w:val="single" w:sz="4" w:space="0" w:color="auto"/>
            </w:tcBorders>
          </w:tcPr>
          <w:p w14:paraId="7190C99B" w14:textId="65FF4312" w:rsidR="005A689A" w:rsidRPr="00E73BB1" w:rsidRDefault="005A689A" w:rsidP="005A689A">
            <w:pPr>
              <w:pStyle w:val="EndNoteBibliographyTitle"/>
            </w:pPr>
            <w:r w:rsidRPr="00E73BB1">
              <w:t>χ</w:t>
            </w:r>
            <w:r w:rsidRPr="00E73BB1">
              <w:rPr>
                <w:vertAlign w:val="superscript"/>
              </w:rPr>
              <w:t>2</w:t>
            </w:r>
          </w:p>
        </w:tc>
        <w:tc>
          <w:tcPr>
            <w:tcW w:w="567" w:type="dxa"/>
            <w:tcBorders>
              <w:top w:val="single" w:sz="4" w:space="0" w:color="auto"/>
              <w:bottom w:val="single" w:sz="4" w:space="0" w:color="auto"/>
            </w:tcBorders>
          </w:tcPr>
          <w:p w14:paraId="5A93267C" w14:textId="0CBCFD02" w:rsidR="005A689A" w:rsidRPr="00E73BB1" w:rsidRDefault="005A689A" w:rsidP="005A689A">
            <w:pPr>
              <w:pStyle w:val="EndNoteBibliographyTitle"/>
            </w:pPr>
            <w:r w:rsidRPr="00E73BB1">
              <w:t>df</w:t>
            </w:r>
          </w:p>
        </w:tc>
        <w:tc>
          <w:tcPr>
            <w:tcW w:w="1134" w:type="dxa"/>
            <w:tcBorders>
              <w:top w:val="single" w:sz="4" w:space="0" w:color="auto"/>
              <w:bottom w:val="single" w:sz="4" w:space="0" w:color="auto"/>
            </w:tcBorders>
          </w:tcPr>
          <w:p w14:paraId="5A384188" w14:textId="4942E5AE" w:rsidR="005A689A" w:rsidRPr="00E73BB1" w:rsidRDefault="005A689A" w:rsidP="005A689A">
            <w:pPr>
              <w:pStyle w:val="EndNoteBibliographyTitle"/>
            </w:pPr>
            <w:r w:rsidRPr="00E73BB1">
              <w:t>CFI</w:t>
            </w:r>
          </w:p>
        </w:tc>
        <w:tc>
          <w:tcPr>
            <w:tcW w:w="2126" w:type="dxa"/>
            <w:tcBorders>
              <w:top w:val="single" w:sz="4" w:space="0" w:color="auto"/>
              <w:bottom w:val="single" w:sz="4" w:space="0" w:color="auto"/>
            </w:tcBorders>
          </w:tcPr>
          <w:p w14:paraId="3B36DA1E" w14:textId="267227A5" w:rsidR="005A689A" w:rsidRPr="00E73BB1" w:rsidRDefault="005A689A" w:rsidP="005A689A">
            <w:pPr>
              <w:pStyle w:val="EndNoteBibliographyTitle"/>
            </w:pPr>
            <w:r w:rsidRPr="00E73BB1">
              <w:t>RMSEA (90% CI)</w:t>
            </w:r>
          </w:p>
        </w:tc>
        <w:tc>
          <w:tcPr>
            <w:tcW w:w="1134" w:type="dxa"/>
            <w:tcBorders>
              <w:top w:val="single" w:sz="4" w:space="0" w:color="auto"/>
              <w:bottom w:val="single" w:sz="4" w:space="0" w:color="auto"/>
            </w:tcBorders>
          </w:tcPr>
          <w:p w14:paraId="425A9753" w14:textId="046799D8" w:rsidR="005A689A" w:rsidRPr="00E73BB1" w:rsidRDefault="005A689A" w:rsidP="005A689A">
            <w:pPr>
              <w:pStyle w:val="EndNoteBibliographyTitle"/>
            </w:pPr>
            <w:r w:rsidRPr="00E73BB1">
              <w:t>SRMR</w:t>
            </w:r>
          </w:p>
        </w:tc>
      </w:tr>
      <w:tr w:rsidR="005A689A" w:rsidRPr="00E73BB1" w14:paraId="7B12E6CE" w14:textId="286C309B" w:rsidTr="00606559">
        <w:tc>
          <w:tcPr>
            <w:tcW w:w="1395" w:type="dxa"/>
            <w:tcBorders>
              <w:top w:val="single" w:sz="4" w:space="0" w:color="auto"/>
            </w:tcBorders>
          </w:tcPr>
          <w:p w14:paraId="3510A7CE" w14:textId="150EB232" w:rsidR="005A689A" w:rsidRPr="00E73BB1" w:rsidRDefault="005A689A" w:rsidP="005A689A">
            <w:pPr>
              <w:pStyle w:val="EndNoteBibliographyTitle"/>
              <w:jc w:val="left"/>
            </w:pPr>
            <w:r w:rsidRPr="00E73BB1">
              <w:t>Original</w:t>
            </w:r>
          </w:p>
        </w:tc>
        <w:tc>
          <w:tcPr>
            <w:tcW w:w="1299" w:type="dxa"/>
            <w:tcBorders>
              <w:top w:val="single" w:sz="4" w:space="0" w:color="auto"/>
            </w:tcBorders>
          </w:tcPr>
          <w:p w14:paraId="5B02481A" w14:textId="77777777" w:rsidR="005A689A" w:rsidRPr="00E73BB1" w:rsidRDefault="005A689A" w:rsidP="00606559">
            <w:pPr>
              <w:pStyle w:val="EndNoteBibliographyTitle"/>
              <w:tabs>
                <w:tab w:val="decimal" w:pos="330"/>
              </w:tabs>
              <w:jc w:val="left"/>
            </w:pPr>
          </w:p>
        </w:tc>
        <w:tc>
          <w:tcPr>
            <w:tcW w:w="567" w:type="dxa"/>
            <w:tcBorders>
              <w:top w:val="single" w:sz="4" w:space="0" w:color="auto"/>
            </w:tcBorders>
          </w:tcPr>
          <w:p w14:paraId="0194E51E" w14:textId="77777777" w:rsidR="005A689A" w:rsidRPr="00E73BB1" w:rsidRDefault="005A689A" w:rsidP="00606559">
            <w:pPr>
              <w:pStyle w:val="EndNoteBibliographyTitle"/>
              <w:tabs>
                <w:tab w:val="decimal" w:pos="330"/>
              </w:tabs>
              <w:jc w:val="left"/>
            </w:pPr>
          </w:p>
        </w:tc>
        <w:tc>
          <w:tcPr>
            <w:tcW w:w="708" w:type="dxa"/>
            <w:tcBorders>
              <w:top w:val="single" w:sz="4" w:space="0" w:color="auto"/>
            </w:tcBorders>
          </w:tcPr>
          <w:p w14:paraId="482650F1" w14:textId="77777777" w:rsidR="005A689A" w:rsidRPr="00E73BB1" w:rsidRDefault="005A689A" w:rsidP="00606559">
            <w:pPr>
              <w:pStyle w:val="EndNoteBibliographyTitle"/>
              <w:tabs>
                <w:tab w:val="decimal" w:pos="330"/>
              </w:tabs>
              <w:jc w:val="left"/>
            </w:pPr>
          </w:p>
        </w:tc>
        <w:tc>
          <w:tcPr>
            <w:tcW w:w="2268" w:type="dxa"/>
            <w:tcBorders>
              <w:top w:val="single" w:sz="4" w:space="0" w:color="auto"/>
            </w:tcBorders>
          </w:tcPr>
          <w:p w14:paraId="00FC0B5E" w14:textId="77777777" w:rsidR="005A689A" w:rsidRPr="00E73BB1" w:rsidRDefault="005A689A" w:rsidP="00606559">
            <w:pPr>
              <w:pStyle w:val="EndNoteBibliographyTitle"/>
              <w:tabs>
                <w:tab w:val="decimal" w:pos="173"/>
              </w:tabs>
              <w:jc w:val="left"/>
            </w:pPr>
          </w:p>
        </w:tc>
        <w:tc>
          <w:tcPr>
            <w:tcW w:w="1276" w:type="dxa"/>
            <w:tcBorders>
              <w:top w:val="single" w:sz="4" w:space="0" w:color="auto"/>
            </w:tcBorders>
          </w:tcPr>
          <w:p w14:paraId="604CBD9C" w14:textId="77777777" w:rsidR="005A689A" w:rsidRPr="00E73BB1" w:rsidRDefault="005A689A" w:rsidP="00606559">
            <w:pPr>
              <w:pStyle w:val="EndNoteBibliographyTitle"/>
              <w:tabs>
                <w:tab w:val="decimal" w:pos="330"/>
              </w:tabs>
              <w:jc w:val="left"/>
            </w:pPr>
          </w:p>
        </w:tc>
        <w:tc>
          <w:tcPr>
            <w:tcW w:w="1276" w:type="dxa"/>
            <w:tcBorders>
              <w:top w:val="single" w:sz="4" w:space="0" w:color="auto"/>
            </w:tcBorders>
          </w:tcPr>
          <w:p w14:paraId="599181E6" w14:textId="77777777" w:rsidR="005A689A" w:rsidRPr="00E73BB1" w:rsidRDefault="005A689A" w:rsidP="00606559">
            <w:pPr>
              <w:pStyle w:val="EndNoteBibliographyTitle"/>
              <w:tabs>
                <w:tab w:val="decimal" w:pos="330"/>
              </w:tabs>
              <w:jc w:val="left"/>
            </w:pPr>
          </w:p>
        </w:tc>
        <w:tc>
          <w:tcPr>
            <w:tcW w:w="567" w:type="dxa"/>
            <w:tcBorders>
              <w:top w:val="single" w:sz="4" w:space="0" w:color="auto"/>
            </w:tcBorders>
          </w:tcPr>
          <w:p w14:paraId="3E313B5B" w14:textId="77777777" w:rsidR="005A689A" w:rsidRPr="00E73BB1" w:rsidRDefault="005A689A" w:rsidP="00606559">
            <w:pPr>
              <w:pStyle w:val="EndNoteBibliographyTitle"/>
              <w:tabs>
                <w:tab w:val="decimal" w:pos="330"/>
              </w:tabs>
              <w:jc w:val="left"/>
            </w:pPr>
          </w:p>
        </w:tc>
        <w:tc>
          <w:tcPr>
            <w:tcW w:w="1134" w:type="dxa"/>
            <w:tcBorders>
              <w:top w:val="single" w:sz="4" w:space="0" w:color="auto"/>
            </w:tcBorders>
          </w:tcPr>
          <w:p w14:paraId="01BEF3FE" w14:textId="77777777" w:rsidR="005A689A" w:rsidRPr="00E73BB1" w:rsidRDefault="005A689A" w:rsidP="00606559">
            <w:pPr>
              <w:pStyle w:val="EndNoteBibliographyTitle"/>
              <w:tabs>
                <w:tab w:val="decimal" w:pos="330"/>
              </w:tabs>
              <w:jc w:val="left"/>
            </w:pPr>
          </w:p>
        </w:tc>
        <w:tc>
          <w:tcPr>
            <w:tcW w:w="2126" w:type="dxa"/>
            <w:tcBorders>
              <w:top w:val="single" w:sz="4" w:space="0" w:color="auto"/>
            </w:tcBorders>
          </w:tcPr>
          <w:p w14:paraId="15A31A43" w14:textId="77777777" w:rsidR="005A689A" w:rsidRPr="00E73BB1" w:rsidRDefault="005A689A" w:rsidP="00606559">
            <w:pPr>
              <w:pStyle w:val="EndNoteBibliographyTitle"/>
              <w:tabs>
                <w:tab w:val="decimal" w:pos="168"/>
              </w:tabs>
              <w:jc w:val="left"/>
            </w:pPr>
          </w:p>
        </w:tc>
        <w:tc>
          <w:tcPr>
            <w:tcW w:w="1134" w:type="dxa"/>
            <w:tcBorders>
              <w:top w:val="single" w:sz="4" w:space="0" w:color="auto"/>
            </w:tcBorders>
          </w:tcPr>
          <w:p w14:paraId="2D333EA8" w14:textId="77777777" w:rsidR="005A689A" w:rsidRPr="00E73BB1" w:rsidRDefault="005A689A" w:rsidP="00606559">
            <w:pPr>
              <w:pStyle w:val="EndNoteBibliographyTitle"/>
              <w:tabs>
                <w:tab w:val="decimal" w:pos="330"/>
              </w:tabs>
              <w:jc w:val="left"/>
            </w:pPr>
          </w:p>
        </w:tc>
      </w:tr>
      <w:tr w:rsidR="005A689A" w:rsidRPr="00E73BB1" w14:paraId="28F35434" w14:textId="21F773FF" w:rsidTr="00606559">
        <w:tc>
          <w:tcPr>
            <w:tcW w:w="1395" w:type="dxa"/>
          </w:tcPr>
          <w:p w14:paraId="75C5CFF8" w14:textId="77777777" w:rsidR="005A689A" w:rsidRPr="00E73BB1" w:rsidRDefault="005A689A" w:rsidP="005A689A">
            <w:pPr>
              <w:pStyle w:val="EndNoteBibliographyTitle"/>
              <w:ind w:left="167"/>
              <w:jc w:val="left"/>
              <w:rPr>
                <w:i/>
              </w:rPr>
            </w:pPr>
            <w:r w:rsidRPr="00E73BB1">
              <w:rPr>
                <w:i/>
              </w:rPr>
              <w:t>Overall</w:t>
            </w:r>
          </w:p>
        </w:tc>
        <w:tc>
          <w:tcPr>
            <w:tcW w:w="1299" w:type="dxa"/>
          </w:tcPr>
          <w:p w14:paraId="40C86683" w14:textId="3FEC8F6E" w:rsidR="005A689A" w:rsidRPr="00E73BB1" w:rsidRDefault="005A689A" w:rsidP="00606559">
            <w:pPr>
              <w:pStyle w:val="EndNoteBibliographyTitle"/>
              <w:tabs>
                <w:tab w:val="decimal" w:pos="330"/>
              </w:tabs>
              <w:jc w:val="left"/>
            </w:pPr>
            <w:r w:rsidRPr="00E73BB1">
              <w:t>293.31</w:t>
            </w:r>
          </w:p>
        </w:tc>
        <w:tc>
          <w:tcPr>
            <w:tcW w:w="567" w:type="dxa"/>
          </w:tcPr>
          <w:p w14:paraId="7B40D2CB" w14:textId="7DEDA0C9" w:rsidR="005A689A" w:rsidRPr="00E73BB1" w:rsidRDefault="005A689A" w:rsidP="00606559">
            <w:pPr>
              <w:pStyle w:val="EndNoteBibliographyTitle"/>
              <w:tabs>
                <w:tab w:val="decimal" w:pos="330"/>
              </w:tabs>
              <w:jc w:val="left"/>
            </w:pPr>
            <w:r w:rsidRPr="00E73BB1">
              <w:t>27</w:t>
            </w:r>
          </w:p>
        </w:tc>
        <w:tc>
          <w:tcPr>
            <w:tcW w:w="708" w:type="dxa"/>
          </w:tcPr>
          <w:p w14:paraId="63118E86" w14:textId="2B2395BE" w:rsidR="005A689A" w:rsidRPr="00E73BB1" w:rsidRDefault="005A689A" w:rsidP="00606559">
            <w:pPr>
              <w:pStyle w:val="EndNoteBibliographyTitle"/>
              <w:tabs>
                <w:tab w:val="decimal" w:pos="330"/>
              </w:tabs>
              <w:jc w:val="left"/>
              <w:rPr>
                <w:i/>
              </w:rPr>
            </w:pPr>
            <w:r w:rsidRPr="00E73BB1">
              <w:rPr>
                <w:i/>
              </w:rPr>
              <w:t>.</w:t>
            </w:r>
            <w:r w:rsidRPr="00E73BB1">
              <w:t>948</w:t>
            </w:r>
          </w:p>
        </w:tc>
        <w:tc>
          <w:tcPr>
            <w:tcW w:w="2268" w:type="dxa"/>
          </w:tcPr>
          <w:p w14:paraId="339589D7" w14:textId="742A0456" w:rsidR="005A689A" w:rsidRPr="00E73BB1" w:rsidRDefault="005A689A" w:rsidP="00606559">
            <w:pPr>
              <w:pStyle w:val="EndNoteBibliographyTitle"/>
              <w:tabs>
                <w:tab w:val="decimal" w:pos="173"/>
              </w:tabs>
              <w:jc w:val="left"/>
            </w:pPr>
            <w:r w:rsidRPr="00E73BB1">
              <w:t>.086 (.077-.095)</w:t>
            </w:r>
          </w:p>
        </w:tc>
        <w:tc>
          <w:tcPr>
            <w:tcW w:w="1276" w:type="dxa"/>
          </w:tcPr>
          <w:p w14:paraId="0AD5CACF" w14:textId="4163E428" w:rsidR="005A689A" w:rsidRPr="00E73BB1" w:rsidRDefault="005A689A" w:rsidP="00606559">
            <w:pPr>
              <w:pStyle w:val="EndNoteBibliographyTitle"/>
              <w:tabs>
                <w:tab w:val="decimal" w:pos="330"/>
              </w:tabs>
              <w:jc w:val="left"/>
            </w:pPr>
            <w:r w:rsidRPr="00E73BB1">
              <w:t>.034</w:t>
            </w:r>
          </w:p>
        </w:tc>
        <w:tc>
          <w:tcPr>
            <w:tcW w:w="1276" w:type="dxa"/>
          </w:tcPr>
          <w:p w14:paraId="2D29C39F" w14:textId="72907D2F" w:rsidR="005A689A" w:rsidRPr="00E73BB1" w:rsidRDefault="005A689A" w:rsidP="00DA10CE">
            <w:pPr>
              <w:pStyle w:val="EndNoteBibliographyTitle"/>
              <w:tabs>
                <w:tab w:val="decimal" w:pos="330"/>
              </w:tabs>
              <w:jc w:val="left"/>
            </w:pPr>
            <w:r w:rsidRPr="00E73BB1">
              <w:t>422.55</w:t>
            </w:r>
          </w:p>
        </w:tc>
        <w:tc>
          <w:tcPr>
            <w:tcW w:w="567" w:type="dxa"/>
          </w:tcPr>
          <w:p w14:paraId="36427744" w14:textId="1478339C" w:rsidR="005A689A" w:rsidRPr="00E73BB1" w:rsidRDefault="005A689A" w:rsidP="00606559">
            <w:pPr>
              <w:pStyle w:val="EndNoteBibliographyTitle"/>
              <w:tabs>
                <w:tab w:val="decimal" w:pos="330"/>
              </w:tabs>
              <w:jc w:val="left"/>
            </w:pPr>
            <w:r w:rsidRPr="00E73BB1">
              <w:t>27</w:t>
            </w:r>
          </w:p>
        </w:tc>
        <w:tc>
          <w:tcPr>
            <w:tcW w:w="1134" w:type="dxa"/>
          </w:tcPr>
          <w:p w14:paraId="2EE630A3" w14:textId="35E428EC" w:rsidR="005A689A" w:rsidRPr="00E73BB1" w:rsidRDefault="005A689A" w:rsidP="00606559">
            <w:pPr>
              <w:pStyle w:val="EndNoteBibliographyTitle"/>
              <w:tabs>
                <w:tab w:val="decimal" w:pos="330"/>
              </w:tabs>
              <w:jc w:val="left"/>
            </w:pPr>
            <w:r w:rsidRPr="00E73BB1">
              <w:t>.937</w:t>
            </w:r>
          </w:p>
        </w:tc>
        <w:tc>
          <w:tcPr>
            <w:tcW w:w="2126" w:type="dxa"/>
          </w:tcPr>
          <w:p w14:paraId="4FE4BB40" w14:textId="7F083A91" w:rsidR="005A689A" w:rsidRPr="00E73BB1" w:rsidRDefault="005A689A" w:rsidP="00606559">
            <w:pPr>
              <w:pStyle w:val="EndNoteBibliographyTitle"/>
              <w:tabs>
                <w:tab w:val="decimal" w:pos="168"/>
              </w:tabs>
              <w:jc w:val="left"/>
            </w:pPr>
            <w:r w:rsidRPr="00E73BB1">
              <w:t>.087 (.080-.094)</w:t>
            </w:r>
          </w:p>
        </w:tc>
        <w:tc>
          <w:tcPr>
            <w:tcW w:w="1134" w:type="dxa"/>
          </w:tcPr>
          <w:p w14:paraId="14F05E85" w14:textId="78B152FE" w:rsidR="005A689A" w:rsidRPr="00E73BB1" w:rsidRDefault="005A689A" w:rsidP="00606559">
            <w:pPr>
              <w:pStyle w:val="EndNoteBibliographyTitle"/>
              <w:tabs>
                <w:tab w:val="decimal" w:pos="330"/>
              </w:tabs>
              <w:jc w:val="left"/>
            </w:pPr>
            <w:r w:rsidRPr="00E73BB1">
              <w:t>.038</w:t>
            </w:r>
          </w:p>
        </w:tc>
      </w:tr>
      <w:tr w:rsidR="005A689A" w:rsidRPr="00E73BB1" w14:paraId="6B4CCEA3" w14:textId="6466C6BE" w:rsidTr="00606559">
        <w:tc>
          <w:tcPr>
            <w:tcW w:w="1395" w:type="dxa"/>
          </w:tcPr>
          <w:p w14:paraId="68576245" w14:textId="5D519639" w:rsidR="005A689A" w:rsidRPr="00E73BB1" w:rsidRDefault="005A689A" w:rsidP="005A689A">
            <w:pPr>
              <w:pStyle w:val="EndNoteBibliographyTitle"/>
              <w:ind w:left="167"/>
              <w:jc w:val="left"/>
              <w:rPr>
                <w:i/>
              </w:rPr>
            </w:pPr>
            <w:r w:rsidRPr="00E73BB1">
              <w:rPr>
                <w:i/>
              </w:rPr>
              <w:t>Boys</w:t>
            </w:r>
          </w:p>
        </w:tc>
        <w:tc>
          <w:tcPr>
            <w:tcW w:w="1299" w:type="dxa"/>
          </w:tcPr>
          <w:p w14:paraId="7B61EB92" w14:textId="49A7315F" w:rsidR="005A689A" w:rsidRPr="00E73BB1" w:rsidRDefault="005A689A" w:rsidP="00606559">
            <w:pPr>
              <w:pStyle w:val="EndNoteBibliographyTitle"/>
              <w:tabs>
                <w:tab w:val="decimal" w:pos="330"/>
              </w:tabs>
              <w:jc w:val="left"/>
            </w:pPr>
            <w:r w:rsidRPr="00E73BB1">
              <w:t>314.88</w:t>
            </w:r>
          </w:p>
        </w:tc>
        <w:tc>
          <w:tcPr>
            <w:tcW w:w="567" w:type="dxa"/>
          </w:tcPr>
          <w:p w14:paraId="3A57E1FE" w14:textId="2CBB098C" w:rsidR="005A689A" w:rsidRPr="00E73BB1" w:rsidRDefault="005A689A" w:rsidP="00606559">
            <w:pPr>
              <w:pStyle w:val="EndNoteBibliographyTitle"/>
              <w:tabs>
                <w:tab w:val="decimal" w:pos="330"/>
              </w:tabs>
              <w:jc w:val="left"/>
            </w:pPr>
            <w:r w:rsidRPr="00E73BB1">
              <w:t>27</w:t>
            </w:r>
          </w:p>
        </w:tc>
        <w:tc>
          <w:tcPr>
            <w:tcW w:w="708" w:type="dxa"/>
          </w:tcPr>
          <w:p w14:paraId="76973F90" w14:textId="54AEBC8E" w:rsidR="005A689A" w:rsidRPr="00E73BB1" w:rsidRDefault="005A689A" w:rsidP="00606559">
            <w:pPr>
              <w:pStyle w:val="EndNoteBibliographyTitle"/>
              <w:tabs>
                <w:tab w:val="decimal" w:pos="330"/>
              </w:tabs>
              <w:jc w:val="left"/>
            </w:pPr>
            <w:r w:rsidRPr="00E73BB1">
              <w:t>.898</w:t>
            </w:r>
          </w:p>
        </w:tc>
        <w:tc>
          <w:tcPr>
            <w:tcW w:w="2268" w:type="dxa"/>
          </w:tcPr>
          <w:p w14:paraId="236E7D83" w14:textId="2BD9C2E3" w:rsidR="005A689A" w:rsidRPr="00E73BB1" w:rsidRDefault="005A689A" w:rsidP="00606559">
            <w:pPr>
              <w:pStyle w:val="EndNoteBibliographyTitle"/>
              <w:tabs>
                <w:tab w:val="decimal" w:pos="173"/>
              </w:tabs>
              <w:jc w:val="left"/>
            </w:pPr>
            <w:r w:rsidRPr="00E73BB1">
              <w:t>.121 (.109-.133)</w:t>
            </w:r>
          </w:p>
        </w:tc>
        <w:tc>
          <w:tcPr>
            <w:tcW w:w="1276" w:type="dxa"/>
          </w:tcPr>
          <w:p w14:paraId="60D1CA5A" w14:textId="49202670" w:rsidR="005A689A" w:rsidRPr="00E73BB1" w:rsidRDefault="005A689A" w:rsidP="00606559">
            <w:pPr>
              <w:pStyle w:val="EndNoteBibliographyTitle"/>
              <w:tabs>
                <w:tab w:val="decimal" w:pos="330"/>
              </w:tabs>
              <w:jc w:val="left"/>
            </w:pPr>
            <w:r w:rsidRPr="00E73BB1">
              <w:t>.047</w:t>
            </w:r>
          </w:p>
        </w:tc>
        <w:tc>
          <w:tcPr>
            <w:tcW w:w="1276" w:type="dxa"/>
          </w:tcPr>
          <w:p w14:paraId="55E34A3A" w14:textId="6E688A36" w:rsidR="005A689A" w:rsidRPr="00E73BB1" w:rsidRDefault="005A689A" w:rsidP="00DA10CE">
            <w:pPr>
              <w:pStyle w:val="EndNoteBibliographyTitle"/>
              <w:tabs>
                <w:tab w:val="decimal" w:pos="330"/>
              </w:tabs>
              <w:jc w:val="left"/>
            </w:pPr>
            <w:r w:rsidRPr="00E73BB1">
              <w:t>194.03</w:t>
            </w:r>
          </w:p>
        </w:tc>
        <w:tc>
          <w:tcPr>
            <w:tcW w:w="567" w:type="dxa"/>
          </w:tcPr>
          <w:p w14:paraId="0BA37FCB" w14:textId="58F8EE25" w:rsidR="005A689A" w:rsidRPr="00E73BB1" w:rsidRDefault="005A689A" w:rsidP="00606559">
            <w:pPr>
              <w:pStyle w:val="EndNoteBibliographyTitle"/>
              <w:tabs>
                <w:tab w:val="decimal" w:pos="330"/>
              </w:tabs>
              <w:jc w:val="left"/>
            </w:pPr>
            <w:r w:rsidRPr="00E73BB1">
              <w:t>27</w:t>
            </w:r>
          </w:p>
        </w:tc>
        <w:tc>
          <w:tcPr>
            <w:tcW w:w="1134" w:type="dxa"/>
          </w:tcPr>
          <w:p w14:paraId="1A6A57BB" w14:textId="7F8EF98F" w:rsidR="005A689A" w:rsidRPr="00E73BB1" w:rsidRDefault="005A689A" w:rsidP="00606559">
            <w:pPr>
              <w:pStyle w:val="EndNoteBibliographyTitle"/>
              <w:tabs>
                <w:tab w:val="decimal" w:pos="330"/>
              </w:tabs>
              <w:jc w:val="left"/>
            </w:pPr>
            <w:r w:rsidRPr="00E73BB1">
              <w:t>.949</w:t>
            </w:r>
          </w:p>
        </w:tc>
        <w:tc>
          <w:tcPr>
            <w:tcW w:w="2126" w:type="dxa"/>
          </w:tcPr>
          <w:p w14:paraId="7CB45142" w14:textId="5ABD3EF2" w:rsidR="005A689A" w:rsidRPr="00E73BB1" w:rsidRDefault="005A689A" w:rsidP="00606559">
            <w:pPr>
              <w:pStyle w:val="EndNoteBibliographyTitle"/>
              <w:tabs>
                <w:tab w:val="decimal" w:pos="168"/>
              </w:tabs>
              <w:jc w:val="left"/>
            </w:pPr>
            <w:r w:rsidRPr="00E73BB1">
              <w:t>.079 (.069-.090)</w:t>
            </w:r>
          </w:p>
        </w:tc>
        <w:tc>
          <w:tcPr>
            <w:tcW w:w="1134" w:type="dxa"/>
          </w:tcPr>
          <w:p w14:paraId="2C9E5740" w14:textId="44169E55" w:rsidR="005A689A" w:rsidRPr="00E73BB1" w:rsidRDefault="005A689A" w:rsidP="00606559">
            <w:pPr>
              <w:pStyle w:val="EndNoteBibliographyTitle"/>
              <w:tabs>
                <w:tab w:val="decimal" w:pos="330"/>
              </w:tabs>
              <w:jc w:val="left"/>
            </w:pPr>
            <w:r w:rsidRPr="00E73BB1">
              <w:t>.035</w:t>
            </w:r>
          </w:p>
        </w:tc>
      </w:tr>
      <w:tr w:rsidR="005A689A" w:rsidRPr="00E73BB1" w14:paraId="3F9C9294" w14:textId="5185F8E8" w:rsidTr="00606559">
        <w:tc>
          <w:tcPr>
            <w:tcW w:w="1395" w:type="dxa"/>
          </w:tcPr>
          <w:p w14:paraId="6956B00E" w14:textId="778330ED" w:rsidR="005A689A" w:rsidRPr="00E73BB1" w:rsidRDefault="005A689A" w:rsidP="005A689A">
            <w:pPr>
              <w:pStyle w:val="EndNoteBibliographyTitle"/>
              <w:ind w:left="167"/>
              <w:jc w:val="left"/>
              <w:rPr>
                <w:i/>
              </w:rPr>
            </w:pPr>
            <w:r w:rsidRPr="00E73BB1">
              <w:rPr>
                <w:i/>
              </w:rPr>
              <w:t>Girls</w:t>
            </w:r>
          </w:p>
        </w:tc>
        <w:tc>
          <w:tcPr>
            <w:tcW w:w="1299" w:type="dxa"/>
          </w:tcPr>
          <w:p w14:paraId="3DACFF53" w14:textId="141795E4" w:rsidR="005A689A" w:rsidRPr="00E73BB1" w:rsidRDefault="005A689A" w:rsidP="00DA10CE">
            <w:pPr>
              <w:pStyle w:val="EndNoteBibliographyTitle"/>
              <w:tabs>
                <w:tab w:val="decimal" w:pos="330"/>
              </w:tabs>
              <w:jc w:val="left"/>
            </w:pPr>
            <w:r w:rsidRPr="00E73BB1">
              <w:t>150.81</w:t>
            </w:r>
          </w:p>
        </w:tc>
        <w:tc>
          <w:tcPr>
            <w:tcW w:w="567" w:type="dxa"/>
          </w:tcPr>
          <w:p w14:paraId="1B6E74E8" w14:textId="076CB0B9" w:rsidR="005A689A" w:rsidRPr="00E73BB1" w:rsidRDefault="005A689A" w:rsidP="00606559">
            <w:pPr>
              <w:pStyle w:val="EndNoteBibliographyTitle"/>
              <w:tabs>
                <w:tab w:val="decimal" w:pos="330"/>
              </w:tabs>
              <w:jc w:val="left"/>
            </w:pPr>
            <w:r w:rsidRPr="00E73BB1">
              <w:t>27</w:t>
            </w:r>
          </w:p>
        </w:tc>
        <w:tc>
          <w:tcPr>
            <w:tcW w:w="708" w:type="dxa"/>
          </w:tcPr>
          <w:p w14:paraId="182D7685" w14:textId="5C0CE973" w:rsidR="005A689A" w:rsidRPr="00E73BB1" w:rsidRDefault="005A689A" w:rsidP="00606559">
            <w:pPr>
              <w:pStyle w:val="EndNoteBibliographyTitle"/>
              <w:tabs>
                <w:tab w:val="decimal" w:pos="330"/>
              </w:tabs>
              <w:jc w:val="left"/>
            </w:pPr>
            <w:r w:rsidRPr="00E73BB1">
              <w:t>.948</w:t>
            </w:r>
          </w:p>
        </w:tc>
        <w:tc>
          <w:tcPr>
            <w:tcW w:w="2268" w:type="dxa"/>
          </w:tcPr>
          <w:p w14:paraId="7C00E6F3" w14:textId="68D663AB" w:rsidR="005A689A" w:rsidRPr="00E73BB1" w:rsidRDefault="005A689A" w:rsidP="00606559">
            <w:pPr>
              <w:pStyle w:val="EndNoteBibliographyTitle"/>
              <w:tabs>
                <w:tab w:val="decimal" w:pos="173"/>
              </w:tabs>
              <w:jc w:val="left"/>
            </w:pPr>
            <w:r w:rsidRPr="00E73BB1">
              <w:t>.086 (.073-.100)</w:t>
            </w:r>
          </w:p>
        </w:tc>
        <w:tc>
          <w:tcPr>
            <w:tcW w:w="1276" w:type="dxa"/>
          </w:tcPr>
          <w:p w14:paraId="4F1743C4" w14:textId="360F6814" w:rsidR="005A689A" w:rsidRPr="00E73BB1" w:rsidRDefault="005A689A" w:rsidP="00606559">
            <w:pPr>
              <w:pStyle w:val="EndNoteBibliographyTitle"/>
              <w:tabs>
                <w:tab w:val="decimal" w:pos="330"/>
              </w:tabs>
              <w:jc w:val="left"/>
            </w:pPr>
            <w:r w:rsidRPr="00E73BB1">
              <w:t>.035</w:t>
            </w:r>
          </w:p>
        </w:tc>
        <w:tc>
          <w:tcPr>
            <w:tcW w:w="1276" w:type="dxa"/>
          </w:tcPr>
          <w:p w14:paraId="1BAAC123" w14:textId="518A7773" w:rsidR="005A689A" w:rsidRPr="00E73BB1" w:rsidRDefault="00606559" w:rsidP="00DA10CE">
            <w:pPr>
              <w:pStyle w:val="EndNoteBibliographyTitle"/>
              <w:tabs>
                <w:tab w:val="decimal" w:pos="330"/>
              </w:tabs>
              <w:jc w:val="left"/>
            </w:pPr>
            <w:r w:rsidRPr="00E73BB1">
              <w:t>219.04</w:t>
            </w:r>
          </w:p>
        </w:tc>
        <w:tc>
          <w:tcPr>
            <w:tcW w:w="567" w:type="dxa"/>
          </w:tcPr>
          <w:p w14:paraId="00C021ED" w14:textId="44AF3DA2" w:rsidR="005A689A" w:rsidRPr="00E73BB1" w:rsidRDefault="005A689A" w:rsidP="00606559">
            <w:pPr>
              <w:pStyle w:val="EndNoteBibliographyTitle"/>
              <w:tabs>
                <w:tab w:val="decimal" w:pos="330"/>
              </w:tabs>
              <w:jc w:val="left"/>
            </w:pPr>
            <w:r w:rsidRPr="00E73BB1">
              <w:t>27</w:t>
            </w:r>
          </w:p>
        </w:tc>
        <w:tc>
          <w:tcPr>
            <w:tcW w:w="1134" w:type="dxa"/>
          </w:tcPr>
          <w:p w14:paraId="65E23C24" w14:textId="79EBB97F" w:rsidR="005A689A" w:rsidRPr="00E73BB1" w:rsidRDefault="005A689A" w:rsidP="00606559">
            <w:pPr>
              <w:pStyle w:val="EndNoteBibliographyTitle"/>
              <w:tabs>
                <w:tab w:val="decimal" w:pos="330"/>
              </w:tabs>
              <w:jc w:val="left"/>
            </w:pPr>
            <w:r w:rsidRPr="00E73BB1">
              <w:t>.928</w:t>
            </w:r>
          </w:p>
        </w:tc>
        <w:tc>
          <w:tcPr>
            <w:tcW w:w="2126" w:type="dxa"/>
          </w:tcPr>
          <w:p w14:paraId="332A1004" w14:textId="69A5A649" w:rsidR="005A689A" w:rsidRPr="00E73BB1" w:rsidRDefault="005A689A" w:rsidP="00606559">
            <w:pPr>
              <w:pStyle w:val="EndNoteBibliographyTitle"/>
              <w:tabs>
                <w:tab w:val="decimal" w:pos="168"/>
              </w:tabs>
              <w:jc w:val="left"/>
            </w:pPr>
            <w:r w:rsidRPr="00E73BB1">
              <w:t>.087 (.077-.098)</w:t>
            </w:r>
          </w:p>
        </w:tc>
        <w:tc>
          <w:tcPr>
            <w:tcW w:w="1134" w:type="dxa"/>
          </w:tcPr>
          <w:p w14:paraId="6FB52DB6" w14:textId="0CF19D73" w:rsidR="005A689A" w:rsidRPr="00E73BB1" w:rsidRDefault="005A689A" w:rsidP="00606559">
            <w:pPr>
              <w:pStyle w:val="EndNoteBibliographyTitle"/>
              <w:tabs>
                <w:tab w:val="decimal" w:pos="330"/>
              </w:tabs>
              <w:jc w:val="left"/>
            </w:pPr>
            <w:r w:rsidRPr="00E73BB1">
              <w:t>.042</w:t>
            </w:r>
          </w:p>
        </w:tc>
      </w:tr>
      <w:tr w:rsidR="005A689A" w:rsidRPr="00E73BB1" w14:paraId="4E1EA039" w14:textId="14A78B2B" w:rsidTr="00606559">
        <w:tc>
          <w:tcPr>
            <w:tcW w:w="1395" w:type="dxa"/>
          </w:tcPr>
          <w:p w14:paraId="6AD6EAD7" w14:textId="574443E1" w:rsidR="005A689A" w:rsidRPr="00E73BB1" w:rsidRDefault="005A689A" w:rsidP="005A689A">
            <w:pPr>
              <w:pStyle w:val="EndNoteBibliographyTitle"/>
              <w:jc w:val="left"/>
            </w:pPr>
            <w:r w:rsidRPr="00E73BB1">
              <w:t>Modified</w:t>
            </w:r>
          </w:p>
        </w:tc>
        <w:tc>
          <w:tcPr>
            <w:tcW w:w="1299" w:type="dxa"/>
          </w:tcPr>
          <w:p w14:paraId="51FC2CD2" w14:textId="77777777" w:rsidR="005A689A" w:rsidRPr="00E73BB1" w:rsidRDefault="005A689A" w:rsidP="00606559">
            <w:pPr>
              <w:pStyle w:val="EndNoteBibliographyTitle"/>
              <w:tabs>
                <w:tab w:val="decimal" w:pos="330"/>
              </w:tabs>
              <w:jc w:val="left"/>
            </w:pPr>
          </w:p>
        </w:tc>
        <w:tc>
          <w:tcPr>
            <w:tcW w:w="567" w:type="dxa"/>
          </w:tcPr>
          <w:p w14:paraId="525051B9" w14:textId="77777777" w:rsidR="005A689A" w:rsidRPr="00E73BB1" w:rsidRDefault="005A689A" w:rsidP="00606559">
            <w:pPr>
              <w:pStyle w:val="EndNoteBibliographyTitle"/>
              <w:tabs>
                <w:tab w:val="decimal" w:pos="330"/>
              </w:tabs>
              <w:jc w:val="left"/>
            </w:pPr>
          </w:p>
        </w:tc>
        <w:tc>
          <w:tcPr>
            <w:tcW w:w="708" w:type="dxa"/>
          </w:tcPr>
          <w:p w14:paraId="6E5C1373" w14:textId="77777777" w:rsidR="005A689A" w:rsidRPr="00E73BB1" w:rsidRDefault="005A689A" w:rsidP="00606559">
            <w:pPr>
              <w:pStyle w:val="EndNoteBibliographyTitle"/>
              <w:tabs>
                <w:tab w:val="decimal" w:pos="330"/>
              </w:tabs>
              <w:jc w:val="left"/>
            </w:pPr>
          </w:p>
        </w:tc>
        <w:tc>
          <w:tcPr>
            <w:tcW w:w="2268" w:type="dxa"/>
          </w:tcPr>
          <w:p w14:paraId="5D631C89" w14:textId="77777777" w:rsidR="005A689A" w:rsidRPr="00E73BB1" w:rsidRDefault="005A689A" w:rsidP="00606559">
            <w:pPr>
              <w:pStyle w:val="EndNoteBibliographyTitle"/>
              <w:tabs>
                <w:tab w:val="decimal" w:pos="173"/>
              </w:tabs>
              <w:jc w:val="left"/>
            </w:pPr>
          </w:p>
        </w:tc>
        <w:tc>
          <w:tcPr>
            <w:tcW w:w="1276" w:type="dxa"/>
          </w:tcPr>
          <w:p w14:paraId="3E4A940E" w14:textId="77777777" w:rsidR="005A689A" w:rsidRPr="00E73BB1" w:rsidRDefault="005A689A" w:rsidP="00606559">
            <w:pPr>
              <w:pStyle w:val="EndNoteBibliographyTitle"/>
              <w:tabs>
                <w:tab w:val="decimal" w:pos="330"/>
              </w:tabs>
              <w:jc w:val="left"/>
            </w:pPr>
          </w:p>
        </w:tc>
        <w:tc>
          <w:tcPr>
            <w:tcW w:w="1276" w:type="dxa"/>
          </w:tcPr>
          <w:p w14:paraId="7A92A165" w14:textId="77777777" w:rsidR="005A689A" w:rsidRPr="00E73BB1" w:rsidRDefault="005A689A" w:rsidP="00606559">
            <w:pPr>
              <w:pStyle w:val="EndNoteBibliographyTitle"/>
              <w:tabs>
                <w:tab w:val="decimal" w:pos="330"/>
              </w:tabs>
              <w:jc w:val="left"/>
            </w:pPr>
          </w:p>
        </w:tc>
        <w:tc>
          <w:tcPr>
            <w:tcW w:w="567" w:type="dxa"/>
          </w:tcPr>
          <w:p w14:paraId="6646A968" w14:textId="77777777" w:rsidR="005A689A" w:rsidRPr="00E73BB1" w:rsidRDefault="005A689A" w:rsidP="00606559">
            <w:pPr>
              <w:pStyle w:val="EndNoteBibliographyTitle"/>
              <w:tabs>
                <w:tab w:val="decimal" w:pos="330"/>
              </w:tabs>
              <w:jc w:val="left"/>
            </w:pPr>
          </w:p>
        </w:tc>
        <w:tc>
          <w:tcPr>
            <w:tcW w:w="1134" w:type="dxa"/>
          </w:tcPr>
          <w:p w14:paraId="3FDDF597" w14:textId="77777777" w:rsidR="005A689A" w:rsidRPr="00E73BB1" w:rsidRDefault="005A689A" w:rsidP="00606559">
            <w:pPr>
              <w:pStyle w:val="EndNoteBibliographyTitle"/>
              <w:tabs>
                <w:tab w:val="decimal" w:pos="330"/>
              </w:tabs>
              <w:jc w:val="left"/>
            </w:pPr>
          </w:p>
        </w:tc>
        <w:tc>
          <w:tcPr>
            <w:tcW w:w="2126" w:type="dxa"/>
          </w:tcPr>
          <w:p w14:paraId="41237088" w14:textId="77777777" w:rsidR="005A689A" w:rsidRPr="00E73BB1" w:rsidRDefault="005A689A" w:rsidP="00606559">
            <w:pPr>
              <w:pStyle w:val="EndNoteBibliographyTitle"/>
              <w:tabs>
                <w:tab w:val="decimal" w:pos="168"/>
              </w:tabs>
              <w:jc w:val="left"/>
            </w:pPr>
          </w:p>
        </w:tc>
        <w:tc>
          <w:tcPr>
            <w:tcW w:w="1134" w:type="dxa"/>
          </w:tcPr>
          <w:p w14:paraId="07A0E09C" w14:textId="77777777" w:rsidR="005A689A" w:rsidRPr="00E73BB1" w:rsidRDefault="005A689A" w:rsidP="00606559">
            <w:pPr>
              <w:pStyle w:val="EndNoteBibliographyTitle"/>
              <w:tabs>
                <w:tab w:val="decimal" w:pos="330"/>
              </w:tabs>
              <w:jc w:val="left"/>
            </w:pPr>
          </w:p>
        </w:tc>
      </w:tr>
      <w:tr w:rsidR="005A689A" w:rsidRPr="00E73BB1" w14:paraId="364A8381" w14:textId="41D573EC" w:rsidTr="00606559">
        <w:tc>
          <w:tcPr>
            <w:tcW w:w="1395" w:type="dxa"/>
          </w:tcPr>
          <w:p w14:paraId="116A4E72" w14:textId="673D1ABE" w:rsidR="005A689A" w:rsidRPr="00E73BB1" w:rsidRDefault="005A689A" w:rsidP="005A689A">
            <w:pPr>
              <w:pStyle w:val="EndNoteBibliographyTitle"/>
              <w:ind w:left="167"/>
              <w:jc w:val="left"/>
              <w:rPr>
                <w:i/>
              </w:rPr>
            </w:pPr>
            <w:r w:rsidRPr="00E73BB1">
              <w:rPr>
                <w:i/>
              </w:rPr>
              <w:t>Overall</w:t>
            </w:r>
          </w:p>
        </w:tc>
        <w:tc>
          <w:tcPr>
            <w:tcW w:w="1299" w:type="dxa"/>
          </w:tcPr>
          <w:p w14:paraId="36502C3A" w14:textId="6F1AF741" w:rsidR="005A689A" w:rsidRPr="00E73BB1" w:rsidRDefault="005A689A" w:rsidP="00DA10CE">
            <w:pPr>
              <w:pStyle w:val="EndNoteBibliographyTitle"/>
              <w:tabs>
                <w:tab w:val="decimal" w:pos="330"/>
              </w:tabs>
              <w:jc w:val="left"/>
            </w:pPr>
            <w:r w:rsidRPr="00E73BB1">
              <w:t>208.51</w:t>
            </w:r>
          </w:p>
        </w:tc>
        <w:tc>
          <w:tcPr>
            <w:tcW w:w="567" w:type="dxa"/>
          </w:tcPr>
          <w:p w14:paraId="3CBD8B7B" w14:textId="2DC5D47C" w:rsidR="005A689A" w:rsidRPr="00E73BB1" w:rsidRDefault="005A689A" w:rsidP="00606559">
            <w:pPr>
              <w:pStyle w:val="EndNoteBibliographyTitle"/>
              <w:tabs>
                <w:tab w:val="decimal" w:pos="330"/>
              </w:tabs>
              <w:jc w:val="left"/>
            </w:pPr>
            <w:r w:rsidRPr="00E73BB1">
              <w:t>25</w:t>
            </w:r>
          </w:p>
        </w:tc>
        <w:tc>
          <w:tcPr>
            <w:tcW w:w="708" w:type="dxa"/>
          </w:tcPr>
          <w:p w14:paraId="4E9CC26D" w14:textId="6C12448C" w:rsidR="005A689A" w:rsidRPr="00E73BB1" w:rsidRDefault="005A689A" w:rsidP="00606559">
            <w:pPr>
              <w:pStyle w:val="EndNoteBibliographyTitle"/>
              <w:tabs>
                <w:tab w:val="decimal" w:pos="330"/>
              </w:tabs>
              <w:jc w:val="left"/>
            </w:pPr>
            <w:r w:rsidRPr="00E73BB1">
              <w:t>.964</w:t>
            </w:r>
          </w:p>
        </w:tc>
        <w:tc>
          <w:tcPr>
            <w:tcW w:w="2268" w:type="dxa"/>
          </w:tcPr>
          <w:p w14:paraId="6EDBBA25" w14:textId="6574EC23" w:rsidR="005A689A" w:rsidRPr="00E73BB1" w:rsidRDefault="005A689A" w:rsidP="00606559">
            <w:pPr>
              <w:pStyle w:val="EndNoteBibliographyTitle"/>
              <w:tabs>
                <w:tab w:val="decimal" w:pos="173"/>
              </w:tabs>
              <w:jc w:val="left"/>
            </w:pPr>
            <w:r w:rsidRPr="00E73BB1">
              <w:t>.074 (.065-.083)</w:t>
            </w:r>
          </w:p>
        </w:tc>
        <w:tc>
          <w:tcPr>
            <w:tcW w:w="1276" w:type="dxa"/>
          </w:tcPr>
          <w:p w14:paraId="7E810284" w14:textId="2CD8C292" w:rsidR="005A689A" w:rsidRPr="00E73BB1" w:rsidRDefault="005A689A" w:rsidP="00606559">
            <w:pPr>
              <w:pStyle w:val="EndNoteBibliographyTitle"/>
              <w:tabs>
                <w:tab w:val="decimal" w:pos="330"/>
              </w:tabs>
              <w:jc w:val="left"/>
            </w:pPr>
            <w:r w:rsidRPr="00E73BB1">
              <w:t>.028</w:t>
            </w:r>
          </w:p>
        </w:tc>
        <w:tc>
          <w:tcPr>
            <w:tcW w:w="1276" w:type="dxa"/>
          </w:tcPr>
          <w:p w14:paraId="34CD07DE" w14:textId="0E5A1036" w:rsidR="005A689A" w:rsidRPr="00E73BB1" w:rsidRDefault="00617203" w:rsidP="00DA10CE">
            <w:pPr>
              <w:pStyle w:val="EndNoteBibliographyTitle"/>
              <w:tabs>
                <w:tab w:val="decimal" w:pos="330"/>
              </w:tabs>
              <w:jc w:val="left"/>
            </w:pPr>
            <w:r w:rsidRPr="00E73BB1">
              <w:t>226</w:t>
            </w:r>
            <w:r w:rsidR="00606559" w:rsidRPr="00E73BB1">
              <w:t>.</w:t>
            </w:r>
            <w:r w:rsidRPr="00E73BB1">
              <w:t>20</w:t>
            </w:r>
          </w:p>
        </w:tc>
        <w:tc>
          <w:tcPr>
            <w:tcW w:w="567" w:type="dxa"/>
          </w:tcPr>
          <w:p w14:paraId="38B38F0A" w14:textId="020538EF" w:rsidR="005A689A" w:rsidRPr="00E73BB1" w:rsidRDefault="005A689A" w:rsidP="00606559">
            <w:pPr>
              <w:pStyle w:val="EndNoteBibliographyTitle"/>
              <w:tabs>
                <w:tab w:val="decimal" w:pos="330"/>
              </w:tabs>
              <w:jc w:val="left"/>
            </w:pPr>
            <w:r w:rsidRPr="00E73BB1">
              <w:t>2</w:t>
            </w:r>
            <w:r w:rsidR="00617203" w:rsidRPr="00E73BB1">
              <w:t>5</w:t>
            </w:r>
          </w:p>
        </w:tc>
        <w:tc>
          <w:tcPr>
            <w:tcW w:w="1134" w:type="dxa"/>
          </w:tcPr>
          <w:p w14:paraId="5B833FBC" w14:textId="0368CBAB" w:rsidR="005A689A" w:rsidRPr="00E73BB1" w:rsidRDefault="005A689A" w:rsidP="00617203">
            <w:pPr>
              <w:pStyle w:val="EndNoteBibliographyTitle"/>
              <w:tabs>
                <w:tab w:val="decimal" w:pos="330"/>
              </w:tabs>
              <w:jc w:val="left"/>
            </w:pPr>
            <w:r w:rsidRPr="00E73BB1">
              <w:t>.</w:t>
            </w:r>
            <w:r w:rsidR="00617203" w:rsidRPr="00E73BB1">
              <w:t>968</w:t>
            </w:r>
          </w:p>
        </w:tc>
        <w:tc>
          <w:tcPr>
            <w:tcW w:w="2126" w:type="dxa"/>
          </w:tcPr>
          <w:p w14:paraId="5530E59D" w14:textId="284123D0" w:rsidR="005A689A" w:rsidRPr="00E73BB1" w:rsidRDefault="005A689A" w:rsidP="00617203">
            <w:pPr>
              <w:pStyle w:val="EndNoteBibliographyTitle"/>
              <w:tabs>
                <w:tab w:val="decimal" w:pos="168"/>
              </w:tabs>
              <w:jc w:val="left"/>
            </w:pPr>
            <w:r w:rsidRPr="00E73BB1">
              <w:t>.</w:t>
            </w:r>
            <w:r w:rsidR="00617203" w:rsidRPr="00E73BB1">
              <w:t>064 (.057-.072</w:t>
            </w:r>
            <w:r w:rsidRPr="00E73BB1">
              <w:t>)</w:t>
            </w:r>
          </w:p>
        </w:tc>
        <w:tc>
          <w:tcPr>
            <w:tcW w:w="1134" w:type="dxa"/>
          </w:tcPr>
          <w:p w14:paraId="4FE59B77" w14:textId="381CECE8" w:rsidR="005A689A" w:rsidRPr="00E73BB1" w:rsidRDefault="005A689A" w:rsidP="00606559">
            <w:pPr>
              <w:pStyle w:val="EndNoteBibliographyTitle"/>
              <w:tabs>
                <w:tab w:val="decimal" w:pos="330"/>
              </w:tabs>
              <w:jc w:val="left"/>
            </w:pPr>
            <w:r w:rsidRPr="00E73BB1">
              <w:t>.</w:t>
            </w:r>
            <w:r w:rsidR="00617203" w:rsidRPr="00E73BB1">
              <w:t>029</w:t>
            </w:r>
          </w:p>
        </w:tc>
      </w:tr>
      <w:tr w:rsidR="005A689A" w:rsidRPr="00E73BB1" w14:paraId="1ACFF633" w14:textId="3689FF7E" w:rsidTr="00E761E1">
        <w:tc>
          <w:tcPr>
            <w:tcW w:w="1395" w:type="dxa"/>
          </w:tcPr>
          <w:p w14:paraId="6152F99C" w14:textId="60B42CE8" w:rsidR="005A689A" w:rsidRPr="00E73BB1" w:rsidRDefault="005A689A" w:rsidP="005A689A">
            <w:pPr>
              <w:pStyle w:val="EndNoteBibliographyTitle"/>
              <w:ind w:left="167"/>
              <w:jc w:val="left"/>
              <w:rPr>
                <w:i/>
              </w:rPr>
            </w:pPr>
            <w:r w:rsidRPr="00E73BB1">
              <w:rPr>
                <w:i/>
              </w:rPr>
              <w:t>Boys</w:t>
            </w:r>
          </w:p>
        </w:tc>
        <w:tc>
          <w:tcPr>
            <w:tcW w:w="1299" w:type="dxa"/>
          </w:tcPr>
          <w:p w14:paraId="473EBECC" w14:textId="3D96C925" w:rsidR="005A689A" w:rsidRPr="00E73BB1" w:rsidRDefault="005A689A" w:rsidP="00DA10CE">
            <w:pPr>
              <w:pStyle w:val="EndNoteBibliographyTitle"/>
              <w:tabs>
                <w:tab w:val="decimal" w:pos="330"/>
              </w:tabs>
              <w:jc w:val="left"/>
            </w:pPr>
            <w:r w:rsidRPr="00E73BB1">
              <w:t>229.89</w:t>
            </w:r>
          </w:p>
        </w:tc>
        <w:tc>
          <w:tcPr>
            <w:tcW w:w="567" w:type="dxa"/>
          </w:tcPr>
          <w:p w14:paraId="4D2A6BE1" w14:textId="34745128" w:rsidR="005A689A" w:rsidRPr="00E73BB1" w:rsidRDefault="005A689A" w:rsidP="00606559">
            <w:pPr>
              <w:pStyle w:val="EndNoteBibliographyTitle"/>
              <w:tabs>
                <w:tab w:val="decimal" w:pos="330"/>
              </w:tabs>
              <w:jc w:val="left"/>
            </w:pPr>
            <w:r w:rsidRPr="00E73BB1">
              <w:t>25</w:t>
            </w:r>
          </w:p>
        </w:tc>
        <w:tc>
          <w:tcPr>
            <w:tcW w:w="708" w:type="dxa"/>
          </w:tcPr>
          <w:p w14:paraId="6F79736C" w14:textId="2B55908E" w:rsidR="005A689A" w:rsidRPr="00E73BB1" w:rsidRDefault="005A689A" w:rsidP="00606559">
            <w:pPr>
              <w:pStyle w:val="EndNoteBibliographyTitle"/>
              <w:tabs>
                <w:tab w:val="decimal" w:pos="330"/>
              </w:tabs>
              <w:jc w:val="left"/>
            </w:pPr>
            <w:r w:rsidRPr="00E73BB1">
              <w:t>.928</w:t>
            </w:r>
          </w:p>
        </w:tc>
        <w:tc>
          <w:tcPr>
            <w:tcW w:w="2268" w:type="dxa"/>
          </w:tcPr>
          <w:p w14:paraId="214DEA86" w14:textId="4F1B97A0" w:rsidR="005A689A" w:rsidRPr="00E73BB1" w:rsidRDefault="005A689A" w:rsidP="00606559">
            <w:pPr>
              <w:pStyle w:val="EndNoteBibliographyTitle"/>
              <w:tabs>
                <w:tab w:val="decimal" w:pos="173"/>
              </w:tabs>
              <w:jc w:val="left"/>
            </w:pPr>
            <w:r w:rsidRPr="00E73BB1">
              <w:t>.106 (.094-.119)</w:t>
            </w:r>
          </w:p>
        </w:tc>
        <w:tc>
          <w:tcPr>
            <w:tcW w:w="1276" w:type="dxa"/>
          </w:tcPr>
          <w:p w14:paraId="452AECEC" w14:textId="5BF2C3B9" w:rsidR="005A689A" w:rsidRPr="00E73BB1" w:rsidRDefault="005A689A" w:rsidP="00606559">
            <w:pPr>
              <w:pStyle w:val="EndNoteBibliographyTitle"/>
              <w:tabs>
                <w:tab w:val="decimal" w:pos="330"/>
              </w:tabs>
              <w:jc w:val="left"/>
            </w:pPr>
            <w:r w:rsidRPr="00E73BB1">
              <w:t>.040</w:t>
            </w:r>
          </w:p>
        </w:tc>
        <w:tc>
          <w:tcPr>
            <w:tcW w:w="1276" w:type="dxa"/>
          </w:tcPr>
          <w:p w14:paraId="671B67C0" w14:textId="136F893F" w:rsidR="005A689A" w:rsidRPr="00E73BB1" w:rsidRDefault="00617203" w:rsidP="00DA10CE">
            <w:pPr>
              <w:pStyle w:val="EndNoteBibliographyTitle"/>
              <w:tabs>
                <w:tab w:val="decimal" w:pos="330"/>
              </w:tabs>
              <w:jc w:val="left"/>
            </w:pPr>
            <w:r w:rsidRPr="00E73BB1">
              <w:t>114.70</w:t>
            </w:r>
          </w:p>
        </w:tc>
        <w:tc>
          <w:tcPr>
            <w:tcW w:w="567" w:type="dxa"/>
          </w:tcPr>
          <w:p w14:paraId="21682EEE" w14:textId="4A444B76" w:rsidR="005A689A" w:rsidRPr="00E73BB1" w:rsidRDefault="00617203" w:rsidP="00606559">
            <w:pPr>
              <w:pStyle w:val="EndNoteBibliographyTitle"/>
              <w:tabs>
                <w:tab w:val="decimal" w:pos="330"/>
              </w:tabs>
              <w:jc w:val="left"/>
            </w:pPr>
            <w:r w:rsidRPr="00E73BB1">
              <w:t>25</w:t>
            </w:r>
          </w:p>
        </w:tc>
        <w:tc>
          <w:tcPr>
            <w:tcW w:w="1134" w:type="dxa"/>
          </w:tcPr>
          <w:p w14:paraId="34DD35CE" w14:textId="36A9DD7E" w:rsidR="005A689A" w:rsidRPr="00E73BB1" w:rsidRDefault="005A689A" w:rsidP="00617203">
            <w:pPr>
              <w:pStyle w:val="EndNoteBibliographyTitle"/>
              <w:tabs>
                <w:tab w:val="decimal" w:pos="330"/>
              </w:tabs>
              <w:jc w:val="left"/>
            </w:pPr>
            <w:r w:rsidRPr="00E73BB1">
              <w:t>.</w:t>
            </w:r>
            <w:r w:rsidR="00617203" w:rsidRPr="00E73BB1">
              <w:t>972</w:t>
            </w:r>
          </w:p>
        </w:tc>
        <w:tc>
          <w:tcPr>
            <w:tcW w:w="2126" w:type="dxa"/>
          </w:tcPr>
          <w:p w14:paraId="2565F568" w14:textId="54070858" w:rsidR="005A689A" w:rsidRPr="00E73BB1" w:rsidRDefault="00606559" w:rsidP="00617203">
            <w:pPr>
              <w:pStyle w:val="EndNoteBibliographyTitle"/>
              <w:tabs>
                <w:tab w:val="decimal" w:pos="168"/>
              </w:tabs>
              <w:jc w:val="left"/>
            </w:pPr>
            <w:r w:rsidRPr="00E73BB1">
              <w:t>.</w:t>
            </w:r>
            <w:r w:rsidR="00617203" w:rsidRPr="00E73BB1">
              <w:t>060</w:t>
            </w:r>
            <w:r w:rsidRPr="00E73BB1">
              <w:t xml:space="preserve"> (.</w:t>
            </w:r>
            <w:r w:rsidR="00617203" w:rsidRPr="00E73BB1">
              <w:t>050</w:t>
            </w:r>
            <w:r w:rsidRPr="00E73BB1">
              <w:t>-.</w:t>
            </w:r>
            <w:r w:rsidR="00617203" w:rsidRPr="00E73BB1">
              <w:t>072</w:t>
            </w:r>
            <w:r w:rsidRPr="00E73BB1">
              <w:t>)</w:t>
            </w:r>
          </w:p>
        </w:tc>
        <w:tc>
          <w:tcPr>
            <w:tcW w:w="1134" w:type="dxa"/>
          </w:tcPr>
          <w:p w14:paraId="53845AE4" w14:textId="4FF840EC" w:rsidR="005A689A" w:rsidRPr="00E73BB1" w:rsidRDefault="00606559" w:rsidP="00617203">
            <w:pPr>
              <w:pStyle w:val="EndNoteBibliographyTitle"/>
              <w:tabs>
                <w:tab w:val="decimal" w:pos="330"/>
              </w:tabs>
              <w:jc w:val="left"/>
            </w:pPr>
            <w:r w:rsidRPr="00E73BB1">
              <w:t>.</w:t>
            </w:r>
            <w:r w:rsidR="00617203" w:rsidRPr="00E73BB1">
              <w:t>027</w:t>
            </w:r>
          </w:p>
        </w:tc>
      </w:tr>
      <w:tr w:rsidR="005A689A" w:rsidRPr="00E73BB1" w14:paraId="565DB8AB" w14:textId="179FBAF1" w:rsidTr="00E761E1">
        <w:tc>
          <w:tcPr>
            <w:tcW w:w="1395" w:type="dxa"/>
            <w:tcBorders>
              <w:bottom w:val="single" w:sz="4" w:space="0" w:color="auto"/>
            </w:tcBorders>
          </w:tcPr>
          <w:p w14:paraId="6B26C173" w14:textId="1FFF2328" w:rsidR="005A689A" w:rsidRPr="00E73BB1" w:rsidRDefault="005A689A" w:rsidP="005A689A">
            <w:pPr>
              <w:pStyle w:val="EndNoteBibliographyTitle"/>
              <w:ind w:left="167"/>
              <w:jc w:val="left"/>
              <w:rPr>
                <w:i/>
              </w:rPr>
            </w:pPr>
            <w:r w:rsidRPr="00E73BB1">
              <w:rPr>
                <w:i/>
              </w:rPr>
              <w:t>Girls</w:t>
            </w:r>
          </w:p>
        </w:tc>
        <w:tc>
          <w:tcPr>
            <w:tcW w:w="1299" w:type="dxa"/>
            <w:tcBorders>
              <w:bottom w:val="single" w:sz="4" w:space="0" w:color="auto"/>
            </w:tcBorders>
          </w:tcPr>
          <w:p w14:paraId="48D84952" w14:textId="5E35D8DE" w:rsidR="005A689A" w:rsidRPr="00E73BB1" w:rsidRDefault="005A689A" w:rsidP="00DA10CE">
            <w:pPr>
              <w:pStyle w:val="EndNoteBibliographyTitle"/>
              <w:tabs>
                <w:tab w:val="decimal" w:pos="330"/>
              </w:tabs>
              <w:jc w:val="left"/>
            </w:pPr>
            <w:r w:rsidRPr="00E73BB1">
              <w:t>129.79</w:t>
            </w:r>
          </w:p>
        </w:tc>
        <w:tc>
          <w:tcPr>
            <w:tcW w:w="567" w:type="dxa"/>
            <w:tcBorders>
              <w:bottom w:val="single" w:sz="4" w:space="0" w:color="auto"/>
            </w:tcBorders>
          </w:tcPr>
          <w:p w14:paraId="2C81A209" w14:textId="70103852" w:rsidR="005A689A" w:rsidRPr="00E73BB1" w:rsidRDefault="005A689A" w:rsidP="00606559">
            <w:pPr>
              <w:pStyle w:val="EndNoteBibliographyTitle"/>
              <w:tabs>
                <w:tab w:val="decimal" w:pos="330"/>
              </w:tabs>
              <w:jc w:val="left"/>
            </w:pPr>
            <w:r w:rsidRPr="00E73BB1">
              <w:t>25</w:t>
            </w:r>
          </w:p>
        </w:tc>
        <w:tc>
          <w:tcPr>
            <w:tcW w:w="708" w:type="dxa"/>
            <w:tcBorders>
              <w:bottom w:val="single" w:sz="4" w:space="0" w:color="auto"/>
            </w:tcBorders>
          </w:tcPr>
          <w:p w14:paraId="0432058B" w14:textId="1BFF6E0C" w:rsidR="005A689A" w:rsidRPr="00E73BB1" w:rsidRDefault="005A689A" w:rsidP="00606559">
            <w:pPr>
              <w:pStyle w:val="EndNoteBibliographyTitle"/>
              <w:tabs>
                <w:tab w:val="decimal" w:pos="330"/>
              </w:tabs>
              <w:jc w:val="left"/>
            </w:pPr>
            <w:r w:rsidRPr="00E73BB1">
              <w:t>.956</w:t>
            </w:r>
          </w:p>
        </w:tc>
        <w:tc>
          <w:tcPr>
            <w:tcW w:w="2268" w:type="dxa"/>
            <w:tcBorders>
              <w:bottom w:val="single" w:sz="4" w:space="0" w:color="auto"/>
            </w:tcBorders>
          </w:tcPr>
          <w:p w14:paraId="0E0B69E9" w14:textId="2E869425" w:rsidR="005A689A" w:rsidRPr="00E73BB1" w:rsidRDefault="005A689A" w:rsidP="00606559">
            <w:pPr>
              <w:pStyle w:val="EndNoteBibliographyTitle"/>
              <w:tabs>
                <w:tab w:val="decimal" w:pos="173"/>
              </w:tabs>
              <w:jc w:val="left"/>
            </w:pPr>
            <w:r w:rsidRPr="00E73BB1">
              <w:t>.082 (.069-.097)</w:t>
            </w:r>
          </w:p>
        </w:tc>
        <w:tc>
          <w:tcPr>
            <w:tcW w:w="1276" w:type="dxa"/>
            <w:tcBorders>
              <w:bottom w:val="single" w:sz="4" w:space="0" w:color="auto"/>
            </w:tcBorders>
          </w:tcPr>
          <w:p w14:paraId="66EABCE6" w14:textId="5EF5D320" w:rsidR="005A689A" w:rsidRPr="00E73BB1" w:rsidRDefault="005A689A" w:rsidP="00606559">
            <w:pPr>
              <w:pStyle w:val="EndNoteBibliographyTitle"/>
              <w:tabs>
                <w:tab w:val="decimal" w:pos="330"/>
              </w:tabs>
              <w:jc w:val="left"/>
            </w:pPr>
            <w:r w:rsidRPr="00E73BB1">
              <w:t>.032</w:t>
            </w:r>
          </w:p>
        </w:tc>
        <w:tc>
          <w:tcPr>
            <w:tcW w:w="1276" w:type="dxa"/>
            <w:tcBorders>
              <w:bottom w:val="single" w:sz="4" w:space="0" w:color="auto"/>
            </w:tcBorders>
          </w:tcPr>
          <w:p w14:paraId="65D3686B" w14:textId="6B30A29A" w:rsidR="005A689A" w:rsidRPr="00E73BB1" w:rsidRDefault="00617203" w:rsidP="00DA10CE">
            <w:pPr>
              <w:pStyle w:val="EndNoteBibliographyTitle"/>
              <w:tabs>
                <w:tab w:val="decimal" w:pos="330"/>
              </w:tabs>
              <w:jc w:val="left"/>
            </w:pPr>
            <w:r w:rsidRPr="00E73BB1">
              <w:t>125.92</w:t>
            </w:r>
          </w:p>
        </w:tc>
        <w:tc>
          <w:tcPr>
            <w:tcW w:w="567" w:type="dxa"/>
            <w:tcBorders>
              <w:bottom w:val="single" w:sz="4" w:space="0" w:color="auto"/>
            </w:tcBorders>
          </w:tcPr>
          <w:p w14:paraId="7A59CBE6" w14:textId="5521C5E9" w:rsidR="005A689A" w:rsidRPr="00E73BB1" w:rsidRDefault="00617203" w:rsidP="00606559">
            <w:pPr>
              <w:pStyle w:val="EndNoteBibliographyTitle"/>
              <w:tabs>
                <w:tab w:val="decimal" w:pos="330"/>
              </w:tabs>
              <w:jc w:val="left"/>
            </w:pPr>
            <w:r w:rsidRPr="00E73BB1">
              <w:t>25</w:t>
            </w:r>
          </w:p>
        </w:tc>
        <w:tc>
          <w:tcPr>
            <w:tcW w:w="1134" w:type="dxa"/>
            <w:tcBorders>
              <w:bottom w:val="single" w:sz="4" w:space="0" w:color="auto"/>
            </w:tcBorders>
          </w:tcPr>
          <w:p w14:paraId="61F0407F" w14:textId="680355EA" w:rsidR="005A689A" w:rsidRPr="00E73BB1" w:rsidRDefault="00606559" w:rsidP="00617203">
            <w:pPr>
              <w:pStyle w:val="EndNoteBibliographyTitle"/>
              <w:tabs>
                <w:tab w:val="decimal" w:pos="330"/>
              </w:tabs>
              <w:jc w:val="left"/>
            </w:pPr>
            <w:r w:rsidRPr="00E73BB1">
              <w:t>.</w:t>
            </w:r>
            <w:r w:rsidR="00617203" w:rsidRPr="00E73BB1">
              <w:t>962</w:t>
            </w:r>
          </w:p>
        </w:tc>
        <w:tc>
          <w:tcPr>
            <w:tcW w:w="2126" w:type="dxa"/>
            <w:tcBorders>
              <w:bottom w:val="single" w:sz="4" w:space="0" w:color="auto"/>
            </w:tcBorders>
          </w:tcPr>
          <w:p w14:paraId="58E73169" w14:textId="47EE3867" w:rsidR="005A689A" w:rsidRPr="00E73BB1" w:rsidRDefault="00606559" w:rsidP="00617203">
            <w:pPr>
              <w:pStyle w:val="EndNoteBibliographyTitle"/>
              <w:tabs>
                <w:tab w:val="decimal" w:pos="168"/>
              </w:tabs>
              <w:jc w:val="left"/>
            </w:pPr>
            <w:r w:rsidRPr="00E73BB1">
              <w:t>.</w:t>
            </w:r>
            <w:r w:rsidR="00617203" w:rsidRPr="00E73BB1">
              <w:t>066</w:t>
            </w:r>
            <w:r w:rsidRPr="00E73BB1">
              <w:t xml:space="preserve"> (.</w:t>
            </w:r>
            <w:r w:rsidR="00617203" w:rsidRPr="00E73BB1">
              <w:t>055</w:t>
            </w:r>
            <w:r w:rsidRPr="00E73BB1">
              <w:t>-.</w:t>
            </w:r>
            <w:r w:rsidR="00617203" w:rsidRPr="00E73BB1">
              <w:t>078</w:t>
            </w:r>
            <w:r w:rsidRPr="00E73BB1">
              <w:t>)</w:t>
            </w:r>
          </w:p>
        </w:tc>
        <w:tc>
          <w:tcPr>
            <w:tcW w:w="1134" w:type="dxa"/>
            <w:tcBorders>
              <w:bottom w:val="single" w:sz="4" w:space="0" w:color="auto"/>
            </w:tcBorders>
          </w:tcPr>
          <w:p w14:paraId="385F6ADA" w14:textId="3CA4FF5E" w:rsidR="005A689A" w:rsidRPr="00E73BB1" w:rsidRDefault="00606559" w:rsidP="00606559">
            <w:pPr>
              <w:pStyle w:val="EndNoteBibliographyTitle"/>
              <w:tabs>
                <w:tab w:val="decimal" w:pos="330"/>
              </w:tabs>
              <w:jc w:val="left"/>
            </w:pPr>
            <w:r w:rsidRPr="00E73BB1">
              <w:t>.</w:t>
            </w:r>
            <w:r w:rsidR="00617203" w:rsidRPr="00E73BB1">
              <w:t>034</w:t>
            </w:r>
          </w:p>
        </w:tc>
      </w:tr>
    </w:tbl>
    <w:p w14:paraId="6B2ACD18" w14:textId="29D058D2" w:rsidR="00BF75E5" w:rsidRPr="00E73BB1" w:rsidRDefault="00467617" w:rsidP="00634AF0">
      <w:pPr>
        <w:pStyle w:val="EndNoteBibliographyTitle"/>
        <w:jc w:val="left"/>
      </w:pPr>
      <w:r w:rsidRPr="00E73BB1">
        <w:rPr>
          <w:i/>
          <w:iCs/>
        </w:rPr>
        <w:t>Note</w:t>
      </w:r>
      <w:r w:rsidR="001C2CEF" w:rsidRPr="00E73BB1">
        <w:rPr>
          <w:i/>
          <w:iCs/>
        </w:rPr>
        <w:t>.</w:t>
      </w:r>
      <w:r w:rsidRPr="00E73BB1">
        <w:t xml:space="preserve"> Study 2</w:t>
      </w:r>
      <w:r w:rsidR="00606559" w:rsidRPr="00E73BB1">
        <w:t>:</w:t>
      </w:r>
      <w:r w:rsidRPr="00E73BB1">
        <w:t xml:space="preserve"> </w:t>
      </w:r>
      <w:r w:rsidRPr="00E73BB1">
        <w:rPr>
          <w:i/>
        </w:rPr>
        <w:t>N</w:t>
      </w:r>
      <w:r w:rsidRPr="00E73BB1">
        <w:t xml:space="preserve"> = </w:t>
      </w:r>
      <w:r w:rsidR="00FE77B5" w:rsidRPr="00E73BB1">
        <w:t>1341</w:t>
      </w:r>
      <w:r w:rsidRPr="00E73BB1">
        <w:t xml:space="preserve"> (</w:t>
      </w:r>
      <w:r w:rsidR="00666A49" w:rsidRPr="00E73BB1">
        <w:t>616</w:t>
      </w:r>
      <w:r w:rsidRPr="00E73BB1">
        <w:t xml:space="preserve"> girls, </w:t>
      </w:r>
      <w:r w:rsidR="00666A49" w:rsidRPr="00E73BB1">
        <w:t>725</w:t>
      </w:r>
      <w:r w:rsidRPr="00E73BB1">
        <w:t xml:space="preserve"> boys)</w:t>
      </w:r>
      <w:r w:rsidR="00606559" w:rsidRPr="00E73BB1">
        <w:t xml:space="preserve">, Study 3: </w:t>
      </w:r>
      <w:r w:rsidR="00606559" w:rsidRPr="00E73BB1">
        <w:rPr>
          <w:i/>
        </w:rPr>
        <w:t>N</w:t>
      </w:r>
      <w:r w:rsidR="00606559" w:rsidRPr="00E73BB1">
        <w:t xml:space="preserve"> = 2034 (990 girls, 1024 boys, 20 other – not included in CFA). </w:t>
      </w:r>
      <w:r w:rsidR="00CE3226" w:rsidRPr="00E73BB1">
        <w:rPr>
          <w:szCs w:val="24"/>
        </w:rPr>
        <w:t xml:space="preserve">BILD-Q = Body Image Life Disengagement Questionnaire, </w:t>
      </w:r>
      <w:r w:rsidRPr="00E73BB1">
        <w:t xml:space="preserve">CFI = </w:t>
      </w:r>
      <w:r w:rsidR="00666A49" w:rsidRPr="00E73BB1">
        <w:t>Comparative Fit Index</w:t>
      </w:r>
      <w:r w:rsidRPr="00E73BB1">
        <w:t xml:space="preserve">, RMSEA = </w:t>
      </w:r>
      <w:r w:rsidR="00666A49" w:rsidRPr="00E73BB1">
        <w:t>root mean square error of approximation</w:t>
      </w:r>
      <w:r w:rsidRPr="00E73BB1">
        <w:t xml:space="preserve">, </w:t>
      </w:r>
      <w:r w:rsidR="00DA10CE" w:rsidRPr="00E73BB1">
        <w:t xml:space="preserve">CI = confidence interval, </w:t>
      </w:r>
      <w:r w:rsidRPr="00E73BB1">
        <w:t>SRMR =</w:t>
      </w:r>
      <w:r w:rsidR="00666A49" w:rsidRPr="00E73BB1">
        <w:t xml:space="preserve"> standardised root mean square risidual</w:t>
      </w:r>
      <w:r w:rsidR="00DA10CE" w:rsidRPr="00E73BB1">
        <w:t>.</w:t>
      </w:r>
      <w:r w:rsidRPr="00E73BB1">
        <w:t xml:space="preserve"> </w:t>
      </w:r>
    </w:p>
    <w:p w14:paraId="76249536" w14:textId="33945760" w:rsidR="00D54114" w:rsidRPr="00E73BB1" w:rsidRDefault="00D54114" w:rsidP="00016F99">
      <w:pPr>
        <w:pStyle w:val="EndNoteBibliographyTitle"/>
        <w:jc w:val="left"/>
      </w:pPr>
    </w:p>
    <w:p w14:paraId="5CE8DC82" w14:textId="2C733621" w:rsidR="00D54114" w:rsidRPr="00E73BB1" w:rsidRDefault="00D54114" w:rsidP="00016F99">
      <w:pPr>
        <w:pStyle w:val="EndNoteBibliographyTitle"/>
        <w:jc w:val="left"/>
      </w:pPr>
    </w:p>
    <w:p w14:paraId="5AF0663B" w14:textId="7BA4DF40" w:rsidR="00D54114" w:rsidRPr="00E73BB1" w:rsidRDefault="00D54114" w:rsidP="00016F99">
      <w:pPr>
        <w:pStyle w:val="EndNoteBibliographyTitle"/>
        <w:jc w:val="left"/>
      </w:pPr>
    </w:p>
    <w:p w14:paraId="7F159B7F" w14:textId="15AC5746" w:rsidR="00D54114" w:rsidRPr="00E73BB1" w:rsidRDefault="00D54114" w:rsidP="00016F99">
      <w:pPr>
        <w:pStyle w:val="EndNoteBibliographyTitle"/>
        <w:jc w:val="left"/>
      </w:pPr>
    </w:p>
    <w:p w14:paraId="0F9CCCE2" w14:textId="571105F5" w:rsidR="00D54114" w:rsidRPr="00E73BB1" w:rsidRDefault="00D54114" w:rsidP="00016F99">
      <w:pPr>
        <w:pStyle w:val="EndNoteBibliographyTitle"/>
        <w:jc w:val="left"/>
      </w:pPr>
    </w:p>
    <w:p w14:paraId="25242D85" w14:textId="77777777" w:rsidR="00634AF0" w:rsidRPr="00E73BB1" w:rsidRDefault="00634AF0">
      <w:pPr>
        <w:spacing w:after="0" w:line="240" w:lineRule="auto"/>
        <w:rPr>
          <w:rFonts w:ascii="Times New Roman" w:hAnsi="Times New Roman" w:cs="Times New Roman"/>
          <w:noProof/>
          <w:sz w:val="24"/>
          <w:lang w:val="en-US"/>
        </w:rPr>
      </w:pPr>
      <w:r w:rsidRPr="00E73BB1">
        <w:br w:type="page"/>
      </w:r>
    </w:p>
    <w:p w14:paraId="5DAB616E" w14:textId="77777777" w:rsidR="005A689A" w:rsidRPr="00E73BB1" w:rsidRDefault="005A689A" w:rsidP="00634AF0">
      <w:pPr>
        <w:pStyle w:val="EndNoteBibliographyTitle"/>
        <w:jc w:val="left"/>
        <w:sectPr w:rsidR="005A689A" w:rsidRPr="00E73BB1" w:rsidSect="005A689A">
          <w:endnotePr>
            <w:numFmt w:val="decimal"/>
          </w:endnotePr>
          <w:pgSz w:w="16838" w:h="11906" w:orient="landscape"/>
          <w:pgMar w:top="1440" w:right="1440" w:bottom="1440" w:left="1440" w:header="708" w:footer="708" w:gutter="0"/>
          <w:cols w:space="708"/>
          <w:docGrid w:linePitch="360"/>
        </w:sectPr>
      </w:pPr>
    </w:p>
    <w:p w14:paraId="1D3D7A0D" w14:textId="73E61B1F" w:rsidR="00D54114" w:rsidRPr="00E73BB1" w:rsidRDefault="00D54114" w:rsidP="009161D3">
      <w:pPr>
        <w:pStyle w:val="EndNoteBibliographyTitle"/>
        <w:spacing w:line="480" w:lineRule="auto"/>
        <w:jc w:val="left"/>
        <w:rPr>
          <w:b/>
          <w:bCs/>
        </w:rPr>
      </w:pPr>
      <w:r w:rsidRPr="00E73BB1">
        <w:rPr>
          <w:b/>
          <w:bCs/>
        </w:rPr>
        <w:lastRenderedPageBreak/>
        <w:t>Table 3</w:t>
      </w:r>
    </w:p>
    <w:p w14:paraId="7CA5C9B4" w14:textId="42A702C0" w:rsidR="00D54114" w:rsidRPr="00E73BB1" w:rsidRDefault="00D54114" w:rsidP="009161D3">
      <w:pPr>
        <w:pStyle w:val="EndNoteBibliographyTitle"/>
        <w:spacing w:line="480" w:lineRule="auto"/>
        <w:jc w:val="left"/>
        <w:rPr>
          <w:i/>
          <w:iCs/>
          <w:szCs w:val="24"/>
        </w:rPr>
      </w:pPr>
      <w:r w:rsidRPr="00E73BB1">
        <w:rPr>
          <w:i/>
          <w:iCs/>
        </w:rPr>
        <w:t xml:space="preserve">Study 2 </w:t>
      </w:r>
      <w:r w:rsidR="00C17464" w:rsidRPr="00E73BB1">
        <w:rPr>
          <w:i/>
          <w:iCs/>
        </w:rPr>
        <w:t>M</w:t>
      </w:r>
      <w:r w:rsidRPr="00E73BB1">
        <w:rPr>
          <w:i/>
          <w:iCs/>
        </w:rPr>
        <w:t xml:space="preserve">odel </w:t>
      </w:r>
      <w:r w:rsidR="00C17464" w:rsidRPr="00E73BB1">
        <w:rPr>
          <w:i/>
          <w:iCs/>
        </w:rPr>
        <w:t>C</w:t>
      </w:r>
      <w:r w:rsidRPr="00E73BB1">
        <w:rPr>
          <w:i/>
          <w:iCs/>
        </w:rPr>
        <w:t xml:space="preserve">omparisons for </w:t>
      </w:r>
      <w:r w:rsidR="00C17464" w:rsidRPr="00E73BB1">
        <w:rPr>
          <w:i/>
          <w:iCs/>
        </w:rPr>
        <w:t>T</w:t>
      </w:r>
      <w:r w:rsidRPr="00E73BB1">
        <w:rPr>
          <w:i/>
          <w:iCs/>
        </w:rPr>
        <w:t xml:space="preserve">ests of </w:t>
      </w:r>
      <w:r w:rsidR="00C17464" w:rsidRPr="00E73BB1">
        <w:rPr>
          <w:i/>
          <w:iCs/>
        </w:rPr>
        <w:t>G</w:t>
      </w:r>
      <w:r w:rsidRPr="00E73BB1">
        <w:rPr>
          <w:i/>
          <w:iCs/>
        </w:rPr>
        <w:t xml:space="preserve">ender </w:t>
      </w:r>
      <w:r w:rsidR="00C17464" w:rsidRPr="00E73BB1">
        <w:rPr>
          <w:i/>
          <w:iCs/>
        </w:rPr>
        <w:t>I</w:t>
      </w:r>
      <w:r w:rsidRPr="00E73BB1">
        <w:rPr>
          <w:i/>
          <w:iCs/>
        </w:rPr>
        <w:t>nvariance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131"/>
        <w:gridCol w:w="1418"/>
        <w:gridCol w:w="1409"/>
        <w:gridCol w:w="1653"/>
      </w:tblGrid>
      <w:tr w:rsidR="00D54114" w:rsidRPr="00E73BB1" w14:paraId="0D7F1BED" w14:textId="77777777" w:rsidTr="002243B2">
        <w:tc>
          <w:tcPr>
            <w:tcW w:w="2405" w:type="dxa"/>
            <w:tcBorders>
              <w:top w:val="single" w:sz="4" w:space="0" w:color="auto"/>
              <w:bottom w:val="single" w:sz="4" w:space="0" w:color="auto"/>
            </w:tcBorders>
          </w:tcPr>
          <w:p w14:paraId="456F93F3" w14:textId="7C3865FE" w:rsidR="00D54114" w:rsidRPr="00E73BB1" w:rsidRDefault="00D54114" w:rsidP="00634AF0">
            <w:pPr>
              <w:spacing w:line="240" w:lineRule="auto"/>
              <w:rPr>
                <w:rFonts w:ascii="Times New Roman" w:hAnsi="Times New Roman" w:cs="Times New Roman"/>
                <w:b/>
                <w:bCs/>
                <w:noProof/>
                <w:sz w:val="24"/>
                <w:szCs w:val="24"/>
                <w:lang w:val="en-US"/>
              </w:rPr>
            </w:pPr>
            <w:r w:rsidRPr="00E73BB1">
              <w:rPr>
                <w:rFonts w:ascii="Times New Roman" w:hAnsi="Times New Roman" w:cs="Times New Roman"/>
                <w:b/>
                <w:bCs/>
                <w:noProof/>
                <w:sz w:val="24"/>
                <w:szCs w:val="24"/>
                <w:lang w:val="en-US"/>
              </w:rPr>
              <w:t>Model</w:t>
            </w:r>
          </w:p>
        </w:tc>
        <w:tc>
          <w:tcPr>
            <w:tcW w:w="2131" w:type="dxa"/>
            <w:tcBorders>
              <w:top w:val="single" w:sz="4" w:space="0" w:color="auto"/>
              <w:bottom w:val="single" w:sz="4" w:space="0" w:color="auto"/>
            </w:tcBorders>
          </w:tcPr>
          <w:p w14:paraId="648BA38C" w14:textId="4EF57C83" w:rsidR="00D54114" w:rsidRPr="00E73BB1" w:rsidRDefault="00D54114" w:rsidP="00634AF0">
            <w:pPr>
              <w:spacing w:line="240" w:lineRule="auto"/>
              <w:jc w:val="center"/>
              <w:rPr>
                <w:rFonts w:ascii="Times New Roman" w:hAnsi="Times New Roman" w:cs="Times New Roman"/>
                <w:b/>
                <w:bCs/>
                <w:noProof/>
                <w:sz w:val="24"/>
                <w:szCs w:val="24"/>
                <w:lang w:val="en-US"/>
              </w:rPr>
            </w:pPr>
            <w:r w:rsidRPr="00E73BB1">
              <w:rPr>
                <w:b/>
                <w:bCs/>
              </w:rPr>
              <w:t>χ</w:t>
            </w:r>
            <w:r w:rsidRPr="00E73BB1">
              <w:rPr>
                <w:b/>
                <w:bCs/>
                <w:vertAlign w:val="superscript"/>
              </w:rPr>
              <w:t xml:space="preserve">2 </w:t>
            </w:r>
            <w:r w:rsidR="00720DE0" w:rsidRPr="00E73BB1">
              <w:rPr>
                <w:rFonts w:ascii="Times New Roman" w:hAnsi="Times New Roman" w:cs="Times New Roman"/>
                <w:b/>
                <w:bCs/>
                <w:noProof/>
                <w:sz w:val="24"/>
                <w:szCs w:val="24"/>
                <w:lang w:val="en-US"/>
              </w:rPr>
              <w:t>(Δ</w:t>
            </w:r>
            <w:r w:rsidR="00720DE0" w:rsidRPr="00E73BB1">
              <w:rPr>
                <w:b/>
                <w:bCs/>
              </w:rPr>
              <w:t xml:space="preserve"> χ</w:t>
            </w:r>
            <w:r w:rsidR="00720DE0" w:rsidRPr="00E73BB1">
              <w:rPr>
                <w:b/>
                <w:bCs/>
                <w:vertAlign w:val="superscript"/>
              </w:rPr>
              <w:t>2</w:t>
            </w:r>
            <w:r w:rsidR="00720DE0" w:rsidRPr="00E73BB1">
              <w:rPr>
                <w:rFonts w:ascii="Times New Roman" w:hAnsi="Times New Roman" w:cs="Times New Roman"/>
                <w:b/>
                <w:bCs/>
                <w:noProof/>
                <w:sz w:val="24"/>
                <w:szCs w:val="24"/>
                <w:lang w:val="en-US"/>
              </w:rPr>
              <w:t>)</w:t>
            </w:r>
          </w:p>
        </w:tc>
        <w:tc>
          <w:tcPr>
            <w:tcW w:w="1418" w:type="dxa"/>
            <w:tcBorders>
              <w:top w:val="single" w:sz="4" w:space="0" w:color="auto"/>
              <w:bottom w:val="single" w:sz="4" w:space="0" w:color="auto"/>
            </w:tcBorders>
          </w:tcPr>
          <w:p w14:paraId="5C0E1CA1" w14:textId="0A477B0A" w:rsidR="00D54114" w:rsidRPr="00E73BB1" w:rsidRDefault="00720DE0" w:rsidP="00634AF0">
            <w:pPr>
              <w:spacing w:line="240" w:lineRule="auto"/>
              <w:jc w:val="center"/>
              <w:rPr>
                <w:rFonts w:ascii="Times New Roman" w:hAnsi="Times New Roman" w:cs="Times New Roman"/>
                <w:b/>
                <w:bCs/>
                <w:noProof/>
                <w:sz w:val="24"/>
                <w:szCs w:val="24"/>
                <w:lang w:val="en-US"/>
              </w:rPr>
            </w:pPr>
            <w:r w:rsidRPr="00E73BB1">
              <w:rPr>
                <w:rFonts w:ascii="Times New Roman" w:hAnsi="Times New Roman" w:cs="Times New Roman"/>
                <w:b/>
                <w:bCs/>
                <w:i/>
                <w:noProof/>
                <w:sz w:val="24"/>
                <w:szCs w:val="24"/>
                <w:lang w:val="en-US"/>
              </w:rPr>
              <w:t>d</w:t>
            </w:r>
            <w:r w:rsidR="00D54114" w:rsidRPr="00E73BB1">
              <w:rPr>
                <w:rFonts w:ascii="Times New Roman" w:hAnsi="Times New Roman" w:cs="Times New Roman"/>
                <w:b/>
                <w:bCs/>
                <w:i/>
                <w:noProof/>
                <w:sz w:val="24"/>
                <w:szCs w:val="24"/>
                <w:lang w:val="en-US"/>
              </w:rPr>
              <w:t>f</w:t>
            </w:r>
            <w:r w:rsidRPr="00E73BB1">
              <w:rPr>
                <w:rFonts w:ascii="Times New Roman" w:hAnsi="Times New Roman" w:cs="Times New Roman"/>
                <w:b/>
                <w:bCs/>
                <w:noProof/>
                <w:sz w:val="24"/>
                <w:szCs w:val="24"/>
                <w:lang w:val="en-US"/>
              </w:rPr>
              <w:t xml:space="preserve"> (Δ</w:t>
            </w:r>
            <w:r w:rsidRPr="00E73BB1">
              <w:rPr>
                <w:rFonts w:ascii="Times New Roman" w:hAnsi="Times New Roman" w:cs="Times New Roman"/>
                <w:b/>
                <w:bCs/>
                <w:i/>
                <w:noProof/>
                <w:sz w:val="24"/>
                <w:szCs w:val="24"/>
                <w:lang w:val="en-US"/>
              </w:rPr>
              <w:t>df</w:t>
            </w:r>
            <w:r w:rsidRPr="00E73BB1">
              <w:rPr>
                <w:rFonts w:ascii="Times New Roman" w:hAnsi="Times New Roman" w:cs="Times New Roman"/>
                <w:b/>
                <w:bCs/>
                <w:noProof/>
                <w:sz w:val="24"/>
                <w:szCs w:val="24"/>
                <w:lang w:val="en-US"/>
              </w:rPr>
              <w:t>)</w:t>
            </w:r>
          </w:p>
        </w:tc>
        <w:tc>
          <w:tcPr>
            <w:tcW w:w="1409" w:type="dxa"/>
            <w:tcBorders>
              <w:top w:val="single" w:sz="4" w:space="0" w:color="auto"/>
              <w:bottom w:val="single" w:sz="4" w:space="0" w:color="auto"/>
            </w:tcBorders>
          </w:tcPr>
          <w:p w14:paraId="246D4679" w14:textId="072E8ACE" w:rsidR="00D54114" w:rsidRPr="00E73BB1" w:rsidRDefault="00720DE0" w:rsidP="00634AF0">
            <w:pPr>
              <w:spacing w:line="240" w:lineRule="auto"/>
              <w:jc w:val="center"/>
              <w:rPr>
                <w:rFonts w:ascii="Times New Roman" w:hAnsi="Times New Roman" w:cs="Times New Roman"/>
                <w:b/>
                <w:bCs/>
                <w:noProof/>
                <w:sz w:val="24"/>
                <w:szCs w:val="24"/>
                <w:lang w:val="en-US"/>
              </w:rPr>
            </w:pPr>
            <w:r w:rsidRPr="00E73BB1">
              <w:rPr>
                <w:rFonts w:ascii="Times New Roman" w:hAnsi="Times New Roman" w:cs="Times New Roman"/>
                <w:b/>
                <w:bCs/>
                <w:i/>
                <w:noProof/>
                <w:sz w:val="24"/>
                <w:szCs w:val="24"/>
                <w:lang w:val="en-US"/>
              </w:rPr>
              <w:t>p</w:t>
            </w:r>
            <w:r w:rsidRPr="00E73BB1">
              <w:rPr>
                <w:rFonts w:ascii="Times New Roman" w:hAnsi="Times New Roman" w:cs="Times New Roman"/>
                <w:b/>
                <w:bCs/>
                <w:noProof/>
                <w:sz w:val="24"/>
                <w:szCs w:val="24"/>
                <w:lang w:val="en-US"/>
              </w:rPr>
              <w:t xml:space="preserve"> (Δp)</w:t>
            </w:r>
          </w:p>
        </w:tc>
        <w:tc>
          <w:tcPr>
            <w:tcW w:w="1653" w:type="dxa"/>
            <w:tcBorders>
              <w:top w:val="single" w:sz="4" w:space="0" w:color="auto"/>
              <w:bottom w:val="single" w:sz="4" w:space="0" w:color="auto"/>
            </w:tcBorders>
          </w:tcPr>
          <w:p w14:paraId="0F355EB6" w14:textId="3C68DABC" w:rsidR="00D54114" w:rsidRPr="00E73BB1" w:rsidRDefault="00D54114" w:rsidP="00634AF0">
            <w:pPr>
              <w:spacing w:line="240" w:lineRule="auto"/>
              <w:jc w:val="center"/>
              <w:rPr>
                <w:rFonts w:ascii="Times New Roman" w:hAnsi="Times New Roman" w:cs="Times New Roman"/>
                <w:b/>
                <w:bCs/>
                <w:noProof/>
                <w:sz w:val="24"/>
                <w:szCs w:val="24"/>
                <w:lang w:val="en-US"/>
              </w:rPr>
            </w:pPr>
            <w:r w:rsidRPr="00E73BB1">
              <w:rPr>
                <w:rFonts w:ascii="Times New Roman" w:hAnsi="Times New Roman" w:cs="Times New Roman"/>
                <w:b/>
                <w:bCs/>
                <w:noProof/>
                <w:sz w:val="24"/>
                <w:szCs w:val="24"/>
                <w:lang w:val="en-US"/>
              </w:rPr>
              <w:t>CFI</w:t>
            </w:r>
            <w:r w:rsidR="00720DE0" w:rsidRPr="00E73BB1">
              <w:rPr>
                <w:rFonts w:ascii="Times New Roman" w:hAnsi="Times New Roman" w:cs="Times New Roman"/>
                <w:b/>
                <w:bCs/>
                <w:noProof/>
                <w:sz w:val="24"/>
                <w:szCs w:val="24"/>
                <w:lang w:val="en-US"/>
              </w:rPr>
              <w:t xml:space="preserve"> (ΔCFI)</w:t>
            </w:r>
          </w:p>
        </w:tc>
      </w:tr>
      <w:tr w:rsidR="00D54114" w:rsidRPr="00E73BB1" w14:paraId="41ED9643" w14:textId="77777777" w:rsidTr="002243B2">
        <w:tc>
          <w:tcPr>
            <w:tcW w:w="2405" w:type="dxa"/>
            <w:tcBorders>
              <w:top w:val="single" w:sz="4" w:space="0" w:color="auto"/>
            </w:tcBorders>
          </w:tcPr>
          <w:p w14:paraId="605F023A" w14:textId="2934C7A5" w:rsidR="00D54114" w:rsidRPr="00E73BB1" w:rsidRDefault="00D54114" w:rsidP="00634AF0">
            <w:pPr>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M1 Configural</w:t>
            </w:r>
          </w:p>
        </w:tc>
        <w:tc>
          <w:tcPr>
            <w:tcW w:w="2131" w:type="dxa"/>
            <w:tcBorders>
              <w:top w:val="single" w:sz="4" w:space="0" w:color="auto"/>
            </w:tcBorders>
          </w:tcPr>
          <w:p w14:paraId="37E54E93" w14:textId="31FFEF50" w:rsidR="00D54114" w:rsidRPr="00E73BB1" w:rsidRDefault="00720DE0" w:rsidP="00634AF0">
            <w:pPr>
              <w:tabs>
                <w:tab w:val="decimal" w:pos="599"/>
              </w:tabs>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481.83</w:t>
            </w:r>
          </w:p>
        </w:tc>
        <w:tc>
          <w:tcPr>
            <w:tcW w:w="1418" w:type="dxa"/>
            <w:tcBorders>
              <w:top w:val="single" w:sz="4" w:space="0" w:color="auto"/>
            </w:tcBorders>
          </w:tcPr>
          <w:p w14:paraId="73043FA1" w14:textId="25719658" w:rsidR="00D54114" w:rsidRPr="00E73BB1" w:rsidRDefault="00720DE0" w:rsidP="00634AF0">
            <w:pPr>
              <w:tabs>
                <w:tab w:val="decimal" w:pos="453"/>
              </w:tabs>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54</w:t>
            </w:r>
          </w:p>
        </w:tc>
        <w:tc>
          <w:tcPr>
            <w:tcW w:w="1409" w:type="dxa"/>
            <w:tcBorders>
              <w:top w:val="single" w:sz="4" w:space="0" w:color="auto"/>
            </w:tcBorders>
          </w:tcPr>
          <w:p w14:paraId="050A08B7" w14:textId="73C786F5" w:rsidR="00D54114" w:rsidRPr="00E73BB1" w:rsidRDefault="00D54114" w:rsidP="00634AF0">
            <w:pPr>
              <w:tabs>
                <w:tab w:val="decimal" w:pos="461"/>
              </w:tabs>
              <w:spacing w:line="240" w:lineRule="auto"/>
              <w:rPr>
                <w:rFonts w:ascii="Times New Roman" w:hAnsi="Times New Roman" w:cs="Times New Roman"/>
                <w:noProof/>
                <w:sz w:val="24"/>
                <w:szCs w:val="24"/>
                <w:lang w:val="en-US"/>
              </w:rPr>
            </w:pPr>
          </w:p>
        </w:tc>
        <w:tc>
          <w:tcPr>
            <w:tcW w:w="1653" w:type="dxa"/>
            <w:tcBorders>
              <w:top w:val="single" w:sz="4" w:space="0" w:color="auto"/>
            </w:tcBorders>
          </w:tcPr>
          <w:p w14:paraId="6CFD0675" w14:textId="724AA9EF" w:rsidR="00D54114" w:rsidRPr="00E73BB1" w:rsidRDefault="00720DE0" w:rsidP="00634AF0">
            <w:pPr>
              <w:tabs>
                <w:tab w:val="decimal" w:pos="327"/>
              </w:tabs>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.918</w:t>
            </w:r>
          </w:p>
        </w:tc>
      </w:tr>
      <w:tr w:rsidR="00D54114" w:rsidRPr="00E73BB1" w14:paraId="397FDCBF" w14:textId="77777777" w:rsidTr="002243B2">
        <w:tc>
          <w:tcPr>
            <w:tcW w:w="2405" w:type="dxa"/>
          </w:tcPr>
          <w:p w14:paraId="52AA6793" w14:textId="4F0B6914" w:rsidR="00D54114" w:rsidRPr="00E73BB1" w:rsidRDefault="00D54114" w:rsidP="00634AF0">
            <w:pPr>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M2 Weak invariance</w:t>
            </w:r>
            <w:r w:rsidR="00720DE0" w:rsidRPr="00E73BB1">
              <w:rPr>
                <w:rFonts w:ascii="Times New Roman" w:hAnsi="Times New Roman" w:cs="Times New Roman"/>
                <w:noProof/>
                <w:sz w:val="24"/>
                <w:szCs w:val="24"/>
                <w:lang w:val="en-US"/>
              </w:rPr>
              <w:t xml:space="preserve"> (loadings)</w:t>
            </w:r>
          </w:p>
        </w:tc>
        <w:tc>
          <w:tcPr>
            <w:tcW w:w="2131" w:type="dxa"/>
          </w:tcPr>
          <w:p w14:paraId="6E544712" w14:textId="5F80507F" w:rsidR="00D54114" w:rsidRPr="00E73BB1" w:rsidRDefault="00720DE0" w:rsidP="00634AF0">
            <w:pPr>
              <w:tabs>
                <w:tab w:val="decimal" w:pos="599"/>
              </w:tabs>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506.29 (24.46)</w:t>
            </w:r>
          </w:p>
        </w:tc>
        <w:tc>
          <w:tcPr>
            <w:tcW w:w="1418" w:type="dxa"/>
          </w:tcPr>
          <w:p w14:paraId="3237611F" w14:textId="1EABD143" w:rsidR="00D54114" w:rsidRPr="00E73BB1" w:rsidRDefault="00720DE0" w:rsidP="00634AF0">
            <w:pPr>
              <w:tabs>
                <w:tab w:val="decimal" w:pos="453"/>
              </w:tabs>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62 (8)</w:t>
            </w:r>
          </w:p>
        </w:tc>
        <w:tc>
          <w:tcPr>
            <w:tcW w:w="1409" w:type="dxa"/>
          </w:tcPr>
          <w:p w14:paraId="1195A52D" w14:textId="634C019B" w:rsidR="00D54114" w:rsidRPr="00E73BB1" w:rsidRDefault="00720DE0" w:rsidP="00634AF0">
            <w:pPr>
              <w:tabs>
                <w:tab w:val="decimal" w:pos="461"/>
              </w:tabs>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.002</w:t>
            </w:r>
          </w:p>
        </w:tc>
        <w:tc>
          <w:tcPr>
            <w:tcW w:w="1653" w:type="dxa"/>
          </w:tcPr>
          <w:p w14:paraId="34EE6AB1" w14:textId="684EF0AE" w:rsidR="00D54114" w:rsidRPr="00E73BB1" w:rsidRDefault="00720DE0" w:rsidP="00634AF0">
            <w:pPr>
              <w:tabs>
                <w:tab w:val="decimal" w:pos="327"/>
              </w:tabs>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.915 (.005)</w:t>
            </w:r>
          </w:p>
        </w:tc>
      </w:tr>
      <w:tr w:rsidR="00D54114" w:rsidRPr="00E73BB1" w14:paraId="4337A2D8" w14:textId="77777777" w:rsidTr="00E761E1">
        <w:tc>
          <w:tcPr>
            <w:tcW w:w="2405" w:type="dxa"/>
          </w:tcPr>
          <w:p w14:paraId="79445A0F" w14:textId="2F195B20" w:rsidR="00D54114" w:rsidRPr="00E73BB1" w:rsidRDefault="00D54114" w:rsidP="00634AF0">
            <w:pPr>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M3 Strong invariance</w:t>
            </w:r>
            <w:r w:rsidR="00720DE0" w:rsidRPr="00E73BB1">
              <w:rPr>
                <w:rFonts w:ascii="Times New Roman" w:hAnsi="Times New Roman" w:cs="Times New Roman"/>
                <w:noProof/>
                <w:sz w:val="24"/>
                <w:szCs w:val="24"/>
                <w:lang w:val="en-US"/>
              </w:rPr>
              <w:t xml:space="preserve"> (intercepts)</w:t>
            </w:r>
          </w:p>
        </w:tc>
        <w:tc>
          <w:tcPr>
            <w:tcW w:w="2131" w:type="dxa"/>
          </w:tcPr>
          <w:p w14:paraId="4E3FE703" w14:textId="3B383FA7" w:rsidR="00D54114" w:rsidRPr="00E73BB1" w:rsidRDefault="00720DE0" w:rsidP="00634AF0">
            <w:pPr>
              <w:tabs>
                <w:tab w:val="decimal" w:pos="599"/>
              </w:tabs>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534.92 (28.63)</w:t>
            </w:r>
          </w:p>
        </w:tc>
        <w:tc>
          <w:tcPr>
            <w:tcW w:w="1418" w:type="dxa"/>
          </w:tcPr>
          <w:p w14:paraId="048E37C8" w14:textId="3349FFEF" w:rsidR="00D54114" w:rsidRPr="00E73BB1" w:rsidRDefault="00720DE0" w:rsidP="00634AF0">
            <w:pPr>
              <w:tabs>
                <w:tab w:val="decimal" w:pos="453"/>
              </w:tabs>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70 (8)</w:t>
            </w:r>
          </w:p>
        </w:tc>
        <w:tc>
          <w:tcPr>
            <w:tcW w:w="1409" w:type="dxa"/>
          </w:tcPr>
          <w:p w14:paraId="5EFEB764" w14:textId="2E0B09B2" w:rsidR="00D54114" w:rsidRPr="00E73BB1" w:rsidRDefault="00720DE0" w:rsidP="00634AF0">
            <w:pPr>
              <w:tabs>
                <w:tab w:val="decimal" w:pos="461"/>
              </w:tabs>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&lt;.001</w:t>
            </w:r>
          </w:p>
        </w:tc>
        <w:tc>
          <w:tcPr>
            <w:tcW w:w="1653" w:type="dxa"/>
          </w:tcPr>
          <w:p w14:paraId="6CCE58F5" w14:textId="6ED9FA1E" w:rsidR="00D54114" w:rsidRPr="00E73BB1" w:rsidRDefault="00720DE0" w:rsidP="00634AF0">
            <w:pPr>
              <w:tabs>
                <w:tab w:val="decimal" w:pos="327"/>
              </w:tabs>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.911 (.004)</w:t>
            </w:r>
          </w:p>
        </w:tc>
      </w:tr>
      <w:tr w:rsidR="00D54114" w:rsidRPr="00E73BB1" w14:paraId="7993E0BF" w14:textId="77777777" w:rsidTr="00E761E1">
        <w:tc>
          <w:tcPr>
            <w:tcW w:w="2405" w:type="dxa"/>
            <w:tcBorders>
              <w:bottom w:val="single" w:sz="4" w:space="0" w:color="auto"/>
            </w:tcBorders>
          </w:tcPr>
          <w:p w14:paraId="486F0B6A" w14:textId="3701ADD7" w:rsidR="00D54114" w:rsidRPr="00E73BB1" w:rsidRDefault="00D54114" w:rsidP="00634AF0">
            <w:pPr>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M4 Strict invariance</w:t>
            </w:r>
            <w:r w:rsidR="00720DE0" w:rsidRPr="00E73BB1">
              <w:rPr>
                <w:rFonts w:ascii="Times New Roman" w:hAnsi="Times New Roman" w:cs="Times New Roman"/>
                <w:noProof/>
                <w:sz w:val="24"/>
                <w:szCs w:val="24"/>
                <w:lang w:val="en-US"/>
              </w:rPr>
              <w:t xml:space="preserve"> (means)</w:t>
            </w:r>
          </w:p>
        </w:tc>
        <w:tc>
          <w:tcPr>
            <w:tcW w:w="2131" w:type="dxa"/>
            <w:tcBorders>
              <w:bottom w:val="single" w:sz="4" w:space="0" w:color="auto"/>
            </w:tcBorders>
          </w:tcPr>
          <w:p w14:paraId="6715BE44" w14:textId="2601F5BD" w:rsidR="00D54114" w:rsidRPr="00E73BB1" w:rsidRDefault="00720DE0" w:rsidP="00634AF0">
            <w:pPr>
              <w:tabs>
                <w:tab w:val="decimal" w:pos="599"/>
              </w:tabs>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563.81 (28.90)</w:t>
            </w:r>
          </w:p>
        </w:tc>
        <w:tc>
          <w:tcPr>
            <w:tcW w:w="1418" w:type="dxa"/>
            <w:tcBorders>
              <w:bottom w:val="single" w:sz="4" w:space="0" w:color="auto"/>
            </w:tcBorders>
          </w:tcPr>
          <w:p w14:paraId="483131F6" w14:textId="3BB1F521" w:rsidR="00D54114" w:rsidRPr="00E73BB1" w:rsidRDefault="00720DE0" w:rsidP="00634AF0">
            <w:pPr>
              <w:tabs>
                <w:tab w:val="decimal" w:pos="453"/>
              </w:tabs>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71 (1)</w:t>
            </w:r>
          </w:p>
        </w:tc>
        <w:tc>
          <w:tcPr>
            <w:tcW w:w="1409" w:type="dxa"/>
            <w:tcBorders>
              <w:bottom w:val="single" w:sz="4" w:space="0" w:color="auto"/>
            </w:tcBorders>
          </w:tcPr>
          <w:p w14:paraId="22567C7E" w14:textId="348E74CC" w:rsidR="00D54114" w:rsidRPr="00E73BB1" w:rsidRDefault="00720DE0" w:rsidP="00634AF0">
            <w:pPr>
              <w:tabs>
                <w:tab w:val="decimal" w:pos="461"/>
              </w:tabs>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&lt;.001</w:t>
            </w:r>
          </w:p>
        </w:tc>
        <w:tc>
          <w:tcPr>
            <w:tcW w:w="1653" w:type="dxa"/>
            <w:tcBorders>
              <w:bottom w:val="single" w:sz="4" w:space="0" w:color="auto"/>
            </w:tcBorders>
          </w:tcPr>
          <w:p w14:paraId="6AF2A43E" w14:textId="3A8238FB" w:rsidR="00D54114" w:rsidRPr="00E73BB1" w:rsidRDefault="00720DE0" w:rsidP="00634AF0">
            <w:pPr>
              <w:tabs>
                <w:tab w:val="decimal" w:pos="327"/>
              </w:tabs>
              <w:spacing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.906 (.002)</w:t>
            </w:r>
          </w:p>
        </w:tc>
      </w:tr>
    </w:tbl>
    <w:p w14:paraId="58CBD443" w14:textId="3D63B761" w:rsidR="00666A49" w:rsidRPr="00E73BB1" w:rsidRDefault="00720DE0" w:rsidP="00634AF0">
      <w:pPr>
        <w:spacing w:line="240" w:lineRule="auto"/>
        <w:rPr>
          <w:rFonts w:ascii="Times New Roman" w:hAnsi="Times New Roman" w:cs="Times New Roman"/>
          <w:noProof/>
          <w:sz w:val="24"/>
          <w:szCs w:val="24"/>
          <w:lang w:val="en-US"/>
        </w:rPr>
      </w:pPr>
      <w:r w:rsidRPr="00E73BB1">
        <w:rPr>
          <w:rFonts w:ascii="Times New Roman" w:hAnsi="Times New Roman" w:cs="Times New Roman"/>
          <w:i/>
          <w:iCs/>
          <w:noProof/>
          <w:sz w:val="24"/>
          <w:szCs w:val="24"/>
          <w:lang w:val="en-US"/>
        </w:rPr>
        <w:t>Note</w:t>
      </w:r>
      <w:r w:rsidRPr="00E73BB1">
        <w:rPr>
          <w:rFonts w:ascii="Times New Roman" w:hAnsi="Times New Roman" w:cs="Times New Roman"/>
          <w:noProof/>
          <w:sz w:val="24"/>
          <w:szCs w:val="24"/>
          <w:lang w:val="en-US"/>
        </w:rPr>
        <w:t>. According to Cheung and Rensvold (2002) ΔCFI &lt; 0.01 implies that the invariance assumption still holds.</w:t>
      </w:r>
    </w:p>
    <w:p w14:paraId="357ECB6C" w14:textId="1FA15F32" w:rsidR="00F22859" w:rsidRPr="00E73BB1" w:rsidRDefault="00F22859" w:rsidP="00720DE0">
      <w:pPr>
        <w:spacing w:line="360" w:lineRule="auto"/>
        <w:rPr>
          <w:rFonts w:ascii="Times New Roman" w:hAnsi="Times New Roman" w:cs="Times New Roman"/>
          <w:noProof/>
          <w:sz w:val="24"/>
          <w:szCs w:val="24"/>
          <w:lang w:val="en-US"/>
        </w:rPr>
      </w:pPr>
    </w:p>
    <w:p w14:paraId="16CB9D19" w14:textId="77777777" w:rsidR="00C72E0C" w:rsidRPr="00E73BB1" w:rsidRDefault="00C72E0C" w:rsidP="00720DE0">
      <w:pPr>
        <w:spacing w:line="360" w:lineRule="auto"/>
        <w:rPr>
          <w:rFonts w:ascii="Times New Roman" w:hAnsi="Times New Roman" w:cs="Times New Roman"/>
          <w:noProof/>
          <w:sz w:val="24"/>
          <w:szCs w:val="24"/>
          <w:lang w:val="en-US"/>
        </w:rPr>
        <w:sectPr w:rsidR="00C72E0C" w:rsidRPr="00E73BB1" w:rsidSect="005A689A">
          <w:endnotePr>
            <w:numFmt w:val="decimal"/>
          </w:endnotePr>
          <w:pgSz w:w="11906" w:h="16838"/>
          <w:pgMar w:top="1440" w:right="1440" w:bottom="1440" w:left="1440" w:header="708" w:footer="708" w:gutter="0"/>
          <w:cols w:space="708"/>
          <w:docGrid w:linePitch="360"/>
        </w:sectPr>
      </w:pPr>
    </w:p>
    <w:p w14:paraId="0CCDCB59" w14:textId="6050CCBF" w:rsidR="00F22859" w:rsidRPr="00E73BB1" w:rsidRDefault="00E86665" w:rsidP="00634AF0">
      <w:pPr>
        <w:spacing w:after="120" w:line="240" w:lineRule="auto"/>
        <w:rPr>
          <w:rFonts w:ascii="Times New Roman" w:hAnsi="Times New Roman" w:cs="Times New Roman"/>
          <w:b/>
          <w:bCs/>
          <w:noProof/>
          <w:sz w:val="24"/>
          <w:szCs w:val="24"/>
          <w:lang w:val="en-US"/>
        </w:rPr>
      </w:pPr>
      <w:r w:rsidRPr="00E73BB1">
        <w:rPr>
          <w:rFonts w:ascii="Times New Roman" w:hAnsi="Times New Roman" w:cs="Times New Roman"/>
          <w:b/>
          <w:bCs/>
          <w:noProof/>
          <w:sz w:val="24"/>
          <w:szCs w:val="24"/>
          <w:lang w:val="en-US"/>
        </w:rPr>
        <w:lastRenderedPageBreak/>
        <w:t>Table 4</w:t>
      </w:r>
    </w:p>
    <w:p w14:paraId="0074BAAD" w14:textId="67304F6B" w:rsidR="00F22859" w:rsidRPr="00E73BB1" w:rsidRDefault="00B56865" w:rsidP="00634AF0">
      <w:pPr>
        <w:spacing w:after="120" w:line="240" w:lineRule="auto"/>
        <w:rPr>
          <w:rFonts w:ascii="Times New Roman" w:hAnsi="Times New Roman" w:cs="Times New Roman"/>
          <w:i/>
          <w:iCs/>
          <w:noProof/>
          <w:sz w:val="24"/>
          <w:szCs w:val="24"/>
          <w:lang w:val="en-US"/>
        </w:rPr>
      </w:pPr>
      <w:r w:rsidRPr="00E73BB1">
        <w:rPr>
          <w:rFonts w:ascii="Times New Roman" w:hAnsi="Times New Roman" w:cs="Times New Roman"/>
          <w:i/>
          <w:iCs/>
          <w:noProof/>
          <w:sz w:val="24"/>
          <w:szCs w:val="24"/>
          <w:lang w:val="en-US"/>
        </w:rPr>
        <w:t>Study 4</w:t>
      </w:r>
      <w:r w:rsidR="00D848D2" w:rsidRPr="00E73BB1">
        <w:rPr>
          <w:rFonts w:ascii="Times New Roman" w:hAnsi="Times New Roman" w:cs="Times New Roman"/>
          <w:i/>
          <w:iCs/>
          <w:noProof/>
          <w:sz w:val="24"/>
          <w:szCs w:val="24"/>
          <w:lang w:val="en-US"/>
        </w:rPr>
        <w:t xml:space="preserve"> </w:t>
      </w:r>
      <w:r w:rsidR="00C17464" w:rsidRPr="00E73BB1">
        <w:rPr>
          <w:rFonts w:ascii="Times New Roman" w:hAnsi="Times New Roman" w:cs="Times New Roman"/>
          <w:i/>
          <w:iCs/>
          <w:noProof/>
          <w:sz w:val="24"/>
          <w:szCs w:val="24"/>
          <w:lang w:val="en-US"/>
        </w:rPr>
        <w:t>C</w:t>
      </w:r>
      <w:r w:rsidR="00F22859" w:rsidRPr="00E73BB1">
        <w:rPr>
          <w:rFonts w:ascii="Times New Roman" w:hAnsi="Times New Roman" w:cs="Times New Roman"/>
          <w:i/>
          <w:iCs/>
          <w:noProof/>
          <w:sz w:val="24"/>
          <w:szCs w:val="24"/>
          <w:lang w:val="en-US"/>
        </w:rPr>
        <w:t>orrelation</w:t>
      </w:r>
      <w:r w:rsidR="00D848D2" w:rsidRPr="00E73BB1">
        <w:rPr>
          <w:rFonts w:ascii="Times New Roman" w:hAnsi="Times New Roman" w:cs="Times New Roman"/>
          <w:i/>
          <w:iCs/>
          <w:noProof/>
          <w:sz w:val="24"/>
          <w:szCs w:val="24"/>
          <w:lang w:val="en-US"/>
        </w:rPr>
        <w:t>al</w:t>
      </w:r>
      <w:r w:rsidR="00F22859" w:rsidRPr="00E73BB1">
        <w:rPr>
          <w:rFonts w:ascii="Times New Roman" w:hAnsi="Times New Roman" w:cs="Times New Roman"/>
          <w:i/>
          <w:iCs/>
          <w:noProof/>
          <w:sz w:val="24"/>
          <w:szCs w:val="24"/>
          <w:lang w:val="en-US"/>
        </w:rPr>
        <w:t xml:space="preserve"> </w:t>
      </w:r>
      <w:r w:rsidR="00C17464" w:rsidRPr="00E73BB1">
        <w:rPr>
          <w:rFonts w:ascii="Times New Roman" w:hAnsi="Times New Roman" w:cs="Times New Roman"/>
          <w:i/>
          <w:iCs/>
          <w:noProof/>
          <w:sz w:val="24"/>
          <w:szCs w:val="24"/>
          <w:lang w:val="en-US"/>
        </w:rPr>
        <w:t>M</w:t>
      </w:r>
      <w:r w:rsidR="00F22859" w:rsidRPr="00E73BB1">
        <w:rPr>
          <w:rFonts w:ascii="Times New Roman" w:hAnsi="Times New Roman" w:cs="Times New Roman"/>
          <w:i/>
          <w:iCs/>
          <w:noProof/>
          <w:sz w:val="24"/>
          <w:szCs w:val="24"/>
          <w:lang w:val="en-US"/>
        </w:rPr>
        <w:t xml:space="preserve">atrix </w:t>
      </w:r>
      <w:r w:rsidR="00C17464" w:rsidRPr="00E73BB1">
        <w:rPr>
          <w:rFonts w:ascii="Times New Roman" w:hAnsi="Times New Roman" w:cs="Times New Roman"/>
          <w:i/>
          <w:iCs/>
          <w:noProof/>
          <w:sz w:val="24"/>
          <w:szCs w:val="24"/>
          <w:lang w:val="en-US"/>
        </w:rPr>
        <w:t>B</w:t>
      </w:r>
      <w:r w:rsidR="00F22859" w:rsidRPr="00E73BB1">
        <w:rPr>
          <w:rFonts w:ascii="Times New Roman" w:hAnsi="Times New Roman" w:cs="Times New Roman"/>
          <w:i/>
          <w:iCs/>
          <w:noProof/>
          <w:sz w:val="24"/>
          <w:szCs w:val="24"/>
          <w:lang w:val="en-US"/>
        </w:rPr>
        <w:t xml:space="preserve">etween </w:t>
      </w:r>
      <w:r w:rsidR="00C17464" w:rsidRPr="00E73BB1">
        <w:rPr>
          <w:rFonts w:ascii="Times New Roman" w:hAnsi="Times New Roman" w:cs="Times New Roman"/>
          <w:i/>
          <w:iCs/>
          <w:noProof/>
          <w:sz w:val="24"/>
          <w:szCs w:val="24"/>
          <w:lang w:val="en-US"/>
        </w:rPr>
        <w:t xml:space="preserve">BILD-Q </w:t>
      </w:r>
      <w:r w:rsidR="00F22859" w:rsidRPr="00E73BB1">
        <w:rPr>
          <w:rFonts w:ascii="Times New Roman" w:hAnsi="Times New Roman" w:cs="Times New Roman"/>
          <w:i/>
          <w:iCs/>
          <w:noProof/>
          <w:sz w:val="24"/>
          <w:szCs w:val="24"/>
          <w:lang w:val="en-US"/>
        </w:rPr>
        <w:t xml:space="preserve">and </w:t>
      </w:r>
      <w:r w:rsidR="00C17464" w:rsidRPr="00E73BB1">
        <w:rPr>
          <w:rFonts w:ascii="Times New Roman" w:hAnsi="Times New Roman" w:cs="Times New Roman"/>
          <w:i/>
          <w:iCs/>
          <w:noProof/>
          <w:sz w:val="24"/>
          <w:szCs w:val="24"/>
          <w:lang w:val="en-US"/>
        </w:rPr>
        <w:t>R</w:t>
      </w:r>
      <w:r w:rsidR="00F22859" w:rsidRPr="00E73BB1">
        <w:rPr>
          <w:rFonts w:ascii="Times New Roman" w:hAnsi="Times New Roman" w:cs="Times New Roman"/>
          <w:i/>
          <w:iCs/>
          <w:noProof/>
          <w:sz w:val="24"/>
          <w:szCs w:val="24"/>
          <w:lang w:val="en-US"/>
        </w:rPr>
        <w:t xml:space="preserve">elated </w:t>
      </w:r>
      <w:r w:rsidR="00C17464" w:rsidRPr="00E73BB1">
        <w:rPr>
          <w:rFonts w:ascii="Times New Roman" w:hAnsi="Times New Roman" w:cs="Times New Roman"/>
          <w:i/>
          <w:iCs/>
          <w:noProof/>
          <w:sz w:val="24"/>
          <w:szCs w:val="24"/>
          <w:lang w:val="en-US"/>
        </w:rPr>
        <w:t>C</w:t>
      </w:r>
      <w:r w:rsidR="00F22859" w:rsidRPr="00E73BB1">
        <w:rPr>
          <w:rFonts w:ascii="Times New Roman" w:hAnsi="Times New Roman" w:cs="Times New Roman"/>
          <w:i/>
          <w:iCs/>
          <w:noProof/>
          <w:sz w:val="24"/>
          <w:szCs w:val="24"/>
          <w:lang w:val="en-US"/>
        </w:rPr>
        <w:t>onstructs</w:t>
      </w:r>
      <w:r w:rsidR="003F7872" w:rsidRPr="00E73BB1">
        <w:rPr>
          <w:rFonts w:ascii="Times New Roman" w:hAnsi="Times New Roman" w:cs="Times New Roman"/>
          <w:i/>
          <w:iCs/>
          <w:noProof/>
          <w:sz w:val="24"/>
          <w:szCs w:val="24"/>
          <w:lang w:val="en-US"/>
        </w:rPr>
        <w:t xml:space="preserve">, by </w:t>
      </w:r>
      <w:r w:rsidR="00C17464" w:rsidRPr="00E73BB1">
        <w:rPr>
          <w:rFonts w:ascii="Times New Roman" w:hAnsi="Times New Roman" w:cs="Times New Roman"/>
          <w:i/>
          <w:iCs/>
          <w:noProof/>
          <w:sz w:val="24"/>
          <w:szCs w:val="24"/>
          <w:lang w:val="en-US"/>
        </w:rPr>
        <w:t>G</w:t>
      </w:r>
      <w:r w:rsidR="003F7872" w:rsidRPr="00E73BB1">
        <w:rPr>
          <w:rFonts w:ascii="Times New Roman" w:hAnsi="Times New Roman" w:cs="Times New Roman"/>
          <w:i/>
          <w:iCs/>
          <w:noProof/>
          <w:sz w:val="24"/>
          <w:szCs w:val="24"/>
          <w:lang w:val="en-US"/>
        </w:rPr>
        <w:t>ender</w:t>
      </w:r>
    </w:p>
    <w:tbl>
      <w:tblPr>
        <w:tblStyle w:val="TableGrid"/>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289"/>
        <w:gridCol w:w="1290"/>
        <w:gridCol w:w="1290"/>
        <w:gridCol w:w="1290"/>
        <w:gridCol w:w="1290"/>
        <w:gridCol w:w="1290"/>
        <w:gridCol w:w="1290"/>
        <w:gridCol w:w="1290"/>
        <w:gridCol w:w="1290"/>
        <w:gridCol w:w="1290"/>
      </w:tblGrid>
      <w:tr w:rsidR="008B5331" w:rsidRPr="00E73BB1" w14:paraId="407DA843" w14:textId="607F234F" w:rsidTr="00D848D2">
        <w:tc>
          <w:tcPr>
            <w:tcW w:w="1843" w:type="dxa"/>
            <w:tcBorders>
              <w:top w:val="single" w:sz="4" w:space="0" w:color="auto"/>
              <w:bottom w:val="single" w:sz="4" w:space="0" w:color="auto"/>
            </w:tcBorders>
          </w:tcPr>
          <w:p w14:paraId="38524EBB" w14:textId="77777777" w:rsidR="008B5331" w:rsidRPr="00E73BB1" w:rsidRDefault="008B5331" w:rsidP="00634AF0">
            <w:pPr>
              <w:spacing w:after="120" w:line="240" w:lineRule="auto"/>
              <w:rPr>
                <w:rFonts w:ascii="Times New Roman" w:hAnsi="Times New Roman" w:cs="Times New Roman"/>
                <w:b/>
                <w:bCs/>
                <w:noProof/>
                <w:sz w:val="24"/>
                <w:szCs w:val="24"/>
                <w:lang w:val="en-US"/>
              </w:rPr>
            </w:pPr>
          </w:p>
        </w:tc>
        <w:tc>
          <w:tcPr>
            <w:tcW w:w="1289" w:type="dxa"/>
            <w:tcBorders>
              <w:top w:val="single" w:sz="4" w:space="0" w:color="auto"/>
              <w:bottom w:val="single" w:sz="4" w:space="0" w:color="auto"/>
            </w:tcBorders>
          </w:tcPr>
          <w:p w14:paraId="2C566343" w14:textId="25D47859" w:rsidR="008B5331" w:rsidRPr="00E73BB1" w:rsidRDefault="008B5331" w:rsidP="00634AF0">
            <w:pPr>
              <w:spacing w:after="120" w:line="240" w:lineRule="auto"/>
              <w:jc w:val="center"/>
              <w:rPr>
                <w:rFonts w:ascii="Times New Roman" w:hAnsi="Times New Roman" w:cs="Times New Roman"/>
                <w:b/>
                <w:bCs/>
                <w:noProof/>
                <w:sz w:val="24"/>
                <w:szCs w:val="24"/>
                <w:lang w:val="en-US"/>
              </w:rPr>
            </w:pPr>
            <w:r w:rsidRPr="00E73BB1">
              <w:rPr>
                <w:rFonts w:ascii="Times New Roman" w:hAnsi="Times New Roman" w:cs="Times New Roman"/>
                <w:b/>
                <w:bCs/>
                <w:noProof/>
                <w:sz w:val="24"/>
                <w:szCs w:val="24"/>
                <w:lang w:val="en-US"/>
              </w:rPr>
              <w:t>1</w:t>
            </w:r>
          </w:p>
        </w:tc>
        <w:tc>
          <w:tcPr>
            <w:tcW w:w="1290" w:type="dxa"/>
            <w:tcBorders>
              <w:top w:val="single" w:sz="4" w:space="0" w:color="auto"/>
              <w:bottom w:val="single" w:sz="4" w:space="0" w:color="auto"/>
            </w:tcBorders>
          </w:tcPr>
          <w:p w14:paraId="48A32690" w14:textId="5334D183" w:rsidR="008B5331" w:rsidRPr="00E73BB1" w:rsidRDefault="008B5331" w:rsidP="00634AF0">
            <w:pPr>
              <w:spacing w:after="120" w:line="240" w:lineRule="auto"/>
              <w:jc w:val="center"/>
              <w:rPr>
                <w:rFonts w:ascii="Times New Roman" w:hAnsi="Times New Roman" w:cs="Times New Roman"/>
                <w:b/>
                <w:bCs/>
                <w:i/>
                <w:noProof/>
                <w:sz w:val="24"/>
                <w:szCs w:val="24"/>
                <w:lang w:val="en-US"/>
              </w:rPr>
            </w:pPr>
            <w:r w:rsidRPr="00E73BB1">
              <w:rPr>
                <w:rFonts w:ascii="Times New Roman" w:hAnsi="Times New Roman" w:cs="Times New Roman"/>
                <w:b/>
                <w:bCs/>
                <w:noProof/>
                <w:sz w:val="24"/>
                <w:szCs w:val="24"/>
                <w:lang w:val="en-US"/>
              </w:rPr>
              <w:t>2</w:t>
            </w:r>
          </w:p>
        </w:tc>
        <w:tc>
          <w:tcPr>
            <w:tcW w:w="1290" w:type="dxa"/>
            <w:tcBorders>
              <w:top w:val="single" w:sz="4" w:space="0" w:color="auto"/>
              <w:bottom w:val="single" w:sz="4" w:space="0" w:color="auto"/>
            </w:tcBorders>
          </w:tcPr>
          <w:p w14:paraId="360B38DB" w14:textId="340EB556" w:rsidR="008B5331" w:rsidRPr="00E73BB1" w:rsidRDefault="008B5331" w:rsidP="00634AF0">
            <w:pPr>
              <w:spacing w:after="120" w:line="240" w:lineRule="auto"/>
              <w:jc w:val="center"/>
              <w:rPr>
                <w:rFonts w:ascii="Times New Roman" w:hAnsi="Times New Roman" w:cs="Times New Roman"/>
                <w:b/>
                <w:bCs/>
                <w:noProof/>
                <w:sz w:val="24"/>
                <w:szCs w:val="24"/>
                <w:lang w:val="en-US"/>
              </w:rPr>
            </w:pPr>
            <w:r w:rsidRPr="00E73BB1">
              <w:rPr>
                <w:rFonts w:ascii="Times New Roman" w:hAnsi="Times New Roman" w:cs="Times New Roman"/>
                <w:b/>
                <w:bCs/>
                <w:noProof/>
                <w:sz w:val="24"/>
                <w:szCs w:val="24"/>
                <w:lang w:val="en-US"/>
              </w:rPr>
              <w:t>3</w:t>
            </w:r>
          </w:p>
        </w:tc>
        <w:tc>
          <w:tcPr>
            <w:tcW w:w="1290" w:type="dxa"/>
            <w:tcBorders>
              <w:top w:val="single" w:sz="4" w:space="0" w:color="auto"/>
              <w:bottom w:val="single" w:sz="4" w:space="0" w:color="auto"/>
            </w:tcBorders>
          </w:tcPr>
          <w:p w14:paraId="6790FB87" w14:textId="07468F9D" w:rsidR="008B5331" w:rsidRPr="00E73BB1" w:rsidRDefault="008B5331" w:rsidP="00634AF0">
            <w:pPr>
              <w:spacing w:after="120" w:line="240" w:lineRule="auto"/>
              <w:jc w:val="center"/>
              <w:rPr>
                <w:rFonts w:ascii="Times New Roman" w:hAnsi="Times New Roman" w:cs="Times New Roman"/>
                <w:b/>
                <w:bCs/>
                <w:noProof/>
                <w:sz w:val="24"/>
                <w:szCs w:val="24"/>
                <w:lang w:val="en-US"/>
              </w:rPr>
            </w:pPr>
            <w:r w:rsidRPr="00E73BB1">
              <w:rPr>
                <w:rFonts w:ascii="Times New Roman" w:hAnsi="Times New Roman" w:cs="Times New Roman"/>
                <w:b/>
                <w:bCs/>
                <w:noProof/>
                <w:sz w:val="24"/>
                <w:szCs w:val="24"/>
                <w:lang w:val="en-US"/>
              </w:rPr>
              <w:t>4</w:t>
            </w:r>
          </w:p>
        </w:tc>
        <w:tc>
          <w:tcPr>
            <w:tcW w:w="1290" w:type="dxa"/>
            <w:tcBorders>
              <w:top w:val="single" w:sz="4" w:space="0" w:color="auto"/>
              <w:bottom w:val="single" w:sz="4" w:space="0" w:color="auto"/>
            </w:tcBorders>
          </w:tcPr>
          <w:p w14:paraId="400E5F4E" w14:textId="55943B22" w:rsidR="008B5331" w:rsidRPr="00E73BB1" w:rsidRDefault="008B5331" w:rsidP="00634AF0">
            <w:pPr>
              <w:spacing w:after="120" w:line="240" w:lineRule="auto"/>
              <w:jc w:val="center"/>
              <w:rPr>
                <w:rFonts w:ascii="Times New Roman" w:hAnsi="Times New Roman" w:cs="Times New Roman"/>
                <w:b/>
                <w:bCs/>
                <w:noProof/>
                <w:sz w:val="24"/>
                <w:szCs w:val="24"/>
                <w:lang w:val="en-US"/>
              </w:rPr>
            </w:pPr>
            <w:r w:rsidRPr="00E73BB1">
              <w:rPr>
                <w:rFonts w:ascii="Times New Roman" w:hAnsi="Times New Roman" w:cs="Times New Roman"/>
                <w:b/>
                <w:bCs/>
                <w:noProof/>
                <w:sz w:val="24"/>
                <w:szCs w:val="24"/>
                <w:lang w:val="en-US"/>
              </w:rPr>
              <w:t>5</w:t>
            </w:r>
          </w:p>
        </w:tc>
        <w:tc>
          <w:tcPr>
            <w:tcW w:w="1290" w:type="dxa"/>
            <w:tcBorders>
              <w:top w:val="single" w:sz="4" w:space="0" w:color="auto"/>
              <w:bottom w:val="single" w:sz="4" w:space="0" w:color="auto"/>
            </w:tcBorders>
          </w:tcPr>
          <w:p w14:paraId="026B1772" w14:textId="426D6FD7" w:rsidR="008B5331" w:rsidRPr="00E73BB1" w:rsidRDefault="008B5331" w:rsidP="00634AF0">
            <w:pPr>
              <w:spacing w:after="120" w:line="240" w:lineRule="auto"/>
              <w:jc w:val="center"/>
              <w:rPr>
                <w:rFonts w:ascii="Times New Roman" w:hAnsi="Times New Roman" w:cs="Times New Roman"/>
                <w:b/>
                <w:bCs/>
                <w:noProof/>
                <w:sz w:val="24"/>
                <w:szCs w:val="24"/>
                <w:lang w:val="en-US"/>
              </w:rPr>
            </w:pPr>
            <w:r w:rsidRPr="00E73BB1">
              <w:rPr>
                <w:rFonts w:ascii="Times New Roman" w:hAnsi="Times New Roman" w:cs="Times New Roman"/>
                <w:b/>
                <w:bCs/>
                <w:noProof/>
                <w:sz w:val="24"/>
                <w:szCs w:val="24"/>
                <w:lang w:val="en-US"/>
              </w:rPr>
              <w:t>6</w:t>
            </w:r>
          </w:p>
        </w:tc>
        <w:tc>
          <w:tcPr>
            <w:tcW w:w="1290" w:type="dxa"/>
            <w:tcBorders>
              <w:top w:val="single" w:sz="4" w:space="0" w:color="auto"/>
              <w:bottom w:val="single" w:sz="4" w:space="0" w:color="auto"/>
            </w:tcBorders>
          </w:tcPr>
          <w:p w14:paraId="616F174D" w14:textId="700C3D0A" w:rsidR="008B5331" w:rsidRPr="00E73BB1" w:rsidRDefault="008B5331" w:rsidP="00634AF0">
            <w:pPr>
              <w:spacing w:after="120" w:line="240" w:lineRule="auto"/>
              <w:jc w:val="center"/>
              <w:rPr>
                <w:rFonts w:ascii="Times New Roman" w:hAnsi="Times New Roman" w:cs="Times New Roman"/>
                <w:b/>
                <w:bCs/>
                <w:noProof/>
                <w:sz w:val="24"/>
                <w:szCs w:val="24"/>
                <w:lang w:val="en-US"/>
              </w:rPr>
            </w:pPr>
            <w:r w:rsidRPr="00E73BB1">
              <w:rPr>
                <w:rFonts w:ascii="Times New Roman" w:hAnsi="Times New Roman" w:cs="Times New Roman"/>
                <w:b/>
                <w:bCs/>
                <w:noProof/>
                <w:sz w:val="24"/>
                <w:szCs w:val="24"/>
                <w:lang w:val="en-US"/>
              </w:rPr>
              <w:t>7</w:t>
            </w:r>
          </w:p>
        </w:tc>
        <w:tc>
          <w:tcPr>
            <w:tcW w:w="1290" w:type="dxa"/>
            <w:tcBorders>
              <w:top w:val="single" w:sz="4" w:space="0" w:color="auto"/>
              <w:bottom w:val="single" w:sz="4" w:space="0" w:color="auto"/>
            </w:tcBorders>
          </w:tcPr>
          <w:p w14:paraId="7DDDC93A" w14:textId="6D4BAAC1" w:rsidR="008B5331" w:rsidRPr="00E73BB1" w:rsidRDefault="008B5331" w:rsidP="00634AF0">
            <w:pPr>
              <w:spacing w:after="120" w:line="240" w:lineRule="auto"/>
              <w:jc w:val="center"/>
              <w:rPr>
                <w:rFonts w:ascii="Times New Roman" w:hAnsi="Times New Roman" w:cs="Times New Roman"/>
                <w:b/>
                <w:bCs/>
                <w:noProof/>
                <w:sz w:val="24"/>
                <w:szCs w:val="24"/>
                <w:lang w:val="en-US"/>
              </w:rPr>
            </w:pPr>
            <w:r w:rsidRPr="00E73BB1">
              <w:rPr>
                <w:rFonts w:ascii="Times New Roman" w:hAnsi="Times New Roman" w:cs="Times New Roman"/>
                <w:b/>
                <w:bCs/>
                <w:noProof/>
                <w:sz w:val="24"/>
                <w:szCs w:val="24"/>
                <w:lang w:val="en-US"/>
              </w:rPr>
              <w:t>8</w:t>
            </w:r>
          </w:p>
        </w:tc>
        <w:tc>
          <w:tcPr>
            <w:tcW w:w="1290" w:type="dxa"/>
            <w:tcBorders>
              <w:top w:val="single" w:sz="4" w:space="0" w:color="auto"/>
              <w:bottom w:val="single" w:sz="4" w:space="0" w:color="auto"/>
            </w:tcBorders>
          </w:tcPr>
          <w:p w14:paraId="6276A445" w14:textId="44102193" w:rsidR="008B5331" w:rsidRPr="00E73BB1" w:rsidRDefault="008B5331" w:rsidP="00634AF0">
            <w:pPr>
              <w:spacing w:after="120" w:line="240" w:lineRule="auto"/>
              <w:jc w:val="center"/>
              <w:rPr>
                <w:rFonts w:ascii="Times New Roman" w:hAnsi="Times New Roman" w:cs="Times New Roman"/>
                <w:b/>
                <w:bCs/>
                <w:noProof/>
                <w:sz w:val="24"/>
                <w:szCs w:val="24"/>
                <w:lang w:val="en-US"/>
              </w:rPr>
            </w:pPr>
            <w:r w:rsidRPr="00E73BB1">
              <w:rPr>
                <w:rFonts w:ascii="Times New Roman" w:hAnsi="Times New Roman" w:cs="Times New Roman"/>
                <w:b/>
                <w:bCs/>
                <w:noProof/>
                <w:sz w:val="24"/>
                <w:szCs w:val="24"/>
                <w:lang w:val="en-US"/>
              </w:rPr>
              <w:t>9</w:t>
            </w:r>
          </w:p>
        </w:tc>
        <w:tc>
          <w:tcPr>
            <w:tcW w:w="1290" w:type="dxa"/>
            <w:tcBorders>
              <w:top w:val="single" w:sz="4" w:space="0" w:color="auto"/>
              <w:bottom w:val="single" w:sz="4" w:space="0" w:color="auto"/>
            </w:tcBorders>
          </w:tcPr>
          <w:p w14:paraId="087A679E" w14:textId="7F680F31" w:rsidR="008B5331" w:rsidRPr="00E73BB1" w:rsidRDefault="008B5331" w:rsidP="00634AF0">
            <w:pPr>
              <w:spacing w:after="120" w:line="240" w:lineRule="auto"/>
              <w:jc w:val="center"/>
              <w:rPr>
                <w:rFonts w:ascii="Times New Roman" w:hAnsi="Times New Roman" w:cs="Times New Roman"/>
                <w:b/>
                <w:bCs/>
                <w:noProof/>
                <w:sz w:val="24"/>
                <w:szCs w:val="24"/>
                <w:lang w:val="en-US"/>
              </w:rPr>
            </w:pPr>
            <w:r w:rsidRPr="00E73BB1">
              <w:rPr>
                <w:rFonts w:ascii="Times New Roman" w:hAnsi="Times New Roman" w:cs="Times New Roman"/>
                <w:b/>
                <w:bCs/>
                <w:noProof/>
                <w:sz w:val="24"/>
                <w:szCs w:val="24"/>
                <w:lang w:val="en-US"/>
              </w:rPr>
              <w:t>10</w:t>
            </w:r>
          </w:p>
        </w:tc>
      </w:tr>
      <w:tr w:rsidR="008B5331" w:rsidRPr="00E73BB1" w14:paraId="40F9D83B" w14:textId="5AE5CAAD" w:rsidTr="00D848D2">
        <w:tc>
          <w:tcPr>
            <w:tcW w:w="1843" w:type="dxa"/>
            <w:tcBorders>
              <w:top w:val="single" w:sz="4" w:space="0" w:color="auto"/>
            </w:tcBorders>
          </w:tcPr>
          <w:p w14:paraId="2FACE549" w14:textId="4363A6A5" w:rsidR="008B5331" w:rsidRPr="00E73BB1" w:rsidRDefault="008B5331" w:rsidP="00634AF0">
            <w:pPr>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 xml:space="preserve">1. </w:t>
            </w:r>
            <w:r w:rsidR="00CE3226" w:rsidRPr="00E73BB1">
              <w:rPr>
                <w:rFonts w:ascii="Times New Roman" w:hAnsi="Times New Roman" w:cs="Times New Roman"/>
                <w:sz w:val="24"/>
                <w:szCs w:val="24"/>
              </w:rPr>
              <w:t>BILD-Q</w:t>
            </w:r>
          </w:p>
        </w:tc>
        <w:tc>
          <w:tcPr>
            <w:tcW w:w="1289" w:type="dxa"/>
            <w:tcBorders>
              <w:top w:val="single" w:sz="4" w:space="0" w:color="auto"/>
            </w:tcBorders>
          </w:tcPr>
          <w:p w14:paraId="47DD36C9" w14:textId="1F2E8166" w:rsidR="008B5331" w:rsidRPr="00E73BB1" w:rsidRDefault="00634AF0"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w:t>
            </w:r>
          </w:p>
        </w:tc>
        <w:tc>
          <w:tcPr>
            <w:tcW w:w="1290" w:type="dxa"/>
            <w:tcBorders>
              <w:top w:val="single" w:sz="4" w:space="0" w:color="auto"/>
            </w:tcBorders>
          </w:tcPr>
          <w:p w14:paraId="16E4FE49" w14:textId="53EDD0B6"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w:t>
            </w:r>
            <w:r w:rsidR="00FE0ED3" w:rsidRPr="00E73BB1">
              <w:rPr>
                <w:rFonts w:ascii="Times New Roman" w:hAnsi="Times New Roman" w:cs="Times New Roman"/>
                <w:noProof/>
                <w:sz w:val="24"/>
                <w:szCs w:val="24"/>
                <w:lang w:val="en-US"/>
              </w:rPr>
              <w:t>62**</w:t>
            </w:r>
          </w:p>
        </w:tc>
        <w:tc>
          <w:tcPr>
            <w:tcW w:w="1290" w:type="dxa"/>
            <w:tcBorders>
              <w:top w:val="single" w:sz="4" w:space="0" w:color="auto"/>
            </w:tcBorders>
          </w:tcPr>
          <w:p w14:paraId="69FBE50C" w14:textId="11F8A47E"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-.45**</w:t>
            </w:r>
          </w:p>
        </w:tc>
        <w:tc>
          <w:tcPr>
            <w:tcW w:w="1290" w:type="dxa"/>
            <w:tcBorders>
              <w:top w:val="single" w:sz="4" w:space="0" w:color="auto"/>
            </w:tcBorders>
          </w:tcPr>
          <w:p w14:paraId="7F8EF5D7" w14:textId="6F8B7D2F"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.42**</w:t>
            </w:r>
          </w:p>
        </w:tc>
        <w:tc>
          <w:tcPr>
            <w:tcW w:w="1290" w:type="dxa"/>
            <w:tcBorders>
              <w:top w:val="single" w:sz="4" w:space="0" w:color="auto"/>
            </w:tcBorders>
          </w:tcPr>
          <w:p w14:paraId="2A7A3C4E" w14:textId="6103DBC9"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.39**</w:t>
            </w:r>
          </w:p>
        </w:tc>
        <w:tc>
          <w:tcPr>
            <w:tcW w:w="1290" w:type="dxa"/>
            <w:tcBorders>
              <w:top w:val="single" w:sz="4" w:space="0" w:color="auto"/>
            </w:tcBorders>
          </w:tcPr>
          <w:p w14:paraId="2E685846" w14:textId="555BC131"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.35**</w:t>
            </w:r>
          </w:p>
        </w:tc>
        <w:tc>
          <w:tcPr>
            <w:tcW w:w="1290" w:type="dxa"/>
            <w:tcBorders>
              <w:top w:val="single" w:sz="4" w:space="0" w:color="auto"/>
            </w:tcBorders>
          </w:tcPr>
          <w:p w14:paraId="740F4A65" w14:textId="461F9B67"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-.49**</w:t>
            </w:r>
          </w:p>
        </w:tc>
        <w:tc>
          <w:tcPr>
            <w:tcW w:w="1290" w:type="dxa"/>
            <w:tcBorders>
              <w:top w:val="single" w:sz="4" w:space="0" w:color="auto"/>
            </w:tcBorders>
          </w:tcPr>
          <w:p w14:paraId="09A60426" w14:textId="567A95D6"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.55**</w:t>
            </w:r>
          </w:p>
        </w:tc>
        <w:tc>
          <w:tcPr>
            <w:tcW w:w="1290" w:type="dxa"/>
            <w:tcBorders>
              <w:top w:val="single" w:sz="4" w:space="0" w:color="auto"/>
            </w:tcBorders>
          </w:tcPr>
          <w:p w14:paraId="2AD09216" w14:textId="4DBF4A82"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-.50**</w:t>
            </w:r>
          </w:p>
        </w:tc>
        <w:tc>
          <w:tcPr>
            <w:tcW w:w="1290" w:type="dxa"/>
            <w:tcBorders>
              <w:top w:val="single" w:sz="4" w:space="0" w:color="auto"/>
            </w:tcBorders>
          </w:tcPr>
          <w:p w14:paraId="3C9D241E" w14:textId="16D04CAA"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.61**</w:t>
            </w:r>
          </w:p>
        </w:tc>
      </w:tr>
      <w:tr w:rsidR="00FE0ED3" w:rsidRPr="00E73BB1" w14:paraId="20EC3A5D" w14:textId="737F617F" w:rsidTr="00D848D2">
        <w:tc>
          <w:tcPr>
            <w:tcW w:w="1843" w:type="dxa"/>
          </w:tcPr>
          <w:p w14:paraId="4BE932A3" w14:textId="5249FC3C" w:rsidR="00FE0ED3" w:rsidRPr="00E73BB1" w:rsidRDefault="00FE0ED3" w:rsidP="00634AF0">
            <w:pPr>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2. BES</w:t>
            </w:r>
          </w:p>
        </w:tc>
        <w:tc>
          <w:tcPr>
            <w:tcW w:w="1289" w:type="dxa"/>
          </w:tcPr>
          <w:p w14:paraId="6249C60A" w14:textId="74C972FD" w:rsidR="00FE0ED3"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-.42**</w:t>
            </w:r>
          </w:p>
        </w:tc>
        <w:tc>
          <w:tcPr>
            <w:tcW w:w="1290" w:type="dxa"/>
          </w:tcPr>
          <w:p w14:paraId="4C4883EF" w14:textId="2360AE5B" w:rsidR="00FE0ED3"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w:t>
            </w:r>
          </w:p>
        </w:tc>
        <w:tc>
          <w:tcPr>
            <w:tcW w:w="1290" w:type="dxa"/>
          </w:tcPr>
          <w:p w14:paraId="14FA572C" w14:textId="3387265B" w:rsidR="00FE0ED3"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.78**</w:t>
            </w:r>
          </w:p>
        </w:tc>
        <w:tc>
          <w:tcPr>
            <w:tcW w:w="1290" w:type="dxa"/>
          </w:tcPr>
          <w:p w14:paraId="62EEE350" w14:textId="50C59B5B" w:rsidR="00FE0ED3"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-.64**</w:t>
            </w:r>
          </w:p>
        </w:tc>
        <w:tc>
          <w:tcPr>
            <w:tcW w:w="1290" w:type="dxa"/>
          </w:tcPr>
          <w:p w14:paraId="019353FA" w14:textId="40BC829D" w:rsidR="00FE0ED3"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-.59**</w:t>
            </w:r>
          </w:p>
        </w:tc>
        <w:tc>
          <w:tcPr>
            <w:tcW w:w="1290" w:type="dxa"/>
          </w:tcPr>
          <w:p w14:paraId="0C093E1E" w14:textId="436E3BCE" w:rsidR="00FE0ED3"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-.60**</w:t>
            </w:r>
          </w:p>
        </w:tc>
        <w:tc>
          <w:tcPr>
            <w:tcW w:w="1290" w:type="dxa"/>
          </w:tcPr>
          <w:p w14:paraId="59A0C363" w14:textId="628460C3" w:rsidR="00FE0ED3"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.67**</w:t>
            </w:r>
          </w:p>
        </w:tc>
        <w:tc>
          <w:tcPr>
            <w:tcW w:w="1290" w:type="dxa"/>
          </w:tcPr>
          <w:p w14:paraId="0774A50B" w14:textId="20429D68" w:rsidR="00FE0ED3"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-.58**</w:t>
            </w:r>
          </w:p>
        </w:tc>
        <w:tc>
          <w:tcPr>
            <w:tcW w:w="1290" w:type="dxa"/>
          </w:tcPr>
          <w:p w14:paraId="5AB36B77" w14:textId="369D5C73" w:rsidR="00FE0ED3"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.66**</w:t>
            </w:r>
          </w:p>
        </w:tc>
        <w:tc>
          <w:tcPr>
            <w:tcW w:w="1290" w:type="dxa"/>
          </w:tcPr>
          <w:p w14:paraId="78CC33BA" w14:textId="4DF06E0F" w:rsidR="00FE0ED3"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-.74**</w:t>
            </w:r>
          </w:p>
        </w:tc>
      </w:tr>
      <w:tr w:rsidR="008B5331" w:rsidRPr="00E73BB1" w14:paraId="37771274" w14:textId="4CE96AAB" w:rsidTr="00D848D2">
        <w:tc>
          <w:tcPr>
            <w:tcW w:w="1843" w:type="dxa"/>
          </w:tcPr>
          <w:p w14:paraId="2187D170" w14:textId="3A656882" w:rsidR="008B5331" w:rsidRPr="00E73BB1" w:rsidRDefault="008B5331" w:rsidP="00634AF0">
            <w:pPr>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 BASS</w:t>
            </w:r>
          </w:p>
        </w:tc>
        <w:tc>
          <w:tcPr>
            <w:tcW w:w="1289" w:type="dxa"/>
          </w:tcPr>
          <w:p w14:paraId="71AAD054" w14:textId="0A734C0C"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-.35**</w:t>
            </w:r>
          </w:p>
        </w:tc>
        <w:tc>
          <w:tcPr>
            <w:tcW w:w="1290" w:type="dxa"/>
          </w:tcPr>
          <w:p w14:paraId="727A6C62" w14:textId="17541C7C"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.63**</w:t>
            </w:r>
          </w:p>
        </w:tc>
        <w:tc>
          <w:tcPr>
            <w:tcW w:w="1290" w:type="dxa"/>
          </w:tcPr>
          <w:p w14:paraId="5D9CDC5E" w14:textId="61ADCEE4"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w:t>
            </w:r>
          </w:p>
        </w:tc>
        <w:tc>
          <w:tcPr>
            <w:tcW w:w="1290" w:type="dxa"/>
          </w:tcPr>
          <w:p w14:paraId="65BEEA39" w14:textId="2C48E2CE"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-.43**</w:t>
            </w:r>
          </w:p>
        </w:tc>
        <w:tc>
          <w:tcPr>
            <w:tcW w:w="1290" w:type="dxa"/>
          </w:tcPr>
          <w:p w14:paraId="682C7202" w14:textId="10D57CF5"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-.42**</w:t>
            </w:r>
          </w:p>
        </w:tc>
        <w:tc>
          <w:tcPr>
            <w:tcW w:w="1290" w:type="dxa"/>
          </w:tcPr>
          <w:p w14:paraId="0C1EA6BF" w14:textId="18706B98"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-.39**</w:t>
            </w:r>
          </w:p>
        </w:tc>
        <w:tc>
          <w:tcPr>
            <w:tcW w:w="1290" w:type="dxa"/>
          </w:tcPr>
          <w:p w14:paraId="0EEFB612" w14:textId="21978F87"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.68**</w:t>
            </w:r>
          </w:p>
        </w:tc>
        <w:tc>
          <w:tcPr>
            <w:tcW w:w="1290" w:type="dxa"/>
          </w:tcPr>
          <w:p w14:paraId="1D288B5C" w14:textId="6AA22A9C"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-.49**</w:t>
            </w:r>
          </w:p>
        </w:tc>
        <w:tc>
          <w:tcPr>
            <w:tcW w:w="1290" w:type="dxa"/>
          </w:tcPr>
          <w:p w14:paraId="096E27C7" w14:textId="3D8BD68D"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.57**</w:t>
            </w:r>
          </w:p>
        </w:tc>
        <w:tc>
          <w:tcPr>
            <w:tcW w:w="1290" w:type="dxa"/>
          </w:tcPr>
          <w:p w14:paraId="31AE04F4" w14:textId="2A2270B5"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-.66**</w:t>
            </w:r>
          </w:p>
        </w:tc>
      </w:tr>
      <w:tr w:rsidR="008B5331" w:rsidRPr="00E73BB1" w14:paraId="7DC2CF62" w14:textId="7C00CE84" w:rsidTr="00D848D2">
        <w:tc>
          <w:tcPr>
            <w:tcW w:w="1843" w:type="dxa"/>
          </w:tcPr>
          <w:p w14:paraId="6E0BB14C" w14:textId="4F1464E8" w:rsidR="008B5331" w:rsidRPr="00E73BB1" w:rsidRDefault="008B5331" w:rsidP="00634AF0">
            <w:pPr>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 SATAQ</w:t>
            </w:r>
            <w:r w:rsidR="00885832" w:rsidRPr="00E73BB1">
              <w:rPr>
                <w:rFonts w:ascii="Times New Roman" w:hAnsi="Times New Roman" w:cs="Times New Roman"/>
                <w:noProof/>
                <w:sz w:val="24"/>
                <w:szCs w:val="24"/>
                <w:lang w:val="en-US"/>
              </w:rPr>
              <w:t>_I</w:t>
            </w:r>
          </w:p>
        </w:tc>
        <w:tc>
          <w:tcPr>
            <w:tcW w:w="1289" w:type="dxa"/>
          </w:tcPr>
          <w:p w14:paraId="47B351A1" w14:textId="60AC26D1"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.15</w:t>
            </w:r>
          </w:p>
        </w:tc>
        <w:tc>
          <w:tcPr>
            <w:tcW w:w="1290" w:type="dxa"/>
          </w:tcPr>
          <w:p w14:paraId="519DA38C" w14:textId="5C35C7CC"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-.41**</w:t>
            </w:r>
          </w:p>
        </w:tc>
        <w:tc>
          <w:tcPr>
            <w:tcW w:w="1290" w:type="dxa"/>
          </w:tcPr>
          <w:p w14:paraId="27982447" w14:textId="7D7E3FD4"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-.15</w:t>
            </w:r>
          </w:p>
        </w:tc>
        <w:tc>
          <w:tcPr>
            <w:tcW w:w="1290" w:type="dxa"/>
          </w:tcPr>
          <w:p w14:paraId="12B47949" w14:textId="48371195"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w:t>
            </w:r>
          </w:p>
        </w:tc>
        <w:tc>
          <w:tcPr>
            <w:tcW w:w="1290" w:type="dxa"/>
          </w:tcPr>
          <w:p w14:paraId="309D8F8E" w14:textId="23AB9794"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.87**</w:t>
            </w:r>
          </w:p>
        </w:tc>
        <w:tc>
          <w:tcPr>
            <w:tcW w:w="1290" w:type="dxa"/>
          </w:tcPr>
          <w:p w14:paraId="2799109B" w14:textId="01B478FF"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.97**</w:t>
            </w:r>
          </w:p>
        </w:tc>
        <w:tc>
          <w:tcPr>
            <w:tcW w:w="1290" w:type="dxa"/>
          </w:tcPr>
          <w:p w14:paraId="361ED1DE" w14:textId="27C03FCB"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-.45**</w:t>
            </w:r>
          </w:p>
        </w:tc>
        <w:tc>
          <w:tcPr>
            <w:tcW w:w="1290" w:type="dxa"/>
          </w:tcPr>
          <w:p w14:paraId="5765F708" w14:textId="282C4227"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.48**</w:t>
            </w:r>
          </w:p>
        </w:tc>
        <w:tc>
          <w:tcPr>
            <w:tcW w:w="1290" w:type="dxa"/>
          </w:tcPr>
          <w:p w14:paraId="1D2C4108" w14:textId="0281ED9D"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-.33**</w:t>
            </w:r>
          </w:p>
        </w:tc>
        <w:tc>
          <w:tcPr>
            <w:tcW w:w="1290" w:type="dxa"/>
          </w:tcPr>
          <w:p w14:paraId="45FFA1E7" w14:textId="0A8A4540"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.57**</w:t>
            </w:r>
          </w:p>
        </w:tc>
      </w:tr>
      <w:tr w:rsidR="008B5331" w:rsidRPr="00E73BB1" w14:paraId="60222752" w14:textId="7AF2EFCF" w:rsidTr="00D848D2">
        <w:tc>
          <w:tcPr>
            <w:tcW w:w="1843" w:type="dxa"/>
          </w:tcPr>
          <w:p w14:paraId="359AEEDE" w14:textId="17DF72E9" w:rsidR="008B5331" w:rsidRPr="00E73BB1" w:rsidRDefault="008B5331" w:rsidP="00634AF0">
            <w:pPr>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 SATAQ_A</w:t>
            </w:r>
          </w:p>
        </w:tc>
        <w:tc>
          <w:tcPr>
            <w:tcW w:w="1289" w:type="dxa"/>
          </w:tcPr>
          <w:p w14:paraId="11F3F66C" w14:textId="6B3B99D0"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.17*</w:t>
            </w:r>
          </w:p>
        </w:tc>
        <w:tc>
          <w:tcPr>
            <w:tcW w:w="1290" w:type="dxa"/>
          </w:tcPr>
          <w:p w14:paraId="13CA95B0" w14:textId="5C7EEE8D"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-.34**</w:t>
            </w:r>
          </w:p>
        </w:tc>
        <w:tc>
          <w:tcPr>
            <w:tcW w:w="1290" w:type="dxa"/>
          </w:tcPr>
          <w:p w14:paraId="5DDD4F03" w14:textId="3819466E"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-.11</w:t>
            </w:r>
          </w:p>
        </w:tc>
        <w:tc>
          <w:tcPr>
            <w:tcW w:w="1290" w:type="dxa"/>
          </w:tcPr>
          <w:p w14:paraId="0E2D0A46" w14:textId="3D614B1B"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.93**</w:t>
            </w:r>
          </w:p>
        </w:tc>
        <w:tc>
          <w:tcPr>
            <w:tcW w:w="1290" w:type="dxa"/>
          </w:tcPr>
          <w:p w14:paraId="70EFCD48" w14:textId="2438E5D0"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w:t>
            </w:r>
          </w:p>
        </w:tc>
        <w:tc>
          <w:tcPr>
            <w:tcW w:w="1290" w:type="dxa"/>
          </w:tcPr>
          <w:p w14:paraId="3AA349A7" w14:textId="7615E806"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.72**</w:t>
            </w:r>
          </w:p>
        </w:tc>
        <w:tc>
          <w:tcPr>
            <w:tcW w:w="1290" w:type="dxa"/>
          </w:tcPr>
          <w:p w14:paraId="254D674F" w14:textId="4FEC2AB7"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-.42**</w:t>
            </w:r>
          </w:p>
        </w:tc>
        <w:tc>
          <w:tcPr>
            <w:tcW w:w="1290" w:type="dxa"/>
          </w:tcPr>
          <w:p w14:paraId="2580FACC" w14:textId="54253AAD"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.44**</w:t>
            </w:r>
          </w:p>
        </w:tc>
        <w:tc>
          <w:tcPr>
            <w:tcW w:w="1290" w:type="dxa"/>
          </w:tcPr>
          <w:p w14:paraId="16D0A12F" w14:textId="7F322496"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-.30**</w:t>
            </w:r>
          </w:p>
        </w:tc>
        <w:tc>
          <w:tcPr>
            <w:tcW w:w="1290" w:type="dxa"/>
          </w:tcPr>
          <w:p w14:paraId="54E6D0AF" w14:textId="6A8D4D21"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.59**</w:t>
            </w:r>
          </w:p>
        </w:tc>
      </w:tr>
      <w:tr w:rsidR="008B5331" w:rsidRPr="00E73BB1" w14:paraId="6B1CEAE2" w14:textId="35E0A669" w:rsidTr="00D848D2">
        <w:tc>
          <w:tcPr>
            <w:tcW w:w="1843" w:type="dxa"/>
          </w:tcPr>
          <w:p w14:paraId="1BAAB385" w14:textId="6E7758E1" w:rsidR="008B5331" w:rsidRPr="00E73BB1" w:rsidRDefault="008B5331" w:rsidP="00634AF0">
            <w:pPr>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6. SATAQ_G</w:t>
            </w:r>
          </w:p>
        </w:tc>
        <w:tc>
          <w:tcPr>
            <w:tcW w:w="1289" w:type="dxa"/>
          </w:tcPr>
          <w:p w14:paraId="013C0B2D" w14:textId="03F0CEE1"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.13</w:t>
            </w:r>
          </w:p>
        </w:tc>
        <w:tc>
          <w:tcPr>
            <w:tcW w:w="1290" w:type="dxa"/>
          </w:tcPr>
          <w:p w14:paraId="7EB5A305" w14:textId="0DF28F06"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-.41**</w:t>
            </w:r>
          </w:p>
        </w:tc>
        <w:tc>
          <w:tcPr>
            <w:tcW w:w="1290" w:type="dxa"/>
          </w:tcPr>
          <w:p w14:paraId="193BEF61" w14:textId="2363CB67"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-.17*</w:t>
            </w:r>
          </w:p>
        </w:tc>
        <w:tc>
          <w:tcPr>
            <w:tcW w:w="1290" w:type="dxa"/>
          </w:tcPr>
          <w:p w14:paraId="2B5B19C2" w14:textId="6CF2297B"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.97**</w:t>
            </w:r>
          </w:p>
        </w:tc>
        <w:tc>
          <w:tcPr>
            <w:tcW w:w="1290" w:type="dxa"/>
          </w:tcPr>
          <w:p w14:paraId="60F7DFD2" w14:textId="2A9CB20B"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.80**</w:t>
            </w:r>
          </w:p>
        </w:tc>
        <w:tc>
          <w:tcPr>
            <w:tcW w:w="1290" w:type="dxa"/>
          </w:tcPr>
          <w:p w14:paraId="20526BE9" w14:textId="1C4EA3C6"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w:t>
            </w:r>
          </w:p>
        </w:tc>
        <w:tc>
          <w:tcPr>
            <w:tcW w:w="1290" w:type="dxa"/>
          </w:tcPr>
          <w:p w14:paraId="15027D59" w14:textId="0814E0CE"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-.43**</w:t>
            </w:r>
          </w:p>
        </w:tc>
        <w:tc>
          <w:tcPr>
            <w:tcW w:w="1290" w:type="dxa"/>
          </w:tcPr>
          <w:p w14:paraId="1B8F7F8C" w14:textId="493C5D73"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.45**</w:t>
            </w:r>
          </w:p>
        </w:tc>
        <w:tc>
          <w:tcPr>
            <w:tcW w:w="1290" w:type="dxa"/>
          </w:tcPr>
          <w:p w14:paraId="707AD2E4" w14:textId="59435EDB"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-.33**</w:t>
            </w:r>
          </w:p>
        </w:tc>
        <w:tc>
          <w:tcPr>
            <w:tcW w:w="1290" w:type="dxa"/>
          </w:tcPr>
          <w:p w14:paraId="065CE603" w14:textId="123F6371"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.51**</w:t>
            </w:r>
          </w:p>
        </w:tc>
      </w:tr>
      <w:tr w:rsidR="008B5331" w:rsidRPr="00E73BB1" w14:paraId="1F36F723" w14:textId="34F0A8BA" w:rsidTr="00D848D2">
        <w:tc>
          <w:tcPr>
            <w:tcW w:w="1843" w:type="dxa"/>
          </w:tcPr>
          <w:p w14:paraId="089B5E56" w14:textId="7233036E" w:rsidR="008B5331" w:rsidRPr="00E73BB1" w:rsidRDefault="008B5331" w:rsidP="00634AF0">
            <w:pPr>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7. WEMWBS</w:t>
            </w:r>
          </w:p>
        </w:tc>
        <w:tc>
          <w:tcPr>
            <w:tcW w:w="1289" w:type="dxa"/>
          </w:tcPr>
          <w:p w14:paraId="54DBC51C" w14:textId="511C7F08"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-.43**</w:t>
            </w:r>
          </w:p>
        </w:tc>
        <w:tc>
          <w:tcPr>
            <w:tcW w:w="1290" w:type="dxa"/>
          </w:tcPr>
          <w:p w14:paraId="4B7EB141" w14:textId="15D1C127"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.52**</w:t>
            </w:r>
          </w:p>
        </w:tc>
        <w:tc>
          <w:tcPr>
            <w:tcW w:w="1290" w:type="dxa"/>
          </w:tcPr>
          <w:p w14:paraId="5662E44D" w14:textId="4202DF92"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.53**</w:t>
            </w:r>
          </w:p>
        </w:tc>
        <w:tc>
          <w:tcPr>
            <w:tcW w:w="1290" w:type="dxa"/>
          </w:tcPr>
          <w:p w14:paraId="2ADD4813" w14:textId="766B0171"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-.07</w:t>
            </w:r>
          </w:p>
        </w:tc>
        <w:tc>
          <w:tcPr>
            <w:tcW w:w="1290" w:type="dxa"/>
          </w:tcPr>
          <w:p w14:paraId="0622BC2D" w14:textId="7375EC3D"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-.01</w:t>
            </w:r>
          </w:p>
        </w:tc>
        <w:tc>
          <w:tcPr>
            <w:tcW w:w="1290" w:type="dxa"/>
          </w:tcPr>
          <w:p w14:paraId="7D99B175" w14:textId="4737720B"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-.11</w:t>
            </w:r>
          </w:p>
        </w:tc>
        <w:tc>
          <w:tcPr>
            <w:tcW w:w="1290" w:type="dxa"/>
          </w:tcPr>
          <w:p w14:paraId="0C39CEAB" w14:textId="5F4DE57E"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w:t>
            </w:r>
          </w:p>
        </w:tc>
        <w:tc>
          <w:tcPr>
            <w:tcW w:w="1290" w:type="dxa"/>
          </w:tcPr>
          <w:p w14:paraId="20BA1EA9" w14:textId="2A9B3210"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-.66**</w:t>
            </w:r>
          </w:p>
        </w:tc>
        <w:tc>
          <w:tcPr>
            <w:tcW w:w="1290" w:type="dxa"/>
          </w:tcPr>
          <w:p w14:paraId="2453E4F4" w14:textId="670015EB"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.72**</w:t>
            </w:r>
          </w:p>
        </w:tc>
        <w:tc>
          <w:tcPr>
            <w:tcW w:w="1290" w:type="dxa"/>
          </w:tcPr>
          <w:p w14:paraId="0F85C4C9" w14:textId="771A4464"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-.59**</w:t>
            </w:r>
          </w:p>
        </w:tc>
      </w:tr>
      <w:tr w:rsidR="008B5331" w:rsidRPr="00E73BB1" w14:paraId="3A46464D" w14:textId="19DB0500" w:rsidTr="00D848D2">
        <w:tc>
          <w:tcPr>
            <w:tcW w:w="1843" w:type="dxa"/>
          </w:tcPr>
          <w:p w14:paraId="62FF5C3C" w14:textId="4E150616" w:rsidR="008B5331" w:rsidRPr="00E73BB1" w:rsidRDefault="008B5331" w:rsidP="00634AF0">
            <w:pPr>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8. PANAS_NA</w:t>
            </w:r>
          </w:p>
        </w:tc>
        <w:tc>
          <w:tcPr>
            <w:tcW w:w="1289" w:type="dxa"/>
          </w:tcPr>
          <w:p w14:paraId="558C3C2C" w14:textId="72C66D15"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.38**</w:t>
            </w:r>
          </w:p>
        </w:tc>
        <w:tc>
          <w:tcPr>
            <w:tcW w:w="1290" w:type="dxa"/>
          </w:tcPr>
          <w:p w14:paraId="79826187" w14:textId="513931C9"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-.35**</w:t>
            </w:r>
          </w:p>
        </w:tc>
        <w:tc>
          <w:tcPr>
            <w:tcW w:w="1290" w:type="dxa"/>
          </w:tcPr>
          <w:p w14:paraId="19E4824A" w14:textId="3237A951"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-.34**</w:t>
            </w:r>
          </w:p>
        </w:tc>
        <w:tc>
          <w:tcPr>
            <w:tcW w:w="1290" w:type="dxa"/>
          </w:tcPr>
          <w:p w14:paraId="6E67094D" w14:textId="71686731"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.17*</w:t>
            </w:r>
          </w:p>
        </w:tc>
        <w:tc>
          <w:tcPr>
            <w:tcW w:w="1290" w:type="dxa"/>
          </w:tcPr>
          <w:p w14:paraId="01DCC690" w14:textId="3892A7D0"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.12</w:t>
            </w:r>
          </w:p>
        </w:tc>
        <w:tc>
          <w:tcPr>
            <w:tcW w:w="1290" w:type="dxa"/>
          </w:tcPr>
          <w:p w14:paraId="0DBA31E5" w14:textId="2D58D5BF"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.19*</w:t>
            </w:r>
          </w:p>
        </w:tc>
        <w:tc>
          <w:tcPr>
            <w:tcW w:w="1290" w:type="dxa"/>
          </w:tcPr>
          <w:p w14:paraId="3B18DEC8" w14:textId="14F9C32F"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-.47**</w:t>
            </w:r>
          </w:p>
        </w:tc>
        <w:tc>
          <w:tcPr>
            <w:tcW w:w="1290" w:type="dxa"/>
          </w:tcPr>
          <w:p w14:paraId="44277F2A" w14:textId="6C28FC7E"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w:t>
            </w:r>
          </w:p>
        </w:tc>
        <w:tc>
          <w:tcPr>
            <w:tcW w:w="1290" w:type="dxa"/>
          </w:tcPr>
          <w:p w14:paraId="5E355D93" w14:textId="42988472"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-.65**</w:t>
            </w:r>
          </w:p>
        </w:tc>
        <w:tc>
          <w:tcPr>
            <w:tcW w:w="1290" w:type="dxa"/>
          </w:tcPr>
          <w:p w14:paraId="025B8A66" w14:textId="3098CFF2"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.71**</w:t>
            </w:r>
          </w:p>
        </w:tc>
      </w:tr>
      <w:tr w:rsidR="008B5331" w:rsidRPr="00E73BB1" w14:paraId="71D12A90" w14:textId="0CD923C7" w:rsidTr="00D848D2">
        <w:tc>
          <w:tcPr>
            <w:tcW w:w="1843" w:type="dxa"/>
          </w:tcPr>
          <w:p w14:paraId="194B4C02" w14:textId="03AA7DE1" w:rsidR="008B5331" w:rsidRPr="00E73BB1" w:rsidRDefault="008B5331" w:rsidP="00634AF0">
            <w:pPr>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9. PANAS_PA</w:t>
            </w:r>
          </w:p>
        </w:tc>
        <w:tc>
          <w:tcPr>
            <w:tcW w:w="1289" w:type="dxa"/>
          </w:tcPr>
          <w:p w14:paraId="4D97403C" w14:textId="1574E292"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-.28**</w:t>
            </w:r>
          </w:p>
        </w:tc>
        <w:tc>
          <w:tcPr>
            <w:tcW w:w="1290" w:type="dxa"/>
          </w:tcPr>
          <w:p w14:paraId="78AFACAF" w14:textId="6516EDCF"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.42**</w:t>
            </w:r>
          </w:p>
        </w:tc>
        <w:tc>
          <w:tcPr>
            <w:tcW w:w="1290" w:type="dxa"/>
          </w:tcPr>
          <w:p w14:paraId="0680AC1D" w14:textId="7B8F3D36"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.35**</w:t>
            </w:r>
          </w:p>
        </w:tc>
        <w:tc>
          <w:tcPr>
            <w:tcW w:w="1290" w:type="dxa"/>
          </w:tcPr>
          <w:p w14:paraId="115795CD" w14:textId="69D0DF3F"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.02</w:t>
            </w:r>
          </w:p>
        </w:tc>
        <w:tc>
          <w:tcPr>
            <w:tcW w:w="1290" w:type="dxa"/>
          </w:tcPr>
          <w:p w14:paraId="681A94F7" w14:textId="60D9C699"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.11</w:t>
            </w:r>
          </w:p>
        </w:tc>
        <w:tc>
          <w:tcPr>
            <w:tcW w:w="1290" w:type="dxa"/>
          </w:tcPr>
          <w:p w14:paraId="5ED1AA1C" w14:textId="45BE8044"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-.04</w:t>
            </w:r>
          </w:p>
        </w:tc>
        <w:tc>
          <w:tcPr>
            <w:tcW w:w="1290" w:type="dxa"/>
          </w:tcPr>
          <w:p w14:paraId="2C77E0F8" w14:textId="65CF477A"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.62**</w:t>
            </w:r>
          </w:p>
        </w:tc>
        <w:tc>
          <w:tcPr>
            <w:tcW w:w="1290" w:type="dxa"/>
          </w:tcPr>
          <w:p w14:paraId="0DFE5A0C" w14:textId="2D46E225"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-.27**</w:t>
            </w:r>
          </w:p>
        </w:tc>
        <w:tc>
          <w:tcPr>
            <w:tcW w:w="1290" w:type="dxa"/>
          </w:tcPr>
          <w:p w14:paraId="69A4C56B" w14:textId="0B71564C"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w:t>
            </w:r>
          </w:p>
        </w:tc>
        <w:tc>
          <w:tcPr>
            <w:tcW w:w="1290" w:type="dxa"/>
          </w:tcPr>
          <w:p w14:paraId="013E5008" w14:textId="17077CE5" w:rsidR="008B5331"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-.53**</w:t>
            </w:r>
          </w:p>
        </w:tc>
      </w:tr>
      <w:tr w:rsidR="00D848D2" w:rsidRPr="00E73BB1" w14:paraId="4BAC2BA1" w14:textId="4E90F8FF" w:rsidTr="00D848D2">
        <w:tc>
          <w:tcPr>
            <w:tcW w:w="1843" w:type="dxa"/>
          </w:tcPr>
          <w:p w14:paraId="06E24207" w14:textId="459F5FF5" w:rsidR="008B5331" w:rsidRPr="00E73BB1" w:rsidRDefault="008B5331" w:rsidP="00634AF0">
            <w:pPr>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10. CIA</w:t>
            </w:r>
          </w:p>
        </w:tc>
        <w:tc>
          <w:tcPr>
            <w:tcW w:w="1289" w:type="dxa"/>
          </w:tcPr>
          <w:p w14:paraId="06DA1010" w14:textId="089C3F06"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.62**</w:t>
            </w:r>
          </w:p>
        </w:tc>
        <w:tc>
          <w:tcPr>
            <w:tcW w:w="1290" w:type="dxa"/>
          </w:tcPr>
          <w:p w14:paraId="310BAACF" w14:textId="283BA4A4"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-.58**</w:t>
            </w:r>
          </w:p>
        </w:tc>
        <w:tc>
          <w:tcPr>
            <w:tcW w:w="1290" w:type="dxa"/>
          </w:tcPr>
          <w:p w14:paraId="27A49DBE" w14:textId="1DACE763"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-.33**</w:t>
            </w:r>
          </w:p>
        </w:tc>
        <w:tc>
          <w:tcPr>
            <w:tcW w:w="1290" w:type="dxa"/>
          </w:tcPr>
          <w:p w14:paraId="714453FE" w14:textId="4644FAA5"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.29**</w:t>
            </w:r>
          </w:p>
        </w:tc>
        <w:tc>
          <w:tcPr>
            <w:tcW w:w="1290" w:type="dxa"/>
          </w:tcPr>
          <w:p w14:paraId="65572C89" w14:textId="1528C975"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.29**</w:t>
            </w:r>
          </w:p>
        </w:tc>
        <w:tc>
          <w:tcPr>
            <w:tcW w:w="1290" w:type="dxa"/>
          </w:tcPr>
          <w:p w14:paraId="5C5467F2" w14:textId="56FE9B81"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.26**</w:t>
            </w:r>
          </w:p>
        </w:tc>
        <w:tc>
          <w:tcPr>
            <w:tcW w:w="1290" w:type="dxa"/>
          </w:tcPr>
          <w:p w14:paraId="2D24A980" w14:textId="1EBBB774"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-.34**</w:t>
            </w:r>
          </w:p>
        </w:tc>
        <w:tc>
          <w:tcPr>
            <w:tcW w:w="1290" w:type="dxa"/>
          </w:tcPr>
          <w:p w14:paraId="72874D44" w14:textId="4CF37FBA"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.44**</w:t>
            </w:r>
          </w:p>
        </w:tc>
        <w:tc>
          <w:tcPr>
            <w:tcW w:w="1290" w:type="dxa"/>
          </w:tcPr>
          <w:p w14:paraId="55C787D3" w14:textId="41501F17" w:rsidR="008B5331" w:rsidRPr="00E73BB1" w:rsidRDefault="00FE0ED3"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-.23**</w:t>
            </w:r>
          </w:p>
        </w:tc>
        <w:tc>
          <w:tcPr>
            <w:tcW w:w="1290" w:type="dxa"/>
          </w:tcPr>
          <w:p w14:paraId="2AAD1EC4" w14:textId="14F8795A" w:rsidR="008B5331" w:rsidRPr="00E73BB1" w:rsidRDefault="008B5331"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w:t>
            </w:r>
          </w:p>
        </w:tc>
      </w:tr>
      <w:tr w:rsidR="00E4781E" w:rsidRPr="00E73BB1" w14:paraId="4EE902DA" w14:textId="77777777" w:rsidTr="00D848D2">
        <w:tc>
          <w:tcPr>
            <w:tcW w:w="1843" w:type="dxa"/>
          </w:tcPr>
          <w:p w14:paraId="05E2D3BB" w14:textId="5C915E21" w:rsidR="00E4781E" w:rsidRPr="00E73BB1" w:rsidRDefault="00E4781E" w:rsidP="00634AF0">
            <w:pPr>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Range</w:t>
            </w:r>
          </w:p>
        </w:tc>
        <w:tc>
          <w:tcPr>
            <w:tcW w:w="1289" w:type="dxa"/>
          </w:tcPr>
          <w:p w14:paraId="69E15970" w14:textId="07EF95E9" w:rsidR="00E4781E"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1-4</w:t>
            </w:r>
          </w:p>
        </w:tc>
        <w:tc>
          <w:tcPr>
            <w:tcW w:w="1290" w:type="dxa"/>
          </w:tcPr>
          <w:p w14:paraId="053119D9" w14:textId="63DD3003" w:rsidR="00E4781E"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1-5</w:t>
            </w:r>
          </w:p>
        </w:tc>
        <w:tc>
          <w:tcPr>
            <w:tcW w:w="1290" w:type="dxa"/>
          </w:tcPr>
          <w:p w14:paraId="47B94C7C" w14:textId="115A5B1E" w:rsidR="00E4781E"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1-5</w:t>
            </w:r>
          </w:p>
        </w:tc>
        <w:tc>
          <w:tcPr>
            <w:tcW w:w="1290" w:type="dxa"/>
          </w:tcPr>
          <w:p w14:paraId="2AB802CC" w14:textId="7AFE9293" w:rsidR="00E4781E"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1-5</w:t>
            </w:r>
          </w:p>
        </w:tc>
        <w:tc>
          <w:tcPr>
            <w:tcW w:w="1290" w:type="dxa"/>
          </w:tcPr>
          <w:p w14:paraId="7050061A" w14:textId="17EACF14" w:rsidR="00E4781E"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1-5</w:t>
            </w:r>
          </w:p>
        </w:tc>
        <w:tc>
          <w:tcPr>
            <w:tcW w:w="1290" w:type="dxa"/>
          </w:tcPr>
          <w:p w14:paraId="490703EA" w14:textId="0E103AA7" w:rsidR="00E4781E"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1-5</w:t>
            </w:r>
          </w:p>
        </w:tc>
        <w:tc>
          <w:tcPr>
            <w:tcW w:w="1290" w:type="dxa"/>
          </w:tcPr>
          <w:p w14:paraId="2D2DF436" w14:textId="6B0B0109" w:rsidR="00E4781E"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1-5</w:t>
            </w:r>
          </w:p>
        </w:tc>
        <w:tc>
          <w:tcPr>
            <w:tcW w:w="1290" w:type="dxa"/>
          </w:tcPr>
          <w:p w14:paraId="56FE8B0A" w14:textId="42ACDAD8" w:rsidR="00E4781E"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1-5</w:t>
            </w:r>
          </w:p>
        </w:tc>
        <w:tc>
          <w:tcPr>
            <w:tcW w:w="1290" w:type="dxa"/>
          </w:tcPr>
          <w:p w14:paraId="7E28ED26" w14:textId="54F69807" w:rsidR="00E4781E"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1-5</w:t>
            </w:r>
          </w:p>
        </w:tc>
        <w:tc>
          <w:tcPr>
            <w:tcW w:w="1290" w:type="dxa"/>
          </w:tcPr>
          <w:p w14:paraId="031EC7F0" w14:textId="55DB99C4" w:rsidR="00E4781E"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1-4</w:t>
            </w:r>
          </w:p>
        </w:tc>
      </w:tr>
      <w:tr w:rsidR="00E4781E" w:rsidRPr="00E73BB1" w14:paraId="2C6B5FF0" w14:textId="77777777" w:rsidTr="00D848D2">
        <w:tc>
          <w:tcPr>
            <w:tcW w:w="1843" w:type="dxa"/>
          </w:tcPr>
          <w:p w14:paraId="18B0A808" w14:textId="53FC6A10" w:rsidR="00E4781E" w:rsidRPr="00E73BB1" w:rsidRDefault="00E4781E" w:rsidP="00634AF0">
            <w:pPr>
              <w:spacing w:after="120" w:line="240" w:lineRule="auto"/>
              <w:rPr>
                <w:rFonts w:ascii="Times New Roman" w:hAnsi="Times New Roman" w:cs="Times New Roman"/>
                <w:noProof/>
                <w:sz w:val="24"/>
                <w:szCs w:val="24"/>
                <w:lang w:val="en-US"/>
              </w:rPr>
            </w:pPr>
            <w:r w:rsidRPr="00E73BB1">
              <w:rPr>
                <w:rFonts w:ascii="Times New Roman" w:hAnsi="Times New Roman" w:cs="Times New Roman"/>
                <w:i/>
                <w:iCs/>
                <w:noProof/>
                <w:sz w:val="24"/>
                <w:szCs w:val="24"/>
                <w:lang w:val="en-US"/>
              </w:rPr>
              <w:t>M (SD)</w:t>
            </w:r>
            <w:r w:rsidRPr="00E73BB1">
              <w:rPr>
                <w:rFonts w:ascii="Times New Roman" w:hAnsi="Times New Roman" w:cs="Times New Roman"/>
                <w:noProof/>
                <w:sz w:val="24"/>
                <w:szCs w:val="24"/>
                <w:lang w:val="en-US"/>
              </w:rPr>
              <w:t xml:space="preserve"> girls</w:t>
            </w:r>
          </w:p>
        </w:tc>
        <w:tc>
          <w:tcPr>
            <w:tcW w:w="1289" w:type="dxa"/>
          </w:tcPr>
          <w:p w14:paraId="4C2AFAF8" w14:textId="4A9FAA4D"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1.47 (.50)</w:t>
            </w:r>
          </w:p>
        </w:tc>
        <w:tc>
          <w:tcPr>
            <w:tcW w:w="1290" w:type="dxa"/>
          </w:tcPr>
          <w:p w14:paraId="27EAE18C" w14:textId="68A36B7A"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3.19 (.90)</w:t>
            </w:r>
          </w:p>
        </w:tc>
        <w:tc>
          <w:tcPr>
            <w:tcW w:w="1290" w:type="dxa"/>
          </w:tcPr>
          <w:p w14:paraId="78DB8F73" w14:textId="5AF47317"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3.29 (.73)</w:t>
            </w:r>
          </w:p>
        </w:tc>
        <w:tc>
          <w:tcPr>
            <w:tcW w:w="1290" w:type="dxa"/>
          </w:tcPr>
          <w:p w14:paraId="1A1B1595" w14:textId="3A1B4E7F"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2.55 (.96)</w:t>
            </w:r>
          </w:p>
        </w:tc>
        <w:tc>
          <w:tcPr>
            <w:tcW w:w="1290" w:type="dxa"/>
          </w:tcPr>
          <w:p w14:paraId="1C17B0B3" w14:textId="71782C4A"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2.63 (.99)</w:t>
            </w:r>
          </w:p>
        </w:tc>
        <w:tc>
          <w:tcPr>
            <w:tcW w:w="1290" w:type="dxa"/>
          </w:tcPr>
          <w:p w14:paraId="53E28603" w14:textId="6C17CD93"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2.50 (1.05)</w:t>
            </w:r>
          </w:p>
        </w:tc>
        <w:tc>
          <w:tcPr>
            <w:tcW w:w="1290" w:type="dxa"/>
          </w:tcPr>
          <w:p w14:paraId="343C09C4" w14:textId="2DAC543D"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3.39 (.61)</w:t>
            </w:r>
          </w:p>
        </w:tc>
        <w:tc>
          <w:tcPr>
            <w:tcW w:w="1290" w:type="dxa"/>
          </w:tcPr>
          <w:p w14:paraId="7E4F7486" w14:textId="42CA70AB"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2.36 (.99)</w:t>
            </w:r>
          </w:p>
        </w:tc>
        <w:tc>
          <w:tcPr>
            <w:tcW w:w="1290" w:type="dxa"/>
          </w:tcPr>
          <w:p w14:paraId="49362E18" w14:textId="640160C4"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3.50 (.96)</w:t>
            </w:r>
          </w:p>
        </w:tc>
        <w:tc>
          <w:tcPr>
            <w:tcW w:w="1290" w:type="dxa"/>
          </w:tcPr>
          <w:p w14:paraId="3E931A79" w14:textId="3CB94946"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1.63 (.72)</w:t>
            </w:r>
          </w:p>
        </w:tc>
      </w:tr>
      <w:tr w:rsidR="00E4781E" w:rsidRPr="00E73BB1" w14:paraId="7897CBDB" w14:textId="77777777" w:rsidTr="00D848D2">
        <w:tc>
          <w:tcPr>
            <w:tcW w:w="1843" w:type="dxa"/>
            <w:tcBorders>
              <w:bottom w:val="single" w:sz="4" w:space="0" w:color="auto"/>
            </w:tcBorders>
          </w:tcPr>
          <w:p w14:paraId="0FDE2725" w14:textId="26849A86" w:rsidR="00E4781E" w:rsidRPr="00E73BB1" w:rsidRDefault="00E4781E" w:rsidP="00634AF0">
            <w:pPr>
              <w:spacing w:after="120" w:line="240" w:lineRule="auto"/>
              <w:rPr>
                <w:rFonts w:ascii="Times New Roman" w:hAnsi="Times New Roman" w:cs="Times New Roman"/>
                <w:noProof/>
                <w:sz w:val="24"/>
                <w:szCs w:val="24"/>
                <w:lang w:val="en-US"/>
              </w:rPr>
            </w:pPr>
            <w:r w:rsidRPr="00E73BB1">
              <w:rPr>
                <w:rFonts w:ascii="Times New Roman" w:hAnsi="Times New Roman" w:cs="Times New Roman"/>
                <w:i/>
                <w:iCs/>
                <w:noProof/>
                <w:sz w:val="24"/>
                <w:szCs w:val="24"/>
                <w:lang w:val="en-US"/>
              </w:rPr>
              <w:t>M (SD)</w:t>
            </w:r>
            <w:r w:rsidRPr="00E73BB1">
              <w:rPr>
                <w:rFonts w:ascii="Times New Roman" w:hAnsi="Times New Roman" w:cs="Times New Roman"/>
                <w:noProof/>
                <w:sz w:val="24"/>
                <w:szCs w:val="24"/>
                <w:lang w:val="en-US"/>
              </w:rPr>
              <w:t xml:space="preserve"> boys</w:t>
            </w:r>
          </w:p>
        </w:tc>
        <w:tc>
          <w:tcPr>
            <w:tcW w:w="1289" w:type="dxa"/>
            <w:tcBorders>
              <w:bottom w:val="single" w:sz="4" w:space="0" w:color="auto"/>
            </w:tcBorders>
          </w:tcPr>
          <w:p w14:paraId="589066FF" w14:textId="6E686C8B" w:rsidR="00E4781E"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1.20 (.31)</w:t>
            </w:r>
          </w:p>
        </w:tc>
        <w:tc>
          <w:tcPr>
            <w:tcW w:w="1290" w:type="dxa"/>
            <w:tcBorders>
              <w:bottom w:val="single" w:sz="4" w:space="0" w:color="auto"/>
            </w:tcBorders>
          </w:tcPr>
          <w:p w14:paraId="36CC1E97" w14:textId="0BBD04B6" w:rsidR="00E4781E" w:rsidRPr="00E73BB1" w:rsidRDefault="00E4781E"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3.6</w:t>
            </w:r>
            <w:r w:rsidR="00885832" w:rsidRPr="00E73BB1">
              <w:rPr>
                <w:rFonts w:ascii="Times New Roman" w:hAnsi="Times New Roman" w:cs="Times New Roman"/>
                <w:noProof/>
                <w:sz w:val="24"/>
                <w:szCs w:val="24"/>
                <w:lang w:val="en-US"/>
              </w:rPr>
              <w:t>1 (.72)</w:t>
            </w:r>
          </w:p>
        </w:tc>
        <w:tc>
          <w:tcPr>
            <w:tcW w:w="1290" w:type="dxa"/>
            <w:tcBorders>
              <w:bottom w:val="single" w:sz="4" w:space="0" w:color="auto"/>
            </w:tcBorders>
          </w:tcPr>
          <w:p w14:paraId="4FBE4FD6" w14:textId="763BF8B4"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3.62 (.72)</w:t>
            </w:r>
          </w:p>
        </w:tc>
        <w:tc>
          <w:tcPr>
            <w:tcW w:w="1290" w:type="dxa"/>
            <w:tcBorders>
              <w:bottom w:val="single" w:sz="4" w:space="0" w:color="auto"/>
            </w:tcBorders>
          </w:tcPr>
          <w:p w14:paraId="53099B6F" w14:textId="3237C649"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2.04 (.90)</w:t>
            </w:r>
          </w:p>
        </w:tc>
        <w:tc>
          <w:tcPr>
            <w:tcW w:w="1290" w:type="dxa"/>
            <w:tcBorders>
              <w:bottom w:val="single" w:sz="4" w:space="0" w:color="auto"/>
            </w:tcBorders>
          </w:tcPr>
          <w:p w14:paraId="329CD13C" w14:textId="3D7F2546"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2.33 (1.06)</w:t>
            </w:r>
          </w:p>
        </w:tc>
        <w:tc>
          <w:tcPr>
            <w:tcW w:w="1290" w:type="dxa"/>
            <w:tcBorders>
              <w:bottom w:val="single" w:sz="4" w:space="0" w:color="auto"/>
            </w:tcBorders>
          </w:tcPr>
          <w:p w14:paraId="4513B174" w14:textId="0BB1CC69"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1.88 (.89)</w:t>
            </w:r>
          </w:p>
        </w:tc>
        <w:tc>
          <w:tcPr>
            <w:tcW w:w="1290" w:type="dxa"/>
            <w:tcBorders>
              <w:bottom w:val="single" w:sz="4" w:space="0" w:color="auto"/>
            </w:tcBorders>
          </w:tcPr>
          <w:p w14:paraId="1F8B93FF" w14:textId="120FBAC3"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3.60 (.54)</w:t>
            </w:r>
          </w:p>
        </w:tc>
        <w:tc>
          <w:tcPr>
            <w:tcW w:w="1290" w:type="dxa"/>
            <w:tcBorders>
              <w:bottom w:val="single" w:sz="4" w:space="0" w:color="auto"/>
            </w:tcBorders>
          </w:tcPr>
          <w:p w14:paraId="48B963D8" w14:textId="44A3ACD1"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1.73 (.65)</w:t>
            </w:r>
          </w:p>
        </w:tc>
        <w:tc>
          <w:tcPr>
            <w:tcW w:w="1290" w:type="dxa"/>
            <w:tcBorders>
              <w:bottom w:val="single" w:sz="4" w:space="0" w:color="auto"/>
            </w:tcBorders>
          </w:tcPr>
          <w:p w14:paraId="0B3836E1" w14:textId="2D781BDB"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3.72 (.89)</w:t>
            </w:r>
          </w:p>
        </w:tc>
        <w:tc>
          <w:tcPr>
            <w:tcW w:w="1290" w:type="dxa"/>
            <w:tcBorders>
              <w:bottom w:val="single" w:sz="4" w:space="0" w:color="auto"/>
            </w:tcBorders>
          </w:tcPr>
          <w:p w14:paraId="069E0E50" w14:textId="02E3913E" w:rsidR="00E4781E" w:rsidRPr="00E73BB1" w:rsidRDefault="00885832" w:rsidP="00634AF0">
            <w:pPr>
              <w:tabs>
                <w:tab w:val="decimal" w:pos="270"/>
              </w:tabs>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1.26 (.43)</w:t>
            </w:r>
          </w:p>
        </w:tc>
      </w:tr>
    </w:tbl>
    <w:p w14:paraId="169D9E19" w14:textId="64227713" w:rsidR="00666A49" w:rsidRPr="00E73BB1" w:rsidRDefault="00FE0ED3" w:rsidP="00634AF0">
      <w:pPr>
        <w:spacing w:after="120" w:line="240" w:lineRule="auto"/>
        <w:rPr>
          <w:rFonts w:ascii="Times New Roman" w:hAnsi="Times New Roman" w:cs="Times New Roman"/>
          <w:noProof/>
          <w:sz w:val="24"/>
          <w:szCs w:val="24"/>
          <w:lang w:val="en-US"/>
        </w:rPr>
      </w:pPr>
      <w:r w:rsidRPr="00E73BB1">
        <w:rPr>
          <w:rFonts w:ascii="Times New Roman" w:hAnsi="Times New Roman" w:cs="Times New Roman"/>
          <w:noProof/>
          <w:sz w:val="24"/>
          <w:szCs w:val="24"/>
          <w:lang w:val="en-US"/>
        </w:rPr>
        <w:t xml:space="preserve">* </w:t>
      </w:r>
      <w:r w:rsidRPr="00E73BB1">
        <w:rPr>
          <w:rFonts w:ascii="Times New Roman" w:hAnsi="Times New Roman" w:cs="Times New Roman"/>
          <w:i/>
          <w:noProof/>
          <w:sz w:val="24"/>
          <w:szCs w:val="24"/>
          <w:lang w:val="en-US"/>
        </w:rPr>
        <w:t>p</w:t>
      </w:r>
      <w:r w:rsidRPr="00E73BB1">
        <w:rPr>
          <w:rFonts w:ascii="Times New Roman" w:hAnsi="Times New Roman" w:cs="Times New Roman"/>
          <w:noProof/>
          <w:sz w:val="24"/>
          <w:szCs w:val="24"/>
          <w:lang w:val="en-US"/>
        </w:rPr>
        <w:t xml:space="preserve"> &lt; .05, </w:t>
      </w:r>
      <w:r w:rsidR="00E86665" w:rsidRPr="00E73BB1">
        <w:rPr>
          <w:rFonts w:ascii="Times New Roman" w:hAnsi="Times New Roman" w:cs="Times New Roman"/>
          <w:noProof/>
          <w:sz w:val="24"/>
          <w:szCs w:val="24"/>
          <w:lang w:val="en-US"/>
        </w:rPr>
        <w:t xml:space="preserve">** </w:t>
      </w:r>
      <w:r w:rsidR="00E86665" w:rsidRPr="00E73BB1">
        <w:rPr>
          <w:rFonts w:ascii="Times New Roman" w:hAnsi="Times New Roman" w:cs="Times New Roman"/>
          <w:i/>
          <w:noProof/>
          <w:sz w:val="24"/>
          <w:szCs w:val="24"/>
          <w:lang w:val="en-US"/>
        </w:rPr>
        <w:t>p</w:t>
      </w:r>
      <w:r w:rsidR="00E86665" w:rsidRPr="00E73BB1">
        <w:rPr>
          <w:rFonts w:ascii="Times New Roman" w:hAnsi="Times New Roman" w:cs="Times New Roman"/>
          <w:noProof/>
          <w:sz w:val="24"/>
          <w:szCs w:val="24"/>
          <w:lang w:val="en-US"/>
        </w:rPr>
        <w:t xml:space="preserve"> &lt; .01</w:t>
      </w:r>
    </w:p>
    <w:p w14:paraId="78FE7EAD" w14:textId="5F7FF20F" w:rsidR="00666A49" w:rsidRPr="00E73BB1" w:rsidRDefault="00E86665" w:rsidP="00634AF0">
      <w:pPr>
        <w:spacing w:after="120" w:line="360" w:lineRule="auto"/>
        <w:rPr>
          <w:rFonts w:ascii="Times New Roman" w:hAnsi="Times New Roman" w:cs="Times New Roman"/>
          <w:noProof/>
          <w:sz w:val="24"/>
          <w:szCs w:val="24"/>
          <w:lang w:val="en-US"/>
        </w:rPr>
      </w:pPr>
      <w:r w:rsidRPr="00E73BB1">
        <w:rPr>
          <w:rFonts w:ascii="Times New Roman" w:hAnsi="Times New Roman" w:cs="Times New Roman"/>
          <w:i/>
          <w:iCs/>
          <w:noProof/>
          <w:sz w:val="24"/>
          <w:szCs w:val="24"/>
          <w:lang w:val="en-US"/>
        </w:rPr>
        <w:t>Note.</w:t>
      </w:r>
      <w:r w:rsidRPr="00E73BB1">
        <w:rPr>
          <w:rFonts w:ascii="Times New Roman" w:hAnsi="Times New Roman" w:cs="Times New Roman"/>
          <w:noProof/>
          <w:sz w:val="24"/>
          <w:szCs w:val="24"/>
          <w:lang w:val="en-US"/>
        </w:rPr>
        <w:t xml:space="preserve"> </w:t>
      </w:r>
      <w:r w:rsidR="00885832" w:rsidRPr="00E73BB1">
        <w:rPr>
          <w:rFonts w:ascii="Times New Roman" w:hAnsi="Times New Roman" w:cs="Times New Roman"/>
          <w:noProof/>
          <w:sz w:val="24"/>
          <w:szCs w:val="24"/>
          <w:lang w:val="en-US"/>
        </w:rPr>
        <w:t xml:space="preserve">Correlations above the diagonal are for girls, correlations below the diagonal are for boys. </w:t>
      </w:r>
      <w:r w:rsidR="00CE3226" w:rsidRPr="00E73BB1">
        <w:rPr>
          <w:rFonts w:ascii="Times New Roman" w:hAnsi="Times New Roman" w:cs="Times New Roman"/>
          <w:sz w:val="24"/>
          <w:szCs w:val="24"/>
        </w:rPr>
        <w:t xml:space="preserve">BILD-Q </w:t>
      </w:r>
      <w:r w:rsidRPr="00E73BB1">
        <w:rPr>
          <w:rFonts w:ascii="Times New Roman" w:hAnsi="Times New Roman" w:cs="Times New Roman"/>
          <w:noProof/>
          <w:sz w:val="24"/>
          <w:szCs w:val="24"/>
          <w:lang w:val="en-US"/>
        </w:rPr>
        <w:t xml:space="preserve">= </w:t>
      </w:r>
      <w:r w:rsidR="000B2609" w:rsidRPr="00E73BB1">
        <w:rPr>
          <w:rFonts w:ascii="Times New Roman" w:hAnsi="Times New Roman" w:cs="Times New Roman"/>
          <w:noProof/>
          <w:sz w:val="24"/>
          <w:szCs w:val="24"/>
          <w:lang w:val="en-US"/>
        </w:rPr>
        <w:t xml:space="preserve">Body Image Life </w:t>
      </w:r>
      <w:r w:rsidR="00CE3226" w:rsidRPr="00E73BB1">
        <w:rPr>
          <w:rFonts w:ascii="Times New Roman" w:hAnsi="Times New Roman" w:cs="Times New Roman"/>
          <w:noProof/>
          <w:sz w:val="24"/>
          <w:szCs w:val="24"/>
          <w:lang w:val="en-US"/>
        </w:rPr>
        <w:t>Dise</w:t>
      </w:r>
      <w:r w:rsidR="000B2609" w:rsidRPr="00E73BB1">
        <w:rPr>
          <w:rFonts w:ascii="Times New Roman" w:hAnsi="Times New Roman" w:cs="Times New Roman"/>
          <w:noProof/>
          <w:sz w:val="24"/>
          <w:szCs w:val="24"/>
          <w:lang w:val="en-US"/>
        </w:rPr>
        <w:t>ngagement Questionnaire</w:t>
      </w:r>
      <w:r w:rsidRPr="00E73BB1">
        <w:rPr>
          <w:rFonts w:ascii="Times New Roman" w:hAnsi="Times New Roman" w:cs="Times New Roman"/>
          <w:noProof/>
          <w:sz w:val="24"/>
          <w:szCs w:val="24"/>
          <w:lang w:val="en-US"/>
        </w:rPr>
        <w:t xml:space="preserve">; </w:t>
      </w:r>
      <w:r w:rsidR="00D523BD" w:rsidRPr="00E73BB1">
        <w:rPr>
          <w:rFonts w:ascii="Times New Roman" w:hAnsi="Times New Roman" w:cs="Times New Roman"/>
          <w:noProof/>
          <w:sz w:val="24"/>
          <w:szCs w:val="24"/>
          <w:lang w:val="en-US"/>
        </w:rPr>
        <w:t>BES = Body Esteem Scale; BASS = Body Areas Satisfaction Scale; SATAQ = Sociocultural Attitudes Towards Appearance Scale, I=Internalisation (Athletic and General subscales combined), A=Internalisation-Athletic, G=Internalisation-General</w:t>
      </w:r>
      <w:r w:rsidR="00D87DD6" w:rsidRPr="00E73BB1">
        <w:rPr>
          <w:rFonts w:ascii="Times New Roman" w:hAnsi="Times New Roman" w:cs="Times New Roman"/>
          <w:noProof/>
          <w:sz w:val="24"/>
          <w:szCs w:val="24"/>
          <w:lang w:val="en-US"/>
        </w:rPr>
        <w:t xml:space="preserve">; WEMWBS = Warwick-Edinburgh Mental Well-Being Scale; PANAS = Positive and Negative Affect Scale; </w:t>
      </w:r>
      <w:r w:rsidRPr="00E73BB1">
        <w:rPr>
          <w:rFonts w:ascii="Times New Roman" w:hAnsi="Times New Roman" w:cs="Times New Roman"/>
          <w:noProof/>
          <w:sz w:val="24"/>
          <w:szCs w:val="24"/>
          <w:lang w:val="en-US"/>
        </w:rPr>
        <w:t>CIA = Clinical Imairment Assessment</w:t>
      </w:r>
    </w:p>
    <w:p w14:paraId="7DD7CBB8" w14:textId="77777777" w:rsidR="00336C29" w:rsidRPr="00E73BB1" w:rsidRDefault="00336C29" w:rsidP="00336C29">
      <w:pPr>
        <w:pStyle w:val="EndNoteBibliographyTitle"/>
        <w:jc w:val="left"/>
      </w:pPr>
      <w:r w:rsidRPr="00E73BB1">
        <w:br w:type="page"/>
      </w:r>
    </w:p>
    <w:p w14:paraId="266F2DD4" w14:textId="7C7DB6B9" w:rsidR="00336C29" w:rsidRPr="00E73BB1" w:rsidRDefault="00336C29" w:rsidP="009161D3">
      <w:pPr>
        <w:pStyle w:val="EndNoteBibliographyTitle"/>
        <w:spacing w:line="480" w:lineRule="auto"/>
        <w:jc w:val="left"/>
        <w:rPr>
          <w:b/>
          <w:bCs/>
        </w:rPr>
      </w:pPr>
      <w:r w:rsidRPr="00E73BB1">
        <w:rPr>
          <w:b/>
          <w:bCs/>
        </w:rPr>
        <w:lastRenderedPageBreak/>
        <w:t>Table 5</w:t>
      </w:r>
    </w:p>
    <w:p w14:paraId="49808A58" w14:textId="5EC3DCCF" w:rsidR="00666A49" w:rsidRPr="00E73BB1" w:rsidRDefault="00336C29">
      <w:pPr>
        <w:pStyle w:val="EndNoteBibliographyTitle"/>
        <w:jc w:val="left"/>
        <w:rPr>
          <w:i/>
          <w:iCs/>
        </w:rPr>
      </w:pPr>
      <w:r w:rsidRPr="00E73BB1">
        <w:rPr>
          <w:i/>
          <w:iCs/>
        </w:rPr>
        <w:t xml:space="preserve">Study </w:t>
      </w:r>
      <w:r w:rsidR="006803A7" w:rsidRPr="00E73BB1">
        <w:rPr>
          <w:i/>
          <w:iCs/>
        </w:rPr>
        <w:t>4</w:t>
      </w:r>
      <w:r w:rsidRPr="00E73BB1">
        <w:rPr>
          <w:i/>
          <w:iCs/>
        </w:rPr>
        <w:t xml:space="preserve"> </w:t>
      </w:r>
      <w:r w:rsidR="00C17464" w:rsidRPr="00E73BB1">
        <w:rPr>
          <w:i/>
          <w:iCs/>
        </w:rPr>
        <w:t>R</w:t>
      </w:r>
      <w:r w:rsidRPr="00E73BB1">
        <w:rPr>
          <w:i/>
          <w:iCs/>
        </w:rPr>
        <w:t xml:space="preserve">esults of </w:t>
      </w:r>
      <w:r w:rsidR="00C17464" w:rsidRPr="00E73BB1">
        <w:rPr>
          <w:i/>
          <w:iCs/>
        </w:rPr>
        <w:t>H</w:t>
      </w:r>
      <w:r w:rsidRPr="00E73BB1">
        <w:rPr>
          <w:i/>
          <w:iCs/>
        </w:rPr>
        <w:t xml:space="preserve">eirarchical </w:t>
      </w:r>
      <w:r w:rsidR="00C17464" w:rsidRPr="00E73BB1">
        <w:rPr>
          <w:i/>
          <w:iCs/>
        </w:rPr>
        <w:t>M</w:t>
      </w:r>
      <w:r w:rsidRPr="00E73BB1">
        <w:rPr>
          <w:i/>
          <w:iCs/>
        </w:rPr>
        <w:t xml:space="preserve">ulitple </w:t>
      </w:r>
      <w:r w:rsidR="00C17464" w:rsidRPr="00E73BB1">
        <w:rPr>
          <w:i/>
          <w:iCs/>
        </w:rPr>
        <w:t>R</w:t>
      </w:r>
      <w:r w:rsidRPr="00E73BB1">
        <w:rPr>
          <w:i/>
          <w:iCs/>
        </w:rPr>
        <w:t xml:space="preserve">egression </w:t>
      </w:r>
      <w:r w:rsidR="00C17464" w:rsidRPr="00E73BB1">
        <w:rPr>
          <w:i/>
          <w:iCs/>
        </w:rPr>
        <w:t>S</w:t>
      </w:r>
      <w:r w:rsidRPr="00E73BB1">
        <w:rPr>
          <w:i/>
          <w:iCs/>
        </w:rPr>
        <w:t xml:space="preserve">howing </w:t>
      </w:r>
      <w:r w:rsidR="00C17464" w:rsidRPr="00E73BB1">
        <w:rPr>
          <w:i/>
          <w:iCs/>
        </w:rPr>
        <w:t>C</w:t>
      </w:r>
      <w:r w:rsidRPr="00E73BB1">
        <w:rPr>
          <w:i/>
          <w:iCs/>
        </w:rPr>
        <w:t xml:space="preserve">oncurrent and </w:t>
      </w:r>
      <w:r w:rsidR="00C17464" w:rsidRPr="00E73BB1">
        <w:rPr>
          <w:i/>
          <w:iCs/>
        </w:rPr>
        <w:t>P</w:t>
      </w:r>
      <w:r w:rsidRPr="00E73BB1">
        <w:rPr>
          <w:i/>
          <w:iCs/>
        </w:rPr>
        <w:t xml:space="preserve">redictive </w:t>
      </w:r>
      <w:r w:rsidR="00C17464" w:rsidRPr="00E73BB1">
        <w:rPr>
          <w:i/>
          <w:iCs/>
        </w:rPr>
        <w:t>I</w:t>
      </w:r>
      <w:r w:rsidRPr="00E73BB1">
        <w:rPr>
          <w:i/>
          <w:iCs/>
        </w:rPr>
        <w:t xml:space="preserve">ncremental </w:t>
      </w:r>
      <w:r w:rsidR="00C17464" w:rsidRPr="00E73BB1">
        <w:rPr>
          <w:i/>
          <w:iCs/>
        </w:rPr>
        <w:t>C</w:t>
      </w:r>
      <w:r w:rsidRPr="00E73BB1">
        <w:rPr>
          <w:i/>
          <w:iCs/>
        </w:rPr>
        <w:t xml:space="preserve">ontribution of </w:t>
      </w:r>
      <w:r w:rsidR="00C17464" w:rsidRPr="00E73BB1">
        <w:rPr>
          <w:i/>
          <w:iCs/>
        </w:rPr>
        <w:t xml:space="preserve">BILD-Q </w:t>
      </w:r>
      <w:r w:rsidRPr="00E73BB1">
        <w:rPr>
          <w:i/>
          <w:iCs/>
        </w:rPr>
        <w:t xml:space="preserve">to </w:t>
      </w:r>
      <w:r w:rsidR="00C17464" w:rsidRPr="00E73BB1">
        <w:rPr>
          <w:i/>
          <w:iCs/>
        </w:rPr>
        <w:t>W</w:t>
      </w:r>
      <w:r w:rsidRPr="00E73BB1">
        <w:rPr>
          <w:i/>
          <w:iCs/>
        </w:rPr>
        <w:t xml:space="preserve">ell-being </w:t>
      </w:r>
      <w:r w:rsidR="00C17464" w:rsidRPr="00E73BB1">
        <w:rPr>
          <w:i/>
          <w:iCs/>
        </w:rPr>
        <w:t>O</w:t>
      </w:r>
      <w:r w:rsidRPr="00E73BB1">
        <w:rPr>
          <w:i/>
          <w:iCs/>
        </w:rPr>
        <w:t>utcomes</w:t>
      </w:r>
    </w:p>
    <w:tbl>
      <w:tblPr>
        <w:tblStyle w:val="TableGrid"/>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2"/>
        <w:gridCol w:w="855"/>
        <w:gridCol w:w="1417"/>
        <w:gridCol w:w="1840"/>
        <w:gridCol w:w="854"/>
        <w:gridCol w:w="1417"/>
        <w:gridCol w:w="1985"/>
        <w:gridCol w:w="850"/>
        <w:gridCol w:w="1418"/>
        <w:gridCol w:w="1701"/>
      </w:tblGrid>
      <w:tr w:rsidR="009E48F6" w:rsidRPr="00E73BB1" w14:paraId="714DF6D2" w14:textId="086C9C8E" w:rsidTr="009E48F6">
        <w:tc>
          <w:tcPr>
            <w:tcW w:w="1692" w:type="dxa"/>
            <w:tcBorders>
              <w:top w:val="single" w:sz="4" w:space="0" w:color="auto"/>
              <w:bottom w:val="single" w:sz="4" w:space="0" w:color="auto"/>
            </w:tcBorders>
          </w:tcPr>
          <w:p w14:paraId="2D80804B" w14:textId="7D3E2AD6" w:rsidR="009E48F6" w:rsidRPr="00E73BB1" w:rsidRDefault="009E48F6" w:rsidP="00634AF0">
            <w:pPr>
              <w:pStyle w:val="EndNoteBibliographyTitle"/>
            </w:pPr>
          </w:p>
        </w:tc>
        <w:tc>
          <w:tcPr>
            <w:tcW w:w="4112" w:type="dxa"/>
            <w:gridSpan w:val="3"/>
            <w:tcBorders>
              <w:top w:val="single" w:sz="4" w:space="0" w:color="auto"/>
              <w:bottom w:val="single" w:sz="4" w:space="0" w:color="auto"/>
            </w:tcBorders>
          </w:tcPr>
          <w:p w14:paraId="4E20DC10" w14:textId="734E24F2" w:rsidR="009E48F6" w:rsidRPr="00E73BB1" w:rsidRDefault="009E48F6" w:rsidP="00634AF0">
            <w:pPr>
              <w:pStyle w:val="EndNoteBibliographyTitle"/>
            </w:pPr>
            <w:r w:rsidRPr="00E73BB1">
              <w:t>WEMWBS</w:t>
            </w:r>
          </w:p>
        </w:tc>
        <w:tc>
          <w:tcPr>
            <w:tcW w:w="4256" w:type="dxa"/>
            <w:gridSpan w:val="3"/>
            <w:tcBorders>
              <w:top w:val="single" w:sz="4" w:space="0" w:color="auto"/>
              <w:bottom w:val="single" w:sz="4" w:space="0" w:color="auto"/>
            </w:tcBorders>
          </w:tcPr>
          <w:p w14:paraId="5AC7278B" w14:textId="5A6703E2" w:rsidR="009E48F6" w:rsidRPr="00E73BB1" w:rsidRDefault="009E48F6" w:rsidP="00634AF0">
            <w:pPr>
              <w:pStyle w:val="EndNoteBibliographyTitle"/>
            </w:pPr>
            <w:r w:rsidRPr="00E73BB1">
              <w:t>PANAS_NA</w:t>
            </w:r>
          </w:p>
        </w:tc>
        <w:tc>
          <w:tcPr>
            <w:tcW w:w="3969" w:type="dxa"/>
            <w:gridSpan w:val="3"/>
            <w:tcBorders>
              <w:top w:val="single" w:sz="4" w:space="0" w:color="auto"/>
              <w:bottom w:val="single" w:sz="4" w:space="0" w:color="auto"/>
            </w:tcBorders>
          </w:tcPr>
          <w:p w14:paraId="49BEA676" w14:textId="58E3D91D" w:rsidR="009E48F6" w:rsidRPr="00E73BB1" w:rsidRDefault="009E48F6" w:rsidP="00634AF0">
            <w:pPr>
              <w:pStyle w:val="EndNoteBibliographyTitle"/>
            </w:pPr>
            <w:r w:rsidRPr="00E73BB1">
              <w:t>PANAS_PA</w:t>
            </w:r>
          </w:p>
        </w:tc>
      </w:tr>
      <w:tr w:rsidR="00693B54" w:rsidRPr="00E73BB1" w14:paraId="647ED650" w14:textId="3204E385" w:rsidTr="009E48F6">
        <w:tc>
          <w:tcPr>
            <w:tcW w:w="1692" w:type="dxa"/>
            <w:tcBorders>
              <w:top w:val="single" w:sz="4" w:space="0" w:color="auto"/>
            </w:tcBorders>
          </w:tcPr>
          <w:p w14:paraId="5702C58E" w14:textId="6E085FF1" w:rsidR="00336C29" w:rsidRPr="00E73BB1" w:rsidRDefault="00336C29" w:rsidP="00634AF0">
            <w:pPr>
              <w:pStyle w:val="EndNoteBibliographyTitle"/>
              <w:rPr>
                <w:i/>
              </w:rPr>
            </w:pPr>
          </w:p>
        </w:tc>
        <w:tc>
          <w:tcPr>
            <w:tcW w:w="855" w:type="dxa"/>
            <w:tcBorders>
              <w:top w:val="single" w:sz="4" w:space="0" w:color="auto"/>
            </w:tcBorders>
          </w:tcPr>
          <w:p w14:paraId="2061CEC0" w14:textId="5E8E6377" w:rsidR="00336C29" w:rsidRPr="00E73BB1" w:rsidRDefault="00336C29" w:rsidP="00634AF0">
            <w:pPr>
              <w:pStyle w:val="EndNoteBibliographyTitle"/>
              <w:rPr>
                <w:i/>
              </w:rPr>
            </w:pPr>
            <w:r w:rsidRPr="00E73BB1">
              <w:rPr>
                <w:i/>
              </w:rPr>
              <w:t>ΔR</w:t>
            </w:r>
            <w:r w:rsidRPr="00E73BB1">
              <w:rPr>
                <w:i/>
                <w:vertAlign w:val="superscript"/>
              </w:rPr>
              <w:t>2</w:t>
            </w:r>
          </w:p>
        </w:tc>
        <w:tc>
          <w:tcPr>
            <w:tcW w:w="1417" w:type="dxa"/>
            <w:tcBorders>
              <w:top w:val="single" w:sz="4" w:space="0" w:color="auto"/>
            </w:tcBorders>
          </w:tcPr>
          <w:p w14:paraId="63456062" w14:textId="178AC026" w:rsidR="00336C29" w:rsidRPr="00E73BB1" w:rsidRDefault="00336C29" w:rsidP="00634AF0">
            <w:pPr>
              <w:pStyle w:val="EndNoteBibliographyTitle"/>
              <w:rPr>
                <w:i/>
              </w:rPr>
            </w:pPr>
            <w:r w:rsidRPr="00E73BB1">
              <w:rPr>
                <w:i/>
              </w:rPr>
              <w:t>ΔF</w:t>
            </w:r>
          </w:p>
        </w:tc>
        <w:tc>
          <w:tcPr>
            <w:tcW w:w="1840" w:type="dxa"/>
            <w:tcBorders>
              <w:top w:val="single" w:sz="4" w:space="0" w:color="auto"/>
            </w:tcBorders>
          </w:tcPr>
          <w:p w14:paraId="778F7820" w14:textId="52389DE4" w:rsidR="00336C29" w:rsidRPr="00E73BB1" w:rsidRDefault="00693B54" w:rsidP="00634AF0">
            <w:pPr>
              <w:pStyle w:val="EndNoteBibliographyTitle"/>
              <w:rPr>
                <w:i/>
              </w:rPr>
            </w:pPr>
            <w:r w:rsidRPr="00E73BB1">
              <w:rPr>
                <w:i/>
              </w:rPr>
              <w:t>β</w:t>
            </w:r>
            <w:r w:rsidR="00336C29" w:rsidRPr="00E73BB1">
              <w:rPr>
                <w:i/>
              </w:rPr>
              <w:t xml:space="preserve"> (t)</w:t>
            </w:r>
          </w:p>
        </w:tc>
        <w:tc>
          <w:tcPr>
            <w:tcW w:w="854" w:type="dxa"/>
            <w:tcBorders>
              <w:top w:val="single" w:sz="4" w:space="0" w:color="auto"/>
            </w:tcBorders>
          </w:tcPr>
          <w:p w14:paraId="56004C60" w14:textId="5C31C239" w:rsidR="00336C29" w:rsidRPr="00E73BB1" w:rsidRDefault="00336C29" w:rsidP="00634AF0">
            <w:pPr>
              <w:pStyle w:val="EndNoteBibliographyTitle"/>
              <w:rPr>
                <w:i/>
              </w:rPr>
            </w:pPr>
            <w:r w:rsidRPr="00E73BB1">
              <w:rPr>
                <w:i/>
              </w:rPr>
              <w:t>ΔR</w:t>
            </w:r>
            <w:r w:rsidRPr="00E73BB1">
              <w:rPr>
                <w:i/>
                <w:vertAlign w:val="superscript"/>
              </w:rPr>
              <w:t>2</w:t>
            </w:r>
          </w:p>
        </w:tc>
        <w:tc>
          <w:tcPr>
            <w:tcW w:w="1417" w:type="dxa"/>
            <w:tcBorders>
              <w:top w:val="single" w:sz="4" w:space="0" w:color="auto"/>
            </w:tcBorders>
          </w:tcPr>
          <w:p w14:paraId="22857DA5" w14:textId="7BF4DCD2" w:rsidR="00336C29" w:rsidRPr="00E73BB1" w:rsidRDefault="00336C29" w:rsidP="00634AF0">
            <w:pPr>
              <w:pStyle w:val="EndNoteBibliographyTitle"/>
              <w:rPr>
                <w:i/>
              </w:rPr>
            </w:pPr>
            <w:r w:rsidRPr="00E73BB1">
              <w:rPr>
                <w:i/>
              </w:rPr>
              <w:t>ΔF</w:t>
            </w:r>
          </w:p>
        </w:tc>
        <w:tc>
          <w:tcPr>
            <w:tcW w:w="1985" w:type="dxa"/>
            <w:tcBorders>
              <w:top w:val="single" w:sz="4" w:space="0" w:color="auto"/>
            </w:tcBorders>
          </w:tcPr>
          <w:p w14:paraId="61F5B480" w14:textId="055EDB1C" w:rsidR="00336C29" w:rsidRPr="00E73BB1" w:rsidRDefault="00693B54" w:rsidP="00634AF0">
            <w:pPr>
              <w:pStyle w:val="EndNoteBibliographyTitle"/>
              <w:rPr>
                <w:i/>
              </w:rPr>
            </w:pPr>
            <w:r w:rsidRPr="00E73BB1">
              <w:rPr>
                <w:i/>
              </w:rPr>
              <w:t xml:space="preserve">β </w:t>
            </w:r>
            <w:r w:rsidR="00336C29" w:rsidRPr="00E73BB1">
              <w:rPr>
                <w:i/>
              </w:rPr>
              <w:t>(t)</w:t>
            </w:r>
          </w:p>
        </w:tc>
        <w:tc>
          <w:tcPr>
            <w:tcW w:w="850" w:type="dxa"/>
            <w:tcBorders>
              <w:top w:val="single" w:sz="4" w:space="0" w:color="auto"/>
            </w:tcBorders>
          </w:tcPr>
          <w:p w14:paraId="4D4A0685" w14:textId="7F9AE608" w:rsidR="00336C29" w:rsidRPr="00E73BB1" w:rsidRDefault="00336C29" w:rsidP="00634AF0">
            <w:pPr>
              <w:pStyle w:val="EndNoteBibliographyTitle"/>
              <w:rPr>
                <w:i/>
              </w:rPr>
            </w:pPr>
            <w:r w:rsidRPr="00E73BB1">
              <w:rPr>
                <w:i/>
              </w:rPr>
              <w:t>ΔR</w:t>
            </w:r>
            <w:r w:rsidRPr="00E73BB1">
              <w:rPr>
                <w:i/>
                <w:vertAlign w:val="superscript"/>
              </w:rPr>
              <w:t>2</w:t>
            </w:r>
          </w:p>
        </w:tc>
        <w:tc>
          <w:tcPr>
            <w:tcW w:w="1418" w:type="dxa"/>
            <w:tcBorders>
              <w:top w:val="single" w:sz="4" w:space="0" w:color="auto"/>
            </w:tcBorders>
          </w:tcPr>
          <w:p w14:paraId="7F0D799D" w14:textId="7477C2AE" w:rsidR="00336C29" w:rsidRPr="00E73BB1" w:rsidRDefault="00336C29" w:rsidP="00634AF0">
            <w:pPr>
              <w:pStyle w:val="EndNoteBibliographyTitle"/>
              <w:rPr>
                <w:i/>
              </w:rPr>
            </w:pPr>
            <w:r w:rsidRPr="00E73BB1">
              <w:rPr>
                <w:i/>
              </w:rPr>
              <w:t>ΔF</w:t>
            </w:r>
          </w:p>
        </w:tc>
        <w:tc>
          <w:tcPr>
            <w:tcW w:w="1701" w:type="dxa"/>
            <w:tcBorders>
              <w:top w:val="single" w:sz="4" w:space="0" w:color="auto"/>
            </w:tcBorders>
          </w:tcPr>
          <w:p w14:paraId="00993951" w14:textId="4924852E" w:rsidR="00336C29" w:rsidRPr="00E73BB1" w:rsidRDefault="00693B54" w:rsidP="00634AF0">
            <w:pPr>
              <w:pStyle w:val="EndNoteBibliographyTitle"/>
              <w:rPr>
                <w:i/>
              </w:rPr>
            </w:pPr>
            <w:r w:rsidRPr="00E73BB1">
              <w:rPr>
                <w:i/>
              </w:rPr>
              <w:t xml:space="preserve">β </w:t>
            </w:r>
            <w:r w:rsidR="00336C29" w:rsidRPr="00E73BB1">
              <w:rPr>
                <w:i/>
              </w:rPr>
              <w:t>(t)</w:t>
            </w:r>
          </w:p>
        </w:tc>
      </w:tr>
      <w:tr w:rsidR="009E48F6" w:rsidRPr="00E73BB1" w14:paraId="794B8A2B" w14:textId="77777777" w:rsidTr="009E48F6">
        <w:tc>
          <w:tcPr>
            <w:tcW w:w="1692" w:type="dxa"/>
            <w:tcBorders>
              <w:top w:val="single" w:sz="4" w:space="0" w:color="auto"/>
            </w:tcBorders>
          </w:tcPr>
          <w:p w14:paraId="20A9E138" w14:textId="1ACA4BD8" w:rsidR="009E48F6" w:rsidRPr="00E73BB1" w:rsidRDefault="009E48F6" w:rsidP="00634AF0">
            <w:pPr>
              <w:pStyle w:val="EndNoteBibliographyTitle"/>
              <w:jc w:val="left"/>
              <w:rPr>
                <w:i/>
              </w:rPr>
            </w:pPr>
            <w:r w:rsidRPr="00E73BB1">
              <w:rPr>
                <w:i/>
              </w:rPr>
              <w:t>Concurrent</w:t>
            </w:r>
            <w:r w:rsidR="005D6C2F" w:rsidRPr="00E73BB1">
              <w:rPr>
                <w:vertAlign w:val="superscript"/>
              </w:rPr>
              <w:t>a</w:t>
            </w:r>
          </w:p>
        </w:tc>
        <w:tc>
          <w:tcPr>
            <w:tcW w:w="855" w:type="dxa"/>
            <w:tcBorders>
              <w:top w:val="single" w:sz="4" w:space="0" w:color="auto"/>
            </w:tcBorders>
          </w:tcPr>
          <w:p w14:paraId="3031D771" w14:textId="77777777" w:rsidR="009E48F6" w:rsidRPr="00E73BB1" w:rsidRDefault="009E48F6" w:rsidP="00634AF0">
            <w:pPr>
              <w:pStyle w:val="EndNoteBibliographyTitle"/>
              <w:tabs>
                <w:tab w:val="decimal" w:pos="240"/>
              </w:tabs>
              <w:jc w:val="left"/>
            </w:pPr>
          </w:p>
        </w:tc>
        <w:tc>
          <w:tcPr>
            <w:tcW w:w="1417" w:type="dxa"/>
            <w:tcBorders>
              <w:top w:val="single" w:sz="4" w:space="0" w:color="auto"/>
            </w:tcBorders>
          </w:tcPr>
          <w:p w14:paraId="0322E970" w14:textId="77777777" w:rsidR="009E48F6" w:rsidRPr="00E73BB1" w:rsidRDefault="009E48F6" w:rsidP="00634AF0">
            <w:pPr>
              <w:pStyle w:val="EndNoteBibliographyTitle"/>
              <w:tabs>
                <w:tab w:val="decimal" w:pos="240"/>
              </w:tabs>
              <w:jc w:val="left"/>
            </w:pPr>
          </w:p>
        </w:tc>
        <w:tc>
          <w:tcPr>
            <w:tcW w:w="1840" w:type="dxa"/>
            <w:tcBorders>
              <w:top w:val="single" w:sz="4" w:space="0" w:color="auto"/>
            </w:tcBorders>
          </w:tcPr>
          <w:p w14:paraId="6D6229ED" w14:textId="77777777" w:rsidR="009E48F6" w:rsidRPr="00E73BB1" w:rsidRDefault="009E48F6" w:rsidP="00634AF0">
            <w:pPr>
              <w:pStyle w:val="EndNoteBibliographyTitle"/>
              <w:tabs>
                <w:tab w:val="decimal" w:pos="240"/>
              </w:tabs>
              <w:jc w:val="left"/>
            </w:pPr>
          </w:p>
        </w:tc>
        <w:tc>
          <w:tcPr>
            <w:tcW w:w="854" w:type="dxa"/>
            <w:tcBorders>
              <w:top w:val="single" w:sz="4" w:space="0" w:color="auto"/>
            </w:tcBorders>
          </w:tcPr>
          <w:p w14:paraId="69EF6ACC" w14:textId="77777777" w:rsidR="009E48F6" w:rsidRPr="00E73BB1" w:rsidRDefault="009E48F6" w:rsidP="00634AF0">
            <w:pPr>
              <w:pStyle w:val="EndNoteBibliographyTitle"/>
              <w:tabs>
                <w:tab w:val="decimal" w:pos="240"/>
              </w:tabs>
              <w:jc w:val="left"/>
            </w:pPr>
          </w:p>
        </w:tc>
        <w:tc>
          <w:tcPr>
            <w:tcW w:w="1417" w:type="dxa"/>
            <w:tcBorders>
              <w:top w:val="single" w:sz="4" w:space="0" w:color="auto"/>
            </w:tcBorders>
          </w:tcPr>
          <w:p w14:paraId="20E11510" w14:textId="77777777" w:rsidR="009E48F6" w:rsidRPr="00E73BB1" w:rsidRDefault="009E48F6" w:rsidP="00634AF0">
            <w:pPr>
              <w:pStyle w:val="EndNoteBibliographyTitle"/>
              <w:tabs>
                <w:tab w:val="decimal" w:pos="240"/>
              </w:tabs>
              <w:jc w:val="left"/>
            </w:pPr>
          </w:p>
        </w:tc>
        <w:tc>
          <w:tcPr>
            <w:tcW w:w="1985" w:type="dxa"/>
            <w:tcBorders>
              <w:top w:val="single" w:sz="4" w:space="0" w:color="auto"/>
            </w:tcBorders>
          </w:tcPr>
          <w:p w14:paraId="75F1D170" w14:textId="77777777" w:rsidR="009E48F6" w:rsidRPr="00E73BB1" w:rsidRDefault="009E48F6" w:rsidP="00634AF0">
            <w:pPr>
              <w:pStyle w:val="EndNoteBibliographyTitle"/>
              <w:tabs>
                <w:tab w:val="decimal" w:pos="240"/>
              </w:tabs>
              <w:jc w:val="left"/>
            </w:pPr>
          </w:p>
        </w:tc>
        <w:tc>
          <w:tcPr>
            <w:tcW w:w="850" w:type="dxa"/>
            <w:tcBorders>
              <w:top w:val="single" w:sz="4" w:space="0" w:color="auto"/>
            </w:tcBorders>
          </w:tcPr>
          <w:p w14:paraId="58FCB297" w14:textId="77777777" w:rsidR="009E48F6" w:rsidRPr="00E73BB1" w:rsidRDefault="009E48F6" w:rsidP="00634AF0">
            <w:pPr>
              <w:pStyle w:val="EndNoteBibliographyTitle"/>
              <w:tabs>
                <w:tab w:val="decimal" w:pos="240"/>
              </w:tabs>
              <w:jc w:val="left"/>
            </w:pPr>
          </w:p>
        </w:tc>
        <w:tc>
          <w:tcPr>
            <w:tcW w:w="1418" w:type="dxa"/>
            <w:tcBorders>
              <w:top w:val="single" w:sz="4" w:space="0" w:color="auto"/>
            </w:tcBorders>
          </w:tcPr>
          <w:p w14:paraId="715C4343" w14:textId="77777777" w:rsidR="009E48F6" w:rsidRPr="00E73BB1" w:rsidRDefault="009E48F6" w:rsidP="00634AF0">
            <w:pPr>
              <w:pStyle w:val="EndNoteBibliographyTitle"/>
              <w:tabs>
                <w:tab w:val="decimal" w:pos="240"/>
              </w:tabs>
              <w:jc w:val="left"/>
            </w:pPr>
          </w:p>
        </w:tc>
        <w:tc>
          <w:tcPr>
            <w:tcW w:w="1701" w:type="dxa"/>
            <w:tcBorders>
              <w:top w:val="single" w:sz="4" w:space="0" w:color="auto"/>
            </w:tcBorders>
          </w:tcPr>
          <w:p w14:paraId="7B8D5D91" w14:textId="77777777" w:rsidR="009E48F6" w:rsidRPr="00E73BB1" w:rsidRDefault="009E48F6" w:rsidP="00634AF0">
            <w:pPr>
              <w:pStyle w:val="EndNoteBibliographyTitle"/>
              <w:tabs>
                <w:tab w:val="decimal" w:pos="240"/>
              </w:tabs>
              <w:jc w:val="left"/>
            </w:pPr>
          </w:p>
        </w:tc>
      </w:tr>
      <w:tr w:rsidR="00693B54" w:rsidRPr="00E73BB1" w14:paraId="0C66871F" w14:textId="11387D4B" w:rsidTr="009E48F6">
        <w:tc>
          <w:tcPr>
            <w:tcW w:w="1692" w:type="dxa"/>
          </w:tcPr>
          <w:p w14:paraId="5E27930E" w14:textId="72AF2093" w:rsidR="00336C29" w:rsidRPr="00E73BB1" w:rsidRDefault="00336C29" w:rsidP="009161D3">
            <w:pPr>
              <w:pStyle w:val="EndNoteBibliographyTitle"/>
              <w:ind w:left="177"/>
              <w:jc w:val="left"/>
            </w:pPr>
            <w:r w:rsidRPr="00E73BB1">
              <w:t xml:space="preserve">Step 1: </w:t>
            </w:r>
          </w:p>
        </w:tc>
        <w:tc>
          <w:tcPr>
            <w:tcW w:w="855" w:type="dxa"/>
          </w:tcPr>
          <w:p w14:paraId="2F4168C3" w14:textId="4150F4CF" w:rsidR="00336C29" w:rsidRPr="00E73BB1" w:rsidRDefault="00336C29" w:rsidP="00634AF0">
            <w:pPr>
              <w:pStyle w:val="EndNoteBibliographyTitle"/>
              <w:tabs>
                <w:tab w:val="decimal" w:pos="240"/>
              </w:tabs>
              <w:jc w:val="left"/>
            </w:pPr>
          </w:p>
        </w:tc>
        <w:tc>
          <w:tcPr>
            <w:tcW w:w="1417" w:type="dxa"/>
          </w:tcPr>
          <w:p w14:paraId="7B5CD129" w14:textId="1B9514F0" w:rsidR="00336C29" w:rsidRPr="00E73BB1" w:rsidRDefault="00336C29" w:rsidP="00634AF0">
            <w:pPr>
              <w:pStyle w:val="EndNoteBibliographyTitle"/>
              <w:tabs>
                <w:tab w:val="decimal" w:pos="240"/>
              </w:tabs>
              <w:jc w:val="left"/>
            </w:pPr>
          </w:p>
        </w:tc>
        <w:tc>
          <w:tcPr>
            <w:tcW w:w="1840" w:type="dxa"/>
          </w:tcPr>
          <w:p w14:paraId="32D1074F" w14:textId="11C70846" w:rsidR="00336C29" w:rsidRPr="00E73BB1" w:rsidRDefault="00336C29" w:rsidP="00634AF0">
            <w:pPr>
              <w:pStyle w:val="EndNoteBibliographyTitle"/>
              <w:tabs>
                <w:tab w:val="decimal" w:pos="240"/>
              </w:tabs>
              <w:jc w:val="left"/>
            </w:pPr>
          </w:p>
        </w:tc>
        <w:tc>
          <w:tcPr>
            <w:tcW w:w="854" w:type="dxa"/>
          </w:tcPr>
          <w:p w14:paraId="18122D74" w14:textId="041E198E" w:rsidR="00336C29" w:rsidRPr="00E73BB1" w:rsidRDefault="00336C29" w:rsidP="00634AF0">
            <w:pPr>
              <w:pStyle w:val="EndNoteBibliographyTitle"/>
              <w:tabs>
                <w:tab w:val="decimal" w:pos="240"/>
              </w:tabs>
              <w:jc w:val="left"/>
            </w:pPr>
          </w:p>
        </w:tc>
        <w:tc>
          <w:tcPr>
            <w:tcW w:w="1417" w:type="dxa"/>
          </w:tcPr>
          <w:p w14:paraId="71409570" w14:textId="7F1FDAE9" w:rsidR="00336C29" w:rsidRPr="00E73BB1" w:rsidRDefault="00336C29" w:rsidP="00634AF0">
            <w:pPr>
              <w:pStyle w:val="EndNoteBibliographyTitle"/>
              <w:tabs>
                <w:tab w:val="decimal" w:pos="240"/>
              </w:tabs>
              <w:jc w:val="left"/>
            </w:pPr>
          </w:p>
        </w:tc>
        <w:tc>
          <w:tcPr>
            <w:tcW w:w="1985" w:type="dxa"/>
          </w:tcPr>
          <w:p w14:paraId="56500E05" w14:textId="7022B8FE" w:rsidR="00336C29" w:rsidRPr="00E73BB1" w:rsidRDefault="00336C29" w:rsidP="00634AF0">
            <w:pPr>
              <w:pStyle w:val="EndNoteBibliographyTitle"/>
              <w:tabs>
                <w:tab w:val="decimal" w:pos="240"/>
              </w:tabs>
              <w:jc w:val="left"/>
            </w:pPr>
          </w:p>
        </w:tc>
        <w:tc>
          <w:tcPr>
            <w:tcW w:w="850" w:type="dxa"/>
          </w:tcPr>
          <w:p w14:paraId="26404B49" w14:textId="05F05613" w:rsidR="00336C29" w:rsidRPr="00E73BB1" w:rsidRDefault="00336C29" w:rsidP="00634AF0">
            <w:pPr>
              <w:pStyle w:val="EndNoteBibliographyTitle"/>
              <w:tabs>
                <w:tab w:val="decimal" w:pos="240"/>
              </w:tabs>
              <w:jc w:val="left"/>
            </w:pPr>
          </w:p>
        </w:tc>
        <w:tc>
          <w:tcPr>
            <w:tcW w:w="1418" w:type="dxa"/>
          </w:tcPr>
          <w:p w14:paraId="5D680C40" w14:textId="767F1FB5" w:rsidR="00336C29" w:rsidRPr="00E73BB1" w:rsidRDefault="00336C29" w:rsidP="00634AF0">
            <w:pPr>
              <w:pStyle w:val="EndNoteBibliographyTitle"/>
              <w:tabs>
                <w:tab w:val="decimal" w:pos="240"/>
              </w:tabs>
              <w:jc w:val="left"/>
            </w:pPr>
          </w:p>
        </w:tc>
        <w:tc>
          <w:tcPr>
            <w:tcW w:w="1701" w:type="dxa"/>
          </w:tcPr>
          <w:p w14:paraId="3F2B67CF" w14:textId="730734BD" w:rsidR="00336C29" w:rsidRPr="00E73BB1" w:rsidRDefault="00336C29" w:rsidP="00634AF0">
            <w:pPr>
              <w:pStyle w:val="EndNoteBibliographyTitle"/>
              <w:tabs>
                <w:tab w:val="decimal" w:pos="240"/>
              </w:tabs>
              <w:jc w:val="left"/>
            </w:pPr>
          </w:p>
        </w:tc>
      </w:tr>
      <w:tr w:rsidR="00634AF0" w:rsidRPr="00E73BB1" w14:paraId="2C82E5EE" w14:textId="77777777" w:rsidTr="009E48F6">
        <w:tc>
          <w:tcPr>
            <w:tcW w:w="1692" w:type="dxa"/>
          </w:tcPr>
          <w:p w14:paraId="73D60AEB" w14:textId="23CF53AD" w:rsidR="00634AF0" w:rsidRPr="00E73BB1" w:rsidRDefault="00373417" w:rsidP="009161D3">
            <w:pPr>
              <w:pStyle w:val="EndNoteBibliographyTitle"/>
              <w:ind w:left="177"/>
              <w:jc w:val="left"/>
            </w:pPr>
            <w:r w:rsidRPr="00E73BB1">
              <w:t xml:space="preserve">  </w:t>
            </w:r>
            <w:r w:rsidR="00634AF0" w:rsidRPr="00E73BB1">
              <w:t>Gender</w:t>
            </w:r>
          </w:p>
        </w:tc>
        <w:tc>
          <w:tcPr>
            <w:tcW w:w="855" w:type="dxa"/>
          </w:tcPr>
          <w:p w14:paraId="756DCA0F" w14:textId="2AEE5943" w:rsidR="00634AF0" w:rsidRPr="00E73BB1" w:rsidRDefault="00634AF0" w:rsidP="00634AF0">
            <w:pPr>
              <w:pStyle w:val="EndNoteBibliographyTitle"/>
              <w:tabs>
                <w:tab w:val="decimal" w:pos="240"/>
              </w:tabs>
              <w:jc w:val="left"/>
            </w:pPr>
            <w:r w:rsidRPr="00E73BB1">
              <w:t>.048</w:t>
            </w:r>
          </w:p>
        </w:tc>
        <w:tc>
          <w:tcPr>
            <w:tcW w:w="1417" w:type="dxa"/>
          </w:tcPr>
          <w:p w14:paraId="0FEDA8D9" w14:textId="14E32A7F" w:rsidR="00634AF0" w:rsidRPr="00E73BB1" w:rsidRDefault="00634AF0" w:rsidP="00634AF0">
            <w:pPr>
              <w:pStyle w:val="EndNoteBibliographyTitle"/>
              <w:tabs>
                <w:tab w:val="decimal" w:pos="240"/>
              </w:tabs>
              <w:jc w:val="left"/>
            </w:pPr>
            <w:r w:rsidRPr="00E73BB1">
              <w:t>12.88***</w:t>
            </w:r>
          </w:p>
        </w:tc>
        <w:tc>
          <w:tcPr>
            <w:tcW w:w="1840" w:type="dxa"/>
          </w:tcPr>
          <w:p w14:paraId="2B734900" w14:textId="69E204BA" w:rsidR="00634AF0" w:rsidRPr="00E73BB1" w:rsidRDefault="00634AF0" w:rsidP="00634AF0">
            <w:pPr>
              <w:pStyle w:val="EndNoteBibliographyTitle"/>
              <w:tabs>
                <w:tab w:val="decimal" w:pos="240"/>
              </w:tabs>
              <w:jc w:val="left"/>
            </w:pPr>
            <w:r w:rsidRPr="00E73BB1">
              <w:t>.01 (.21)</w:t>
            </w:r>
          </w:p>
        </w:tc>
        <w:tc>
          <w:tcPr>
            <w:tcW w:w="854" w:type="dxa"/>
          </w:tcPr>
          <w:p w14:paraId="00C45960" w14:textId="1EDC556C" w:rsidR="00634AF0" w:rsidRPr="00E73BB1" w:rsidRDefault="00634AF0" w:rsidP="00634AF0">
            <w:pPr>
              <w:pStyle w:val="EndNoteBibliographyTitle"/>
              <w:tabs>
                <w:tab w:val="decimal" w:pos="240"/>
              </w:tabs>
              <w:jc w:val="left"/>
            </w:pPr>
            <w:r w:rsidRPr="00E73BB1">
              <w:t>.128</w:t>
            </w:r>
          </w:p>
        </w:tc>
        <w:tc>
          <w:tcPr>
            <w:tcW w:w="1417" w:type="dxa"/>
          </w:tcPr>
          <w:p w14:paraId="07A55939" w14:textId="05C5E1C3" w:rsidR="00634AF0" w:rsidRPr="00E73BB1" w:rsidRDefault="00634AF0" w:rsidP="00634AF0">
            <w:pPr>
              <w:pStyle w:val="EndNoteBibliographyTitle"/>
              <w:tabs>
                <w:tab w:val="decimal" w:pos="240"/>
              </w:tabs>
              <w:jc w:val="left"/>
            </w:pPr>
            <w:r w:rsidRPr="00E73BB1">
              <w:t>37.90***</w:t>
            </w:r>
          </w:p>
        </w:tc>
        <w:tc>
          <w:tcPr>
            <w:tcW w:w="1985" w:type="dxa"/>
          </w:tcPr>
          <w:p w14:paraId="6D5C8CAA" w14:textId="13729AEF" w:rsidR="00634AF0" w:rsidRPr="00E73BB1" w:rsidRDefault="00634AF0" w:rsidP="00634AF0">
            <w:pPr>
              <w:pStyle w:val="EndNoteBibliographyTitle"/>
              <w:tabs>
                <w:tab w:val="decimal" w:pos="240"/>
              </w:tabs>
              <w:jc w:val="left"/>
            </w:pPr>
            <w:r w:rsidRPr="00E73BB1">
              <w:t>.14 (2.88)**</w:t>
            </w:r>
          </w:p>
        </w:tc>
        <w:tc>
          <w:tcPr>
            <w:tcW w:w="850" w:type="dxa"/>
          </w:tcPr>
          <w:p w14:paraId="128D3A81" w14:textId="2EAE72EE" w:rsidR="00634AF0" w:rsidRPr="00E73BB1" w:rsidRDefault="00634AF0" w:rsidP="00634AF0">
            <w:pPr>
              <w:pStyle w:val="EndNoteBibliographyTitle"/>
              <w:tabs>
                <w:tab w:val="decimal" w:pos="240"/>
              </w:tabs>
              <w:jc w:val="left"/>
            </w:pPr>
            <w:r w:rsidRPr="00E73BB1">
              <w:t>.026</w:t>
            </w:r>
          </w:p>
        </w:tc>
        <w:tc>
          <w:tcPr>
            <w:tcW w:w="1418" w:type="dxa"/>
          </w:tcPr>
          <w:p w14:paraId="4F0A0F8C" w14:textId="757BDF76" w:rsidR="00634AF0" w:rsidRPr="00E73BB1" w:rsidRDefault="00634AF0" w:rsidP="00634AF0">
            <w:pPr>
              <w:pStyle w:val="EndNoteBibliographyTitle"/>
              <w:tabs>
                <w:tab w:val="decimal" w:pos="240"/>
              </w:tabs>
              <w:jc w:val="left"/>
            </w:pPr>
            <w:r w:rsidRPr="00E73BB1">
              <w:t>7.01***</w:t>
            </w:r>
          </w:p>
        </w:tc>
        <w:tc>
          <w:tcPr>
            <w:tcW w:w="1701" w:type="dxa"/>
          </w:tcPr>
          <w:p w14:paraId="50035FE6" w14:textId="5F726F8E" w:rsidR="00634AF0" w:rsidRPr="00E73BB1" w:rsidRDefault="00634AF0" w:rsidP="00634AF0">
            <w:pPr>
              <w:pStyle w:val="EndNoteBibliographyTitle"/>
              <w:tabs>
                <w:tab w:val="decimal" w:pos="240"/>
              </w:tabs>
              <w:jc w:val="left"/>
            </w:pPr>
            <w:r w:rsidRPr="00E73BB1">
              <w:t>.04 (</w:t>
            </w:r>
            <w:r w:rsidR="001659F2" w:rsidRPr="00E73BB1">
              <w:t>0</w:t>
            </w:r>
            <w:r w:rsidRPr="00E73BB1">
              <w:t>.84)</w:t>
            </w:r>
          </w:p>
        </w:tc>
      </w:tr>
      <w:tr w:rsidR="00693B54" w:rsidRPr="00E73BB1" w14:paraId="787FE438" w14:textId="7F3A5310" w:rsidTr="009E48F6">
        <w:tc>
          <w:tcPr>
            <w:tcW w:w="1692" w:type="dxa"/>
          </w:tcPr>
          <w:p w14:paraId="2BBF4F2D" w14:textId="62E2B475" w:rsidR="00336C29" w:rsidRPr="00E73BB1" w:rsidRDefault="00336C29" w:rsidP="009161D3">
            <w:pPr>
              <w:pStyle w:val="EndNoteBibliographyTitle"/>
              <w:ind w:left="177"/>
              <w:jc w:val="left"/>
            </w:pPr>
            <w:r w:rsidRPr="00E73BB1">
              <w:t xml:space="preserve">Step 2: </w:t>
            </w:r>
          </w:p>
        </w:tc>
        <w:tc>
          <w:tcPr>
            <w:tcW w:w="855" w:type="dxa"/>
          </w:tcPr>
          <w:p w14:paraId="654D46FD" w14:textId="2EA2D918" w:rsidR="00336C29" w:rsidRPr="00E73BB1" w:rsidRDefault="00336C29" w:rsidP="00634AF0">
            <w:pPr>
              <w:pStyle w:val="EndNoteBibliographyTitle"/>
              <w:tabs>
                <w:tab w:val="decimal" w:pos="240"/>
              </w:tabs>
              <w:jc w:val="left"/>
            </w:pPr>
          </w:p>
        </w:tc>
        <w:tc>
          <w:tcPr>
            <w:tcW w:w="1417" w:type="dxa"/>
          </w:tcPr>
          <w:p w14:paraId="60A9495A" w14:textId="1D17A1B2" w:rsidR="00336C29" w:rsidRPr="00E73BB1" w:rsidRDefault="00336C29" w:rsidP="00634AF0">
            <w:pPr>
              <w:pStyle w:val="EndNoteBibliographyTitle"/>
              <w:tabs>
                <w:tab w:val="decimal" w:pos="240"/>
              </w:tabs>
              <w:jc w:val="left"/>
            </w:pPr>
          </w:p>
        </w:tc>
        <w:tc>
          <w:tcPr>
            <w:tcW w:w="1840" w:type="dxa"/>
          </w:tcPr>
          <w:p w14:paraId="596FDBAF" w14:textId="257538FA" w:rsidR="00336C29" w:rsidRPr="00E73BB1" w:rsidRDefault="00336C29" w:rsidP="00634AF0">
            <w:pPr>
              <w:pStyle w:val="EndNoteBibliographyTitle"/>
              <w:tabs>
                <w:tab w:val="decimal" w:pos="240"/>
              </w:tabs>
              <w:jc w:val="left"/>
            </w:pPr>
          </w:p>
        </w:tc>
        <w:tc>
          <w:tcPr>
            <w:tcW w:w="854" w:type="dxa"/>
          </w:tcPr>
          <w:p w14:paraId="334BA82F" w14:textId="3966526F" w:rsidR="00336C29" w:rsidRPr="00E73BB1" w:rsidRDefault="00336C29" w:rsidP="00634AF0">
            <w:pPr>
              <w:pStyle w:val="EndNoteBibliographyTitle"/>
              <w:tabs>
                <w:tab w:val="decimal" w:pos="240"/>
              </w:tabs>
              <w:jc w:val="left"/>
            </w:pPr>
          </w:p>
        </w:tc>
        <w:tc>
          <w:tcPr>
            <w:tcW w:w="1417" w:type="dxa"/>
          </w:tcPr>
          <w:p w14:paraId="22084860" w14:textId="5A5992EC" w:rsidR="00336C29" w:rsidRPr="00E73BB1" w:rsidRDefault="00336C29" w:rsidP="00634AF0">
            <w:pPr>
              <w:pStyle w:val="EndNoteBibliographyTitle"/>
              <w:tabs>
                <w:tab w:val="decimal" w:pos="240"/>
              </w:tabs>
              <w:jc w:val="left"/>
            </w:pPr>
          </w:p>
        </w:tc>
        <w:tc>
          <w:tcPr>
            <w:tcW w:w="1985" w:type="dxa"/>
          </w:tcPr>
          <w:p w14:paraId="492241FB" w14:textId="2B6199E4" w:rsidR="00336C29" w:rsidRPr="00E73BB1" w:rsidRDefault="00336C29" w:rsidP="00634AF0">
            <w:pPr>
              <w:pStyle w:val="EndNoteBibliographyTitle"/>
              <w:tabs>
                <w:tab w:val="decimal" w:pos="240"/>
              </w:tabs>
              <w:jc w:val="left"/>
            </w:pPr>
          </w:p>
        </w:tc>
        <w:tc>
          <w:tcPr>
            <w:tcW w:w="850" w:type="dxa"/>
          </w:tcPr>
          <w:p w14:paraId="6F7DE120" w14:textId="6970E72D" w:rsidR="00336C29" w:rsidRPr="00E73BB1" w:rsidRDefault="00336C29" w:rsidP="00634AF0">
            <w:pPr>
              <w:pStyle w:val="EndNoteBibliographyTitle"/>
              <w:tabs>
                <w:tab w:val="decimal" w:pos="240"/>
              </w:tabs>
              <w:jc w:val="left"/>
            </w:pPr>
          </w:p>
        </w:tc>
        <w:tc>
          <w:tcPr>
            <w:tcW w:w="1418" w:type="dxa"/>
          </w:tcPr>
          <w:p w14:paraId="66EEAA75" w14:textId="1759C1EA" w:rsidR="00336C29" w:rsidRPr="00E73BB1" w:rsidRDefault="00336C29" w:rsidP="00634AF0">
            <w:pPr>
              <w:pStyle w:val="EndNoteBibliographyTitle"/>
              <w:tabs>
                <w:tab w:val="decimal" w:pos="240"/>
              </w:tabs>
              <w:jc w:val="left"/>
            </w:pPr>
          </w:p>
        </w:tc>
        <w:tc>
          <w:tcPr>
            <w:tcW w:w="1701" w:type="dxa"/>
          </w:tcPr>
          <w:p w14:paraId="7B9193AE" w14:textId="6DE8CEFD" w:rsidR="00336C29" w:rsidRPr="00E73BB1" w:rsidRDefault="00336C29" w:rsidP="00634AF0">
            <w:pPr>
              <w:pStyle w:val="EndNoteBibliographyTitle"/>
              <w:tabs>
                <w:tab w:val="decimal" w:pos="240"/>
              </w:tabs>
              <w:jc w:val="left"/>
            </w:pPr>
          </w:p>
        </w:tc>
      </w:tr>
      <w:tr w:rsidR="00634AF0" w:rsidRPr="00E73BB1" w14:paraId="2768726F" w14:textId="77777777" w:rsidTr="009E48F6">
        <w:tc>
          <w:tcPr>
            <w:tcW w:w="1692" w:type="dxa"/>
          </w:tcPr>
          <w:p w14:paraId="2B282BE0" w14:textId="5251C5E5" w:rsidR="00634AF0" w:rsidRPr="00E73BB1" w:rsidRDefault="00373417" w:rsidP="009161D3">
            <w:pPr>
              <w:pStyle w:val="EndNoteBibliographyTitle"/>
              <w:ind w:left="177"/>
              <w:jc w:val="left"/>
            </w:pPr>
            <w:r w:rsidRPr="00E73BB1">
              <w:t xml:space="preserve">  </w:t>
            </w:r>
            <w:r w:rsidR="00634AF0" w:rsidRPr="00E73BB1">
              <w:t>BES</w:t>
            </w:r>
          </w:p>
        </w:tc>
        <w:tc>
          <w:tcPr>
            <w:tcW w:w="855" w:type="dxa"/>
          </w:tcPr>
          <w:p w14:paraId="3F2805F2" w14:textId="19A37648" w:rsidR="00634AF0" w:rsidRPr="00E73BB1" w:rsidRDefault="00634AF0" w:rsidP="00634AF0">
            <w:pPr>
              <w:pStyle w:val="EndNoteBibliographyTitle"/>
              <w:tabs>
                <w:tab w:val="decimal" w:pos="240"/>
              </w:tabs>
              <w:jc w:val="left"/>
            </w:pPr>
            <w:r w:rsidRPr="00E73BB1">
              <w:t>.409</w:t>
            </w:r>
          </w:p>
        </w:tc>
        <w:tc>
          <w:tcPr>
            <w:tcW w:w="1417" w:type="dxa"/>
          </w:tcPr>
          <w:p w14:paraId="7D78D905" w14:textId="2EFD673F" w:rsidR="00634AF0" w:rsidRPr="00E73BB1" w:rsidRDefault="00634AF0" w:rsidP="00634AF0">
            <w:pPr>
              <w:pStyle w:val="EndNoteBibliographyTitle"/>
              <w:tabs>
                <w:tab w:val="decimal" w:pos="240"/>
              </w:tabs>
              <w:jc w:val="left"/>
            </w:pPr>
            <w:r w:rsidRPr="00E73BB1">
              <w:t>95.83***</w:t>
            </w:r>
          </w:p>
        </w:tc>
        <w:tc>
          <w:tcPr>
            <w:tcW w:w="1840" w:type="dxa"/>
          </w:tcPr>
          <w:p w14:paraId="202A994B" w14:textId="4A6EB37A" w:rsidR="00634AF0" w:rsidRPr="00E73BB1" w:rsidRDefault="00634AF0" w:rsidP="00634AF0">
            <w:pPr>
              <w:pStyle w:val="EndNoteBibliographyTitle"/>
              <w:tabs>
                <w:tab w:val="decimal" w:pos="240"/>
              </w:tabs>
              <w:jc w:val="left"/>
            </w:pPr>
            <w:r w:rsidRPr="00E73BB1">
              <w:t>.22 (.274)**</w:t>
            </w:r>
          </w:p>
        </w:tc>
        <w:tc>
          <w:tcPr>
            <w:tcW w:w="854" w:type="dxa"/>
          </w:tcPr>
          <w:p w14:paraId="1D478B1E" w14:textId="13E83620" w:rsidR="00634AF0" w:rsidRPr="00E73BB1" w:rsidRDefault="00634AF0" w:rsidP="00634AF0">
            <w:pPr>
              <w:pStyle w:val="EndNoteBibliographyTitle"/>
              <w:tabs>
                <w:tab w:val="decimal" w:pos="240"/>
              </w:tabs>
              <w:jc w:val="left"/>
            </w:pPr>
            <w:r w:rsidRPr="00E73BB1">
              <w:t>.230</w:t>
            </w:r>
          </w:p>
        </w:tc>
        <w:tc>
          <w:tcPr>
            <w:tcW w:w="1417" w:type="dxa"/>
          </w:tcPr>
          <w:p w14:paraId="5CB0D291" w14:textId="4E712531" w:rsidR="00634AF0" w:rsidRPr="00E73BB1" w:rsidRDefault="00634AF0" w:rsidP="00634AF0">
            <w:pPr>
              <w:pStyle w:val="EndNoteBibliographyTitle"/>
              <w:tabs>
                <w:tab w:val="decimal" w:pos="240"/>
              </w:tabs>
              <w:jc w:val="left"/>
            </w:pPr>
            <w:r w:rsidRPr="00E73BB1">
              <w:t>45.84***</w:t>
            </w:r>
          </w:p>
        </w:tc>
        <w:tc>
          <w:tcPr>
            <w:tcW w:w="1985" w:type="dxa"/>
          </w:tcPr>
          <w:p w14:paraId="068AE842" w14:textId="65ACB226" w:rsidR="00634AF0" w:rsidRPr="00E73BB1" w:rsidRDefault="00634AF0" w:rsidP="00634AF0">
            <w:pPr>
              <w:pStyle w:val="EndNoteBibliographyTitle"/>
              <w:tabs>
                <w:tab w:val="decimal" w:pos="240"/>
              </w:tabs>
              <w:jc w:val="left"/>
            </w:pPr>
            <w:r w:rsidRPr="00E73BB1">
              <w:t>-.03 (-.37)</w:t>
            </w:r>
          </w:p>
        </w:tc>
        <w:tc>
          <w:tcPr>
            <w:tcW w:w="850" w:type="dxa"/>
          </w:tcPr>
          <w:p w14:paraId="19FCEED1" w14:textId="2D3B447B" w:rsidR="00634AF0" w:rsidRPr="00E73BB1" w:rsidRDefault="00634AF0" w:rsidP="00634AF0">
            <w:pPr>
              <w:pStyle w:val="EndNoteBibliographyTitle"/>
              <w:tabs>
                <w:tab w:val="decimal" w:pos="240"/>
              </w:tabs>
              <w:jc w:val="left"/>
            </w:pPr>
            <w:r w:rsidRPr="00E73BB1">
              <w:t>.308</w:t>
            </w:r>
          </w:p>
        </w:tc>
        <w:tc>
          <w:tcPr>
            <w:tcW w:w="1418" w:type="dxa"/>
          </w:tcPr>
          <w:p w14:paraId="17627C4E" w14:textId="55BEF301" w:rsidR="00634AF0" w:rsidRPr="00E73BB1" w:rsidRDefault="00634AF0" w:rsidP="00634AF0">
            <w:pPr>
              <w:pStyle w:val="EndNoteBibliographyTitle"/>
              <w:tabs>
                <w:tab w:val="decimal" w:pos="240"/>
              </w:tabs>
              <w:jc w:val="left"/>
            </w:pPr>
            <w:r w:rsidRPr="00E73BB1">
              <w:t>59.68***</w:t>
            </w:r>
          </w:p>
        </w:tc>
        <w:tc>
          <w:tcPr>
            <w:tcW w:w="1701" w:type="dxa"/>
          </w:tcPr>
          <w:p w14:paraId="38476E8A" w14:textId="197D62C7" w:rsidR="00634AF0" w:rsidRPr="00E73BB1" w:rsidRDefault="00634AF0" w:rsidP="00634AF0">
            <w:pPr>
              <w:pStyle w:val="EndNoteBibliographyTitle"/>
              <w:tabs>
                <w:tab w:val="decimal" w:pos="240"/>
              </w:tabs>
              <w:jc w:val="left"/>
            </w:pPr>
            <w:r w:rsidRPr="00E73BB1">
              <w:t>.30 (3.50)**</w:t>
            </w:r>
          </w:p>
        </w:tc>
      </w:tr>
      <w:tr w:rsidR="00693B54" w:rsidRPr="00E73BB1" w14:paraId="363BE7EB" w14:textId="1ADB789E" w:rsidTr="009E48F6">
        <w:tc>
          <w:tcPr>
            <w:tcW w:w="1692" w:type="dxa"/>
          </w:tcPr>
          <w:p w14:paraId="5D632DAE" w14:textId="7AFA4540" w:rsidR="00336C29" w:rsidRPr="00E73BB1" w:rsidRDefault="00373417" w:rsidP="009161D3">
            <w:pPr>
              <w:pStyle w:val="EndNoteBibliographyTitle"/>
              <w:ind w:left="177"/>
              <w:jc w:val="left"/>
            </w:pPr>
            <w:r w:rsidRPr="00E73BB1">
              <w:t xml:space="preserve">  </w:t>
            </w:r>
            <w:r w:rsidR="00336C29" w:rsidRPr="00E73BB1">
              <w:t>BASS</w:t>
            </w:r>
          </w:p>
        </w:tc>
        <w:tc>
          <w:tcPr>
            <w:tcW w:w="855" w:type="dxa"/>
          </w:tcPr>
          <w:p w14:paraId="40DC576F" w14:textId="77777777" w:rsidR="00336C29" w:rsidRPr="00E73BB1" w:rsidRDefault="00336C29" w:rsidP="00634AF0">
            <w:pPr>
              <w:pStyle w:val="EndNoteBibliographyTitle"/>
              <w:tabs>
                <w:tab w:val="decimal" w:pos="240"/>
              </w:tabs>
              <w:jc w:val="left"/>
            </w:pPr>
          </w:p>
        </w:tc>
        <w:tc>
          <w:tcPr>
            <w:tcW w:w="1417" w:type="dxa"/>
          </w:tcPr>
          <w:p w14:paraId="60131464" w14:textId="77777777" w:rsidR="00336C29" w:rsidRPr="00E73BB1" w:rsidRDefault="00336C29" w:rsidP="00634AF0">
            <w:pPr>
              <w:pStyle w:val="EndNoteBibliographyTitle"/>
              <w:tabs>
                <w:tab w:val="decimal" w:pos="240"/>
              </w:tabs>
              <w:jc w:val="left"/>
            </w:pPr>
          </w:p>
        </w:tc>
        <w:tc>
          <w:tcPr>
            <w:tcW w:w="1840" w:type="dxa"/>
          </w:tcPr>
          <w:p w14:paraId="57021CB7" w14:textId="2CFABA1F" w:rsidR="00336C29" w:rsidRPr="00E73BB1" w:rsidRDefault="00336C29" w:rsidP="00634AF0">
            <w:pPr>
              <w:pStyle w:val="EndNoteBibliographyTitle"/>
              <w:tabs>
                <w:tab w:val="decimal" w:pos="240"/>
              </w:tabs>
              <w:jc w:val="left"/>
            </w:pPr>
            <w:r w:rsidRPr="00E73BB1">
              <w:t>.36 (5.40)***</w:t>
            </w:r>
          </w:p>
        </w:tc>
        <w:tc>
          <w:tcPr>
            <w:tcW w:w="854" w:type="dxa"/>
          </w:tcPr>
          <w:p w14:paraId="071470E6" w14:textId="40453E88" w:rsidR="00336C29" w:rsidRPr="00E73BB1" w:rsidRDefault="00336C29" w:rsidP="00634AF0">
            <w:pPr>
              <w:pStyle w:val="EndNoteBibliographyTitle"/>
              <w:tabs>
                <w:tab w:val="decimal" w:pos="240"/>
              </w:tabs>
              <w:jc w:val="left"/>
            </w:pPr>
          </w:p>
        </w:tc>
        <w:tc>
          <w:tcPr>
            <w:tcW w:w="1417" w:type="dxa"/>
          </w:tcPr>
          <w:p w14:paraId="09255A1E" w14:textId="77777777" w:rsidR="00336C29" w:rsidRPr="00E73BB1" w:rsidRDefault="00336C29" w:rsidP="00634AF0">
            <w:pPr>
              <w:pStyle w:val="EndNoteBibliographyTitle"/>
              <w:tabs>
                <w:tab w:val="decimal" w:pos="240"/>
              </w:tabs>
              <w:jc w:val="left"/>
            </w:pPr>
          </w:p>
        </w:tc>
        <w:tc>
          <w:tcPr>
            <w:tcW w:w="1985" w:type="dxa"/>
          </w:tcPr>
          <w:p w14:paraId="30F184B4" w14:textId="3B7CB149" w:rsidR="00336C29" w:rsidRPr="00E73BB1" w:rsidRDefault="00336C29" w:rsidP="00634AF0">
            <w:pPr>
              <w:pStyle w:val="EndNoteBibliographyTitle"/>
              <w:tabs>
                <w:tab w:val="decimal" w:pos="240"/>
              </w:tabs>
              <w:jc w:val="left"/>
            </w:pPr>
            <w:r w:rsidRPr="00E73BB1">
              <w:t>-.09 (-1.41)</w:t>
            </w:r>
          </w:p>
        </w:tc>
        <w:tc>
          <w:tcPr>
            <w:tcW w:w="850" w:type="dxa"/>
          </w:tcPr>
          <w:p w14:paraId="6BD7C8D9" w14:textId="7BCF3D39" w:rsidR="00336C29" w:rsidRPr="00E73BB1" w:rsidRDefault="00336C29" w:rsidP="00634AF0">
            <w:pPr>
              <w:pStyle w:val="EndNoteBibliographyTitle"/>
              <w:tabs>
                <w:tab w:val="decimal" w:pos="240"/>
              </w:tabs>
              <w:jc w:val="left"/>
            </w:pPr>
          </w:p>
        </w:tc>
        <w:tc>
          <w:tcPr>
            <w:tcW w:w="1418" w:type="dxa"/>
          </w:tcPr>
          <w:p w14:paraId="58439433" w14:textId="4B3282FC" w:rsidR="00336C29" w:rsidRPr="00E73BB1" w:rsidRDefault="00336C29" w:rsidP="00634AF0">
            <w:pPr>
              <w:pStyle w:val="EndNoteBibliographyTitle"/>
              <w:tabs>
                <w:tab w:val="decimal" w:pos="240"/>
              </w:tabs>
              <w:jc w:val="left"/>
            </w:pPr>
          </w:p>
        </w:tc>
        <w:tc>
          <w:tcPr>
            <w:tcW w:w="1701" w:type="dxa"/>
          </w:tcPr>
          <w:p w14:paraId="70AF095B" w14:textId="30408E64" w:rsidR="00336C29" w:rsidRPr="00E73BB1" w:rsidRDefault="00336C29" w:rsidP="00634AF0">
            <w:pPr>
              <w:pStyle w:val="EndNoteBibliographyTitle"/>
              <w:tabs>
                <w:tab w:val="decimal" w:pos="240"/>
              </w:tabs>
              <w:jc w:val="left"/>
            </w:pPr>
            <w:r w:rsidRPr="00E73BB1">
              <w:t>.18 (2.41)*</w:t>
            </w:r>
          </w:p>
        </w:tc>
      </w:tr>
      <w:tr w:rsidR="00693B54" w:rsidRPr="00E73BB1" w14:paraId="7FF8CBD5" w14:textId="0606DE99" w:rsidTr="009E48F6">
        <w:tc>
          <w:tcPr>
            <w:tcW w:w="1692" w:type="dxa"/>
          </w:tcPr>
          <w:p w14:paraId="45CF9359" w14:textId="75BB8124" w:rsidR="00336C29" w:rsidRPr="00E73BB1" w:rsidRDefault="00336C29" w:rsidP="009161D3">
            <w:pPr>
              <w:pStyle w:val="EndNoteBibliographyTitle"/>
              <w:ind w:left="177"/>
              <w:jc w:val="left"/>
            </w:pPr>
            <w:r w:rsidRPr="00E73BB1">
              <w:t xml:space="preserve">Step 3: </w:t>
            </w:r>
          </w:p>
        </w:tc>
        <w:tc>
          <w:tcPr>
            <w:tcW w:w="855" w:type="dxa"/>
          </w:tcPr>
          <w:p w14:paraId="4754A5A2" w14:textId="430F6DD8" w:rsidR="00336C29" w:rsidRPr="00E73BB1" w:rsidRDefault="00336C29" w:rsidP="00634AF0">
            <w:pPr>
              <w:pStyle w:val="EndNoteBibliographyTitle"/>
              <w:tabs>
                <w:tab w:val="decimal" w:pos="240"/>
              </w:tabs>
              <w:jc w:val="left"/>
            </w:pPr>
          </w:p>
        </w:tc>
        <w:tc>
          <w:tcPr>
            <w:tcW w:w="1417" w:type="dxa"/>
          </w:tcPr>
          <w:p w14:paraId="15630BB3" w14:textId="75F7EB6B" w:rsidR="00336C29" w:rsidRPr="00E73BB1" w:rsidRDefault="00336C29" w:rsidP="00634AF0">
            <w:pPr>
              <w:pStyle w:val="EndNoteBibliographyTitle"/>
              <w:tabs>
                <w:tab w:val="decimal" w:pos="240"/>
              </w:tabs>
              <w:jc w:val="left"/>
            </w:pPr>
          </w:p>
        </w:tc>
        <w:tc>
          <w:tcPr>
            <w:tcW w:w="1840" w:type="dxa"/>
          </w:tcPr>
          <w:p w14:paraId="13C48F52" w14:textId="4093823B" w:rsidR="00336C29" w:rsidRPr="00E73BB1" w:rsidRDefault="00336C29" w:rsidP="00634AF0">
            <w:pPr>
              <w:pStyle w:val="EndNoteBibliographyTitle"/>
              <w:tabs>
                <w:tab w:val="decimal" w:pos="240"/>
              </w:tabs>
              <w:jc w:val="left"/>
            </w:pPr>
          </w:p>
        </w:tc>
        <w:tc>
          <w:tcPr>
            <w:tcW w:w="854" w:type="dxa"/>
          </w:tcPr>
          <w:p w14:paraId="76BB0697" w14:textId="5450F352" w:rsidR="00336C29" w:rsidRPr="00E73BB1" w:rsidRDefault="00336C29" w:rsidP="00634AF0">
            <w:pPr>
              <w:pStyle w:val="EndNoteBibliographyTitle"/>
              <w:tabs>
                <w:tab w:val="decimal" w:pos="240"/>
              </w:tabs>
              <w:jc w:val="left"/>
            </w:pPr>
          </w:p>
        </w:tc>
        <w:tc>
          <w:tcPr>
            <w:tcW w:w="1417" w:type="dxa"/>
          </w:tcPr>
          <w:p w14:paraId="66975C84" w14:textId="1BBD9D87" w:rsidR="00336C29" w:rsidRPr="00E73BB1" w:rsidRDefault="00336C29" w:rsidP="00634AF0">
            <w:pPr>
              <w:pStyle w:val="EndNoteBibliographyTitle"/>
              <w:tabs>
                <w:tab w:val="decimal" w:pos="240"/>
              </w:tabs>
              <w:jc w:val="left"/>
            </w:pPr>
          </w:p>
        </w:tc>
        <w:tc>
          <w:tcPr>
            <w:tcW w:w="1985" w:type="dxa"/>
          </w:tcPr>
          <w:p w14:paraId="18926404" w14:textId="7D435916" w:rsidR="00336C29" w:rsidRPr="00E73BB1" w:rsidRDefault="00336C29" w:rsidP="00634AF0">
            <w:pPr>
              <w:pStyle w:val="EndNoteBibliographyTitle"/>
              <w:tabs>
                <w:tab w:val="decimal" w:pos="240"/>
              </w:tabs>
              <w:jc w:val="left"/>
            </w:pPr>
          </w:p>
        </w:tc>
        <w:tc>
          <w:tcPr>
            <w:tcW w:w="850" w:type="dxa"/>
          </w:tcPr>
          <w:p w14:paraId="6CD181D0" w14:textId="5F168042" w:rsidR="00336C29" w:rsidRPr="00E73BB1" w:rsidRDefault="00336C29" w:rsidP="00634AF0">
            <w:pPr>
              <w:pStyle w:val="EndNoteBibliographyTitle"/>
              <w:tabs>
                <w:tab w:val="decimal" w:pos="240"/>
              </w:tabs>
              <w:jc w:val="left"/>
            </w:pPr>
          </w:p>
        </w:tc>
        <w:tc>
          <w:tcPr>
            <w:tcW w:w="1418" w:type="dxa"/>
          </w:tcPr>
          <w:p w14:paraId="1D3737EC" w14:textId="5F6FCCF3" w:rsidR="00336C29" w:rsidRPr="00E73BB1" w:rsidRDefault="00336C29" w:rsidP="00634AF0">
            <w:pPr>
              <w:pStyle w:val="EndNoteBibliographyTitle"/>
              <w:tabs>
                <w:tab w:val="decimal" w:pos="240"/>
              </w:tabs>
              <w:jc w:val="left"/>
            </w:pPr>
          </w:p>
        </w:tc>
        <w:tc>
          <w:tcPr>
            <w:tcW w:w="1701" w:type="dxa"/>
          </w:tcPr>
          <w:p w14:paraId="509654D8" w14:textId="04522C07" w:rsidR="00336C29" w:rsidRPr="00E73BB1" w:rsidRDefault="00336C29" w:rsidP="00634AF0">
            <w:pPr>
              <w:pStyle w:val="EndNoteBibliographyTitle"/>
              <w:tabs>
                <w:tab w:val="decimal" w:pos="240"/>
              </w:tabs>
              <w:jc w:val="left"/>
            </w:pPr>
          </w:p>
        </w:tc>
      </w:tr>
      <w:tr w:rsidR="00634AF0" w:rsidRPr="00E73BB1" w14:paraId="39C692F4" w14:textId="77777777" w:rsidTr="009E48F6">
        <w:tc>
          <w:tcPr>
            <w:tcW w:w="1692" w:type="dxa"/>
          </w:tcPr>
          <w:p w14:paraId="30E52B9D" w14:textId="1B311BB0" w:rsidR="00634AF0" w:rsidRPr="00E73BB1" w:rsidRDefault="00373417" w:rsidP="009161D3">
            <w:pPr>
              <w:pStyle w:val="EndNoteBibliographyTitle"/>
              <w:ind w:left="177"/>
              <w:jc w:val="left"/>
            </w:pPr>
            <w:r w:rsidRPr="00E73BB1">
              <w:t xml:space="preserve">  </w:t>
            </w:r>
            <w:r w:rsidR="00634AF0" w:rsidRPr="00E73BB1">
              <w:t>CIA</w:t>
            </w:r>
          </w:p>
        </w:tc>
        <w:tc>
          <w:tcPr>
            <w:tcW w:w="855" w:type="dxa"/>
          </w:tcPr>
          <w:p w14:paraId="62C6EDE4" w14:textId="096C8DDF" w:rsidR="00634AF0" w:rsidRPr="00E73BB1" w:rsidRDefault="00634AF0" w:rsidP="00634AF0">
            <w:pPr>
              <w:pStyle w:val="EndNoteBibliographyTitle"/>
              <w:tabs>
                <w:tab w:val="decimal" w:pos="240"/>
              </w:tabs>
              <w:jc w:val="left"/>
            </w:pPr>
            <w:r w:rsidRPr="00E73BB1">
              <w:t>.007</w:t>
            </w:r>
          </w:p>
        </w:tc>
        <w:tc>
          <w:tcPr>
            <w:tcW w:w="1417" w:type="dxa"/>
          </w:tcPr>
          <w:p w14:paraId="04A12517" w14:textId="248B49B4" w:rsidR="00634AF0" w:rsidRPr="00E73BB1" w:rsidRDefault="00634AF0" w:rsidP="00634AF0">
            <w:pPr>
              <w:pStyle w:val="EndNoteBibliographyTitle"/>
              <w:tabs>
                <w:tab w:val="decimal" w:pos="240"/>
              </w:tabs>
              <w:jc w:val="left"/>
            </w:pPr>
            <w:r w:rsidRPr="00E73BB1">
              <w:t>3.40</w:t>
            </w:r>
          </w:p>
        </w:tc>
        <w:tc>
          <w:tcPr>
            <w:tcW w:w="1840" w:type="dxa"/>
          </w:tcPr>
          <w:p w14:paraId="35188DFE" w14:textId="0E973FE2" w:rsidR="00634AF0" w:rsidRPr="00E73BB1" w:rsidRDefault="00634AF0" w:rsidP="00634AF0">
            <w:pPr>
              <w:pStyle w:val="EndNoteBibliographyTitle"/>
              <w:tabs>
                <w:tab w:val="decimal" w:pos="240"/>
              </w:tabs>
              <w:jc w:val="left"/>
            </w:pPr>
            <w:r w:rsidRPr="00E73BB1">
              <w:t>-.03 (-.47)</w:t>
            </w:r>
          </w:p>
        </w:tc>
        <w:tc>
          <w:tcPr>
            <w:tcW w:w="854" w:type="dxa"/>
          </w:tcPr>
          <w:p w14:paraId="0A0C0A51" w14:textId="5B7A6B23" w:rsidR="00634AF0" w:rsidRPr="00E73BB1" w:rsidRDefault="00634AF0" w:rsidP="00634AF0">
            <w:pPr>
              <w:pStyle w:val="EndNoteBibliographyTitle"/>
              <w:tabs>
                <w:tab w:val="decimal" w:pos="240"/>
              </w:tabs>
              <w:jc w:val="left"/>
            </w:pPr>
            <w:r w:rsidRPr="00E73BB1">
              <w:t>.134</w:t>
            </w:r>
          </w:p>
        </w:tc>
        <w:tc>
          <w:tcPr>
            <w:tcW w:w="1417" w:type="dxa"/>
          </w:tcPr>
          <w:p w14:paraId="0AF46C04" w14:textId="026CF3BD" w:rsidR="00634AF0" w:rsidRPr="00E73BB1" w:rsidRDefault="00634AF0" w:rsidP="00634AF0">
            <w:pPr>
              <w:pStyle w:val="EndNoteBibliographyTitle"/>
              <w:tabs>
                <w:tab w:val="decimal" w:pos="240"/>
              </w:tabs>
              <w:jc w:val="left"/>
            </w:pPr>
            <w:r w:rsidRPr="00E73BB1">
              <w:t>66.96***</w:t>
            </w:r>
          </w:p>
        </w:tc>
        <w:tc>
          <w:tcPr>
            <w:tcW w:w="1985" w:type="dxa"/>
          </w:tcPr>
          <w:p w14:paraId="5DE09DD5" w14:textId="28CF3ADB" w:rsidR="00634AF0" w:rsidRPr="00E73BB1" w:rsidRDefault="00634AF0" w:rsidP="00634AF0">
            <w:pPr>
              <w:pStyle w:val="EndNoteBibliographyTitle"/>
              <w:tabs>
                <w:tab w:val="decimal" w:pos="240"/>
              </w:tabs>
              <w:jc w:val="left"/>
            </w:pPr>
            <w:r w:rsidRPr="00E73BB1">
              <w:t>.46 (6.58)***</w:t>
            </w:r>
          </w:p>
        </w:tc>
        <w:tc>
          <w:tcPr>
            <w:tcW w:w="850" w:type="dxa"/>
          </w:tcPr>
          <w:p w14:paraId="0D13E00E" w14:textId="3111A8F2" w:rsidR="00634AF0" w:rsidRPr="00E73BB1" w:rsidRDefault="00634AF0" w:rsidP="00634AF0">
            <w:pPr>
              <w:pStyle w:val="EndNoteBibliographyTitle"/>
              <w:tabs>
                <w:tab w:val="decimal" w:pos="240"/>
              </w:tabs>
              <w:jc w:val="left"/>
            </w:pPr>
            <w:r w:rsidRPr="00E73BB1">
              <w:t>.006</w:t>
            </w:r>
          </w:p>
        </w:tc>
        <w:tc>
          <w:tcPr>
            <w:tcW w:w="1418" w:type="dxa"/>
          </w:tcPr>
          <w:p w14:paraId="4E872D3C" w14:textId="0D8B1E0A" w:rsidR="00634AF0" w:rsidRPr="00E73BB1" w:rsidRDefault="00634AF0" w:rsidP="00634AF0">
            <w:pPr>
              <w:pStyle w:val="EndNoteBibliographyTitle"/>
              <w:tabs>
                <w:tab w:val="decimal" w:pos="240"/>
              </w:tabs>
              <w:jc w:val="left"/>
            </w:pPr>
            <w:r w:rsidRPr="00E73BB1">
              <w:t>2.39</w:t>
            </w:r>
          </w:p>
        </w:tc>
        <w:tc>
          <w:tcPr>
            <w:tcW w:w="1701" w:type="dxa"/>
          </w:tcPr>
          <w:p w14:paraId="32DF40D2" w14:textId="442E7373" w:rsidR="00634AF0" w:rsidRPr="00E73BB1" w:rsidRDefault="00634AF0" w:rsidP="00634AF0">
            <w:pPr>
              <w:pStyle w:val="EndNoteBibliographyTitle"/>
              <w:tabs>
                <w:tab w:val="decimal" w:pos="240"/>
              </w:tabs>
              <w:jc w:val="left"/>
            </w:pPr>
            <w:r w:rsidRPr="00E73BB1">
              <w:t>-.01 (-</w:t>
            </w:r>
            <w:r w:rsidR="001659F2" w:rsidRPr="00E73BB1">
              <w:t>0</w:t>
            </w:r>
            <w:r w:rsidRPr="00E73BB1">
              <w:t>.13)</w:t>
            </w:r>
          </w:p>
        </w:tc>
      </w:tr>
      <w:tr w:rsidR="00634AF0" w:rsidRPr="00E73BB1" w14:paraId="3C8301ED" w14:textId="3241C454" w:rsidTr="009E48F6">
        <w:tc>
          <w:tcPr>
            <w:tcW w:w="1692" w:type="dxa"/>
          </w:tcPr>
          <w:p w14:paraId="426A696E" w14:textId="194211F3" w:rsidR="00634AF0" w:rsidRPr="00E73BB1" w:rsidRDefault="00634AF0" w:rsidP="009161D3">
            <w:pPr>
              <w:pStyle w:val="EndNoteBibliographyTitle"/>
              <w:ind w:left="177"/>
              <w:jc w:val="left"/>
            </w:pPr>
            <w:r w:rsidRPr="00E73BB1">
              <w:t xml:space="preserve">Step 4: </w:t>
            </w:r>
          </w:p>
        </w:tc>
        <w:tc>
          <w:tcPr>
            <w:tcW w:w="855" w:type="dxa"/>
          </w:tcPr>
          <w:p w14:paraId="075B660C" w14:textId="1DEC092A" w:rsidR="00634AF0" w:rsidRPr="00E73BB1" w:rsidRDefault="00634AF0" w:rsidP="00634AF0">
            <w:pPr>
              <w:pStyle w:val="EndNoteBibliographyTitle"/>
              <w:tabs>
                <w:tab w:val="decimal" w:pos="240"/>
              </w:tabs>
              <w:jc w:val="left"/>
            </w:pPr>
          </w:p>
        </w:tc>
        <w:tc>
          <w:tcPr>
            <w:tcW w:w="1417" w:type="dxa"/>
          </w:tcPr>
          <w:p w14:paraId="58669FF7" w14:textId="5BAD2EDF" w:rsidR="00634AF0" w:rsidRPr="00E73BB1" w:rsidRDefault="00634AF0" w:rsidP="00634AF0">
            <w:pPr>
              <w:pStyle w:val="EndNoteBibliographyTitle"/>
              <w:tabs>
                <w:tab w:val="decimal" w:pos="240"/>
              </w:tabs>
              <w:jc w:val="left"/>
            </w:pPr>
          </w:p>
        </w:tc>
        <w:tc>
          <w:tcPr>
            <w:tcW w:w="1840" w:type="dxa"/>
          </w:tcPr>
          <w:p w14:paraId="7413BD1D" w14:textId="4C07A0B5" w:rsidR="00634AF0" w:rsidRPr="00E73BB1" w:rsidRDefault="00634AF0" w:rsidP="00634AF0">
            <w:pPr>
              <w:pStyle w:val="EndNoteBibliographyTitle"/>
              <w:tabs>
                <w:tab w:val="decimal" w:pos="240"/>
              </w:tabs>
              <w:jc w:val="left"/>
            </w:pPr>
          </w:p>
        </w:tc>
        <w:tc>
          <w:tcPr>
            <w:tcW w:w="854" w:type="dxa"/>
          </w:tcPr>
          <w:p w14:paraId="344B0170" w14:textId="1C2ED755" w:rsidR="00634AF0" w:rsidRPr="00E73BB1" w:rsidRDefault="00634AF0" w:rsidP="00634AF0">
            <w:pPr>
              <w:pStyle w:val="EndNoteBibliographyTitle"/>
              <w:tabs>
                <w:tab w:val="decimal" w:pos="240"/>
              </w:tabs>
              <w:jc w:val="left"/>
            </w:pPr>
          </w:p>
        </w:tc>
        <w:tc>
          <w:tcPr>
            <w:tcW w:w="1417" w:type="dxa"/>
          </w:tcPr>
          <w:p w14:paraId="436EB434" w14:textId="5DC6516E" w:rsidR="00634AF0" w:rsidRPr="00E73BB1" w:rsidRDefault="00634AF0" w:rsidP="00634AF0">
            <w:pPr>
              <w:pStyle w:val="EndNoteBibliographyTitle"/>
              <w:tabs>
                <w:tab w:val="decimal" w:pos="240"/>
              </w:tabs>
              <w:jc w:val="left"/>
            </w:pPr>
          </w:p>
        </w:tc>
        <w:tc>
          <w:tcPr>
            <w:tcW w:w="1985" w:type="dxa"/>
          </w:tcPr>
          <w:p w14:paraId="6439AECF" w14:textId="2433440C" w:rsidR="00634AF0" w:rsidRPr="00E73BB1" w:rsidRDefault="00634AF0" w:rsidP="00634AF0">
            <w:pPr>
              <w:pStyle w:val="EndNoteBibliographyTitle"/>
              <w:tabs>
                <w:tab w:val="decimal" w:pos="240"/>
              </w:tabs>
              <w:jc w:val="left"/>
            </w:pPr>
          </w:p>
        </w:tc>
        <w:tc>
          <w:tcPr>
            <w:tcW w:w="850" w:type="dxa"/>
          </w:tcPr>
          <w:p w14:paraId="6330C616" w14:textId="59B8DE41" w:rsidR="00634AF0" w:rsidRPr="00E73BB1" w:rsidRDefault="00634AF0" w:rsidP="00634AF0">
            <w:pPr>
              <w:pStyle w:val="EndNoteBibliographyTitle"/>
              <w:tabs>
                <w:tab w:val="decimal" w:pos="240"/>
              </w:tabs>
              <w:jc w:val="left"/>
            </w:pPr>
          </w:p>
        </w:tc>
        <w:tc>
          <w:tcPr>
            <w:tcW w:w="1418" w:type="dxa"/>
          </w:tcPr>
          <w:p w14:paraId="5C147922" w14:textId="48E02359" w:rsidR="00634AF0" w:rsidRPr="00E73BB1" w:rsidRDefault="00634AF0" w:rsidP="00634AF0">
            <w:pPr>
              <w:pStyle w:val="EndNoteBibliographyTitle"/>
              <w:tabs>
                <w:tab w:val="decimal" w:pos="240"/>
              </w:tabs>
              <w:jc w:val="left"/>
            </w:pPr>
          </w:p>
        </w:tc>
        <w:tc>
          <w:tcPr>
            <w:tcW w:w="1701" w:type="dxa"/>
          </w:tcPr>
          <w:p w14:paraId="20158689" w14:textId="23492A15" w:rsidR="00634AF0" w:rsidRPr="00E73BB1" w:rsidRDefault="00634AF0" w:rsidP="00634AF0">
            <w:pPr>
              <w:pStyle w:val="EndNoteBibliographyTitle"/>
              <w:tabs>
                <w:tab w:val="decimal" w:pos="240"/>
              </w:tabs>
              <w:jc w:val="left"/>
            </w:pPr>
          </w:p>
        </w:tc>
      </w:tr>
      <w:tr w:rsidR="00B23223" w:rsidRPr="00E73BB1" w14:paraId="7E7AFE96" w14:textId="77777777" w:rsidTr="009E48F6">
        <w:tc>
          <w:tcPr>
            <w:tcW w:w="1692" w:type="dxa"/>
          </w:tcPr>
          <w:p w14:paraId="37E8885E" w14:textId="1AFAEBB6" w:rsidR="00B23223" w:rsidRPr="00E73BB1" w:rsidRDefault="00373417" w:rsidP="009161D3">
            <w:pPr>
              <w:pStyle w:val="EndNoteBibliographyTitle"/>
              <w:ind w:left="177"/>
              <w:jc w:val="left"/>
            </w:pPr>
            <w:r w:rsidRPr="00E73BB1">
              <w:t xml:space="preserve">  </w:t>
            </w:r>
            <w:r w:rsidR="00BF4760" w:rsidRPr="00E73BB1">
              <w:t>BILD-Q</w:t>
            </w:r>
          </w:p>
        </w:tc>
        <w:tc>
          <w:tcPr>
            <w:tcW w:w="855" w:type="dxa"/>
          </w:tcPr>
          <w:p w14:paraId="6EC44182" w14:textId="36829D39" w:rsidR="00B23223" w:rsidRPr="00E73BB1" w:rsidRDefault="00B23223" w:rsidP="00B23223">
            <w:pPr>
              <w:pStyle w:val="EndNoteBibliographyTitle"/>
              <w:tabs>
                <w:tab w:val="decimal" w:pos="240"/>
              </w:tabs>
              <w:jc w:val="left"/>
            </w:pPr>
            <w:r w:rsidRPr="00E73BB1">
              <w:t>.021</w:t>
            </w:r>
          </w:p>
        </w:tc>
        <w:tc>
          <w:tcPr>
            <w:tcW w:w="1417" w:type="dxa"/>
          </w:tcPr>
          <w:p w14:paraId="7A11FD60" w14:textId="4BD6671A" w:rsidR="00B23223" w:rsidRPr="00E73BB1" w:rsidRDefault="00B23223" w:rsidP="00B23223">
            <w:pPr>
              <w:pStyle w:val="EndNoteBibliographyTitle"/>
              <w:tabs>
                <w:tab w:val="decimal" w:pos="240"/>
              </w:tabs>
              <w:jc w:val="left"/>
            </w:pPr>
            <w:r w:rsidRPr="00E73BB1">
              <w:t>10.13**</w:t>
            </w:r>
          </w:p>
        </w:tc>
        <w:tc>
          <w:tcPr>
            <w:tcW w:w="1840" w:type="dxa"/>
          </w:tcPr>
          <w:p w14:paraId="1F325479" w14:textId="7B3E30A6" w:rsidR="00B23223" w:rsidRPr="00E73BB1" w:rsidRDefault="00B23223" w:rsidP="00B23223">
            <w:pPr>
              <w:pStyle w:val="EndNoteBibliographyTitle"/>
              <w:tabs>
                <w:tab w:val="decimal" w:pos="240"/>
              </w:tabs>
              <w:jc w:val="left"/>
            </w:pPr>
            <w:r w:rsidRPr="00E73BB1">
              <w:t>-.20 (-3.18)**</w:t>
            </w:r>
          </w:p>
        </w:tc>
        <w:tc>
          <w:tcPr>
            <w:tcW w:w="854" w:type="dxa"/>
          </w:tcPr>
          <w:p w14:paraId="68DF5E87" w14:textId="1BDD5934" w:rsidR="00B23223" w:rsidRPr="00E73BB1" w:rsidRDefault="00B23223" w:rsidP="00B23223">
            <w:pPr>
              <w:pStyle w:val="EndNoteBibliographyTitle"/>
              <w:tabs>
                <w:tab w:val="decimal" w:pos="240"/>
              </w:tabs>
              <w:jc w:val="left"/>
            </w:pPr>
            <w:r w:rsidRPr="00E73BB1">
              <w:t>.012</w:t>
            </w:r>
          </w:p>
        </w:tc>
        <w:tc>
          <w:tcPr>
            <w:tcW w:w="1417" w:type="dxa"/>
          </w:tcPr>
          <w:p w14:paraId="5C3A4033" w14:textId="15B3CDF9" w:rsidR="00B23223" w:rsidRPr="00E73BB1" w:rsidRDefault="00B23223" w:rsidP="00B23223">
            <w:pPr>
              <w:pStyle w:val="EndNoteBibliographyTitle"/>
              <w:tabs>
                <w:tab w:val="decimal" w:pos="240"/>
              </w:tabs>
              <w:jc w:val="left"/>
            </w:pPr>
            <w:r w:rsidRPr="00E73BB1">
              <w:t>5.95*</w:t>
            </w:r>
          </w:p>
        </w:tc>
        <w:tc>
          <w:tcPr>
            <w:tcW w:w="1985" w:type="dxa"/>
          </w:tcPr>
          <w:p w14:paraId="41BDD897" w14:textId="2DF19822" w:rsidR="00B23223" w:rsidRPr="00E73BB1" w:rsidRDefault="00B23223" w:rsidP="00B23223">
            <w:pPr>
              <w:pStyle w:val="EndNoteBibliographyTitle"/>
              <w:tabs>
                <w:tab w:val="decimal" w:pos="240"/>
              </w:tabs>
              <w:jc w:val="left"/>
            </w:pPr>
            <w:r w:rsidRPr="00E73BB1">
              <w:t>.15 (2.44)*</w:t>
            </w:r>
          </w:p>
        </w:tc>
        <w:tc>
          <w:tcPr>
            <w:tcW w:w="850" w:type="dxa"/>
          </w:tcPr>
          <w:p w14:paraId="2B2B008F" w14:textId="28661F8D" w:rsidR="00B23223" w:rsidRPr="00E73BB1" w:rsidRDefault="00B23223" w:rsidP="00B23223">
            <w:pPr>
              <w:pStyle w:val="EndNoteBibliographyTitle"/>
              <w:tabs>
                <w:tab w:val="decimal" w:pos="240"/>
              </w:tabs>
              <w:jc w:val="left"/>
            </w:pPr>
            <w:r w:rsidRPr="00E73BB1">
              <w:t>.027</w:t>
            </w:r>
          </w:p>
        </w:tc>
        <w:tc>
          <w:tcPr>
            <w:tcW w:w="1418" w:type="dxa"/>
          </w:tcPr>
          <w:p w14:paraId="2BC1306A" w14:textId="70D53DD6" w:rsidR="00B23223" w:rsidRPr="00E73BB1" w:rsidRDefault="00B23223" w:rsidP="00B23223">
            <w:pPr>
              <w:pStyle w:val="EndNoteBibliographyTitle"/>
              <w:tabs>
                <w:tab w:val="decimal" w:pos="240"/>
              </w:tabs>
              <w:jc w:val="left"/>
            </w:pPr>
            <w:r w:rsidRPr="00E73BB1">
              <w:t>10.73**</w:t>
            </w:r>
          </w:p>
        </w:tc>
        <w:tc>
          <w:tcPr>
            <w:tcW w:w="1701" w:type="dxa"/>
          </w:tcPr>
          <w:p w14:paraId="2D6B0A68" w14:textId="3FB21DDF" w:rsidR="00B23223" w:rsidRPr="00E73BB1" w:rsidRDefault="00B23223" w:rsidP="00B23223">
            <w:pPr>
              <w:pStyle w:val="EndNoteBibliographyTitle"/>
              <w:tabs>
                <w:tab w:val="decimal" w:pos="240"/>
              </w:tabs>
              <w:jc w:val="left"/>
            </w:pPr>
            <w:r w:rsidRPr="00E73BB1">
              <w:t>-.23 (-3.28)**</w:t>
            </w:r>
          </w:p>
        </w:tc>
      </w:tr>
      <w:tr w:rsidR="00634AF0" w:rsidRPr="00E73BB1" w14:paraId="3BF6B186" w14:textId="74D6FC33" w:rsidTr="009E48F6">
        <w:tc>
          <w:tcPr>
            <w:tcW w:w="1692" w:type="dxa"/>
          </w:tcPr>
          <w:p w14:paraId="08EDAB94" w14:textId="30DF9E8E" w:rsidR="00634AF0" w:rsidRPr="00E73BB1" w:rsidRDefault="00634AF0" w:rsidP="00634AF0">
            <w:pPr>
              <w:pStyle w:val="EndNoteBibliographyTitle"/>
              <w:jc w:val="left"/>
              <w:rPr>
                <w:i/>
              </w:rPr>
            </w:pPr>
            <w:r w:rsidRPr="00E73BB1">
              <w:rPr>
                <w:i/>
              </w:rPr>
              <w:t>Predictive</w:t>
            </w:r>
            <w:r w:rsidR="005D6C2F" w:rsidRPr="00E73BB1">
              <w:rPr>
                <w:vertAlign w:val="superscript"/>
              </w:rPr>
              <w:t>b</w:t>
            </w:r>
            <w:r w:rsidRPr="00E73BB1">
              <w:rPr>
                <w:i/>
              </w:rPr>
              <w:t xml:space="preserve"> </w:t>
            </w:r>
          </w:p>
        </w:tc>
        <w:tc>
          <w:tcPr>
            <w:tcW w:w="855" w:type="dxa"/>
          </w:tcPr>
          <w:p w14:paraId="20DC1560" w14:textId="77777777" w:rsidR="00634AF0" w:rsidRPr="00E73BB1" w:rsidRDefault="00634AF0" w:rsidP="00634AF0">
            <w:pPr>
              <w:pStyle w:val="EndNoteBibliographyTitle"/>
              <w:tabs>
                <w:tab w:val="decimal" w:pos="240"/>
              </w:tabs>
              <w:jc w:val="left"/>
            </w:pPr>
          </w:p>
        </w:tc>
        <w:tc>
          <w:tcPr>
            <w:tcW w:w="1417" w:type="dxa"/>
          </w:tcPr>
          <w:p w14:paraId="362CB7BA" w14:textId="77777777" w:rsidR="00634AF0" w:rsidRPr="00E73BB1" w:rsidRDefault="00634AF0" w:rsidP="00634AF0">
            <w:pPr>
              <w:pStyle w:val="EndNoteBibliographyTitle"/>
              <w:tabs>
                <w:tab w:val="decimal" w:pos="240"/>
              </w:tabs>
              <w:jc w:val="left"/>
            </w:pPr>
          </w:p>
        </w:tc>
        <w:tc>
          <w:tcPr>
            <w:tcW w:w="1840" w:type="dxa"/>
          </w:tcPr>
          <w:p w14:paraId="6C9128B8" w14:textId="77777777" w:rsidR="00634AF0" w:rsidRPr="00E73BB1" w:rsidRDefault="00634AF0" w:rsidP="00634AF0">
            <w:pPr>
              <w:pStyle w:val="EndNoteBibliographyTitle"/>
              <w:tabs>
                <w:tab w:val="decimal" w:pos="240"/>
              </w:tabs>
              <w:jc w:val="left"/>
            </w:pPr>
          </w:p>
        </w:tc>
        <w:tc>
          <w:tcPr>
            <w:tcW w:w="854" w:type="dxa"/>
          </w:tcPr>
          <w:p w14:paraId="17D405FE" w14:textId="77777777" w:rsidR="00634AF0" w:rsidRPr="00E73BB1" w:rsidRDefault="00634AF0" w:rsidP="00634AF0">
            <w:pPr>
              <w:pStyle w:val="EndNoteBibliographyTitle"/>
              <w:tabs>
                <w:tab w:val="decimal" w:pos="240"/>
              </w:tabs>
              <w:jc w:val="left"/>
            </w:pPr>
          </w:p>
        </w:tc>
        <w:tc>
          <w:tcPr>
            <w:tcW w:w="1417" w:type="dxa"/>
          </w:tcPr>
          <w:p w14:paraId="7ABE8061" w14:textId="77777777" w:rsidR="00634AF0" w:rsidRPr="00E73BB1" w:rsidRDefault="00634AF0" w:rsidP="00634AF0">
            <w:pPr>
              <w:pStyle w:val="EndNoteBibliographyTitle"/>
              <w:tabs>
                <w:tab w:val="decimal" w:pos="240"/>
              </w:tabs>
              <w:jc w:val="left"/>
            </w:pPr>
          </w:p>
        </w:tc>
        <w:tc>
          <w:tcPr>
            <w:tcW w:w="1985" w:type="dxa"/>
          </w:tcPr>
          <w:p w14:paraId="1B279523" w14:textId="09040849" w:rsidR="00634AF0" w:rsidRPr="00E73BB1" w:rsidRDefault="00634AF0" w:rsidP="00634AF0">
            <w:pPr>
              <w:pStyle w:val="EndNoteBibliographyTitle"/>
              <w:tabs>
                <w:tab w:val="decimal" w:pos="240"/>
              </w:tabs>
              <w:jc w:val="left"/>
            </w:pPr>
          </w:p>
        </w:tc>
        <w:tc>
          <w:tcPr>
            <w:tcW w:w="850" w:type="dxa"/>
          </w:tcPr>
          <w:p w14:paraId="7429B6BA" w14:textId="13F4387B" w:rsidR="00634AF0" w:rsidRPr="00E73BB1" w:rsidRDefault="00634AF0" w:rsidP="00634AF0">
            <w:pPr>
              <w:pStyle w:val="EndNoteBibliographyTitle"/>
              <w:tabs>
                <w:tab w:val="decimal" w:pos="240"/>
              </w:tabs>
              <w:jc w:val="left"/>
            </w:pPr>
          </w:p>
        </w:tc>
        <w:tc>
          <w:tcPr>
            <w:tcW w:w="1418" w:type="dxa"/>
          </w:tcPr>
          <w:p w14:paraId="4A4C1BB7" w14:textId="612C1B8C" w:rsidR="00634AF0" w:rsidRPr="00E73BB1" w:rsidRDefault="00634AF0" w:rsidP="00634AF0">
            <w:pPr>
              <w:pStyle w:val="EndNoteBibliographyTitle"/>
              <w:tabs>
                <w:tab w:val="decimal" w:pos="240"/>
              </w:tabs>
              <w:jc w:val="left"/>
            </w:pPr>
          </w:p>
        </w:tc>
        <w:tc>
          <w:tcPr>
            <w:tcW w:w="1701" w:type="dxa"/>
          </w:tcPr>
          <w:p w14:paraId="769626D6" w14:textId="1877E2FF" w:rsidR="00634AF0" w:rsidRPr="00E73BB1" w:rsidRDefault="00634AF0" w:rsidP="00634AF0">
            <w:pPr>
              <w:pStyle w:val="EndNoteBibliographyTitle"/>
              <w:tabs>
                <w:tab w:val="decimal" w:pos="240"/>
              </w:tabs>
              <w:jc w:val="left"/>
            </w:pPr>
          </w:p>
        </w:tc>
      </w:tr>
      <w:tr w:rsidR="00634AF0" w:rsidRPr="00E73BB1" w14:paraId="091931E1" w14:textId="795CD8C0" w:rsidTr="009E48F6">
        <w:tc>
          <w:tcPr>
            <w:tcW w:w="1692" w:type="dxa"/>
          </w:tcPr>
          <w:p w14:paraId="1B1FEDA4" w14:textId="6FB86404" w:rsidR="00634AF0" w:rsidRPr="00E73BB1" w:rsidRDefault="00634AF0" w:rsidP="009161D3">
            <w:pPr>
              <w:pStyle w:val="EndNoteBibliographyTitle"/>
              <w:ind w:left="177"/>
              <w:jc w:val="left"/>
            </w:pPr>
            <w:r w:rsidRPr="00E73BB1">
              <w:t xml:space="preserve">Step 1: </w:t>
            </w:r>
          </w:p>
        </w:tc>
        <w:tc>
          <w:tcPr>
            <w:tcW w:w="855" w:type="dxa"/>
          </w:tcPr>
          <w:p w14:paraId="32EC7137" w14:textId="69B9E6F0" w:rsidR="00634AF0" w:rsidRPr="00E73BB1" w:rsidRDefault="00634AF0" w:rsidP="00634AF0">
            <w:pPr>
              <w:pStyle w:val="EndNoteBibliographyTitle"/>
              <w:tabs>
                <w:tab w:val="decimal" w:pos="240"/>
              </w:tabs>
              <w:jc w:val="left"/>
            </w:pPr>
          </w:p>
        </w:tc>
        <w:tc>
          <w:tcPr>
            <w:tcW w:w="1417" w:type="dxa"/>
          </w:tcPr>
          <w:p w14:paraId="33C02425" w14:textId="05F02B4D" w:rsidR="00634AF0" w:rsidRPr="00E73BB1" w:rsidRDefault="00634AF0" w:rsidP="00634AF0">
            <w:pPr>
              <w:pStyle w:val="EndNoteBibliographyTitle"/>
              <w:tabs>
                <w:tab w:val="decimal" w:pos="240"/>
              </w:tabs>
              <w:jc w:val="left"/>
            </w:pPr>
          </w:p>
        </w:tc>
        <w:tc>
          <w:tcPr>
            <w:tcW w:w="1840" w:type="dxa"/>
          </w:tcPr>
          <w:p w14:paraId="6D377F1F" w14:textId="437F4E6B" w:rsidR="00634AF0" w:rsidRPr="00E73BB1" w:rsidRDefault="00634AF0" w:rsidP="00634AF0">
            <w:pPr>
              <w:pStyle w:val="EndNoteBibliographyTitle"/>
              <w:tabs>
                <w:tab w:val="decimal" w:pos="240"/>
              </w:tabs>
              <w:jc w:val="left"/>
            </w:pPr>
          </w:p>
        </w:tc>
        <w:tc>
          <w:tcPr>
            <w:tcW w:w="854" w:type="dxa"/>
          </w:tcPr>
          <w:p w14:paraId="0514C6BF" w14:textId="58C9744B" w:rsidR="00634AF0" w:rsidRPr="00E73BB1" w:rsidRDefault="00634AF0" w:rsidP="00634AF0">
            <w:pPr>
              <w:pStyle w:val="EndNoteBibliographyTitle"/>
              <w:tabs>
                <w:tab w:val="decimal" w:pos="240"/>
              </w:tabs>
              <w:jc w:val="left"/>
            </w:pPr>
          </w:p>
        </w:tc>
        <w:tc>
          <w:tcPr>
            <w:tcW w:w="1417" w:type="dxa"/>
          </w:tcPr>
          <w:p w14:paraId="0C6A9E1D" w14:textId="2BEA5B9E" w:rsidR="00634AF0" w:rsidRPr="00E73BB1" w:rsidRDefault="00634AF0" w:rsidP="00634AF0">
            <w:pPr>
              <w:pStyle w:val="EndNoteBibliographyTitle"/>
              <w:tabs>
                <w:tab w:val="decimal" w:pos="240"/>
              </w:tabs>
              <w:jc w:val="left"/>
            </w:pPr>
          </w:p>
        </w:tc>
        <w:tc>
          <w:tcPr>
            <w:tcW w:w="1985" w:type="dxa"/>
          </w:tcPr>
          <w:p w14:paraId="519FA4B4" w14:textId="31913D53" w:rsidR="00634AF0" w:rsidRPr="00E73BB1" w:rsidRDefault="00634AF0" w:rsidP="00634AF0">
            <w:pPr>
              <w:pStyle w:val="EndNoteBibliographyTitle"/>
              <w:tabs>
                <w:tab w:val="decimal" w:pos="240"/>
              </w:tabs>
              <w:jc w:val="left"/>
            </w:pPr>
          </w:p>
        </w:tc>
        <w:tc>
          <w:tcPr>
            <w:tcW w:w="850" w:type="dxa"/>
          </w:tcPr>
          <w:p w14:paraId="53CB4BA5" w14:textId="7525433C" w:rsidR="00634AF0" w:rsidRPr="00E73BB1" w:rsidRDefault="00634AF0" w:rsidP="00634AF0">
            <w:pPr>
              <w:pStyle w:val="EndNoteBibliographyTitle"/>
              <w:tabs>
                <w:tab w:val="decimal" w:pos="240"/>
              </w:tabs>
              <w:jc w:val="left"/>
            </w:pPr>
          </w:p>
        </w:tc>
        <w:tc>
          <w:tcPr>
            <w:tcW w:w="1418" w:type="dxa"/>
          </w:tcPr>
          <w:p w14:paraId="1DD47C34" w14:textId="6EEC2A72" w:rsidR="00634AF0" w:rsidRPr="00E73BB1" w:rsidRDefault="00634AF0" w:rsidP="00634AF0">
            <w:pPr>
              <w:pStyle w:val="EndNoteBibliographyTitle"/>
              <w:tabs>
                <w:tab w:val="decimal" w:pos="240"/>
              </w:tabs>
              <w:jc w:val="left"/>
            </w:pPr>
          </w:p>
        </w:tc>
        <w:tc>
          <w:tcPr>
            <w:tcW w:w="1701" w:type="dxa"/>
          </w:tcPr>
          <w:p w14:paraId="79F42513" w14:textId="6B6A7A8C" w:rsidR="00634AF0" w:rsidRPr="00E73BB1" w:rsidRDefault="00634AF0" w:rsidP="00634AF0">
            <w:pPr>
              <w:pStyle w:val="EndNoteBibliographyTitle"/>
              <w:tabs>
                <w:tab w:val="decimal" w:pos="240"/>
              </w:tabs>
              <w:jc w:val="left"/>
            </w:pPr>
          </w:p>
        </w:tc>
      </w:tr>
      <w:tr w:rsidR="00634AF0" w:rsidRPr="00E73BB1" w14:paraId="005C3C27" w14:textId="77777777" w:rsidTr="009E48F6">
        <w:tc>
          <w:tcPr>
            <w:tcW w:w="1692" w:type="dxa"/>
          </w:tcPr>
          <w:p w14:paraId="44D329ED" w14:textId="6C8AAB81" w:rsidR="00634AF0" w:rsidRPr="00E73BB1" w:rsidRDefault="00373417" w:rsidP="009161D3">
            <w:pPr>
              <w:pStyle w:val="EndNoteBibliographyTitle"/>
              <w:ind w:left="177"/>
              <w:jc w:val="left"/>
            </w:pPr>
            <w:r w:rsidRPr="00E73BB1">
              <w:t xml:space="preserve">  </w:t>
            </w:r>
            <w:r w:rsidR="00634AF0" w:rsidRPr="00E73BB1">
              <w:t>Gender</w:t>
            </w:r>
          </w:p>
        </w:tc>
        <w:tc>
          <w:tcPr>
            <w:tcW w:w="855" w:type="dxa"/>
          </w:tcPr>
          <w:p w14:paraId="73FC4050" w14:textId="25629732" w:rsidR="00634AF0" w:rsidRPr="00E73BB1" w:rsidRDefault="00634AF0" w:rsidP="00634AF0">
            <w:pPr>
              <w:pStyle w:val="EndNoteBibliographyTitle"/>
              <w:tabs>
                <w:tab w:val="decimal" w:pos="240"/>
              </w:tabs>
              <w:jc w:val="left"/>
            </w:pPr>
            <w:r w:rsidRPr="00E73BB1">
              <w:t>.050</w:t>
            </w:r>
          </w:p>
        </w:tc>
        <w:tc>
          <w:tcPr>
            <w:tcW w:w="1417" w:type="dxa"/>
          </w:tcPr>
          <w:p w14:paraId="2F3C2763" w14:textId="524F0E23" w:rsidR="00634AF0" w:rsidRPr="00E73BB1" w:rsidRDefault="00634AF0" w:rsidP="00634AF0">
            <w:pPr>
              <w:pStyle w:val="EndNoteBibliographyTitle"/>
              <w:tabs>
                <w:tab w:val="decimal" w:pos="240"/>
              </w:tabs>
              <w:jc w:val="left"/>
            </w:pPr>
            <w:r w:rsidRPr="00E73BB1">
              <w:t>5.29*</w:t>
            </w:r>
          </w:p>
        </w:tc>
        <w:tc>
          <w:tcPr>
            <w:tcW w:w="1840" w:type="dxa"/>
          </w:tcPr>
          <w:p w14:paraId="31BFD137" w14:textId="3DDE3EAA" w:rsidR="00634AF0" w:rsidRPr="00E73BB1" w:rsidRDefault="00634AF0" w:rsidP="00634AF0">
            <w:pPr>
              <w:pStyle w:val="EndNoteBibliographyTitle"/>
              <w:tabs>
                <w:tab w:val="decimal" w:pos="240"/>
              </w:tabs>
              <w:jc w:val="left"/>
            </w:pPr>
            <w:r w:rsidRPr="00E73BB1">
              <w:t>.02 (.27)</w:t>
            </w:r>
          </w:p>
        </w:tc>
        <w:tc>
          <w:tcPr>
            <w:tcW w:w="854" w:type="dxa"/>
          </w:tcPr>
          <w:p w14:paraId="26C9F310" w14:textId="1216D375" w:rsidR="00634AF0" w:rsidRPr="00E73BB1" w:rsidRDefault="00634AF0" w:rsidP="00634AF0">
            <w:pPr>
              <w:pStyle w:val="EndNoteBibliographyTitle"/>
              <w:tabs>
                <w:tab w:val="decimal" w:pos="240"/>
              </w:tabs>
              <w:jc w:val="left"/>
            </w:pPr>
            <w:r w:rsidRPr="00E73BB1">
              <w:t>.121</w:t>
            </w:r>
          </w:p>
        </w:tc>
        <w:tc>
          <w:tcPr>
            <w:tcW w:w="1417" w:type="dxa"/>
          </w:tcPr>
          <w:p w14:paraId="2C7E7C9D" w14:textId="10BADEDD" w:rsidR="00634AF0" w:rsidRPr="00E73BB1" w:rsidRDefault="00634AF0" w:rsidP="00634AF0">
            <w:pPr>
              <w:pStyle w:val="EndNoteBibliographyTitle"/>
              <w:tabs>
                <w:tab w:val="decimal" w:pos="240"/>
              </w:tabs>
              <w:jc w:val="left"/>
            </w:pPr>
            <w:r w:rsidRPr="00E73BB1">
              <w:t>11.86**</w:t>
            </w:r>
          </w:p>
        </w:tc>
        <w:tc>
          <w:tcPr>
            <w:tcW w:w="1985" w:type="dxa"/>
          </w:tcPr>
          <w:p w14:paraId="0B7F57AC" w14:textId="6C046FF7" w:rsidR="00634AF0" w:rsidRPr="00E73BB1" w:rsidRDefault="00634AF0" w:rsidP="00634AF0">
            <w:pPr>
              <w:pStyle w:val="EndNoteBibliographyTitle"/>
              <w:tabs>
                <w:tab w:val="decimal" w:pos="240"/>
              </w:tabs>
              <w:jc w:val="left"/>
            </w:pPr>
            <w:r w:rsidRPr="00E73BB1">
              <w:t>.22 (2.24)*</w:t>
            </w:r>
          </w:p>
        </w:tc>
        <w:tc>
          <w:tcPr>
            <w:tcW w:w="850" w:type="dxa"/>
          </w:tcPr>
          <w:p w14:paraId="2F5323A6" w14:textId="014852F7" w:rsidR="00634AF0" w:rsidRPr="00E73BB1" w:rsidRDefault="00634AF0" w:rsidP="00634AF0">
            <w:pPr>
              <w:pStyle w:val="EndNoteBibliographyTitle"/>
              <w:tabs>
                <w:tab w:val="decimal" w:pos="240"/>
              </w:tabs>
              <w:jc w:val="left"/>
            </w:pPr>
            <w:r w:rsidRPr="00E73BB1">
              <w:t>.046</w:t>
            </w:r>
          </w:p>
        </w:tc>
        <w:tc>
          <w:tcPr>
            <w:tcW w:w="1418" w:type="dxa"/>
          </w:tcPr>
          <w:p w14:paraId="238B59B1" w14:textId="4EA38780" w:rsidR="00634AF0" w:rsidRPr="00E73BB1" w:rsidRDefault="00634AF0" w:rsidP="00634AF0">
            <w:pPr>
              <w:pStyle w:val="EndNoteBibliographyTitle"/>
              <w:tabs>
                <w:tab w:val="decimal" w:pos="240"/>
              </w:tabs>
              <w:jc w:val="left"/>
            </w:pPr>
            <w:r w:rsidRPr="00E73BB1">
              <w:t>4.17*</w:t>
            </w:r>
          </w:p>
        </w:tc>
        <w:tc>
          <w:tcPr>
            <w:tcW w:w="1701" w:type="dxa"/>
          </w:tcPr>
          <w:p w14:paraId="33FCB298" w14:textId="450FECF3" w:rsidR="00634AF0" w:rsidRPr="00E73BB1" w:rsidRDefault="00634AF0" w:rsidP="00634AF0">
            <w:pPr>
              <w:pStyle w:val="EndNoteBibliographyTitle"/>
              <w:tabs>
                <w:tab w:val="decimal" w:pos="240"/>
              </w:tabs>
              <w:jc w:val="left"/>
            </w:pPr>
            <w:r w:rsidRPr="00E73BB1">
              <w:t>-.08 (-</w:t>
            </w:r>
            <w:r w:rsidR="001659F2" w:rsidRPr="00E73BB1">
              <w:t>0</w:t>
            </w:r>
            <w:r w:rsidRPr="00E73BB1">
              <w:t>.74)</w:t>
            </w:r>
          </w:p>
        </w:tc>
      </w:tr>
      <w:tr w:rsidR="00634AF0" w:rsidRPr="00E73BB1" w14:paraId="018E03F5" w14:textId="263F3653" w:rsidTr="009E48F6">
        <w:tc>
          <w:tcPr>
            <w:tcW w:w="1692" w:type="dxa"/>
          </w:tcPr>
          <w:p w14:paraId="2E6BE943" w14:textId="7BD58B02" w:rsidR="00634AF0" w:rsidRPr="00E73BB1" w:rsidRDefault="00634AF0" w:rsidP="009161D3">
            <w:pPr>
              <w:pStyle w:val="EndNoteBibliographyTitle"/>
              <w:ind w:left="177"/>
              <w:jc w:val="left"/>
            </w:pPr>
            <w:r w:rsidRPr="00E73BB1">
              <w:t xml:space="preserve">Step 2: </w:t>
            </w:r>
          </w:p>
        </w:tc>
        <w:tc>
          <w:tcPr>
            <w:tcW w:w="855" w:type="dxa"/>
          </w:tcPr>
          <w:p w14:paraId="7CE07F5C" w14:textId="41EF8743" w:rsidR="00634AF0" w:rsidRPr="00E73BB1" w:rsidRDefault="00634AF0" w:rsidP="00634AF0">
            <w:pPr>
              <w:pStyle w:val="EndNoteBibliographyTitle"/>
              <w:tabs>
                <w:tab w:val="decimal" w:pos="240"/>
              </w:tabs>
              <w:jc w:val="left"/>
            </w:pPr>
          </w:p>
        </w:tc>
        <w:tc>
          <w:tcPr>
            <w:tcW w:w="1417" w:type="dxa"/>
          </w:tcPr>
          <w:p w14:paraId="4B82EC53" w14:textId="250813E2" w:rsidR="00634AF0" w:rsidRPr="00E73BB1" w:rsidRDefault="00634AF0" w:rsidP="00634AF0">
            <w:pPr>
              <w:pStyle w:val="EndNoteBibliographyTitle"/>
              <w:tabs>
                <w:tab w:val="decimal" w:pos="240"/>
              </w:tabs>
              <w:jc w:val="left"/>
            </w:pPr>
          </w:p>
        </w:tc>
        <w:tc>
          <w:tcPr>
            <w:tcW w:w="1840" w:type="dxa"/>
          </w:tcPr>
          <w:p w14:paraId="78B10863" w14:textId="7121495B" w:rsidR="00634AF0" w:rsidRPr="00E73BB1" w:rsidRDefault="00634AF0" w:rsidP="00634AF0">
            <w:pPr>
              <w:pStyle w:val="EndNoteBibliographyTitle"/>
              <w:tabs>
                <w:tab w:val="decimal" w:pos="240"/>
              </w:tabs>
              <w:jc w:val="left"/>
            </w:pPr>
          </w:p>
        </w:tc>
        <w:tc>
          <w:tcPr>
            <w:tcW w:w="854" w:type="dxa"/>
          </w:tcPr>
          <w:p w14:paraId="3A9BAECF" w14:textId="7EB14141" w:rsidR="00634AF0" w:rsidRPr="00E73BB1" w:rsidRDefault="00634AF0" w:rsidP="00634AF0">
            <w:pPr>
              <w:pStyle w:val="EndNoteBibliographyTitle"/>
              <w:tabs>
                <w:tab w:val="decimal" w:pos="240"/>
              </w:tabs>
              <w:jc w:val="left"/>
            </w:pPr>
          </w:p>
        </w:tc>
        <w:tc>
          <w:tcPr>
            <w:tcW w:w="1417" w:type="dxa"/>
          </w:tcPr>
          <w:p w14:paraId="527F1673" w14:textId="5758A4A5" w:rsidR="00634AF0" w:rsidRPr="00E73BB1" w:rsidRDefault="00634AF0" w:rsidP="00634AF0">
            <w:pPr>
              <w:pStyle w:val="EndNoteBibliographyTitle"/>
              <w:tabs>
                <w:tab w:val="decimal" w:pos="240"/>
              </w:tabs>
              <w:jc w:val="left"/>
            </w:pPr>
          </w:p>
        </w:tc>
        <w:tc>
          <w:tcPr>
            <w:tcW w:w="1985" w:type="dxa"/>
          </w:tcPr>
          <w:p w14:paraId="31846603" w14:textId="583A804B" w:rsidR="00634AF0" w:rsidRPr="00E73BB1" w:rsidRDefault="00634AF0" w:rsidP="00634AF0">
            <w:pPr>
              <w:pStyle w:val="EndNoteBibliographyTitle"/>
              <w:tabs>
                <w:tab w:val="decimal" w:pos="240"/>
              </w:tabs>
              <w:jc w:val="left"/>
            </w:pPr>
          </w:p>
        </w:tc>
        <w:tc>
          <w:tcPr>
            <w:tcW w:w="850" w:type="dxa"/>
          </w:tcPr>
          <w:p w14:paraId="62A8886E" w14:textId="32D95FBC" w:rsidR="00634AF0" w:rsidRPr="00E73BB1" w:rsidRDefault="00634AF0" w:rsidP="00634AF0">
            <w:pPr>
              <w:pStyle w:val="EndNoteBibliographyTitle"/>
              <w:tabs>
                <w:tab w:val="decimal" w:pos="240"/>
              </w:tabs>
              <w:jc w:val="left"/>
            </w:pPr>
          </w:p>
        </w:tc>
        <w:tc>
          <w:tcPr>
            <w:tcW w:w="1418" w:type="dxa"/>
          </w:tcPr>
          <w:p w14:paraId="5014569B" w14:textId="071E5CC3" w:rsidR="00634AF0" w:rsidRPr="00E73BB1" w:rsidRDefault="00634AF0" w:rsidP="00634AF0">
            <w:pPr>
              <w:pStyle w:val="EndNoteBibliographyTitle"/>
              <w:tabs>
                <w:tab w:val="decimal" w:pos="240"/>
              </w:tabs>
              <w:jc w:val="left"/>
            </w:pPr>
          </w:p>
        </w:tc>
        <w:tc>
          <w:tcPr>
            <w:tcW w:w="1701" w:type="dxa"/>
          </w:tcPr>
          <w:p w14:paraId="6213E1B2" w14:textId="5E65EC12" w:rsidR="00634AF0" w:rsidRPr="00E73BB1" w:rsidRDefault="00634AF0" w:rsidP="00634AF0">
            <w:pPr>
              <w:pStyle w:val="EndNoteBibliographyTitle"/>
              <w:tabs>
                <w:tab w:val="decimal" w:pos="240"/>
              </w:tabs>
              <w:jc w:val="left"/>
            </w:pPr>
          </w:p>
        </w:tc>
      </w:tr>
      <w:tr w:rsidR="00634AF0" w:rsidRPr="00E73BB1" w14:paraId="5103F661" w14:textId="77777777" w:rsidTr="009E48F6">
        <w:tc>
          <w:tcPr>
            <w:tcW w:w="1692" w:type="dxa"/>
          </w:tcPr>
          <w:p w14:paraId="20DFCEED" w14:textId="6B9ABAD3" w:rsidR="00634AF0" w:rsidRPr="00E73BB1" w:rsidRDefault="00373417" w:rsidP="009161D3">
            <w:pPr>
              <w:pStyle w:val="EndNoteBibliographyTitle"/>
              <w:ind w:left="177"/>
              <w:jc w:val="left"/>
            </w:pPr>
            <w:r w:rsidRPr="00E73BB1">
              <w:t xml:space="preserve">  </w:t>
            </w:r>
            <w:r w:rsidR="00634AF0" w:rsidRPr="00E73BB1">
              <w:t>BES</w:t>
            </w:r>
          </w:p>
        </w:tc>
        <w:tc>
          <w:tcPr>
            <w:tcW w:w="855" w:type="dxa"/>
          </w:tcPr>
          <w:p w14:paraId="45121969" w14:textId="4B3FDEFA" w:rsidR="00634AF0" w:rsidRPr="00E73BB1" w:rsidRDefault="00634AF0" w:rsidP="00634AF0">
            <w:pPr>
              <w:pStyle w:val="EndNoteBibliographyTitle"/>
              <w:tabs>
                <w:tab w:val="decimal" w:pos="240"/>
              </w:tabs>
              <w:jc w:val="left"/>
            </w:pPr>
            <w:r w:rsidRPr="00E73BB1">
              <w:t>.382</w:t>
            </w:r>
          </w:p>
        </w:tc>
        <w:tc>
          <w:tcPr>
            <w:tcW w:w="1417" w:type="dxa"/>
          </w:tcPr>
          <w:p w14:paraId="6265BDA4" w14:textId="6C59F59C" w:rsidR="00634AF0" w:rsidRPr="00E73BB1" w:rsidRDefault="00634AF0" w:rsidP="00634AF0">
            <w:pPr>
              <w:pStyle w:val="EndNoteBibliographyTitle"/>
              <w:tabs>
                <w:tab w:val="decimal" w:pos="240"/>
              </w:tabs>
              <w:jc w:val="left"/>
            </w:pPr>
            <w:r w:rsidRPr="00E73BB1">
              <w:t>33.22***</w:t>
            </w:r>
          </w:p>
        </w:tc>
        <w:tc>
          <w:tcPr>
            <w:tcW w:w="1840" w:type="dxa"/>
          </w:tcPr>
          <w:p w14:paraId="74291704" w14:textId="523044E0" w:rsidR="00634AF0" w:rsidRPr="00E73BB1" w:rsidRDefault="00634AF0" w:rsidP="00634AF0">
            <w:pPr>
              <w:pStyle w:val="EndNoteBibliographyTitle"/>
              <w:tabs>
                <w:tab w:val="decimal" w:pos="240"/>
              </w:tabs>
              <w:jc w:val="left"/>
            </w:pPr>
            <w:r w:rsidRPr="00E73BB1">
              <w:t>.30 (2.12)*</w:t>
            </w:r>
          </w:p>
        </w:tc>
        <w:tc>
          <w:tcPr>
            <w:tcW w:w="854" w:type="dxa"/>
          </w:tcPr>
          <w:p w14:paraId="6764D782" w14:textId="20CF3219" w:rsidR="00634AF0" w:rsidRPr="00E73BB1" w:rsidRDefault="00634AF0" w:rsidP="00634AF0">
            <w:pPr>
              <w:pStyle w:val="EndNoteBibliographyTitle"/>
              <w:tabs>
                <w:tab w:val="decimal" w:pos="240"/>
              </w:tabs>
              <w:jc w:val="left"/>
            </w:pPr>
            <w:r w:rsidRPr="00E73BB1">
              <w:t>.143</w:t>
            </w:r>
          </w:p>
        </w:tc>
        <w:tc>
          <w:tcPr>
            <w:tcW w:w="1417" w:type="dxa"/>
          </w:tcPr>
          <w:p w14:paraId="22AC752A" w14:textId="47C1B210" w:rsidR="00634AF0" w:rsidRPr="00E73BB1" w:rsidRDefault="00634AF0" w:rsidP="00634AF0">
            <w:pPr>
              <w:pStyle w:val="EndNoteBibliographyTitle"/>
              <w:tabs>
                <w:tab w:val="decimal" w:pos="240"/>
              </w:tabs>
              <w:jc w:val="left"/>
            </w:pPr>
            <w:r w:rsidRPr="00E73BB1">
              <w:t>8.17**</w:t>
            </w:r>
          </w:p>
        </w:tc>
        <w:tc>
          <w:tcPr>
            <w:tcW w:w="1985" w:type="dxa"/>
          </w:tcPr>
          <w:p w14:paraId="4D17850E" w14:textId="6CD8E681" w:rsidR="00634AF0" w:rsidRPr="00E73BB1" w:rsidRDefault="00634AF0" w:rsidP="00634AF0">
            <w:pPr>
              <w:pStyle w:val="EndNoteBibliographyTitle"/>
              <w:tabs>
                <w:tab w:val="decimal" w:pos="240"/>
              </w:tabs>
              <w:jc w:val="left"/>
            </w:pPr>
            <w:r w:rsidRPr="00E73BB1">
              <w:t>-.06 (-.36)</w:t>
            </w:r>
          </w:p>
        </w:tc>
        <w:tc>
          <w:tcPr>
            <w:tcW w:w="850" w:type="dxa"/>
          </w:tcPr>
          <w:p w14:paraId="1A5837CA" w14:textId="580FC2C5" w:rsidR="00634AF0" w:rsidRPr="00E73BB1" w:rsidRDefault="00634AF0" w:rsidP="00634AF0">
            <w:pPr>
              <w:pStyle w:val="EndNoteBibliographyTitle"/>
              <w:tabs>
                <w:tab w:val="decimal" w:pos="240"/>
              </w:tabs>
              <w:jc w:val="left"/>
            </w:pPr>
            <w:r w:rsidRPr="00E73BB1">
              <w:t>.203</w:t>
            </w:r>
          </w:p>
        </w:tc>
        <w:tc>
          <w:tcPr>
            <w:tcW w:w="1418" w:type="dxa"/>
          </w:tcPr>
          <w:p w14:paraId="456101B8" w14:textId="6FAFEC96" w:rsidR="00634AF0" w:rsidRPr="00E73BB1" w:rsidRDefault="00634AF0" w:rsidP="00634AF0">
            <w:pPr>
              <w:pStyle w:val="EndNoteBibliographyTitle"/>
              <w:tabs>
                <w:tab w:val="decimal" w:pos="240"/>
              </w:tabs>
              <w:jc w:val="left"/>
            </w:pPr>
            <w:r w:rsidRPr="00E73BB1">
              <w:t>11.37***</w:t>
            </w:r>
          </w:p>
        </w:tc>
        <w:tc>
          <w:tcPr>
            <w:tcW w:w="1701" w:type="dxa"/>
          </w:tcPr>
          <w:p w14:paraId="358BD8AB" w14:textId="4B141B58" w:rsidR="00634AF0" w:rsidRPr="00E73BB1" w:rsidRDefault="00634AF0" w:rsidP="00634AF0">
            <w:pPr>
              <w:pStyle w:val="EndNoteBibliographyTitle"/>
              <w:tabs>
                <w:tab w:val="decimal" w:pos="240"/>
              </w:tabs>
              <w:jc w:val="left"/>
            </w:pPr>
            <w:r w:rsidRPr="00E73BB1">
              <w:t>.24 (1.31)</w:t>
            </w:r>
          </w:p>
        </w:tc>
      </w:tr>
      <w:tr w:rsidR="00634AF0" w:rsidRPr="00E73BB1" w14:paraId="041E0208" w14:textId="2FC657CF" w:rsidTr="009E48F6">
        <w:tc>
          <w:tcPr>
            <w:tcW w:w="1692" w:type="dxa"/>
          </w:tcPr>
          <w:p w14:paraId="403A8FCB" w14:textId="146658C2" w:rsidR="00634AF0" w:rsidRPr="00E73BB1" w:rsidRDefault="00373417" w:rsidP="009161D3">
            <w:pPr>
              <w:pStyle w:val="EndNoteBibliographyTitle"/>
              <w:ind w:left="177"/>
              <w:jc w:val="left"/>
            </w:pPr>
            <w:r w:rsidRPr="00E73BB1">
              <w:t xml:space="preserve">  </w:t>
            </w:r>
            <w:r w:rsidR="00634AF0" w:rsidRPr="00E73BB1">
              <w:t>BASS</w:t>
            </w:r>
          </w:p>
        </w:tc>
        <w:tc>
          <w:tcPr>
            <w:tcW w:w="855" w:type="dxa"/>
          </w:tcPr>
          <w:p w14:paraId="21AB24A8" w14:textId="77777777" w:rsidR="00634AF0" w:rsidRPr="00E73BB1" w:rsidRDefault="00634AF0" w:rsidP="00634AF0">
            <w:pPr>
              <w:pStyle w:val="EndNoteBibliographyTitle"/>
              <w:tabs>
                <w:tab w:val="decimal" w:pos="240"/>
              </w:tabs>
              <w:jc w:val="left"/>
            </w:pPr>
          </w:p>
        </w:tc>
        <w:tc>
          <w:tcPr>
            <w:tcW w:w="1417" w:type="dxa"/>
          </w:tcPr>
          <w:p w14:paraId="3DAA1207" w14:textId="77777777" w:rsidR="00634AF0" w:rsidRPr="00E73BB1" w:rsidRDefault="00634AF0" w:rsidP="00634AF0">
            <w:pPr>
              <w:pStyle w:val="EndNoteBibliographyTitle"/>
              <w:tabs>
                <w:tab w:val="decimal" w:pos="240"/>
              </w:tabs>
              <w:jc w:val="left"/>
            </w:pPr>
          </w:p>
        </w:tc>
        <w:tc>
          <w:tcPr>
            <w:tcW w:w="1840" w:type="dxa"/>
          </w:tcPr>
          <w:p w14:paraId="40827DF2" w14:textId="13F531AB" w:rsidR="00634AF0" w:rsidRPr="00E73BB1" w:rsidRDefault="00634AF0" w:rsidP="00634AF0">
            <w:pPr>
              <w:pStyle w:val="EndNoteBibliographyTitle"/>
              <w:tabs>
                <w:tab w:val="decimal" w:pos="240"/>
              </w:tabs>
              <w:jc w:val="left"/>
            </w:pPr>
            <w:r w:rsidRPr="00E73BB1">
              <w:t>.25 (2.19)*</w:t>
            </w:r>
          </w:p>
        </w:tc>
        <w:tc>
          <w:tcPr>
            <w:tcW w:w="854" w:type="dxa"/>
          </w:tcPr>
          <w:p w14:paraId="692679DD" w14:textId="01F3CD28" w:rsidR="00634AF0" w:rsidRPr="00E73BB1" w:rsidRDefault="00634AF0" w:rsidP="00634AF0">
            <w:pPr>
              <w:pStyle w:val="EndNoteBibliographyTitle"/>
              <w:tabs>
                <w:tab w:val="decimal" w:pos="240"/>
              </w:tabs>
              <w:jc w:val="left"/>
            </w:pPr>
          </w:p>
        </w:tc>
        <w:tc>
          <w:tcPr>
            <w:tcW w:w="1417" w:type="dxa"/>
          </w:tcPr>
          <w:p w14:paraId="6E0B7385" w14:textId="77777777" w:rsidR="00634AF0" w:rsidRPr="00E73BB1" w:rsidRDefault="00634AF0" w:rsidP="00634AF0">
            <w:pPr>
              <w:pStyle w:val="EndNoteBibliographyTitle"/>
              <w:tabs>
                <w:tab w:val="decimal" w:pos="240"/>
              </w:tabs>
              <w:jc w:val="left"/>
            </w:pPr>
          </w:p>
        </w:tc>
        <w:tc>
          <w:tcPr>
            <w:tcW w:w="1985" w:type="dxa"/>
          </w:tcPr>
          <w:p w14:paraId="1E6D5DBA" w14:textId="22B0BBE3" w:rsidR="00634AF0" w:rsidRPr="00E73BB1" w:rsidRDefault="00634AF0" w:rsidP="00634AF0">
            <w:pPr>
              <w:pStyle w:val="EndNoteBibliographyTitle"/>
              <w:tabs>
                <w:tab w:val="decimal" w:pos="240"/>
              </w:tabs>
              <w:jc w:val="left"/>
            </w:pPr>
            <w:r w:rsidRPr="00E73BB1">
              <w:t>-.06 (-.48)</w:t>
            </w:r>
          </w:p>
        </w:tc>
        <w:tc>
          <w:tcPr>
            <w:tcW w:w="850" w:type="dxa"/>
          </w:tcPr>
          <w:p w14:paraId="2AC76C2A" w14:textId="3F4A3F5B" w:rsidR="00634AF0" w:rsidRPr="00E73BB1" w:rsidRDefault="00634AF0" w:rsidP="00634AF0">
            <w:pPr>
              <w:pStyle w:val="EndNoteBibliographyTitle"/>
              <w:tabs>
                <w:tab w:val="decimal" w:pos="240"/>
              </w:tabs>
              <w:jc w:val="left"/>
            </w:pPr>
          </w:p>
        </w:tc>
        <w:tc>
          <w:tcPr>
            <w:tcW w:w="1418" w:type="dxa"/>
          </w:tcPr>
          <w:p w14:paraId="62362F79" w14:textId="7686C1D8" w:rsidR="00634AF0" w:rsidRPr="00E73BB1" w:rsidRDefault="00634AF0" w:rsidP="00634AF0">
            <w:pPr>
              <w:pStyle w:val="EndNoteBibliographyTitle"/>
              <w:tabs>
                <w:tab w:val="decimal" w:pos="240"/>
              </w:tabs>
              <w:jc w:val="left"/>
            </w:pPr>
          </w:p>
        </w:tc>
        <w:tc>
          <w:tcPr>
            <w:tcW w:w="1701" w:type="dxa"/>
          </w:tcPr>
          <w:p w14:paraId="67237A7C" w14:textId="747DA941" w:rsidR="00634AF0" w:rsidRPr="00E73BB1" w:rsidRDefault="00634AF0" w:rsidP="00634AF0">
            <w:pPr>
              <w:pStyle w:val="EndNoteBibliographyTitle"/>
              <w:tabs>
                <w:tab w:val="decimal" w:pos="240"/>
              </w:tabs>
              <w:jc w:val="left"/>
            </w:pPr>
            <w:r w:rsidRPr="00E73BB1">
              <w:t>.15 (1.03)</w:t>
            </w:r>
          </w:p>
        </w:tc>
      </w:tr>
      <w:tr w:rsidR="00634AF0" w:rsidRPr="00E73BB1" w14:paraId="6AA9D672" w14:textId="571EE287" w:rsidTr="009E48F6">
        <w:tc>
          <w:tcPr>
            <w:tcW w:w="1692" w:type="dxa"/>
          </w:tcPr>
          <w:p w14:paraId="6301C27E" w14:textId="6C5869AF" w:rsidR="00634AF0" w:rsidRPr="00E73BB1" w:rsidRDefault="00634AF0" w:rsidP="009161D3">
            <w:pPr>
              <w:pStyle w:val="EndNoteBibliographyTitle"/>
              <w:ind w:left="177"/>
              <w:jc w:val="left"/>
            </w:pPr>
            <w:r w:rsidRPr="00E73BB1">
              <w:t xml:space="preserve">Step 3: </w:t>
            </w:r>
          </w:p>
        </w:tc>
        <w:tc>
          <w:tcPr>
            <w:tcW w:w="855" w:type="dxa"/>
          </w:tcPr>
          <w:p w14:paraId="558F45CC" w14:textId="3393FE75" w:rsidR="00634AF0" w:rsidRPr="00E73BB1" w:rsidRDefault="00634AF0" w:rsidP="00634AF0">
            <w:pPr>
              <w:pStyle w:val="EndNoteBibliographyTitle"/>
              <w:tabs>
                <w:tab w:val="decimal" w:pos="240"/>
              </w:tabs>
              <w:jc w:val="left"/>
            </w:pPr>
          </w:p>
        </w:tc>
        <w:tc>
          <w:tcPr>
            <w:tcW w:w="1417" w:type="dxa"/>
          </w:tcPr>
          <w:p w14:paraId="74757DC5" w14:textId="291C090D" w:rsidR="00634AF0" w:rsidRPr="00E73BB1" w:rsidRDefault="00634AF0" w:rsidP="00634AF0">
            <w:pPr>
              <w:pStyle w:val="EndNoteBibliographyTitle"/>
              <w:tabs>
                <w:tab w:val="decimal" w:pos="240"/>
              </w:tabs>
              <w:jc w:val="left"/>
            </w:pPr>
          </w:p>
        </w:tc>
        <w:tc>
          <w:tcPr>
            <w:tcW w:w="1840" w:type="dxa"/>
          </w:tcPr>
          <w:p w14:paraId="5A66E686" w14:textId="02D46464" w:rsidR="00634AF0" w:rsidRPr="00E73BB1" w:rsidRDefault="00634AF0" w:rsidP="00634AF0">
            <w:pPr>
              <w:pStyle w:val="EndNoteBibliographyTitle"/>
              <w:tabs>
                <w:tab w:val="decimal" w:pos="240"/>
              </w:tabs>
              <w:jc w:val="left"/>
            </w:pPr>
          </w:p>
        </w:tc>
        <w:tc>
          <w:tcPr>
            <w:tcW w:w="854" w:type="dxa"/>
          </w:tcPr>
          <w:p w14:paraId="38A69B8A" w14:textId="53F1EB15" w:rsidR="00634AF0" w:rsidRPr="00E73BB1" w:rsidRDefault="00634AF0" w:rsidP="00634AF0">
            <w:pPr>
              <w:pStyle w:val="EndNoteBibliographyTitle"/>
              <w:tabs>
                <w:tab w:val="decimal" w:pos="240"/>
              </w:tabs>
              <w:jc w:val="left"/>
            </w:pPr>
          </w:p>
        </w:tc>
        <w:tc>
          <w:tcPr>
            <w:tcW w:w="1417" w:type="dxa"/>
          </w:tcPr>
          <w:p w14:paraId="7C813869" w14:textId="4766F5D6" w:rsidR="00634AF0" w:rsidRPr="00E73BB1" w:rsidRDefault="00634AF0" w:rsidP="00634AF0">
            <w:pPr>
              <w:pStyle w:val="EndNoteBibliographyTitle"/>
              <w:tabs>
                <w:tab w:val="decimal" w:pos="240"/>
              </w:tabs>
              <w:jc w:val="left"/>
            </w:pPr>
          </w:p>
        </w:tc>
        <w:tc>
          <w:tcPr>
            <w:tcW w:w="1985" w:type="dxa"/>
          </w:tcPr>
          <w:p w14:paraId="0621A7A2" w14:textId="3E1BB120" w:rsidR="00634AF0" w:rsidRPr="00E73BB1" w:rsidRDefault="00634AF0" w:rsidP="00634AF0">
            <w:pPr>
              <w:pStyle w:val="EndNoteBibliographyTitle"/>
              <w:tabs>
                <w:tab w:val="decimal" w:pos="240"/>
              </w:tabs>
              <w:jc w:val="left"/>
            </w:pPr>
          </w:p>
        </w:tc>
        <w:tc>
          <w:tcPr>
            <w:tcW w:w="850" w:type="dxa"/>
          </w:tcPr>
          <w:p w14:paraId="2927038E" w14:textId="6671FD9F" w:rsidR="00634AF0" w:rsidRPr="00E73BB1" w:rsidRDefault="00634AF0" w:rsidP="00634AF0">
            <w:pPr>
              <w:pStyle w:val="EndNoteBibliographyTitle"/>
              <w:tabs>
                <w:tab w:val="decimal" w:pos="240"/>
              </w:tabs>
              <w:jc w:val="left"/>
            </w:pPr>
          </w:p>
        </w:tc>
        <w:tc>
          <w:tcPr>
            <w:tcW w:w="1418" w:type="dxa"/>
          </w:tcPr>
          <w:p w14:paraId="3D4E3562" w14:textId="5B51A69F" w:rsidR="00634AF0" w:rsidRPr="00E73BB1" w:rsidRDefault="00634AF0" w:rsidP="00634AF0">
            <w:pPr>
              <w:pStyle w:val="EndNoteBibliographyTitle"/>
              <w:tabs>
                <w:tab w:val="decimal" w:pos="240"/>
              </w:tabs>
              <w:jc w:val="left"/>
            </w:pPr>
          </w:p>
        </w:tc>
        <w:tc>
          <w:tcPr>
            <w:tcW w:w="1701" w:type="dxa"/>
          </w:tcPr>
          <w:p w14:paraId="56E53C11" w14:textId="68B0A25D" w:rsidR="00634AF0" w:rsidRPr="00E73BB1" w:rsidRDefault="00634AF0" w:rsidP="00634AF0">
            <w:pPr>
              <w:pStyle w:val="EndNoteBibliographyTitle"/>
              <w:tabs>
                <w:tab w:val="decimal" w:pos="240"/>
              </w:tabs>
              <w:jc w:val="left"/>
            </w:pPr>
          </w:p>
        </w:tc>
      </w:tr>
      <w:tr w:rsidR="00634AF0" w:rsidRPr="00E73BB1" w14:paraId="1111F90A" w14:textId="77777777" w:rsidTr="009E48F6">
        <w:tc>
          <w:tcPr>
            <w:tcW w:w="1692" w:type="dxa"/>
          </w:tcPr>
          <w:p w14:paraId="726D424A" w14:textId="6A36910F" w:rsidR="00634AF0" w:rsidRPr="00E73BB1" w:rsidRDefault="00373417" w:rsidP="009161D3">
            <w:pPr>
              <w:pStyle w:val="EndNoteBibliographyTitle"/>
              <w:ind w:left="177"/>
              <w:jc w:val="left"/>
            </w:pPr>
            <w:r w:rsidRPr="00E73BB1">
              <w:t xml:space="preserve">  </w:t>
            </w:r>
            <w:r w:rsidR="00634AF0" w:rsidRPr="00E73BB1">
              <w:t>CIA</w:t>
            </w:r>
          </w:p>
        </w:tc>
        <w:tc>
          <w:tcPr>
            <w:tcW w:w="855" w:type="dxa"/>
          </w:tcPr>
          <w:p w14:paraId="649514AE" w14:textId="570F2725" w:rsidR="00634AF0" w:rsidRPr="00E73BB1" w:rsidRDefault="00634AF0" w:rsidP="00634AF0">
            <w:pPr>
              <w:pStyle w:val="EndNoteBibliographyTitle"/>
              <w:tabs>
                <w:tab w:val="decimal" w:pos="240"/>
              </w:tabs>
              <w:jc w:val="left"/>
            </w:pPr>
            <w:r w:rsidRPr="00E73BB1">
              <w:t>.001</w:t>
            </w:r>
          </w:p>
        </w:tc>
        <w:tc>
          <w:tcPr>
            <w:tcW w:w="1417" w:type="dxa"/>
          </w:tcPr>
          <w:p w14:paraId="46474488" w14:textId="1D9D2A3D" w:rsidR="00634AF0" w:rsidRPr="00E73BB1" w:rsidRDefault="00AC5AAE" w:rsidP="00634AF0">
            <w:pPr>
              <w:pStyle w:val="EndNoteBibliographyTitle"/>
              <w:tabs>
                <w:tab w:val="decimal" w:pos="240"/>
              </w:tabs>
              <w:jc w:val="left"/>
            </w:pPr>
            <w:r w:rsidRPr="00E73BB1">
              <w:t>0</w:t>
            </w:r>
            <w:r w:rsidR="00634AF0" w:rsidRPr="00E73BB1">
              <w:t>.22</w:t>
            </w:r>
          </w:p>
        </w:tc>
        <w:tc>
          <w:tcPr>
            <w:tcW w:w="1840" w:type="dxa"/>
          </w:tcPr>
          <w:p w14:paraId="371CEFC5" w14:textId="4E2A5AB3" w:rsidR="00634AF0" w:rsidRPr="00E73BB1" w:rsidRDefault="00634AF0" w:rsidP="00634AF0">
            <w:pPr>
              <w:pStyle w:val="EndNoteBibliographyTitle"/>
              <w:tabs>
                <w:tab w:val="decimal" w:pos="240"/>
              </w:tabs>
              <w:jc w:val="left"/>
            </w:pPr>
            <w:r w:rsidRPr="00E73BB1">
              <w:t>.10 (.80)</w:t>
            </w:r>
          </w:p>
        </w:tc>
        <w:tc>
          <w:tcPr>
            <w:tcW w:w="854" w:type="dxa"/>
          </w:tcPr>
          <w:p w14:paraId="6C2734A7" w14:textId="49E66C0E" w:rsidR="00634AF0" w:rsidRPr="00E73BB1" w:rsidRDefault="00634AF0" w:rsidP="00634AF0">
            <w:pPr>
              <w:pStyle w:val="EndNoteBibliographyTitle"/>
              <w:tabs>
                <w:tab w:val="decimal" w:pos="240"/>
              </w:tabs>
              <w:jc w:val="left"/>
            </w:pPr>
            <w:r w:rsidRPr="00E73BB1">
              <w:t>.057</w:t>
            </w:r>
          </w:p>
        </w:tc>
        <w:tc>
          <w:tcPr>
            <w:tcW w:w="1417" w:type="dxa"/>
          </w:tcPr>
          <w:p w14:paraId="371BCD93" w14:textId="27CC2590" w:rsidR="00634AF0" w:rsidRPr="00E73BB1" w:rsidRDefault="00634AF0" w:rsidP="00634AF0">
            <w:pPr>
              <w:pStyle w:val="EndNoteBibliographyTitle"/>
              <w:tabs>
                <w:tab w:val="decimal" w:pos="240"/>
              </w:tabs>
              <w:jc w:val="left"/>
            </w:pPr>
            <w:r w:rsidRPr="00E73BB1">
              <w:t>6.97*</w:t>
            </w:r>
          </w:p>
        </w:tc>
        <w:tc>
          <w:tcPr>
            <w:tcW w:w="1985" w:type="dxa"/>
          </w:tcPr>
          <w:p w14:paraId="40AA5140" w14:textId="5DC9BBEF" w:rsidR="00634AF0" w:rsidRPr="00E73BB1" w:rsidRDefault="00634AF0" w:rsidP="00634AF0">
            <w:pPr>
              <w:pStyle w:val="EndNoteBibliographyTitle"/>
              <w:tabs>
                <w:tab w:val="decimal" w:pos="240"/>
              </w:tabs>
              <w:jc w:val="left"/>
            </w:pPr>
            <w:r w:rsidRPr="00E73BB1">
              <w:t>.34 (2.20)*</w:t>
            </w:r>
          </w:p>
        </w:tc>
        <w:tc>
          <w:tcPr>
            <w:tcW w:w="850" w:type="dxa"/>
          </w:tcPr>
          <w:p w14:paraId="60FBDDB6" w14:textId="1F3BA9A0" w:rsidR="00634AF0" w:rsidRPr="00E73BB1" w:rsidRDefault="00634AF0" w:rsidP="00634AF0">
            <w:pPr>
              <w:pStyle w:val="EndNoteBibliographyTitle"/>
              <w:tabs>
                <w:tab w:val="decimal" w:pos="240"/>
              </w:tabs>
              <w:jc w:val="left"/>
            </w:pPr>
            <w:r w:rsidRPr="00E73BB1">
              <w:t>.004</w:t>
            </w:r>
          </w:p>
        </w:tc>
        <w:tc>
          <w:tcPr>
            <w:tcW w:w="1418" w:type="dxa"/>
          </w:tcPr>
          <w:p w14:paraId="39758AAD" w14:textId="247A6059" w:rsidR="00634AF0" w:rsidRPr="00E73BB1" w:rsidRDefault="00AC5AAE" w:rsidP="00634AF0">
            <w:pPr>
              <w:pStyle w:val="EndNoteBibliographyTitle"/>
              <w:tabs>
                <w:tab w:val="decimal" w:pos="240"/>
              </w:tabs>
              <w:jc w:val="left"/>
            </w:pPr>
            <w:r w:rsidRPr="00E73BB1">
              <w:t>0</w:t>
            </w:r>
            <w:r w:rsidR="00634AF0" w:rsidRPr="00E73BB1">
              <w:t>.40</w:t>
            </w:r>
          </w:p>
        </w:tc>
        <w:tc>
          <w:tcPr>
            <w:tcW w:w="1701" w:type="dxa"/>
          </w:tcPr>
          <w:p w14:paraId="6D55D67A" w14:textId="0F020EE1" w:rsidR="00634AF0" w:rsidRPr="00E73BB1" w:rsidRDefault="00634AF0" w:rsidP="00634AF0">
            <w:pPr>
              <w:pStyle w:val="EndNoteBibliographyTitle"/>
              <w:tabs>
                <w:tab w:val="decimal" w:pos="240"/>
              </w:tabs>
              <w:jc w:val="left"/>
            </w:pPr>
            <w:r w:rsidRPr="00E73BB1">
              <w:t>-.03 (-</w:t>
            </w:r>
            <w:r w:rsidR="001659F2" w:rsidRPr="00E73BB1">
              <w:t>0</w:t>
            </w:r>
            <w:r w:rsidRPr="00E73BB1">
              <w:t>.18)</w:t>
            </w:r>
          </w:p>
        </w:tc>
      </w:tr>
      <w:tr w:rsidR="00634AF0" w:rsidRPr="00E73BB1" w14:paraId="0336D257" w14:textId="77777777" w:rsidTr="009E48F6">
        <w:tc>
          <w:tcPr>
            <w:tcW w:w="1692" w:type="dxa"/>
          </w:tcPr>
          <w:p w14:paraId="1A6E3EEA" w14:textId="3F879A93" w:rsidR="00634AF0" w:rsidRPr="00E73BB1" w:rsidRDefault="00634AF0" w:rsidP="009161D3">
            <w:pPr>
              <w:pStyle w:val="EndNoteBibliographyTitle"/>
              <w:ind w:left="177"/>
              <w:jc w:val="left"/>
            </w:pPr>
            <w:r w:rsidRPr="00E73BB1">
              <w:t xml:space="preserve">Step 4: </w:t>
            </w:r>
          </w:p>
        </w:tc>
        <w:tc>
          <w:tcPr>
            <w:tcW w:w="855" w:type="dxa"/>
          </w:tcPr>
          <w:p w14:paraId="12705461" w14:textId="77777777" w:rsidR="00634AF0" w:rsidRPr="00E73BB1" w:rsidRDefault="00634AF0" w:rsidP="00634AF0">
            <w:pPr>
              <w:pStyle w:val="EndNoteBibliographyTitle"/>
              <w:tabs>
                <w:tab w:val="decimal" w:pos="240"/>
              </w:tabs>
              <w:jc w:val="left"/>
            </w:pPr>
          </w:p>
        </w:tc>
        <w:tc>
          <w:tcPr>
            <w:tcW w:w="1417" w:type="dxa"/>
          </w:tcPr>
          <w:p w14:paraId="7A61B7A5" w14:textId="77777777" w:rsidR="00634AF0" w:rsidRPr="00E73BB1" w:rsidRDefault="00634AF0" w:rsidP="00634AF0">
            <w:pPr>
              <w:pStyle w:val="EndNoteBibliographyTitle"/>
              <w:tabs>
                <w:tab w:val="decimal" w:pos="240"/>
              </w:tabs>
              <w:jc w:val="left"/>
            </w:pPr>
          </w:p>
        </w:tc>
        <w:tc>
          <w:tcPr>
            <w:tcW w:w="1840" w:type="dxa"/>
          </w:tcPr>
          <w:p w14:paraId="11CF2DCE" w14:textId="77777777" w:rsidR="00634AF0" w:rsidRPr="00E73BB1" w:rsidRDefault="00634AF0" w:rsidP="00634AF0">
            <w:pPr>
              <w:pStyle w:val="EndNoteBibliographyTitle"/>
              <w:tabs>
                <w:tab w:val="decimal" w:pos="240"/>
              </w:tabs>
              <w:jc w:val="left"/>
            </w:pPr>
          </w:p>
        </w:tc>
        <w:tc>
          <w:tcPr>
            <w:tcW w:w="854" w:type="dxa"/>
          </w:tcPr>
          <w:p w14:paraId="541CEADC" w14:textId="77777777" w:rsidR="00634AF0" w:rsidRPr="00E73BB1" w:rsidRDefault="00634AF0" w:rsidP="00634AF0">
            <w:pPr>
              <w:pStyle w:val="EndNoteBibliographyTitle"/>
              <w:tabs>
                <w:tab w:val="decimal" w:pos="240"/>
              </w:tabs>
              <w:jc w:val="left"/>
            </w:pPr>
          </w:p>
        </w:tc>
        <w:tc>
          <w:tcPr>
            <w:tcW w:w="1417" w:type="dxa"/>
          </w:tcPr>
          <w:p w14:paraId="746AEE82" w14:textId="77777777" w:rsidR="00634AF0" w:rsidRPr="00E73BB1" w:rsidRDefault="00634AF0" w:rsidP="00634AF0">
            <w:pPr>
              <w:pStyle w:val="EndNoteBibliographyTitle"/>
              <w:tabs>
                <w:tab w:val="decimal" w:pos="240"/>
              </w:tabs>
              <w:jc w:val="left"/>
            </w:pPr>
          </w:p>
        </w:tc>
        <w:tc>
          <w:tcPr>
            <w:tcW w:w="1985" w:type="dxa"/>
          </w:tcPr>
          <w:p w14:paraId="454CE358" w14:textId="77777777" w:rsidR="00634AF0" w:rsidRPr="00E73BB1" w:rsidRDefault="00634AF0" w:rsidP="00634AF0">
            <w:pPr>
              <w:pStyle w:val="EndNoteBibliographyTitle"/>
              <w:tabs>
                <w:tab w:val="decimal" w:pos="240"/>
              </w:tabs>
              <w:jc w:val="left"/>
            </w:pPr>
          </w:p>
        </w:tc>
        <w:tc>
          <w:tcPr>
            <w:tcW w:w="850" w:type="dxa"/>
          </w:tcPr>
          <w:p w14:paraId="31BA7306" w14:textId="77777777" w:rsidR="00634AF0" w:rsidRPr="00E73BB1" w:rsidRDefault="00634AF0" w:rsidP="00634AF0">
            <w:pPr>
              <w:pStyle w:val="EndNoteBibliographyTitle"/>
              <w:tabs>
                <w:tab w:val="decimal" w:pos="240"/>
              </w:tabs>
              <w:jc w:val="left"/>
            </w:pPr>
          </w:p>
        </w:tc>
        <w:tc>
          <w:tcPr>
            <w:tcW w:w="1418" w:type="dxa"/>
          </w:tcPr>
          <w:p w14:paraId="58DB6EAA" w14:textId="77777777" w:rsidR="00634AF0" w:rsidRPr="00E73BB1" w:rsidRDefault="00634AF0" w:rsidP="00634AF0">
            <w:pPr>
              <w:pStyle w:val="EndNoteBibliographyTitle"/>
              <w:tabs>
                <w:tab w:val="decimal" w:pos="240"/>
              </w:tabs>
              <w:jc w:val="left"/>
            </w:pPr>
          </w:p>
        </w:tc>
        <w:tc>
          <w:tcPr>
            <w:tcW w:w="1701" w:type="dxa"/>
          </w:tcPr>
          <w:p w14:paraId="75316684" w14:textId="77777777" w:rsidR="00634AF0" w:rsidRPr="00E73BB1" w:rsidRDefault="00634AF0" w:rsidP="00634AF0">
            <w:pPr>
              <w:pStyle w:val="EndNoteBibliographyTitle"/>
              <w:tabs>
                <w:tab w:val="decimal" w:pos="240"/>
              </w:tabs>
              <w:jc w:val="left"/>
            </w:pPr>
          </w:p>
        </w:tc>
      </w:tr>
      <w:tr w:rsidR="00634AF0" w:rsidRPr="00E73BB1" w14:paraId="5347EC5E" w14:textId="333E4F03" w:rsidTr="009E48F6">
        <w:tc>
          <w:tcPr>
            <w:tcW w:w="1692" w:type="dxa"/>
            <w:tcBorders>
              <w:bottom w:val="single" w:sz="4" w:space="0" w:color="auto"/>
            </w:tcBorders>
          </w:tcPr>
          <w:p w14:paraId="35BE4625" w14:textId="273157EC" w:rsidR="00634AF0" w:rsidRPr="00E73BB1" w:rsidRDefault="00373417" w:rsidP="009161D3">
            <w:pPr>
              <w:pStyle w:val="EndNoteBibliographyTitle"/>
              <w:ind w:left="177"/>
              <w:jc w:val="left"/>
            </w:pPr>
            <w:r w:rsidRPr="00E73BB1">
              <w:t xml:space="preserve">  </w:t>
            </w:r>
            <w:r w:rsidR="00BF4760" w:rsidRPr="00E73BB1">
              <w:t>BILD-Q</w:t>
            </w:r>
          </w:p>
        </w:tc>
        <w:tc>
          <w:tcPr>
            <w:tcW w:w="855" w:type="dxa"/>
            <w:tcBorders>
              <w:bottom w:val="single" w:sz="4" w:space="0" w:color="auto"/>
            </w:tcBorders>
          </w:tcPr>
          <w:p w14:paraId="5F95C50B" w14:textId="1AFEBB19" w:rsidR="00634AF0" w:rsidRPr="00E73BB1" w:rsidRDefault="00634AF0" w:rsidP="00634AF0">
            <w:pPr>
              <w:pStyle w:val="EndNoteBibliographyTitle"/>
              <w:tabs>
                <w:tab w:val="decimal" w:pos="240"/>
              </w:tabs>
              <w:jc w:val="left"/>
            </w:pPr>
            <w:r w:rsidRPr="00E73BB1">
              <w:t>.045</w:t>
            </w:r>
          </w:p>
        </w:tc>
        <w:tc>
          <w:tcPr>
            <w:tcW w:w="1417" w:type="dxa"/>
            <w:tcBorders>
              <w:bottom w:val="single" w:sz="4" w:space="0" w:color="auto"/>
            </w:tcBorders>
          </w:tcPr>
          <w:p w14:paraId="0FB51B67" w14:textId="31445E57" w:rsidR="00634AF0" w:rsidRPr="00E73BB1" w:rsidRDefault="00634AF0" w:rsidP="00634AF0">
            <w:pPr>
              <w:pStyle w:val="EndNoteBibliographyTitle"/>
              <w:tabs>
                <w:tab w:val="decimal" w:pos="240"/>
              </w:tabs>
              <w:jc w:val="left"/>
            </w:pPr>
            <w:r w:rsidRPr="00E73BB1">
              <w:t>8.39**</w:t>
            </w:r>
          </w:p>
        </w:tc>
        <w:tc>
          <w:tcPr>
            <w:tcW w:w="1840" w:type="dxa"/>
            <w:tcBorders>
              <w:bottom w:val="single" w:sz="4" w:space="0" w:color="auto"/>
            </w:tcBorders>
          </w:tcPr>
          <w:p w14:paraId="31E9012E" w14:textId="203FDF14" w:rsidR="00634AF0" w:rsidRPr="00E73BB1" w:rsidRDefault="00634AF0" w:rsidP="00634AF0">
            <w:pPr>
              <w:pStyle w:val="EndNoteBibliographyTitle"/>
              <w:tabs>
                <w:tab w:val="decimal" w:pos="240"/>
              </w:tabs>
              <w:jc w:val="left"/>
            </w:pPr>
            <w:r w:rsidRPr="00E73BB1">
              <w:t>-.34 (-2.90)**</w:t>
            </w:r>
          </w:p>
        </w:tc>
        <w:tc>
          <w:tcPr>
            <w:tcW w:w="854" w:type="dxa"/>
            <w:tcBorders>
              <w:bottom w:val="single" w:sz="4" w:space="0" w:color="auto"/>
            </w:tcBorders>
          </w:tcPr>
          <w:p w14:paraId="52DF157B" w14:textId="4B5D4148" w:rsidR="00634AF0" w:rsidRPr="00E73BB1" w:rsidRDefault="00634AF0" w:rsidP="00634AF0">
            <w:pPr>
              <w:pStyle w:val="EndNoteBibliographyTitle"/>
              <w:tabs>
                <w:tab w:val="decimal" w:pos="240"/>
              </w:tabs>
              <w:jc w:val="left"/>
            </w:pPr>
            <w:r w:rsidRPr="00E73BB1">
              <w:t>.000</w:t>
            </w:r>
          </w:p>
        </w:tc>
        <w:tc>
          <w:tcPr>
            <w:tcW w:w="1417" w:type="dxa"/>
            <w:tcBorders>
              <w:bottom w:val="single" w:sz="4" w:space="0" w:color="auto"/>
            </w:tcBorders>
          </w:tcPr>
          <w:p w14:paraId="29170275" w14:textId="6A516322" w:rsidR="00634AF0" w:rsidRPr="00E73BB1" w:rsidRDefault="00AC5AAE" w:rsidP="00634AF0">
            <w:pPr>
              <w:pStyle w:val="EndNoteBibliographyTitle"/>
              <w:tabs>
                <w:tab w:val="decimal" w:pos="240"/>
              </w:tabs>
              <w:jc w:val="left"/>
            </w:pPr>
            <w:r w:rsidRPr="00E73BB1">
              <w:t>0</w:t>
            </w:r>
            <w:r w:rsidR="00634AF0" w:rsidRPr="00E73BB1">
              <w:t>.06</w:t>
            </w:r>
          </w:p>
        </w:tc>
        <w:tc>
          <w:tcPr>
            <w:tcW w:w="1985" w:type="dxa"/>
            <w:tcBorders>
              <w:bottom w:val="single" w:sz="4" w:space="0" w:color="auto"/>
            </w:tcBorders>
          </w:tcPr>
          <w:p w14:paraId="38BCBDC5" w14:textId="76180BE2" w:rsidR="00634AF0" w:rsidRPr="00E73BB1" w:rsidRDefault="00634AF0" w:rsidP="00634AF0">
            <w:pPr>
              <w:pStyle w:val="EndNoteBibliographyTitle"/>
              <w:tabs>
                <w:tab w:val="decimal" w:pos="240"/>
              </w:tabs>
              <w:jc w:val="left"/>
            </w:pPr>
            <w:r w:rsidRPr="00E73BB1">
              <w:t>.04 (.24)</w:t>
            </w:r>
          </w:p>
        </w:tc>
        <w:tc>
          <w:tcPr>
            <w:tcW w:w="850" w:type="dxa"/>
            <w:tcBorders>
              <w:bottom w:val="single" w:sz="4" w:space="0" w:color="auto"/>
            </w:tcBorders>
          </w:tcPr>
          <w:p w14:paraId="5F6454BC" w14:textId="02272407" w:rsidR="00634AF0" w:rsidRPr="00E73BB1" w:rsidRDefault="00634AF0" w:rsidP="00634AF0">
            <w:pPr>
              <w:pStyle w:val="EndNoteBibliographyTitle"/>
              <w:tabs>
                <w:tab w:val="decimal" w:pos="240"/>
              </w:tabs>
              <w:jc w:val="left"/>
            </w:pPr>
            <w:r w:rsidRPr="00E73BB1">
              <w:t>.006</w:t>
            </w:r>
          </w:p>
        </w:tc>
        <w:tc>
          <w:tcPr>
            <w:tcW w:w="1418" w:type="dxa"/>
            <w:tcBorders>
              <w:bottom w:val="single" w:sz="4" w:space="0" w:color="auto"/>
            </w:tcBorders>
          </w:tcPr>
          <w:p w14:paraId="76EB8C7A" w14:textId="07AEB416" w:rsidR="00634AF0" w:rsidRPr="00E73BB1" w:rsidRDefault="00AC5AAE" w:rsidP="00634AF0">
            <w:pPr>
              <w:pStyle w:val="EndNoteBibliographyTitle"/>
              <w:tabs>
                <w:tab w:val="decimal" w:pos="240"/>
              </w:tabs>
              <w:jc w:val="left"/>
            </w:pPr>
            <w:r w:rsidRPr="00E73BB1">
              <w:t>0</w:t>
            </w:r>
            <w:r w:rsidR="00634AF0" w:rsidRPr="00E73BB1">
              <w:t>.62</w:t>
            </w:r>
          </w:p>
        </w:tc>
        <w:tc>
          <w:tcPr>
            <w:tcW w:w="1701" w:type="dxa"/>
            <w:tcBorders>
              <w:bottom w:val="single" w:sz="4" w:space="0" w:color="auto"/>
            </w:tcBorders>
          </w:tcPr>
          <w:p w14:paraId="786A0313" w14:textId="5D019717" w:rsidR="00634AF0" w:rsidRPr="00E73BB1" w:rsidRDefault="00634AF0" w:rsidP="00634AF0">
            <w:pPr>
              <w:pStyle w:val="EndNoteBibliographyTitle"/>
              <w:tabs>
                <w:tab w:val="decimal" w:pos="240"/>
              </w:tabs>
              <w:jc w:val="left"/>
            </w:pPr>
            <w:r w:rsidRPr="00E73BB1">
              <w:t>-.13 (-</w:t>
            </w:r>
            <w:r w:rsidR="001659F2" w:rsidRPr="00E73BB1">
              <w:t>0</w:t>
            </w:r>
            <w:r w:rsidRPr="00E73BB1">
              <w:t>.78)</w:t>
            </w:r>
          </w:p>
        </w:tc>
      </w:tr>
    </w:tbl>
    <w:p w14:paraId="231F1A54" w14:textId="77777777" w:rsidR="001C2CEF" w:rsidRPr="00E73BB1" w:rsidRDefault="001C2CEF" w:rsidP="001C2CEF">
      <w:pPr>
        <w:pStyle w:val="EndNoteBibliographyTitle"/>
        <w:jc w:val="left"/>
        <w:rPr>
          <w:szCs w:val="24"/>
        </w:rPr>
      </w:pPr>
      <w:r w:rsidRPr="00E73BB1">
        <w:rPr>
          <w:szCs w:val="24"/>
        </w:rPr>
        <w:t xml:space="preserve">* </w:t>
      </w:r>
      <w:r w:rsidRPr="00E73BB1">
        <w:rPr>
          <w:i/>
          <w:szCs w:val="24"/>
        </w:rPr>
        <w:t>p</w:t>
      </w:r>
      <w:r w:rsidRPr="00E73BB1">
        <w:rPr>
          <w:szCs w:val="24"/>
        </w:rPr>
        <w:t xml:space="preserve"> &lt; .05, ** </w:t>
      </w:r>
      <w:r w:rsidRPr="00E73BB1">
        <w:rPr>
          <w:i/>
          <w:szCs w:val="24"/>
        </w:rPr>
        <w:t>p</w:t>
      </w:r>
      <w:r w:rsidRPr="00E73BB1">
        <w:rPr>
          <w:szCs w:val="24"/>
        </w:rPr>
        <w:t xml:space="preserve"> &lt; .01, ***</w:t>
      </w:r>
      <w:r w:rsidRPr="00E73BB1">
        <w:rPr>
          <w:i/>
          <w:szCs w:val="24"/>
        </w:rPr>
        <w:t xml:space="preserve"> p</w:t>
      </w:r>
      <w:r w:rsidRPr="00E73BB1">
        <w:rPr>
          <w:szCs w:val="24"/>
        </w:rPr>
        <w:t xml:space="preserve"> &lt; .001 </w:t>
      </w:r>
    </w:p>
    <w:p w14:paraId="590F4DC7" w14:textId="26203691" w:rsidR="00C17464" w:rsidRPr="00E73BB1" w:rsidRDefault="00C17464" w:rsidP="00C17464">
      <w:pPr>
        <w:spacing w:after="120" w:line="240" w:lineRule="auto"/>
        <w:rPr>
          <w:rFonts w:ascii="Times New Roman" w:hAnsi="Times New Roman" w:cs="Times New Roman"/>
          <w:noProof/>
          <w:sz w:val="24"/>
          <w:szCs w:val="24"/>
          <w:lang w:val="en-US"/>
        </w:rPr>
      </w:pPr>
      <w:r w:rsidRPr="00E73BB1">
        <w:rPr>
          <w:rFonts w:ascii="Times New Roman" w:hAnsi="Times New Roman" w:cs="Times New Roman"/>
          <w:i/>
          <w:iCs/>
          <w:noProof/>
          <w:sz w:val="24"/>
          <w:szCs w:val="24"/>
          <w:lang w:val="en-US"/>
        </w:rPr>
        <w:t>Note</w:t>
      </w:r>
      <w:r w:rsidR="001C2CEF" w:rsidRPr="00E73BB1">
        <w:rPr>
          <w:rFonts w:ascii="Times New Roman" w:hAnsi="Times New Roman" w:cs="Times New Roman"/>
          <w:i/>
          <w:iCs/>
          <w:noProof/>
          <w:sz w:val="24"/>
          <w:szCs w:val="24"/>
          <w:lang w:val="en-US"/>
        </w:rPr>
        <w:t>.</w:t>
      </w:r>
      <w:r w:rsidRPr="00E73BB1">
        <w:rPr>
          <w:rFonts w:ascii="Times New Roman" w:hAnsi="Times New Roman" w:cs="Times New Roman"/>
          <w:noProof/>
          <w:sz w:val="24"/>
          <w:szCs w:val="24"/>
          <w:lang w:val="en-US"/>
        </w:rPr>
        <w:t xml:space="preserve"> </w:t>
      </w:r>
      <w:r w:rsidRPr="00E73BB1">
        <w:rPr>
          <w:rFonts w:ascii="Times New Roman" w:hAnsi="Times New Roman" w:cs="Times New Roman"/>
          <w:sz w:val="24"/>
          <w:szCs w:val="24"/>
        </w:rPr>
        <w:t xml:space="preserve">BILD-Q </w:t>
      </w:r>
      <w:r w:rsidRPr="00E73BB1">
        <w:rPr>
          <w:rFonts w:ascii="Times New Roman" w:hAnsi="Times New Roman" w:cs="Times New Roman"/>
          <w:noProof/>
          <w:sz w:val="24"/>
          <w:szCs w:val="24"/>
          <w:lang w:val="en-US"/>
        </w:rPr>
        <w:t>= Body Image Life Disengagement Questionnaire; CIA = Clinical Imairment Assessment; WEMWBS = Warwick-Edinburgh Mental Well-Being Scale; BES = Body Esteem Scale; PANAS = Positive and Negative Affect Scale</w:t>
      </w:r>
    </w:p>
    <w:p w14:paraId="2A24D6F4" w14:textId="2B06B20E" w:rsidR="00D848D2" w:rsidRPr="00E73BB1" w:rsidRDefault="009E48F6">
      <w:pPr>
        <w:pStyle w:val="EndNoteBibliographyTitle"/>
        <w:jc w:val="left"/>
      </w:pPr>
      <w:r w:rsidRPr="00E73BB1">
        <w:rPr>
          <w:vertAlign w:val="superscript"/>
        </w:rPr>
        <w:t>a</w:t>
      </w:r>
      <w:r w:rsidR="006714FE" w:rsidRPr="00E73BB1">
        <w:t>Well-being</w:t>
      </w:r>
      <w:r w:rsidR="005D6C2F" w:rsidRPr="00E73BB1">
        <w:t xml:space="preserve"> and mood</w:t>
      </w:r>
      <w:r w:rsidR="006714FE" w:rsidRPr="00E73BB1">
        <w:t xml:space="preserve"> outcomes assessed</w:t>
      </w:r>
      <w:r w:rsidR="005D6C2F" w:rsidRPr="00E73BB1">
        <w:t xml:space="preserve"> at the same time, </w:t>
      </w:r>
      <w:r w:rsidR="005D6C2F" w:rsidRPr="00E73BB1">
        <w:rPr>
          <w:i/>
        </w:rPr>
        <w:t>N</w:t>
      </w:r>
      <w:r w:rsidR="005D6C2F" w:rsidRPr="00E73BB1">
        <w:t xml:space="preserve"> = 288 (146 boys, 141 girls, 1 </w:t>
      </w:r>
      <w:r w:rsidR="00373417" w:rsidRPr="00E73BB1">
        <w:t>non-binary</w:t>
      </w:r>
      <w:r w:rsidR="005D6C2F" w:rsidRPr="00E73BB1">
        <w:t>)</w:t>
      </w:r>
    </w:p>
    <w:p w14:paraId="0F0BF9A7" w14:textId="148400AB" w:rsidR="009E48F6" w:rsidRPr="00E73BB1" w:rsidRDefault="001C2CEF" w:rsidP="00D848D2">
      <w:pPr>
        <w:pStyle w:val="EndNoteBibliographyTitle"/>
        <w:jc w:val="left"/>
      </w:pPr>
      <w:r w:rsidRPr="00E73BB1">
        <w:rPr>
          <w:vertAlign w:val="superscript"/>
        </w:rPr>
        <w:t>b</w:t>
      </w:r>
      <w:r w:rsidR="005D6C2F" w:rsidRPr="00E73BB1">
        <w:t xml:space="preserve">Well-being and mood outcomes assessed after 6 weeks, </w:t>
      </w:r>
      <w:r w:rsidRPr="00E73BB1">
        <w:rPr>
          <w:i/>
        </w:rPr>
        <w:t>n</w:t>
      </w:r>
      <w:r w:rsidR="005D6C2F" w:rsidRPr="00E73BB1">
        <w:t xml:space="preserve"> = 109 (56 boys, 53 girls)</w:t>
      </w:r>
    </w:p>
    <w:p w14:paraId="5787E7AF" w14:textId="77777777" w:rsidR="00D848D2" w:rsidRPr="00E73BB1" w:rsidRDefault="00D848D2" w:rsidP="00D848D2">
      <w:pPr>
        <w:pStyle w:val="EndNoteBibliographyTitle"/>
        <w:jc w:val="left"/>
      </w:pPr>
    </w:p>
    <w:p w14:paraId="1A54DFD3" w14:textId="77777777" w:rsidR="009E48F6" w:rsidRPr="00E73BB1" w:rsidRDefault="009E48F6" w:rsidP="00D848D2">
      <w:pPr>
        <w:pStyle w:val="EndNoteBibliographyTitle"/>
        <w:jc w:val="left"/>
        <w:sectPr w:rsidR="009E48F6" w:rsidRPr="00E73BB1" w:rsidSect="009E48F6">
          <w:endnotePr>
            <w:numFmt w:val="decimal"/>
          </w:endnotePr>
          <w:pgSz w:w="16838" w:h="11906" w:orient="landscape"/>
          <w:pgMar w:top="1440" w:right="1440" w:bottom="1440" w:left="1440" w:header="708" w:footer="708" w:gutter="0"/>
          <w:cols w:space="708"/>
          <w:docGrid w:linePitch="360"/>
        </w:sectPr>
      </w:pPr>
    </w:p>
    <w:p w14:paraId="613E4D3A" w14:textId="66651FFD" w:rsidR="00C97D5B" w:rsidRPr="00E73BB1" w:rsidRDefault="002237C5" w:rsidP="0056009D">
      <w:pPr>
        <w:jc w:val="center"/>
        <w:rPr>
          <w:rFonts w:ascii="Times New Roman" w:eastAsia="Calibri" w:hAnsi="Times New Roman" w:cs="Times New Roman"/>
          <w:b/>
        </w:rPr>
      </w:pPr>
      <w:r w:rsidRPr="00E73BB1">
        <w:rPr>
          <w:rFonts w:ascii="Times New Roman" w:eastAsia="Calibri" w:hAnsi="Times New Roman" w:cs="Times New Roman"/>
          <w:b/>
        </w:rPr>
        <w:lastRenderedPageBreak/>
        <w:t>Appendix</w:t>
      </w:r>
    </w:p>
    <w:p w14:paraId="77C7D0C8" w14:textId="6DED6762" w:rsidR="00172974" w:rsidRPr="00E73BB1" w:rsidRDefault="00172974" w:rsidP="00B7306F">
      <w:pPr>
        <w:rPr>
          <w:rFonts w:ascii="Times New Roman" w:eastAsia="Calibri" w:hAnsi="Times New Roman" w:cs="Times New Roman"/>
          <w:b/>
        </w:rPr>
      </w:pPr>
      <w:r w:rsidRPr="00E73BB1">
        <w:rPr>
          <w:rFonts w:ascii="Times New Roman" w:eastAsia="Calibri" w:hAnsi="Times New Roman" w:cs="Times New Roman"/>
          <w:b/>
        </w:rPr>
        <w:t>Body Image Life Disengagement Questionnaire (BILD-Q)</w:t>
      </w:r>
    </w:p>
    <w:p w14:paraId="47A402E7" w14:textId="30699F2A" w:rsidR="007E4936" w:rsidRPr="00E73BB1" w:rsidRDefault="007E4936" w:rsidP="00B7306F">
      <w:pPr>
        <w:rPr>
          <w:rFonts w:ascii="Times New Roman" w:eastAsia="Calibri" w:hAnsi="Times New Roman" w:cs="Times New Roman"/>
          <w:bCs/>
        </w:rPr>
      </w:pPr>
      <w:r w:rsidRPr="00E73BB1">
        <w:rPr>
          <w:rFonts w:ascii="Times New Roman" w:eastAsia="Calibri" w:hAnsi="Times New Roman" w:cs="Times New Roman"/>
          <w:bCs/>
        </w:rPr>
        <w:t>Instructions:</w:t>
      </w:r>
    </w:p>
    <w:p w14:paraId="584AED59" w14:textId="7E5CD97B" w:rsidR="00B7306F" w:rsidRPr="00E73BB1" w:rsidRDefault="00B7306F" w:rsidP="00B7306F">
      <w:pPr>
        <w:rPr>
          <w:rFonts w:ascii="Times New Roman" w:eastAsia="Calibri" w:hAnsi="Times New Roman" w:cs="Times New Roman"/>
        </w:rPr>
      </w:pPr>
      <w:r w:rsidRPr="00E73BB1">
        <w:rPr>
          <w:rFonts w:ascii="Times New Roman" w:eastAsia="Calibri" w:hAnsi="Times New Roman" w:cs="Times New Roman"/>
          <w:b/>
        </w:rPr>
        <w:t xml:space="preserve">In the </w:t>
      </w:r>
      <w:r w:rsidRPr="00E73BB1">
        <w:rPr>
          <w:rFonts w:ascii="Times New Roman" w:eastAsia="Calibri" w:hAnsi="Times New Roman" w:cs="Times New Roman"/>
          <w:b/>
          <w:u w:val="single"/>
        </w:rPr>
        <w:t>PAST 2 WEEKS,</w:t>
      </w:r>
      <w:r w:rsidRPr="00E73BB1">
        <w:rPr>
          <w:rFonts w:ascii="Times New Roman" w:eastAsia="Calibri" w:hAnsi="Times New Roman" w:cs="Times New Roman"/>
          <w:b/>
        </w:rPr>
        <w:t xml:space="preserve"> how much have worries or feeling bad about the way you looked </w:t>
      </w:r>
      <w:r w:rsidRPr="00E73BB1">
        <w:rPr>
          <w:rFonts w:ascii="Times New Roman" w:eastAsia="Calibri" w:hAnsi="Times New Roman" w:cs="Times New Roman"/>
          <w:b/>
          <w:u w:val="single"/>
        </w:rPr>
        <w:t>STOPPED</w:t>
      </w:r>
      <w:r w:rsidRPr="00E73BB1">
        <w:rPr>
          <w:rFonts w:ascii="Times New Roman" w:eastAsia="Calibri" w:hAnsi="Times New Roman" w:cs="Times New Roman"/>
          <w:b/>
        </w:rPr>
        <w:t xml:space="preserve"> you from doing any of the following things? </w:t>
      </w:r>
      <w:r w:rsidRPr="00E73BB1">
        <w:rPr>
          <w:rFonts w:ascii="Times New Roman" w:eastAsia="Calibri" w:hAnsi="Times New Roman" w:cs="Times New Roman"/>
        </w:rPr>
        <w:t xml:space="preserve">(If you haven’t done any of these things in the past 2 weeks, imagine how you </w:t>
      </w:r>
      <w:r w:rsidRPr="00E73BB1">
        <w:rPr>
          <w:rFonts w:ascii="Times New Roman" w:eastAsia="Calibri" w:hAnsi="Times New Roman" w:cs="Times New Roman"/>
          <w:u w:val="single"/>
        </w:rPr>
        <w:t>THINK</w:t>
      </w:r>
      <w:r w:rsidRPr="00E73BB1">
        <w:rPr>
          <w:rFonts w:ascii="Times New Roman" w:eastAsia="Calibri" w:hAnsi="Times New Roman" w:cs="Times New Roman"/>
        </w:rPr>
        <w:t xml:space="preserve"> you would have felt.)</w:t>
      </w:r>
    </w:p>
    <w:tbl>
      <w:tblPr>
        <w:tblStyle w:val="TableGrid"/>
        <w:tblW w:w="0" w:type="auto"/>
        <w:tblLook w:val="04A0" w:firstRow="1" w:lastRow="0" w:firstColumn="1" w:lastColumn="0" w:noHBand="0" w:noVBand="1"/>
      </w:tblPr>
      <w:tblGrid>
        <w:gridCol w:w="3539"/>
        <w:gridCol w:w="1369"/>
        <w:gridCol w:w="1369"/>
        <w:gridCol w:w="1369"/>
        <w:gridCol w:w="1370"/>
      </w:tblGrid>
      <w:tr w:rsidR="00AC47BA" w:rsidRPr="00E73BB1" w14:paraId="53AD1556" w14:textId="77777777" w:rsidTr="00AC47BA">
        <w:tc>
          <w:tcPr>
            <w:tcW w:w="3539" w:type="dxa"/>
          </w:tcPr>
          <w:p w14:paraId="698A48B3" w14:textId="77777777" w:rsidR="00AC47BA" w:rsidRPr="00E73BB1" w:rsidRDefault="00AC47BA" w:rsidP="007E4936">
            <w:pPr>
              <w:widowControl w:val="0"/>
              <w:spacing w:after="0" w:line="240" w:lineRule="auto"/>
              <w:rPr>
                <w:rFonts w:ascii="Times New Roman" w:hAnsi="Times New Roman" w:cs="Times New Roman"/>
                <w:noProof/>
                <w:lang w:val="en-US"/>
              </w:rPr>
            </w:pPr>
          </w:p>
        </w:tc>
        <w:tc>
          <w:tcPr>
            <w:tcW w:w="1369" w:type="dxa"/>
          </w:tcPr>
          <w:p w14:paraId="7913D9A9" w14:textId="38F8E682"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Hasn’t stopped me at all</w:t>
            </w:r>
          </w:p>
        </w:tc>
        <w:tc>
          <w:tcPr>
            <w:tcW w:w="1369" w:type="dxa"/>
          </w:tcPr>
          <w:p w14:paraId="0992120C" w14:textId="7630D76B"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Stopped me a little bit</w:t>
            </w:r>
          </w:p>
        </w:tc>
        <w:tc>
          <w:tcPr>
            <w:tcW w:w="1369" w:type="dxa"/>
          </w:tcPr>
          <w:p w14:paraId="43CB0E55" w14:textId="0509210E"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Stopped me quite a bit</w:t>
            </w:r>
          </w:p>
        </w:tc>
        <w:tc>
          <w:tcPr>
            <w:tcW w:w="1370" w:type="dxa"/>
          </w:tcPr>
          <w:p w14:paraId="5FF1A0A7" w14:textId="70D9DBEC"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Stopped me all the time</w:t>
            </w:r>
          </w:p>
        </w:tc>
      </w:tr>
      <w:tr w:rsidR="00AC47BA" w:rsidRPr="00E73BB1" w14:paraId="787C813C" w14:textId="77777777" w:rsidTr="00AC47BA">
        <w:tc>
          <w:tcPr>
            <w:tcW w:w="3539" w:type="dxa"/>
          </w:tcPr>
          <w:p w14:paraId="02FFF4B0" w14:textId="3C6ACA65"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1. Go to the beach or pool</w:t>
            </w:r>
          </w:p>
          <w:p w14:paraId="280DA03A" w14:textId="77777777" w:rsidR="00AC47BA" w:rsidRPr="00E73BB1" w:rsidRDefault="00AC47BA" w:rsidP="007E4936">
            <w:pPr>
              <w:widowControl w:val="0"/>
              <w:spacing w:after="0" w:line="240" w:lineRule="auto"/>
              <w:rPr>
                <w:rFonts w:ascii="Times New Roman" w:hAnsi="Times New Roman" w:cs="Times New Roman"/>
                <w:noProof/>
                <w:lang w:val="en-US"/>
              </w:rPr>
            </w:pPr>
          </w:p>
        </w:tc>
        <w:tc>
          <w:tcPr>
            <w:tcW w:w="1369" w:type="dxa"/>
          </w:tcPr>
          <w:p w14:paraId="2DC8A3DE"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 xml:space="preserve">1 </w:t>
            </w:r>
          </w:p>
        </w:tc>
        <w:tc>
          <w:tcPr>
            <w:tcW w:w="1369" w:type="dxa"/>
          </w:tcPr>
          <w:p w14:paraId="05434A7A"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2</w:t>
            </w:r>
          </w:p>
        </w:tc>
        <w:tc>
          <w:tcPr>
            <w:tcW w:w="1369" w:type="dxa"/>
          </w:tcPr>
          <w:p w14:paraId="018CE119"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3</w:t>
            </w:r>
          </w:p>
        </w:tc>
        <w:tc>
          <w:tcPr>
            <w:tcW w:w="1370" w:type="dxa"/>
          </w:tcPr>
          <w:p w14:paraId="14A42718"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4</w:t>
            </w:r>
          </w:p>
        </w:tc>
      </w:tr>
      <w:tr w:rsidR="00AC47BA" w:rsidRPr="00E73BB1" w14:paraId="0BD83E6F" w14:textId="77777777" w:rsidTr="00AC47BA">
        <w:tc>
          <w:tcPr>
            <w:tcW w:w="3539" w:type="dxa"/>
          </w:tcPr>
          <w:p w14:paraId="57CEDC73" w14:textId="52B74748"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2. Go to a social event, party or club</w:t>
            </w:r>
          </w:p>
          <w:p w14:paraId="5B76C502" w14:textId="77777777" w:rsidR="00AC47BA" w:rsidRPr="00E73BB1" w:rsidRDefault="00AC47BA" w:rsidP="007E4936">
            <w:pPr>
              <w:widowControl w:val="0"/>
              <w:spacing w:after="0" w:line="240" w:lineRule="auto"/>
              <w:rPr>
                <w:rFonts w:ascii="Times New Roman" w:hAnsi="Times New Roman" w:cs="Times New Roman"/>
                <w:noProof/>
                <w:lang w:val="en-US"/>
              </w:rPr>
            </w:pPr>
          </w:p>
        </w:tc>
        <w:tc>
          <w:tcPr>
            <w:tcW w:w="1369" w:type="dxa"/>
          </w:tcPr>
          <w:p w14:paraId="7670B6AA"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 xml:space="preserve">1 </w:t>
            </w:r>
          </w:p>
        </w:tc>
        <w:tc>
          <w:tcPr>
            <w:tcW w:w="1369" w:type="dxa"/>
          </w:tcPr>
          <w:p w14:paraId="5D1C88E6"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2</w:t>
            </w:r>
          </w:p>
        </w:tc>
        <w:tc>
          <w:tcPr>
            <w:tcW w:w="1369" w:type="dxa"/>
          </w:tcPr>
          <w:p w14:paraId="2ABCC42F"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3</w:t>
            </w:r>
          </w:p>
        </w:tc>
        <w:tc>
          <w:tcPr>
            <w:tcW w:w="1370" w:type="dxa"/>
          </w:tcPr>
          <w:p w14:paraId="26BF16BE"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4</w:t>
            </w:r>
          </w:p>
        </w:tc>
      </w:tr>
      <w:tr w:rsidR="00AC47BA" w:rsidRPr="00E73BB1" w14:paraId="1F2DF314" w14:textId="77777777" w:rsidTr="00AC47BA">
        <w:tc>
          <w:tcPr>
            <w:tcW w:w="3539" w:type="dxa"/>
          </w:tcPr>
          <w:p w14:paraId="149013D7" w14:textId="3340D0C9"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3. Go shopping for clothes</w:t>
            </w:r>
          </w:p>
          <w:p w14:paraId="01DFDFC6" w14:textId="77777777" w:rsidR="00AC47BA" w:rsidRPr="00E73BB1" w:rsidRDefault="00AC47BA" w:rsidP="007E4936">
            <w:pPr>
              <w:widowControl w:val="0"/>
              <w:spacing w:after="0" w:line="240" w:lineRule="auto"/>
              <w:rPr>
                <w:rFonts w:ascii="Times New Roman" w:hAnsi="Times New Roman" w:cs="Times New Roman"/>
                <w:noProof/>
                <w:lang w:val="en-US"/>
              </w:rPr>
            </w:pPr>
          </w:p>
        </w:tc>
        <w:tc>
          <w:tcPr>
            <w:tcW w:w="1369" w:type="dxa"/>
          </w:tcPr>
          <w:p w14:paraId="0498724B"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 xml:space="preserve">1 </w:t>
            </w:r>
          </w:p>
        </w:tc>
        <w:tc>
          <w:tcPr>
            <w:tcW w:w="1369" w:type="dxa"/>
          </w:tcPr>
          <w:p w14:paraId="67656609"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2</w:t>
            </w:r>
          </w:p>
        </w:tc>
        <w:tc>
          <w:tcPr>
            <w:tcW w:w="1369" w:type="dxa"/>
          </w:tcPr>
          <w:p w14:paraId="38086058"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3</w:t>
            </w:r>
          </w:p>
        </w:tc>
        <w:tc>
          <w:tcPr>
            <w:tcW w:w="1370" w:type="dxa"/>
          </w:tcPr>
          <w:p w14:paraId="3464EEE7"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4</w:t>
            </w:r>
          </w:p>
        </w:tc>
      </w:tr>
      <w:tr w:rsidR="00AC47BA" w:rsidRPr="00E73BB1" w14:paraId="374E950D" w14:textId="77777777" w:rsidTr="00AC47BA">
        <w:tc>
          <w:tcPr>
            <w:tcW w:w="3539" w:type="dxa"/>
          </w:tcPr>
          <w:p w14:paraId="3EFCD36E" w14:textId="230FE5F5"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 xml:space="preserve">4. Do a physical activity/sport </w:t>
            </w:r>
          </w:p>
          <w:p w14:paraId="40D313F7" w14:textId="77777777" w:rsidR="00AC47BA" w:rsidRPr="00E73BB1" w:rsidRDefault="00AC47BA" w:rsidP="007E4936">
            <w:pPr>
              <w:widowControl w:val="0"/>
              <w:spacing w:after="0" w:line="240" w:lineRule="auto"/>
              <w:rPr>
                <w:rFonts w:ascii="Times New Roman" w:hAnsi="Times New Roman" w:cs="Times New Roman"/>
                <w:noProof/>
                <w:lang w:val="en-US"/>
              </w:rPr>
            </w:pPr>
          </w:p>
        </w:tc>
        <w:tc>
          <w:tcPr>
            <w:tcW w:w="1369" w:type="dxa"/>
          </w:tcPr>
          <w:p w14:paraId="7CB1D26E"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 xml:space="preserve">1 </w:t>
            </w:r>
          </w:p>
        </w:tc>
        <w:tc>
          <w:tcPr>
            <w:tcW w:w="1369" w:type="dxa"/>
          </w:tcPr>
          <w:p w14:paraId="4CE2AEC9"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2</w:t>
            </w:r>
          </w:p>
        </w:tc>
        <w:tc>
          <w:tcPr>
            <w:tcW w:w="1369" w:type="dxa"/>
          </w:tcPr>
          <w:p w14:paraId="2F58335B"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3</w:t>
            </w:r>
          </w:p>
        </w:tc>
        <w:tc>
          <w:tcPr>
            <w:tcW w:w="1370" w:type="dxa"/>
          </w:tcPr>
          <w:p w14:paraId="65B6F7D5"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4</w:t>
            </w:r>
          </w:p>
        </w:tc>
      </w:tr>
      <w:tr w:rsidR="00AC47BA" w:rsidRPr="00E73BB1" w14:paraId="404BB8A7" w14:textId="77777777" w:rsidTr="00AC47BA">
        <w:tc>
          <w:tcPr>
            <w:tcW w:w="3539" w:type="dxa"/>
          </w:tcPr>
          <w:p w14:paraId="0506EC02" w14:textId="7231FA25"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 xml:space="preserve">5. Give an opinion or stand up for myself </w:t>
            </w:r>
          </w:p>
          <w:p w14:paraId="5CB8D210" w14:textId="77777777" w:rsidR="00AC47BA" w:rsidRPr="00E73BB1" w:rsidRDefault="00AC47BA" w:rsidP="007E4936">
            <w:pPr>
              <w:widowControl w:val="0"/>
              <w:spacing w:after="0" w:line="240" w:lineRule="auto"/>
              <w:rPr>
                <w:rFonts w:ascii="Times New Roman" w:hAnsi="Times New Roman" w:cs="Times New Roman"/>
                <w:noProof/>
                <w:lang w:val="en-US"/>
              </w:rPr>
            </w:pPr>
          </w:p>
        </w:tc>
        <w:tc>
          <w:tcPr>
            <w:tcW w:w="1369" w:type="dxa"/>
          </w:tcPr>
          <w:p w14:paraId="395F8E73"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 xml:space="preserve">1 </w:t>
            </w:r>
          </w:p>
        </w:tc>
        <w:tc>
          <w:tcPr>
            <w:tcW w:w="1369" w:type="dxa"/>
          </w:tcPr>
          <w:p w14:paraId="21E89511"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2</w:t>
            </w:r>
          </w:p>
        </w:tc>
        <w:tc>
          <w:tcPr>
            <w:tcW w:w="1369" w:type="dxa"/>
          </w:tcPr>
          <w:p w14:paraId="72AB64FF"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3</w:t>
            </w:r>
          </w:p>
        </w:tc>
        <w:tc>
          <w:tcPr>
            <w:tcW w:w="1370" w:type="dxa"/>
          </w:tcPr>
          <w:p w14:paraId="344E70D7"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4</w:t>
            </w:r>
          </w:p>
        </w:tc>
      </w:tr>
      <w:tr w:rsidR="00AC47BA" w:rsidRPr="00E73BB1" w14:paraId="7D7A85B9" w14:textId="77777777" w:rsidTr="00AC47BA">
        <w:tc>
          <w:tcPr>
            <w:tcW w:w="3539" w:type="dxa"/>
          </w:tcPr>
          <w:p w14:paraId="06EA9965" w14:textId="42B5BE55"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6. Go to the doctor or school nurse</w:t>
            </w:r>
          </w:p>
          <w:p w14:paraId="33F7C2A0" w14:textId="77777777" w:rsidR="00AC47BA" w:rsidRPr="00E73BB1" w:rsidRDefault="00AC47BA" w:rsidP="007E4936">
            <w:pPr>
              <w:widowControl w:val="0"/>
              <w:spacing w:after="0" w:line="240" w:lineRule="auto"/>
              <w:rPr>
                <w:rFonts w:ascii="Times New Roman" w:hAnsi="Times New Roman" w:cs="Times New Roman"/>
                <w:noProof/>
                <w:lang w:val="en-US"/>
              </w:rPr>
            </w:pPr>
          </w:p>
        </w:tc>
        <w:tc>
          <w:tcPr>
            <w:tcW w:w="1369" w:type="dxa"/>
          </w:tcPr>
          <w:p w14:paraId="42F23371"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 xml:space="preserve">1 </w:t>
            </w:r>
          </w:p>
        </w:tc>
        <w:tc>
          <w:tcPr>
            <w:tcW w:w="1369" w:type="dxa"/>
          </w:tcPr>
          <w:p w14:paraId="60AC3C2F"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2</w:t>
            </w:r>
          </w:p>
        </w:tc>
        <w:tc>
          <w:tcPr>
            <w:tcW w:w="1369" w:type="dxa"/>
          </w:tcPr>
          <w:p w14:paraId="4A8DB183"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3</w:t>
            </w:r>
          </w:p>
        </w:tc>
        <w:tc>
          <w:tcPr>
            <w:tcW w:w="1370" w:type="dxa"/>
          </w:tcPr>
          <w:p w14:paraId="38DFD1A5"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4</w:t>
            </w:r>
          </w:p>
        </w:tc>
      </w:tr>
      <w:tr w:rsidR="00AC47BA" w:rsidRPr="00E73BB1" w14:paraId="78ADA5F8" w14:textId="77777777" w:rsidTr="00AC47BA">
        <w:tc>
          <w:tcPr>
            <w:tcW w:w="3539" w:type="dxa"/>
          </w:tcPr>
          <w:p w14:paraId="241660A4" w14:textId="0E4E976E"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7. Go to school</w:t>
            </w:r>
          </w:p>
          <w:p w14:paraId="606901CA" w14:textId="77777777" w:rsidR="00AC47BA" w:rsidRPr="00E73BB1" w:rsidRDefault="00AC47BA" w:rsidP="007E4936">
            <w:pPr>
              <w:widowControl w:val="0"/>
              <w:spacing w:after="0" w:line="240" w:lineRule="auto"/>
              <w:rPr>
                <w:rFonts w:ascii="Times New Roman" w:hAnsi="Times New Roman" w:cs="Times New Roman"/>
                <w:noProof/>
                <w:lang w:val="en-US"/>
              </w:rPr>
            </w:pPr>
          </w:p>
        </w:tc>
        <w:tc>
          <w:tcPr>
            <w:tcW w:w="1369" w:type="dxa"/>
          </w:tcPr>
          <w:p w14:paraId="37769EB1"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 xml:space="preserve">1 </w:t>
            </w:r>
          </w:p>
        </w:tc>
        <w:tc>
          <w:tcPr>
            <w:tcW w:w="1369" w:type="dxa"/>
          </w:tcPr>
          <w:p w14:paraId="5CB2ACE3"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2</w:t>
            </w:r>
          </w:p>
        </w:tc>
        <w:tc>
          <w:tcPr>
            <w:tcW w:w="1369" w:type="dxa"/>
          </w:tcPr>
          <w:p w14:paraId="4D9F7055"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3</w:t>
            </w:r>
          </w:p>
        </w:tc>
        <w:tc>
          <w:tcPr>
            <w:tcW w:w="1370" w:type="dxa"/>
          </w:tcPr>
          <w:p w14:paraId="78A54DFC"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4</w:t>
            </w:r>
          </w:p>
        </w:tc>
      </w:tr>
      <w:tr w:rsidR="00AC47BA" w:rsidRPr="00E73BB1" w14:paraId="30D64D1A" w14:textId="77777777" w:rsidTr="00AC47BA">
        <w:tc>
          <w:tcPr>
            <w:tcW w:w="3539" w:type="dxa"/>
          </w:tcPr>
          <w:p w14:paraId="3027D3E6" w14:textId="33AD7EB0"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8. Raise my hand in class</w:t>
            </w:r>
          </w:p>
          <w:p w14:paraId="38C50AD0" w14:textId="77777777" w:rsidR="00AC47BA" w:rsidRPr="00E73BB1" w:rsidRDefault="00AC47BA" w:rsidP="007E4936">
            <w:pPr>
              <w:widowControl w:val="0"/>
              <w:spacing w:after="0" w:line="240" w:lineRule="auto"/>
              <w:rPr>
                <w:rFonts w:ascii="Times New Roman" w:hAnsi="Times New Roman" w:cs="Times New Roman"/>
                <w:noProof/>
                <w:lang w:val="en-US"/>
              </w:rPr>
            </w:pPr>
          </w:p>
        </w:tc>
        <w:tc>
          <w:tcPr>
            <w:tcW w:w="1369" w:type="dxa"/>
          </w:tcPr>
          <w:p w14:paraId="7A3CA0CE"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 xml:space="preserve">1 </w:t>
            </w:r>
          </w:p>
        </w:tc>
        <w:tc>
          <w:tcPr>
            <w:tcW w:w="1369" w:type="dxa"/>
          </w:tcPr>
          <w:p w14:paraId="02F1F779"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2</w:t>
            </w:r>
          </w:p>
        </w:tc>
        <w:tc>
          <w:tcPr>
            <w:tcW w:w="1369" w:type="dxa"/>
          </w:tcPr>
          <w:p w14:paraId="17AFA185"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3</w:t>
            </w:r>
          </w:p>
        </w:tc>
        <w:tc>
          <w:tcPr>
            <w:tcW w:w="1370" w:type="dxa"/>
          </w:tcPr>
          <w:p w14:paraId="47D42683" w14:textId="77777777"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4</w:t>
            </w:r>
          </w:p>
        </w:tc>
      </w:tr>
      <w:tr w:rsidR="00AC47BA" w:rsidRPr="00E73BB1" w14:paraId="10BE6547" w14:textId="77777777" w:rsidTr="007E4936">
        <w:tc>
          <w:tcPr>
            <w:tcW w:w="3539" w:type="dxa"/>
          </w:tcPr>
          <w:p w14:paraId="2EEB41EC" w14:textId="68C781C1" w:rsidR="00AC47BA" w:rsidRPr="00E73BB1" w:rsidRDefault="007E4936"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 xml:space="preserve">9. </w:t>
            </w:r>
            <w:r w:rsidR="00AC47BA" w:rsidRPr="00E73BB1">
              <w:rPr>
                <w:rFonts w:ascii="Times New Roman" w:hAnsi="Times New Roman" w:cs="Times New Roman"/>
                <w:noProof/>
                <w:lang w:val="en-US"/>
              </w:rPr>
              <w:t>Spend time with  friends and family</w:t>
            </w:r>
          </w:p>
          <w:p w14:paraId="2E3CCC5E" w14:textId="77777777" w:rsidR="00AC47BA" w:rsidRPr="00E73BB1" w:rsidRDefault="00AC47BA" w:rsidP="007E4936">
            <w:pPr>
              <w:widowControl w:val="0"/>
              <w:spacing w:after="0" w:line="240" w:lineRule="auto"/>
              <w:rPr>
                <w:rFonts w:ascii="Times New Roman" w:hAnsi="Times New Roman" w:cs="Times New Roman"/>
                <w:noProof/>
                <w:lang w:val="en-US"/>
              </w:rPr>
            </w:pPr>
          </w:p>
        </w:tc>
        <w:tc>
          <w:tcPr>
            <w:tcW w:w="1369" w:type="dxa"/>
          </w:tcPr>
          <w:p w14:paraId="6D7902B2" w14:textId="3FAFE790"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 xml:space="preserve">1 </w:t>
            </w:r>
          </w:p>
        </w:tc>
        <w:tc>
          <w:tcPr>
            <w:tcW w:w="1369" w:type="dxa"/>
          </w:tcPr>
          <w:p w14:paraId="56694A9E" w14:textId="5A534D16"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2</w:t>
            </w:r>
          </w:p>
        </w:tc>
        <w:tc>
          <w:tcPr>
            <w:tcW w:w="1369" w:type="dxa"/>
          </w:tcPr>
          <w:p w14:paraId="2060753A" w14:textId="48C133A9"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3</w:t>
            </w:r>
          </w:p>
        </w:tc>
        <w:tc>
          <w:tcPr>
            <w:tcW w:w="1370" w:type="dxa"/>
          </w:tcPr>
          <w:p w14:paraId="2F7E0624" w14:textId="36E7BF19" w:rsidR="00AC47BA" w:rsidRPr="00E73BB1" w:rsidRDefault="00AC47BA" w:rsidP="007E4936">
            <w:pPr>
              <w:widowControl w:val="0"/>
              <w:spacing w:after="0" w:line="240" w:lineRule="auto"/>
              <w:rPr>
                <w:rFonts w:ascii="Times New Roman" w:hAnsi="Times New Roman" w:cs="Times New Roman"/>
                <w:noProof/>
                <w:lang w:val="en-US"/>
              </w:rPr>
            </w:pPr>
            <w:r w:rsidRPr="00E73BB1">
              <w:rPr>
                <w:rFonts w:ascii="Times New Roman" w:hAnsi="Times New Roman" w:cs="Times New Roman"/>
                <w:noProof/>
                <w:lang w:val="en-US"/>
              </w:rPr>
              <w:t>4</w:t>
            </w:r>
          </w:p>
        </w:tc>
      </w:tr>
    </w:tbl>
    <w:p w14:paraId="0EBDC22F" w14:textId="77777777" w:rsidR="00AC47BA" w:rsidRPr="00E73BB1" w:rsidRDefault="00AC47BA" w:rsidP="00E24053">
      <w:pPr>
        <w:widowControl w:val="0"/>
        <w:spacing w:after="0" w:line="480" w:lineRule="auto"/>
        <w:rPr>
          <w:rFonts w:ascii="Times New Roman" w:hAnsi="Times New Roman" w:cs="Times New Roman"/>
          <w:noProof/>
          <w:lang w:val="en-US"/>
        </w:rPr>
      </w:pPr>
    </w:p>
    <w:p w14:paraId="1945EAA6" w14:textId="787EBF57" w:rsidR="00172974" w:rsidRPr="00E73BB1" w:rsidRDefault="00172974" w:rsidP="00B7306F">
      <w:pPr>
        <w:widowControl w:val="0"/>
        <w:spacing w:after="0" w:line="480" w:lineRule="auto"/>
        <w:rPr>
          <w:rFonts w:ascii="Times New Roman" w:hAnsi="Times New Roman" w:cs="Times New Roman"/>
          <w:noProof/>
          <w:lang w:val="en-US"/>
        </w:rPr>
      </w:pPr>
      <w:r w:rsidRPr="00E73BB1">
        <w:rPr>
          <w:rFonts w:ascii="Times New Roman" w:hAnsi="Times New Roman" w:cs="Times New Roman"/>
          <w:noProof/>
          <w:lang w:val="en-US"/>
        </w:rPr>
        <w:t>Scoring:</w:t>
      </w:r>
    </w:p>
    <w:p w14:paraId="317F611F" w14:textId="449ED160" w:rsidR="00172974" w:rsidRPr="00E73BB1" w:rsidRDefault="00172974" w:rsidP="00B7306F">
      <w:pPr>
        <w:widowControl w:val="0"/>
        <w:spacing w:after="0" w:line="480" w:lineRule="auto"/>
        <w:rPr>
          <w:rFonts w:ascii="Times New Roman" w:hAnsi="Times New Roman" w:cs="Times New Roman"/>
          <w:noProof/>
          <w:lang w:val="en-US"/>
        </w:rPr>
      </w:pPr>
      <w:r w:rsidRPr="00E73BB1">
        <w:rPr>
          <w:rFonts w:ascii="Times New Roman" w:hAnsi="Times New Roman" w:cs="Times New Roman"/>
          <w:noProof/>
          <w:lang w:val="en-US"/>
        </w:rPr>
        <w:t>Calculate a mean of all items</w:t>
      </w:r>
      <w:r w:rsidR="00C97D5B" w:rsidRPr="00E73BB1">
        <w:rPr>
          <w:rFonts w:ascii="Times New Roman" w:hAnsi="Times New Roman" w:cs="Times New Roman"/>
          <w:noProof/>
          <w:lang w:val="en-US"/>
        </w:rPr>
        <w:t xml:space="preserve"> if at least 7 of 9 items have been rated</w:t>
      </w:r>
      <w:r w:rsidR="003B1AD2" w:rsidRPr="00E73BB1">
        <w:rPr>
          <w:rFonts w:ascii="Times New Roman" w:hAnsi="Times New Roman" w:cs="Times New Roman"/>
          <w:noProof/>
          <w:lang w:val="en-US"/>
        </w:rPr>
        <w:t>:</w:t>
      </w:r>
      <w:r w:rsidRPr="00E73BB1">
        <w:rPr>
          <w:rFonts w:ascii="Times New Roman" w:hAnsi="Times New Roman" w:cs="Times New Roman"/>
          <w:noProof/>
          <w:lang w:val="en-US"/>
        </w:rPr>
        <w:t xml:space="preserve"> (1</w:t>
      </w:r>
      <w:r w:rsidR="003B1AD2" w:rsidRPr="00E73BB1">
        <w:rPr>
          <w:rFonts w:ascii="Times New Roman" w:hAnsi="Times New Roman" w:cs="Times New Roman"/>
          <w:noProof/>
          <w:lang w:val="en-US"/>
        </w:rPr>
        <w:t>+2+3+4+5+6+7+8+9)/</w:t>
      </w:r>
      <w:r w:rsidR="00C97D5B" w:rsidRPr="00E73BB1">
        <w:rPr>
          <w:rFonts w:ascii="Times New Roman" w:hAnsi="Times New Roman" w:cs="Times New Roman"/>
          <w:noProof/>
          <w:lang w:val="en-US"/>
        </w:rPr>
        <w:t>9</w:t>
      </w:r>
    </w:p>
    <w:p w14:paraId="37DF8F0F" w14:textId="3C757DFD" w:rsidR="00172974" w:rsidRPr="007E4936" w:rsidRDefault="00172974" w:rsidP="00B7306F">
      <w:pPr>
        <w:widowControl w:val="0"/>
        <w:spacing w:after="0" w:line="480" w:lineRule="auto"/>
        <w:rPr>
          <w:rFonts w:ascii="Times New Roman" w:hAnsi="Times New Roman" w:cs="Times New Roman"/>
          <w:noProof/>
          <w:lang w:val="en-US"/>
        </w:rPr>
      </w:pPr>
      <w:r w:rsidRPr="00E73BB1">
        <w:rPr>
          <w:rFonts w:ascii="Times New Roman" w:hAnsi="Times New Roman" w:cs="Times New Roman"/>
          <w:noProof/>
          <w:lang w:val="en-US"/>
        </w:rPr>
        <w:t>Higher score</w:t>
      </w:r>
      <w:r w:rsidR="007E4936" w:rsidRPr="00E73BB1">
        <w:rPr>
          <w:rFonts w:ascii="Times New Roman" w:hAnsi="Times New Roman" w:cs="Times New Roman"/>
          <w:noProof/>
          <w:lang w:val="en-US"/>
        </w:rPr>
        <w:t>s</w:t>
      </w:r>
      <w:r w:rsidRPr="00E73BB1">
        <w:rPr>
          <w:rFonts w:ascii="Times New Roman" w:hAnsi="Times New Roman" w:cs="Times New Roman"/>
          <w:noProof/>
          <w:lang w:val="en-US"/>
        </w:rPr>
        <w:t xml:space="preserve"> </w:t>
      </w:r>
      <w:r w:rsidR="007A4507" w:rsidRPr="00E73BB1">
        <w:rPr>
          <w:rFonts w:ascii="Times New Roman" w:hAnsi="Times New Roman" w:cs="Times New Roman"/>
          <w:noProof/>
          <w:lang w:val="en-US"/>
        </w:rPr>
        <w:t>indicate</w:t>
      </w:r>
      <w:r w:rsidRPr="00E73BB1">
        <w:rPr>
          <w:rFonts w:ascii="Times New Roman" w:hAnsi="Times New Roman" w:cs="Times New Roman"/>
          <w:noProof/>
          <w:lang w:val="en-US"/>
        </w:rPr>
        <w:t xml:space="preserve"> greater life disengagement</w:t>
      </w:r>
    </w:p>
    <w:p w14:paraId="454D40AA" w14:textId="14610DF3" w:rsidR="00B7306F" w:rsidRPr="00E24053" w:rsidRDefault="00B7306F" w:rsidP="00B7306F">
      <w:pPr>
        <w:widowControl w:val="0"/>
        <w:spacing w:after="0" w:line="480" w:lineRule="auto"/>
        <w:rPr>
          <w:rFonts w:ascii="Times New Roman" w:hAnsi="Times New Roman" w:cs="Times New Roman"/>
          <w:noProof/>
          <w:sz w:val="24"/>
          <w:szCs w:val="24"/>
          <w:lang w:val="en-US"/>
        </w:rPr>
      </w:pPr>
    </w:p>
    <w:sectPr w:rsidR="00B7306F" w:rsidRPr="00E24053" w:rsidSect="00D848D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AC105" w14:textId="77777777" w:rsidR="00EF1453" w:rsidRDefault="00EF1453" w:rsidP="00915F4D">
      <w:pPr>
        <w:spacing w:after="0" w:line="240" w:lineRule="auto"/>
      </w:pPr>
      <w:r>
        <w:separator/>
      </w:r>
    </w:p>
  </w:endnote>
  <w:endnote w:type="continuationSeparator" w:id="0">
    <w:p w14:paraId="136FFA65" w14:textId="77777777" w:rsidR="00EF1453" w:rsidRDefault="00EF1453" w:rsidP="0091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9EF63" w14:textId="77777777" w:rsidR="00EF1453" w:rsidRDefault="00EF1453" w:rsidP="00915F4D">
      <w:pPr>
        <w:spacing w:after="0" w:line="240" w:lineRule="auto"/>
      </w:pPr>
      <w:r>
        <w:separator/>
      </w:r>
    </w:p>
  </w:footnote>
  <w:footnote w:type="continuationSeparator" w:id="0">
    <w:p w14:paraId="7D4AD2C4" w14:textId="77777777" w:rsidR="00EF1453" w:rsidRDefault="00EF1453" w:rsidP="00915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5ED6" w14:textId="77777777" w:rsidR="00881079" w:rsidRDefault="00881079" w:rsidP="002055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FA34C5" w14:textId="77777777" w:rsidR="00881079" w:rsidRDefault="00881079" w:rsidP="00AE62D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0030C" w14:textId="1D498C6C" w:rsidR="00881079" w:rsidRPr="00AE62D5" w:rsidRDefault="00881079" w:rsidP="0020554C">
    <w:pPr>
      <w:pStyle w:val="Header"/>
      <w:framePr w:wrap="around" w:vAnchor="text" w:hAnchor="margin" w:xAlign="right" w:y="1"/>
      <w:rPr>
        <w:rStyle w:val="PageNumber"/>
        <w:rFonts w:ascii="Times New Roman" w:hAnsi="Times New Roman" w:cs="Times New Roman"/>
        <w:sz w:val="24"/>
        <w:szCs w:val="24"/>
      </w:rPr>
    </w:pPr>
    <w:r w:rsidRPr="00AE62D5">
      <w:rPr>
        <w:rStyle w:val="PageNumber"/>
        <w:rFonts w:ascii="Times New Roman" w:hAnsi="Times New Roman" w:cs="Times New Roman"/>
        <w:sz w:val="24"/>
        <w:szCs w:val="24"/>
      </w:rPr>
      <w:fldChar w:fldCharType="begin"/>
    </w:r>
    <w:r w:rsidRPr="00AE62D5">
      <w:rPr>
        <w:rStyle w:val="PageNumber"/>
        <w:rFonts w:ascii="Times New Roman" w:hAnsi="Times New Roman" w:cs="Times New Roman"/>
        <w:sz w:val="24"/>
        <w:szCs w:val="24"/>
      </w:rPr>
      <w:instrText xml:space="preserve">PAGE  </w:instrText>
    </w:r>
    <w:r w:rsidRPr="00AE62D5">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w:t>
    </w:r>
    <w:r w:rsidRPr="00AE62D5">
      <w:rPr>
        <w:rStyle w:val="PageNumber"/>
        <w:rFonts w:ascii="Times New Roman" w:hAnsi="Times New Roman" w:cs="Times New Roman"/>
        <w:sz w:val="24"/>
        <w:szCs w:val="24"/>
      </w:rPr>
      <w:fldChar w:fldCharType="end"/>
    </w:r>
  </w:p>
  <w:p w14:paraId="5C9B2416" w14:textId="65CDCD2C" w:rsidR="00881079" w:rsidRPr="00915F4D" w:rsidRDefault="00881079" w:rsidP="00176CD0">
    <w:pPr>
      <w:pStyle w:val="Header"/>
      <w:ind w:right="357"/>
      <w:rPr>
        <w:rFonts w:ascii="Times New Roman" w:hAnsi="Times New Roman" w:cs="Times New Roman"/>
        <w:sz w:val="24"/>
      </w:rPr>
    </w:pPr>
    <w:r>
      <w:rPr>
        <w:rFonts w:ascii="Times New Roman" w:hAnsi="Times New Roman" w:cs="Times New Roman"/>
        <w:sz w:val="24"/>
      </w:rPr>
      <w:t>VALIDATION OF THE BODY IMAGE LIFE DISENGAGEMENT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17F5"/>
    <w:multiLevelType w:val="hybridMultilevel"/>
    <w:tmpl w:val="B1AE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37BC5"/>
    <w:multiLevelType w:val="hybridMultilevel"/>
    <w:tmpl w:val="FA4AA77C"/>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3902828"/>
    <w:multiLevelType w:val="hybridMultilevel"/>
    <w:tmpl w:val="304AF9DC"/>
    <w:lvl w:ilvl="0" w:tplc="F0D826E6">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96E3A34"/>
    <w:multiLevelType w:val="hybridMultilevel"/>
    <w:tmpl w:val="2D325F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8F4CE8"/>
    <w:multiLevelType w:val="hybridMultilevel"/>
    <w:tmpl w:val="00BCAB84"/>
    <w:lvl w:ilvl="0" w:tplc="A922E886">
      <w:start w:val="1"/>
      <w:numFmt w:val="decimal"/>
      <w:lvlText w:val="%1)"/>
      <w:lvlJc w:val="left"/>
      <w:pPr>
        <w:ind w:left="644" w:hanging="360"/>
      </w:pPr>
      <w:rPr>
        <w:rFonts w:eastAsiaTheme="minorHAns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94C0F0A"/>
    <w:multiLevelType w:val="hybridMultilevel"/>
    <w:tmpl w:val="E8F2351E"/>
    <w:lvl w:ilvl="0" w:tplc="6952F15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A3256"/>
    <w:multiLevelType w:val="hybridMultilevel"/>
    <w:tmpl w:val="6504B444"/>
    <w:lvl w:ilvl="0" w:tplc="D4FA2A0C">
      <w:start w:val="1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52607D"/>
    <w:multiLevelType w:val="hybridMultilevel"/>
    <w:tmpl w:val="C950B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536A05"/>
    <w:multiLevelType w:val="hybridMultilevel"/>
    <w:tmpl w:val="3EF6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B360FE"/>
    <w:multiLevelType w:val="hybridMultilevel"/>
    <w:tmpl w:val="0F12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7"/>
  </w:num>
  <w:num w:numId="5">
    <w:abstractNumId w:val="1"/>
  </w:num>
  <w:num w:numId="6">
    <w:abstractNumId w:val="3"/>
  </w:num>
  <w:num w:numId="7">
    <w:abstractNumId w:val="8"/>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hdrShapeDefaults>
    <o:shapedefaults v:ext="edit" spidmax="4097"/>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dazsz02a72p5zwe0rd6v29d2e5920ataerva&quot;&gt;Atkinson ENL-Converted&lt;record-ids&gt;&lt;item&gt;1510&lt;/item&gt;&lt;/record-ids&gt;&lt;/item&gt;&lt;/Libraries&gt;"/>
  </w:docVars>
  <w:rsids>
    <w:rsidRoot w:val="00F4414B"/>
    <w:rsid w:val="000018ED"/>
    <w:rsid w:val="00003380"/>
    <w:rsid w:val="00005AD6"/>
    <w:rsid w:val="00006424"/>
    <w:rsid w:val="00007467"/>
    <w:rsid w:val="00007534"/>
    <w:rsid w:val="00010048"/>
    <w:rsid w:val="000111D2"/>
    <w:rsid w:val="00012AAA"/>
    <w:rsid w:val="000148A4"/>
    <w:rsid w:val="00014ACF"/>
    <w:rsid w:val="0001578A"/>
    <w:rsid w:val="00016893"/>
    <w:rsid w:val="0001697D"/>
    <w:rsid w:val="00016F99"/>
    <w:rsid w:val="000173E2"/>
    <w:rsid w:val="00017792"/>
    <w:rsid w:val="00017DD9"/>
    <w:rsid w:val="00020E4F"/>
    <w:rsid w:val="0002218E"/>
    <w:rsid w:val="00022E50"/>
    <w:rsid w:val="00023AF8"/>
    <w:rsid w:val="00024C78"/>
    <w:rsid w:val="0002568E"/>
    <w:rsid w:val="000258B3"/>
    <w:rsid w:val="00025904"/>
    <w:rsid w:val="00025B84"/>
    <w:rsid w:val="00025EC5"/>
    <w:rsid w:val="000304D0"/>
    <w:rsid w:val="0003113E"/>
    <w:rsid w:val="00031301"/>
    <w:rsid w:val="000337EE"/>
    <w:rsid w:val="00033A71"/>
    <w:rsid w:val="00033CBC"/>
    <w:rsid w:val="00034451"/>
    <w:rsid w:val="00034AC1"/>
    <w:rsid w:val="000352B4"/>
    <w:rsid w:val="00035859"/>
    <w:rsid w:val="00036122"/>
    <w:rsid w:val="00036190"/>
    <w:rsid w:val="0003649D"/>
    <w:rsid w:val="000366CD"/>
    <w:rsid w:val="00036BDE"/>
    <w:rsid w:val="00036F52"/>
    <w:rsid w:val="00037FFE"/>
    <w:rsid w:val="000417BB"/>
    <w:rsid w:val="000424AF"/>
    <w:rsid w:val="0004452C"/>
    <w:rsid w:val="0004492A"/>
    <w:rsid w:val="0004505D"/>
    <w:rsid w:val="00045206"/>
    <w:rsid w:val="000457E2"/>
    <w:rsid w:val="00045D93"/>
    <w:rsid w:val="0004625F"/>
    <w:rsid w:val="00046307"/>
    <w:rsid w:val="0004642A"/>
    <w:rsid w:val="00046825"/>
    <w:rsid w:val="000476D7"/>
    <w:rsid w:val="000508AA"/>
    <w:rsid w:val="00050BE7"/>
    <w:rsid w:val="00052408"/>
    <w:rsid w:val="000524D1"/>
    <w:rsid w:val="00052861"/>
    <w:rsid w:val="000528C6"/>
    <w:rsid w:val="00052E42"/>
    <w:rsid w:val="000542FB"/>
    <w:rsid w:val="000544A7"/>
    <w:rsid w:val="0005453B"/>
    <w:rsid w:val="00054647"/>
    <w:rsid w:val="0005480D"/>
    <w:rsid w:val="000549DE"/>
    <w:rsid w:val="00055534"/>
    <w:rsid w:val="00056155"/>
    <w:rsid w:val="00056777"/>
    <w:rsid w:val="000569D7"/>
    <w:rsid w:val="00057D20"/>
    <w:rsid w:val="00057E24"/>
    <w:rsid w:val="000626F8"/>
    <w:rsid w:val="00062BFC"/>
    <w:rsid w:val="00062EF0"/>
    <w:rsid w:val="00063D02"/>
    <w:rsid w:val="00064E52"/>
    <w:rsid w:val="0006567C"/>
    <w:rsid w:val="000657DA"/>
    <w:rsid w:val="0006599A"/>
    <w:rsid w:val="00066277"/>
    <w:rsid w:val="000668A2"/>
    <w:rsid w:val="000703CE"/>
    <w:rsid w:val="000703E6"/>
    <w:rsid w:val="000714FC"/>
    <w:rsid w:val="0007229C"/>
    <w:rsid w:val="00072524"/>
    <w:rsid w:val="00072C31"/>
    <w:rsid w:val="00072D12"/>
    <w:rsid w:val="000747D4"/>
    <w:rsid w:val="0007512F"/>
    <w:rsid w:val="000751C3"/>
    <w:rsid w:val="0007577C"/>
    <w:rsid w:val="00075C35"/>
    <w:rsid w:val="00076120"/>
    <w:rsid w:val="00076386"/>
    <w:rsid w:val="00076F05"/>
    <w:rsid w:val="00077985"/>
    <w:rsid w:val="00077F28"/>
    <w:rsid w:val="000800D6"/>
    <w:rsid w:val="000800FE"/>
    <w:rsid w:val="0008015A"/>
    <w:rsid w:val="00080839"/>
    <w:rsid w:val="0008098A"/>
    <w:rsid w:val="00081199"/>
    <w:rsid w:val="00081624"/>
    <w:rsid w:val="00081CF1"/>
    <w:rsid w:val="000821B4"/>
    <w:rsid w:val="000822AD"/>
    <w:rsid w:val="00082958"/>
    <w:rsid w:val="0008319C"/>
    <w:rsid w:val="00083DCC"/>
    <w:rsid w:val="00084243"/>
    <w:rsid w:val="00085162"/>
    <w:rsid w:val="0008564C"/>
    <w:rsid w:val="00085735"/>
    <w:rsid w:val="00086A5A"/>
    <w:rsid w:val="00087307"/>
    <w:rsid w:val="00087948"/>
    <w:rsid w:val="00091D54"/>
    <w:rsid w:val="00091FA6"/>
    <w:rsid w:val="000938B8"/>
    <w:rsid w:val="00093F7E"/>
    <w:rsid w:val="00093FDD"/>
    <w:rsid w:val="000940A6"/>
    <w:rsid w:val="00094B65"/>
    <w:rsid w:val="00095B71"/>
    <w:rsid w:val="000965EF"/>
    <w:rsid w:val="00096917"/>
    <w:rsid w:val="000971D9"/>
    <w:rsid w:val="00097BA5"/>
    <w:rsid w:val="00097C4B"/>
    <w:rsid w:val="000A049B"/>
    <w:rsid w:val="000A0809"/>
    <w:rsid w:val="000A0820"/>
    <w:rsid w:val="000A1212"/>
    <w:rsid w:val="000A15ED"/>
    <w:rsid w:val="000A1717"/>
    <w:rsid w:val="000A1CD5"/>
    <w:rsid w:val="000A3883"/>
    <w:rsid w:val="000A42CB"/>
    <w:rsid w:val="000A4FA8"/>
    <w:rsid w:val="000A6ACE"/>
    <w:rsid w:val="000A7A1B"/>
    <w:rsid w:val="000A7F6F"/>
    <w:rsid w:val="000B0E68"/>
    <w:rsid w:val="000B1203"/>
    <w:rsid w:val="000B1B4C"/>
    <w:rsid w:val="000B23EB"/>
    <w:rsid w:val="000B2609"/>
    <w:rsid w:val="000B2832"/>
    <w:rsid w:val="000B2B0B"/>
    <w:rsid w:val="000B3A0F"/>
    <w:rsid w:val="000B3A25"/>
    <w:rsid w:val="000B5473"/>
    <w:rsid w:val="000B55BE"/>
    <w:rsid w:val="000B5A01"/>
    <w:rsid w:val="000B5CD9"/>
    <w:rsid w:val="000B6BA1"/>
    <w:rsid w:val="000B7444"/>
    <w:rsid w:val="000B7CC7"/>
    <w:rsid w:val="000C0BDD"/>
    <w:rsid w:val="000C0D12"/>
    <w:rsid w:val="000C14B3"/>
    <w:rsid w:val="000C1A95"/>
    <w:rsid w:val="000C1BCD"/>
    <w:rsid w:val="000C1D55"/>
    <w:rsid w:val="000C2291"/>
    <w:rsid w:val="000C269B"/>
    <w:rsid w:val="000C2AF8"/>
    <w:rsid w:val="000C32AE"/>
    <w:rsid w:val="000C520B"/>
    <w:rsid w:val="000C5A06"/>
    <w:rsid w:val="000C5FAB"/>
    <w:rsid w:val="000C7049"/>
    <w:rsid w:val="000D1A99"/>
    <w:rsid w:val="000D2FDE"/>
    <w:rsid w:val="000D35D4"/>
    <w:rsid w:val="000D41D4"/>
    <w:rsid w:val="000D4FBB"/>
    <w:rsid w:val="000D52ED"/>
    <w:rsid w:val="000D58CF"/>
    <w:rsid w:val="000D617D"/>
    <w:rsid w:val="000D61C5"/>
    <w:rsid w:val="000D688F"/>
    <w:rsid w:val="000D6E75"/>
    <w:rsid w:val="000D7295"/>
    <w:rsid w:val="000E21C9"/>
    <w:rsid w:val="000E3AA3"/>
    <w:rsid w:val="000E3FB6"/>
    <w:rsid w:val="000E4C83"/>
    <w:rsid w:val="000E60C1"/>
    <w:rsid w:val="000E6135"/>
    <w:rsid w:val="000E6CE9"/>
    <w:rsid w:val="000F242A"/>
    <w:rsid w:val="000F428F"/>
    <w:rsid w:val="000F4A33"/>
    <w:rsid w:val="000F5C04"/>
    <w:rsid w:val="000F5DB7"/>
    <w:rsid w:val="000F6C43"/>
    <w:rsid w:val="000F7228"/>
    <w:rsid w:val="000F750D"/>
    <w:rsid w:val="000F7545"/>
    <w:rsid w:val="00101109"/>
    <w:rsid w:val="00101363"/>
    <w:rsid w:val="0010212D"/>
    <w:rsid w:val="001029E5"/>
    <w:rsid w:val="0010352E"/>
    <w:rsid w:val="00103D43"/>
    <w:rsid w:val="00104240"/>
    <w:rsid w:val="0010436B"/>
    <w:rsid w:val="001047F9"/>
    <w:rsid w:val="00105170"/>
    <w:rsid w:val="00105AB7"/>
    <w:rsid w:val="00105BA9"/>
    <w:rsid w:val="00106153"/>
    <w:rsid w:val="001070F7"/>
    <w:rsid w:val="0011049A"/>
    <w:rsid w:val="00111C03"/>
    <w:rsid w:val="001129AD"/>
    <w:rsid w:val="00113220"/>
    <w:rsid w:val="001135E1"/>
    <w:rsid w:val="00114EC7"/>
    <w:rsid w:val="0011536F"/>
    <w:rsid w:val="00115F75"/>
    <w:rsid w:val="00117845"/>
    <w:rsid w:val="00121217"/>
    <w:rsid w:val="00121FA1"/>
    <w:rsid w:val="001231AE"/>
    <w:rsid w:val="00123224"/>
    <w:rsid w:val="00123340"/>
    <w:rsid w:val="00123921"/>
    <w:rsid w:val="001241EE"/>
    <w:rsid w:val="00124229"/>
    <w:rsid w:val="0012438A"/>
    <w:rsid w:val="0012469F"/>
    <w:rsid w:val="00124DAF"/>
    <w:rsid w:val="00126A17"/>
    <w:rsid w:val="00127653"/>
    <w:rsid w:val="001306D5"/>
    <w:rsid w:val="00131833"/>
    <w:rsid w:val="0013278C"/>
    <w:rsid w:val="001327A1"/>
    <w:rsid w:val="00133630"/>
    <w:rsid w:val="00133C94"/>
    <w:rsid w:val="00136C2F"/>
    <w:rsid w:val="00141FAE"/>
    <w:rsid w:val="00142912"/>
    <w:rsid w:val="00142BD3"/>
    <w:rsid w:val="00143558"/>
    <w:rsid w:val="0014565C"/>
    <w:rsid w:val="00146CA2"/>
    <w:rsid w:val="001473F8"/>
    <w:rsid w:val="001476A3"/>
    <w:rsid w:val="001477CD"/>
    <w:rsid w:val="0014787B"/>
    <w:rsid w:val="001500B9"/>
    <w:rsid w:val="00150757"/>
    <w:rsid w:val="0015083B"/>
    <w:rsid w:val="0015127A"/>
    <w:rsid w:val="00151FCC"/>
    <w:rsid w:val="00152094"/>
    <w:rsid w:val="001520CF"/>
    <w:rsid w:val="001527F9"/>
    <w:rsid w:val="00153E76"/>
    <w:rsid w:val="00154B74"/>
    <w:rsid w:val="00154EFB"/>
    <w:rsid w:val="00155B9E"/>
    <w:rsid w:val="00156804"/>
    <w:rsid w:val="001573C5"/>
    <w:rsid w:val="00157D37"/>
    <w:rsid w:val="00160B35"/>
    <w:rsid w:val="00161BBE"/>
    <w:rsid w:val="00161F7C"/>
    <w:rsid w:val="0016247F"/>
    <w:rsid w:val="001630F2"/>
    <w:rsid w:val="001659F2"/>
    <w:rsid w:val="00166CA5"/>
    <w:rsid w:val="0016718F"/>
    <w:rsid w:val="0016724A"/>
    <w:rsid w:val="00170E39"/>
    <w:rsid w:val="001717E5"/>
    <w:rsid w:val="00171AD9"/>
    <w:rsid w:val="00172948"/>
    <w:rsid w:val="00172974"/>
    <w:rsid w:val="00172CEF"/>
    <w:rsid w:val="00173402"/>
    <w:rsid w:val="00175860"/>
    <w:rsid w:val="00175D1D"/>
    <w:rsid w:val="00175E18"/>
    <w:rsid w:val="0017656B"/>
    <w:rsid w:val="00176604"/>
    <w:rsid w:val="0017680F"/>
    <w:rsid w:val="001768C9"/>
    <w:rsid w:val="00176B8E"/>
    <w:rsid w:val="00176CD0"/>
    <w:rsid w:val="001774C6"/>
    <w:rsid w:val="00177FB4"/>
    <w:rsid w:val="00181C28"/>
    <w:rsid w:val="00182095"/>
    <w:rsid w:val="00182F36"/>
    <w:rsid w:val="001841CF"/>
    <w:rsid w:val="00184968"/>
    <w:rsid w:val="00184A5D"/>
    <w:rsid w:val="00185919"/>
    <w:rsid w:val="00186C3C"/>
    <w:rsid w:val="001872B1"/>
    <w:rsid w:val="0019120D"/>
    <w:rsid w:val="0019151B"/>
    <w:rsid w:val="001915E1"/>
    <w:rsid w:val="00192161"/>
    <w:rsid w:val="00192F5E"/>
    <w:rsid w:val="001934C6"/>
    <w:rsid w:val="001938FF"/>
    <w:rsid w:val="00194C3B"/>
    <w:rsid w:val="00194EC7"/>
    <w:rsid w:val="00195FA7"/>
    <w:rsid w:val="00196789"/>
    <w:rsid w:val="00196E5A"/>
    <w:rsid w:val="001A15B6"/>
    <w:rsid w:val="001A2DF5"/>
    <w:rsid w:val="001A312D"/>
    <w:rsid w:val="001A33FA"/>
    <w:rsid w:val="001A364F"/>
    <w:rsid w:val="001A366A"/>
    <w:rsid w:val="001A3976"/>
    <w:rsid w:val="001A3B95"/>
    <w:rsid w:val="001A490C"/>
    <w:rsid w:val="001A7882"/>
    <w:rsid w:val="001A7DF9"/>
    <w:rsid w:val="001B0625"/>
    <w:rsid w:val="001B0F53"/>
    <w:rsid w:val="001B1389"/>
    <w:rsid w:val="001B1DE0"/>
    <w:rsid w:val="001B30C3"/>
    <w:rsid w:val="001B3CF7"/>
    <w:rsid w:val="001B4B64"/>
    <w:rsid w:val="001B71E3"/>
    <w:rsid w:val="001B72D4"/>
    <w:rsid w:val="001B79A8"/>
    <w:rsid w:val="001C25ED"/>
    <w:rsid w:val="001C2CEF"/>
    <w:rsid w:val="001C4510"/>
    <w:rsid w:val="001C469B"/>
    <w:rsid w:val="001C6BA5"/>
    <w:rsid w:val="001D1F99"/>
    <w:rsid w:val="001D204F"/>
    <w:rsid w:val="001D2080"/>
    <w:rsid w:val="001D2435"/>
    <w:rsid w:val="001D3BDB"/>
    <w:rsid w:val="001D3FFA"/>
    <w:rsid w:val="001D4279"/>
    <w:rsid w:val="001D47B3"/>
    <w:rsid w:val="001D4E7A"/>
    <w:rsid w:val="001D5EC2"/>
    <w:rsid w:val="001D6A39"/>
    <w:rsid w:val="001D6B48"/>
    <w:rsid w:val="001D76A9"/>
    <w:rsid w:val="001E0205"/>
    <w:rsid w:val="001E02F9"/>
    <w:rsid w:val="001E0DEC"/>
    <w:rsid w:val="001E15E4"/>
    <w:rsid w:val="001E199C"/>
    <w:rsid w:val="001E2D8C"/>
    <w:rsid w:val="001E300F"/>
    <w:rsid w:val="001E3EB7"/>
    <w:rsid w:val="001E4887"/>
    <w:rsid w:val="001E4CEC"/>
    <w:rsid w:val="001E4DDF"/>
    <w:rsid w:val="001E5302"/>
    <w:rsid w:val="001E532F"/>
    <w:rsid w:val="001E6477"/>
    <w:rsid w:val="001E6E40"/>
    <w:rsid w:val="001E7FEB"/>
    <w:rsid w:val="001F0F3D"/>
    <w:rsid w:val="001F17D9"/>
    <w:rsid w:val="001F1AD2"/>
    <w:rsid w:val="001F2082"/>
    <w:rsid w:val="001F2515"/>
    <w:rsid w:val="001F25D9"/>
    <w:rsid w:val="001F2B1F"/>
    <w:rsid w:val="001F2DF7"/>
    <w:rsid w:val="001F33BC"/>
    <w:rsid w:val="001F4179"/>
    <w:rsid w:val="001F5E35"/>
    <w:rsid w:val="001F62A6"/>
    <w:rsid w:val="001F6E8A"/>
    <w:rsid w:val="001F7557"/>
    <w:rsid w:val="001F79BF"/>
    <w:rsid w:val="001F7A85"/>
    <w:rsid w:val="002005F9"/>
    <w:rsid w:val="00200993"/>
    <w:rsid w:val="00201C5E"/>
    <w:rsid w:val="00202DB2"/>
    <w:rsid w:val="00202F4F"/>
    <w:rsid w:val="0020414D"/>
    <w:rsid w:val="0020503A"/>
    <w:rsid w:val="0020554C"/>
    <w:rsid w:val="00205A83"/>
    <w:rsid w:val="0020652C"/>
    <w:rsid w:val="00207206"/>
    <w:rsid w:val="00207B08"/>
    <w:rsid w:val="00210AAE"/>
    <w:rsid w:val="0021101D"/>
    <w:rsid w:val="00212509"/>
    <w:rsid w:val="002127D3"/>
    <w:rsid w:val="00213AF5"/>
    <w:rsid w:val="00213F72"/>
    <w:rsid w:val="00214E27"/>
    <w:rsid w:val="002151AE"/>
    <w:rsid w:val="0021572C"/>
    <w:rsid w:val="00216C40"/>
    <w:rsid w:val="002170D6"/>
    <w:rsid w:val="00217446"/>
    <w:rsid w:val="0022095E"/>
    <w:rsid w:val="00220D6F"/>
    <w:rsid w:val="002217E7"/>
    <w:rsid w:val="00222361"/>
    <w:rsid w:val="002235FA"/>
    <w:rsid w:val="002237C5"/>
    <w:rsid w:val="002243B2"/>
    <w:rsid w:val="0022710C"/>
    <w:rsid w:val="002271A1"/>
    <w:rsid w:val="00227BAD"/>
    <w:rsid w:val="00227E44"/>
    <w:rsid w:val="00232CF6"/>
    <w:rsid w:val="00233444"/>
    <w:rsid w:val="00234078"/>
    <w:rsid w:val="002420D9"/>
    <w:rsid w:val="00242828"/>
    <w:rsid w:val="00244EB4"/>
    <w:rsid w:val="00245330"/>
    <w:rsid w:val="0024538D"/>
    <w:rsid w:val="00245708"/>
    <w:rsid w:val="002459D3"/>
    <w:rsid w:val="00246880"/>
    <w:rsid w:val="00247B1A"/>
    <w:rsid w:val="00251047"/>
    <w:rsid w:val="00251F26"/>
    <w:rsid w:val="002534C1"/>
    <w:rsid w:val="0025357C"/>
    <w:rsid w:val="0025446E"/>
    <w:rsid w:val="00255123"/>
    <w:rsid w:val="002558A3"/>
    <w:rsid w:val="00256B5B"/>
    <w:rsid w:val="00256C56"/>
    <w:rsid w:val="00260B65"/>
    <w:rsid w:val="00261081"/>
    <w:rsid w:val="00261819"/>
    <w:rsid w:val="00261FDB"/>
    <w:rsid w:val="00262E90"/>
    <w:rsid w:val="002630EE"/>
    <w:rsid w:val="00264412"/>
    <w:rsid w:val="00264A85"/>
    <w:rsid w:val="00264B64"/>
    <w:rsid w:val="00264DAC"/>
    <w:rsid w:val="00264E4F"/>
    <w:rsid w:val="00266C74"/>
    <w:rsid w:val="002676CD"/>
    <w:rsid w:val="00270081"/>
    <w:rsid w:val="002708C6"/>
    <w:rsid w:val="00271C25"/>
    <w:rsid w:val="002723C5"/>
    <w:rsid w:val="00272A83"/>
    <w:rsid w:val="00273C53"/>
    <w:rsid w:val="00276B90"/>
    <w:rsid w:val="00277B61"/>
    <w:rsid w:val="00280F7B"/>
    <w:rsid w:val="00281699"/>
    <w:rsid w:val="00282256"/>
    <w:rsid w:val="0028226F"/>
    <w:rsid w:val="00282849"/>
    <w:rsid w:val="00283390"/>
    <w:rsid w:val="00284F78"/>
    <w:rsid w:val="00287D28"/>
    <w:rsid w:val="00290670"/>
    <w:rsid w:val="00290782"/>
    <w:rsid w:val="00291082"/>
    <w:rsid w:val="00291097"/>
    <w:rsid w:val="0029156A"/>
    <w:rsid w:val="00291E39"/>
    <w:rsid w:val="002928E4"/>
    <w:rsid w:val="00294707"/>
    <w:rsid w:val="00294EAC"/>
    <w:rsid w:val="002956F3"/>
    <w:rsid w:val="00295F4D"/>
    <w:rsid w:val="00296F7D"/>
    <w:rsid w:val="002975D7"/>
    <w:rsid w:val="002A020B"/>
    <w:rsid w:val="002A395A"/>
    <w:rsid w:val="002A4AD8"/>
    <w:rsid w:val="002A4EAC"/>
    <w:rsid w:val="002A5194"/>
    <w:rsid w:val="002A5EB5"/>
    <w:rsid w:val="002A69FE"/>
    <w:rsid w:val="002A74FA"/>
    <w:rsid w:val="002A76EE"/>
    <w:rsid w:val="002A7AB3"/>
    <w:rsid w:val="002B09F3"/>
    <w:rsid w:val="002B0F2D"/>
    <w:rsid w:val="002B138A"/>
    <w:rsid w:val="002B16C5"/>
    <w:rsid w:val="002B18F7"/>
    <w:rsid w:val="002B51FA"/>
    <w:rsid w:val="002B5306"/>
    <w:rsid w:val="002B547A"/>
    <w:rsid w:val="002B54E0"/>
    <w:rsid w:val="002B57F1"/>
    <w:rsid w:val="002B5A2F"/>
    <w:rsid w:val="002B6163"/>
    <w:rsid w:val="002B71C2"/>
    <w:rsid w:val="002C0D24"/>
    <w:rsid w:val="002C11B3"/>
    <w:rsid w:val="002C1E6A"/>
    <w:rsid w:val="002C1F13"/>
    <w:rsid w:val="002C22EF"/>
    <w:rsid w:val="002C3FD0"/>
    <w:rsid w:val="002C4B99"/>
    <w:rsid w:val="002C5E60"/>
    <w:rsid w:val="002C5EA5"/>
    <w:rsid w:val="002C6067"/>
    <w:rsid w:val="002C75BF"/>
    <w:rsid w:val="002C7939"/>
    <w:rsid w:val="002D0E23"/>
    <w:rsid w:val="002D0ED8"/>
    <w:rsid w:val="002D0FE4"/>
    <w:rsid w:val="002D2294"/>
    <w:rsid w:val="002D4034"/>
    <w:rsid w:val="002D443D"/>
    <w:rsid w:val="002D552D"/>
    <w:rsid w:val="002D5763"/>
    <w:rsid w:val="002D5897"/>
    <w:rsid w:val="002D5C98"/>
    <w:rsid w:val="002D60FC"/>
    <w:rsid w:val="002D6325"/>
    <w:rsid w:val="002D64AF"/>
    <w:rsid w:val="002D67B1"/>
    <w:rsid w:val="002D78A9"/>
    <w:rsid w:val="002E0F06"/>
    <w:rsid w:val="002E2B0D"/>
    <w:rsid w:val="002E34CD"/>
    <w:rsid w:val="002E3838"/>
    <w:rsid w:val="002E3E18"/>
    <w:rsid w:val="002E485B"/>
    <w:rsid w:val="002E5173"/>
    <w:rsid w:val="002E5BC9"/>
    <w:rsid w:val="002E5C6C"/>
    <w:rsid w:val="002E6999"/>
    <w:rsid w:val="002E69B8"/>
    <w:rsid w:val="002E70CD"/>
    <w:rsid w:val="002E7A85"/>
    <w:rsid w:val="002F043B"/>
    <w:rsid w:val="002F062E"/>
    <w:rsid w:val="002F172A"/>
    <w:rsid w:val="002F213C"/>
    <w:rsid w:val="002F2DFC"/>
    <w:rsid w:val="002F3060"/>
    <w:rsid w:val="002F4154"/>
    <w:rsid w:val="002F4A11"/>
    <w:rsid w:val="002F5A12"/>
    <w:rsid w:val="002F6365"/>
    <w:rsid w:val="002F739A"/>
    <w:rsid w:val="00301D05"/>
    <w:rsid w:val="00304593"/>
    <w:rsid w:val="00305A6F"/>
    <w:rsid w:val="00305E1B"/>
    <w:rsid w:val="003060EC"/>
    <w:rsid w:val="00306AD4"/>
    <w:rsid w:val="00310F31"/>
    <w:rsid w:val="00311859"/>
    <w:rsid w:val="00311CE0"/>
    <w:rsid w:val="003126CD"/>
    <w:rsid w:val="00313AB2"/>
    <w:rsid w:val="00314E7D"/>
    <w:rsid w:val="0031520E"/>
    <w:rsid w:val="003159EC"/>
    <w:rsid w:val="00315C74"/>
    <w:rsid w:val="00316694"/>
    <w:rsid w:val="0031686F"/>
    <w:rsid w:val="00320EC1"/>
    <w:rsid w:val="0032223A"/>
    <w:rsid w:val="003222BF"/>
    <w:rsid w:val="00322C63"/>
    <w:rsid w:val="00323C74"/>
    <w:rsid w:val="003245A3"/>
    <w:rsid w:val="00324A97"/>
    <w:rsid w:val="00324DAE"/>
    <w:rsid w:val="003259CA"/>
    <w:rsid w:val="00327526"/>
    <w:rsid w:val="003302FB"/>
    <w:rsid w:val="00330663"/>
    <w:rsid w:val="00331845"/>
    <w:rsid w:val="003334F3"/>
    <w:rsid w:val="00333C2D"/>
    <w:rsid w:val="0033401C"/>
    <w:rsid w:val="00334048"/>
    <w:rsid w:val="003342C6"/>
    <w:rsid w:val="0033638B"/>
    <w:rsid w:val="00336643"/>
    <w:rsid w:val="00336C29"/>
    <w:rsid w:val="00337096"/>
    <w:rsid w:val="00337551"/>
    <w:rsid w:val="00341B6C"/>
    <w:rsid w:val="00341D68"/>
    <w:rsid w:val="00343022"/>
    <w:rsid w:val="00343365"/>
    <w:rsid w:val="0034357A"/>
    <w:rsid w:val="003464E6"/>
    <w:rsid w:val="00350235"/>
    <w:rsid w:val="003502FA"/>
    <w:rsid w:val="0035090F"/>
    <w:rsid w:val="0035093F"/>
    <w:rsid w:val="00350CE5"/>
    <w:rsid w:val="00351212"/>
    <w:rsid w:val="003515CD"/>
    <w:rsid w:val="00351BC1"/>
    <w:rsid w:val="00352645"/>
    <w:rsid w:val="003526AD"/>
    <w:rsid w:val="003540E9"/>
    <w:rsid w:val="00354E7A"/>
    <w:rsid w:val="00355F9A"/>
    <w:rsid w:val="00355FC2"/>
    <w:rsid w:val="00356403"/>
    <w:rsid w:val="003609BC"/>
    <w:rsid w:val="0036110D"/>
    <w:rsid w:val="00361F61"/>
    <w:rsid w:val="00362AC3"/>
    <w:rsid w:val="00363507"/>
    <w:rsid w:val="003636EA"/>
    <w:rsid w:val="00364788"/>
    <w:rsid w:val="00365497"/>
    <w:rsid w:val="00365561"/>
    <w:rsid w:val="003674DA"/>
    <w:rsid w:val="003677AE"/>
    <w:rsid w:val="00367ACA"/>
    <w:rsid w:val="00370536"/>
    <w:rsid w:val="00371AEA"/>
    <w:rsid w:val="00371C1E"/>
    <w:rsid w:val="00373217"/>
    <w:rsid w:val="0037329A"/>
    <w:rsid w:val="00373417"/>
    <w:rsid w:val="00374019"/>
    <w:rsid w:val="003743E8"/>
    <w:rsid w:val="0037470F"/>
    <w:rsid w:val="0037487A"/>
    <w:rsid w:val="00374F25"/>
    <w:rsid w:val="00375554"/>
    <w:rsid w:val="003757F0"/>
    <w:rsid w:val="00376005"/>
    <w:rsid w:val="0037762C"/>
    <w:rsid w:val="00377630"/>
    <w:rsid w:val="003777E8"/>
    <w:rsid w:val="00377B4A"/>
    <w:rsid w:val="003802CE"/>
    <w:rsid w:val="00380CD2"/>
    <w:rsid w:val="00380DCA"/>
    <w:rsid w:val="00381CE7"/>
    <w:rsid w:val="00381FBA"/>
    <w:rsid w:val="0038260F"/>
    <w:rsid w:val="00383269"/>
    <w:rsid w:val="00383774"/>
    <w:rsid w:val="00383D1C"/>
    <w:rsid w:val="00383FC2"/>
    <w:rsid w:val="00384EC0"/>
    <w:rsid w:val="003859E0"/>
    <w:rsid w:val="00385A40"/>
    <w:rsid w:val="00387A5A"/>
    <w:rsid w:val="00387AA6"/>
    <w:rsid w:val="003912CF"/>
    <w:rsid w:val="00391497"/>
    <w:rsid w:val="0039178A"/>
    <w:rsid w:val="00392044"/>
    <w:rsid w:val="00392F90"/>
    <w:rsid w:val="00394263"/>
    <w:rsid w:val="00394EDD"/>
    <w:rsid w:val="00395667"/>
    <w:rsid w:val="00395BEA"/>
    <w:rsid w:val="003964EF"/>
    <w:rsid w:val="0039754B"/>
    <w:rsid w:val="003A02CB"/>
    <w:rsid w:val="003A0C91"/>
    <w:rsid w:val="003A222B"/>
    <w:rsid w:val="003A28D7"/>
    <w:rsid w:val="003A301D"/>
    <w:rsid w:val="003A3F1F"/>
    <w:rsid w:val="003A44BF"/>
    <w:rsid w:val="003A5168"/>
    <w:rsid w:val="003A5580"/>
    <w:rsid w:val="003A6B76"/>
    <w:rsid w:val="003A7659"/>
    <w:rsid w:val="003A7FD1"/>
    <w:rsid w:val="003B0240"/>
    <w:rsid w:val="003B075E"/>
    <w:rsid w:val="003B107D"/>
    <w:rsid w:val="003B14C9"/>
    <w:rsid w:val="003B1AD2"/>
    <w:rsid w:val="003B1BDB"/>
    <w:rsid w:val="003B1F6A"/>
    <w:rsid w:val="003B2164"/>
    <w:rsid w:val="003B35E3"/>
    <w:rsid w:val="003B3704"/>
    <w:rsid w:val="003B4C71"/>
    <w:rsid w:val="003B545B"/>
    <w:rsid w:val="003B55A6"/>
    <w:rsid w:val="003B5826"/>
    <w:rsid w:val="003B7937"/>
    <w:rsid w:val="003C0137"/>
    <w:rsid w:val="003C07C0"/>
    <w:rsid w:val="003C08DE"/>
    <w:rsid w:val="003C13E8"/>
    <w:rsid w:val="003C1674"/>
    <w:rsid w:val="003C183A"/>
    <w:rsid w:val="003C1974"/>
    <w:rsid w:val="003C2078"/>
    <w:rsid w:val="003C360B"/>
    <w:rsid w:val="003C372D"/>
    <w:rsid w:val="003C489A"/>
    <w:rsid w:val="003C4D03"/>
    <w:rsid w:val="003C538E"/>
    <w:rsid w:val="003C69A3"/>
    <w:rsid w:val="003C6F15"/>
    <w:rsid w:val="003C7021"/>
    <w:rsid w:val="003C764C"/>
    <w:rsid w:val="003C7A8A"/>
    <w:rsid w:val="003C7AC9"/>
    <w:rsid w:val="003D0A42"/>
    <w:rsid w:val="003D2221"/>
    <w:rsid w:val="003D2B97"/>
    <w:rsid w:val="003D3C8D"/>
    <w:rsid w:val="003D6C8D"/>
    <w:rsid w:val="003D6EB1"/>
    <w:rsid w:val="003D7F57"/>
    <w:rsid w:val="003E0405"/>
    <w:rsid w:val="003E09F2"/>
    <w:rsid w:val="003E1476"/>
    <w:rsid w:val="003E2BEB"/>
    <w:rsid w:val="003E55E6"/>
    <w:rsid w:val="003E5C9E"/>
    <w:rsid w:val="003E5F9F"/>
    <w:rsid w:val="003E6CBB"/>
    <w:rsid w:val="003E6F46"/>
    <w:rsid w:val="003E7D89"/>
    <w:rsid w:val="003F1351"/>
    <w:rsid w:val="003F197A"/>
    <w:rsid w:val="003F2C28"/>
    <w:rsid w:val="003F37B5"/>
    <w:rsid w:val="003F39BF"/>
    <w:rsid w:val="003F3FEB"/>
    <w:rsid w:val="003F5782"/>
    <w:rsid w:val="003F5CD1"/>
    <w:rsid w:val="003F6094"/>
    <w:rsid w:val="003F660A"/>
    <w:rsid w:val="003F69A0"/>
    <w:rsid w:val="003F6D2D"/>
    <w:rsid w:val="003F6F98"/>
    <w:rsid w:val="003F7872"/>
    <w:rsid w:val="003F7D43"/>
    <w:rsid w:val="00400A35"/>
    <w:rsid w:val="00400B0F"/>
    <w:rsid w:val="00401377"/>
    <w:rsid w:val="00401500"/>
    <w:rsid w:val="00401A50"/>
    <w:rsid w:val="004021CF"/>
    <w:rsid w:val="0040244F"/>
    <w:rsid w:val="00402F70"/>
    <w:rsid w:val="0040536B"/>
    <w:rsid w:val="00406227"/>
    <w:rsid w:val="00407534"/>
    <w:rsid w:val="0040757B"/>
    <w:rsid w:val="00407874"/>
    <w:rsid w:val="00407A70"/>
    <w:rsid w:val="00407DB0"/>
    <w:rsid w:val="0041092E"/>
    <w:rsid w:val="00413CAF"/>
    <w:rsid w:val="00415253"/>
    <w:rsid w:val="0041587C"/>
    <w:rsid w:val="00415AF0"/>
    <w:rsid w:val="00415B55"/>
    <w:rsid w:val="00416495"/>
    <w:rsid w:val="00416CCF"/>
    <w:rsid w:val="0041724E"/>
    <w:rsid w:val="00420059"/>
    <w:rsid w:val="0042054D"/>
    <w:rsid w:val="00420673"/>
    <w:rsid w:val="00420E48"/>
    <w:rsid w:val="004231D5"/>
    <w:rsid w:val="00423236"/>
    <w:rsid w:val="00424568"/>
    <w:rsid w:val="004247F6"/>
    <w:rsid w:val="00424A78"/>
    <w:rsid w:val="00426295"/>
    <w:rsid w:val="00427054"/>
    <w:rsid w:val="004271F7"/>
    <w:rsid w:val="0042753D"/>
    <w:rsid w:val="00430146"/>
    <w:rsid w:val="00430D82"/>
    <w:rsid w:val="00431371"/>
    <w:rsid w:val="00431A3E"/>
    <w:rsid w:val="00431ACD"/>
    <w:rsid w:val="00431B4A"/>
    <w:rsid w:val="0043206F"/>
    <w:rsid w:val="0043255C"/>
    <w:rsid w:val="004326D7"/>
    <w:rsid w:val="004342C2"/>
    <w:rsid w:val="0043446A"/>
    <w:rsid w:val="00435864"/>
    <w:rsid w:val="00435F9E"/>
    <w:rsid w:val="00436042"/>
    <w:rsid w:val="00437AF5"/>
    <w:rsid w:val="00440438"/>
    <w:rsid w:val="00441750"/>
    <w:rsid w:val="00442A1C"/>
    <w:rsid w:val="00442D04"/>
    <w:rsid w:val="00442E2E"/>
    <w:rsid w:val="00443964"/>
    <w:rsid w:val="00443C8F"/>
    <w:rsid w:val="00443D05"/>
    <w:rsid w:val="00443D28"/>
    <w:rsid w:val="00444667"/>
    <w:rsid w:val="00444D7E"/>
    <w:rsid w:val="00444DF0"/>
    <w:rsid w:val="004474C5"/>
    <w:rsid w:val="004477F1"/>
    <w:rsid w:val="00447984"/>
    <w:rsid w:val="00450CDC"/>
    <w:rsid w:val="00451563"/>
    <w:rsid w:val="004537BD"/>
    <w:rsid w:val="004543E5"/>
    <w:rsid w:val="00454D70"/>
    <w:rsid w:val="00455D56"/>
    <w:rsid w:val="00456BF6"/>
    <w:rsid w:val="00456C66"/>
    <w:rsid w:val="00456D42"/>
    <w:rsid w:val="0046057C"/>
    <w:rsid w:val="00460620"/>
    <w:rsid w:val="0046062A"/>
    <w:rsid w:val="004614A5"/>
    <w:rsid w:val="0046203B"/>
    <w:rsid w:val="004626EC"/>
    <w:rsid w:val="00462AE8"/>
    <w:rsid w:val="0046349B"/>
    <w:rsid w:val="0046381D"/>
    <w:rsid w:val="00463EF3"/>
    <w:rsid w:val="00465E9B"/>
    <w:rsid w:val="004665CA"/>
    <w:rsid w:val="00466F88"/>
    <w:rsid w:val="004673C4"/>
    <w:rsid w:val="00467617"/>
    <w:rsid w:val="00467CBF"/>
    <w:rsid w:val="0047054F"/>
    <w:rsid w:val="00471640"/>
    <w:rsid w:val="004724BB"/>
    <w:rsid w:val="00473A32"/>
    <w:rsid w:val="00473F13"/>
    <w:rsid w:val="00473FEC"/>
    <w:rsid w:val="004749AA"/>
    <w:rsid w:val="004749E0"/>
    <w:rsid w:val="0047604F"/>
    <w:rsid w:val="004767B5"/>
    <w:rsid w:val="00476C01"/>
    <w:rsid w:val="00477E5A"/>
    <w:rsid w:val="00480E0C"/>
    <w:rsid w:val="0048100B"/>
    <w:rsid w:val="00481672"/>
    <w:rsid w:val="00481991"/>
    <w:rsid w:val="004834ED"/>
    <w:rsid w:val="00483CC6"/>
    <w:rsid w:val="00484081"/>
    <w:rsid w:val="0048448B"/>
    <w:rsid w:val="00485C1D"/>
    <w:rsid w:val="00490228"/>
    <w:rsid w:val="00491F86"/>
    <w:rsid w:val="00493B50"/>
    <w:rsid w:val="00493F0C"/>
    <w:rsid w:val="00494B32"/>
    <w:rsid w:val="0049607E"/>
    <w:rsid w:val="00496B0A"/>
    <w:rsid w:val="0049729B"/>
    <w:rsid w:val="00497639"/>
    <w:rsid w:val="004A07BB"/>
    <w:rsid w:val="004A09FC"/>
    <w:rsid w:val="004A1F01"/>
    <w:rsid w:val="004A2298"/>
    <w:rsid w:val="004A3B71"/>
    <w:rsid w:val="004A4A42"/>
    <w:rsid w:val="004A4B2D"/>
    <w:rsid w:val="004A5ECC"/>
    <w:rsid w:val="004A6891"/>
    <w:rsid w:val="004A69D8"/>
    <w:rsid w:val="004A6B22"/>
    <w:rsid w:val="004B0C14"/>
    <w:rsid w:val="004B328A"/>
    <w:rsid w:val="004B37EF"/>
    <w:rsid w:val="004B452B"/>
    <w:rsid w:val="004B5119"/>
    <w:rsid w:val="004B5258"/>
    <w:rsid w:val="004C0AAE"/>
    <w:rsid w:val="004C0EB0"/>
    <w:rsid w:val="004C1132"/>
    <w:rsid w:val="004C19E1"/>
    <w:rsid w:val="004C1A0F"/>
    <w:rsid w:val="004C254B"/>
    <w:rsid w:val="004D0222"/>
    <w:rsid w:val="004D20F0"/>
    <w:rsid w:val="004D3772"/>
    <w:rsid w:val="004D385C"/>
    <w:rsid w:val="004D3C25"/>
    <w:rsid w:val="004D4047"/>
    <w:rsid w:val="004D499B"/>
    <w:rsid w:val="004D50CB"/>
    <w:rsid w:val="004D73D0"/>
    <w:rsid w:val="004D7E31"/>
    <w:rsid w:val="004E008E"/>
    <w:rsid w:val="004E0E80"/>
    <w:rsid w:val="004E1213"/>
    <w:rsid w:val="004E1598"/>
    <w:rsid w:val="004E163B"/>
    <w:rsid w:val="004E25DA"/>
    <w:rsid w:val="004E2B34"/>
    <w:rsid w:val="004E3B74"/>
    <w:rsid w:val="004E3DED"/>
    <w:rsid w:val="004E42A4"/>
    <w:rsid w:val="004E4309"/>
    <w:rsid w:val="004E4D38"/>
    <w:rsid w:val="004E676D"/>
    <w:rsid w:val="004E6F4E"/>
    <w:rsid w:val="004F14A2"/>
    <w:rsid w:val="004F2309"/>
    <w:rsid w:val="004F26C4"/>
    <w:rsid w:val="004F58FD"/>
    <w:rsid w:val="004F5D7A"/>
    <w:rsid w:val="004F5F6D"/>
    <w:rsid w:val="004F7105"/>
    <w:rsid w:val="004F7A09"/>
    <w:rsid w:val="0050130C"/>
    <w:rsid w:val="0050275E"/>
    <w:rsid w:val="00502AA5"/>
    <w:rsid w:val="00502FDD"/>
    <w:rsid w:val="00503FE6"/>
    <w:rsid w:val="005047AC"/>
    <w:rsid w:val="00505AC1"/>
    <w:rsid w:val="00505EDE"/>
    <w:rsid w:val="00506D9E"/>
    <w:rsid w:val="005073A2"/>
    <w:rsid w:val="005106D2"/>
    <w:rsid w:val="0051169A"/>
    <w:rsid w:val="00511A75"/>
    <w:rsid w:val="00512A73"/>
    <w:rsid w:val="00514371"/>
    <w:rsid w:val="0051508D"/>
    <w:rsid w:val="005159CD"/>
    <w:rsid w:val="005165F4"/>
    <w:rsid w:val="00517683"/>
    <w:rsid w:val="00520175"/>
    <w:rsid w:val="00520688"/>
    <w:rsid w:val="00520DC5"/>
    <w:rsid w:val="00521C47"/>
    <w:rsid w:val="00521F49"/>
    <w:rsid w:val="00522F10"/>
    <w:rsid w:val="00525C63"/>
    <w:rsid w:val="0052676C"/>
    <w:rsid w:val="00526B8D"/>
    <w:rsid w:val="00526EE0"/>
    <w:rsid w:val="0052741C"/>
    <w:rsid w:val="00527D32"/>
    <w:rsid w:val="00530038"/>
    <w:rsid w:val="0053027A"/>
    <w:rsid w:val="00530C56"/>
    <w:rsid w:val="00531E34"/>
    <w:rsid w:val="005332FF"/>
    <w:rsid w:val="00533D03"/>
    <w:rsid w:val="005341DE"/>
    <w:rsid w:val="005347E2"/>
    <w:rsid w:val="005351CE"/>
    <w:rsid w:val="0053628F"/>
    <w:rsid w:val="00536E3F"/>
    <w:rsid w:val="00540091"/>
    <w:rsid w:val="00540500"/>
    <w:rsid w:val="00540D60"/>
    <w:rsid w:val="00540E9E"/>
    <w:rsid w:val="005417C8"/>
    <w:rsid w:val="0054295F"/>
    <w:rsid w:val="00542BB0"/>
    <w:rsid w:val="005434EF"/>
    <w:rsid w:val="005442B7"/>
    <w:rsid w:val="005447C7"/>
    <w:rsid w:val="00545E93"/>
    <w:rsid w:val="005470E1"/>
    <w:rsid w:val="005477F5"/>
    <w:rsid w:val="00550D65"/>
    <w:rsid w:val="00550EA4"/>
    <w:rsid w:val="00552BDA"/>
    <w:rsid w:val="00553FA3"/>
    <w:rsid w:val="0055454A"/>
    <w:rsid w:val="005545D0"/>
    <w:rsid w:val="00554DC8"/>
    <w:rsid w:val="0055569E"/>
    <w:rsid w:val="005564D7"/>
    <w:rsid w:val="005572B8"/>
    <w:rsid w:val="005574EC"/>
    <w:rsid w:val="0056009D"/>
    <w:rsid w:val="005615AB"/>
    <w:rsid w:val="005628FB"/>
    <w:rsid w:val="005635A3"/>
    <w:rsid w:val="0056432C"/>
    <w:rsid w:val="00564C7D"/>
    <w:rsid w:val="00564DFF"/>
    <w:rsid w:val="00564F46"/>
    <w:rsid w:val="0056523E"/>
    <w:rsid w:val="00566A68"/>
    <w:rsid w:val="00566C59"/>
    <w:rsid w:val="0056797A"/>
    <w:rsid w:val="00572D6C"/>
    <w:rsid w:val="005731D6"/>
    <w:rsid w:val="00574132"/>
    <w:rsid w:val="00574157"/>
    <w:rsid w:val="0057460F"/>
    <w:rsid w:val="0057505C"/>
    <w:rsid w:val="00576F1F"/>
    <w:rsid w:val="00576F6D"/>
    <w:rsid w:val="005772B0"/>
    <w:rsid w:val="0058075F"/>
    <w:rsid w:val="00580A2C"/>
    <w:rsid w:val="005811C4"/>
    <w:rsid w:val="0058217C"/>
    <w:rsid w:val="00582629"/>
    <w:rsid w:val="0058493A"/>
    <w:rsid w:val="00584E69"/>
    <w:rsid w:val="00585527"/>
    <w:rsid w:val="005866C6"/>
    <w:rsid w:val="005877E2"/>
    <w:rsid w:val="00587F8C"/>
    <w:rsid w:val="00590A7D"/>
    <w:rsid w:val="0059108B"/>
    <w:rsid w:val="0059128C"/>
    <w:rsid w:val="00591EBF"/>
    <w:rsid w:val="00593807"/>
    <w:rsid w:val="00595342"/>
    <w:rsid w:val="00595DA3"/>
    <w:rsid w:val="00596349"/>
    <w:rsid w:val="00596631"/>
    <w:rsid w:val="00596C33"/>
    <w:rsid w:val="0059763B"/>
    <w:rsid w:val="005979D7"/>
    <w:rsid w:val="005A0DC6"/>
    <w:rsid w:val="005A1FD9"/>
    <w:rsid w:val="005A2063"/>
    <w:rsid w:val="005A3ABF"/>
    <w:rsid w:val="005A4104"/>
    <w:rsid w:val="005A55D5"/>
    <w:rsid w:val="005A62D5"/>
    <w:rsid w:val="005A657D"/>
    <w:rsid w:val="005A689A"/>
    <w:rsid w:val="005A6A15"/>
    <w:rsid w:val="005B0824"/>
    <w:rsid w:val="005B1005"/>
    <w:rsid w:val="005B1524"/>
    <w:rsid w:val="005B16D0"/>
    <w:rsid w:val="005B25CD"/>
    <w:rsid w:val="005B438E"/>
    <w:rsid w:val="005B58DF"/>
    <w:rsid w:val="005B6245"/>
    <w:rsid w:val="005B6A8B"/>
    <w:rsid w:val="005B717E"/>
    <w:rsid w:val="005C0B01"/>
    <w:rsid w:val="005C0B21"/>
    <w:rsid w:val="005C1198"/>
    <w:rsid w:val="005C28A2"/>
    <w:rsid w:val="005C4B20"/>
    <w:rsid w:val="005C5593"/>
    <w:rsid w:val="005C61BB"/>
    <w:rsid w:val="005C66E9"/>
    <w:rsid w:val="005C694F"/>
    <w:rsid w:val="005C6D68"/>
    <w:rsid w:val="005C7A92"/>
    <w:rsid w:val="005D021D"/>
    <w:rsid w:val="005D0991"/>
    <w:rsid w:val="005D0B0E"/>
    <w:rsid w:val="005D25C1"/>
    <w:rsid w:val="005D431C"/>
    <w:rsid w:val="005D51A9"/>
    <w:rsid w:val="005D570E"/>
    <w:rsid w:val="005D5917"/>
    <w:rsid w:val="005D5CD9"/>
    <w:rsid w:val="005D6B27"/>
    <w:rsid w:val="005D6C2F"/>
    <w:rsid w:val="005D7D57"/>
    <w:rsid w:val="005E1E12"/>
    <w:rsid w:val="005E2087"/>
    <w:rsid w:val="005E24E3"/>
    <w:rsid w:val="005E3647"/>
    <w:rsid w:val="005E423A"/>
    <w:rsid w:val="005E43D4"/>
    <w:rsid w:val="005E47BF"/>
    <w:rsid w:val="005E4EBF"/>
    <w:rsid w:val="005E55B7"/>
    <w:rsid w:val="005E5CE4"/>
    <w:rsid w:val="005E5D8E"/>
    <w:rsid w:val="005E6127"/>
    <w:rsid w:val="005E742E"/>
    <w:rsid w:val="005E76E1"/>
    <w:rsid w:val="005E7E1D"/>
    <w:rsid w:val="005F1043"/>
    <w:rsid w:val="005F1382"/>
    <w:rsid w:val="005F14C2"/>
    <w:rsid w:val="005F1A0C"/>
    <w:rsid w:val="005F3144"/>
    <w:rsid w:val="005F4427"/>
    <w:rsid w:val="005F51F7"/>
    <w:rsid w:val="005F52E1"/>
    <w:rsid w:val="005F5A3A"/>
    <w:rsid w:val="005F5FAA"/>
    <w:rsid w:val="005F7F6E"/>
    <w:rsid w:val="006004E3"/>
    <w:rsid w:val="00601A93"/>
    <w:rsid w:val="00603CFF"/>
    <w:rsid w:val="00604E37"/>
    <w:rsid w:val="0060507C"/>
    <w:rsid w:val="0060637D"/>
    <w:rsid w:val="00606559"/>
    <w:rsid w:val="00607BAF"/>
    <w:rsid w:val="00607D80"/>
    <w:rsid w:val="006102CF"/>
    <w:rsid w:val="00610470"/>
    <w:rsid w:val="00612351"/>
    <w:rsid w:val="006131E2"/>
    <w:rsid w:val="00615159"/>
    <w:rsid w:val="006156C6"/>
    <w:rsid w:val="00615908"/>
    <w:rsid w:val="00615AAF"/>
    <w:rsid w:val="00617203"/>
    <w:rsid w:val="00617289"/>
    <w:rsid w:val="00617DC9"/>
    <w:rsid w:val="00620EC6"/>
    <w:rsid w:val="00621B3B"/>
    <w:rsid w:val="00621BB9"/>
    <w:rsid w:val="0062212E"/>
    <w:rsid w:val="006222E5"/>
    <w:rsid w:val="00622800"/>
    <w:rsid w:val="00625192"/>
    <w:rsid w:val="00625C0B"/>
    <w:rsid w:val="00630721"/>
    <w:rsid w:val="00630D82"/>
    <w:rsid w:val="00631AD5"/>
    <w:rsid w:val="006326E0"/>
    <w:rsid w:val="00633970"/>
    <w:rsid w:val="006346E5"/>
    <w:rsid w:val="00634AF0"/>
    <w:rsid w:val="00635352"/>
    <w:rsid w:val="00635EF7"/>
    <w:rsid w:val="00636DFA"/>
    <w:rsid w:val="00640554"/>
    <w:rsid w:val="006405B0"/>
    <w:rsid w:val="00640DE4"/>
    <w:rsid w:val="00641435"/>
    <w:rsid w:val="0064376D"/>
    <w:rsid w:val="006454AD"/>
    <w:rsid w:val="00645FB8"/>
    <w:rsid w:val="006477A6"/>
    <w:rsid w:val="00650E8B"/>
    <w:rsid w:val="006510B0"/>
    <w:rsid w:val="0065175A"/>
    <w:rsid w:val="006518D2"/>
    <w:rsid w:val="0065313A"/>
    <w:rsid w:val="00653203"/>
    <w:rsid w:val="0065330A"/>
    <w:rsid w:val="00654A7F"/>
    <w:rsid w:val="006553A7"/>
    <w:rsid w:val="00655CC7"/>
    <w:rsid w:val="00655EFA"/>
    <w:rsid w:val="006566EF"/>
    <w:rsid w:val="00656A46"/>
    <w:rsid w:val="0065798A"/>
    <w:rsid w:val="00657D21"/>
    <w:rsid w:val="00657E42"/>
    <w:rsid w:val="00660437"/>
    <w:rsid w:val="006605D0"/>
    <w:rsid w:val="00660D94"/>
    <w:rsid w:val="006612C1"/>
    <w:rsid w:val="00662145"/>
    <w:rsid w:val="006622BD"/>
    <w:rsid w:val="00663820"/>
    <w:rsid w:val="00664344"/>
    <w:rsid w:val="00665034"/>
    <w:rsid w:val="0066503A"/>
    <w:rsid w:val="00665AA9"/>
    <w:rsid w:val="00665D07"/>
    <w:rsid w:val="00666A49"/>
    <w:rsid w:val="00666D4F"/>
    <w:rsid w:val="00667B72"/>
    <w:rsid w:val="00670C4E"/>
    <w:rsid w:val="006714FE"/>
    <w:rsid w:val="0067185F"/>
    <w:rsid w:val="00671879"/>
    <w:rsid w:val="00671A8E"/>
    <w:rsid w:val="00673BBC"/>
    <w:rsid w:val="00673CDD"/>
    <w:rsid w:val="006745D9"/>
    <w:rsid w:val="00675439"/>
    <w:rsid w:val="00675B69"/>
    <w:rsid w:val="00675BA4"/>
    <w:rsid w:val="00676314"/>
    <w:rsid w:val="0067736F"/>
    <w:rsid w:val="006802E0"/>
    <w:rsid w:val="006803A7"/>
    <w:rsid w:val="00680AB0"/>
    <w:rsid w:val="00680C1E"/>
    <w:rsid w:val="00680D43"/>
    <w:rsid w:val="006825E1"/>
    <w:rsid w:val="00682C63"/>
    <w:rsid w:val="00682FF5"/>
    <w:rsid w:val="00683ACB"/>
    <w:rsid w:val="00684582"/>
    <w:rsid w:val="006855F6"/>
    <w:rsid w:val="00686099"/>
    <w:rsid w:val="0068633A"/>
    <w:rsid w:val="00686D2A"/>
    <w:rsid w:val="006871CB"/>
    <w:rsid w:val="0069003C"/>
    <w:rsid w:val="00692BF9"/>
    <w:rsid w:val="006938C3"/>
    <w:rsid w:val="00693B54"/>
    <w:rsid w:val="00693E8B"/>
    <w:rsid w:val="00693EF0"/>
    <w:rsid w:val="00694554"/>
    <w:rsid w:val="00694B9B"/>
    <w:rsid w:val="00695207"/>
    <w:rsid w:val="00696AF9"/>
    <w:rsid w:val="00697F1D"/>
    <w:rsid w:val="006A0317"/>
    <w:rsid w:val="006A03C0"/>
    <w:rsid w:val="006A1C1F"/>
    <w:rsid w:val="006A2E53"/>
    <w:rsid w:val="006A4613"/>
    <w:rsid w:val="006A5610"/>
    <w:rsid w:val="006A5719"/>
    <w:rsid w:val="006A6275"/>
    <w:rsid w:val="006A6408"/>
    <w:rsid w:val="006A6F7C"/>
    <w:rsid w:val="006A7854"/>
    <w:rsid w:val="006A7C84"/>
    <w:rsid w:val="006B171E"/>
    <w:rsid w:val="006B1A24"/>
    <w:rsid w:val="006B2581"/>
    <w:rsid w:val="006B269A"/>
    <w:rsid w:val="006B292B"/>
    <w:rsid w:val="006B314B"/>
    <w:rsid w:val="006B3536"/>
    <w:rsid w:val="006B3C45"/>
    <w:rsid w:val="006B3E3D"/>
    <w:rsid w:val="006B4406"/>
    <w:rsid w:val="006B45B5"/>
    <w:rsid w:val="006B4728"/>
    <w:rsid w:val="006B6637"/>
    <w:rsid w:val="006B7117"/>
    <w:rsid w:val="006B77B7"/>
    <w:rsid w:val="006C10E3"/>
    <w:rsid w:val="006C1608"/>
    <w:rsid w:val="006C1857"/>
    <w:rsid w:val="006C1A53"/>
    <w:rsid w:val="006C2EF3"/>
    <w:rsid w:val="006C2FF6"/>
    <w:rsid w:val="006C519E"/>
    <w:rsid w:val="006C559F"/>
    <w:rsid w:val="006C5C58"/>
    <w:rsid w:val="006C61BF"/>
    <w:rsid w:val="006C755B"/>
    <w:rsid w:val="006C759C"/>
    <w:rsid w:val="006C7BB3"/>
    <w:rsid w:val="006D003F"/>
    <w:rsid w:val="006D0052"/>
    <w:rsid w:val="006D0272"/>
    <w:rsid w:val="006D1408"/>
    <w:rsid w:val="006D190C"/>
    <w:rsid w:val="006D1B82"/>
    <w:rsid w:val="006D2AD7"/>
    <w:rsid w:val="006D42CE"/>
    <w:rsid w:val="006D4C44"/>
    <w:rsid w:val="006D55E9"/>
    <w:rsid w:val="006D5BBC"/>
    <w:rsid w:val="006D66DF"/>
    <w:rsid w:val="006D6796"/>
    <w:rsid w:val="006D7792"/>
    <w:rsid w:val="006E01DA"/>
    <w:rsid w:val="006E0816"/>
    <w:rsid w:val="006E0CF6"/>
    <w:rsid w:val="006E1DB9"/>
    <w:rsid w:val="006E22B0"/>
    <w:rsid w:val="006E2B52"/>
    <w:rsid w:val="006E3BC7"/>
    <w:rsid w:val="006E4041"/>
    <w:rsid w:val="006E5D16"/>
    <w:rsid w:val="006E6715"/>
    <w:rsid w:val="006F0179"/>
    <w:rsid w:val="006F07C3"/>
    <w:rsid w:val="006F17B2"/>
    <w:rsid w:val="006F18AD"/>
    <w:rsid w:val="006F22C8"/>
    <w:rsid w:val="006F3861"/>
    <w:rsid w:val="006F61A6"/>
    <w:rsid w:val="006F7039"/>
    <w:rsid w:val="006F7D2A"/>
    <w:rsid w:val="007015F1"/>
    <w:rsid w:val="00701F01"/>
    <w:rsid w:val="00704A7C"/>
    <w:rsid w:val="00705543"/>
    <w:rsid w:val="00705729"/>
    <w:rsid w:val="00706808"/>
    <w:rsid w:val="00706A2A"/>
    <w:rsid w:val="00707400"/>
    <w:rsid w:val="00712417"/>
    <w:rsid w:val="007128AC"/>
    <w:rsid w:val="0071366B"/>
    <w:rsid w:val="007141EB"/>
    <w:rsid w:val="007142D7"/>
    <w:rsid w:val="0071475D"/>
    <w:rsid w:val="00714C34"/>
    <w:rsid w:val="00716228"/>
    <w:rsid w:val="0071753C"/>
    <w:rsid w:val="00720974"/>
    <w:rsid w:val="00720DE0"/>
    <w:rsid w:val="0072237E"/>
    <w:rsid w:val="00722582"/>
    <w:rsid w:val="007238EC"/>
    <w:rsid w:val="00723D81"/>
    <w:rsid w:val="00725D8E"/>
    <w:rsid w:val="007277D6"/>
    <w:rsid w:val="0073068A"/>
    <w:rsid w:val="0073098D"/>
    <w:rsid w:val="00731272"/>
    <w:rsid w:val="0073270A"/>
    <w:rsid w:val="00732AAC"/>
    <w:rsid w:val="00732BFC"/>
    <w:rsid w:val="00734986"/>
    <w:rsid w:val="00734B1D"/>
    <w:rsid w:val="00734CAE"/>
    <w:rsid w:val="00736EF7"/>
    <w:rsid w:val="00737CBD"/>
    <w:rsid w:val="00737F1A"/>
    <w:rsid w:val="0074048D"/>
    <w:rsid w:val="007418E7"/>
    <w:rsid w:val="00741966"/>
    <w:rsid w:val="007421C8"/>
    <w:rsid w:val="00742960"/>
    <w:rsid w:val="00742BF7"/>
    <w:rsid w:val="00742FC5"/>
    <w:rsid w:val="00743284"/>
    <w:rsid w:val="007436D2"/>
    <w:rsid w:val="00743C39"/>
    <w:rsid w:val="00744EF7"/>
    <w:rsid w:val="00746E2D"/>
    <w:rsid w:val="007507C3"/>
    <w:rsid w:val="00752DDC"/>
    <w:rsid w:val="0075383E"/>
    <w:rsid w:val="00753D3A"/>
    <w:rsid w:val="00754345"/>
    <w:rsid w:val="00754502"/>
    <w:rsid w:val="00754D18"/>
    <w:rsid w:val="00756953"/>
    <w:rsid w:val="00756EAB"/>
    <w:rsid w:val="0075728B"/>
    <w:rsid w:val="007576FF"/>
    <w:rsid w:val="00763042"/>
    <w:rsid w:val="00763B2F"/>
    <w:rsid w:val="007641C4"/>
    <w:rsid w:val="00764835"/>
    <w:rsid w:val="00764BF6"/>
    <w:rsid w:val="007661C2"/>
    <w:rsid w:val="00766718"/>
    <w:rsid w:val="00766B3C"/>
    <w:rsid w:val="00770895"/>
    <w:rsid w:val="00770FCA"/>
    <w:rsid w:val="007747D7"/>
    <w:rsid w:val="007753AC"/>
    <w:rsid w:val="00775AC7"/>
    <w:rsid w:val="0077671E"/>
    <w:rsid w:val="00776A19"/>
    <w:rsid w:val="007770DA"/>
    <w:rsid w:val="00780C7B"/>
    <w:rsid w:val="00780F5E"/>
    <w:rsid w:val="00781E81"/>
    <w:rsid w:val="007821E9"/>
    <w:rsid w:val="00782C66"/>
    <w:rsid w:val="0078312A"/>
    <w:rsid w:val="007833DE"/>
    <w:rsid w:val="00783FDD"/>
    <w:rsid w:val="00784262"/>
    <w:rsid w:val="00785636"/>
    <w:rsid w:val="00786752"/>
    <w:rsid w:val="007868D6"/>
    <w:rsid w:val="007869D1"/>
    <w:rsid w:val="00787F0D"/>
    <w:rsid w:val="00787F70"/>
    <w:rsid w:val="0079041B"/>
    <w:rsid w:val="0079215A"/>
    <w:rsid w:val="00793AA8"/>
    <w:rsid w:val="00794449"/>
    <w:rsid w:val="007947FE"/>
    <w:rsid w:val="00795CD5"/>
    <w:rsid w:val="00797A6E"/>
    <w:rsid w:val="00797E8D"/>
    <w:rsid w:val="007A0CAC"/>
    <w:rsid w:val="007A1990"/>
    <w:rsid w:val="007A2100"/>
    <w:rsid w:val="007A3591"/>
    <w:rsid w:val="007A370F"/>
    <w:rsid w:val="007A3B49"/>
    <w:rsid w:val="007A4507"/>
    <w:rsid w:val="007A471B"/>
    <w:rsid w:val="007A5CB2"/>
    <w:rsid w:val="007A7F4D"/>
    <w:rsid w:val="007A7F85"/>
    <w:rsid w:val="007B1D70"/>
    <w:rsid w:val="007B38FD"/>
    <w:rsid w:val="007B3FA8"/>
    <w:rsid w:val="007B4731"/>
    <w:rsid w:val="007B4A3B"/>
    <w:rsid w:val="007B4B8F"/>
    <w:rsid w:val="007B4C1B"/>
    <w:rsid w:val="007B5FD0"/>
    <w:rsid w:val="007B7051"/>
    <w:rsid w:val="007C01A0"/>
    <w:rsid w:val="007C1252"/>
    <w:rsid w:val="007C17E5"/>
    <w:rsid w:val="007C18BB"/>
    <w:rsid w:val="007C1EB8"/>
    <w:rsid w:val="007C298E"/>
    <w:rsid w:val="007C3A9F"/>
    <w:rsid w:val="007C6DBB"/>
    <w:rsid w:val="007C7932"/>
    <w:rsid w:val="007C7F42"/>
    <w:rsid w:val="007D0C32"/>
    <w:rsid w:val="007D0C6B"/>
    <w:rsid w:val="007D336F"/>
    <w:rsid w:val="007D3D3C"/>
    <w:rsid w:val="007D4544"/>
    <w:rsid w:val="007D45EA"/>
    <w:rsid w:val="007D6CE4"/>
    <w:rsid w:val="007E047B"/>
    <w:rsid w:val="007E1527"/>
    <w:rsid w:val="007E16DA"/>
    <w:rsid w:val="007E269A"/>
    <w:rsid w:val="007E33F8"/>
    <w:rsid w:val="007E4563"/>
    <w:rsid w:val="007E4936"/>
    <w:rsid w:val="007E5C74"/>
    <w:rsid w:val="007E761A"/>
    <w:rsid w:val="007F02DB"/>
    <w:rsid w:val="007F1BA2"/>
    <w:rsid w:val="007F3A4B"/>
    <w:rsid w:val="007F411D"/>
    <w:rsid w:val="007F4B55"/>
    <w:rsid w:val="007F6048"/>
    <w:rsid w:val="007F61BD"/>
    <w:rsid w:val="007F6749"/>
    <w:rsid w:val="007F6DC0"/>
    <w:rsid w:val="007F6E77"/>
    <w:rsid w:val="007F7B57"/>
    <w:rsid w:val="0080162B"/>
    <w:rsid w:val="00802BEF"/>
    <w:rsid w:val="0080314B"/>
    <w:rsid w:val="008031D6"/>
    <w:rsid w:val="008034B2"/>
    <w:rsid w:val="00804D68"/>
    <w:rsid w:val="00806347"/>
    <w:rsid w:val="00806A02"/>
    <w:rsid w:val="00807FE3"/>
    <w:rsid w:val="00810A92"/>
    <w:rsid w:val="008119E6"/>
    <w:rsid w:val="00811D35"/>
    <w:rsid w:val="008121DF"/>
    <w:rsid w:val="00812D25"/>
    <w:rsid w:val="00813286"/>
    <w:rsid w:val="008137A6"/>
    <w:rsid w:val="00814585"/>
    <w:rsid w:val="00815959"/>
    <w:rsid w:val="0081597A"/>
    <w:rsid w:val="008161FC"/>
    <w:rsid w:val="00816395"/>
    <w:rsid w:val="00817359"/>
    <w:rsid w:val="00822CC7"/>
    <w:rsid w:val="00822EBB"/>
    <w:rsid w:val="00822F00"/>
    <w:rsid w:val="00823212"/>
    <w:rsid w:val="00823A42"/>
    <w:rsid w:val="00823ABD"/>
    <w:rsid w:val="00823C0B"/>
    <w:rsid w:val="0082586F"/>
    <w:rsid w:val="00825A98"/>
    <w:rsid w:val="0082604C"/>
    <w:rsid w:val="0082676B"/>
    <w:rsid w:val="008267A1"/>
    <w:rsid w:val="0082685A"/>
    <w:rsid w:val="00827CC4"/>
    <w:rsid w:val="00827CEE"/>
    <w:rsid w:val="00827E33"/>
    <w:rsid w:val="00830637"/>
    <w:rsid w:val="00830D3F"/>
    <w:rsid w:val="0083207B"/>
    <w:rsid w:val="008322B1"/>
    <w:rsid w:val="008327AE"/>
    <w:rsid w:val="00833A0E"/>
    <w:rsid w:val="00833F30"/>
    <w:rsid w:val="0083416F"/>
    <w:rsid w:val="0083420C"/>
    <w:rsid w:val="00835160"/>
    <w:rsid w:val="00835777"/>
    <w:rsid w:val="00836032"/>
    <w:rsid w:val="008369D3"/>
    <w:rsid w:val="008372A8"/>
    <w:rsid w:val="0083766B"/>
    <w:rsid w:val="00840356"/>
    <w:rsid w:val="00840C6A"/>
    <w:rsid w:val="00841D55"/>
    <w:rsid w:val="00842113"/>
    <w:rsid w:val="00842228"/>
    <w:rsid w:val="0084238C"/>
    <w:rsid w:val="00843381"/>
    <w:rsid w:val="008435DB"/>
    <w:rsid w:val="00843938"/>
    <w:rsid w:val="0084414A"/>
    <w:rsid w:val="00844607"/>
    <w:rsid w:val="00844AC9"/>
    <w:rsid w:val="008458DE"/>
    <w:rsid w:val="008459F5"/>
    <w:rsid w:val="008462F8"/>
    <w:rsid w:val="0084672A"/>
    <w:rsid w:val="008508A6"/>
    <w:rsid w:val="00850D6B"/>
    <w:rsid w:val="0085200F"/>
    <w:rsid w:val="00852245"/>
    <w:rsid w:val="0085238B"/>
    <w:rsid w:val="008538BB"/>
    <w:rsid w:val="0085410A"/>
    <w:rsid w:val="0085423A"/>
    <w:rsid w:val="00855425"/>
    <w:rsid w:val="00855EBA"/>
    <w:rsid w:val="00860D5B"/>
    <w:rsid w:val="008613F0"/>
    <w:rsid w:val="00861901"/>
    <w:rsid w:val="00861AAF"/>
    <w:rsid w:val="00861F5A"/>
    <w:rsid w:val="0086211D"/>
    <w:rsid w:val="00863009"/>
    <w:rsid w:val="0086733A"/>
    <w:rsid w:val="0086795A"/>
    <w:rsid w:val="00870635"/>
    <w:rsid w:val="0087107E"/>
    <w:rsid w:val="0087199D"/>
    <w:rsid w:val="00872460"/>
    <w:rsid w:val="008726DA"/>
    <w:rsid w:val="0087272B"/>
    <w:rsid w:val="00876098"/>
    <w:rsid w:val="00876EC9"/>
    <w:rsid w:val="00877F6D"/>
    <w:rsid w:val="00881079"/>
    <w:rsid w:val="0088178E"/>
    <w:rsid w:val="00881F60"/>
    <w:rsid w:val="008820DD"/>
    <w:rsid w:val="00884C3F"/>
    <w:rsid w:val="008850C9"/>
    <w:rsid w:val="00885832"/>
    <w:rsid w:val="00885A21"/>
    <w:rsid w:val="008866D1"/>
    <w:rsid w:val="00886745"/>
    <w:rsid w:val="00887C9A"/>
    <w:rsid w:val="00890463"/>
    <w:rsid w:val="00890496"/>
    <w:rsid w:val="00891E41"/>
    <w:rsid w:val="008920D6"/>
    <w:rsid w:val="00892745"/>
    <w:rsid w:val="00892A20"/>
    <w:rsid w:val="00892E06"/>
    <w:rsid w:val="00893947"/>
    <w:rsid w:val="00893CF4"/>
    <w:rsid w:val="00893ED8"/>
    <w:rsid w:val="00894A6E"/>
    <w:rsid w:val="00895E8F"/>
    <w:rsid w:val="008970E5"/>
    <w:rsid w:val="00897705"/>
    <w:rsid w:val="00897A31"/>
    <w:rsid w:val="008A05BA"/>
    <w:rsid w:val="008A0F49"/>
    <w:rsid w:val="008A3230"/>
    <w:rsid w:val="008A42AB"/>
    <w:rsid w:val="008A48E1"/>
    <w:rsid w:val="008A5891"/>
    <w:rsid w:val="008A6092"/>
    <w:rsid w:val="008A6163"/>
    <w:rsid w:val="008A68B5"/>
    <w:rsid w:val="008B0ED3"/>
    <w:rsid w:val="008B1617"/>
    <w:rsid w:val="008B1A76"/>
    <w:rsid w:val="008B1FCF"/>
    <w:rsid w:val="008B2E35"/>
    <w:rsid w:val="008B4558"/>
    <w:rsid w:val="008B46A6"/>
    <w:rsid w:val="008B5331"/>
    <w:rsid w:val="008B6252"/>
    <w:rsid w:val="008B6A13"/>
    <w:rsid w:val="008B6A18"/>
    <w:rsid w:val="008B7923"/>
    <w:rsid w:val="008B7ABE"/>
    <w:rsid w:val="008B7EF2"/>
    <w:rsid w:val="008C071F"/>
    <w:rsid w:val="008C0C9A"/>
    <w:rsid w:val="008C0D94"/>
    <w:rsid w:val="008C2674"/>
    <w:rsid w:val="008C2679"/>
    <w:rsid w:val="008C2734"/>
    <w:rsid w:val="008C277B"/>
    <w:rsid w:val="008C3847"/>
    <w:rsid w:val="008C3B9A"/>
    <w:rsid w:val="008C3E40"/>
    <w:rsid w:val="008C3F61"/>
    <w:rsid w:val="008C414A"/>
    <w:rsid w:val="008C4C2C"/>
    <w:rsid w:val="008C6A20"/>
    <w:rsid w:val="008C7210"/>
    <w:rsid w:val="008C769A"/>
    <w:rsid w:val="008D10B0"/>
    <w:rsid w:val="008D1BE2"/>
    <w:rsid w:val="008D1EED"/>
    <w:rsid w:val="008D1F5F"/>
    <w:rsid w:val="008D26DD"/>
    <w:rsid w:val="008D4735"/>
    <w:rsid w:val="008D493A"/>
    <w:rsid w:val="008D5142"/>
    <w:rsid w:val="008D55FB"/>
    <w:rsid w:val="008D5C13"/>
    <w:rsid w:val="008D5F9C"/>
    <w:rsid w:val="008D64D7"/>
    <w:rsid w:val="008D7212"/>
    <w:rsid w:val="008D7985"/>
    <w:rsid w:val="008E1B3E"/>
    <w:rsid w:val="008E1DE8"/>
    <w:rsid w:val="008E20D0"/>
    <w:rsid w:val="008E478B"/>
    <w:rsid w:val="008E49D9"/>
    <w:rsid w:val="008E5B7C"/>
    <w:rsid w:val="008E62C6"/>
    <w:rsid w:val="008E7080"/>
    <w:rsid w:val="008E7594"/>
    <w:rsid w:val="008E78D4"/>
    <w:rsid w:val="008E7DAA"/>
    <w:rsid w:val="008F0BE1"/>
    <w:rsid w:val="008F0FDB"/>
    <w:rsid w:val="008F4323"/>
    <w:rsid w:val="008F46E7"/>
    <w:rsid w:val="008F7908"/>
    <w:rsid w:val="00900C5E"/>
    <w:rsid w:val="009010C0"/>
    <w:rsid w:val="00902E12"/>
    <w:rsid w:val="0090458B"/>
    <w:rsid w:val="009060E3"/>
    <w:rsid w:val="00907B28"/>
    <w:rsid w:val="0091103B"/>
    <w:rsid w:val="0091164D"/>
    <w:rsid w:val="00913041"/>
    <w:rsid w:val="00914E7A"/>
    <w:rsid w:val="00914EBB"/>
    <w:rsid w:val="00915F4D"/>
    <w:rsid w:val="009161D3"/>
    <w:rsid w:val="00916705"/>
    <w:rsid w:val="00916BF8"/>
    <w:rsid w:val="00917F24"/>
    <w:rsid w:val="009208A0"/>
    <w:rsid w:val="0092165C"/>
    <w:rsid w:val="00921DB4"/>
    <w:rsid w:val="00923001"/>
    <w:rsid w:val="009236C4"/>
    <w:rsid w:val="00923DAB"/>
    <w:rsid w:val="00924576"/>
    <w:rsid w:val="009275A2"/>
    <w:rsid w:val="00931E5A"/>
    <w:rsid w:val="00932580"/>
    <w:rsid w:val="00932CFC"/>
    <w:rsid w:val="0093790D"/>
    <w:rsid w:val="00937E98"/>
    <w:rsid w:val="009414F1"/>
    <w:rsid w:val="0094227A"/>
    <w:rsid w:val="0094286A"/>
    <w:rsid w:val="00943F35"/>
    <w:rsid w:val="00944340"/>
    <w:rsid w:val="00945C05"/>
    <w:rsid w:val="00946224"/>
    <w:rsid w:val="00950082"/>
    <w:rsid w:val="00950F7D"/>
    <w:rsid w:val="00951192"/>
    <w:rsid w:val="009514BA"/>
    <w:rsid w:val="00951CCF"/>
    <w:rsid w:val="00951ECF"/>
    <w:rsid w:val="00951ED7"/>
    <w:rsid w:val="00952E5F"/>
    <w:rsid w:val="00954237"/>
    <w:rsid w:val="00955D18"/>
    <w:rsid w:val="00955F8D"/>
    <w:rsid w:val="0095652F"/>
    <w:rsid w:val="00957221"/>
    <w:rsid w:val="00957D95"/>
    <w:rsid w:val="0096000F"/>
    <w:rsid w:val="0096020E"/>
    <w:rsid w:val="00960B18"/>
    <w:rsid w:val="00961518"/>
    <w:rsid w:val="00962BB6"/>
    <w:rsid w:val="009631FA"/>
    <w:rsid w:val="00964246"/>
    <w:rsid w:val="00964485"/>
    <w:rsid w:val="009646DE"/>
    <w:rsid w:val="009648F7"/>
    <w:rsid w:val="00964C3B"/>
    <w:rsid w:val="009653FC"/>
    <w:rsid w:val="00965F60"/>
    <w:rsid w:val="00965FD9"/>
    <w:rsid w:val="00966695"/>
    <w:rsid w:val="00966BF5"/>
    <w:rsid w:val="00967661"/>
    <w:rsid w:val="0097058B"/>
    <w:rsid w:val="00971691"/>
    <w:rsid w:val="00971B51"/>
    <w:rsid w:val="00972248"/>
    <w:rsid w:val="00972348"/>
    <w:rsid w:val="00974218"/>
    <w:rsid w:val="009744DD"/>
    <w:rsid w:val="009747AC"/>
    <w:rsid w:val="00974908"/>
    <w:rsid w:val="00975256"/>
    <w:rsid w:val="009755D3"/>
    <w:rsid w:val="00975CC2"/>
    <w:rsid w:val="00975FC8"/>
    <w:rsid w:val="009767AA"/>
    <w:rsid w:val="00976965"/>
    <w:rsid w:val="00976F61"/>
    <w:rsid w:val="00980B86"/>
    <w:rsid w:val="00980DC1"/>
    <w:rsid w:val="00981A2F"/>
    <w:rsid w:val="0098220C"/>
    <w:rsid w:val="00983A4A"/>
    <w:rsid w:val="00983EAC"/>
    <w:rsid w:val="00984245"/>
    <w:rsid w:val="00985067"/>
    <w:rsid w:val="00986DFE"/>
    <w:rsid w:val="009879B2"/>
    <w:rsid w:val="00987BA4"/>
    <w:rsid w:val="00990211"/>
    <w:rsid w:val="009906F4"/>
    <w:rsid w:val="009925A3"/>
    <w:rsid w:val="0099269C"/>
    <w:rsid w:val="00996818"/>
    <w:rsid w:val="00997941"/>
    <w:rsid w:val="00997D4F"/>
    <w:rsid w:val="009A02A0"/>
    <w:rsid w:val="009A0B5B"/>
    <w:rsid w:val="009A14A6"/>
    <w:rsid w:val="009A265D"/>
    <w:rsid w:val="009A345B"/>
    <w:rsid w:val="009A4C1C"/>
    <w:rsid w:val="009A5CA3"/>
    <w:rsid w:val="009A617F"/>
    <w:rsid w:val="009A63D5"/>
    <w:rsid w:val="009A7B64"/>
    <w:rsid w:val="009B0652"/>
    <w:rsid w:val="009B12FC"/>
    <w:rsid w:val="009B4243"/>
    <w:rsid w:val="009B508C"/>
    <w:rsid w:val="009B521D"/>
    <w:rsid w:val="009B6C9C"/>
    <w:rsid w:val="009B71D2"/>
    <w:rsid w:val="009B7335"/>
    <w:rsid w:val="009B7FD1"/>
    <w:rsid w:val="009C0609"/>
    <w:rsid w:val="009C06C7"/>
    <w:rsid w:val="009C1628"/>
    <w:rsid w:val="009C20B3"/>
    <w:rsid w:val="009C2186"/>
    <w:rsid w:val="009C2238"/>
    <w:rsid w:val="009C48F4"/>
    <w:rsid w:val="009C4C1B"/>
    <w:rsid w:val="009C4C43"/>
    <w:rsid w:val="009C59F0"/>
    <w:rsid w:val="009C5CC1"/>
    <w:rsid w:val="009C5DC6"/>
    <w:rsid w:val="009C5DEB"/>
    <w:rsid w:val="009C623A"/>
    <w:rsid w:val="009C7014"/>
    <w:rsid w:val="009D0717"/>
    <w:rsid w:val="009D146E"/>
    <w:rsid w:val="009D2A05"/>
    <w:rsid w:val="009D2EED"/>
    <w:rsid w:val="009D3ADA"/>
    <w:rsid w:val="009D4946"/>
    <w:rsid w:val="009D4967"/>
    <w:rsid w:val="009D4A3B"/>
    <w:rsid w:val="009D4DDD"/>
    <w:rsid w:val="009D5A53"/>
    <w:rsid w:val="009D67B3"/>
    <w:rsid w:val="009D7DC2"/>
    <w:rsid w:val="009E0A7A"/>
    <w:rsid w:val="009E12F7"/>
    <w:rsid w:val="009E1393"/>
    <w:rsid w:val="009E1A56"/>
    <w:rsid w:val="009E22FA"/>
    <w:rsid w:val="009E2B39"/>
    <w:rsid w:val="009E3AEE"/>
    <w:rsid w:val="009E48F6"/>
    <w:rsid w:val="009E50E1"/>
    <w:rsid w:val="009E563C"/>
    <w:rsid w:val="009E606A"/>
    <w:rsid w:val="009F0AC4"/>
    <w:rsid w:val="009F1707"/>
    <w:rsid w:val="009F1E57"/>
    <w:rsid w:val="009F343A"/>
    <w:rsid w:val="009F7232"/>
    <w:rsid w:val="009F72C5"/>
    <w:rsid w:val="009F7528"/>
    <w:rsid w:val="009F79B5"/>
    <w:rsid w:val="00A00617"/>
    <w:rsid w:val="00A0144D"/>
    <w:rsid w:val="00A0247A"/>
    <w:rsid w:val="00A025C6"/>
    <w:rsid w:val="00A02E1A"/>
    <w:rsid w:val="00A03A85"/>
    <w:rsid w:val="00A03B91"/>
    <w:rsid w:val="00A04192"/>
    <w:rsid w:val="00A04469"/>
    <w:rsid w:val="00A068D6"/>
    <w:rsid w:val="00A06B9A"/>
    <w:rsid w:val="00A06EA5"/>
    <w:rsid w:val="00A078A1"/>
    <w:rsid w:val="00A11077"/>
    <w:rsid w:val="00A13983"/>
    <w:rsid w:val="00A1461C"/>
    <w:rsid w:val="00A1504C"/>
    <w:rsid w:val="00A153DB"/>
    <w:rsid w:val="00A15723"/>
    <w:rsid w:val="00A15B13"/>
    <w:rsid w:val="00A15EAB"/>
    <w:rsid w:val="00A1755D"/>
    <w:rsid w:val="00A202CA"/>
    <w:rsid w:val="00A228C8"/>
    <w:rsid w:val="00A24B61"/>
    <w:rsid w:val="00A2577C"/>
    <w:rsid w:val="00A25A2A"/>
    <w:rsid w:val="00A26141"/>
    <w:rsid w:val="00A265D2"/>
    <w:rsid w:val="00A2725C"/>
    <w:rsid w:val="00A300EC"/>
    <w:rsid w:val="00A3019E"/>
    <w:rsid w:val="00A32026"/>
    <w:rsid w:val="00A32C76"/>
    <w:rsid w:val="00A32D26"/>
    <w:rsid w:val="00A33624"/>
    <w:rsid w:val="00A3404A"/>
    <w:rsid w:val="00A35D39"/>
    <w:rsid w:val="00A41BA7"/>
    <w:rsid w:val="00A42FFC"/>
    <w:rsid w:val="00A431E9"/>
    <w:rsid w:val="00A44198"/>
    <w:rsid w:val="00A445EF"/>
    <w:rsid w:val="00A4489E"/>
    <w:rsid w:val="00A44957"/>
    <w:rsid w:val="00A45A07"/>
    <w:rsid w:val="00A46030"/>
    <w:rsid w:val="00A46056"/>
    <w:rsid w:val="00A46230"/>
    <w:rsid w:val="00A4770D"/>
    <w:rsid w:val="00A47E56"/>
    <w:rsid w:val="00A50FF5"/>
    <w:rsid w:val="00A51686"/>
    <w:rsid w:val="00A51A2A"/>
    <w:rsid w:val="00A52084"/>
    <w:rsid w:val="00A53036"/>
    <w:rsid w:val="00A538E4"/>
    <w:rsid w:val="00A56837"/>
    <w:rsid w:val="00A6055A"/>
    <w:rsid w:val="00A6185A"/>
    <w:rsid w:val="00A624BB"/>
    <w:rsid w:val="00A62507"/>
    <w:rsid w:val="00A62C32"/>
    <w:rsid w:val="00A64769"/>
    <w:rsid w:val="00A66360"/>
    <w:rsid w:val="00A67978"/>
    <w:rsid w:val="00A70230"/>
    <w:rsid w:val="00A70809"/>
    <w:rsid w:val="00A709CD"/>
    <w:rsid w:val="00A709FC"/>
    <w:rsid w:val="00A70B61"/>
    <w:rsid w:val="00A71484"/>
    <w:rsid w:val="00A72417"/>
    <w:rsid w:val="00A728F4"/>
    <w:rsid w:val="00A72D4A"/>
    <w:rsid w:val="00A74529"/>
    <w:rsid w:val="00A74CDE"/>
    <w:rsid w:val="00A75673"/>
    <w:rsid w:val="00A7724A"/>
    <w:rsid w:val="00A80C9E"/>
    <w:rsid w:val="00A80D3E"/>
    <w:rsid w:val="00A8259F"/>
    <w:rsid w:val="00A831E9"/>
    <w:rsid w:val="00A84343"/>
    <w:rsid w:val="00A847D9"/>
    <w:rsid w:val="00A84AA8"/>
    <w:rsid w:val="00A84AE4"/>
    <w:rsid w:val="00A85813"/>
    <w:rsid w:val="00A864B1"/>
    <w:rsid w:val="00A86C8D"/>
    <w:rsid w:val="00A86EE7"/>
    <w:rsid w:val="00A8719E"/>
    <w:rsid w:val="00A872A9"/>
    <w:rsid w:val="00A90738"/>
    <w:rsid w:val="00A90AA7"/>
    <w:rsid w:val="00A90F86"/>
    <w:rsid w:val="00A91206"/>
    <w:rsid w:val="00A92FE1"/>
    <w:rsid w:val="00A93247"/>
    <w:rsid w:val="00A9375F"/>
    <w:rsid w:val="00A93788"/>
    <w:rsid w:val="00A9394B"/>
    <w:rsid w:val="00A93C1C"/>
    <w:rsid w:val="00A93CBC"/>
    <w:rsid w:val="00A93CD4"/>
    <w:rsid w:val="00A93EA4"/>
    <w:rsid w:val="00A94360"/>
    <w:rsid w:val="00A95FF5"/>
    <w:rsid w:val="00A972D9"/>
    <w:rsid w:val="00A976B1"/>
    <w:rsid w:val="00A97CF7"/>
    <w:rsid w:val="00A97E9C"/>
    <w:rsid w:val="00AA06A1"/>
    <w:rsid w:val="00AA06BF"/>
    <w:rsid w:val="00AA0FB2"/>
    <w:rsid w:val="00AA1478"/>
    <w:rsid w:val="00AA1C52"/>
    <w:rsid w:val="00AA1E8B"/>
    <w:rsid w:val="00AA30AB"/>
    <w:rsid w:val="00AA3613"/>
    <w:rsid w:val="00AA3A1D"/>
    <w:rsid w:val="00AA3C06"/>
    <w:rsid w:val="00AA3C31"/>
    <w:rsid w:val="00AA4689"/>
    <w:rsid w:val="00AA4FC4"/>
    <w:rsid w:val="00AA5EA9"/>
    <w:rsid w:val="00AA68A4"/>
    <w:rsid w:val="00AA797A"/>
    <w:rsid w:val="00AB0A72"/>
    <w:rsid w:val="00AB33C0"/>
    <w:rsid w:val="00AB4EBA"/>
    <w:rsid w:val="00AB5AAA"/>
    <w:rsid w:val="00AB6EC9"/>
    <w:rsid w:val="00AB72C1"/>
    <w:rsid w:val="00AC0CCE"/>
    <w:rsid w:val="00AC0EC5"/>
    <w:rsid w:val="00AC1BFD"/>
    <w:rsid w:val="00AC26A1"/>
    <w:rsid w:val="00AC3896"/>
    <w:rsid w:val="00AC47BA"/>
    <w:rsid w:val="00AC48F0"/>
    <w:rsid w:val="00AC53FB"/>
    <w:rsid w:val="00AC5AAE"/>
    <w:rsid w:val="00AC5E61"/>
    <w:rsid w:val="00AC6022"/>
    <w:rsid w:val="00AC77E9"/>
    <w:rsid w:val="00AD01A8"/>
    <w:rsid w:val="00AD0F84"/>
    <w:rsid w:val="00AD1037"/>
    <w:rsid w:val="00AD1215"/>
    <w:rsid w:val="00AD176A"/>
    <w:rsid w:val="00AD1FC6"/>
    <w:rsid w:val="00AD2BDC"/>
    <w:rsid w:val="00AD388B"/>
    <w:rsid w:val="00AD41F5"/>
    <w:rsid w:val="00AD5CC1"/>
    <w:rsid w:val="00AD7756"/>
    <w:rsid w:val="00AE0BB5"/>
    <w:rsid w:val="00AE30D5"/>
    <w:rsid w:val="00AE3586"/>
    <w:rsid w:val="00AE555F"/>
    <w:rsid w:val="00AE5854"/>
    <w:rsid w:val="00AE58C2"/>
    <w:rsid w:val="00AE62D5"/>
    <w:rsid w:val="00AE719E"/>
    <w:rsid w:val="00AE739F"/>
    <w:rsid w:val="00AE77BD"/>
    <w:rsid w:val="00AE7F5E"/>
    <w:rsid w:val="00AE7F78"/>
    <w:rsid w:val="00AF1AD0"/>
    <w:rsid w:val="00AF3C8A"/>
    <w:rsid w:val="00AF40BE"/>
    <w:rsid w:val="00AF425F"/>
    <w:rsid w:val="00AF44A1"/>
    <w:rsid w:val="00AF4654"/>
    <w:rsid w:val="00AF4C78"/>
    <w:rsid w:val="00AF4CDE"/>
    <w:rsid w:val="00AF4E3C"/>
    <w:rsid w:val="00AF57F8"/>
    <w:rsid w:val="00AF5AD7"/>
    <w:rsid w:val="00AF7AF2"/>
    <w:rsid w:val="00AF7B41"/>
    <w:rsid w:val="00AF7DE3"/>
    <w:rsid w:val="00B00203"/>
    <w:rsid w:val="00B00C5C"/>
    <w:rsid w:val="00B014AE"/>
    <w:rsid w:val="00B01A25"/>
    <w:rsid w:val="00B01C53"/>
    <w:rsid w:val="00B01CF9"/>
    <w:rsid w:val="00B01D12"/>
    <w:rsid w:val="00B02AA3"/>
    <w:rsid w:val="00B0420E"/>
    <w:rsid w:val="00B0767E"/>
    <w:rsid w:val="00B11178"/>
    <w:rsid w:val="00B11872"/>
    <w:rsid w:val="00B11957"/>
    <w:rsid w:val="00B1298D"/>
    <w:rsid w:val="00B12C3B"/>
    <w:rsid w:val="00B13100"/>
    <w:rsid w:val="00B133FA"/>
    <w:rsid w:val="00B13E44"/>
    <w:rsid w:val="00B14A0B"/>
    <w:rsid w:val="00B14E26"/>
    <w:rsid w:val="00B1648B"/>
    <w:rsid w:val="00B16BE1"/>
    <w:rsid w:val="00B17BBD"/>
    <w:rsid w:val="00B17E19"/>
    <w:rsid w:val="00B2003E"/>
    <w:rsid w:val="00B2020A"/>
    <w:rsid w:val="00B21531"/>
    <w:rsid w:val="00B21829"/>
    <w:rsid w:val="00B22CB9"/>
    <w:rsid w:val="00B23223"/>
    <w:rsid w:val="00B23BBB"/>
    <w:rsid w:val="00B2467D"/>
    <w:rsid w:val="00B25A2A"/>
    <w:rsid w:val="00B25DA5"/>
    <w:rsid w:val="00B25F90"/>
    <w:rsid w:val="00B26051"/>
    <w:rsid w:val="00B2779A"/>
    <w:rsid w:val="00B27C59"/>
    <w:rsid w:val="00B30400"/>
    <w:rsid w:val="00B307C9"/>
    <w:rsid w:val="00B309E8"/>
    <w:rsid w:val="00B30AB3"/>
    <w:rsid w:val="00B3233E"/>
    <w:rsid w:val="00B3249F"/>
    <w:rsid w:val="00B32B76"/>
    <w:rsid w:val="00B33362"/>
    <w:rsid w:val="00B347E9"/>
    <w:rsid w:val="00B34D57"/>
    <w:rsid w:val="00B35BC0"/>
    <w:rsid w:val="00B37B87"/>
    <w:rsid w:val="00B40169"/>
    <w:rsid w:val="00B4065E"/>
    <w:rsid w:val="00B450A0"/>
    <w:rsid w:val="00B450D6"/>
    <w:rsid w:val="00B454EB"/>
    <w:rsid w:val="00B45F3B"/>
    <w:rsid w:val="00B46064"/>
    <w:rsid w:val="00B463D3"/>
    <w:rsid w:val="00B47E9B"/>
    <w:rsid w:val="00B51C68"/>
    <w:rsid w:val="00B53B3E"/>
    <w:rsid w:val="00B54D13"/>
    <w:rsid w:val="00B56396"/>
    <w:rsid w:val="00B56865"/>
    <w:rsid w:val="00B576D7"/>
    <w:rsid w:val="00B57C74"/>
    <w:rsid w:val="00B57DC6"/>
    <w:rsid w:val="00B6033A"/>
    <w:rsid w:val="00B60A66"/>
    <w:rsid w:val="00B611F2"/>
    <w:rsid w:val="00B61D71"/>
    <w:rsid w:val="00B62508"/>
    <w:rsid w:val="00B629FF"/>
    <w:rsid w:val="00B6470E"/>
    <w:rsid w:val="00B649EA"/>
    <w:rsid w:val="00B663BE"/>
    <w:rsid w:val="00B66624"/>
    <w:rsid w:val="00B6682A"/>
    <w:rsid w:val="00B70A0E"/>
    <w:rsid w:val="00B7124D"/>
    <w:rsid w:val="00B72A08"/>
    <w:rsid w:val="00B7306F"/>
    <w:rsid w:val="00B73CF3"/>
    <w:rsid w:val="00B74A76"/>
    <w:rsid w:val="00B759A9"/>
    <w:rsid w:val="00B760DE"/>
    <w:rsid w:val="00B765D1"/>
    <w:rsid w:val="00B810CA"/>
    <w:rsid w:val="00B81903"/>
    <w:rsid w:val="00B8443B"/>
    <w:rsid w:val="00B8454D"/>
    <w:rsid w:val="00B84768"/>
    <w:rsid w:val="00B86A66"/>
    <w:rsid w:val="00B86BCF"/>
    <w:rsid w:val="00B86D14"/>
    <w:rsid w:val="00B8744E"/>
    <w:rsid w:val="00B87B1E"/>
    <w:rsid w:val="00B87FD9"/>
    <w:rsid w:val="00B905A3"/>
    <w:rsid w:val="00B90B6B"/>
    <w:rsid w:val="00B90E56"/>
    <w:rsid w:val="00B9112A"/>
    <w:rsid w:val="00B914E1"/>
    <w:rsid w:val="00B91E19"/>
    <w:rsid w:val="00B95AF7"/>
    <w:rsid w:val="00B9609D"/>
    <w:rsid w:val="00BA1376"/>
    <w:rsid w:val="00BA1870"/>
    <w:rsid w:val="00BA25B3"/>
    <w:rsid w:val="00BA2817"/>
    <w:rsid w:val="00BA2826"/>
    <w:rsid w:val="00BA28DC"/>
    <w:rsid w:val="00BA2A6A"/>
    <w:rsid w:val="00BA31A7"/>
    <w:rsid w:val="00BA34C3"/>
    <w:rsid w:val="00BA4FC6"/>
    <w:rsid w:val="00BA677C"/>
    <w:rsid w:val="00BA6E2D"/>
    <w:rsid w:val="00BA76B5"/>
    <w:rsid w:val="00BA7DF1"/>
    <w:rsid w:val="00BB0128"/>
    <w:rsid w:val="00BB08AA"/>
    <w:rsid w:val="00BB13AE"/>
    <w:rsid w:val="00BB1667"/>
    <w:rsid w:val="00BB35F0"/>
    <w:rsid w:val="00BB398B"/>
    <w:rsid w:val="00BB3FA0"/>
    <w:rsid w:val="00BB4AA5"/>
    <w:rsid w:val="00BB4B5E"/>
    <w:rsid w:val="00BB6A54"/>
    <w:rsid w:val="00BB7279"/>
    <w:rsid w:val="00BC0961"/>
    <w:rsid w:val="00BC0B1C"/>
    <w:rsid w:val="00BC0E2C"/>
    <w:rsid w:val="00BC172E"/>
    <w:rsid w:val="00BC27D4"/>
    <w:rsid w:val="00BC3622"/>
    <w:rsid w:val="00BC3B44"/>
    <w:rsid w:val="00BC696B"/>
    <w:rsid w:val="00BC6A82"/>
    <w:rsid w:val="00BC6AD4"/>
    <w:rsid w:val="00BC785B"/>
    <w:rsid w:val="00BD37B4"/>
    <w:rsid w:val="00BD407B"/>
    <w:rsid w:val="00BD4F3E"/>
    <w:rsid w:val="00BD63B3"/>
    <w:rsid w:val="00BD64F8"/>
    <w:rsid w:val="00BE0ACC"/>
    <w:rsid w:val="00BE0F0A"/>
    <w:rsid w:val="00BE206B"/>
    <w:rsid w:val="00BE2F53"/>
    <w:rsid w:val="00BE39E2"/>
    <w:rsid w:val="00BE40A6"/>
    <w:rsid w:val="00BE7702"/>
    <w:rsid w:val="00BF0335"/>
    <w:rsid w:val="00BF05BF"/>
    <w:rsid w:val="00BF0913"/>
    <w:rsid w:val="00BF0BAB"/>
    <w:rsid w:val="00BF0D72"/>
    <w:rsid w:val="00BF19E0"/>
    <w:rsid w:val="00BF1E20"/>
    <w:rsid w:val="00BF2724"/>
    <w:rsid w:val="00BF2FB1"/>
    <w:rsid w:val="00BF3263"/>
    <w:rsid w:val="00BF3905"/>
    <w:rsid w:val="00BF3933"/>
    <w:rsid w:val="00BF453D"/>
    <w:rsid w:val="00BF4760"/>
    <w:rsid w:val="00BF50E7"/>
    <w:rsid w:val="00BF53AD"/>
    <w:rsid w:val="00BF6A7A"/>
    <w:rsid w:val="00BF75E5"/>
    <w:rsid w:val="00BF7CC5"/>
    <w:rsid w:val="00BF7ECD"/>
    <w:rsid w:val="00C01B9D"/>
    <w:rsid w:val="00C02491"/>
    <w:rsid w:val="00C02F79"/>
    <w:rsid w:val="00C03225"/>
    <w:rsid w:val="00C04180"/>
    <w:rsid w:val="00C05D36"/>
    <w:rsid w:val="00C07851"/>
    <w:rsid w:val="00C11128"/>
    <w:rsid w:val="00C11823"/>
    <w:rsid w:val="00C134E0"/>
    <w:rsid w:val="00C136EF"/>
    <w:rsid w:val="00C13C32"/>
    <w:rsid w:val="00C16C5D"/>
    <w:rsid w:val="00C16C7C"/>
    <w:rsid w:val="00C17464"/>
    <w:rsid w:val="00C21655"/>
    <w:rsid w:val="00C23005"/>
    <w:rsid w:val="00C256BD"/>
    <w:rsid w:val="00C261BE"/>
    <w:rsid w:val="00C26E16"/>
    <w:rsid w:val="00C2725C"/>
    <w:rsid w:val="00C308E8"/>
    <w:rsid w:val="00C308FD"/>
    <w:rsid w:val="00C30BE5"/>
    <w:rsid w:val="00C31455"/>
    <w:rsid w:val="00C330D7"/>
    <w:rsid w:val="00C33189"/>
    <w:rsid w:val="00C33774"/>
    <w:rsid w:val="00C33DDF"/>
    <w:rsid w:val="00C343F5"/>
    <w:rsid w:val="00C357C5"/>
    <w:rsid w:val="00C359B3"/>
    <w:rsid w:val="00C36542"/>
    <w:rsid w:val="00C366E4"/>
    <w:rsid w:val="00C36858"/>
    <w:rsid w:val="00C37AC9"/>
    <w:rsid w:val="00C37C90"/>
    <w:rsid w:val="00C37FAB"/>
    <w:rsid w:val="00C4024F"/>
    <w:rsid w:val="00C405F8"/>
    <w:rsid w:val="00C40D22"/>
    <w:rsid w:val="00C42482"/>
    <w:rsid w:val="00C42692"/>
    <w:rsid w:val="00C43BC5"/>
    <w:rsid w:val="00C44716"/>
    <w:rsid w:val="00C44A83"/>
    <w:rsid w:val="00C44E2E"/>
    <w:rsid w:val="00C455A5"/>
    <w:rsid w:val="00C45C5C"/>
    <w:rsid w:val="00C45EBC"/>
    <w:rsid w:val="00C502B5"/>
    <w:rsid w:val="00C50DE9"/>
    <w:rsid w:val="00C52070"/>
    <w:rsid w:val="00C52258"/>
    <w:rsid w:val="00C52D24"/>
    <w:rsid w:val="00C52D95"/>
    <w:rsid w:val="00C53785"/>
    <w:rsid w:val="00C53D1D"/>
    <w:rsid w:val="00C53DA4"/>
    <w:rsid w:val="00C5565F"/>
    <w:rsid w:val="00C55939"/>
    <w:rsid w:val="00C571B4"/>
    <w:rsid w:val="00C5775B"/>
    <w:rsid w:val="00C616C2"/>
    <w:rsid w:val="00C61754"/>
    <w:rsid w:val="00C629D2"/>
    <w:rsid w:val="00C62E44"/>
    <w:rsid w:val="00C63ED5"/>
    <w:rsid w:val="00C63F25"/>
    <w:rsid w:val="00C64C8B"/>
    <w:rsid w:val="00C64CC2"/>
    <w:rsid w:val="00C65F96"/>
    <w:rsid w:val="00C7266B"/>
    <w:rsid w:val="00C72CB9"/>
    <w:rsid w:val="00C72E0C"/>
    <w:rsid w:val="00C7405C"/>
    <w:rsid w:val="00C74260"/>
    <w:rsid w:val="00C7439C"/>
    <w:rsid w:val="00C7645A"/>
    <w:rsid w:val="00C767DF"/>
    <w:rsid w:val="00C76897"/>
    <w:rsid w:val="00C76A6F"/>
    <w:rsid w:val="00C770BD"/>
    <w:rsid w:val="00C7751A"/>
    <w:rsid w:val="00C7792C"/>
    <w:rsid w:val="00C81ABC"/>
    <w:rsid w:val="00C825D1"/>
    <w:rsid w:val="00C82D68"/>
    <w:rsid w:val="00C87389"/>
    <w:rsid w:val="00C905A4"/>
    <w:rsid w:val="00C908A9"/>
    <w:rsid w:val="00C911D4"/>
    <w:rsid w:val="00C928F9"/>
    <w:rsid w:val="00C92AD3"/>
    <w:rsid w:val="00C93D67"/>
    <w:rsid w:val="00C946E5"/>
    <w:rsid w:val="00C947D4"/>
    <w:rsid w:val="00C948E4"/>
    <w:rsid w:val="00C97665"/>
    <w:rsid w:val="00C9787E"/>
    <w:rsid w:val="00C97D5B"/>
    <w:rsid w:val="00C97EF2"/>
    <w:rsid w:val="00CA0C0F"/>
    <w:rsid w:val="00CA0E37"/>
    <w:rsid w:val="00CA0FC8"/>
    <w:rsid w:val="00CA172B"/>
    <w:rsid w:val="00CA1E8E"/>
    <w:rsid w:val="00CA40DE"/>
    <w:rsid w:val="00CA416F"/>
    <w:rsid w:val="00CA5C47"/>
    <w:rsid w:val="00CA6A5D"/>
    <w:rsid w:val="00CA6EF2"/>
    <w:rsid w:val="00CA7885"/>
    <w:rsid w:val="00CA7ED4"/>
    <w:rsid w:val="00CB05F1"/>
    <w:rsid w:val="00CB07C4"/>
    <w:rsid w:val="00CB097E"/>
    <w:rsid w:val="00CB0BAB"/>
    <w:rsid w:val="00CB1455"/>
    <w:rsid w:val="00CB1A59"/>
    <w:rsid w:val="00CB259A"/>
    <w:rsid w:val="00CB3E04"/>
    <w:rsid w:val="00CB5382"/>
    <w:rsid w:val="00CB57F3"/>
    <w:rsid w:val="00CB5C95"/>
    <w:rsid w:val="00CB5EA3"/>
    <w:rsid w:val="00CB5F62"/>
    <w:rsid w:val="00CB645A"/>
    <w:rsid w:val="00CB7B35"/>
    <w:rsid w:val="00CB7BAF"/>
    <w:rsid w:val="00CB7F1D"/>
    <w:rsid w:val="00CC0819"/>
    <w:rsid w:val="00CC1F80"/>
    <w:rsid w:val="00CC2A86"/>
    <w:rsid w:val="00CC3A89"/>
    <w:rsid w:val="00CC3C0F"/>
    <w:rsid w:val="00CC3FCF"/>
    <w:rsid w:val="00CC5B0E"/>
    <w:rsid w:val="00CC688A"/>
    <w:rsid w:val="00CC74DF"/>
    <w:rsid w:val="00CC7639"/>
    <w:rsid w:val="00CC78E6"/>
    <w:rsid w:val="00CC7D06"/>
    <w:rsid w:val="00CD048A"/>
    <w:rsid w:val="00CD07BC"/>
    <w:rsid w:val="00CD246E"/>
    <w:rsid w:val="00CD2A6B"/>
    <w:rsid w:val="00CD3195"/>
    <w:rsid w:val="00CD38A4"/>
    <w:rsid w:val="00CD3982"/>
    <w:rsid w:val="00CD3AD5"/>
    <w:rsid w:val="00CD3E09"/>
    <w:rsid w:val="00CD5299"/>
    <w:rsid w:val="00CE0603"/>
    <w:rsid w:val="00CE1775"/>
    <w:rsid w:val="00CE1D02"/>
    <w:rsid w:val="00CE2167"/>
    <w:rsid w:val="00CE3226"/>
    <w:rsid w:val="00CE356C"/>
    <w:rsid w:val="00CE4403"/>
    <w:rsid w:val="00CE64C3"/>
    <w:rsid w:val="00CE6A23"/>
    <w:rsid w:val="00CE7192"/>
    <w:rsid w:val="00CE71FF"/>
    <w:rsid w:val="00CE7668"/>
    <w:rsid w:val="00CE7F34"/>
    <w:rsid w:val="00CF1751"/>
    <w:rsid w:val="00CF245F"/>
    <w:rsid w:val="00CF33BD"/>
    <w:rsid w:val="00CF3C59"/>
    <w:rsid w:val="00CF3D84"/>
    <w:rsid w:val="00CF4785"/>
    <w:rsid w:val="00CF51F4"/>
    <w:rsid w:val="00CF56DF"/>
    <w:rsid w:val="00CF5725"/>
    <w:rsid w:val="00CF57F4"/>
    <w:rsid w:val="00CF61F2"/>
    <w:rsid w:val="00CF6485"/>
    <w:rsid w:val="00CF71D1"/>
    <w:rsid w:val="00D00448"/>
    <w:rsid w:val="00D02382"/>
    <w:rsid w:val="00D02DC2"/>
    <w:rsid w:val="00D0327D"/>
    <w:rsid w:val="00D065B4"/>
    <w:rsid w:val="00D076DB"/>
    <w:rsid w:val="00D07CF5"/>
    <w:rsid w:val="00D10449"/>
    <w:rsid w:val="00D10DA5"/>
    <w:rsid w:val="00D10F10"/>
    <w:rsid w:val="00D115AE"/>
    <w:rsid w:val="00D14AB3"/>
    <w:rsid w:val="00D15FFE"/>
    <w:rsid w:val="00D16755"/>
    <w:rsid w:val="00D174F8"/>
    <w:rsid w:val="00D1781C"/>
    <w:rsid w:val="00D204D9"/>
    <w:rsid w:val="00D224C6"/>
    <w:rsid w:val="00D2384A"/>
    <w:rsid w:val="00D2467A"/>
    <w:rsid w:val="00D24A04"/>
    <w:rsid w:val="00D25289"/>
    <w:rsid w:val="00D253C1"/>
    <w:rsid w:val="00D26538"/>
    <w:rsid w:val="00D26D8F"/>
    <w:rsid w:val="00D27B9F"/>
    <w:rsid w:val="00D27F63"/>
    <w:rsid w:val="00D3043A"/>
    <w:rsid w:val="00D311C2"/>
    <w:rsid w:val="00D31793"/>
    <w:rsid w:val="00D31BD3"/>
    <w:rsid w:val="00D32112"/>
    <w:rsid w:val="00D324A3"/>
    <w:rsid w:val="00D361DB"/>
    <w:rsid w:val="00D374DE"/>
    <w:rsid w:val="00D3758A"/>
    <w:rsid w:val="00D37C8D"/>
    <w:rsid w:val="00D404DC"/>
    <w:rsid w:val="00D40A53"/>
    <w:rsid w:val="00D4149B"/>
    <w:rsid w:val="00D41548"/>
    <w:rsid w:val="00D418DE"/>
    <w:rsid w:val="00D42C01"/>
    <w:rsid w:val="00D43A67"/>
    <w:rsid w:val="00D43CEA"/>
    <w:rsid w:val="00D4681B"/>
    <w:rsid w:val="00D47BAA"/>
    <w:rsid w:val="00D501A0"/>
    <w:rsid w:val="00D50782"/>
    <w:rsid w:val="00D51990"/>
    <w:rsid w:val="00D51C47"/>
    <w:rsid w:val="00D51CF1"/>
    <w:rsid w:val="00D523BD"/>
    <w:rsid w:val="00D53D3A"/>
    <w:rsid w:val="00D54114"/>
    <w:rsid w:val="00D544D4"/>
    <w:rsid w:val="00D54B9A"/>
    <w:rsid w:val="00D561C7"/>
    <w:rsid w:val="00D561E5"/>
    <w:rsid w:val="00D56D04"/>
    <w:rsid w:val="00D56FD8"/>
    <w:rsid w:val="00D57196"/>
    <w:rsid w:val="00D60127"/>
    <w:rsid w:val="00D60291"/>
    <w:rsid w:val="00D6077B"/>
    <w:rsid w:val="00D64BB7"/>
    <w:rsid w:val="00D65F6E"/>
    <w:rsid w:val="00D7083D"/>
    <w:rsid w:val="00D72F83"/>
    <w:rsid w:val="00D73352"/>
    <w:rsid w:val="00D733B3"/>
    <w:rsid w:val="00D74C4E"/>
    <w:rsid w:val="00D74D72"/>
    <w:rsid w:val="00D75870"/>
    <w:rsid w:val="00D7615A"/>
    <w:rsid w:val="00D77257"/>
    <w:rsid w:val="00D773CA"/>
    <w:rsid w:val="00D774D7"/>
    <w:rsid w:val="00D7772A"/>
    <w:rsid w:val="00D81813"/>
    <w:rsid w:val="00D81E7B"/>
    <w:rsid w:val="00D82449"/>
    <w:rsid w:val="00D82C5F"/>
    <w:rsid w:val="00D841C7"/>
    <w:rsid w:val="00D84550"/>
    <w:rsid w:val="00D848D2"/>
    <w:rsid w:val="00D86F8A"/>
    <w:rsid w:val="00D87DD6"/>
    <w:rsid w:val="00D87FF3"/>
    <w:rsid w:val="00D9093D"/>
    <w:rsid w:val="00D90AC2"/>
    <w:rsid w:val="00D921D4"/>
    <w:rsid w:val="00D92E00"/>
    <w:rsid w:val="00D942DE"/>
    <w:rsid w:val="00D949AF"/>
    <w:rsid w:val="00D95424"/>
    <w:rsid w:val="00D9590D"/>
    <w:rsid w:val="00D95EA3"/>
    <w:rsid w:val="00D96C35"/>
    <w:rsid w:val="00D979E8"/>
    <w:rsid w:val="00D97D40"/>
    <w:rsid w:val="00DA00CA"/>
    <w:rsid w:val="00DA10CE"/>
    <w:rsid w:val="00DA1A2F"/>
    <w:rsid w:val="00DA1A42"/>
    <w:rsid w:val="00DA28E8"/>
    <w:rsid w:val="00DA32FD"/>
    <w:rsid w:val="00DA4872"/>
    <w:rsid w:val="00DA4925"/>
    <w:rsid w:val="00DA4EA7"/>
    <w:rsid w:val="00DA5491"/>
    <w:rsid w:val="00DA5B9E"/>
    <w:rsid w:val="00DA6214"/>
    <w:rsid w:val="00DA6FCC"/>
    <w:rsid w:val="00DA7672"/>
    <w:rsid w:val="00DB1B29"/>
    <w:rsid w:val="00DB36E1"/>
    <w:rsid w:val="00DB386F"/>
    <w:rsid w:val="00DB3892"/>
    <w:rsid w:val="00DB42FC"/>
    <w:rsid w:val="00DB44C0"/>
    <w:rsid w:val="00DB6B53"/>
    <w:rsid w:val="00DB7414"/>
    <w:rsid w:val="00DB7495"/>
    <w:rsid w:val="00DC01AD"/>
    <w:rsid w:val="00DC0249"/>
    <w:rsid w:val="00DC2EDE"/>
    <w:rsid w:val="00DC2F2C"/>
    <w:rsid w:val="00DC5C98"/>
    <w:rsid w:val="00DC6372"/>
    <w:rsid w:val="00DC63BA"/>
    <w:rsid w:val="00DC68B0"/>
    <w:rsid w:val="00DC73EA"/>
    <w:rsid w:val="00DC7DFA"/>
    <w:rsid w:val="00DD093C"/>
    <w:rsid w:val="00DD09D4"/>
    <w:rsid w:val="00DD2A70"/>
    <w:rsid w:val="00DD2B5E"/>
    <w:rsid w:val="00DD4308"/>
    <w:rsid w:val="00DD5DFA"/>
    <w:rsid w:val="00DD608A"/>
    <w:rsid w:val="00DD655C"/>
    <w:rsid w:val="00DD69BA"/>
    <w:rsid w:val="00DE060C"/>
    <w:rsid w:val="00DE142F"/>
    <w:rsid w:val="00DE1BE9"/>
    <w:rsid w:val="00DE2E29"/>
    <w:rsid w:val="00DE39AF"/>
    <w:rsid w:val="00DE43BA"/>
    <w:rsid w:val="00DE4733"/>
    <w:rsid w:val="00DE4CC3"/>
    <w:rsid w:val="00DE4FA7"/>
    <w:rsid w:val="00DE590F"/>
    <w:rsid w:val="00DE776B"/>
    <w:rsid w:val="00DF0AA4"/>
    <w:rsid w:val="00DF19C9"/>
    <w:rsid w:val="00DF1FE9"/>
    <w:rsid w:val="00DF34B5"/>
    <w:rsid w:val="00DF5F0B"/>
    <w:rsid w:val="00DF6922"/>
    <w:rsid w:val="00DF6DA9"/>
    <w:rsid w:val="00DF7297"/>
    <w:rsid w:val="00DF7CA6"/>
    <w:rsid w:val="00E0017B"/>
    <w:rsid w:val="00E01AEB"/>
    <w:rsid w:val="00E01F78"/>
    <w:rsid w:val="00E03501"/>
    <w:rsid w:val="00E066B1"/>
    <w:rsid w:val="00E069B4"/>
    <w:rsid w:val="00E06FBC"/>
    <w:rsid w:val="00E1033D"/>
    <w:rsid w:val="00E1317B"/>
    <w:rsid w:val="00E1401A"/>
    <w:rsid w:val="00E14878"/>
    <w:rsid w:val="00E1567E"/>
    <w:rsid w:val="00E1577B"/>
    <w:rsid w:val="00E16598"/>
    <w:rsid w:val="00E16AA7"/>
    <w:rsid w:val="00E16FD3"/>
    <w:rsid w:val="00E202C3"/>
    <w:rsid w:val="00E206DC"/>
    <w:rsid w:val="00E21176"/>
    <w:rsid w:val="00E22522"/>
    <w:rsid w:val="00E229AF"/>
    <w:rsid w:val="00E22D57"/>
    <w:rsid w:val="00E23DA0"/>
    <w:rsid w:val="00E23EDE"/>
    <w:rsid w:val="00E24053"/>
    <w:rsid w:val="00E24124"/>
    <w:rsid w:val="00E25FC4"/>
    <w:rsid w:val="00E27DED"/>
    <w:rsid w:val="00E303A4"/>
    <w:rsid w:val="00E31593"/>
    <w:rsid w:val="00E31699"/>
    <w:rsid w:val="00E317B8"/>
    <w:rsid w:val="00E31870"/>
    <w:rsid w:val="00E31E97"/>
    <w:rsid w:val="00E31F51"/>
    <w:rsid w:val="00E328B7"/>
    <w:rsid w:val="00E33210"/>
    <w:rsid w:val="00E33995"/>
    <w:rsid w:val="00E33FEA"/>
    <w:rsid w:val="00E3408D"/>
    <w:rsid w:val="00E3515E"/>
    <w:rsid w:val="00E3668A"/>
    <w:rsid w:val="00E3721C"/>
    <w:rsid w:val="00E378DA"/>
    <w:rsid w:val="00E37BA0"/>
    <w:rsid w:val="00E37BCF"/>
    <w:rsid w:val="00E41B5E"/>
    <w:rsid w:val="00E41E9D"/>
    <w:rsid w:val="00E41F0B"/>
    <w:rsid w:val="00E42094"/>
    <w:rsid w:val="00E42DB1"/>
    <w:rsid w:val="00E4313B"/>
    <w:rsid w:val="00E44450"/>
    <w:rsid w:val="00E44635"/>
    <w:rsid w:val="00E4781E"/>
    <w:rsid w:val="00E5049B"/>
    <w:rsid w:val="00E510BA"/>
    <w:rsid w:val="00E51E4D"/>
    <w:rsid w:val="00E52284"/>
    <w:rsid w:val="00E523FC"/>
    <w:rsid w:val="00E5256C"/>
    <w:rsid w:val="00E54172"/>
    <w:rsid w:val="00E55B23"/>
    <w:rsid w:val="00E5676C"/>
    <w:rsid w:val="00E57EDE"/>
    <w:rsid w:val="00E61AAD"/>
    <w:rsid w:val="00E627CE"/>
    <w:rsid w:val="00E62C29"/>
    <w:rsid w:val="00E63FDF"/>
    <w:rsid w:val="00E6408F"/>
    <w:rsid w:val="00E64422"/>
    <w:rsid w:val="00E6548F"/>
    <w:rsid w:val="00E661FE"/>
    <w:rsid w:val="00E66EA6"/>
    <w:rsid w:val="00E67EE9"/>
    <w:rsid w:val="00E72FF0"/>
    <w:rsid w:val="00E73509"/>
    <w:rsid w:val="00E73BB1"/>
    <w:rsid w:val="00E74026"/>
    <w:rsid w:val="00E74B98"/>
    <w:rsid w:val="00E75457"/>
    <w:rsid w:val="00E761E1"/>
    <w:rsid w:val="00E76728"/>
    <w:rsid w:val="00E76CEF"/>
    <w:rsid w:val="00E77307"/>
    <w:rsid w:val="00E777BC"/>
    <w:rsid w:val="00E77AEC"/>
    <w:rsid w:val="00E80F04"/>
    <w:rsid w:val="00E81882"/>
    <w:rsid w:val="00E82C80"/>
    <w:rsid w:val="00E8302B"/>
    <w:rsid w:val="00E840EF"/>
    <w:rsid w:val="00E86665"/>
    <w:rsid w:val="00E867A1"/>
    <w:rsid w:val="00E86DC0"/>
    <w:rsid w:val="00E87223"/>
    <w:rsid w:val="00E87466"/>
    <w:rsid w:val="00E9136B"/>
    <w:rsid w:val="00E91373"/>
    <w:rsid w:val="00E92523"/>
    <w:rsid w:val="00E9300C"/>
    <w:rsid w:val="00E93011"/>
    <w:rsid w:val="00E93E6A"/>
    <w:rsid w:val="00E93F69"/>
    <w:rsid w:val="00E93FD9"/>
    <w:rsid w:val="00E96DD1"/>
    <w:rsid w:val="00E96F90"/>
    <w:rsid w:val="00E97DCA"/>
    <w:rsid w:val="00EA01B8"/>
    <w:rsid w:val="00EA0732"/>
    <w:rsid w:val="00EA12DE"/>
    <w:rsid w:val="00EA22E1"/>
    <w:rsid w:val="00EA239F"/>
    <w:rsid w:val="00EA2C73"/>
    <w:rsid w:val="00EA2CF7"/>
    <w:rsid w:val="00EA6E15"/>
    <w:rsid w:val="00EA7CF8"/>
    <w:rsid w:val="00EB096E"/>
    <w:rsid w:val="00EB1032"/>
    <w:rsid w:val="00EB149C"/>
    <w:rsid w:val="00EB1CE7"/>
    <w:rsid w:val="00EB1F41"/>
    <w:rsid w:val="00EB4817"/>
    <w:rsid w:val="00EB4BA6"/>
    <w:rsid w:val="00EB4FDB"/>
    <w:rsid w:val="00EB50C0"/>
    <w:rsid w:val="00EB52E5"/>
    <w:rsid w:val="00EB56A2"/>
    <w:rsid w:val="00EB7397"/>
    <w:rsid w:val="00EC056C"/>
    <w:rsid w:val="00EC07D8"/>
    <w:rsid w:val="00EC1466"/>
    <w:rsid w:val="00EC1D56"/>
    <w:rsid w:val="00EC2702"/>
    <w:rsid w:val="00EC3A93"/>
    <w:rsid w:val="00EC4715"/>
    <w:rsid w:val="00EC4CCA"/>
    <w:rsid w:val="00EC6099"/>
    <w:rsid w:val="00EC6887"/>
    <w:rsid w:val="00EC7E09"/>
    <w:rsid w:val="00ED082B"/>
    <w:rsid w:val="00ED0F56"/>
    <w:rsid w:val="00ED1A74"/>
    <w:rsid w:val="00ED2B61"/>
    <w:rsid w:val="00ED38A5"/>
    <w:rsid w:val="00ED39AE"/>
    <w:rsid w:val="00ED4522"/>
    <w:rsid w:val="00ED4FB7"/>
    <w:rsid w:val="00ED56D0"/>
    <w:rsid w:val="00ED5B7E"/>
    <w:rsid w:val="00ED5C2A"/>
    <w:rsid w:val="00ED5FC0"/>
    <w:rsid w:val="00ED7BE4"/>
    <w:rsid w:val="00EE02BB"/>
    <w:rsid w:val="00EE06B1"/>
    <w:rsid w:val="00EE28D1"/>
    <w:rsid w:val="00EE32AF"/>
    <w:rsid w:val="00EE3393"/>
    <w:rsid w:val="00EF0453"/>
    <w:rsid w:val="00EF13B2"/>
    <w:rsid w:val="00EF1453"/>
    <w:rsid w:val="00EF25C1"/>
    <w:rsid w:val="00EF2732"/>
    <w:rsid w:val="00EF2E66"/>
    <w:rsid w:val="00EF4F81"/>
    <w:rsid w:val="00EF59EB"/>
    <w:rsid w:val="00EF6ABB"/>
    <w:rsid w:val="00EF72F3"/>
    <w:rsid w:val="00EF747D"/>
    <w:rsid w:val="00EF775D"/>
    <w:rsid w:val="00EF785A"/>
    <w:rsid w:val="00F0051C"/>
    <w:rsid w:val="00F00CA0"/>
    <w:rsid w:val="00F010E6"/>
    <w:rsid w:val="00F01349"/>
    <w:rsid w:val="00F01D67"/>
    <w:rsid w:val="00F032E6"/>
    <w:rsid w:val="00F03391"/>
    <w:rsid w:val="00F03AB5"/>
    <w:rsid w:val="00F03B4A"/>
    <w:rsid w:val="00F03F55"/>
    <w:rsid w:val="00F044EE"/>
    <w:rsid w:val="00F0727E"/>
    <w:rsid w:val="00F074B2"/>
    <w:rsid w:val="00F116DA"/>
    <w:rsid w:val="00F11F75"/>
    <w:rsid w:val="00F13D47"/>
    <w:rsid w:val="00F14F52"/>
    <w:rsid w:val="00F1550F"/>
    <w:rsid w:val="00F17927"/>
    <w:rsid w:val="00F20A22"/>
    <w:rsid w:val="00F21B9C"/>
    <w:rsid w:val="00F221CD"/>
    <w:rsid w:val="00F22859"/>
    <w:rsid w:val="00F23027"/>
    <w:rsid w:val="00F23A4D"/>
    <w:rsid w:val="00F23B26"/>
    <w:rsid w:val="00F23CA6"/>
    <w:rsid w:val="00F24A87"/>
    <w:rsid w:val="00F25FFD"/>
    <w:rsid w:val="00F2710D"/>
    <w:rsid w:val="00F27C75"/>
    <w:rsid w:val="00F306A4"/>
    <w:rsid w:val="00F31281"/>
    <w:rsid w:val="00F328D2"/>
    <w:rsid w:val="00F32C2B"/>
    <w:rsid w:val="00F33753"/>
    <w:rsid w:val="00F33CA7"/>
    <w:rsid w:val="00F34BAA"/>
    <w:rsid w:val="00F376BE"/>
    <w:rsid w:val="00F4091D"/>
    <w:rsid w:val="00F410B4"/>
    <w:rsid w:val="00F41C60"/>
    <w:rsid w:val="00F4205E"/>
    <w:rsid w:val="00F42BDB"/>
    <w:rsid w:val="00F42CB3"/>
    <w:rsid w:val="00F440B6"/>
    <w:rsid w:val="00F4414B"/>
    <w:rsid w:val="00F454E5"/>
    <w:rsid w:val="00F46516"/>
    <w:rsid w:val="00F46C01"/>
    <w:rsid w:val="00F46C0E"/>
    <w:rsid w:val="00F50065"/>
    <w:rsid w:val="00F5057F"/>
    <w:rsid w:val="00F50A89"/>
    <w:rsid w:val="00F51629"/>
    <w:rsid w:val="00F51E1F"/>
    <w:rsid w:val="00F52EEC"/>
    <w:rsid w:val="00F52FB8"/>
    <w:rsid w:val="00F553BC"/>
    <w:rsid w:val="00F559CF"/>
    <w:rsid w:val="00F560B7"/>
    <w:rsid w:val="00F5631F"/>
    <w:rsid w:val="00F5655A"/>
    <w:rsid w:val="00F609CC"/>
    <w:rsid w:val="00F60AF6"/>
    <w:rsid w:val="00F62997"/>
    <w:rsid w:val="00F63638"/>
    <w:rsid w:val="00F63A10"/>
    <w:rsid w:val="00F64BE3"/>
    <w:rsid w:val="00F654B8"/>
    <w:rsid w:val="00F662B6"/>
    <w:rsid w:val="00F6676F"/>
    <w:rsid w:val="00F66932"/>
    <w:rsid w:val="00F67937"/>
    <w:rsid w:val="00F679FC"/>
    <w:rsid w:val="00F67F02"/>
    <w:rsid w:val="00F7030B"/>
    <w:rsid w:val="00F714E0"/>
    <w:rsid w:val="00F72655"/>
    <w:rsid w:val="00F72D17"/>
    <w:rsid w:val="00F73D16"/>
    <w:rsid w:val="00F74046"/>
    <w:rsid w:val="00F74071"/>
    <w:rsid w:val="00F74276"/>
    <w:rsid w:val="00F74CA3"/>
    <w:rsid w:val="00F77D4F"/>
    <w:rsid w:val="00F80F15"/>
    <w:rsid w:val="00F82589"/>
    <w:rsid w:val="00F83BD8"/>
    <w:rsid w:val="00F83E18"/>
    <w:rsid w:val="00F84302"/>
    <w:rsid w:val="00F854A8"/>
    <w:rsid w:val="00F86402"/>
    <w:rsid w:val="00F8683B"/>
    <w:rsid w:val="00F86F39"/>
    <w:rsid w:val="00F8732A"/>
    <w:rsid w:val="00F8732E"/>
    <w:rsid w:val="00F87937"/>
    <w:rsid w:val="00F90081"/>
    <w:rsid w:val="00F901DB"/>
    <w:rsid w:val="00F90635"/>
    <w:rsid w:val="00F91950"/>
    <w:rsid w:val="00F91B86"/>
    <w:rsid w:val="00F93AA1"/>
    <w:rsid w:val="00F95099"/>
    <w:rsid w:val="00F95195"/>
    <w:rsid w:val="00F96042"/>
    <w:rsid w:val="00F9614C"/>
    <w:rsid w:val="00F977B4"/>
    <w:rsid w:val="00FA0AB3"/>
    <w:rsid w:val="00FA105F"/>
    <w:rsid w:val="00FA1952"/>
    <w:rsid w:val="00FA200B"/>
    <w:rsid w:val="00FA2B20"/>
    <w:rsid w:val="00FA3558"/>
    <w:rsid w:val="00FA3582"/>
    <w:rsid w:val="00FA367E"/>
    <w:rsid w:val="00FA471A"/>
    <w:rsid w:val="00FA4A72"/>
    <w:rsid w:val="00FA50E8"/>
    <w:rsid w:val="00FA598F"/>
    <w:rsid w:val="00FA5BA4"/>
    <w:rsid w:val="00FA7843"/>
    <w:rsid w:val="00FB0650"/>
    <w:rsid w:val="00FB0C09"/>
    <w:rsid w:val="00FB1402"/>
    <w:rsid w:val="00FB1808"/>
    <w:rsid w:val="00FB1E11"/>
    <w:rsid w:val="00FB2A20"/>
    <w:rsid w:val="00FB3041"/>
    <w:rsid w:val="00FB3F54"/>
    <w:rsid w:val="00FB47B8"/>
    <w:rsid w:val="00FB4C3A"/>
    <w:rsid w:val="00FB510A"/>
    <w:rsid w:val="00FB57B1"/>
    <w:rsid w:val="00FB64F4"/>
    <w:rsid w:val="00FB65B7"/>
    <w:rsid w:val="00FB6A4A"/>
    <w:rsid w:val="00FB745F"/>
    <w:rsid w:val="00FB7F61"/>
    <w:rsid w:val="00FC28D8"/>
    <w:rsid w:val="00FC294E"/>
    <w:rsid w:val="00FC2DEE"/>
    <w:rsid w:val="00FC49EB"/>
    <w:rsid w:val="00FC66B9"/>
    <w:rsid w:val="00FC6B43"/>
    <w:rsid w:val="00FC70BB"/>
    <w:rsid w:val="00FC7A4B"/>
    <w:rsid w:val="00FD0994"/>
    <w:rsid w:val="00FD0B95"/>
    <w:rsid w:val="00FD1A0D"/>
    <w:rsid w:val="00FD24A6"/>
    <w:rsid w:val="00FD32C2"/>
    <w:rsid w:val="00FD4009"/>
    <w:rsid w:val="00FD47FE"/>
    <w:rsid w:val="00FD4FE6"/>
    <w:rsid w:val="00FD6B3A"/>
    <w:rsid w:val="00FD6BDC"/>
    <w:rsid w:val="00FD74D0"/>
    <w:rsid w:val="00FD76C6"/>
    <w:rsid w:val="00FD7C19"/>
    <w:rsid w:val="00FD7D0E"/>
    <w:rsid w:val="00FE0AEC"/>
    <w:rsid w:val="00FE0ED3"/>
    <w:rsid w:val="00FE132B"/>
    <w:rsid w:val="00FE18DE"/>
    <w:rsid w:val="00FE3ACC"/>
    <w:rsid w:val="00FE3C3D"/>
    <w:rsid w:val="00FE4661"/>
    <w:rsid w:val="00FE49EF"/>
    <w:rsid w:val="00FE4C21"/>
    <w:rsid w:val="00FE5807"/>
    <w:rsid w:val="00FE5C20"/>
    <w:rsid w:val="00FE6463"/>
    <w:rsid w:val="00FE6819"/>
    <w:rsid w:val="00FE685E"/>
    <w:rsid w:val="00FE6E40"/>
    <w:rsid w:val="00FE77B5"/>
    <w:rsid w:val="00FE7BF5"/>
    <w:rsid w:val="00FF0C49"/>
    <w:rsid w:val="00FF1040"/>
    <w:rsid w:val="00FF105B"/>
    <w:rsid w:val="00FF1F8C"/>
    <w:rsid w:val="00FF2126"/>
    <w:rsid w:val="00FF2BFD"/>
    <w:rsid w:val="00FF2C80"/>
    <w:rsid w:val="00FF31AD"/>
    <w:rsid w:val="00FF34B1"/>
    <w:rsid w:val="00FF3C15"/>
    <w:rsid w:val="00FF44AF"/>
    <w:rsid w:val="00FF53E1"/>
    <w:rsid w:val="00FF708D"/>
    <w:rsid w:val="00FF7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0BB4C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14B"/>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AB33C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25F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14B"/>
    <w:rPr>
      <w:color w:val="0000FF" w:themeColor="hyperlink"/>
      <w:u w:val="single"/>
    </w:rPr>
  </w:style>
  <w:style w:type="character" w:styleId="FollowedHyperlink">
    <w:name w:val="FollowedHyperlink"/>
    <w:basedOn w:val="DefaultParagraphFont"/>
    <w:uiPriority w:val="99"/>
    <w:semiHidden/>
    <w:unhideWhenUsed/>
    <w:rsid w:val="00F4414B"/>
    <w:rPr>
      <w:color w:val="800080" w:themeColor="followedHyperlink"/>
      <w:u w:val="single"/>
    </w:rPr>
  </w:style>
  <w:style w:type="paragraph" w:styleId="ListParagraph">
    <w:name w:val="List Paragraph"/>
    <w:basedOn w:val="Normal"/>
    <w:uiPriority w:val="34"/>
    <w:qFormat/>
    <w:rsid w:val="00915F4D"/>
    <w:pPr>
      <w:ind w:left="720"/>
      <w:contextualSpacing/>
    </w:pPr>
  </w:style>
  <w:style w:type="paragraph" w:styleId="Header">
    <w:name w:val="header"/>
    <w:basedOn w:val="Normal"/>
    <w:link w:val="HeaderChar"/>
    <w:uiPriority w:val="99"/>
    <w:unhideWhenUsed/>
    <w:rsid w:val="00915F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5F4D"/>
    <w:rPr>
      <w:rFonts w:eastAsiaTheme="minorHAnsi"/>
      <w:sz w:val="22"/>
      <w:szCs w:val="22"/>
      <w:lang w:val="en-GB"/>
    </w:rPr>
  </w:style>
  <w:style w:type="paragraph" w:styleId="Footer">
    <w:name w:val="footer"/>
    <w:basedOn w:val="Normal"/>
    <w:link w:val="FooterChar"/>
    <w:uiPriority w:val="99"/>
    <w:unhideWhenUsed/>
    <w:rsid w:val="00915F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5F4D"/>
    <w:rPr>
      <w:rFonts w:eastAsiaTheme="minorHAnsi"/>
      <w:sz w:val="22"/>
      <w:szCs w:val="22"/>
      <w:lang w:val="en-GB"/>
    </w:rPr>
  </w:style>
  <w:style w:type="paragraph" w:styleId="FootnoteText">
    <w:name w:val="footnote text"/>
    <w:basedOn w:val="Normal"/>
    <w:link w:val="FootnoteTextChar"/>
    <w:uiPriority w:val="99"/>
    <w:unhideWhenUsed/>
    <w:rsid w:val="00A97E9C"/>
    <w:pPr>
      <w:spacing w:after="0" w:line="240" w:lineRule="auto"/>
    </w:pPr>
    <w:rPr>
      <w:sz w:val="24"/>
      <w:szCs w:val="24"/>
    </w:rPr>
  </w:style>
  <w:style w:type="character" w:customStyle="1" w:styleId="FootnoteTextChar">
    <w:name w:val="Footnote Text Char"/>
    <w:basedOn w:val="DefaultParagraphFont"/>
    <w:link w:val="FootnoteText"/>
    <w:uiPriority w:val="99"/>
    <w:rsid w:val="00A97E9C"/>
    <w:rPr>
      <w:rFonts w:eastAsiaTheme="minorHAnsi"/>
      <w:lang w:val="en-GB"/>
    </w:rPr>
  </w:style>
  <w:style w:type="character" w:styleId="FootnoteReference">
    <w:name w:val="footnote reference"/>
    <w:basedOn w:val="DefaultParagraphFont"/>
    <w:uiPriority w:val="99"/>
    <w:unhideWhenUsed/>
    <w:rsid w:val="00A97E9C"/>
    <w:rPr>
      <w:vertAlign w:val="superscript"/>
    </w:rPr>
  </w:style>
  <w:style w:type="paragraph" w:styleId="EndnoteText">
    <w:name w:val="endnote text"/>
    <w:basedOn w:val="Normal"/>
    <w:link w:val="EndnoteTextChar"/>
    <w:uiPriority w:val="99"/>
    <w:semiHidden/>
    <w:unhideWhenUsed/>
    <w:rsid w:val="00545E93"/>
    <w:pPr>
      <w:spacing w:after="0" w:line="240" w:lineRule="auto"/>
    </w:pPr>
    <w:rPr>
      <w:sz w:val="24"/>
      <w:szCs w:val="24"/>
    </w:rPr>
  </w:style>
  <w:style w:type="character" w:customStyle="1" w:styleId="EndnoteTextChar">
    <w:name w:val="Endnote Text Char"/>
    <w:basedOn w:val="DefaultParagraphFont"/>
    <w:link w:val="EndnoteText"/>
    <w:uiPriority w:val="99"/>
    <w:semiHidden/>
    <w:rsid w:val="00545E93"/>
    <w:rPr>
      <w:rFonts w:eastAsiaTheme="minorHAnsi"/>
      <w:lang w:val="en-GB"/>
    </w:rPr>
  </w:style>
  <w:style w:type="character" w:styleId="EndnoteReference">
    <w:name w:val="endnote reference"/>
    <w:basedOn w:val="DefaultParagraphFont"/>
    <w:uiPriority w:val="99"/>
    <w:semiHidden/>
    <w:unhideWhenUsed/>
    <w:rsid w:val="00545E93"/>
    <w:rPr>
      <w:vertAlign w:val="superscript"/>
    </w:rPr>
  </w:style>
  <w:style w:type="table" w:styleId="TableGrid">
    <w:name w:val="Table Grid"/>
    <w:basedOn w:val="TableNormal"/>
    <w:uiPriority w:val="59"/>
    <w:rsid w:val="00EB1032"/>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E62D5"/>
  </w:style>
  <w:style w:type="character" w:customStyle="1" w:styleId="Heading2Char">
    <w:name w:val="Heading 2 Char"/>
    <w:basedOn w:val="DefaultParagraphFont"/>
    <w:link w:val="Heading2"/>
    <w:uiPriority w:val="9"/>
    <w:rsid w:val="00E25FC4"/>
    <w:rPr>
      <w:rFonts w:asciiTheme="majorHAnsi" w:eastAsiaTheme="majorEastAsia" w:hAnsiTheme="majorHAnsi" w:cstheme="majorBidi"/>
      <w:b/>
      <w:bCs/>
      <w:color w:val="4F81BD" w:themeColor="accent1"/>
      <w:sz w:val="26"/>
      <w:szCs w:val="26"/>
      <w:lang w:val="en-GB"/>
    </w:rPr>
  </w:style>
  <w:style w:type="paragraph" w:customStyle="1" w:styleId="EndNoteBibliographyTitle">
    <w:name w:val="EndNote Bibliography Title"/>
    <w:basedOn w:val="Normal"/>
    <w:link w:val="EndNoteBibliographyTitleChar"/>
    <w:rsid w:val="00EC4715"/>
    <w:pPr>
      <w:spacing w:after="0" w:line="240" w:lineRule="auto"/>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EC4715"/>
    <w:rPr>
      <w:rFonts w:ascii="Times New Roman" w:eastAsiaTheme="minorHAnsi" w:hAnsi="Times New Roman" w:cs="Times New Roman"/>
      <w:noProof/>
      <w:szCs w:val="22"/>
    </w:rPr>
  </w:style>
  <w:style w:type="paragraph" w:customStyle="1" w:styleId="EndNoteBibliography">
    <w:name w:val="EndNote Bibliography"/>
    <w:basedOn w:val="Normal"/>
    <w:link w:val="EndNoteBibliographyChar"/>
    <w:rsid w:val="00EC4715"/>
    <w:pPr>
      <w:spacing w:after="0"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EC4715"/>
    <w:rPr>
      <w:rFonts w:ascii="Times New Roman" w:eastAsiaTheme="minorHAnsi" w:hAnsi="Times New Roman" w:cs="Times New Roman"/>
      <w:noProof/>
      <w:szCs w:val="22"/>
    </w:rPr>
  </w:style>
  <w:style w:type="character" w:styleId="CommentReference">
    <w:name w:val="annotation reference"/>
    <w:basedOn w:val="DefaultParagraphFont"/>
    <w:uiPriority w:val="99"/>
    <w:semiHidden/>
    <w:unhideWhenUsed/>
    <w:rsid w:val="00EC4715"/>
    <w:rPr>
      <w:sz w:val="16"/>
      <w:szCs w:val="16"/>
    </w:rPr>
  </w:style>
  <w:style w:type="paragraph" w:styleId="CommentText">
    <w:name w:val="annotation text"/>
    <w:basedOn w:val="Normal"/>
    <w:link w:val="CommentTextChar"/>
    <w:uiPriority w:val="99"/>
    <w:semiHidden/>
    <w:unhideWhenUsed/>
    <w:rsid w:val="00EC4715"/>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C4715"/>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EC4715"/>
    <w:rPr>
      <w:b/>
      <w:bCs/>
    </w:rPr>
  </w:style>
  <w:style w:type="character" w:customStyle="1" w:styleId="CommentSubjectChar">
    <w:name w:val="Comment Subject Char"/>
    <w:basedOn w:val="CommentTextChar"/>
    <w:link w:val="CommentSubject"/>
    <w:uiPriority w:val="99"/>
    <w:semiHidden/>
    <w:rsid w:val="00EC4715"/>
    <w:rPr>
      <w:rFonts w:eastAsiaTheme="minorHAnsi"/>
      <w:b/>
      <w:bCs/>
      <w:sz w:val="20"/>
      <w:szCs w:val="20"/>
      <w:lang w:val="en-GB"/>
    </w:rPr>
  </w:style>
  <w:style w:type="paragraph" w:styleId="BalloonText">
    <w:name w:val="Balloon Text"/>
    <w:basedOn w:val="Normal"/>
    <w:link w:val="BalloonTextChar"/>
    <w:uiPriority w:val="99"/>
    <w:semiHidden/>
    <w:unhideWhenUsed/>
    <w:rsid w:val="00EC4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715"/>
    <w:rPr>
      <w:rFonts w:ascii="Tahoma" w:eastAsiaTheme="minorHAnsi" w:hAnsi="Tahoma" w:cs="Tahoma"/>
      <w:sz w:val="16"/>
      <w:szCs w:val="16"/>
      <w:lang w:val="en-GB"/>
    </w:rPr>
  </w:style>
  <w:style w:type="character" w:customStyle="1" w:styleId="Heading1Char">
    <w:name w:val="Heading 1 Char"/>
    <w:basedOn w:val="DefaultParagraphFont"/>
    <w:link w:val="Heading1"/>
    <w:uiPriority w:val="9"/>
    <w:rsid w:val="00AB33C0"/>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AB33C0"/>
    <w:pPr>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AB33C0"/>
    <w:pPr>
      <w:spacing w:before="120" w:after="0"/>
    </w:pPr>
    <w:rPr>
      <w:b/>
      <w:sz w:val="24"/>
      <w:szCs w:val="24"/>
    </w:rPr>
  </w:style>
  <w:style w:type="paragraph" w:styleId="TOC2">
    <w:name w:val="toc 2"/>
    <w:basedOn w:val="Normal"/>
    <w:next w:val="Normal"/>
    <w:autoRedefine/>
    <w:uiPriority w:val="39"/>
    <w:semiHidden/>
    <w:unhideWhenUsed/>
    <w:rsid w:val="00AB33C0"/>
    <w:pPr>
      <w:spacing w:after="0"/>
      <w:ind w:left="220"/>
    </w:pPr>
    <w:rPr>
      <w:b/>
    </w:rPr>
  </w:style>
  <w:style w:type="paragraph" w:styleId="TOC3">
    <w:name w:val="toc 3"/>
    <w:basedOn w:val="Normal"/>
    <w:next w:val="Normal"/>
    <w:autoRedefine/>
    <w:uiPriority w:val="39"/>
    <w:semiHidden/>
    <w:unhideWhenUsed/>
    <w:rsid w:val="00AB33C0"/>
    <w:pPr>
      <w:spacing w:after="0"/>
      <w:ind w:left="440"/>
    </w:pPr>
  </w:style>
  <w:style w:type="paragraph" w:styleId="TOC4">
    <w:name w:val="toc 4"/>
    <w:basedOn w:val="Normal"/>
    <w:next w:val="Normal"/>
    <w:autoRedefine/>
    <w:uiPriority w:val="39"/>
    <w:semiHidden/>
    <w:unhideWhenUsed/>
    <w:rsid w:val="00AB33C0"/>
    <w:pPr>
      <w:spacing w:after="0"/>
      <w:ind w:left="660"/>
    </w:pPr>
    <w:rPr>
      <w:sz w:val="20"/>
      <w:szCs w:val="20"/>
    </w:rPr>
  </w:style>
  <w:style w:type="paragraph" w:styleId="TOC5">
    <w:name w:val="toc 5"/>
    <w:basedOn w:val="Normal"/>
    <w:next w:val="Normal"/>
    <w:autoRedefine/>
    <w:uiPriority w:val="39"/>
    <w:semiHidden/>
    <w:unhideWhenUsed/>
    <w:rsid w:val="00AB33C0"/>
    <w:pPr>
      <w:spacing w:after="0"/>
      <w:ind w:left="880"/>
    </w:pPr>
    <w:rPr>
      <w:sz w:val="20"/>
      <w:szCs w:val="20"/>
    </w:rPr>
  </w:style>
  <w:style w:type="paragraph" w:styleId="TOC6">
    <w:name w:val="toc 6"/>
    <w:basedOn w:val="Normal"/>
    <w:next w:val="Normal"/>
    <w:autoRedefine/>
    <w:uiPriority w:val="39"/>
    <w:semiHidden/>
    <w:unhideWhenUsed/>
    <w:rsid w:val="00AB33C0"/>
    <w:pPr>
      <w:spacing w:after="0"/>
      <w:ind w:left="1100"/>
    </w:pPr>
    <w:rPr>
      <w:sz w:val="20"/>
      <w:szCs w:val="20"/>
    </w:rPr>
  </w:style>
  <w:style w:type="paragraph" w:styleId="TOC7">
    <w:name w:val="toc 7"/>
    <w:basedOn w:val="Normal"/>
    <w:next w:val="Normal"/>
    <w:autoRedefine/>
    <w:uiPriority w:val="39"/>
    <w:semiHidden/>
    <w:unhideWhenUsed/>
    <w:rsid w:val="00AB33C0"/>
    <w:pPr>
      <w:spacing w:after="0"/>
      <w:ind w:left="1320"/>
    </w:pPr>
    <w:rPr>
      <w:sz w:val="20"/>
      <w:szCs w:val="20"/>
    </w:rPr>
  </w:style>
  <w:style w:type="paragraph" w:styleId="TOC8">
    <w:name w:val="toc 8"/>
    <w:basedOn w:val="Normal"/>
    <w:next w:val="Normal"/>
    <w:autoRedefine/>
    <w:uiPriority w:val="39"/>
    <w:semiHidden/>
    <w:unhideWhenUsed/>
    <w:rsid w:val="00AB33C0"/>
    <w:pPr>
      <w:spacing w:after="0"/>
      <w:ind w:left="1540"/>
    </w:pPr>
    <w:rPr>
      <w:sz w:val="20"/>
      <w:szCs w:val="20"/>
    </w:rPr>
  </w:style>
  <w:style w:type="paragraph" w:styleId="TOC9">
    <w:name w:val="toc 9"/>
    <w:basedOn w:val="Normal"/>
    <w:next w:val="Normal"/>
    <w:autoRedefine/>
    <w:uiPriority w:val="39"/>
    <w:semiHidden/>
    <w:unhideWhenUsed/>
    <w:rsid w:val="00AB33C0"/>
    <w:pPr>
      <w:spacing w:after="0"/>
      <w:ind w:left="1760"/>
    </w:pPr>
    <w:rPr>
      <w:sz w:val="20"/>
      <w:szCs w:val="20"/>
    </w:rPr>
  </w:style>
  <w:style w:type="paragraph" w:customStyle="1" w:styleId="MAthesisbody">
    <w:name w:val="MA thesis body"/>
    <w:basedOn w:val="Normal"/>
    <w:link w:val="MAthesisbodyChar"/>
    <w:qFormat/>
    <w:rsid w:val="00ED39AE"/>
    <w:pPr>
      <w:widowControl w:val="0"/>
      <w:suppressAutoHyphens/>
      <w:spacing w:after="0" w:line="480" w:lineRule="auto"/>
      <w:ind w:firstLine="720"/>
    </w:pPr>
    <w:rPr>
      <w:rFonts w:ascii="Times New Roman" w:hAnsi="Times New Roman"/>
      <w:sz w:val="24"/>
      <w:szCs w:val="24"/>
      <w:lang w:val="en-AU"/>
    </w:rPr>
  </w:style>
  <w:style w:type="character" w:customStyle="1" w:styleId="MAthesisbodyChar">
    <w:name w:val="MA thesis body Char"/>
    <w:basedOn w:val="DefaultParagraphFont"/>
    <w:link w:val="MAthesisbody"/>
    <w:rsid w:val="00ED39AE"/>
    <w:rPr>
      <w:rFonts w:ascii="Times New Roman" w:eastAsiaTheme="minorHAnsi" w:hAnsi="Times New Roman"/>
      <w:lang w:val="en-AU"/>
    </w:rPr>
  </w:style>
  <w:style w:type="table" w:customStyle="1" w:styleId="TableGrid1">
    <w:name w:val="Table Grid1"/>
    <w:basedOn w:val="TableNormal"/>
    <w:next w:val="TableGrid"/>
    <w:uiPriority w:val="59"/>
    <w:rsid w:val="003D0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D0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2582"/>
  </w:style>
  <w:style w:type="character" w:styleId="Emphasis">
    <w:name w:val="Emphasis"/>
    <w:basedOn w:val="DefaultParagraphFont"/>
    <w:uiPriority w:val="20"/>
    <w:qFormat/>
    <w:rsid w:val="00722582"/>
    <w:rPr>
      <w:i/>
      <w:iCs/>
    </w:rPr>
  </w:style>
  <w:style w:type="character" w:styleId="Strong">
    <w:name w:val="Strong"/>
    <w:basedOn w:val="DefaultParagraphFont"/>
    <w:uiPriority w:val="22"/>
    <w:qFormat/>
    <w:rsid w:val="00722582"/>
    <w:rPr>
      <w:b/>
      <w:bCs/>
    </w:rPr>
  </w:style>
  <w:style w:type="character" w:customStyle="1" w:styleId="UnresolvedMention1">
    <w:name w:val="Unresolved Mention1"/>
    <w:basedOn w:val="DefaultParagraphFont"/>
    <w:uiPriority w:val="99"/>
    <w:semiHidden/>
    <w:unhideWhenUsed/>
    <w:rsid w:val="000366CD"/>
    <w:rPr>
      <w:color w:val="605E5C"/>
      <w:shd w:val="clear" w:color="auto" w:fill="E1DFDD"/>
    </w:rPr>
  </w:style>
  <w:style w:type="paragraph" w:styleId="Revision">
    <w:name w:val="Revision"/>
    <w:hidden/>
    <w:uiPriority w:val="99"/>
    <w:semiHidden/>
    <w:rsid w:val="00657D21"/>
    <w:rPr>
      <w:rFonts w:eastAsiaTheme="minorHAnsi"/>
      <w:sz w:val="22"/>
      <w:szCs w:val="22"/>
      <w:lang w:val="en-GB"/>
    </w:rPr>
  </w:style>
  <w:style w:type="character" w:customStyle="1" w:styleId="UnresolvedMention2">
    <w:name w:val="Unresolved Mention2"/>
    <w:basedOn w:val="DefaultParagraphFont"/>
    <w:uiPriority w:val="99"/>
    <w:semiHidden/>
    <w:unhideWhenUsed/>
    <w:rsid w:val="004A2298"/>
    <w:rPr>
      <w:color w:val="605E5C"/>
      <w:shd w:val="clear" w:color="auto" w:fill="E1DFDD"/>
    </w:rPr>
  </w:style>
  <w:style w:type="character" w:styleId="UnresolvedMention">
    <w:name w:val="Unresolved Mention"/>
    <w:basedOn w:val="DefaultParagraphFont"/>
    <w:uiPriority w:val="99"/>
    <w:semiHidden/>
    <w:unhideWhenUsed/>
    <w:rsid w:val="00881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2539">
      <w:bodyDiv w:val="1"/>
      <w:marLeft w:val="0"/>
      <w:marRight w:val="0"/>
      <w:marTop w:val="0"/>
      <w:marBottom w:val="0"/>
      <w:divBdr>
        <w:top w:val="none" w:sz="0" w:space="0" w:color="auto"/>
        <w:left w:val="none" w:sz="0" w:space="0" w:color="auto"/>
        <w:bottom w:val="none" w:sz="0" w:space="0" w:color="auto"/>
        <w:right w:val="none" w:sz="0" w:space="0" w:color="auto"/>
      </w:divBdr>
    </w:div>
    <w:div w:id="74252318">
      <w:bodyDiv w:val="1"/>
      <w:marLeft w:val="0"/>
      <w:marRight w:val="0"/>
      <w:marTop w:val="0"/>
      <w:marBottom w:val="0"/>
      <w:divBdr>
        <w:top w:val="none" w:sz="0" w:space="0" w:color="auto"/>
        <w:left w:val="none" w:sz="0" w:space="0" w:color="auto"/>
        <w:bottom w:val="none" w:sz="0" w:space="0" w:color="auto"/>
        <w:right w:val="none" w:sz="0" w:space="0" w:color="auto"/>
      </w:divBdr>
    </w:div>
    <w:div w:id="94330288">
      <w:bodyDiv w:val="1"/>
      <w:marLeft w:val="0"/>
      <w:marRight w:val="0"/>
      <w:marTop w:val="0"/>
      <w:marBottom w:val="0"/>
      <w:divBdr>
        <w:top w:val="none" w:sz="0" w:space="0" w:color="auto"/>
        <w:left w:val="none" w:sz="0" w:space="0" w:color="auto"/>
        <w:bottom w:val="none" w:sz="0" w:space="0" w:color="auto"/>
        <w:right w:val="none" w:sz="0" w:space="0" w:color="auto"/>
      </w:divBdr>
    </w:div>
    <w:div w:id="107358270">
      <w:bodyDiv w:val="1"/>
      <w:marLeft w:val="0"/>
      <w:marRight w:val="0"/>
      <w:marTop w:val="0"/>
      <w:marBottom w:val="0"/>
      <w:divBdr>
        <w:top w:val="none" w:sz="0" w:space="0" w:color="auto"/>
        <w:left w:val="none" w:sz="0" w:space="0" w:color="auto"/>
        <w:bottom w:val="none" w:sz="0" w:space="0" w:color="auto"/>
        <w:right w:val="none" w:sz="0" w:space="0" w:color="auto"/>
      </w:divBdr>
    </w:div>
    <w:div w:id="212011903">
      <w:bodyDiv w:val="1"/>
      <w:marLeft w:val="0"/>
      <w:marRight w:val="0"/>
      <w:marTop w:val="0"/>
      <w:marBottom w:val="0"/>
      <w:divBdr>
        <w:top w:val="none" w:sz="0" w:space="0" w:color="auto"/>
        <w:left w:val="none" w:sz="0" w:space="0" w:color="auto"/>
        <w:bottom w:val="none" w:sz="0" w:space="0" w:color="auto"/>
        <w:right w:val="none" w:sz="0" w:space="0" w:color="auto"/>
      </w:divBdr>
    </w:div>
    <w:div w:id="358749946">
      <w:bodyDiv w:val="1"/>
      <w:marLeft w:val="0"/>
      <w:marRight w:val="0"/>
      <w:marTop w:val="0"/>
      <w:marBottom w:val="0"/>
      <w:divBdr>
        <w:top w:val="none" w:sz="0" w:space="0" w:color="auto"/>
        <w:left w:val="none" w:sz="0" w:space="0" w:color="auto"/>
        <w:bottom w:val="none" w:sz="0" w:space="0" w:color="auto"/>
        <w:right w:val="none" w:sz="0" w:space="0" w:color="auto"/>
      </w:divBdr>
    </w:div>
    <w:div w:id="388576191">
      <w:bodyDiv w:val="1"/>
      <w:marLeft w:val="0"/>
      <w:marRight w:val="0"/>
      <w:marTop w:val="0"/>
      <w:marBottom w:val="0"/>
      <w:divBdr>
        <w:top w:val="none" w:sz="0" w:space="0" w:color="auto"/>
        <w:left w:val="none" w:sz="0" w:space="0" w:color="auto"/>
        <w:bottom w:val="none" w:sz="0" w:space="0" w:color="auto"/>
        <w:right w:val="none" w:sz="0" w:space="0" w:color="auto"/>
      </w:divBdr>
    </w:div>
    <w:div w:id="472990339">
      <w:bodyDiv w:val="1"/>
      <w:marLeft w:val="0"/>
      <w:marRight w:val="0"/>
      <w:marTop w:val="0"/>
      <w:marBottom w:val="0"/>
      <w:divBdr>
        <w:top w:val="none" w:sz="0" w:space="0" w:color="auto"/>
        <w:left w:val="none" w:sz="0" w:space="0" w:color="auto"/>
        <w:bottom w:val="none" w:sz="0" w:space="0" w:color="auto"/>
        <w:right w:val="none" w:sz="0" w:space="0" w:color="auto"/>
      </w:divBdr>
    </w:div>
    <w:div w:id="579677629">
      <w:bodyDiv w:val="1"/>
      <w:marLeft w:val="0"/>
      <w:marRight w:val="0"/>
      <w:marTop w:val="0"/>
      <w:marBottom w:val="0"/>
      <w:divBdr>
        <w:top w:val="none" w:sz="0" w:space="0" w:color="auto"/>
        <w:left w:val="none" w:sz="0" w:space="0" w:color="auto"/>
        <w:bottom w:val="none" w:sz="0" w:space="0" w:color="auto"/>
        <w:right w:val="none" w:sz="0" w:space="0" w:color="auto"/>
      </w:divBdr>
    </w:div>
    <w:div w:id="679284541">
      <w:bodyDiv w:val="1"/>
      <w:marLeft w:val="0"/>
      <w:marRight w:val="0"/>
      <w:marTop w:val="0"/>
      <w:marBottom w:val="0"/>
      <w:divBdr>
        <w:top w:val="none" w:sz="0" w:space="0" w:color="auto"/>
        <w:left w:val="none" w:sz="0" w:space="0" w:color="auto"/>
        <w:bottom w:val="none" w:sz="0" w:space="0" w:color="auto"/>
        <w:right w:val="none" w:sz="0" w:space="0" w:color="auto"/>
      </w:divBdr>
    </w:div>
    <w:div w:id="746923259">
      <w:bodyDiv w:val="1"/>
      <w:marLeft w:val="0"/>
      <w:marRight w:val="0"/>
      <w:marTop w:val="0"/>
      <w:marBottom w:val="0"/>
      <w:divBdr>
        <w:top w:val="none" w:sz="0" w:space="0" w:color="auto"/>
        <w:left w:val="none" w:sz="0" w:space="0" w:color="auto"/>
        <w:bottom w:val="none" w:sz="0" w:space="0" w:color="auto"/>
        <w:right w:val="none" w:sz="0" w:space="0" w:color="auto"/>
      </w:divBdr>
    </w:div>
    <w:div w:id="796223766">
      <w:bodyDiv w:val="1"/>
      <w:marLeft w:val="0"/>
      <w:marRight w:val="0"/>
      <w:marTop w:val="0"/>
      <w:marBottom w:val="0"/>
      <w:divBdr>
        <w:top w:val="none" w:sz="0" w:space="0" w:color="auto"/>
        <w:left w:val="none" w:sz="0" w:space="0" w:color="auto"/>
        <w:bottom w:val="none" w:sz="0" w:space="0" w:color="auto"/>
        <w:right w:val="none" w:sz="0" w:space="0" w:color="auto"/>
      </w:divBdr>
    </w:div>
    <w:div w:id="879127743">
      <w:bodyDiv w:val="1"/>
      <w:marLeft w:val="0"/>
      <w:marRight w:val="0"/>
      <w:marTop w:val="0"/>
      <w:marBottom w:val="0"/>
      <w:divBdr>
        <w:top w:val="none" w:sz="0" w:space="0" w:color="auto"/>
        <w:left w:val="none" w:sz="0" w:space="0" w:color="auto"/>
        <w:bottom w:val="none" w:sz="0" w:space="0" w:color="auto"/>
        <w:right w:val="none" w:sz="0" w:space="0" w:color="auto"/>
      </w:divBdr>
    </w:div>
    <w:div w:id="956182722">
      <w:bodyDiv w:val="1"/>
      <w:marLeft w:val="0"/>
      <w:marRight w:val="0"/>
      <w:marTop w:val="0"/>
      <w:marBottom w:val="0"/>
      <w:divBdr>
        <w:top w:val="none" w:sz="0" w:space="0" w:color="auto"/>
        <w:left w:val="none" w:sz="0" w:space="0" w:color="auto"/>
        <w:bottom w:val="none" w:sz="0" w:space="0" w:color="auto"/>
        <w:right w:val="none" w:sz="0" w:space="0" w:color="auto"/>
      </w:divBdr>
    </w:div>
    <w:div w:id="1012494414">
      <w:bodyDiv w:val="1"/>
      <w:marLeft w:val="0"/>
      <w:marRight w:val="0"/>
      <w:marTop w:val="0"/>
      <w:marBottom w:val="0"/>
      <w:divBdr>
        <w:top w:val="none" w:sz="0" w:space="0" w:color="auto"/>
        <w:left w:val="none" w:sz="0" w:space="0" w:color="auto"/>
        <w:bottom w:val="none" w:sz="0" w:space="0" w:color="auto"/>
        <w:right w:val="none" w:sz="0" w:space="0" w:color="auto"/>
      </w:divBdr>
    </w:div>
    <w:div w:id="1075854612">
      <w:bodyDiv w:val="1"/>
      <w:marLeft w:val="0"/>
      <w:marRight w:val="0"/>
      <w:marTop w:val="0"/>
      <w:marBottom w:val="0"/>
      <w:divBdr>
        <w:top w:val="none" w:sz="0" w:space="0" w:color="auto"/>
        <w:left w:val="none" w:sz="0" w:space="0" w:color="auto"/>
        <w:bottom w:val="none" w:sz="0" w:space="0" w:color="auto"/>
        <w:right w:val="none" w:sz="0" w:space="0" w:color="auto"/>
      </w:divBdr>
    </w:div>
    <w:div w:id="1113206634">
      <w:bodyDiv w:val="1"/>
      <w:marLeft w:val="0"/>
      <w:marRight w:val="0"/>
      <w:marTop w:val="0"/>
      <w:marBottom w:val="0"/>
      <w:divBdr>
        <w:top w:val="none" w:sz="0" w:space="0" w:color="auto"/>
        <w:left w:val="none" w:sz="0" w:space="0" w:color="auto"/>
        <w:bottom w:val="none" w:sz="0" w:space="0" w:color="auto"/>
        <w:right w:val="none" w:sz="0" w:space="0" w:color="auto"/>
      </w:divBdr>
    </w:div>
    <w:div w:id="1164932429">
      <w:bodyDiv w:val="1"/>
      <w:marLeft w:val="0"/>
      <w:marRight w:val="0"/>
      <w:marTop w:val="0"/>
      <w:marBottom w:val="0"/>
      <w:divBdr>
        <w:top w:val="none" w:sz="0" w:space="0" w:color="auto"/>
        <w:left w:val="none" w:sz="0" w:space="0" w:color="auto"/>
        <w:bottom w:val="none" w:sz="0" w:space="0" w:color="auto"/>
        <w:right w:val="none" w:sz="0" w:space="0" w:color="auto"/>
      </w:divBdr>
    </w:div>
    <w:div w:id="1193106604">
      <w:bodyDiv w:val="1"/>
      <w:marLeft w:val="0"/>
      <w:marRight w:val="0"/>
      <w:marTop w:val="0"/>
      <w:marBottom w:val="0"/>
      <w:divBdr>
        <w:top w:val="none" w:sz="0" w:space="0" w:color="auto"/>
        <w:left w:val="none" w:sz="0" w:space="0" w:color="auto"/>
        <w:bottom w:val="none" w:sz="0" w:space="0" w:color="auto"/>
        <w:right w:val="none" w:sz="0" w:space="0" w:color="auto"/>
      </w:divBdr>
    </w:div>
    <w:div w:id="1194344999">
      <w:bodyDiv w:val="1"/>
      <w:marLeft w:val="0"/>
      <w:marRight w:val="0"/>
      <w:marTop w:val="0"/>
      <w:marBottom w:val="0"/>
      <w:divBdr>
        <w:top w:val="none" w:sz="0" w:space="0" w:color="auto"/>
        <w:left w:val="none" w:sz="0" w:space="0" w:color="auto"/>
        <w:bottom w:val="none" w:sz="0" w:space="0" w:color="auto"/>
        <w:right w:val="none" w:sz="0" w:space="0" w:color="auto"/>
      </w:divBdr>
    </w:div>
    <w:div w:id="1205093510">
      <w:bodyDiv w:val="1"/>
      <w:marLeft w:val="0"/>
      <w:marRight w:val="0"/>
      <w:marTop w:val="0"/>
      <w:marBottom w:val="0"/>
      <w:divBdr>
        <w:top w:val="none" w:sz="0" w:space="0" w:color="auto"/>
        <w:left w:val="none" w:sz="0" w:space="0" w:color="auto"/>
        <w:bottom w:val="none" w:sz="0" w:space="0" w:color="auto"/>
        <w:right w:val="none" w:sz="0" w:space="0" w:color="auto"/>
      </w:divBdr>
    </w:div>
    <w:div w:id="1222984776">
      <w:bodyDiv w:val="1"/>
      <w:marLeft w:val="0"/>
      <w:marRight w:val="0"/>
      <w:marTop w:val="0"/>
      <w:marBottom w:val="0"/>
      <w:divBdr>
        <w:top w:val="none" w:sz="0" w:space="0" w:color="auto"/>
        <w:left w:val="none" w:sz="0" w:space="0" w:color="auto"/>
        <w:bottom w:val="none" w:sz="0" w:space="0" w:color="auto"/>
        <w:right w:val="none" w:sz="0" w:space="0" w:color="auto"/>
      </w:divBdr>
    </w:div>
    <w:div w:id="1234391645">
      <w:bodyDiv w:val="1"/>
      <w:marLeft w:val="0"/>
      <w:marRight w:val="0"/>
      <w:marTop w:val="0"/>
      <w:marBottom w:val="0"/>
      <w:divBdr>
        <w:top w:val="none" w:sz="0" w:space="0" w:color="auto"/>
        <w:left w:val="none" w:sz="0" w:space="0" w:color="auto"/>
        <w:bottom w:val="none" w:sz="0" w:space="0" w:color="auto"/>
        <w:right w:val="none" w:sz="0" w:space="0" w:color="auto"/>
      </w:divBdr>
    </w:div>
    <w:div w:id="1260870659">
      <w:bodyDiv w:val="1"/>
      <w:marLeft w:val="0"/>
      <w:marRight w:val="0"/>
      <w:marTop w:val="0"/>
      <w:marBottom w:val="0"/>
      <w:divBdr>
        <w:top w:val="none" w:sz="0" w:space="0" w:color="auto"/>
        <w:left w:val="none" w:sz="0" w:space="0" w:color="auto"/>
        <w:bottom w:val="none" w:sz="0" w:space="0" w:color="auto"/>
        <w:right w:val="none" w:sz="0" w:space="0" w:color="auto"/>
      </w:divBdr>
    </w:div>
    <w:div w:id="1263798486">
      <w:bodyDiv w:val="1"/>
      <w:marLeft w:val="0"/>
      <w:marRight w:val="0"/>
      <w:marTop w:val="0"/>
      <w:marBottom w:val="0"/>
      <w:divBdr>
        <w:top w:val="none" w:sz="0" w:space="0" w:color="auto"/>
        <w:left w:val="none" w:sz="0" w:space="0" w:color="auto"/>
        <w:bottom w:val="none" w:sz="0" w:space="0" w:color="auto"/>
        <w:right w:val="none" w:sz="0" w:space="0" w:color="auto"/>
      </w:divBdr>
    </w:div>
    <w:div w:id="1267079119">
      <w:bodyDiv w:val="1"/>
      <w:marLeft w:val="0"/>
      <w:marRight w:val="0"/>
      <w:marTop w:val="0"/>
      <w:marBottom w:val="0"/>
      <w:divBdr>
        <w:top w:val="none" w:sz="0" w:space="0" w:color="auto"/>
        <w:left w:val="none" w:sz="0" w:space="0" w:color="auto"/>
        <w:bottom w:val="none" w:sz="0" w:space="0" w:color="auto"/>
        <w:right w:val="none" w:sz="0" w:space="0" w:color="auto"/>
      </w:divBdr>
    </w:div>
    <w:div w:id="1278416398">
      <w:bodyDiv w:val="1"/>
      <w:marLeft w:val="0"/>
      <w:marRight w:val="0"/>
      <w:marTop w:val="0"/>
      <w:marBottom w:val="0"/>
      <w:divBdr>
        <w:top w:val="none" w:sz="0" w:space="0" w:color="auto"/>
        <w:left w:val="none" w:sz="0" w:space="0" w:color="auto"/>
        <w:bottom w:val="none" w:sz="0" w:space="0" w:color="auto"/>
        <w:right w:val="none" w:sz="0" w:space="0" w:color="auto"/>
      </w:divBdr>
    </w:div>
    <w:div w:id="1318413696">
      <w:bodyDiv w:val="1"/>
      <w:marLeft w:val="0"/>
      <w:marRight w:val="0"/>
      <w:marTop w:val="0"/>
      <w:marBottom w:val="0"/>
      <w:divBdr>
        <w:top w:val="none" w:sz="0" w:space="0" w:color="auto"/>
        <w:left w:val="none" w:sz="0" w:space="0" w:color="auto"/>
        <w:bottom w:val="none" w:sz="0" w:space="0" w:color="auto"/>
        <w:right w:val="none" w:sz="0" w:space="0" w:color="auto"/>
      </w:divBdr>
    </w:div>
    <w:div w:id="1331955426">
      <w:bodyDiv w:val="1"/>
      <w:marLeft w:val="0"/>
      <w:marRight w:val="0"/>
      <w:marTop w:val="0"/>
      <w:marBottom w:val="0"/>
      <w:divBdr>
        <w:top w:val="none" w:sz="0" w:space="0" w:color="auto"/>
        <w:left w:val="none" w:sz="0" w:space="0" w:color="auto"/>
        <w:bottom w:val="none" w:sz="0" w:space="0" w:color="auto"/>
        <w:right w:val="none" w:sz="0" w:space="0" w:color="auto"/>
      </w:divBdr>
    </w:div>
    <w:div w:id="1387685748">
      <w:bodyDiv w:val="1"/>
      <w:marLeft w:val="0"/>
      <w:marRight w:val="0"/>
      <w:marTop w:val="0"/>
      <w:marBottom w:val="0"/>
      <w:divBdr>
        <w:top w:val="none" w:sz="0" w:space="0" w:color="auto"/>
        <w:left w:val="none" w:sz="0" w:space="0" w:color="auto"/>
        <w:bottom w:val="none" w:sz="0" w:space="0" w:color="auto"/>
        <w:right w:val="none" w:sz="0" w:space="0" w:color="auto"/>
      </w:divBdr>
    </w:div>
    <w:div w:id="1481996136">
      <w:bodyDiv w:val="1"/>
      <w:marLeft w:val="0"/>
      <w:marRight w:val="0"/>
      <w:marTop w:val="0"/>
      <w:marBottom w:val="0"/>
      <w:divBdr>
        <w:top w:val="none" w:sz="0" w:space="0" w:color="auto"/>
        <w:left w:val="none" w:sz="0" w:space="0" w:color="auto"/>
        <w:bottom w:val="none" w:sz="0" w:space="0" w:color="auto"/>
        <w:right w:val="none" w:sz="0" w:space="0" w:color="auto"/>
      </w:divBdr>
    </w:div>
    <w:div w:id="1487090384">
      <w:bodyDiv w:val="1"/>
      <w:marLeft w:val="0"/>
      <w:marRight w:val="0"/>
      <w:marTop w:val="0"/>
      <w:marBottom w:val="0"/>
      <w:divBdr>
        <w:top w:val="none" w:sz="0" w:space="0" w:color="auto"/>
        <w:left w:val="none" w:sz="0" w:space="0" w:color="auto"/>
        <w:bottom w:val="none" w:sz="0" w:space="0" w:color="auto"/>
        <w:right w:val="none" w:sz="0" w:space="0" w:color="auto"/>
      </w:divBdr>
    </w:div>
    <w:div w:id="1494100294">
      <w:bodyDiv w:val="1"/>
      <w:marLeft w:val="0"/>
      <w:marRight w:val="0"/>
      <w:marTop w:val="0"/>
      <w:marBottom w:val="0"/>
      <w:divBdr>
        <w:top w:val="none" w:sz="0" w:space="0" w:color="auto"/>
        <w:left w:val="none" w:sz="0" w:space="0" w:color="auto"/>
        <w:bottom w:val="none" w:sz="0" w:space="0" w:color="auto"/>
        <w:right w:val="none" w:sz="0" w:space="0" w:color="auto"/>
      </w:divBdr>
    </w:div>
    <w:div w:id="1551578668">
      <w:bodyDiv w:val="1"/>
      <w:marLeft w:val="0"/>
      <w:marRight w:val="0"/>
      <w:marTop w:val="0"/>
      <w:marBottom w:val="0"/>
      <w:divBdr>
        <w:top w:val="none" w:sz="0" w:space="0" w:color="auto"/>
        <w:left w:val="none" w:sz="0" w:space="0" w:color="auto"/>
        <w:bottom w:val="none" w:sz="0" w:space="0" w:color="auto"/>
        <w:right w:val="none" w:sz="0" w:space="0" w:color="auto"/>
      </w:divBdr>
    </w:div>
    <w:div w:id="1555432420">
      <w:bodyDiv w:val="1"/>
      <w:marLeft w:val="0"/>
      <w:marRight w:val="0"/>
      <w:marTop w:val="0"/>
      <w:marBottom w:val="0"/>
      <w:divBdr>
        <w:top w:val="none" w:sz="0" w:space="0" w:color="auto"/>
        <w:left w:val="none" w:sz="0" w:space="0" w:color="auto"/>
        <w:bottom w:val="none" w:sz="0" w:space="0" w:color="auto"/>
        <w:right w:val="none" w:sz="0" w:space="0" w:color="auto"/>
      </w:divBdr>
    </w:div>
    <w:div w:id="1578052978">
      <w:bodyDiv w:val="1"/>
      <w:marLeft w:val="0"/>
      <w:marRight w:val="0"/>
      <w:marTop w:val="0"/>
      <w:marBottom w:val="0"/>
      <w:divBdr>
        <w:top w:val="none" w:sz="0" w:space="0" w:color="auto"/>
        <w:left w:val="none" w:sz="0" w:space="0" w:color="auto"/>
        <w:bottom w:val="none" w:sz="0" w:space="0" w:color="auto"/>
        <w:right w:val="none" w:sz="0" w:space="0" w:color="auto"/>
      </w:divBdr>
    </w:div>
    <w:div w:id="1634020493">
      <w:bodyDiv w:val="1"/>
      <w:marLeft w:val="0"/>
      <w:marRight w:val="0"/>
      <w:marTop w:val="0"/>
      <w:marBottom w:val="0"/>
      <w:divBdr>
        <w:top w:val="none" w:sz="0" w:space="0" w:color="auto"/>
        <w:left w:val="none" w:sz="0" w:space="0" w:color="auto"/>
        <w:bottom w:val="none" w:sz="0" w:space="0" w:color="auto"/>
        <w:right w:val="none" w:sz="0" w:space="0" w:color="auto"/>
      </w:divBdr>
    </w:div>
    <w:div w:id="1741750731">
      <w:bodyDiv w:val="1"/>
      <w:marLeft w:val="0"/>
      <w:marRight w:val="0"/>
      <w:marTop w:val="0"/>
      <w:marBottom w:val="0"/>
      <w:divBdr>
        <w:top w:val="none" w:sz="0" w:space="0" w:color="auto"/>
        <w:left w:val="none" w:sz="0" w:space="0" w:color="auto"/>
        <w:bottom w:val="none" w:sz="0" w:space="0" w:color="auto"/>
        <w:right w:val="none" w:sz="0" w:space="0" w:color="auto"/>
      </w:divBdr>
    </w:div>
    <w:div w:id="1879124784">
      <w:bodyDiv w:val="1"/>
      <w:marLeft w:val="0"/>
      <w:marRight w:val="0"/>
      <w:marTop w:val="0"/>
      <w:marBottom w:val="0"/>
      <w:divBdr>
        <w:top w:val="none" w:sz="0" w:space="0" w:color="auto"/>
        <w:left w:val="none" w:sz="0" w:space="0" w:color="auto"/>
        <w:bottom w:val="none" w:sz="0" w:space="0" w:color="auto"/>
        <w:right w:val="none" w:sz="0" w:space="0" w:color="auto"/>
      </w:divBdr>
    </w:div>
    <w:div w:id="1920745439">
      <w:bodyDiv w:val="1"/>
      <w:marLeft w:val="0"/>
      <w:marRight w:val="0"/>
      <w:marTop w:val="0"/>
      <w:marBottom w:val="0"/>
      <w:divBdr>
        <w:top w:val="none" w:sz="0" w:space="0" w:color="auto"/>
        <w:left w:val="none" w:sz="0" w:space="0" w:color="auto"/>
        <w:bottom w:val="none" w:sz="0" w:space="0" w:color="auto"/>
        <w:right w:val="none" w:sz="0" w:space="0" w:color="auto"/>
      </w:divBdr>
    </w:div>
    <w:div w:id="1979340789">
      <w:bodyDiv w:val="1"/>
      <w:marLeft w:val="0"/>
      <w:marRight w:val="0"/>
      <w:marTop w:val="0"/>
      <w:marBottom w:val="0"/>
      <w:divBdr>
        <w:top w:val="none" w:sz="0" w:space="0" w:color="auto"/>
        <w:left w:val="none" w:sz="0" w:space="0" w:color="auto"/>
        <w:bottom w:val="none" w:sz="0" w:space="0" w:color="auto"/>
        <w:right w:val="none" w:sz="0" w:space="0" w:color="auto"/>
      </w:divBdr>
    </w:div>
    <w:div w:id="1981693074">
      <w:bodyDiv w:val="1"/>
      <w:marLeft w:val="0"/>
      <w:marRight w:val="0"/>
      <w:marTop w:val="0"/>
      <w:marBottom w:val="0"/>
      <w:divBdr>
        <w:top w:val="none" w:sz="0" w:space="0" w:color="auto"/>
        <w:left w:val="none" w:sz="0" w:space="0" w:color="auto"/>
        <w:bottom w:val="none" w:sz="0" w:space="0" w:color="auto"/>
        <w:right w:val="none" w:sz="0" w:space="0" w:color="auto"/>
      </w:divBdr>
    </w:div>
    <w:div w:id="2041390325">
      <w:bodyDiv w:val="1"/>
      <w:marLeft w:val="0"/>
      <w:marRight w:val="0"/>
      <w:marTop w:val="0"/>
      <w:marBottom w:val="0"/>
      <w:divBdr>
        <w:top w:val="none" w:sz="0" w:space="0" w:color="auto"/>
        <w:left w:val="none" w:sz="0" w:space="0" w:color="auto"/>
        <w:bottom w:val="none" w:sz="0" w:space="0" w:color="auto"/>
        <w:right w:val="none" w:sz="0" w:space="0" w:color="auto"/>
      </w:divBdr>
    </w:div>
    <w:div w:id="2117870776">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oi.org/10.1080/10640266.2015.1034056" TargetMode="External"/><Relationship Id="rId26" Type="http://schemas.openxmlformats.org/officeDocument/2006/relationships/hyperlink" Target="https://doi.org/10.1016/j.bodyim.2005.03.007" TargetMode="External"/><Relationship Id="rId39" Type="http://schemas.openxmlformats.org/officeDocument/2006/relationships/hyperlink" Target="https://doi.org/10.1037/a0032585" TargetMode="External"/><Relationship Id="rId21" Type="http://schemas.openxmlformats.org/officeDocument/2006/relationships/hyperlink" Target="https://doi.org/10.1016/j.brat.2008.06.012" TargetMode="External"/><Relationship Id="rId34" Type="http://schemas.openxmlformats.org/officeDocument/2006/relationships/hyperlink" Target="https://doi.org/10.1002/1098-108X(199412)16:4%3c363::AID-EAT2260160405%3e3.0.CO;2-%23" TargetMode="External"/><Relationship Id="rId42" Type="http://schemas.openxmlformats.org/officeDocument/2006/relationships/hyperlink" Target="https://doi:10.1007/bf02289447" TargetMode="External"/><Relationship Id="rId47" Type="http://schemas.openxmlformats.org/officeDocument/2006/relationships/hyperlink" Target="https://doi.org/10.1007/s40894-019-00121-1" TargetMode="External"/><Relationship Id="rId50" Type="http://schemas.openxmlformats.org/officeDocument/2006/relationships/hyperlink" Target="https://doi.org/10.1207/S15327752JPA7601_6" TargetMode="External"/><Relationship Id="rId55" Type="http://schemas.openxmlformats.org/officeDocument/2006/relationships/hyperlink" Target="https://doi.org/10.1037//0033-2909.128.5.825" TargetMode="External"/><Relationship Id="rId63" Type="http://schemas.openxmlformats.org/officeDocument/2006/relationships/hyperlink" Target="https://doi.org/10.1001/archpsyc.1976.0177009010101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https://doi.org/10.1016/j.bodyim.2019.10.006" TargetMode="External"/><Relationship Id="rId20" Type="http://schemas.openxmlformats.org/officeDocument/2006/relationships/hyperlink" Target="https://doi.org/10.1016/j.jad.2005.05.020" TargetMode="External"/><Relationship Id="rId29" Type="http://schemas.openxmlformats.org/officeDocument/2006/relationships/hyperlink" Target="https://doi.org/10.1111/cdev.12569" TargetMode="External"/><Relationship Id="rId41" Type="http://schemas.openxmlformats.org/officeDocument/2006/relationships/hyperlink" Target="https://doi.org/10.1177/0013164404267287" TargetMode="External"/><Relationship Id="rId54" Type="http://schemas.openxmlformats.org/officeDocument/2006/relationships/hyperlink" Target="https://doi.org/10.1080/10705510903203433" TargetMode="External"/><Relationship Id="rId62" Type="http://schemas.openxmlformats.org/officeDocument/2006/relationships/hyperlink" Target="https://doi.org/10.1016/j.bodyim.2014.09.0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j.atkinson@bath.ac.uk" TargetMode="External"/><Relationship Id="rId24" Type="http://schemas.openxmlformats.org/officeDocument/2006/relationships/hyperlink" Target="https://doi.org/10.1016/j.bodyim.2012.09.001" TargetMode="External"/><Relationship Id="rId32" Type="http://schemas.openxmlformats.org/officeDocument/2006/relationships/hyperlink" Target="https://doi.org/10.1037/men0000263" TargetMode="External"/><Relationship Id="rId37" Type="http://schemas.openxmlformats.org/officeDocument/2006/relationships/hyperlink" Target="https://doi.org/10.1016/j.bodyim.2016.04.001" TargetMode="External"/><Relationship Id="rId40" Type="http://schemas.openxmlformats.org/officeDocument/2006/relationships/hyperlink" Target="http://eprints.uwe.ac.uk/24438" TargetMode="External"/><Relationship Id="rId45" Type="http://schemas.openxmlformats.org/officeDocument/2006/relationships/hyperlink" Target="https://doi.org/10.1017/s0021963097001807" TargetMode="External"/><Relationship Id="rId53" Type="http://schemas.openxmlformats.org/officeDocument/2006/relationships/hyperlink" Target="https://doi.org/10.1037/1040-3590.3.1.32" TargetMode="External"/><Relationship Id="rId58" Type="http://schemas.openxmlformats.org/officeDocument/2006/relationships/hyperlink" Target="https://doi.org/10.1037/0022-006x.74.2.263"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016/j.bodyim.2015.07.005" TargetMode="External"/><Relationship Id="rId23" Type="http://schemas.openxmlformats.org/officeDocument/2006/relationships/hyperlink" Target="http://www.byc.org.uk/wp-content/uploads/2017/11/Youth-Select-Committee-A-Body-Confident-Future.pdf" TargetMode="External"/><Relationship Id="rId28" Type="http://schemas.openxmlformats.org/officeDocument/2006/relationships/hyperlink" Target="https://doi.org/10.1207/s15328007sem0902_5" TargetMode="External"/><Relationship Id="rId36" Type="http://schemas.openxmlformats.org/officeDocument/2006/relationships/hyperlink" Target="https://doi.org/10.1016/j.bodyim.2019.11.003" TargetMode="External"/><Relationship Id="rId49" Type="http://schemas.openxmlformats.org/officeDocument/2006/relationships/hyperlink" Target="https://doi.org/10.1016/s0022-3999(03)00129-6" TargetMode="External"/><Relationship Id="rId57" Type="http://schemas.openxmlformats.org/officeDocument/2006/relationships/hyperlink" Target="https://doi.org/10.1037/a0024351" TargetMode="External"/><Relationship Id="rId61" Type="http://schemas.openxmlformats.org/officeDocument/2006/relationships/hyperlink" Target="https://doi.org/10.1002/eat.10257" TargetMode="External"/><Relationship Id="rId10" Type="http://schemas.openxmlformats.org/officeDocument/2006/relationships/endnotes" Target="endnotes.xml"/><Relationship Id="rId19" Type="http://schemas.openxmlformats.org/officeDocument/2006/relationships/hyperlink" Target="https://doi.org/10.1002/eat.20665" TargetMode="External"/><Relationship Id="rId31" Type="http://schemas.openxmlformats.org/officeDocument/2006/relationships/hyperlink" Target="https://doi.org/10.1016/j.brat.2015.09.004" TargetMode="External"/><Relationship Id="rId44" Type="http://schemas.openxmlformats.org/officeDocument/2006/relationships/hyperlink" Target="https://doi.org/10.1037/e510372016-001" TargetMode="External"/><Relationship Id="rId52" Type="http://schemas.openxmlformats.org/officeDocument/2006/relationships/hyperlink" Target="http://dx.doi.org/10.5257/census/aggregate-2011-1" TargetMode="External"/><Relationship Id="rId60" Type="http://schemas.openxmlformats.org/officeDocument/2006/relationships/hyperlink" Target="https://doi.org/10.1186/1477-7525-5-63"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86/1471-2458-9-52" TargetMode="External"/><Relationship Id="rId22" Type="http://schemas.openxmlformats.org/officeDocument/2006/relationships/hyperlink" Target="https://doi.org/10.1016/j.socscimed.2019.112458" TargetMode="External"/><Relationship Id="rId27" Type="http://schemas.openxmlformats.org/officeDocument/2006/relationships/hyperlink" Target="https://doi.org/10.1016/s1740-1445(03)00023-8" TargetMode="External"/><Relationship Id="rId30" Type="http://schemas.openxmlformats.org/officeDocument/2006/relationships/hyperlink" Target="https://doi.org/10.1016/j.jadohealth.2020.10.001" TargetMode="External"/><Relationship Id="rId35" Type="http://schemas.openxmlformats.org/officeDocument/2006/relationships/hyperlink" Target="https://doi.org/10.1176/appi.ajp.2008.08040608" TargetMode="External"/><Relationship Id="rId43" Type="http://schemas.openxmlformats.org/officeDocument/2006/relationships/hyperlink" Target="https://doi.org/10.1080/10705519909540118" TargetMode="External"/><Relationship Id="rId48" Type="http://schemas.openxmlformats.org/officeDocument/2006/relationships/hyperlink" Target="https://doi.org/10.1016/j.jaac.2015.08.011" TargetMode="External"/><Relationship Id="rId56" Type="http://schemas.openxmlformats.org/officeDocument/2006/relationships/hyperlink" Target="https://doi.org/10.1016/j.brat.2014.12.012" TargetMode="External"/><Relationship Id="rId64" Type="http://schemas.openxmlformats.org/officeDocument/2006/relationships/hyperlink" Target="https://doi.org/10.1016/j.bodyim.2013.04.001" TargetMode="External"/><Relationship Id="rId8" Type="http://schemas.openxmlformats.org/officeDocument/2006/relationships/webSettings" Target="webSettings.xml"/><Relationship Id="rId51" Type="http://schemas.openxmlformats.org/officeDocument/2006/relationships/hyperlink" Target="https://doi.org/10.1016/j.jadohealth.2005.12.001"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doi.org/10.1002/eat.22416" TargetMode="External"/><Relationship Id="rId25" Type="http://schemas.openxmlformats.org/officeDocument/2006/relationships/hyperlink" Target="https://doi.org/10.1002/eat.10033" TargetMode="External"/><Relationship Id="rId33" Type="http://schemas.openxmlformats.org/officeDocument/2006/relationships/hyperlink" Target="https://doi.org/10.1007/s10862-011-9273-2" TargetMode="External"/><Relationship Id="rId38" Type="http://schemas.openxmlformats.org/officeDocument/2006/relationships/hyperlink" Target="http://dx.doi.org/10.1037/0033-2909.103.2.265" TargetMode="External"/><Relationship Id="rId46" Type="http://schemas.openxmlformats.org/officeDocument/2006/relationships/hyperlink" Target="https://doi.org/10.1016/j.beth.2017.01.001" TargetMode="External"/><Relationship Id="rId59" Type="http://schemas.openxmlformats.org/officeDocument/2006/relationships/hyperlink" Target="https://doi.org/10.1016/j.bodyim.2018.08.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9DBF793B3B242911FC5C90B0FBF77" ma:contentTypeVersion="13" ma:contentTypeDescription="Create a new document." ma:contentTypeScope="" ma:versionID="55a2c0963ceba04ab2191486c4adca83">
  <xsd:schema xmlns:xsd="http://www.w3.org/2001/XMLSchema" xmlns:xs="http://www.w3.org/2001/XMLSchema" xmlns:p="http://schemas.microsoft.com/office/2006/metadata/properties" xmlns:ns3="e4793527-14e3-45a3-a5e8-555d962ed06f" xmlns:ns4="03a61801-d9e1-4111-bb3c-0e617a18ac07" targetNamespace="http://schemas.microsoft.com/office/2006/metadata/properties" ma:root="true" ma:fieldsID="d87d140f1879283fae3ed09a1a9e4cc2" ns3:_="" ns4:_="">
    <xsd:import namespace="e4793527-14e3-45a3-a5e8-555d962ed06f"/>
    <xsd:import namespace="03a61801-d9e1-4111-bb3c-0e617a18ac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93527-14e3-45a3-a5e8-555d962e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61801-d9e1-4111-bb3c-0e617a18ac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F54B6EBE-8925-4AE8-B577-C89337FA9497}">
  <ds:schemaRefs>
    <ds:schemaRef ds:uri="http://schemas.microsoft.com/office/infopath/2007/PartnerControls"/>
    <ds:schemaRef ds:uri="http://purl.org/dc/elements/1.1/"/>
    <ds:schemaRef ds:uri="http://schemas.microsoft.com/office/2006/metadata/properties"/>
    <ds:schemaRef ds:uri="e4793527-14e3-45a3-a5e8-555d962ed06f"/>
    <ds:schemaRef ds:uri="http://purl.org/dc/terms/"/>
    <ds:schemaRef ds:uri="http://schemas.openxmlformats.org/package/2006/metadata/core-properties"/>
    <ds:schemaRef ds:uri="http://schemas.microsoft.com/office/2006/documentManagement/types"/>
    <ds:schemaRef ds:uri="03a61801-d9e1-4111-bb3c-0e617a18ac07"/>
    <ds:schemaRef ds:uri="http://www.w3.org/XML/1998/namespace"/>
    <ds:schemaRef ds:uri="http://purl.org/dc/dcmitype/"/>
  </ds:schemaRefs>
</ds:datastoreItem>
</file>

<file path=customXml/itemProps2.xml><?xml version="1.0" encoding="utf-8"?>
<ds:datastoreItem xmlns:ds="http://schemas.openxmlformats.org/officeDocument/2006/customXml" ds:itemID="{E29FA0C3-F1D8-4E62-9C5F-49F9FCD91F5B}">
  <ds:schemaRefs>
    <ds:schemaRef ds:uri="http://schemas.microsoft.com/sharepoint/v3/contenttype/forms"/>
  </ds:schemaRefs>
</ds:datastoreItem>
</file>

<file path=customXml/itemProps3.xml><?xml version="1.0" encoding="utf-8"?>
<ds:datastoreItem xmlns:ds="http://schemas.openxmlformats.org/officeDocument/2006/customXml" ds:itemID="{2A82DA7D-65F3-4AA6-9B88-E1E9484A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93527-14e3-45a3-a5e8-555d962ed06f"/>
    <ds:schemaRef ds:uri="03a61801-d9e1-4111-bb3c-0e617a18a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FC604-7206-4E3B-A572-71194A4E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11435</Words>
  <Characters>65185</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2014-12-12T17:30:00Z</cp:lastPrinted>
  <dcterms:created xsi:type="dcterms:W3CDTF">2021-01-28T11:53:00Z</dcterms:created>
  <dcterms:modified xsi:type="dcterms:W3CDTF">2021-01-28T11:53:00Z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0x01010016D9DBF793B3B242911FC5C90B0FBF77</vt:lpwstr>
  </property>
</Properties>
</file>